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49182" w14:textId="77777777" w:rsidR="002B75EA" w:rsidRDefault="002B75EA" w:rsidP="00896176">
      <w:pPr>
        <w:pStyle w:val="Heading1"/>
        <w:pBdr>
          <w:bottom w:val="none" w:sz="0" w:space="0" w:color="auto"/>
        </w:pBdr>
        <w:spacing w:before="0" w:after="0"/>
        <w:jc w:val="center"/>
        <w:rPr>
          <w:rFonts w:ascii="Arial" w:hAnsi="Arial" w:cs="Arial"/>
          <w:b/>
          <w:color w:val="000080"/>
          <w:sz w:val="36"/>
          <w:szCs w:val="36"/>
        </w:rPr>
      </w:pPr>
      <w:r>
        <w:rPr>
          <w:rFonts w:ascii="Arial" w:hAnsi="Arial" w:cs="Arial"/>
          <w:b/>
          <w:color w:val="000080"/>
          <w:sz w:val="36"/>
          <w:szCs w:val="36"/>
        </w:rPr>
        <w:t>Medical Services Advisory Committee (MSAC)</w:t>
      </w:r>
    </w:p>
    <w:p w14:paraId="58BECA8B" w14:textId="2D61154C" w:rsidR="002B75EA" w:rsidRPr="004F6113" w:rsidRDefault="002361D0" w:rsidP="002361D0">
      <w:pPr>
        <w:pStyle w:val="Heading1"/>
        <w:pBdr>
          <w:bottom w:val="none" w:sz="0" w:space="0" w:color="auto"/>
        </w:pBdr>
        <w:spacing w:before="0" w:after="360"/>
        <w:ind w:left="788"/>
        <w:jc w:val="center"/>
        <w:rPr>
          <w:rFonts w:ascii="Arial" w:hAnsi="Arial" w:cs="Arial"/>
          <w:b/>
          <w:color w:val="000080"/>
          <w:sz w:val="36"/>
          <w:szCs w:val="36"/>
        </w:rPr>
      </w:pPr>
      <w:r w:rsidRPr="005B6EFD">
        <w:rPr>
          <w:rFonts w:ascii="Arial" w:hAnsi="Arial" w:cs="Arial"/>
          <w:b/>
          <w:bCs/>
          <w:color w:val="000080"/>
          <w:sz w:val="36"/>
          <w:szCs w:val="36"/>
        </w:rPr>
        <w:t>Public Summary Document</w:t>
      </w:r>
    </w:p>
    <w:p w14:paraId="363243B4" w14:textId="4A40133A" w:rsidR="002B75EA" w:rsidRPr="00CE28E3" w:rsidRDefault="002B75EA" w:rsidP="002B75EA">
      <w:pPr>
        <w:pStyle w:val="Subtitle"/>
      </w:pPr>
      <w:r w:rsidRPr="00CE28E3">
        <w:t xml:space="preserve">Application No. </w:t>
      </w:r>
      <w:r>
        <w:t xml:space="preserve">1790 – </w:t>
      </w:r>
      <w:r w:rsidRPr="00836811">
        <w:t>POLE</w:t>
      </w:r>
      <w:r w:rsidRPr="0071454A">
        <w:t xml:space="preserve"> genotyping for the molecular classification of endometrial </w:t>
      </w:r>
      <w:r>
        <w:t>cancer</w:t>
      </w:r>
    </w:p>
    <w:p w14:paraId="35263561" w14:textId="41D2B811" w:rsidR="00772829" w:rsidRPr="00CE28E3" w:rsidRDefault="00772829" w:rsidP="00772829">
      <w:pPr>
        <w:tabs>
          <w:tab w:val="left" w:pos="3686"/>
        </w:tabs>
        <w:spacing w:after="240"/>
        <w:rPr>
          <w:rFonts w:ascii="Arial" w:hAnsi="Arial" w:cs="Arial"/>
          <w:b/>
          <w:szCs w:val="24"/>
        </w:rPr>
      </w:pPr>
      <w:r w:rsidRPr="00F834DD">
        <w:rPr>
          <w:rFonts w:ascii="Arial" w:hAnsi="Arial" w:cs="Arial"/>
          <w:b/>
          <w:szCs w:val="24"/>
        </w:rPr>
        <w:t>Applicant:</w:t>
      </w:r>
      <w:r w:rsidRPr="00F834DD">
        <w:rPr>
          <w:rFonts w:ascii="Arial" w:hAnsi="Arial" w:cs="Arial"/>
          <w:b/>
          <w:szCs w:val="24"/>
        </w:rPr>
        <w:tab/>
      </w:r>
      <w:r w:rsidR="00B70B88">
        <w:rPr>
          <w:rFonts w:ascii="Arial" w:hAnsi="Arial" w:cs="Arial"/>
          <w:b/>
          <w:szCs w:val="24"/>
        </w:rPr>
        <w:t xml:space="preserve">The </w:t>
      </w:r>
      <w:r w:rsidR="00856DC7">
        <w:rPr>
          <w:rFonts w:ascii="Arial" w:hAnsi="Arial" w:cs="Arial"/>
          <w:b/>
          <w:szCs w:val="24"/>
        </w:rPr>
        <w:t xml:space="preserve">Royal </w:t>
      </w:r>
      <w:r w:rsidR="00B01E36">
        <w:rPr>
          <w:rFonts w:ascii="Arial" w:hAnsi="Arial" w:cs="Arial"/>
          <w:b/>
          <w:szCs w:val="24"/>
        </w:rPr>
        <w:t>College of Pathologists of Australasia</w:t>
      </w:r>
      <w:r w:rsidR="00856DC7">
        <w:rPr>
          <w:rFonts w:ascii="Arial" w:hAnsi="Arial" w:cs="Arial"/>
          <w:b/>
          <w:szCs w:val="24"/>
        </w:rPr>
        <w:t xml:space="preserve"> </w:t>
      </w:r>
    </w:p>
    <w:p w14:paraId="712FEC96" w14:textId="1CB2A01C" w:rsidR="002B75EA" w:rsidRDefault="002B75EA" w:rsidP="002361D0">
      <w:pPr>
        <w:tabs>
          <w:tab w:val="left" w:pos="3686"/>
        </w:tabs>
        <w:spacing w:after="120"/>
        <w:rPr>
          <w:rFonts w:ascii="Arial" w:hAnsi="Arial" w:cs="Arial"/>
          <w:b/>
          <w:szCs w:val="24"/>
        </w:rPr>
      </w:pPr>
      <w:r w:rsidRPr="00CE28E3">
        <w:rPr>
          <w:rFonts w:ascii="Arial" w:hAnsi="Arial" w:cs="Arial"/>
          <w:b/>
          <w:szCs w:val="24"/>
        </w:rPr>
        <w:t xml:space="preserve">Date of </w:t>
      </w:r>
      <w:r w:rsidR="002361D0">
        <w:rPr>
          <w:rFonts w:ascii="Arial" w:hAnsi="Arial" w:cs="Arial"/>
          <w:b/>
          <w:szCs w:val="24"/>
        </w:rPr>
        <w:t>MSAC</w:t>
      </w:r>
      <w:r w:rsidRPr="00CE28E3">
        <w:rPr>
          <w:rFonts w:ascii="Arial" w:hAnsi="Arial" w:cs="Arial"/>
          <w:b/>
          <w:szCs w:val="24"/>
        </w:rPr>
        <w:t xml:space="preserve"> consideration:</w:t>
      </w:r>
      <w:r w:rsidRPr="00CE28E3">
        <w:rPr>
          <w:rFonts w:ascii="Arial" w:hAnsi="Arial" w:cs="Arial"/>
          <w:b/>
          <w:szCs w:val="24"/>
        </w:rPr>
        <w:tab/>
      </w:r>
      <w:r w:rsidR="002361D0">
        <w:rPr>
          <w:rFonts w:ascii="Arial" w:hAnsi="Arial" w:cs="Arial"/>
          <w:b/>
          <w:szCs w:val="24"/>
        </w:rPr>
        <w:t>1 April</w:t>
      </w:r>
      <w:r w:rsidRPr="00EF070E">
        <w:rPr>
          <w:rFonts w:ascii="Arial" w:hAnsi="Arial" w:cs="Arial"/>
          <w:b/>
          <w:szCs w:val="24"/>
        </w:rPr>
        <w:t xml:space="preserve"> 2026</w:t>
      </w:r>
    </w:p>
    <w:p w14:paraId="7A42B441" w14:textId="0F16AAE7" w:rsidR="002361D0" w:rsidRPr="005B6EFD" w:rsidRDefault="002361D0" w:rsidP="002361D0">
      <w:pPr>
        <w:spacing w:before="0" w:after="200"/>
        <w:rPr>
          <w:color w:val="0000FF"/>
          <w:u w:val="single"/>
        </w:rPr>
      </w:pPr>
      <w:bookmarkStart w:id="0" w:name="_Hlk194308493"/>
      <w:r w:rsidRPr="005B6EFD">
        <w:t xml:space="preserve">Context for decision: MSAC makes its advice in accordance with its Terms of Reference, </w:t>
      </w:r>
      <w:hyperlink r:id="rId11" w:tooltip="Link to Medical Services Advisory Committee website" w:history="1">
        <w:r w:rsidRPr="005B6EFD">
          <w:rPr>
            <w:color w:val="007BB8"/>
            <w:u w:val="single"/>
          </w:rPr>
          <w:t>visit the MSAC website</w:t>
        </w:r>
      </w:hyperlink>
    </w:p>
    <w:p w14:paraId="7EAA7262" w14:textId="4B891F6B" w:rsidR="00772829" w:rsidRPr="00CE28E3" w:rsidRDefault="00772829" w:rsidP="00DE034C">
      <w:pPr>
        <w:pStyle w:val="Heading2"/>
        <w:numPr>
          <w:ilvl w:val="0"/>
          <w:numId w:val="18"/>
        </w:numPr>
        <w:ind w:hanging="720"/>
      </w:pPr>
      <w:bookmarkStart w:id="1" w:name="_Toc220675601"/>
      <w:bookmarkStart w:id="2" w:name="_Toc220670370"/>
      <w:bookmarkEnd w:id="0"/>
      <w:r w:rsidRPr="00CE28E3">
        <w:t xml:space="preserve">Purpose </w:t>
      </w:r>
      <w:r w:rsidRPr="00CE28E3">
        <w:rPr>
          <w:szCs w:val="32"/>
        </w:rPr>
        <w:t>of</w:t>
      </w:r>
      <w:r w:rsidRPr="00CE28E3">
        <w:t xml:space="preserve"> application</w:t>
      </w:r>
      <w:bookmarkEnd w:id="1"/>
      <w:bookmarkEnd w:id="2"/>
    </w:p>
    <w:p w14:paraId="6BF31FF2" w14:textId="0EDF55D7" w:rsidR="00772829" w:rsidRPr="009A3778" w:rsidRDefault="00772829" w:rsidP="00772829">
      <w:pPr>
        <w:spacing w:after="240"/>
      </w:pPr>
      <w:bookmarkStart w:id="3" w:name="_Hlk69734469"/>
      <w:r w:rsidRPr="009A3778">
        <w:t xml:space="preserve">An application requesting </w:t>
      </w:r>
      <w:r w:rsidRPr="001B42D0">
        <w:t xml:space="preserve">Medicare Benefits Schedule (MBS) listing </w:t>
      </w:r>
      <w:r w:rsidR="006575AF" w:rsidRPr="001B42D0">
        <w:t xml:space="preserve">of </w:t>
      </w:r>
      <w:r w:rsidR="0091468B" w:rsidDel="008C02ED">
        <w:t>DNA polymerase epsilon</w:t>
      </w:r>
      <w:r w:rsidR="00EC0762">
        <w:t>,</w:t>
      </w:r>
      <w:r w:rsidR="00961CA0">
        <w:t xml:space="preserve"> </w:t>
      </w:r>
      <w:r w:rsidR="00083A3A">
        <w:t xml:space="preserve">catalytic subunit </w:t>
      </w:r>
      <w:r w:rsidR="00572E78" w:rsidRPr="00572E78">
        <w:rPr>
          <w:i/>
        </w:rPr>
        <w:t>POLE</w:t>
      </w:r>
      <w:r w:rsidR="006575AF" w:rsidRPr="001B42D0">
        <w:t xml:space="preserve"> genot</w:t>
      </w:r>
      <w:r w:rsidR="00E60AD7" w:rsidRPr="001B42D0">
        <w:t>yping for the molecular classification</w:t>
      </w:r>
      <w:r w:rsidRPr="009A3778">
        <w:t xml:space="preserve"> of </w:t>
      </w:r>
      <w:r w:rsidR="00E60AD7" w:rsidRPr="001B42D0">
        <w:t xml:space="preserve">endometrial </w:t>
      </w:r>
      <w:r w:rsidR="00B7342F">
        <w:t>cancer</w:t>
      </w:r>
      <w:r w:rsidR="00B7342F" w:rsidRPr="009A3778">
        <w:t xml:space="preserve"> </w:t>
      </w:r>
      <w:r w:rsidR="00B43B12">
        <w:t xml:space="preserve">(EC) </w:t>
      </w:r>
      <w:r w:rsidRPr="009A3778">
        <w:t xml:space="preserve">was received from the </w:t>
      </w:r>
      <w:r w:rsidR="0075691E">
        <w:t>Royal College of Pathologists</w:t>
      </w:r>
      <w:r>
        <w:t xml:space="preserve"> of </w:t>
      </w:r>
      <w:r w:rsidR="001B42D0">
        <w:t>Australasia</w:t>
      </w:r>
      <w:r w:rsidRPr="009A3778">
        <w:t xml:space="preserve"> </w:t>
      </w:r>
      <w:r w:rsidR="009C0B54">
        <w:t xml:space="preserve">(RCPA) </w:t>
      </w:r>
      <w:r w:rsidRPr="009A3778">
        <w:t>by the Department of Health</w:t>
      </w:r>
      <w:r w:rsidR="00DC04C0">
        <w:t xml:space="preserve">, </w:t>
      </w:r>
      <w:r w:rsidR="006846F6">
        <w:t xml:space="preserve">Disability and </w:t>
      </w:r>
      <w:r w:rsidR="00DC04C0">
        <w:t>Ageing</w:t>
      </w:r>
      <w:r w:rsidRPr="009A3778">
        <w:t>.</w:t>
      </w:r>
    </w:p>
    <w:p w14:paraId="15157E7E" w14:textId="6B674D95" w:rsidR="002361D0" w:rsidRPr="005B6EFD" w:rsidRDefault="002361D0" w:rsidP="00DE034C">
      <w:pPr>
        <w:pStyle w:val="Heading2"/>
        <w:numPr>
          <w:ilvl w:val="0"/>
          <w:numId w:val="18"/>
        </w:numPr>
        <w:ind w:hanging="720"/>
      </w:pPr>
      <w:bookmarkStart w:id="4" w:name="_Toc220675602"/>
      <w:bookmarkStart w:id="5" w:name="_Toc220670371"/>
      <w:bookmarkEnd w:id="3"/>
      <w:r w:rsidRPr="005B6EFD">
        <w:t>MSAC’s advice to the Minister</w:t>
      </w:r>
    </w:p>
    <w:p w14:paraId="70997D5D" w14:textId="77777777" w:rsidR="00356F9A" w:rsidRDefault="002361D0" w:rsidP="006C21B1">
      <w:pPr>
        <w:rPr>
          <w:rFonts w:cs="Calibri"/>
        </w:rPr>
      </w:pPr>
      <w:r w:rsidRPr="002361D0">
        <w:t xml:space="preserve">After considering the strength of the available evidence in relation to comparative safety, clinical effectiveness, cost-effectiveness and total cost, </w:t>
      </w:r>
      <w:r w:rsidR="00356F9A">
        <w:rPr>
          <w:rFonts w:cs="Calibri"/>
          <w:color w:val="000000"/>
          <w:shd w:val="clear" w:color="auto" w:fill="FFFFFF"/>
        </w:rPr>
        <w:t>MSAC supported the creation of a new Medicare Benefits Schedule (MBS) item for </w:t>
      </w:r>
      <w:r w:rsidR="00356F9A">
        <w:rPr>
          <w:rFonts w:cs="Calibri"/>
          <w:i/>
          <w:iCs/>
          <w:color w:val="000000"/>
        </w:rPr>
        <w:t>POLE</w:t>
      </w:r>
      <w:r w:rsidR="00356F9A">
        <w:rPr>
          <w:rFonts w:cs="Calibri"/>
          <w:color w:val="000000"/>
        </w:rPr>
        <w:t xml:space="preserve"> genotyping for the molecular classification of endometrial cancer. </w:t>
      </w:r>
      <w:r w:rsidR="00356F9A" w:rsidRPr="008C0886">
        <w:rPr>
          <w:rFonts w:cs="Calibri"/>
          <w:color w:val="000000"/>
        </w:rPr>
        <w:t>MSAC consid</w:t>
      </w:r>
      <w:r w:rsidR="00356F9A" w:rsidRPr="2FD41E81">
        <w:rPr>
          <w:rFonts w:cs="Calibri"/>
          <w:color w:val="000000"/>
        </w:rPr>
        <w:t>ered</w:t>
      </w:r>
      <w:r w:rsidR="00356F9A">
        <w:rPr>
          <w:rFonts w:cs="Calibri"/>
          <w:color w:val="000000"/>
        </w:rPr>
        <w:t xml:space="preserve"> endometrial cancer with </w:t>
      </w:r>
      <w:r w:rsidR="00356F9A" w:rsidRPr="00A1788F">
        <w:rPr>
          <w:rFonts w:cs="Calibri"/>
          <w:i/>
          <w:color w:val="000000"/>
        </w:rPr>
        <w:t>POLE</w:t>
      </w:r>
      <w:r w:rsidR="00356F9A">
        <w:rPr>
          <w:rFonts w:cs="Calibri"/>
          <w:color w:val="000000"/>
        </w:rPr>
        <w:t xml:space="preserve"> variants has an excellent prognosis and a very low risk of recurrence. Some patients with </w:t>
      </w:r>
      <w:r w:rsidR="00356F9A" w:rsidRPr="002E49AF">
        <w:rPr>
          <w:rFonts w:cs="Calibri"/>
          <w:i/>
          <w:color w:val="000000"/>
        </w:rPr>
        <w:t>POLE</w:t>
      </w:r>
      <w:r w:rsidR="00356F9A" w:rsidDel="00274325">
        <w:rPr>
          <w:rFonts w:cs="Calibri"/>
          <w:color w:val="000000"/>
        </w:rPr>
        <w:t xml:space="preserve"> </w:t>
      </w:r>
      <w:r w:rsidR="00356F9A">
        <w:rPr>
          <w:rFonts w:cs="Calibri"/>
          <w:color w:val="000000"/>
        </w:rPr>
        <w:t>variants can safely avoid or reduce the use of adjuvant treatments without</w:t>
      </w:r>
      <w:r w:rsidR="00356F9A" w:rsidRPr="00F540CD">
        <w:rPr>
          <w:rFonts w:cs="Calibri"/>
          <w:color w:val="000000"/>
        </w:rPr>
        <w:t xml:space="preserve"> compromis</w:t>
      </w:r>
      <w:r w:rsidR="00356F9A">
        <w:rPr>
          <w:rFonts w:cs="Calibri"/>
          <w:color w:val="000000"/>
        </w:rPr>
        <w:t>ing the</w:t>
      </w:r>
      <w:r w:rsidR="00356F9A" w:rsidRPr="00F540CD">
        <w:rPr>
          <w:rFonts w:cs="Calibri"/>
          <w:color w:val="000000"/>
        </w:rPr>
        <w:t xml:space="preserve"> clinical </w:t>
      </w:r>
      <w:r w:rsidR="00356F9A">
        <w:rPr>
          <w:rFonts w:cs="Calibri"/>
          <w:color w:val="000000"/>
        </w:rPr>
        <w:t>outcome and avoid the adverse events from</w:t>
      </w:r>
      <w:r w:rsidR="00356F9A" w:rsidRPr="00F540CD">
        <w:rPr>
          <w:rFonts w:cs="Calibri"/>
          <w:color w:val="000000"/>
        </w:rPr>
        <w:t xml:space="preserve"> </w:t>
      </w:r>
      <w:r w:rsidR="00356F9A">
        <w:rPr>
          <w:rFonts w:cs="Calibri"/>
          <w:color w:val="000000"/>
        </w:rPr>
        <w:t>these treatments</w:t>
      </w:r>
      <w:r w:rsidR="00356F9A" w:rsidRPr="00F540CD">
        <w:rPr>
          <w:rFonts w:cs="Calibri"/>
          <w:color w:val="000000"/>
        </w:rPr>
        <w:t>.</w:t>
      </w:r>
      <w:r w:rsidR="00356F9A">
        <w:rPr>
          <w:rFonts w:cs="Calibri"/>
          <w:color w:val="000000"/>
        </w:rPr>
        <w:t xml:space="preserve"> MSAC considered </w:t>
      </w:r>
      <w:r w:rsidR="00356F9A" w:rsidRPr="008C0886">
        <w:rPr>
          <w:rFonts w:cs="Calibri"/>
          <w:color w:val="000000"/>
        </w:rPr>
        <w:t xml:space="preserve">the use of </w:t>
      </w:r>
      <w:r w:rsidR="00356F9A" w:rsidRPr="008C0886">
        <w:rPr>
          <w:rFonts w:cs="Calibri"/>
          <w:i/>
          <w:iCs/>
          <w:color w:val="000000"/>
        </w:rPr>
        <w:t>POLE</w:t>
      </w:r>
      <w:r w:rsidR="00356F9A" w:rsidRPr="008C0886">
        <w:rPr>
          <w:rFonts w:cs="Calibri"/>
          <w:color w:val="000000"/>
        </w:rPr>
        <w:t xml:space="preserve"> genotyping to inform de</w:t>
      </w:r>
      <w:r w:rsidR="00356F9A" w:rsidRPr="008C0886">
        <w:rPr>
          <w:rFonts w:ascii="Cambria Math" w:hAnsi="Cambria Math" w:cs="Cambria Math"/>
          <w:color w:val="000000"/>
        </w:rPr>
        <w:t>‑</w:t>
      </w:r>
      <w:r w:rsidR="00356F9A" w:rsidRPr="008C0886">
        <w:rPr>
          <w:rFonts w:cs="Calibri"/>
          <w:color w:val="000000"/>
        </w:rPr>
        <w:t xml:space="preserve">escalation of adjuvant treatment </w:t>
      </w:r>
      <w:r w:rsidR="00356F9A">
        <w:rPr>
          <w:rFonts w:cs="Calibri"/>
          <w:color w:val="000000"/>
        </w:rPr>
        <w:t xml:space="preserve">is likely to lead to superior outcomes and </w:t>
      </w:r>
      <w:r w:rsidR="00356F9A">
        <w:rPr>
          <w:rFonts w:cs="Calibri"/>
          <w:color w:val="000000"/>
          <w:shd w:val="clear" w:color="auto" w:fill="FFFFFF"/>
        </w:rPr>
        <w:t>would not introduce any additional safety concerns</w:t>
      </w:r>
      <w:r w:rsidR="00356F9A">
        <w:rPr>
          <w:rFonts w:cs="Calibri"/>
          <w:color w:val="000000" w:themeColor="text1"/>
        </w:rPr>
        <w:t xml:space="preserve">. </w:t>
      </w:r>
      <w:r w:rsidR="00356F9A" w:rsidRPr="2FD41E81">
        <w:rPr>
          <w:rFonts w:cs="Calibri"/>
          <w:color w:val="000000" w:themeColor="text1"/>
        </w:rPr>
        <w:t xml:space="preserve">MSAC noted that </w:t>
      </w:r>
      <w:r w:rsidR="00356F9A">
        <w:rPr>
          <w:rFonts w:cs="Calibri"/>
          <w:i/>
          <w:iCs/>
        </w:rPr>
        <w:t>POLE</w:t>
      </w:r>
      <w:r w:rsidR="00356F9A">
        <w:rPr>
          <w:rFonts w:cs="Calibri"/>
        </w:rPr>
        <w:t xml:space="preserve"> testing is standard of care </w:t>
      </w:r>
      <w:r w:rsidR="00356F9A" w:rsidRPr="006051C7">
        <w:rPr>
          <w:rFonts w:cs="Calibri"/>
        </w:rPr>
        <w:t>for patients with endometrial cancer</w:t>
      </w:r>
      <w:r w:rsidR="00356F9A" w:rsidRPr="2FD41E81">
        <w:rPr>
          <w:rFonts w:cs="Calibri"/>
          <w:shd w:val="clear" w:color="auto" w:fill="FFFFFF"/>
        </w:rPr>
        <w:t xml:space="preserve"> in Australia. MSAC</w:t>
      </w:r>
      <w:r w:rsidR="00356F9A">
        <w:rPr>
          <w:rFonts w:cs="Calibri"/>
        </w:rPr>
        <w:t xml:space="preserve"> </w:t>
      </w:r>
      <w:r w:rsidR="00356F9A" w:rsidRPr="2FD41E81">
        <w:rPr>
          <w:rFonts w:cs="Calibri"/>
          <w:color w:val="000000" w:themeColor="text1"/>
        </w:rPr>
        <w:t>considered it appropriate to test all patients with newly diagnosed endometrial cancer</w:t>
      </w:r>
      <w:r w:rsidR="00356F9A">
        <w:rPr>
          <w:rFonts w:cs="Calibri"/>
        </w:rPr>
        <w:t xml:space="preserve">. </w:t>
      </w:r>
    </w:p>
    <w:p w14:paraId="0739751D" w14:textId="3AC2835A" w:rsidR="00E55E34" w:rsidRDefault="00356F9A" w:rsidP="006C21B1">
      <w:pPr>
        <w:rPr>
          <w:rFonts w:cs="Calibri"/>
        </w:rPr>
      </w:pPr>
      <w:r w:rsidRPr="002D61AA">
        <w:rPr>
          <w:rFonts w:cs="Calibri"/>
        </w:rPr>
        <w:t xml:space="preserve">MSAC </w:t>
      </w:r>
      <w:r w:rsidRPr="701C2670">
        <w:rPr>
          <w:rFonts w:cs="Calibri"/>
        </w:rPr>
        <w:t xml:space="preserve">considered </w:t>
      </w:r>
      <w:r w:rsidRPr="17AB17E1">
        <w:rPr>
          <w:rFonts w:cs="Calibri"/>
        </w:rPr>
        <w:t xml:space="preserve">that </w:t>
      </w:r>
      <w:r w:rsidRPr="17AB17E1">
        <w:rPr>
          <w:rFonts w:cs="Calibri"/>
          <w:i/>
          <w:iCs/>
        </w:rPr>
        <w:t>POLE</w:t>
      </w:r>
      <w:r w:rsidRPr="002D61AA">
        <w:rPr>
          <w:rFonts w:cs="Calibri"/>
        </w:rPr>
        <w:t xml:space="preserve"> testing </w:t>
      </w:r>
      <w:r w:rsidRPr="0748F342">
        <w:rPr>
          <w:rFonts w:cs="Calibri"/>
        </w:rPr>
        <w:t>is cost-</w:t>
      </w:r>
      <w:r w:rsidRPr="539E1596">
        <w:rPr>
          <w:rFonts w:cs="Calibri"/>
        </w:rPr>
        <w:t xml:space="preserve">effective with the </w:t>
      </w:r>
      <w:r w:rsidRPr="24D8848B">
        <w:rPr>
          <w:rFonts w:cs="Calibri"/>
        </w:rPr>
        <w:t xml:space="preserve">potential </w:t>
      </w:r>
      <w:r w:rsidRPr="64527650">
        <w:rPr>
          <w:rFonts w:cs="Calibri"/>
        </w:rPr>
        <w:t>to</w:t>
      </w:r>
      <w:r w:rsidRPr="002D61AA">
        <w:rPr>
          <w:rFonts w:cs="Calibri"/>
        </w:rPr>
        <w:t xml:space="preserve"> be cost saving depending on the proportion of patients with </w:t>
      </w:r>
      <w:r w:rsidRPr="002D61AA">
        <w:rPr>
          <w:rFonts w:cs="Calibri"/>
          <w:i/>
          <w:iCs/>
        </w:rPr>
        <w:t>POLE</w:t>
      </w:r>
      <w:r w:rsidRPr="002D61AA">
        <w:rPr>
          <w:rFonts w:cs="Calibri"/>
        </w:rPr>
        <w:t xml:space="preserve"> variant endometrial cancer who undergo treatment de</w:t>
      </w:r>
      <w:r>
        <w:rPr>
          <w:rFonts w:cs="Calibri"/>
        </w:rPr>
        <w:t>-</w:t>
      </w:r>
      <w:r w:rsidRPr="002D61AA">
        <w:rPr>
          <w:rFonts w:cs="Calibri"/>
        </w:rPr>
        <w:t>escalation.</w:t>
      </w:r>
      <w:r>
        <w:rPr>
          <w:rFonts w:cs="Calibri"/>
        </w:rPr>
        <w:t xml:space="preserve"> MSAC considered that the overall financial impact to the government would be acceptable, with likely cost offsets to the </w:t>
      </w:r>
      <w:r w:rsidRPr="0003465C">
        <w:rPr>
          <w:rFonts w:cs="Calibri"/>
        </w:rPr>
        <w:t>Pharmaceutical Benefits Scheme (</w:t>
      </w:r>
      <w:r w:rsidRPr="092967CB">
        <w:rPr>
          <w:rFonts w:cs="Calibri"/>
        </w:rPr>
        <w:t>PBS</w:t>
      </w:r>
      <w:r>
        <w:rPr>
          <w:rFonts w:cs="Calibri"/>
        </w:rPr>
        <w:t xml:space="preserve">) and MBS as a result of treatment de-escalation due to </w:t>
      </w:r>
      <w:r w:rsidRPr="01F20BA8">
        <w:rPr>
          <w:rFonts w:cs="Calibri"/>
        </w:rPr>
        <w:t>the avoidance</w:t>
      </w:r>
      <w:r>
        <w:rPr>
          <w:rFonts w:cs="Calibri"/>
        </w:rPr>
        <w:t xml:space="preserve"> of chemotherapy and reduction in radiotherapy use. MSAC advised that the MBS item descriptor should </w:t>
      </w:r>
      <w:r w:rsidRPr="00016D8D">
        <w:rPr>
          <w:rFonts w:cs="Calibri"/>
          <w:bCs/>
        </w:rPr>
        <w:t>restrict requesting of the test to specialist or consultant physician</w:t>
      </w:r>
      <w:r>
        <w:rPr>
          <w:rFonts w:cs="Calibri"/>
          <w:bCs/>
        </w:rPr>
        <w:t xml:space="preserve">s and that </w:t>
      </w:r>
      <w:r w:rsidRPr="14C54EE9">
        <w:rPr>
          <w:rFonts w:cs="Calibri"/>
        </w:rPr>
        <w:t>the test</w:t>
      </w:r>
      <w:r>
        <w:rPr>
          <w:rFonts w:cs="Calibri"/>
          <w:bCs/>
        </w:rPr>
        <w:t xml:space="preserve"> should </w:t>
      </w:r>
      <w:r>
        <w:rPr>
          <w:rFonts w:cs="Calibri"/>
        </w:rPr>
        <w:t xml:space="preserve">be pathologist determinable. MSAC advised a fee of $400 would be appropriate for the proposed single gene test. </w:t>
      </w:r>
      <w:r w:rsidRPr="6EC4124C">
        <w:rPr>
          <w:rFonts w:cs="Calibri"/>
        </w:rPr>
        <w:t xml:space="preserve">MSAC considered MBS listing of </w:t>
      </w:r>
      <w:r w:rsidRPr="6EC4124C">
        <w:rPr>
          <w:rFonts w:cs="Calibri"/>
          <w:i/>
          <w:iCs/>
        </w:rPr>
        <w:t xml:space="preserve">POLE </w:t>
      </w:r>
      <w:r w:rsidRPr="6EC4124C">
        <w:rPr>
          <w:rFonts w:cs="Calibri"/>
        </w:rPr>
        <w:t>genotyping would improve access to testing and reduce out</w:t>
      </w:r>
      <w:r w:rsidRPr="6EC4124C">
        <w:rPr>
          <w:rFonts w:ascii="Cambria Math" w:hAnsi="Cambria Math" w:cs="Cambria Math"/>
        </w:rPr>
        <w:t>‑</w:t>
      </w:r>
      <w:r w:rsidRPr="6EC4124C">
        <w:rPr>
          <w:rFonts w:cs="Calibri"/>
        </w:rPr>
        <w:t>of</w:t>
      </w:r>
      <w:r w:rsidRPr="6EC4124C">
        <w:rPr>
          <w:rFonts w:ascii="Cambria Math" w:hAnsi="Cambria Math" w:cs="Cambria Math"/>
        </w:rPr>
        <w:t>‑</w:t>
      </w:r>
      <w:r w:rsidRPr="6EC4124C">
        <w:rPr>
          <w:rFonts w:cs="Calibri"/>
        </w:rPr>
        <w:t>pocket costs for individuals who currently self</w:t>
      </w:r>
      <w:r w:rsidRPr="6EC4124C">
        <w:rPr>
          <w:rFonts w:ascii="Cambria Math" w:hAnsi="Cambria Math" w:cs="Cambria Math"/>
        </w:rPr>
        <w:t>‑</w:t>
      </w:r>
      <w:r w:rsidRPr="6EC4124C">
        <w:rPr>
          <w:rFonts w:cs="Calibri"/>
        </w:rPr>
        <w:t>fund this test</w:t>
      </w:r>
      <w:r>
        <w:rPr>
          <w:rFonts w:cs="Calibri"/>
        </w:rPr>
        <w:t xml:space="preserve">. </w:t>
      </w:r>
    </w:p>
    <w:p w14:paraId="5821C154" w14:textId="1D9EB7EF" w:rsidR="006C21B1" w:rsidRDefault="60254F09" w:rsidP="00F46E91">
      <w:pPr>
        <w:pStyle w:val="Caption"/>
        <w:keepLines/>
        <w:rPr>
          <w:color w:val="ED0000"/>
        </w:rPr>
      </w:pPr>
      <w:r>
        <w:lastRenderedPageBreak/>
        <w:t xml:space="preserve">Table </w:t>
      </w:r>
      <w:r>
        <w:fldChar w:fldCharType="begin"/>
      </w:r>
      <w:r>
        <w:instrText>SEQ Table \* ARABIC</w:instrText>
      </w:r>
      <w:r>
        <w:fldChar w:fldCharType="separate"/>
      </w:r>
      <w:r w:rsidR="00996E6E" w:rsidRPr="61DE4A1F">
        <w:rPr>
          <w:noProof/>
        </w:rPr>
        <w:t>1</w:t>
      </w:r>
      <w:r>
        <w:fldChar w:fldCharType="end"/>
      </w:r>
      <w:r>
        <w:t xml:space="preserve">  MSAC’s supported MBS item descriptor</w:t>
      </w:r>
      <w:r w:rsidR="00F92D04">
        <w:tab/>
      </w:r>
    </w:p>
    <w:tbl>
      <w:tblPr>
        <w:tblStyle w:val="HTAtableplain1"/>
        <w:tblW w:w="0" w:type="auto"/>
        <w:tblLook w:val="04A0" w:firstRow="1" w:lastRow="0" w:firstColumn="1" w:lastColumn="0" w:noHBand="0" w:noVBand="1"/>
      </w:tblPr>
      <w:tblGrid>
        <w:gridCol w:w="9016"/>
      </w:tblGrid>
      <w:tr w:rsidR="00DC4993" w:rsidRPr="00DC4993" w14:paraId="62911C7E" w14:textId="77777777">
        <w:tc>
          <w:tcPr>
            <w:tcW w:w="9016" w:type="dxa"/>
          </w:tcPr>
          <w:p w14:paraId="1BF6B52C" w14:textId="0F3C5847" w:rsidR="00DC4993" w:rsidRPr="00DC4993" w:rsidRDefault="00DC4993" w:rsidP="00F46E91">
            <w:pPr>
              <w:pStyle w:val="TableText"/>
              <w:keepNext/>
              <w:keepLines/>
            </w:pPr>
            <w:r w:rsidRPr="00DC4993">
              <w:t xml:space="preserve">Category 6 – </w:t>
            </w:r>
            <w:r w:rsidR="000A5240" w:rsidRPr="00DC4993">
              <w:t>PATHOLOGY SERVICES</w:t>
            </w:r>
            <w:r w:rsidR="000A5240">
              <w:t xml:space="preserve">                                                                                                </w:t>
            </w:r>
            <w:r w:rsidR="000A5240" w:rsidRPr="00DC4993">
              <w:t xml:space="preserve">Group P7 – </w:t>
            </w:r>
            <w:r w:rsidR="000A5240">
              <w:t>G</w:t>
            </w:r>
            <w:r w:rsidR="000A5240" w:rsidRPr="00DC4993">
              <w:t>enetics</w:t>
            </w:r>
          </w:p>
        </w:tc>
      </w:tr>
      <w:tr w:rsidR="00DC4993" w:rsidRPr="00DC4993" w14:paraId="58F9DDDE" w14:textId="77777777">
        <w:tc>
          <w:tcPr>
            <w:tcW w:w="9016" w:type="dxa"/>
          </w:tcPr>
          <w:p w14:paraId="73FF00DC" w14:textId="77777777" w:rsidR="00DC4993" w:rsidRPr="00DC4993" w:rsidRDefault="00DC4993" w:rsidP="00F46E91">
            <w:pPr>
              <w:pStyle w:val="TableText"/>
              <w:keepNext/>
              <w:keepLines/>
            </w:pPr>
            <w:r w:rsidRPr="00DC4993">
              <w:t>MBS item AAAAA</w:t>
            </w:r>
          </w:p>
          <w:p w14:paraId="18D0F820" w14:textId="058E4460" w:rsidR="00DC4993" w:rsidRPr="00DC4993" w:rsidRDefault="00DC4993" w:rsidP="00F46E91">
            <w:pPr>
              <w:pStyle w:val="TableText"/>
              <w:keepNext/>
              <w:keepLines/>
            </w:pPr>
            <w:r w:rsidRPr="00DC4993">
              <w:t xml:space="preserve">Characterisation of variants on the exonuclease domain (targeting exons 9, 11, 13 and 14 as a minimum) of the </w:t>
            </w:r>
            <w:r w:rsidRPr="009F2BE4">
              <w:t>POLE</w:t>
            </w:r>
            <w:r w:rsidRPr="00DC4993">
              <w:t xml:space="preserve"> gene, requested by a specialist or consultant physician</w:t>
            </w:r>
            <w:r w:rsidR="00DA31D4">
              <w:t>,</w:t>
            </w:r>
            <w:r w:rsidRPr="00DC4993">
              <w:t xml:space="preserve"> in a patient diagnosed with endometrial carcinoma.</w:t>
            </w:r>
          </w:p>
          <w:p w14:paraId="50F4AD09" w14:textId="77777777" w:rsidR="00DA31D4" w:rsidRDefault="00DA31D4" w:rsidP="00F46E91">
            <w:pPr>
              <w:pStyle w:val="TableText"/>
              <w:keepNext/>
              <w:keepLines/>
            </w:pPr>
          </w:p>
          <w:p w14:paraId="23CBB560" w14:textId="655A36C9" w:rsidR="00DC4993" w:rsidRPr="00DC4993" w:rsidRDefault="00DC4993" w:rsidP="00F46E91">
            <w:pPr>
              <w:pStyle w:val="TableText"/>
              <w:keepNext/>
              <w:keepLines/>
            </w:pPr>
            <w:r w:rsidRPr="00DC4993">
              <w:t>Applicable once per primary tumour diagnosis.</w:t>
            </w:r>
          </w:p>
        </w:tc>
      </w:tr>
      <w:tr w:rsidR="00DC4993" w:rsidRPr="00DC4993" w14:paraId="0E101107" w14:textId="77777777">
        <w:tc>
          <w:tcPr>
            <w:tcW w:w="9016" w:type="dxa"/>
          </w:tcPr>
          <w:p w14:paraId="04C17E1F" w14:textId="5A09A4DC" w:rsidR="00DC4993" w:rsidRPr="00DC4993" w:rsidRDefault="005C4414" w:rsidP="00F46E91">
            <w:pPr>
              <w:pStyle w:val="TableText"/>
              <w:keepNext/>
              <w:keepLines/>
            </w:pPr>
            <w:r w:rsidRPr="00F22035">
              <w:t>Fee: $400.00 Benefit 75%: $300.00   85%: $340.00</w:t>
            </w:r>
          </w:p>
        </w:tc>
      </w:tr>
    </w:tbl>
    <w:tbl>
      <w:tblPr>
        <w:tblStyle w:val="Section3-footnot1"/>
        <w:tblpPr w:leftFromText="180" w:rightFromText="180" w:vertAnchor="text" w:horzAnchor="margin" w:tblpY="574"/>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0"/>
      </w:tblGrid>
      <w:tr w:rsidR="000A5240" w:rsidRPr="005B6EFD" w14:paraId="2D779953" w14:textId="77777777" w:rsidTr="00A93390">
        <w:trPr>
          <w:trHeight w:val="300"/>
          <w:tblHeader/>
        </w:trPr>
        <w:tc>
          <w:tcPr>
            <w:tcW w:w="8970" w:type="dxa"/>
          </w:tcPr>
          <w:p w14:paraId="763013E1" w14:textId="77777777" w:rsidR="000A5240" w:rsidRPr="005B6EFD" w:rsidRDefault="000A5240" w:rsidP="000A5240">
            <w:pPr>
              <w:keepNext/>
              <w:keepLines/>
              <w:spacing w:before="40" w:after="40" w:line="259" w:lineRule="auto"/>
              <w:rPr>
                <w:rFonts w:eastAsia="Calibri"/>
                <w:b/>
                <w:bCs/>
              </w:rPr>
            </w:pPr>
            <w:r w:rsidRPr="005B6EFD">
              <w:rPr>
                <w:b/>
                <w:bCs/>
              </w:rPr>
              <w:t>Consumer summary</w:t>
            </w:r>
          </w:p>
        </w:tc>
      </w:tr>
      <w:tr w:rsidR="000A5240" w:rsidRPr="005B6EFD" w14:paraId="0D204EF3" w14:textId="77777777" w:rsidTr="00A93390">
        <w:trPr>
          <w:trHeight w:val="300"/>
        </w:trPr>
        <w:tc>
          <w:tcPr>
            <w:tcW w:w="8970" w:type="dxa"/>
          </w:tcPr>
          <w:p w14:paraId="6041BEEC" w14:textId="1DCB4930" w:rsidR="000A5240" w:rsidRPr="00B83249" w:rsidRDefault="000A5240" w:rsidP="000A5240">
            <w:pPr>
              <w:keepNext/>
              <w:keepLines/>
              <w:tabs>
                <w:tab w:val="left" w:pos="851"/>
              </w:tabs>
              <w:spacing w:before="240"/>
              <w:outlineLvl w:val="2"/>
            </w:pPr>
            <w:r w:rsidRPr="00B83249">
              <w:t xml:space="preserve">This application from the Royal College of Pathologists of Australasia </w:t>
            </w:r>
            <w:r w:rsidR="00FD39B5" w:rsidRPr="00B83249">
              <w:t>request</w:t>
            </w:r>
            <w:r w:rsidR="00FD39B5">
              <w:t>ed</w:t>
            </w:r>
            <w:r w:rsidR="00FD39B5" w:rsidRPr="00B83249">
              <w:t xml:space="preserve"> </w:t>
            </w:r>
            <w:r w:rsidRPr="00B83249">
              <w:t xml:space="preserve">Medicare Benefits Schedule (MBS) listing of </w:t>
            </w:r>
            <w:r w:rsidR="000E2CD1">
              <w:t xml:space="preserve">genetic testing for </w:t>
            </w:r>
            <w:r w:rsidR="00AE2592" w:rsidRPr="00AE2592">
              <w:t>DNA polymerase epsilon, catalytic subunit</w:t>
            </w:r>
            <w:r w:rsidR="00AE2592">
              <w:t xml:space="preserve"> (</w:t>
            </w:r>
            <w:r w:rsidR="00F7494E">
              <w:t xml:space="preserve">known as </w:t>
            </w:r>
            <w:r w:rsidRPr="00B83249">
              <w:rPr>
                <w:i/>
                <w:iCs/>
              </w:rPr>
              <w:t>POLE</w:t>
            </w:r>
            <w:r w:rsidR="00F7494E">
              <w:rPr>
                <w:i/>
                <w:iCs/>
              </w:rPr>
              <w:t xml:space="preserve"> </w:t>
            </w:r>
            <w:r w:rsidR="00F7494E" w:rsidRPr="009F2BE4">
              <w:t>gene</w:t>
            </w:r>
            <w:r w:rsidR="00AE2592" w:rsidRPr="00BB18FA">
              <w:t>)</w:t>
            </w:r>
            <w:r w:rsidRPr="00912975">
              <w:t xml:space="preserve"> </w:t>
            </w:r>
            <w:r w:rsidR="000E2CD1">
              <w:t>alterations</w:t>
            </w:r>
            <w:r w:rsidR="00B817DC">
              <w:t xml:space="preserve">, </w:t>
            </w:r>
            <w:r w:rsidR="000E2CD1">
              <w:t xml:space="preserve">also called </w:t>
            </w:r>
            <w:r w:rsidR="000E2CD1" w:rsidRPr="009F2BE4">
              <w:rPr>
                <w:i/>
                <w:iCs/>
              </w:rPr>
              <w:t>POLE</w:t>
            </w:r>
            <w:r w:rsidR="000E2CD1">
              <w:t xml:space="preserve"> genotyping</w:t>
            </w:r>
            <w:r w:rsidR="00B817DC">
              <w:t xml:space="preserve">, </w:t>
            </w:r>
            <w:r w:rsidRPr="00B83249">
              <w:t xml:space="preserve">for </w:t>
            </w:r>
            <w:r w:rsidR="00B817DC" w:rsidRPr="00B83249">
              <w:t>p</w:t>
            </w:r>
            <w:r w:rsidR="00B817DC">
              <w:t>eople</w:t>
            </w:r>
            <w:r w:rsidR="00B817DC" w:rsidRPr="00B83249">
              <w:t xml:space="preserve"> </w:t>
            </w:r>
            <w:r w:rsidRPr="00B83249">
              <w:t>newly diagnosed with endometrial cancer.</w:t>
            </w:r>
          </w:p>
          <w:p w14:paraId="1F085F6D" w14:textId="6B844A49" w:rsidR="00A755CD" w:rsidRPr="00A755CD" w:rsidRDefault="00A755CD" w:rsidP="00A755CD">
            <w:pPr>
              <w:keepNext/>
              <w:keepLines/>
              <w:tabs>
                <w:tab w:val="left" w:pos="851"/>
              </w:tabs>
              <w:spacing w:before="240"/>
              <w:outlineLvl w:val="2"/>
            </w:pPr>
            <w:r>
              <w:t xml:space="preserve">Endometrial cancer is becoming more common, with </w:t>
            </w:r>
            <w:r w:rsidR="00B50A71">
              <w:t xml:space="preserve">over </w:t>
            </w:r>
            <w:r>
              <w:t>3,</w:t>
            </w:r>
            <w:r w:rsidR="0036500F">
              <w:t>000</w:t>
            </w:r>
            <w:r>
              <w:t xml:space="preserve"> people in Australia expected to be diagnosed in 2025. </w:t>
            </w:r>
            <w:r w:rsidR="00E453EF">
              <w:t>A</w:t>
            </w:r>
            <w:r>
              <w:t xml:space="preserve">bout 84% </w:t>
            </w:r>
            <w:r w:rsidR="00E07D7B">
              <w:t xml:space="preserve">of </w:t>
            </w:r>
            <w:r>
              <w:t xml:space="preserve">people </w:t>
            </w:r>
            <w:r w:rsidR="00E453EF">
              <w:t xml:space="preserve">with endometrial cancer </w:t>
            </w:r>
            <w:r w:rsidR="00E07D7B">
              <w:t>are still</w:t>
            </w:r>
            <w:r w:rsidR="00E453EF">
              <w:t xml:space="preserve"> </w:t>
            </w:r>
            <w:r>
              <w:t>alive 5 years after diagnosis.</w:t>
            </w:r>
            <w:r w:rsidR="00413A59">
              <w:t xml:space="preserve"> </w:t>
            </w:r>
          </w:p>
          <w:p w14:paraId="1AAA6EB6" w14:textId="7DBCDD3D" w:rsidR="00D06584" w:rsidRDefault="00A755CD" w:rsidP="00EF627C">
            <w:pPr>
              <w:keepNext/>
              <w:keepLines/>
              <w:tabs>
                <w:tab w:val="left" w:pos="851"/>
              </w:tabs>
              <w:spacing w:before="240"/>
              <w:outlineLvl w:val="2"/>
            </w:pPr>
            <w:r>
              <w:t>Surgery is usually the main treatment</w:t>
            </w:r>
            <w:r w:rsidR="003F64D5">
              <w:t xml:space="preserve"> for endomet</w:t>
            </w:r>
            <w:r w:rsidR="52093538">
              <w:t>r</w:t>
            </w:r>
            <w:r w:rsidR="003F64D5">
              <w:t>ial cancer</w:t>
            </w:r>
            <w:r>
              <w:t xml:space="preserve">. However, it is not always easy to tell which people </w:t>
            </w:r>
            <w:r w:rsidR="232D6BDA">
              <w:t xml:space="preserve">need additional </w:t>
            </w:r>
            <w:r>
              <w:t>treatment</w:t>
            </w:r>
            <w:r w:rsidR="00244522">
              <w:t>s after surgery</w:t>
            </w:r>
            <w:r>
              <w:t>, such as radiotherapy or chemotherapy.</w:t>
            </w:r>
            <w:r w:rsidR="00907274">
              <w:t xml:space="preserve"> </w:t>
            </w:r>
            <w:r w:rsidR="003B1350">
              <w:t>After being diagnosed</w:t>
            </w:r>
            <w:r w:rsidR="00864936">
              <w:t xml:space="preserve"> </w:t>
            </w:r>
            <w:r w:rsidR="000A5240">
              <w:t>with endometrial cancer</w:t>
            </w:r>
            <w:r w:rsidR="68A4CE9D">
              <w:t>, the tumour sample</w:t>
            </w:r>
            <w:r w:rsidR="000A5240">
              <w:t xml:space="preserve"> </w:t>
            </w:r>
            <w:r w:rsidR="00D71F43">
              <w:t>may</w:t>
            </w:r>
            <w:r w:rsidR="00A7271F">
              <w:t xml:space="preserve"> have</w:t>
            </w:r>
            <w:r w:rsidR="000A5240">
              <w:t xml:space="preserve"> several </w:t>
            </w:r>
            <w:r w:rsidR="076BEAEE">
              <w:t>genetic</w:t>
            </w:r>
            <w:r w:rsidR="000A5240">
              <w:t xml:space="preserve"> tests</w:t>
            </w:r>
            <w:r w:rsidR="007C6C83">
              <w:t xml:space="preserve"> </w:t>
            </w:r>
            <w:r w:rsidR="1230A8DD">
              <w:t xml:space="preserve">performed </w:t>
            </w:r>
            <w:r w:rsidR="00627B0D">
              <w:t xml:space="preserve">to check </w:t>
            </w:r>
            <w:r w:rsidR="000A5240">
              <w:t>for</w:t>
            </w:r>
            <w:r w:rsidR="00CB51A7">
              <w:t xml:space="preserve"> problems with several genes</w:t>
            </w:r>
            <w:r w:rsidR="00C83794">
              <w:t xml:space="preserve"> or proteins</w:t>
            </w:r>
            <w:r w:rsidR="000A267B">
              <w:t xml:space="preserve"> that will help doctors better understand the cancer and guide treatment decisions. These genes</w:t>
            </w:r>
            <w:r w:rsidR="00C83794">
              <w:t xml:space="preserve"> </w:t>
            </w:r>
            <w:r w:rsidR="00865860">
              <w:t>or proteins</w:t>
            </w:r>
            <w:r w:rsidR="000A267B">
              <w:t xml:space="preserve"> </w:t>
            </w:r>
            <w:r w:rsidR="00865860">
              <w:t>include</w:t>
            </w:r>
            <w:r w:rsidR="00324E54">
              <w:t xml:space="preserve"> </w:t>
            </w:r>
            <w:r w:rsidR="00CE3280">
              <w:t xml:space="preserve">the </w:t>
            </w:r>
            <w:r w:rsidR="000A5240" w:rsidRPr="4149BF96">
              <w:rPr>
                <w:i/>
                <w:iCs/>
              </w:rPr>
              <w:t>POLE</w:t>
            </w:r>
            <w:r w:rsidR="00DB39C3" w:rsidRPr="4149BF96">
              <w:rPr>
                <w:i/>
                <w:iCs/>
              </w:rPr>
              <w:t xml:space="preserve"> </w:t>
            </w:r>
            <w:r w:rsidR="00DB39C3">
              <w:t>gene</w:t>
            </w:r>
            <w:r w:rsidR="000A5240">
              <w:t xml:space="preserve">, mismatch repair genes, estrogen receptor and </w:t>
            </w:r>
            <w:r w:rsidR="00627B0D">
              <w:t xml:space="preserve">a gene called </w:t>
            </w:r>
            <w:r w:rsidR="000A5240">
              <w:t>p53</w:t>
            </w:r>
            <w:r w:rsidR="00324E54">
              <w:t>.</w:t>
            </w:r>
          </w:p>
          <w:p w14:paraId="55463F4C" w14:textId="01FF36AD" w:rsidR="000A5240" w:rsidRPr="00B83249" w:rsidRDefault="007A453F" w:rsidP="000A5240">
            <w:pPr>
              <w:keepNext/>
              <w:keepLines/>
              <w:tabs>
                <w:tab w:val="left" w:pos="851"/>
              </w:tabs>
              <w:spacing w:before="240"/>
              <w:outlineLvl w:val="2"/>
            </w:pPr>
            <w:r>
              <w:t>Some p</w:t>
            </w:r>
            <w:r w:rsidR="00FF79B0">
              <w:t xml:space="preserve">eople </w:t>
            </w:r>
            <w:r>
              <w:t xml:space="preserve">may have </w:t>
            </w:r>
            <w:r w:rsidR="0091709A">
              <w:t>a very high number of genetic changes</w:t>
            </w:r>
            <w:r w:rsidR="000A5240">
              <w:t xml:space="preserve"> </w:t>
            </w:r>
            <w:r w:rsidR="00B3557E">
              <w:t xml:space="preserve">in their </w:t>
            </w:r>
            <w:r w:rsidR="00B3557E" w:rsidRPr="4149BF96">
              <w:rPr>
                <w:i/>
                <w:iCs/>
              </w:rPr>
              <w:t>POLE</w:t>
            </w:r>
            <w:r w:rsidR="00B3557E">
              <w:t xml:space="preserve"> gene </w:t>
            </w:r>
            <w:r w:rsidR="009B0AE0">
              <w:t xml:space="preserve">which is </w:t>
            </w:r>
            <w:r w:rsidR="00B3557E">
              <w:t>known as</w:t>
            </w:r>
            <w:r w:rsidR="0091709A">
              <w:t xml:space="preserve"> </w:t>
            </w:r>
            <w:r w:rsidR="000A5240">
              <w:t>ultramutat</w:t>
            </w:r>
            <w:r w:rsidR="2432E1E0">
              <w:t>ed</w:t>
            </w:r>
            <w:r w:rsidR="000A5240">
              <w:t xml:space="preserve"> (</w:t>
            </w:r>
            <w:r w:rsidR="000A5240" w:rsidRPr="4149BF96">
              <w:rPr>
                <w:i/>
                <w:iCs/>
              </w:rPr>
              <w:t>POLE</w:t>
            </w:r>
            <w:r w:rsidR="000A5240">
              <w:t>mut)</w:t>
            </w:r>
            <w:r w:rsidR="00DB2AF2">
              <w:t xml:space="preserve">. </w:t>
            </w:r>
            <w:r w:rsidR="00E44667">
              <w:t xml:space="preserve">These people </w:t>
            </w:r>
            <w:r w:rsidR="00C57A14">
              <w:t xml:space="preserve">will </w:t>
            </w:r>
            <w:r w:rsidR="003463BB">
              <w:t xml:space="preserve">most likely </w:t>
            </w:r>
            <w:r w:rsidR="00C93334">
              <w:t xml:space="preserve">have </w:t>
            </w:r>
            <w:r w:rsidR="1CD85766">
              <w:t>a good outcome</w:t>
            </w:r>
            <w:r w:rsidR="000A5240">
              <w:t xml:space="preserve">. Because of this, </w:t>
            </w:r>
            <w:r w:rsidR="0AE6F302">
              <w:t xml:space="preserve">some </w:t>
            </w:r>
            <w:r w:rsidR="009F4F3E">
              <w:t xml:space="preserve">people </w:t>
            </w:r>
            <w:r w:rsidR="000A5240">
              <w:t xml:space="preserve">with </w:t>
            </w:r>
            <w:r w:rsidR="000A5240" w:rsidRPr="4149BF96">
              <w:rPr>
                <w:i/>
                <w:iCs/>
              </w:rPr>
              <w:t>POLE</w:t>
            </w:r>
            <w:r w:rsidR="000A5240">
              <w:t xml:space="preserve">mut </w:t>
            </w:r>
            <w:r w:rsidR="6EFE18AD">
              <w:t>may be able to</w:t>
            </w:r>
            <w:r w:rsidR="000A5240">
              <w:t xml:space="preserve"> safely avoid</w:t>
            </w:r>
            <w:r w:rsidR="005414B6">
              <w:t xml:space="preserve"> or have lower doses of</w:t>
            </w:r>
            <w:r w:rsidR="000A5240">
              <w:t xml:space="preserve"> treatments</w:t>
            </w:r>
            <w:r w:rsidR="005A164B">
              <w:t xml:space="preserve"> after surgery</w:t>
            </w:r>
            <w:r w:rsidR="000A5240">
              <w:t>, such as chemotherapy and radiotherapy. This is called therapy de-escalation</w:t>
            </w:r>
            <w:r w:rsidR="2F39B2CD">
              <w:t xml:space="preserve"> that</w:t>
            </w:r>
            <w:r w:rsidR="00CB4C8F">
              <w:t xml:space="preserve"> </w:t>
            </w:r>
            <w:r w:rsidR="000A5240">
              <w:t>avoid</w:t>
            </w:r>
            <w:r w:rsidR="7EB834A8">
              <w:t>s</w:t>
            </w:r>
            <w:r w:rsidR="000A5240">
              <w:t xml:space="preserve"> unnecessary treatments and the side effects they </w:t>
            </w:r>
            <w:r w:rsidR="00800CDC">
              <w:t>can</w:t>
            </w:r>
            <w:r w:rsidR="00387246">
              <w:t xml:space="preserve"> </w:t>
            </w:r>
            <w:r w:rsidR="000A5240">
              <w:t>cause.</w:t>
            </w:r>
          </w:p>
          <w:p w14:paraId="02F71F1B" w14:textId="45028A30" w:rsidR="000A5240" w:rsidRPr="00B83249" w:rsidRDefault="000A5240" w:rsidP="000A5240">
            <w:pPr>
              <w:keepNext/>
              <w:keepLines/>
              <w:tabs>
                <w:tab w:val="left" w:pos="851"/>
              </w:tabs>
              <w:spacing w:before="240"/>
              <w:outlineLvl w:val="2"/>
            </w:pPr>
            <w:r>
              <w:t xml:space="preserve">MSAC </w:t>
            </w:r>
            <w:r w:rsidR="00387246">
              <w:t xml:space="preserve">considered </w:t>
            </w:r>
            <w:r>
              <w:t xml:space="preserve">the test to be safe because </w:t>
            </w:r>
            <w:r w:rsidR="00387246" w:rsidRPr="076BAA4A">
              <w:rPr>
                <w:i/>
                <w:iCs/>
              </w:rPr>
              <w:t>POLE</w:t>
            </w:r>
            <w:r w:rsidR="00387246">
              <w:t xml:space="preserve"> </w:t>
            </w:r>
            <w:r>
              <w:t xml:space="preserve">genotyping is performed on a piece of tissue already taken </w:t>
            </w:r>
            <w:r w:rsidR="0025165D">
              <w:t xml:space="preserve">for </w:t>
            </w:r>
            <w:r>
              <w:t xml:space="preserve">a biopsy </w:t>
            </w:r>
            <w:r w:rsidR="00BB51A1">
              <w:t xml:space="preserve">at diagnosis </w:t>
            </w:r>
            <w:r>
              <w:t xml:space="preserve">or </w:t>
            </w:r>
            <w:r w:rsidR="0025165D">
              <w:t xml:space="preserve">during </w:t>
            </w:r>
            <w:r>
              <w:t xml:space="preserve">surgery– </w:t>
            </w:r>
            <w:r w:rsidR="00497E41">
              <w:t xml:space="preserve">so </w:t>
            </w:r>
            <w:r>
              <w:t xml:space="preserve">there is no need for </w:t>
            </w:r>
            <w:r w:rsidR="007F3F56">
              <w:t>more tissue to be taken for the test</w:t>
            </w:r>
            <w:r>
              <w:t>. Although MSAC was unsure of the exact number of people who would be able to safely de-escalate treatment, the evidence showed some people would be able to.</w:t>
            </w:r>
          </w:p>
          <w:p w14:paraId="60C346B9" w14:textId="05D5A3B2" w:rsidR="003A5E10" w:rsidRPr="003A5E10" w:rsidRDefault="000A5240" w:rsidP="003A5E10">
            <w:pPr>
              <w:keepNext/>
              <w:keepLines/>
              <w:tabs>
                <w:tab w:val="left" w:pos="851"/>
              </w:tabs>
              <w:spacing w:before="240"/>
              <w:outlineLvl w:val="2"/>
            </w:pPr>
            <w:r>
              <w:t xml:space="preserve">MSAC noted that </w:t>
            </w:r>
            <w:r w:rsidRPr="4149BF96">
              <w:rPr>
                <w:i/>
                <w:iCs/>
              </w:rPr>
              <w:t>POLE</w:t>
            </w:r>
            <w:r>
              <w:t xml:space="preserve"> testing is </w:t>
            </w:r>
            <w:r w:rsidR="005517D3">
              <w:t xml:space="preserve">already part of </w:t>
            </w:r>
            <w:r>
              <w:t xml:space="preserve">standard care in Australia and </w:t>
            </w:r>
            <w:r w:rsidR="005517D3">
              <w:t xml:space="preserve">is </w:t>
            </w:r>
            <w:r>
              <w:t xml:space="preserve">recommended internationally, including </w:t>
            </w:r>
            <w:r w:rsidR="00BE2EC7">
              <w:t xml:space="preserve">by </w:t>
            </w:r>
            <w:r>
              <w:t xml:space="preserve">the World Health Organization and the European Society of Gynaecological Oncology. </w:t>
            </w:r>
            <w:r w:rsidR="009D6468">
              <w:t>At the moment s</w:t>
            </w:r>
            <w:r>
              <w:t xml:space="preserve">ome </w:t>
            </w:r>
            <w:r w:rsidR="00F44AD1">
              <w:t xml:space="preserve">people </w:t>
            </w:r>
            <w:r w:rsidR="753D12D1">
              <w:t xml:space="preserve">fund </w:t>
            </w:r>
            <w:r>
              <w:t xml:space="preserve">the test </w:t>
            </w:r>
            <w:r w:rsidR="062F3F6E">
              <w:t>privately (out of pocket)</w:t>
            </w:r>
            <w:r w:rsidR="00B97A5A">
              <w:t xml:space="preserve">. Adding </w:t>
            </w:r>
            <w:r>
              <w:t xml:space="preserve">it </w:t>
            </w:r>
            <w:r w:rsidR="00B97A5A">
              <w:t xml:space="preserve">to </w:t>
            </w:r>
            <w:r>
              <w:t xml:space="preserve">the MBS would make </w:t>
            </w:r>
            <w:r w:rsidR="00715760">
              <w:t xml:space="preserve">the test available </w:t>
            </w:r>
            <w:r>
              <w:t xml:space="preserve">for everyone. Although </w:t>
            </w:r>
            <w:r w:rsidRPr="4149BF96">
              <w:rPr>
                <w:i/>
                <w:iCs/>
              </w:rPr>
              <w:t>POLE</w:t>
            </w:r>
            <w:r>
              <w:t xml:space="preserve">mut is most often found in people with early-stage endometrial cancer, MSAC considered it appropriate </w:t>
            </w:r>
            <w:r w:rsidR="00FF476F">
              <w:t>for</w:t>
            </w:r>
            <w:r>
              <w:t xml:space="preserve"> everyone diagnosed with endometrial cancer, including people with late-</w:t>
            </w:r>
            <w:r w:rsidR="001B583D">
              <w:t xml:space="preserve">stage </w:t>
            </w:r>
            <w:r w:rsidR="00A317AF">
              <w:t>disease</w:t>
            </w:r>
            <w:r>
              <w:t xml:space="preserve">, to </w:t>
            </w:r>
            <w:r w:rsidR="00A317AF">
              <w:t xml:space="preserve">have </w:t>
            </w:r>
            <w:r>
              <w:t xml:space="preserve">access </w:t>
            </w:r>
            <w:r w:rsidR="00A317AF">
              <w:t xml:space="preserve">to </w:t>
            </w:r>
            <w:r>
              <w:t>the test</w:t>
            </w:r>
            <w:r w:rsidR="00A317AF">
              <w:t>.</w:t>
            </w:r>
            <w:r>
              <w:t xml:space="preserve"> </w:t>
            </w:r>
            <w:r w:rsidR="003A5E10">
              <w:t xml:space="preserve">This helps ensure fair access for all and means people with </w:t>
            </w:r>
            <w:r w:rsidR="00057688">
              <w:t>end</w:t>
            </w:r>
            <w:r w:rsidR="00C55808">
              <w:t xml:space="preserve">ometrial </w:t>
            </w:r>
            <w:r w:rsidR="003A5E10">
              <w:t>cancer are fully tested after diagnosis.</w:t>
            </w:r>
          </w:p>
          <w:p w14:paraId="50AB7C23" w14:textId="0D7C2975" w:rsidR="000A5240" w:rsidRPr="00B83249" w:rsidRDefault="000A5240" w:rsidP="000A5240">
            <w:pPr>
              <w:keepNext/>
              <w:keepLines/>
              <w:tabs>
                <w:tab w:val="left" w:pos="851"/>
              </w:tabs>
              <w:spacing w:before="240"/>
              <w:outlineLvl w:val="2"/>
            </w:pPr>
            <w:r>
              <w:t xml:space="preserve">MSAC also considered the test to be good value for money, and noted it would have only modest impact on the MBS budget. There would also be some cost savings for the MBS </w:t>
            </w:r>
            <w:r>
              <w:lastRenderedPageBreak/>
              <w:t>because of fewer radiotherapy services and specialist consultations, and cost savings for the Pharmaceutical Benefits Scheme (PBS) because of avoided chemotherapy treatments.</w:t>
            </w:r>
          </w:p>
          <w:p w14:paraId="5DC62933" w14:textId="77777777" w:rsidR="000A5240" w:rsidRPr="00B83249" w:rsidRDefault="000A5240" w:rsidP="000A5240">
            <w:pPr>
              <w:keepNext/>
              <w:keepLines/>
              <w:tabs>
                <w:tab w:val="left" w:pos="851"/>
              </w:tabs>
              <w:spacing w:before="240"/>
              <w:outlineLvl w:val="2"/>
              <w:rPr>
                <w:b/>
                <w:bCs/>
              </w:rPr>
            </w:pPr>
            <w:r w:rsidRPr="00B83249">
              <w:rPr>
                <w:b/>
                <w:bCs/>
              </w:rPr>
              <w:t>MSAC’s advice to the Commonwealth Minister for Health, Disability and Ageing</w:t>
            </w:r>
          </w:p>
          <w:p w14:paraId="0063BB97" w14:textId="2622265B" w:rsidR="000A5240" w:rsidRPr="005B6EFD" w:rsidRDefault="000A5240" w:rsidP="000A5240">
            <w:pPr>
              <w:keepNext/>
              <w:keepLines/>
              <w:tabs>
                <w:tab w:val="left" w:pos="851"/>
              </w:tabs>
              <w:spacing w:before="240"/>
              <w:outlineLvl w:val="2"/>
            </w:pPr>
            <w:r w:rsidRPr="00B83249">
              <w:t xml:space="preserve">MSAC supported listing </w:t>
            </w:r>
            <w:r w:rsidRPr="00B83249">
              <w:rPr>
                <w:i/>
                <w:iCs/>
              </w:rPr>
              <w:t>POLE</w:t>
            </w:r>
            <w:r w:rsidRPr="00B83249">
              <w:t xml:space="preserve"> testing on the MBS. MSAC recommended that all patients newly diagnosed with endometrial cancer have access to the test. The test is safe, effective, currently standard of care in Australia and good value for money. The listing will have a modest impact on health budgets, and will result in modest cost savings to both the MBS and PBS.</w:t>
            </w:r>
          </w:p>
        </w:tc>
      </w:tr>
    </w:tbl>
    <w:p w14:paraId="5F63DC92" w14:textId="77F24FD0" w:rsidR="002361D0" w:rsidRPr="005B6EFD" w:rsidRDefault="002361D0" w:rsidP="00DE034C">
      <w:pPr>
        <w:pStyle w:val="Heading2"/>
        <w:numPr>
          <w:ilvl w:val="0"/>
          <w:numId w:val="18"/>
        </w:numPr>
        <w:ind w:hanging="720"/>
      </w:pPr>
      <w:r w:rsidRPr="005B6EFD">
        <w:lastRenderedPageBreak/>
        <w:t>Summary of consideration and rationale for MSAC’s advice</w:t>
      </w:r>
    </w:p>
    <w:p w14:paraId="25D59EC4" w14:textId="7FE11F12" w:rsidR="00F30272" w:rsidRDefault="00F30272" w:rsidP="00F30272">
      <w:r>
        <w:t xml:space="preserve">MSAC noted that this application </w:t>
      </w:r>
      <w:r w:rsidR="0068713F">
        <w:t>from t</w:t>
      </w:r>
      <w:r w:rsidR="0068713F" w:rsidRPr="0068713F">
        <w:t>he Royal College of Pathologists of Australasia</w:t>
      </w:r>
      <w:r w:rsidR="0068713F">
        <w:t xml:space="preserve"> (RCPA)</w:t>
      </w:r>
      <w:r w:rsidR="0068713F" w:rsidRPr="0068713F">
        <w:t xml:space="preserve"> </w:t>
      </w:r>
      <w:r>
        <w:t>request</w:t>
      </w:r>
      <w:r w:rsidR="00FE2564">
        <w:t>ed</w:t>
      </w:r>
      <w:r>
        <w:t xml:space="preserve"> </w:t>
      </w:r>
      <w:r w:rsidRPr="00031DD3">
        <w:t>Medicare Benefits Schedule (MBS) listing of DNA polymerase epsilon, catalytic subunit (</w:t>
      </w:r>
      <w:r w:rsidRPr="00031DD3">
        <w:rPr>
          <w:i/>
          <w:iCs/>
        </w:rPr>
        <w:t>POLE</w:t>
      </w:r>
      <w:r w:rsidRPr="00031DD3">
        <w:t>) genotyping for the molecular classification of endometrial cancer (EC)</w:t>
      </w:r>
      <w:r>
        <w:t xml:space="preserve">. This was the first time MSAC considered </w:t>
      </w:r>
      <w:r w:rsidR="00485CB4" w:rsidRPr="009F2BE4">
        <w:rPr>
          <w:i/>
          <w:iCs/>
        </w:rPr>
        <w:t>POLE</w:t>
      </w:r>
      <w:r w:rsidR="00485CB4">
        <w:t xml:space="preserve"> testing for the molecular classification of EC</w:t>
      </w:r>
      <w:r>
        <w:t>.</w:t>
      </w:r>
    </w:p>
    <w:p w14:paraId="1C05BC83" w14:textId="2641FF0E" w:rsidR="000B5E51" w:rsidRDefault="005F0E3B" w:rsidP="000B5E51">
      <w:r w:rsidRPr="005F0E3B">
        <w:t xml:space="preserve">MSAC noted that the public consultation input was supportive of the application. </w:t>
      </w:r>
    </w:p>
    <w:p w14:paraId="231DA723" w14:textId="3108FE76" w:rsidR="000B5E51" w:rsidRDefault="000B5E51" w:rsidP="000B5E51">
      <w:r>
        <w:t>The applicant was granted a hearing</w:t>
      </w:r>
      <w:r w:rsidR="00F51427">
        <w:t xml:space="preserve"> </w:t>
      </w:r>
      <w:r w:rsidR="00F51427" w:rsidRPr="00F51427">
        <w:t xml:space="preserve">at the </w:t>
      </w:r>
      <w:r w:rsidR="00F51427">
        <w:t>April 2026</w:t>
      </w:r>
      <w:r w:rsidR="00F51427" w:rsidRPr="00F51427">
        <w:t xml:space="preserve"> MSAC meeting to support its proposal</w:t>
      </w:r>
      <w:r>
        <w:t>.</w:t>
      </w:r>
    </w:p>
    <w:p w14:paraId="0F388F89" w14:textId="6F4F350F" w:rsidR="00F30272" w:rsidRDefault="009621CF" w:rsidP="00F30272">
      <w:r>
        <w:t xml:space="preserve">MSAC noted </w:t>
      </w:r>
      <w:r w:rsidRPr="009621CF">
        <w:t>EC is increasingly common with an estimated 3,153 Australian cases diagnosed in 2025</w:t>
      </w:r>
      <w:r w:rsidR="001D3F21">
        <w:rPr>
          <w:rStyle w:val="FootnoteReference"/>
        </w:rPr>
        <w:footnoteReference w:id="2"/>
      </w:r>
      <w:r w:rsidRPr="009621CF">
        <w:t xml:space="preserve">. EC has a favourable prognosis with a 5-year survival rate of 84.4%. Accurately </w:t>
      </w:r>
      <w:r>
        <w:t xml:space="preserve">identifying which patients require additional treatment after surgical excision is difficult. </w:t>
      </w:r>
      <w:r w:rsidR="00F30272">
        <w:t xml:space="preserve">MSAC noted that there are </w:t>
      </w:r>
      <w:r w:rsidR="004273D6">
        <w:t>different sub</w:t>
      </w:r>
      <w:r>
        <w:t xml:space="preserve">types of EC and </w:t>
      </w:r>
      <w:r w:rsidR="004273D6">
        <w:t xml:space="preserve">several </w:t>
      </w:r>
      <w:r w:rsidR="00F30272">
        <w:t xml:space="preserve">approaches for molecularly classifying EC, including </w:t>
      </w:r>
      <w:r w:rsidR="0044674E">
        <w:t xml:space="preserve">testing </w:t>
      </w:r>
      <w:r w:rsidR="00F30272" w:rsidRPr="4149BF96">
        <w:rPr>
          <w:i/>
          <w:iCs/>
        </w:rPr>
        <w:t>POLE</w:t>
      </w:r>
      <w:r w:rsidR="00E90BD5" w:rsidRPr="4149BF96">
        <w:rPr>
          <w:i/>
          <w:iCs/>
        </w:rPr>
        <w:t xml:space="preserve"> </w:t>
      </w:r>
      <w:r w:rsidR="00E90BD5" w:rsidRPr="009F2BE4">
        <w:t>gene</w:t>
      </w:r>
      <w:r w:rsidR="00F30272">
        <w:t>, mismatch repair</w:t>
      </w:r>
      <w:r w:rsidR="00F30272" w:rsidRPr="00DD0497">
        <w:t xml:space="preserve"> </w:t>
      </w:r>
      <w:r w:rsidR="00F30272">
        <w:t xml:space="preserve">(MMR) genes, p53 and estrogen receptor (ER). </w:t>
      </w:r>
      <w:r w:rsidR="00FD4979">
        <w:t>MSAC noted a</w:t>
      </w:r>
      <w:r w:rsidR="00FD4979" w:rsidRPr="00FD4979">
        <w:t>pproximately 7</w:t>
      </w:r>
      <w:r w:rsidR="00FD4979">
        <w:t>–10% of the EC population harbours</w:t>
      </w:r>
      <w:r w:rsidR="0154755F">
        <w:t xml:space="preserve"> </w:t>
      </w:r>
      <w:r w:rsidR="00FD4979" w:rsidRPr="4149BF96">
        <w:rPr>
          <w:i/>
          <w:iCs/>
        </w:rPr>
        <w:t>POLE</w:t>
      </w:r>
      <w:r w:rsidR="00FD4979" w:rsidRPr="00FD4979">
        <w:t xml:space="preserve"> </w:t>
      </w:r>
      <w:r w:rsidDel="008005FE">
        <w:t>variants</w:t>
      </w:r>
      <w:r w:rsidR="00FD4979">
        <w:t xml:space="preserve">. </w:t>
      </w:r>
      <w:r w:rsidR="00F30272">
        <w:t xml:space="preserve">Patients found to have a </w:t>
      </w:r>
      <w:r w:rsidR="00F30272" w:rsidRPr="4149BF96">
        <w:rPr>
          <w:i/>
          <w:iCs/>
        </w:rPr>
        <w:t>POLE</w:t>
      </w:r>
      <w:r w:rsidR="00F30272">
        <w:t xml:space="preserve"> ultramutation (</w:t>
      </w:r>
      <w:r w:rsidR="00F30272" w:rsidRPr="4149BF96">
        <w:rPr>
          <w:i/>
          <w:iCs/>
        </w:rPr>
        <w:t>POLE</w:t>
      </w:r>
      <w:r w:rsidR="00F30272">
        <w:t xml:space="preserve">mut) have an excellent prognosis. As a result, these patients may </w:t>
      </w:r>
      <w:r w:rsidR="00DA7360">
        <w:t xml:space="preserve">safely </w:t>
      </w:r>
      <w:r w:rsidR="00F30272">
        <w:t>reduce the intensity of, or avoid entirely, adjuvant therapy.</w:t>
      </w:r>
      <w:r w:rsidR="00C45B2C">
        <w:t xml:space="preserve"> </w:t>
      </w:r>
    </w:p>
    <w:p w14:paraId="4DE514D8" w14:textId="3B47AE96" w:rsidR="00F30272" w:rsidRDefault="00F30272" w:rsidP="00F30272">
      <w:r>
        <w:t xml:space="preserve">MSAC noted the proposed population for testing, as well as </w:t>
      </w:r>
      <w:r w:rsidR="00CA03B5">
        <w:t>lack of</w:t>
      </w:r>
      <w:r w:rsidR="00CA03B5" w:rsidRPr="00CA03B5">
        <w:t xml:space="preserve"> consensus across </w:t>
      </w:r>
      <w:r w:rsidR="000C65C0">
        <w:t>intern</w:t>
      </w:r>
      <w:r w:rsidR="00B33253">
        <w:t xml:space="preserve">ational </w:t>
      </w:r>
      <w:r w:rsidR="00CA03B5" w:rsidRPr="00CA03B5">
        <w:t>guidelines or Australian clinical practice on the recommended test population</w:t>
      </w:r>
      <w:r w:rsidR="00CA03B5">
        <w:t xml:space="preserve">. </w:t>
      </w:r>
      <w:r>
        <w:t xml:space="preserve">MSAC agreed with ESC that </w:t>
      </w:r>
      <w:r w:rsidRPr="007734F8">
        <w:rPr>
          <w:i/>
          <w:iCs/>
        </w:rPr>
        <w:t>POLE</w:t>
      </w:r>
      <w:r>
        <w:t xml:space="preserve"> testing should be available to all </w:t>
      </w:r>
      <w:r w:rsidR="00CA03B5">
        <w:t xml:space="preserve">patients </w:t>
      </w:r>
      <w:r>
        <w:t>newly diagnosed with EC</w:t>
      </w:r>
      <w:r w:rsidR="007F3F56">
        <w:t>, regardless of cancer stage</w:t>
      </w:r>
      <w:r>
        <w:t xml:space="preserve">. MSAC emphasised the importance of equity and </w:t>
      </w:r>
      <w:r w:rsidRPr="00505E46">
        <w:t>supporting access to</w:t>
      </w:r>
      <w:r>
        <w:t xml:space="preserve"> molecular characterisation</w:t>
      </w:r>
      <w:r w:rsidRPr="00505E46">
        <w:t xml:space="preserve"> </w:t>
      </w:r>
      <w:r>
        <w:t>for all patien</w:t>
      </w:r>
      <w:r w:rsidRPr="00505E46">
        <w:t>ts</w:t>
      </w:r>
      <w:r>
        <w:t>,</w:t>
      </w:r>
      <w:r w:rsidRPr="00505E46">
        <w:t xml:space="preserve"> regardless of </w:t>
      </w:r>
      <w:r>
        <w:t xml:space="preserve">EC </w:t>
      </w:r>
      <w:r w:rsidRPr="00505E46">
        <w:t xml:space="preserve">stage and </w:t>
      </w:r>
      <w:r w:rsidR="1D2F8128">
        <w:t>or</w:t>
      </w:r>
      <w:r w:rsidRPr="00505E46">
        <w:t xml:space="preserve"> setting.</w:t>
      </w:r>
      <w:r>
        <w:t xml:space="preserve"> </w:t>
      </w:r>
      <w:r w:rsidR="00EB23DF">
        <w:t>MSAC considered a</w:t>
      </w:r>
      <w:r>
        <w:t xml:space="preserve">n MBS item that allows for all patients to be tested </w:t>
      </w:r>
      <w:r w:rsidR="00EB23DF">
        <w:t xml:space="preserve">would </w:t>
      </w:r>
      <w:r>
        <w:t xml:space="preserve">help to futureproof the item. </w:t>
      </w:r>
    </w:p>
    <w:p w14:paraId="685D6E4B" w14:textId="45DEE6D2" w:rsidR="00F30272" w:rsidRDefault="00363E3E" w:rsidP="00F30272">
      <w:r>
        <w:t xml:space="preserve">MSAC noted </w:t>
      </w:r>
      <w:r w:rsidRPr="009F2BE4">
        <w:rPr>
          <w:i/>
          <w:iCs/>
        </w:rPr>
        <w:t>POLE</w:t>
      </w:r>
      <w:r>
        <w:t xml:space="preserve"> genotyping</w:t>
      </w:r>
      <w:r w:rsidRPr="00363E3E">
        <w:t xml:space="preserve"> would be used in addition to current histopathological investigations and conducted alongside tests used in current practice</w:t>
      </w:r>
      <w:r w:rsidR="00302B5D">
        <w:t xml:space="preserve">. </w:t>
      </w:r>
      <w:r w:rsidR="00F30272">
        <w:t xml:space="preserve">MSAC noted that </w:t>
      </w:r>
      <w:r w:rsidR="00F30272" w:rsidRPr="00520F87">
        <w:rPr>
          <w:i/>
          <w:iCs/>
        </w:rPr>
        <w:t>POLE</w:t>
      </w:r>
      <w:r w:rsidR="00F30272">
        <w:t xml:space="preserve"> testing aligns with the </w:t>
      </w:r>
      <w:r w:rsidR="00F30272" w:rsidRPr="00503281">
        <w:t xml:space="preserve">current edition of </w:t>
      </w:r>
      <w:r w:rsidR="00F30272">
        <w:t xml:space="preserve">the </w:t>
      </w:r>
      <w:r w:rsidR="006A4E74" w:rsidRPr="00B83249">
        <w:t xml:space="preserve">World Health Organization </w:t>
      </w:r>
      <w:r w:rsidR="006A4E74">
        <w:t>(</w:t>
      </w:r>
      <w:r w:rsidR="00F30272" w:rsidRPr="00503281">
        <w:t>WHO</w:t>
      </w:r>
      <w:r w:rsidR="006A4E74">
        <w:t>)</w:t>
      </w:r>
      <w:r w:rsidR="00F30272" w:rsidRPr="00503281">
        <w:t xml:space="preserve"> Classification of Tumours</w:t>
      </w:r>
      <w:r w:rsidR="00F30272">
        <w:t xml:space="preserve">, which </w:t>
      </w:r>
      <w:r w:rsidR="00F30272" w:rsidRPr="00503281">
        <w:t xml:space="preserve">recommends staging criteria </w:t>
      </w:r>
      <w:r w:rsidR="00F30272">
        <w:t xml:space="preserve">and </w:t>
      </w:r>
      <w:r w:rsidR="00F30272" w:rsidRPr="00503281">
        <w:t>integration of molecular classification (incl</w:t>
      </w:r>
      <w:r w:rsidR="00F30272">
        <w:t>uding</w:t>
      </w:r>
      <w:r w:rsidR="00F30272" w:rsidRPr="00503281">
        <w:t xml:space="preserve"> </w:t>
      </w:r>
      <w:r w:rsidR="00F30272" w:rsidRPr="00503281">
        <w:rPr>
          <w:i/>
          <w:iCs/>
        </w:rPr>
        <w:t>POLE</w:t>
      </w:r>
      <w:r w:rsidR="00F30272" w:rsidRPr="00503281">
        <w:t xml:space="preserve"> genotyping)</w:t>
      </w:r>
      <w:r w:rsidR="00F30272">
        <w:t xml:space="preserve">. </w:t>
      </w:r>
      <w:r w:rsidR="007D0BE3" w:rsidRPr="007D0BE3">
        <w:t>MSAC noted the</w:t>
      </w:r>
      <w:r w:rsidR="007D0BE3">
        <w:t xml:space="preserve"> applicant’s</w:t>
      </w:r>
      <w:r w:rsidR="007D0BE3" w:rsidRPr="007D0BE3">
        <w:t xml:space="preserve"> pre</w:t>
      </w:r>
      <w:r w:rsidR="007D0BE3" w:rsidRPr="007D0BE3">
        <w:rPr>
          <w:rFonts w:ascii="Cambria Math" w:hAnsi="Cambria Math" w:cs="Cambria Math"/>
        </w:rPr>
        <w:t>‑</w:t>
      </w:r>
      <w:r w:rsidR="007D0BE3" w:rsidRPr="007D0BE3">
        <w:t>MSAC response, which stated that</w:t>
      </w:r>
      <w:r w:rsidR="00D41865">
        <w:t xml:space="preserve"> there is precedent for</w:t>
      </w:r>
      <w:r w:rsidR="007D0BE3" w:rsidRPr="007D0BE3">
        <w:t xml:space="preserve"> MSAC </w:t>
      </w:r>
      <w:r w:rsidR="00D41865">
        <w:t>supporting</w:t>
      </w:r>
      <w:r w:rsidR="007D0BE3" w:rsidRPr="007D0BE3">
        <w:t xml:space="preserve"> applications informed by recommendations from the </w:t>
      </w:r>
      <w:r w:rsidR="00FB5900">
        <w:t>WHO</w:t>
      </w:r>
      <w:r w:rsidR="007D0BE3" w:rsidRPr="007D0BE3">
        <w:t xml:space="preserve"> Classification of Tumours</w:t>
      </w:r>
      <w:r w:rsidR="00F30272">
        <w:t xml:space="preserve">. MSAC also noted that recent changes to the </w:t>
      </w:r>
      <w:r w:rsidR="00A85F9A" w:rsidRPr="009F2BE4">
        <w:t>ESGO-ESTRO-ESP 2025 guidelines</w:t>
      </w:r>
      <w:r w:rsidR="00A85F9A">
        <w:rPr>
          <w:rStyle w:val="FootnoteReference"/>
        </w:rPr>
        <w:footnoteReference w:id="3"/>
      </w:r>
      <w:r w:rsidR="00F30272" w:rsidRPr="00C17034">
        <w:t xml:space="preserve"> incorporate molecular </w:t>
      </w:r>
      <w:r w:rsidR="00F30272">
        <w:t xml:space="preserve">EC </w:t>
      </w:r>
      <w:r w:rsidR="00F30272" w:rsidRPr="00C17034">
        <w:t xml:space="preserve">classification into adjuvant treatment </w:t>
      </w:r>
      <w:r w:rsidR="00F30272" w:rsidRPr="00C17034">
        <w:lastRenderedPageBreak/>
        <w:t>recommendations</w:t>
      </w:r>
      <w:r w:rsidR="00F30272">
        <w:t xml:space="preserve">. MSAC </w:t>
      </w:r>
      <w:r w:rsidR="00EE21C1">
        <w:t>acknowledged</w:t>
      </w:r>
      <w:r w:rsidR="00F30272">
        <w:t xml:space="preserve"> that </w:t>
      </w:r>
      <w:r w:rsidR="00F30272" w:rsidRPr="00502C0B">
        <w:rPr>
          <w:i/>
          <w:iCs/>
        </w:rPr>
        <w:t>POLE</w:t>
      </w:r>
      <w:r w:rsidR="00F30272">
        <w:t xml:space="preserve"> testing is standard of care </w:t>
      </w:r>
      <w:r w:rsidR="00EE21C1">
        <w:t xml:space="preserve">in Australia </w:t>
      </w:r>
      <w:r w:rsidR="00F30272">
        <w:t xml:space="preserve">and noted that some patients are currently paying for the test </w:t>
      </w:r>
      <w:r w:rsidR="00B33253">
        <w:t>privately (</w:t>
      </w:r>
      <w:r w:rsidR="00F30272">
        <w:t>out of pocket</w:t>
      </w:r>
      <w:r w:rsidR="00B33253">
        <w:t>)</w:t>
      </w:r>
      <w:r w:rsidR="00F30272">
        <w:t>.</w:t>
      </w:r>
      <w:r w:rsidR="00BA635E">
        <w:t xml:space="preserve"> </w:t>
      </w:r>
    </w:p>
    <w:p w14:paraId="0883205A" w14:textId="40D14C10" w:rsidR="00F30272" w:rsidRDefault="00F30272" w:rsidP="00F30272">
      <w:r>
        <w:t xml:space="preserve">Although the application was for single-gene testing, MSAC acknowledged that many laboratories will use panel tests that </w:t>
      </w:r>
      <w:r w:rsidR="00501594">
        <w:t xml:space="preserve">include </w:t>
      </w:r>
      <w:r w:rsidRPr="00651ECF">
        <w:rPr>
          <w:i/>
          <w:iCs/>
        </w:rPr>
        <w:t>POLE</w:t>
      </w:r>
      <w:r>
        <w:t xml:space="preserve">, including </w:t>
      </w:r>
      <w:r w:rsidR="003220A2">
        <w:t>commercially available kits for testing in Australia</w:t>
      </w:r>
      <w:r>
        <w:t>. Therefore, MSAC considered it appropriate for the MBS item descriptor to be method agnostic.</w:t>
      </w:r>
    </w:p>
    <w:p w14:paraId="5C192CE2" w14:textId="5A06DBE5" w:rsidR="0029248E" w:rsidRDefault="0029248E" w:rsidP="00F30272">
      <w:r>
        <w:t xml:space="preserve">MSAC noted that the proposed fee in the application was </w:t>
      </w:r>
      <w:r w:rsidRPr="00D558D7">
        <w:t>$</w:t>
      </w:r>
      <w:r>
        <w:t>550, but that ESC recommended a lower fee of $</w:t>
      </w:r>
      <w:r w:rsidRPr="006A65A3">
        <w:t>397.35</w:t>
      </w:r>
      <w:r>
        <w:t xml:space="preserve">. MSAC also noted the fee advice of $400 </w:t>
      </w:r>
      <w:r w:rsidRPr="0042320C">
        <w:t>for the proposed single-gene method</w:t>
      </w:r>
      <w:r w:rsidR="005D5337">
        <w:t>-</w:t>
      </w:r>
      <w:r w:rsidRPr="0042320C">
        <w:t>agnostic test</w:t>
      </w:r>
      <w:r>
        <w:t xml:space="preserve"> received from Genomics Australia (GA). </w:t>
      </w:r>
      <w:r w:rsidRPr="00F747B7">
        <w:t>MSAC agreed with GA that a fee of $400 was appropriate</w:t>
      </w:r>
      <w:r w:rsidR="00B41F2A">
        <w:t xml:space="preserve"> and consistent with </w:t>
      </w:r>
      <w:r w:rsidR="00467174">
        <w:t>current</w:t>
      </w:r>
      <w:r w:rsidR="003751AD">
        <w:t xml:space="preserve"> MBS </w:t>
      </w:r>
      <w:r w:rsidR="00467174">
        <w:t>rebates</w:t>
      </w:r>
      <w:r w:rsidR="003751AD">
        <w:t xml:space="preserve"> for single ge</w:t>
      </w:r>
      <w:r w:rsidR="0008315D">
        <w:t>ne tests</w:t>
      </w:r>
      <w:r>
        <w:t>.</w:t>
      </w:r>
    </w:p>
    <w:p w14:paraId="297CCB3A" w14:textId="62BB08E3" w:rsidR="00F30272" w:rsidRDefault="00F30272" w:rsidP="00F30272">
      <w:r>
        <w:t xml:space="preserve">MSAC supported the test being pathologist determinable, to streamline the testing and ensure faster test turnaround times. MSAC supported the test </w:t>
      </w:r>
      <w:r w:rsidR="000B1D41">
        <w:t xml:space="preserve">to </w:t>
      </w:r>
      <w:r>
        <w:t>be requested from a specialist or consult</w:t>
      </w:r>
      <w:r w:rsidR="009C5936">
        <w:t>ant</w:t>
      </w:r>
      <w:r>
        <w:t xml:space="preserve"> physician. MSAC agreed with the department that retaining the need for a specialist or consult</w:t>
      </w:r>
      <w:r w:rsidR="0007265A">
        <w:t>ant</w:t>
      </w:r>
      <w:r>
        <w:t xml:space="preserve"> physician in the item descriptor is important to ensure that the test is requested by</w:t>
      </w:r>
      <w:r w:rsidRPr="009A59C4">
        <w:t xml:space="preserve"> clinicians with</w:t>
      </w:r>
      <w:r>
        <w:t xml:space="preserve"> </w:t>
      </w:r>
      <w:r w:rsidRPr="009A59C4">
        <w:t>appropriate expertise</w:t>
      </w:r>
      <w:r>
        <w:t xml:space="preserve">. </w:t>
      </w:r>
      <w:r w:rsidR="00DA4EB4">
        <w:rPr>
          <w:rFonts w:cs="Calibri"/>
        </w:rPr>
        <w:t xml:space="preserve">MSAC advised the department and the RCPA </w:t>
      </w:r>
      <w:r w:rsidR="00C44981">
        <w:rPr>
          <w:rFonts w:cs="Calibri"/>
        </w:rPr>
        <w:t>to</w:t>
      </w:r>
      <w:r w:rsidR="00DA4EB4">
        <w:rPr>
          <w:rFonts w:cs="Calibri"/>
        </w:rPr>
        <w:t xml:space="preserve"> advise pathologists that the test is </w:t>
      </w:r>
      <w:r w:rsidR="004D2592">
        <w:rPr>
          <w:rFonts w:cs="Calibri"/>
        </w:rPr>
        <w:t xml:space="preserve">also </w:t>
      </w:r>
      <w:r w:rsidR="00DA4EB4">
        <w:rPr>
          <w:rFonts w:cs="Calibri"/>
        </w:rPr>
        <w:t>pathologist determinable.</w:t>
      </w:r>
      <w:r w:rsidR="00F471C9">
        <w:rPr>
          <w:rFonts w:cs="Calibri"/>
        </w:rPr>
        <w:t xml:space="preserve"> </w:t>
      </w:r>
      <w:r w:rsidR="00F471C9" w:rsidRPr="00F471C9">
        <w:rPr>
          <w:rFonts w:cs="Calibri"/>
        </w:rPr>
        <w:t xml:space="preserve">MSAC noted that several laboratories in Australia are NATA-accredited to conduct </w:t>
      </w:r>
      <w:r w:rsidR="00F471C9" w:rsidRPr="009F2BE4">
        <w:rPr>
          <w:rFonts w:cs="Calibri"/>
          <w:i/>
          <w:iCs/>
        </w:rPr>
        <w:t>POLE</w:t>
      </w:r>
      <w:r w:rsidR="00F471C9" w:rsidRPr="00F471C9">
        <w:rPr>
          <w:rFonts w:cs="Calibri"/>
        </w:rPr>
        <w:t xml:space="preserve"> testing.</w:t>
      </w:r>
    </w:p>
    <w:p w14:paraId="338D4231" w14:textId="77777777" w:rsidR="00F30272" w:rsidRDefault="00F30272" w:rsidP="00F30272">
      <w:r>
        <w:t xml:space="preserve">MSAC considered the clinical management algorithm to be appropriate. </w:t>
      </w:r>
      <w:r w:rsidRPr="0033144E">
        <w:rPr>
          <w:i/>
          <w:iCs/>
        </w:rPr>
        <w:t>POLE</w:t>
      </w:r>
      <w:r>
        <w:t xml:space="preserve"> testing will be conducted after EC is confirmed and at the same time as MMR, p53 and ER testing.</w:t>
      </w:r>
    </w:p>
    <w:p w14:paraId="4D312EA3" w14:textId="385FDF40" w:rsidR="00F30272" w:rsidRDefault="00F30272" w:rsidP="00F30272">
      <w:r>
        <w:t xml:space="preserve">MSAC agreed with ESC that there were no safety concerns because the testing would be conducted on the original biopsy used for EC diagnosis. MSAC considered that, for people with </w:t>
      </w:r>
      <w:r w:rsidRPr="00AF677E">
        <w:rPr>
          <w:i/>
          <w:iCs/>
        </w:rPr>
        <w:t>POLE</w:t>
      </w:r>
      <w:r>
        <w:t xml:space="preserve">mut, treatment may be de-escalated and they may </w:t>
      </w:r>
      <w:r w:rsidR="00B221DD">
        <w:t>avoid</w:t>
      </w:r>
      <w:r>
        <w:t xml:space="preserve"> side effects from adjuvant therapy, which suggests superior safety for some patients.</w:t>
      </w:r>
    </w:p>
    <w:p w14:paraId="72D6FF13" w14:textId="52560A38" w:rsidR="00F30272" w:rsidRDefault="00F30272" w:rsidP="00F30272">
      <w:r>
        <w:t xml:space="preserve">MSAC noted the clinical evidence supporting </w:t>
      </w:r>
      <w:r w:rsidRPr="0033144E">
        <w:rPr>
          <w:i/>
          <w:iCs/>
        </w:rPr>
        <w:t>POLE</w:t>
      </w:r>
      <w:r>
        <w:t xml:space="preserve"> testing.</w:t>
      </w:r>
      <w:r w:rsidR="00B8110B">
        <w:t xml:space="preserve"> MSAC noted the </w:t>
      </w:r>
      <w:r w:rsidR="0075049E" w:rsidRPr="0075049E">
        <w:t xml:space="preserve">majority of participants in </w:t>
      </w:r>
      <w:r w:rsidR="0075049E">
        <w:t xml:space="preserve">the </w:t>
      </w:r>
      <w:r w:rsidR="000B42CB">
        <w:t>studies presented</w:t>
      </w:r>
      <w:r w:rsidR="0075049E" w:rsidRPr="0075049E">
        <w:t xml:space="preserve"> were stage I-II </w:t>
      </w:r>
      <w:r w:rsidR="0075049E" w:rsidRPr="00E55E34">
        <w:rPr>
          <w:i/>
          <w:iCs/>
        </w:rPr>
        <w:t>POLE</w:t>
      </w:r>
      <w:r w:rsidR="0075049E" w:rsidRPr="0075049E">
        <w:t>mut EC</w:t>
      </w:r>
      <w:r w:rsidR="00594155">
        <w:t>.</w:t>
      </w:r>
      <w:r>
        <w:t xml:space="preserve"> </w:t>
      </w:r>
      <w:r w:rsidR="00EA243B">
        <w:t xml:space="preserve">The evidence </w:t>
      </w:r>
      <w:r>
        <w:t xml:space="preserve">demonstrated that people with </w:t>
      </w:r>
      <w:r w:rsidRPr="00D47B47">
        <w:rPr>
          <w:i/>
          <w:iCs/>
        </w:rPr>
        <w:t>POLE</w:t>
      </w:r>
      <w:r>
        <w:t xml:space="preserve">mut had a better prognosis than people with wildtype </w:t>
      </w:r>
      <w:r w:rsidRPr="008C2FD3">
        <w:rPr>
          <w:i/>
          <w:iCs/>
        </w:rPr>
        <w:t>POLE</w:t>
      </w:r>
      <w:r>
        <w:t xml:space="preserve">, which supported treatment de-escalation for </w:t>
      </w:r>
      <w:r w:rsidRPr="008C2FD3">
        <w:rPr>
          <w:i/>
          <w:iCs/>
        </w:rPr>
        <w:t>POLE</w:t>
      </w:r>
      <w:r>
        <w:t xml:space="preserve">mut. However, as also noted in the consultation feedback, more evidence on this is emerging (in particular, from the </w:t>
      </w:r>
      <w:r w:rsidR="001374B4" w:rsidRPr="009F2BE4">
        <w:t>EN10 clinical trial</w:t>
      </w:r>
      <w:r w:rsidR="001374B4">
        <w:rPr>
          <w:rStyle w:val="FootnoteReference"/>
        </w:rPr>
        <w:footnoteReference w:id="4"/>
      </w:r>
      <w:r>
        <w:t>, as described in the pre-MSAC response) and the evidence base is expected to strengthen in the future.</w:t>
      </w:r>
      <w:r w:rsidRPr="00EF7EC5">
        <w:t xml:space="preserve"> </w:t>
      </w:r>
      <w:r>
        <w:t>MSAC acknowledged that, currently, e</w:t>
      </w:r>
      <w:r w:rsidRPr="00E013AB">
        <w:t xml:space="preserve">vidence of predictive utility in stage III/IV </w:t>
      </w:r>
      <w:r>
        <w:t>EC is limited.</w:t>
      </w:r>
    </w:p>
    <w:p w14:paraId="3D047044" w14:textId="53387740" w:rsidR="00F30272" w:rsidRDefault="00F30272" w:rsidP="00F30272">
      <w:r>
        <w:t xml:space="preserve">MSAC noted that the economic evaluation in the </w:t>
      </w:r>
      <w:r w:rsidR="001374B4">
        <w:t xml:space="preserve">department </w:t>
      </w:r>
      <w:r>
        <w:t>contract</w:t>
      </w:r>
      <w:r w:rsidR="00214119">
        <w:t>ed</w:t>
      </w:r>
      <w:r>
        <w:t xml:space="preserve"> assessment report (DCAR) was sensitive to an immunotherapy de-escalation rate. MSAC considered that the de-escalation rate of 46% </w:t>
      </w:r>
      <w:r w:rsidR="006C3F03">
        <w:t xml:space="preserve">observed </w:t>
      </w:r>
      <w:r w:rsidR="009C63A1">
        <w:t xml:space="preserve">in </w:t>
      </w:r>
      <w:r>
        <w:t>the PORTEC-4a trial was more reasonable</w:t>
      </w:r>
      <w:r w:rsidR="009C63A1">
        <w:t>;</w:t>
      </w:r>
      <w:r>
        <w:t xml:space="preserve"> </w:t>
      </w:r>
      <w:r w:rsidR="009C63A1">
        <w:t xml:space="preserve">however, </w:t>
      </w:r>
      <w:r w:rsidR="00930F0A">
        <w:t xml:space="preserve">noted that </w:t>
      </w:r>
      <w:r w:rsidR="00124E64">
        <w:t>de-escalation rate was not used as an input in the economic model</w:t>
      </w:r>
      <w:r>
        <w:t xml:space="preserve">. </w:t>
      </w:r>
      <w:r w:rsidR="00D83EBD">
        <w:t xml:space="preserve">MSAC further noted </w:t>
      </w:r>
      <w:r>
        <w:t xml:space="preserve">during the hearing, the applicant confirmed that most people with </w:t>
      </w:r>
      <w:r w:rsidRPr="00FF4511">
        <w:rPr>
          <w:i/>
          <w:iCs/>
        </w:rPr>
        <w:t>POLE</w:t>
      </w:r>
      <w:r>
        <w:t xml:space="preserve">mut have early-stage EC and are not treated with immunotherapy. The applicant </w:t>
      </w:r>
      <w:r w:rsidR="00A7200B">
        <w:t xml:space="preserve">also </w:t>
      </w:r>
      <w:r>
        <w:t xml:space="preserve">stated that most treatment de-escalation will be </w:t>
      </w:r>
      <w:r w:rsidR="00A738DA">
        <w:t xml:space="preserve">due to avoidance </w:t>
      </w:r>
      <w:r w:rsidR="004D4744">
        <w:t>of</w:t>
      </w:r>
      <w:r w:rsidR="00A738DA">
        <w:t xml:space="preserve"> </w:t>
      </w:r>
      <w:r>
        <w:t>chemotherapy and</w:t>
      </w:r>
      <w:r w:rsidR="00A22863">
        <w:t>/or</w:t>
      </w:r>
      <w:r>
        <w:t xml:space="preserve"> radiotherapy, but the exact proportion of patients who will be able to de-escalate treatment is unknown because Australian registries do not collect the appropriate data to determine this. MSAC accepted that, although the exact proportion is unknown, it is certain that some patients will benefit from de-escalation </w:t>
      </w:r>
      <w:r w:rsidR="00A22863">
        <w:t xml:space="preserve">of chemotherapy and/or radiotherapy </w:t>
      </w:r>
      <w:r>
        <w:t xml:space="preserve">as a direct result of </w:t>
      </w:r>
      <w:r w:rsidRPr="000D70BD">
        <w:rPr>
          <w:i/>
          <w:iCs/>
        </w:rPr>
        <w:t>POLE</w:t>
      </w:r>
      <w:r>
        <w:t xml:space="preserve"> testing.</w:t>
      </w:r>
    </w:p>
    <w:p w14:paraId="6E53BDFD" w14:textId="3C50E447" w:rsidR="00F30272" w:rsidRDefault="00F30272" w:rsidP="00F30272">
      <w:r>
        <w:lastRenderedPageBreak/>
        <w:t xml:space="preserve">The base case incremental cost-effectiveness ratio (ICER) was calculated with immunotherapy as a treatment option, which the applicant acknowledged was unlikely. When immunotherapy is excluded as a treatment option, the ICER </w:t>
      </w:r>
      <w:r w:rsidR="00157C80">
        <w:t xml:space="preserve">increased </w:t>
      </w:r>
      <w:r>
        <w:t xml:space="preserve">to $30,509 per quality-adjusted life year (QALY). </w:t>
      </w:r>
      <w:r w:rsidR="00157C80">
        <w:t>MSAC noted u</w:t>
      </w:r>
      <w:r>
        <w:t xml:space="preserve">sing a 0% de-escalation rate for immunotherapy in patients with stage III-Iva EC increases the ICER further to $37,958/QALY. Although these ICERs are higher than the base case, MSAC considered them to be acceptable. </w:t>
      </w:r>
      <w:r w:rsidR="002A40FB">
        <w:t xml:space="preserve">MSAC noted the re-specified base case </w:t>
      </w:r>
      <w:r w:rsidR="002A40FB">
        <w:rPr>
          <w:lang w:val="en-US"/>
        </w:rPr>
        <w:t xml:space="preserve">using the test fee of $397.35 and the mapped utilities </w:t>
      </w:r>
      <w:r w:rsidR="007F7B4C">
        <w:rPr>
          <w:lang w:val="en-US"/>
        </w:rPr>
        <w:t xml:space="preserve">indicated that </w:t>
      </w:r>
      <w:r w:rsidR="007F7B4C" w:rsidRPr="009F2BE4">
        <w:rPr>
          <w:i/>
          <w:iCs/>
          <w:lang w:val="en-US"/>
        </w:rPr>
        <w:t>POLE</w:t>
      </w:r>
      <w:r w:rsidR="007F7B4C">
        <w:rPr>
          <w:lang w:val="en-US"/>
        </w:rPr>
        <w:t xml:space="preserve"> genotyping was dominant</w:t>
      </w:r>
      <w:r w:rsidR="002A40FB">
        <w:rPr>
          <w:lang w:val="en-US"/>
        </w:rPr>
        <w:t xml:space="preserve">. </w:t>
      </w:r>
      <w:r w:rsidR="007F7B4C">
        <w:rPr>
          <w:lang w:val="en-US"/>
        </w:rPr>
        <w:t xml:space="preserve"> MSAC noted </w:t>
      </w:r>
      <w:r w:rsidR="007F7B4C">
        <w:t>t</w:t>
      </w:r>
      <w:r>
        <w:t xml:space="preserve">he QALY gains described in the DCAR </w:t>
      </w:r>
      <w:r w:rsidR="007F7B4C">
        <w:t xml:space="preserve">were </w:t>
      </w:r>
      <w:r>
        <w:t>also uncertain</w:t>
      </w:r>
      <w:r w:rsidR="0085197F">
        <w:t>;</w:t>
      </w:r>
      <w:r>
        <w:t xml:space="preserve"> </w:t>
      </w:r>
      <w:r w:rsidR="0085197F">
        <w:t xml:space="preserve">however, </w:t>
      </w:r>
      <w:r>
        <w:t xml:space="preserve">MSAC suggested that the cost per </w:t>
      </w:r>
      <w:r w:rsidR="000D5C7A" w:rsidRPr="000D5C7A">
        <w:rPr>
          <w:i/>
          <w:iCs/>
        </w:rPr>
        <w:t>POLE</w:t>
      </w:r>
      <w:r w:rsidR="000D5C7A">
        <w:t xml:space="preserve">mut identified </w:t>
      </w:r>
      <w:r>
        <w:t xml:space="preserve">($4,080.42) would be acceptable to use as a measure of cost-effectiveness. </w:t>
      </w:r>
      <w:r w:rsidR="00C475F0">
        <w:t>MSAC noted the cost per diagnostic yield</w:t>
      </w:r>
      <w:r>
        <w:t xml:space="preserve"> </w:t>
      </w:r>
      <w:r w:rsidR="007E4B4B">
        <w:t xml:space="preserve">was within the range of ICERs </w:t>
      </w:r>
      <w:r w:rsidR="001E215C">
        <w:t xml:space="preserve">based on diagnostic yield that </w:t>
      </w:r>
      <w:r w:rsidR="004F2E22">
        <w:t xml:space="preserve">MSAC had previously supported </w:t>
      </w:r>
      <w:r w:rsidR="007E4B4B">
        <w:t xml:space="preserve">for </w:t>
      </w:r>
      <w:r>
        <w:t>other genotyping applications.</w:t>
      </w:r>
    </w:p>
    <w:p w14:paraId="1DAC7239" w14:textId="06523C48" w:rsidR="00F30272" w:rsidRDefault="000D7271" w:rsidP="00F30272">
      <w:r>
        <w:t xml:space="preserve">MSAC </w:t>
      </w:r>
      <w:r w:rsidR="00DD3FFC">
        <w:t xml:space="preserve">noted the </w:t>
      </w:r>
      <w:r w:rsidR="00FD4852">
        <w:t xml:space="preserve">financial impact to the MBS </w:t>
      </w:r>
      <w:r w:rsidR="00F30272">
        <w:t xml:space="preserve">using the lower fee of $397.35 was $588,565 in </w:t>
      </w:r>
      <w:r w:rsidR="00DE039C">
        <w:t>Year </w:t>
      </w:r>
      <w:r w:rsidR="00F30272">
        <w:t xml:space="preserve">1 increasing to </w:t>
      </w:r>
      <w:r w:rsidR="00534507">
        <w:t>~</w:t>
      </w:r>
      <w:r w:rsidR="00F30272">
        <w:t>$1.1</w:t>
      </w:r>
      <w:r w:rsidR="00534507">
        <w:t>5</w:t>
      </w:r>
      <w:r w:rsidR="00F30272">
        <w:t xml:space="preserve"> million in </w:t>
      </w:r>
      <w:r w:rsidR="00DE039C">
        <w:t>Year </w:t>
      </w:r>
      <w:r w:rsidR="00F30272">
        <w:t xml:space="preserve">6. MSAC acknowledged there will be some cost savings to the MBS and Pharmaceutical Benefits Scheme (PBS) in </w:t>
      </w:r>
      <w:r w:rsidR="00DE039C">
        <w:t>Year </w:t>
      </w:r>
      <w:r w:rsidR="00F30272">
        <w:t xml:space="preserve">6 from reductions in radiotherapy services (MBS), chemotherapy (PBS) and specialist consultations (MBS). MSAC accepted that the cost offsets from immunotherapy de-escalation </w:t>
      </w:r>
      <w:r w:rsidR="0070284E" w:rsidRPr="0070284E">
        <w:t xml:space="preserve">were unlikely to be realised in practice and therefore did not consider </w:t>
      </w:r>
      <w:r w:rsidR="009975D2">
        <w:t xml:space="preserve">these </w:t>
      </w:r>
      <w:r w:rsidR="0091068C">
        <w:t>in</w:t>
      </w:r>
      <w:r w:rsidR="0070284E" w:rsidRPr="0070284E">
        <w:t xml:space="preserve"> its decision</w:t>
      </w:r>
      <w:r w:rsidR="0070284E" w:rsidRPr="0070284E">
        <w:rPr>
          <w:rFonts w:ascii="Cambria Math" w:hAnsi="Cambria Math" w:cs="Cambria Math"/>
        </w:rPr>
        <w:t>‑</w:t>
      </w:r>
      <w:r w:rsidR="0070284E" w:rsidRPr="0070284E">
        <w:t>making.</w:t>
      </w:r>
    </w:p>
    <w:p w14:paraId="7BA6A9FA" w14:textId="1E678E77" w:rsidR="00F30272" w:rsidRDefault="00F30272" w:rsidP="00F30272">
      <w:r>
        <w:t xml:space="preserve">MSAC queried the pre-MSAC response that noted the financial impact to the MBS may be overestimated because some testing will occur privately. MSAC considered this to be possible but noted that, historically, once a service is available on the MBS, any services previously billed privately tend to shift to the MBS over time. During the hearing, the applicant acknowledged that the percentage of patients accessing the testing privately </w:t>
      </w:r>
      <w:r w:rsidR="0094063A">
        <w:t xml:space="preserve">was </w:t>
      </w:r>
      <w:r w:rsidR="0009630B">
        <w:t>approximately 40%</w:t>
      </w:r>
      <w:r>
        <w:t>.</w:t>
      </w:r>
    </w:p>
    <w:p w14:paraId="2E688FF9" w14:textId="67FA73FE" w:rsidR="00AC68F7" w:rsidRPr="00AC68F7" w:rsidRDefault="00F471C9" w:rsidP="00AC68F7">
      <w:r>
        <w:t xml:space="preserve">Given the relatively modest financial impact and that </w:t>
      </w:r>
      <w:r w:rsidRPr="4149BF96">
        <w:rPr>
          <w:i/>
          <w:iCs/>
        </w:rPr>
        <w:t>POLE</w:t>
      </w:r>
      <w:r>
        <w:t xml:space="preserve"> testing is established clinical practice in Australia, MSAC considered that a utilisation review would not be warranted.</w:t>
      </w:r>
      <w:r w:rsidR="005B4D33" w:rsidRPr="4149BF96">
        <w:rPr>
          <w:rFonts w:ascii="Segoe UI" w:eastAsia="Times New Roman" w:hAnsi="Segoe UI" w:cs="Segoe UI"/>
          <w:sz w:val="21"/>
          <w:szCs w:val="21"/>
          <w:lang w:eastAsia="en-AU"/>
        </w:rPr>
        <w:t xml:space="preserve"> </w:t>
      </w:r>
      <w:r>
        <w:t>MSAC advised that correspondence be sent to PBAC to inform it of the MSAC outcome.</w:t>
      </w:r>
    </w:p>
    <w:p w14:paraId="6710B69D" w14:textId="48607407" w:rsidR="00772829" w:rsidRPr="00CE28E3" w:rsidRDefault="00772829" w:rsidP="00DE034C">
      <w:pPr>
        <w:pStyle w:val="Heading2"/>
        <w:numPr>
          <w:ilvl w:val="0"/>
          <w:numId w:val="18"/>
        </w:numPr>
        <w:ind w:hanging="720"/>
      </w:pPr>
      <w:r w:rsidRPr="00CE28E3">
        <w:t>Background</w:t>
      </w:r>
      <w:bookmarkEnd w:id="4"/>
      <w:bookmarkEnd w:id="5"/>
    </w:p>
    <w:p w14:paraId="3EA0F47E" w14:textId="063CA7A8" w:rsidR="00F57885" w:rsidRPr="00CE28E3" w:rsidRDefault="00BA7899" w:rsidP="00E84F12">
      <w:bookmarkStart w:id="6" w:name="_Hlk69734494"/>
      <w:r>
        <w:t xml:space="preserve">MSAC has not previously considered </w:t>
      </w:r>
      <w:r w:rsidR="00572E78" w:rsidRPr="00572E78">
        <w:rPr>
          <w:i/>
        </w:rPr>
        <w:t>POLE</w:t>
      </w:r>
      <w:r>
        <w:t xml:space="preserve"> genotyping </w:t>
      </w:r>
      <w:r w:rsidR="005F3629">
        <w:t>for</w:t>
      </w:r>
      <w:r>
        <w:t xml:space="preserve"> the molecular classification of </w:t>
      </w:r>
      <w:r w:rsidR="00AC598A">
        <w:t>EC</w:t>
      </w:r>
      <w:r>
        <w:t xml:space="preserve">. </w:t>
      </w:r>
      <w:bookmarkStart w:id="7" w:name="_Hlk69734557"/>
      <w:bookmarkStart w:id="8" w:name="_Hlk68275617"/>
      <w:bookmarkEnd w:id="6"/>
    </w:p>
    <w:p w14:paraId="6F52500A" w14:textId="6D3C92B4" w:rsidR="00772829" w:rsidRPr="00CE28E3" w:rsidRDefault="00772829" w:rsidP="00DE034C">
      <w:pPr>
        <w:pStyle w:val="Heading2"/>
        <w:numPr>
          <w:ilvl w:val="0"/>
          <w:numId w:val="18"/>
        </w:numPr>
        <w:ind w:hanging="720"/>
      </w:pPr>
      <w:bookmarkStart w:id="9" w:name="_Toc220675603"/>
      <w:bookmarkStart w:id="10" w:name="_Toc220670372"/>
      <w:bookmarkEnd w:id="7"/>
      <w:bookmarkEnd w:id="8"/>
      <w:r w:rsidRPr="00CE28E3">
        <w:t>Prerequisites to implementation of any funding advice</w:t>
      </w:r>
      <w:bookmarkEnd w:id="9"/>
      <w:bookmarkEnd w:id="10"/>
    </w:p>
    <w:p w14:paraId="651136E3" w14:textId="34A28965" w:rsidR="00381E1E" w:rsidRPr="00F834DD" w:rsidRDefault="00965BF1" w:rsidP="00381E1E">
      <w:r>
        <w:t>S</w:t>
      </w:r>
      <w:r w:rsidR="00EC0114">
        <w:t xml:space="preserve">hould </w:t>
      </w:r>
      <w:r w:rsidR="00EC0114" w:rsidRPr="00836811">
        <w:rPr>
          <w:i/>
        </w:rPr>
        <w:t>POLE</w:t>
      </w:r>
      <w:r w:rsidR="00EC0114">
        <w:t xml:space="preserve"> genotyping be</w:t>
      </w:r>
      <w:r>
        <w:t xml:space="preserve"> publicly</w:t>
      </w:r>
      <w:r w:rsidR="00EC0114">
        <w:t xml:space="preserve"> funded</w:t>
      </w:r>
      <w:r w:rsidR="002E4AD7">
        <w:t xml:space="preserve">, laboratories providing this service would require accreditation by </w:t>
      </w:r>
      <w:r w:rsidR="004E469B">
        <w:t>the National Association of Testing Authorities (</w:t>
      </w:r>
      <w:r w:rsidR="002E4AD7">
        <w:t>NATA</w:t>
      </w:r>
      <w:r w:rsidR="004E469B">
        <w:t>)</w:t>
      </w:r>
      <w:r w:rsidR="002E4AD7">
        <w:t>.</w:t>
      </w:r>
      <w:r w:rsidR="0068315E">
        <w:t xml:space="preserve"> </w:t>
      </w:r>
      <w:r w:rsidR="0068315E" w:rsidRPr="00F834DD">
        <w:t>No Therapeutic Goods Administration (TGA) approval or other prerequisites are required for this application</w:t>
      </w:r>
      <w:r w:rsidR="0068315E">
        <w:t xml:space="preserve"> as there are </w:t>
      </w:r>
      <w:r w:rsidR="002A52AD">
        <w:t>laboratories accredited by NATA to perform this test</w:t>
      </w:r>
      <w:r w:rsidR="0068315E" w:rsidRPr="00F834DD">
        <w:t>.</w:t>
      </w:r>
    </w:p>
    <w:p w14:paraId="44C3B242" w14:textId="0F01ED8C" w:rsidR="00772829" w:rsidRPr="00CE28E3" w:rsidRDefault="00772829" w:rsidP="00DE034C">
      <w:pPr>
        <w:pStyle w:val="Heading2"/>
        <w:numPr>
          <w:ilvl w:val="0"/>
          <w:numId w:val="18"/>
        </w:numPr>
        <w:ind w:hanging="720"/>
      </w:pPr>
      <w:bookmarkStart w:id="11" w:name="_Toc220675604"/>
      <w:bookmarkStart w:id="12" w:name="_Toc220670373"/>
      <w:r w:rsidRPr="00CE28E3">
        <w:t>Proposal for public funding</w:t>
      </w:r>
      <w:bookmarkEnd w:id="11"/>
      <w:bookmarkEnd w:id="12"/>
    </w:p>
    <w:p w14:paraId="1A3DBF33" w14:textId="55A6B2C3" w:rsidR="008161AD" w:rsidRPr="00F834DD" w:rsidRDefault="008161AD" w:rsidP="008161AD">
      <w:r w:rsidRPr="00F834DD">
        <w:t xml:space="preserve">The application proposed a new MBS item for </w:t>
      </w:r>
      <w:r w:rsidR="00572E78" w:rsidRPr="00572E78">
        <w:rPr>
          <w:i/>
        </w:rPr>
        <w:t>POLE</w:t>
      </w:r>
      <w:r w:rsidRPr="00F834DD">
        <w:t xml:space="preserve"> genotyping of </w:t>
      </w:r>
      <w:r w:rsidR="00F84F88">
        <w:t>EC</w:t>
      </w:r>
      <w:r w:rsidRPr="00F834DD">
        <w:t xml:space="preserve"> samples (</w:t>
      </w:r>
      <w:r w:rsidR="002F0514">
        <w:fldChar w:fldCharType="begin"/>
      </w:r>
      <w:r w:rsidR="002F0514">
        <w:instrText xml:space="preserve"> REF _Ref211846702 \h </w:instrText>
      </w:r>
      <w:r w:rsidR="002F0514">
        <w:fldChar w:fldCharType="separate"/>
      </w:r>
      <w:r w:rsidR="000B42CB" w:rsidRPr="00F834DD">
        <w:t>Table </w:t>
      </w:r>
      <w:r w:rsidR="000B42CB">
        <w:rPr>
          <w:noProof/>
        </w:rPr>
        <w:t>2</w:t>
      </w:r>
      <w:r w:rsidR="002F0514">
        <w:fldChar w:fldCharType="end"/>
      </w:r>
      <w:r w:rsidRPr="00F834DD">
        <w:t xml:space="preserve">). </w:t>
      </w:r>
      <w:r w:rsidR="004E2984">
        <w:t>N</w:t>
      </w:r>
      <w:r w:rsidRPr="00F834DD">
        <w:t xml:space="preserve">o other associated applications relating to the proposed health technology are in progress. The applicant requests that the MBS item descriptor for </w:t>
      </w:r>
      <w:r w:rsidR="00572E78" w:rsidRPr="00572E78">
        <w:rPr>
          <w:i/>
        </w:rPr>
        <w:t>POLE</w:t>
      </w:r>
      <w:r w:rsidRPr="00F834DD">
        <w:t xml:space="preserve"> genotyping be method agnostic. </w:t>
      </w:r>
    </w:p>
    <w:p w14:paraId="7DD74A91" w14:textId="3A35C3E7" w:rsidR="008161AD" w:rsidRPr="00F834DD" w:rsidRDefault="008161AD" w:rsidP="008161AD">
      <w:pPr>
        <w:pStyle w:val="Caption"/>
      </w:pPr>
      <w:bookmarkStart w:id="13" w:name="_Ref211846702"/>
      <w:r w:rsidRPr="00F834DD">
        <w:lastRenderedPageBreak/>
        <w:t>Table </w:t>
      </w:r>
      <w:r>
        <w:fldChar w:fldCharType="begin"/>
      </w:r>
      <w:r>
        <w:instrText>SEQ Table \* ARABIC</w:instrText>
      </w:r>
      <w:r>
        <w:fldChar w:fldCharType="separate"/>
      </w:r>
      <w:r w:rsidR="00996E6E">
        <w:rPr>
          <w:noProof/>
        </w:rPr>
        <w:t>2</w:t>
      </w:r>
      <w:r>
        <w:fldChar w:fldCharType="end"/>
      </w:r>
      <w:bookmarkEnd w:id="13"/>
      <w:r w:rsidRPr="00F834DD">
        <w:t xml:space="preserve"> Proposed </w:t>
      </w:r>
      <w:r w:rsidR="00D52120">
        <w:t xml:space="preserve">MBS </w:t>
      </w:r>
      <w:r w:rsidRPr="00F834DD">
        <w:t xml:space="preserve">item descriptor for </w:t>
      </w:r>
      <w:r w:rsidR="00572E78" w:rsidRPr="00572E78">
        <w:rPr>
          <w:i/>
        </w:rPr>
        <w:t>POLE</w:t>
      </w:r>
      <w:r w:rsidRPr="00F834DD">
        <w:t xml:space="preserve"> genotyping</w:t>
      </w:r>
    </w:p>
    <w:tbl>
      <w:tblPr>
        <w:tblStyle w:val="TableGrid"/>
        <w:tblW w:w="5000" w:type="pct"/>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8161AD" w:rsidRPr="00F834DD" w14:paraId="125E4925" w14:textId="77777777" w:rsidTr="007923A7">
        <w:trPr>
          <w:cantSplit/>
          <w:trHeight w:val="283"/>
          <w:tblHeader/>
        </w:trPr>
        <w:tc>
          <w:tcPr>
            <w:tcW w:w="5000" w:type="pct"/>
            <w:tcBorders>
              <w:top w:val="single" w:sz="4" w:space="0" w:color="auto"/>
              <w:left w:val="single" w:sz="4" w:space="0" w:color="auto"/>
              <w:bottom w:val="single" w:sz="4" w:space="0" w:color="auto"/>
              <w:right w:val="single" w:sz="4" w:space="0" w:color="auto"/>
            </w:tcBorders>
            <w:tcMar>
              <w:left w:w="57" w:type="dxa"/>
              <w:right w:w="57" w:type="dxa"/>
            </w:tcMar>
            <w:hideMark/>
          </w:tcPr>
          <w:p w14:paraId="4754917D" w14:textId="77777777" w:rsidR="008161AD" w:rsidRPr="00F834DD" w:rsidRDefault="008161AD" w:rsidP="005F5329">
            <w:pPr>
              <w:pStyle w:val="Tableheading1"/>
            </w:pPr>
            <w:r w:rsidRPr="00F834DD">
              <w:t>Category 6 – PATHOLOGY SERVICES – P7 Genetics</w:t>
            </w:r>
          </w:p>
        </w:tc>
      </w:tr>
      <w:tr w:rsidR="008161AD" w:rsidRPr="00F834DD" w14:paraId="55BD8AE5" w14:textId="77777777" w:rsidTr="007923A7">
        <w:trPr>
          <w:cantSplit/>
          <w:trHeight w:val="283"/>
          <w:tblHeader/>
        </w:trPr>
        <w:tc>
          <w:tcPr>
            <w:tcW w:w="5000" w:type="pct"/>
            <w:tcBorders>
              <w:top w:val="single" w:sz="4" w:space="0" w:color="auto"/>
              <w:left w:val="single" w:sz="4" w:space="0" w:color="auto"/>
              <w:bottom w:val="single" w:sz="4" w:space="0" w:color="auto"/>
              <w:right w:val="single" w:sz="4" w:space="0" w:color="auto"/>
            </w:tcBorders>
            <w:tcMar>
              <w:left w:w="57" w:type="dxa"/>
              <w:right w:w="57" w:type="dxa"/>
            </w:tcMar>
          </w:tcPr>
          <w:p w14:paraId="4628D706" w14:textId="77777777" w:rsidR="008161AD" w:rsidRPr="00F834DD" w:rsidRDefault="008161AD" w:rsidP="008161AD">
            <w:pPr>
              <w:pStyle w:val="TableText"/>
            </w:pPr>
            <w:r w:rsidRPr="00F834DD">
              <w:t>MBS item AAAA</w:t>
            </w:r>
          </w:p>
          <w:p w14:paraId="27CDDF11" w14:textId="2AA35F58" w:rsidR="008161AD" w:rsidRPr="00F834DD" w:rsidRDefault="008161AD" w:rsidP="008161AD">
            <w:pPr>
              <w:pStyle w:val="TableText"/>
            </w:pPr>
            <w:r w:rsidRPr="00F834DD">
              <w:t>Characterisation of variants in the exonuclease domain (targeting exons 9, 11</w:t>
            </w:r>
            <w:r w:rsidR="004E2984">
              <w:t>,</w:t>
            </w:r>
            <w:r w:rsidRPr="00F834DD">
              <w:t xml:space="preserve"> 13 and 14 as a minimum) of the </w:t>
            </w:r>
            <w:r w:rsidR="00572E78" w:rsidRPr="00572E78">
              <w:rPr>
                <w:i/>
              </w:rPr>
              <w:t>POLE</w:t>
            </w:r>
            <w:r w:rsidRPr="00F834DD">
              <w:t xml:space="preserve"> gene, requested by a specialist or consultant physician in a patient diagnosed with endometrial carcinoma </w:t>
            </w:r>
          </w:p>
          <w:p w14:paraId="1FF35982" w14:textId="55B336A6" w:rsidR="008161AD" w:rsidRPr="00F834DD" w:rsidRDefault="008161AD" w:rsidP="008161AD">
            <w:pPr>
              <w:pStyle w:val="TableText"/>
            </w:pPr>
            <w:r w:rsidRPr="00F834DD">
              <w:t xml:space="preserve">Applicable once per </w:t>
            </w:r>
            <w:r w:rsidRPr="00E90A32">
              <w:t xml:space="preserve">primary tumour diagnosis </w:t>
            </w:r>
          </w:p>
        </w:tc>
      </w:tr>
      <w:tr w:rsidR="008161AD" w:rsidRPr="00F834DD" w14:paraId="33908EB5" w14:textId="77777777" w:rsidTr="007923A7">
        <w:trPr>
          <w:cantSplit/>
          <w:trHeight w:val="283"/>
          <w:tblHeader/>
        </w:trPr>
        <w:tc>
          <w:tcPr>
            <w:tcW w:w="5000" w:type="pct"/>
            <w:tcBorders>
              <w:top w:val="single" w:sz="4" w:space="0" w:color="auto"/>
              <w:left w:val="single" w:sz="4" w:space="0" w:color="auto"/>
              <w:bottom w:val="single" w:sz="4" w:space="0" w:color="auto"/>
              <w:right w:val="single" w:sz="4" w:space="0" w:color="auto"/>
            </w:tcBorders>
            <w:tcMar>
              <w:left w:w="57" w:type="dxa"/>
              <w:right w:w="57" w:type="dxa"/>
            </w:tcMar>
          </w:tcPr>
          <w:p w14:paraId="638655A5" w14:textId="2065B310" w:rsidR="008161AD" w:rsidRPr="00F834DD" w:rsidRDefault="008161AD" w:rsidP="008161AD">
            <w:pPr>
              <w:pStyle w:val="TableText"/>
            </w:pPr>
            <w:r w:rsidRPr="00F834DD">
              <w:t xml:space="preserve">Fee: </w:t>
            </w:r>
            <w:r w:rsidDel="00921EF1">
              <w:t>$</w:t>
            </w:r>
            <w:r w:rsidR="5F1E59F0">
              <w:t>TBC</w:t>
            </w:r>
            <w:r w:rsidRPr="00F834DD">
              <w:t xml:space="preserve"> Benefit: </w:t>
            </w:r>
            <w:r w:rsidRPr="00F834DD" w:rsidDel="00921EF1">
              <w:t xml:space="preserve">75% </w:t>
            </w:r>
            <w:r w:rsidRPr="00915EE9" w:rsidDel="00921EF1">
              <w:t>$</w:t>
            </w:r>
            <w:r w:rsidR="200B1A3A">
              <w:t>TBC</w:t>
            </w:r>
            <w:r w:rsidR="00F835CE" w:rsidDel="00921EF1">
              <w:t>,</w:t>
            </w:r>
            <w:r w:rsidRPr="00F834DD">
              <w:t xml:space="preserve"> 85% </w:t>
            </w:r>
            <w:r w:rsidRPr="00915EE9" w:rsidDel="00921EF1">
              <w:t>$</w:t>
            </w:r>
            <w:r w:rsidR="1A7ABC66">
              <w:t>TBC</w:t>
            </w:r>
          </w:p>
        </w:tc>
      </w:tr>
    </w:tbl>
    <w:p w14:paraId="493829AA" w14:textId="588D7B80" w:rsidR="008161AD" w:rsidRPr="00F834DD" w:rsidRDefault="008161AD" w:rsidP="008161AD">
      <w:pPr>
        <w:pStyle w:val="Tablefooter0"/>
      </w:pPr>
      <w:r w:rsidRPr="00F834DD">
        <w:t xml:space="preserve">Abbreviations: </w:t>
      </w:r>
      <w:r w:rsidR="00572E78" w:rsidRPr="00572E78">
        <w:rPr>
          <w:i/>
        </w:rPr>
        <w:t>POLE</w:t>
      </w:r>
      <w:r w:rsidRPr="00F834DD">
        <w:t xml:space="preserve"> = </w:t>
      </w:r>
      <w:r w:rsidR="00725337" w:rsidDel="00E51E74">
        <w:t xml:space="preserve">DNA </w:t>
      </w:r>
      <w:r w:rsidR="00725337">
        <w:t>polymerase epsilon</w:t>
      </w:r>
      <w:r w:rsidR="00083A3A">
        <w:t>,</w:t>
      </w:r>
      <w:r w:rsidR="00D75A88">
        <w:t xml:space="preserve"> cataly</w:t>
      </w:r>
      <w:r w:rsidR="00083A3A">
        <w:t>tic subunit</w:t>
      </w:r>
      <w:r w:rsidR="00E51E74">
        <w:t>, TBC = to be confirmed</w:t>
      </w:r>
    </w:p>
    <w:p w14:paraId="14957DD7" w14:textId="325D3606" w:rsidR="008705E4" w:rsidRPr="00F834DD" w:rsidRDefault="008705E4" w:rsidP="008705E4">
      <w:pPr>
        <w:pStyle w:val="Tablefooter0"/>
      </w:pPr>
      <w:r w:rsidRPr="00F834DD">
        <w:t xml:space="preserve">Source: MSAC Application 1790 PICO </w:t>
      </w:r>
      <w:r w:rsidR="2A7B2212">
        <w:t>Confirmation</w:t>
      </w:r>
      <w:r w:rsidRPr="00F834DD">
        <w:t xml:space="preserve">, p </w:t>
      </w:r>
      <w:r w:rsidR="30B77FA6">
        <w:t>14</w:t>
      </w:r>
      <w:r w:rsidRPr="00F834DD">
        <w:t>.</w:t>
      </w:r>
    </w:p>
    <w:p w14:paraId="2E0FE349" w14:textId="5A8C0CAC" w:rsidR="00856E0B" w:rsidRPr="00F834DD" w:rsidRDefault="00856E0B" w:rsidP="00856E0B">
      <w:r w:rsidRPr="00F834DD">
        <w:t xml:space="preserve">The applicant noted that costings vary </w:t>
      </w:r>
      <w:r w:rsidR="00887646">
        <w:t>between</w:t>
      </w:r>
      <w:r w:rsidRPr="00F834DD">
        <w:t xml:space="preserve"> laborator</w:t>
      </w:r>
      <w:r w:rsidR="00887646">
        <w:t>ies</w:t>
      </w:r>
      <w:r w:rsidRPr="00F834DD">
        <w:t xml:space="preserve"> due to multiple variables in next generation sequencing (NGS)</w:t>
      </w:r>
      <w:r w:rsidR="00EF5B34">
        <w:t xml:space="preserve"> testing</w:t>
      </w:r>
      <w:r w:rsidRPr="00F834DD">
        <w:t xml:space="preserve">, which include the number of samples tested in each run. The applicant </w:t>
      </w:r>
      <w:r w:rsidR="00FF65EE">
        <w:t>advis</w:t>
      </w:r>
      <w:r w:rsidRPr="00F834DD">
        <w:t>ed that the cost of a small to medium NGS assay would typically be around $500</w:t>
      </w:r>
      <w:r w:rsidR="00B23882">
        <w:t>–</w:t>
      </w:r>
      <w:r w:rsidR="00E34CA4">
        <w:t>$</w:t>
      </w:r>
      <w:r w:rsidRPr="00F834DD">
        <w:t xml:space="preserve">550 (when an error margin is included) and provided a breakdown of costs associated with </w:t>
      </w:r>
      <w:r w:rsidR="00572E78" w:rsidRPr="00572E78">
        <w:rPr>
          <w:i/>
        </w:rPr>
        <w:t>POLE</w:t>
      </w:r>
      <w:r w:rsidRPr="00F834DD">
        <w:t xml:space="preserve"> genotyping from one laboratory to support this (the laboratory was not identified in the application). The breakdown of costs is presented in</w:t>
      </w:r>
      <w:r>
        <w:t xml:space="preserve"> </w:t>
      </w:r>
      <w:r>
        <w:fldChar w:fldCharType="begin"/>
      </w:r>
      <w:r>
        <w:instrText xml:space="preserve"> REF _Ref211847113 \h </w:instrText>
      </w:r>
      <w:r>
        <w:fldChar w:fldCharType="separate"/>
      </w:r>
      <w:r w:rsidR="000B42CB" w:rsidRPr="00F834DD">
        <w:t xml:space="preserve">Table </w:t>
      </w:r>
      <w:r w:rsidR="000B42CB">
        <w:rPr>
          <w:noProof/>
        </w:rPr>
        <w:t>3</w:t>
      </w:r>
      <w:r>
        <w:fldChar w:fldCharType="end"/>
      </w:r>
      <w:r w:rsidRPr="00F834DD">
        <w:t>.</w:t>
      </w:r>
    </w:p>
    <w:p w14:paraId="328F276F" w14:textId="36563D7F" w:rsidR="00856E0B" w:rsidRPr="00F834DD" w:rsidRDefault="00856E0B" w:rsidP="00856E0B">
      <w:pPr>
        <w:pStyle w:val="Caption"/>
      </w:pPr>
      <w:bookmarkStart w:id="14" w:name="_Ref211847113"/>
      <w:r w:rsidRPr="00F834DD">
        <w:t xml:space="preserve">Table </w:t>
      </w:r>
      <w:r>
        <w:fldChar w:fldCharType="begin"/>
      </w:r>
      <w:r>
        <w:instrText>SEQ Table \* ARABIC</w:instrText>
      </w:r>
      <w:r>
        <w:fldChar w:fldCharType="separate"/>
      </w:r>
      <w:r w:rsidR="00996E6E">
        <w:rPr>
          <w:noProof/>
        </w:rPr>
        <w:t>3</w:t>
      </w:r>
      <w:r>
        <w:fldChar w:fldCharType="end"/>
      </w:r>
      <w:bookmarkEnd w:id="14"/>
      <w:r w:rsidRPr="00F834DD">
        <w:t xml:space="preserve"> </w:t>
      </w:r>
      <w:r w:rsidR="00FF65EE">
        <w:t>C</w:t>
      </w:r>
      <w:r w:rsidRPr="00F834DD">
        <w:t xml:space="preserve">osts associated with </w:t>
      </w:r>
      <w:r w:rsidR="00572E78" w:rsidRPr="00572E78">
        <w:rPr>
          <w:i/>
        </w:rPr>
        <w:t>POLE</w:t>
      </w:r>
      <w:r w:rsidRPr="00F834DD">
        <w:t xml:space="preserve"> genotyping from one laboratory provided by the applicant</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1"/>
        <w:gridCol w:w="1455"/>
      </w:tblGrid>
      <w:tr w:rsidR="00856E0B" w:rsidRPr="00F834DD" w14:paraId="77B8FC3D" w14:textId="77777777" w:rsidTr="007923A7">
        <w:trPr>
          <w:trHeight w:val="283"/>
          <w:tblHeader/>
        </w:trPr>
        <w:tc>
          <w:tcPr>
            <w:tcW w:w="4193" w:type="pct"/>
            <w:shd w:val="clear" w:color="auto" w:fill="F2F2F2" w:themeFill="background1" w:themeFillShade="F2"/>
            <w:noWrap/>
            <w:tcMar>
              <w:left w:w="57" w:type="dxa"/>
              <w:right w:w="57" w:type="dxa"/>
            </w:tcMar>
            <w:hideMark/>
          </w:tcPr>
          <w:p w14:paraId="38E8A4D7" w14:textId="77777777" w:rsidR="00856E0B" w:rsidRPr="00F834DD" w:rsidRDefault="00856E0B" w:rsidP="00856E0B">
            <w:pPr>
              <w:pStyle w:val="Tableheading1"/>
              <w:keepNext/>
              <w:rPr>
                <w:lang w:eastAsia="en-AU"/>
              </w:rPr>
            </w:pPr>
            <w:r w:rsidRPr="00F834DD">
              <w:rPr>
                <w:lang w:eastAsia="en-AU"/>
              </w:rPr>
              <w:t>Item</w:t>
            </w:r>
          </w:p>
        </w:tc>
        <w:tc>
          <w:tcPr>
            <w:tcW w:w="807" w:type="pct"/>
            <w:shd w:val="clear" w:color="auto" w:fill="F2F2F2" w:themeFill="background1" w:themeFillShade="F2"/>
            <w:noWrap/>
            <w:tcMar>
              <w:left w:w="57" w:type="dxa"/>
              <w:right w:w="57" w:type="dxa"/>
            </w:tcMar>
            <w:hideMark/>
          </w:tcPr>
          <w:p w14:paraId="5008ABF0" w14:textId="77777777" w:rsidR="00856E0B" w:rsidRPr="00F834DD" w:rsidRDefault="00856E0B" w:rsidP="00856E0B">
            <w:pPr>
              <w:pStyle w:val="Tableheading1"/>
              <w:keepNext/>
              <w:rPr>
                <w:lang w:eastAsia="en-AU"/>
              </w:rPr>
            </w:pPr>
            <w:r w:rsidRPr="00F834DD">
              <w:rPr>
                <w:lang w:eastAsia="en-AU"/>
              </w:rPr>
              <w:t>Cost</w:t>
            </w:r>
          </w:p>
        </w:tc>
      </w:tr>
      <w:tr w:rsidR="00856E0B" w:rsidRPr="00F834DD" w14:paraId="6BAE54A8" w14:textId="77777777" w:rsidTr="007923A7">
        <w:trPr>
          <w:trHeight w:val="283"/>
        </w:trPr>
        <w:tc>
          <w:tcPr>
            <w:tcW w:w="4193" w:type="pct"/>
            <w:noWrap/>
            <w:tcMar>
              <w:left w:w="57" w:type="dxa"/>
              <w:right w:w="57" w:type="dxa"/>
            </w:tcMar>
            <w:hideMark/>
          </w:tcPr>
          <w:p w14:paraId="0EB19923" w14:textId="77777777" w:rsidR="00856E0B" w:rsidRPr="00F834DD" w:rsidRDefault="00856E0B" w:rsidP="00856E0B">
            <w:pPr>
              <w:pStyle w:val="Tabletext0"/>
              <w:keepNext/>
            </w:pPr>
            <w:r w:rsidRPr="00F834DD">
              <w:t xml:space="preserve">Anatomical pathology: H&amp;E and unstained slides </w:t>
            </w:r>
          </w:p>
        </w:tc>
        <w:tc>
          <w:tcPr>
            <w:tcW w:w="807" w:type="pct"/>
            <w:noWrap/>
            <w:tcMar>
              <w:left w:w="57" w:type="dxa"/>
              <w:right w:w="57" w:type="dxa"/>
            </w:tcMar>
            <w:hideMark/>
          </w:tcPr>
          <w:p w14:paraId="4E4C999F" w14:textId="6A736864" w:rsidR="00856E0B" w:rsidRPr="00F834DD" w:rsidRDefault="00856E0B" w:rsidP="00856E0B">
            <w:pPr>
              <w:pStyle w:val="Tabletext0"/>
              <w:keepNext/>
            </w:pPr>
            <w:r w:rsidRPr="00F834DD">
              <w:t>$18</w:t>
            </w:r>
            <w:r w:rsidR="008B0F3C">
              <w:t>.00</w:t>
            </w:r>
          </w:p>
        </w:tc>
      </w:tr>
      <w:tr w:rsidR="00856E0B" w:rsidRPr="00F834DD" w14:paraId="4C653958" w14:textId="77777777" w:rsidTr="007923A7">
        <w:trPr>
          <w:trHeight w:val="283"/>
        </w:trPr>
        <w:tc>
          <w:tcPr>
            <w:tcW w:w="4193" w:type="pct"/>
            <w:noWrap/>
            <w:tcMar>
              <w:left w:w="57" w:type="dxa"/>
              <w:right w:w="57" w:type="dxa"/>
            </w:tcMar>
            <w:hideMark/>
          </w:tcPr>
          <w:p w14:paraId="19F2A074" w14:textId="77777777" w:rsidR="00856E0B" w:rsidRPr="00F834DD" w:rsidRDefault="00856E0B" w:rsidP="00856E0B">
            <w:pPr>
              <w:pStyle w:val="Tabletext0"/>
              <w:keepNext/>
            </w:pPr>
            <w:r w:rsidRPr="00F834DD">
              <w:t xml:space="preserve">DNA extraction/sample processing </w:t>
            </w:r>
          </w:p>
        </w:tc>
        <w:tc>
          <w:tcPr>
            <w:tcW w:w="807" w:type="pct"/>
            <w:noWrap/>
            <w:tcMar>
              <w:left w:w="57" w:type="dxa"/>
              <w:right w:w="57" w:type="dxa"/>
            </w:tcMar>
            <w:hideMark/>
          </w:tcPr>
          <w:p w14:paraId="0C023984" w14:textId="271BAB44" w:rsidR="00856E0B" w:rsidRPr="00F834DD" w:rsidRDefault="00856E0B" w:rsidP="00856E0B">
            <w:pPr>
              <w:pStyle w:val="Tabletext0"/>
              <w:keepNext/>
            </w:pPr>
            <w:r w:rsidRPr="00F834DD">
              <w:t>$30</w:t>
            </w:r>
            <w:r w:rsidR="008B0F3C">
              <w:t>.00</w:t>
            </w:r>
          </w:p>
        </w:tc>
      </w:tr>
      <w:tr w:rsidR="00856E0B" w:rsidRPr="00F834DD" w14:paraId="7D2065E0" w14:textId="77777777" w:rsidTr="007923A7">
        <w:trPr>
          <w:trHeight w:val="283"/>
        </w:trPr>
        <w:tc>
          <w:tcPr>
            <w:tcW w:w="4193" w:type="pct"/>
            <w:noWrap/>
            <w:tcMar>
              <w:left w:w="57" w:type="dxa"/>
              <w:right w:w="57" w:type="dxa"/>
            </w:tcMar>
            <w:hideMark/>
          </w:tcPr>
          <w:p w14:paraId="6255CE3E" w14:textId="658D41F8" w:rsidR="00856E0B" w:rsidRPr="00F834DD" w:rsidRDefault="00856E0B" w:rsidP="00856E0B">
            <w:pPr>
              <w:pStyle w:val="Tabletext0"/>
              <w:keepNext/>
            </w:pPr>
            <w:r w:rsidRPr="00F834DD">
              <w:t>Magnis SureSelect™ XT HS2 DNA (</w:t>
            </w:r>
            <w:r w:rsidR="009C682B">
              <w:t>n</w:t>
            </w:r>
            <w:r w:rsidRPr="00F834DD">
              <w:t xml:space="preserve">o </w:t>
            </w:r>
            <w:r w:rsidR="009C682B">
              <w:t>p</w:t>
            </w:r>
            <w:r w:rsidRPr="00F834DD">
              <w:t>robe) (96 reactions)</w:t>
            </w:r>
          </w:p>
        </w:tc>
        <w:tc>
          <w:tcPr>
            <w:tcW w:w="807" w:type="pct"/>
            <w:noWrap/>
            <w:tcMar>
              <w:left w:w="57" w:type="dxa"/>
              <w:right w:w="57" w:type="dxa"/>
            </w:tcMar>
            <w:hideMark/>
          </w:tcPr>
          <w:p w14:paraId="10D6023C" w14:textId="0AEB8E77" w:rsidR="00856E0B" w:rsidRPr="00F834DD" w:rsidRDefault="00856E0B" w:rsidP="00856E0B">
            <w:pPr>
              <w:pStyle w:val="Tabletext0"/>
              <w:keepNext/>
            </w:pPr>
            <w:r w:rsidRPr="00F834DD">
              <w:t>$102</w:t>
            </w:r>
            <w:r w:rsidR="008B0F3C">
              <w:t>.00</w:t>
            </w:r>
          </w:p>
        </w:tc>
      </w:tr>
      <w:tr w:rsidR="00856E0B" w:rsidRPr="00F834DD" w14:paraId="60DF351C" w14:textId="77777777" w:rsidTr="007923A7">
        <w:trPr>
          <w:trHeight w:val="283"/>
        </w:trPr>
        <w:tc>
          <w:tcPr>
            <w:tcW w:w="4193" w:type="pct"/>
            <w:noWrap/>
            <w:tcMar>
              <w:left w:w="57" w:type="dxa"/>
              <w:right w:w="57" w:type="dxa"/>
            </w:tcMar>
            <w:hideMark/>
          </w:tcPr>
          <w:p w14:paraId="5EF13769" w14:textId="475A2E4F" w:rsidR="00856E0B" w:rsidRPr="00F834DD" w:rsidRDefault="00856E0B" w:rsidP="00856E0B">
            <w:pPr>
              <w:pStyle w:val="Tabletext0"/>
              <w:keepNext/>
            </w:pPr>
            <w:r w:rsidRPr="00F834DD">
              <w:t xml:space="preserve">SureSelect™ </w:t>
            </w:r>
            <w:r w:rsidR="009C682B">
              <w:t>c</w:t>
            </w:r>
            <w:r w:rsidRPr="00F834DD">
              <w:t xml:space="preserve">ustom </w:t>
            </w:r>
            <w:r w:rsidR="009C682B">
              <w:t>p</w:t>
            </w:r>
            <w:r w:rsidRPr="00F834DD">
              <w:t xml:space="preserve">robes – </w:t>
            </w:r>
            <w:r w:rsidR="009C682B">
              <w:t>t</w:t>
            </w:r>
            <w:r w:rsidRPr="00F834DD">
              <w:t>ier 1 (96 reactions)</w:t>
            </w:r>
          </w:p>
        </w:tc>
        <w:tc>
          <w:tcPr>
            <w:tcW w:w="807" w:type="pct"/>
            <w:noWrap/>
            <w:tcMar>
              <w:left w:w="57" w:type="dxa"/>
              <w:right w:w="57" w:type="dxa"/>
            </w:tcMar>
            <w:hideMark/>
          </w:tcPr>
          <w:p w14:paraId="66E7ACDB" w14:textId="093F01BE" w:rsidR="00856E0B" w:rsidRPr="00F834DD" w:rsidRDefault="00856E0B" w:rsidP="00856E0B">
            <w:pPr>
              <w:pStyle w:val="Tabletext0"/>
              <w:keepNext/>
            </w:pPr>
            <w:r w:rsidRPr="00F834DD">
              <w:t>$65</w:t>
            </w:r>
            <w:r w:rsidR="008B0F3C">
              <w:t>.00</w:t>
            </w:r>
          </w:p>
        </w:tc>
      </w:tr>
      <w:tr w:rsidR="00856E0B" w:rsidRPr="00F834DD" w14:paraId="2DF005B3" w14:textId="77777777" w:rsidTr="007923A7">
        <w:trPr>
          <w:trHeight w:val="283"/>
        </w:trPr>
        <w:tc>
          <w:tcPr>
            <w:tcW w:w="4193" w:type="pct"/>
            <w:noWrap/>
            <w:tcMar>
              <w:left w:w="57" w:type="dxa"/>
              <w:right w:w="57" w:type="dxa"/>
            </w:tcMar>
            <w:hideMark/>
          </w:tcPr>
          <w:p w14:paraId="6E054E0F" w14:textId="727795A7" w:rsidR="00856E0B" w:rsidRPr="00F834DD" w:rsidRDefault="00856E0B" w:rsidP="00856E0B">
            <w:pPr>
              <w:pStyle w:val="Tabletext0"/>
              <w:keepNext/>
            </w:pPr>
            <w:r w:rsidRPr="00F834DD">
              <w:t xml:space="preserve">Magnis™ </w:t>
            </w:r>
            <w:r w:rsidR="009C682B">
              <w:t>a</w:t>
            </w:r>
            <w:r w:rsidRPr="00F834DD">
              <w:t>utomation tips</w:t>
            </w:r>
          </w:p>
        </w:tc>
        <w:tc>
          <w:tcPr>
            <w:tcW w:w="807" w:type="pct"/>
            <w:noWrap/>
            <w:tcMar>
              <w:left w:w="57" w:type="dxa"/>
              <w:right w:w="57" w:type="dxa"/>
            </w:tcMar>
            <w:hideMark/>
          </w:tcPr>
          <w:p w14:paraId="5C907BF3" w14:textId="10C8D065" w:rsidR="00856E0B" w:rsidRPr="00F834DD" w:rsidRDefault="00856E0B" w:rsidP="00856E0B">
            <w:pPr>
              <w:pStyle w:val="Tabletext0"/>
              <w:keepNext/>
            </w:pPr>
            <w:r w:rsidRPr="00F834DD">
              <w:t>$1</w:t>
            </w:r>
            <w:r w:rsidR="008B0F3C">
              <w:t>.00</w:t>
            </w:r>
          </w:p>
        </w:tc>
      </w:tr>
      <w:tr w:rsidR="00856E0B" w:rsidRPr="00F834DD" w14:paraId="2D741D8C" w14:textId="77777777" w:rsidTr="007923A7">
        <w:trPr>
          <w:trHeight w:val="283"/>
        </w:trPr>
        <w:tc>
          <w:tcPr>
            <w:tcW w:w="4193" w:type="pct"/>
            <w:noWrap/>
            <w:tcMar>
              <w:left w:w="57" w:type="dxa"/>
              <w:right w:w="57" w:type="dxa"/>
            </w:tcMar>
            <w:hideMark/>
          </w:tcPr>
          <w:p w14:paraId="6C17777F" w14:textId="351EEDC3" w:rsidR="00856E0B" w:rsidRPr="00F834DD" w:rsidRDefault="00856E0B" w:rsidP="00856E0B">
            <w:pPr>
              <w:pStyle w:val="Tabletext0"/>
              <w:keepNext/>
            </w:pPr>
            <w:r w:rsidRPr="00F834DD">
              <w:t xml:space="preserve">Magnis ™ </w:t>
            </w:r>
            <w:r w:rsidR="009C682B">
              <w:t>s</w:t>
            </w:r>
            <w:r w:rsidRPr="00F834DD">
              <w:t>ervice cost</w:t>
            </w:r>
          </w:p>
        </w:tc>
        <w:tc>
          <w:tcPr>
            <w:tcW w:w="807" w:type="pct"/>
            <w:noWrap/>
            <w:tcMar>
              <w:left w:w="57" w:type="dxa"/>
              <w:right w:w="57" w:type="dxa"/>
            </w:tcMar>
            <w:hideMark/>
          </w:tcPr>
          <w:p w14:paraId="5B502A50" w14:textId="77777777" w:rsidR="00856E0B" w:rsidRPr="00F834DD" w:rsidRDefault="00856E0B" w:rsidP="00856E0B">
            <w:pPr>
              <w:pStyle w:val="Tabletext0"/>
              <w:keepNext/>
            </w:pPr>
            <w:r w:rsidRPr="00F834DD">
              <w:t>$4.60</w:t>
            </w:r>
          </w:p>
        </w:tc>
      </w:tr>
      <w:tr w:rsidR="00856E0B" w:rsidRPr="00F834DD" w14:paraId="13C69CB0" w14:textId="77777777" w:rsidTr="007923A7">
        <w:trPr>
          <w:trHeight w:val="283"/>
        </w:trPr>
        <w:tc>
          <w:tcPr>
            <w:tcW w:w="4193" w:type="pct"/>
            <w:noWrap/>
            <w:tcMar>
              <w:left w:w="57" w:type="dxa"/>
              <w:right w:w="57" w:type="dxa"/>
            </w:tcMar>
            <w:hideMark/>
          </w:tcPr>
          <w:p w14:paraId="5A9E5F92" w14:textId="77777777" w:rsidR="00856E0B" w:rsidRPr="00F834DD" w:rsidRDefault="00856E0B" w:rsidP="00856E0B">
            <w:pPr>
              <w:pStyle w:val="Tabletext0"/>
              <w:keepNext/>
            </w:pPr>
            <w:r w:rsidRPr="00F834DD">
              <w:t>NextSeq ™ P1</w:t>
            </w:r>
          </w:p>
        </w:tc>
        <w:tc>
          <w:tcPr>
            <w:tcW w:w="807" w:type="pct"/>
            <w:noWrap/>
            <w:tcMar>
              <w:left w:w="57" w:type="dxa"/>
              <w:right w:w="57" w:type="dxa"/>
            </w:tcMar>
            <w:hideMark/>
          </w:tcPr>
          <w:p w14:paraId="08C54A78" w14:textId="77777777" w:rsidR="00856E0B" w:rsidRPr="00F834DD" w:rsidRDefault="00856E0B" w:rsidP="00856E0B">
            <w:pPr>
              <w:pStyle w:val="Tabletext0"/>
              <w:keepNext/>
            </w:pPr>
            <w:r w:rsidRPr="00F834DD">
              <w:t>$150.48</w:t>
            </w:r>
          </w:p>
        </w:tc>
      </w:tr>
      <w:tr w:rsidR="00856E0B" w:rsidRPr="00F834DD" w14:paraId="436EB061" w14:textId="77777777" w:rsidTr="007923A7">
        <w:trPr>
          <w:trHeight w:val="283"/>
        </w:trPr>
        <w:tc>
          <w:tcPr>
            <w:tcW w:w="4193" w:type="pct"/>
            <w:noWrap/>
            <w:tcMar>
              <w:left w:w="57" w:type="dxa"/>
              <w:right w:w="57" w:type="dxa"/>
            </w:tcMar>
            <w:hideMark/>
          </w:tcPr>
          <w:p w14:paraId="4575BD2A" w14:textId="313BD13F" w:rsidR="00856E0B" w:rsidRPr="00F834DD" w:rsidRDefault="00856E0B" w:rsidP="00856E0B">
            <w:pPr>
              <w:pStyle w:val="Tabletext0"/>
              <w:keepNext/>
            </w:pPr>
            <w:r w:rsidRPr="00F834DD">
              <w:t xml:space="preserve">NextSeq ™ </w:t>
            </w:r>
            <w:r w:rsidR="009C682B">
              <w:t>s</w:t>
            </w:r>
            <w:r w:rsidRPr="00F834DD">
              <w:t>ervice cost</w:t>
            </w:r>
          </w:p>
        </w:tc>
        <w:tc>
          <w:tcPr>
            <w:tcW w:w="807" w:type="pct"/>
            <w:noWrap/>
            <w:tcMar>
              <w:left w:w="57" w:type="dxa"/>
              <w:right w:w="57" w:type="dxa"/>
            </w:tcMar>
            <w:hideMark/>
          </w:tcPr>
          <w:p w14:paraId="50E6DB0F" w14:textId="77777777" w:rsidR="00856E0B" w:rsidRPr="00F834DD" w:rsidRDefault="00856E0B" w:rsidP="00856E0B">
            <w:pPr>
              <w:pStyle w:val="Tabletext0"/>
              <w:keepNext/>
            </w:pPr>
            <w:r w:rsidRPr="00F834DD">
              <w:t>$6.38</w:t>
            </w:r>
          </w:p>
        </w:tc>
      </w:tr>
      <w:tr w:rsidR="00856E0B" w:rsidRPr="00F834DD" w14:paraId="2C002AF2" w14:textId="77777777" w:rsidTr="007923A7">
        <w:trPr>
          <w:trHeight w:val="283"/>
        </w:trPr>
        <w:tc>
          <w:tcPr>
            <w:tcW w:w="4193" w:type="pct"/>
            <w:noWrap/>
            <w:tcMar>
              <w:left w:w="57" w:type="dxa"/>
              <w:right w:w="57" w:type="dxa"/>
            </w:tcMar>
            <w:hideMark/>
          </w:tcPr>
          <w:p w14:paraId="08716297" w14:textId="3CE8C7DC" w:rsidR="00856E0B" w:rsidRPr="00F834DD" w:rsidRDefault="00856E0B" w:rsidP="00856E0B">
            <w:pPr>
              <w:pStyle w:val="Tabletext0"/>
              <w:keepNext/>
            </w:pPr>
            <w:r w:rsidRPr="00F834DD">
              <w:t>Scientist time (Magnis/MiSeq™)</w:t>
            </w:r>
          </w:p>
        </w:tc>
        <w:tc>
          <w:tcPr>
            <w:tcW w:w="807" w:type="pct"/>
            <w:noWrap/>
            <w:tcMar>
              <w:left w:w="57" w:type="dxa"/>
              <w:right w:w="57" w:type="dxa"/>
            </w:tcMar>
            <w:hideMark/>
          </w:tcPr>
          <w:p w14:paraId="00DFFD2C" w14:textId="77777777" w:rsidR="00856E0B" w:rsidRPr="00F834DD" w:rsidRDefault="00856E0B" w:rsidP="00856E0B">
            <w:pPr>
              <w:pStyle w:val="Tabletext0"/>
              <w:keepNext/>
            </w:pPr>
            <w:r w:rsidRPr="00F834DD">
              <w:t>$6.67</w:t>
            </w:r>
          </w:p>
        </w:tc>
      </w:tr>
      <w:tr w:rsidR="00856E0B" w:rsidRPr="00F834DD" w14:paraId="7F49E44C" w14:textId="77777777" w:rsidTr="007923A7">
        <w:trPr>
          <w:trHeight w:val="283"/>
        </w:trPr>
        <w:tc>
          <w:tcPr>
            <w:tcW w:w="4193" w:type="pct"/>
            <w:noWrap/>
            <w:tcMar>
              <w:left w:w="57" w:type="dxa"/>
              <w:right w:w="57" w:type="dxa"/>
            </w:tcMar>
            <w:hideMark/>
          </w:tcPr>
          <w:p w14:paraId="1D7C54F8" w14:textId="2529F693" w:rsidR="00856E0B" w:rsidRPr="00F834DD" w:rsidRDefault="00856E0B" w:rsidP="00856E0B">
            <w:pPr>
              <w:pStyle w:val="Tabletext0"/>
              <w:keepNext/>
            </w:pPr>
            <w:r w:rsidRPr="00F834DD">
              <w:t xml:space="preserve">Analysis, </w:t>
            </w:r>
            <w:r w:rsidR="009C682B">
              <w:t>c</w:t>
            </w:r>
            <w:r w:rsidRPr="00F834DD">
              <w:t xml:space="preserve">uration &amp; </w:t>
            </w:r>
            <w:r w:rsidR="009C682B">
              <w:t>v</w:t>
            </w:r>
            <w:r w:rsidRPr="00F834DD">
              <w:t xml:space="preserve">alidation </w:t>
            </w:r>
            <w:r w:rsidR="009C682B">
              <w:t>s</w:t>
            </w:r>
            <w:r w:rsidRPr="00F834DD">
              <w:t>cientist/</w:t>
            </w:r>
            <w:r w:rsidR="009C682B">
              <w:t>c</w:t>
            </w:r>
            <w:r w:rsidRPr="00F834DD">
              <w:t xml:space="preserve">linician </w:t>
            </w:r>
            <w:r w:rsidR="009C682B">
              <w:t>t</w:t>
            </w:r>
            <w:r w:rsidRPr="00F834DD">
              <w:t>ime</w:t>
            </w:r>
          </w:p>
        </w:tc>
        <w:tc>
          <w:tcPr>
            <w:tcW w:w="807" w:type="pct"/>
            <w:noWrap/>
            <w:tcMar>
              <w:left w:w="57" w:type="dxa"/>
              <w:right w:w="57" w:type="dxa"/>
            </w:tcMar>
            <w:hideMark/>
          </w:tcPr>
          <w:p w14:paraId="45D45EE9" w14:textId="11B42288" w:rsidR="00856E0B" w:rsidRPr="00F834DD" w:rsidRDefault="00856E0B" w:rsidP="00856E0B">
            <w:pPr>
              <w:pStyle w:val="Tabletext0"/>
              <w:keepNext/>
            </w:pPr>
            <w:r w:rsidRPr="00F834DD">
              <w:t>$88</w:t>
            </w:r>
            <w:r w:rsidR="008B0F3C">
              <w:t>.00</w:t>
            </w:r>
          </w:p>
        </w:tc>
      </w:tr>
      <w:tr w:rsidR="00856E0B" w:rsidRPr="00F834DD" w14:paraId="0D14CBFC" w14:textId="77777777" w:rsidTr="007923A7">
        <w:trPr>
          <w:trHeight w:val="283"/>
        </w:trPr>
        <w:tc>
          <w:tcPr>
            <w:tcW w:w="4193" w:type="pct"/>
            <w:noWrap/>
            <w:tcMar>
              <w:left w:w="57" w:type="dxa"/>
              <w:right w:w="57" w:type="dxa"/>
            </w:tcMar>
            <w:hideMark/>
          </w:tcPr>
          <w:p w14:paraId="50C8436D" w14:textId="77777777" w:rsidR="00856E0B" w:rsidRPr="00F834DD" w:rsidRDefault="00856E0B" w:rsidP="00856E0B">
            <w:pPr>
              <w:pStyle w:val="Tabletext0"/>
              <w:keepNext/>
            </w:pPr>
            <w:r w:rsidRPr="00F834DD">
              <w:t>Genomic analysis</w:t>
            </w:r>
          </w:p>
        </w:tc>
        <w:tc>
          <w:tcPr>
            <w:tcW w:w="807" w:type="pct"/>
            <w:noWrap/>
            <w:tcMar>
              <w:left w:w="57" w:type="dxa"/>
              <w:right w:w="57" w:type="dxa"/>
            </w:tcMar>
            <w:hideMark/>
          </w:tcPr>
          <w:p w14:paraId="2DCF8457" w14:textId="21F2333E" w:rsidR="00856E0B" w:rsidRPr="00F834DD" w:rsidRDefault="00856E0B" w:rsidP="00856E0B">
            <w:pPr>
              <w:pStyle w:val="Tabletext0"/>
              <w:keepNext/>
            </w:pPr>
            <w:r w:rsidRPr="00F834DD">
              <w:t>$25</w:t>
            </w:r>
            <w:r w:rsidR="008B0F3C">
              <w:t>.00</w:t>
            </w:r>
          </w:p>
        </w:tc>
      </w:tr>
      <w:tr w:rsidR="00856E0B" w:rsidRPr="00F834DD" w14:paraId="524091CD" w14:textId="77777777" w:rsidTr="007923A7">
        <w:trPr>
          <w:trHeight w:val="283"/>
        </w:trPr>
        <w:tc>
          <w:tcPr>
            <w:tcW w:w="4193" w:type="pct"/>
            <w:noWrap/>
            <w:tcMar>
              <w:left w:w="57" w:type="dxa"/>
              <w:right w:w="57" w:type="dxa"/>
            </w:tcMar>
            <w:hideMark/>
          </w:tcPr>
          <w:p w14:paraId="71E235DF" w14:textId="77777777" w:rsidR="00856E0B" w:rsidRPr="00C461F2" w:rsidRDefault="00856E0B" w:rsidP="00856E0B">
            <w:pPr>
              <w:pStyle w:val="Tabletext0"/>
              <w:keepNext/>
              <w:rPr>
                <w:b/>
              </w:rPr>
            </w:pPr>
            <w:r w:rsidRPr="00C461F2">
              <w:rPr>
                <w:b/>
              </w:rPr>
              <w:t>Total</w:t>
            </w:r>
          </w:p>
        </w:tc>
        <w:tc>
          <w:tcPr>
            <w:tcW w:w="807" w:type="pct"/>
            <w:noWrap/>
            <w:tcMar>
              <w:left w:w="57" w:type="dxa"/>
              <w:right w:w="57" w:type="dxa"/>
            </w:tcMar>
            <w:hideMark/>
          </w:tcPr>
          <w:p w14:paraId="0E39961D" w14:textId="77777777" w:rsidR="00856E0B" w:rsidRPr="00C461F2" w:rsidRDefault="00856E0B" w:rsidP="00856E0B">
            <w:pPr>
              <w:pStyle w:val="Tabletext0"/>
              <w:keepNext/>
              <w:rPr>
                <w:b/>
              </w:rPr>
            </w:pPr>
            <w:r w:rsidRPr="00C461F2">
              <w:rPr>
                <w:b/>
              </w:rPr>
              <w:t>$497.13</w:t>
            </w:r>
          </w:p>
        </w:tc>
      </w:tr>
      <w:tr w:rsidR="00856E0B" w:rsidRPr="00F834DD" w14:paraId="18BBDAC0" w14:textId="77777777" w:rsidTr="007923A7">
        <w:trPr>
          <w:trHeight w:val="283"/>
        </w:trPr>
        <w:tc>
          <w:tcPr>
            <w:tcW w:w="4193" w:type="pct"/>
            <w:noWrap/>
            <w:tcMar>
              <w:left w:w="57" w:type="dxa"/>
              <w:right w:w="57" w:type="dxa"/>
            </w:tcMar>
            <w:hideMark/>
          </w:tcPr>
          <w:p w14:paraId="12265951" w14:textId="223E2924" w:rsidR="00856E0B" w:rsidRPr="00C461F2" w:rsidRDefault="00A62A83" w:rsidP="00856E0B">
            <w:pPr>
              <w:pStyle w:val="Tabletext0"/>
              <w:keepNext/>
              <w:rPr>
                <w:b/>
              </w:rPr>
            </w:pPr>
            <w:r>
              <w:rPr>
                <w:b/>
              </w:rPr>
              <w:t>M</w:t>
            </w:r>
            <w:r w:rsidR="00856E0B" w:rsidRPr="00C461F2">
              <w:rPr>
                <w:b/>
              </w:rPr>
              <w:t>argin</w:t>
            </w:r>
            <w:r>
              <w:rPr>
                <w:b/>
              </w:rPr>
              <w:t xml:space="preserve"> of error</w:t>
            </w:r>
          </w:p>
        </w:tc>
        <w:tc>
          <w:tcPr>
            <w:tcW w:w="807" w:type="pct"/>
            <w:noWrap/>
            <w:tcMar>
              <w:left w:w="57" w:type="dxa"/>
              <w:right w:w="57" w:type="dxa"/>
            </w:tcMar>
            <w:hideMark/>
          </w:tcPr>
          <w:p w14:paraId="643D24DB" w14:textId="4E358F5E" w:rsidR="00856E0B" w:rsidRPr="00C461F2" w:rsidRDefault="00856E0B" w:rsidP="00856E0B">
            <w:pPr>
              <w:pStyle w:val="Tabletext0"/>
              <w:keepNext/>
              <w:rPr>
                <w:b/>
              </w:rPr>
            </w:pPr>
            <w:r w:rsidRPr="00C461F2">
              <w:rPr>
                <w:b/>
              </w:rPr>
              <w:t>$550</w:t>
            </w:r>
            <w:r w:rsidR="00C461F2" w:rsidRPr="00C461F2">
              <w:rPr>
                <w:b/>
              </w:rPr>
              <w:t>.00</w:t>
            </w:r>
          </w:p>
        </w:tc>
      </w:tr>
    </w:tbl>
    <w:p w14:paraId="630B1C0D" w14:textId="22D993F2" w:rsidR="00856E0B" w:rsidRDefault="00856E0B" w:rsidP="00856E0B">
      <w:pPr>
        <w:pStyle w:val="Tablefooter0"/>
      </w:pPr>
      <w:r w:rsidRPr="00F834DD">
        <w:t>Abbreviations: DNA = deoxyribonucleic acid; H&amp;E = haematoxylin and eosin</w:t>
      </w:r>
      <w:r w:rsidR="00907891">
        <w:t xml:space="preserve">; </w:t>
      </w:r>
      <w:r w:rsidR="00907891" w:rsidRPr="00774446">
        <w:rPr>
          <w:i/>
        </w:rPr>
        <w:t>POLE</w:t>
      </w:r>
      <w:r w:rsidR="00907891">
        <w:t xml:space="preserve"> = </w:t>
      </w:r>
      <w:r w:rsidR="00907891" w:rsidDel="00AF7849">
        <w:t xml:space="preserve">DNA </w:t>
      </w:r>
      <w:r w:rsidR="00907891">
        <w:t>polymerase epsilon</w:t>
      </w:r>
      <w:r w:rsidR="00604EE2">
        <w:t>, catalytic subunit</w:t>
      </w:r>
    </w:p>
    <w:p w14:paraId="021F1E33" w14:textId="36CB1AFB" w:rsidR="00B967FA" w:rsidRPr="00F834DD" w:rsidRDefault="00B967FA" w:rsidP="00047555">
      <w:pPr>
        <w:pStyle w:val="Tablefooter0"/>
        <w:keepNext/>
      </w:pPr>
      <w:r w:rsidRPr="00F834DD">
        <w:t>Source: MSAC Application 1790 PICO Set, Text, pp 9 and 10</w:t>
      </w:r>
    </w:p>
    <w:p w14:paraId="34E0B08F" w14:textId="2F41321B" w:rsidR="00772829" w:rsidRPr="00CE28E3" w:rsidRDefault="4B6EBCBE" w:rsidP="00DE034C">
      <w:pPr>
        <w:pStyle w:val="Heading2"/>
        <w:numPr>
          <w:ilvl w:val="0"/>
          <w:numId w:val="18"/>
        </w:numPr>
        <w:ind w:hanging="720"/>
      </w:pPr>
      <w:bookmarkStart w:id="15" w:name="_Toc220675605"/>
      <w:bookmarkStart w:id="16" w:name="_Toc220670374"/>
      <w:r>
        <w:t>Population</w:t>
      </w:r>
      <w:bookmarkEnd w:id="15"/>
      <w:bookmarkEnd w:id="16"/>
      <w:r>
        <w:t xml:space="preserve"> </w:t>
      </w:r>
    </w:p>
    <w:p w14:paraId="58EA7FB3" w14:textId="21FB930B" w:rsidR="004B3089" w:rsidRPr="004B3089" w:rsidRDefault="002B1F4B" w:rsidP="004D1395">
      <w:r w:rsidRPr="002B1F4B">
        <w:t xml:space="preserve">One PICO set was defined for this application. The target population </w:t>
      </w:r>
      <w:r w:rsidR="00430CED">
        <w:t>i</w:t>
      </w:r>
      <w:r w:rsidR="00430CED" w:rsidRPr="002B1F4B">
        <w:t xml:space="preserve">s </w:t>
      </w:r>
      <w:r w:rsidRPr="002B1F4B">
        <w:t xml:space="preserve">patients </w:t>
      </w:r>
      <w:r w:rsidR="00430CED">
        <w:t xml:space="preserve">diagnosed </w:t>
      </w:r>
      <w:r>
        <w:t>with EC</w:t>
      </w:r>
      <w:r w:rsidR="00C01928">
        <w:t xml:space="preserve">. </w:t>
      </w:r>
      <w:r w:rsidR="004D1CA3">
        <w:t xml:space="preserve">Approximately </w:t>
      </w:r>
      <w:r w:rsidR="000937E6">
        <w:t>7</w:t>
      </w:r>
      <w:r w:rsidR="005427D3">
        <w:t>–</w:t>
      </w:r>
      <w:r w:rsidR="004D1CA3">
        <w:t>10% of the EC population harbour</w:t>
      </w:r>
      <w:r w:rsidR="00D4141C">
        <w:t>s</w:t>
      </w:r>
      <w:r w:rsidR="004D1CA3">
        <w:t xml:space="preserve"> the </w:t>
      </w:r>
      <w:r w:rsidR="004D1CA3" w:rsidRPr="00836811">
        <w:rPr>
          <w:i/>
        </w:rPr>
        <w:t>POLE</w:t>
      </w:r>
      <w:r w:rsidR="004D1CA3">
        <w:t xml:space="preserve"> mutation</w:t>
      </w:r>
      <w:r w:rsidR="007E30D9">
        <w:t xml:space="preserve"> (</w:t>
      </w:r>
      <w:r w:rsidR="007E30D9">
        <w:rPr>
          <w:i/>
        </w:rPr>
        <w:t>POLE</w:t>
      </w:r>
      <w:r w:rsidR="007E30D9">
        <w:t>mut)</w:t>
      </w:r>
      <w:r w:rsidR="004D1CA3">
        <w:t xml:space="preserve">. </w:t>
      </w:r>
      <w:r w:rsidR="006428E8">
        <w:t>Most</w:t>
      </w:r>
      <w:r w:rsidR="006A0040">
        <w:t xml:space="preserve"> </w:t>
      </w:r>
      <w:r w:rsidR="006A0040" w:rsidRPr="00836811">
        <w:rPr>
          <w:i/>
        </w:rPr>
        <w:t>POLE</w:t>
      </w:r>
      <w:r w:rsidR="006A0040">
        <w:t>mut EC</w:t>
      </w:r>
      <w:r w:rsidR="006428E8">
        <w:t>s</w:t>
      </w:r>
      <w:r w:rsidR="006A0040">
        <w:t xml:space="preserve"> are</w:t>
      </w:r>
      <w:r w:rsidR="00A21D6F">
        <w:t xml:space="preserve"> of endometrioid histology and </w:t>
      </w:r>
      <w:r w:rsidR="006428E8">
        <w:t xml:space="preserve">are </w:t>
      </w:r>
      <w:r w:rsidR="00E829E6">
        <w:t xml:space="preserve">classed as </w:t>
      </w:r>
      <w:r w:rsidR="00A21D6F">
        <w:t>stage I</w:t>
      </w:r>
      <w:r w:rsidR="00D4141C">
        <w:t>–</w:t>
      </w:r>
      <w:r w:rsidR="00A21D6F">
        <w:t>II</w:t>
      </w:r>
      <w:r w:rsidR="0041130B">
        <w:t>.</w:t>
      </w:r>
      <w:r w:rsidR="00A21D6F">
        <w:t xml:space="preserve"> A substantial proportion of </w:t>
      </w:r>
      <w:r w:rsidR="00A21D6F" w:rsidRPr="00836811">
        <w:rPr>
          <w:i/>
        </w:rPr>
        <w:t>POLE</w:t>
      </w:r>
      <w:r w:rsidR="00A21D6F">
        <w:t>mut EC</w:t>
      </w:r>
      <w:r w:rsidR="00D7705C">
        <w:t>s</w:t>
      </w:r>
      <w:r w:rsidR="006402A2">
        <w:t xml:space="preserve"> are of high grade (grade 3: 21</w:t>
      </w:r>
      <w:r w:rsidR="00D7705C">
        <w:t>–</w:t>
      </w:r>
      <w:r w:rsidR="006402A2">
        <w:t>60%).</w:t>
      </w:r>
      <w:r w:rsidR="00B84AAC">
        <w:t xml:space="preserve"> </w:t>
      </w:r>
    </w:p>
    <w:p w14:paraId="671035DD" w14:textId="5A7DBB63" w:rsidR="007F3016" w:rsidRDefault="00C01928" w:rsidP="004D1395">
      <w:r>
        <w:t>The proposed technology would be used in</w:t>
      </w:r>
      <w:r w:rsidR="005966F1">
        <w:t xml:space="preserve"> addition to current histopathological investigations </w:t>
      </w:r>
      <w:r w:rsidR="00CC5D2B">
        <w:t>and conducted alongside tests used in current practice (</w:t>
      </w:r>
      <w:r w:rsidR="00244B94">
        <w:t>mismatch repair [</w:t>
      </w:r>
      <w:r w:rsidR="00243C62">
        <w:t>MMR</w:t>
      </w:r>
      <w:r w:rsidR="00862405">
        <w:t>]</w:t>
      </w:r>
      <w:r w:rsidR="00243C62">
        <w:t xml:space="preserve">, </w:t>
      </w:r>
      <w:r w:rsidR="00B62750">
        <w:t>p</w:t>
      </w:r>
      <w:r w:rsidR="00243C62">
        <w:t xml:space="preserve">53, </w:t>
      </w:r>
      <w:r w:rsidR="00244B94">
        <w:t>oestrogen receptor [</w:t>
      </w:r>
      <w:r w:rsidR="00243C62">
        <w:t>ER</w:t>
      </w:r>
      <w:r w:rsidR="00244B94">
        <w:t>]</w:t>
      </w:r>
      <w:r w:rsidR="00243C62">
        <w:t>). While the proposed technology is available for patients if paid for privately</w:t>
      </w:r>
      <w:r w:rsidR="0088324F">
        <w:t xml:space="preserve"> (</w:t>
      </w:r>
      <w:r w:rsidR="00412BB8">
        <w:t xml:space="preserve">by patients </w:t>
      </w:r>
      <w:r w:rsidR="0088324F">
        <w:t>out of pocket</w:t>
      </w:r>
      <w:r w:rsidR="00D734D8">
        <w:t>,</w:t>
      </w:r>
      <w:r w:rsidR="002C5034">
        <w:t xml:space="preserve"> or </w:t>
      </w:r>
      <w:r w:rsidR="00D734D8">
        <w:t>by clinical trial sponsors</w:t>
      </w:r>
      <w:r w:rsidR="0088324F">
        <w:t>)</w:t>
      </w:r>
      <w:r w:rsidR="00FF06D2">
        <w:t>,</w:t>
      </w:r>
      <w:r w:rsidR="00243C62">
        <w:t xml:space="preserve"> it is currently </w:t>
      </w:r>
      <w:r w:rsidR="00412BB8">
        <w:t xml:space="preserve">not </w:t>
      </w:r>
      <w:r w:rsidR="00F351C3">
        <w:t xml:space="preserve">publicly </w:t>
      </w:r>
      <w:r w:rsidR="00243C62">
        <w:t xml:space="preserve">funded. </w:t>
      </w:r>
    </w:p>
    <w:p w14:paraId="65902CA5" w14:textId="49CEF907" w:rsidR="00474187" w:rsidRDefault="00D7705C" w:rsidP="00474187">
      <w:r>
        <w:t xml:space="preserve">International guidelines </w:t>
      </w:r>
      <w:r w:rsidR="0027500D">
        <w:t xml:space="preserve">for </w:t>
      </w:r>
      <w:r w:rsidR="0027500D" w:rsidRPr="00836811">
        <w:rPr>
          <w:i/>
        </w:rPr>
        <w:t>POLE</w:t>
      </w:r>
      <w:r w:rsidR="0027500D">
        <w:t xml:space="preserve"> genotyping are inconsistent, which has implications for the size of the test population. The International Federation of Gyn</w:t>
      </w:r>
      <w:r w:rsidR="006A454B">
        <w:t>a</w:t>
      </w:r>
      <w:r w:rsidR="0027500D">
        <w:t xml:space="preserve">ecology and Obstetrics (FIGO) recommends </w:t>
      </w:r>
      <w:r w:rsidR="0027500D" w:rsidRPr="00572E78">
        <w:rPr>
          <w:i/>
        </w:rPr>
        <w:t>POLE</w:t>
      </w:r>
      <w:r w:rsidR="0027500D">
        <w:t xml:space="preserve"> genotyping in all EC patients</w:t>
      </w:r>
      <w:r w:rsidR="000E0031">
        <w:t>. In contrast,</w:t>
      </w:r>
      <w:r w:rsidR="0027500D">
        <w:t xml:space="preserve"> </w:t>
      </w:r>
      <w:r w:rsidR="000E0031">
        <w:t>t</w:t>
      </w:r>
      <w:r w:rsidR="000315E3">
        <w:t xml:space="preserve">he </w:t>
      </w:r>
      <w:r w:rsidR="00D45C52">
        <w:t xml:space="preserve">2022 </w:t>
      </w:r>
      <w:r w:rsidR="000315E3">
        <w:t xml:space="preserve">British Association of </w:t>
      </w:r>
      <w:r w:rsidR="000315E3">
        <w:lastRenderedPageBreak/>
        <w:t>Gynaecological Pathologists (BAGP)</w:t>
      </w:r>
      <w:r w:rsidR="0027500D">
        <w:t xml:space="preserve"> recommends </w:t>
      </w:r>
      <w:r w:rsidR="0027500D" w:rsidRPr="00572E78">
        <w:rPr>
          <w:i/>
        </w:rPr>
        <w:t>POLE</w:t>
      </w:r>
      <w:r w:rsidR="0027500D">
        <w:t xml:space="preserve"> genotyping only for specific groups</w:t>
      </w:r>
      <w:r w:rsidR="000E0031">
        <w:t>,</w:t>
      </w:r>
      <w:r w:rsidR="00474187">
        <w:t xml:space="preserve"> where the </w:t>
      </w:r>
      <w:r w:rsidR="000E0031">
        <w:t>results have the potential to</w:t>
      </w:r>
      <w:r w:rsidR="00474187">
        <w:t xml:space="preserve"> influence decisions regarding adjuvant treatment. The BAGP guidelines recommend </w:t>
      </w:r>
      <w:r w:rsidR="00474187" w:rsidRPr="00B04253">
        <w:rPr>
          <w:i/>
          <w:iCs/>
        </w:rPr>
        <w:t>POLE</w:t>
      </w:r>
      <w:r w:rsidR="00474187">
        <w:t xml:space="preserve"> genotyping in groups such as patients with abnormal MMR or p53 results and stage III or IV or locally advanced EC, if recommended by a multi-disciplinary team (MDT). The BAGP did not recommend </w:t>
      </w:r>
      <w:r w:rsidR="00474187" w:rsidRPr="00FD5890">
        <w:rPr>
          <w:i/>
          <w:iCs/>
        </w:rPr>
        <w:t xml:space="preserve">POLE </w:t>
      </w:r>
      <w:r w:rsidR="00474187">
        <w:t xml:space="preserve">genotyping in patients with low-grade, endometrioid, stage IA, no/focal lymphovascular space invasion (LVSI) and ER+ EC, and those with stage III/IV or locally advanced EC. </w:t>
      </w:r>
    </w:p>
    <w:p w14:paraId="2AD1B774" w14:textId="77777777" w:rsidR="00AC17DC" w:rsidRDefault="00804EC6" w:rsidP="004D1395">
      <w:r>
        <w:t>PASC considered that all EC patients should be eligible for testing</w:t>
      </w:r>
      <w:r w:rsidR="005072D8">
        <w:t xml:space="preserve"> </w:t>
      </w:r>
      <w:r w:rsidR="005072D8" w:rsidRPr="005072D8">
        <w:t>(preferably on the initial biopsy at the diagnosis stage)</w:t>
      </w:r>
      <w:r>
        <w:t xml:space="preserve">. </w:t>
      </w:r>
      <w:r w:rsidR="009F028C">
        <w:t>In the p</w:t>
      </w:r>
      <w:r w:rsidR="0067131A">
        <w:t xml:space="preserve">ost-PASC </w:t>
      </w:r>
      <w:r w:rsidR="009F028C">
        <w:t>period,</w:t>
      </w:r>
      <w:r w:rsidR="001F4742">
        <w:t xml:space="preserve"> targeted consultation</w:t>
      </w:r>
      <w:r w:rsidR="004E2A3D">
        <w:t xml:space="preserve"> by the department </w:t>
      </w:r>
      <w:r w:rsidR="00D368BD">
        <w:t>with</w:t>
      </w:r>
      <w:r w:rsidR="001F4742">
        <w:t xml:space="preserve"> key groups and organisations indicated there is no single approach in Australia regarding patient eligibility for </w:t>
      </w:r>
      <w:r w:rsidR="001F4742" w:rsidRPr="00836811">
        <w:rPr>
          <w:i/>
        </w:rPr>
        <w:t>POLE</w:t>
      </w:r>
      <w:r w:rsidR="001F4742">
        <w:t xml:space="preserve"> genotyping. </w:t>
      </w:r>
    </w:p>
    <w:p w14:paraId="28371624" w14:textId="5B849D4B" w:rsidR="001D56D8" w:rsidRDefault="007416C8" w:rsidP="004D1395">
      <w:r>
        <w:t>An independent</w:t>
      </w:r>
      <w:r w:rsidR="007A7078">
        <w:t xml:space="preserve"> Australian clinical expert advised </w:t>
      </w:r>
      <w:r w:rsidR="00FB45DA">
        <w:t xml:space="preserve">the assessment group </w:t>
      </w:r>
      <w:r w:rsidR="007A7078">
        <w:t xml:space="preserve">that management of EC in Australia generally follows </w:t>
      </w:r>
      <w:r w:rsidR="0049178C">
        <w:t xml:space="preserve">guidelines from </w:t>
      </w:r>
      <w:r w:rsidR="007A7078">
        <w:t xml:space="preserve">the </w:t>
      </w:r>
      <w:r w:rsidR="00D709CB" w:rsidRPr="00F834DD">
        <w:t>European Society of Gynaecological Oncology</w:t>
      </w:r>
      <w:r w:rsidR="00D709CB">
        <w:t xml:space="preserve">, </w:t>
      </w:r>
      <w:r w:rsidR="00D709CB" w:rsidRPr="00F834DD">
        <w:t xml:space="preserve">European Society for Radiotherapy and Oncology </w:t>
      </w:r>
      <w:r w:rsidR="00D709CB">
        <w:t xml:space="preserve">and </w:t>
      </w:r>
      <w:r w:rsidR="00D709CB" w:rsidRPr="00F834DD">
        <w:t xml:space="preserve">European Society of Pathology </w:t>
      </w:r>
      <w:r w:rsidR="00D709CB">
        <w:t>(</w:t>
      </w:r>
      <w:r w:rsidR="007A7078">
        <w:t>ESGO-ESTRO-ESP</w:t>
      </w:r>
      <w:r w:rsidR="00D709CB">
        <w:t>)</w:t>
      </w:r>
      <w:r w:rsidR="0049178C">
        <w:t>;</w:t>
      </w:r>
      <w:r w:rsidR="007A7078">
        <w:t xml:space="preserve"> </w:t>
      </w:r>
      <w:r w:rsidR="00430775">
        <w:t>the European Society for Medical Oncology (</w:t>
      </w:r>
      <w:r w:rsidR="007A7078">
        <w:t>ESMO</w:t>
      </w:r>
      <w:r w:rsidR="00430775">
        <w:t>)</w:t>
      </w:r>
      <w:r w:rsidR="007A7078">
        <w:t xml:space="preserve"> and </w:t>
      </w:r>
      <w:r w:rsidR="00D128FC">
        <w:t>the American Society for Radiation Oncology (</w:t>
      </w:r>
      <w:r w:rsidR="007A7078">
        <w:t>ASTRO</w:t>
      </w:r>
      <w:r w:rsidR="00D128FC">
        <w:t>)</w:t>
      </w:r>
      <w:r w:rsidR="007A7078">
        <w:t xml:space="preserve"> </w:t>
      </w:r>
      <w:r w:rsidR="00FD2A8F">
        <w:t>(</w:t>
      </w:r>
      <w:r w:rsidR="00FD2A8F" w:rsidRPr="00917FA1">
        <w:t xml:space="preserve">personal communication, </w:t>
      </w:r>
      <w:r w:rsidR="00FD2A8F">
        <w:t>g</w:t>
      </w:r>
      <w:r w:rsidR="00FD2A8F" w:rsidRPr="00917FA1">
        <w:t>ynaecological surgeon, October 2025</w:t>
      </w:r>
      <w:r w:rsidR="00FD2A8F">
        <w:t>)</w:t>
      </w:r>
      <w:r w:rsidR="007A7078">
        <w:t xml:space="preserve">. </w:t>
      </w:r>
      <w:r w:rsidR="006428E8" w:rsidRPr="006428E8">
        <w:t xml:space="preserve">ESMO recommends </w:t>
      </w:r>
      <w:r w:rsidR="006428E8" w:rsidRPr="006428E8">
        <w:rPr>
          <w:i/>
          <w:iCs/>
        </w:rPr>
        <w:t>POLE</w:t>
      </w:r>
      <w:r w:rsidR="006428E8" w:rsidRPr="006428E8">
        <w:t xml:space="preserve"> genotyping is performed sequentially in the following order: </w:t>
      </w:r>
      <w:r w:rsidR="006428E8" w:rsidRPr="006428E8">
        <w:rPr>
          <w:i/>
          <w:iCs/>
        </w:rPr>
        <w:t>POLE</w:t>
      </w:r>
      <w:r w:rsidR="006A1747">
        <w:rPr>
          <w:i/>
          <w:iCs/>
        </w:rPr>
        <w:t>,</w:t>
      </w:r>
      <w:r w:rsidR="006428E8" w:rsidRPr="006428E8">
        <w:t xml:space="preserve"> MMR </w:t>
      </w:r>
      <w:r w:rsidR="006A1747">
        <w:t xml:space="preserve">and then </w:t>
      </w:r>
      <w:r w:rsidR="006428E8" w:rsidRPr="006428E8">
        <w:t>p53.</w:t>
      </w:r>
      <w:bookmarkStart w:id="17" w:name="_Ref222384464"/>
      <w:r w:rsidR="00B80C56">
        <w:rPr>
          <w:rStyle w:val="FootnoteReference"/>
        </w:rPr>
        <w:footnoteReference w:id="5"/>
      </w:r>
      <w:bookmarkEnd w:id="17"/>
      <w:r w:rsidR="006428E8">
        <w:rPr>
          <w:vertAlign w:val="superscript"/>
        </w:rPr>
        <w:t xml:space="preserve"> </w:t>
      </w:r>
      <w:r w:rsidR="006428E8">
        <w:t>T</w:t>
      </w:r>
      <w:r w:rsidR="006428E8" w:rsidRPr="006428E8">
        <w:t>he ESGO-ESTRO-ESP guidelines follow no particular sequence</w:t>
      </w:r>
      <w:r w:rsidR="006428E8">
        <w:t>.</w:t>
      </w:r>
      <w:bookmarkStart w:id="18" w:name="_Ref222384373"/>
      <w:r w:rsidR="00CD05D7">
        <w:rPr>
          <w:rStyle w:val="FootnoteReference"/>
        </w:rPr>
        <w:footnoteReference w:id="6"/>
      </w:r>
      <w:bookmarkEnd w:id="18"/>
      <w:r w:rsidR="006428E8">
        <w:rPr>
          <w:vertAlign w:val="superscript"/>
        </w:rPr>
        <w:t xml:space="preserve"> </w:t>
      </w:r>
      <w:r w:rsidR="00CF1385">
        <w:t>T</w:t>
      </w:r>
      <w:r w:rsidR="000315E3">
        <w:t xml:space="preserve">he sequence of testing in Australian laboratories is </w:t>
      </w:r>
      <w:r w:rsidR="001F16C5">
        <w:t>un</w:t>
      </w:r>
      <w:r w:rsidR="000315E3">
        <w:t>known</w:t>
      </w:r>
      <w:r w:rsidR="00CF1385">
        <w:t>.</w:t>
      </w:r>
      <w:r w:rsidR="000315E3">
        <w:t xml:space="preserve"> </w:t>
      </w:r>
      <w:r w:rsidR="00CF1385">
        <w:t>A</w:t>
      </w:r>
      <w:r w:rsidR="00417178">
        <w:t>s the</w:t>
      </w:r>
      <w:r w:rsidR="000315E3">
        <w:t xml:space="preserve"> targeted consultation of key groups and organisations indicated there is no single approach in Australian practice</w:t>
      </w:r>
      <w:r w:rsidR="001F4742">
        <w:t xml:space="preserve"> </w:t>
      </w:r>
      <w:r w:rsidR="00407D29">
        <w:t>f</w:t>
      </w:r>
      <w:r w:rsidR="001F4742">
        <w:t xml:space="preserve">or </w:t>
      </w:r>
      <w:r w:rsidR="00357121">
        <w:t>testing sequence</w:t>
      </w:r>
      <w:r w:rsidR="00407D29">
        <w:t xml:space="preserve"> or</w:t>
      </w:r>
      <w:r w:rsidR="001F4742">
        <w:t xml:space="preserve"> methodologies used</w:t>
      </w:r>
      <w:r w:rsidR="00417178">
        <w:t>,</w:t>
      </w:r>
      <w:r w:rsidR="002F77A6">
        <w:t xml:space="preserve"> </w:t>
      </w:r>
      <w:r w:rsidR="005F7DD5">
        <w:t>t</w:t>
      </w:r>
      <w:r w:rsidR="002F77A6">
        <w:t>his supports the request for a method agnostic restriction.</w:t>
      </w:r>
    </w:p>
    <w:p w14:paraId="3505DCEA" w14:textId="23B881A1" w:rsidR="001D56D8" w:rsidRPr="004B3089" w:rsidRDefault="00DD6FD5" w:rsidP="004D1395">
      <w:r>
        <w:t xml:space="preserve">The </w:t>
      </w:r>
      <w:r w:rsidR="003C7433">
        <w:t xml:space="preserve">applicant’s proposal for public funding described </w:t>
      </w:r>
      <w:r w:rsidR="007F66BD">
        <w:t xml:space="preserve">the following </w:t>
      </w:r>
      <w:r>
        <w:t>proposed clinical management</w:t>
      </w:r>
      <w:r w:rsidR="007F66BD">
        <w:t>.</w:t>
      </w:r>
      <w:r>
        <w:t xml:space="preserve"> </w:t>
      </w:r>
      <w:r w:rsidR="00824621">
        <w:t xml:space="preserve">Patients </w:t>
      </w:r>
      <w:r w:rsidR="00D21A67">
        <w:t xml:space="preserve">presenting with EC symptoms </w:t>
      </w:r>
      <w:r w:rsidR="00C84362">
        <w:t>will</w:t>
      </w:r>
      <w:r w:rsidR="00E66AAD">
        <w:t xml:space="preserve"> </w:t>
      </w:r>
      <w:r w:rsidR="00D21A67">
        <w:t>undergo standard investigation and imaging</w:t>
      </w:r>
      <w:r w:rsidR="00B002A0">
        <w:t>. I</w:t>
      </w:r>
      <w:r w:rsidR="00D21A67">
        <w:t xml:space="preserve">f </w:t>
      </w:r>
      <w:r w:rsidR="00CB4F89">
        <w:t>EC is suspected</w:t>
      </w:r>
      <w:r w:rsidR="00BB33CB">
        <w:t xml:space="preserve"> following </w:t>
      </w:r>
      <w:r w:rsidR="00BE407C">
        <w:t>these investigations</w:t>
      </w:r>
      <w:r w:rsidR="00B002A0">
        <w:t>,</w:t>
      </w:r>
      <w:r w:rsidR="00D21A67">
        <w:t xml:space="preserve"> </w:t>
      </w:r>
      <w:r w:rsidR="000F062A">
        <w:t xml:space="preserve">patients </w:t>
      </w:r>
      <w:r w:rsidR="00D21A67">
        <w:t xml:space="preserve">will receive </w:t>
      </w:r>
      <w:r w:rsidR="00D25BDA">
        <w:t>an</w:t>
      </w:r>
      <w:r w:rsidR="00D21A67">
        <w:t xml:space="preserve"> endometrial biopsy followed by histology of the biopsy sample</w:t>
      </w:r>
      <w:r w:rsidR="00B002A0">
        <w:t>. I</w:t>
      </w:r>
      <w:r w:rsidR="00D21A67">
        <w:t xml:space="preserve">f </w:t>
      </w:r>
      <w:r w:rsidR="00617697">
        <w:t xml:space="preserve">histology is </w:t>
      </w:r>
      <w:r w:rsidR="00D21A67">
        <w:t>positive for EC</w:t>
      </w:r>
      <w:r w:rsidR="00B002A0">
        <w:t>,</w:t>
      </w:r>
      <w:r w:rsidR="00D21A67">
        <w:t xml:space="preserve"> patients will either have a hysterectomy and histopathology </w:t>
      </w:r>
      <w:r w:rsidR="00FD4C1B">
        <w:t xml:space="preserve">with </w:t>
      </w:r>
      <w:r w:rsidR="000E2251" w:rsidRPr="003E2792">
        <w:rPr>
          <w:i/>
        </w:rPr>
        <w:t>POLE</w:t>
      </w:r>
      <w:r w:rsidR="000E2251">
        <w:t xml:space="preserve"> genotyping</w:t>
      </w:r>
      <w:r w:rsidR="00FC38B7">
        <w:t xml:space="preserve"> </w:t>
      </w:r>
      <w:r w:rsidR="00D21A67">
        <w:t>conducted on the hysterectomy sample</w:t>
      </w:r>
      <w:r w:rsidR="00FD4C1B">
        <w:t>,</w:t>
      </w:r>
      <w:r w:rsidR="00D21A67">
        <w:t xml:space="preserve"> or if hysterectomy is not required</w:t>
      </w:r>
      <w:r w:rsidR="00FD4C1B">
        <w:t>,</w:t>
      </w:r>
      <w:r w:rsidR="00D21A67">
        <w:t xml:space="preserve"> histopathology </w:t>
      </w:r>
      <w:r w:rsidR="00FC38B7">
        <w:t>and</w:t>
      </w:r>
      <w:r w:rsidR="000E2251" w:rsidRPr="000E2251">
        <w:t xml:space="preserve"> </w:t>
      </w:r>
      <w:r w:rsidR="000E2251" w:rsidRPr="003E2792">
        <w:rPr>
          <w:i/>
        </w:rPr>
        <w:t>POLE</w:t>
      </w:r>
      <w:r w:rsidR="000E2251" w:rsidRPr="000E2251">
        <w:t xml:space="preserve"> genotyping</w:t>
      </w:r>
      <w:r w:rsidR="000E2251">
        <w:t xml:space="preserve"> conducted</w:t>
      </w:r>
      <w:r w:rsidR="00D21A67">
        <w:t xml:space="preserve"> on the </w:t>
      </w:r>
      <w:r w:rsidR="00553DA5">
        <w:t xml:space="preserve">initial </w:t>
      </w:r>
      <w:r w:rsidR="002A2F25">
        <w:t xml:space="preserve">endometrial </w:t>
      </w:r>
      <w:r w:rsidR="00D21A67">
        <w:t xml:space="preserve">biopsy sample. </w:t>
      </w:r>
      <w:r w:rsidR="000E2251">
        <w:t xml:space="preserve">In cases where patients test positive for </w:t>
      </w:r>
      <w:r w:rsidR="00C156B8" w:rsidRPr="004B23FD">
        <w:rPr>
          <w:i/>
        </w:rPr>
        <w:t>POLE</w:t>
      </w:r>
      <w:r w:rsidR="00C156B8" w:rsidRPr="004B23FD">
        <w:t>mut</w:t>
      </w:r>
      <w:r w:rsidR="00FD4C1B">
        <w:t>,</w:t>
      </w:r>
      <w:r w:rsidR="000E2251">
        <w:t xml:space="preserve"> de-</w:t>
      </w:r>
      <w:r w:rsidR="00F27AB5">
        <w:t>escalation</w:t>
      </w:r>
      <w:r w:rsidR="000E2251">
        <w:t xml:space="preserve"> </w:t>
      </w:r>
      <w:r w:rsidR="007E30D9">
        <w:t>of</w:t>
      </w:r>
      <w:r w:rsidR="000E2251">
        <w:t xml:space="preserve"> </w:t>
      </w:r>
      <w:r w:rsidR="00683202">
        <w:t xml:space="preserve">adjuvant </w:t>
      </w:r>
      <w:r w:rsidR="000E2251">
        <w:t xml:space="preserve">treatment would be considered based on individual case factors and </w:t>
      </w:r>
      <w:r w:rsidR="00F27AB5">
        <w:t>expert opinion</w:t>
      </w:r>
      <w:r w:rsidR="00FD4C1B">
        <w:t>.</w:t>
      </w:r>
      <w:r w:rsidR="00F27AB5">
        <w:t xml:space="preserve"> If the patient does not test positive for </w:t>
      </w:r>
      <w:r w:rsidR="00F27AB5" w:rsidRPr="003E2792">
        <w:rPr>
          <w:i/>
        </w:rPr>
        <w:t>POLE</w:t>
      </w:r>
      <w:r w:rsidR="00F27AB5">
        <w:t>mut</w:t>
      </w:r>
      <w:r w:rsidR="00F569FC">
        <w:t>,</w:t>
      </w:r>
      <w:r w:rsidR="00F27AB5">
        <w:t xml:space="preserve"> </w:t>
      </w:r>
      <w:r w:rsidR="00683202">
        <w:t xml:space="preserve">adjuvant </w:t>
      </w:r>
      <w:r w:rsidR="00F27AB5">
        <w:t xml:space="preserve">treatment </w:t>
      </w:r>
      <w:r w:rsidR="007A04BF">
        <w:t xml:space="preserve">will </w:t>
      </w:r>
      <w:r w:rsidR="00A85714">
        <w:t xml:space="preserve">proceed </w:t>
      </w:r>
      <w:r w:rsidR="00FD4C1B">
        <w:t>according to</w:t>
      </w:r>
      <w:r w:rsidR="00F27AB5">
        <w:t xml:space="preserve"> current management guidelines. </w:t>
      </w:r>
    </w:p>
    <w:p w14:paraId="7E191260" w14:textId="731593E5" w:rsidR="00D25BDA" w:rsidRDefault="00D25BDA" w:rsidP="004D1395">
      <w:r>
        <w:t>If patient management post</w:t>
      </w:r>
      <w:r w:rsidR="001117BB">
        <w:t>-</w:t>
      </w:r>
      <w:r w:rsidRPr="4149BF96">
        <w:rPr>
          <w:i/>
          <w:iCs/>
        </w:rPr>
        <w:t>POLE</w:t>
      </w:r>
      <w:r>
        <w:t xml:space="preserve"> genotyping does not change</w:t>
      </w:r>
      <w:r w:rsidR="001117BB">
        <w:t>,</w:t>
      </w:r>
      <w:r>
        <w:t xml:space="preserve"> there is no meaningful change in resource utilisation. If the presence of </w:t>
      </w:r>
      <w:r w:rsidRPr="4149BF96">
        <w:rPr>
          <w:i/>
          <w:iCs/>
        </w:rPr>
        <w:t>POLE</w:t>
      </w:r>
      <w:r>
        <w:t xml:space="preserve"> </w:t>
      </w:r>
      <w:r w:rsidR="005671D0">
        <w:t xml:space="preserve">variant </w:t>
      </w:r>
      <w:r>
        <w:t>result</w:t>
      </w:r>
      <w:r w:rsidR="001117BB">
        <w:t>s</w:t>
      </w:r>
      <w:r>
        <w:t xml:space="preserve"> in </w:t>
      </w:r>
      <w:r w:rsidR="00683202">
        <w:t xml:space="preserve">adjuvant </w:t>
      </w:r>
      <w:r>
        <w:t>treatment de-escalation for some patients</w:t>
      </w:r>
      <w:r w:rsidR="00985163">
        <w:t>,</w:t>
      </w:r>
      <w:r>
        <w:t xml:space="preserve"> then resource use will decrease. </w:t>
      </w:r>
    </w:p>
    <w:p w14:paraId="56A66E6F" w14:textId="52FFF0E8" w:rsidR="00E03B63" w:rsidRPr="004B3089" w:rsidRDefault="00E03B63" w:rsidP="004D1395">
      <w:r>
        <w:t>The assessment report addresse</w:t>
      </w:r>
      <w:r w:rsidR="00A675E1">
        <w:t>s</w:t>
      </w:r>
      <w:r>
        <w:t xml:space="preserve"> the requirements of the PICO confirmation. </w:t>
      </w:r>
    </w:p>
    <w:p w14:paraId="69011619" w14:textId="77BCCF0C" w:rsidR="00F103AC" w:rsidRDefault="00772829" w:rsidP="00DE034C">
      <w:pPr>
        <w:pStyle w:val="Heading2"/>
        <w:numPr>
          <w:ilvl w:val="0"/>
          <w:numId w:val="18"/>
        </w:numPr>
        <w:ind w:hanging="720"/>
      </w:pPr>
      <w:bookmarkStart w:id="19" w:name="_Toc220675606"/>
      <w:bookmarkStart w:id="20" w:name="_Toc220670375"/>
      <w:r w:rsidRPr="00CE28E3">
        <w:t>Comparator</w:t>
      </w:r>
      <w:bookmarkEnd w:id="19"/>
      <w:bookmarkEnd w:id="20"/>
    </w:p>
    <w:p w14:paraId="6C2A35BA" w14:textId="7851BB3A" w:rsidR="00E84469" w:rsidRPr="00BD2AA1" w:rsidRDefault="00E84469" w:rsidP="00614F1E">
      <w:r w:rsidRPr="00533EE6">
        <w:t>The comparator specified</w:t>
      </w:r>
      <w:r w:rsidRPr="00533EE6" w:rsidDel="00C87F4B">
        <w:t xml:space="preserve"> </w:t>
      </w:r>
      <w:r w:rsidR="00190336">
        <w:t xml:space="preserve">by the applicant </w:t>
      </w:r>
      <w:r w:rsidR="00117402">
        <w:t xml:space="preserve">in the </w:t>
      </w:r>
      <w:r w:rsidR="00190336">
        <w:t>post-PASC</w:t>
      </w:r>
      <w:r w:rsidRPr="00533EE6">
        <w:t xml:space="preserve"> </w:t>
      </w:r>
      <w:r w:rsidR="00117402">
        <w:t xml:space="preserve">period </w:t>
      </w:r>
      <w:r w:rsidR="000436CD">
        <w:t>was</w:t>
      </w:r>
      <w:r w:rsidRPr="00533EE6">
        <w:t xml:space="preserve"> no </w:t>
      </w:r>
      <w:r w:rsidRPr="003E2792">
        <w:rPr>
          <w:i/>
        </w:rPr>
        <w:t>POLE</w:t>
      </w:r>
      <w:r w:rsidRPr="00533EE6">
        <w:t xml:space="preserve"> genotyping</w:t>
      </w:r>
      <w:r w:rsidR="00503FBD" w:rsidRPr="00533EE6">
        <w:t>. After hysterectomy</w:t>
      </w:r>
      <w:r w:rsidR="00C87F4B">
        <w:t>,</w:t>
      </w:r>
      <w:r w:rsidR="00503FBD" w:rsidRPr="00533EE6">
        <w:t xml:space="preserve"> the sample would undergo</w:t>
      </w:r>
      <w:r w:rsidR="00985163" w:rsidRPr="00533EE6">
        <w:t xml:space="preserve"> </w:t>
      </w:r>
      <w:r w:rsidR="00855661" w:rsidRPr="00533EE6">
        <w:t xml:space="preserve">standard investigations including MMR, </w:t>
      </w:r>
      <w:r w:rsidR="00CF2C29">
        <w:t>p</w:t>
      </w:r>
      <w:r w:rsidR="00855661" w:rsidRPr="00533EE6">
        <w:t>53 and ER immunochemistry</w:t>
      </w:r>
      <w:r w:rsidR="00864512" w:rsidRPr="00533EE6">
        <w:t xml:space="preserve"> without </w:t>
      </w:r>
      <w:r w:rsidR="00864512" w:rsidRPr="003E2792">
        <w:rPr>
          <w:i/>
        </w:rPr>
        <w:t>POLE</w:t>
      </w:r>
      <w:r w:rsidR="00864512" w:rsidRPr="00533EE6">
        <w:t xml:space="preserve"> </w:t>
      </w:r>
      <w:r w:rsidR="00B7550A" w:rsidRPr="00BD2AA1">
        <w:t>variant</w:t>
      </w:r>
      <w:r w:rsidR="00864512" w:rsidRPr="00BD2AA1">
        <w:t xml:space="preserve"> ana</w:t>
      </w:r>
      <w:r w:rsidR="001E62C0" w:rsidRPr="00BD2AA1">
        <w:t>l</w:t>
      </w:r>
      <w:r w:rsidR="00864512" w:rsidRPr="00BD2AA1">
        <w:t xml:space="preserve">ysis. </w:t>
      </w:r>
      <w:r w:rsidR="001E62C0" w:rsidRPr="00BD2AA1">
        <w:t>Patients would be treated based on the histological findings</w:t>
      </w:r>
      <w:r w:rsidR="00241381">
        <w:t xml:space="preserve"> and the results </w:t>
      </w:r>
      <w:r w:rsidR="00117402">
        <w:t xml:space="preserve">of the </w:t>
      </w:r>
      <w:r w:rsidR="00117402" w:rsidRPr="00533EE6">
        <w:t xml:space="preserve">MMR, </w:t>
      </w:r>
      <w:r w:rsidR="00117402">
        <w:t>p</w:t>
      </w:r>
      <w:r w:rsidR="00117402" w:rsidRPr="00533EE6">
        <w:t>53 and ER</w:t>
      </w:r>
      <w:r w:rsidR="00117402">
        <w:t xml:space="preserve"> tests</w:t>
      </w:r>
      <w:r w:rsidR="00C87F4B">
        <w:t>,</w:t>
      </w:r>
      <w:r w:rsidR="001E62C0" w:rsidRPr="00BD2AA1">
        <w:t xml:space="preserve"> which may include a combination of observation, radiation and/or chemotherapy. </w:t>
      </w:r>
    </w:p>
    <w:p w14:paraId="2B82C9EB" w14:textId="7C9684E6" w:rsidR="004A2897" w:rsidRDefault="000D651C" w:rsidP="00614F1E">
      <w:r w:rsidRPr="00533EE6">
        <w:lastRenderedPageBreak/>
        <w:t xml:space="preserve">The proposed comparator </w:t>
      </w:r>
      <w:r w:rsidR="00271849" w:rsidRPr="00533EE6">
        <w:t xml:space="preserve">is </w:t>
      </w:r>
      <w:r w:rsidR="00186E69">
        <w:t>no</w:t>
      </w:r>
      <w:r w:rsidR="00A77CF7">
        <w:t xml:space="preserve"> </w:t>
      </w:r>
      <w:r w:rsidR="00A77CF7" w:rsidRPr="00836811">
        <w:rPr>
          <w:i/>
        </w:rPr>
        <w:t>POLE</w:t>
      </w:r>
      <w:r w:rsidR="00A77CF7">
        <w:t xml:space="preserve"> genotyping. </w:t>
      </w:r>
      <w:r w:rsidR="00A77CF7" w:rsidRPr="00FB62EB">
        <w:t xml:space="preserve">The comparator </w:t>
      </w:r>
      <w:r w:rsidR="00117402">
        <w:t xml:space="preserve">identified by the applicant in the post-PASC period </w:t>
      </w:r>
      <w:r w:rsidR="00A77CF7" w:rsidRPr="00FB62EB">
        <w:t xml:space="preserve">is </w:t>
      </w:r>
      <w:r w:rsidR="00271849" w:rsidRPr="00FB62EB">
        <w:t xml:space="preserve">appropriate. </w:t>
      </w:r>
    </w:p>
    <w:p w14:paraId="6474D42A" w14:textId="73743E5B" w:rsidR="00271849" w:rsidRDefault="00ED203A" w:rsidP="00614F1E">
      <w:r w:rsidRPr="00ED203A">
        <w:t xml:space="preserve"> </w:t>
      </w:r>
      <w:r>
        <w:t>No MBS item number is currently available for</w:t>
      </w:r>
      <w:r w:rsidR="004A2897">
        <w:t xml:space="preserve"> </w:t>
      </w:r>
      <w:r w:rsidR="004A2897" w:rsidRPr="00836811">
        <w:rPr>
          <w:i/>
        </w:rPr>
        <w:t>POLE</w:t>
      </w:r>
      <w:r w:rsidR="004A2897">
        <w:t xml:space="preserve"> genotyping</w:t>
      </w:r>
      <w:r w:rsidR="002C5034">
        <w:t>.</w:t>
      </w:r>
      <w:r w:rsidR="004A2897">
        <w:t xml:space="preserve"> </w:t>
      </w:r>
    </w:p>
    <w:p w14:paraId="02011381" w14:textId="77777777" w:rsidR="002361D0" w:rsidRPr="005B6EFD" w:rsidRDefault="002361D0" w:rsidP="00DE034C">
      <w:pPr>
        <w:pStyle w:val="Heading2"/>
        <w:numPr>
          <w:ilvl w:val="0"/>
          <w:numId w:val="18"/>
        </w:numPr>
        <w:ind w:hanging="720"/>
      </w:pPr>
      <w:r w:rsidRPr="005B6EFD">
        <w:t xml:space="preserve">Summary of public consultation input </w:t>
      </w:r>
    </w:p>
    <w:p w14:paraId="01261BC4" w14:textId="77777777" w:rsidR="007227F7" w:rsidRPr="005B6EFD" w:rsidRDefault="007227F7" w:rsidP="007227F7">
      <w:r w:rsidRPr="005B6EFD">
        <w:t xml:space="preserve">Consultation input was welcomed from: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0"/>
        <w:gridCol w:w="1230"/>
      </w:tblGrid>
      <w:tr w:rsidR="002361D0" w:rsidRPr="002361D0" w14:paraId="2EB791C9" w14:textId="77777777" w:rsidTr="007227F7">
        <w:trPr>
          <w:trHeight w:val="615"/>
        </w:trPr>
        <w:tc>
          <w:tcPr>
            <w:tcW w:w="7780" w:type="dxa"/>
            <w:tcBorders>
              <w:top w:val="single" w:sz="6" w:space="0" w:color="000000"/>
              <w:left w:val="single" w:sz="6" w:space="0" w:color="000000"/>
              <w:bottom w:val="single" w:sz="6" w:space="0" w:color="auto"/>
              <w:right w:val="single" w:sz="6" w:space="0" w:color="auto"/>
            </w:tcBorders>
            <w:shd w:val="clear" w:color="auto" w:fill="D1D1D1"/>
            <w:vAlign w:val="center"/>
            <w:hideMark/>
          </w:tcPr>
          <w:p w14:paraId="1F7ED00E" w14:textId="3D7B5CEA" w:rsidR="002361D0" w:rsidRPr="002361D0" w:rsidRDefault="002361D0" w:rsidP="007227F7">
            <w:pPr>
              <w:spacing w:before="40" w:after="40"/>
            </w:pPr>
            <w:r w:rsidRPr="002361D0">
              <w:t> </w:t>
            </w:r>
            <w:r w:rsidRPr="002361D0">
              <w:rPr>
                <w:b/>
                <w:bCs/>
              </w:rPr>
              <w:t>1790 – POLE genotyping for the molecular classification of endometrial cancer</w:t>
            </w:r>
            <w:r w:rsidRPr="002361D0">
              <w:t> </w:t>
            </w:r>
          </w:p>
        </w:tc>
        <w:tc>
          <w:tcPr>
            <w:tcW w:w="1230" w:type="dxa"/>
            <w:tcBorders>
              <w:top w:val="single" w:sz="6" w:space="0" w:color="000000"/>
              <w:left w:val="nil"/>
              <w:bottom w:val="single" w:sz="6" w:space="0" w:color="auto"/>
              <w:right w:val="single" w:sz="6" w:space="0" w:color="000000"/>
            </w:tcBorders>
            <w:shd w:val="clear" w:color="auto" w:fill="D1D1D1"/>
            <w:vAlign w:val="center"/>
            <w:hideMark/>
          </w:tcPr>
          <w:p w14:paraId="5F006F38" w14:textId="77777777" w:rsidR="002361D0" w:rsidRPr="002361D0" w:rsidRDefault="002361D0" w:rsidP="007227F7">
            <w:pPr>
              <w:spacing w:before="40" w:after="40"/>
            </w:pPr>
            <w:r w:rsidRPr="002361D0">
              <w:rPr>
                <w:b/>
                <w:bCs/>
              </w:rPr>
              <w:t>No. of Inputs Received</w:t>
            </w:r>
            <w:r w:rsidRPr="002361D0">
              <w:rPr>
                <w:rFonts w:ascii="Arial" w:hAnsi="Arial" w:cs="Arial"/>
              </w:rPr>
              <w:t> </w:t>
            </w:r>
            <w:r w:rsidRPr="002361D0">
              <w:t> </w:t>
            </w:r>
          </w:p>
        </w:tc>
      </w:tr>
      <w:tr w:rsidR="002361D0" w:rsidRPr="002361D0" w14:paraId="39698CE7" w14:textId="77777777" w:rsidTr="007227F7">
        <w:trPr>
          <w:trHeight w:val="585"/>
        </w:trPr>
        <w:tc>
          <w:tcPr>
            <w:tcW w:w="9010" w:type="dxa"/>
            <w:gridSpan w:val="2"/>
            <w:tcBorders>
              <w:top w:val="single" w:sz="6" w:space="0" w:color="auto"/>
              <w:left w:val="single" w:sz="6" w:space="0" w:color="000000"/>
              <w:bottom w:val="single" w:sz="6" w:space="0" w:color="auto"/>
              <w:right w:val="single" w:sz="6" w:space="0" w:color="000000"/>
            </w:tcBorders>
            <w:shd w:val="clear" w:color="auto" w:fill="E8E8E8"/>
            <w:vAlign w:val="center"/>
            <w:hideMark/>
          </w:tcPr>
          <w:p w14:paraId="536088B6" w14:textId="141636B8" w:rsidR="002361D0" w:rsidRPr="002361D0" w:rsidRDefault="002361D0" w:rsidP="007227F7">
            <w:pPr>
              <w:spacing w:before="40" w:after="40"/>
            </w:pPr>
            <w:r w:rsidRPr="002361D0">
              <w:rPr>
                <w:b/>
                <w:bCs/>
              </w:rPr>
              <w:t>Organisations (1</w:t>
            </w:r>
            <w:r w:rsidR="00DE034C">
              <w:rPr>
                <w:b/>
                <w:bCs/>
              </w:rPr>
              <w:t>4</w:t>
            </w:r>
            <w:r w:rsidRPr="002361D0">
              <w:rPr>
                <w:b/>
                <w:bCs/>
              </w:rPr>
              <w:t>)</w:t>
            </w:r>
            <w:r w:rsidRPr="002361D0">
              <w:rPr>
                <w:rFonts w:ascii="Arial" w:hAnsi="Arial" w:cs="Arial"/>
              </w:rPr>
              <w:t> </w:t>
            </w:r>
            <w:r w:rsidRPr="002361D0">
              <w:t> </w:t>
            </w:r>
          </w:p>
        </w:tc>
      </w:tr>
      <w:tr w:rsidR="002361D0" w:rsidRPr="002361D0" w14:paraId="4C0FF8C4" w14:textId="77777777" w:rsidTr="00E03D13">
        <w:trPr>
          <w:trHeight w:val="1018"/>
        </w:trPr>
        <w:tc>
          <w:tcPr>
            <w:tcW w:w="7780" w:type="dxa"/>
            <w:tcBorders>
              <w:top w:val="nil"/>
              <w:left w:val="single" w:sz="6" w:space="0" w:color="000000"/>
              <w:bottom w:val="single" w:sz="6" w:space="0" w:color="auto"/>
              <w:right w:val="single" w:sz="6" w:space="0" w:color="auto"/>
            </w:tcBorders>
            <w:vAlign w:val="center"/>
            <w:hideMark/>
          </w:tcPr>
          <w:p w14:paraId="214F4B24" w14:textId="77777777" w:rsidR="002361D0" w:rsidRPr="002361D0" w:rsidRDefault="002361D0" w:rsidP="007227F7">
            <w:pPr>
              <w:spacing w:before="40" w:after="40"/>
            </w:pPr>
            <w:r w:rsidRPr="002361D0">
              <w:t>I am providing input on behalf of a consumer group or organisation. Consumer organisations are not-for-profit organisations representing the interests of healthcare consumers, their families and carers.</w:t>
            </w:r>
            <w:r w:rsidRPr="002361D0">
              <w:rPr>
                <w:rFonts w:ascii="Arial" w:hAnsi="Arial" w:cs="Arial"/>
              </w:rPr>
              <w:t> </w:t>
            </w:r>
            <w:r w:rsidRPr="002361D0">
              <w:t> </w:t>
            </w:r>
          </w:p>
        </w:tc>
        <w:tc>
          <w:tcPr>
            <w:tcW w:w="1230" w:type="dxa"/>
            <w:tcBorders>
              <w:top w:val="nil"/>
              <w:left w:val="nil"/>
              <w:bottom w:val="single" w:sz="6" w:space="0" w:color="auto"/>
              <w:right w:val="single" w:sz="6" w:space="0" w:color="000000"/>
            </w:tcBorders>
            <w:vAlign w:val="center"/>
            <w:hideMark/>
          </w:tcPr>
          <w:p w14:paraId="7A027A05" w14:textId="5ADF2196" w:rsidR="002361D0" w:rsidRPr="002361D0" w:rsidRDefault="002361D0" w:rsidP="00E03D13">
            <w:pPr>
              <w:spacing w:before="40" w:after="40"/>
              <w:jc w:val="center"/>
            </w:pPr>
            <w:r w:rsidRPr="002361D0">
              <w:t>1</w:t>
            </w:r>
          </w:p>
        </w:tc>
      </w:tr>
      <w:tr w:rsidR="002361D0" w:rsidRPr="002361D0" w14:paraId="7BC7BD25" w14:textId="77777777" w:rsidTr="00E03D13">
        <w:trPr>
          <w:trHeight w:val="750"/>
        </w:trPr>
        <w:tc>
          <w:tcPr>
            <w:tcW w:w="7780" w:type="dxa"/>
            <w:tcBorders>
              <w:top w:val="nil"/>
              <w:left w:val="single" w:sz="6" w:space="0" w:color="000000"/>
              <w:bottom w:val="single" w:sz="6" w:space="0" w:color="auto"/>
              <w:right w:val="single" w:sz="6" w:space="0" w:color="auto"/>
            </w:tcBorders>
            <w:vAlign w:val="center"/>
            <w:hideMark/>
          </w:tcPr>
          <w:p w14:paraId="1BC76739" w14:textId="77777777" w:rsidR="002361D0" w:rsidRPr="002361D0" w:rsidRDefault="002361D0" w:rsidP="007227F7">
            <w:pPr>
              <w:spacing w:before="40" w:after="40"/>
            </w:pPr>
            <w:r w:rsidRPr="002361D0">
              <w:t>I am providing input on behalf of a medical, health, or other (non-consumer) organisation. For example, input on behalf of a group of clinicians, research organisation, professional college, or from an organisation that produces a similar service or technology.</w:t>
            </w:r>
            <w:r w:rsidRPr="002361D0">
              <w:rPr>
                <w:rFonts w:ascii="Arial" w:hAnsi="Arial" w:cs="Arial"/>
              </w:rPr>
              <w:t> </w:t>
            </w:r>
            <w:r w:rsidRPr="002361D0">
              <w:t> </w:t>
            </w:r>
          </w:p>
        </w:tc>
        <w:tc>
          <w:tcPr>
            <w:tcW w:w="1230" w:type="dxa"/>
            <w:tcBorders>
              <w:top w:val="nil"/>
              <w:left w:val="nil"/>
              <w:bottom w:val="single" w:sz="6" w:space="0" w:color="auto"/>
              <w:right w:val="single" w:sz="6" w:space="0" w:color="000000"/>
            </w:tcBorders>
            <w:vAlign w:val="center"/>
            <w:hideMark/>
          </w:tcPr>
          <w:p w14:paraId="4BCFBE63" w14:textId="3D186749" w:rsidR="002361D0" w:rsidRPr="002361D0" w:rsidRDefault="002361D0" w:rsidP="00E03D13">
            <w:pPr>
              <w:spacing w:before="40" w:after="40"/>
              <w:jc w:val="center"/>
            </w:pPr>
            <w:r w:rsidRPr="002361D0">
              <w:t>13</w:t>
            </w:r>
          </w:p>
        </w:tc>
      </w:tr>
      <w:tr w:rsidR="002361D0" w:rsidRPr="002361D0" w14:paraId="5881EAE6" w14:textId="77777777" w:rsidTr="007227F7">
        <w:trPr>
          <w:trHeight w:val="300"/>
        </w:trPr>
        <w:tc>
          <w:tcPr>
            <w:tcW w:w="9010" w:type="dxa"/>
            <w:gridSpan w:val="2"/>
            <w:tcBorders>
              <w:top w:val="single" w:sz="6" w:space="0" w:color="auto"/>
              <w:left w:val="single" w:sz="6" w:space="0" w:color="000000"/>
              <w:bottom w:val="single" w:sz="6" w:space="0" w:color="auto"/>
              <w:right w:val="single" w:sz="6" w:space="0" w:color="000000"/>
            </w:tcBorders>
            <w:shd w:val="clear" w:color="auto" w:fill="E8E8E8"/>
            <w:vAlign w:val="center"/>
            <w:hideMark/>
          </w:tcPr>
          <w:p w14:paraId="38B024D6" w14:textId="79975BE7" w:rsidR="002361D0" w:rsidRPr="002361D0" w:rsidRDefault="002361D0" w:rsidP="007227F7">
            <w:pPr>
              <w:spacing w:before="40" w:after="40"/>
            </w:pPr>
            <w:r w:rsidRPr="002361D0">
              <w:t> </w:t>
            </w:r>
            <w:r w:rsidR="00DE034C" w:rsidRPr="00055104">
              <w:rPr>
                <w:b/>
                <w:bCs/>
              </w:rPr>
              <w:t>Health Professionals (</w:t>
            </w:r>
            <w:r w:rsidR="00DE034C">
              <w:rPr>
                <w:b/>
                <w:bCs/>
              </w:rPr>
              <w:t>3</w:t>
            </w:r>
            <w:r w:rsidR="00DE034C" w:rsidRPr="00055104">
              <w:rPr>
                <w:b/>
                <w:bCs/>
              </w:rPr>
              <w:t>)</w:t>
            </w:r>
            <w:r w:rsidR="00DE034C" w:rsidRPr="00055104">
              <w:rPr>
                <w:rFonts w:ascii="Arial" w:hAnsi="Arial" w:cs="Arial"/>
              </w:rPr>
              <w:t> </w:t>
            </w:r>
            <w:r w:rsidR="00DE034C" w:rsidRPr="00055104">
              <w:t> </w:t>
            </w:r>
          </w:p>
        </w:tc>
      </w:tr>
      <w:tr w:rsidR="002361D0" w:rsidRPr="002361D0" w14:paraId="35EC298C" w14:textId="77777777" w:rsidTr="00E03D13">
        <w:trPr>
          <w:trHeight w:val="300"/>
        </w:trPr>
        <w:tc>
          <w:tcPr>
            <w:tcW w:w="7780" w:type="dxa"/>
            <w:tcBorders>
              <w:top w:val="nil"/>
              <w:left w:val="single" w:sz="6" w:space="0" w:color="000000"/>
              <w:bottom w:val="single" w:sz="6" w:space="0" w:color="auto"/>
              <w:right w:val="single" w:sz="6" w:space="0" w:color="auto"/>
            </w:tcBorders>
            <w:vAlign w:val="center"/>
            <w:hideMark/>
          </w:tcPr>
          <w:p w14:paraId="0B1D6C80" w14:textId="77777777" w:rsidR="002361D0" w:rsidRPr="002361D0" w:rsidRDefault="002361D0" w:rsidP="007227F7">
            <w:pPr>
              <w:spacing w:before="40" w:after="40"/>
            </w:pPr>
            <w:r w:rsidRPr="002361D0">
              <w:t>I am a health professional or health academic working in the area.</w:t>
            </w:r>
            <w:r w:rsidRPr="002361D0">
              <w:rPr>
                <w:rFonts w:ascii="Arial" w:hAnsi="Arial" w:cs="Arial"/>
              </w:rPr>
              <w:t> </w:t>
            </w:r>
            <w:r w:rsidRPr="002361D0">
              <w:t> </w:t>
            </w:r>
          </w:p>
        </w:tc>
        <w:tc>
          <w:tcPr>
            <w:tcW w:w="1230" w:type="dxa"/>
            <w:tcBorders>
              <w:top w:val="nil"/>
              <w:left w:val="nil"/>
              <w:bottom w:val="single" w:sz="6" w:space="0" w:color="auto"/>
              <w:right w:val="single" w:sz="6" w:space="0" w:color="000000"/>
            </w:tcBorders>
            <w:vAlign w:val="center"/>
            <w:hideMark/>
          </w:tcPr>
          <w:p w14:paraId="02D8100B" w14:textId="0B2514D7" w:rsidR="002361D0" w:rsidRPr="002361D0" w:rsidRDefault="002361D0" w:rsidP="00E03D13">
            <w:pPr>
              <w:spacing w:before="40" w:after="40"/>
              <w:jc w:val="center"/>
            </w:pPr>
            <w:r w:rsidRPr="002361D0">
              <w:t>3</w:t>
            </w:r>
          </w:p>
        </w:tc>
      </w:tr>
      <w:tr w:rsidR="002361D0" w:rsidRPr="002361D0" w14:paraId="436CF2C6" w14:textId="77777777" w:rsidTr="007227F7">
        <w:trPr>
          <w:trHeight w:val="300"/>
        </w:trPr>
        <w:tc>
          <w:tcPr>
            <w:tcW w:w="9010" w:type="dxa"/>
            <w:gridSpan w:val="2"/>
            <w:tcBorders>
              <w:top w:val="single" w:sz="6" w:space="0" w:color="auto"/>
              <w:left w:val="single" w:sz="6" w:space="0" w:color="000000"/>
              <w:bottom w:val="single" w:sz="6" w:space="0" w:color="auto"/>
              <w:right w:val="single" w:sz="6" w:space="0" w:color="000000"/>
            </w:tcBorders>
            <w:shd w:val="clear" w:color="auto" w:fill="E8E8E8"/>
            <w:vAlign w:val="center"/>
            <w:hideMark/>
          </w:tcPr>
          <w:p w14:paraId="4002B881" w14:textId="0703918E" w:rsidR="002361D0" w:rsidRPr="002361D0" w:rsidRDefault="002361D0" w:rsidP="007227F7">
            <w:pPr>
              <w:spacing w:before="40" w:after="40"/>
            </w:pPr>
            <w:r w:rsidRPr="002361D0">
              <w:t> </w:t>
            </w:r>
            <w:r w:rsidR="00DE034C">
              <w:rPr>
                <w:b/>
                <w:bCs/>
              </w:rPr>
              <w:t>Consumers</w:t>
            </w:r>
            <w:r w:rsidR="00DE034C" w:rsidRPr="00055104">
              <w:rPr>
                <w:b/>
                <w:bCs/>
              </w:rPr>
              <w:t xml:space="preserve"> (</w:t>
            </w:r>
            <w:r w:rsidR="00DE034C">
              <w:rPr>
                <w:b/>
                <w:bCs/>
              </w:rPr>
              <w:t>2</w:t>
            </w:r>
            <w:r w:rsidR="00DE034C" w:rsidRPr="00055104">
              <w:rPr>
                <w:b/>
                <w:bCs/>
              </w:rPr>
              <w:t>)</w:t>
            </w:r>
            <w:r w:rsidR="00DE034C" w:rsidRPr="00055104">
              <w:rPr>
                <w:rFonts w:ascii="Arial" w:hAnsi="Arial" w:cs="Arial"/>
              </w:rPr>
              <w:t> </w:t>
            </w:r>
            <w:r w:rsidR="00DE034C" w:rsidRPr="00055104">
              <w:t> </w:t>
            </w:r>
          </w:p>
        </w:tc>
      </w:tr>
      <w:tr w:rsidR="002361D0" w:rsidRPr="002361D0" w14:paraId="5EDF46BD" w14:textId="77777777" w:rsidTr="00E03D13">
        <w:trPr>
          <w:trHeight w:val="495"/>
        </w:trPr>
        <w:tc>
          <w:tcPr>
            <w:tcW w:w="7780" w:type="dxa"/>
            <w:tcBorders>
              <w:top w:val="nil"/>
              <w:left w:val="single" w:sz="6" w:space="0" w:color="000000"/>
              <w:bottom w:val="single" w:sz="6" w:space="0" w:color="auto"/>
              <w:right w:val="single" w:sz="6" w:space="0" w:color="auto"/>
            </w:tcBorders>
            <w:vAlign w:val="center"/>
            <w:hideMark/>
          </w:tcPr>
          <w:p w14:paraId="37696B80" w14:textId="77777777" w:rsidR="002361D0" w:rsidRPr="002361D0" w:rsidRDefault="002361D0" w:rsidP="007227F7">
            <w:pPr>
              <w:spacing w:before="40" w:after="40"/>
            </w:pPr>
            <w:r w:rsidRPr="002361D0">
              <w:t>I have the health condition that this health service or technology is for and have experience with the proposed health service or technology.</w:t>
            </w:r>
            <w:r w:rsidRPr="002361D0">
              <w:rPr>
                <w:rFonts w:ascii="Arial" w:hAnsi="Arial" w:cs="Arial"/>
              </w:rPr>
              <w:t> </w:t>
            </w:r>
            <w:r w:rsidRPr="002361D0">
              <w:t> </w:t>
            </w:r>
          </w:p>
        </w:tc>
        <w:tc>
          <w:tcPr>
            <w:tcW w:w="1230" w:type="dxa"/>
            <w:tcBorders>
              <w:top w:val="nil"/>
              <w:left w:val="nil"/>
              <w:bottom w:val="single" w:sz="6" w:space="0" w:color="auto"/>
              <w:right w:val="single" w:sz="6" w:space="0" w:color="000000"/>
            </w:tcBorders>
            <w:vAlign w:val="center"/>
            <w:hideMark/>
          </w:tcPr>
          <w:p w14:paraId="624DD488" w14:textId="2DE4CE79" w:rsidR="002361D0" w:rsidRPr="002361D0" w:rsidRDefault="002361D0" w:rsidP="00E03D13">
            <w:pPr>
              <w:spacing w:before="40" w:after="40"/>
              <w:jc w:val="center"/>
            </w:pPr>
            <w:r w:rsidRPr="002361D0">
              <w:t>1</w:t>
            </w:r>
          </w:p>
        </w:tc>
      </w:tr>
      <w:tr w:rsidR="002361D0" w:rsidRPr="002361D0" w14:paraId="76DC54C9" w14:textId="77777777" w:rsidTr="00E03D13">
        <w:trPr>
          <w:trHeight w:val="300"/>
        </w:trPr>
        <w:tc>
          <w:tcPr>
            <w:tcW w:w="7780" w:type="dxa"/>
            <w:tcBorders>
              <w:top w:val="nil"/>
              <w:left w:val="single" w:sz="6" w:space="0" w:color="000000"/>
              <w:bottom w:val="single" w:sz="6" w:space="0" w:color="auto"/>
              <w:right w:val="single" w:sz="6" w:space="0" w:color="auto"/>
            </w:tcBorders>
            <w:vAlign w:val="center"/>
            <w:hideMark/>
          </w:tcPr>
          <w:p w14:paraId="6D3D6B07" w14:textId="77777777" w:rsidR="002361D0" w:rsidRPr="002361D0" w:rsidRDefault="002361D0" w:rsidP="007227F7">
            <w:pPr>
              <w:spacing w:before="40" w:after="40"/>
            </w:pPr>
            <w:r w:rsidRPr="002361D0">
              <w:t>I am an interested individual who does not fall into any of the above categories.</w:t>
            </w:r>
            <w:r w:rsidRPr="002361D0">
              <w:rPr>
                <w:rFonts w:ascii="Arial" w:hAnsi="Arial" w:cs="Arial"/>
              </w:rPr>
              <w:t> </w:t>
            </w:r>
            <w:r w:rsidRPr="002361D0">
              <w:t> </w:t>
            </w:r>
          </w:p>
        </w:tc>
        <w:tc>
          <w:tcPr>
            <w:tcW w:w="1230" w:type="dxa"/>
            <w:tcBorders>
              <w:top w:val="nil"/>
              <w:left w:val="nil"/>
              <w:bottom w:val="single" w:sz="6" w:space="0" w:color="auto"/>
              <w:right w:val="single" w:sz="6" w:space="0" w:color="000000"/>
            </w:tcBorders>
            <w:vAlign w:val="center"/>
            <w:hideMark/>
          </w:tcPr>
          <w:p w14:paraId="683FE90C" w14:textId="3DD1C2A9" w:rsidR="002361D0" w:rsidRPr="002361D0" w:rsidRDefault="002361D0" w:rsidP="00E03D13">
            <w:pPr>
              <w:spacing w:before="40" w:after="40"/>
              <w:jc w:val="center"/>
            </w:pPr>
            <w:r w:rsidRPr="002361D0">
              <w:t>1</w:t>
            </w:r>
          </w:p>
        </w:tc>
      </w:tr>
      <w:tr w:rsidR="002361D0" w:rsidRPr="002361D0" w14:paraId="4871655E" w14:textId="77777777" w:rsidTr="00E03D13">
        <w:trPr>
          <w:trHeight w:val="285"/>
        </w:trPr>
        <w:tc>
          <w:tcPr>
            <w:tcW w:w="7780" w:type="dxa"/>
            <w:tcBorders>
              <w:top w:val="nil"/>
              <w:left w:val="single" w:sz="6" w:space="0" w:color="000000"/>
              <w:bottom w:val="single" w:sz="6" w:space="0" w:color="000000"/>
              <w:right w:val="single" w:sz="6" w:space="0" w:color="auto"/>
            </w:tcBorders>
            <w:vAlign w:val="center"/>
            <w:hideMark/>
          </w:tcPr>
          <w:p w14:paraId="7DADA4A4" w14:textId="77777777" w:rsidR="002361D0" w:rsidRPr="002361D0" w:rsidRDefault="002361D0" w:rsidP="007227F7">
            <w:pPr>
              <w:spacing w:before="40" w:after="40"/>
            </w:pPr>
            <w:r w:rsidRPr="002361D0">
              <w:rPr>
                <w:b/>
                <w:bCs/>
              </w:rPr>
              <w:t>Grand Total</w:t>
            </w:r>
            <w:r w:rsidRPr="002361D0">
              <w:rPr>
                <w:rFonts w:ascii="Arial" w:hAnsi="Arial" w:cs="Arial"/>
              </w:rPr>
              <w:t> </w:t>
            </w:r>
            <w:r w:rsidRPr="002361D0">
              <w:t> </w:t>
            </w:r>
          </w:p>
        </w:tc>
        <w:tc>
          <w:tcPr>
            <w:tcW w:w="1230" w:type="dxa"/>
            <w:tcBorders>
              <w:top w:val="nil"/>
              <w:left w:val="nil"/>
              <w:bottom w:val="single" w:sz="6" w:space="0" w:color="000000"/>
              <w:right w:val="single" w:sz="6" w:space="0" w:color="000000"/>
            </w:tcBorders>
            <w:vAlign w:val="center"/>
            <w:hideMark/>
          </w:tcPr>
          <w:p w14:paraId="09923113" w14:textId="3325AAE8" w:rsidR="002361D0" w:rsidRPr="002361D0" w:rsidRDefault="002361D0" w:rsidP="00E03D13">
            <w:pPr>
              <w:spacing w:before="40" w:after="40"/>
              <w:jc w:val="center"/>
            </w:pPr>
            <w:r w:rsidRPr="002361D0">
              <w:rPr>
                <w:b/>
                <w:bCs/>
              </w:rPr>
              <w:t>19</w:t>
            </w:r>
          </w:p>
        </w:tc>
      </w:tr>
    </w:tbl>
    <w:p w14:paraId="414A9B38" w14:textId="6162C192" w:rsidR="002361D0" w:rsidRPr="002361D0" w:rsidRDefault="002361D0" w:rsidP="004A6C27">
      <w:pPr>
        <w:spacing w:before="240"/>
      </w:pPr>
      <w:r w:rsidRPr="002361D0">
        <w:t xml:space="preserve">MSAC received consultation input from 11 organisations and 5 individuals. The organisations </w:t>
      </w:r>
      <w:r w:rsidR="00884EDE">
        <w:t>that</w:t>
      </w:r>
      <w:r w:rsidRPr="002361D0">
        <w:t xml:space="preserve"> provided input were: </w:t>
      </w:r>
    </w:p>
    <w:p w14:paraId="6631858A" w14:textId="77777777" w:rsidR="002361D0" w:rsidRPr="002361D0" w:rsidRDefault="002361D0" w:rsidP="00DE034C">
      <w:pPr>
        <w:numPr>
          <w:ilvl w:val="0"/>
          <w:numId w:val="19"/>
        </w:numPr>
        <w:spacing w:before="0" w:after="0"/>
        <w:ind w:left="714" w:hanging="357"/>
      </w:pPr>
      <w:r w:rsidRPr="002361D0">
        <w:t>The Royal Australian and New Zealand College of Radiologists (RANZCR) (2 inputs) </w:t>
      </w:r>
    </w:p>
    <w:p w14:paraId="14DCE2F1" w14:textId="77777777" w:rsidR="002361D0" w:rsidRPr="002361D0" w:rsidRDefault="002361D0" w:rsidP="00DE034C">
      <w:pPr>
        <w:numPr>
          <w:ilvl w:val="0"/>
          <w:numId w:val="20"/>
        </w:numPr>
        <w:spacing w:before="0" w:after="0"/>
        <w:ind w:left="714" w:hanging="357"/>
      </w:pPr>
      <w:r w:rsidRPr="002361D0">
        <w:t>National Gynae-Oncology Registry (NGOR) (2 inputs) </w:t>
      </w:r>
    </w:p>
    <w:p w14:paraId="78FAE8ED" w14:textId="77777777" w:rsidR="002361D0" w:rsidRPr="002361D0" w:rsidRDefault="002361D0" w:rsidP="00DE034C">
      <w:pPr>
        <w:numPr>
          <w:ilvl w:val="0"/>
          <w:numId w:val="21"/>
        </w:numPr>
        <w:spacing w:before="0" w:after="0"/>
        <w:ind w:left="714" w:hanging="357"/>
      </w:pPr>
      <w:r w:rsidRPr="002361D0">
        <w:t>Victorian Integrated Cancer Services (VICS) </w:t>
      </w:r>
    </w:p>
    <w:p w14:paraId="4CC6C0D6" w14:textId="77777777" w:rsidR="002361D0" w:rsidRPr="002361D0" w:rsidRDefault="002361D0" w:rsidP="00DE034C">
      <w:pPr>
        <w:numPr>
          <w:ilvl w:val="0"/>
          <w:numId w:val="22"/>
        </w:numPr>
        <w:spacing w:before="0" w:after="0"/>
        <w:ind w:left="714" w:hanging="357"/>
      </w:pPr>
      <w:r w:rsidRPr="002361D0">
        <w:t>Institute of Health Transformation (IHT) at Deakin University </w:t>
      </w:r>
    </w:p>
    <w:p w14:paraId="7FE0AB94" w14:textId="77777777" w:rsidR="002361D0" w:rsidRPr="002361D0" w:rsidRDefault="002361D0" w:rsidP="00DE034C">
      <w:pPr>
        <w:numPr>
          <w:ilvl w:val="0"/>
          <w:numId w:val="23"/>
        </w:numPr>
        <w:spacing w:before="0" w:after="0"/>
        <w:ind w:left="714" w:hanging="357"/>
      </w:pPr>
      <w:r w:rsidRPr="002361D0">
        <w:t>Human Genetics Society of Australasia Ltd (HGSA) (2 inputs) </w:t>
      </w:r>
    </w:p>
    <w:p w14:paraId="692344CC" w14:textId="77777777" w:rsidR="002361D0" w:rsidRPr="002361D0" w:rsidRDefault="002361D0" w:rsidP="00DE034C">
      <w:pPr>
        <w:numPr>
          <w:ilvl w:val="0"/>
          <w:numId w:val="24"/>
        </w:numPr>
        <w:spacing w:before="0" w:after="0"/>
        <w:ind w:left="714" w:hanging="357"/>
      </w:pPr>
      <w:r w:rsidRPr="002361D0">
        <w:t>Rare Cancers Australia (RCA) </w:t>
      </w:r>
    </w:p>
    <w:p w14:paraId="09134604" w14:textId="77777777" w:rsidR="002361D0" w:rsidRPr="002361D0" w:rsidRDefault="002361D0" w:rsidP="00DE034C">
      <w:pPr>
        <w:numPr>
          <w:ilvl w:val="0"/>
          <w:numId w:val="25"/>
        </w:numPr>
        <w:spacing w:before="0" w:after="0"/>
        <w:ind w:left="714" w:hanging="357"/>
      </w:pPr>
      <w:r w:rsidRPr="002361D0">
        <w:t>Australia New Zealand Gynaecological Oncology Group (ANZGOG) </w:t>
      </w:r>
    </w:p>
    <w:p w14:paraId="4371BD40" w14:textId="77777777" w:rsidR="002361D0" w:rsidRPr="002361D0" w:rsidRDefault="002361D0" w:rsidP="00DE034C">
      <w:pPr>
        <w:numPr>
          <w:ilvl w:val="0"/>
          <w:numId w:val="26"/>
        </w:numPr>
        <w:spacing w:before="0" w:after="0"/>
        <w:ind w:left="714" w:hanging="357"/>
      </w:pPr>
      <w:r w:rsidRPr="002361D0">
        <w:t>Cancer Australia (CA) </w:t>
      </w:r>
    </w:p>
    <w:p w14:paraId="7D762A1F" w14:textId="77777777" w:rsidR="002361D0" w:rsidRPr="002361D0" w:rsidRDefault="002361D0" w:rsidP="00DE034C">
      <w:pPr>
        <w:numPr>
          <w:ilvl w:val="0"/>
          <w:numId w:val="27"/>
        </w:numPr>
        <w:spacing w:before="0" w:after="0"/>
        <w:ind w:left="714" w:hanging="357"/>
      </w:pPr>
      <w:r w:rsidRPr="002361D0">
        <w:t>Public Pathology Australia (PPA) </w:t>
      </w:r>
    </w:p>
    <w:p w14:paraId="393ADA5A" w14:textId="77777777" w:rsidR="002361D0" w:rsidRPr="002361D0" w:rsidRDefault="002361D0" w:rsidP="00DE034C">
      <w:pPr>
        <w:numPr>
          <w:ilvl w:val="0"/>
          <w:numId w:val="28"/>
        </w:numPr>
        <w:spacing w:before="0" w:after="0"/>
        <w:ind w:left="714" w:hanging="357"/>
      </w:pPr>
      <w:r w:rsidRPr="002361D0">
        <w:t>Australian Pathology </w:t>
      </w:r>
    </w:p>
    <w:p w14:paraId="21D78889" w14:textId="77777777" w:rsidR="002361D0" w:rsidRPr="002361D0" w:rsidRDefault="002361D0" w:rsidP="00DE034C">
      <w:pPr>
        <w:numPr>
          <w:ilvl w:val="0"/>
          <w:numId w:val="29"/>
        </w:numPr>
        <w:spacing w:before="0" w:after="240"/>
        <w:ind w:left="714" w:hanging="357"/>
      </w:pPr>
      <w:r w:rsidRPr="002361D0">
        <w:t>Royal Australian and New Zealand College of Obstetricians and Gynaecologists (RANZCOG) </w:t>
      </w:r>
    </w:p>
    <w:p w14:paraId="649DC171" w14:textId="77777777" w:rsidR="002361D0" w:rsidRPr="002361D0" w:rsidRDefault="002361D0" w:rsidP="002361D0">
      <w:r w:rsidRPr="002361D0">
        <w:rPr>
          <w:b/>
          <w:bCs/>
        </w:rPr>
        <w:t>Level of support for public funding </w:t>
      </w:r>
      <w:r w:rsidRPr="002361D0">
        <w:t> </w:t>
      </w:r>
    </w:p>
    <w:p w14:paraId="1312E571" w14:textId="77777777" w:rsidR="002361D0" w:rsidRPr="002361D0" w:rsidRDefault="002361D0" w:rsidP="002361D0">
      <w:r w:rsidRPr="002361D0">
        <w:t>Consultation input was supportive of public funding for </w:t>
      </w:r>
      <w:r w:rsidRPr="002361D0">
        <w:rPr>
          <w:i/>
          <w:iCs/>
        </w:rPr>
        <w:t>POLE</w:t>
      </w:r>
      <w:r w:rsidRPr="002361D0">
        <w:t xml:space="preserve"> genotyping for the molecular classification of endometrial cancer, with several noting that this would align Australia with global </w:t>
      </w:r>
      <w:r w:rsidRPr="002361D0">
        <w:lastRenderedPageBreak/>
        <w:t>standards and ensure all patients receive the best possible treatment. RANZCOG noted, however, that the evidence base is still evolving.   </w:t>
      </w:r>
    </w:p>
    <w:p w14:paraId="56F8EE46" w14:textId="77777777" w:rsidR="002361D0" w:rsidRPr="002361D0" w:rsidRDefault="002361D0" w:rsidP="002361D0">
      <w:r w:rsidRPr="002361D0">
        <w:rPr>
          <w:b/>
          <w:bCs/>
        </w:rPr>
        <w:t>Comments on the PICO</w:t>
      </w:r>
      <w:r w:rsidRPr="002361D0">
        <w:t> </w:t>
      </w:r>
    </w:p>
    <w:p w14:paraId="26D9E58C" w14:textId="77777777" w:rsidR="002361D0" w:rsidRPr="002361D0" w:rsidRDefault="002361D0" w:rsidP="002361D0">
      <w:r w:rsidRPr="002361D0">
        <w:t>Most consultation input agreed with the proposed population. RANZCR recommended limiting </w:t>
      </w:r>
      <w:r w:rsidRPr="002361D0">
        <w:rPr>
          <w:i/>
          <w:iCs/>
        </w:rPr>
        <w:t>POLE</w:t>
      </w:r>
      <w:r w:rsidRPr="002361D0">
        <w:t> testing to patients intending to undergo adjuvant therapy and to consider the placement of testing to prevent delays in treatment decisions. </w:t>
      </w:r>
    </w:p>
    <w:p w14:paraId="1047F7D7" w14:textId="77777777" w:rsidR="002361D0" w:rsidRPr="002361D0" w:rsidRDefault="002361D0" w:rsidP="002361D0">
      <w:r w:rsidRPr="002361D0">
        <w:t>In response to specific questions relating to clinical management algorithms and testing protocols, several organisations (RANZCR, NGOR, PPA) provided specific advice on positioning of </w:t>
      </w:r>
      <w:r w:rsidRPr="002361D0">
        <w:rPr>
          <w:i/>
          <w:iCs/>
        </w:rPr>
        <w:t>POLE</w:t>
      </w:r>
      <w:r w:rsidRPr="002361D0">
        <w:t> genotyping in routine clinical practice in Australia. There were mixed views about universal testing vs a targeted approach. </w:t>
      </w:r>
    </w:p>
    <w:p w14:paraId="33FBADA0" w14:textId="77777777" w:rsidR="002361D0" w:rsidRPr="002361D0" w:rsidRDefault="002361D0" w:rsidP="002361D0">
      <w:r w:rsidRPr="002361D0">
        <w:rPr>
          <w:b/>
          <w:bCs/>
        </w:rPr>
        <w:t>Perceived Advantages </w:t>
      </w:r>
      <w:r w:rsidRPr="002361D0">
        <w:t> </w:t>
      </w:r>
    </w:p>
    <w:p w14:paraId="5940A7A5" w14:textId="77777777" w:rsidR="002361D0" w:rsidRPr="002361D0" w:rsidRDefault="002361D0" w:rsidP="002361D0">
      <w:r w:rsidRPr="002361D0">
        <w:t>The main benefits of public funding articulated in the consultation input included: </w:t>
      </w:r>
    </w:p>
    <w:p w14:paraId="206C3A96" w14:textId="77777777" w:rsidR="002361D0" w:rsidRPr="002361D0" w:rsidRDefault="002361D0" w:rsidP="00DE034C">
      <w:pPr>
        <w:numPr>
          <w:ilvl w:val="0"/>
          <w:numId w:val="30"/>
        </w:numPr>
      </w:pPr>
      <w:r w:rsidRPr="002361D0">
        <w:t>determining </w:t>
      </w:r>
      <w:r w:rsidRPr="002361D0">
        <w:rPr>
          <w:i/>
          <w:iCs/>
        </w:rPr>
        <w:t>POLE</w:t>
      </w:r>
      <w:r w:rsidRPr="002361D0">
        <w:t> variant status enables safe de-escalation of treatment in multiple clinical scenarios. It provides information that would guide management decisions for clinicians and may potentially avoid side effects of treatments for patients. Without access to </w:t>
      </w:r>
      <w:r w:rsidRPr="002361D0">
        <w:rPr>
          <w:i/>
          <w:iCs/>
        </w:rPr>
        <w:t>POLE</w:t>
      </w:r>
      <w:r w:rsidRPr="002361D0">
        <w:t> testing, patients may be exposed to unnecessary adjuvant therapy, such as vaginal brachytherapy, external beam radiotherapy, or chemotherapy. </w:t>
      </w:r>
    </w:p>
    <w:p w14:paraId="73105791" w14:textId="77777777" w:rsidR="002361D0" w:rsidRPr="002361D0" w:rsidRDefault="002361D0" w:rsidP="00DE034C">
      <w:pPr>
        <w:numPr>
          <w:ilvl w:val="0"/>
          <w:numId w:val="31"/>
        </w:numPr>
      </w:pPr>
      <w:r w:rsidRPr="002361D0">
        <w:t>Avoiding the use of less effective therapies that may be associated with additional health issues can decrease healthcare system costs.  </w:t>
      </w:r>
    </w:p>
    <w:p w14:paraId="54FC5607" w14:textId="77777777" w:rsidR="002361D0" w:rsidRPr="002361D0" w:rsidRDefault="002361D0" w:rsidP="00DE034C">
      <w:pPr>
        <w:numPr>
          <w:ilvl w:val="0"/>
          <w:numId w:val="32"/>
        </w:numPr>
      </w:pPr>
      <w:r w:rsidRPr="002361D0">
        <w:rPr>
          <w:i/>
          <w:iCs/>
        </w:rPr>
        <w:t>POLE</w:t>
      </w:r>
      <w:r w:rsidRPr="002361D0">
        <w:t> genotyping improves prognostic accuracy, may lead to patients avoiding unnecessary toxic treatments and reduce inequity in the management of endometrial cancer by allowing low-risk patients from rural and regional areas to avoid travelling for intensive follow-up care.  </w:t>
      </w:r>
    </w:p>
    <w:p w14:paraId="6F7D2A39" w14:textId="77777777" w:rsidR="002361D0" w:rsidRPr="002361D0" w:rsidRDefault="002361D0" w:rsidP="00DE034C">
      <w:pPr>
        <w:numPr>
          <w:ilvl w:val="0"/>
          <w:numId w:val="33"/>
        </w:numPr>
      </w:pPr>
      <w:r w:rsidRPr="002361D0">
        <w:t>Organisational input stated that public funding of </w:t>
      </w:r>
      <w:r w:rsidRPr="002361D0">
        <w:rPr>
          <w:i/>
          <w:iCs/>
        </w:rPr>
        <w:t>POLE</w:t>
      </w:r>
      <w:r w:rsidRPr="002361D0">
        <w:t> genotyping would allow Australia to follow international guidelines and provide access to all patients, not just those who could afford to privately fund </w:t>
      </w:r>
      <w:r w:rsidRPr="002361D0">
        <w:rPr>
          <w:i/>
          <w:iCs/>
        </w:rPr>
        <w:t>POLE</w:t>
      </w:r>
      <w:r w:rsidRPr="002361D0">
        <w:t> testing. ANZGOG stated that international guidelines recommend routine testing of endometrial tumours for </w:t>
      </w:r>
      <w:r w:rsidRPr="002361D0">
        <w:rPr>
          <w:i/>
          <w:iCs/>
        </w:rPr>
        <w:t>POLE</w:t>
      </w:r>
      <w:r w:rsidRPr="002361D0">
        <w:t> variants. RCA and HGSA stated that the World Health Organization Classification of Female Genital Tumours categorises endometrial cancer based on molecular testing and that </w:t>
      </w:r>
      <w:r w:rsidRPr="002361D0">
        <w:rPr>
          <w:i/>
          <w:iCs/>
        </w:rPr>
        <w:t>POLE </w:t>
      </w:r>
      <w:r w:rsidRPr="002361D0">
        <w:t>genotyping would assist in fulfilling the WHO recommendations. </w:t>
      </w:r>
    </w:p>
    <w:p w14:paraId="2FC9CB30" w14:textId="77777777" w:rsidR="002361D0" w:rsidRPr="002361D0" w:rsidRDefault="002361D0" w:rsidP="00DE034C">
      <w:pPr>
        <w:numPr>
          <w:ilvl w:val="0"/>
          <w:numId w:val="34"/>
        </w:numPr>
      </w:pPr>
      <w:r w:rsidRPr="002361D0">
        <w:t>A consumer with experience with </w:t>
      </w:r>
      <w:r w:rsidRPr="002361D0">
        <w:rPr>
          <w:i/>
          <w:iCs/>
        </w:rPr>
        <w:t>POLE</w:t>
      </w:r>
      <w:r w:rsidRPr="002361D0">
        <w:t> genotyping described it as ‘life-changing’, noting that it helped her mental health immensely and allowed her to opt out of radiotherapy, which made her recovery easier. She also noted that public funding would result in equal treatment for all women regardless of financial circumstances or geographic location. </w:t>
      </w:r>
    </w:p>
    <w:p w14:paraId="5E11F154" w14:textId="40A8514D" w:rsidR="002361D0" w:rsidRPr="002361D0" w:rsidRDefault="002361D0" w:rsidP="002361D0">
      <w:r w:rsidRPr="002361D0">
        <w:t> </w:t>
      </w:r>
      <w:r w:rsidRPr="002361D0">
        <w:rPr>
          <w:b/>
          <w:bCs/>
        </w:rPr>
        <w:t>Perceived Disadvantages</w:t>
      </w:r>
      <w:r w:rsidRPr="002361D0">
        <w:t> </w:t>
      </w:r>
    </w:p>
    <w:p w14:paraId="71640FA2" w14:textId="77777777" w:rsidR="002361D0" w:rsidRPr="002361D0" w:rsidRDefault="002361D0" w:rsidP="002361D0">
      <w:r w:rsidRPr="002361D0">
        <w:t>The consultation input did not identify any perceived disadvantages of public funding. Input did, however, note that a major disadvantage at present is the high cost of the test (paid by the consumer) and a lack of widespread implementation in clinical settings, with </w:t>
      </w:r>
      <w:r w:rsidRPr="002361D0">
        <w:rPr>
          <w:i/>
          <w:iCs/>
        </w:rPr>
        <w:t>POLE </w:t>
      </w:r>
      <w:r w:rsidRPr="002361D0">
        <w:t>testing currently available only through private testing or clinical trials.  </w:t>
      </w:r>
    </w:p>
    <w:p w14:paraId="26B8BE2D" w14:textId="77777777" w:rsidR="002361D0" w:rsidRPr="002361D0" w:rsidRDefault="002361D0" w:rsidP="00BB52E5">
      <w:pPr>
        <w:keepNext/>
        <w:keepLines/>
      </w:pPr>
      <w:r w:rsidRPr="002361D0">
        <w:rPr>
          <w:b/>
          <w:bCs/>
        </w:rPr>
        <w:lastRenderedPageBreak/>
        <w:t>Support for Implementation and Issues </w:t>
      </w:r>
      <w:r w:rsidRPr="002361D0">
        <w:t> </w:t>
      </w:r>
    </w:p>
    <w:p w14:paraId="186495CC" w14:textId="77777777" w:rsidR="002361D0" w:rsidRPr="002361D0" w:rsidRDefault="002361D0" w:rsidP="00BB52E5">
      <w:pPr>
        <w:keepNext/>
        <w:keepLines/>
      </w:pPr>
      <w:r w:rsidRPr="002361D0">
        <w:t>Consultation input was supportive of implementation of public funding for </w:t>
      </w:r>
      <w:r w:rsidRPr="002361D0">
        <w:rPr>
          <w:i/>
          <w:iCs/>
        </w:rPr>
        <w:t>POLE</w:t>
      </w:r>
      <w:r w:rsidRPr="002361D0">
        <w:t> testing with the proposed approach seen as broadly suitable. However, the input raised some issues for considerations and potential challenges to successful implementation:   </w:t>
      </w:r>
    </w:p>
    <w:p w14:paraId="65D37798" w14:textId="77777777" w:rsidR="002361D0" w:rsidRPr="002361D0" w:rsidRDefault="002361D0" w:rsidP="00DE034C">
      <w:pPr>
        <w:numPr>
          <w:ilvl w:val="0"/>
          <w:numId w:val="35"/>
        </w:numPr>
      </w:pPr>
      <w:r w:rsidRPr="002361D0">
        <w:t>Several submissions (e.g., RCA, IHT, VICS) emphasised the importance of equitable access, including for people in rural and remote settings. RCA noted that integrating the testing process with local pathology services could reduce the need for travel and improve access. </w:t>
      </w:r>
    </w:p>
    <w:p w14:paraId="7C9FDCCE" w14:textId="77777777" w:rsidR="002361D0" w:rsidRPr="002361D0" w:rsidRDefault="002361D0" w:rsidP="00DE034C">
      <w:pPr>
        <w:numPr>
          <w:ilvl w:val="0"/>
          <w:numId w:val="36"/>
        </w:numPr>
      </w:pPr>
      <w:r w:rsidRPr="002361D0">
        <w:t>VICS suggested the provision of funding for initial infrastructure upgrades, training programs for clinicians and pathologists, and public awareness campaigns to ensure patients understand the value of molecular testing. Others also stressed the importance of training. </w:t>
      </w:r>
    </w:p>
    <w:p w14:paraId="1BE6BBD5" w14:textId="77777777" w:rsidR="002361D0" w:rsidRPr="002361D0" w:rsidRDefault="002361D0" w:rsidP="00DE034C">
      <w:pPr>
        <w:numPr>
          <w:ilvl w:val="0"/>
          <w:numId w:val="37"/>
        </w:numPr>
      </w:pPr>
      <w:r w:rsidRPr="002361D0">
        <w:t>RANZCR recommended a protocol-driven approach for initiation of </w:t>
      </w:r>
      <w:r w:rsidRPr="002361D0">
        <w:rPr>
          <w:i/>
          <w:iCs/>
        </w:rPr>
        <w:t>POLE</w:t>
      </w:r>
      <w:r w:rsidRPr="002361D0">
        <w:t> testing to mitigate delays in treatment decision and additional workload for laboratory staff. It expressed concerns about potential limited resourcing (i.e., staffing issues), particularly in rural and regional areas, which may contribute to extended turnaround times for test results. </w:t>
      </w:r>
    </w:p>
    <w:p w14:paraId="7DC08A8E" w14:textId="77777777" w:rsidR="002361D0" w:rsidRPr="002361D0" w:rsidRDefault="002361D0" w:rsidP="00DE034C">
      <w:pPr>
        <w:numPr>
          <w:ilvl w:val="0"/>
          <w:numId w:val="38"/>
        </w:numPr>
      </w:pPr>
      <w:r w:rsidRPr="002361D0">
        <w:t>RANZCR also noted that genetic counselling capacity and continuing medical education (CME) for clinicians remain key barriers to full implementation of molecular-guided practice in endometrial cancer management. </w:t>
      </w:r>
    </w:p>
    <w:p w14:paraId="5E9061EB" w14:textId="77777777" w:rsidR="002361D0" w:rsidRPr="002361D0" w:rsidRDefault="002361D0" w:rsidP="00DE034C">
      <w:pPr>
        <w:numPr>
          <w:ilvl w:val="0"/>
          <w:numId w:val="39"/>
        </w:numPr>
      </w:pPr>
      <w:r w:rsidRPr="002361D0">
        <w:t>RCA stated additional support services, such as counselling, dietary advice, and pain management, are important to address the complex needs of patients undergoing testing and subsequent treatments. </w:t>
      </w:r>
    </w:p>
    <w:p w14:paraId="640969C8" w14:textId="77777777" w:rsidR="002361D0" w:rsidRPr="002361D0" w:rsidRDefault="002361D0" w:rsidP="00DE034C">
      <w:pPr>
        <w:numPr>
          <w:ilvl w:val="0"/>
          <w:numId w:val="40"/>
        </w:numPr>
      </w:pPr>
      <w:r w:rsidRPr="002361D0">
        <w:t>PPA indicated that </w:t>
      </w:r>
      <w:r w:rsidRPr="002361D0">
        <w:rPr>
          <w:i/>
          <w:iCs/>
        </w:rPr>
        <w:t>POLE</w:t>
      </w:r>
      <w:r w:rsidRPr="002361D0">
        <w:t> testing should be able to be pathologist initiated, with the understanding that for public patients, the hospital will bear the cost. It also indicated the need for clear guidance about when </w:t>
      </w:r>
      <w:r w:rsidRPr="002361D0">
        <w:rPr>
          <w:i/>
          <w:iCs/>
        </w:rPr>
        <w:t>POLE</w:t>
      </w:r>
      <w:r w:rsidRPr="002361D0">
        <w:t> testing should occur (i.e., on biopsy [preferred if adequate tissue as better fixation] or post-operatively).  </w:t>
      </w:r>
    </w:p>
    <w:p w14:paraId="582C0FB2" w14:textId="77777777" w:rsidR="002361D0" w:rsidRPr="002361D0" w:rsidRDefault="002361D0" w:rsidP="00DE034C">
      <w:pPr>
        <w:numPr>
          <w:ilvl w:val="0"/>
          <w:numId w:val="41"/>
        </w:numPr>
      </w:pPr>
      <w:r w:rsidRPr="002361D0">
        <w:t>AP noted that there is currently no RCPA Quality Assurance Programs (QAP) available for </w:t>
      </w:r>
      <w:r w:rsidRPr="002361D0">
        <w:rPr>
          <w:i/>
          <w:iCs/>
        </w:rPr>
        <w:t>POLE</w:t>
      </w:r>
      <w:r w:rsidRPr="002361D0">
        <w:t>, but there are overseas QA programs (e.g. GenQA). </w:t>
      </w:r>
    </w:p>
    <w:p w14:paraId="2D630B0A" w14:textId="77777777" w:rsidR="002361D0" w:rsidRPr="002361D0" w:rsidRDefault="002361D0" w:rsidP="00DE034C">
      <w:pPr>
        <w:numPr>
          <w:ilvl w:val="0"/>
          <w:numId w:val="42"/>
        </w:numPr>
      </w:pPr>
      <w:r w:rsidRPr="002361D0">
        <w:t>RANZCOG indicated that, if supported, guidance about whether </w:t>
      </w:r>
      <w:r w:rsidRPr="002361D0">
        <w:rPr>
          <w:i/>
          <w:iCs/>
        </w:rPr>
        <w:t>POLE </w:t>
      </w:r>
      <w:r w:rsidRPr="002361D0">
        <w:t>testing should be considered in cases of recurrent endometrial cancer would be needed. </w:t>
      </w:r>
    </w:p>
    <w:p w14:paraId="03C7A1F1" w14:textId="2D2AF161" w:rsidR="00772829" w:rsidRPr="00CE28E3" w:rsidRDefault="00772829" w:rsidP="00DE034C">
      <w:pPr>
        <w:pStyle w:val="Heading2"/>
        <w:numPr>
          <w:ilvl w:val="0"/>
          <w:numId w:val="18"/>
        </w:numPr>
        <w:ind w:hanging="720"/>
      </w:pPr>
      <w:bookmarkStart w:id="21" w:name="_Toc220675607"/>
      <w:bookmarkStart w:id="22" w:name="_Toc220670376"/>
      <w:r w:rsidRPr="00CE28E3">
        <w:t>Characteristics of the evidence base</w:t>
      </w:r>
      <w:bookmarkEnd w:id="21"/>
      <w:bookmarkEnd w:id="22"/>
    </w:p>
    <w:p w14:paraId="03F9B414" w14:textId="4EFC8C91" w:rsidR="00002EB6" w:rsidRPr="003251C2" w:rsidRDefault="002837DE" w:rsidP="00002EB6">
      <w:r>
        <w:t xml:space="preserve">A systematic literature review </w:t>
      </w:r>
      <w:r w:rsidR="00B54967">
        <w:t xml:space="preserve">(SLR) </w:t>
      </w:r>
      <w:r>
        <w:t xml:space="preserve">was conducted to </w:t>
      </w:r>
      <w:r w:rsidR="00565626">
        <w:t xml:space="preserve">answer the following </w:t>
      </w:r>
      <w:r w:rsidR="0075020C">
        <w:t xml:space="preserve">research </w:t>
      </w:r>
      <w:r w:rsidR="00565626">
        <w:t>question</w:t>
      </w:r>
      <w:r w:rsidR="00B54967">
        <w:t xml:space="preserve">: </w:t>
      </w:r>
      <w:r w:rsidR="00165F82">
        <w:t>W</w:t>
      </w:r>
      <w:r w:rsidR="00B54967">
        <w:t xml:space="preserve">hat is the safety, effectiveness and cost-effectiveness of </w:t>
      </w:r>
      <w:r w:rsidR="00572E78" w:rsidRPr="00572E78">
        <w:rPr>
          <w:i/>
        </w:rPr>
        <w:t>POLE</w:t>
      </w:r>
      <w:r w:rsidR="00B54967">
        <w:t xml:space="preserve"> genotyping versus no </w:t>
      </w:r>
      <w:r w:rsidR="00572E78" w:rsidRPr="00572E78">
        <w:rPr>
          <w:i/>
        </w:rPr>
        <w:t>POLE</w:t>
      </w:r>
      <w:r w:rsidR="00B54967">
        <w:t xml:space="preserve"> genotyping in patients with </w:t>
      </w:r>
      <w:r w:rsidR="008C0166">
        <w:t>EC</w:t>
      </w:r>
      <w:r w:rsidR="00B54967">
        <w:t>?</w:t>
      </w:r>
      <w:r w:rsidR="00A16436">
        <w:t xml:space="preserve"> </w:t>
      </w:r>
      <w:r w:rsidR="00002EB6">
        <w:t xml:space="preserve">The </w:t>
      </w:r>
      <w:r w:rsidR="003A75F3">
        <w:t xml:space="preserve">SLR </w:t>
      </w:r>
      <w:r w:rsidR="00002EB6">
        <w:t xml:space="preserve">was </w:t>
      </w:r>
      <w:r w:rsidR="003A75F3">
        <w:t xml:space="preserve">conducted </w:t>
      </w:r>
      <w:r w:rsidR="00002EB6">
        <w:t>on 20 August 2025 across multiple databases</w:t>
      </w:r>
      <w:r w:rsidR="005349E1">
        <w:t xml:space="preserve">. </w:t>
      </w:r>
      <w:r w:rsidR="00A46717">
        <w:t>A total of</w:t>
      </w:r>
      <w:r w:rsidR="00F7356A">
        <w:t xml:space="preserve"> </w:t>
      </w:r>
      <w:r w:rsidR="0037047E">
        <w:t xml:space="preserve">10 </w:t>
      </w:r>
      <w:r w:rsidR="00A46717">
        <w:t xml:space="preserve">publications met the inclusion criteria for assessing </w:t>
      </w:r>
      <w:r w:rsidR="00A46717" w:rsidRPr="77F1BF6E">
        <w:rPr>
          <w:i/>
        </w:rPr>
        <w:t>POLE</w:t>
      </w:r>
      <w:r w:rsidR="00A46717">
        <w:t xml:space="preserve"> mutations in patients with EC. </w:t>
      </w:r>
      <w:r w:rsidR="0843BC1F">
        <w:t xml:space="preserve"> </w:t>
      </w:r>
    </w:p>
    <w:p w14:paraId="01745CC5" w14:textId="3F359A69" w:rsidR="00B54967" w:rsidRDefault="00D43B4A" w:rsidP="002837DE">
      <w:r>
        <w:t xml:space="preserve">As the SLR </w:t>
      </w:r>
      <w:r w:rsidR="00494198">
        <w:t>found no</w:t>
      </w:r>
      <w:r>
        <w:t xml:space="preserve"> studies providing direct evidence, a linked evidence approach was undertaken. This approach integrated </w:t>
      </w:r>
      <w:r w:rsidR="005629C2">
        <w:t xml:space="preserve">the </w:t>
      </w:r>
      <w:r w:rsidR="00306E13">
        <w:t xml:space="preserve">3 </w:t>
      </w:r>
      <w:r w:rsidR="005629C2">
        <w:t xml:space="preserve">key domains of the assessment framework: the diagnostic accuracy of </w:t>
      </w:r>
      <w:r w:rsidR="00572E78" w:rsidRPr="00572E78">
        <w:rPr>
          <w:i/>
        </w:rPr>
        <w:t>POLE</w:t>
      </w:r>
      <w:r w:rsidR="005629C2">
        <w:t xml:space="preserve"> genotyping methods, the impact of </w:t>
      </w:r>
      <w:r w:rsidR="00572E78" w:rsidRPr="00572E78">
        <w:rPr>
          <w:i/>
        </w:rPr>
        <w:t>POLE</w:t>
      </w:r>
      <w:r w:rsidR="005629C2">
        <w:t>mut status on clinical management, and the effect of adjuvant treatments on patient outcomes.</w:t>
      </w:r>
      <w:r w:rsidR="4618224C">
        <w:t xml:space="preserve"> Note that following the SLR</w:t>
      </w:r>
      <w:r w:rsidR="00BB3A8B">
        <w:t>,</w:t>
      </w:r>
      <w:r w:rsidR="4618224C">
        <w:t xml:space="preserve"> a conference abstract was published for PORTEC-4a</w:t>
      </w:r>
      <w:r w:rsidR="00F6656A">
        <w:t>,</w:t>
      </w:r>
      <w:r w:rsidR="4618224C">
        <w:t xml:space="preserve"> providing preliminary results on direct health outcome</w:t>
      </w:r>
      <w:r w:rsidR="0E82F6AA">
        <w:t>s</w:t>
      </w:r>
      <w:r w:rsidR="4618224C">
        <w:t xml:space="preserve"> for adjuvant treatment </w:t>
      </w:r>
      <w:r w:rsidR="0054654E">
        <w:t xml:space="preserve">of EC </w:t>
      </w:r>
      <w:r w:rsidR="4618224C">
        <w:t>based on molecular profile.</w:t>
      </w:r>
    </w:p>
    <w:p w14:paraId="2D619BD3" w14:textId="513C91B4" w:rsidR="00F73685" w:rsidRDefault="00E0387D" w:rsidP="002837DE">
      <w:r>
        <w:lastRenderedPageBreak/>
        <w:t xml:space="preserve">Four studies </w:t>
      </w:r>
      <w:r w:rsidR="0056333A">
        <w:t>identified in the SLR</w:t>
      </w:r>
      <w:r w:rsidR="0056333A" w:rsidDel="00C163AE">
        <w:t xml:space="preserve"> </w:t>
      </w:r>
      <w:r w:rsidR="00EB5061">
        <w:t xml:space="preserve">provided </w:t>
      </w:r>
      <w:r w:rsidR="00CE4446">
        <w:t xml:space="preserve">data </w:t>
      </w:r>
      <w:r w:rsidR="00EB5061">
        <w:t xml:space="preserve">on </w:t>
      </w:r>
      <w:r>
        <w:t xml:space="preserve">the </w:t>
      </w:r>
      <w:r w:rsidR="00AB261F">
        <w:t xml:space="preserve">test accuracy of </w:t>
      </w:r>
      <w:r w:rsidR="00572E78" w:rsidRPr="00572E78">
        <w:rPr>
          <w:i/>
        </w:rPr>
        <w:t>POLE</w:t>
      </w:r>
      <w:r w:rsidR="00AB261F">
        <w:t xml:space="preserve"> genotyping</w:t>
      </w:r>
      <w:r w:rsidR="00F73685">
        <w:t xml:space="preserve"> </w:t>
      </w:r>
      <w:r w:rsidR="00CE4446">
        <w:t>across various genotyping methodologies</w:t>
      </w:r>
      <w:r w:rsidR="00F31860">
        <w:t>,</w:t>
      </w:r>
      <w:r w:rsidR="00CE4446">
        <w:t xml:space="preserve"> including </w:t>
      </w:r>
      <w:r w:rsidR="001125ED">
        <w:t>polymerase chain reaction (</w:t>
      </w:r>
      <w:r w:rsidR="00CE4446">
        <w:t>PCR</w:t>
      </w:r>
      <w:r w:rsidR="001125ED">
        <w:t>)</w:t>
      </w:r>
      <w:r w:rsidR="00CE4446">
        <w:t xml:space="preserve">, </w:t>
      </w:r>
      <w:r w:rsidR="001125ED">
        <w:t>quantitative PCR (</w:t>
      </w:r>
      <w:r w:rsidR="00CE4446">
        <w:t>qPCR</w:t>
      </w:r>
      <w:r w:rsidR="001125ED">
        <w:t>)</w:t>
      </w:r>
      <w:r w:rsidR="00CE4446">
        <w:t xml:space="preserve">, </w:t>
      </w:r>
      <w:r w:rsidR="001125ED">
        <w:t>droplet digital PCR (</w:t>
      </w:r>
      <w:r w:rsidR="00CE4446">
        <w:t>ddPCR</w:t>
      </w:r>
      <w:r w:rsidR="001125ED">
        <w:t>)</w:t>
      </w:r>
      <w:r w:rsidR="003D266B">
        <w:t>, Sanger sequencing</w:t>
      </w:r>
      <w:r w:rsidR="00CE4446">
        <w:t xml:space="preserve"> and NGS </w:t>
      </w:r>
      <w:r w:rsidR="00C458C7">
        <w:t>(</w:t>
      </w:r>
      <w:r w:rsidR="00584B82">
        <w:fldChar w:fldCharType="begin"/>
      </w:r>
      <w:r w:rsidR="00584B82">
        <w:instrText xml:space="preserve"> REF _Ref212030202 \h </w:instrText>
      </w:r>
      <w:r w:rsidR="00584B82">
        <w:fldChar w:fldCharType="separate"/>
      </w:r>
      <w:r w:rsidR="00996E6E">
        <w:t xml:space="preserve">Table </w:t>
      </w:r>
      <w:r w:rsidR="00996E6E">
        <w:rPr>
          <w:noProof/>
        </w:rPr>
        <w:t>4</w:t>
      </w:r>
      <w:r w:rsidR="00584B82">
        <w:fldChar w:fldCharType="end"/>
      </w:r>
      <w:r w:rsidR="00C458C7">
        <w:t>)</w:t>
      </w:r>
      <w:r w:rsidR="00F932F2">
        <w:t xml:space="preserve">. </w:t>
      </w:r>
      <w:r w:rsidR="00CC63F1">
        <w:t xml:space="preserve">No studies were retrieved that directly evaluated change in clinical management resulting from </w:t>
      </w:r>
      <w:r w:rsidR="00572E78" w:rsidRPr="00572E78">
        <w:rPr>
          <w:i/>
        </w:rPr>
        <w:t>POLE</w:t>
      </w:r>
      <w:r w:rsidR="00CC63F1">
        <w:t xml:space="preserve"> genotyping. Instead, this component was informed indirectly through </w:t>
      </w:r>
      <w:r w:rsidR="00C163AE">
        <w:t xml:space="preserve">3 </w:t>
      </w:r>
      <w:r w:rsidR="00CC63F1">
        <w:t xml:space="preserve">studies comparing </w:t>
      </w:r>
      <w:r w:rsidR="00E72674">
        <w:t>the prognosis of</w:t>
      </w:r>
      <w:r w:rsidR="00CC63F1">
        <w:t xml:space="preserve"> </w:t>
      </w:r>
      <w:r w:rsidR="00572E78" w:rsidRPr="00572E78">
        <w:rPr>
          <w:i/>
        </w:rPr>
        <w:t>POLE</w:t>
      </w:r>
      <w:r w:rsidR="00CC63F1">
        <w:t>mut EC versus other molecular subtypes (</w:t>
      </w:r>
      <w:r w:rsidR="00A62A00" w:rsidRPr="00572E78">
        <w:rPr>
          <w:i/>
        </w:rPr>
        <w:t>POLE</w:t>
      </w:r>
      <w:r w:rsidR="00A62A00">
        <w:rPr>
          <w:i/>
        </w:rPr>
        <w:t xml:space="preserve"> </w:t>
      </w:r>
      <w:r w:rsidR="00A62A00">
        <w:t>wild type [</w:t>
      </w:r>
      <w:r w:rsidR="00572E78" w:rsidRPr="00572E78">
        <w:rPr>
          <w:i/>
        </w:rPr>
        <w:t>POLE</w:t>
      </w:r>
      <w:r w:rsidR="00CC63F1">
        <w:t>wt</w:t>
      </w:r>
      <w:r w:rsidR="00A62A00">
        <w:t>]</w:t>
      </w:r>
      <w:r w:rsidR="00CC63F1">
        <w:t xml:space="preserve">, </w:t>
      </w:r>
      <w:r w:rsidR="00136FE5">
        <w:t>MMR deficient [</w:t>
      </w:r>
      <w:r w:rsidR="005768F5">
        <w:t>MMRd</w:t>
      </w:r>
      <w:r w:rsidR="00136FE5">
        <w:t>]</w:t>
      </w:r>
      <w:r w:rsidR="00190ACB">
        <w:t xml:space="preserve"> </w:t>
      </w:r>
      <w:r w:rsidR="00CC63F1">
        <w:t xml:space="preserve">and </w:t>
      </w:r>
      <w:r w:rsidR="000631E1">
        <w:t>no specific molecular profile [</w:t>
      </w:r>
      <w:r w:rsidR="00CC63F1">
        <w:t>NSMP</w:t>
      </w:r>
      <w:r w:rsidR="000631E1">
        <w:t>]</w:t>
      </w:r>
      <w:r w:rsidR="00CC63F1">
        <w:t xml:space="preserve">). </w:t>
      </w:r>
      <w:r w:rsidR="003A3F34">
        <w:t>Three</w:t>
      </w:r>
      <w:r w:rsidR="00525203">
        <w:t xml:space="preserve"> studies were identified </w:t>
      </w:r>
      <w:r w:rsidR="00DA4CF8">
        <w:t xml:space="preserve">that </w:t>
      </w:r>
      <w:r w:rsidR="00BD037E">
        <w:t xml:space="preserve">assessed the impact of adjuvant therapy in patients with </w:t>
      </w:r>
      <w:r w:rsidR="00572E78" w:rsidRPr="00572E78">
        <w:rPr>
          <w:i/>
        </w:rPr>
        <w:t>POLE</w:t>
      </w:r>
      <w:r w:rsidR="00BD037E">
        <w:t xml:space="preserve">mut EC. </w:t>
      </w:r>
    </w:p>
    <w:p w14:paraId="3EAF8A46" w14:textId="36DCB497" w:rsidR="00F04849" w:rsidRDefault="00F04849" w:rsidP="002837DE">
      <w:r>
        <w:t>The studies contributing to each component of the assessment framework were heterogeneous</w:t>
      </w:r>
      <w:r w:rsidR="003B7B67">
        <w:t xml:space="preserve"> </w:t>
      </w:r>
      <w:r w:rsidR="00941905">
        <w:t>in</w:t>
      </w:r>
      <w:r>
        <w:t xml:space="preserve"> </w:t>
      </w:r>
      <w:r w:rsidR="00EF7EAF">
        <w:t xml:space="preserve">study designs, comparator groups and </w:t>
      </w:r>
      <w:r>
        <w:t>reported outcomes</w:t>
      </w:r>
      <w:r w:rsidR="00941905">
        <w:t>. Th</w:t>
      </w:r>
      <w:r w:rsidR="00984868">
        <w:t>us</w:t>
      </w:r>
      <w:r w:rsidR="00941905">
        <w:t xml:space="preserve">, meta-analysis </w:t>
      </w:r>
      <w:r w:rsidR="00156C66">
        <w:t xml:space="preserve">or pooling </w:t>
      </w:r>
      <w:r w:rsidR="00941905">
        <w:t>of the study results was not feasible. Instead, the evidence was evaluated independently, with findings appraised at the individual study level.</w:t>
      </w:r>
    </w:p>
    <w:p w14:paraId="3B41B710" w14:textId="035955AF" w:rsidR="000E4386" w:rsidRPr="00F834DD" w:rsidRDefault="000E4386" w:rsidP="000E4386">
      <w:pPr>
        <w:pStyle w:val="Caption"/>
        <w:rPr>
          <w:sz w:val="16"/>
          <w:szCs w:val="16"/>
        </w:rPr>
      </w:pPr>
      <w:bookmarkStart w:id="23" w:name="_Ref212030202"/>
      <w:r>
        <w:lastRenderedPageBreak/>
        <w:t xml:space="preserve">Table </w:t>
      </w:r>
      <w:r>
        <w:fldChar w:fldCharType="begin"/>
      </w:r>
      <w:r>
        <w:instrText>SEQ Table \* ARABIC</w:instrText>
      </w:r>
      <w:r>
        <w:fldChar w:fldCharType="separate"/>
      </w:r>
      <w:r w:rsidR="00996E6E">
        <w:rPr>
          <w:noProof/>
        </w:rPr>
        <w:t>4</w:t>
      </w:r>
      <w:r>
        <w:fldChar w:fldCharType="end"/>
      </w:r>
      <w:bookmarkEnd w:id="23"/>
      <w:r>
        <w:t xml:space="preserve"> </w:t>
      </w:r>
      <w:r w:rsidRPr="00F834DD">
        <w:t xml:space="preserve">Key features of the included evidence </w:t>
      </w:r>
      <w:r>
        <w:t xml:space="preserve">for </w:t>
      </w:r>
      <w:r w:rsidR="00572E78" w:rsidRPr="00572E78">
        <w:rPr>
          <w:i/>
        </w:rPr>
        <w:t>POLE</w:t>
      </w:r>
      <w:r>
        <w:t xml:space="preserve"> genotyping in </w:t>
      </w:r>
      <w:r w:rsidR="008C0166">
        <w:t>EC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1"/>
        <w:gridCol w:w="4052"/>
        <w:gridCol w:w="1277"/>
        <w:gridCol w:w="1060"/>
        <w:gridCol w:w="1156"/>
      </w:tblGrid>
      <w:tr w:rsidR="00786F73" w:rsidRPr="00F834DD" w14:paraId="28CA4E21" w14:textId="4D60B3D3" w:rsidTr="00181797">
        <w:trPr>
          <w:trHeight w:val="283"/>
          <w:tblHeader/>
        </w:trPr>
        <w:tc>
          <w:tcPr>
            <w:tcW w:w="816" w:type="pct"/>
            <w:shd w:val="clear" w:color="auto" w:fill="F2F2F2" w:themeFill="background1" w:themeFillShade="F2"/>
            <w:tcMar>
              <w:left w:w="57" w:type="dxa"/>
              <w:right w:w="57" w:type="dxa"/>
            </w:tcMar>
          </w:tcPr>
          <w:p w14:paraId="6318C0A5" w14:textId="5548DACA" w:rsidR="00E4232A" w:rsidRPr="00F834DD" w:rsidRDefault="008E41D3">
            <w:pPr>
              <w:pStyle w:val="TableText"/>
              <w:keepNext/>
              <w:rPr>
                <w:b/>
              </w:rPr>
            </w:pPr>
            <w:r>
              <w:rPr>
                <w:b/>
              </w:rPr>
              <w:t>Study</w:t>
            </w:r>
          </w:p>
        </w:tc>
        <w:tc>
          <w:tcPr>
            <w:tcW w:w="2247" w:type="pct"/>
            <w:shd w:val="clear" w:color="auto" w:fill="F2F2F2" w:themeFill="background1" w:themeFillShade="F2"/>
            <w:tcMar>
              <w:left w:w="57" w:type="dxa"/>
              <w:right w:w="57" w:type="dxa"/>
            </w:tcMar>
            <w:hideMark/>
          </w:tcPr>
          <w:p w14:paraId="47A35FFE" w14:textId="77777777" w:rsidR="00E4232A" w:rsidRPr="00F834DD" w:rsidRDefault="00E4232A">
            <w:pPr>
              <w:pStyle w:val="TableText"/>
              <w:keepNext/>
              <w:rPr>
                <w:b/>
              </w:rPr>
            </w:pPr>
            <w:r w:rsidRPr="00F834DD">
              <w:rPr>
                <w:b/>
              </w:rPr>
              <w:t>Type of evidence supplied</w:t>
            </w:r>
          </w:p>
        </w:tc>
        <w:tc>
          <w:tcPr>
            <w:tcW w:w="708" w:type="pct"/>
            <w:shd w:val="clear" w:color="auto" w:fill="F2F2F2" w:themeFill="background1" w:themeFillShade="F2"/>
            <w:tcMar>
              <w:left w:w="57" w:type="dxa"/>
              <w:right w:w="57" w:type="dxa"/>
            </w:tcMar>
            <w:hideMark/>
          </w:tcPr>
          <w:p w14:paraId="61A67C3F" w14:textId="77777777" w:rsidR="00E4232A" w:rsidRDefault="00E4232A">
            <w:pPr>
              <w:pStyle w:val="TableText"/>
              <w:keepNext/>
              <w:rPr>
                <w:b/>
              </w:rPr>
            </w:pPr>
            <w:r>
              <w:rPr>
                <w:b/>
              </w:rPr>
              <w:t>Sample size</w:t>
            </w:r>
          </w:p>
          <w:p w14:paraId="4AF96915" w14:textId="77777777" w:rsidR="00E4232A" w:rsidRPr="00F834DD" w:rsidRDefault="00E4232A">
            <w:pPr>
              <w:pStyle w:val="TableText"/>
              <w:keepNext/>
              <w:rPr>
                <w:b/>
              </w:rPr>
            </w:pPr>
            <w:r>
              <w:rPr>
                <w:b/>
              </w:rPr>
              <w:t>No. of studies</w:t>
            </w:r>
          </w:p>
        </w:tc>
        <w:tc>
          <w:tcPr>
            <w:tcW w:w="588" w:type="pct"/>
            <w:shd w:val="clear" w:color="auto" w:fill="F2F2F2" w:themeFill="background1" w:themeFillShade="F2"/>
            <w:tcMar>
              <w:left w:w="57" w:type="dxa"/>
              <w:right w:w="57" w:type="dxa"/>
            </w:tcMar>
            <w:hideMark/>
          </w:tcPr>
          <w:p w14:paraId="5D412F8E" w14:textId="77777777" w:rsidR="00E4232A" w:rsidRPr="00F834DD" w:rsidRDefault="00E4232A">
            <w:pPr>
              <w:pStyle w:val="TableText"/>
              <w:keepNext/>
              <w:rPr>
                <w:b/>
              </w:rPr>
            </w:pPr>
            <w:r w:rsidRPr="00F834DD">
              <w:rPr>
                <w:b/>
              </w:rPr>
              <w:t>Overall risk of bias</w:t>
            </w:r>
          </w:p>
        </w:tc>
        <w:tc>
          <w:tcPr>
            <w:tcW w:w="641" w:type="pct"/>
            <w:shd w:val="clear" w:color="auto" w:fill="F2F2F2" w:themeFill="background1" w:themeFillShade="F2"/>
            <w:tcMar>
              <w:left w:w="57" w:type="dxa"/>
              <w:right w:w="57" w:type="dxa"/>
            </w:tcMar>
          </w:tcPr>
          <w:p w14:paraId="11DF8869" w14:textId="4D483880" w:rsidR="00E4232A" w:rsidRPr="00F834DD" w:rsidRDefault="00AB15DD">
            <w:pPr>
              <w:pStyle w:val="TableText"/>
              <w:keepNext/>
              <w:rPr>
                <w:b/>
              </w:rPr>
            </w:pPr>
            <w:r>
              <w:rPr>
                <w:b/>
              </w:rPr>
              <w:t>GRADE</w:t>
            </w:r>
            <w:r w:rsidR="00E4232A">
              <w:rPr>
                <w:b/>
              </w:rPr>
              <w:t xml:space="preserve"> assessment</w:t>
            </w:r>
          </w:p>
        </w:tc>
      </w:tr>
      <w:tr w:rsidR="00786F73" w:rsidRPr="00F834DD" w14:paraId="23F70FF5" w14:textId="50787131" w:rsidTr="008C59E7">
        <w:trPr>
          <w:trHeight w:val="283"/>
        </w:trPr>
        <w:tc>
          <w:tcPr>
            <w:tcW w:w="5000" w:type="pct"/>
            <w:gridSpan w:val="5"/>
            <w:shd w:val="clear" w:color="auto" w:fill="D9D9D9" w:themeFill="background1" w:themeFillShade="D9"/>
            <w:tcMar>
              <w:left w:w="57" w:type="dxa"/>
              <w:right w:w="57" w:type="dxa"/>
            </w:tcMar>
          </w:tcPr>
          <w:p w14:paraId="379B337A" w14:textId="004BD908" w:rsidR="00E4232A" w:rsidRPr="00CA6F5C" w:rsidRDefault="008944AA" w:rsidP="003228BB">
            <w:pPr>
              <w:pStyle w:val="Tabletext0"/>
              <w:keepNext/>
            </w:pPr>
            <w:r w:rsidRPr="00CA6F5C">
              <w:t>Test accuracy</w:t>
            </w:r>
          </w:p>
        </w:tc>
      </w:tr>
      <w:tr w:rsidR="00106B98" w:rsidRPr="00CA6F5C" w14:paraId="0AEB7CD7" w14:textId="1AE6E698" w:rsidTr="00181797">
        <w:trPr>
          <w:trHeight w:val="283"/>
        </w:trPr>
        <w:tc>
          <w:tcPr>
            <w:tcW w:w="816" w:type="pct"/>
            <w:tcMar>
              <w:left w:w="57" w:type="dxa"/>
              <w:right w:w="57" w:type="dxa"/>
            </w:tcMar>
          </w:tcPr>
          <w:p w14:paraId="582BDF47" w14:textId="7C6B4981" w:rsidR="00E4232A" w:rsidRPr="00CA6F5C" w:rsidRDefault="00E4232A" w:rsidP="003228BB">
            <w:pPr>
              <w:pStyle w:val="Tabletext0"/>
              <w:keepNext/>
            </w:pPr>
            <w:r w:rsidRPr="00F834DD">
              <w:rPr>
                <w:rFonts w:eastAsia="Calibri"/>
              </w:rPr>
              <w:t>Chen 2024</w:t>
            </w:r>
            <w:bookmarkStart w:id="24" w:name="_Ref222382964"/>
            <w:r w:rsidR="00973526">
              <w:rPr>
                <w:rStyle w:val="FootnoteReference"/>
                <w:rFonts w:eastAsia="Calibri"/>
              </w:rPr>
              <w:footnoteReference w:id="7"/>
            </w:r>
            <w:bookmarkEnd w:id="24"/>
          </w:p>
        </w:tc>
        <w:tc>
          <w:tcPr>
            <w:tcW w:w="2247" w:type="pct"/>
            <w:tcMar>
              <w:left w:w="57" w:type="dxa"/>
              <w:right w:w="57" w:type="dxa"/>
            </w:tcMar>
          </w:tcPr>
          <w:p w14:paraId="26218641" w14:textId="77777777" w:rsidR="00E4232A" w:rsidRDefault="00E4232A" w:rsidP="003228BB">
            <w:pPr>
              <w:pStyle w:val="Tablebullet1"/>
              <w:keepNext/>
            </w:pPr>
            <w:r>
              <w:t>Cohort study</w:t>
            </w:r>
          </w:p>
          <w:p w14:paraId="6F282ED2" w14:textId="77777777" w:rsidR="00E4232A" w:rsidRDefault="00E4232A" w:rsidP="003228BB">
            <w:pPr>
              <w:pStyle w:val="Tablebullet1"/>
              <w:keepNext/>
            </w:pPr>
            <w:r>
              <w:t>PCR vs NGS</w:t>
            </w:r>
          </w:p>
        </w:tc>
        <w:tc>
          <w:tcPr>
            <w:tcW w:w="708" w:type="pct"/>
            <w:tcMar>
              <w:left w:w="57" w:type="dxa"/>
              <w:right w:w="57" w:type="dxa"/>
            </w:tcMar>
          </w:tcPr>
          <w:p w14:paraId="73992BDE" w14:textId="77777777" w:rsidR="00E4232A" w:rsidRPr="00F834DD" w:rsidRDefault="00E4232A" w:rsidP="003228BB">
            <w:pPr>
              <w:pStyle w:val="Tabletext0"/>
              <w:keepNext/>
            </w:pPr>
            <w:r w:rsidRPr="00F834DD">
              <w:t>n=365</w:t>
            </w:r>
          </w:p>
          <w:p w14:paraId="5634CDF8" w14:textId="77777777" w:rsidR="00E4232A" w:rsidRPr="00CA6F5C" w:rsidRDefault="00E4232A" w:rsidP="003228BB">
            <w:pPr>
              <w:pStyle w:val="Tabletext0"/>
              <w:keepNext/>
            </w:pPr>
            <w:r w:rsidRPr="00F834DD">
              <w:t>k=1</w:t>
            </w:r>
          </w:p>
        </w:tc>
        <w:tc>
          <w:tcPr>
            <w:tcW w:w="588" w:type="pct"/>
            <w:tcMar>
              <w:left w:w="57" w:type="dxa"/>
              <w:right w:w="57" w:type="dxa"/>
            </w:tcMar>
          </w:tcPr>
          <w:p w14:paraId="42CE99B5" w14:textId="214D41E9" w:rsidR="00E4232A" w:rsidRPr="00CA6F5C" w:rsidRDefault="00E4232A" w:rsidP="003228BB">
            <w:pPr>
              <w:pStyle w:val="Tabletext0"/>
              <w:keepNext/>
            </w:pPr>
            <w:r>
              <w:t>Unclear</w:t>
            </w:r>
          </w:p>
        </w:tc>
        <w:tc>
          <w:tcPr>
            <w:tcW w:w="641" w:type="pct"/>
            <w:tcMar>
              <w:left w:w="57" w:type="dxa"/>
              <w:right w:w="57" w:type="dxa"/>
            </w:tcMar>
          </w:tcPr>
          <w:p w14:paraId="2729149C" w14:textId="19758FFD" w:rsidR="00E4232A" w:rsidRPr="00F834DD" w:rsidRDefault="00E4232A" w:rsidP="003228BB">
            <w:pPr>
              <w:pStyle w:val="Tabletext0"/>
              <w:keepNext/>
              <w:rPr>
                <w:rFonts w:ascii="Cambria Math" w:hAnsi="Cambria Math"/>
                <w:color w:val="00B050"/>
              </w:rPr>
            </w:pPr>
            <w:r w:rsidRPr="00E60848">
              <w:rPr>
                <w:rFonts w:ascii="Cambria Math" w:hAnsi="Cambria Math"/>
                <w:color w:val="388600"/>
              </w:rPr>
              <w:t>⨁⨁⨁</w:t>
            </w:r>
            <w:r w:rsidRPr="00F834DD">
              <w:rPr>
                <w:rFonts w:ascii="Cambria Math" w:hAnsi="Cambria Math" w:cs="Cambria Math"/>
                <w:color w:val="C00000"/>
              </w:rPr>
              <w:t>⨀</w:t>
            </w:r>
            <w:r w:rsidRPr="00F834DD">
              <w:br/>
            </w:r>
            <w:r w:rsidRPr="00F834DD">
              <w:rPr>
                <w:rStyle w:val="quality-text"/>
              </w:rPr>
              <w:t>Moderate</w:t>
            </w:r>
          </w:p>
        </w:tc>
      </w:tr>
      <w:tr w:rsidR="00106B98" w:rsidRPr="00CA6F5C" w14:paraId="7956F3EE" w14:textId="37E14751" w:rsidTr="00181797">
        <w:trPr>
          <w:trHeight w:val="283"/>
        </w:trPr>
        <w:tc>
          <w:tcPr>
            <w:tcW w:w="816" w:type="pct"/>
            <w:tcMar>
              <w:left w:w="57" w:type="dxa"/>
              <w:right w:w="57" w:type="dxa"/>
            </w:tcMar>
          </w:tcPr>
          <w:p w14:paraId="0720ED8B" w14:textId="5382AD8C" w:rsidR="00E4232A" w:rsidRPr="00CA6F5C" w:rsidRDefault="00E4232A" w:rsidP="008E41D3">
            <w:pPr>
              <w:pStyle w:val="Tabletext0"/>
              <w:keepNext/>
              <w:jc w:val="left"/>
            </w:pPr>
            <w:r w:rsidRPr="00F834DD">
              <w:rPr>
                <w:rFonts w:eastAsia="Calibri"/>
              </w:rPr>
              <w:t>Van den Heerik 2023</w:t>
            </w:r>
            <w:bookmarkStart w:id="25" w:name="_Ref215208546"/>
            <w:r w:rsidR="00C2005F">
              <w:rPr>
                <w:rStyle w:val="FootnoteReference"/>
                <w:rFonts w:eastAsia="Calibri"/>
              </w:rPr>
              <w:footnoteReference w:id="8"/>
            </w:r>
            <w:bookmarkEnd w:id="25"/>
          </w:p>
        </w:tc>
        <w:tc>
          <w:tcPr>
            <w:tcW w:w="2247" w:type="pct"/>
            <w:tcMar>
              <w:left w:w="57" w:type="dxa"/>
              <w:right w:w="57" w:type="dxa"/>
            </w:tcMar>
          </w:tcPr>
          <w:p w14:paraId="1545B222" w14:textId="77777777" w:rsidR="00E4232A" w:rsidRDefault="00E4232A" w:rsidP="003228BB">
            <w:pPr>
              <w:pStyle w:val="Tablebullet1"/>
              <w:keepNext/>
            </w:pPr>
            <w:r>
              <w:t>Cross-sectional study</w:t>
            </w:r>
          </w:p>
          <w:p w14:paraId="2DCF8484" w14:textId="77777777" w:rsidR="00E4232A" w:rsidRDefault="00E4232A" w:rsidP="003228BB">
            <w:pPr>
              <w:pStyle w:val="Tablebullet1"/>
              <w:keepNext/>
            </w:pPr>
            <w:r>
              <w:t>qPCR vs NGS</w:t>
            </w:r>
          </w:p>
        </w:tc>
        <w:tc>
          <w:tcPr>
            <w:tcW w:w="708" w:type="pct"/>
            <w:tcMar>
              <w:left w:w="57" w:type="dxa"/>
              <w:right w:w="57" w:type="dxa"/>
            </w:tcMar>
          </w:tcPr>
          <w:p w14:paraId="0D1B7E58" w14:textId="77777777" w:rsidR="00E4232A" w:rsidRPr="00F834DD" w:rsidRDefault="00E4232A" w:rsidP="003228BB">
            <w:pPr>
              <w:pStyle w:val="Tabletext0"/>
              <w:keepNext/>
            </w:pPr>
            <w:r w:rsidRPr="00F834DD">
              <w:t>n=282</w:t>
            </w:r>
          </w:p>
          <w:p w14:paraId="72CAA6E5" w14:textId="77777777" w:rsidR="00E4232A" w:rsidRPr="00CA6F5C" w:rsidRDefault="00E4232A" w:rsidP="003228BB">
            <w:pPr>
              <w:pStyle w:val="Tabletext0"/>
              <w:keepNext/>
            </w:pPr>
            <w:r w:rsidRPr="00F834DD">
              <w:t>k=1</w:t>
            </w:r>
          </w:p>
        </w:tc>
        <w:tc>
          <w:tcPr>
            <w:tcW w:w="588" w:type="pct"/>
            <w:tcMar>
              <w:left w:w="57" w:type="dxa"/>
              <w:right w:w="57" w:type="dxa"/>
            </w:tcMar>
          </w:tcPr>
          <w:p w14:paraId="6371907B" w14:textId="2BE63A99" w:rsidR="00E4232A" w:rsidRPr="00CA6F5C" w:rsidRDefault="00E4232A" w:rsidP="003228BB">
            <w:pPr>
              <w:pStyle w:val="Tabletext0"/>
              <w:keepNext/>
            </w:pPr>
            <w:r>
              <w:t>Unclear</w:t>
            </w:r>
          </w:p>
          <w:p w14:paraId="16C0B11A" w14:textId="77777777" w:rsidR="00E4232A" w:rsidRPr="00CA6F5C" w:rsidRDefault="00E4232A" w:rsidP="003228BB">
            <w:pPr>
              <w:pStyle w:val="Tabletext0"/>
              <w:keepNext/>
            </w:pPr>
          </w:p>
        </w:tc>
        <w:tc>
          <w:tcPr>
            <w:tcW w:w="641" w:type="pct"/>
            <w:tcMar>
              <w:left w:w="57" w:type="dxa"/>
              <w:right w:w="57" w:type="dxa"/>
            </w:tcMar>
          </w:tcPr>
          <w:p w14:paraId="5879C9B0" w14:textId="11FE09A7" w:rsidR="00E4232A" w:rsidRPr="00F834DD" w:rsidRDefault="00E4232A" w:rsidP="003228BB">
            <w:pPr>
              <w:pStyle w:val="Tabletext0"/>
              <w:keepNext/>
              <w:rPr>
                <w:rFonts w:ascii="Cambria Math" w:hAnsi="Cambria Math"/>
                <w:color w:val="00B050"/>
              </w:rPr>
            </w:pPr>
            <w:r w:rsidRPr="00E60848">
              <w:rPr>
                <w:rFonts w:ascii="Cambria Math" w:hAnsi="Cambria Math"/>
                <w:color w:val="006100"/>
              </w:rPr>
              <w:t>⨁⨁⨁</w:t>
            </w:r>
            <w:r w:rsidRPr="00F834DD">
              <w:rPr>
                <w:rFonts w:ascii="Cambria Math" w:hAnsi="Cambria Math" w:cs="Cambria Math"/>
                <w:color w:val="C00000"/>
              </w:rPr>
              <w:t>⨀</w:t>
            </w:r>
            <w:r w:rsidRPr="00F834DD">
              <w:br/>
            </w:r>
            <w:r w:rsidRPr="00F834DD">
              <w:rPr>
                <w:rStyle w:val="quality-text"/>
              </w:rPr>
              <w:t>Moderate</w:t>
            </w:r>
          </w:p>
        </w:tc>
      </w:tr>
      <w:tr w:rsidR="00106B98" w:rsidRPr="00CA6F5C" w14:paraId="7DDE714A" w14:textId="33B938C8" w:rsidTr="00181797">
        <w:trPr>
          <w:trHeight w:val="283"/>
        </w:trPr>
        <w:tc>
          <w:tcPr>
            <w:tcW w:w="816" w:type="pct"/>
            <w:tcMar>
              <w:left w:w="57" w:type="dxa"/>
              <w:right w:w="57" w:type="dxa"/>
            </w:tcMar>
          </w:tcPr>
          <w:p w14:paraId="17D8E83A" w14:textId="693A1824" w:rsidR="00E4232A" w:rsidRPr="00CA6F5C" w:rsidRDefault="00E4232A" w:rsidP="003228BB">
            <w:pPr>
              <w:pStyle w:val="Tabletext0"/>
              <w:keepNext/>
            </w:pPr>
            <w:r w:rsidRPr="00F834DD">
              <w:rPr>
                <w:rFonts w:eastAsia="Calibri"/>
              </w:rPr>
              <w:t xml:space="preserve">Kim </w:t>
            </w:r>
            <w:r w:rsidR="0026770B">
              <w:rPr>
                <w:rFonts w:eastAsia="Calibri"/>
              </w:rPr>
              <w:t>2022</w:t>
            </w:r>
            <w:bookmarkStart w:id="26" w:name="_Ref215208557"/>
            <w:r w:rsidR="00C2005F">
              <w:rPr>
                <w:rStyle w:val="FootnoteReference"/>
                <w:rFonts w:eastAsia="Calibri"/>
              </w:rPr>
              <w:footnoteReference w:id="9"/>
            </w:r>
            <w:bookmarkEnd w:id="26"/>
          </w:p>
        </w:tc>
        <w:tc>
          <w:tcPr>
            <w:tcW w:w="2247" w:type="pct"/>
            <w:tcMar>
              <w:left w:w="57" w:type="dxa"/>
              <w:right w:w="57" w:type="dxa"/>
            </w:tcMar>
          </w:tcPr>
          <w:p w14:paraId="7751A8CC" w14:textId="77777777" w:rsidR="00E4232A" w:rsidRDefault="00E4232A" w:rsidP="003228BB">
            <w:pPr>
              <w:pStyle w:val="Tablebullet1"/>
              <w:keepNext/>
            </w:pPr>
            <w:r>
              <w:t>Cohort study</w:t>
            </w:r>
          </w:p>
          <w:p w14:paraId="12C58F00" w14:textId="77777777" w:rsidR="00E4232A" w:rsidRDefault="00E4232A" w:rsidP="003228BB">
            <w:pPr>
              <w:pStyle w:val="Tablebullet1"/>
              <w:keepNext/>
            </w:pPr>
            <w:r>
              <w:t>ddPCR vs Sanger sequencing</w:t>
            </w:r>
          </w:p>
        </w:tc>
        <w:tc>
          <w:tcPr>
            <w:tcW w:w="708" w:type="pct"/>
            <w:tcMar>
              <w:left w:w="57" w:type="dxa"/>
              <w:right w:w="57" w:type="dxa"/>
            </w:tcMar>
          </w:tcPr>
          <w:p w14:paraId="400BB443" w14:textId="77777777" w:rsidR="00E4232A" w:rsidRPr="00F834DD" w:rsidRDefault="00E4232A" w:rsidP="003228BB">
            <w:pPr>
              <w:pStyle w:val="Tabletext0"/>
              <w:keepNext/>
            </w:pPr>
            <w:r w:rsidRPr="00F834DD">
              <w:t>n=240</w:t>
            </w:r>
          </w:p>
          <w:p w14:paraId="1C0F5033" w14:textId="77777777" w:rsidR="00E4232A" w:rsidRPr="00CA6F5C" w:rsidRDefault="00E4232A" w:rsidP="003228BB">
            <w:pPr>
              <w:pStyle w:val="Tabletext0"/>
              <w:keepNext/>
            </w:pPr>
            <w:r w:rsidRPr="00F834DD">
              <w:t>k=1</w:t>
            </w:r>
          </w:p>
        </w:tc>
        <w:tc>
          <w:tcPr>
            <w:tcW w:w="588" w:type="pct"/>
            <w:tcMar>
              <w:left w:w="57" w:type="dxa"/>
              <w:right w:w="57" w:type="dxa"/>
            </w:tcMar>
          </w:tcPr>
          <w:p w14:paraId="1284708C" w14:textId="3A62C6D7" w:rsidR="00E4232A" w:rsidRPr="00CA6F5C" w:rsidRDefault="00E4232A" w:rsidP="003228BB">
            <w:pPr>
              <w:pStyle w:val="Tabletext0"/>
              <w:keepNext/>
            </w:pPr>
            <w:r>
              <w:t>Unclear</w:t>
            </w:r>
          </w:p>
        </w:tc>
        <w:tc>
          <w:tcPr>
            <w:tcW w:w="641" w:type="pct"/>
            <w:tcMar>
              <w:left w:w="57" w:type="dxa"/>
              <w:right w:w="57" w:type="dxa"/>
            </w:tcMar>
          </w:tcPr>
          <w:p w14:paraId="63C42639" w14:textId="59C509A2" w:rsidR="00E4232A" w:rsidRPr="00F834DD" w:rsidRDefault="00E4232A" w:rsidP="003228BB">
            <w:pPr>
              <w:pStyle w:val="Tabletext0"/>
              <w:keepNext/>
              <w:rPr>
                <w:rFonts w:ascii="Cambria Math" w:hAnsi="Cambria Math"/>
                <w:color w:val="00B050"/>
              </w:rPr>
            </w:pPr>
            <w:r w:rsidRPr="00E60848">
              <w:rPr>
                <w:rFonts w:ascii="Cambria Math" w:hAnsi="Cambria Math"/>
                <w:color w:val="006100"/>
              </w:rPr>
              <w:t>⨁⨁⨁</w:t>
            </w:r>
            <w:r w:rsidRPr="00F834DD">
              <w:rPr>
                <w:rFonts w:ascii="Cambria Math" w:hAnsi="Cambria Math" w:cs="Cambria Math"/>
                <w:color w:val="C00000"/>
              </w:rPr>
              <w:t>⨀</w:t>
            </w:r>
            <w:r w:rsidRPr="00F834DD">
              <w:br/>
            </w:r>
            <w:r w:rsidRPr="00F834DD">
              <w:rPr>
                <w:rStyle w:val="quality-text"/>
              </w:rPr>
              <w:t>Moderate</w:t>
            </w:r>
          </w:p>
        </w:tc>
      </w:tr>
      <w:tr w:rsidR="00106B98" w:rsidRPr="00CA6F5C" w14:paraId="342E9CEA" w14:textId="48E46C86" w:rsidTr="00181797">
        <w:trPr>
          <w:trHeight w:val="283"/>
        </w:trPr>
        <w:tc>
          <w:tcPr>
            <w:tcW w:w="816" w:type="pct"/>
            <w:tcMar>
              <w:left w:w="57" w:type="dxa"/>
              <w:right w:w="57" w:type="dxa"/>
            </w:tcMar>
          </w:tcPr>
          <w:p w14:paraId="59AD1A31" w14:textId="247AA69B" w:rsidR="00E4232A" w:rsidRPr="00CA6F5C" w:rsidRDefault="00E4232A" w:rsidP="003228BB">
            <w:pPr>
              <w:pStyle w:val="Tabletext0"/>
              <w:keepNext/>
            </w:pPr>
            <w:r w:rsidRPr="00F834DD">
              <w:rPr>
                <w:rFonts w:eastAsia="Calibri"/>
              </w:rPr>
              <w:t>Talhouk 2016</w:t>
            </w:r>
            <w:bookmarkStart w:id="27" w:name="_Ref222383306"/>
            <w:r w:rsidR="00536FE3">
              <w:rPr>
                <w:rStyle w:val="FootnoteReference"/>
                <w:rFonts w:eastAsia="Calibri"/>
              </w:rPr>
              <w:footnoteReference w:id="10"/>
            </w:r>
            <w:bookmarkEnd w:id="27"/>
          </w:p>
        </w:tc>
        <w:tc>
          <w:tcPr>
            <w:tcW w:w="2247" w:type="pct"/>
            <w:tcMar>
              <w:left w:w="57" w:type="dxa"/>
              <w:right w:w="57" w:type="dxa"/>
            </w:tcMar>
          </w:tcPr>
          <w:p w14:paraId="60D2C2CF" w14:textId="77777777" w:rsidR="00E4232A" w:rsidRDefault="00E4232A" w:rsidP="003228BB">
            <w:pPr>
              <w:pStyle w:val="Tablebullet1"/>
              <w:keepNext/>
            </w:pPr>
            <w:r>
              <w:t>Cohort study</w:t>
            </w:r>
          </w:p>
          <w:p w14:paraId="10886674" w14:textId="072CB8EF" w:rsidR="00E4232A" w:rsidRDefault="00BA0108" w:rsidP="00C312B1">
            <w:pPr>
              <w:pStyle w:val="Tablebullet1"/>
              <w:keepNext/>
            </w:pPr>
            <w:r>
              <w:t xml:space="preserve">Ultradeep </w:t>
            </w:r>
            <w:r w:rsidRPr="00BA0108">
              <w:t xml:space="preserve">MiSeq sequencing </w:t>
            </w:r>
            <w:r w:rsidR="004C5D25">
              <w:t xml:space="preserve">(NGS) </w:t>
            </w:r>
            <w:r w:rsidRPr="00BA0108">
              <w:t xml:space="preserve">or Sanger sequencing </w:t>
            </w:r>
            <w:r w:rsidR="00E4232A">
              <w:t xml:space="preserve">on </w:t>
            </w:r>
            <w:r w:rsidR="00A336C9">
              <w:t>pre-surgical</w:t>
            </w:r>
            <w:r w:rsidR="00E4232A">
              <w:t xml:space="preserve"> specimen vs </w:t>
            </w:r>
            <w:r w:rsidR="00A336C9">
              <w:t>post-</w:t>
            </w:r>
            <w:r w:rsidR="00E4232A">
              <w:t>surgical specimen</w:t>
            </w:r>
          </w:p>
        </w:tc>
        <w:tc>
          <w:tcPr>
            <w:tcW w:w="708" w:type="pct"/>
            <w:tcMar>
              <w:left w:w="57" w:type="dxa"/>
              <w:right w:w="57" w:type="dxa"/>
            </w:tcMar>
          </w:tcPr>
          <w:p w14:paraId="5BCF2F27" w14:textId="77777777" w:rsidR="00E4232A" w:rsidRPr="00F834DD" w:rsidRDefault="00E4232A" w:rsidP="003228BB">
            <w:pPr>
              <w:pStyle w:val="Tabletext0"/>
              <w:keepNext/>
            </w:pPr>
            <w:r w:rsidRPr="00F834DD">
              <w:t>n=57</w:t>
            </w:r>
          </w:p>
          <w:p w14:paraId="3650E228" w14:textId="77777777" w:rsidR="00E4232A" w:rsidRPr="00CA6F5C" w:rsidRDefault="00E4232A" w:rsidP="003228BB">
            <w:pPr>
              <w:pStyle w:val="Tabletext0"/>
              <w:keepNext/>
            </w:pPr>
            <w:r w:rsidRPr="00F834DD">
              <w:t>k=1</w:t>
            </w:r>
          </w:p>
        </w:tc>
        <w:tc>
          <w:tcPr>
            <w:tcW w:w="588" w:type="pct"/>
            <w:tcMar>
              <w:left w:w="57" w:type="dxa"/>
              <w:right w:w="57" w:type="dxa"/>
            </w:tcMar>
          </w:tcPr>
          <w:p w14:paraId="5800DD17" w14:textId="7A72F5FA" w:rsidR="00E4232A" w:rsidRPr="00CA6F5C" w:rsidRDefault="00E4232A" w:rsidP="003228BB">
            <w:pPr>
              <w:pStyle w:val="Tabletext0"/>
              <w:keepNext/>
            </w:pPr>
            <w:r>
              <w:t>Unclear</w:t>
            </w:r>
          </w:p>
        </w:tc>
        <w:tc>
          <w:tcPr>
            <w:tcW w:w="641" w:type="pct"/>
            <w:tcMar>
              <w:left w:w="57" w:type="dxa"/>
              <w:right w:w="57" w:type="dxa"/>
            </w:tcMar>
          </w:tcPr>
          <w:p w14:paraId="7E242558" w14:textId="770F6E01" w:rsidR="00E4232A" w:rsidRPr="00F834DD" w:rsidRDefault="00E4232A" w:rsidP="003228BB">
            <w:pPr>
              <w:pStyle w:val="Tabletext0"/>
              <w:keepNext/>
              <w:rPr>
                <w:rFonts w:ascii="Cambria Math" w:hAnsi="Cambria Math"/>
                <w:color w:val="00B050"/>
              </w:rPr>
            </w:pPr>
            <w:r w:rsidRPr="00E60848">
              <w:rPr>
                <w:rFonts w:ascii="Cambria Math" w:hAnsi="Cambria Math"/>
                <w:color w:val="006100"/>
              </w:rPr>
              <w:t>⨁⨁⨁</w:t>
            </w:r>
            <w:r w:rsidRPr="00F834DD">
              <w:rPr>
                <w:rFonts w:ascii="Cambria Math" w:hAnsi="Cambria Math" w:cs="Cambria Math"/>
                <w:color w:val="C00000"/>
              </w:rPr>
              <w:t>⨀</w:t>
            </w:r>
            <w:r w:rsidRPr="00F834DD">
              <w:br/>
            </w:r>
            <w:r w:rsidRPr="00F834DD">
              <w:rPr>
                <w:rStyle w:val="quality-text"/>
              </w:rPr>
              <w:t>Moderate</w:t>
            </w:r>
          </w:p>
        </w:tc>
      </w:tr>
      <w:tr w:rsidR="00786F73" w:rsidRPr="00CA6F5C" w14:paraId="5B3035DE" w14:textId="722A3A13" w:rsidTr="008C59E7">
        <w:trPr>
          <w:trHeight w:val="283"/>
        </w:trPr>
        <w:tc>
          <w:tcPr>
            <w:tcW w:w="5000" w:type="pct"/>
            <w:gridSpan w:val="5"/>
            <w:shd w:val="clear" w:color="auto" w:fill="D9D9D9" w:themeFill="background1" w:themeFillShade="D9"/>
            <w:tcMar>
              <w:left w:w="57" w:type="dxa"/>
              <w:right w:w="57" w:type="dxa"/>
            </w:tcMar>
          </w:tcPr>
          <w:p w14:paraId="5902E5B5" w14:textId="13DF9676" w:rsidR="00E4232A" w:rsidRDefault="0020329C" w:rsidP="003228BB">
            <w:pPr>
              <w:pStyle w:val="Tabletext0"/>
              <w:keepNext/>
            </w:pPr>
            <w:r w:rsidRPr="0020329C">
              <w:t>Progno</w:t>
            </w:r>
            <w:r w:rsidRPr="00FD5890">
              <w:rPr>
                <w:rStyle w:val="CommentReference"/>
                <w:rFonts w:cs="Times New Roman"/>
                <w:color w:val="000000"/>
                <w:sz w:val="20"/>
                <w:szCs w:val="20"/>
              </w:rPr>
              <w:t>s</w:t>
            </w:r>
            <w:r w:rsidRPr="0020329C">
              <w:t>is</w:t>
            </w:r>
            <w:r w:rsidR="008944AA" w:rsidRPr="0020329C">
              <w:t xml:space="preserve"> (</w:t>
            </w:r>
            <w:r w:rsidR="00BE33E1" w:rsidRPr="0020329C">
              <w:t>inferred from in</w:t>
            </w:r>
            <w:r w:rsidR="008944AA" w:rsidRPr="0020329C">
              <w:t>direct evidence)</w:t>
            </w:r>
          </w:p>
        </w:tc>
      </w:tr>
      <w:tr w:rsidR="00106B98" w:rsidRPr="00CA6F5C" w14:paraId="02FC2BDF" w14:textId="66F9C66B" w:rsidTr="00181797">
        <w:trPr>
          <w:trHeight w:val="283"/>
        </w:trPr>
        <w:tc>
          <w:tcPr>
            <w:tcW w:w="816" w:type="pct"/>
            <w:tcMar>
              <w:left w:w="57" w:type="dxa"/>
              <w:right w:w="57" w:type="dxa"/>
            </w:tcMar>
          </w:tcPr>
          <w:p w14:paraId="638F7A76" w14:textId="338D6781" w:rsidR="00E4232A" w:rsidRPr="009F2748" w:rsidRDefault="00E4232A" w:rsidP="003228BB">
            <w:pPr>
              <w:pStyle w:val="Tabletext0"/>
              <w:keepNext/>
              <w:rPr>
                <w:vertAlign w:val="superscript"/>
              </w:rPr>
            </w:pPr>
            <w:r w:rsidRPr="00F834DD">
              <w:t>PORTEC-3</w:t>
            </w:r>
            <w:bookmarkStart w:id="28" w:name="_Ref222382795"/>
            <w:r w:rsidR="00846CE0">
              <w:rPr>
                <w:rStyle w:val="FootnoteReference"/>
              </w:rPr>
              <w:footnoteReference w:id="11"/>
            </w:r>
            <w:bookmarkEnd w:id="28"/>
            <w:r w:rsidR="00846CE0">
              <w:rPr>
                <w:vertAlign w:val="superscript"/>
              </w:rPr>
              <w:t xml:space="preserve">, </w:t>
            </w:r>
            <w:bookmarkStart w:id="29" w:name="_Ref222382805"/>
            <w:r w:rsidR="00846CE0">
              <w:rPr>
                <w:rStyle w:val="FootnoteReference"/>
              </w:rPr>
              <w:footnoteReference w:id="12"/>
            </w:r>
            <w:bookmarkEnd w:id="29"/>
          </w:p>
        </w:tc>
        <w:tc>
          <w:tcPr>
            <w:tcW w:w="2247" w:type="pct"/>
            <w:tcMar>
              <w:left w:w="57" w:type="dxa"/>
              <w:right w:w="57" w:type="dxa"/>
            </w:tcMar>
          </w:tcPr>
          <w:p w14:paraId="1259E187" w14:textId="4958BD05" w:rsidR="00E4232A" w:rsidRPr="00F834DD" w:rsidRDefault="00E4232A" w:rsidP="003228BB">
            <w:pPr>
              <w:pStyle w:val="Tablebullet1"/>
              <w:keepNext/>
            </w:pPr>
            <w:r w:rsidRPr="00F834DD">
              <w:t>Post-hoc analysis of RCT (</w:t>
            </w:r>
            <w:r w:rsidR="003F1A79">
              <w:t>p</w:t>
            </w:r>
            <w:r w:rsidRPr="00F834DD">
              <w:t>hase 3, open-label)</w:t>
            </w:r>
          </w:p>
          <w:p w14:paraId="1D2DB7A9" w14:textId="6C58481F" w:rsidR="00E4232A" w:rsidRDefault="00E4232A" w:rsidP="003228BB">
            <w:pPr>
              <w:pStyle w:val="Tablebullet1"/>
              <w:keepNext/>
            </w:pPr>
            <w:r>
              <w:t>Stage I</w:t>
            </w:r>
            <w:r w:rsidR="003F1A79">
              <w:t>–</w:t>
            </w:r>
            <w:r>
              <w:t>III, high-risk EC</w:t>
            </w:r>
          </w:p>
          <w:p w14:paraId="7DEB8A09" w14:textId="563FA8E2" w:rsidR="00E4232A" w:rsidRPr="00A66978" w:rsidRDefault="00572E78" w:rsidP="003228BB">
            <w:pPr>
              <w:pStyle w:val="Tablebullet1"/>
              <w:keepNext/>
              <w:rPr>
                <w:lang w:val="de-DE"/>
              </w:rPr>
            </w:pPr>
            <w:r w:rsidRPr="00572E78">
              <w:rPr>
                <w:i/>
                <w:lang w:val="de-DE"/>
              </w:rPr>
              <w:t>POLE</w:t>
            </w:r>
            <w:r w:rsidR="00E4232A" w:rsidRPr="007D45AE">
              <w:rPr>
                <w:lang w:val="de-DE"/>
              </w:rPr>
              <w:t xml:space="preserve">mut (n = 51) vs </w:t>
            </w:r>
            <w:r w:rsidR="005768F5">
              <w:rPr>
                <w:lang w:val="de-DE"/>
              </w:rPr>
              <w:t>MMRd</w:t>
            </w:r>
            <w:r w:rsidR="00E4232A" w:rsidRPr="007D45AE">
              <w:rPr>
                <w:lang w:val="de-DE"/>
              </w:rPr>
              <w:t xml:space="preserve"> (n = 137)</w:t>
            </w:r>
          </w:p>
        </w:tc>
        <w:tc>
          <w:tcPr>
            <w:tcW w:w="708" w:type="pct"/>
            <w:tcMar>
              <w:left w:w="57" w:type="dxa"/>
              <w:right w:w="57" w:type="dxa"/>
            </w:tcMar>
          </w:tcPr>
          <w:p w14:paraId="501B6B96" w14:textId="77777777" w:rsidR="00E4232A" w:rsidRPr="00F834DD" w:rsidRDefault="00E4232A" w:rsidP="003228BB">
            <w:pPr>
              <w:pStyle w:val="Tabletext0"/>
              <w:keepNext/>
            </w:pPr>
            <w:r w:rsidRPr="00F834DD">
              <w:t>n=</w:t>
            </w:r>
            <w:r>
              <w:t>410</w:t>
            </w:r>
          </w:p>
          <w:p w14:paraId="46FB3E1F" w14:textId="77777777" w:rsidR="00E4232A" w:rsidRPr="00A66978" w:rsidRDefault="00E4232A" w:rsidP="003228BB">
            <w:pPr>
              <w:pStyle w:val="Tabletext0"/>
              <w:keepNext/>
              <w:rPr>
                <w:lang w:val="de-DE"/>
              </w:rPr>
            </w:pPr>
            <w:r w:rsidRPr="00F834DD">
              <w:t>k=1</w:t>
            </w:r>
          </w:p>
        </w:tc>
        <w:tc>
          <w:tcPr>
            <w:tcW w:w="588" w:type="pct"/>
            <w:tcMar>
              <w:left w:w="57" w:type="dxa"/>
              <w:right w:w="57" w:type="dxa"/>
            </w:tcMar>
          </w:tcPr>
          <w:p w14:paraId="2F8B02EE" w14:textId="77777777" w:rsidR="00E4232A" w:rsidRPr="00CA6F5C" w:rsidRDefault="00E4232A" w:rsidP="003228BB">
            <w:pPr>
              <w:pStyle w:val="Tabletext0"/>
              <w:keepNext/>
            </w:pPr>
            <w:r>
              <w:t>High</w:t>
            </w:r>
          </w:p>
        </w:tc>
        <w:tc>
          <w:tcPr>
            <w:tcW w:w="641" w:type="pct"/>
            <w:tcMar>
              <w:left w:w="57" w:type="dxa"/>
              <w:right w:w="57" w:type="dxa"/>
            </w:tcMar>
          </w:tcPr>
          <w:p w14:paraId="173DDA61" w14:textId="35B26E02" w:rsidR="00E4232A" w:rsidRPr="00F834DD" w:rsidRDefault="00E4232A" w:rsidP="003228BB">
            <w:pPr>
              <w:pStyle w:val="Tabletext0"/>
              <w:keepNext/>
              <w:rPr>
                <w:rFonts w:ascii="Cambria Math" w:hAnsi="Cambria Math"/>
                <w:color w:val="00B050"/>
              </w:rPr>
            </w:pPr>
            <w:r w:rsidRPr="00E60848">
              <w:rPr>
                <w:rFonts w:ascii="Cambria Math" w:hAnsi="Cambria Math"/>
                <w:color w:val="006100"/>
              </w:rPr>
              <w:t>⨁⨁⨁⨁</w:t>
            </w:r>
            <w:r w:rsidRPr="00F834DD">
              <w:rPr>
                <w:rFonts w:ascii="Arial" w:hAnsi="Arial" w:cs="Arial"/>
                <w:sz w:val="16"/>
                <w:szCs w:val="16"/>
              </w:rPr>
              <w:br/>
            </w:r>
            <w:r w:rsidRPr="00F834DD">
              <w:rPr>
                <w:rStyle w:val="TabletextChar0"/>
                <w:rFonts w:eastAsiaTheme="minorHAnsi"/>
              </w:rPr>
              <w:t>High</w:t>
            </w:r>
          </w:p>
        </w:tc>
      </w:tr>
      <w:tr w:rsidR="00106B98" w:rsidRPr="00CA6F5C" w14:paraId="0F050C1B" w14:textId="4CE6E950" w:rsidTr="00181797">
        <w:trPr>
          <w:trHeight w:val="283"/>
        </w:trPr>
        <w:tc>
          <w:tcPr>
            <w:tcW w:w="816" w:type="pct"/>
            <w:tcMar>
              <w:left w:w="57" w:type="dxa"/>
              <w:right w:w="57" w:type="dxa"/>
            </w:tcMar>
          </w:tcPr>
          <w:p w14:paraId="1F2BC176" w14:textId="2B59267E" w:rsidR="00E4232A" w:rsidRDefault="00E4232A" w:rsidP="008E41D3">
            <w:pPr>
              <w:pStyle w:val="Tabletext0"/>
              <w:keepNext/>
              <w:jc w:val="left"/>
            </w:pPr>
            <w:r w:rsidRPr="00F834DD">
              <w:t>PORTEC-1/2 + EC series (Church 2015)</w:t>
            </w:r>
            <w:bookmarkStart w:id="30" w:name="_Ref215208633"/>
            <w:r w:rsidR="008C25EC">
              <w:rPr>
                <w:rStyle w:val="FootnoteReference"/>
              </w:rPr>
              <w:footnoteReference w:id="13"/>
            </w:r>
            <w:bookmarkEnd w:id="30"/>
          </w:p>
        </w:tc>
        <w:tc>
          <w:tcPr>
            <w:tcW w:w="2247" w:type="pct"/>
            <w:tcMar>
              <w:left w:w="57" w:type="dxa"/>
              <w:right w:w="57" w:type="dxa"/>
            </w:tcMar>
          </w:tcPr>
          <w:p w14:paraId="6CA98F3A" w14:textId="05C31CE1" w:rsidR="00E4232A" w:rsidRPr="00F834DD" w:rsidRDefault="00E4232A" w:rsidP="008E41D3">
            <w:pPr>
              <w:pStyle w:val="Tablebullet1"/>
              <w:keepNext/>
              <w:jc w:val="left"/>
            </w:pPr>
            <w:r w:rsidRPr="00F834DD">
              <w:t xml:space="preserve">Post-hoc analysis of </w:t>
            </w:r>
            <w:r w:rsidR="003F1A79">
              <w:t>2</w:t>
            </w:r>
            <w:r w:rsidR="003F1A79" w:rsidRPr="00F834DD">
              <w:t xml:space="preserve"> </w:t>
            </w:r>
            <w:r w:rsidRPr="00F834DD">
              <w:t xml:space="preserve">RCTs (PORTEC-1 and </w:t>
            </w:r>
            <w:r w:rsidR="00FD0EDC">
              <w:t>-</w:t>
            </w:r>
            <w:r w:rsidRPr="00F834DD">
              <w:t xml:space="preserve">2) </w:t>
            </w:r>
            <w:r w:rsidR="001A169E">
              <w:t>plus</w:t>
            </w:r>
            <w:r w:rsidRPr="00F834DD">
              <w:t xml:space="preserve"> </w:t>
            </w:r>
            <w:r w:rsidR="00896D0E">
              <w:t>3</w:t>
            </w:r>
            <w:r w:rsidR="00896D0E" w:rsidRPr="00F834DD">
              <w:t xml:space="preserve"> </w:t>
            </w:r>
            <w:r w:rsidRPr="00F834DD">
              <w:t>EC series (Leuven, Zurich/Basel, TCGA)</w:t>
            </w:r>
          </w:p>
          <w:p w14:paraId="3FE8A03A" w14:textId="2937878E" w:rsidR="00E4232A" w:rsidRDefault="00E4232A" w:rsidP="008E41D3">
            <w:pPr>
              <w:pStyle w:val="Tablebullet1"/>
              <w:keepNext/>
              <w:jc w:val="left"/>
            </w:pPr>
            <w:r>
              <w:t>Stage I</w:t>
            </w:r>
            <w:r w:rsidR="00896D0E">
              <w:t>–</w:t>
            </w:r>
            <w:r>
              <w:t>II EC</w:t>
            </w:r>
          </w:p>
          <w:p w14:paraId="5A57AA29" w14:textId="4065E2F7" w:rsidR="00E4232A" w:rsidRPr="007D45AE" w:rsidRDefault="00572E78" w:rsidP="008E41D3">
            <w:pPr>
              <w:pStyle w:val="Tablebullet1"/>
              <w:keepNext/>
              <w:jc w:val="left"/>
              <w:rPr>
                <w:lang w:val="de-DE"/>
              </w:rPr>
            </w:pPr>
            <w:r w:rsidRPr="00572E78">
              <w:rPr>
                <w:i/>
                <w:lang w:val="de-DE"/>
              </w:rPr>
              <w:t>POLE</w:t>
            </w:r>
            <w:r w:rsidR="00E4232A" w:rsidRPr="007D45AE">
              <w:rPr>
                <w:lang w:val="de-DE"/>
              </w:rPr>
              <w:t xml:space="preserve">mut (n = 48) vs </w:t>
            </w:r>
            <w:r w:rsidRPr="00572E78">
              <w:rPr>
                <w:i/>
                <w:lang w:val="de-DE"/>
              </w:rPr>
              <w:t>POLE</w:t>
            </w:r>
            <w:r w:rsidR="00E4232A" w:rsidRPr="007D45AE">
              <w:rPr>
                <w:lang w:val="de-DE"/>
              </w:rPr>
              <w:t>wt (n = 740)</w:t>
            </w:r>
          </w:p>
        </w:tc>
        <w:tc>
          <w:tcPr>
            <w:tcW w:w="708" w:type="pct"/>
            <w:tcMar>
              <w:left w:w="57" w:type="dxa"/>
              <w:right w:w="57" w:type="dxa"/>
            </w:tcMar>
          </w:tcPr>
          <w:p w14:paraId="7027BF9B" w14:textId="77777777" w:rsidR="00E4232A" w:rsidRPr="00F834DD" w:rsidRDefault="00E4232A" w:rsidP="003228BB">
            <w:pPr>
              <w:pStyle w:val="Tabletext0"/>
              <w:keepNext/>
            </w:pPr>
            <w:r w:rsidRPr="00F834DD">
              <w:t>n=</w:t>
            </w:r>
            <w:r>
              <w:t>788</w:t>
            </w:r>
          </w:p>
          <w:p w14:paraId="3FEE9FE9" w14:textId="77777777" w:rsidR="00E4232A" w:rsidRPr="00CA6F5C" w:rsidRDefault="00E4232A" w:rsidP="003228BB">
            <w:pPr>
              <w:pStyle w:val="Tabletext0"/>
              <w:keepNext/>
            </w:pPr>
            <w:r w:rsidRPr="00F834DD">
              <w:t>k=1</w:t>
            </w:r>
          </w:p>
        </w:tc>
        <w:tc>
          <w:tcPr>
            <w:tcW w:w="588" w:type="pct"/>
            <w:tcMar>
              <w:left w:w="57" w:type="dxa"/>
              <w:right w:w="57" w:type="dxa"/>
            </w:tcMar>
          </w:tcPr>
          <w:p w14:paraId="40797833" w14:textId="77777777" w:rsidR="00E4232A" w:rsidRPr="00CA6F5C" w:rsidRDefault="00E4232A" w:rsidP="003228BB">
            <w:pPr>
              <w:pStyle w:val="Tabletext0"/>
              <w:keepNext/>
            </w:pPr>
            <w:r>
              <w:t>High</w:t>
            </w:r>
          </w:p>
        </w:tc>
        <w:tc>
          <w:tcPr>
            <w:tcW w:w="641" w:type="pct"/>
            <w:tcMar>
              <w:left w:w="57" w:type="dxa"/>
              <w:right w:w="57" w:type="dxa"/>
            </w:tcMar>
          </w:tcPr>
          <w:p w14:paraId="6473DFFF" w14:textId="77777777" w:rsidR="00E4232A" w:rsidRDefault="00E4232A" w:rsidP="003228BB">
            <w:pPr>
              <w:pStyle w:val="Tabletext0"/>
              <w:keepNext/>
              <w:rPr>
                <w:rStyle w:val="TabletextChar0"/>
              </w:rPr>
            </w:pPr>
            <w:r w:rsidRPr="00E60848">
              <w:rPr>
                <w:rFonts w:ascii="Cambria Math" w:hAnsi="Cambria Math"/>
                <w:color w:val="006100"/>
              </w:rPr>
              <w:t>⨁⨁⨁⨁</w:t>
            </w:r>
            <w:r w:rsidRPr="00F834DD">
              <w:rPr>
                <w:rFonts w:ascii="Arial" w:hAnsi="Arial" w:cs="Arial"/>
                <w:sz w:val="16"/>
                <w:szCs w:val="16"/>
              </w:rPr>
              <w:br/>
            </w:r>
            <w:r w:rsidRPr="00F834DD">
              <w:rPr>
                <w:rStyle w:val="TabletextChar0"/>
              </w:rPr>
              <w:t>High</w:t>
            </w:r>
          </w:p>
          <w:p w14:paraId="519173E2" w14:textId="17E251F4" w:rsidR="00C04AB4" w:rsidRPr="00F834DD" w:rsidRDefault="00C04AB4" w:rsidP="003228BB">
            <w:pPr>
              <w:pStyle w:val="Tabletext0"/>
              <w:keepNext/>
              <w:rPr>
                <w:rFonts w:ascii="Cambria Math" w:hAnsi="Cambria Math"/>
                <w:color w:val="00B050"/>
              </w:rPr>
            </w:pPr>
            <w:r w:rsidRPr="00E60848">
              <w:rPr>
                <w:rFonts w:ascii="Cambria Math" w:hAnsi="Cambria Math"/>
                <w:color w:val="006100"/>
              </w:rPr>
              <w:t>⨁⨁⨁</w:t>
            </w:r>
            <w:r w:rsidRPr="00F834DD">
              <w:rPr>
                <w:rFonts w:ascii="Cambria Math" w:hAnsi="Cambria Math" w:cs="Cambria Math"/>
                <w:color w:val="C00000"/>
              </w:rPr>
              <w:t>⨀</w:t>
            </w:r>
            <w:r w:rsidRPr="00F834DD">
              <w:br/>
            </w:r>
            <w:r w:rsidRPr="00F834DD">
              <w:rPr>
                <w:rStyle w:val="quality-text"/>
              </w:rPr>
              <w:t>Moderate</w:t>
            </w:r>
          </w:p>
        </w:tc>
      </w:tr>
      <w:tr w:rsidR="00106B98" w:rsidRPr="00CA6F5C" w14:paraId="4A142B50" w14:textId="2950996B" w:rsidTr="00181797">
        <w:trPr>
          <w:trHeight w:val="283"/>
        </w:trPr>
        <w:tc>
          <w:tcPr>
            <w:tcW w:w="816" w:type="pct"/>
            <w:tcMar>
              <w:left w:w="57" w:type="dxa"/>
              <w:right w:w="57" w:type="dxa"/>
            </w:tcMar>
          </w:tcPr>
          <w:p w14:paraId="4FAE178A" w14:textId="7BF4C34F" w:rsidR="00C04AB4" w:rsidRDefault="00C04AB4" w:rsidP="003228BB">
            <w:pPr>
              <w:pStyle w:val="Tabletext0"/>
              <w:keepNext/>
            </w:pPr>
            <w:r w:rsidRPr="00F834DD">
              <w:t>PORTEC-1/2 (Stelloo 2016)</w:t>
            </w:r>
            <w:bookmarkStart w:id="31" w:name="_Ref215208656"/>
            <w:r w:rsidR="008C25EC">
              <w:rPr>
                <w:rStyle w:val="FootnoteReference"/>
              </w:rPr>
              <w:footnoteReference w:id="14"/>
            </w:r>
            <w:bookmarkEnd w:id="31"/>
          </w:p>
        </w:tc>
        <w:tc>
          <w:tcPr>
            <w:tcW w:w="2247" w:type="pct"/>
            <w:tcMar>
              <w:left w:w="57" w:type="dxa"/>
              <w:right w:w="57" w:type="dxa"/>
            </w:tcMar>
          </w:tcPr>
          <w:p w14:paraId="64C9D7A8" w14:textId="15E81F98" w:rsidR="00C04AB4" w:rsidRDefault="00C04AB4" w:rsidP="003228BB">
            <w:pPr>
              <w:pStyle w:val="Tablebullet1"/>
              <w:keepNext/>
            </w:pPr>
            <w:r w:rsidRPr="00F834DD">
              <w:t xml:space="preserve">Post-hoc analysis of </w:t>
            </w:r>
            <w:r w:rsidR="00896D0E">
              <w:t>2</w:t>
            </w:r>
            <w:r w:rsidR="00896D0E" w:rsidRPr="00F834DD">
              <w:t xml:space="preserve"> </w:t>
            </w:r>
            <w:r w:rsidRPr="00F834DD">
              <w:t xml:space="preserve">RCTs (PORTEC-1 and </w:t>
            </w:r>
            <w:r w:rsidR="00896D0E">
              <w:t>-</w:t>
            </w:r>
            <w:r w:rsidRPr="00F834DD">
              <w:t>2)</w:t>
            </w:r>
          </w:p>
          <w:p w14:paraId="2E632FA9" w14:textId="3D896557" w:rsidR="00C04AB4" w:rsidRDefault="00C04AB4" w:rsidP="003228BB">
            <w:pPr>
              <w:pStyle w:val="Tablebullet1"/>
              <w:keepNext/>
            </w:pPr>
            <w:r>
              <w:t>Stage I</w:t>
            </w:r>
            <w:r w:rsidR="00896D0E">
              <w:t>–</w:t>
            </w:r>
            <w:r>
              <w:t>II EC</w:t>
            </w:r>
          </w:p>
          <w:p w14:paraId="2E2821E4" w14:textId="4C9AB5FC" w:rsidR="00C04AB4" w:rsidRDefault="00572E78" w:rsidP="003228BB">
            <w:pPr>
              <w:pStyle w:val="Tablebullet1"/>
              <w:keepNext/>
            </w:pPr>
            <w:r w:rsidRPr="00572E78">
              <w:rPr>
                <w:i/>
              </w:rPr>
              <w:t>POLE</w:t>
            </w:r>
            <w:r w:rsidR="00C04AB4">
              <w:t>mut (n = 49) vs NSMP (n = 492)</w:t>
            </w:r>
          </w:p>
        </w:tc>
        <w:tc>
          <w:tcPr>
            <w:tcW w:w="708" w:type="pct"/>
            <w:tcMar>
              <w:left w:w="57" w:type="dxa"/>
              <w:right w:w="57" w:type="dxa"/>
            </w:tcMar>
          </w:tcPr>
          <w:p w14:paraId="54A8E3D8" w14:textId="77777777" w:rsidR="00C04AB4" w:rsidRPr="00F834DD" w:rsidRDefault="00C04AB4" w:rsidP="003228BB">
            <w:pPr>
              <w:pStyle w:val="Tabletext0"/>
              <w:keepNext/>
            </w:pPr>
            <w:r w:rsidRPr="00F834DD">
              <w:t>n=</w:t>
            </w:r>
            <w:r>
              <w:t>834</w:t>
            </w:r>
          </w:p>
          <w:p w14:paraId="6E39C243" w14:textId="77777777" w:rsidR="00C04AB4" w:rsidRPr="00CA6F5C" w:rsidRDefault="00C04AB4" w:rsidP="003228BB">
            <w:pPr>
              <w:pStyle w:val="Tabletext0"/>
              <w:keepNext/>
            </w:pPr>
            <w:r w:rsidRPr="00F834DD">
              <w:t>k=1</w:t>
            </w:r>
          </w:p>
        </w:tc>
        <w:tc>
          <w:tcPr>
            <w:tcW w:w="588" w:type="pct"/>
            <w:tcMar>
              <w:left w:w="57" w:type="dxa"/>
              <w:right w:w="57" w:type="dxa"/>
            </w:tcMar>
          </w:tcPr>
          <w:p w14:paraId="38DE7AA7" w14:textId="77777777" w:rsidR="00C04AB4" w:rsidRPr="00CA6F5C" w:rsidRDefault="00C04AB4" w:rsidP="003228BB">
            <w:pPr>
              <w:pStyle w:val="Tabletext0"/>
              <w:keepNext/>
            </w:pPr>
            <w:r>
              <w:t>High</w:t>
            </w:r>
          </w:p>
        </w:tc>
        <w:tc>
          <w:tcPr>
            <w:tcW w:w="641" w:type="pct"/>
            <w:tcMar>
              <w:left w:w="57" w:type="dxa"/>
              <w:right w:w="57" w:type="dxa"/>
            </w:tcMar>
          </w:tcPr>
          <w:p w14:paraId="141A62CF" w14:textId="53521857" w:rsidR="00C04AB4" w:rsidRPr="00F834DD" w:rsidRDefault="00C04AB4" w:rsidP="003228BB">
            <w:pPr>
              <w:pStyle w:val="Tabletext0"/>
              <w:keepNext/>
              <w:rPr>
                <w:rFonts w:ascii="Cambria Math" w:hAnsi="Cambria Math"/>
                <w:color w:val="00B050"/>
              </w:rPr>
            </w:pPr>
            <w:r w:rsidRPr="00E60848">
              <w:rPr>
                <w:rFonts w:ascii="Cambria Math" w:hAnsi="Cambria Math"/>
                <w:color w:val="006100"/>
              </w:rPr>
              <w:t>⨁⨁</w:t>
            </w:r>
            <w:r w:rsidRPr="00F834DD">
              <w:rPr>
                <w:rFonts w:ascii="Cambria Math" w:hAnsi="Cambria Math" w:cs="Cambria Math"/>
                <w:color w:val="C00000"/>
              </w:rPr>
              <w:t>⨀⨀</w:t>
            </w:r>
            <w:r w:rsidRPr="00F834DD">
              <w:br/>
            </w:r>
            <w:r w:rsidRPr="00F834DD">
              <w:rPr>
                <w:rStyle w:val="quality-text"/>
              </w:rPr>
              <w:t>Low</w:t>
            </w:r>
          </w:p>
        </w:tc>
      </w:tr>
      <w:tr w:rsidR="00786F73" w:rsidRPr="00F834DD" w14:paraId="203EABE9" w14:textId="146A1F6B" w:rsidTr="008C59E7">
        <w:trPr>
          <w:trHeight w:val="283"/>
        </w:trPr>
        <w:tc>
          <w:tcPr>
            <w:tcW w:w="5000" w:type="pct"/>
            <w:gridSpan w:val="5"/>
            <w:shd w:val="clear" w:color="auto" w:fill="D9D9D9" w:themeFill="background1" w:themeFillShade="D9"/>
            <w:tcMar>
              <w:left w:w="57" w:type="dxa"/>
              <w:right w:w="57" w:type="dxa"/>
            </w:tcMar>
          </w:tcPr>
          <w:p w14:paraId="4644068A" w14:textId="10F1C01D" w:rsidR="00C04AB4" w:rsidRPr="00CA6F5C" w:rsidRDefault="008944AA" w:rsidP="003228BB">
            <w:pPr>
              <w:pStyle w:val="Tabletext0"/>
              <w:keepNext/>
            </w:pPr>
            <w:r w:rsidRPr="00CA6F5C">
              <w:t xml:space="preserve">Health outcomes </w:t>
            </w:r>
          </w:p>
        </w:tc>
      </w:tr>
      <w:tr w:rsidR="00106B98" w:rsidRPr="00CA6F5C" w14:paraId="05AB1BB6" w14:textId="33F7D3CE" w:rsidTr="00181797">
        <w:trPr>
          <w:trHeight w:val="283"/>
        </w:trPr>
        <w:tc>
          <w:tcPr>
            <w:tcW w:w="816" w:type="pct"/>
            <w:tcMar>
              <w:left w:w="57" w:type="dxa"/>
              <w:right w:w="57" w:type="dxa"/>
            </w:tcMar>
          </w:tcPr>
          <w:p w14:paraId="1F55D267" w14:textId="43A15C3B" w:rsidR="008A45BA" w:rsidRPr="00CA6F5C" w:rsidRDefault="00FA1B5C" w:rsidP="003228BB">
            <w:pPr>
              <w:pStyle w:val="Tabletext0"/>
              <w:keepNext/>
            </w:pPr>
            <w:sdt>
              <w:sdtPr>
                <w:id w:val="684413777"/>
                <w14:checkbox>
                  <w14:checked w14:val="0"/>
                  <w14:checkedState w14:val="2612" w14:font="MS Gothic"/>
                  <w14:uncheckedState w14:val="2610" w14:font="MS Gothic"/>
                </w14:checkbox>
              </w:sdtPr>
              <w:sdtEndPr/>
              <w:sdtContent>
                <w:r w:rsidR="008A45BA" w:rsidRPr="00DF26DA">
                  <w:t>P</w:t>
                </w:r>
              </w:sdtContent>
            </w:sdt>
            <w:r w:rsidR="008A45BA">
              <w:t>ORTEC-3</w:t>
            </w:r>
            <w:r w:rsidR="001623D1">
              <w:rPr>
                <w:vertAlign w:val="superscript"/>
              </w:rPr>
              <w:fldChar w:fldCharType="begin"/>
            </w:r>
            <w:r w:rsidR="001623D1">
              <w:rPr>
                <w:vertAlign w:val="superscript"/>
              </w:rPr>
              <w:instrText xml:space="preserve"> NOTEREF _Ref222382795 \h </w:instrText>
            </w:r>
            <w:r w:rsidR="001623D1">
              <w:rPr>
                <w:vertAlign w:val="superscript"/>
              </w:rPr>
            </w:r>
            <w:r w:rsidR="001623D1">
              <w:rPr>
                <w:vertAlign w:val="superscript"/>
              </w:rPr>
              <w:fldChar w:fldCharType="separate"/>
            </w:r>
            <w:r w:rsidR="000B42CB">
              <w:rPr>
                <w:vertAlign w:val="superscript"/>
              </w:rPr>
              <w:t>10</w:t>
            </w:r>
            <w:r w:rsidR="001623D1">
              <w:rPr>
                <w:vertAlign w:val="superscript"/>
              </w:rPr>
              <w:fldChar w:fldCharType="end"/>
            </w:r>
            <w:r w:rsidR="001623D1">
              <w:rPr>
                <w:vertAlign w:val="superscript"/>
              </w:rPr>
              <w:t>,</w:t>
            </w:r>
            <w:r w:rsidR="001623D1">
              <w:rPr>
                <w:vertAlign w:val="superscript"/>
              </w:rPr>
              <w:fldChar w:fldCharType="begin"/>
            </w:r>
            <w:r w:rsidR="001623D1">
              <w:rPr>
                <w:vertAlign w:val="superscript"/>
              </w:rPr>
              <w:instrText xml:space="preserve"> NOTEREF _Ref222382805 \h </w:instrText>
            </w:r>
            <w:r w:rsidR="001623D1">
              <w:rPr>
                <w:vertAlign w:val="superscript"/>
              </w:rPr>
            </w:r>
            <w:r w:rsidR="001623D1">
              <w:rPr>
                <w:vertAlign w:val="superscript"/>
              </w:rPr>
              <w:fldChar w:fldCharType="separate"/>
            </w:r>
            <w:r w:rsidR="000B42CB">
              <w:rPr>
                <w:vertAlign w:val="superscript"/>
              </w:rPr>
              <w:t>11</w:t>
            </w:r>
            <w:r w:rsidR="001623D1">
              <w:rPr>
                <w:vertAlign w:val="superscript"/>
              </w:rPr>
              <w:fldChar w:fldCharType="end"/>
            </w:r>
            <w:r w:rsidR="00AA00D2" w:rsidRPr="00CA6F5C">
              <w:t xml:space="preserve"> </w:t>
            </w:r>
          </w:p>
        </w:tc>
        <w:tc>
          <w:tcPr>
            <w:tcW w:w="2247" w:type="pct"/>
            <w:tcMar>
              <w:left w:w="57" w:type="dxa"/>
              <w:right w:w="57" w:type="dxa"/>
            </w:tcMar>
          </w:tcPr>
          <w:p w14:paraId="3A757B35" w14:textId="5B019438" w:rsidR="008A45BA" w:rsidRDefault="008A45BA" w:rsidP="001B16F4">
            <w:pPr>
              <w:pStyle w:val="Tablebullet1"/>
              <w:keepNext/>
              <w:jc w:val="left"/>
            </w:pPr>
            <w:r>
              <w:t>RCT of stage I</w:t>
            </w:r>
            <w:r w:rsidR="00896D0E">
              <w:t>–</w:t>
            </w:r>
            <w:r>
              <w:t>III, high-risk EC</w:t>
            </w:r>
          </w:p>
          <w:p w14:paraId="48046629" w14:textId="77777777" w:rsidR="008A45BA" w:rsidRDefault="008A45BA" w:rsidP="001B16F4">
            <w:pPr>
              <w:pStyle w:val="Tablebullet1"/>
              <w:keepNext/>
              <w:jc w:val="left"/>
            </w:pPr>
            <w:r>
              <w:t>Assessed CTRT vs RT alone</w:t>
            </w:r>
          </w:p>
          <w:p w14:paraId="6BD01ECA" w14:textId="6B1DB6C3" w:rsidR="008A45BA" w:rsidRDefault="008A45BA" w:rsidP="001B16F4">
            <w:pPr>
              <w:pStyle w:val="Tablebullet1"/>
              <w:keepNext/>
              <w:jc w:val="left"/>
            </w:pPr>
            <w:r>
              <w:t xml:space="preserve">Survival outcomes reported as post-hoc analysis for </w:t>
            </w:r>
            <w:r w:rsidR="00572E78" w:rsidRPr="00572E78">
              <w:rPr>
                <w:i/>
              </w:rPr>
              <w:t>POLE</w:t>
            </w:r>
            <w:r w:rsidRPr="00F834DD">
              <w:t xml:space="preserve">mut </w:t>
            </w:r>
            <w:r>
              <w:t>subgroup (n = 51)</w:t>
            </w:r>
          </w:p>
          <w:p w14:paraId="2A3A1ACE" w14:textId="77777777" w:rsidR="008A45BA" w:rsidRPr="00CA6F5C" w:rsidRDefault="008A45BA" w:rsidP="001B16F4">
            <w:pPr>
              <w:pStyle w:val="Tablebullet1"/>
              <w:keepNext/>
              <w:jc w:val="left"/>
            </w:pPr>
            <w:r>
              <w:t>Safety outcomes reported for overall EC population (n = 410)</w:t>
            </w:r>
          </w:p>
        </w:tc>
        <w:tc>
          <w:tcPr>
            <w:tcW w:w="708" w:type="pct"/>
            <w:tcMar>
              <w:left w:w="57" w:type="dxa"/>
              <w:right w:w="57" w:type="dxa"/>
            </w:tcMar>
          </w:tcPr>
          <w:p w14:paraId="12230836" w14:textId="77777777" w:rsidR="008A45BA" w:rsidRPr="00F834DD" w:rsidRDefault="008A45BA" w:rsidP="003228BB">
            <w:pPr>
              <w:pStyle w:val="Tabletext0"/>
              <w:keepNext/>
              <w:rPr>
                <w:rFonts w:eastAsiaTheme="minorHAnsi"/>
              </w:rPr>
            </w:pPr>
            <w:r w:rsidRPr="00F834DD">
              <w:rPr>
                <w:rFonts w:eastAsiaTheme="minorHAnsi"/>
              </w:rPr>
              <w:t>n=410</w:t>
            </w:r>
          </w:p>
          <w:p w14:paraId="64FEBC02" w14:textId="77777777" w:rsidR="008A45BA" w:rsidRPr="00CA6F5C" w:rsidRDefault="008A45BA" w:rsidP="003228BB">
            <w:pPr>
              <w:pStyle w:val="Tabletext0"/>
              <w:keepNext/>
            </w:pPr>
            <w:r>
              <w:rPr>
                <w:rFonts w:eastAsiaTheme="minorHAnsi"/>
              </w:rPr>
              <w:t>k</w:t>
            </w:r>
            <w:r w:rsidRPr="00F834DD">
              <w:rPr>
                <w:rFonts w:eastAsiaTheme="minorHAnsi"/>
              </w:rPr>
              <w:t>=1</w:t>
            </w:r>
          </w:p>
        </w:tc>
        <w:tc>
          <w:tcPr>
            <w:tcW w:w="588" w:type="pct"/>
            <w:tcMar>
              <w:left w:w="57" w:type="dxa"/>
              <w:right w:w="57" w:type="dxa"/>
            </w:tcMar>
          </w:tcPr>
          <w:p w14:paraId="1B7F8201" w14:textId="77777777" w:rsidR="008A45BA" w:rsidRPr="00CA6F5C" w:rsidRDefault="008A45BA" w:rsidP="003228BB">
            <w:pPr>
              <w:pStyle w:val="Tabletext0"/>
              <w:keepNext/>
            </w:pPr>
            <w:r>
              <w:t>High</w:t>
            </w:r>
          </w:p>
        </w:tc>
        <w:tc>
          <w:tcPr>
            <w:tcW w:w="641" w:type="pct"/>
            <w:tcMar>
              <w:left w:w="57" w:type="dxa"/>
              <w:right w:w="57" w:type="dxa"/>
            </w:tcMar>
          </w:tcPr>
          <w:p w14:paraId="458558C8" w14:textId="1A974212" w:rsidR="008A45BA" w:rsidRDefault="008A45BA" w:rsidP="003228BB">
            <w:pPr>
              <w:pStyle w:val="Tabletext0"/>
              <w:keepNext/>
            </w:pPr>
            <w:r w:rsidRPr="00093C08">
              <w:rPr>
                <w:rFonts w:ascii="Cambria Math" w:hAnsi="Cambria Math"/>
                <w:color w:val="006100"/>
              </w:rPr>
              <w:t>⨁⨁</w:t>
            </w:r>
            <w:r w:rsidRPr="00CE28E3">
              <w:rPr>
                <w:rFonts w:ascii="Cambria Math" w:hAnsi="Cambria Math" w:cs="Cambria Math"/>
                <w:color w:val="C00000"/>
              </w:rPr>
              <w:t>⨀⨀</w:t>
            </w:r>
            <w:r w:rsidRPr="00F834DD">
              <w:br/>
            </w:r>
            <w:r w:rsidRPr="00F834DD">
              <w:rPr>
                <w:rStyle w:val="quality-text"/>
              </w:rPr>
              <w:t>Low</w:t>
            </w:r>
          </w:p>
        </w:tc>
      </w:tr>
      <w:tr w:rsidR="008A6703" w:rsidRPr="00CA6F5C" w14:paraId="7AF8671D" w14:textId="77777777" w:rsidTr="00181797">
        <w:trPr>
          <w:trHeight w:val="283"/>
        </w:trPr>
        <w:tc>
          <w:tcPr>
            <w:tcW w:w="816" w:type="pct"/>
            <w:tcMar>
              <w:left w:w="57" w:type="dxa"/>
              <w:right w:w="57" w:type="dxa"/>
            </w:tcMar>
          </w:tcPr>
          <w:p w14:paraId="2079AB32" w14:textId="467266C8" w:rsidR="008A6703" w:rsidRDefault="008A6703" w:rsidP="003228BB">
            <w:pPr>
              <w:pStyle w:val="Tabletext0"/>
              <w:keepNext/>
            </w:pPr>
            <w:r>
              <w:t>PORTEC-1 and 2</w:t>
            </w:r>
            <w:bookmarkStart w:id="32" w:name="_Ref222389965"/>
            <w:r w:rsidR="003E0793">
              <w:rPr>
                <w:rStyle w:val="FootnoteReference"/>
              </w:rPr>
              <w:footnoteReference w:id="15"/>
            </w:r>
            <w:bookmarkEnd w:id="32"/>
            <w:r w:rsidR="00AA00D2">
              <w:t xml:space="preserve"> </w:t>
            </w:r>
          </w:p>
        </w:tc>
        <w:tc>
          <w:tcPr>
            <w:tcW w:w="2247" w:type="pct"/>
            <w:tcMar>
              <w:left w:w="57" w:type="dxa"/>
              <w:right w:w="57" w:type="dxa"/>
            </w:tcMar>
          </w:tcPr>
          <w:p w14:paraId="3DD62554" w14:textId="77777777" w:rsidR="008A6703" w:rsidRDefault="008A6703" w:rsidP="0034596F">
            <w:pPr>
              <w:pStyle w:val="Tablebullet1"/>
              <w:keepNext/>
              <w:jc w:val="left"/>
            </w:pPr>
            <w:r>
              <w:t>PORTEC-1</w:t>
            </w:r>
          </w:p>
          <w:p w14:paraId="678B401F" w14:textId="5AE49CE8" w:rsidR="008A6703" w:rsidRDefault="008A6703" w:rsidP="00CC162F">
            <w:pPr>
              <w:pStyle w:val="Tablebullet2"/>
              <w:jc w:val="left"/>
            </w:pPr>
            <w:r>
              <w:t>RCT of stage I, intermediate</w:t>
            </w:r>
            <w:r w:rsidR="004276E4">
              <w:t>-</w:t>
            </w:r>
            <w:r>
              <w:t>risk EC</w:t>
            </w:r>
          </w:p>
          <w:p w14:paraId="4283E3D5" w14:textId="4DACC291" w:rsidR="008A6703" w:rsidRDefault="008A6703" w:rsidP="00CC162F">
            <w:pPr>
              <w:pStyle w:val="Tablebullet2"/>
              <w:jc w:val="left"/>
            </w:pPr>
            <w:r>
              <w:t>Assessed pelvic RT vs no adjuvant therapy</w:t>
            </w:r>
          </w:p>
          <w:p w14:paraId="0FF9FBC0" w14:textId="603FDE68" w:rsidR="00C851DA" w:rsidRDefault="00C851DA" w:rsidP="00CC162F">
            <w:pPr>
              <w:pStyle w:val="Tablebullet2"/>
              <w:jc w:val="left"/>
            </w:pPr>
            <w:r>
              <w:t xml:space="preserve">Locoregional recurrence as post-hoc analysis for </w:t>
            </w:r>
            <w:r>
              <w:rPr>
                <w:i/>
              </w:rPr>
              <w:t>POLE</w:t>
            </w:r>
            <w:r>
              <w:t>mut subgroup (n = 42)</w:t>
            </w:r>
          </w:p>
          <w:p w14:paraId="057C2748" w14:textId="77777777" w:rsidR="008A6703" w:rsidRDefault="008A6703" w:rsidP="0034596F">
            <w:pPr>
              <w:pStyle w:val="Tablebullet1"/>
              <w:keepNext/>
              <w:jc w:val="left"/>
            </w:pPr>
            <w:r>
              <w:t>PORTEC-2</w:t>
            </w:r>
          </w:p>
          <w:p w14:paraId="60454836" w14:textId="0F645045" w:rsidR="00C851DA" w:rsidRDefault="00C851DA" w:rsidP="00CC162F">
            <w:pPr>
              <w:pStyle w:val="Tablebullet2"/>
              <w:jc w:val="left"/>
            </w:pPr>
            <w:r>
              <w:t>RCT of stage I</w:t>
            </w:r>
            <w:r w:rsidR="004276E4">
              <w:t>–</w:t>
            </w:r>
            <w:r>
              <w:t>II, high-intermediate risk EC</w:t>
            </w:r>
          </w:p>
          <w:p w14:paraId="0CEDACF1" w14:textId="77777777" w:rsidR="00C851DA" w:rsidRDefault="00C851DA" w:rsidP="00CC162F">
            <w:pPr>
              <w:pStyle w:val="Tablebullet2"/>
              <w:jc w:val="left"/>
            </w:pPr>
            <w:r>
              <w:t>Assessed EBRT vs VBT</w:t>
            </w:r>
          </w:p>
          <w:p w14:paraId="76A96C5C" w14:textId="4EBDCBF8" w:rsidR="008A6703" w:rsidRDefault="001878BA" w:rsidP="00CC162F">
            <w:pPr>
              <w:pStyle w:val="Tablebullet2"/>
              <w:jc w:val="left"/>
            </w:pPr>
            <w:r>
              <w:t xml:space="preserve">Locoregional recurrence, pelvic recurrence as post-hoc analysis for </w:t>
            </w:r>
            <w:r>
              <w:rPr>
                <w:i/>
              </w:rPr>
              <w:t>POLE</w:t>
            </w:r>
            <w:r>
              <w:t>mut EC (n = 24)</w:t>
            </w:r>
          </w:p>
        </w:tc>
        <w:tc>
          <w:tcPr>
            <w:tcW w:w="708" w:type="pct"/>
            <w:tcMar>
              <w:left w:w="57" w:type="dxa"/>
              <w:right w:w="57" w:type="dxa"/>
            </w:tcMar>
          </w:tcPr>
          <w:p w14:paraId="27EAF27D" w14:textId="77777777" w:rsidR="008A6703" w:rsidRDefault="001878BA" w:rsidP="003228BB">
            <w:pPr>
              <w:pStyle w:val="Tabletext0"/>
              <w:keepNext/>
              <w:rPr>
                <w:rFonts w:eastAsiaTheme="minorHAnsi"/>
              </w:rPr>
            </w:pPr>
            <w:r>
              <w:rPr>
                <w:rFonts w:eastAsiaTheme="minorHAnsi"/>
              </w:rPr>
              <w:t>N=880</w:t>
            </w:r>
          </w:p>
          <w:p w14:paraId="5CAF0566" w14:textId="058DAECA" w:rsidR="008A6703" w:rsidRPr="00F834DD" w:rsidRDefault="00EE0E62" w:rsidP="003228BB">
            <w:pPr>
              <w:pStyle w:val="Tabletext0"/>
              <w:keepNext/>
              <w:rPr>
                <w:rFonts w:eastAsiaTheme="minorHAnsi"/>
              </w:rPr>
            </w:pPr>
            <w:r>
              <w:rPr>
                <w:rFonts w:eastAsiaTheme="minorHAnsi"/>
              </w:rPr>
              <w:t>k</w:t>
            </w:r>
            <w:r w:rsidR="001878BA">
              <w:rPr>
                <w:rFonts w:eastAsiaTheme="minorHAnsi"/>
              </w:rPr>
              <w:t>=2</w:t>
            </w:r>
          </w:p>
        </w:tc>
        <w:tc>
          <w:tcPr>
            <w:tcW w:w="588" w:type="pct"/>
            <w:tcMar>
              <w:left w:w="57" w:type="dxa"/>
              <w:right w:w="57" w:type="dxa"/>
            </w:tcMar>
          </w:tcPr>
          <w:p w14:paraId="416EFD2F" w14:textId="49B8CF19" w:rsidR="008A6703" w:rsidRDefault="001326F6" w:rsidP="003228BB">
            <w:pPr>
              <w:pStyle w:val="Tabletext0"/>
              <w:keepNext/>
            </w:pPr>
            <w:r>
              <w:t>High</w:t>
            </w:r>
          </w:p>
        </w:tc>
        <w:tc>
          <w:tcPr>
            <w:tcW w:w="641" w:type="pct"/>
            <w:tcMar>
              <w:left w:w="57" w:type="dxa"/>
              <w:right w:w="57" w:type="dxa"/>
            </w:tcMar>
          </w:tcPr>
          <w:p w14:paraId="59F3D9D3" w14:textId="6C3ADA47" w:rsidR="008A6703" w:rsidRPr="00CE28E3" w:rsidRDefault="001326F6" w:rsidP="00CC162F">
            <w:pPr>
              <w:pStyle w:val="TableText"/>
            </w:pPr>
            <w:r>
              <w:t>NA*</w:t>
            </w:r>
          </w:p>
        </w:tc>
      </w:tr>
      <w:tr w:rsidR="00106B98" w:rsidRPr="00CA6F5C" w14:paraId="400613F8" w14:textId="2CB16F53" w:rsidTr="00181797">
        <w:trPr>
          <w:trHeight w:val="283"/>
        </w:trPr>
        <w:tc>
          <w:tcPr>
            <w:tcW w:w="816" w:type="pct"/>
            <w:tcMar>
              <w:left w:w="57" w:type="dxa"/>
              <w:right w:w="57" w:type="dxa"/>
            </w:tcMar>
          </w:tcPr>
          <w:p w14:paraId="1052C334" w14:textId="509D9EBE" w:rsidR="008A45BA" w:rsidRPr="00CA6F5C" w:rsidRDefault="008A45BA" w:rsidP="003228BB">
            <w:pPr>
              <w:pStyle w:val="Tabletext0"/>
              <w:keepNext/>
            </w:pPr>
            <w:r>
              <w:t>McAlpine 2021</w:t>
            </w:r>
            <w:bookmarkStart w:id="33" w:name="_Ref222383704"/>
            <w:r w:rsidR="008055B5">
              <w:rPr>
                <w:rStyle w:val="FootnoteReference"/>
              </w:rPr>
              <w:footnoteReference w:id="16"/>
            </w:r>
            <w:bookmarkEnd w:id="33"/>
          </w:p>
        </w:tc>
        <w:tc>
          <w:tcPr>
            <w:tcW w:w="2247" w:type="pct"/>
            <w:tcMar>
              <w:left w:w="57" w:type="dxa"/>
              <w:right w:w="57" w:type="dxa"/>
            </w:tcMar>
          </w:tcPr>
          <w:p w14:paraId="52174A34" w14:textId="386865EB" w:rsidR="008A45BA" w:rsidRDefault="008A45BA" w:rsidP="001B16F4">
            <w:pPr>
              <w:pStyle w:val="Tablebullet1"/>
              <w:keepNext/>
              <w:jc w:val="left"/>
            </w:pPr>
            <w:r>
              <w:t xml:space="preserve">IPD meta-analysis of </w:t>
            </w:r>
            <w:r w:rsidR="00572E78" w:rsidRPr="00572E78">
              <w:rPr>
                <w:i/>
              </w:rPr>
              <w:t>POLE</w:t>
            </w:r>
            <w:r>
              <w:t>mut EC</w:t>
            </w:r>
          </w:p>
          <w:p w14:paraId="62867C17" w14:textId="77777777" w:rsidR="008A45BA" w:rsidRPr="00CA6F5C" w:rsidRDefault="008A45BA" w:rsidP="001B16F4">
            <w:pPr>
              <w:pStyle w:val="Tablebullet1"/>
              <w:keepNext/>
              <w:jc w:val="left"/>
            </w:pPr>
            <w:r>
              <w:t>Assessed any adjuvant therapy vs no adjuvant therapy</w:t>
            </w:r>
          </w:p>
        </w:tc>
        <w:tc>
          <w:tcPr>
            <w:tcW w:w="708" w:type="pct"/>
            <w:tcMar>
              <w:left w:w="57" w:type="dxa"/>
              <w:right w:w="57" w:type="dxa"/>
            </w:tcMar>
          </w:tcPr>
          <w:p w14:paraId="5C5357F8" w14:textId="77777777" w:rsidR="008A45BA" w:rsidRPr="00F834DD" w:rsidRDefault="008A45BA" w:rsidP="003228BB">
            <w:pPr>
              <w:pStyle w:val="Tabletext0"/>
              <w:keepNext/>
            </w:pPr>
            <w:r w:rsidRPr="00F834DD">
              <w:t>n=359</w:t>
            </w:r>
          </w:p>
          <w:p w14:paraId="0462A83A" w14:textId="77777777" w:rsidR="008A45BA" w:rsidRPr="00CA6F5C" w:rsidRDefault="008A45BA" w:rsidP="003228BB">
            <w:pPr>
              <w:pStyle w:val="Tabletext0"/>
              <w:keepNext/>
            </w:pPr>
            <w:r w:rsidRPr="00F834DD">
              <w:t>k=1</w:t>
            </w:r>
          </w:p>
        </w:tc>
        <w:tc>
          <w:tcPr>
            <w:tcW w:w="588" w:type="pct"/>
            <w:tcMar>
              <w:left w:w="57" w:type="dxa"/>
              <w:right w:w="57" w:type="dxa"/>
            </w:tcMar>
          </w:tcPr>
          <w:p w14:paraId="57DC7875" w14:textId="77777777" w:rsidR="008A45BA" w:rsidRPr="00CA6F5C" w:rsidRDefault="008A45BA" w:rsidP="003228BB">
            <w:pPr>
              <w:pStyle w:val="Tabletext0"/>
              <w:keepNext/>
            </w:pPr>
            <w:r>
              <w:t>Serious</w:t>
            </w:r>
          </w:p>
        </w:tc>
        <w:tc>
          <w:tcPr>
            <w:tcW w:w="641" w:type="pct"/>
            <w:tcMar>
              <w:left w:w="57" w:type="dxa"/>
              <w:right w:w="57" w:type="dxa"/>
            </w:tcMar>
          </w:tcPr>
          <w:p w14:paraId="2E089FFD" w14:textId="51CDCEFE" w:rsidR="008A45BA" w:rsidRDefault="008A45BA" w:rsidP="003228BB">
            <w:pPr>
              <w:pStyle w:val="Tabletext0"/>
              <w:keepNext/>
            </w:pPr>
            <w:r w:rsidRPr="00093C08">
              <w:rPr>
                <w:rFonts w:ascii="Cambria Math" w:hAnsi="Cambria Math"/>
                <w:color w:val="006100"/>
              </w:rPr>
              <w:t>⨁⨁</w:t>
            </w:r>
            <w:r w:rsidRPr="00CE28E3">
              <w:rPr>
                <w:rFonts w:ascii="Cambria Math" w:hAnsi="Cambria Math" w:cs="Cambria Math"/>
                <w:color w:val="C00000"/>
              </w:rPr>
              <w:t>⨀⨀</w:t>
            </w:r>
            <w:r w:rsidRPr="00402A3F">
              <w:br/>
            </w:r>
            <w:r w:rsidRPr="00F834DD">
              <w:t>Low</w:t>
            </w:r>
          </w:p>
        </w:tc>
      </w:tr>
    </w:tbl>
    <w:p w14:paraId="4438E769" w14:textId="170996D6" w:rsidR="000E4386" w:rsidRPr="008D748A" w:rsidRDefault="008D748A" w:rsidP="00CE4A9A">
      <w:pPr>
        <w:pStyle w:val="Tablefooter0"/>
        <w:keepNext/>
        <w:spacing w:line="240" w:lineRule="auto"/>
      </w:pPr>
      <w:r w:rsidRPr="00C14D61">
        <w:t xml:space="preserve">Abbreviations: </w:t>
      </w:r>
      <w:r w:rsidR="00AB15DD">
        <w:t>CTRT = chemoradi</w:t>
      </w:r>
      <w:r w:rsidR="00C543C4">
        <w:t xml:space="preserve">ation </w:t>
      </w:r>
      <w:r w:rsidR="00AB15DD">
        <w:t>therapy;</w:t>
      </w:r>
      <w:r w:rsidRPr="00C14D61">
        <w:t xml:space="preserve"> </w:t>
      </w:r>
      <w:r w:rsidR="00116B9C">
        <w:t xml:space="preserve">ddPCR = droplet digital polymerase chain reaction; </w:t>
      </w:r>
      <w:r w:rsidR="00C851DA">
        <w:t xml:space="preserve">EBRT = external beam radiation therapy; </w:t>
      </w:r>
      <w:r w:rsidR="006F6027">
        <w:t xml:space="preserve">EC = endometrial </w:t>
      </w:r>
      <w:r w:rsidR="00610C04">
        <w:t>cancer</w:t>
      </w:r>
      <w:r w:rsidR="006F6027">
        <w:t xml:space="preserve">; </w:t>
      </w:r>
      <w:r w:rsidR="009A4D6D">
        <w:t>GRADE = Grading of Recommendations, Assessment, Development and Evaluations</w:t>
      </w:r>
      <w:r w:rsidR="006F6027">
        <w:t xml:space="preserve">; </w:t>
      </w:r>
      <w:r w:rsidR="00514D33">
        <w:t xml:space="preserve">IPD = individual patient data; </w:t>
      </w:r>
      <w:r w:rsidR="00C14D61">
        <w:t xml:space="preserve">k = number of studies; </w:t>
      </w:r>
      <w:r w:rsidR="005768F5">
        <w:t xml:space="preserve">MMRd = mismatch repair deficient; </w:t>
      </w:r>
      <w:r w:rsidR="000E4386" w:rsidRPr="00C14D61">
        <w:t>n</w:t>
      </w:r>
      <w:r w:rsidR="00514D33">
        <w:t xml:space="preserve"> </w:t>
      </w:r>
      <w:r w:rsidR="000E4386" w:rsidRPr="00C14D61">
        <w:t>=</w:t>
      </w:r>
      <w:r w:rsidR="00514D33">
        <w:t xml:space="preserve"> </w:t>
      </w:r>
      <w:r w:rsidR="000E4386" w:rsidRPr="00C14D61">
        <w:t>number of patients</w:t>
      </w:r>
      <w:r w:rsidR="00C14D61">
        <w:t xml:space="preserve">; </w:t>
      </w:r>
      <w:r w:rsidR="00C14D61" w:rsidRPr="00C14D61">
        <w:t xml:space="preserve">NGS </w:t>
      </w:r>
      <w:r w:rsidR="00C14D61">
        <w:t>=</w:t>
      </w:r>
      <w:r w:rsidR="00C14D61" w:rsidRPr="00C14D61">
        <w:t xml:space="preserve"> next generation sequencing;</w:t>
      </w:r>
      <w:r w:rsidR="00C14D61">
        <w:t xml:space="preserve"> </w:t>
      </w:r>
      <w:r w:rsidR="00131BCA">
        <w:t xml:space="preserve">NSMP = no specific molecular profile; </w:t>
      </w:r>
      <w:r w:rsidR="00C14D61">
        <w:t xml:space="preserve">PCR = polymerase chain reaction; </w:t>
      </w:r>
      <w:r w:rsidR="00572E78" w:rsidRPr="00572E78">
        <w:rPr>
          <w:i/>
        </w:rPr>
        <w:t>POLE</w:t>
      </w:r>
      <w:r w:rsidR="004D579F">
        <w:t>mut = DNA polymerase epsilon</w:t>
      </w:r>
      <w:r w:rsidR="00981DA5">
        <w:t>, catalytic subunit</w:t>
      </w:r>
      <w:r w:rsidR="004D579F">
        <w:t xml:space="preserve"> mutation; </w:t>
      </w:r>
      <w:r w:rsidR="00572E78" w:rsidRPr="00572E78">
        <w:rPr>
          <w:i/>
        </w:rPr>
        <w:lastRenderedPageBreak/>
        <w:t>POLE</w:t>
      </w:r>
      <w:r w:rsidR="00F1164F">
        <w:t>wt = DNA polymerase epsilon</w:t>
      </w:r>
      <w:r w:rsidR="00981DA5">
        <w:t>, catalytic subunit</w:t>
      </w:r>
      <w:r w:rsidR="00F1164F">
        <w:t xml:space="preserve"> wild type; </w:t>
      </w:r>
      <w:r w:rsidR="00C14D61">
        <w:t>qPCR = quantitative polymerase chain reaction</w:t>
      </w:r>
      <w:r w:rsidR="00B568F0">
        <w:t xml:space="preserve">; RCT = randomised controlled trial; </w:t>
      </w:r>
      <w:r w:rsidR="00AB15DD">
        <w:t>RT = radi</w:t>
      </w:r>
      <w:r w:rsidR="00C543C4">
        <w:t xml:space="preserve">ation </w:t>
      </w:r>
      <w:r w:rsidR="00AB15DD">
        <w:t xml:space="preserve">therapy; </w:t>
      </w:r>
      <w:r w:rsidR="004E1AA6">
        <w:t xml:space="preserve">TCGA = </w:t>
      </w:r>
      <w:r w:rsidR="005239C8">
        <w:t>The Cancer Genome Atlas</w:t>
      </w:r>
      <w:r w:rsidR="00C851DA">
        <w:t>; VBT = vaginal brachytherapy</w:t>
      </w:r>
    </w:p>
    <w:p w14:paraId="6D6F06F3" w14:textId="0F4B24EF" w:rsidR="001326F6" w:rsidRPr="008D748A" w:rsidRDefault="001326F6" w:rsidP="00CE4A9A">
      <w:pPr>
        <w:pStyle w:val="Tablefooter0"/>
        <w:keepNext/>
        <w:spacing w:line="240" w:lineRule="auto"/>
      </w:pPr>
      <w:r>
        <w:t xml:space="preserve">* GRADE assessments were not performed for </w:t>
      </w:r>
      <w:r w:rsidR="00B90DCA">
        <w:t xml:space="preserve">PORTEC-1 and 2 </w:t>
      </w:r>
      <w:r>
        <w:t xml:space="preserve">as summary statistics were not </w:t>
      </w:r>
      <w:r w:rsidR="000E2682">
        <w:t xml:space="preserve">available </w:t>
      </w:r>
      <w:r w:rsidR="006B3E34">
        <w:t>because</w:t>
      </w:r>
      <w:r w:rsidR="000E2682">
        <w:t xml:space="preserve"> no events were reported in all treatment arms in patients with </w:t>
      </w:r>
      <w:r w:rsidR="000E2682">
        <w:rPr>
          <w:i/>
        </w:rPr>
        <w:t>POLE</w:t>
      </w:r>
      <w:r w:rsidR="000E2682">
        <w:t>mut EC</w:t>
      </w:r>
    </w:p>
    <w:p w14:paraId="3B9FC2AD" w14:textId="32E7350D" w:rsidR="00772829" w:rsidRPr="00CE28E3" w:rsidRDefault="00772829" w:rsidP="00DE034C">
      <w:pPr>
        <w:pStyle w:val="Heading2"/>
        <w:numPr>
          <w:ilvl w:val="0"/>
          <w:numId w:val="18"/>
        </w:numPr>
        <w:ind w:hanging="720"/>
      </w:pPr>
      <w:bookmarkStart w:id="34" w:name="_Toc220675608"/>
      <w:bookmarkStart w:id="35" w:name="_Toc220670377"/>
      <w:r w:rsidRPr="00CE28E3">
        <w:t>Comparative safety</w:t>
      </w:r>
      <w:bookmarkEnd w:id="34"/>
      <w:bookmarkEnd w:id="35"/>
    </w:p>
    <w:p w14:paraId="25F5D92B" w14:textId="08BC3987" w:rsidR="0018259C" w:rsidRDefault="005B2929" w:rsidP="0018259C">
      <w:r>
        <w:t xml:space="preserve">The </w:t>
      </w:r>
      <w:r w:rsidR="00572E78" w:rsidRPr="00572E78">
        <w:rPr>
          <w:i/>
        </w:rPr>
        <w:t>POLE</w:t>
      </w:r>
      <w:r w:rsidR="0018259C">
        <w:t xml:space="preserve"> genotyping </w:t>
      </w:r>
      <w:r w:rsidR="00347EFA">
        <w:t xml:space="preserve">test </w:t>
      </w:r>
      <w:r w:rsidR="0018259C">
        <w:t xml:space="preserve">is </w:t>
      </w:r>
      <w:r w:rsidR="00D92C2D">
        <w:t xml:space="preserve">unlikely to </w:t>
      </w:r>
      <w:r w:rsidR="0063044D">
        <w:t>introduce</w:t>
      </w:r>
      <w:r w:rsidR="00975552">
        <w:t xml:space="preserve"> additional safety concerns for </w:t>
      </w:r>
      <w:r w:rsidR="00A779D3">
        <w:t xml:space="preserve">patients with </w:t>
      </w:r>
      <w:r w:rsidR="009B3ECE">
        <w:t>EC</w:t>
      </w:r>
      <w:r w:rsidR="00975552">
        <w:t xml:space="preserve">. </w:t>
      </w:r>
      <w:r w:rsidR="007C64F2">
        <w:t xml:space="preserve">The genotyping </w:t>
      </w:r>
      <w:r w:rsidR="00347EFA">
        <w:t xml:space="preserve">test </w:t>
      </w:r>
      <w:r w:rsidR="007C64F2">
        <w:t>is typically performed on tissues obtained during routine diagnostic, staging or grading procedures</w:t>
      </w:r>
      <w:r w:rsidR="009B3ECE">
        <w:t xml:space="preserve"> (e.g. </w:t>
      </w:r>
      <w:r w:rsidR="007C64F2">
        <w:t>biopsy or hysterectomy</w:t>
      </w:r>
      <w:r w:rsidR="009B3ECE">
        <w:t>)</w:t>
      </w:r>
      <w:r w:rsidR="007C64F2">
        <w:t>, meaning no extra intervention is required</w:t>
      </w:r>
      <w:r w:rsidR="00317D1A">
        <w:t xml:space="preserve"> to obtain a tissue sample for analysis</w:t>
      </w:r>
      <w:r w:rsidR="007C64F2">
        <w:t>. Moreover, the diagnostic performance of various genotyping methods is high</w:t>
      </w:r>
      <w:r w:rsidR="00F2024C">
        <w:t>. Chen et al. 2024</w:t>
      </w:r>
      <w:r w:rsidR="008055B5">
        <w:fldChar w:fldCharType="begin"/>
      </w:r>
      <w:r w:rsidR="008055B5">
        <w:instrText xml:space="preserve"> NOTEREF _Ref222382964 \f \h </w:instrText>
      </w:r>
      <w:r w:rsidR="008055B5">
        <w:fldChar w:fldCharType="separate"/>
      </w:r>
      <w:r w:rsidR="000B42CB" w:rsidRPr="00E55E34">
        <w:rPr>
          <w:rStyle w:val="FootnoteReference"/>
        </w:rPr>
        <w:t>6</w:t>
      </w:r>
      <w:r w:rsidR="008055B5">
        <w:fldChar w:fldCharType="end"/>
      </w:r>
      <w:r w:rsidR="009307AA">
        <w:t xml:space="preserve"> and Talhouk et al. 2016</w:t>
      </w:r>
      <w:r w:rsidR="007F7088">
        <w:fldChar w:fldCharType="begin"/>
      </w:r>
      <w:r w:rsidR="007F7088">
        <w:instrText xml:space="preserve"> NOTEREF _Ref222383306 \f \h </w:instrText>
      </w:r>
      <w:r w:rsidR="007F7088">
        <w:fldChar w:fldCharType="separate"/>
      </w:r>
      <w:r w:rsidR="000B42CB" w:rsidRPr="00E55E34">
        <w:rPr>
          <w:rStyle w:val="FootnoteReference"/>
        </w:rPr>
        <w:t>9</w:t>
      </w:r>
      <w:r w:rsidR="007F7088">
        <w:fldChar w:fldCharType="end"/>
      </w:r>
      <w:r w:rsidR="009307AA">
        <w:t xml:space="preserve"> both demonstrated </w:t>
      </w:r>
      <w:r w:rsidR="007C64F2">
        <w:t xml:space="preserve">positive and negative predictive values </w:t>
      </w:r>
      <w:r w:rsidR="003F27EF">
        <w:t xml:space="preserve">of at least </w:t>
      </w:r>
      <w:r w:rsidR="00FD2ECE">
        <w:t>9</w:t>
      </w:r>
      <w:r w:rsidR="000623FA">
        <w:t>0</w:t>
      </w:r>
      <w:r w:rsidR="003F27EF">
        <w:t>%</w:t>
      </w:r>
      <w:r w:rsidR="009307AA">
        <w:t xml:space="preserve"> with PCR and NGS</w:t>
      </w:r>
      <w:r w:rsidR="003F27EF">
        <w:t xml:space="preserve">. As a result, the likelihood of incorrect molecular classification and </w:t>
      </w:r>
      <w:r w:rsidR="00066BF2">
        <w:t>consequent</w:t>
      </w:r>
      <w:r w:rsidR="003F27EF">
        <w:t xml:space="preserve"> inappropriate decisions </w:t>
      </w:r>
      <w:r w:rsidR="00622019">
        <w:t xml:space="preserve">regarding adjuvant therapy </w:t>
      </w:r>
      <w:r w:rsidR="00B562F8">
        <w:t xml:space="preserve">that </w:t>
      </w:r>
      <w:r w:rsidR="00066BF2">
        <w:t>lea</w:t>
      </w:r>
      <w:r w:rsidR="00B562F8">
        <w:t>d</w:t>
      </w:r>
      <w:r w:rsidR="00066BF2">
        <w:t xml:space="preserve"> to </w:t>
      </w:r>
      <w:r w:rsidR="00A22334">
        <w:t xml:space="preserve">adverse outcomes </w:t>
      </w:r>
      <w:r w:rsidR="003F27EF">
        <w:t xml:space="preserve">is considered low. </w:t>
      </w:r>
      <w:r w:rsidR="00293048">
        <w:t xml:space="preserve">Nevertheless, </w:t>
      </w:r>
      <w:r w:rsidR="00454E40">
        <w:t xml:space="preserve">should </w:t>
      </w:r>
      <w:r w:rsidR="00DD487D">
        <w:t xml:space="preserve">a </w:t>
      </w:r>
      <w:r w:rsidR="00265D3B">
        <w:t xml:space="preserve">patient </w:t>
      </w:r>
      <w:r w:rsidR="00454E40">
        <w:t xml:space="preserve">be </w:t>
      </w:r>
      <w:r w:rsidR="00265D3B">
        <w:t xml:space="preserve">incorrectly identified as </w:t>
      </w:r>
      <w:r w:rsidR="00265D3B" w:rsidRPr="00836811">
        <w:rPr>
          <w:i/>
        </w:rPr>
        <w:t>POLE</w:t>
      </w:r>
      <w:r w:rsidR="00265D3B">
        <w:t xml:space="preserve">mut positive, </w:t>
      </w:r>
      <w:r w:rsidR="004012DE">
        <w:t xml:space="preserve">inappropriate de-escalation of </w:t>
      </w:r>
      <w:r w:rsidR="00B562F8">
        <w:t xml:space="preserve">adjuvant </w:t>
      </w:r>
      <w:r w:rsidR="004012DE">
        <w:t xml:space="preserve">treatment may potentially result in </w:t>
      </w:r>
      <w:r w:rsidR="00BB6827">
        <w:t xml:space="preserve">serious adverse outcomes of disease progression or death. </w:t>
      </w:r>
      <w:r w:rsidR="0096467E">
        <w:t>Other</w:t>
      </w:r>
      <w:r w:rsidR="003F27EF">
        <w:t xml:space="preserve"> </w:t>
      </w:r>
      <w:r w:rsidR="00731867">
        <w:t xml:space="preserve">safety effects of </w:t>
      </w:r>
      <w:r w:rsidR="00572E78" w:rsidRPr="00572E78">
        <w:rPr>
          <w:i/>
        </w:rPr>
        <w:t>POLE</w:t>
      </w:r>
      <w:r w:rsidR="00731867">
        <w:t xml:space="preserve"> genotyping are due to the </w:t>
      </w:r>
      <w:r w:rsidR="006D71FD">
        <w:t xml:space="preserve">subsequent changes in clinical management of </w:t>
      </w:r>
      <w:r w:rsidR="005F1A0E">
        <w:t xml:space="preserve">patients with </w:t>
      </w:r>
      <w:r w:rsidR="00572E78" w:rsidRPr="00572E78">
        <w:rPr>
          <w:i/>
        </w:rPr>
        <w:t>POLE</w:t>
      </w:r>
      <w:r w:rsidR="006D71FD">
        <w:t>mut EC.</w:t>
      </w:r>
    </w:p>
    <w:p w14:paraId="5B68018D" w14:textId="33430BBD" w:rsidR="00806874" w:rsidRDefault="005A3111" w:rsidP="00793695">
      <w:r>
        <w:t>In the identified studies, s</w:t>
      </w:r>
      <w:r w:rsidR="00793695" w:rsidRPr="00F834DD">
        <w:t xml:space="preserve">afety outcomes </w:t>
      </w:r>
      <w:r w:rsidR="00793695">
        <w:t xml:space="preserve">related to </w:t>
      </w:r>
      <w:r w:rsidR="00B562F8">
        <w:t xml:space="preserve">adjuvant </w:t>
      </w:r>
      <w:r w:rsidR="00793695">
        <w:t xml:space="preserve">treatments used </w:t>
      </w:r>
      <w:r w:rsidR="00793695" w:rsidRPr="00F834DD">
        <w:t xml:space="preserve">in </w:t>
      </w:r>
      <w:r w:rsidR="00793695">
        <w:t xml:space="preserve">EC were not reported for the </w:t>
      </w:r>
      <w:r w:rsidR="00572E78" w:rsidRPr="00572E78">
        <w:rPr>
          <w:i/>
        </w:rPr>
        <w:t>POLE</w:t>
      </w:r>
      <w:r w:rsidR="00793695">
        <w:t xml:space="preserve">mut subgroup but for </w:t>
      </w:r>
      <w:r w:rsidR="00793695" w:rsidRPr="00F834DD">
        <w:t>the broader EC population</w:t>
      </w:r>
      <w:r w:rsidR="00793695">
        <w:t xml:space="preserve">. Nevertheless, there is no evidence to suggest that safety outcomes would differ for patients with </w:t>
      </w:r>
      <w:r w:rsidR="00572E78" w:rsidRPr="00572E78">
        <w:rPr>
          <w:i/>
        </w:rPr>
        <w:t>POLE</w:t>
      </w:r>
      <w:r w:rsidR="00793695">
        <w:t xml:space="preserve">mut EC. </w:t>
      </w:r>
      <w:r w:rsidR="00884481">
        <w:t xml:space="preserve">Safety outcomes for </w:t>
      </w:r>
      <w:r w:rsidR="00793695">
        <w:t>the broader EC population</w:t>
      </w:r>
      <w:r w:rsidR="00793695" w:rsidRPr="00F834DD">
        <w:t xml:space="preserve"> </w:t>
      </w:r>
      <w:r w:rsidR="00884481">
        <w:t>were</w:t>
      </w:r>
      <w:r w:rsidR="009C4254">
        <w:t xml:space="preserve"> informed by PORTEC-3</w:t>
      </w:r>
      <w:r w:rsidR="0056616B">
        <w:t>, PORTEC-2 and PORTEC-1</w:t>
      </w:r>
      <w:r w:rsidR="009C4254">
        <w:t xml:space="preserve">. </w:t>
      </w:r>
      <w:r w:rsidR="00884481">
        <w:t xml:space="preserve">As open-label </w:t>
      </w:r>
      <w:r w:rsidR="0056616B">
        <w:t>RCTs</w:t>
      </w:r>
      <w:r w:rsidR="00884481">
        <w:t xml:space="preserve">, </w:t>
      </w:r>
      <w:r w:rsidR="0056616B">
        <w:t xml:space="preserve">the </w:t>
      </w:r>
      <w:r w:rsidR="00884481">
        <w:t>PORTEC</w:t>
      </w:r>
      <w:r w:rsidR="0056616B">
        <w:t xml:space="preserve"> trials</w:t>
      </w:r>
      <w:r w:rsidR="00884481">
        <w:t xml:space="preserve"> carr</w:t>
      </w:r>
      <w:r w:rsidR="00EC4680">
        <w:t>y</w:t>
      </w:r>
      <w:r w:rsidR="00884481">
        <w:t xml:space="preserve"> a higher risk of </w:t>
      </w:r>
      <w:r w:rsidR="00941EF5">
        <w:t xml:space="preserve">differential reporting of adverse events </w:t>
      </w:r>
      <w:r w:rsidR="00101415">
        <w:t>(AEs)</w:t>
      </w:r>
      <w:r w:rsidR="002C15E3">
        <w:t>,</w:t>
      </w:r>
      <w:r w:rsidR="00101415">
        <w:t xml:space="preserve"> </w:t>
      </w:r>
      <w:r w:rsidR="00941EF5">
        <w:t>since clinicians and patients were aware of allocation</w:t>
      </w:r>
      <w:r w:rsidR="00B562F8">
        <w:t xml:space="preserve"> of adjuvant treatment</w:t>
      </w:r>
      <w:r w:rsidR="00941EF5">
        <w:t>. This may have influenced the reporting of safety data. Consequently, the risk of bias was judged to be high</w:t>
      </w:r>
      <w:r w:rsidR="00665A65">
        <w:t xml:space="preserve">. Nevertheless, safety data </w:t>
      </w:r>
      <w:r w:rsidR="0054613F">
        <w:t xml:space="preserve">reported in PORTEC-3 </w:t>
      </w:r>
      <w:r w:rsidR="00793695" w:rsidRPr="00F834DD">
        <w:t xml:space="preserve">demonstrated that more intensive adjuvant therapy </w:t>
      </w:r>
      <w:r w:rsidR="00793695">
        <w:t>(</w:t>
      </w:r>
      <w:r w:rsidR="00CF1311">
        <w:t>i.e.</w:t>
      </w:r>
      <w:r w:rsidR="00F76A52" w:rsidRPr="00F76A52">
        <w:t xml:space="preserve"> </w:t>
      </w:r>
      <w:r w:rsidR="00F76A52">
        <w:t>chemoradi</w:t>
      </w:r>
      <w:r w:rsidR="00726018">
        <w:t xml:space="preserve">ation </w:t>
      </w:r>
      <w:r w:rsidR="00F76A52">
        <w:t>therapy [</w:t>
      </w:r>
      <w:r w:rsidR="00793695">
        <w:t>CTRT</w:t>
      </w:r>
      <w:r w:rsidR="00F76A52">
        <w:t>]</w:t>
      </w:r>
      <w:r w:rsidR="00793695">
        <w:t xml:space="preserve">) </w:t>
      </w:r>
      <w:r w:rsidR="00793695" w:rsidRPr="00F834DD">
        <w:t xml:space="preserve">was associated with at least numerically greater </w:t>
      </w:r>
      <w:r w:rsidR="00793695">
        <w:t xml:space="preserve">AEs </w:t>
      </w:r>
      <w:r w:rsidR="00793695" w:rsidRPr="00F834DD">
        <w:t xml:space="preserve">compared with less intensive </w:t>
      </w:r>
      <w:r w:rsidR="00622A6C" w:rsidRPr="00F834DD">
        <w:t xml:space="preserve">adjuvant therapy </w:t>
      </w:r>
      <w:r w:rsidR="00793695">
        <w:t>(</w:t>
      </w:r>
      <w:r w:rsidR="00622A6C">
        <w:t xml:space="preserve">i.e. </w:t>
      </w:r>
      <w:r w:rsidR="00806565">
        <w:t>radi</w:t>
      </w:r>
      <w:r w:rsidR="00726018">
        <w:t xml:space="preserve">ation </w:t>
      </w:r>
      <w:r w:rsidR="00806565">
        <w:t>therapy [</w:t>
      </w:r>
      <w:r w:rsidR="00793695">
        <w:t>RT</w:t>
      </w:r>
      <w:r w:rsidR="00DC519D">
        <w:t>]</w:t>
      </w:r>
      <w:r w:rsidR="00793695">
        <w:t xml:space="preserve"> alone) (</w:t>
      </w:r>
      <w:r w:rsidR="00187615">
        <w:fldChar w:fldCharType="begin"/>
      </w:r>
      <w:r w:rsidR="00187615">
        <w:instrText xml:space="preserve"> REF _Ref211851015 \h </w:instrText>
      </w:r>
      <w:r w:rsidR="00187615">
        <w:fldChar w:fldCharType="separate"/>
      </w:r>
      <w:r w:rsidR="000B42CB" w:rsidRPr="00F834DD">
        <w:t xml:space="preserve">Table </w:t>
      </w:r>
      <w:r w:rsidR="000B42CB">
        <w:rPr>
          <w:noProof/>
        </w:rPr>
        <w:t>5</w:t>
      </w:r>
      <w:r w:rsidR="00187615">
        <w:fldChar w:fldCharType="end"/>
      </w:r>
      <w:r w:rsidR="00793695">
        <w:t>)</w:t>
      </w:r>
      <w:r w:rsidR="00793695" w:rsidRPr="00F834DD">
        <w:t xml:space="preserve">. </w:t>
      </w:r>
      <w:r w:rsidR="0041378F">
        <w:t>Any grade 2 AEs</w:t>
      </w:r>
      <w:r w:rsidR="007925DC">
        <w:t xml:space="preserve"> and</w:t>
      </w:r>
      <w:r w:rsidR="0041378F">
        <w:t xml:space="preserve"> any grade 3</w:t>
      </w:r>
      <w:r w:rsidR="003D4A30">
        <w:t>–4</w:t>
      </w:r>
      <w:r w:rsidR="0041378F">
        <w:t xml:space="preserve"> AEs</w:t>
      </w:r>
      <w:r w:rsidR="007925DC">
        <w:t xml:space="preserve"> were statistically significantly greater for CTRT than RT. G</w:t>
      </w:r>
      <w:r w:rsidR="00413A18">
        <w:t>rade 3</w:t>
      </w:r>
      <w:r w:rsidR="00622A6C">
        <w:t>–</w:t>
      </w:r>
      <w:r w:rsidR="00413A18">
        <w:t>4 gastrointestinal, haematological</w:t>
      </w:r>
      <w:r w:rsidR="00887F2C">
        <w:t xml:space="preserve"> and</w:t>
      </w:r>
      <w:r w:rsidR="00413A18">
        <w:t xml:space="preserve"> neuropathic</w:t>
      </w:r>
      <w:r w:rsidR="00887F2C">
        <w:t xml:space="preserve"> AEs, and pain were </w:t>
      </w:r>
      <w:r w:rsidR="007925DC">
        <w:t xml:space="preserve">also </w:t>
      </w:r>
      <w:r w:rsidR="00887F2C">
        <w:t xml:space="preserve">statistically </w:t>
      </w:r>
      <w:r w:rsidR="00887F2C">
        <w:lastRenderedPageBreak/>
        <w:t xml:space="preserve">significantly greater for CTRT than RT. </w:t>
      </w:r>
      <w:r w:rsidR="00806874">
        <w:t>For PORTEC-2</w:t>
      </w:r>
      <w:r w:rsidR="00C66E56">
        <w:t>,</w:t>
      </w:r>
      <w:r w:rsidR="00FF6DA9">
        <w:rPr>
          <w:rStyle w:val="FootnoteReference"/>
        </w:rPr>
        <w:footnoteReference w:id="17"/>
      </w:r>
      <w:r w:rsidR="00701862">
        <w:t xml:space="preserve"> </w:t>
      </w:r>
      <w:r w:rsidR="00213377">
        <w:t>external beam radiation therapy (</w:t>
      </w:r>
      <w:r w:rsidR="00701862">
        <w:t>EBRT</w:t>
      </w:r>
      <w:r w:rsidR="00213377">
        <w:t>)</w:t>
      </w:r>
      <w:r w:rsidR="00701862">
        <w:t xml:space="preserve"> was associated with higher gastrointestinal </w:t>
      </w:r>
      <w:r w:rsidR="00C66E56">
        <w:t>AEs</w:t>
      </w:r>
      <w:r w:rsidR="00701862">
        <w:t xml:space="preserve"> and lower mucous membrane </w:t>
      </w:r>
      <w:r w:rsidR="00C66E56">
        <w:t>AE</w:t>
      </w:r>
      <w:r w:rsidR="00701862">
        <w:t xml:space="preserve">s than </w:t>
      </w:r>
      <w:r w:rsidR="00213377">
        <w:t>vaginal brachytherapy (</w:t>
      </w:r>
      <w:r w:rsidR="00701862">
        <w:t>VBT</w:t>
      </w:r>
      <w:r w:rsidR="00213377">
        <w:t>)</w:t>
      </w:r>
      <w:r w:rsidR="00701862">
        <w:t xml:space="preserve">. In </w:t>
      </w:r>
      <w:r w:rsidR="00806874">
        <w:t>PORTEC-1</w:t>
      </w:r>
      <w:r w:rsidR="00C66E56">
        <w:t>,</w:t>
      </w:r>
      <w:r w:rsidR="001B2258">
        <w:rPr>
          <w:rStyle w:val="FootnoteReference"/>
        </w:rPr>
        <w:footnoteReference w:id="18"/>
      </w:r>
      <w:r w:rsidR="00806874" w:rsidDel="00755A42">
        <w:t xml:space="preserve"> </w:t>
      </w:r>
      <w:r w:rsidR="00701862">
        <w:t xml:space="preserve">late </w:t>
      </w:r>
      <w:r w:rsidR="00233F8F">
        <w:t>treatment</w:t>
      </w:r>
      <w:r w:rsidR="00701862">
        <w:t xml:space="preserve"> complications were more common in patients treated with RT than in the no adjuvant therapy arm.</w:t>
      </w:r>
    </w:p>
    <w:p w14:paraId="11419083" w14:textId="7711FBF4" w:rsidR="00793695" w:rsidRPr="00F834DD" w:rsidRDefault="00793695" w:rsidP="00793695">
      <w:r w:rsidRPr="00F834DD">
        <w:t xml:space="preserve">Overall, the efficacy and safety results support the de-escalation </w:t>
      </w:r>
      <w:r w:rsidR="00CB006F">
        <w:t xml:space="preserve">of </w:t>
      </w:r>
      <w:r w:rsidR="008241EB">
        <w:t xml:space="preserve">adjuvant </w:t>
      </w:r>
      <w:r w:rsidRPr="00F834DD">
        <w:t xml:space="preserve">treatment for patients with </w:t>
      </w:r>
      <w:r w:rsidR="00572E78" w:rsidRPr="00572E78">
        <w:rPr>
          <w:i/>
        </w:rPr>
        <w:t>POLE</w:t>
      </w:r>
      <w:r w:rsidRPr="00F834DD">
        <w:t xml:space="preserve">mut EC. </w:t>
      </w:r>
      <w:r w:rsidR="003D0BFC">
        <w:t xml:space="preserve">Therefore, </w:t>
      </w:r>
      <w:r w:rsidR="00D86712">
        <w:t xml:space="preserve">de-escalation </w:t>
      </w:r>
      <w:r w:rsidR="00A3297A">
        <w:t xml:space="preserve">of </w:t>
      </w:r>
      <w:r w:rsidR="008241EB">
        <w:t xml:space="preserve">adjuvant </w:t>
      </w:r>
      <w:r w:rsidR="00D86712">
        <w:t xml:space="preserve">treatment due to </w:t>
      </w:r>
      <w:r w:rsidR="00572E78" w:rsidRPr="00572E78">
        <w:rPr>
          <w:i/>
        </w:rPr>
        <w:t>POLE</w:t>
      </w:r>
      <w:r w:rsidR="003D0BFC">
        <w:t xml:space="preserve"> genotyping is likely to lead to </w:t>
      </w:r>
      <w:r w:rsidR="00D86712">
        <w:t xml:space="preserve">superior safety outcomes for patients with </w:t>
      </w:r>
      <w:r w:rsidR="00572E78" w:rsidRPr="00572E78">
        <w:rPr>
          <w:i/>
        </w:rPr>
        <w:t>POLE</w:t>
      </w:r>
      <w:r w:rsidR="008A0286">
        <w:t>mut EC.</w:t>
      </w:r>
    </w:p>
    <w:p w14:paraId="55577992" w14:textId="071930A7" w:rsidR="008672F9" w:rsidRPr="00F834DD" w:rsidRDefault="008672F9" w:rsidP="008672F9">
      <w:pPr>
        <w:pStyle w:val="Caption"/>
      </w:pPr>
      <w:bookmarkStart w:id="36" w:name="_Ref211851015"/>
      <w:r w:rsidRPr="00F834DD">
        <w:t xml:space="preserve">Table </w:t>
      </w:r>
      <w:r>
        <w:fldChar w:fldCharType="begin"/>
      </w:r>
      <w:r>
        <w:instrText>SEQ Table \* ARABIC</w:instrText>
      </w:r>
      <w:r>
        <w:fldChar w:fldCharType="separate"/>
      </w:r>
      <w:r w:rsidR="00996E6E">
        <w:rPr>
          <w:noProof/>
        </w:rPr>
        <w:t>5</w:t>
      </w:r>
      <w:r>
        <w:fldChar w:fldCharType="end"/>
      </w:r>
      <w:bookmarkEnd w:id="36"/>
      <w:r w:rsidRPr="00F834DD">
        <w:t xml:space="preserve"> Summary of </w:t>
      </w:r>
      <w:r w:rsidR="004B2769">
        <w:t>comparative safety</w:t>
      </w:r>
      <w:r w:rsidR="0018284A">
        <w:t xml:space="preserve"> of adjuvant treatment</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3211"/>
        <w:gridCol w:w="3210"/>
      </w:tblGrid>
      <w:tr w:rsidR="00AD7E38" w:rsidRPr="00F834DD" w14:paraId="3AF09AC4" w14:textId="77777777" w:rsidTr="008C59E7">
        <w:trPr>
          <w:tblHeader/>
        </w:trPr>
        <w:tc>
          <w:tcPr>
            <w:tcW w:w="1439" w:type="pct"/>
            <w:shd w:val="clear" w:color="auto" w:fill="F2F2F2" w:themeFill="background1" w:themeFillShade="F2"/>
            <w:tcMar>
              <w:left w:w="57" w:type="dxa"/>
              <w:right w:w="57" w:type="dxa"/>
            </w:tcMar>
          </w:tcPr>
          <w:p w14:paraId="7EE74EA9" w14:textId="77777777" w:rsidR="00607939" w:rsidRDefault="00607939">
            <w:pPr>
              <w:pStyle w:val="Tableheading1"/>
              <w:keepNext/>
            </w:pPr>
            <w:r>
              <w:t>Trial</w:t>
            </w:r>
          </w:p>
          <w:p w14:paraId="7F257178" w14:textId="07948143" w:rsidR="00AD7E38" w:rsidRPr="00F834DD" w:rsidRDefault="00607939">
            <w:pPr>
              <w:pStyle w:val="Tableheading1"/>
              <w:keepNext/>
            </w:pPr>
            <w:r>
              <w:t>(</w:t>
            </w:r>
            <w:r w:rsidR="006A39A2">
              <w:t>Treatment c</w:t>
            </w:r>
            <w:r w:rsidR="00AD7E38" w:rsidRPr="00F834DD">
              <w:t>omparison</w:t>
            </w:r>
            <w:r>
              <w:t>)</w:t>
            </w:r>
          </w:p>
        </w:tc>
        <w:tc>
          <w:tcPr>
            <w:tcW w:w="1781" w:type="pct"/>
            <w:tcBorders>
              <w:bottom w:val="single" w:sz="4" w:space="0" w:color="auto"/>
            </w:tcBorders>
            <w:shd w:val="clear" w:color="auto" w:fill="F2F2F2" w:themeFill="background1" w:themeFillShade="F2"/>
            <w:tcMar>
              <w:left w:w="57" w:type="dxa"/>
              <w:right w:w="57" w:type="dxa"/>
            </w:tcMar>
          </w:tcPr>
          <w:p w14:paraId="5A7F153C" w14:textId="77777777" w:rsidR="00AD7E38" w:rsidRPr="00F834DD" w:rsidRDefault="00AD7E38">
            <w:pPr>
              <w:pStyle w:val="Tableheading1"/>
              <w:keepNext/>
            </w:pPr>
            <w:r w:rsidRPr="00F834DD">
              <w:t>Outcome</w:t>
            </w:r>
          </w:p>
        </w:tc>
        <w:tc>
          <w:tcPr>
            <w:tcW w:w="1781" w:type="pct"/>
            <w:tcBorders>
              <w:bottom w:val="single" w:sz="4" w:space="0" w:color="auto"/>
            </w:tcBorders>
            <w:shd w:val="clear" w:color="auto" w:fill="F2F2F2" w:themeFill="background1" w:themeFillShade="F2"/>
            <w:tcMar>
              <w:left w:w="57" w:type="dxa"/>
              <w:right w:w="57" w:type="dxa"/>
            </w:tcMar>
          </w:tcPr>
          <w:p w14:paraId="585E7663" w14:textId="77777777" w:rsidR="00AD7E38" w:rsidRPr="00F834DD" w:rsidRDefault="00AD7E38">
            <w:pPr>
              <w:pStyle w:val="Tableheading1"/>
              <w:keepNext/>
            </w:pPr>
            <w:r w:rsidRPr="00F834DD">
              <w:t>p-value</w:t>
            </w:r>
          </w:p>
        </w:tc>
      </w:tr>
      <w:tr w:rsidR="00AD7E38" w:rsidRPr="00F834DD" w14:paraId="3351BB88" w14:textId="77777777" w:rsidTr="008C59E7">
        <w:tc>
          <w:tcPr>
            <w:tcW w:w="1439" w:type="pct"/>
            <w:vMerge w:val="restart"/>
            <w:tcMar>
              <w:left w:w="57" w:type="dxa"/>
              <w:right w:w="57" w:type="dxa"/>
            </w:tcMar>
          </w:tcPr>
          <w:p w14:paraId="16D7875B" w14:textId="77777777" w:rsidR="00607939" w:rsidRDefault="00607939">
            <w:pPr>
              <w:pStyle w:val="Tabletext0"/>
              <w:keepNext/>
            </w:pPr>
            <w:r>
              <w:t>PORTEC-3</w:t>
            </w:r>
          </w:p>
          <w:p w14:paraId="0DAC88B4" w14:textId="188EF8F2" w:rsidR="00AD7E38" w:rsidRPr="00F834DD" w:rsidRDefault="00607939">
            <w:pPr>
              <w:pStyle w:val="Tabletext0"/>
              <w:keepNext/>
            </w:pPr>
            <w:r>
              <w:t>(</w:t>
            </w:r>
            <w:r w:rsidR="00AD7E38" w:rsidRPr="00F834DD">
              <w:t>CTRT vs RT alone</w:t>
            </w:r>
            <w:r>
              <w:t>)</w:t>
            </w:r>
          </w:p>
        </w:tc>
        <w:tc>
          <w:tcPr>
            <w:tcW w:w="1781" w:type="pct"/>
            <w:tcBorders>
              <w:bottom w:val="nil"/>
            </w:tcBorders>
            <w:tcMar>
              <w:left w:w="57" w:type="dxa"/>
              <w:right w:w="57" w:type="dxa"/>
            </w:tcMar>
          </w:tcPr>
          <w:p w14:paraId="2F0523B4" w14:textId="3AA44247" w:rsidR="00AD7E38" w:rsidRPr="00F834DD" w:rsidRDefault="00AD7E38">
            <w:pPr>
              <w:pStyle w:val="Tabletext0"/>
              <w:keepNext/>
            </w:pPr>
            <w:r w:rsidRPr="00F834DD">
              <w:t xml:space="preserve">Any </w:t>
            </w:r>
            <w:r w:rsidR="00453863">
              <w:t>g</w:t>
            </w:r>
            <w:r w:rsidRPr="00F834DD">
              <w:t>rade 2 AE</w:t>
            </w:r>
          </w:p>
        </w:tc>
        <w:tc>
          <w:tcPr>
            <w:tcW w:w="1781" w:type="pct"/>
            <w:tcBorders>
              <w:bottom w:val="nil"/>
            </w:tcBorders>
            <w:tcMar>
              <w:left w:w="57" w:type="dxa"/>
              <w:right w:w="57" w:type="dxa"/>
            </w:tcMar>
          </w:tcPr>
          <w:p w14:paraId="733780B6" w14:textId="36BB2632" w:rsidR="00AD7E38" w:rsidRPr="00F834DD" w:rsidRDefault="00AD7E38">
            <w:pPr>
              <w:pStyle w:val="Tabletext0"/>
              <w:keepNext/>
            </w:pPr>
            <w:r>
              <w:t>34% vs 31</w:t>
            </w:r>
            <w:r w:rsidRPr="00F834DD">
              <w:t xml:space="preserve">%; p </w:t>
            </w:r>
            <w:r>
              <w:t>&lt;0.0001</w:t>
            </w:r>
          </w:p>
        </w:tc>
      </w:tr>
      <w:tr w:rsidR="00AD7E38" w:rsidRPr="00F834DD" w14:paraId="588BFBC2" w14:textId="77777777" w:rsidTr="008C59E7">
        <w:tc>
          <w:tcPr>
            <w:tcW w:w="1439" w:type="pct"/>
            <w:vMerge/>
            <w:tcMar>
              <w:left w:w="57" w:type="dxa"/>
              <w:right w:w="57" w:type="dxa"/>
            </w:tcMar>
          </w:tcPr>
          <w:p w14:paraId="0A091CE0" w14:textId="77777777" w:rsidR="00AD7E38" w:rsidRPr="00F834DD" w:rsidRDefault="00AD7E38">
            <w:pPr>
              <w:pStyle w:val="Tabletext0"/>
              <w:keepNext/>
            </w:pPr>
          </w:p>
        </w:tc>
        <w:tc>
          <w:tcPr>
            <w:tcW w:w="1781" w:type="pct"/>
            <w:tcBorders>
              <w:top w:val="nil"/>
              <w:bottom w:val="nil"/>
            </w:tcBorders>
            <w:tcMar>
              <w:left w:w="57" w:type="dxa"/>
              <w:right w:w="57" w:type="dxa"/>
            </w:tcMar>
          </w:tcPr>
          <w:p w14:paraId="1AA577E6" w14:textId="62B8D18B" w:rsidR="00AD7E38" w:rsidRPr="00F834DD" w:rsidRDefault="00AD7E38">
            <w:pPr>
              <w:pStyle w:val="Tabletext0"/>
              <w:keepNext/>
            </w:pPr>
            <w:r w:rsidRPr="00F834DD">
              <w:t xml:space="preserve">Any </w:t>
            </w:r>
            <w:r w:rsidR="00453863">
              <w:t>g</w:t>
            </w:r>
            <w:r w:rsidRPr="00F834DD">
              <w:t>rade 3</w:t>
            </w:r>
            <w:r w:rsidR="00453863">
              <w:t>–</w:t>
            </w:r>
            <w:r>
              <w:t xml:space="preserve">4 </w:t>
            </w:r>
            <w:r w:rsidRPr="00F834DD">
              <w:t>AE</w:t>
            </w:r>
          </w:p>
        </w:tc>
        <w:tc>
          <w:tcPr>
            <w:tcW w:w="1781" w:type="pct"/>
            <w:tcBorders>
              <w:top w:val="nil"/>
              <w:bottom w:val="nil"/>
            </w:tcBorders>
            <w:tcMar>
              <w:left w:w="57" w:type="dxa"/>
              <w:right w:w="57" w:type="dxa"/>
            </w:tcMar>
          </w:tcPr>
          <w:p w14:paraId="58F560B6" w14:textId="5F013897" w:rsidR="00AD7E38" w:rsidRPr="00F834DD" w:rsidRDefault="00AD7E38">
            <w:pPr>
              <w:pStyle w:val="Tabletext0"/>
              <w:keepNext/>
            </w:pPr>
            <w:r>
              <w:t>61</w:t>
            </w:r>
            <w:r w:rsidRPr="00F834DD">
              <w:t xml:space="preserve">% vs </w:t>
            </w:r>
            <w:r>
              <w:t>13</w:t>
            </w:r>
            <w:r w:rsidRPr="00F834DD">
              <w:t xml:space="preserve">%; p </w:t>
            </w:r>
            <w:r>
              <w:t>&lt;0.0001</w:t>
            </w:r>
          </w:p>
        </w:tc>
      </w:tr>
      <w:tr w:rsidR="00AD7E38" w:rsidRPr="00F834DD" w14:paraId="7E17340F" w14:textId="77777777" w:rsidTr="008C59E7">
        <w:tc>
          <w:tcPr>
            <w:tcW w:w="1439" w:type="pct"/>
            <w:vMerge/>
            <w:tcMar>
              <w:left w:w="57" w:type="dxa"/>
              <w:right w:w="57" w:type="dxa"/>
            </w:tcMar>
          </w:tcPr>
          <w:p w14:paraId="591C3B5C" w14:textId="77777777" w:rsidR="00AD7E38" w:rsidRPr="00F834DD" w:rsidRDefault="00AD7E38">
            <w:pPr>
              <w:pStyle w:val="Tabletext0"/>
              <w:keepNext/>
            </w:pPr>
          </w:p>
        </w:tc>
        <w:tc>
          <w:tcPr>
            <w:tcW w:w="1781" w:type="pct"/>
            <w:tcBorders>
              <w:top w:val="nil"/>
              <w:bottom w:val="nil"/>
            </w:tcBorders>
            <w:tcMar>
              <w:left w:w="57" w:type="dxa"/>
              <w:right w:w="57" w:type="dxa"/>
            </w:tcMar>
          </w:tcPr>
          <w:p w14:paraId="2B1E1808" w14:textId="674B9EA1" w:rsidR="00AD7E38" w:rsidRPr="00F834DD" w:rsidRDefault="008B5AE0">
            <w:pPr>
              <w:pStyle w:val="Tabletab1"/>
            </w:pPr>
            <w:r>
              <w:t>a</w:t>
            </w:r>
            <w:r w:rsidR="00AD7E38" w:rsidRPr="00E5436D">
              <w:t>uditory/hearing</w:t>
            </w:r>
          </w:p>
        </w:tc>
        <w:tc>
          <w:tcPr>
            <w:tcW w:w="1781" w:type="pct"/>
            <w:tcBorders>
              <w:top w:val="nil"/>
              <w:bottom w:val="nil"/>
            </w:tcBorders>
            <w:tcMar>
              <w:left w:w="57" w:type="dxa"/>
              <w:right w:w="57" w:type="dxa"/>
            </w:tcMar>
          </w:tcPr>
          <w:p w14:paraId="3C8CBC0E" w14:textId="405B1F04" w:rsidR="00AD7E38" w:rsidRPr="00F834DD" w:rsidRDefault="00AD7E38">
            <w:pPr>
              <w:pStyle w:val="Tabletext0"/>
              <w:keepNext/>
            </w:pPr>
            <w:r w:rsidRPr="000F0BE6">
              <w:t>&lt;1</w:t>
            </w:r>
            <w:r>
              <w:t xml:space="preserve">% vs </w:t>
            </w:r>
            <w:r w:rsidRPr="000F0BE6">
              <w:t>&lt;1</w:t>
            </w:r>
            <w:r>
              <w:t xml:space="preserve">%; p = </w:t>
            </w:r>
            <w:r w:rsidRPr="000F0BE6">
              <w:t>1</w:t>
            </w:r>
          </w:p>
        </w:tc>
      </w:tr>
      <w:tr w:rsidR="00AD7E38" w:rsidRPr="00F834DD" w14:paraId="1E8DAD30" w14:textId="77777777" w:rsidTr="008C59E7">
        <w:tc>
          <w:tcPr>
            <w:tcW w:w="1439" w:type="pct"/>
            <w:vMerge/>
            <w:tcMar>
              <w:left w:w="57" w:type="dxa"/>
              <w:right w:w="57" w:type="dxa"/>
            </w:tcMar>
          </w:tcPr>
          <w:p w14:paraId="1D7AF3E3" w14:textId="77777777" w:rsidR="00AD7E38" w:rsidRPr="00F834DD" w:rsidRDefault="00AD7E38">
            <w:pPr>
              <w:pStyle w:val="Tabletext0"/>
              <w:keepNext/>
            </w:pPr>
          </w:p>
        </w:tc>
        <w:tc>
          <w:tcPr>
            <w:tcW w:w="1781" w:type="pct"/>
            <w:tcBorders>
              <w:top w:val="nil"/>
              <w:bottom w:val="nil"/>
            </w:tcBorders>
            <w:tcMar>
              <w:left w:w="57" w:type="dxa"/>
              <w:right w:w="57" w:type="dxa"/>
            </w:tcMar>
          </w:tcPr>
          <w:p w14:paraId="10EB10B4" w14:textId="5B117E39" w:rsidR="00AD7E38" w:rsidRPr="00F834DD" w:rsidRDefault="008B5AE0">
            <w:pPr>
              <w:pStyle w:val="Tabletab1"/>
            </w:pPr>
            <w:r>
              <w:t>f</w:t>
            </w:r>
            <w:r w:rsidR="00AD7E38" w:rsidRPr="00E5436D">
              <w:t xml:space="preserve">atigue </w:t>
            </w:r>
          </w:p>
        </w:tc>
        <w:tc>
          <w:tcPr>
            <w:tcW w:w="1781" w:type="pct"/>
            <w:tcBorders>
              <w:top w:val="nil"/>
              <w:bottom w:val="nil"/>
            </w:tcBorders>
            <w:tcMar>
              <w:left w:w="57" w:type="dxa"/>
              <w:right w:w="57" w:type="dxa"/>
            </w:tcMar>
          </w:tcPr>
          <w:p w14:paraId="24EC7693" w14:textId="77777777" w:rsidR="00AD7E38" w:rsidRPr="00F834DD" w:rsidRDefault="00AD7E38">
            <w:pPr>
              <w:pStyle w:val="Tabletext0"/>
              <w:keepNext/>
            </w:pPr>
            <w:r w:rsidRPr="000F0BE6">
              <w:t>3</w:t>
            </w:r>
            <w:r>
              <w:t xml:space="preserve">% vs </w:t>
            </w:r>
            <w:r w:rsidRPr="000F0BE6">
              <w:t>0</w:t>
            </w:r>
            <w:r>
              <w:t xml:space="preserve">%; p = </w:t>
            </w:r>
            <w:r w:rsidRPr="000F0BE6">
              <w:t>0.0018</w:t>
            </w:r>
          </w:p>
        </w:tc>
      </w:tr>
      <w:tr w:rsidR="00AD7E38" w:rsidRPr="00F834DD" w14:paraId="50E68CF3" w14:textId="77777777" w:rsidTr="008C59E7">
        <w:tc>
          <w:tcPr>
            <w:tcW w:w="1439" w:type="pct"/>
            <w:vMerge/>
            <w:tcMar>
              <w:left w:w="57" w:type="dxa"/>
              <w:right w:w="57" w:type="dxa"/>
            </w:tcMar>
          </w:tcPr>
          <w:p w14:paraId="0E48CAE8" w14:textId="77777777" w:rsidR="00AD7E38" w:rsidRPr="00F834DD" w:rsidRDefault="00AD7E38">
            <w:pPr>
              <w:pStyle w:val="Tabletext0"/>
              <w:keepNext/>
            </w:pPr>
          </w:p>
        </w:tc>
        <w:tc>
          <w:tcPr>
            <w:tcW w:w="1781" w:type="pct"/>
            <w:tcBorders>
              <w:top w:val="nil"/>
              <w:bottom w:val="nil"/>
            </w:tcBorders>
            <w:tcMar>
              <w:left w:w="57" w:type="dxa"/>
              <w:right w:w="57" w:type="dxa"/>
            </w:tcMar>
          </w:tcPr>
          <w:p w14:paraId="199CE6F2" w14:textId="49243496" w:rsidR="00AD7E38" w:rsidRPr="00F834DD" w:rsidRDefault="008B5AE0">
            <w:pPr>
              <w:pStyle w:val="Tabletab1"/>
            </w:pPr>
            <w:r>
              <w:t>a</w:t>
            </w:r>
            <w:r w:rsidR="00AD7E38" w:rsidRPr="00E5436D">
              <w:t xml:space="preserve">ny </w:t>
            </w:r>
            <w:r w:rsidR="00AD7E38">
              <w:t>gastrointestinal</w:t>
            </w:r>
          </w:p>
        </w:tc>
        <w:tc>
          <w:tcPr>
            <w:tcW w:w="1781" w:type="pct"/>
            <w:tcBorders>
              <w:top w:val="nil"/>
              <w:bottom w:val="nil"/>
            </w:tcBorders>
            <w:tcMar>
              <w:left w:w="57" w:type="dxa"/>
              <w:right w:w="57" w:type="dxa"/>
            </w:tcMar>
          </w:tcPr>
          <w:p w14:paraId="3354A263" w14:textId="77777777" w:rsidR="00AD7E38" w:rsidRPr="00F834DD" w:rsidRDefault="00AD7E38">
            <w:pPr>
              <w:pStyle w:val="Tabletext0"/>
              <w:keepNext/>
            </w:pPr>
            <w:r w:rsidRPr="00D607A4">
              <w:t>14</w:t>
            </w:r>
            <w:r>
              <w:t xml:space="preserve">% vs </w:t>
            </w:r>
            <w:r w:rsidRPr="00D607A4">
              <w:t>6</w:t>
            </w:r>
            <w:r>
              <w:t xml:space="preserve">%; p = </w:t>
            </w:r>
            <w:r w:rsidRPr="00D607A4">
              <w:t>0.0002</w:t>
            </w:r>
          </w:p>
        </w:tc>
      </w:tr>
      <w:tr w:rsidR="00AD7E38" w:rsidRPr="00F834DD" w14:paraId="68CD8A86" w14:textId="77777777" w:rsidTr="008C59E7">
        <w:tc>
          <w:tcPr>
            <w:tcW w:w="1439" w:type="pct"/>
            <w:vMerge/>
            <w:tcMar>
              <w:left w:w="57" w:type="dxa"/>
              <w:right w:w="57" w:type="dxa"/>
            </w:tcMar>
          </w:tcPr>
          <w:p w14:paraId="7CD33505" w14:textId="77777777" w:rsidR="00AD7E38" w:rsidRPr="00F834DD" w:rsidRDefault="00AD7E38">
            <w:pPr>
              <w:pStyle w:val="Tabletext0"/>
              <w:keepNext/>
            </w:pPr>
          </w:p>
        </w:tc>
        <w:tc>
          <w:tcPr>
            <w:tcW w:w="1781" w:type="pct"/>
            <w:tcBorders>
              <w:top w:val="nil"/>
              <w:bottom w:val="nil"/>
            </w:tcBorders>
            <w:tcMar>
              <w:left w:w="57" w:type="dxa"/>
              <w:right w:w="57" w:type="dxa"/>
            </w:tcMar>
          </w:tcPr>
          <w:p w14:paraId="4DA60524" w14:textId="0D023D34" w:rsidR="00AD7E38" w:rsidRPr="00F834DD" w:rsidRDefault="008B5AE0">
            <w:pPr>
              <w:pStyle w:val="Tabletab1"/>
            </w:pPr>
            <w:r>
              <w:t>a</w:t>
            </w:r>
            <w:r w:rsidR="00AD7E38" w:rsidRPr="00E5436D">
              <w:t>ny haematological</w:t>
            </w:r>
          </w:p>
        </w:tc>
        <w:tc>
          <w:tcPr>
            <w:tcW w:w="1781" w:type="pct"/>
            <w:tcBorders>
              <w:top w:val="nil"/>
              <w:bottom w:val="nil"/>
            </w:tcBorders>
            <w:tcMar>
              <w:left w:w="57" w:type="dxa"/>
              <w:right w:w="57" w:type="dxa"/>
            </w:tcMar>
          </w:tcPr>
          <w:p w14:paraId="75200786" w14:textId="5E7220E3" w:rsidR="00AD7E38" w:rsidRPr="00F834DD" w:rsidRDefault="00AD7E38">
            <w:pPr>
              <w:pStyle w:val="Tabletext0"/>
              <w:keepNext/>
            </w:pPr>
            <w:r w:rsidRPr="009731E5">
              <w:t>45</w:t>
            </w:r>
            <w:r>
              <w:t xml:space="preserve">% vs </w:t>
            </w:r>
            <w:r w:rsidRPr="009731E5">
              <w:t>6</w:t>
            </w:r>
            <w:r>
              <w:t xml:space="preserve">%; p </w:t>
            </w:r>
            <w:r w:rsidRPr="009731E5">
              <w:t>&lt;0.0001</w:t>
            </w:r>
          </w:p>
        </w:tc>
      </w:tr>
      <w:tr w:rsidR="00AD7E38" w:rsidRPr="00F834DD" w14:paraId="662823A2" w14:textId="77777777" w:rsidTr="008C59E7">
        <w:tc>
          <w:tcPr>
            <w:tcW w:w="1439" w:type="pct"/>
            <w:vMerge/>
            <w:tcMar>
              <w:left w:w="57" w:type="dxa"/>
              <w:right w:w="57" w:type="dxa"/>
            </w:tcMar>
          </w:tcPr>
          <w:p w14:paraId="5D90CC38" w14:textId="77777777" w:rsidR="00AD7E38" w:rsidRPr="00F834DD" w:rsidRDefault="00AD7E38">
            <w:pPr>
              <w:pStyle w:val="Tabletext0"/>
              <w:keepNext/>
            </w:pPr>
          </w:p>
        </w:tc>
        <w:tc>
          <w:tcPr>
            <w:tcW w:w="1781" w:type="pct"/>
            <w:tcBorders>
              <w:top w:val="nil"/>
              <w:bottom w:val="nil"/>
            </w:tcBorders>
            <w:tcMar>
              <w:left w:w="57" w:type="dxa"/>
              <w:right w:w="57" w:type="dxa"/>
            </w:tcMar>
          </w:tcPr>
          <w:p w14:paraId="16F77503" w14:textId="29F2BE25" w:rsidR="00AD7E38" w:rsidRPr="00F834DD" w:rsidRDefault="008B5AE0">
            <w:pPr>
              <w:pStyle w:val="Tabletab1"/>
            </w:pPr>
            <w:r>
              <w:t>a</w:t>
            </w:r>
            <w:r w:rsidR="00AD7E38" w:rsidRPr="00E5436D">
              <w:t>ny neuropathy</w:t>
            </w:r>
          </w:p>
        </w:tc>
        <w:tc>
          <w:tcPr>
            <w:tcW w:w="1781" w:type="pct"/>
            <w:tcBorders>
              <w:top w:val="nil"/>
              <w:bottom w:val="nil"/>
            </w:tcBorders>
            <w:tcMar>
              <w:left w:w="57" w:type="dxa"/>
              <w:right w:w="57" w:type="dxa"/>
            </w:tcMar>
          </w:tcPr>
          <w:p w14:paraId="2E50A073" w14:textId="3C824B5B" w:rsidR="00AD7E38" w:rsidRPr="00F834DD" w:rsidRDefault="00AD7E38">
            <w:pPr>
              <w:pStyle w:val="Tabletext0"/>
              <w:keepNext/>
            </w:pPr>
            <w:r w:rsidRPr="009731E5">
              <w:t>7</w:t>
            </w:r>
            <w:r>
              <w:t xml:space="preserve">% vs </w:t>
            </w:r>
            <w:r w:rsidRPr="009731E5">
              <w:t>0</w:t>
            </w:r>
            <w:r>
              <w:t xml:space="preserve">%; p </w:t>
            </w:r>
            <w:r w:rsidRPr="009731E5">
              <w:t>&lt;0.0001</w:t>
            </w:r>
          </w:p>
        </w:tc>
      </w:tr>
      <w:tr w:rsidR="00AD7E38" w:rsidRPr="00F834DD" w14:paraId="277AE6BC" w14:textId="77777777" w:rsidTr="008C59E7">
        <w:tc>
          <w:tcPr>
            <w:tcW w:w="1439" w:type="pct"/>
            <w:vMerge/>
            <w:tcMar>
              <w:left w:w="57" w:type="dxa"/>
              <w:right w:w="57" w:type="dxa"/>
            </w:tcMar>
          </w:tcPr>
          <w:p w14:paraId="6FDB062B" w14:textId="77777777" w:rsidR="00AD7E38" w:rsidRPr="00F834DD" w:rsidRDefault="00AD7E38">
            <w:pPr>
              <w:pStyle w:val="Tabletext0"/>
              <w:keepNext/>
            </w:pPr>
          </w:p>
        </w:tc>
        <w:tc>
          <w:tcPr>
            <w:tcW w:w="1781" w:type="pct"/>
            <w:tcBorders>
              <w:top w:val="nil"/>
              <w:bottom w:val="nil"/>
            </w:tcBorders>
            <w:tcMar>
              <w:left w:w="57" w:type="dxa"/>
              <w:right w:w="57" w:type="dxa"/>
            </w:tcMar>
          </w:tcPr>
          <w:p w14:paraId="40888706" w14:textId="60756B81" w:rsidR="00AD7E38" w:rsidRPr="00F834DD" w:rsidRDefault="008B5AE0">
            <w:pPr>
              <w:pStyle w:val="Tabletab1"/>
            </w:pPr>
            <w:r>
              <w:t>a</w:t>
            </w:r>
            <w:r w:rsidR="00AD7E38" w:rsidRPr="00E5436D">
              <w:t xml:space="preserve">ny pain </w:t>
            </w:r>
          </w:p>
        </w:tc>
        <w:tc>
          <w:tcPr>
            <w:tcW w:w="1781" w:type="pct"/>
            <w:tcBorders>
              <w:top w:val="nil"/>
              <w:bottom w:val="nil"/>
            </w:tcBorders>
            <w:tcMar>
              <w:left w:w="57" w:type="dxa"/>
              <w:right w:w="57" w:type="dxa"/>
            </w:tcMar>
          </w:tcPr>
          <w:p w14:paraId="50B0BE21" w14:textId="393B58AC" w:rsidR="00AD7E38" w:rsidRPr="00F834DD" w:rsidRDefault="00AD7E38">
            <w:pPr>
              <w:pStyle w:val="Tabletext0"/>
              <w:keepNext/>
            </w:pPr>
            <w:r w:rsidRPr="009731E5">
              <w:t>9</w:t>
            </w:r>
            <w:r>
              <w:t xml:space="preserve">% vs </w:t>
            </w:r>
            <w:r w:rsidRPr="009731E5">
              <w:t>1</w:t>
            </w:r>
            <w:r>
              <w:t>%; p &lt;</w:t>
            </w:r>
            <w:r w:rsidRPr="009731E5">
              <w:t>0.0001</w:t>
            </w:r>
          </w:p>
        </w:tc>
      </w:tr>
      <w:tr w:rsidR="00AD7E38" w:rsidRPr="00F834DD" w14:paraId="75B2D12A" w14:textId="77777777" w:rsidTr="008C59E7">
        <w:tc>
          <w:tcPr>
            <w:tcW w:w="1439" w:type="pct"/>
            <w:vMerge/>
            <w:tcMar>
              <w:left w:w="57" w:type="dxa"/>
              <w:right w:w="57" w:type="dxa"/>
            </w:tcMar>
          </w:tcPr>
          <w:p w14:paraId="621637D2" w14:textId="77777777" w:rsidR="00AD7E38" w:rsidRPr="00F834DD" w:rsidRDefault="00AD7E38">
            <w:pPr>
              <w:pStyle w:val="Tabletext0"/>
              <w:keepNext/>
            </w:pPr>
          </w:p>
        </w:tc>
        <w:tc>
          <w:tcPr>
            <w:tcW w:w="1781" w:type="pct"/>
            <w:tcBorders>
              <w:top w:val="nil"/>
              <w:bottom w:val="nil"/>
            </w:tcBorders>
            <w:tcMar>
              <w:left w:w="57" w:type="dxa"/>
              <w:right w:w="57" w:type="dxa"/>
            </w:tcMar>
          </w:tcPr>
          <w:p w14:paraId="09685D51" w14:textId="13AA1A71" w:rsidR="00AD7E38" w:rsidRPr="00E5436D" w:rsidRDefault="008B5AE0">
            <w:pPr>
              <w:pStyle w:val="Tabletab1"/>
            </w:pPr>
            <w:r>
              <w:t>g</w:t>
            </w:r>
            <w:r w:rsidR="00AD7E38" w:rsidRPr="00E5436D">
              <w:t>enitourinary incontinence</w:t>
            </w:r>
          </w:p>
        </w:tc>
        <w:tc>
          <w:tcPr>
            <w:tcW w:w="1781" w:type="pct"/>
            <w:tcBorders>
              <w:top w:val="nil"/>
              <w:bottom w:val="nil"/>
            </w:tcBorders>
            <w:tcMar>
              <w:left w:w="57" w:type="dxa"/>
              <w:right w:w="57" w:type="dxa"/>
            </w:tcMar>
          </w:tcPr>
          <w:p w14:paraId="03D0A0BB" w14:textId="3302D049" w:rsidR="00AD7E38" w:rsidRPr="00F834DD" w:rsidRDefault="00AD7E38">
            <w:pPr>
              <w:pStyle w:val="Tabletext0"/>
              <w:keepNext/>
            </w:pPr>
            <w:r w:rsidRPr="00FB3F19">
              <w:t>&lt;1</w:t>
            </w:r>
            <w:r>
              <w:t xml:space="preserve">% vs </w:t>
            </w:r>
            <w:r w:rsidRPr="00FB3F19">
              <w:t>0</w:t>
            </w:r>
            <w:r>
              <w:t xml:space="preserve">%; p = </w:t>
            </w:r>
            <w:r w:rsidRPr="00FB3F19">
              <w:t>1</w:t>
            </w:r>
          </w:p>
        </w:tc>
      </w:tr>
      <w:tr w:rsidR="00AD7E38" w:rsidRPr="00F834DD" w14:paraId="7E059780" w14:textId="77777777" w:rsidTr="008C59E7">
        <w:tc>
          <w:tcPr>
            <w:tcW w:w="1439" w:type="pct"/>
            <w:vMerge/>
            <w:tcMar>
              <w:left w:w="57" w:type="dxa"/>
              <w:right w:w="57" w:type="dxa"/>
            </w:tcMar>
          </w:tcPr>
          <w:p w14:paraId="29D94558" w14:textId="77777777" w:rsidR="00AD7E38" w:rsidRPr="00F834DD" w:rsidRDefault="00AD7E38">
            <w:pPr>
              <w:pStyle w:val="Tabletext0"/>
              <w:keepNext/>
            </w:pPr>
          </w:p>
        </w:tc>
        <w:tc>
          <w:tcPr>
            <w:tcW w:w="1781" w:type="pct"/>
            <w:tcBorders>
              <w:top w:val="nil"/>
              <w:bottom w:val="nil"/>
            </w:tcBorders>
            <w:tcMar>
              <w:left w:w="57" w:type="dxa"/>
              <w:right w:w="57" w:type="dxa"/>
            </w:tcMar>
          </w:tcPr>
          <w:p w14:paraId="0F460C5A" w14:textId="7FC52E13" w:rsidR="00AD7E38" w:rsidRPr="00E5436D" w:rsidRDefault="008B5AE0">
            <w:pPr>
              <w:pStyle w:val="Tabletab1"/>
            </w:pPr>
            <w:r>
              <w:t>g</w:t>
            </w:r>
            <w:r w:rsidR="00AD7E38" w:rsidRPr="00E5436D">
              <w:t>enitourinary urinary frequency</w:t>
            </w:r>
          </w:p>
        </w:tc>
        <w:tc>
          <w:tcPr>
            <w:tcW w:w="1781" w:type="pct"/>
            <w:tcBorders>
              <w:top w:val="nil"/>
              <w:bottom w:val="nil"/>
            </w:tcBorders>
            <w:tcMar>
              <w:left w:w="57" w:type="dxa"/>
              <w:right w:w="57" w:type="dxa"/>
            </w:tcMar>
          </w:tcPr>
          <w:p w14:paraId="0D5481D6" w14:textId="77777777" w:rsidR="00AD7E38" w:rsidRPr="00F834DD" w:rsidRDefault="00AD7E38">
            <w:pPr>
              <w:pStyle w:val="Tabletext0"/>
              <w:keepNext/>
            </w:pPr>
            <w:r w:rsidRPr="00FB3F19">
              <w:t>1</w:t>
            </w:r>
            <w:r>
              <w:t xml:space="preserve">% vs </w:t>
            </w:r>
            <w:r w:rsidRPr="00FB3F19">
              <w:t>1</w:t>
            </w:r>
            <w:r>
              <w:t xml:space="preserve">%; p = </w:t>
            </w:r>
            <w:r w:rsidRPr="00FB3F19">
              <w:t>1</w:t>
            </w:r>
          </w:p>
        </w:tc>
      </w:tr>
      <w:tr w:rsidR="00AD7E38" w:rsidRPr="00F834DD" w14:paraId="37F6F32C" w14:textId="77777777" w:rsidTr="008C59E7">
        <w:tc>
          <w:tcPr>
            <w:tcW w:w="1439" w:type="pct"/>
            <w:vMerge/>
            <w:tcMar>
              <w:left w:w="57" w:type="dxa"/>
              <w:right w:w="57" w:type="dxa"/>
            </w:tcMar>
          </w:tcPr>
          <w:p w14:paraId="77771C8D" w14:textId="77777777" w:rsidR="00AD7E38" w:rsidRPr="00F834DD" w:rsidRDefault="00AD7E38">
            <w:pPr>
              <w:pStyle w:val="Tabletext0"/>
              <w:keepNext/>
            </w:pPr>
          </w:p>
        </w:tc>
        <w:tc>
          <w:tcPr>
            <w:tcW w:w="1781" w:type="pct"/>
            <w:tcBorders>
              <w:top w:val="nil"/>
            </w:tcBorders>
            <w:tcMar>
              <w:left w:w="57" w:type="dxa"/>
              <w:right w:w="57" w:type="dxa"/>
            </w:tcMar>
          </w:tcPr>
          <w:p w14:paraId="2F8F3992" w14:textId="4A85849D" w:rsidR="00AD7E38" w:rsidRPr="00E5436D" w:rsidRDefault="008B5AE0">
            <w:pPr>
              <w:pStyle w:val="Tabletab1"/>
            </w:pPr>
            <w:r>
              <w:t>t</w:t>
            </w:r>
            <w:r w:rsidR="00AD7E38" w:rsidRPr="00E5436D">
              <w:t>hrombosis or embolism</w:t>
            </w:r>
          </w:p>
        </w:tc>
        <w:tc>
          <w:tcPr>
            <w:tcW w:w="1781" w:type="pct"/>
            <w:tcBorders>
              <w:top w:val="nil"/>
            </w:tcBorders>
            <w:tcMar>
              <w:left w:w="57" w:type="dxa"/>
              <w:right w:w="57" w:type="dxa"/>
            </w:tcMar>
          </w:tcPr>
          <w:p w14:paraId="24A062B1" w14:textId="77777777" w:rsidR="00AD7E38" w:rsidRPr="00F834DD" w:rsidRDefault="00AD7E38">
            <w:pPr>
              <w:pStyle w:val="Tabletext0"/>
              <w:keepNext/>
            </w:pPr>
            <w:r w:rsidRPr="00FB3F19">
              <w:t>1</w:t>
            </w:r>
            <w:r>
              <w:t xml:space="preserve">% vs </w:t>
            </w:r>
            <w:r w:rsidRPr="00FB3F19">
              <w:t>0</w:t>
            </w:r>
            <w:r>
              <w:t xml:space="preserve">%; p = </w:t>
            </w:r>
            <w:r w:rsidRPr="00FB3F19">
              <w:t>0.12</w:t>
            </w:r>
          </w:p>
        </w:tc>
      </w:tr>
    </w:tbl>
    <w:p w14:paraId="62B30F4E" w14:textId="7D8C5902" w:rsidR="008672F9" w:rsidRPr="00F834DD" w:rsidRDefault="008672F9" w:rsidP="008672F9">
      <w:pPr>
        <w:pStyle w:val="Tablefooter0"/>
      </w:pPr>
      <w:r w:rsidRPr="00F834DD">
        <w:t>Abbreviations: AE = adverse event; CTRT = chemoradi</w:t>
      </w:r>
      <w:r w:rsidR="00733B0D">
        <w:t xml:space="preserve">ation </w:t>
      </w:r>
      <w:r w:rsidRPr="00F834DD">
        <w:t>therapy; RT = radi</w:t>
      </w:r>
      <w:r w:rsidR="00733B0D">
        <w:t xml:space="preserve">ation </w:t>
      </w:r>
      <w:r w:rsidRPr="00F834DD">
        <w:t>therapy</w:t>
      </w:r>
    </w:p>
    <w:p w14:paraId="75EB8CB8" w14:textId="5398A49C" w:rsidR="007D23E3" w:rsidRPr="00F834DD" w:rsidRDefault="007D23E3" w:rsidP="007D23E3">
      <w:pPr>
        <w:pStyle w:val="Tablefooter0"/>
      </w:pPr>
      <w:r w:rsidRPr="007F7D10">
        <w:rPr>
          <w:lang w:val="nl-NL"/>
        </w:rPr>
        <w:t xml:space="preserve">Source: </w:t>
      </w:r>
      <w:r>
        <w:fldChar w:fldCharType="begin">
          <w:fldData xml:space="preserve">PEVuZE5vdGU+PENpdGUgQXV0aG9yWWVhcj0iMSI+PEF1dGhvcj5kZSBCb2VyPC9BdXRob3I+PFll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</w:fldData>
        </w:fldChar>
      </w:r>
      <w:r w:rsidR="005D7D53" w:rsidRPr="008119F1">
        <w:rPr>
          <w:lang w:val="nl-NL"/>
        </w:rPr>
        <w:instrText xml:space="preserve"> ADDIN EN.CITE </w:instrText>
      </w:r>
      <w:r w:rsidR="005D7D53">
        <w:fldChar w:fldCharType="begin">
          <w:fldData xml:space="preserve">PEVuZE5vdGU+PENpdGUgQXV0aG9yWWVhcj0iMSI+PEF1dGhvcj5kZSBCb2VyPC9BdXRob3I+PFll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</w:fldData>
        </w:fldChar>
      </w:r>
      <w:r w:rsidR="005D7D53" w:rsidRPr="008119F1">
        <w:rPr>
          <w:lang w:val="nl-NL"/>
        </w:rPr>
        <w:instrText xml:space="preserve"> ADDIN EN.CITE.DATA </w:instrText>
      </w:r>
      <w:r w:rsidR="005D7D53">
        <w:fldChar w:fldCharType="end"/>
      </w:r>
      <w:r>
        <w:fldChar w:fldCharType="separate"/>
      </w:r>
      <w:r w:rsidRPr="007F7D10">
        <w:rPr>
          <w:lang w:val="nl-NL"/>
        </w:rPr>
        <w:t xml:space="preserve">de Boer et al. </w:t>
      </w:r>
      <w:r>
        <w:t>(2016)</w:t>
      </w:r>
      <w:r>
        <w:fldChar w:fldCharType="end"/>
      </w:r>
      <w:r w:rsidRPr="00F834DD">
        <w:t xml:space="preserve"> Table </w:t>
      </w:r>
      <w:r>
        <w:t>2</w:t>
      </w:r>
      <w:r w:rsidRPr="00F834DD">
        <w:t xml:space="preserve"> pp </w:t>
      </w:r>
      <w:r>
        <w:t>7</w:t>
      </w:r>
    </w:p>
    <w:p w14:paraId="3717AA01" w14:textId="14A8C736" w:rsidR="00772829" w:rsidRPr="00CE28E3" w:rsidRDefault="00772829" w:rsidP="00DE034C">
      <w:pPr>
        <w:pStyle w:val="Heading2"/>
        <w:numPr>
          <w:ilvl w:val="0"/>
          <w:numId w:val="18"/>
        </w:numPr>
        <w:ind w:hanging="720"/>
      </w:pPr>
      <w:bookmarkStart w:id="37" w:name="_Ref213066162"/>
      <w:bookmarkStart w:id="38" w:name="_Toc220675609"/>
      <w:bookmarkStart w:id="39" w:name="_Toc220670378"/>
      <w:r w:rsidRPr="00CE28E3">
        <w:t>Comparative effectiveness</w:t>
      </w:r>
      <w:bookmarkEnd w:id="37"/>
      <w:bookmarkEnd w:id="38"/>
      <w:bookmarkEnd w:id="39"/>
    </w:p>
    <w:p w14:paraId="188B72D0" w14:textId="0C3FA17C" w:rsidR="00524D19" w:rsidRDefault="00BF4600" w:rsidP="00DB3DDA">
      <w:pPr>
        <w:pStyle w:val="Heading4"/>
      </w:pPr>
      <w:r>
        <w:t xml:space="preserve">Direct evidence: </w:t>
      </w:r>
      <w:r w:rsidR="00BD3ABD">
        <w:t>PORTEC-4a</w:t>
      </w:r>
    </w:p>
    <w:p w14:paraId="126AF46E" w14:textId="2E562A3D" w:rsidR="00053C92" w:rsidRDefault="00D53179" w:rsidP="00053C92">
      <w:r>
        <w:t>PORTEC-4a is an RCT that provides direct evidence for molecular profile</w:t>
      </w:r>
      <w:r w:rsidR="00AC5FED">
        <w:t>-</w:t>
      </w:r>
      <w:r>
        <w:t>based adjuvant treatment. The i</w:t>
      </w:r>
      <w:r w:rsidR="00A179B0">
        <w:t xml:space="preserve">nterim results </w:t>
      </w:r>
      <w:r>
        <w:t>were</w:t>
      </w:r>
      <w:r w:rsidR="00A179B0">
        <w:t xml:space="preserve"> presented at the ESTRO 2025 conference</w:t>
      </w:r>
      <w:r w:rsidR="00C66E56">
        <w:t>.</w:t>
      </w:r>
      <w:r w:rsidR="00743502">
        <w:rPr>
          <w:rStyle w:val="FootnoteReference"/>
        </w:rPr>
        <w:footnoteReference w:id="19"/>
      </w:r>
      <w:r>
        <w:t xml:space="preserve"> </w:t>
      </w:r>
      <w:r w:rsidR="00053C92" w:rsidRPr="00056AD4">
        <w:t>PORTEC-4a is an international randomised trial comparing adjuvant treatment based on the molecular</w:t>
      </w:r>
      <w:r w:rsidR="00053C92">
        <w:t xml:space="preserve"> </w:t>
      </w:r>
      <w:r w:rsidR="00053C92" w:rsidRPr="00056AD4">
        <w:t>integrated</w:t>
      </w:r>
      <w:r w:rsidR="00053C92">
        <w:t xml:space="preserve"> </w:t>
      </w:r>
      <w:r w:rsidR="00053C92" w:rsidRPr="00056AD4">
        <w:t xml:space="preserve">profile to standard </w:t>
      </w:r>
      <w:r w:rsidR="00053C92">
        <w:t>vaginal brachytherapy (</w:t>
      </w:r>
      <w:r w:rsidR="00053C92" w:rsidRPr="00056AD4">
        <w:t>VBT</w:t>
      </w:r>
      <w:r w:rsidR="00053C92">
        <w:t>)</w:t>
      </w:r>
      <w:r w:rsidR="00053C92" w:rsidRPr="00056AD4">
        <w:t xml:space="preserve"> in </w:t>
      </w:r>
      <w:r w:rsidR="00053C92">
        <w:t xml:space="preserve">high-intermediate risk </w:t>
      </w:r>
      <w:r w:rsidR="00053C92" w:rsidRPr="00056AD4">
        <w:t>EC</w:t>
      </w:r>
      <w:r w:rsidR="00974179">
        <w:t xml:space="preserve"> (Stage IA, IB</w:t>
      </w:r>
      <w:r w:rsidR="001A6BB5">
        <w:t>, or II who meet certain criteria)</w:t>
      </w:r>
      <w:r w:rsidR="00053C92">
        <w:t>. Patients were randomised to adjuvant treatment or VBT based on risk profile</w:t>
      </w:r>
      <w:r w:rsidR="00DD2934">
        <w:t xml:space="preserve"> (</w:t>
      </w:r>
      <w:r w:rsidR="00757ADC">
        <w:fldChar w:fldCharType="begin"/>
      </w:r>
      <w:r w:rsidR="00757ADC">
        <w:instrText xml:space="preserve"> REF _Ref220672681 \h </w:instrText>
      </w:r>
      <w:r w:rsidR="00757ADC">
        <w:fldChar w:fldCharType="separate"/>
      </w:r>
      <w:r w:rsidR="00996E6E">
        <w:t xml:space="preserve">Figure </w:t>
      </w:r>
      <w:r w:rsidR="00996E6E">
        <w:rPr>
          <w:noProof/>
        </w:rPr>
        <w:t>1</w:t>
      </w:r>
      <w:r w:rsidR="00757ADC">
        <w:fldChar w:fldCharType="end"/>
      </w:r>
      <w:r w:rsidR="00C86DBA">
        <w:t>A</w:t>
      </w:r>
      <w:r w:rsidR="00734AC6">
        <w:t>)</w:t>
      </w:r>
      <w:r w:rsidR="00053C92">
        <w:t>.</w:t>
      </w:r>
      <w:r w:rsidR="00053C92" w:rsidRPr="00F66B51" w:rsidDel="00F66B51">
        <w:rPr>
          <w:caps/>
        </w:rPr>
        <w:t xml:space="preserve"> </w:t>
      </w:r>
      <w:r w:rsidR="00053C92">
        <w:t xml:space="preserve">After randomisation, the </w:t>
      </w:r>
      <w:r w:rsidR="00053C92" w:rsidRPr="00056AD4">
        <w:t>tumour tissues were molecularly profiled</w:t>
      </w:r>
      <w:r w:rsidR="00053C92">
        <w:t xml:space="preserve"> </w:t>
      </w:r>
      <w:r w:rsidR="00C86DBA">
        <w:t>(</w:t>
      </w:r>
      <w:r w:rsidR="00757ADC">
        <w:fldChar w:fldCharType="begin"/>
      </w:r>
      <w:r w:rsidR="00757ADC">
        <w:instrText xml:space="preserve"> REF _Ref220672681 \h </w:instrText>
      </w:r>
      <w:r w:rsidR="00757ADC">
        <w:fldChar w:fldCharType="separate"/>
      </w:r>
      <w:r w:rsidR="00996E6E">
        <w:t xml:space="preserve">Figure </w:t>
      </w:r>
      <w:r w:rsidR="00996E6E">
        <w:rPr>
          <w:noProof/>
        </w:rPr>
        <w:t>1</w:t>
      </w:r>
      <w:r w:rsidR="00757ADC">
        <w:fldChar w:fldCharType="end"/>
      </w:r>
      <w:r w:rsidR="00C86DBA">
        <w:t>B</w:t>
      </w:r>
      <w:r w:rsidR="00053C92">
        <w:t>).</w:t>
      </w:r>
      <w:r w:rsidR="00053C92" w:rsidRPr="00F66B51" w:rsidDel="00F66B51">
        <w:rPr>
          <w:caps/>
        </w:rPr>
        <w:t xml:space="preserve"> </w:t>
      </w:r>
      <w:r w:rsidR="00053C92">
        <w:t xml:space="preserve">The primary efficacy outcome was the first event of vaginal recurrence (recurrence of endometrial cancer in the vaginal region). Key secondary outcomes included cumulative incidence of pelvic recurrence, locoregional recurrence, distant metastases, recurrence-free survival (RFS) and overall survival (OS). </w:t>
      </w:r>
    </w:p>
    <w:p w14:paraId="0BB61C51" w14:textId="77777777" w:rsidR="00CE0A86" w:rsidRDefault="00364AE6" w:rsidP="00CE0A86">
      <w:r w:rsidRPr="00CE0A86">
        <w:t>T</w:t>
      </w:r>
      <w:r w:rsidR="00D53179" w:rsidRPr="00CE0A86">
        <w:t xml:space="preserve">he full details and results from the </w:t>
      </w:r>
      <w:r w:rsidR="00053C92" w:rsidRPr="00CE0A86">
        <w:t xml:space="preserve">PORTEC-4a </w:t>
      </w:r>
      <w:r w:rsidR="00D53179" w:rsidRPr="00CE0A86">
        <w:t xml:space="preserve">trial are not yet available. Therefore, </w:t>
      </w:r>
      <w:r w:rsidRPr="00CE0A86">
        <w:t>a linked evidence approach is also undertaken.</w:t>
      </w:r>
      <w:bookmarkStart w:id="40" w:name="_Ref216796823"/>
    </w:p>
    <w:p w14:paraId="2FD0AE45" w14:textId="5CC20B6D" w:rsidR="00280E8F" w:rsidRDefault="00DD2934" w:rsidP="00CE0A86">
      <w:pPr>
        <w:pStyle w:val="Caption"/>
      </w:pPr>
      <w:bookmarkStart w:id="41" w:name="_Ref220672681"/>
      <w:r>
        <w:lastRenderedPageBreak/>
        <w:t xml:space="preserve">Figure </w:t>
      </w:r>
      <w:r>
        <w:fldChar w:fldCharType="begin"/>
      </w:r>
      <w:r>
        <w:instrText>SEQ Figure \* ARABIC</w:instrText>
      </w:r>
      <w:r>
        <w:fldChar w:fldCharType="separate"/>
      </w:r>
      <w:r w:rsidR="00996E6E">
        <w:rPr>
          <w:noProof/>
        </w:rPr>
        <w:t>1</w:t>
      </w:r>
      <w:r>
        <w:fldChar w:fldCharType="end"/>
      </w:r>
      <w:bookmarkEnd w:id="40"/>
      <w:bookmarkEnd w:id="41"/>
      <w:r>
        <w:t xml:space="preserve"> </w:t>
      </w:r>
      <w:r w:rsidRPr="00B70697">
        <w:t>PORTEC-4a study design (A) and decision tree of molecular integrated risk profile (B)</w:t>
      </w:r>
    </w:p>
    <w:p w14:paraId="156257D6" w14:textId="6BE86104" w:rsidR="00EC0FA5" w:rsidRDefault="006C0A57" w:rsidP="00C15501">
      <w:r>
        <w:rPr>
          <w:noProof/>
        </w:rPr>
        <w:drawing>
          <wp:inline distT="0" distB="0" distL="0" distR="0" wp14:anchorId="4CDEBE14" wp14:editId="2C62383A">
            <wp:extent cx="5731510" cy="2994025"/>
            <wp:effectExtent l="0" t="0" r="2540" b="0"/>
            <wp:docPr id="1143023878" name="Picture 1" descr="Flow diagrams of the PORTEC-4a study design (Figure A) and decision tree of molecular integrated risk profile (Figure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23878" name="Picture 1" descr="Flow diagrams of the PORTEC-4a study design (Figure A) and decision tree of molecular integrated risk profile (Figure B) "/>
                    <pic:cNvPicPr/>
                  </pic:nvPicPr>
                  <pic:blipFill>
                    <a:blip r:embed="rId12"/>
                    <a:stretch>
                      <a:fillRect/>
                    </a:stretch>
                  </pic:blipFill>
                  <pic:spPr>
                    <a:xfrm>
                      <a:off x="0" y="0"/>
                      <a:ext cx="5731510" cy="2994025"/>
                    </a:xfrm>
                    <a:prstGeom prst="rect">
                      <a:avLst/>
                    </a:prstGeom>
                  </pic:spPr>
                </pic:pic>
              </a:graphicData>
            </a:graphic>
          </wp:inline>
        </w:drawing>
      </w:r>
    </w:p>
    <w:p w14:paraId="3B4EA8D6" w14:textId="77777777" w:rsidR="00B64B6B" w:rsidRDefault="00B64B6B" w:rsidP="00B64B6B">
      <w:pPr>
        <w:pStyle w:val="TableFooter"/>
      </w:pPr>
      <w:r>
        <w:t xml:space="preserve">Abbreviations: CTNNB1 = catenin beta 1; EBRT = external beam radiation therapy; HIR = high-intermediate risk; L1CAM = L1 cell adhesion molecule; LVSI = lymphovascular space invasion; MMRd = mismatch repair deficient; </w:t>
      </w:r>
      <w:r>
        <w:rPr>
          <w:i/>
        </w:rPr>
        <w:t>POLE</w:t>
      </w:r>
      <w:r>
        <w:t xml:space="preserve"> = DNA polymerase epsilon, catalytic subunit</w:t>
      </w:r>
    </w:p>
    <w:p w14:paraId="53AFFB39" w14:textId="77777777" w:rsidR="00B64B6B" w:rsidRDefault="00B64B6B" w:rsidP="00B64B6B">
      <w:pPr>
        <w:pStyle w:val="TableFooter"/>
      </w:pPr>
      <w:r>
        <w:t>* HIR includes 1) stage IA (with invasion), grade 3 (any age, with or without LVSI); 2) stage IB, grade 1 or 2 and age ≥ 60 years; 3) stage IB, grade 1 or 2 with documented LVSI; 4) stage IB, grade 3 without LVSI; 5) stage II (microscopic), grade 1</w:t>
      </w:r>
    </w:p>
    <w:p w14:paraId="21459F9D" w14:textId="77777777" w:rsidR="00B64B6B" w:rsidRPr="00FD4CDF" w:rsidRDefault="00B64B6B" w:rsidP="00B64B6B">
      <w:pPr>
        <w:pStyle w:val="TableFooter"/>
        <w:rPr>
          <w:lang w:val="en-US"/>
        </w:rPr>
      </w:pPr>
      <w:r w:rsidRPr="009F2748">
        <w:rPr>
          <w:lang w:val="nl-NL"/>
        </w:rPr>
        <w:t xml:space="preserve">Source: </w:t>
      </w:r>
      <w:r>
        <w:rPr>
          <w:lang w:val="en-US"/>
        </w:rPr>
        <w:fldChar w:fldCharType="begin"/>
      </w:r>
      <w:r w:rsidRPr="00FD4CDF">
        <w:rPr>
          <w:lang w:val="nl-NL"/>
        </w:rPr>
        <w:instrText xml:space="preserve"> ADDIN EN.CITE &lt;EndNote&gt;&lt;Cite AuthorYear="1"&gt;&lt;Author&gt;van den Heerik&lt;/Author&gt;&lt;Year&gt;2025&lt;/Year&gt;&lt;RecNum&gt;108&lt;/RecNum&gt;&lt;DisplayText&gt;van den Heerik, ASVM et al. (2025)&lt;/DisplayText&gt;&lt;record&gt;&lt;rec-number&gt;108&lt;/rec-number&gt;&lt;foreign-keys&gt;&lt;key app="EN" db-id="09a92a0099vraoeax5e5pxtbdw2xffawra2r" timestamp="1764557061"&gt;108&lt;/key&gt;&lt;/foreign-keys&gt;&lt;ref-type name="Conference Paper"&gt;47&lt;/ref-type&gt;&lt;contributors&gt;&lt;authors&gt;&lt;author&gt;van den Heerik, A.S.V.M&lt;/author&gt;&lt;author&gt;Horeweg, N.&lt;/author&gt;&lt;author&gt;Haverkort, M.A.D.&lt;/author&gt;&lt;author&gt;Kuijsters, N.&lt;/author&gt;&lt;author&gt;Kommoss, S.&lt;/author&gt;&lt;author&gt;Koppe, F.L.A.&lt;/author&gt;&lt;author&gt;Nowee, M.E.&lt;/author&gt;&lt;author&gt;Westerveld, H.&lt;/author&gt;&lt;author&gt;De Jong, M.A.A.&lt;/author&gt;&lt;author&gt;Cibula, D.&lt;/author&gt;&lt;author&gt;Cnossen, J.S.&lt;/author&gt;&lt;author&gt;Mens, J.W.M.&lt;/author&gt;&lt;author&gt;Beukema, J.C.&lt;/author&gt;&lt;author&gt;Chargari, C.&lt;/author&gt;&lt;author&gt;Gillham, C.&lt;/author&gt;&lt;author&gt;Jurgenliemk-Schulz, I.M.&lt;/author&gt;&lt;author&gt;Vandecasteele, K.&lt;/author&gt;&lt;author&gt;Nijman, H.W.&lt;/author&gt;&lt;author&gt;Wortman, B.G.&lt;/author&gt;&lt;author&gt;De Boer, S.M.&lt;/author&gt;&lt;author&gt;Verhoeven-Adema, K.W.&lt;/author&gt;&lt;author&gt;Nout, R.A.&lt;/author&gt;&lt;author&gt;Putter, H.&lt;/author&gt;&lt;author&gt;Bosse, T.&lt;/author&gt;&lt;author&gt;Creutzberg, C. L.&lt;/author&gt;&lt;/authors&gt;&lt;/contributors&gt;&lt;titles&gt;&lt;title&gt;PORTEC-4a; an international randomised trial of molecular profile-based adjuvant treatment for women with high-intermediate risk endometrial cancer&lt;/title&gt;&lt;secondary-title&gt;ESTRO&lt;/secondary-title&gt;&lt;/titles&gt;&lt;pages&gt;S4421-S4422&lt;/pages&gt;&lt;section&gt;5008&lt;/section&gt;&lt;dates&gt;&lt;year&gt;2025&lt;/year&gt;&lt;/dates&gt;&lt;urls&gt;&lt;/urls&gt;&lt;/record&gt;&lt;/Cite&gt;&lt;/EndNote&gt;</w:instrText>
      </w:r>
      <w:r>
        <w:rPr>
          <w:lang w:val="en-US"/>
        </w:rPr>
        <w:fldChar w:fldCharType="separate"/>
      </w:r>
      <w:r w:rsidRPr="00FD4CDF">
        <w:rPr>
          <w:lang w:val="nl-NL"/>
        </w:rPr>
        <w:t xml:space="preserve">van den Heerik, ASVM et al. </w:t>
      </w:r>
      <w:r>
        <w:rPr>
          <w:noProof/>
          <w:lang w:val="en-US"/>
        </w:rPr>
        <w:t>(2025)</w:t>
      </w:r>
      <w:r>
        <w:rPr>
          <w:lang w:val="en-US"/>
        </w:rPr>
        <w:fldChar w:fldCharType="end"/>
      </w:r>
    </w:p>
    <w:p w14:paraId="266D1A76" w14:textId="6ADFC72B" w:rsidR="0010770C" w:rsidRDefault="0010770C" w:rsidP="0010770C">
      <w:r>
        <w:t xml:space="preserve">Interim results from the prospective trial PORTEC-4a showed that the </w:t>
      </w:r>
      <w:r w:rsidRPr="00861F34">
        <w:t xml:space="preserve">5-year cumulative incidence of </w:t>
      </w:r>
      <w:r>
        <w:t>vaginal recurrence</w:t>
      </w:r>
      <w:r w:rsidR="00935EF0">
        <w:t xml:space="preserve"> </w:t>
      </w:r>
      <w:r>
        <w:t>(</w:t>
      </w:r>
      <w:r w:rsidR="005C0D64">
        <w:fldChar w:fldCharType="begin"/>
      </w:r>
      <w:r w:rsidR="005C0D64">
        <w:instrText xml:space="preserve"> REF _Ref215734520 \h </w:instrText>
      </w:r>
      <w:r w:rsidR="005C0D64">
        <w:fldChar w:fldCharType="separate"/>
      </w:r>
      <w:r w:rsidR="00996E6E">
        <w:t xml:space="preserve">Figure </w:t>
      </w:r>
      <w:r w:rsidR="00996E6E">
        <w:rPr>
          <w:noProof/>
        </w:rPr>
        <w:t>2</w:t>
      </w:r>
      <w:r w:rsidR="005C0D64">
        <w:fldChar w:fldCharType="end"/>
      </w:r>
      <w:r>
        <w:t xml:space="preserve">) </w:t>
      </w:r>
      <w:r w:rsidRPr="00861F34">
        <w:t xml:space="preserve">was 4.5% in </w:t>
      </w:r>
      <w:r w:rsidR="003F5AD1">
        <w:t xml:space="preserve">the </w:t>
      </w:r>
      <w:r w:rsidRPr="00861F34">
        <w:t>molecular</w:t>
      </w:r>
      <w:r w:rsidR="003F5AD1">
        <w:t xml:space="preserve"> </w:t>
      </w:r>
      <w:r w:rsidRPr="00861F34">
        <w:t>profile</w:t>
      </w:r>
      <w:r>
        <w:t xml:space="preserve"> </w:t>
      </w:r>
      <w:r w:rsidRPr="00861F34">
        <w:t xml:space="preserve">arm </w:t>
      </w:r>
      <w:r>
        <w:t xml:space="preserve">versus </w:t>
      </w:r>
      <w:r w:rsidRPr="00861F34">
        <w:t xml:space="preserve">1.6% in </w:t>
      </w:r>
      <w:r>
        <w:t xml:space="preserve">the </w:t>
      </w:r>
      <w:r w:rsidRPr="00861F34">
        <w:t>VBT</w:t>
      </w:r>
      <w:r>
        <w:t xml:space="preserve"> </w:t>
      </w:r>
      <w:r w:rsidRPr="00861F34">
        <w:t>arm (HR</w:t>
      </w:r>
      <w:r>
        <w:t xml:space="preserve"> </w:t>
      </w:r>
      <w:r w:rsidRPr="00861F34">
        <w:t>2.72</w:t>
      </w:r>
      <w:r>
        <w:t xml:space="preserve">; </w:t>
      </w:r>
      <w:r w:rsidRPr="00861F34">
        <w:t>95%</w:t>
      </w:r>
      <w:r>
        <w:t xml:space="preserve"> </w:t>
      </w:r>
      <w:r w:rsidRPr="00861F34">
        <w:t>CI</w:t>
      </w:r>
      <w:r>
        <w:t xml:space="preserve">: </w:t>
      </w:r>
      <w:r w:rsidRPr="00861F34">
        <w:t>0.37-9.36). The difference of the one-sided 95%</w:t>
      </w:r>
      <w:r>
        <w:t xml:space="preserve"> </w:t>
      </w:r>
      <w:r w:rsidRPr="00861F34">
        <w:t>CI between arms was estimated at 5.3%, below the predefined equivalence margin of 7% (p</w:t>
      </w:r>
      <w:r w:rsidRPr="00906269">
        <w:rPr>
          <w:vertAlign w:val="subscript"/>
        </w:rPr>
        <w:t>non-inferiority</w:t>
      </w:r>
      <w:r w:rsidRPr="00861F34">
        <w:t xml:space="preserve">=0.005). </w:t>
      </w:r>
      <w:r>
        <w:t>Pelvic recurrences</w:t>
      </w:r>
      <w:r w:rsidRPr="00861F34">
        <w:t xml:space="preserve"> were less frequent in the molecular</w:t>
      </w:r>
      <w:r w:rsidR="003F5AD1">
        <w:t xml:space="preserve"> </w:t>
      </w:r>
      <w:r w:rsidRPr="00861F34">
        <w:t>profile</w:t>
      </w:r>
      <w:r>
        <w:t xml:space="preserve"> </w:t>
      </w:r>
      <w:r w:rsidRPr="00861F34">
        <w:t>arm</w:t>
      </w:r>
      <w:r>
        <w:t xml:space="preserve"> (</w:t>
      </w:r>
      <w:r w:rsidRPr="00861F34">
        <w:t>3.2%</w:t>
      </w:r>
      <w:r>
        <w:t>) than the VBT arm (</w:t>
      </w:r>
      <w:r w:rsidRPr="00861F34">
        <w:t>5.2%</w:t>
      </w:r>
      <w:r>
        <w:t>)</w:t>
      </w:r>
      <w:r w:rsidRPr="00861F34">
        <w:t xml:space="preserve"> (p=0.32). L</w:t>
      </w:r>
      <w:r>
        <w:t xml:space="preserve">ocoregional recurrence </w:t>
      </w:r>
      <w:r w:rsidRPr="00861F34">
        <w:t xml:space="preserve">was 8.8% </w:t>
      </w:r>
      <w:r>
        <w:t xml:space="preserve">versus </w:t>
      </w:r>
      <w:r w:rsidRPr="00861F34">
        <w:t xml:space="preserve">7.5% </w:t>
      </w:r>
      <w:r>
        <w:t>in the molecular</w:t>
      </w:r>
      <w:r w:rsidR="003F5AD1">
        <w:t xml:space="preserve"> </w:t>
      </w:r>
      <w:r>
        <w:t xml:space="preserve">profile and VBT arms, respectively </w:t>
      </w:r>
      <w:r w:rsidRPr="00861F34">
        <w:t xml:space="preserve">(p=0.62). </w:t>
      </w:r>
    </w:p>
    <w:p w14:paraId="429CF683" w14:textId="34DECD4A" w:rsidR="0010770C" w:rsidRDefault="0010770C" w:rsidP="0010770C">
      <w:r>
        <w:t xml:space="preserve">There were no statistically significant differences between treatment arms for </w:t>
      </w:r>
      <w:r w:rsidR="00213377" w:rsidRPr="00132948">
        <w:t>recurrence</w:t>
      </w:r>
      <w:r w:rsidR="00213377">
        <w:t>-</w:t>
      </w:r>
      <w:r w:rsidR="00213377" w:rsidRPr="00132948">
        <w:t xml:space="preserve">free survival </w:t>
      </w:r>
      <w:r w:rsidR="00213377">
        <w:t>(</w:t>
      </w:r>
      <w:r w:rsidRPr="00861F34">
        <w:t>RFS</w:t>
      </w:r>
      <w:r w:rsidR="00213377">
        <w:t>)</w:t>
      </w:r>
      <w:r w:rsidRPr="00861F34">
        <w:t xml:space="preserve"> </w:t>
      </w:r>
      <w:r>
        <w:t>(p=0.36</w:t>
      </w:r>
      <w:r w:rsidDel="001F0E9C">
        <w:t xml:space="preserve">) </w:t>
      </w:r>
      <w:r w:rsidRPr="00861F34">
        <w:t xml:space="preserve">and </w:t>
      </w:r>
      <w:r w:rsidR="00213377">
        <w:t>overall survival (</w:t>
      </w:r>
      <w:r w:rsidRPr="00861F34">
        <w:t>OS</w:t>
      </w:r>
      <w:r w:rsidR="00213377">
        <w:t>)</w:t>
      </w:r>
      <w:r w:rsidRPr="00861F34">
        <w:t xml:space="preserve"> </w:t>
      </w:r>
      <w:r>
        <w:t>(p=0.34)</w:t>
      </w:r>
      <w:r w:rsidR="001F0E9C">
        <w:t xml:space="preserve"> (</w:t>
      </w:r>
      <w:r w:rsidR="001F0E9C">
        <w:fldChar w:fldCharType="begin"/>
      </w:r>
      <w:r w:rsidR="001F0E9C">
        <w:instrText xml:space="preserve"> REF _Ref215734520 \h </w:instrText>
      </w:r>
      <w:r w:rsidR="001F0E9C">
        <w:fldChar w:fldCharType="separate"/>
      </w:r>
      <w:r w:rsidR="00996E6E">
        <w:t xml:space="preserve">Figure </w:t>
      </w:r>
      <w:r w:rsidR="00996E6E">
        <w:rPr>
          <w:noProof/>
        </w:rPr>
        <w:t>2</w:t>
      </w:r>
      <w:r w:rsidR="001F0E9C">
        <w:fldChar w:fldCharType="end"/>
      </w:r>
      <w:r w:rsidR="001F0E9C">
        <w:t>)</w:t>
      </w:r>
      <w:r>
        <w:t>.</w:t>
      </w:r>
      <w:r w:rsidDel="001F0E9C">
        <w:t xml:space="preserve"> </w:t>
      </w:r>
      <w:r>
        <w:t>The proportion of RFS events was 81.7% versus 85.1% in the molecular</w:t>
      </w:r>
      <w:r w:rsidR="003F5AD1">
        <w:t xml:space="preserve"> </w:t>
      </w:r>
      <w:r>
        <w:t>profile and VBT arms, respectively. OS events occurred in 88.0% of patients in the molecular</w:t>
      </w:r>
      <w:r w:rsidR="001A0BE7">
        <w:t xml:space="preserve"> </w:t>
      </w:r>
      <w:r>
        <w:t>profile arm and 90.9% in the VBT arm.</w:t>
      </w:r>
      <w:r w:rsidRPr="005B4124">
        <w:t xml:space="preserve"> </w:t>
      </w:r>
      <w:r>
        <w:t xml:space="preserve">These preliminary results support the rationale for modifying management approaches </w:t>
      </w:r>
      <w:r w:rsidR="001F0E9C">
        <w:t>for</w:t>
      </w:r>
      <w:r>
        <w:t xml:space="preserve"> EC based on molecular class. The full trial results are expected to be published in the near future</w:t>
      </w:r>
      <w:r w:rsidR="00965768">
        <w:t xml:space="preserve"> (personal communication, study authors, 28 August 2025)</w:t>
      </w:r>
      <w:r>
        <w:t xml:space="preserve">. </w:t>
      </w:r>
    </w:p>
    <w:p w14:paraId="1AA9CAAC" w14:textId="4A2B8BE4" w:rsidR="0010770C" w:rsidRDefault="005C0D64" w:rsidP="005C0D64">
      <w:pPr>
        <w:pStyle w:val="Caption"/>
      </w:pPr>
      <w:bookmarkStart w:id="42" w:name="_Ref215734520"/>
      <w:r>
        <w:lastRenderedPageBreak/>
        <w:t xml:space="preserve">Figure </w:t>
      </w:r>
      <w:r>
        <w:fldChar w:fldCharType="begin"/>
      </w:r>
      <w:r>
        <w:instrText>SEQ Figure \* ARABIC</w:instrText>
      </w:r>
      <w:r>
        <w:fldChar w:fldCharType="separate"/>
      </w:r>
      <w:r w:rsidR="00996E6E">
        <w:rPr>
          <w:noProof/>
        </w:rPr>
        <w:t>2</w:t>
      </w:r>
      <w:r>
        <w:fldChar w:fldCharType="end"/>
      </w:r>
      <w:bookmarkEnd w:id="42"/>
      <w:r>
        <w:t xml:space="preserve"> </w:t>
      </w:r>
      <w:r w:rsidR="0010770C">
        <w:t>5-year cumulative incidence of vaginal recurrence and recurrence</w:t>
      </w:r>
      <w:r w:rsidR="001F0E9C">
        <w:t>-</w:t>
      </w:r>
      <w:r w:rsidR="0010770C">
        <w:t>free survival</w:t>
      </w:r>
    </w:p>
    <w:tbl>
      <w:tblPr>
        <w:tblStyle w:val="TableGrid"/>
        <w:tblW w:w="5000" w:type="pct"/>
        <w:tblLook w:val="04A0" w:firstRow="1" w:lastRow="0" w:firstColumn="1" w:lastColumn="0" w:noHBand="0" w:noVBand="1"/>
      </w:tblPr>
      <w:tblGrid>
        <w:gridCol w:w="4513"/>
        <w:gridCol w:w="4513"/>
      </w:tblGrid>
      <w:tr w:rsidR="0010770C" w14:paraId="614CB2CD" w14:textId="77777777">
        <w:tc>
          <w:tcPr>
            <w:tcW w:w="2500" w:type="pct"/>
          </w:tcPr>
          <w:p w14:paraId="7ED0DC1B" w14:textId="77777777" w:rsidR="0010770C" w:rsidRDefault="0010770C">
            <w:r>
              <w:rPr>
                <w:noProof/>
              </w:rPr>
              <w:drawing>
                <wp:inline distT="0" distB="0" distL="0" distR="0" wp14:anchorId="05E7E395" wp14:editId="4701DA60">
                  <wp:extent cx="2757830" cy="2600738"/>
                  <wp:effectExtent l="0" t="0" r="4445" b="9525"/>
                  <wp:docPr id="1894026924" name="Picture 1" descr="A graph of 5-year cumulative incidence of vaginal recurrence vs years since random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26924" name="Picture 1" descr="A graph of 5-year cumulative incidence of vaginal recurrence vs years since randomisation "/>
                          <pic:cNvPicPr/>
                        </pic:nvPicPr>
                        <pic:blipFill>
                          <a:blip r:embed="rId13"/>
                          <a:stretch>
                            <a:fillRect/>
                          </a:stretch>
                        </pic:blipFill>
                        <pic:spPr>
                          <a:xfrm>
                            <a:off x="0" y="0"/>
                            <a:ext cx="2779271" cy="2620957"/>
                          </a:xfrm>
                          <a:prstGeom prst="rect">
                            <a:avLst/>
                          </a:prstGeom>
                        </pic:spPr>
                      </pic:pic>
                    </a:graphicData>
                  </a:graphic>
                </wp:inline>
              </w:drawing>
            </w:r>
          </w:p>
        </w:tc>
        <w:tc>
          <w:tcPr>
            <w:tcW w:w="2500" w:type="pct"/>
          </w:tcPr>
          <w:p w14:paraId="2D98FDC8" w14:textId="77777777" w:rsidR="0010770C" w:rsidRDefault="0010770C">
            <w:r>
              <w:rPr>
                <w:noProof/>
              </w:rPr>
              <w:drawing>
                <wp:inline distT="0" distB="0" distL="0" distR="0" wp14:anchorId="5C3C75BB" wp14:editId="7C546D74">
                  <wp:extent cx="2757805" cy="2571231"/>
                  <wp:effectExtent l="0" t="0" r="4445" b="635"/>
                  <wp:docPr id="708994010" name="Picture 1" descr="A graph of  recurrence-free survival versus years since rando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94010" name="Picture 1" descr="A graph of  recurrence-free survival versus years since randomisation"/>
                          <pic:cNvPicPr/>
                        </pic:nvPicPr>
                        <pic:blipFill>
                          <a:blip r:embed="rId14"/>
                          <a:stretch>
                            <a:fillRect/>
                          </a:stretch>
                        </pic:blipFill>
                        <pic:spPr>
                          <a:xfrm>
                            <a:off x="0" y="0"/>
                            <a:ext cx="2776081" cy="2588271"/>
                          </a:xfrm>
                          <a:prstGeom prst="rect">
                            <a:avLst/>
                          </a:prstGeom>
                        </pic:spPr>
                      </pic:pic>
                    </a:graphicData>
                  </a:graphic>
                </wp:inline>
              </w:drawing>
            </w:r>
          </w:p>
        </w:tc>
      </w:tr>
    </w:tbl>
    <w:p w14:paraId="567457CF" w14:textId="77777777" w:rsidR="0010770C" w:rsidRPr="00C10C68" w:rsidRDefault="0010770C" w:rsidP="0010770C">
      <w:pPr>
        <w:pStyle w:val="TableFooter"/>
        <w:rPr>
          <w:lang w:val="nl-NL"/>
        </w:rPr>
      </w:pPr>
      <w:r w:rsidRPr="00C10C68">
        <w:rPr>
          <w:lang w:val="nl-NL"/>
        </w:rPr>
        <w:t>Abbreviations: VBT = vaginal brachytherapy</w:t>
      </w:r>
    </w:p>
    <w:p w14:paraId="48598B46" w14:textId="7CBA372A" w:rsidR="0010770C" w:rsidRPr="009F2748" w:rsidRDefault="0010770C" w:rsidP="0010770C">
      <w:pPr>
        <w:pStyle w:val="TableFooter"/>
        <w:rPr>
          <w:lang w:val="en-US"/>
        </w:rPr>
      </w:pPr>
      <w:r w:rsidRPr="00C10C68">
        <w:rPr>
          <w:lang w:val="nl-NL"/>
        </w:rPr>
        <w:t xml:space="preserve">Source: </w:t>
      </w:r>
      <w:r w:rsidR="00927223">
        <w:rPr>
          <w:lang w:val="en-US"/>
        </w:rPr>
        <w:fldChar w:fldCharType="begin"/>
      </w:r>
      <w:r w:rsidR="003B4858" w:rsidRPr="00C10C68">
        <w:rPr>
          <w:lang w:val="nl-NL"/>
        </w:rPr>
        <w:instrText xml:space="preserve"> ADDIN EN.CITE &lt;EndNote&gt;&lt;Cite AuthorYear="1"&gt;&lt;Author&gt;van den Heerik&lt;/Author&gt;&lt;Year&gt;2025&lt;/Year&gt;&lt;RecNum&gt;108&lt;/RecNum&gt;&lt;DisplayText&gt;van den Heerik, ASVM et al. (2025)&lt;/DisplayText&gt;&lt;record&gt;&lt;rec-number&gt;108&lt;/rec-number&gt;&lt;foreign-keys&gt;&lt;key app="EN" db-id="09a92a0099vraoeax5e5pxtbdw2xffawra2r" timestamp="1764557061"&gt;108&lt;/key&gt;&lt;/foreign-keys&gt;&lt;ref-type name="Conference Paper"&gt;47&lt;/ref-type&gt;&lt;contributors&gt;&lt;authors&gt;&lt;author&gt;van den Heerik, A.S.V.M&lt;/author&gt;&lt;author&gt;Horeweg, N.&lt;/author&gt;&lt;author&gt;Haverkort, M.A.D.&lt;/author&gt;&lt;author&gt;Kuijsters, N.&lt;/author&gt;&lt;author&gt;Kommoss, S.&lt;/author&gt;&lt;author&gt;Koppe, F.L.A.&lt;/author&gt;&lt;author&gt;Nowee, M.E.&lt;/author&gt;&lt;author&gt;Westerveld, H.&lt;/author&gt;&lt;author&gt;De Jong, M.A.A.&lt;/author&gt;&lt;author&gt;Cibula, D.&lt;/author&gt;&lt;author&gt;Cnossen, J.S.&lt;/author&gt;&lt;author&gt;Mens, J.W.M.&lt;/author&gt;&lt;author&gt;Beukema, J.C.&lt;/author&gt;&lt;author&gt;Chargari, C.&lt;/author&gt;&lt;author&gt;Gillham, C.&lt;/author&gt;&lt;author&gt;Jurgenliemk-Schulz, I.M.&lt;/author&gt;&lt;author&gt;Vandecasteele, K.&lt;/author&gt;&lt;author&gt;Nijman, H.W.&lt;/author&gt;&lt;author&gt;Wortman, B.G.&lt;/author&gt;&lt;author&gt;De Boer, S.M.&lt;/author&gt;&lt;author&gt;Verhoeven-Adema, K.W.&lt;/author&gt;&lt;author&gt;Nout, R.A.&lt;/author&gt;&lt;author&gt;Putter, H.&lt;/author&gt;&lt;author&gt;Bosse, T.&lt;/author&gt;&lt;author&gt;Creutzberg, C. L.&lt;/author&gt;&lt;/authors&gt;&lt;/contributors&gt;&lt;titles&gt;&lt;title&gt;PORTEC-4a; an international randomised trial of molecular profile-based adjuvant treatment for women with high-intermediate risk endometrial cancer&lt;/title&gt;&lt;secondary-title&gt;ESTRO&lt;/secondary-title&gt;&lt;/titles&gt;&lt;pages&gt;S4421-S4422&lt;/pages&gt;&lt;section&gt;5008&lt;/section&gt;&lt;dates&gt;&lt;year&gt;2025&lt;/year&gt;&lt;/dates&gt;&lt;urls&gt;&lt;/urls&gt;&lt;/record&gt;&lt;/Cite&gt;&lt;/EndNote&gt;</w:instrText>
      </w:r>
      <w:r w:rsidR="00927223">
        <w:rPr>
          <w:lang w:val="en-US"/>
        </w:rPr>
        <w:fldChar w:fldCharType="separate"/>
      </w:r>
      <w:r w:rsidR="003B4858" w:rsidRPr="00C10C68">
        <w:rPr>
          <w:lang w:val="nl-NL"/>
        </w:rPr>
        <w:t xml:space="preserve">van den Heerik, ASVM et al. </w:t>
      </w:r>
      <w:r w:rsidR="003B4858">
        <w:rPr>
          <w:noProof/>
          <w:lang w:val="en-US"/>
        </w:rPr>
        <w:t>(2025)</w:t>
      </w:r>
      <w:r w:rsidR="00927223">
        <w:rPr>
          <w:lang w:val="en-US"/>
        </w:rPr>
        <w:fldChar w:fldCharType="end"/>
      </w:r>
      <w:r w:rsidR="00173DF6">
        <w:rPr>
          <w:lang w:val="en-US"/>
        </w:rPr>
        <w:t xml:space="preserve"> </w:t>
      </w:r>
      <w:r w:rsidRPr="009F2748">
        <w:rPr>
          <w:lang w:val="en-US"/>
        </w:rPr>
        <w:t>Figure A and B p4430</w:t>
      </w:r>
    </w:p>
    <w:p w14:paraId="77CE6098" w14:textId="075196D8" w:rsidR="0010770C" w:rsidRPr="00524D19" w:rsidRDefault="0010770C" w:rsidP="00C15501">
      <w:r>
        <w:t xml:space="preserve">Based on the RCTs, </w:t>
      </w:r>
      <w:r w:rsidR="00E7229C">
        <w:t xml:space="preserve">patients with </w:t>
      </w:r>
      <w:r>
        <w:t xml:space="preserve">EC harbouring pathogenic </w:t>
      </w:r>
      <w:r w:rsidRPr="00FC51B0">
        <w:rPr>
          <w:i/>
        </w:rPr>
        <w:t>POL</w:t>
      </w:r>
      <w:r w:rsidRPr="0006674C">
        <w:rPr>
          <w:i/>
        </w:rPr>
        <w:t>E</w:t>
      </w:r>
      <w:r>
        <w:t xml:space="preserve"> variants w</w:t>
      </w:r>
      <w:r w:rsidR="00E7229C">
        <w:t>ere</w:t>
      </w:r>
      <w:r>
        <w:t xml:space="preserve"> consistently shown to have </w:t>
      </w:r>
      <w:r w:rsidR="001F0E9C">
        <w:t xml:space="preserve">a </w:t>
      </w:r>
      <w:r>
        <w:t>more favourable prognosis compared with other molecular classes. Coupled with recent updates to the ESGO-ESTRO-ESP 2025 guidelines</w:t>
      </w:r>
      <w:r w:rsidR="001F0E9C">
        <w:t>,</w:t>
      </w:r>
      <w:r w:rsidR="003C754C">
        <w:fldChar w:fldCharType="begin"/>
      </w:r>
      <w:r w:rsidR="003C754C">
        <w:instrText xml:space="preserve"> NOTEREF _Ref222384373 \f \h </w:instrText>
      </w:r>
      <w:r w:rsidR="003C754C">
        <w:fldChar w:fldCharType="separate"/>
      </w:r>
      <w:r w:rsidR="000B42CB" w:rsidRPr="00E55E34">
        <w:rPr>
          <w:rStyle w:val="FootnoteReference"/>
        </w:rPr>
        <w:t>5</w:t>
      </w:r>
      <w:r w:rsidR="003C754C">
        <w:fldChar w:fldCharType="end"/>
      </w:r>
      <w:r>
        <w:t xml:space="preserve"> it is reasonable to consider that the presence of </w:t>
      </w:r>
      <w:r w:rsidRPr="00836811">
        <w:rPr>
          <w:i/>
        </w:rPr>
        <w:t>POLE</w:t>
      </w:r>
      <w:r>
        <w:t>mut in EC support</w:t>
      </w:r>
      <w:r w:rsidR="001F0E9C">
        <w:t>s</w:t>
      </w:r>
      <w:r>
        <w:t xml:space="preserve"> de-escalation of adjuvant treatment. Adjuvant t</w:t>
      </w:r>
      <w:r w:rsidRPr="00F834DD">
        <w:t xml:space="preserve">reatment recommendations </w:t>
      </w:r>
      <w:r>
        <w:t xml:space="preserve">from other </w:t>
      </w:r>
      <w:r w:rsidRPr="00F834DD">
        <w:t>guidelines</w:t>
      </w:r>
      <w:r>
        <w:t xml:space="preserve"> align</w:t>
      </w:r>
      <w:r w:rsidR="001F0E9C">
        <w:t xml:space="preserve"> with this,</w:t>
      </w:r>
      <w:r>
        <w:t xml:space="preserve"> </w:t>
      </w:r>
      <w:r w:rsidRPr="00F834DD">
        <w:t xml:space="preserve">in that adjuvant therapy is generally not recommended for low-risk EC, a category that includes most </w:t>
      </w:r>
      <w:r w:rsidRPr="00572E78">
        <w:rPr>
          <w:i/>
        </w:rPr>
        <w:t>POLE</w:t>
      </w:r>
      <w:r w:rsidRPr="00F834DD">
        <w:t>mut cases</w:t>
      </w:r>
      <w:r w:rsidR="001F0E9C">
        <w:t>.</w:t>
      </w:r>
      <w:r w:rsidR="00604FB7">
        <w:fldChar w:fldCharType="begin"/>
      </w:r>
      <w:r w:rsidR="00604FB7">
        <w:instrText xml:space="preserve"> NOTEREF _Ref222384464 \f \h </w:instrText>
      </w:r>
      <w:r w:rsidR="00604FB7">
        <w:fldChar w:fldCharType="separate"/>
      </w:r>
      <w:r w:rsidR="000B42CB" w:rsidRPr="00E55E34">
        <w:rPr>
          <w:rStyle w:val="FootnoteReference"/>
        </w:rPr>
        <w:t>4</w:t>
      </w:r>
      <w:r w:rsidR="00604FB7">
        <w:fldChar w:fldCharType="end"/>
      </w:r>
      <w:r w:rsidR="00604FB7" w:rsidRPr="00604FB7">
        <w:rPr>
          <w:vertAlign w:val="superscript"/>
        </w:rPr>
        <w:t>,</w:t>
      </w:r>
      <w:r w:rsidR="00E53F01">
        <w:rPr>
          <w:rStyle w:val="FootnoteReference"/>
        </w:rPr>
        <w:footnoteReference w:id="20"/>
      </w:r>
      <w:r w:rsidR="002C16E5">
        <w:t xml:space="preserve"> </w:t>
      </w:r>
      <w:r>
        <w:t>An independently sourced clinical expert indicated that Australian practice is guided by the ESGO-ESTRO-ESP, ESMO and ASTRO guidelines (</w:t>
      </w:r>
      <w:r w:rsidRPr="00917FA1">
        <w:t xml:space="preserve">personal communication, </w:t>
      </w:r>
      <w:r>
        <w:t>g</w:t>
      </w:r>
      <w:r w:rsidRPr="00917FA1">
        <w:t>ynaecological surgeon, October 2025</w:t>
      </w:r>
      <w:r>
        <w:t xml:space="preserve">), suggesting that changes in the ESGO-ESTRO-ESP guidelines would also influence Australian clinical practice.  </w:t>
      </w:r>
    </w:p>
    <w:p w14:paraId="56E75A7D" w14:textId="6337A2C3" w:rsidR="0070712D" w:rsidRDefault="00BF4600" w:rsidP="009F2748">
      <w:pPr>
        <w:pStyle w:val="Heading4"/>
      </w:pPr>
      <w:r>
        <w:t xml:space="preserve">Linked evidence: </w:t>
      </w:r>
      <w:r w:rsidR="00D616C5">
        <w:t xml:space="preserve">Test </w:t>
      </w:r>
      <w:r w:rsidR="0070712D" w:rsidRPr="00CE28E3">
        <w:t>accuracy</w:t>
      </w:r>
      <w:r w:rsidR="0070712D">
        <w:t xml:space="preserve"> </w:t>
      </w:r>
    </w:p>
    <w:p w14:paraId="3F85FBBA" w14:textId="122C80D0" w:rsidR="00613CB5" w:rsidRDefault="00613CB5" w:rsidP="00613CB5">
      <w:r>
        <w:t xml:space="preserve">All test accuracy studies enrolled patients with EC irrespective of stage and grade. The study designs differed, with 3 retrospective cohort studies and 1 cross sectional study. The studies assessed different PCR methods versus NGS or Sanger sequencing, or </w:t>
      </w:r>
      <w:r w:rsidR="001F0E9C">
        <w:t xml:space="preserve">differences </w:t>
      </w:r>
      <w:r>
        <w:t>between pre</w:t>
      </w:r>
      <w:r w:rsidR="00067CD5">
        <w:t>-</w:t>
      </w:r>
      <w:r>
        <w:t xml:space="preserve">surgical (biopsy or curettage) and post-surgical (hysterectomy) samples. The studies interrogated different regions of the </w:t>
      </w:r>
      <w:r w:rsidRPr="00572E78">
        <w:rPr>
          <w:i/>
        </w:rPr>
        <w:t>POLE</w:t>
      </w:r>
      <w:r>
        <w:t xml:space="preserve"> gene</w:t>
      </w:r>
      <w:r w:rsidR="001F0E9C">
        <w:t xml:space="preserve"> but </w:t>
      </w:r>
      <w:r>
        <w:t xml:space="preserve">consistently included the exonuclease domain, which is associated with pathogenic </w:t>
      </w:r>
      <w:r w:rsidRPr="00572E78">
        <w:rPr>
          <w:i/>
        </w:rPr>
        <w:t>POLE</w:t>
      </w:r>
      <w:r>
        <w:t xml:space="preserve"> </w:t>
      </w:r>
      <w:r w:rsidR="00C65487">
        <w:t>variant</w:t>
      </w:r>
      <w:r>
        <w:t xml:space="preserve">s. </w:t>
      </w:r>
    </w:p>
    <w:p w14:paraId="2486AE74" w14:textId="0DDABFFF" w:rsidR="001A02D8" w:rsidRDefault="007A50B4" w:rsidP="001A02D8">
      <w:r>
        <w:t xml:space="preserve">Across </w:t>
      </w:r>
      <w:r w:rsidR="00FF25ED">
        <w:t xml:space="preserve">the </w:t>
      </w:r>
      <w:r w:rsidR="00756D88">
        <w:t xml:space="preserve">test </w:t>
      </w:r>
      <w:r w:rsidR="00DB1ED0">
        <w:t>accuracy studies</w:t>
      </w:r>
      <w:r w:rsidR="00E42E4F">
        <w:t xml:space="preserve">, </w:t>
      </w:r>
      <w:r w:rsidR="00F642AD">
        <w:t xml:space="preserve">the heterogeneity in methodologies and </w:t>
      </w:r>
      <w:r w:rsidR="007F7EB9">
        <w:t xml:space="preserve">the </w:t>
      </w:r>
      <w:r w:rsidR="00E42E4F">
        <w:t>consistently high sensitivity and specificity</w:t>
      </w:r>
      <w:r w:rsidR="00FF25ED">
        <w:t xml:space="preserve"> </w:t>
      </w:r>
      <w:r w:rsidR="007F7EB9">
        <w:t xml:space="preserve">of the genotyping methods studied </w:t>
      </w:r>
      <w:r w:rsidR="00FF25ED">
        <w:t>(</w:t>
      </w:r>
      <w:r w:rsidR="00FF25ED">
        <w:fldChar w:fldCharType="begin"/>
      </w:r>
      <w:r w:rsidR="00FF25ED">
        <w:instrText xml:space="preserve"> REF _Ref211580265 \h </w:instrText>
      </w:r>
      <w:r w:rsidR="00FF25ED">
        <w:fldChar w:fldCharType="separate"/>
      </w:r>
      <w:r w:rsidR="000B42CB" w:rsidRPr="00F834DD">
        <w:t xml:space="preserve">Table </w:t>
      </w:r>
      <w:r w:rsidR="000B42CB">
        <w:rPr>
          <w:noProof/>
        </w:rPr>
        <w:t>6</w:t>
      </w:r>
      <w:r w:rsidR="00FF25ED">
        <w:fldChar w:fldCharType="end"/>
      </w:r>
      <w:r w:rsidR="00FF25ED">
        <w:t>)</w:t>
      </w:r>
      <w:r w:rsidR="00E42E4F">
        <w:t xml:space="preserve"> support a method</w:t>
      </w:r>
      <w:r w:rsidR="00575F6B">
        <w:t>-</w:t>
      </w:r>
      <w:r w:rsidR="00E42E4F">
        <w:t xml:space="preserve">agnostic approach to the proposed MBS item. </w:t>
      </w:r>
    </w:p>
    <w:p w14:paraId="4FA1E486" w14:textId="3241D1D6" w:rsidR="001A02D8" w:rsidRPr="009F2748" w:rsidRDefault="001A02D8" w:rsidP="001A02D8">
      <w:pPr>
        <w:rPr>
          <w:lang w:val="en-US"/>
        </w:rPr>
      </w:pPr>
      <w:r w:rsidRPr="00F834DD">
        <w:t xml:space="preserve">Risk of bias was generally judged to be low across the </w:t>
      </w:r>
      <w:r w:rsidR="00317E34" w:rsidRPr="00280068">
        <w:t xml:space="preserve">Quality Assessment of Diagnostic Accuracy </w:t>
      </w:r>
      <w:r w:rsidR="00317E34" w:rsidRPr="004B23FD">
        <w:t>Studies</w:t>
      </w:r>
      <w:r w:rsidR="00317E34" w:rsidRPr="00F834DD">
        <w:t xml:space="preserve"> </w:t>
      </w:r>
      <w:r w:rsidR="00317E34">
        <w:t>(</w:t>
      </w:r>
      <w:r w:rsidRPr="00F834DD">
        <w:t>QUADAS</w:t>
      </w:r>
      <w:r w:rsidR="00317E34">
        <w:t>)</w:t>
      </w:r>
      <w:r w:rsidRPr="00F834DD">
        <w:t xml:space="preserve">-2 domains. Where unclear risk </w:t>
      </w:r>
      <w:r w:rsidR="00352402">
        <w:t xml:space="preserve">of bias </w:t>
      </w:r>
      <w:r w:rsidRPr="00F834DD">
        <w:t xml:space="preserve">was identified, </w:t>
      </w:r>
      <w:r>
        <w:t xml:space="preserve">it </w:t>
      </w:r>
      <w:r w:rsidRPr="00F834DD">
        <w:t xml:space="preserve">was primarily due to insufficient reporting </w:t>
      </w:r>
      <w:r w:rsidR="007E3DC3">
        <w:t>with</w:t>
      </w:r>
      <w:r w:rsidRPr="00F834DD">
        <w:t>in the publications</w:t>
      </w:r>
      <w:r w:rsidR="007E3DC3">
        <w:t>,</w:t>
      </w:r>
      <w:r w:rsidR="006C0D5E">
        <w:t xml:space="preserve"> resulting in an</w:t>
      </w:r>
      <w:r>
        <w:t xml:space="preserve"> </w:t>
      </w:r>
      <w:r w:rsidR="00B24226">
        <w:t xml:space="preserve">unclear risk of bias overall. </w:t>
      </w:r>
      <w:r w:rsidR="005B4103">
        <w:t>As a result</w:t>
      </w:r>
      <w:r w:rsidR="00466C63">
        <w:t>,</w:t>
      </w:r>
      <w:r w:rsidR="005B4103">
        <w:t xml:space="preserve"> the overall certainty of evidence was rated as moderate using the </w:t>
      </w:r>
      <w:r w:rsidR="00A31FEC">
        <w:t>Grading of Recommendations, Assessment, Development and Evaluations (</w:t>
      </w:r>
      <w:r w:rsidR="005B4103">
        <w:t>GRADE</w:t>
      </w:r>
      <w:r w:rsidR="00A31FEC">
        <w:t>)</w:t>
      </w:r>
      <w:r w:rsidR="005B4103">
        <w:t xml:space="preserve"> framework. </w:t>
      </w:r>
      <w:r>
        <w:t xml:space="preserve">Despite </w:t>
      </w:r>
      <w:r>
        <w:lastRenderedPageBreak/>
        <w:t>addressing the research question, the applicability of these studies to the Australian context remains uncertain</w:t>
      </w:r>
      <w:r w:rsidR="00821BDA">
        <w:t>,</w:t>
      </w:r>
      <w:r>
        <w:t xml:space="preserve"> as PCR-based </w:t>
      </w:r>
      <w:r w:rsidR="00572E78" w:rsidRPr="00572E78">
        <w:rPr>
          <w:i/>
        </w:rPr>
        <w:t>POLE</w:t>
      </w:r>
      <w:r>
        <w:t xml:space="preserve"> genotyping methods may not be routinely implemented in local laboratories. This </w:t>
      </w:r>
      <w:r w:rsidR="001F0E9C">
        <w:t xml:space="preserve">may </w:t>
      </w:r>
      <w:r>
        <w:t xml:space="preserve">limit the transferability of the findings from </w:t>
      </w:r>
      <w:r w:rsidR="009E52A7">
        <w:fldChar w:fldCharType="begin">
          <w:fldData xml:space="preserve">PEVuZE5vdGU+PENpdGUgQXV0aG9yWWVhcj0iMSI+PEF1dGhvcj5DaGVuPC9BdXRob3I+PFllYXI+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</w:fldData>
        </w:fldChar>
      </w:r>
      <w:r w:rsidR="009E52A7">
        <w:instrText xml:space="preserve"> ADDIN EN.CITE </w:instrText>
      </w:r>
      <w:r w:rsidR="009E52A7">
        <w:fldChar w:fldCharType="begin">
          <w:fldData xml:space="preserve">PEVuZE5vdGU+PENpdGUgQXV0aG9yWWVhcj0iMSI+PEF1dGhvcj5DaGVuPC9BdXRob3I+PFllYXI+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</w:fldData>
        </w:fldChar>
      </w:r>
      <w:r w:rsidR="009E52A7">
        <w:instrText xml:space="preserve"> ADDIN EN.CITE.DATA </w:instrText>
      </w:r>
      <w:r w:rsidR="009E52A7">
        <w:fldChar w:fldCharType="end"/>
      </w:r>
      <w:r w:rsidR="009E52A7">
        <w:fldChar w:fldCharType="separate"/>
      </w:r>
      <w:r w:rsidR="009E52A7">
        <w:t xml:space="preserve">Chen et al. </w:t>
      </w:r>
      <w:r w:rsidR="009E52A7" w:rsidRPr="00C10C68">
        <w:rPr>
          <w:lang w:val="nl-NL"/>
        </w:rPr>
        <w:t>(2024)</w:t>
      </w:r>
      <w:r w:rsidR="009E52A7">
        <w:fldChar w:fldCharType="end"/>
      </w:r>
      <w:r w:rsidRPr="00C10C68">
        <w:rPr>
          <w:lang w:val="nl-NL"/>
        </w:rPr>
        <w:t xml:space="preserve">, </w:t>
      </w:r>
      <w:r w:rsidR="00E84407">
        <w:fldChar w:fldCharType="begin">
          <w:fldData xml:space="preserve">PEVuZE5vdGU+PENpdGUgQXV0aG9yWWVhcj0iMSI+PEF1dGhvcj5WYW4gZGVuIEhlZXJpazwvQXV0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</w:fldData>
        </w:fldChar>
      </w:r>
      <w:r w:rsidR="00354422" w:rsidRPr="00CE0A86">
        <w:rPr>
          <w:lang w:val="nl-NL"/>
        </w:rPr>
        <w:instrText xml:space="preserve"> ADDIN EN.CITE </w:instrText>
      </w:r>
      <w:r w:rsidR="00354422">
        <w:fldChar w:fldCharType="begin">
          <w:fldData xml:space="preserve">PEVuZE5vdGU+PENpdGUgQXV0aG9yWWVhcj0iMSI+PEF1dGhvcj5WYW4gZGVuIEhlZXJpazwvQXV0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</w:fldData>
        </w:fldChar>
      </w:r>
      <w:r w:rsidR="00354422" w:rsidRPr="00CE0A86">
        <w:rPr>
          <w:lang w:val="nl-NL"/>
        </w:rPr>
        <w:instrText xml:space="preserve"> ADDIN EN.CITE.DATA </w:instrText>
      </w:r>
      <w:r w:rsidR="00354422">
        <w:fldChar w:fldCharType="end"/>
      </w:r>
      <w:r w:rsidR="00E84407">
        <w:fldChar w:fldCharType="separate"/>
      </w:r>
      <w:r w:rsidR="00354422" w:rsidRPr="00354422">
        <w:rPr>
          <w:noProof/>
          <w:lang w:val="nl-NL"/>
        </w:rPr>
        <w:t>Van den Heerik, A et al. (2023)</w:t>
      </w:r>
      <w:r w:rsidR="00E84407">
        <w:fldChar w:fldCharType="end"/>
      </w:r>
      <w:r w:rsidR="00E84407" w:rsidRPr="00C10C68">
        <w:rPr>
          <w:lang w:val="nl-NL"/>
        </w:rPr>
        <w:t xml:space="preserve"> </w:t>
      </w:r>
      <w:r w:rsidRPr="00C10C68">
        <w:rPr>
          <w:lang w:val="nl-NL"/>
        </w:rPr>
        <w:t xml:space="preserve">and </w:t>
      </w:r>
      <w:r w:rsidR="009E52A7">
        <w:fldChar w:fldCharType="begin">
          <w:fldData xml:space="preserve">PEVuZE5vdGU+PENpdGUgQXV0aG9yWWVhcj0iMSI+PEF1dGhvcj5LaW08L0F1dGhvcj48WWVhcj4y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</w:fldData>
        </w:fldChar>
      </w:r>
      <w:r w:rsidR="009E52A7" w:rsidRPr="00C10C68">
        <w:rPr>
          <w:lang w:val="nl-NL"/>
        </w:rPr>
        <w:instrText xml:space="preserve"> ADDIN EN.CITE </w:instrText>
      </w:r>
      <w:r w:rsidR="009E52A7">
        <w:fldChar w:fldCharType="begin">
          <w:fldData xml:space="preserve">PEVuZE5vdGU+PENpdGUgQXV0aG9yWWVhcj0iMSI+PEF1dGhvcj5LaW08L0F1dGhvcj48WWVhcj4y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</w:fldData>
        </w:fldChar>
      </w:r>
      <w:r w:rsidR="009E52A7" w:rsidRPr="00C10C68">
        <w:rPr>
          <w:lang w:val="nl-NL"/>
        </w:rPr>
        <w:instrText xml:space="preserve"> ADDIN EN.CITE.DATA </w:instrText>
      </w:r>
      <w:r w:rsidR="009E52A7">
        <w:fldChar w:fldCharType="end"/>
      </w:r>
      <w:r w:rsidR="009E52A7">
        <w:fldChar w:fldCharType="separate"/>
      </w:r>
      <w:r w:rsidR="009E52A7" w:rsidRPr="00C10C68">
        <w:rPr>
          <w:lang w:val="nl-NL"/>
        </w:rPr>
        <w:t xml:space="preserve">Kim et al. </w:t>
      </w:r>
      <w:r w:rsidR="009E52A7">
        <w:t>(2022)</w:t>
      </w:r>
      <w:r w:rsidR="009E52A7">
        <w:fldChar w:fldCharType="end"/>
      </w:r>
      <w:r>
        <w:t xml:space="preserve">. </w:t>
      </w:r>
      <w:r w:rsidR="009764D5">
        <w:t xml:space="preserve">Nevertheless, </w:t>
      </w:r>
      <w:r w:rsidR="003738A7">
        <w:t xml:space="preserve">a targeted consultation </w:t>
      </w:r>
      <w:r w:rsidR="001F0E9C">
        <w:t>with</w:t>
      </w:r>
      <w:r w:rsidR="003738A7">
        <w:t xml:space="preserve"> key groups and organisations about the position of </w:t>
      </w:r>
      <w:r w:rsidR="003738A7" w:rsidRPr="00836811">
        <w:rPr>
          <w:i/>
        </w:rPr>
        <w:t>POLE</w:t>
      </w:r>
      <w:r w:rsidR="003738A7">
        <w:t xml:space="preserve"> genotyping and methodologies used in Australia indicated there is no single approach regarding </w:t>
      </w:r>
      <w:r w:rsidR="00E56E29">
        <w:t xml:space="preserve">the </w:t>
      </w:r>
      <w:r w:rsidR="00173DF6">
        <w:t>use</w:t>
      </w:r>
      <w:r w:rsidR="00E56E29">
        <w:t xml:space="preserve"> of </w:t>
      </w:r>
      <w:r w:rsidR="00E56E29" w:rsidRPr="00836811">
        <w:rPr>
          <w:i/>
        </w:rPr>
        <w:t>POLE</w:t>
      </w:r>
      <w:r w:rsidR="00E56E29">
        <w:t xml:space="preserve"> genotyping or the methodologies used. </w:t>
      </w:r>
    </w:p>
    <w:p w14:paraId="58B0D303" w14:textId="64AAF7EA" w:rsidR="00926C94" w:rsidRPr="00F834DD" w:rsidRDefault="00926C94" w:rsidP="00926C94">
      <w:pPr>
        <w:pStyle w:val="Caption"/>
      </w:pPr>
      <w:bookmarkStart w:id="43" w:name="_Ref211580265"/>
      <w:r w:rsidRPr="00F834DD">
        <w:t xml:space="preserve">Table </w:t>
      </w:r>
      <w:r>
        <w:fldChar w:fldCharType="begin"/>
      </w:r>
      <w:r>
        <w:instrText>SEQ Table \* ARABIC</w:instrText>
      </w:r>
      <w:r>
        <w:fldChar w:fldCharType="separate"/>
      </w:r>
      <w:r w:rsidR="00996E6E">
        <w:rPr>
          <w:noProof/>
        </w:rPr>
        <w:t>6</w:t>
      </w:r>
      <w:r>
        <w:fldChar w:fldCharType="end"/>
      </w:r>
      <w:bookmarkEnd w:id="43"/>
      <w:r w:rsidRPr="00F834DD">
        <w:t xml:space="preserve"> Quality of evidence for diagnostic accuracy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6"/>
        <w:gridCol w:w="2446"/>
        <w:gridCol w:w="3462"/>
        <w:gridCol w:w="1872"/>
      </w:tblGrid>
      <w:tr w:rsidR="00926C94" w:rsidRPr="00F834DD" w14:paraId="701730F6" w14:textId="77777777" w:rsidTr="008C59E7">
        <w:trPr>
          <w:trHeight w:val="227"/>
          <w:tblHeader/>
        </w:trPr>
        <w:tc>
          <w:tcPr>
            <w:tcW w:w="685" w:type="pct"/>
            <w:shd w:val="clear" w:color="auto" w:fill="F2F2F2" w:themeFill="background1" w:themeFillShade="F2"/>
            <w:tcMar>
              <w:top w:w="0" w:type="dxa"/>
              <w:left w:w="57" w:type="dxa"/>
              <w:bottom w:w="0" w:type="dxa"/>
              <w:right w:w="57" w:type="dxa"/>
            </w:tcMar>
            <w:hideMark/>
          </w:tcPr>
          <w:p w14:paraId="129C1221" w14:textId="77777777" w:rsidR="00926C94" w:rsidRPr="00F834DD" w:rsidRDefault="00926C94" w:rsidP="002C3A2E">
            <w:pPr>
              <w:pStyle w:val="Tableheading1"/>
              <w:keepNext/>
            </w:pPr>
            <w:r w:rsidRPr="00F834DD">
              <w:t>Study</w:t>
            </w:r>
          </w:p>
        </w:tc>
        <w:tc>
          <w:tcPr>
            <w:tcW w:w="1356" w:type="pct"/>
            <w:shd w:val="clear" w:color="auto" w:fill="F2F2F2" w:themeFill="background1" w:themeFillShade="F2"/>
            <w:tcMar>
              <w:top w:w="0" w:type="dxa"/>
              <w:left w:w="57" w:type="dxa"/>
              <w:bottom w:w="0" w:type="dxa"/>
              <w:right w:w="57" w:type="dxa"/>
            </w:tcMar>
          </w:tcPr>
          <w:p w14:paraId="04B2AD47" w14:textId="1007452B" w:rsidR="00DB1ED0" w:rsidRDefault="00DB1ED0" w:rsidP="002C3A2E">
            <w:pPr>
              <w:pStyle w:val="Tableheading1"/>
              <w:keepNext/>
            </w:pPr>
            <w:r>
              <w:t>Index/reference tests</w:t>
            </w:r>
          </w:p>
        </w:tc>
        <w:tc>
          <w:tcPr>
            <w:tcW w:w="1920" w:type="pct"/>
            <w:shd w:val="clear" w:color="auto" w:fill="F2F2F2" w:themeFill="background1" w:themeFillShade="F2"/>
            <w:tcMar>
              <w:top w:w="0" w:type="dxa"/>
              <w:left w:w="57" w:type="dxa"/>
              <w:bottom w:w="0" w:type="dxa"/>
              <w:right w:w="57" w:type="dxa"/>
            </w:tcMar>
          </w:tcPr>
          <w:p w14:paraId="08702F05" w14:textId="67AD76C7" w:rsidR="00926C94" w:rsidRPr="00F834DD" w:rsidRDefault="00926C94" w:rsidP="002C3A2E">
            <w:pPr>
              <w:pStyle w:val="Tableheading1"/>
              <w:keepNext/>
            </w:pPr>
            <w:r w:rsidRPr="00F834DD">
              <w:t>Results</w:t>
            </w:r>
          </w:p>
        </w:tc>
        <w:tc>
          <w:tcPr>
            <w:tcW w:w="1038" w:type="pct"/>
            <w:shd w:val="clear" w:color="auto" w:fill="F2F2F2" w:themeFill="background1" w:themeFillShade="F2"/>
            <w:tcMar>
              <w:top w:w="0" w:type="dxa"/>
              <w:left w:w="57" w:type="dxa"/>
              <w:bottom w:w="0" w:type="dxa"/>
              <w:right w:w="57" w:type="dxa"/>
            </w:tcMar>
          </w:tcPr>
          <w:p w14:paraId="52C87AAD" w14:textId="5934ED21" w:rsidR="00926C94" w:rsidRPr="00F834DD" w:rsidRDefault="00926C94" w:rsidP="002C3A2E">
            <w:pPr>
              <w:pStyle w:val="Tableheading1"/>
              <w:keepNext/>
            </w:pPr>
            <w:r w:rsidRPr="00F834DD">
              <w:t xml:space="preserve">Quality of evidence using </w:t>
            </w:r>
            <w:r w:rsidR="004E76C8">
              <w:t>GRADE</w:t>
            </w:r>
          </w:p>
        </w:tc>
      </w:tr>
      <w:tr w:rsidR="00926C94" w:rsidRPr="00F834DD" w14:paraId="4516E4BE" w14:textId="77777777" w:rsidTr="008C59E7">
        <w:trPr>
          <w:trHeight w:val="227"/>
        </w:trPr>
        <w:tc>
          <w:tcPr>
            <w:tcW w:w="685" w:type="pct"/>
            <w:tcMar>
              <w:top w:w="0" w:type="dxa"/>
              <w:left w:w="57" w:type="dxa"/>
              <w:bottom w:w="0" w:type="dxa"/>
              <w:right w:w="57" w:type="dxa"/>
            </w:tcMar>
          </w:tcPr>
          <w:p w14:paraId="44BE3FB5" w14:textId="1C045DAD" w:rsidR="00926C94" w:rsidRPr="00F834DD" w:rsidRDefault="00926C94" w:rsidP="002C3A2E">
            <w:pPr>
              <w:pStyle w:val="Tabletext0"/>
              <w:keepNext/>
            </w:pPr>
            <w:r w:rsidRPr="00F834DD">
              <w:t>Chen 2024</w:t>
            </w:r>
            <w:r w:rsidR="005F7E06">
              <w:rPr>
                <w:vertAlign w:val="superscript"/>
              </w:rPr>
              <w:fldChar w:fldCharType="begin"/>
            </w:r>
            <w:r w:rsidR="005F7E06">
              <w:rPr>
                <w:vertAlign w:val="superscript"/>
              </w:rPr>
              <w:instrText xml:space="preserve"> NOTEREF _Ref222382964 \f \h </w:instrText>
            </w:r>
            <w:r w:rsidR="005F7E06">
              <w:rPr>
                <w:vertAlign w:val="superscript"/>
              </w:rPr>
            </w:r>
            <w:r w:rsidR="005F7E06">
              <w:rPr>
                <w:vertAlign w:val="superscript"/>
              </w:rPr>
              <w:fldChar w:fldCharType="separate"/>
            </w:r>
            <w:r w:rsidR="000B42CB" w:rsidRPr="00E55E34">
              <w:rPr>
                <w:rStyle w:val="FootnoteReference"/>
              </w:rPr>
              <w:t>6</w:t>
            </w:r>
            <w:r w:rsidR="005F7E06">
              <w:rPr>
                <w:vertAlign w:val="superscript"/>
              </w:rPr>
              <w:fldChar w:fldCharType="end"/>
            </w:r>
          </w:p>
        </w:tc>
        <w:tc>
          <w:tcPr>
            <w:tcW w:w="1356" w:type="pct"/>
            <w:tcMar>
              <w:top w:w="0" w:type="dxa"/>
              <w:left w:w="57" w:type="dxa"/>
              <w:bottom w:w="0" w:type="dxa"/>
              <w:right w:w="57" w:type="dxa"/>
            </w:tcMar>
          </w:tcPr>
          <w:p w14:paraId="75955283" w14:textId="7DB5C091" w:rsidR="00171362" w:rsidRPr="00F834DD" w:rsidRDefault="00171362" w:rsidP="002C3A2E">
            <w:pPr>
              <w:pStyle w:val="Tabletext0"/>
              <w:keepNext/>
              <w:rPr>
                <w:rStyle w:val="effect"/>
              </w:rPr>
            </w:pPr>
            <w:r w:rsidRPr="00F834DD">
              <w:rPr>
                <w:rStyle w:val="effect"/>
              </w:rPr>
              <w:t>PCR</w:t>
            </w:r>
            <w:r>
              <w:rPr>
                <w:rStyle w:val="effect"/>
              </w:rPr>
              <w:t>/</w:t>
            </w:r>
            <w:r w:rsidRPr="00F834DD">
              <w:rPr>
                <w:rStyle w:val="effect"/>
              </w:rPr>
              <w:t>NGS</w:t>
            </w:r>
          </w:p>
        </w:tc>
        <w:tc>
          <w:tcPr>
            <w:tcW w:w="1920" w:type="pct"/>
            <w:tcMar>
              <w:top w:w="0" w:type="dxa"/>
              <w:left w:w="57" w:type="dxa"/>
              <w:bottom w:w="0" w:type="dxa"/>
              <w:right w:w="57" w:type="dxa"/>
            </w:tcMar>
          </w:tcPr>
          <w:p w14:paraId="519EE3C9" w14:textId="1F88696F" w:rsidR="00926C94" w:rsidRPr="00F834DD" w:rsidRDefault="00926C94" w:rsidP="002C3A2E">
            <w:pPr>
              <w:pStyle w:val="Tabletext0"/>
              <w:keepNext/>
            </w:pPr>
            <w:r w:rsidRPr="00F834DD">
              <w:t>Specificity: 0.993 (95% CI: 0.</w:t>
            </w:r>
            <w:r>
              <w:t>9761, 0.9982</w:t>
            </w:r>
            <w:r w:rsidRPr="00F834DD">
              <w:t>)</w:t>
            </w:r>
            <w:r w:rsidR="000E1100" w:rsidRPr="000E1100">
              <w:rPr>
                <w:vertAlign w:val="superscript"/>
              </w:rPr>
              <w:t>a</w:t>
            </w:r>
          </w:p>
          <w:p w14:paraId="57957879" w14:textId="7DBCA9DD" w:rsidR="00926C94" w:rsidRPr="00F834DD" w:rsidRDefault="00926C94" w:rsidP="002C3A2E">
            <w:pPr>
              <w:pStyle w:val="Tabletext0"/>
              <w:keepNext/>
            </w:pPr>
            <w:r w:rsidRPr="00F834DD">
              <w:t>Sensitivity: 1</w:t>
            </w:r>
            <w:r w:rsidR="007E1EC2">
              <w:t>.000</w:t>
            </w:r>
            <w:r>
              <w:t xml:space="preserve"> (95% CI: 0.9434, 1</w:t>
            </w:r>
            <w:r w:rsidR="007E1EC2">
              <w:t>.0000</w:t>
            </w:r>
            <w:r>
              <w:t>)</w:t>
            </w:r>
            <w:r w:rsidR="000E1100" w:rsidRPr="000E1100">
              <w:rPr>
                <w:vertAlign w:val="superscript"/>
              </w:rPr>
              <w:t>a</w:t>
            </w:r>
          </w:p>
          <w:p w14:paraId="1C3BADB9" w14:textId="711A6E7C" w:rsidR="00926C94" w:rsidRPr="00F834DD" w:rsidRDefault="00926C94" w:rsidP="002C3A2E">
            <w:pPr>
              <w:pStyle w:val="Tabletext0"/>
              <w:keepNext/>
            </w:pPr>
            <w:r w:rsidRPr="00F834DD">
              <w:t>NPV: 1</w:t>
            </w:r>
            <w:r w:rsidR="007E1EC2">
              <w:t>.000</w:t>
            </w:r>
          </w:p>
          <w:p w14:paraId="38845E09" w14:textId="77777777" w:rsidR="00926C94" w:rsidRPr="00F834DD" w:rsidRDefault="00926C94" w:rsidP="002C3A2E">
            <w:pPr>
              <w:pStyle w:val="Tabletext0"/>
              <w:keepNext/>
            </w:pPr>
            <w:r w:rsidRPr="00F834DD">
              <w:t>PPV: 0.970</w:t>
            </w:r>
          </w:p>
        </w:tc>
        <w:tc>
          <w:tcPr>
            <w:tcW w:w="1038" w:type="pct"/>
            <w:tcMar>
              <w:top w:w="0" w:type="dxa"/>
              <w:left w:w="57" w:type="dxa"/>
              <w:bottom w:w="0" w:type="dxa"/>
              <w:right w:w="57" w:type="dxa"/>
            </w:tcMar>
          </w:tcPr>
          <w:p w14:paraId="49185237" w14:textId="77777777" w:rsidR="00926C94" w:rsidRPr="00F834DD" w:rsidRDefault="00926C94" w:rsidP="002C3A2E">
            <w:pPr>
              <w:pStyle w:val="Tabletext0"/>
              <w:keepNext/>
              <w:rPr>
                <w:rStyle w:val="quality-sign"/>
              </w:rPr>
            </w:pPr>
            <w:r w:rsidRPr="00093C08">
              <w:rPr>
                <w:rFonts w:ascii="Cambria Math" w:hAnsi="Cambria Math"/>
                <w:color w:val="006100"/>
              </w:rPr>
              <w:t>⨁⨁⨁</w:t>
            </w:r>
            <w:r w:rsidRPr="00CE28E3">
              <w:rPr>
                <w:rFonts w:ascii="Cambria Math" w:hAnsi="Cambria Math" w:cs="Cambria Math"/>
                <w:color w:val="C00000"/>
              </w:rPr>
              <w:t>⨀</w:t>
            </w:r>
            <w:r w:rsidRPr="00F834DD">
              <w:br/>
              <w:t>Moderate</w:t>
            </w:r>
          </w:p>
        </w:tc>
      </w:tr>
      <w:tr w:rsidR="00926C94" w:rsidRPr="00F834DD" w14:paraId="6CCCFBC6" w14:textId="77777777" w:rsidTr="008C59E7">
        <w:trPr>
          <w:trHeight w:val="227"/>
        </w:trPr>
        <w:tc>
          <w:tcPr>
            <w:tcW w:w="685" w:type="pct"/>
            <w:tcMar>
              <w:top w:w="0" w:type="dxa"/>
              <w:left w:w="57" w:type="dxa"/>
              <w:bottom w:w="0" w:type="dxa"/>
              <w:right w:w="57" w:type="dxa"/>
            </w:tcMar>
            <w:hideMark/>
          </w:tcPr>
          <w:p w14:paraId="1A5221EB" w14:textId="6E8A66A0" w:rsidR="00926C94" w:rsidRPr="00F834DD" w:rsidRDefault="00926C94" w:rsidP="00575F6B">
            <w:pPr>
              <w:pStyle w:val="Tabletext0"/>
              <w:keepNext/>
              <w:jc w:val="left"/>
            </w:pPr>
            <w:r w:rsidRPr="00F834DD">
              <w:t>Van den Heerik 2023</w:t>
            </w:r>
            <w:r w:rsidR="00562FC9" w:rsidRPr="009F2748">
              <w:rPr>
                <w:vertAlign w:val="superscript"/>
              </w:rPr>
              <w:fldChar w:fldCharType="begin"/>
            </w:r>
            <w:r w:rsidR="00562FC9" w:rsidRPr="009F2748">
              <w:rPr>
                <w:vertAlign w:val="superscript"/>
              </w:rPr>
              <w:instrText xml:space="preserve"> NOTEREF _Ref215208546 \h </w:instrText>
            </w:r>
            <w:r w:rsidR="00562FC9" w:rsidRPr="00E73146">
              <w:rPr>
                <w:vertAlign w:val="superscript"/>
              </w:rPr>
              <w:instrText xml:space="preserve"> </w:instrText>
            </w:r>
            <w:r w:rsidR="00562FC9">
              <w:rPr>
                <w:vertAlign w:val="superscript"/>
              </w:rPr>
              <w:instrText xml:space="preserve">\* MERGEFORMAT </w:instrText>
            </w:r>
            <w:r w:rsidR="00562FC9" w:rsidRPr="009F2748">
              <w:rPr>
                <w:vertAlign w:val="superscript"/>
              </w:rPr>
            </w:r>
            <w:r w:rsidR="00562FC9" w:rsidRPr="009F2748">
              <w:rPr>
                <w:vertAlign w:val="superscript"/>
              </w:rPr>
              <w:fldChar w:fldCharType="separate"/>
            </w:r>
            <w:r w:rsidR="000B42CB">
              <w:rPr>
                <w:vertAlign w:val="superscript"/>
              </w:rPr>
              <w:t>7</w:t>
            </w:r>
            <w:r w:rsidR="00562FC9" w:rsidRPr="009F2748">
              <w:rPr>
                <w:vertAlign w:val="superscript"/>
              </w:rPr>
              <w:fldChar w:fldCharType="end"/>
            </w:r>
          </w:p>
        </w:tc>
        <w:tc>
          <w:tcPr>
            <w:tcW w:w="1356" w:type="pct"/>
            <w:tcMar>
              <w:top w:w="0" w:type="dxa"/>
              <w:left w:w="57" w:type="dxa"/>
              <w:bottom w:w="0" w:type="dxa"/>
              <w:right w:w="57" w:type="dxa"/>
            </w:tcMar>
          </w:tcPr>
          <w:p w14:paraId="3EE7B1FD" w14:textId="77777777" w:rsidR="00171362" w:rsidRDefault="00171362" w:rsidP="00575F6B">
            <w:pPr>
              <w:pStyle w:val="Tabletext0"/>
              <w:keepNext/>
              <w:jc w:val="left"/>
            </w:pPr>
            <w:r w:rsidRPr="00F834DD">
              <w:t>qPCR</w:t>
            </w:r>
            <w:r>
              <w:t>/NGS</w:t>
            </w:r>
          </w:p>
          <w:p w14:paraId="3B2C9CC0" w14:textId="652198EB" w:rsidR="00171362" w:rsidRPr="00F834DD" w:rsidRDefault="00A35256" w:rsidP="00575F6B">
            <w:pPr>
              <w:pStyle w:val="Tabletext0"/>
              <w:keepNext/>
              <w:jc w:val="left"/>
            </w:pPr>
            <w:r>
              <w:t>Equivocal</w:t>
            </w:r>
            <w:r w:rsidR="00171362">
              <w:t xml:space="preserve"> results were </w:t>
            </w:r>
            <w:r w:rsidR="000468F1">
              <w:t xml:space="preserve">sequenced by </w:t>
            </w:r>
            <w:r w:rsidR="00171362">
              <w:t xml:space="preserve">NGS or Sanger </w:t>
            </w:r>
          </w:p>
        </w:tc>
        <w:tc>
          <w:tcPr>
            <w:tcW w:w="1920" w:type="pct"/>
            <w:tcMar>
              <w:top w:w="0" w:type="dxa"/>
              <w:left w:w="57" w:type="dxa"/>
              <w:bottom w:w="0" w:type="dxa"/>
              <w:right w:w="57" w:type="dxa"/>
            </w:tcMar>
          </w:tcPr>
          <w:p w14:paraId="5BEC067E" w14:textId="5BF0AD13" w:rsidR="00926C94" w:rsidRPr="00F834DD" w:rsidRDefault="00926C94" w:rsidP="002C3A2E">
            <w:pPr>
              <w:pStyle w:val="Tabletext0"/>
              <w:keepNext/>
            </w:pPr>
            <w:r w:rsidRPr="00F834DD">
              <w:t>Accuracy: 0.986 (95% CI: 0.972, 0.999)</w:t>
            </w:r>
          </w:p>
          <w:p w14:paraId="08C1EC9D" w14:textId="3D7F904F" w:rsidR="00926C94" w:rsidRPr="00F834DD" w:rsidRDefault="00926C94" w:rsidP="002C3A2E">
            <w:pPr>
              <w:pStyle w:val="Tabletext0"/>
              <w:keepNext/>
            </w:pPr>
            <w:r w:rsidRPr="00F834DD">
              <w:t>Specificity: 1</w:t>
            </w:r>
            <w:r w:rsidR="007E1EC2">
              <w:t>.000</w:t>
            </w:r>
          </w:p>
          <w:p w14:paraId="129EF889" w14:textId="77777777" w:rsidR="00926C94" w:rsidRPr="00F834DD" w:rsidRDefault="00926C94" w:rsidP="002C3A2E">
            <w:pPr>
              <w:pStyle w:val="Tabletext0"/>
              <w:keepNext/>
            </w:pPr>
            <w:r w:rsidRPr="00F834DD">
              <w:t>Sensitivity: 0.952 (95% CI: 0.907, 0.998)</w:t>
            </w:r>
          </w:p>
        </w:tc>
        <w:tc>
          <w:tcPr>
            <w:tcW w:w="1038" w:type="pct"/>
            <w:tcMar>
              <w:top w:w="0" w:type="dxa"/>
              <w:left w:w="57" w:type="dxa"/>
              <w:bottom w:w="0" w:type="dxa"/>
              <w:right w:w="57" w:type="dxa"/>
            </w:tcMar>
            <w:hideMark/>
          </w:tcPr>
          <w:p w14:paraId="77B16DC4" w14:textId="77777777" w:rsidR="00926C94" w:rsidRPr="00F834DD" w:rsidRDefault="00926C94" w:rsidP="002C3A2E">
            <w:pPr>
              <w:pStyle w:val="Tabletext0"/>
              <w:keepNext/>
            </w:pPr>
            <w:r w:rsidRPr="00093C08">
              <w:rPr>
                <w:rFonts w:ascii="Cambria Math" w:hAnsi="Cambria Math"/>
                <w:color w:val="006100"/>
              </w:rPr>
              <w:t>⨁⨁⨁</w:t>
            </w:r>
            <w:r w:rsidRPr="00CE28E3">
              <w:rPr>
                <w:rFonts w:ascii="Cambria Math" w:hAnsi="Cambria Math" w:cs="Cambria Math"/>
                <w:color w:val="C00000"/>
              </w:rPr>
              <w:t>⨀</w:t>
            </w:r>
            <w:r w:rsidRPr="00F834DD">
              <w:br/>
            </w:r>
            <w:r w:rsidRPr="00F834DD">
              <w:rPr>
                <w:rStyle w:val="quality-text"/>
              </w:rPr>
              <w:t>Moderate</w:t>
            </w:r>
          </w:p>
        </w:tc>
      </w:tr>
      <w:tr w:rsidR="00926C94" w:rsidRPr="00F834DD" w14:paraId="5D904E62" w14:textId="77777777" w:rsidTr="008C59E7">
        <w:trPr>
          <w:trHeight w:val="227"/>
        </w:trPr>
        <w:tc>
          <w:tcPr>
            <w:tcW w:w="685" w:type="pct"/>
            <w:tcMar>
              <w:top w:w="0" w:type="dxa"/>
              <w:left w:w="57" w:type="dxa"/>
              <w:bottom w:w="0" w:type="dxa"/>
              <w:right w:w="57" w:type="dxa"/>
            </w:tcMar>
          </w:tcPr>
          <w:p w14:paraId="0EE3D9A3" w14:textId="4E8FEB7B" w:rsidR="00926C94" w:rsidRPr="00F834DD" w:rsidRDefault="00926C94" w:rsidP="002C3A2E">
            <w:pPr>
              <w:pStyle w:val="Tabletext0"/>
              <w:keepNext/>
            </w:pPr>
            <w:r w:rsidRPr="00F834DD">
              <w:t xml:space="preserve">Kim </w:t>
            </w:r>
            <w:r w:rsidR="00466C63">
              <w:t>2022</w:t>
            </w:r>
            <w:r w:rsidR="00562FC9" w:rsidRPr="009F2748">
              <w:rPr>
                <w:vertAlign w:val="superscript"/>
              </w:rPr>
              <w:fldChar w:fldCharType="begin"/>
            </w:r>
            <w:r w:rsidR="00562FC9" w:rsidRPr="009F2748">
              <w:rPr>
                <w:vertAlign w:val="superscript"/>
              </w:rPr>
              <w:instrText xml:space="preserve"> NOTEREF _Ref215208557 \h </w:instrText>
            </w:r>
            <w:r w:rsidR="00562FC9" w:rsidRPr="00E73146">
              <w:rPr>
                <w:vertAlign w:val="superscript"/>
              </w:rPr>
              <w:instrText xml:space="preserve"> </w:instrText>
            </w:r>
            <w:r w:rsidR="00562FC9">
              <w:rPr>
                <w:vertAlign w:val="superscript"/>
              </w:rPr>
              <w:instrText xml:space="preserve">\* MERGEFORMAT </w:instrText>
            </w:r>
            <w:r w:rsidR="00562FC9" w:rsidRPr="009F2748">
              <w:rPr>
                <w:vertAlign w:val="superscript"/>
              </w:rPr>
            </w:r>
            <w:r w:rsidR="00562FC9" w:rsidRPr="009F2748">
              <w:rPr>
                <w:vertAlign w:val="superscript"/>
              </w:rPr>
              <w:fldChar w:fldCharType="separate"/>
            </w:r>
            <w:r w:rsidR="000B42CB">
              <w:rPr>
                <w:vertAlign w:val="superscript"/>
              </w:rPr>
              <w:t>8</w:t>
            </w:r>
            <w:r w:rsidR="00562FC9" w:rsidRPr="009F2748">
              <w:rPr>
                <w:vertAlign w:val="superscript"/>
              </w:rPr>
              <w:fldChar w:fldCharType="end"/>
            </w:r>
          </w:p>
        </w:tc>
        <w:tc>
          <w:tcPr>
            <w:tcW w:w="1356" w:type="pct"/>
            <w:tcMar>
              <w:top w:w="0" w:type="dxa"/>
              <w:left w:w="57" w:type="dxa"/>
              <w:bottom w:w="0" w:type="dxa"/>
              <w:right w:w="57" w:type="dxa"/>
            </w:tcMar>
          </w:tcPr>
          <w:p w14:paraId="397529DB" w14:textId="77777777" w:rsidR="00171362" w:rsidRDefault="00171362" w:rsidP="00575F6B">
            <w:pPr>
              <w:pStyle w:val="Tabletext0"/>
              <w:keepNext/>
              <w:jc w:val="left"/>
              <w:rPr>
                <w:rStyle w:val="effect"/>
              </w:rPr>
            </w:pPr>
            <w:r w:rsidRPr="00F834DD">
              <w:rPr>
                <w:rStyle w:val="effect"/>
              </w:rPr>
              <w:t>ddPCR</w:t>
            </w:r>
            <w:r>
              <w:rPr>
                <w:rStyle w:val="effect"/>
              </w:rPr>
              <w:t>/</w:t>
            </w:r>
            <w:r w:rsidRPr="00F834DD">
              <w:rPr>
                <w:rStyle w:val="effect"/>
              </w:rPr>
              <w:t>Sanger sequencing</w:t>
            </w:r>
          </w:p>
          <w:p w14:paraId="634ACFA6" w14:textId="70C95E69" w:rsidR="00171362" w:rsidRPr="00F834DD" w:rsidRDefault="00171362" w:rsidP="00575F6B">
            <w:pPr>
              <w:pStyle w:val="Tabletext0"/>
              <w:keepNext/>
              <w:jc w:val="left"/>
              <w:rPr>
                <w:rStyle w:val="effect"/>
              </w:rPr>
            </w:pPr>
            <w:r>
              <w:t>Discordant results were retested using NGS</w:t>
            </w:r>
          </w:p>
        </w:tc>
        <w:tc>
          <w:tcPr>
            <w:tcW w:w="1920" w:type="pct"/>
            <w:tcMar>
              <w:top w:w="0" w:type="dxa"/>
              <w:left w:w="57" w:type="dxa"/>
              <w:bottom w:w="0" w:type="dxa"/>
              <w:right w:w="57" w:type="dxa"/>
            </w:tcMar>
          </w:tcPr>
          <w:p w14:paraId="19806048" w14:textId="6D204508" w:rsidR="00926C94" w:rsidRPr="00F834DD" w:rsidRDefault="00F521B2" w:rsidP="00575F6B">
            <w:pPr>
              <w:pStyle w:val="Tabletext0"/>
              <w:keepNext/>
              <w:jc w:val="left"/>
            </w:pPr>
            <w:r w:rsidRPr="00DB2F6A">
              <w:rPr>
                <w:rStyle w:val="effect"/>
              </w:rPr>
              <w:t>Approximately 30% of samples were discordant between ddPCR and Sanger</w:t>
            </w:r>
          </w:p>
        </w:tc>
        <w:tc>
          <w:tcPr>
            <w:tcW w:w="1038" w:type="pct"/>
            <w:tcMar>
              <w:top w:w="0" w:type="dxa"/>
              <w:left w:w="57" w:type="dxa"/>
              <w:bottom w:w="0" w:type="dxa"/>
              <w:right w:w="57" w:type="dxa"/>
            </w:tcMar>
          </w:tcPr>
          <w:p w14:paraId="6CFA68B8" w14:textId="77777777" w:rsidR="00926C94" w:rsidRPr="00F834DD" w:rsidRDefault="00926C94" w:rsidP="002C3A2E">
            <w:pPr>
              <w:pStyle w:val="Tabletext0"/>
              <w:keepNext/>
            </w:pPr>
            <w:r w:rsidRPr="00093C08">
              <w:rPr>
                <w:rFonts w:ascii="Cambria Math" w:hAnsi="Cambria Math"/>
                <w:color w:val="006100"/>
              </w:rPr>
              <w:t>⨁⨁⨁</w:t>
            </w:r>
            <w:r w:rsidRPr="00CE28E3">
              <w:rPr>
                <w:rFonts w:ascii="Cambria Math" w:hAnsi="Cambria Math" w:cs="Cambria Math"/>
                <w:color w:val="C00000"/>
              </w:rPr>
              <w:t>⨀</w:t>
            </w:r>
            <w:r w:rsidRPr="00F834DD">
              <w:br/>
            </w:r>
            <w:r w:rsidRPr="00F834DD">
              <w:rPr>
                <w:rStyle w:val="quality-text"/>
              </w:rPr>
              <w:t>Moderate</w:t>
            </w:r>
          </w:p>
        </w:tc>
      </w:tr>
      <w:tr w:rsidR="00926C94" w:rsidRPr="00F834DD" w14:paraId="2E9DCCFC" w14:textId="77777777" w:rsidTr="008C59E7">
        <w:trPr>
          <w:trHeight w:val="227"/>
        </w:trPr>
        <w:tc>
          <w:tcPr>
            <w:tcW w:w="685" w:type="pct"/>
            <w:tcMar>
              <w:top w:w="0" w:type="dxa"/>
              <w:left w:w="57" w:type="dxa"/>
              <w:bottom w:w="0" w:type="dxa"/>
              <w:right w:w="57" w:type="dxa"/>
            </w:tcMar>
          </w:tcPr>
          <w:p w14:paraId="041BE30B" w14:textId="0249A222" w:rsidR="00926C94" w:rsidRPr="00F834DD" w:rsidRDefault="00926C94" w:rsidP="002C3A2E">
            <w:pPr>
              <w:pStyle w:val="Tabletext0"/>
              <w:keepNext/>
            </w:pPr>
            <w:r w:rsidRPr="00F834DD">
              <w:t>Talhouk 2016</w:t>
            </w:r>
            <w:r w:rsidR="003B7CCE">
              <w:rPr>
                <w:vertAlign w:val="superscript"/>
              </w:rPr>
              <w:fldChar w:fldCharType="begin"/>
            </w:r>
            <w:r w:rsidR="003B7CCE">
              <w:rPr>
                <w:vertAlign w:val="superscript"/>
              </w:rPr>
              <w:instrText xml:space="preserve"> NOTEREF _Ref222383306 \f \h </w:instrText>
            </w:r>
            <w:r w:rsidR="003B7CCE">
              <w:rPr>
                <w:vertAlign w:val="superscript"/>
              </w:rPr>
            </w:r>
            <w:r w:rsidR="003B7CCE">
              <w:rPr>
                <w:vertAlign w:val="superscript"/>
              </w:rPr>
              <w:fldChar w:fldCharType="separate"/>
            </w:r>
            <w:r w:rsidR="000B42CB" w:rsidRPr="00E55E34">
              <w:rPr>
                <w:rStyle w:val="FootnoteReference"/>
              </w:rPr>
              <w:t>9</w:t>
            </w:r>
            <w:r w:rsidR="003B7CCE">
              <w:rPr>
                <w:vertAlign w:val="superscript"/>
              </w:rPr>
              <w:fldChar w:fldCharType="end"/>
            </w:r>
          </w:p>
        </w:tc>
        <w:tc>
          <w:tcPr>
            <w:tcW w:w="1356" w:type="pct"/>
            <w:tcMar>
              <w:top w:w="0" w:type="dxa"/>
              <w:left w:w="57" w:type="dxa"/>
              <w:bottom w:w="0" w:type="dxa"/>
              <w:right w:w="57" w:type="dxa"/>
            </w:tcMar>
          </w:tcPr>
          <w:p w14:paraId="73059264" w14:textId="45455B26" w:rsidR="00171362" w:rsidRPr="00F834DD" w:rsidRDefault="001F372E" w:rsidP="00575F6B">
            <w:pPr>
              <w:pStyle w:val="Tabletext0"/>
              <w:keepNext/>
              <w:jc w:val="left"/>
              <w:rPr>
                <w:rStyle w:val="effect"/>
              </w:rPr>
            </w:pPr>
            <w:r>
              <w:t>U</w:t>
            </w:r>
            <w:r w:rsidRPr="001F372E">
              <w:t xml:space="preserve">ltradeep MiSeq sequencing </w:t>
            </w:r>
            <w:r w:rsidR="00C04472">
              <w:t xml:space="preserve">(NGS) </w:t>
            </w:r>
            <w:r w:rsidRPr="001F372E">
              <w:t xml:space="preserve">or Sanger sequencing </w:t>
            </w:r>
            <w:r w:rsidR="00171362" w:rsidRPr="00F834DD">
              <w:rPr>
                <w:rStyle w:val="effect"/>
              </w:rPr>
              <w:t>using diagnostic and hysterectomy samples</w:t>
            </w:r>
          </w:p>
        </w:tc>
        <w:tc>
          <w:tcPr>
            <w:tcW w:w="1920" w:type="pct"/>
            <w:tcMar>
              <w:top w:w="0" w:type="dxa"/>
              <w:left w:w="57" w:type="dxa"/>
              <w:bottom w:w="0" w:type="dxa"/>
              <w:right w:w="57" w:type="dxa"/>
            </w:tcMar>
          </w:tcPr>
          <w:p w14:paraId="3CE1BD84" w14:textId="235FDF4C" w:rsidR="00926C94" w:rsidRPr="00F834DD" w:rsidRDefault="00926C94" w:rsidP="002C3A2E">
            <w:pPr>
              <w:pStyle w:val="Tabletext0"/>
              <w:keepNext/>
            </w:pPr>
            <w:r w:rsidRPr="00F834DD">
              <w:t>Accuracy: 0.95 (95% CI: 0.89, 1</w:t>
            </w:r>
            <w:r w:rsidR="007E1EC2">
              <w:t>.00</w:t>
            </w:r>
            <w:r w:rsidRPr="00F834DD">
              <w:t>)</w:t>
            </w:r>
          </w:p>
          <w:p w14:paraId="3B304459" w14:textId="0943FCEC" w:rsidR="00926C94" w:rsidRPr="00F834DD" w:rsidRDefault="00926C94" w:rsidP="002C3A2E">
            <w:pPr>
              <w:pStyle w:val="Tabletext0"/>
              <w:keepNext/>
            </w:pPr>
            <w:r w:rsidRPr="00F834DD">
              <w:t>Specificity: 0.98 (95% CI: 0.89, 1</w:t>
            </w:r>
            <w:r w:rsidR="007E1EC2">
              <w:t>.00</w:t>
            </w:r>
            <w:r w:rsidRPr="00F834DD">
              <w:t>)</w:t>
            </w:r>
          </w:p>
          <w:p w14:paraId="45BAEA8A" w14:textId="77777777" w:rsidR="00926C94" w:rsidRPr="00F834DD" w:rsidRDefault="00926C94" w:rsidP="002C3A2E">
            <w:pPr>
              <w:pStyle w:val="Tabletext0"/>
              <w:keepNext/>
            </w:pPr>
            <w:r w:rsidRPr="00F834DD">
              <w:t>Sensitivity: 0.82 (95% CI: 0.52, 0.95)</w:t>
            </w:r>
          </w:p>
          <w:p w14:paraId="2EC492AA" w14:textId="77777777" w:rsidR="00926C94" w:rsidRPr="00F834DD" w:rsidRDefault="00926C94" w:rsidP="002C3A2E">
            <w:pPr>
              <w:pStyle w:val="Tabletext0"/>
              <w:keepNext/>
            </w:pPr>
            <w:r w:rsidRPr="00F834DD">
              <w:t>NPV: 0.96 (95% CI: 0.86, 0.99)</w:t>
            </w:r>
          </w:p>
          <w:p w14:paraId="463B5821" w14:textId="675796E4" w:rsidR="00926C94" w:rsidRPr="00F834DD" w:rsidRDefault="00926C94" w:rsidP="002C3A2E">
            <w:pPr>
              <w:pStyle w:val="Tabletext0"/>
              <w:keepNext/>
            </w:pPr>
            <w:r w:rsidRPr="00F834DD">
              <w:t>PPV: 0.9</w:t>
            </w:r>
            <w:r w:rsidR="007E1EC2">
              <w:t>0</w:t>
            </w:r>
            <w:r w:rsidRPr="00F834DD">
              <w:t xml:space="preserve"> (95% CI: 0.6</w:t>
            </w:r>
            <w:r w:rsidR="007E1EC2">
              <w:t>0</w:t>
            </w:r>
            <w:r w:rsidRPr="00F834DD">
              <w:t>, 0.99)</w:t>
            </w:r>
          </w:p>
        </w:tc>
        <w:tc>
          <w:tcPr>
            <w:tcW w:w="1038" w:type="pct"/>
            <w:tcMar>
              <w:top w:w="0" w:type="dxa"/>
              <w:left w:w="57" w:type="dxa"/>
              <w:bottom w:w="0" w:type="dxa"/>
              <w:right w:w="57" w:type="dxa"/>
            </w:tcMar>
          </w:tcPr>
          <w:p w14:paraId="6DB0B1B1" w14:textId="77777777" w:rsidR="00926C94" w:rsidRPr="00F834DD" w:rsidRDefault="00926C94" w:rsidP="002C3A2E">
            <w:pPr>
              <w:pStyle w:val="Tabletext0"/>
              <w:keepNext/>
            </w:pPr>
            <w:r w:rsidRPr="00093C08">
              <w:rPr>
                <w:rFonts w:ascii="Cambria Math" w:hAnsi="Cambria Math"/>
                <w:color w:val="006100"/>
              </w:rPr>
              <w:t>⨁⨁⨁</w:t>
            </w:r>
            <w:r w:rsidRPr="00CE28E3">
              <w:rPr>
                <w:rFonts w:ascii="Cambria Math" w:hAnsi="Cambria Math" w:cs="Cambria Math"/>
                <w:color w:val="C00000"/>
              </w:rPr>
              <w:t>⨀</w:t>
            </w:r>
            <w:r w:rsidRPr="00F834DD">
              <w:br/>
            </w:r>
            <w:r w:rsidRPr="00F834DD">
              <w:rPr>
                <w:rStyle w:val="quality-text"/>
              </w:rPr>
              <w:t>Moderate</w:t>
            </w:r>
          </w:p>
        </w:tc>
      </w:tr>
    </w:tbl>
    <w:p w14:paraId="76CDB8C9" w14:textId="4DEB163C" w:rsidR="00926C94" w:rsidRPr="00F834DD" w:rsidRDefault="00926C94" w:rsidP="002C3A2E">
      <w:pPr>
        <w:pStyle w:val="Tablefooter0"/>
        <w:keepNext/>
      </w:pPr>
      <w:r w:rsidRPr="00F834DD">
        <w:t xml:space="preserve">Abbreviations: </w:t>
      </w:r>
      <w:r w:rsidR="00174FE1">
        <w:t>CI = confidence interval;</w:t>
      </w:r>
      <w:r w:rsidRPr="00F834DD">
        <w:t xml:space="preserve"> </w:t>
      </w:r>
      <w:r w:rsidR="00135600">
        <w:t xml:space="preserve">ddPCR = droplet digital polymerase chain reaction; </w:t>
      </w:r>
      <w:r w:rsidR="00174FE1">
        <w:t xml:space="preserve">GRADE = Grading of Recommendations, Assessment, Development and Evaluations; </w:t>
      </w:r>
      <w:r w:rsidRPr="00F834DD">
        <w:t>NGS = next generation sequencing; NPV = negative predictive value; PCR = polymerase chain reaction; PPV = positive predictive value</w:t>
      </w:r>
      <w:r w:rsidR="00135600">
        <w:t>; qPCR = quantitative polymerase chain reaction</w:t>
      </w:r>
    </w:p>
    <w:p w14:paraId="4D36DDAC" w14:textId="65180225" w:rsidR="00926C94" w:rsidRPr="00F834DD" w:rsidRDefault="000E1100" w:rsidP="00C15501">
      <w:pPr>
        <w:pStyle w:val="Tablefooter0"/>
        <w:keepNext/>
      </w:pPr>
      <w:r w:rsidRPr="00C15501">
        <w:rPr>
          <w:vertAlign w:val="superscript"/>
        </w:rPr>
        <w:t>a</w:t>
      </w:r>
      <w:r w:rsidR="00926C94">
        <w:t xml:space="preserve"> Confidence intervals were </w:t>
      </w:r>
      <w:r w:rsidR="004816BF">
        <w:t xml:space="preserve">not reported in the publication and were </w:t>
      </w:r>
      <w:r w:rsidR="00926C94">
        <w:t>calculated using the Wilson score method</w:t>
      </w:r>
      <w:r w:rsidR="004816BF">
        <w:t xml:space="preserve"> for this DCAR</w:t>
      </w:r>
      <w:r w:rsidR="00784518">
        <w:t xml:space="preserve"> </w:t>
      </w:r>
      <w:r w:rsidR="005D7D53">
        <w:fldChar w:fldCharType="begin"/>
      </w:r>
      <w:r w:rsidR="000B148E">
        <w:instrText xml:space="preserve"> ADDIN EN.CITE &lt;EndNote&gt;&lt;Cite&gt;&lt;Author&gt;Newcombe&lt;/Author&gt;&lt;Year&gt;1998&lt;/Year&gt;&lt;RecNum&gt;86&lt;/RecNum&gt;&lt;DisplayText&gt;(Newcombe 1998)&lt;/DisplayText&gt;&lt;record&gt;&lt;rec-number&gt;86&lt;/rec-number&gt;&lt;foreign-keys&gt;&lt;key app="EN" db-id="09a92a0099vraoeax5e5pxtbdw2xffawra2r" timestamp="1761790657"&gt;86&lt;/key&gt;&lt;/foreign-keys&gt;&lt;ref-type name="Journal Article"&gt;17&lt;/ref-type&gt;&lt;contributors&gt;&lt;authors&gt;&lt;author&gt;Newcombe, Robert G&lt;/author&gt;&lt;/authors&gt;&lt;/contributors&gt;&lt;titles&gt;&lt;title&gt;Two</w:instrText>
      </w:r>
      <w:r w:rsidR="000B148E">
        <w:rPr>
          <w:rFonts w:ascii="Cambria Math" w:hAnsi="Cambria Math" w:cs="Cambria Math"/>
        </w:rPr>
        <w:instrText>‐</w:instrText>
      </w:r>
      <w:r w:rsidR="000B148E">
        <w:instrText>sided confidence intervals for the single proportion: comparison of seven methods&lt;/title&gt;&lt;secondary-title&gt;Statistics in medicine&lt;/secondary-title&gt;&lt;/titles&gt;&lt;periodical&gt;&lt;full-title&gt;Statistics in medicine&lt;/full-title&gt;&lt;/periodical&gt;&lt;pages&gt;857-872&lt;/pages&gt;&lt;volume&gt;17&lt;/volume&gt;&lt;number&gt;8&lt;/number&gt;&lt;dates&gt;&lt;year&gt;1998&lt;/year&gt;&lt;/dates&gt;&lt;isbn&gt;0277-6715&lt;/isbn&gt;&lt;urls&gt;&lt;/urls&gt;&lt;/record&gt;&lt;/Cite&gt;&lt;/EndNote&gt;</w:instrText>
      </w:r>
      <w:r w:rsidR="005D7D53">
        <w:fldChar w:fldCharType="separate"/>
      </w:r>
      <w:r w:rsidR="000B148E">
        <w:t>(Newcombe 1998)</w:t>
      </w:r>
      <w:r w:rsidR="005D7D53">
        <w:fldChar w:fldCharType="end"/>
      </w:r>
      <w:r w:rsidR="004816BF">
        <w:t>.</w:t>
      </w:r>
    </w:p>
    <w:p w14:paraId="22584271" w14:textId="02A20E40" w:rsidR="000E1100" w:rsidRDefault="000E1100" w:rsidP="000E1100">
      <w:pPr>
        <w:pStyle w:val="Tablefooter0"/>
        <w:keepNext/>
      </w:pPr>
      <w:r w:rsidRPr="007F7D10">
        <w:rPr>
          <w:lang w:val="nl-NL"/>
        </w:rPr>
        <w:t xml:space="preserve">Source: </w:t>
      </w:r>
      <w:r>
        <w:fldChar w:fldCharType="begin">
          <w:fldData xml:space="preserve">PEVuZE5vdGU+PENpdGUgQXV0aG9yWWVhcj0iMSI+PEF1dGhvcj5DaGVuPC9BdXRob3I+PFllYXI+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</w:fldData>
        </w:fldChar>
      </w:r>
      <w:r w:rsidRPr="007F7D10">
        <w:rPr>
          <w:lang w:val="nl-NL"/>
        </w:rPr>
        <w:instrText xml:space="preserve"> ADDIN EN.CITE </w:instrText>
      </w:r>
      <w:r>
        <w:fldChar w:fldCharType="begin">
          <w:fldData xml:space="preserve">PEVuZE5vdGU+PENpdGUgQXV0aG9yWWVhcj0iMSI+PEF1dGhvcj5DaGVuPC9BdXRob3I+PFllYXI+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</w:fldData>
        </w:fldChar>
      </w:r>
      <w:r w:rsidRPr="007F7D10">
        <w:rPr>
          <w:lang w:val="nl-NL"/>
        </w:rPr>
        <w:instrText xml:space="preserve"> ADDIN EN.CITE.DATA </w:instrText>
      </w:r>
      <w:r>
        <w:fldChar w:fldCharType="end"/>
      </w:r>
      <w:r>
        <w:fldChar w:fldCharType="separate"/>
      </w:r>
      <w:r w:rsidRPr="007F7D10">
        <w:rPr>
          <w:lang w:val="nl-NL"/>
        </w:rPr>
        <w:t>Chen et al. (2024)</w:t>
      </w:r>
      <w:r>
        <w:fldChar w:fldCharType="end"/>
      </w:r>
      <w:r w:rsidRPr="007F7D10">
        <w:rPr>
          <w:lang w:val="nl-NL"/>
        </w:rPr>
        <w:t xml:space="preserve">; </w:t>
      </w:r>
      <w:r>
        <w:fldChar w:fldCharType="begin">
          <w:fldData xml:space="preserve">PEVuZE5vdGU+PENpdGUgQXV0aG9yWWVhcj0iMSI+PEF1dGhvcj5WYW4gZGVuIEhlZXJpazwvQXV0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</w:fldData>
        </w:fldChar>
      </w:r>
      <w:r w:rsidR="00354422" w:rsidRPr="00CE0A86">
        <w:rPr>
          <w:lang w:val="nl-NL"/>
        </w:rPr>
        <w:instrText xml:space="preserve"> ADDIN EN.CITE </w:instrText>
      </w:r>
      <w:r w:rsidR="00354422">
        <w:fldChar w:fldCharType="begin">
          <w:fldData xml:space="preserve">PEVuZE5vdGU+PENpdGUgQXV0aG9yWWVhcj0iMSI+PEF1dGhvcj5WYW4gZGVuIEhlZXJpazwvQXV0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</w:fldData>
        </w:fldChar>
      </w:r>
      <w:r w:rsidR="00354422" w:rsidRPr="00CE0A86">
        <w:rPr>
          <w:lang w:val="nl-NL"/>
        </w:rPr>
        <w:instrText xml:space="preserve"> ADDIN EN.CITE.DATA </w:instrText>
      </w:r>
      <w:r w:rsidR="00354422">
        <w:fldChar w:fldCharType="end"/>
      </w:r>
      <w:r>
        <w:fldChar w:fldCharType="separate"/>
      </w:r>
      <w:r w:rsidR="00354422" w:rsidRPr="00354422">
        <w:rPr>
          <w:noProof/>
          <w:lang w:val="nl-NL"/>
        </w:rPr>
        <w:t>Van den Heerik, A et al. (2023)</w:t>
      </w:r>
      <w:r>
        <w:fldChar w:fldCharType="end"/>
      </w:r>
      <w:r w:rsidRPr="00CE0A86">
        <w:rPr>
          <w:lang w:val="de-DE"/>
        </w:rPr>
        <w:t xml:space="preserve">; </w:t>
      </w:r>
      <w:r>
        <w:fldChar w:fldCharType="begin">
          <w:fldData xml:space="preserve">PEVuZE5vdGU+PENpdGUgQXV0aG9yWWVhcj0iMSI+PEF1dGhvcj5LaW08L0F1dGhvcj48WWVhcj4y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</w:fldData>
        </w:fldChar>
      </w:r>
      <w:r w:rsidRPr="00CE0A86">
        <w:rPr>
          <w:lang w:val="de-DE"/>
        </w:rPr>
        <w:instrText xml:space="preserve"> ADDIN EN.CITE </w:instrText>
      </w:r>
      <w:r>
        <w:fldChar w:fldCharType="begin">
          <w:fldData xml:space="preserve">PEVuZE5vdGU+PENpdGUgQXV0aG9yWWVhcj0iMSI+PEF1dGhvcj5LaW08L0F1dGhvcj48WWVhcj4y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</w:fldData>
        </w:fldChar>
      </w:r>
      <w:r w:rsidRPr="00CE0A86">
        <w:rPr>
          <w:lang w:val="de-DE"/>
        </w:rPr>
        <w:instrText xml:space="preserve"> ADDIN EN.CITE.DATA </w:instrText>
      </w:r>
      <w:r>
        <w:fldChar w:fldCharType="end"/>
      </w:r>
      <w:r>
        <w:fldChar w:fldCharType="separate"/>
      </w:r>
      <w:r w:rsidRPr="00CE0A86">
        <w:rPr>
          <w:lang w:val="de-DE"/>
        </w:rPr>
        <w:t xml:space="preserve">Kim et al. </w:t>
      </w:r>
      <w:r>
        <w:t>(2022)</w:t>
      </w:r>
      <w:r>
        <w:fldChar w:fldCharType="end"/>
      </w:r>
      <w:r>
        <w:t xml:space="preserve">; </w:t>
      </w:r>
      <w:r>
        <w:fldChar w:fldCharType="begin">
          <w:fldData xml:space="preserve">PEVuZE5vdGU+PENpdGUgQXV0aG9yWWVhcj0iMSI+PEF1dGhvcj5UYWxob3VrPC9BdXRob3I+PFll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</w:fldData>
        </w:fldChar>
      </w:r>
      <w:r w:rsidR="00354422">
        <w:instrText xml:space="preserve"> ADDIN EN.CITE </w:instrText>
      </w:r>
      <w:r w:rsidR="00354422">
        <w:fldChar w:fldCharType="begin">
          <w:fldData xml:space="preserve">PEVuZE5vdGU+PENpdGUgQXV0aG9yWWVhcj0iMSI+PEF1dGhvcj5UYWxob3VrPC9BdXRob3I+PFll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</w:fldData>
        </w:fldChar>
      </w:r>
      <w:r w:rsidR="00354422">
        <w:instrText xml:space="preserve"> ADDIN EN.CITE.DATA </w:instrText>
      </w:r>
      <w:r w:rsidR="00354422">
        <w:fldChar w:fldCharType="end"/>
      </w:r>
      <w:r>
        <w:fldChar w:fldCharType="separate"/>
      </w:r>
      <w:r w:rsidR="00354422">
        <w:rPr>
          <w:noProof/>
        </w:rPr>
        <w:t>Talhouk, A. et al. (2016)</w:t>
      </w:r>
      <w:r>
        <w:fldChar w:fldCharType="end"/>
      </w:r>
    </w:p>
    <w:p w14:paraId="6780EEF5" w14:textId="1A2E51F7" w:rsidR="00DC43B7" w:rsidRDefault="00DF6827" w:rsidP="00DC43B7">
      <w:pPr>
        <w:pStyle w:val="Heading4"/>
      </w:pPr>
      <w:r>
        <w:t xml:space="preserve">Linked evidence: </w:t>
      </w:r>
      <w:r w:rsidR="00DC43B7">
        <w:t>Clinical benefit of POLE genotyping</w:t>
      </w:r>
    </w:p>
    <w:p w14:paraId="64B87ADA" w14:textId="2669127C" w:rsidR="00940604" w:rsidRDefault="00821FC5" w:rsidP="00940604">
      <w:pPr>
        <w:pStyle w:val="Heading5"/>
      </w:pPr>
      <w:r>
        <w:t xml:space="preserve">Prognostic value of POLE testing in EC </w:t>
      </w:r>
    </w:p>
    <w:p w14:paraId="585C29D5" w14:textId="646D6775" w:rsidR="00DC43B7" w:rsidRDefault="00ED0022" w:rsidP="00DC43B7">
      <w:r>
        <w:t xml:space="preserve">For the linked evidence approach, </w:t>
      </w:r>
      <w:r w:rsidR="0099199B">
        <w:t xml:space="preserve">clinical benefit of </w:t>
      </w:r>
      <w:r w:rsidR="0099199B" w:rsidRPr="00836811">
        <w:rPr>
          <w:i/>
        </w:rPr>
        <w:t>POLE</w:t>
      </w:r>
      <w:r w:rsidR="0099199B">
        <w:t xml:space="preserve"> genotyping </w:t>
      </w:r>
      <w:r w:rsidR="001511FE">
        <w:t>is</w:t>
      </w:r>
      <w:r w:rsidR="0099199B">
        <w:t xml:space="preserve"> indirectly informed by post-hoc analyses of </w:t>
      </w:r>
      <w:r w:rsidR="00DC43B7">
        <w:t>RCTs</w:t>
      </w:r>
      <w:r w:rsidR="00741473">
        <w:t xml:space="preserve"> PORTEC-1</w:t>
      </w:r>
      <w:r w:rsidR="00213377">
        <w:t>,</w:t>
      </w:r>
      <w:r w:rsidR="003B172E">
        <w:fldChar w:fldCharType="begin"/>
      </w:r>
      <w:r w:rsidR="003B172E">
        <w:instrText xml:space="preserve"> NOTEREF _Ref215208633 \f \h </w:instrText>
      </w:r>
      <w:r w:rsidR="003B172E">
        <w:fldChar w:fldCharType="separate"/>
      </w:r>
      <w:r w:rsidR="000B42CB" w:rsidRPr="00E55E34">
        <w:rPr>
          <w:rStyle w:val="FootnoteReference"/>
        </w:rPr>
        <w:t>12</w:t>
      </w:r>
      <w:r w:rsidR="003B172E">
        <w:fldChar w:fldCharType="end"/>
      </w:r>
      <w:r w:rsidR="003B172E">
        <w:rPr>
          <w:vertAlign w:val="superscript"/>
        </w:rPr>
        <w:t>,</w:t>
      </w:r>
      <w:r w:rsidR="003B172E">
        <w:fldChar w:fldCharType="begin"/>
      </w:r>
      <w:r w:rsidR="003B172E">
        <w:instrText xml:space="preserve"> NOTEREF _Ref215208656 \f \h </w:instrText>
      </w:r>
      <w:r w:rsidR="003B172E">
        <w:fldChar w:fldCharType="separate"/>
      </w:r>
      <w:r w:rsidR="000B42CB" w:rsidRPr="00E55E34">
        <w:rPr>
          <w:rStyle w:val="FootnoteReference"/>
        </w:rPr>
        <w:t>13</w:t>
      </w:r>
      <w:r w:rsidR="003B172E">
        <w:fldChar w:fldCharType="end"/>
      </w:r>
      <w:r w:rsidR="00741473">
        <w:t xml:space="preserve"> PORTEC-2</w:t>
      </w:r>
      <w:r w:rsidR="003B172E">
        <w:fldChar w:fldCharType="begin"/>
      </w:r>
      <w:r w:rsidR="003B172E">
        <w:instrText xml:space="preserve"> NOTEREF _Ref215208633 \f \h </w:instrText>
      </w:r>
      <w:r w:rsidR="003B172E">
        <w:fldChar w:fldCharType="separate"/>
      </w:r>
      <w:r w:rsidR="000B42CB" w:rsidRPr="00E55E34">
        <w:rPr>
          <w:rStyle w:val="FootnoteReference"/>
        </w:rPr>
        <w:t>12</w:t>
      </w:r>
      <w:r w:rsidR="003B172E">
        <w:fldChar w:fldCharType="end"/>
      </w:r>
      <w:r w:rsidR="003B172E">
        <w:rPr>
          <w:vertAlign w:val="superscript"/>
        </w:rPr>
        <w:t>,</w:t>
      </w:r>
      <w:r w:rsidR="003B172E">
        <w:fldChar w:fldCharType="begin"/>
      </w:r>
      <w:r w:rsidR="003B172E">
        <w:instrText xml:space="preserve"> NOTEREF _Ref215208656 \f \h </w:instrText>
      </w:r>
      <w:r w:rsidR="003B172E">
        <w:fldChar w:fldCharType="separate"/>
      </w:r>
      <w:r w:rsidR="000B42CB" w:rsidRPr="00E55E34">
        <w:rPr>
          <w:rStyle w:val="FootnoteReference"/>
        </w:rPr>
        <w:t>13</w:t>
      </w:r>
      <w:r w:rsidR="003B172E">
        <w:fldChar w:fldCharType="end"/>
      </w:r>
      <w:r w:rsidR="00741473">
        <w:t xml:space="preserve"> and PORTEC-3</w:t>
      </w:r>
      <w:r w:rsidR="00213377">
        <w:t>.</w:t>
      </w:r>
      <w:r w:rsidR="00CC1625">
        <w:fldChar w:fldCharType="begin"/>
      </w:r>
      <w:r w:rsidR="00CC1625">
        <w:instrText xml:space="preserve"> NOTEREF _Ref222382795 \f \h </w:instrText>
      </w:r>
      <w:r w:rsidR="00CC1625">
        <w:fldChar w:fldCharType="separate"/>
      </w:r>
      <w:r w:rsidR="000B42CB" w:rsidRPr="00E55E34">
        <w:rPr>
          <w:rStyle w:val="FootnoteReference"/>
        </w:rPr>
        <w:t>10</w:t>
      </w:r>
      <w:r w:rsidR="00CC1625">
        <w:fldChar w:fldCharType="end"/>
      </w:r>
      <w:r w:rsidR="00CC1625">
        <w:rPr>
          <w:vertAlign w:val="superscript"/>
        </w:rPr>
        <w:t>,</w:t>
      </w:r>
      <w:r w:rsidR="00CC1625">
        <w:fldChar w:fldCharType="begin"/>
      </w:r>
      <w:r w:rsidR="00CC1625">
        <w:rPr>
          <w:vertAlign w:val="superscript"/>
        </w:rPr>
        <w:instrText xml:space="preserve"> NOTEREF _Ref222382805 \f \h </w:instrText>
      </w:r>
      <w:r w:rsidR="00CC1625">
        <w:fldChar w:fldCharType="separate"/>
      </w:r>
      <w:r w:rsidR="000B42CB" w:rsidRPr="00E55E34">
        <w:rPr>
          <w:rStyle w:val="FootnoteReference"/>
        </w:rPr>
        <w:t>11</w:t>
      </w:r>
      <w:r w:rsidR="00CC1625">
        <w:fldChar w:fldCharType="end"/>
      </w:r>
      <w:r w:rsidR="00DC43B7">
        <w:t xml:space="preserve"> PORTEC-3 was an RCT that evaluated adjuvant CTRT versus RT alone in patients with stage I–III high risk EC. Molecular classification was </w:t>
      </w:r>
      <w:r w:rsidR="00213377">
        <w:t>determined</w:t>
      </w:r>
      <w:r w:rsidR="00DC43B7">
        <w:t xml:space="preserve"> post-hoc by NGS, which was performed blinded to patient outcomes. Key outcomes were RFS and OS reported at 5 years </w:t>
      </w:r>
      <w:r w:rsidR="00DC43B7">
        <w:fldChar w:fldCharType="begin">
          <w:fldData xml:space="preserve">PEVuZE5vdGU+PENpdGU+PEF1dGhvcj5MZcOzbi1DYXN0aWxsbzwvQXV0aG9yPjxZZWFyPjIwMjA8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</w:fldData>
        </w:fldChar>
      </w:r>
      <w:r w:rsidR="00DC43B7">
        <w:instrText xml:space="preserve"> ADDIN EN.CITE </w:instrText>
      </w:r>
      <w:r w:rsidR="00DC43B7">
        <w:fldChar w:fldCharType="begin">
          <w:fldData xml:space="preserve">PEVuZE5vdGU+PENpdGU+PEF1dGhvcj5MZcOzbi1DYXN0aWxsbzwvQXV0aG9yPjxZZWFyPjIwMjA8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</w:fldData>
        </w:fldChar>
      </w:r>
      <w:r w:rsidR="00DC43B7">
        <w:instrText xml:space="preserve"> ADDIN EN.CITE.DATA </w:instrText>
      </w:r>
      <w:r w:rsidR="00DC43B7">
        <w:fldChar w:fldCharType="end"/>
      </w:r>
      <w:r w:rsidR="00DC43B7">
        <w:fldChar w:fldCharType="separate"/>
      </w:r>
      <w:r w:rsidR="00DC43B7">
        <w:t>(León-Castillo, de Boer, et al. 2020)</w:t>
      </w:r>
      <w:r w:rsidR="00DC43B7">
        <w:fldChar w:fldCharType="end"/>
      </w:r>
      <w:r w:rsidR="00DC43B7">
        <w:t xml:space="preserve"> and 10 years </w:t>
      </w:r>
      <w:r w:rsidR="00DC43B7">
        <w:fldChar w:fldCharType="begin">
          <w:fldData xml:space="preserve">PEVuZE5vdGU+PENpdGU+PEF1dGhvcj5Qb3N0PC9BdXRob3I+PFllYXI+MjAyNTwvWWVhcj48UmVj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</w:fldData>
        </w:fldChar>
      </w:r>
      <w:r w:rsidR="00DC43B7">
        <w:instrText xml:space="preserve"> ADDIN EN.CITE </w:instrText>
      </w:r>
      <w:r w:rsidR="00DC43B7">
        <w:fldChar w:fldCharType="begin">
          <w:fldData xml:space="preserve">PEVuZE5vdGU+PENpdGU+PEF1dGhvcj5Qb3N0PC9BdXRob3I+PFllYXI+MjAyNTwvWWVhcj48UmVj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</w:fldData>
        </w:fldChar>
      </w:r>
      <w:r w:rsidR="00DC43B7">
        <w:instrText xml:space="preserve"> ADDIN EN.CITE.DATA </w:instrText>
      </w:r>
      <w:r w:rsidR="00DC43B7">
        <w:fldChar w:fldCharType="end"/>
      </w:r>
      <w:r w:rsidR="00DC43B7">
        <w:fldChar w:fldCharType="separate"/>
      </w:r>
      <w:r w:rsidR="00DC43B7">
        <w:t>(Post et al. 2025)</w:t>
      </w:r>
      <w:r w:rsidR="00DC43B7">
        <w:fldChar w:fldCharType="end"/>
      </w:r>
      <w:r w:rsidR="00DC43B7">
        <w:t>.</w:t>
      </w:r>
    </w:p>
    <w:p w14:paraId="6A646BD5" w14:textId="76CD3F38" w:rsidR="009A584D" w:rsidRDefault="00DC43B7" w:rsidP="00DC43B7">
      <w:r>
        <w:fldChar w:fldCharType="begin">
          <w:fldData xml:space="preserve">PEVuZE5vdGU+PENpdGUgQXV0aG9yWWVhcj0iMSI+PEF1dGhvcj5DaHVyY2g8L0F1dGhvcj48WWVh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</w:fldData>
        </w:fldChar>
      </w:r>
      <w:r>
        <w:instrText xml:space="preserve"> ADDIN EN.CITE </w:instrText>
      </w:r>
      <w:r>
        <w:fldChar w:fldCharType="begin">
          <w:fldData xml:space="preserve">PEVuZE5vdGU+PENpdGUgQXV0aG9yWWVhcj0iMSI+PEF1dGhvcj5DaHVyY2g8L0F1dGhvcj48WWVh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</w:fldData>
        </w:fldChar>
      </w:r>
      <w:r>
        <w:instrText xml:space="preserve"> ADDIN EN.CITE.DATA </w:instrText>
      </w:r>
      <w:r>
        <w:fldChar w:fldCharType="end"/>
      </w:r>
      <w:r>
        <w:fldChar w:fldCharType="separate"/>
      </w:r>
      <w:r>
        <w:t>Church et al. (2015)</w:t>
      </w:r>
      <w:r>
        <w:fldChar w:fldCharType="end"/>
      </w:r>
      <w:r>
        <w:t xml:space="preserve"> and </w:t>
      </w:r>
      <w:r>
        <w:fldChar w:fldCharType="begin">
          <w:fldData xml:space="preserve">PEVuZE5vdGU+PENpdGUgQXV0aG9yWWVhcj0iMSI+PEF1dGhvcj5TdGVsbG9vPC9BdXRob3I+PFll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</w:fldData>
        </w:fldChar>
      </w:r>
      <w:r>
        <w:instrText xml:space="preserve"> ADDIN EN.CITE </w:instrText>
      </w:r>
      <w:r>
        <w:fldChar w:fldCharType="begin">
          <w:fldData xml:space="preserve">PEVuZE5vdGU+PENpdGUgQXV0aG9yWWVhcj0iMSI+PEF1dGhvcj5TdGVsbG9vPC9BdXRob3I+PFll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</w:fldData>
        </w:fldChar>
      </w:r>
      <w:r>
        <w:instrText xml:space="preserve"> ADDIN EN.CITE.DATA </w:instrText>
      </w:r>
      <w:r>
        <w:fldChar w:fldCharType="end"/>
      </w:r>
      <w:r>
        <w:fldChar w:fldCharType="separate"/>
      </w:r>
      <w:r>
        <w:t>Stelloo et al. (2016)</w:t>
      </w:r>
      <w:r>
        <w:fldChar w:fldCharType="end"/>
      </w:r>
      <w:r>
        <w:t xml:space="preserve"> conducted post-hoc molecular analyses using the PORTEC-1 and PORTEC-2 trials, which enrolled patients with stage I intermediate-risk EC and stage I–II high–intermediate-risk EC, respectively. </w:t>
      </w:r>
      <w:r>
        <w:fldChar w:fldCharType="begin">
          <w:fldData xml:space="preserve">PEVuZE5vdGU+PENpdGUgQXV0aG9yWWVhcj0iMSI+PEF1dGhvcj5DaHVyY2g8L0F1dGhvcj48WWVh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</w:fldData>
        </w:fldChar>
      </w:r>
      <w:r>
        <w:instrText xml:space="preserve"> ADDIN EN.CITE </w:instrText>
      </w:r>
      <w:r>
        <w:fldChar w:fldCharType="begin">
          <w:fldData xml:space="preserve">PEVuZE5vdGU+PENpdGUgQXV0aG9yWWVhcj0iMSI+PEF1dGhvcj5DaHVyY2g8L0F1dGhvcj48WWVh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</w:fldData>
        </w:fldChar>
      </w:r>
      <w:r>
        <w:instrText xml:space="preserve"> ADDIN EN.CITE.DATA </w:instrText>
      </w:r>
      <w:r>
        <w:fldChar w:fldCharType="end"/>
      </w:r>
      <w:r>
        <w:fldChar w:fldCharType="separate"/>
      </w:r>
      <w:r>
        <w:t>Church et al. (2015)</w:t>
      </w:r>
      <w:r>
        <w:fldChar w:fldCharType="end"/>
      </w:r>
      <w:r>
        <w:t xml:space="preserve"> also incorporated 3 independent EC cohorts. PORTEC-1 randomised patients to pelvic radiotherapy or no adjuvant treatment, while PORTEC-2 randomised patients to EBRT or VBT. Outcomes included RFS, c</w:t>
      </w:r>
      <w:r w:rsidRPr="00280068">
        <w:t>ancer</w:t>
      </w:r>
      <w:r>
        <w:t>-</w:t>
      </w:r>
      <w:r w:rsidRPr="00280068">
        <w:t>specific survival</w:t>
      </w:r>
      <w:r>
        <w:t>/</w:t>
      </w:r>
      <w:r w:rsidRPr="00280068">
        <w:t>disease</w:t>
      </w:r>
      <w:r>
        <w:t>-</w:t>
      </w:r>
      <w:r w:rsidRPr="00280068">
        <w:t>specific survival</w:t>
      </w:r>
      <w:r>
        <w:t xml:space="preserve"> (CSS/DSS) and OS. The comparisons of survival outcomes between </w:t>
      </w:r>
      <w:r w:rsidRPr="00572E78">
        <w:rPr>
          <w:i/>
        </w:rPr>
        <w:t>POLE</w:t>
      </w:r>
      <w:r>
        <w:t xml:space="preserve">mut and other molecular subgroups were not reported by treatment </w:t>
      </w:r>
      <w:r>
        <w:lastRenderedPageBreak/>
        <w:t xml:space="preserve">arm. </w:t>
      </w:r>
      <w:r w:rsidR="009A584D">
        <w:t>Due to differences in the comparative molecular subgroups across studies, a meta-analysis was not feasible and each study was appraised independently.</w:t>
      </w:r>
      <w:r w:rsidR="00F942D3">
        <w:t xml:space="preserve"> </w:t>
      </w:r>
    </w:p>
    <w:p w14:paraId="72E5A404" w14:textId="034FB472" w:rsidR="00C53732" w:rsidRDefault="00DC43B7" w:rsidP="00DC43B7">
      <w:r>
        <w:t>Analysis of the quality of evidence using the GRADE framework showed a moderate to high certainty</w:t>
      </w:r>
      <w:r w:rsidR="00B67A5A">
        <w:t xml:space="preserve"> of evidence</w:t>
      </w:r>
      <w:r>
        <w:t xml:space="preserve">, with the exception of </w:t>
      </w:r>
      <w:r>
        <w:fldChar w:fldCharType="begin">
          <w:fldData xml:space="preserve">PEVuZE5vdGU+PENpdGUgQXV0aG9yWWVhcj0iMSI+PEF1dGhvcj5TdGVsbG9vPC9BdXRob3I+PFll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</w:fldData>
        </w:fldChar>
      </w:r>
      <w:r>
        <w:instrText xml:space="preserve"> ADDIN EN.CITE </w:instrText>
      </w:r>
      <w:r>
        <w:fldChar w:fldCharType="begin">
          <w:fldData xml:space="preserve">PEVuZE5vdGU+PENpdGUgQXV0aG9yWWVhcj0iMSI+PEF1dGhvcj5TdGVsbG9vPC9BdXRob3I+PFll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</w:fldData>
        </w:fldChar>
      </w:r>
      <w:r>
        <w:instrText xml:space="preserve"> ADDIN EN.CITE.DATA </w:instrText>
      </w:r>
      <w:r>
        <w:fldChar w:fldCharType="end"/>
      </w:r>
      <w:r>
        <w:fldChar w:fldCharType="separate"/>
      </w:r>
      <w:r>
        <w:t>Stelloo et al. (2016)</w:t>
      </w:r>
      <w:r>
        <w:fldChar w:fldCharType="end"/>
      </w:r>
      <w:r>
        <w:t>, which was rated as low</w:t>
      </w:r>
      <w:r w:rsidR="00B67A5A">
        <w:t xml:space="preserve"> certainty of evidence</w:t>
      </w:r>
      <w:r>
        <w:t>, primarily due to serious imprecision stemming from wide confidence intervals in the reported outcomes.</w:t>
      </w:r>
      <w:r w:rsidR="000C3392">
        <w:t xml:space="preserve"> ESC </w:t>
      </w:r>
      <w:r w:rsidR="0012769B">
        <w:t xml:space="preserve">noted the </w:t>
      </w:r>
      <w:r w:rsidR="0012769B" w:rsidRPr="0012769B">
        <w:t>reported risk of bias assessment</w:t>
      </w:r>
      <w:r w:rsidR="00E50A0E">
        <w:t xml:space="preserve"> </w:t>
      </w:r>
      <w:r w:rsidR="000A3E15" w:rsidRPr="00D8177A">
        <w:rPr>
          <w:color w:val="000000"/>
        </w:rPr>
        <w:t>conducted</w:t>
      </w:r>
      <w:r w:rsidR="000A3E15">
        <w:t xml:space="preserve"> </w:t>
      </w:r>
      <w:r w:rsidR="00E50A0E">
        <w:t xml:space="preserve">by the </w:t>
      </w:r>
      <w:r w:rsidR="00B2341E">
        <w:t>assessment</w:t>
      </w:r>
      <w:r w:rsidR="00E50A0E">
        <w:t xml:space="preserve"> group</w:t>
      </w:r>
      <w:r w:rsidR="00595061">
        <w:t xml:space="preserve"> </w:t>
      </w:r>
      <w:r w:rsidR="00595061" w:rsidRPr="00595061">
        <w:t>assess</w:t>
      </w:r>
      <w:r w:rsidR="008F13BC">
        <w:t>ed</w:t>
      </w:r>
      <w:r w:rsidR="00595061" w:rsidRPr="00595061">
        <w:t xml:space="preserve"> the bias of the study-intended randomised comparison of treatments rather than the post-hoc nonrandomised comparison of prognosis by genotype status</w:t>
      </w:r>
      <w:r w:rsidR="00595061">
        <w:t>.</w:t>
      </w:r>
      <w:r w:rsidR="00E50A0E">
        <w:t xml:space="preserve"> </w:t>
      </w:r>
      <w:r w:rsidR="00C140F0">
        <w:t xml:space="preserve">Therefore, ESC did not agree with the </w:t>
      </w:r>
      <w:r w:rsidR="00B2341E">
        <w:t>assessment</w:t>
      </w:r>
      <w:r w:rsidR="006803DC">
        <w:t xml:space="preserve"> </w:t>
      </w:r>
      <w:r w:rsidR="00C565C2">
        <w:t>group</w:t>
      </w:r>
      <w:r w:rsidR="00B2341E">
        <w:t>’</w:t>
      </w:r>
      <w:r w:rsidR="00C565C2">
        <w:t xml:space="preserve">s conclusion of </w:t>
      </w:r>
      <w:r w:rsidR="00542649">
        <w:t>the strength of evidence presented.</w:t>
      </w:r>
      <w:r w:rsidR="00B2341E">
        <w:t xml:space="preserve"> </w:t>
      </w:r>
      <w:r w:rsidR="00A75E62">
        <w:t>Post</w:t>
      </w:r>
      <w:r w:rsidR="00A743A6">
        <w:t>-</w:t>
      </w:r>
      <w:r w:rsidR="00A75E62">
        <w:t xml:space="preserve">ESC the assessment group clarified </w:t>
      </w:r>
      <w:r w:rsidR="006A370E">
        <w:t>that there is no established consensus regarding the application of the risk of bias tools to post-hoc analyses of RCTs, the DCAR’s risk of bias evaluation was undertaken using the ROB2 tool for the post-hoc analyses presented. A systematic review of the whole trial for PORTEC-1 to -3 reported an overall low to unclear risk of bias using the ROB2 tool,</w:t>
      </w:r>
      <w:r w:rsidR="006A370E">
        <w:rPr>
          <w:rStyle w:val="FootnoteReference"/>
        </w:rPr>
        <w:footnoteReference w:id="21"/>
      </w:r>
      <w:r w:rsidR="006A370E">
        <w:t xml:space="preserve"> whereas the DCAR assessed the post-hoc analyses as having a high risk of bias.</w:t>
      </w:r>
      <w:r w:rsidR="00FC06B1" w:rsidRPr="00FC06B1">
        <w:t xml:space="preserve"> </w:t>
      </w:r>
      <w:r w:rsidR="00FC06B1">
        <w:t>In context of the uncertainty regarding the use of assessment tools, a supplementary assessment using the ROBINS-I tool identified an overall serious risk of bias, aligning with the ROB2 conclusions presented in the DCAR.</w:t>
      </w:r>
    </w:p>
    <w:p w14:paraId="689FAE5C" w14:textId="73CDCA87" w:rsidR="00DC43B7" w:rsidRDefault="00DC43B7" w:rsidP="00DC43B7">
      <w:r>
        <w:t xml:space="preserve">Results from the studies are presented in </w:t>
      </w:r>
      <w:r>
        <w:fldChar w:fldCharType="begin"/>
      </w:r>
      <w:r>
        <w:instrText xml:space="preserve"> REF _Ref216164798 \h </w:instrText>
      </w:r>
      <w:r>
        <w:fldChar w:fldCharType="separate"/>
      </w:r>
      <w:r w:rsidR="000B42CB" w:rsidRPr="00F834DD">
        <w:t xml:space="preserve">Table </w:t>
      </w:r>
      <w:r w:rsidR="000B42CB">
        <w:rPr>
          <w:noProof/>
        </w:rPr>
        <w:t>7</w:t>
      </w:r>
      <w:r>
        <w:fldChar w:fldCharType="end"/>
      </w:r>
      <w:r>
        <w:t>,</w:t>
      </w:r>
      <w:r w:rsidR="0010475E">
        <w:t xml:space="preserve"> </w:t>
      </w:r>
      <w:r>
        <w:t xml:space="preserve">showing a largely favourable prognostic effect observed in </w:t>
      </w:r>
      <w:r w:rsidRPr="1C2448F5">
        <w:rPr>
          <w:i/>
          <w:iCs/>
        </w:rPr>
        <w:t>POLE</w:t>
      </w:r>
      <w:r>
        <w:t xml:space="preserve">mut EC relative to other molecular subtypes. Statistical significance was reached for RFS in PORTEC-3 and Church et al. 2015, with a hazard ratio </w:t>
      </w:r>
      <w:r w:rsidR="005D5F15">
        <w:t xml:space="preserve">(HR) </w:t>
      </w:r>
      <w:r>
        <w:t xml:space="preserve">between 0.07 and 0.33. OS reported in PORTEC-3 was also statistically significant in favour of </w:t>
      </w:r>
      <w:r w:rsidRPr="1C2448F5">
        <w:rPr>
          <w:i/>
          <w:iCs/>
        </w:rPr>
        <w:t>POLE</w:t>
      </w:r>
      <w:r>
        <w:t xml:space="preserve">mut at the 5-year follow-up (HR 0.12; 95% CI: 0.02, 0.87; p = 0.036) and 10-year follow-up (HR 0.07; 95% CI: 0.01, 0.54; p = 0.009), but did not reach statistical significance in PORTEC-1/2 as reported by Stelloo et al. 2016 (HR 1.105; 95% CI: 0.394, 3.101; p = 0.850). Overall, the favourable prognosis associated with </w:t>
      </w:r>
      <w:r w:rsidRPr="1C2448F5">
        <w:rPr>
          <w:i/>
          <w:iCs/>
        </w:rPr>
        <w:t>POLE</w:t>
      </w:r>
      <w:r>
        <w:t xml:space="preserve">mut EC supports the clinical utility of </w:t>
      </w:r>
      <w:r w:rsidRPr="1C2448F5">
        <w:rPr>
          <w:i/>
          <w:iCs/>
        </w:rPr>
        <w:t>POLE</w:t>
      </w:r>
      <w:r>
        <w:t xml:space="preserve"> genotyping in guiding decisions</w:t>
      </w:r>
      <w:r w:rsidR="00B61062">
        <w:t xml:space="preserve"> for </w:t>
      </w:r>
      <w:r w:rsidR="0018284A">
        <w:t xml:space="preserve">adjuvant </w:t>
      </w:r>
      <w:r>
        <w:t xml:space="preserve">treatment. </w:t>
      </w:r>
      <w:r w:rsidR="009514F1">
        <w:t>However,</w:t>
      </w:r>
      <w:r w:rsidR="00831DF1">
        <w:t xml:space="preserve"> note that</w:t>
      </w:r>
      <w:r w:rsidR="009514F1">
        <w:t xml:space="preserve"> </w:t>
      </w:r>
      <w:r w:rsidR="00D46F43" w:rsidRPr="00FD4CDF">
        <w:rPr>
          <w:i/>
          <w:iCs/>
        </w:rPr>
        <w:t>POLE</w:t>
      </w:r>
      <w:r w:rsidR="00D46F43">
        <w:t xml:space="preserve"> status was not obtained until the post-hoc period, after randomisation of treatment, and therefore treatment received </w:t>
      </w:r>
      <w:r w:rsidR="00817C64">
        <w:t>may be</w:t>
      </w:r>
      <w:r w:rsidR="00D46F43">
        <w:t xml:space="preserve"> a potential confounder. </w:t>
      </w:r>
      <w:r w:rsidR="00180007">
        <w:t xml:space="preserve">Although </w:t>
      </w:r>
      <w:r w:rsidR="007E65D8">
        <w:t xml:space="preserve">multivariable Cox models </w:t>
      </w:r>
      <w:r w:rsidR="00180007">
        <w:t>adjus</w:t>
      </w:r>
      <w:r w:rsidR="007E65D8">
        <w:t xml:space="preserve">ted for clinicopathologic features, to account for treatment differences, this may not have completely eliminated the effects of confounding. </w:t>
      </w:r>
    </w:p>
    <w:p w14:paraId="50F0F848" w14:textId="4DB8A9B3" w:rsidR="00DC43B7" w:rsidRPr="00F834DD" w:rsidRDefault="00DC43B7" w:rsidP="00DC43B7">
      <w:pPr>
        <w:pStyle w:val="Caption"/>
      </w:pPr>
      <w:bookmarkStart w:id="44" w:name="_Ref216164798"/>
      <w:r w:rsidRPr="00F834DD">
        <w:lastRenderedPageBreak/>
        <w:t xml:space="preserve">Table </w:t>
      </w:r>
      <w:r>
        <w:fldChar w:fldCharType="begin"/>
      </w:r>
      <w:r>
        <w:instrText>SEQ Table \* ARABIC</w:instrText>
      </w:r>
      <w:r>
        <w:fldChar w:fldCharType="separate"/>
      </w:r>
      <w:r w:rsidR="00996E6E">
        <w:rPr>
          <w:noProof/>
        </w:rPr>
        <w:t>7</w:t>
      </w:r>
      <w:r>
        <w:fldChar w:fldCharType="end"/>
      </w:r>
      <w:bookmarkEnd w:id="44"/>
      <w:r w:rsidRPr="00F834DD">
        <w:t xml:space="preserve"> </w:t>
      </w:r>
      <w:r w:rsidR="00792C2D" w:rsidRPr="00792C2D">
        <w:t xml:space="preserve">Prognostic value of </w:t>
      </w:r>
      <w:r w:rsidR="00792C2D" w:rsidRPr="005D2637">
        <w:rPr>
          <w:i/>
        </w:rPr>
        <w:t>POLE</w:t>
      </w:r>
      <w:r w:rsidR="00792C2D" w:rsidRPr="00792C2D">
        <w:t xml:space="preserve"> testing in EC</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7"/>
        <w:gridCol w:w="1316"/>
        <w:gridCol w:w="1319"/>
        <w:gridCol w:w="2517"/>
        <w:gridCol w:w="2697"/>
      </w:tblGrid>
      <w:tr w:rsidR="00CE0A86" w:rsidRPr="00F834DD" w14:paraId="6FC94383" w14:textId="77777777" w:rsidTr="009D46EE">
        <w:trPr>
          <w:trHeight w:val="227"/>
          <w:tblHeader/>
        </w:trPr>
        <w:tc>
          <w:tcPr>
            <w:tcW w:w="603" w:type="pct"/>
            <w:shd w:val="clear" w:color="auto" w:fill="F2F2F2" w:themeFill="background1" w:themeFillShade="F2"/>
            <w:tcMar>
              <w:top w:w="0" w:type="dxa"/>
              <w:left w:w="57" w:type="dxa"/>
              <w:bottom w:w="0" w:type="dxa"/>
              <w:right w:w="57" w:type="dxa"/>
            </w:tcMar>
            <w:hideMark/>
          </w:tcPr>
          <w:p w14:paraId="4771BB78" w14:textId="77777777" w:rsidR="003E7416" w:rsidRPr="00F834DD" w:rsidRDefault="003E7416">
            <w:pPr>
              <w:pStyle w:val="Tableheading1"/>
              <w:keepNext/>
            </w:pPr>
            <w:r w:rsidRPr="00F834DD">
              <w:t>Study</w:t>
            </w:r>
          </w:p>
        </w:tc>
        <w:tc>
          <w:tcPr>
            <w:tcW w:w="737" w:type="pct"/>
            <w:shd w:val="clear" w:color="auto" w:fill="F2F2F2" w:themeFill="background1" w:themeFillShade="F2"/>
            <w:tcMar>
              <w:top w:w="0" w:type="dxa"/>
              <w:left w:w="57" w:type="dxa"/>
              <w:bottom w:w="0" w:type="dxa"/>
              <w:right w:w="57" w:type="dxa"/>
            </w:tcMar>
            <w:hideMark/>
          </w:tcPr>
          <w:p w14:paraId="7131D836" w14:textId="77777777" w:rsidR="003E7416" w:rsidRPr="00F834DD" w:rsidRDefault="003E7416">
            <w:pPr>
              <w:pStyle w:val="Tableheading1"/>
              <w:keepNext/>
            </w:pPr>
            <w:r w:rsidRPr="00F834DD">
              <w:t>Participants</w:t>
            </w:r>
          </w:p>
        </w:tc>
        <w:tc>
          <w:tcPr>
            <w:tcW w:w="739" w:type="pct"/>
            <w:shd w:val="clear" w:color="auto" w:fill="F2F2F2" w:themeFill="background1" w:themeFillShade="F2"/>
            <w:tcMar>
              <w:top w:w="0" w:type="dxa"/>
              <w:left w:w="57" w:type="dxa"/>
              <w:bottom w:w="0" w:type="dxa"/>
              <w:right w:w="57" w:type="dxa"/>
            </w:tcMar>
          </w:tcPr>
          <w:p w14:paraId="204085DB" w14:textId="77777777" w:rsidR="003E7416" w:rsidRPr="00F834DD" w:rsidRDefault="003E7416">
            <w:pPr>
              <w:pStyle w:val="Tableheading1"/>
              <w:keepNext/>
            </w:pPr>
            <w:r>
              <w:t>Comparison</w:t>
            </w:r>
          </w:p>
        </w:tc>
        <w:tc>
          <w:tcPr>
            <w:tcW w:w="1410" w:type="pct"/>
            <w:shd w:val="clear" w:color="auto" w:fill="F2F2F2" w:themeFill="background1" w:themeFillShade="F2"/>
            <w:tcMar>
              <w:top w:w="0" w:type="dxa"/>
              <w:left w:w="57" w:type="dxa"/>
              <w:bottom w:w="0" w:type="dxa"/>
              <w:right w:w="57" w:type="dxa"/>
            </w:tcMar>
          </w:tcPr>
          <w:p w14:paraId="665BEE4F" w14:textId="77777777" w:rsidR="003E7416" w:rsidRPr="00F834DD" w:rsidRDefault="003E7416">
            <w:pPr>
              <w:pStyle w:val="Tableheading1"/>
              <w:keepNext/>
            </w:pPr>
            <w:r w:rsidRPr="00F834DD">
              <w:t>Results, HR (95% CI)</w:t>
            </w:r>
          </w:p>
        </w:tc>
        <w:tc>
          <w:tcPr>
            <w:tcW w:w="1511" w:type="pct"/>
            <w:shd w:val="clear" w:color="auto" w:fill="F2F2F2" w:themeFill="background1" w:themeFillShade="F2"/>
            <w:tcMar>
              <w:top w:w="0" w:type="dxa"/>
              <w:left w:w="57" w:type="dxa"/>
              <w:bottom w:w="0" w:type="dxa"/>
              <w:right w:w="57" w:type="dxa"/>
            </w:tcMar>
            <w:hideMark/>
          </w:tcPr>
          <w:p w14:paraId="6FD23F0A" w14:textId="6303E600" w:rsidR="003E7416" w:rsidRPr="00F834DD" w:rsidRDefault="003E7416">
            <w:pPr>
              <w:pStyle w:val="Tableheading1"/>
              <w:keepNext/>
            </w:pPr>
            <w:r w:rsidRPr="00F834DD">
              <w:t xml:space="preserve">Quality of evidence using </w:t>
            </w:r>
            <w:r>
              <w:t>GRADE</w:t>
            </w:r>
          </w:p>
        </w:tc>
      </w:tr>
      <w:tr w:rsidR="003E7416" w:rsidRPr="00F834DD" w14:paraId="67A49A44" w14:textId="77777777" w:rsidTr="006A410F">
        <w:trPr>
          <w:trHeight w:val="227"/>
        </w:trPr>
        <w:tc>
          <w:tcPr>
            <w:tcW w:w="603" w:type="pct"/>
            <w:tcMar>
              <w:top w:w="0" w:type="dxa"/>
              <w:left w:w="57" w:type="dxa"/>
              <w:bottom w:w="0" w:type="dxa"/>
              <w:right w:w="57" w:type="dxa"/>
            </w:tcMar>
          </w:tcPr>
          <w:p w14:paraId="172FF38D" w14:textId="77777777" w:rsidR="003E7416" w:rsidRDefault="003E7416">
            <w:pPr>
              <w:pStyle w:val="Tabletext0"/>
              <w:keepNext/>
              <w:rPr>
                <w:lang w:val="nl-NL"/>
              </w:rPr>
            </w:pPr>
            <w:r w:rsidRPr="00CB5A13">
              <w:rPr>
                <w:lang w:val="nl-NL"/>
              </w:rPr>
              <w:t>PORTEC-3</w:t>
            </w:r>
          </w:p>
          <w:p w14:paraId="259F1E8C" w14:textId="75C889D2" w:rsidR="003E7416" w:rsidRPr="00CB5A13" w:rsidRDefault="003E7416">
            <w:pPr>
              <w:pStyle w:val="Tabletext0"/>
              <w:keepNext/>
              <w:rPr>
                <w:lang w:val="nl-NL"/>
              </w:rPr>
            </w:pPr>
            <w:r>
              <w:rPr>
                <w:lang w:val="nl-NL"/>
              </w:rPr>
              <w:t>(Leon-Castillo 2020</w:t>
            </w:r>
            <w:r w:rsidR="00603E03">
              <w:rPr>
                <w:lang w:val="nl-NL"/>
              </w:rPr>
              <w:fldChar w:fldCharType="begin"/>
            </w:r>
            <w:r w:rsidR="00603E03">
              <w:rPr>
                <w:lang w:val="nl-NL"/>
              </w:rPr>
              <w:instrText xml:space="preserve"> NOTEREF _Ref222382795 \f \h </w:instrText>
            </w:r>
            <w:r w:rsidR="00603E03">
              <w:rPr>
                <w:lang w:val="nl-NL"/>
              </w:rPr>
            </w:r>
            <w:r w:rsidR="00603E03">
              <w:rPr>
                <w:lang w:val="nl-NL"/>
              </w:rPr>
              <w:fldChar w:fldCharType="separate"/>
            </w:r>
            <w:r w:rsidR="000B42CB" w:rsidRPr="00E55E34">
              <w:rPr>
                <w:rStyle w:val="FootnoteReference"/>
              </w:rPr>
              <w:t>10</w:t>
            </w:r>
            <w:r w:rsidR="00603E03">
              <w:rPr>
                <w:lang w:val="nl-NL"/>
              </w:rPr>
              <w:fldChar w:fldCharType="end"/>
            </w:r>
            <w:r>
              <w:rPr>
                <w:lang w:val="nl-NL"/>
              </w:rPr>
              <w:t>; Post 2025</w:t>
            </w:r>
            <w:r w:rsidR="009B6A23">
              <w:rPr>
                <w:vertAlign w:val="superscript"/>
                <w:lang w:val="nl-NL"/>
              </w:rPr>
              <w:fldChar w:fldCharType="begin"/>
            </w:r>
            <w:r w:rsidR="009B6A23">
              <w:rPr>
                <w:vertAlign w:val="superscript"/>
                <w:lang w:val="nl-NL"/>
              </w:rPr>
              <w:instrText xml:space="preserve"> NOTEREF _Ref222382805 \f \h </w:instrText>
            </w:r>
            <w:r w:rsidR="009B6A23">
              <w:rPr>
                <w:vertAlign w:val="superscript"/>
                <w:lang w:val="nl-NL"/>
              </w:rPr>
            </w:r>
            <w:r w:rsidR="009B6A23">
              <w:rPr>
                <w:vertAlign w:val="superscript"/>
                <w:lang w:val="nl-NL"/>
              </w:rPr>
              <w:fldChar w:fldCharType="separate"/>
            </w:r>
            <w:r w:rsidR="000B42CB" w:rsidRPr="00E55E34">
              <w:rPr>
                <w:rStyle w:val="FootnoteReference"/>
              </w:rPr>
              <w:t>11</w:t>
            </w:r>
            <w:r w:rsidR="009B6A23">
              <w:rPr>
                <w:vertAlign w:val="superscript"/>
                <w:lang w:val="nl-NL"/>
              </w:rPr>
              <w:fldChar w:fldCharType="end"/>
            </w:r>
            <w:r>
              <w:rPr>
                <w:lang w:val="nl-NL"/>
              </w:rPr>
              <w:t>)</w:t>
            </w:r>
          </w:p>
        </w:tc>
        <w:tc>
          <w:tcPr>
            <w:tcW w:w="737" w:type="pct"/>
            <w:tcMar>
              <w:top w:w="0" w:type="dxa"/>
              <w:left w:w="57" w:type="dxa"/>
              <w:bottom w:w="0" w:type="dxa"/>
              <w:right w:w="57" w:type="dxa"/>
            </w:tcMar>
          </w:tcPr>
          <w:p w14:paraId="6463AEC8" w14:textId="77777777" w:rsidR="003E7416" w:rsidRPr="005F62DF" w:rsidRDefault="003E7416">
            <w:pPr>
              <w:pStyle w:val="Tabletext0"/>
              <w:keepNext/>
              <w:jc w:val="left"/>
            </w:pPr>
            <w:r w:rsidRPr="005F62DF">
              <w:t>Stage I</w:t>
            </w:r>
            <w:r>
              <w:t>–</w:t>
            </w:r>
            <w:r w:rsidRPr="005F62DF">
              <w:t>III</w:t>
            </w:r>
            <w:r>
              <w:t>, high-risk</w:t>
            </w:r>
            <w:r w:rsidRPr="005F62DF">
              <w:t xml:space="preserve"> EC</w:t>
            </w:r>
          </w:p>
        </w:tc>
        <w:tc>
          <w:tcPr>
            <w:tcW w:w="739" w:type="pct"/>
            <w:tcMar>
              <w:top w:w="0" w:type="dxa"/>
              <w:left w:w="57" w:type="dxa"/>
              <w:bottom w:w="0" w:type="dxa"/>
              <w:right w:w="57" w:type="dxa"/>
            </w:tcMar>
          </w:tcPr>
          <w:p w14:paraId="5F352B43" w14:textId="4D93CC6D" w:rsidR="003E7416" w:rsidRPr="00F834DD" w:rsidRDefault="003E7416">
            <w:pPr>
              <w:pStyle w:val="Tabletext0"/>
              <w:keepNext/>
              <w:jc w:val="left"/>
            </w:pPr>
            <w:r w:rsidRPr="00572E78">
              <w:rPr>
                <w:i/>
              </w:rPr>
              <w:t>POLE</w:t>
            </w:r>
            <w:r w:rsidRPr="00F834DD">
              <w:t xml:space="preserve">mut vs </w:t>
            </w:r>
            <w:r>
              <w:t>MMRd</w:t>
            </w:r>
          </w:p>
        </w:tc>
        <w:tc>
          <w:tcPr>
            <w:tcW w:w="1410" w:type="pct"/>
            <w:tcMar>
              <w:top w:w="0" w:type="dxa"/>
              <w:left w:w="57" w:type="dxa"/>
              <w:bottom w:w="0" w:type="dxa"/>
              <w:right w:w="57" w:type="dxa"/>
            </w:tcMar>
          </w:tcPr>
          <w:p w14:paraId="15C985CE" w14:textId="77777777" w:rsidR="003E7416" w:rsidRPr="00CB5A13" w:rsidRDefault="003E7416">
            <w:pPr>
              <w:pStyle w:val="Tabletext0"/>
              <w:keepNext/>
              <w:rPr>
                <w:rStyle w:val="TableunderlineChar"/>
                <w:lang w:val="en-AU"/>
              </w:rPr>
            </w:pPr>
            <w:r w:rsidRPr="00CB5A13">
              <w:rPr>
                <w:rStyle w:val="TableunderlineChar"/>
                <w:lang w:val="en-AU"/>
              </w:rPr>
              <w:t>5</w:t>
            </w:r>
            <w:r w:rsidRPr="002E5718">
              <w:rPr>
                <w:rStyle w:val="TableunderlineChar"/>
              </w:rPr>
              <w:t xml:space="preserve">-year </w:t>
            </w:r>
            <w:r w:rsidRPr="00CB5A13">
              <w:rPr>
                <w:rStyle w:val="TableunderlineChar"/>
              </w:rPr>
              <w:t>f</w:t>
            </w:r>
            <w:r w:rsidRPr="002E5718">
              <w:rPr>
                <w:rStyle w:val="TableunderlineChar"/>
              </w:rPr>
              <w:t>ollow-up</w:t>
            </w:r>
          </w:p>
          <w:p w14:paraId="6F1EE8DB" w14:textId="77777777" w:rsidR="003E7416" w:rsidRPr="00CB5A13" w:rsidRDefault="003E7416">
            <w:pPr>
              <w:pStyle w:val="Tabletext0"/>
              <w:keepNext/>
              <w:rPr>
                <w:b/>
              </w:rPr>
            </w:pPr>
            <w:r w:rsidRPr="00CB5A13">
              <w:rPr>
                <w:rStyle w:val="TableunderlineChar"/>
                <w:b/>
                <w:u w:val="none"/>
                <w:lang w:val="en-AU"/>
              </w:rPr>
              <w:t xml:space="preserve">RFS: </w:t>
            </w:r>
            <w:r w:rsidRPr="00CB5A13">
              <w:rPr>
                <w:b/>
              </w:rPr>
              <w:t>0.0</w:t>
            </w:r>
            <w:r>
              <w:rPr>
                <w:b/>
              </w:rPr>
              <w:t>8</w:t>
            </w:r>
            <w:r w:rsidRPr="00CB5A13">
              <w:rPr>
                <w:b/>
              </w:rPr>
              <w:t xml:space="preserve"> (0.01, 0.5</w:t>
            </w:r>
            <w:r>
              <w:rPr>
                <w:b/>
              </w:rPr>
              <w:t>8</w:t>
            </w:r>
            <w:r w:rsidRPr="00CB5A13">
              <w:rPr>
                <w:b/>
              </w:rPr>
              <w:t>); p = 0.012</w:t>
            </w:r>
          </w:p>
          <w:p w14:paraId="0FD7FC2B" w14:textId="77777777" w:rsidR="003E7416" w:rsidRDefault="003E7416">
            <w:pPr>
              <w:pStyle w:val="Tabletext0"/>
              <w:keepNext/>
              <w:rPr>
                <w:b/>
              </w:rPr>
            </w:pPr>
            <w:r w:rsidRPr="00CB5A13">
              <w:rPr>
                <w:rStyle w:val="TableunderlineChar"/>
                <w:b/>
                <w:u w:val="none"/>
                <w:lang w:val="en-AU"/>
              </w:rPr>
              <w:t xml:space="preserve">OS: </w:t>
            </w:r>
            <w:r w:rsidRPr="00CB5A13">
              <w:rPr>
                <w:b/>
              </w:rPr>
              <w:t>0.1</w:t>
            </w:r>
            <w:r>
              <w:rPr>
                <w:b/>
              </w:rPr>
              <w:t>2</w:t>
            </w:r>
            <w:r w:rsidRPr="00CB5A13">
              <w:rPr>
                <w:b/>
              </w:rPr>
              <w:t xml:space="preserve"> (0.0</w:t>
            </w:r>
            <w:r>
              <w:rPr>
                <w:b/>
              </w:rPr>
              <w:t>2</w:t>
            </w:r>
            <w:r w:rsidRPr="00CB5A13">
              <w:rPr>
                <w:b/>
              </w:rPr>
              <w:t>, 0.8</w:t>
            </w:r>
            <w:r>
              <w:rPr>
                <w:b/>
              </w:rPr>
              <w:t>7</w:t>
            </w:r>
            <w:r w:rsidRPr="00CB5A13">
              <w:rPr>
                <w:b/>
              </w:rPr>
              <w:t>); p = 0.036</w:t>
            </w:r>
          </w:p>
          <w:p w14:paraId="6BF1B298" w14:textId="77777777" w:rsidR="003E7416" w:rsidRPr="00CB5A13" w:rsidRDefault="003E7416">
            <w:pPr>
              <w:pStyle w:val="Tabletext0"/>
              <w:keepNext/>
              <w:rPr>
                <w:u w:val="single"/>
              </w:rPr>
            </w:pPr>
            <w:r w:rsidRPr="00CB5A13">
              <w:rPr>
                <w:u w:val="single"/>
              </w:rPr>
              <w:t>10-year follow-up</w:t>
            </w:r>
          </w:p>
          <w:p w14:paraId="325D5B2B" w14:textId="77777777" w:rsidR="003E7416" w:rsidRPr="00CB5A13" w:rsidRDefault="003E7416">
            <w:pPr>
              <w:pStyle w:val="Tabletext0"/>
              <w:keepNext/>
              <w:rPr>
                <w:b/>
              </w:rPr>
            </w:pPr>
            <w:r w:rsidRPr="00CB5A13">
              <w:rPr>
                <w:b/>
              </w:rPr>
              <w:t>RFS: 0.07 (0.01, 0.53); p = 0.009</w:t>
            </w:r>
          </w:p>
          <w:p w14:paraId="427F5477" w14:textId="77777777" w:rsidR="003E7416" w:rsidRPr="00A120DE" w:rsidRDefault="003E7416">
            <w:pPr>
              <w:pStyle w:val="Tabletext0"/>
              <w:keepNext/>
            </w:pPr>
            <w:r w:rsidRPr="00CB5A13">
              <w:rPr>
                <w:b/>
              </w:rPr>
              <w:t>OS: 0.07 (0.01, 0.54); p = 0.009</w:t>
            </w:r>
          </w:p>
        </w:tc>
        <w:tc>
          <w:tcPr>
            <w:tcW w:w="1511" w:type="pct"/>
            <w:tcMar>
              <w:top w:w="0" w:type="dxa"/>
              <w:left w:w="57" w:type="dxa"/>
              <w:bottom w:w="0" w:type="dxa"/>
              <w:right w:w="57" w:type="dxa"/>
            </w:tcMar>
          </w:tcPr>
          <w:p w14:paraId="29D83CE3" w14:textId="1915414A" w:rsidR="003E7416" w:rsidRPr="00F834DD" w:rsidRDefault="003E7416">
            <w:pPr>
              <w:pStyle w:val="Tabletext0"/>
              <w:keepNext/>
              <w:rPr>
                <w:rStyle w:val="quality-sign"/>
              </w:rPr>
            </w:pPr>
            <w:r w:rsidRPr="00093C08">
              <w:rPr>
                <w:rFonts w:ascii="Cambria Math" w:hAnsi="Cambria Math"/>
                <w:color w:val="006100"/>
              </w:rPr>
              <w:t>⨁⨁⨁⨁</w:t>
            </w:r>
            <w:r w:rsidRPr="00F834DD">
              <w:br/>
            </w:r>
            <w:r w:rsidRPr="00F834DD">
              <w:rPr>
                <w:rStyle w:val="TabletextChar0"/>
              </w:rPr>
              <w:t>High</w:t>
            </w:r>
          </w:p>
        </w:tc>
      </w:tr>
      <w:tr w:rsidR="00861B1F" w:rsidRPr="00F834DD" w14:paraId="10E5AA43" w14:textId="77777777" w:rsidTr="009D46EE">
        <w:trPr>
          <w:trHeight w:val="1434"/>
        </w:trPr>
        <w:tc>
          <w:tcPr>
            <w:tcW w:w="603" w:type="pct"/>
            <w:vMerge w:val="restart"/>
            <w:tcMar>
              <w:top w:w="0" w:type="dxa"/>
              <w:left w:w="57" w:type="dxa"/>
              <w:bottom w:w="0" w:type="dxa"/>
              <w:right w:w="57" w:type="dxa"/>
            </w:tcMar>
          </w:tcPr>
          <w:p w14:paraId="30BF1FAF" w14:textId="77777777" w:rsidR="003E7416" w:rsidRDefault="003E7416">
            <w:pPr>
              <w:pStyle w:val="Tabletext0"/>
              <w:keepNext/>
            </w:pPr>
            <w:r w:rsidRPr="00F834DD">
              <w:t>PORTEC-1/2 + EC series</w:t>
            </w:r>
          </w:p>
          <w:p w14:paraId="2F2F5584" w14:textId="295C30AE" w:rsidR="003E7416" w:rsidRPr="00F834DD" w:rsidRDefault="003E7416">
            <w:pPr>
              <w:pStyle w:val="Tabletext0"/>
              <w:keepNext/>
            </w:pPr>
            <w:r>
              <w:t>(Church 2015</w:t>
            </w:r>
            <w:r w:rsidRPr="009F2748">
              <w:rPr>
                <w:vertAlign w:val="superscript"/>
              </w:rPr>
              <w:fldChar w:fldCharType="begin"/>
            </w:r>
            <w:r w:rsidRPr="009F2748">
              <w:rPr>
                <w:vertAlign w:val="superscript"/>
              </w:rPr>
              <w:instrText xml:space="preserve"> NOTEREF _Ref215208633 \h </w:instrText>
            </w:r>
            <w:r>
              <w:rPr>
                <w:vertAlign w:val="superscript"/>
              </w:rPr>
              <w:instrText xml:space="preserve"> \* MERGEFORMAT </w:instrText>
            </w:r>
            <w:r w:rsidRPr="009F2748">
              <w:rPr>
                <w:vertAlign w:val="superscript"/>
              </w:rPr>
            </w:r>
            <w:r w:rsidRPr="009F2748">
              <w:rPr>
                <w:vertAlign w:val="superscript"/>
              </w:rPr>
              <w:fldChar w:fldCharType="separate"/>
            </w:r>
            <w:r w:rsidR="000B42CB">
              <w:rPr>
                <w:vertAlign w:val="superscript"/>
              </w:rPr>
              <w:t>12</w:t>
            </w:r>
            <w:r w:rsidRPr="009F2748">
              <w:rPr>
                <w:vertAlign w:val="superscript"/>
              </w:rPr>
              <w:fldChar w:fldCharType="end"/>
            </w:r>
            <w:r>
              <w:t>)</w:t>
            </w:r>
          </w:p>
        </w:tc>
        <w:tc>
          <w:tcPr>
            <w:tcW w:w="737" w:type="pct"/>
            <w:vMerge w:val="restart"/>
            <w:tcMar>
              <w:top w:w="0" w:type="dxa"/>
              <w:left w:w="57" w:type="dxa"/>
              <w:bottom w:w="0" w:type="dxa"/>
              <w:right w:w="57" w:type="dxa"/>
            </w:tcMar>
          </w:tcPr>
          <w:p w14:paraId="45F073BB" w14:textId="77777777" w:rsidR="003E7416" w:rsidRPr="005F62DF" w:rsidRDefault="003E7416">
            <w:pPr>
              <w:pStyle w:val="Tabletext0"/>
              <w:keepNext/>
              <w:jc w:val="left"/>
            </w:pPr>
            <w:r w:rsidRPr="005F62DF">
              <w:t>Stage I</w:t>
            </w:r>
            <w:r>
              <w:t>–</w:t>
            </w:r>
            <w:r w:rsidRPr="005F62DF">
              <w:t>II</w:t>
            </w:r>
            <w:r>
              <w:t xml:space="preserve">, intermediate- to high–intermediate- risk </w:t>
            </w:r>
            <w:r w:rsidRPr="005F62DF">
              <w:t>EC</w:t>
            </w:r>
          </w:p>
        </w:tc>
        <w:tc>
          <w:tcPr>
            <w:tcW w:w="739" w:type="pct"/>
            <w:vMerge w:val="restart"/>
            <w:tcMar>
              <w:top w:w="0" w:type="dxa"/>
              <w:left w:w="57" w:type="dxa"/>
              <w:bottom w:w="0" w:type="dxa"/>
              <w:right w:w="57" w:type="dxa"/>
            </w:tcMar>
          </w:tcPr>
          <w:p w14:paraId="3494B16A" w14:textId="6F2B3E85" w:rsidR="003E7416" w:rsidRPr="00F834DD" w:rsidRDefault="003E7416">
            <w:pPr>
              <w:pStyle w:val="Tabletext0"/>
              <w:keepNext/>
              <w:jc w:val="left"/>
            </w:pPr>
            <w:r w:rsidRPr="00572E78">
              <w:rPr>
                <w:i/>
              </w:rPr>
              <w:t>POLE</w:t>
            </w:r>
            <w:r w:rsidRPr="00F834DD">
              <w:t xml:space="preserve">mut vs </w:t>
            </w:r>
            <w:r w:rsidRPr="00572E78">
              <w:rPr>
                <w:i/>
              </w:rPr>
              <w:t>POLE</w:t>
            </w:r>
            <w:r w:rsidRPr="00F834DD">
              <w:t>wt</w:t>
            </w:r>
          </w:p>
        </w:tc>
        <w:tc>
          <w:tcPr>
            <w:tcW w:w="1410" w:type="pct"/>
            <w:tcMar>
              <w:top w:w="0" w:type="dxa"/>
              <w:left w:w="57" w:type="dxa"/>
              <w:bottom w:w="0" w:type="dxa"/>
              <w:right w:w="57" w:type="dxa"/>
            </w:tcMar>
          </w:tcPr>
          <w:p w14:paraId="4766F93D" w14:textId="77777777" w:rsidR="003E7416" w:rsidRPr="00CB5A13" w:rsidRDefault="003E7416">
            <w:pPr>
              <w:pStyle w:val="Tabletext0"/>
              <w:keepNext/>
              <w:rPr>
                <w:b/>
              </w:rPr>
            </w:pPr>
            <w:r w:rsidRPr="00CB5A13">
              <w:rPr>
                <w:rStyle w:val="TableunderlineChar"/>
                <w:b/>
                <w:u w:val="none"/>
                <w:lang w:val="en-AU"/>
              </w:rPr>
              <w:t>RFS: 0.33 (0.12, 0.91); p = 0.03</w:t>
            </w:r>
          </w:p>
        </w:tc>
        <w:tc>
          <w:tcPr>
            <w:tcW w:w="1511" w:type="pct"/>
            <w:tcMar>
              <w:top w:w="0" w:type="dxa"/>
              <w:left w:w="57" w:type="dxa"/>
              <w:bottom w:w="0" w:type="dxa"/>
              <w:right w:w="57" w:type="dxa"/>
            </w:tcMar>
          </w:tcPr>
          <w:p w14:paraId="547468CF" w14:textId="4B30A895" w:rsidR="003E7416" w:rsidRPr="00F834DD" w:rsidRDefault="003E7416">
            <w:pPr>
              <w:pStyle w:val="Tabletext0"/>
              <w:keepNext/>
            </w:pPr>
            <w:r w:rsidRPr="00093C08">
              <w:rPr>
                <w:rFonts w:ascii="Cambria Math" w:hAnsi="Cambria Math"/>
                <w:color w:val="006100"/>
              </w:rPr>
              <w:t>⨁⨁⨁⨁</w:t>
            </w:r>
            <w:r w:rsidRPr="00F834DD">
              <w:br/>
            </w:r>
            <w:r w:rsidRPr="00F834DD">
              <w:rPr>
                <w:rStyle w:val="TabletextChar0"/>
              </w:rPr>
              <w:t>High</w:t>
            </w:r>
          </w:p>
        </w:tc>
      </w:tr>
      <w:tr w:rsidR="00861B1F" w:rsidRPr="00F834DD" w14:paraId="44ED28C1" w14:textId="77777777" w:rsidTr="009D46EE">
        <w:trPr>
          <w:trHeight w:val="227"/>
        </w:trPr>
        <w:tc>
          <w:tcPr>
            <w:tcW w:w="603" w:type="pct"/>
            <w:vMerge/>
            <w:tcMar>
              <w:top w:w="0" w:type="dxa"/>
              <w:left w:w="57" w:type="dxa"/>
              <w:bottom w:w="0" w:type="dxa"/>
              <w:right w:w="57" w:type="dxa"/>
            </w:tcMar>
          </w:tcPr>
          <w:p w14:paraId="55C196BE" w14:textId="77777777" w:rsidR="003E7416" w:rsidRPr="00F834DD" w:rsidRDefault="003E7416">
            <w:pPr>
              <w:pStyle w:val="Tabletext0"/>
              <w:keepNext/>
            </w:pPr>
          </w:p>
        </w:tc>
        <w:tc>
          <w:tcPr>
            <w:tcW w:w="737" w:type="pct"/>
            <w:vMerge/>
            <w:tcMar>
              <w:top w:w="0" w:type="dxa"/>
              <w:left w:w="57" w:type="dxa"/>
              <w:bottom w:w="0" w:type="dxa"/>
              <w:right w:w="57" w:type="dxa"/>
            </w:tcMar>
          </w:tcPr>
          <w:p w14:paraId="7EC0DF05" w14:textId="77777777" w:rsidR="003E7416" w:rsidRPr="005F62DF" w:rsidRDefault="003E7416">
            <w:pPr>
              <w:pStyle w:val="Tabletext0"/>
              <w:keepNext/>
              <w:jc w:val="left"/>
            </w:pPr>
          </w:p>
        </w:tc>
        <w:tc>
          <w:tcPr>
            <w:tcW w:w="739" w:type="pct"/>
            <w:vMerge/>
            <w:tcMar>
              <w:top w:w="0" w:type="dxa"/>
              <w:left w:w="57" w:type="dxa"/>
              <w:bottom w:w="0" w:type="dxa"/>
              <w:right w:w="57" w:type="dxa"/>
            </w:tcMar>
          </w:tcPr>
          <w:p w14:paraId="4838C784" w14:textId="77777777" w:rsidR="003E7416" w:rsidRPr="002F442F" w:rsidRDefault="003E7416">
            <w:pPr>
              <w:pStyle w:val="Tabletext0"/>
              <w:keepNext/>
              <w:jc w:val="left"/>
              <w:rPr>
                <w:rStyle w:val="TableunderlineChar"/>
                <w:u w:val="none"/>
                <w:lang w:val="en-AU"/>
              </w:rPr>
            </w:pPr>
          </w:p>
        </w:tc>
        <w:tc>
          <w:tcPr>
            <w:tcW w:w="1410" w:type="pct"/>
            <w:tcMar>
              <w:top w:w="0" w:type="dxa"/>
              <w:left w:w="57" w:type="dxa"/>
              <w:bottom w:w="0" w:type="dxa"/>
              <w:right w:w="57" w:type="dxa"/>
            </w:tcMar>
          </w:tcPr>
          <w:p w14:paraId="454AE0CE" w14:textId="77777777" w:rsidR="003E7416" w:rsidRPr="002F442F" w:rsidRDefault="003E7416">
            <w:pPr>
              <w:pStyle w:val="Tabletext0"/>
              <w:keepNext/>
            </w:pPr>
            <w:r>
              <w:rPr>
                <w:rStyle w:val="TableunderlineChar"/>
                <w:u w:val="none"/>
                <w:lang w:val="en-AU"/>
              </w:rPr>
              <w:t>CSS</w:t>
            </w:r>
            <w:r w:rsidRPr="002F442F">
              <w:rPr>
                <w:rStyle w:val="TableunderlineChar"/>
                <w:u w:val="none"/>
                <w:lang w:val="en-AU"/>
              </w:rPr>
              <w:t xml:space="preserve">: </w:t>
            </w:r>
            <w:r>
              <w:t>0.26 (0.06, 1.08); p = 0.06</w:t>
            </w:r>
          </w:p>
        </w:tc>
        <w:tc>
          <w:tcPr>
            <w:tcW w:w="1511" w:type="pct"/>
            <w:tcMar>
              <w:top w:w="0" w:type="dxa"/>
              <w:left w:w="57" w:type="dxa"/>
              <w:bottom w:w="0" w:type="dxa"/>
              <w:right w:w="57" w:type="dxa"/>
            </w:tcMar>
          </w:tcPr>
          <w:p w14:paraId="649F0E1C" w14:textId="045884A8" w:rsidR="003E7416" w:rsidRPr="00F834DD" w:rsidRDefault="003E7416">
            <w:pPr>
              <w:pStyle w:val="Tabletext0"/>
              <w:keepNext/>
            </w:pPr>
            <w:r w:rsidRPr="00093C08">
              <w:rPr>
                <w:rFonts w:ascii="Cambria Math" w:hAnsi="Cambria Math"/>
                <w:color w:val="006100"/>
              </w:rPr>
              <w:t>⨁⨁⨁</w:t>
            </w:r>
            <w:r w:rsidRPr="00CE28E3">
              <w:rPr>
                <w:rFonts w:ascii="Cambria Math" w:hAnsi="Cambria Math" w:cs="Cambria Math"/>
                <w:color w:val="C00000"/>
              </w:rPr>
              <w:t>⨀</w:t>
            </w:r>
            <w:r w:rsidRPr="00F834DD">
              <w:br/>
            </w:r>
            <w:r w:rsidRPr="00F834DD">
              <w:rPr>
                <w:rStyle w:val="quality-text"/>
              </w:rPr>
              <w:t>Moderate</w:t>
            </w:r>
          </w:p>
        </w:tc>
      </w:tr>
      <w:tr w:rsidR="003E7416" w:rsidRPr="00F834DD" w14:paraId="0EE5AFBC" w14:textId="77777777" w:rsidTr="009D46EE">
        <w:trPr>
          <w:trHeight w:val="227"/>
        </w:trPr>
        <w:tc>
          <w:tcPr>
            <w:tcW w:w="603" w:type="pct"/>
            <w:tcMar>
              <w:top w:w="0" w:type="dxa"/>
              <w:left w:w="57" w:type="dxa"/>
              <w:bottom w:w="0" w:type="dxa"/>
              <w:right w:w="57" w:type="dxa"/>
            </w:tcMar>
          </w:tcPr>
          <w:p w14:paraId="5941531F" w14:textId="77777777" w:rsidR="003E7416" w:rsidRDefault="003E7416">
            <w:pPr>
              <w:pStyle w:val="Tabletext0"/>
              <w:keepNext/>
            </w:pPr>
            <w:r w:rsidRPr="00F834DD">
              <w:t xml:space="preserve">PORTEC-1/2 </w:t>
            </w:r>
          </w:p>
          <w:p w14:paraId="3A1EB264" w14:textId="50C4528F" w:rsidR="003E7416" w:rsidRPr="00F834DD" w:rsidRDefault="003E7416">
            <w:pPr>
              <w:pStyle w:val="Tabletext0"/>
              <w:keepNext/>
            </w:pPr>
            <w:r>
              <w:t>(Stelloo 2016</w:t>
            </w:r>
            <w:r w:rsidRPr="009F2748">
              <w:rPr>
                <w:vertAlign w:val="superscript"/>
              </w:rPr>
              <w:fldChar w:fldCharType="begin"/>
            </w:r>
            <w:r w:rsidRPr="009F2748">
              <w:rPr>
                <w:vertAlign w:val="superscript"/>
              </w:rPr>
              <w:instrText xml:space="preserve"> NOTEREF _Ref215208656 \h </w:instrText>
            </w:r>
            <w:r>
              <w:rPr>
                <w:vertAlign w:val="superscript"/>
              </w:rPr>
              <w:instrText xml:space="preserve"> \* MERGEFORMAT </w:instrText>
            </w:r>
            <w:r w:rsidRPr="009F2748">
              <w:rPr>
                <w:vertAlign w:val="superscript"/>
              </w:rPr>
            </w:r>
            <w:r w:rsidRPr="009F2748">
              <w:rPr>
                <w:vertAlign w:val="superscript"/>
              </w:rPr>
              <w:fldChar w:fldCharType="separate"/>
            </w:r>
            <w:r w:rsidR="000B42CB">
              <w:rPr>
                <w:vertAlign w:val="superscript"/>
              </w:rPr>
              <w:t>13</w:t>
            </w:r>
            <w:r w:rsidRPr="009F2748">
              <w:rPr>
                <w:vertAlign w:val="superscript"/>
              </w:rPr>
              <w:fldChar w:fldCharType="end"/>
            </w:r>
            <w:r>
              <w:t>)</w:t>
            </w:r>
          </w:p>
        </w:tc>
        <w:tc>
          <w:tcPr>
            <w:tcW w:w="737" w:type="pct"/>
            <w:tcMar>
              <w:top w:w="0" w:type="dxa"/>
              <w:left w:w="57" w:type="dxa"/>
              <w:bottom w:w="0" w:type="dxa"/>
              <w:right w:w="57" w:type="dxa"/>
            </w:tcMar>
          </w:tcPr>
          <w:p w14:paraId="46AE6FE8" w14:textId="77777777" w:rsidR="003E7416" w:rsidRPr="005F62DF" w:rsidRDefault="003E7416">
            <w:pPr>
              <w:pStyle w:val="Tabletext0"/>
              <w:keepNext/>
              <w:jc w:val="left"/>
            </w:pPr>
            <w:r w:rsidRPr="005F62DF">
              <w:t>Stage I</w:t>
            </w:r>
            <w:r>
              <w:t>–</w:t>
            </w:r>
            <w:r w:rsidRPr="005F62DF">
              <w:t>II</w:t>
            </w:r>
            <w:r>
              <w:t xml:space="preserve">, intermediate- to high–intermediate-risk </w:t>
            </w:r>
            <w:r w:rsidRPr="005F62DF">
              <w:t>EC</w:t>
            </w:r>
          </w:p>
        </w:tc>
        <w:tc>
          <w:tcPr>
            <w:tcW w:w="739" w:type="pct"/>
            <w:tcMar>
              <w:top w:w="0" w:type="dxa"/>
              <w:left w:w="57" w:type="dxa"/>
              <w:bottom w:w="0" w:type="dxa"/>
              <w:right w:w="57" w:type="dxa"/>
            </w:tcMar>
          </w:tcPr>
          <w:p w14:paraId="2D07FF5C" w14:textId="4CB29747" w:rsidR="003E7416" w:rsidRPr="00F834DD" w:rsidRDefault="003E7416">
            <w:pPr>
              <w:pStyle w:val="Tabletext0"/>
              <w:keepNext/>
              <w:jc w:val="left"/>
            </w:pPr>
            <w:r w:rsidRPr="00572E78">
              <w:rPr>
                <w:i/>
              </w:rPr>
              <w:t>POLE</w:t>
            </w:r>
            <w:r w:rsidRPr="00F834DD">
              <w:t>mut vs NSMP</w:t>
            </w:r>
          </w:p>
        </w:tc>
        <w:tc>
          <w:tcPr>
            <w:tcW w:w="1410" w:type="pct"/>
            <w:tcMar>
              <w:top w:w="0" w:type="dxa"/>
              <w:left w:w="57" w:type="dxa"/>
              <w:bottom w:w="0" w:type="dxa"/>
              <w:right w:w="57" w:type="dxa"/>
            </w:tcMar>
          </w:tcPr>
          <w:p w14:paraId="26DC2B5D" w14:textId="77777777" w:rsidR="003E7416" w:rsidRPr="002F442F" w:rsidRDefault="003E7416">
            <w:pPr>
              <w:pStyle w:val="Tabletext0"/>
              <w:keepNext/>
            </w:pPr>
            <w:r w:rsidRPr="002F442F">
              <w:rPr>
                <w:rStyle w:val="TableunderlineChar"/>
                <w:u w:val="none"/>
                <w:lang w:val="en-AU"/>
              </w:rPr>
              <w:t xml:space="preserve">OS: </w:t>
            </w:r>
            <w:r w:rsidRPr="002F442F">
              <w:t>1.105</w:t>
            </w:r>
            <w:r>
              <w:t xml:space="preserve"> (</w:t>
            </w:r>
            <w:r w:rsidRPr="002F442F">
              <w:t>0.394, 3.101</w:t>
            </w:r>
            <w:r>
              <w:t>)</w:t>
            </w:r>
            <w:r w:rsidRPr="002F442F">
              <w:t>; p = 0.850</w:t>
            </w:r>
          </w:p>
        </w:tc>
        <w:tc>
          <w:tcPr>
            <w:tcW w:w="1511" w:type="pct"/>
            <w:tcMar>
              <w:top w:w="0" w:type="dxa"/>
              <w:left w:w="57" w:type="dxa"/>
              <w:bottom w:w="0" w:type="dxa"/>
              <w:right w:w="57" w:type="dxa"/>
            </w:tcMar>
          </w:tcPr>
          <w:p w14:paraId="67785870" w14:textId="5F84C3F6" w:rsidR="003E7416" w:rsidRPr="00F834DD" w:rsidRDefault="003E7416">
            <w:pPr>
              <w:pStyle w:val="Tabletext0"/>
              <w:keepNext/>
              <w:rPr>
                <w:rStyle w:val="quality-sign"/>
              </w:rPr>
            </w:pPr>
            <w:r w:rsidRPr="00093C08">
              <w:rPr>
                <w:rFonts w:ascii="Cambria Math" w:hAnsi="Cambria Math"/>
                <w:color w:val="006100"/>
              </w:rPr>
              <w:t>⨁⨁</w:t>
            </w:r>
            <w:r w:rsidRPr="00CE28E3">
              <w:rPr>
                <w:rFonts w:ascii="Cambria Math" w:hAnsi="Cambria Math" w:cs="Cambria Math"/>
                <w:color w:val="C00000"/>
              </w:rPr>
              <w:t>⨀⨀</w:t>
            </w:r>
            <w:r w:rsidRPr="00F834DD">
              <w:br/>
            </w:r>
            <w:r w:rsidRPr="00F834DD">
              <w:rPr>
                <w:rStyle w:val="quality-text"/>
              </w:rPr>
              <w:t>Low</w:t>
            </w:r>
          </w:p>
        </w:tc>
      </w:tr>
    </w:tbl>
    <w:p w14:paraId="1C937A1E" w14:textId="0EF47071" w:rsidR="00DC43B7" w:rsidRDefault="00DC43B7" w:rsidP="00DC43B7">
      <w:pPr>
        <w:pStyle w:val="Tablefooter0"/>
        <w:keepNext/>
      </w:pPr>
      <w:r>
        <w:t xml:space="preserve">Abbreviations: CI = confidence interval; CSS = cancer specific survival; </w:t>
      </w:r>
      <w:r w:rsidR="00657CBC">
        <w:t>CTRT</w:t>
      </w:r>
      <w:r w:rsidR="00A614CD">
        <w:t xml:space="preserve"> = combined adjuvant chemotherapy and radiotherapy; </w:t>
      </w:r>
      <w:r>
        <w:t xml:space="preserve">HR = hazard ratio; MMRd = mismatch repair deficient; NSMP = no specific molecular profile; OS = overall survival; PFS = progression free survival; </w:t>
      </w:r>
      <w:r w:rsidRPr="00572E78">
        <w:rPr>
          <w:i/>
        </w:rPr>
        <w:t>POLE</w:t>
      </w:r>
      <w:r>
        <w:t xml:space="preserve">mut = DNA polymerase epsilon, catalytic subunit mutation; </w:t>
      </w:r>
      <w:r w:rsidRPr="00572E78">
        <w:rPr>
          <w:i/>
        </w:rPr>
        <w:t>POLE</w:t>
      </w:r>
      <w:r>
        <w:t>wt = DNA polymerase epsilon, catalytic subunit wild type; RFS = recurrence free survival</w:t>
      </w:r>
      <w:r w:rsidR="00A614CD">
        <w:t xml:space="preserve">; RT = </w:t>
      </w:r>
      <w:r w:rsidR="00A40BFD">
        <w:t>external beam radiotherapy alone</w:t>
      </w:r>
      <w:r w:rsidR="00D777A0">
        <w:t>; VBT = vaginal brachytherapy</w:t>
      </w:r>
    </w:p>
    <w:p w14:paraId="60C09AED" w14:textId="2E4CB0E8" w:rsidR="00DC43B7" w:rsidRDefault="00D53D8B" w:rsidP="00DC43B7">
      <w:pPr>
        <w:pStyle w:val="Tablefooter0"/>
        <w:keepNext/>
      </w:pPr>
      <w:r>
        <w:t xml:space="preserve">Note: </w:t>
      </w:r>
      <w:r w:rsidR="00DC43B7">
        <w:t>Bolded results indicate statistically significant difference</w:t>
      </w:r>
    </w:p>
    <w:p w14:paraId="285E6CBF" w14:textId="578CE94A" w:rsidR="00B47A38" w:rsidRDefault="002B7232" w:rsidP="00DC43B7">
      <w:pPr>
        <w:pStyle w:val="Tablefooter0"/>
        <w:keepNext/>
      </w:pPr>
      <w:r>
        <w:t>Note that in Church et al. and Stelloo et al., c</w:t>
      </w:r>
      <w:r w:rsidR="00B47A38">
        <w:t xml:space="preserve">omparisons of survival outcomes between </w:t>
      </w:r>
      <w:r w:rsidR="00B47A38" w:rsidRPr="00572E78">
        <w:rPr>
          <w:i/>
        </w:rPr>
        <w:t>POLE</w:t>
      </w:r>
      <w:r w:rsidR="00B47A38">
        <w:t>mut and other molecular subgroups were not reported by treatment arm</w:t>
      </w:r>
      <w:r>
        <w:t>.</w:t>
      </w:r>
    </w:p>
    <w:p w14:paraId="5804619E" w14:textId="615DD481" w:rsidR="00DC43B7" w:rsidRDefault="00DC43B7" w:rsidP="00DC43B7">
      <w:r>
        <w:t xml:space="preserve">Of note, </w:t>
      </w:r>
      <w:r w:rsidR="00D352A5">
        <w:t xml:space="preserve">the assessment group noted </w:t>
      </w:r>
      <w:r>
        <w:t>long term data from PORTEC-3 showed that over 10</w:t>
      </w:r>
      <w:r w:rsidR="003E348F">
        <w:t xml:space="preserve"> </w:t>
      </w:r>
      <w:r>
        <w:t xml:space="preserve">years of follow-up, the favourable prognosis of </w:t>
      </w:r>
      <w:r w:rsidRPr="00836811">
        <w:rPr>
          <w:i/>
        </w:rPr>
        <w:t>POLE</w:t>
      </w:r>
      <w:r>
        <w:t>mut EC was sustained compared with other molecular classes</w:t>
      </w:r>
      <w:r w:rsidR="00FF0B44">
        <w:t>, irrespective of the adjuvant therapy received</w:t>
      </w:r>
      <w:r>
        <w:t xml:space="preserve"> (</w:t>
      </w:r>
      <w:r w:rsidR="000F69D6">
        <w:fldChar w:fldCharType="begin"/>
      </w:r>
      <w:r w:rsidR="000F69D6">
        <w:instrText xml:space="preserve"> REF _Ref214604546 \h </w:instrText>
      </w:r>
      <w:r w:rsidR="000F69D6">
        <w:fldChar w:fldCharType="separate"/>
      </w:r>
      <w:r w:rsidR="00996E6E">
        <w:t xml:space="preserve">Figure </w:t>
      </w:r>
      <w:r w:rsidR="00996E6E">
        <w:rPr>
          <w:noProof/>
        </w:rPr>
        <w:t>3</w:t>
      </w:r>
      <w:r w:rsidR="000F69D6">
        <w:fldChar w:fldCharType="end"/>
      </w:r>
      <w:r>
        <w:t>).</w:t>
      </w:r>
    </w:p>
    <w:p w14:paraId="3B21DD57" w14:textId="410EEDBD" w:rsidR="00DC43B7" w:rsidRDefault="00DC43B7" w:rsidP="00DC43B7">
      <w:pPr>
        <w:pStyle w:val="Caption"/>
      </w:pPr>
      <w:bookmarkStart w:id="45" w:name="_Ref214604546"/>
      <w:r>
        <w:lastRenderedPageBreak/>
        <w:t xml:space="preserve">Figure </w:t>
      </w:r>
      <w:r>
        <w:fldChar w:fldCharType="begin"/>
      </w:r>
      <w:r>
        <w:instrText>SEQ Figure \* ARABIC</w:instrText>
      </w:r>
      <w:r>
        <w:fldChar w:fldCharType="separate"/>
      </w:r>
      <w:r w:rsidR="00996E6E">
        <w:rPr>
          <w:noProof/>
        </w:rPr>
        <w:t>3</w:t>
      </w:r>
      <w:r>
        <w:fldChar w:fldCharType="end"/>
      </w:r>
      <w:bookmarkEnd w:id="45"/>
      <w:r>
        <w:t xml:space="preserve"> PORTEC-3: OS over 10</w:t>
      </w:r>
      <w:r w:rsidR="003E348F">
        <w:t xml:space="preserve"> </w:t>
      </w:r>
      <w:r>
        <w:t>years</w:t>
      </w:r>
    </w:p>
    <w:tbl>
      <w:tblPr>
        <w:tblStyle w:val="TableGrid"/>
        <w:tblW w:w="5000" w:type="pct"/>
        <w:tblLook w:val="04A0" w:firstRow="1" w:lastRow="0" w:firstColumn="1" w:lastColumn="0" w:noHBand="0" w:noVBand="1"/>
      </w:tblPr>
      <w:tblGrid>
        <w:gridCol w:w="9026"/>
      </w:tblGrid>
      <w:tr w:rsidR="00834C99" w14:paraId="61329ABD" w14:textId="77777777" w:rsidTr="00DB3DDA">
        <w:tc>
          <w:tcPr>
            <w:tcW w:w="5000" w:type="pct"/>
          </w:tcPr>
          <w:p w14:paraId="07DBA488" w14:textId="676C0A99" w:rsidR="00834C99" w:rsidRDefault="00834C99" w:rsidP="009F2748">
            <w:pPr>
              <w:pStyle w:val="Tableheading1"/>
              <w:keepNext/>
            </w:pPr>
            <w:r>
              <w:t>Overall survival by molecular class</w:t>
            </w:r>
          </w:p>
          <w:p w14:paraId="012D4C43" w14:textId="553DFDC0" w:rsidR="00834C99" w:rsidRDefault="00834C99" w:rsidP="009F2748">
            <w:pPr>
              <w:pStyle w:val="Tableheading1"/>
              <w:keepNext/>
            </w:pPr>
            <w:r>
              <w:rPr>
                <w:noProof/>
              </w:rPr>
              <w:drawing>
                <wp:inline distT="0" distB="0" distL="0" distR="0" wp14:anchorId="463CA1B1" wp14:editId="32398BCD">
                  <wp:extent cx="3886200" cy="2818421"/>
                  <wp:effectExtent l="0" t="0" r="0" b="1270"/>
                  <wp:docPr id="1807579830" name="Picture 1" descr="A graph of overall survival by molecular class from PORTEC-3 over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79830" name="Picture 1" descr="A graph of overall survival by molecular class from PORTEC-3 over 10 years"/>
                          <pic:cNvPicPr/>
                        </pic:nvPicPr>
                        <pic:blipFill>
                          <a:blip r:embed="rId15"/>
                          <a:stretch>
                            <a:fillRect/>
                          </a:stretch>
                        </pic:blipFill>
                        <pic:spPr>
                          <a:xfrm>
                            <a:off x="0" y="0"/>
                            <a:ext cx="3918846" cy="2842097"/>
                          </a:xfrm>
                          <a:prstGeom prst="rect">
                            <a:avLst/>
                          </a:prstGeom>
                        </pic:spPr>
                      </pic:pic>
                    </a:graphicData>
                  </a:graphic>
                </wp:inline>
              </w:drawing>
            </w:r>
          </w:p>
        </w:tc>
      </w:tr>
      <w:tr w:rsidR="00834C99" w14:paraId="5055DA6D" w14:textId="77777777" w:rsidTr="00DB3DDA">
        <w:tc>
          <w:tcPr>
            <w:tcW w:w="5000" w:type="pct"/>
          </w:tcPr>
          <w:p w14:paraId="5D439A8A" w14:textId="18A20E10" w:rsidR="00834C99" w:rsidRDefault="007C30EA" w:rsidP="009F2748">
            <w:pPr>
              <w:pStyle w:val="Tableheading1"/>
              <w:keepNext/>
            </w:pPr>
            <w:r w:rsidRPr="007C30EA">
              <w:rPr>
                <w:noProof/>
              </w:rPr>
              <w:drawing>
                <wp:anchor distT="0" distB="0" distL="114300" distR="114300" simplePos="0" relativeHeight="251658240" behindDoc="0" locked="0" layoutInCell="1" allowOverlap="1" wp14:anchorId="61F529BB" wp14:editId="775DC51A">
                  <wp:simplePos x="0" y="0"/>
                  <wp:positionH relativeFrom="column">
                    <wp:posOffset>-11430</wp:posOffset>
                  </wp:positionH>
                  <wp:positionV relativeFrom="paragraph">
                    <wp:posOffset>285750</wp:posOffset>
                  </wp:positionV>
                  <wp:extent cx="3625353" cy="1866900"/>
                  <wp:effectExtent l="0" t="0" r="0" b="0"/>
                  <wp:wrapTopAndBottom/>
                  <wp:docPr id="9" name="Picture 8" descr="A graph of overall survival for POLEmut EC over 10 years">
                    <a:extLst xmlns:a="http://schemas.openxmlformats.org/drawingml/2006/main">
                      <a:ext uri="{FF2B5EF4-FFF2-40B4-BE49-F238E27FC236}">
                        <a16:creationId xmlns:a16="http://schemas.microsoft.com/office/drawing/2014/main" id="{3B2AB8DC-A6DE-0441-F7A1-9995767A4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overall survival for POLEmut EC over 10 years">
                            <a:extLst>
                              <a:ext uri="{FF2B5EF4-FFF2-40B4-BE49-F238E27FC236}">
                                <a16:creationId xmlns:a16="http://schemas.microsoft.com/office/drawing/2014/main" id="{3B2AB8DC-A6DE-0441-F7A1-9995767A4CE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5353" cy="1866900"/>
                          </a:xfrm>
                          <a:prstGeom prst="rect">
                            <a:avLst/>
                          </a:prstGeom>
                        </pic:spPr>
                      </pic:pic>
                    </a:graphicData>
                  </a:graphic>
                </wp:anchor>
              </w:drawing>
            </w:r>
            <w:r w:rsidR="00834C99">
              <w:t xml:space="preserve">Overall survival for </w:t>
            </w:r>
            <w:r w:rsidR="00834C99" w:rsidRPr="00836811">
              <w:rPr>
                <w:i/>
              </w:rPr>
              <w:t>POLE</w:t>
            </w:r>
            <w:r w:rsidR="00834C99">
              <w:t>mut EC</w:t>
            </w:r>
          </w:p>
          <w:p w14:paraId="79D04F46" w14:textId="32BC379C" w:rsidR="00834C99" w:rsidRDefault="00834C99" w:rsidP="009F2748">
            <w:pPr>
              <w:pStyle w:val="Tableheading1"/>
              <w:keepNext/>
            </w:pPr>
          </w:p>
        </w:tc>
      </w:tr>
    </w:tbl>
    <w:p w14:paraId="4A49ACB8" w14:textId="00622441" w:rsidR="00DC43B7" w:rsidRDefault="0042217F" w:rsidP="009F2748">
      <w:pPr>
        <w:pStyle w:val="TableFigureFooter"/>
        <w:spacing w:before="0"/>
      </w:pPr>
      <w:r>
        <w:t>Ab</w:t>
      </w:r>
      <w:r w:rsidR="00DC43B7" w:rsidRPr="00142566">
        <w:t>breviations:</w:t>
      </w:r>
      <w:r w:rsidR="00E41FC3">
        <w:t xml:space="preserve"> </w:t>
      </w:r>
      <w:r w:rsidR="009F50AA">
        <w:t xml:space="preserve">EC = endometrial </w:t>
      </w:r>
      <w:r w:rsidR="007655D2">
        <w:t>cancer</w:t>
      </w:r>
      <w:r w:rsidR="009F50AA">
        <w:t xml:space="preserve">; </w:t>
      </w:r>
      <w:r w:rsidR="001A2345">
        <w:t xml:space="preserve">MMRd = mismatch repair deficient; NSMP = no specific molecular profile; </w:t>
      </w:r>
      <w:r w:rsidR="00E41FC3">
        <w:t xml:space="preserve">OS = overall survival; </w:t>
      </w:r>
      <w:r w:rsidR="00E41FC3">
        <w:rPr>
          <w:i/>
        </w:rPr>
        <w:t>POLE</w:t>
      </w:r>
      <w:r w:rsidR="00E41FC3">
        <w:t>mut = DNA polymerase epsilon, catalytic subunit mutation</w:t>
      </w:r>
    </w:p>
    <w:p w14:paraId="71364044" w14:textId="50F36DF3" w:rsidR="00D352A5" w:rsidRDefault="00832961" w:rsidP="009F2748">
      <w:pPr>
        <w:pStyle w:val="TableFigureFooter"/>
        <w:spacing w:before="0"/>
      </w:pPr>
      <w:r w:rsidRPr="00142566">
        <w:t xml:space="preserve">Source: </w:t>
      </w:r>
      <w:r w:rsidRPr="00142566">
        <w:fldChar w:fldCharType="begin">
          <w:fldData xml:space="preserve">PEVuZE5vdGU+PENpdGUgQXV0aG9yWWVhcj0iMSI+PEF1dGhvcj5Qb3N0PC9BdXRob3I+PFllYXI+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=
</w:fldData>
        </w:fldChar>
      </w:r>
      <w:r w:rsidRPr="00142566">
        <w:instrText xml:space="preserve"> ADDIN EN.CITE </w:instrText>
      </w:r>
      <w:r w:rsidRPr="00142566">
        <w:fldChar w:fldCharType="begin">
          <w:fldData xml:space="preserve">PEVuZE5vdGU+PENpdGUgQXV0aG9yWWVhcj0iMSI+PEF1dGhvcj5Qb3N0PC9BdXRob3I+PFllYXI+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=
</w:fldData>
        </w:fldChar>
      </w:r>
      <w:r w:rsidRPr="00142566">
        <w:instrText xml:space="preserve"> ADDIN EN.CITE.DATA </w:instrText>
      </w:r>
      <w:r w:rsidRPr="00142566">
        <w:fldChar w:fldCharType="end"/>
      </w:r>
      <w:r w:rsidRPr="00142566">
        <w:fldChar w:fldCharType="separate"/>
      </w:r>
      <w:r w:rsidRPr="00CB5A13">
        <w:t>Post et al. (2025)</w:t>
      </w:r>
      <w:r w:rsidRPr="00142566">
        <w:fldChar w:fldCharType="end"/>
      </w:r>
      <w:r w:rsidRPr="00142566">
        <w:t xml:space="preserve"> Figure 1C</w:t>
      </w:r>
      <w:r w:rsidR="00834C99">
        <w:t xml:space="preserve"> p5</w:t>
      </w:r>
      <w:r w:rsidRPr="00142566">
        <w:t xml:space="preserve"> and </w:t>
      </w:r>
      <w:r w:rsidR="00AE5104">
        <w:t>3C</w:t>
      </w:r>
      <w:r w:rsidRPr="00142566">
        <w:t xml:space="preserve"> </w:t>
      </w:r>
      <w:r w:rsidR="00AE5104">
        <w:t>p8</w:t>
      </w:r>
    </w:p>
    <w:p w14:paraId="6A488E5F" w14:textId="3B17CDDB" w:rsidR="00CF633A" w:rsidRPr="0086563A" w:rsidRDefault="0077005E" w:rsidP="00CF633A">
      <w:r>
        <w:t xml:space="preserve">Following the ESC meeting </w:t>
      </w:r>
      <w:r w:rsidR="00D358C2">
        <w:t xml:space="preserve">the assessment group </w:t>
      </w:r>
      <w:r>
        <w:t>p</w:t>
      </w:r>
      <w:r w:rsidR="00842B3D">
        <w:t>rovided an overview of</w:t>
      </w:r>
      <w:r w:rsidR="00690269">
        <w:t xml:space="preserve"> the </w:t>
      </w:r>
      <w:r>
        <w:t>effect of CTRT versus RT on OS and RFS by molecular class</w:t>
      </w:r>
      <w:r w:rsidR="00E32B1D">
        <w:t xml:space="preserve"> in PORTEC 3</w:t>
      </w:r>
      <w:r w:rsidR="00590627">
        <w:t>, as</w:t>
      </w:r>
      <w:r>
        <w:t xml:space="preserve"> presented below</w:t>
      </w:r>
      <w:r w:rsidR="00590627">
        <w:t xml:space="preserve"> (</w:t>
      </w:r>
      <w:r w:rsidR="00F54770">
        <w:fldChar w:fldCharType="begin"/>
      </w:r>
      <w:r w:rsidR="00F54770">
        <w:instrText xml:space="preserve"> REF _Ref222902960 \h </w:instrText>
      </w:r>
      <w:r w:rsidR="00F54770">
        <w:fldChar w:fldCharType="separate"/>
      </w:r>
      <w:r w:rsidR="00996E6E">
        <w:t xml:space="preserve">Figure </w:t>
      </w:r>
      <w:r w:rsidR="00996E6E">
        <w:rPr>
          <w:noProof/>
        </w:rPr>
        <w:t>4</w:t>
      </w:r>
      <w:r w:rsidR="00F54770">
        <w:fldChar w:fldCharType="end"/>
      </w:r>
      <w:r w:rsidR="00590627">
        <w:t>).</w:t>
      </w:r>
      <w:r w:rsidR="00CF633A">
        <w:t xml:space="preserve"> The assessment group observed a statistically significant benefit of CTRT for patients with p53abn EC, with improvements in both OS and RFS. For patients with MMRd or NSMP EC, slight divergence of the survival curves was noted. However, these differences were not statistically significant. Unlike the other molecular classes, where events accumulated in both treatment arms over 10 years, </w:t>
      </w:r>
      <w:r w:rsidR="00CF633A" w:rsidRPr="377F92A3">
        <w:rPr>
          <w:i/>
          <w:iCs/>
        </w:rPr>
        <w:t>POLE</w:t>
      </w:r>
      <w:r w:rsidR="00CF633A">
        <w:t xml:space="preserve">mut EC demonstrated very few overall events, with only one event occurring in the RT arm during the 10-year follow-up. </w:t>
      </w:r>
    </w:p>
    <w:p w14:paraId="61E97C8B" w14:textId="77012750" w:rsidR="009A6C4E" w:rsidRDefault="009A6C4E" w:rsidP="009A6C4E">
      <w:pPr>
        <w:pStyle w:val="Caption"/>
      </w:pPr>
      <w:bookmarkStart w:id="46" w:name="_Ref222902960"/>
      <w:r>
        <w:rPr>
          <w:noProof/>
        </w:rPr>
        <w:lastRenderedPageBreak/>
        <w:drawing>
          <wp:anchor distT="0" distB="0" distL="114300" distR="114300" simplePos="0" relativeHeight="251658241" behindDoc="0" locked="0" layoutInCell="1" allowOverlap="1" wp14:anchorId="05EF2CA2" wp14:editId="18C7C633">
            <wp:simplePos x="0" y="0"/>
            <wp:positionH relativeFrom="margin">
              <wp:posOffset>-47013</wp:posOffset>
            </wp:positionH>
            <wp:positionV relativeFrom="margin">
              <wp:posOffset>200025</wp:posOffset>
            </wp:positionV>
            <wp:extent cx="5411494" cy="7143750"/>
            <wp:effectExtent l="0" t="0" r="0" b="0"/>
            <wp:wrapSquare wrapText="bothSides"/>
            <wp:docPr id="914200267" name="Picture 1" descr="A group of graphs for overall survival and recurrent free survival by molecular class for PORTEC over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00267" name="Picture 1" descr="A group of graphs for overall survival and recurrent free survival by molecular class for PORTEC over 10 years"/>
                    <pic:cNvPicPr/>
                  </pic:nvPicPr>
                  <pic:blipFill>
                    <a:blip r:embed="rId17">
                      <a:extLst>
                        <a:ext uri="{28A0092B-C50C-407E-A947-70E740481C1C}">
                          <a14:useLocalDpi xmlns:a14="http://schemas.microsoft.com/office/drawing/2010/main" val="0"/>
                        </a:ext>
                      </a:extLst>
                    </a:blip>
                    <a:stretch>
                      <a:fillRect/>
                    </a:stretch>
                  </pic:blipFill>
                  <pic:spPr>
                    <a:xfrm>
                      <a:off x="0" y="0"/>
                      <a:ext cx="5411494" cy="714375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SEQ Figure \* ARABIC</w:instrText>
      </w:r>
      <w:r>
        <w:fldChar w:fldCharType="separate"/>
      </w:r>
      <w:r w:rsidR="00996E6E">
        <w:rPr>
          <w:noProof/>
        </w:rPr>
        <w:t>4</w:t>
      </w:r>
      <w:r>
        <w:fldChar w:fldCharType="end"/>
      </w:r>
      <w:bookmarkEnd w:id="46"/>
      <w:r>
        <w:t xml:space="preserve"> </w:t>
      </w:r>
      <w:r w:rsidR="00E32B1D">
        <w:t xml:space="preserve">OS and RFS by molecular class </w:t>
      </w:r>
      <w:r w:rsidR="00F54770">
        <w:t>for PORTEC 3</w:t>
      </w:r>
    </w:p>
    <w:p w14:paraId="64E56CC5" w14:textId="20CACE32" w:rsidR="00D352A5" w:rsidRDefault="00D352A5" w:rsidP="00D358C2"/>
    <w:p w14:paraId="47F996B0" w14:textId="77777777" w:rsidR="0097002F" w:rsidRDefault="0097002F" w:rsidP="00D358C2"/>
    <w:p w14:paraId="5E12CCA5" w14:textId="77777777" w:rsidR="0097002F" w:rsidRDefault="0097002F" w:rsidP="00D358C2"/>
    <w:p w14:paraId="42B48148" w14:textId="77777777" w:rsidR="0097002F" w:rsidRDefault="0097002F" w:rsidP="00D358C2"/>
    <w:p w14:paraId="4A1C0C13" w14:textId="77777777" w:rsidR="0097002F" w:rsidRDefault="0097002F" w:rsidP="00D358C2"/>
    <w:p w14:paraId="1AAC4E15" w14:textId="77777777" w:rsidR="0097002F" w:rsidRDefault="0097002F" w:rsidP="00D358C2"/>
    <w:p w14:paraId="2B824AD6" w14:textId="77777777" w:rsidR="0097002F" w:rsidRDefault="0097002F" w:rsidP="00D358C2"/>
    <w:p w14:paraId="1AC54F18" w14:textId="77777777" w:rsidR="0097002F" w:rsidRDefault="0097002F" w:rsidP="00D358C2"/>
    <w:p w14:paraId="3DBFAD78" w14:textId="77777777" w:rsidR="0097002F" w:rsidRDefault="0097002F" w:rsidP="00D358C2"/>
    <w:p w14:paraId="1C58F9F7" w14:textId="77777777" w:rsidR="0097002F" w:rsidRDefault="0097002F" w:rsidP="00D358C2"/>
    <w:p w14:paraId="5496AE7D" w14:textId="77777777" w:rsidR="0097002F" w:rsidRDefault="0097002F" w:rsidP="00D358C2"/>
    <w:p w14:paraId="2A5257BF" w14:textId="77777777" w:rsidR="0097002F" w:rsidRDefault="0097002F" w:rsidP="00D358C2"/>
    <w:p w14:paraId="3FA36776" w14:textId="77777777" w:rsidR="0097002F" w:rsidRDefault="0097002F" w:rsidP="00D358C2"/>
    <w:p w14:paraId="533B430B" w14:textId="77777777" w:rsidR="0097002F" w:rsidRDefault="0097002F" w:rsidP="00D358C2"/>
    <w:p w14:paraId="5C1F941E" w14:textId="77777777" w:rsidR="0097002F" w:rsidRDefault="0097002F" w:rsidP="00D358C2"/>
    <w:p w14:paraId="07B257DD" w14:textId="77777777" w:rsidR="0097002F" w:rsidRDefault="0097002F" w:rsidP="00D358C2"/>
    <w:p w14:paraId="072F39B5" w14:textId="77777777" w:rsidR="0097002F" w:rsidRDefault="0097002F" w:rsidP="00D358C2"/>
    <w:p w14:paraId="280AA26A" w14:textId="77777777" w:rsidR="0097002F" w:rsidRDefault="0097002F" w:rsidP="00D358C2"/>
    <w:p w14:paraId="330AEDAF" w14:textId="77777777" w:rsidR="0097002F" w:rsidRDefault="0097002F" w:rsidP="00D358C2"/>
    <w:p w14:paraId="6B20BA7F" w14:textId="77777777" w:rsidR="0097002F" w:rsidRDefault="0097002F" w:rsidP="00D358C2"/>
    <w:p w14:paraId="5B384599" w14:textId="77777777" w:rsidR="0097002F" w:rsidRDefault="0097002F" w:rsidP="00D358C2"/>
    <w:p w14:paraId="55F1B28B" w14:textId="77777777" w:rsidR="0097002F" w:rsidRDefault="0097002F" w:rsidP="00D358C2"/>
    <w:p w14:paraId="32C84557" w14:textId="77777777" w:rsidR="0097002F" w:rsidRDefault="0097002F" w:rsidP="00D358C2"/>
    <w:p w14:paraId="5DAB0F1C" w14:textId="77777777" w:rsidR="0097002F" w:rsidRDefault="0097002F" w:rsidP="00D358C2"/>
    <w:p w14:paraId="1117A3A9" w14:textId="77777777" w:rsidR="0097002F" w:rsidRDefault="0097002F" w:rsidP="00D358C2"/>
    <w:p w14:paraId="66E93C53" w14:textId="77777777" w:rsidR="0097002F" w:rsidRDefault="0097002F" w:rsidP="00D358C2"/>
    <w:p w14:paraId="33A17E43" w14:textId="77777777" w:rsidR="0097002F" w:rsidRDefault="0097002F" w:rsidP="00D358C2"/>
    <w:p w14:paraId="3135BC3F" w14:textId="77777777" w:rsidR="00754698" w:rsidRPr="00BD4129" w:rsidRDefault="00754698" w:rsidP="00754698">
      <w:pPr>
        <w:pStyle w:val="Tablefooter0"/>
      </w:pPr>
      <w:r>
        <w:t xml:space="preserve">Abbreviations: CI = confidence interval; HR = hazard ratio; MMRd = mismatch repair deficient; NSMP = no specific molecular profile; OS = overall survival; p53abn = p53 abnormal; RFS = </w:t>
      </w:r>
      <w:r w:rsidRPr="00FF0640">
        <w:t xml:space="preserve">recurrence-free survival; </w:t>
      </w:r>
      <w:r w:rsidRPr="00C13458">
        <w:rPr>
          <w:i/>
          <w:iCs/>
        </w:rPr>
        <w:t>POLE</w:t>
      </w:r>
      <w:r w:rsidRPr="00FF0640">
        <w:t>mut = DNA polymerase epsilon, catalytic subunit mutation</w:t>
      </w:r>
    </w:p>
    <w:p w14:paraId="13E8C07C" w14:textId="25CDDCBE" w:rsidR="0097002F" w:rsidRPr="00142566" w:rsidRDefault="00754698" w:rsidP="007227F7">
      <w:pPr>
        <w:pStyle w:val="Tablefooter0"/>
      </w:pPr>
      <w:r>
        <w:t xml:space="preserve">Source: </w:t>
      </w:r>
      <w:r>
        <w:fldChar w:fldCharType="begin">
          <w:fldData xml:space="preserve">PEVuZE5vdGU+PENpdGUgQXV0aG9yWWVhcj0iMSI+PEF1dGhvcj5Qb3N0PC9BdXRob3I+PFllYXI+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=
</w:fldData>
        </w:fldChar>
      </w:r>
      <w:r w:rsidRPr="00535184">
        <w:rPr>
          <w:lang w:val="en-US"/>
        </w:rPr>
        <w:instrText xml:space="preserve"> ADDIN EN.CITE </w:instrText>
      </w:r>
      <w:r>
        <w:fldChar w:fldCharType="begin">
          <w:fldData xml:space="preserve">PEVuZE5vdGU+PENpdGUgQXV0aG9yWWVhcj0iMSI+PEF1dGhvcj5Qb3N0PC9BdXRob3I+PFllYXI+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=
</w:fldData>
        </w:fldChar>
      </w:r>
      <w:r w:rsidRPr="00535184">
        <w:rPr>
          <w:lang w:val="en-US"/>
        </w:rPr>
        <w:instrText xml:space="preserve"> ADDIN EN.CITE.DATA </w:instrText>
      </w:r>
      <w:r>
        <w:fldChar w:fldCharType="end"/>
      </w:r>
      <w:r>
        <w:fldChar w:fldCharType="separate"/>
      </w:r>
      <w:r w:rsidRPr="00535184">
        <w:rPr>
          <w:lang w:val="en-US"/>
        </w:rPr>
        <w:t xml:space="preserve">Post et al. </w:t>
      </w:r>
      <w:r>
        <w:t>(2025)</w:t>
      </w:r>
      <w:r>
        <w:fldChar w:fldCharType="end"/>
      </w:r>
      <w:r>
        <w:t xml:space="preserve"> Figure 3 p 8</w:t>
      </w:r>
    </w:p>
    <w:p w14:paraId="0773E41E" w14:textId="77777777" w:rsidR="00DC43B7" w:rsidRDefault="00DC43B7" w:rsidP="00DC43B7">
      <w:pPr>
        <w:pStyle w:val="Heading5"/>
      </w:pPr>
      <w:r>
        <w:lastRenderedPageBreak/>
        <w:t>Change in clinical management</w:t>
      </w:r>
    </w:p>
    <w:p w14:paraId="4E59CAE0" w14:textId="17E54C64" w:rsidR="00F35491" w:rsidRDefault="001C6D15" w:rsidP="00F35491">
      <w:r>
        <w:t xml:space="preserve">Studies investigating the change in clinical management from knowledge of </w:t>
      </w:r>
      <w:r w:rsidRPr="00FD4CDF">
        <w:rPr>
          <w:i/>
        </w:rPr>
        <w:t>POLE</w:t>
      </w:r>
      <w:r>
        <w:t>mut status in EC is lacking</w:t>
      </w:r>
      <w:r w:rsidR="00C20B80">
        <w:t xml:space="preserve"> and is based on</w:t>
      </w:r>
      <w:r w:rsidR="008B7547">
        <w:t xml:space="preserve"> RCTs reporting survival according to EC molecular classes (</w:t>
      </w:r>
      <w:r w:rsidR="00805517">
        <w:fldChar w:fldCharType="begin"/>
      </w:r>
      <w:r w:rsidR="00805517">
        <w:instrText xml:space="preserve"> REF _Ref216164798 \h </w:instrText>
      </w:r>
      <w:r w:rsidR="00805517">
        <w:fldChar w:fldCharType="separate"/>
      </w:r>
      <w:r w:rsidR="000B42CB" w:rsidRPr="00F834DD">
        <w:t xml:space="preserve">Table </w:t>
      </w:r>
      <w:r w:rsidR="000B42CB">
        <w:rPr>
          <w:noProof/>
        </w:rPr>
        <w:t>7</w:t>
      </w:r>
      <w:r w:rsidR="00805517">
        <w:fldChar w:fldCharType="end"/>
      </w:r>
      <w:r w:rsidR="008B7547">
        <w:t>).</w:t>
      </w:r>
      <w:r w:rsidR="00773C7F">
        <w:t xml:space="preserve"> As demonstrated, patients with EC harbouring the </w:t>
      </w:r>
      <w:r w:rsidR="00773C7F" w:rsidRPr="00FD4CDF">
        <w:rPr>
          <w:i/>
        </w:rPr>
        <w:t>POLE</w:t>
      </w:r>
      <w:r w:rsidR="00773C7F">
        <w:t xml:space="preserve"> mutation have </w:t>
      </w:r>
      <w:r w:rsidR="003E348F">
        <w:t xml:space="preserve">a </w:t>
      </w:r>
      <w:r w:rsidR="00745BD6">
        <w:t xml:space="preserve">favourable prognosis compared with other molecular classes. </w:t>
      </w:r>
      <w:r w:rsidR="005B06A0">
        <w:t xml:space="preserve">The favourable prognosis lends confidence to treatment de-escalation in patients with </w:t>
      </w:r>
      <w:r w:rsidR="005B06A0" w:rsidRPr="00FD4CDF">
        <w:rPr>
          <w:i/>
        </w:rPr>
        <w:t>POLE</w:t>
      </w:r>
      <w:r w:rsidR="005B06A0">
        <w:t xml:space="preserve">mut EC. </w:t>
      </w:r>
      <w:r w:rsidR="00B0442F">
        <w:t xml:space="preserve">This is further supported by recent changes in the ESGO-ESTRO-ESP 2025 guidelines </w:t>
      </w:r>
      <w:r w:rsidR="00B0442F">
        <w:fldChar w:fldCharType="begin">
          <w:fldData xml:space="preserve">PEVuZE5vdGU+PENpdGU+PEF1dGhvcj5Db25jaW48L0F1dGhvcj48WWVhcj4yMDI1PC9ZZWFyPjxS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</w:fldData>
        </w:fldChar>
      </w:r>
      <w:r w:rsidR="00354422">
        <w:instrText xml:space="preserve"> ADDIN EN.CITE </w:instrText>
      </w:r>
      <w:r w:rsidR="00354422">
        <w:fldChar w:fldCharType="begin">
          <w:fldData xml:space="preserve">PEVuZE5vdGU+PENpdGU+PEF1dGhvcj5Db25jaW48L0F1dGhvcj48WWVhcj4yMDI1PC9ZZWFyPjxS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</w:fldData>
        </w:fldChar>
      </w:r>
      <w:r w:rsidR="00354422">
        <w:instrText xml:space="preserve"> ADDIN EN.CITE.DATA </w:instrText>
      </w:r>
      <w:r w:rsidR="00354422">
        <w:fldChar w:fldCharType="end"/>
      </w:r>
      <w:r w:rsidR="00B0442F">
        <w:fldChar w:fldCharType="separate"/>
      </w:r>
      <w:r w:rsidR="00B0442F">
        <w:rPr>
          <w:noProof/>
        </w:rPr>
        <w:t>(Concin et al. 2025)</w:t>
      </w:r>
      <w:r w:rsidR="00B0442F">
        <w:fldChar w:fldCharType="end"/>
      </w:r>
      <w:r w:rsidR="00B0442F">
        <w:t>, which incorporate molecular classification into adjuvant treatment recommendations.</w:t>
      </w:r>
    </w:p>
    <w:p w14:paraId="6955856C" w14:textId="74D4322C" w:rsidR="00972D80" w:rsidRDefault="00DF6827" w:rsidP="009F2748">
      <w:pPr>
        <w:pStyle w:val="Heading4"/>
      </w:pPr>
      <w:r>
        <w:t xml:space="preserve">Linked evidence: </w:t>
      </w:r>
      <w:r w:rsidR="00972D80">
        <w:t>Impact on patient outcomes</w:t>
      </w:r>
    </w:p>
    <w:p w14:paraId="5D7E021D" w14:textId="31AA4FA1" w:rsidR="00923829" w:rsidRDefault="00613CB5" w:rsidP="00613CB5">
      <w:r>
        <w:t xml:space="preserve">The SLR identified 2 studies—PORTEC-3 and </w:t>
      </w:r>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fldChar w:fldCharType="separate"/>
      </w:r>
      <w:r>
        <w:t>McAlpine et al. (2021)</w:t>
      </w:r>
      <w:r>
        <w:fldChar w:fldCharType="end"/>
      </w:r>
      <w:r>
        <w:t xml:space="preserve">—that evaluated the impact of adjuvant therapy in patients with </w:t>
      </w:r>
      <w:r w:rsidRPr="00572E78">
        <w:rPr>
          <w:i/>
        </w:rPr>
        <w:t>POLE</w:t>
      </w:r>
      <w:r>
        <w:t xml:space="preserve">mut EC. </w:t>
      </w:r>
      <w:r w:rsidR="00F942D3">
        <w:t xml:space="preserve">A </w:t>
      </w:r>
      <w:r w:rsidR="00971A45">
        <w:t>targeted search also identified a post-hoc analysis of PORTEC-1 and 2</w:t>
      </w:r>
      <w:r w:rsidR="00A119B2">
        <w:t xml:space="preserve"> by molecular class</w:t>
      </w:r>
      <w:r w:rsidR="00971A45">
        <w:t xml:space="preserve">. </w:t>
      </w:r>
    </w:p>
    <w:p w14:paraId="799345F0" w14:textId="523EB9A7" w:rsidR="00613CB5" w:rsidRDefault="00613CB5" w:rsidP="00613CB5">
      <w:r>
        <w:t xml:space="preserve">In PORTEC-3, molecular classification was applied post-hoc, and subgroup analyses in the </w:t>
      </w:r>
      <w:r w:rsidRPr="00572E78">
        <w:rPr>
          <w:i/>
        </w:rPr>
        <w:t>POLE</w:t>
      </w:r>
      <w:r>
        <w:t>mut cohort were informed by follow-up publications</w:t>
      </w:r>
      <w:r w:rsidR="00776D84">
        <w:rPr>
          <w:vertAlign w:val="superscript"/>
        </w:rPr>
        <w:fldChar w:fldCharType="begin"/>
      </w:r>
      <w:r w:rsidR="00776D84">
        <w:rPr>
          <w:vertAlign w:val="superscript"/>
        </w:rPr>
        <w:instrText xml:space="preserve"> NOTEREF _Ref222382795 \h </w:instrText>
      </w:r>
      <w:r w:rsidR="00776D84">
        <w:rPr>
          <w:vertAlign w:val="superscript"/>
        </w:rPr>
      </w:r>
      <w:r w:rsidR="00776D84">
        <w:rPr>
          <w:vertAlign w:val="superscript"/>
        </w:rPr>
        <w:fldChar w:fldCharType="separate"/>
      </w:r>
      <w:r w:rsidR="000B42CB">
        <w:rPr>
          <w:vertAlign w:val="superscript"/>
        </w:rPr>
        <w:t>10</w:t>
      </w:r>
      <w:r w:rsidR="00776D84">
        <w:rPr>
          <w:vertAlign w:val="superscript"/>
        </w:rPr>
        <w:fldChar w:fldCharType="end"/>
      </w:r>
      <w:r w:rsidR="00AA44E8">
        <w:rPr>
          <w:vertAlign w:val="superscript"/>
        </w:rPr>
        <w:t>,</w:t>
      </w:r>
      <w:r w:rsidR="00776D84">
        <w:rPr>
          <w:vertAlign w:val="superscript"/>
        </w:rPr>
        <w:fldChar w:fldCharType="begin"/>
      </w:r>
      <w:r w:rsidR="00776D84">
        <w:rPr>
          <w:vertAlign w:val="superscript"/>
        </w:rPr>
        <w:instrText xml:space="preserve"> NOTEREF _Ref222382805 \h </w:instrText>
      </w:r>
      <w:r w:rsidR="00776D84">
        <w:rPr>
          <w:vertAlign w:val="superscript"/>
        </w:rPr>
      </w:r>
      <w:r w:rsidR="00776D84">
        <w:rPr>
          <w:vertAlign w:val="superscript"/>
        </w:rPr>
        <w:fldChar w:fldCharType="separate"/>
      </w:r>
      <w:r w:rsidR="000B42CB">
        <w:rPr>
          <w:vertAlign w:val="superscript"/>
        </w:rPr>
        <w:t>11</w:t>
      </w:r>
      <w:r w:rsidR="00776D84">
        <w:rPr>
          <w:vertAlign w:val="superscript"/>
        </w:rPr>
        <w:fldChar w:fldCharType="end"/>
      </w:r>
      <w:r w:rsidR="006839EB">
        <w:rPr>
          <w:vertAlign w:val="superscript"/>
        </w:rPr>
        <w:t>,</w:t>
      </w:r>
      <w:bookmarkStart w:id="47" w:name="_Ref216339420"/>
      <w:r w:rsidR="00805E5E">
        <w:rPr>
          <w:rStyle w:val="FootnoteReference"/>
        </w:rPr>
        <w:footnoteReference w:id="22"/>
      </w:r>
      <w:bookmarkEnd w:id="47"/>
      <w:r>
        <w:t>. These analyses compared outcomes between patients treated with CTRT and RT alone. However, the</w:t>
      </w:r>
      <w:r w:rsidRPr="00F834DD">
        <w:t xml:space="preserve"> randomisation process was for the overall population and was not stratified by molecular class. </w:t>
      </w:r>
      <w:r>
        <w:t xml:space="preserve">Furthermore, </w:t>
      </w:r>
      <w:r w:rsidRPr="00F834DD">
        <w:t>the open-label design of the trials</w:t>
      </w:r>
      <w:r>
        <w:t xml:space="preserve"> </w:t>
      </w:r>
      <w:r w:rsidRPr="00F834DD">
        <w:t>may influence clinical management, resulting in an overall risk of bias that was judged to be high.</w:t>
      </w:r>
      <w:r>
        <w:t xml:space="preserve"> In addition to the high risk of bias, the small sample size</w:t>
      </w:r>
      <w:r w:rsidR="003A7F71">
        <w:t xml:space="preserve"> for the </w:t>
      </w:r>
      <w:r w:rsidR="003A7F71" w:rsidRPr="00572E78">
        <w:rPr>
          <w:i/>
        </w:rPr>
        <w:t>POLE</w:t>
      </w:r>
      <w:r w:rsidR="003A7F71">
        <w:t>mut cohort</w:t>
      </w:r>
      <w:r w:rsidR="00FF40A5">
        <w:t xml:space="preserve"> (n=51)</w:t>
      </w:r>
      <w:r w:rsidR="003A7F71">
        <w:t xml:space="preserve"> </w:t>
      </w:r>
      <w:r>
        <w:t xml:space="preserve">and low event rates resulted in very wide confidence intervals, contributing to serious imprecision. Overall, the certainty of evidence was rated as low using the GRADE framework. </w:t>
      </w:r>
    </w:p>
    <w:p w14:paraId="7AFD2E46" w14:textId="00E2F099" w:rsidR="003F5DF3" w:rsidRDefault="004904C9" w:rsidP="00613CB5">
      <w:bookmarkStart w:id="48" w:name="_Ref216155899"/>
      <w:r>
        <w:t>Horeweg et al., 2023</w:t>
      </w:r>
      <w:bookmarkEnd w:id="48"/>
      <w:r w:rsidR="00F80830">
        <w:t xml:space="preserve"> </w:t>
      </w:r>
      <w:r>
        <w:t xml:space="preserve">reported results </w:t>
      </w:r>
      <w:r w:rsidR="001C4177">
        <w:t xml:space="preserve">comparing pelvic </w:t>
      </w:r>
      <w:r w:rsidR="00F80830" w:rsidRPr="00F80830">
        <w:t>RT with</w:t>
      </w:r>
      <w:r w:rsidR="00F80830">
        <w:t xml:space="preserve"> </w:t>
      </w:r>
      <w:r w:rsidR="00F80830" w:rsidRPr="00F80830">
        <w:t xml:space="preserve">no adjuvant therapy in early-stage intermediate-risk EC </w:t>
      </w:r>
      <w:r w:rsidR="00F80830">
        <w:t xml:space="preserve">(PORTEC-1) </w:t>
      </w:r>
      <w:r w:rsidR="00F80830" w:rsidRPr="00F80830">
        <w:t xml:space="preserve">and VBT </w:t>
      </w:r>
      <w:r w:rsidR="00F80830">
        <w:t xml:space="preserve">versus </w:t>
      </w:r>
      <w:r w:rsidR="00F80830" w:rsidRPr="00F80830">
        <w:t>EBRT in early-stage high-intermediate-risk EC</w:t>
      </w:r>
      <w:r w:rsidR="00F80830">
        <w:t xml:space="preserve"> (PORTEC-2). </w:t>
      </w:r>
      <w:r w:rsidR="00923829">
        <w:t>The</w:t>
      </w:r>
      <w:r w:rsidR="00923829" w:rsidRPr="00F834DD">
        <w:t xml:space="preserve"> randomisation process was for the overall population and was not stratified by molecular class. </w:t>
      </w:r>
      <w:r w:rsidR="0001457E">
        <w:t xml:space="preserve">PORTEC-1 and 2 were open-label trials. </w:t>
      </w:r>
      <w:r w:rsidR="00452A87">
        <w:t xml:space="preserve">The assessment of recurrence may be affected by the open-label design of the trial. Furthermore, </w:t>
      </w:r>
      <w:r w:rsidR="003A6E81">
        <w:t xml:space="preserve">not all patients from the trials underwent molecular classification. </w:t>
      </w:r>
      <w:r w:rsidR="003F5DF3">
        <w:t xml:space="preserve">Therefore, the risk of bias was judged to be high. </w:t>
      </w:r>
      <w:r w:rsidR="00DF60D8">
        <w:t xml:space="preserve">No summary statistics were reported for the outcomes of recurrence rates. Therefore, a GRADE assessment was not possible. </w:t>
      </w:r>
    </w:p>
    <w:p w14:paraId="21EF00D3" w14:textId="65F9DAC6" w:rsidR="00613CB5" w:rsidRDefault="00613CB5" w:rsidP="00613CB5">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fldChar w:fldCharType="separate"/>
      </w:r>
      <w:r>
        <w:t>McAlpine et al. (2021)</w:t>
      </w:r>
      <w:r>
        <w:fldChar w:fldCharType="end"/>
      </w:r>
      <w:r>
        <w:t xml:space="preserve"> conducted an individual patient data (IPD) meta-analysis to assess whether the favourable prognosis observed in </w:t>
      </w:r>
      <w:r w:rsidRPr="00572E78">
        <w:rPr>
          <w:i/>
        </w:rPr>
        <w:t>POLE</w:t>
      </w:r>
      <w:r>
        <w:t xml:space="preserve">mut EC was attributable to adjuvant therapy. Data were pooled from 35 publications and consolidated into 15 unique cohorts, with IPD available for 13 cohorts, resulting in a final data set of 359 </w:t>
      </w:r>
      <w:r w:rsidR="00C816FF" w:rsidRPr="00C816FF">
        <w:t xml:space="preserve">patients with </w:t>
      </w:r>
      <w:r w:rsidR="00C816FF" w:rsidRPr="00836811">
        <w:rPr>
          <w:i/>
        </w:rPr>
        <w:t>POLE</w:t>
      </w:r>
      <w:r w:rsidR="00C816FF" w:rsidRPr="00C816FF">
        <w:t>mut</w:t>
      </w:r>
      <w:r w:rsidR="00082624">
        <w:t xml:space="preserve"> EC</w:t>
      </w:r>
      <w:r>
        <w:t xml:space="preserve">. The analysis compared any adjuvant therapy versus no adjuvant therapy, reporting PFS and/or DSS as adverse outcomes. While </w:t>
      </w:r>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fldChar w:fldCharType="separate"/>
      </w:r>
      <w:r>
        <w:t>McAlpine et al. (2021)</w:t>
      </w:r>
      <w:r>
        <w:fldChar w:fldCharType="end"/>
      </w:r>
      <w:r>
        <w:t xml:space="preserve"> was judged to have a low risk of bias across most domains, limited reporting on data availability and missing data handling led to an overall judgement of serious risk of bias.</w:t>
      </w:r>
    </w:p>
    <w:p w14:paraId="68FF6336" w14:textId="1BD656EB" w:rsidR="00613CB5" w:rsidRDefault="00613CB5" w:rsidP="00613CB5">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rsidRPr="00C10C68">
        <w:rPr>
          <w:lang w:val="nl-NL"/>
        </w:rPr>
        <w:instrText xml:space="preserve"> ADDIN EN.CITE </w:instrText>
      </w:r>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rsidRPr="00CE0A86">
        <w:instrText xml:space="preserve"> ADDIN EN.CITE.DATA </w:instrText>
      </w:r>
      <w:r>
        <w:fldChar w:fldCharType="end"/>
      </w:r>
      <w:r>
        <w:fldChar w:fldCharType="separate"/>
      </w:r>
      <w:r w:rsidRPr="00C10C68">
        <w:rPr>
          <w:lang w:val="nl-NL"/>
        </w:rPr>
        <w:t>McAlpine et al. (2021)</w:t>
      </w:r>
      <w:r>
        <w:fldChar w:fldCharType="end"/>
      </w:r>
      <w:r w:rsidRPr="00C10C68">
        <w:rPr>
          <w:lang w:val="nl-NL"/>
        </w:rPr>
        <w:t xml:space="preserve"> </w:t>
      </w:r>
      <w:r w:rsidR="00F8257B" w:rsidRPr="00C10C68">
        <w:rPr>
          <w:lang w:val="nl-NL"/>
        </w:rPr>
        <w:t xml:space="preserve">and </w:t>
      </w:r>
      <w:r w:rsidR="003B4858">
        <w:fldChar w:fldCharType="begin">
          <w:fldData xml:space="preserve">PEVuZE5vdGU+PENpdGUgQXV0aG9yWWVhcj0iMSI+PEF1dGhvcj5Ib3Jld2VnPC9BdXRob3I+PFll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</w:fldData>
        </w:fldChar>
      </w:r>
      <w:r w:rsidR="00CF412C" w:rsidRPr="00C10C68">
        <w:rPr>
          <w:lang w:val="nl-NL"/>
        </w:rPr>
        <w:instrText xml:space="preserve"> ADDIN EN.CITE </w:instrText>
      </w:r>
      <w:r w:rsidR="00CF412C">
        <w:fldChar w:fldCharType="begin">
          <w:fldData xml:space="preserve">PEVuZE5vdGU+PENpdGUgQXV0aG9yWWVhcj0iMSI+PEF1dGhvcj5Ib3Jld2VnPC9BdXRob3I+PFll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</w:fldData>
        </w:fldChar>
      </w:r>
      <w:r w:rsidR="00CF412C" w:rsidRPr="00C10C68">
        <w:rPr>
          <w:lang w:val="nl-NL"/>
        </w:rPr>
        <w:instrText xml:space="preserve"> ADDIN EN.CITE.DATA </w:instrText>
      </w:r>
      <w:r w:rsidR="00CF412C">
        <w:fldChar w:fldCharType="end"/>
      </w:r>
      <w:r w:rsidR="003B4858">
        <w:fldChar w:fldCharType="separate"/>
      </w:r>
      <w:r w:rsidR="00CF412C" w:rsidRPr="00C10C68">
        <w:rPr>
          <w:lang w:val="nl-NL"/>
        </w:rPr>
        <w:t xml:space="preserve">Horeweg et al. </w:t>
      </w:r>
      <w:r w:rsidR="00CF412C">
        <w:rPr>
          <w:noProof/>
        </w:rPr>
        <w:t>(2023)</w:t>
      </w:r>
      <w:r w:rsidR="003B4858">
        <w:fldChar w:fldCharType="end"/>
      </w:r>
      <w:r w:rsidR="00635EA5">
        <w:t xml:space="preserve"> </w:t>
      </w:r>
      <w:r>
        <w:t>did not report safety outcomes</w:t>
      </w:r>
      <w:r w:rsidDel="00294524">
        <w:t>.</w:t>
      </w:r>
      <w:r>
        <w:t xml:space="preserve"> PORTEC-3</w:t>
      </w:r>
      <w:r w:rsidR="00BA1C73">
        <w:t xml:space="preserve">, </w:t>
      </w:r>
      <w:r w:rsidR="00852E36">
        <w:t>PORTEC-2</w:t>
      </w:r>
      <w:r>
        <w:t xml:space="preserve"> </w:t>
      </w:r>
      <w:r w:rsidR="00852E36">
        <w:t>and PORTEC-</w:t>
      </w:r>
      <w:r w:rsidR="00BA1C73">
        <w:t>1</w:t>
      </w:r>
      <w:r>
        <w:t xml:space="preserve"> did not report safety outcomes specifically for the </w:t>
      </w:r>
      <w:r w:rsidRPr="00572E78">
        <w:rPr>
          <w:i/>
        </w:rPr>
        <w:t>POLE</w:t>
      </w:r>
      <w:r>
        <w:t>mut subgroup, but safety data were available for the overall cohort. In the absence of molecular-specific safety data, outcomes were based on the broader EC population</w:t>
      </w:r>
      <w:r w:rsidR="0044020B">
        <w:t>s</w:t>
      </w:r>
      <w:r>
        <w:t xml:space="preserve"> of </w:t>
      </w:r>
      <w:r w:rsidR="00902448">
        <w:t>these trials</w:t>
      </w:r>
      <w:r>
        <w:t xml:space="preserve">. </w:t>
      </w:r>
    </w:p>
    <w:p w14:paraId="7A080A57" w14:textId="7F0298E3" w:rsidR="005713FF" w:rsidRDefault="005713FF" w:rsidP="005713FF">
      <w:r>
        <w:lastRenderedPageBreak/>
        <w:t xml:space="preserve">PORTEC-3 and </w:t>
      </w:r>
      <w:r w:rsidR="00A27493">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rsidR="00A27493">
        <w:instrText xml:space="preserve"> ADDIN EN.CITE </w:instrText>
      </w:r>
      <w:r w:rsidR="00A27493">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rsidR="00A27493">
        <w:instrText xml:space="preserve"> ADDIN EN.CITE.DATA </w:instrText>
      </w:r>
      <w:r w:rsidR="00A27493">
        <w:fldChar w:fldCharType="end"/>
      </w:r>
      <w:r w:rsidR="00A27493">
        <w:fldChar w:fldCharType="separate"/>
      </w:r>
      <w:r w:rsidR="00A27493">
        <w:t>McAlpine et al. (2021)</w:t>
      </w:r>
      <w:r w:rsidR="00A27493">
        <w:fldChar w:fldCharType="end"/>
      </w:r>
      <w:r>
        <w:t xml:space="preserve"> evaluated the impact of adjuvant therapy in patients with </w:t>
      </w:r>
      <w:r w:rsidR="00572E78" w:rsidRPr="00572E78">
        <w:rPr>
          <w:i/>
        </w:rPr>
        <w:t>POLE</w:t>
      </w:r>
      <w:r>
        <w:t xml:space="preserve">mut EC. Across both studies, no significant differences in survival outcomes were observed between treatment arms for </w:t>
      </w:r>
      <w:r w:rsidR="00C816FF" w:rsidRPr="00C816FF">
        <w:t xml:space="preserve">patients with </w:t>
      </w:r>
      <w:r w:rsidR="00C816FF" w:rsidRPr="00836811">
        <w:rPr>
          <w:i/>
        </w:rPr>
        <w:t>POLE</w:t>
      </w:r>
      <w:r w:rsidR="00C816FF" w:rsidRPr="00C816FF">
        <w:t>mut</w:t>
      </w:r>
      <w:r>
        <w:t xml:space="preserve"> (</w:t>
      </w:r>
      <w:r w:rsidR="00D40856">
        <w:fldChar w:fldCharType="begin"/>
      </w:r>
      <w:r w:rsidR="00D40856">
        <w:instrText xml:space="preserve"> REF _Ref211856191 \h </w:instrText>
      </w:r>
      <w:r w:rsidR="00D40856">
        <w:fldChar w:fldCharType="separate"/>
      </w:r>
      <w:r w:rsidR="000B42CB" w:rsidRPr="00F834DD">
        <w:t xml:space="preserve">Table </w:t>
      </w:r>
      <w:r w:rsidR="000B42CB">
        <w:rPr>
          <w:noProof/>
        </w:rPr>
        <w:t>8</w:t>
      </w:r>
      <w:r w:rsidR="00D40856">
        <w:fldChar w:fldCharType="end"/>
      </w:r>
      <w:r>
        <w:t xml:space="preserve">). However, the small sample size and low event rates resulted in very wide confidence intervals, contributing to serious imprecision. When combined with the serious risk of bias, the certainty of evidence was rated as low using the GRADE framework. Nevertheless, the absence of recurrence or death in the </w:t>
      </w:r>
      <w:r w:rsidR="00572E78" w:rsidRPr="00572E78">
        <w:rPr>
          <w:i/>
        </w:rPr>
        <w:t>POLE</w:t>
      </w:r>
      <w:r>
        <w:t>mut subgroup of PORTEC-3 over a 10-year follow-up period supports the de-escalation of adjuvant treatment in these patients</w:t>
      </w:r>
      <w:r w:rsidR="00A74A51">
        <w:t xml:space="preserve">. </w:t>
      </w:r>
      <w:r w:rsidR="0044020B">
        <w:t>T</w:t>
      </w:r>
      <w:r w:rsidR="00A74A51">
        <w:t>he proportion of patients with stage III</w:t>
      </w:r>
      <w:r w:rsidR="00075EA9">
        <w:t>–</w:t>
      </w:r>
      <w:r w:rsidR="00A74A51">
        <w:t xml:space="preserve">IV disease </w:t>
      </w:r>
      <w:r w:rsidR="00372F84">
        <w:t xml:space="preserve">across both studies </w:t>
      </w:r>
      <w:r w:rsidR="00A74A51">
        <w:t xml:space="preserve">was low, limiting the </w:t>
      </w:r>
      <w:r w:rsidRPr="00F834DD">
        <w:t xml:space="preserve">generalisability </w:t>
      </w:r>
      <w:r w:rsidR="00C9698D">
        <w:t xml:space="preserve">of the results </w:t>
      </w:r>
      <w:r w:rsidRPr="00F834DD">
        <w:t>to stage III and IV disease</w:t>
      </w:r>
      <w:r>
        <w:t>. The</w:t>
      </w:r>
      <w:r w:rsidR="00113620">
        <w:t>se</w:t>
      </w:r>
      <w:r>
        <w:t xml:space="preserve"> results also align with treatment guidelines </w:t>
      </w:r>
      <w:r w:rsidR="00367359">
        <w:fldChar w:fldCharType="begin">
          <w:fldData xml:space="preserve">PEVuZE5vdGU+PENpdGU+PEF1dGhvcj5Db25jaW48L0F1dGhvcj48WWVhcj4yMDI1PC9ZZWFyPjxS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</w:fldData>
        </w:fldChar>
      </w:r>
      <w:r w:rsidR="00354422">
        <w:instrText xml:space="preserve"> ADDIN EN.CITE </w:instrText>
      </w:r>
      <w:r w:rsidR="00354422">
        <w:fldChar w:fldCharType="begin">
          <w:fldData xml:space="preserve">PEVuZE5vdGU+PENpdGU+PEF1dGhvcj5Db25jaW48L0F1dGhvcj48WWVhcj4yMDI1PC9ZZWFyPjxS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</w:fldData>
        </w:fldChar>
      </w:r>
      <w:r w:rsidR="00354422">
        <w:instrText xml:space="preserve"> ADDIN EN.CITE.DATA </w:instrText>
      </w:r>
      <w:r w:rsidR="00354422">
        <w:fldChar w:fldCharType="end"/>
      </w:r>
      <w:r w:rsidR="00367359">
        <w:fldChar w:fldCharType="separate"/>
      </w:r>
      <w:r w:rsidR="000B148E">
        <w:rPr>
          <w:noProof/>
        </w:rPr>
        <w:t>(Concin et al. 2025)</w:t>
      </w:r>
      <w:r w:rsidR="00367359">
        <w:fldChar w:fldCharType="end"/>
      </w:r>
      <w:r>
        <w:t xml:space="preserve"> where no adjuvant therapy is recommended for patients with </w:t>
      </w:r>
      <w:r w:rsidR="00374BCD">
        <w:t>stage I</w:t>
      </w:r>
      <w:r w:rsidR="00075EA9">
        <w:t>–</w:t>
      </w:r>
      <w:r w:rsidR="00374BCD">
        <w:t>II disease</w:t>
      </w:r>
      <w:r w:rsidR="00374BCD" w:rsidRPr="00572E78">
        <w:rPr>
          <w:i/>
        </w:rPr>
        <w:t xml:space="preserve"> </w:t>
      </w:r>
      <w:r w:rsidR="00572E78" w:rsidRPr="00572E78">
        <w:rPr>
          <w:i/>
        </w:rPr>
        <w:t>POLE</w:t>
      </w:r>
      <w:r>
        <w:t>mut EC</w:t>
      </w:r>
      <w:r w:rsidR="0044020B">
        <w:t>.</w:t>
      </w:r>
      <w:r w:rsidR="00702022">
        <w:t xml:space="preserve"> N</w:t>
      </w:r>
      <w:r w:rsidR="00CC51C6">
        <w:t xml:space="preserve">o firm recommendations </w:t>
      </w:r>
      <w:r w:rsidR="0007605B">
        <w:t>were</w:t>
      </w:r>
      <w:r w:rsidR="00CC51C6">
        <w:t xml:space="preserve"> made for stage III</w:t>
      </w:r>
      <w:r w:rsidR="00F91B39">
        <w:t>–</w:t>
      </w:r>
      <w:r w:rsidR="00CC51C6">
        <w:t>IV disease</w:t>
      </w:r>
      <w:r>
        <w:t xml:space="preserve">. </w:t>
      </w:r>
    </w:p>
    <w:p w14:paraId="05A361A5" w14:textId="3B60BA44" w:rsidR="005713FF" w:rsidRPr="00F834DD" w:rsidRDefault="005713FF" w:rsidP="005713FF">
      <w:pPr>
        <w:pStyle w:val="Caption"/>
      </w:pPr>
      <w:bookmarkStart w:id="49" w:name="_Ref211856191"/>
      <w:r w:rsidRPr="00F834DD">
        <w:t xml:space="preserve">Table </w:t>
      </w:r>
      <w:r>
        <w:fldChar w:fldCharType="begin"/>
      </w:r>
      <w:r>
        <w:instrText>SEQ Table \* ARABIC</w:instrText>
      </w:r>
      <w:r>
        <w:fldChar w:fldCharType="separate"/>
      </w:r>
      <w:r w:rsidR="00996E6E">
        <w:rPr>
          <w:noProof/>
        </w:rPr>
        <w:t>8</w:t>
      </w:r>
      <w:r>
        <w:fldChar w:fldCharType="end"/>
      </w:r>
      <w:bookmarkEnd w:id="49"/>
      <w:r w:rsidRPr="00F834DD">
        <w:t xml:space="preserve"> Quality of evidence for comparative therapies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7"/>
        <w:gridCol w:w="1086"/>
        <w:gridCol w:w="1843"/>
        <w:gridCol w:w="1134"/>
        <w:gridCol w:w="2297"/>
        <w:gridCol w:w="1479"/>
      </w:tblGrid>
      <w:tr w:rsidR="00FD72A0" w:rsidRPr="00F834DD" w14:paraId="0C7FCA02" w14:textId="77777777" w:rsidTr="00C15501">
        <w:trPr>
          <w:trHeight w:val="227"/>
          <w:tblHeader/>
        </w:trPr>
        <w:tc>
          <w:tcPr>
            <w:tcW w:w="653" w:type="pct"/>
            <w:shd w:val="clear" w:color="auto" w:fill="F2F2F2" w:themeFill="background1" w:themeFillShade="F2"/>
            <w:tcMar>
              <w:top w:w="0" w:type="dxa"/>
              <w:left w:w="57" w:type="dxa"/>
              <w:bottom w:w="0" w:type="dxa"/>
              <w:right w:w="57" w:type="dxa"/>
            </w:tcMar>
            <w:hideMark/>
          </w:tcPr>
          <w:p w14:paraId="67E5A159" w14:textId="77777777" w:rsidR="005713FF" w:rsidRPr="00F834DD" w:rsidRDefault="005713FF" w:rsidP="002C3A2E">
            <w:pPr>
              <w:pStyle w:val="Tableheading1"/>
              <w:keepNext/>
            </w:pPr>
            <w:r w:rsidRPr="00F834DD">
              <w:t>Study</w:t>
            </w:r>
          </w:p>
        </w:tc>
        <w:tc>
          <w:tcPr>
            <w:tcW w:w="602" w:type="pct"/>
            <w:shd w:val="clear" w:color="auto" w:fill="F2F2F2" w:themeFill="background1" w:themeFillShade="F2"/>
            <w:tcMar>
              <w:top w:w="0" w:type="dxa"/>
              <w:left w:w="57" w:type="dxa"/>
              <w:bottom w:w="0" w:type="dxa"/>
              <w:right w:w="57" w:type="dxa"/>
            </w:tcMar>
          </w:tcPr>
          <w:p w14:paraId="260BBE98" w14:textId="43237F79" w:rsidR="009729D1" w:rsidRDefault="009729D1" w:rsidP="009729D1">
            <w:pPr>
              <w:pStyle w:val="Tableheading1"/>
              <w:keepNext/>
            </w:pPr>
            <w:r>
              <w:t>Outcome</w:t>
            </w:r>
          </w:p>
        </w:tc>
        <w:tc>
          <w:tcPr>
            <w:tcW w:w="1022" w:type="pct"/>
            <w:shd w:val="clear" w:color="auto" w:fill="F2F2F2" w:themeFill="background1" w:themeFillShade="F2"/>
            <w:tcMar>
              <w:top w:w="0" w:type="dxa"/>
              <w:left w:w="57" w:type="dxa"/>
              <w:bottom w:w="0" w:type="dxa"/>
              <w:right w:w="57" w:type="dxa"/>
            </w:tcMar>
            <w:hideMark/>
          </w:tcPr>
          <w:p w14:paraId="6F6BCC30" w14:textId="77777777" w:rsidR="005713FF" w:rsidRPr="00F834DD" w:rsidRDefault="005713FF" w:rsidP="002C3A2E">
            <w:pPr>
              <w:pStyle w:val="Tableheading1"/>
              <w:keepNext/>
            </w:pPr>
            <w:r>
              <w:t>Comparison</w:t>
            </w:r>
          </w:p>
        </w:tc>
        <w:tc>
          <w:tcPr>
            <w:tcW w:w="629" w:type="pct"/>
            <w:shd w:val="clear" w:color="auto" w:fill="F2F2F2" w:themeFill="background1" w:themeFillShade="F2"/>
            <w:tcMar>
              <w:top w:w="0" w:type="dxa"/>
              <w:left w:w="57" w:type="dxa"/>
              <w:bottom w:w="0" w:type="dxa"/>
              <w:right w:w="57" w:type="dxa"/>
            </w:tcMar>
            <w:hideMark/>
          </w:tcPr>
          <w:p w14:paraId="15854D1E" w14:textId="77777777" w:rsidR="005713FF" w:rsidRPr="00F834DD" w:rsidRDefault="005713FF" w:rsidP="002C3A2E">
            <w:pPr>
              <w:pStyle w:val="Tableheading1"/>
              <w:keepNext/>
            </w:pPr>
            <w:r w:rsidRPr="00F834DD">
              <w:t>Participants</w:t>
            </w:r>
          </w:p>
        </w:tc>
        <w:tc>
          <w:tcPr>
            <w:tcW w:w="1274" w:type="pct"/>
            <w:shd w:val="clear" w:color="auto" w:fill="F2F2F2" w:themeFill="background1" w:themeFillShade="F2"/>
            <w:tcMar>
              <w:top w:w="0" w:type="dxa"/>
              <w:left w:w="57" w:type="dxa"/>
              <w:bottom w:w="0" w:type="dxa"/>
              <w:right w:w="57" w:type="dxa"/>
            </w:tcMar>
          </w:tcPr>
          <w:p w14:paraId="35EC3F28" w14:textId="77777777" w:rsidR="005713FF" w:rsidRPr="00F834DD" w:rsidRDefault="005713FF" w:rsidP="002C3A2E">
            <w:pPr>
              <w:pStyle w:val="Tableheading1"/>
              <w:keepNext/>
            </w:pPr>
            <w:r w:rsidRPr="00F834DD">
              <w:t>Results, HR (95% CI)</w:t>
            </w:r>
          </w:p>
        </w:tc>
        <w:tc>
          <w:tcPr>
            <w:tcW w:w="820" w:type="pct"/>
            <w:shd w:val="clear" w:color="auto" w:fill="F2F2F2" w:themeFill="background1" w:themeFillShade="F2"/>
            <w:tcMar>
              <w:top w:w="0" w:type="dxa"/>
              <w:left w:w="57" w:type="dxa"/>
              <w:bottom w:w="0" w:type="dxa"/>
              <w:right w:w="57" w:type="dxa"/>
            </w:tcMar>
            <w:hideMark/>
          </w:tcPr>
          <w:p w14:paraId="7D85AE61" w14:textId="7502F599" w:rsidR="005713FF" w:rsidRPr="00F834DD" w:rsidRDefault="005713FF" w:rsidP="00E9222E">
            <w:pPr>
              <w:pStyle w:val="Tableheading1"/>
              <w:keepNext/>
              <w:jc w:val="left"/>
            </w:pPr>
            <w:r w:rsidRPr="00F834DD">
              <w:t xml:space="preserve">Quality of evidence using </w:t>
            </w:r>
            <w:r>
              <w:t>GRADE</w:t>
            </w:r>
          </w:p>
        </w:tc>
      </w:tr>
      <w:tr w:rsidR="005713FF" w:rsidRPr="00F834DD" w14:paraId="75A0FEFB" w14:textId="77777777" w:rsidTr="00C15501">
        <w:trPr>
          <w:trHeight w:val="227"/>
        </w:trPr>
        <w:tc>
          <w:tcPr>
            <w:tcW w:w="653" w:type="pct"/>
            <w:tcBorders>
              <w:bottom w:val="single" w:sz="4" w:space="0" w:color="auto"/>
            </w:tcBorders>
            <w:tcMar>
              <w:top w:w="0" w:type="dxa"/>
              <w:left w:w="57" w:type="dxa"/>
              <w:bottom w:w="0" w:type="dxa"/>
              <w:right w:w="57" w:type="dxa"/>
            </w:tcMar>
          </w:tcPr>
          <w:p w14:paraId="1D75717D" w14:textId="21B0413D" w:rsidR="005713FF" w:rsidRPr="006839EB" w:rsidRDefault="005713FF" w:rsidP="002C3A2E">
            <w:pPr>
              <w:pStyle w:val="Tabletext0"/>
              <w:keepNext/>
            </w:pPr>
            <w:r w:rsidRPr="00F834DD">
              <w:t>McAlpine 2021</w:t>
            </w:r>
            <w:r w:rsidR="00127390">
              <w:rPr>
                <w:vertAlign w:val="superscript"/>
              </w:rPr>
              <w:fldChar w:fldCharType="begin"/>
            </w:r>
            <w:r w:rsidR="00127390">
              <w:rPr>
                <w:vertAlign w:val="superscript"/>
              </w:rPr>
              <w:instrText xml:space="preserve"> NOTEREF _Ref222383704 \f \h </w:instrText>
            </w:r>
            <w:r w:rsidR="00127390">
              <w:rPr>
                <w:vertAlign w:val="superscript"/>
              </w:rPr>
            </w:r>
            <w:r w:rsidR="00127390">
              <w:rPr>
                <w:vertAlign w:val="superscript"/>
              </w:rPr>
              <w:fldChar w:fldCharType="separate"/>
            </w:r>
            <w:r w:rsidR="000B42CB" w:rsidRPr="00E55E34">
              <w:rPr>
                <w:rStyle w:val="FootnoteReference"/>
              </w:rPr>
              <w:t>15</w:t>
            </w:r>
            <w:r w:rsidR="00127390">
              <w:rPr>
                <w:vertAlign w:val="superscript"/>
              </w:rPr>
              <w:fldChar w:fldCharType="end"/>
            </w:r>
          </w:p>
        </w:tc>
        <w:tc>
          <w:tcPr>
            <w:tcW w:w="602" w:type="pct"/>
            <w:tcMar>
              <w:top w:w="0" w:type="dxa"/>
              <w:left w:w="57" w:type="dxa"/>
              <w:bottom w:w="0" w:type="dxa"/>
              <w:right w:w="57" w:type="dxa"/>
            </w:tcMar>
          </w:tcPr>
          <w:p w14:paraId="6D0CBBAF" w14:textId="43DE114F" w:rsidR="009729D1" w:rsidRDefault="009729D1" w:rsidP="009729D1">
            <w:pPr>
              <w:pStyle w:val="Tabletext0"/>
              <w:keepNext/>
            </w:pPr>
            <w:r>
              <w:t>PFS and/or DSS</w:t>
            </w:r>
          </w:p>
        </w:tc>
        <w:tc>
          <w:tcPr>
            <w:tcW w:w="1022" w:type="pct"/>
            <w:tcMar>
              <w:top w:w="0" w:type="dxa"/>
              <w:left w:w="57" w:type="dxa"/>
              <w:bottom w:w="0" w:type="dxa"/>
              <w:right w:w="57" w:type="dxa"/>
            </w:tcMar>
          </w:tcPr>
          <w:p w14:paraId="3D8F9C2E" w14:textId="77777777" w:rsidR="005713FF" w:rsidRPr="00F834DD" w:rsidRDefault="005713FF" w:rsidP="002C3A2E">
            <w:pPr>
              <w:pStyle w:val="Tabletext0"/>
              <w:keepNext/>
            </w:pPr>
            <w:r>
              <w:t>Any adjuvant therapy vs no adjuvant therapy</w:t>
            </w:r>
          </w:p>
        </w:tc>
        <w:tc>
          <w:tcPr>
            <w:tcW w:w="629" w:type="pct"/>
            <w:tcMar>
              <w:top w:w="0" w:type="dxa"/>
              <w:left w:w="57" w:type="dxa"/>
              <w:bottom w:w="0" w:type="dxa"/>
              <w:right w:w="57" w:type="dxa"/>
            </w:tcMar>
          </w:tcPr>
          <w:p w14:paraId="49676D66" w14:textId="04832C57" w:rsidR="005713FF" w:rsidRPr="00F834DD" w:rsidRDefault="00572E78" w:rsidP="002C3A2E">
            <w:pPr>
              <w:pStyle w:val="Tabletext0"/>
              <w:keepNext/>
            </w:pPr>
            <w:r w:rsidRPr="00572E78">
              <w:rPr>
                <w:i/>
              </w:rPr>
              <w:t>POLE</w:t>
            </w:r>
            <w:r w:rsidR="005713FF" w:rsidRPr="00F834DD">
              <w:t>mut EC</w:t>
            </w:r>
          </w:p>
        </w:tc>
        <w:tc>
          <w:tcPr>
            <w:tcW w:w="1274" w:type="pct"/>
            <w:tcMar>
              <w:top w:w="0" w:type="dxa"/>
              <w:left w:w="57" w:type="dxa"/>
              <w:bottom w:w="0" w:type="dxa"/>
              <w:right w:w="57" w:type="dxa"/>
            </w:tcMar>
          </w:tcPr>
          <w:p w14:paraId="1FDCAFFB" w14:textId="724F3A4B" w:rsidR="005713FF" w:rsidRPr="00F834DD" w:rsidRDefault="005713FF" w:rsidP="002C3A2E">
            <w:pPr>
              <w:pStyle w:val="Tabletext0"/>
              <w:keepNext/>
            </w:pPr>
            <w:r w:rsidRPr="00F834DD">
              <w:t>1.53 (0.27, 8.5</w:t>
            </w:r>
            <w:r w:rsidR="00322499">
              <w:t>0</w:t>
            </w:r>
            <w:r w:rsidRPr="00F834DD">
              <w:t>); p = 0.626</w:t>
            </w:r>
          </w:p>
        </w:tc>
        <w:tc>
          <w:tcPr>
            <w:tcW w:w="820" w:type="pct"/>
            <w:tcMar>
              <w:top w:w="0" w:type="dxa"/>
              <w:left w:w="57" w:type="dxa"/>
              <w:bottom w:w="0" w:type="dxa"/>
              <w:right w:w="57" w:type="dxa"/>
            </w:tcMar>
          </w:tcPr>
          <w:p w14:paraId="7BFB600E" w14:textId="77777777" w:rsidR="005713FF" w:rsidRPr="00F834DD" w:rsidRDefault="005713FF" w:rsidP="002C3A2E">
            <w:pPr>
              <w:pStyle w:val="Tabletext0"/>
              <w:keepNext/>
              <w:rPr>
                <w:rStyle w:val="quality-sign"/>
              </w:rPr>
            </w:pPr>
            <w:r w:rsidRPr="00093C08">
              <w:rPr>
                <w:rFonts w:ascii="Cambria Math" w:hAnsi="Cambria Math"/>
                <w:color w:val="006100"/>
              </w:rPr>
              <w:t>⨁⨁</w:t>
            </w:r>
            <w:r w:rsidRPr="00CE28E3">
              <w:rPr>
                <w:rFonts w:ascii="Cambria Math" w:hAnsi="Cambria Math" w:cs="Cambria Math"/>
                <w:color w:val="C00000"/>
              </w:rPr>
              <w:t>⨀⨀</w:t>
            </w:r>
            <w:r w:rsidRPr="00F834DD">
              <w:br/>
            </w:r>
            <w:r w:rsidRPr="00F834DD">
              <w:rPr>
                <w:rStyle w:val="quality-text"/>
              </w:rPr>
              <w:t>Low</w:t>
            </w:r>
          </w:p>
        </w:tc>
      </w:tr>
      <w:tr w:rsidR="005713FF" w:rsidRPr="00F834DD" w14:paraId="3834CFB2" w14:textId="77777777" w:rsidTr="00A57A61">
        <w:trPr>
          <w:trHeight w:val="227"/>
        </w:trPr>
        <w:tc>
          <w:tcPr>
            <w:tcW w:w="653" w:type="pct"/>
            <w:tcBorders>
              <w:bottom w:val="nil"/>
            </w:tcBorders>
            <w:tcMar>
              <w:top w:w="0" w:type="dxa"/>
              <w:left w:w="57" w:type="dxa"/>
              <w:bottom w:w="0" w:type="dxa"/>
              <w:right w:w="57" w:type="dxa"/>
            </w:tcMar>
          </w:tcPr>
          <w:p w14:paraId="3C62D3CD" w14:textId="475AA977" w:rsidR="005713FF" w:rsidRPr="00F834DD" w:rsidRDefault="005713FF" w:rsidP="002C3A2E">
            <w:pPr>
              <w:pStyle w:val="Tabletext0"/>
              <w:keepNext/>
            </w:pPr>
            <w:r w:rsidRPr="00F834DD">
              <w:t>PORTEC-3</w:t>
            </w:r>
            <w:r w:rsidR="00196379">
              <w:fldChar w:fldCharType="begin"/>
            </w:r>
            <w:r w:rsidR="00196379">
              <w:instrText xml:space="preserve"> NOTEREF _Ref222382795 \f \h </w:instrText>
            </w:r>
            <w:r w:rsidR="00196379">
              <w:fldChar w:fldCharType="separate"/>
            </w:r>
            <w:r w:rsidR="000B42CB" w:rsidRPr="00E55E34">
              <w:rPr>
                <w:rStyle w:val="FootnoteReference"/>
              </w:rPr>
              <w:t>10</w:t>
            </w:r>
            <w:r w:rsidR="00196379">
              <w:fldChar w:fldCharType="end"/>
            </w:r>
            <w:r w:rsidR="0002773E" w:rsidRPr="00900B80">
              <w:rPr>
                <w:vertAlign w:val="superscript"/>
              </w:rPr>
              <w:t>,</w:t>
            </w:r>
            <w:r w:rsidR="0002773E">
              <w:rPr>
                <w:vertAlign w:val="superscript"/>
              </w:rPr>
              <w:fldChar w:fldCharType="begin"/>
            </w:r>
            <w:r w:rsidR="0002773E">
              <w:rPr>
                <w:vertAlign w:val="superscript"/>
              </w:rPr>
              <w:instrText xml:space="preserve"> NOTEREF _Ref222382805 \f \h </w:instrText>
            </w:r>
            <w:r w:rsidR="0002773E">
              <w:rPr>
                <w:vertAlign w:val="superscript"/>
              </w:rPr>
            </w:r>
            <w:r w:rsidR="0002773E">
              <w:rPr>
                <w:vertAlign w:val="superscript"/>
              </w:rPr>
              <w:fldChar w:fldCharType="separate"/>
            </w:r>
            <w:r w:rsidR="000B42CB" w:rsidRPr="00E55E34">
              <w:rPr>
                <w:rStyle w:val="FootnoteReference"/>
              </w:rPr>
              <w:t>11</w:t>
            </w:r>
            <w:r w:rsidR="0002773E">
              <w:rPr>
                <w:vertAlign w:val="superscript"/>
              </w:rPr>
              <w:fldChar w:fldCharType="end"/>
            </w:r>
            <w:r w:rsidR="0002773E">
              <w:t xml:space="preserve"> </w:t>
            </w:r>
            <w:r w:rsidR="001E5AD9" w:rsidRPr="00F834DD">
              <w:t xml:space="preserve"> </w:t>
            </w:r>
          </w:p>
        </w:tc>
        <w:tc>
          <w:tcPr>
            <w:tcW w:w="602" w:type="pct"/>
            <w:tcMar>
              <w:top w:w="0" w:type="dxa"/>
              <w:left w:w="57" w:type="dxa"/>
              <w:bottom w:w="0" w:type="dxa"/>
              <w:right w:w="57" w:type="dxa"/>
            </w:tcMar>
          </w:tcPr>
          <w:p w14:paraId="3527AEFB" w14:textId="4FA72BBB" w:rsidR="009729D1" w:rsidRDefault="009729D1" w:rsidP="009729D1">
            <w:pPr>
              <w:pStyle w:val="Tabletext0"/>
              <w:keepNext/>
            </w:pPr>
            <w:r>
              <w:t>RFS</w:t>
            </w:r>
            <w:r w:rsidR="00683978">
              <w:t xml:space="preserve"> (5-year follow-up)</w:t>
            </w:r>
          </w:p>
        </w:tc>
        <w:tc>
          <w:tcPr>
            <w:tcW w:w="1022" w:type="pct"/>
            <w:tcMar>
              <w:top w:w="0" w:type="dxa"/>
              <w:left w:w="57" w:type="dxa"/>
              <w:bottom w:w="0" w:type="dxa"/>
              <w:right w:w="57" w:type="dxa"/>
            </w:tcMar>
          </w:tcPr>
          <w:p w14:paraId="3664399D" w14:textId="77777777" w:rsidR="005713FF" w:rsidRPr="00F834DD" w:rsidRDefault="005713FF" w:rsidP="002C3A2E">
            <w:pPr>
              <w:pStyle w:val="Tabletext0"/>
              <w:keepNext/>
            </w:pPr>
            <w:r>
              <w:t>CTRT vs RT alone</w:t>
            </w:r>
          </w:p>
        </w:tc>
        <w:tc>
          <w:tcPr>
            <w:tcW w:w="629" w:type="pct"/>
            <w:tcMar>
              <w:top w:w="0" w:type="dxa"/>
              <w:left w:w="57" w:type="dxa"/>
              <w:bottom w:w="0" w:type="dxa"/>
              <w:right w:w="57" w:type="dxa"/>
            </w:tcMar>
          </w:tcPr>
          <w:p w14:paraId="3E030338" w14:textId="6EAE629A" w:rsidR="005713FF" w:rsidRPr="00F834DD" w:rsidRDefault="005713FF" w:rsidP="00E9222E">
            <w:pPr>
              <w:pStyle w:val="Tabletext0"/>
              <w:keepNext/>
              <w:jc w:val="left"/>
            </w:pPr>
            <w:r>
              <w:t>Stage I</w:t>
            </w:r>
            <w:r w:rsidR="009C1EE6">
              <w:t>–</w:t>
            </w:r>
            <w:r>
              <w:t>III, h</w:t>
            </w:r>
            <w:r w:rsidRPr="00F834DD">
              <w:t>igh-risk EC</w:t>
            </w:r>
          </w:p>
        </w:tc>
        <w:tc>
          <w:tcPr>
            <w:tcW w:w="1274" w:type="pct"/>
            <w:tcMar>
              <w:top w:w="0" w:type="dxa"/>
              <w:left w:w="57" w:type="dxa"/>
              <w:bottom w:w="0" w:type="dxa"/>
              <w:right w:w="57" w:type="dxa"/>
            </w:tcMar>
          </w:tcPr>
          <w:p w14:paraId="149F4441" w14:textId="1567D9C2" w:rsidR="005713FF" w:rsidRPr="00F834DD" w:rsidRDefault="005713FF" w:rsidP="002C3A2E">
            <w:pPr>
              <w:pStyle w:val="Tabletext0"/>
              <w:keepNext/>
            </w:pPr>
            <w:r w:rsidRPr="00F834DD">
              <w:t>0.02 (&lt;0.01, &gt;10</w:t>
            </w:r>
            <w:r w:rsidRPr="00F834DD">
              <w:rPr>
                <w:vertAlign w:val="superscript"/>
              </w:rPr>
              <w:t>5</w:t>
            </w:r>
            <w:r w:rsidRPr="00F834DD">
              <w:t>); p = 0.637</w:t>
            </w:r>
          </w:p>
        </w:tc>
        <w:tc>
          <w:tcPr>
            <w:tcW w:w="820" w:type="pct"/>
            <w:tcMar>
              <w:top w:w="0" w:type="dxa"/>
              <w:left w:w="57" w:type="dxa"/>
              <w:bottom w:w="0" w:type="dxa"/>
              <w:right w:w="57" w:type="dxa"/>
            </w:tcMar>
          </w:tcPr>
          <w:p w14:paraId="47B9A67C" w14:textId="77777777" w:rsidR="005713FF" w:rsidRPr="00F834DD" w:rsidRDefault="005713FF" w:rsidP="002C3A2E">
            <w:pPr>
              <w:pStyle w:val="Tabletext0"/>
              <w:keepNext/>
            </w:pPr>
            <w:r w:rsidRPr="00093C08">
              <w:rPr>
                <w:rFonts w:ascii="Cambria Math" w:hAnsi="Cambria Math"/>
                <w:color w:val="388600"/>
              </w:rPr>
              <w:t>⨁⨁</w:t>
            </w:r>
            <w:r w:rsidRPr="00CE28E3">
              <w:rPr>
                <w:rFonts w:ascii="Cambria Math" w:hAnsi="Cambria Math" w:cs="Cambria Math"/>
                <w:color w:val="C00000"/>
              </w:rPr>
              <w:t>⨀⨀</w:t>
            </w:r>
            <w:r w:rsidRPr="00402A3F">
              <w:br/>
            </w:r>
            <w:r w:rsidRPr="00F834DD">
              <w:t>Low</w:t>
            </w:r>
          </w:p>
        </w:tc>
      </w:tr>
      <w:tr w:rsidR="005713FF" w:rsidRPr="00F834DD" w14:paraId="216C44BA" w14:textId="77777777" w:rsidTr="006865A8">
        <w:trPr>
          <w:trHeight w:val="227"/>
        </w:trPr>
        <w:tc>
          <w:tcPr>
            <w:tcW w:w="653" w:type="pct"/>
            <w:tcBorders>
              <w:top w:val="nil"/>
              <w:bottom w:val="nil"/>
            </w:tcBorders>
            <w:tcMar>
              <w:top w:w="0" w:type="dxa"/>
              <w:left w:w="57" w:type="dxa"/>
              <w:bottom w:w="0" w:type="dxa"/>
              <w:right w:w="57" w:type="dxa"/>
            </w:tcMar>
          </w:tcPr>
          <w:p w14:paraId="5D10A1AD" w14:textId="77777777" w:rsidR="005713FF" w:rsidRPr="00F834DD" w:rsidRDefault="005713FF" w:rsidP="002C3A2E">
            <w:pPr>
              <w:pStyle w:val="Tableheading1"/>
              <w:keepNext/>
            </w:pPr>
          </w:p>
        </w:tc>
        <w:tc>
          <w:tcPr>
            <w:tcW w:w="602" w:type="pct"/>
            <w:tcMar>
              <w:top w:w="0" w:type="dxa"/>
              <w:left w:w="57" w:type="dxa"/>
              <w:bottom w:w="0" w:type="dxa"/>
              <w:right w:w="57" w:type="dxa"/>
            </w:tcMar>
          </w:tcPr>
          <w:p w14:paraId="50B82508" w14:textId="51CAA04F" w:rsidR="009729D1" w:rsidRDefault="009729D1" w:rsidP="009729D1">
            <w:pPr>
              <w:pStyle w:val="Tabletext0"/>
              <w:keepNext/>
            </w:pPr>
            <w:r>
              <w:t>OS</w:t>
            </w:r>
            <w:r w:rsidR="00683978">
              <w:t xml:space="preserve"> (5-year follow-up)</w:t>
            </w:r>
          </w:p>
        </w:tc>
        <w:tc>
          <w:tcPr>
            <w:tcW w:w="1022" w:type="pct"/>
            <w:tcMar>
              <w:top w:w="0" w:type="dxa"/>
              <w:left w:w="57" w:type="dxa"/>
              <w:bottom w:w="0" w:type="dxa"/>
              <w:right w:w="57" w:type="dxa"/>
            </w:tcMar>
          </w:tcPr>
          <w:p w14:paraId="621744A9" w14:textId="77777777" w:rsidR="005713FF" w:rsidRPr="00F834DD" w:rsidRDefault="005713FF" w:rsidP="002C3A2E">
            <w:pPr>
              <w:pStyle w:val="Tabletext0"/>
              <w:keepNext/>
            </w:pPr>
            <w:r>
              <w:t>CTRT vs RT alone</w:t>
            </w:r>
          </w:p>
        </w:tc>
        <w:tc>
          <w:tcPr>
            <w:tcW w:w="629" w:type="pct"/>
            <w:tcMar>
              <w:top w:w="0" w:type="dxa"/>
              <w:left w:w="57" w:type="dxa"/>
              <w:bottom w:w="0" w:type="dxa"/>
              <w:right w:w="57" w:type="dxa"/>
            </w:tcMar>
          </w:tcPr>
          <w:p w14:paraId="31B1E6EE" w14:textId="4C19AC8F" w:rsidR="005713FF" w:rsidRPr="00F834DD" w:rsidRDefault="005713FF" w:rsidP="00E9222E">
            <w:pPr>
              <w:pStyle w:val="Tabletext0"/>
              <w:keepNext/>
              <w:jc w:val="left"/>
            </w:pPr>
            <w:r>
              <w:t>Stage I</w:t>
            </w:r>
            <w:r w:rsidR="009C1EE6">
              <w:t>–</w:t>
            </w:r>
            <w:r>
              <w:t>III, h</w:t>
            </w:r>
            <w:r w:rsidRPr="00F834DD">
              <w:t>igh-risk EC</w:t>
            </w:r>
          </w:p>
        </w:tc>
        <w:tc>
          <w:tcPr>
            <w:tcW w:w="1274" w:type="pct"/>
            <w:tcMar>
              <w:top w:w="0" w:type="dxa"/>
              <w:left w:w="57" w:type="dxa"/>
              <w:bottom w:w="0" w:type="dxa"/>
              <w:right w:w="57" w:type="dxa"/>
            </w:tcMar>
          </w:tcPr>
          <w:p w14:paraId="10F502A5" w14:textId="18048EC3" w:rsidR="005713FF" w:rsidRPr="00F834DD" w:rsidRDefault="005713FF" w:rsidP="002C3A2E">
            <w:pPr>
              <w:pStyle w:val="Tabletext0"/>
              <w:keepNext/>
            </w:pPr>
            <w:r w:rsidRPr="00F834DD">
              <w:t>0.02 (&lt;0.01, &gt;10</w:t>
            </w:r>
            <w:r w:rsidRPr="00F834DD">
              <w:rPr>
                <w:vertAlign w:val="superscript"/>
              </w:rPr>
              <w:t>5</w:t>
            </w:r>
            <w:r w:rsidRPr="00F834DD">
              <w:t>); p = 0.637</w:t>
            </w:r>
          </w:p>
        </w:tc>
        <w:tc>
          <w:tcPr>
            <w:tcW w:w="820" w:type="pct"/>
            <w:tcMar>
              <w:top w:w="0" w:type="dxa"/>
              <w:left w:w="57" w:type="dxa"/>
              <w:bottom w:w="0" w:type="dxa"/>
              <w:right w:w="57" w:type="dxa"/>
            </w:tcMar>
          </w:tcPr>
          <w:p w14:paraId="35B9512F" w14:textId="77777777" w:rsidR="005713FF" w:rsidRPr="00F834DD" w:rsidRDefault="005713FF" w:rsidP="002C3A2E">
            <w:pPr>
              <w:pStyle w:val="Tabletext0"/>
              <w:keepNext/>
            </w:pPr>
            <w:r w:rsidRPr="00093C08">
              <w:rPr>
                <w:rFonts w:ascii="Cambria Math" w:hAnsi="Cambria Math"/>
                <w:color w:val="006100"/>
              </w:rPr>
              <w:t>⨁⨁</w:t>
            </w:r>
            <w:r w:rsidRPr="00CE28E3">
              <w:rPr>
                <w:rFonts w:ascii="Cambria Math" w:hAnsi="Cambria Math" w:cs="Cambria Math"/>
                <w:color w:val="C00000"/>
              </w:rPr>
              <w:t>⨀⨀</w:t>
            </w:r>
            <w:r w:rsidRPr="00402A3F">
              <w:br/>
            </w:r>
            <w:r w:rsidRPr="00F834DD">
              <w:t>Low</w:t>
            </w:r>
          </w:p>
        </w:tc>
      </w:tr>
      <w:tr w:rsidR="00C94094" w:rsidRPr="00F834DD" w14:paraId="37A0D8ED" w14:textId="77777777" w:rsidTr="006865A8">
        <w:trPr>
          <w:trHeight w:val="227"/>
        </w:trPr>
        <w:tc>
          <w:tcPr>
            <w:tcW w:w="653" w:type="pct"/>
            <w:tcBorders>
              <w:top w:val="nil"/>
              <w:bottom w:val="nil"/>
            </w:tcBorders>
            <w:tcMar>
              <w:top w:w="0" w:type="dxa"/>
              <w:left w:w="57" w:type="dxa"/>
              <w:bottom w:w="0" w:type="dxa"/>
              <w:right w:w="57" w:type="dxa"/>
            </w:tcMar>
          </w:tcPr>
          <w:p w14:paraId="2F2F9535" w14:textId="77777777" w:rsidR="00C94094" w:rsidRPr="00F834DD" w:rsidRDefault="00C94094" w:rsidP="00C94094">
            <w:pPr>
              <w:pStyle w:val="Tableheading1"/>
              <w:keepNext/>
            </w:pPr>
          </w:p>
        </w:tc>
        <w:tc>
          <w:tcPr>
            <w:tcW w:w="602" w:type="pct"/>
            <w:tcMar>
              <w:top w:w="0" w:type="dxa"/>
              <w:left w:w="57" w:type="dxa"/>
              <w:bottom w:w="0" w:type="dxa"/>
              <w:right w:w="57" w:type="dxa"/>
            </w:tcMar>
          </w:tcPr>
          <w:p w14:paraId="4F7BE520" w14:textId="5E2438B1" w:rsidR="00C94094" w:rsidRPr="009C1B3E" w:rsidRDefault="00C94094" w:rsidP="00C94094">
            <w:pPr>
              <w:pStyle w:val="Tabletext0"/>
              <w:keepNext/>
              <w:rPr>
                <w:i/>
                <w:iCs/>
              </w:rPr>
            </w:pPr>
            <w:r w:rsidRPr="009C1B3E">
              <w:rPr>
                <w:i/>
                <w:iCs/>
              </w:rPr>
              <w:t>RFS (10-year follow-up)</w:t>
            </w:r>
          </w:p>
        </w:tc>
        <w:tc>
          <w:tcPr>
            <w:tcW w:w="1022" w:type="pct"/>
            <w:tcMar>
              <w:top w:w="0" w:type="dxa"/>
              <w:left w:w="57" w:type="dxa"/>
              <w:bottom w:w="0" w:type="dxa"/>
              <w:right w:w="57" w:type="dxa"/>
            </w:tcMar>
          </w:tcPr>
          <w:p w14:paraId="5F11D26B" w14:textId="2E9FBD89" w:rsidR="00C94094" w:rsidRPr="009C1B3E" w:rsidRDefault="00C94094" w:rsidP="00C94094">
            <w:pPr>
              <w:pStyle w:val="Tabletext0"/>
              <w:keepNext/>
              <w:rPr>
                <w:i/>
                <w:iCs/>
              </w:rPr>
            </w:pPr>
            <w:r w:rsidRPr="009C1B3E">
              <w:rPr>
                <w:i/>
                <w:iCs/>
              </w:rPr>
              <w:t>CTRT vs RT alone</w:t>
            </w:r>
          </w:p>
        </w:tc>
        <w:tc>
          <w:tcPr>
            <w:tcW w:w="629" w:type="pct"/>
            <w:tcMar>
              <w:top w:w="0" w:type="dxa"/>
              <w:left w:w="57" w:type="dxa"/>
              <w:bottom w:w="0" w:type="dxa"/>
              <w:right w:w="57" w:type="dxa"/>
            </w:tcMar>
          </w:tcPr>
          <w:p w14:paraId="49C22BE3" w14:textId="41370570" w:rsidR="00C94094" w:rsidRPr="009C1B3E" w:rsidRDefault="00C94094" w:rsidP="00C94094">
            <w:pPr>
              <w:pStyle w:val="Tabletext0"/>
              <w:keepNext/>
              <w:jc w:val="left"/>
              <w:rPr>
                <w:i/>
                <w:iCs/>
              </w:rPr>
            </w:pPr>
            <w:r w:rsidRPr="009C1B3E">
              <w:rPr>
                <w:i/>
                <w:iCs/>
              </w:rPr>
              <w:t xml:space="preserve">Stage I–III, </w:t>
            </w:r>
            <w:r w:rsidRPr="007E6C54">
              <w:rPr>
                <w:i/>
                <w:iCs/>
              </w:rPr>
              <w:t>POLE</w:t>
            </w:r>
            <w:r w:rsidRPr="009C1B3E">
              <w:rPr>
                <w:i/>
                <w:iCs/>
              </w:rPr>
              <w:t>mut EC</w:t>
            </w:r>
          </w:p>
        </w:tc>
        <w:tc>
          <w:tcPr>
            <w:tcW w:w="1274" w:type="pct"/>
            <w:tcMar>
              <w:top w:w="0" w:type="dxa"/>
              <w:left w:w="57" w:type="dxa"/>
              <w:bottom w:w="0" w:type="dxa"/>
              <w:right w:w="57" w:type="dxa"/>
            </w:tcMar>
          </w:tcPr>
          <w:p w14:paraId="391A7536" w14:textId="76D87D44" w:rsidR="00C94094" w:rsidRPr="009C1B3E" w:rsidRDefault="00C94094" w:rsidP="00C94094">
            <w:pPr>
              <w:pStyle w:val="Tabletext0"/>
              <w:keepNext/>
              <w:rPr>
                <w:i/>
                <w:iCs/>
              </w:rPr>
            </w:pPr>
            <w:r w:rsidRPr="009C1B3E">
              <w:rPr>
                <w:i/>
                <w:iCs/>
              </w:rPr>
              <w:t>p = 0.40</w:t>
            </w:r>
          </w:p>
        </w:tc>
        <w:tc>
          <w:tcPr>
            <w:tcW w:w="820" w:type="pct"/>
            <w:tcMar>
              <w:top w:w="0" w:type="dxa"/>
              <w:left w:w="57" w:type="dxa"/>
              <w:bottom w:w="0" w:type="dxa"/>
              <w:right w:w="57" w:type="dxa"/>
            </w:tcMar>
          </w:tcPr>
          <w:p w14:paraId="470F78FA" w14:textId="6A4A82E6" w:rsidR="00C94094" w:rsidRPr="00CE28E3" w:rsidRDefault="00C94094" w:rsidP="00C94094">
            <w:pPr>
              <w:pStyle w:val="Tabletext0"/>
              <w:keepNext/>
              <w:rPr>
                <w:rFonts w:ascii="Cambria Math" w:hAnsi="Cambria Math"/>
                <w:color w:val="00B050"/>
              </w:rPr>
            </w:pPr>
            <w:r w:rsidRPr="00093C08">
              <w:rPr>
                <w:rFonts w:ascii="Cambria Math" w:hAnsi="Cambria Math"/>
                <w:color w:val="006100"/>
              </w:rPr>
              <w:t>⨁⨁</w:t>
            </w:r>
            <w:r w:rsidRPr="00CE28E3">
              <w:rPr>
                <w:rFonts w:ascii="Cambria Math" w:hAnsi="Cambria Math" w:cs="Cambria Math"/>
                <w:color w:val="C00000"/>
              </w:rPr>
              <w:t>⨀⨀</w:t>
            </w:r>
            <w:r w:rsidRPr="00402A3F">
              <w:br/>
            </w:r>
            <w:r w:rsidRPr="009C1B3E">
              <w:rPr>
                <w:i/>
                <w:iCs/>
              </w:rPr>
              <w:t>Low</w:t>
            </w:r>
          </w:p>
        </w:tc>
      </w:tr>
      <w:tr w:rsidR="007E6C54" w:rsidRPr="00F834DD" w14:paraId="339CA923" w14:textId="77777777" w:rsidTr="00A57A61">
        <w:trPr>
          <w:trHeight w:val="227"/>
        </w:trPr>
        <w:tc>
          <w:tcPr>
            <w:tcW w:w="653" w:type="pct"/>
            <w:tcBorders>
              <w:top w:val="nil"/>
              <w:bottom w:val="single" w:sz="4" w:space="0" w:color="auto"/>
            </w:tcBorders>
            <w:tcMar>
              <w:top w:w="0" w:type="dxa"/>
              <w:left w:w="57" w:type="dxa"/>
              <w:bottom w:w="0" w:type="dxa"/>
              <w:right w:w="57" w:type="dxa"/>
            </w:tcMar>
          </w:tcPr>
          <w:p w14:paraId="6324D078" w14:textId="77777777" w:rsidR="007E6C54" w:rsidRPr="00F834DD" w:rsidRDefault="007E6C54" w:rsidP="007E6C54">
            <w:pPr>
              <w:pStyle w:val="Tableheading1"/>
              <w:keepNext/>
            </w:pPr>
          </w:p>
        </w:tc>
        <w:tc>
          <w:tcPr>
            <w:tcW w:w="602" w:type="pct"/>
            <w:tcMar>
              <w:top w:w="0" w:type="dxa"/>
              <w:left w:w="57" w:type="dxa"/>
              <w:bottom w:w="0" w:type="dxa"/>
              <w:right w:w="57" w:type="dxa"/>
            </w:tcMar>
          </w:tcPr>
          <w:p w14:paraId="165E6F8D" w14:textId="1B22B9B2" w:rsidR="007E6C54" w:rsidRPr="009C1B3E" w:rsidRDefault="007E6C54" w:rsidP="007E6C54">
            <w:pPr>
              <w:pStyle w:val="Tabletext0"/>
              <w:keepNext/>
              <w:rPr>
                <w:i/>
                <w:iCs/>
              </w:rPr>
            </w:pPr>
            <w:r w:rsidRPr="009C1B3E">
              <w:rPr>
                <w:i/>
                <w:iCs/>
              </w:rPr>
              <w:t>OS (10-year follow-up)</w:t>
            </w:r>
          </w:p>
        </w:tc>
        <w:tc>
          <w:tcPr>
            <w:tcW w:w="1022" w:type="pct"/>
            <w:tcMar>
              <w:top w:w="0" w:type="dxa"/>
              <w:left w:w="57" w:type="dxa"/>
              <w:bottom w:w="0" w:type="dxa"/>
              <w:right w:w="57" w:type="dxa"/>
            </w:tcMar>
          </w:tcPr>
          <w:p w14:paraId="3FEA338A" w14:textId="1E3AA447" w:rsidR="007E6C54" w:rsidRPr="009C1B3E" w:rsidRDefault="007E6C54" w:rsidP="007E6C54">
            <w:pPr>
              <w:pStyle w:val="Tabletext0"/>
              <w:keepNext/>
              <w:rPr>
                <w:i/>
                <w:iCs/>
              </w:rPr>
            </w:pPr>
            <w:r w:rsidRPr="009C1B3E">
              <w:rPr>
                <w:i/>
                <w:iCs/>
              </w:rPr>
              <w:t>CTRT vs RT alone</w:t>
            </w:r>
          </w:p>
        </w:tc>
        <w:tc>
          <w:tcPr>
            <w:tcW w:w="629" w:type="pct"/>
            <w:tcMar>
              <w:top w:w="0" w:type="dxa"/>
              <w:left w:w="57" w:type="dxa"/>
              <w:bottom w:w="0" w:type="dxa"/>
              <w:right w:w="57" w:type="dxa"/>
            </w:tcMar>
          </w:tcPr>
          <w:p w14:paraId="16C7FB45" w14:textId="4ABCFDA0" w:rsidR="007E6C54" w:rsidRPr="009C1B3E" w:rsidRDefault="007E6C54" w:rsidP="007E6C54">
            <w:pPr>
              <w:pStyle w:val="Tabletext0"/>
              <w:keepNext/>
              <w:jc w:val="left"/>
              <w:rPr>
                <w:i/>
                <w:iCs/>
              </w:rPr>
            </w:pPr>
            <w:r w:rsidRPr="009C1B3E">
              <w:rPr>
                <w:i/>
                <w:iCs/>
              </w:rPr>
              <w:t xml:space="preserve">Stage I–III, </w:t>
            </w:r>
            <w:r w:rsidRPr="007E6C54">
              <w:rPr>
                <w:i/>
                <w:iCs/>
              </w:rPr>
              <w:t>POLE</w:t>
            </w:r>
            <w:r w:rsidRPr="009C1B3E">
              <w:rPr>
                <w:i/>
                <w:iCs/>
              </w:rPr>
              <w:t>mut EC</w:t>
            </w:r>
          </w:p>
        </w:tc>
        <w:tc>
          <w:tcPr>
            <w:tcW w:w="1274" w:type="pct"/>
            <w:tcMar>
              <w:top w:w="0" w:type="dxa"/>
              <w:left w:w="57" w:type="dxa"/>
              <w:bottom w:w="0" w:type="dxa"/>
              <w:right w:w="57" w:type="dxa"/>
            </w:tcMar>
          </w:tcPr>
          <w:p w14:paraId="10FF3A25" w14:textId="4F5AC80E" w:rsidR="007E6C54" w:rsidRPr="009C1B3E" w:rsidRDefault="007E6C54" w:rsidP="007E6C54">
            <w:pPr>
              <w:pStyle w:val="Tabletext0"/>
              <w:keepNext/>
              <w:rPr>
                <w:i/>
                <w:iCs/>
              </w:rPr>
            </w:pPr>
            <w:r w:rsidRPr="009C1B3E">
              <w:rPr>
                <w:i/>
                <w:iCs/>
              </w:rPr>
              <w:t>p = 0.40</w:t>
            </w:r>
          </w:p>
        </w:tc>
        <w:tc>
          <w:tcPr>
            <w:tcW w:w="820" w:type="pct"/>
            <w:tcMar>
              <w:top w:w="0" w:type="dxa"/>
              <w:left w:w="57" w:type="dxa"/>
              <w:bottom w:w="0" w:type="dxa"/>
              <w:right w:w="57" w:type="dxa"/>
            </w:tcMar>
          </w:tcPr>
          <w:p w14:paraId="2A665A23" w14:textId="68B98E43" w:rsidR="007E6C54" w:rsidRPr="00CE28E3" w:rsidRDefault="007E6C54" w:rsidP="007E6C54">
            <w:pPr>
              <w:pStyle w:val="Tabletext0"/>
              <w:keepNext/>
              <w:rPr>
                <w:rFonts w:ascii="Cambria Math" w:hAnsi="Cambria Math"/>
                <w:color w:val="00B050"/>
              </w:rPr>
            </w:pPr>
            <w:r w:rsidRPr="00093C08">
              <w:rPr>
                <w:rFonts w:ascii="Cambria Math" w:hAnsi="Cambria Math"/>
                <w:color w:val="006100"/>
              </w:rPr>
              <w:t>⨁⨁</w:t>
            </w:r>
            <w:r w:rsidRPr="00CE28E3">
              <w:rPr>
                <w:rFonts w:ascii="Cambria Math" w:hAnsi="Cambria Math" w:cs="Cambria Math"/>
                <w:color w:val="C00000"/>
              </w:rPr>
              <w:t>⨀⨀</w:t>
            </w:r>
            <w:r w:rsidRPr="00402A3F">
              <w:br/>
            </w:r>
            <w:r w:rsidRPr="009C1B3E">
              <w:rPr>
                <w:i/>
                <w:iCs/>
              </w:rPr>
              <w:t>Low</w:t>
            </w:r>
          </w:p>
        </w:tc>
      </w:tr>
    </w:tbl>
    <w:p w14:paraId="2A808FB6" w14:textId="0C106BD7" w:rsidR="00210BA5" w:rsidRPr="00F834DD" w:rsidRDefault="00210BA5" w:rsidP="00210BA5">
      <w:pPr>
        <w:pStyle w:val="Tablefooter0"/>
      </w:pPr>
      <w:r>
        <w:t xml:space="preserve">Abbreviations: CI = confidence interval; CTRT = </w:t>
      </w:r>
      <w:r w:rsidR="002F77C8">
        <w:t>chemoradiation therapy</w:t>
      </w:r>
      <w:r>
        <w:t>; DSS = disease</w:t>
      </w:r>
      <w:r w:rsidR="00BC494F">
        <w:t>-</w:t>
      </w:r>
      <w:r>
        <w:t xml:space="preserve">specific survival; EC = endometrial </w:t>
      </w:r>
      <w:r w:rsidR="007655D2">
        <w:t>cancer</w:t>
      </w:r>
      <w:r>
        <w:t>; HR = hazard ratio; OS = overall survival; PFS = progression</w:t>
      </w:r>
      <w:r w:rsidR="00BC494F">
        <w:t>-</w:t>
      </w:r>
      <w:r>
        <w:t>free survival; RFS = recurrence</w:t>
      </w:r>
      <w:r w:rsidR="00BC494F">
        <w:t>-</w:t>
      </w:r>
      <w:r w:rsidDel="00BC494F">
        <w:t>f</w:t>
      </w:r>
      <w:r>
        <w:t xml:space="preserve">ree survival; </w:t>
      </w:r>
      <w:r w:rsidR="00572E78" w:rsidRPr="00572E78">
        <w:rPr>
          <w:i/>
        </w:rPr>
        <w:t>POLE</w:t>
      </w:r>
      <w:r>
        <w:t>mut = DNA polymerase epsilon</w:t>
      </w:r>
      <w:r w:rsidR="003644FF">
        <w:t>, catalytic subunit mutation</w:t>
      </w:r>
      <w:r>
        <w:t xml:space="preserve">; RT = </w:t>
      </w:r>
      <w:r w:rsidR="00D86729">
        <w:t>radiotherapy</w:t>
      </w:r>
    </w:p>
    <w:p w14:paraId="275DDD06" w14:textId="6C438033" w:rsidR="00E26B52" w:rsidRDefault="00E26B52" w:rsidP="00E26B52">
      <w:pPr>
        <w:pStyle w:val="Tablefooter0"/>
      </w:pPr>
      <w:r w:rsidRPr="009F2748">
        <w:rPr>
          <w:lang w:val="nl-NL"/>
        </w:rPr>
        <w:t xml:space="preserve">Source: </w:t>
      </w:r>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rsidRPr="009F2748">
        <w:rPr>
          <w:lang w:val="nl-NL"/>
        </w:rPr>
        <w:instrText xml:space="preserve"> ADDIN EN.CITE </w:instrText>
      </w:r>
      <w:r>
        <w:fldChar w:fldCharType="begin">
          <w:fldData xml:space="preserve">PEVuZE5vdGU+PENpdGUgQXV0aG9yWWVhcj0iMSI+PEF1dGhvcj5NY0FscGluZTwvQXV0aG9yPjxZ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</w:fldData>
        </w:fldChar>
      </w:r>
      <w:r w:rsidRPr="009F2748">
        <w:rPr>
          <w:lang w:val="nl-NL"/>
        </w:rPr>
        <w:instrText xml:space="preserve"> ADDIN EN.CITE.DATA </w:instrText>
      </w:r>
      <w:r>
        <w:fldChar w:fldCharType="end"/>
      </w:r>
      <w:r>
        <w:fldChar w:fldCharType="separate"/>
      </w:r>
      <w:r w:rsidRPr="009F2748">
        <w:rPr>
          <w:lang w:val="nl-NL"/>
        </w:rPr>
        <w:t>McAlpine et al. (2021)</w:t>
      </w:r>
      <w:r>
        <w:fldChar w:fldCharType="end"/>
      </w:r>
      <w:r w:rsidRPr="009F2748">
        <w:rPr>
          <w:lang w:val="nl-NL"/>
        </w:rPr>
        <w:t xml:space="preserve">; </w:t>
      </w:r>
      <w:r>
        <w:fldChar w:fldCharType="begin">
          <w:fldData xml:space="preserve">PEVuZE5vdGU+PENpdGUgQXV0aG9yWWVhcj0iMSI+PEF1dGhvcj5MZcOzbi1DYXN0aWxsbzwvQXV0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</w:fldData>
        </w:fldChar>
      </w:r>
      <w:r w:rsidR="000B148E" w:rsidRPr="009F2748">
        <w:rPr>
          <w:lang w:val="nl-NL"/>
        </w:rPr>
        <w:instrText xml:space="preserve"> ADDIN EN.CITE </w:instrText>
      </w:r>
      <w:r w:rsidR="000B148E">
        <w:fldChar w:fldCharType="begin">
          <w:fldData xml:space="preserve">PEVuZE5vdGU+PENpdGUgQXV0aG9yWWVhcj0iMSI+PEF1dGhvcj5MZcOzbi1DYXN0aWxsbzwvQXV0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</w:fldData>
        </w:fldChar>
      </w:r>
      <w:r w:rsidR="000B148E" w:rsidRPr="009F2748">
        <w:rPr>
          <w:lang w:val="nl-NL"/>
        </w:rPr>
        <w:instrText xml:space="preserve"> ADDIN EN.CITE.DATA </w:instrText>
      </w:r>
      <w:r w:rsidR="000B148E">
        <w:fldChar w:fldCharType="end"/>
      </w:r>
      <w:r>
        <w:fldChar w:fldCharType="separate"/>
      </w:r>
      <w:r w:rsidR="000B148E" w:rsidRPr="009F2748">
        <w:rPr>
          <w:lang w:val="nl-NL"/>
        </w:rPr>
        <w:t xml:space="preserve">León-Castillo, de Boer, et al. </w:t>
      </w:r>
      <w:r w:rsidR="000B148E">
        <w:t>(2020)</w:t>
      </w:r>
      <w:r>
        <w:fldChar w:fldCharType="end"/>
      </w:r>
      <w:r w:rsidR="00983884">
        <w:t xml:space="preserve">; </w:t>
      </w:r>
      <w:r w:rsidR="00983884">
        <w:fldChar w:fldCharType="begin">
          <w:fldData xml:space="preserve">PEVuZE5vdGU+PENpdGUgQXV0aG9yWWVhcj0iMSI+PEF1dGhvcj5Qb3N0PC9BdXRob3I+PFllYXI+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=
</w:fldData>
        </w:fldChar>
      </w:r>
      <w:r w:rsidR="00983884">
        <w:instrText xml:space="preserve"> ADDIN EN.CITE </w:instrText>
      </w:r>
      <w:r w:rsidR="00983884">
        <w:fldChar w:fldCharType="begin">
          <w:fldData xml:space="preserve">PEVuZE5vdGU+PENpdGUgQXV0aG9yWWVhcj0iMSI+PEF1dGhvcj5Qb3N0PC9BdXRob3I+PFllYXI+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=
</w:fldData>
        </w:fldChar>
      </w:r>
      <w:r w:rsidR="00983884">
        <w:instrText xml:space="preserve"> ADDIN EN.CITE.DATA </w:instrText>
      </w:r>
      <w:r w:rsidR="00983884">
        <w:fldChar w:fldCharType="end"/>
      </w:r>
      <w:r w:rsidR="00983884">
        <w:fldChar w:fldCharType="separate"/>
      </w:r>
      <w:r w:rsidR="00983884">
        <w:t>Post et al. (2025)</w:t>
      </w:r>
      <w:r w:rsidR="00983884">
        <w:fldChar w:fldCharType="end"/>
      </w:r>
    </w:p>
    <w:p w14:paraId="13268358" w14:textId="545C01D2" w:rsidR="007E6C54" w:rsidRDefault="00725FE6" w:rsidP="00E26B52">
      <w:pPr>
        <w:pStyle w:val="Tablefooter0"/>
      </w:pPr>
      <w:r>
        <w:t>Italics indicates post-ESC updates by assessment group</w:t>
      </w:r>
    </w:p>
    <w:p w14:paraId="32A91302" w14:textId="293B8E46" w:rsidR="00FE770D" w:rsidRPr="007227F7" w:rsidRDefault="009A0275" w:rsidP="007227F7">
      <w:r>
        <w:t>In PORTEC-1 and 2</w:t>
      </w:r>
      <w:r w:rsidR="0044020B">
        <w:t>,</w:t>
      </w:r>
      <w:r w:rsidR="00A57B60">
        <w:fldChar w:fldCharType="begin"/>
      </w:r>
      <w:r w:rsidR="00A57B60">
        <w:instrText xml:space="preserve"> NOTEREF _Ref222389965 \f \h </w:instrText>
      </w:r>
      <w:r w:rsidR="00A57B60">
        <w:fldChar w:fldCharType="separate"/>
      </w:r>
      <w:r w:rsidR="000B42CB" w:rsidRPr="00E55E34">
        <w:rPr>
          <w:rStyle w:val="FootnoteReference"/>
        </w:rPr>
        <w:t>14</w:t>
      </w:r>
      <w:r w:rsidR="00A57B60">
        <w:fldChar w:fldCharType="end"/>
      </w:r>
      <w:r>
        <w:t xml:space="preserve"> no </w:t>
      </w:r>
      <w:r w:rsidR="00DC1178">
        <w:t xml:space="preserve">recurrence </w:t>
      </w:r>
      <w:r>
        <w:t xml:space="preserve">events were reported in the </w:t>
      </w:r>
      <w:r>
        <w:rPr>
          <w:i/>
        </w:rPr>
        <w:t>POLE</w:t>
      </w:r>
      <w:r>
        <w:t>mut subgroup irrespective of adjuvant treatment received</w:t>
      </w:r>
      <w:r w:rsidR="00EC6909">
        <w:t xml:space="preserve"> (</w:t>
      </w:r>
      <w:r w:rsidR="000F69D6">
        <w:fldChar w:fldCharType="begin"/>
      </w:r>
      <w:r w:rsidR="000F69D6">
        <w:instrText xml:space="preserve"> REF _Ref216155310 \h </w:instrText>
      </w:r>
      <w:r w:rsidR="000F69D6">
        <w:fldChar w:fldCharType="separate"/>
      </w:r>
      <w:r w:rsidR="000B42CB">
        <w:t xml:space="preserve">Figure </w:t>
      </w:r>
      <w:r w:rsidR="000B42CB">
        <w:rPr>
          <w:noProof/>
        </w:rPr>
        <w:t>5</w:t>
      </w:r>
      <w:r w:rsidR="000F69D6">
        <w:fldChar w:fldCharType="end"/>
      </w:r>
      <w:r w:rsidR="00EC6909">
        <w:t>)</w:t>
      </w:r>
      <w:r w:rsidR="00EC6909" w:rsidRPr="004519B1" w:rsidDel="0044020B">
        <w:rPr>
          <w:caps/>
        </w:rPr>
        <w:t>.</w:t>
      </w:r>
      <w:r w:rsidR="00EC6909">
        <w:t xml:space="preserve"> </w:t>
      </w:r>
      <w:r w:rsidR="004975D1">
        <w:t xml:space="preserve">This supports the conclusion </w:t>
      </w:r>
      <w:r w:rsidR="00CE5EB8">
        <w:rPr>
          <w:i/>
        </w:rPr>
        <w:t>POLE</w:t>
      </w:r>
      <w:r w:rsidR="00CE5EB8">
        <w:t xml:space="preserve">mut EC is associated with a favourable prognosis, irrespective of adjuvant therapy administered. </w:t>
      </w:r>
      <w:bookmarkStart w:id="50" w:name="_Ref216155310"/>
      <w:r w:rsidR="00FE770D">
        <w:br w:type="page"/>
      </w:r>
    </w:p>
    <w:p w14:paraId="6F85EBB8" w14:textId="4C2A9779" w:rsidR="009A0275" w:rsidRDefault="009A0275" w:rsidP="009A0275">
      <w:pPr>
        <w:pStyle w:val="Caption"/>
      </w:pPr>
      <w:r>
        <w:lastRenderedPageBreak/>
        <w:t xml:space="preserve">Figure </w:t>
      </w:r>
      <w:r>
        <w:fldChar w:fldCharType="begin"/>
      </w:r>
      <w:r>
        <w:instrText>SEQ Figure \* ARABIC</w:instrText>
      </w:r>
      <w:r>
        <w:fldChar w:fldCharType="separate"/>
      </w:r>
      <w:r w:rsidR="00996E6E">
        <w:rPr>
          <w:noProof/>
        </w:rPr>
        <w:t>5</w:t>
      </w:r>
      <w:r>
        <w:fldChar w:fldCharType="end"/>
      </w:r>
      <w:bookmarkEnd w:id="50"/>
      <w:r>
        <w:t xml:space="preserve"> Time to recurrence in </w:t>
      </w:r>
      <w:r>
        <w:rPr>
          <w:i/>
        </w:rPr>
        <w:t>POLE</w:t>
      </w:r>
      <w:r>
        <w:t>mut EC</w:t>
      </w:r>
    </w:p>
    <w:tbl>
      <w:tblPr>
        <w:tblStyle w:val="TableGrid"/>
        <w:tblW w:w="0" w:type="auto"/>
        <w:tblLook w:val="04A0" w:firstRow="1" w:lastRow="0" w:firstColumn="1" w:lastColumn="0" w:noHBand="0" w:noVBand="1"/>
      </w:tblPr>
      <w:tblGrid>
        <w:gridCol w:w="4513"/>
        <w:gridCol w:w="4513"/>
      </w:tblGrid>
      <w:tr w:rsidR="000430FF" w14:paraId="4ECEA26A" w14:textId="77777777" w:rsidTr="00B736F6">
        <w:tc>
          <w:tcPr>
            <w:tcW w:w="4513" w:type="dxa"/>
          </w:tcPr>
          <w:p w14:paraId="536A7567" w14:textId="5BBFFAA8" w:rsidR="00B736F6" w:rsidRDefault="00B736F6" w:rsidP="004519B1">
            <w:pPr>
              <w:pStyle w:val="TableHeading0"/>
            </w:pPr>
            <w:r>
              <w:t>Locoregional recurrence</w:t>
            </w:r>
          </w:p>
          <w:p w14:paraId="041E6371" w14:textId="74B9F2A6" w:rsidR="00B736F6" w:rsidRDefault="000430FF" w:rsidP="004519B1">
            <w:pPr>
              <w:pStyle w:val="TableHeading0"/>
            </w:pPr>
            <w:r>
              <w:rPr>
                <w:noProof/>
              </w:rPr>
              <w:drawing>
                <wp:inline distT="0" distB="0" distL="0" distR="0" wp14:anchorId="1C9EB24F" wp14:editId="7EA0D631">
                  <wp:extent cx="2800350" cy="2013236"/>
                  <wp:effectExtent l="0" t="0" r="0" b="6350"/>
                  <wp:docPr id="866668262" name="Picture 1" descr="A graph of locoregional recurrence  in POLEmut EC subgroup from PORT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68262" name="Picture 1" descr="A graph of locoregional recurrence  in POLEmut EC subgroup from PORTEC-3."/>
                          <pic:cNvPicPr/>
                        </pic:nvPicPr>
                        <pic:blipFill>
                          <a:blip r:embed="rId18"/>
                          <a:stretch>
                            <a:fillRect/>
                          </a:stretch>
                        </pic:blipFill>
                        <pic:spPr>
                          <a:xfrm>
                            <a:off x="0" y="0"/>
                            <a:ext cx="2813120" cy="2022416"/>
                          </a:xfrm>
                          <a:prstGeom prst="rect">
                            <a:avLst/>
                          </a:prstGeom>
                        </pic:spPr>
                      </pic:pic>
                    </a:graphicData>
                  </a:graphic>
                </wp:inline>
              </w:drawing>
            </w:r>
          </w:p>
        </w:tc>
        <w:tc>
          <w:tcPr>
            <w:tcW w:w="4513" w:type="dxa"/>
          </w:tcPr>
          <w:p w14:paraId="696C4B47" w14:textId="77777777" w:rsidR="00B736F6" w:rsidRDefault="00B736F6" w:rsidP="00B736F6">
            <w:pPr>
              <w:pStyle w:val="TableHeading0"/>
            </w:pPr>
            <w:r>
              <w:t>Pelvic recurrence</w:t>
            </w:r>
          </w:p>
          <w:p w14:paraId="1CD99F27" w14:textId="0EA0040F" w:rsidR="00B736F6" w:rsidRDefault="00B736F6" w:rsidP="004519B1">
            <w:pPr>
              <w:pStyle w:val="TableHeading0"/>
            </w:pPr>
            <w:r>
              <w:rPr>
                <w:noProof/>
              </w:rPr>
              <w:drawing>
                <wp:inline distT="0" distB="0" distL="0" distR="0" wp14:anchorId="2BC86820" wp14:editId="0B9427A0">
                  <wp:extent cx="2800350" cy="1997724"/>
                  <wp:effectExtent l="0" t="0" r="0" b="2540"/>
                  <wp:docPr id="1595735168" name="Picture 1" descr="A graph of pelvic recurrence  in POLEmut EC subgroup from PORT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35168" name="Picture 1" descr="A graph of pelvic recurrence  in POLEmut EC subgroup from PORTEC-3."/>
                          <pic:cNvPicPr/>
                        </pic:nvPicPr>
                        <pic:blipFill>
                          <a:blip r:embed="rId19"/>
                          <a:stretch>
                            <a:fillRect/>
                          </a:stretch>
                        </pic:blipFill>
                        <pic:spPr>
                          <a:xfrm>
                            <a:off x="0" y="0"/>
                            <a:ext cx="2812334" cy="2006273"/>
                          </a:xfrm>
                          <a:prstGeom prst="rect">
                            <a:avLst/>
                          </a:prstGeom>
                        </pic:spPr>
                      </pic:pic>
                    </a:graphicData>
                  </a:graphic>
                </wp:inline>
              </w:drawing>
            </w:r>
          </w:p>
        </w:tc>
      </w:tr>
    </w:tbl>
    <w:p w14:paraId="57D4E7F2" w14:textId="50FB278F" w:rsidR="00DC1178" w:rsidRDefault="00DC1178" w:rsidP="004519B1">
      <w:pPr>
        <w:pStyle w:val="Tablefooter0"/>
      </w:pPr>
      <w:r>
        <w:t>Abbreviations:</w:t>
      </w:r>
      <w:r w:rsidR="00275DBD">
        <w:t xml:space="preserve"> </w:t>
      </w:r>
      <w:r w:rsidR="00F3586F">
        <w:t xml:space="preserve">EBRT = external beam radiation therapy; </w:t>
      </w:r>
      <w:r w:rsidR="00275DBD">
        <w:t xml:space="preserve">EC = endometrial cancer; </w:t>
      </w:r>
      <w:r w:rsidR="00275DBD">
        <w:rPr>
          <w:i/>
        </w:rPr>
        <w:t>POLE</w:t>
      </w:r>
      <w:r w:rsidR="00275DBD">
        <w:t>mut = DNA polymerase epsilon, catalytic subunit</w:t>
      </w:r>
      <w:r w:rsidR="00A14788">
        <w:t xml:space="preserve"> mutation</w:t>
      </w:r>
      <w:r w:rsidR="00F3586F">
        <w:t>; NAT = no adjuvant therapy; VBT = vaginal brachytherapy</w:t>
      </w:r>
    </w:p>
    <w:p w14:paraId="7340F46D" w14:textId="68B83DF9" w:rsidR="00967C02" w:rsidRDefault="00DC1178" w:rsidP="001D2DCF">
      <w:pPr>
        <w:pStyle w:val="Tablefooter0"/>
      </w:pPr>
      <w:r>
        <w:t>Source</w:t>
      </w:r>
      <w:r w:rsidRPr="004519B1">
        <w:t xml:space="preserve">: </w:t>
      </w:r>
      <w:r w:rsidR="0062342A">
        <w:fldChar w:fldCharType="begin">
          <w:fldData xml:space="preserve">PEVuZE5vdGU+PENpdGUgQXV0aG9yWWVhcj0iMSI+PEF1dGhvcj5Ib3Jld2VnPC9BdXRob3I+PFll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</w:fldData>
        </w:fldChar>
      </w:r>
      <w:r w:rsidR="0062342A">
        <w:instrText xml:space="preserve"> ADDIN EN.CITE </w:instrText>
      </w:r>
      <w:r w:rsidR="0062342A">
        <w:fldChar w:fldCharType="begin">
          <w:fldData xml:space="preserve">PEVuZE5vdGU+PENpdGUgQXV0aG9yWWVhcj0iMSI+PEF1dGhvcj5Ib3Jld2VnPC9BdXRob3I+PFll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</w:fldData>
        </w:fldChar>
      </w:r>
      <w:r w:rsidR="0062342A">
        <w:instrText xml:space="preserve"> ADDIN EN.CITE.DATA </w:instrText>
      </w:r>
      <w:r w:rsidR="0062342A">
        <w:fldChar w:fldCharType="end"/>
      </w:r>
      <w:r w:rsidR="0062342A">
        <w:fldChar w:fldCharType="separate"/>
      </w:r>
      <w:r w:rsidR="0062342A">
        <w:rPr>
          <w:noProof/>
        </w:rPr>
        <w:t>Horeweg et al. (2023)</w:t>
      </w:r>
      <w:r w:rsidR="0062342A">
        <w:fldChar w:fldCharType="end"/>
      </w:r>
      <w:r>
        <w:t xml:space="preserve">Fig </w:t>
      </w:r>
      <w:r w:rsidR="000430FF">
        <w:t>5</w:t>
      </w:r>
      <w:r>
        <w:t>A p</w:t>
      </w:r>
      <w:r w:rsidR="000430FF">
        <w:t>9</w:t>
      </w:r>
      <w:r w:rsidR="00B736F6">
        <w:t xml:space="preserve">, </w:t>
      </w:r>
      <w:r w:rsidR="001A7FEE">
        <w:t>Fig 4A p8</w:t>
      </w:r>
    </w:p>
    <w:p w14:paraId="3908E3F6" w14:textId="0A509F44" w:rsidR="003F2E7A" w:rsidRDefault="003F2E7A" w:rsidP="003F2E7A">
      <w:r>
        <w:t xml:space="preserve">In the </w:t>
      </w:r>
      <w:r w:rsidRPr="00572E78">
        <w:rPr>
          <w:i/>
        </w:rPr>
        <w:t>POLE</w:t>
      </w:r>
      <w:r>
        <w:t>mut subgroup in PORTEC- 3, one event occurred in the RT arm. This patient had stage III disease and experienced a recurrence and ultimately died (</w:t>
      </w:r>
      <w:r>
        <w:fldChar w:fldCharType="begin">
          <w:fldData xml:space="preserve">PEVuZE5vdGU+PENpdGUgQXV0aG9yWWVhcj0iMSI+PEF1dGhvcj5MZcOzbi1DYXN0aWxsbzwvQXV0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</w:fldData>
        </w:fldChar>
      </w:r>
      <w:r>
        <w:instrText xml:space="preserve"> ADDIN EN.CITE </w:instrText>
      </w:r>
      <w:r>
        <w:fldChar w:fldCharType="begin">
          <w:fldData xml:space="preserve">PEVuZE5vdGU+PENpdGUgQXV0aG9yWWVhcj0iMSI+PEF1dGhvcj5MZcOzbi1DYXN0aWxsbzwvQXV0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</w:fldData>
        </w:fldChar>
      </w:r>
      <w:r>
        <w:instrText xml:space="preserve"> ADDIN EN.CITE.DATA </w:instrText>
      </w:r>
      <w:r>
        <w:fldChar w:fldCharType="end"/>
      </w:r>
      <w:r>
        <w:fldChar w:fldCharType="separate"/>
      </w:r>
      <w:r>
        <w:t>León-Castillo, de Boer, et al. (2020)</w:t>
      </w:r>
      <w:r>
        <w:fldChar w:fldCharType="end"/>
      </w:r>
      <w:r>
        <w:t xml:space="preserve">, p 3). Over the 5- and 10-year follow-up periods, no other events were reported in patients with </w:t>
      </w:r>
      <w:r w:rsidRPr="00572E78">
        <w:rPr>
          <w:i/>
        </w:rPr>
        <w:t>POLE</w:t>
      </w:r>
      <w:r>
        <w:t xml:space="preserve">mut EC from either treatment arm </w:t>
      </w:r>
      <w:r>
        <w:fldChar w:fldCharType="begin">
          <w:fldData xml:space="preserve">PEVuZE5vdGU+PENpdGU+PEF1dGhvcj5MZcOzbi1DYXN0aWxsbzwvQXV0aG9yPjxZZWFyPjIwMjA8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PEVuZE5vdGU+PENpdGU+PEF1dGhvcj5MZcOzbi1DYXN0aWxsbzwvQXV0aG9yPjxZZWFyPjIwMjA8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t>(León-Castillo, de Boer, et al. 2020; Post et al. 2025)</w:t>
      </w:r>
      <w:r>
        <w:fldChar w:fldCharType="end"/>
      </w:r>
      <w:r>
        <w:t>. No statistically significant differences were observed between CTRT and RT alone in terms of RFS or OS (</w:t>
      </w:r>
      <w:r w:rsidR="00EF0939">
        <w:fldChar w:fldCharType="begin"/>
      </w:r>
      <w:r w:rsidR="00EF0939">
        <w:instrText xml:space="preserve"> REF _Ref222911659 \h </w:instrText>
      </w:r>
      <w:r w:rsidR="00EF0939">
        <w:fldChar w:fldCharType="separate"/>
      </w:r>
      <w:r w:rsidR="00EF0939">
        <w:t xml:space="preserve">Figure </w:t>
      </w:r>
      <w:r w:rsidR="00EF0939">
        <w:rPr>
          <w:noProof/>
        </w:rPr>
        <w:t>6</w:t>
      </w:r>
      <w:r w:rsidR="00EF0939">
        <w:fldChar w:fldCharType="end"/>
      </w:r>
      <w:r>
        <w:fldChar w:fldCharType="begin"/>
      </w:r>
      <w:r>
        <w:instrText xml:space="preserve"> REF _Ref216797424 \h </w:instrText>
      </w:r>
      <w:r>
        <w:fldChar w:fldCharType="separate"/>
      </w:r>
      <w:r>
        <w:fldChar w:fldCharType="end"/>
      </w:r>
      <w:r w:rsidRPr="00F834DD">
        <w:t>).</w:t>
      </w:r>
      <w:r>
        <w:t xml:space="preserve"> HRs for both outcomes were 0.02 (95% CI: &lt;0.01, &gt;10</w:t>
      </w:r>
      <w:r w:rsidRPr="00121D39">
        <w:rPr>
          <w:vertAlign w:val="superscript"/>
        </w:rPr>
        <w:t>5</w:t>
      </w:r>
      <w:r>
        <w:t xml:space="preserve">; p = 0.637). The wide confidence intervals and lack of statistical significance likely reflect the small sample size and very low event rate within this molecular subgroup. </w:t>
      </w:r>
      <w:r w:rsidR="00F11500">
        <w:t>The assessment group considered d</w:t>
      </w:r>
      <w:r>
        <w:t>espite these limitations, the absence of additional recurrences and deaths</w:t>
      </w:r>
      <w:r w:rsidR="00F11500">
        <w:t xml:space="preserve">, </w:t>
      </w:r>
      <w:r>
        <w:t xml:space="preserve">over the 10-year follow-up period underscores the favourable prognosis associated with pathogenic </w:t>
      </w:r>
      <w:r w:rsidRPr="00572E78">
        <w:rPr>
          <w:i/>
        </w:rPr>
        <w:t>POLE</w:t>
      </w:r>
      <w:r>
        <w:t xml:space="preserve">mut EC. </w:t>
      </w:r>
    </w:p>
    <w:p w14:paraId="2D7AD32F" w14:textId="3F79A046" w:rsidR="00E44555" w:rsidRDefault="00920B89" w:rsidP="009C1B3E">
      <w:pPr>
        <w:pStyle w:val="Caption"/>
      </w:pPr>
      <w:bookmarkStart w:id="51" w:name="_Ref222911659"/>
      <w:r>
        <w:lastRenderedPageBreak/>
        <w:t xml:space="preserve">Figure </w:t>
      </w:r>
      <w:r>
        <w:fldChar w:fldCharType="begin"/>
      </w:r>
      <w:r>
        <w:instrText>SEQ Figure \* ARABIC</w:instrText>
      </w:r>
      <w:r>
        <w:fldChar w:fldCharType="separate"/>
      </w:r>
      <w:r w:rsidR="00996E6E">
        <w:rPr>
          <w:noProof/>
        </w:rPr>
        <w:t>6</w:t>
      </w:r>
      <w:r>
        <w:fldChar w:fldCharType="end"/>
      </w:r>
      <w:bookmarkEnd w:id="51"/>
      <w:r w:rsidRPr="00920B89">
        <w:t xml:space="preserve"> Kaplan-Meier curves for RFS and OS at 5-year and 10-year follow-up for the </w:t>
      </w:r>
      <w:r w:rsidRPr="009C1B3E">
        <w:rPr>
          <w:i/>
          <w:iCs/>
        </w:rPr>
        <w:t>POLE</w:t>
      </w:r>
      <w:r w:rsidRPr="00920B89">
        <w:t>mut EC subgroup</w:t>
      </w:r>
    </w:p>
    <w:tbl>
      <w:tblPr>
        <w:tblStyle w:val="TableGrid"/>
        <w:tblW w:w="0" w:type="auto"/>
        <w:tblLook w:val="04A0" w:firstRow="1" w:lastRow="0" w:firstColumn="1" w:lastColumn="0" w:noHBand="0" w:noVBand="1"/>
      </w:tblPr>
      <w:tblGrid>
        <w:gridCol w:w="4498"/>
        <w:gridCol w:w="4528"/>
      </w:tblGrid>
      <w:tr w:rsidR="00E44555" w14:paraId="755F858E" w14:textId="77777777">
        <w:tc>
          <w:tcPr>
            <w:tcW w:w="4508" w:type="dxa"/>
          </w:tcPr>
          <w:p w14:paraId="6CEFB6B1" w14:textId="77777777" w:rsidR="00E44555" w:rsidRDefault="00E44555">
            <w:pPr>
              <w:pStyle w:val="Tableheading1"/>
              <w:keepNext/>
            </w:pPr>
            <w:r>
              <w:t xml:space="preserve">A) RFS for </w:t>
            </w:r>
            <w:r w:rsidRPr="00F83425">
              <w:rPr>
                <w:i/>
                <w:iCs/>
              </w:rPr>
              <w:t>POLE</w:t>
            </w:r>
            <w:r>
              <w:t>mut EC (5-year follow-up)</w:t>
            </w:r>
          </w:p>
          <w:p w14:paraId="43409930" w14:textId="77777777" w:rsidR="00E44555" w:rsidRDefault="00E44555">
            <w:pPr>
              <w:pStyle w:val="Tableheading1"/>
              <w:keepNext/>
            </w:pPr>
            <w:r>
              <w:rPr>
                <w:noProof/>
              </w:rPr>
              <w:drawing>
                <wp:inline distT="0" distB="0" distL="0" distR="0" wp14:anchorId="61722105" wp14:editId="6C99E301">
                  <wp:extent cx="2722449" cy="2372265"/>
                  <wp:effectExtent l="0" t="0" r="1905" b="9525"/>
                  <wp:docPr id="137238735" name="Picture 1" descr="Kaplan-Meier curve for recurrent free survival 5-year follow-up for the POLEmut EC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8735" name="Picture 1" descr="Kaplan-Meier curve for recurrent free survival 5-year follow-up for the POLEmut EC subgroup"/>
                          <pic:cNvPicPr/>
                        </pic:nvPicPr>
                        <pic:blipFill>
                          <a:blip r:embed="rId20"/>
                          <a:stretch>
                            <a:fillRect/>
                          </a:stretch>
                        </pic:blipFill>
                        <pic:spPr>
                          <a:xfrm>
                            <a:off x="0" y="0"/>
                            <a:ext cx="2750898" cy="2397055"/>
                          </a:xfrm>
                          <a:prstGeom prst="rect">
                            <a:avLst/>
                          </a:prstGeom>
                        </pic:spPr>
                      </pic:pic>
                    </a:graphicData>
                  </a:graphic>
                </wp:inline>
              </w:drawing>
            </w:r>
          </w:p>
          <w:p w14:paraId="2041AE11" w14:textId="77777777" w:rsidR="00E44555" w:rsidRDefault="00E44555">
            <w:pPr>
              <w:pStyle w:val="Tableheading1"/>
              <w:keepNext/>
            </w:pPr>
          </w:p>
        </w:tc>
        <w:tc>
          <w:tcPr>
            <w:tcW w:w="4508" w:type="dxa"/>
          </w:tcPr>
          <w:p w14:paraId="12BF7DAC" w14:textId="77777777" w:rsidR="00E44555" w:rsidRDefault="00E44555">
            <w:pPr>
              <w:pStyle w:val="Tableheading1"/>
              <w:keepNext/>
            </w:pPr>
            <w:r>
              <w:t xml:space="preserve">B) OS for </w:t>
            </w:r>
            <w:r w:rsidRPr="00F83425">
              <w:rPr>
                <w:i/>
                <w:iCs/>
              </w:rPr>
              <w:t>POLE</w:t>
            </w:r>
            <w:r>
              <w:t>mut EC (5-year follow-up)</w:t>
            </w:r>
          </w:p>
          <w:p w14:paraId="5744EB80" w14:textId="77777777" w:rsidR="00E44555" w:rsidRDefault="00E44555">
            <w:pPr>
              <w:pStyle w:val="Tableheading1"/>
              <w:keepNext/>
            </w:pPr>
            <w:r>
              <w:rPr>
                <w:noProof/>
              </w:rPr>
              <w:drawing>
                <wp:inline distT="0" distB="0" distL="0" distR="0" wp14:anchorId="57ABB4DE" wp14:editId="72C549CC">
                  <wp:extent cx="2648309" cy="2373678"/>
                  <wp:effectExtent l="0" t="0" r="0" b="7620"/>
                  <wp:docPr id="210605414" name="Picture 1" descr="Kaplan-Meier curve for overall survival 5-year follow-up for the POLEmut EC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5414" name="Picture 1" descr="Kaplan-Meier curve for overall survival 5-year follow-up for the POLEmut EC subgroup"/>
                          <pic:cNvPicPr/>
                        </pic:nvPicPr>
                        <pic:blipFill>
                          <a:blip r:embed="rId21"/>
                          <a:stretch>
                            <a:fillRect/>
                          </a:stretch>
                        </pic:blipFill>
                        <pic:spPr>
                          <a:xfrm>
                            <a:off x="0" y="0"/>
                            <a:ext cx="2661470" cy="2385474"/>
                          </a:xfrm>
                          <a:prstGeom prst="rect">
                            <a:avLst/>
                          </a:prstGeom>
                        </pic:spPr>
                      </pic:pic>
                    </a:graphicData>
                  </a:graphic>
                </wp:inline>
              </w:drawing>
            </w:r>
          </w:p>
          <w:p w14:paraId="0A0B7A4D" w14:textId="77777777" w:rsidR="00E44555" w:rsidRDefault="00E44555">
            <w:pPr>
              <w:pStyle w:val="Tableheading1"/>
              <w:keepNext/>
            </w:pPr>
          </w:p>
        </w:tc>
      </w:tr>
      <w:tr w:rsidR="00E44555" w14:paraId="077DA0FD" w14:textId="77777777">
        <w:tc>
          <w:tcPr>
            <w:tcW w:w="4508" w:type="dxa"/>
          </w:tcPr>
          <w:p w14:paraId="6C939185" w14:textId="77777777" w:rsidR="00E44555" w:rsidRDefault="00E44555">
            <w:pPr>
              <w:pStyle w:val="Tableheading1"/>
              <w:keepNext/>
            </w:pPr>
            <w:r>
              <w:t xml:space="preserve">C) RFS for </w:t>
            </w:r>
            <w:r w:rsidRPr="00F83425">
              <w:rPr>
                <w:i/>
                <w:iCs/>
              </w:rPr>
              <w:t>POLE</w:t>
            </w:r>
            <w:r>
              <w:t>mut EC (10-year follow-up)</w:t>
            </w:r>
          </w:p>
          <w:p w14:paraId="74427BBF" w14:textId="77777777" w:rsidR="00E44555" w:rsidRDefault="00E44555">
            <w:pPr>
              <w:pStyle w:val="Tableheading1"/>
              <w:keepNext/>
            </w:pPr>
            <w:r>
              <w:rPr>
                <w:noProof/>
              </w:rPr>
              <w:drawing>
                <wp:inline distT="0" distB="0" distL="0" distR="0" wp14:anchorId="3D2A977E" wp14:editId="0A1DEE8E">
                  <wp:extent cx="2722245" cy="1402744"/>
                  <wp:effectExtent l="0" t="0" r="1905" b="6985"/>
                  <wp:docPr id="187870437" name="Picture 1" descr="Kaplan-Meier curve for recurrent free survival 10-year follow-up for the POLEmut EC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0437" name="Picture 1" descr="Kaplan-Meier curve for recurrent free survival 10-year follow-up for the POLEmut EC subgroup"/>
                          <pic:cNvPicPr/>
                        </pic:nvPicPr>
                        <pic:blipFill>
                          <a:blip r:embed="rId22"/>
                          <a:stretch>
                            <a:fillRect/>
                          </a:stretch>
                        </pic:blipFill>
                        <pic:spPr>
                          <a:xfrm>
                            <a:off x="0" y="0"/>
                            <a:ext cx="2743505" cy="1413699"/>
                          </a:xfrm>
                          <a:prstGeom prst="rect">
                            <a:avLst/>
                          </a:prstGeom>
                        </pic:spPr>
                      </pic:pic>
                    </a:graphicData>
                  </a:graphic>
                </wp:inline>
              </w:drawing>
            </w:r>
          </w:p>
        </w:tc>
        <w:tc>
          <w:tcPr>
            <w:tcW w:w="4508" w:type="dxa"/>
          </w:tcPr>
          <w:p w14:paraId="359245E6" w14:textId="77777777" w:rsidR="00E44555" w:rsidRDefault="00E44555">
            <w:pPr>
              <w:pStyle w:val="Tableheading1"/>
              <w:keepNext/>
            </w:pPr>
            <w:r>
              <w:t xml:space="preserve">D) OS for </w:t>
            </w:r>
            <w:r w:rsidRPr="00F83425">
              <w:rPr>
                <w:i/>
                <w:iCs/>
              </w:rPr>
              <w:t>POLE</w:t>
            </w:r>
            <w:r>
              <w:t>mut EC (10-year follow-up)</w:t>
            </w:r>
          </w:p>
          <w:p w14:paraId="4790579B" w14:textId="77777777" w:rsidR="00E44555" w:rsidRDefault="00E44555">
            <w:pPr>
              <w:pStyle w:val="Tableheading1"/>
              <w:keepNext/>
            </w:pPr>
            <w:r>
              <w:rPr>
                <w:noProof/>
              </w:rPr>
              <w:drawing>
                <wp:inline distT="0" distB="0" distL="0" distR="0" wp14:anchorId="493F7A67" wp14:editId="677479AA">
                  <wp:extent cx="2743017" cy="1431985"/>
                  <wp:effectExtent l="0" t="0" r="635" b="0"/>
                  <wp:docPr id="2064416191" name="Picture 1" descr="Kaplan-Meier curve for overall survival 10-year follow-up for the POLEmut EC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6191" name="Picture 1" descr="Kaplan-Meier curve for overall survival 10-year follow-up for the POLEmut EC subgroup"/>
                          <pic:cNvPicPr/>
                        </pic:nvPicPr>
                        <pic:blipFill>
                          <a:blip r:embed="rId23"/>
                          <a:stretch>
                            <a:fillRect/>
                          </a:stretch>
                        </pic:blipFill>
                        <pic:spPr>
                          <a:xfrm>
                            <a:off x="0" y="0"/>
                            <a:ext cx="2788953" cy="1455966"/>
                          </a:xfrm>
                          <a:prstGeom prst="rect">
                            <a:avLst/>
                          </a:prstGeom>
                        </pic:spPr>
                      </pic:pic>
                    </a:graphicData>
                  </a:graphic>
                </wp:inline>
              </w:drawing>
            </w:r>
          </w:p>
        </w:tc>
      </w:tr>
    </w:tbl>
    <w:p w14:paraId="7995CEEA" w14:textId="77777777" w:rsidR="00E44555" w:rsidRDefault="00E44555" w:rsidP="00E44555">
      <w:pPr>
        <w:pStyle w:val="Tablefooter0"/>
      </w:pPr>
      <w:r>
        <w:t xml:space="preserve">Abbreviations: CI = confidence interval; CTRT = </w:t>
      </w:r>
      <w:r w:rsidRPr="00A2224D">
        <w:t>chemoradiation therapy</w:t>
      </w:r>
      <w:r>
        <w:t>; HR = hazard ratio; OS = overall survival; RFS = recurrence free survival; RT = radiotherapy</w:t>
      </w:r>
    </w:p>
    <w:p w14:paraId="032FF261" w14:textId="77777777" w:rsidR="00E44555" w:rsidRDefault="00E44555" w:rsidP="00E44555">
      <w:pPr>
        <w:pStyle w:val="Tablefooter0"/>
      </w:pPr>
      <w:r w:rsidRPr="009F2748">
        <w:rPr>
          <w:lang w:val="nl-NL"/>
        </w:rPr>
        <w:t xml:space="preserve">Source: </w:t>
      </w:r>
      <w:r>
        <w:fldChar w:fldCharType="begin">
          <w:fldData xml:space="preserve">PEVuZE5vdGU+PENpdGUgQXV0aG9yWWVhcj0iMSI+PEF1dGhvcj5MZcOzbi1DYXN0aWxsbzwvQXV0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</w:fldData>
        </w:fldChar>
      </w:r>
      <w:r w:rsidRPr="009F2748">
        <w:rPr>
          <w:lang w:val="nl-NL"/>
        </w:rPr>
        <w:instrText xml:space="preserve"> ADDIN EN.CITE </w:instrText>
      </w:r>
      <w:r>
        <w:fldChar w:fldCharType="begin">
          <w:fldData xml:space="preserve">PEVuZE5vdGU+PENpdGUgQXV0aG9yWWVhcj0iMSI+PEF1dGhvcj5MZcOzbi1DYXN0aWxsbzwvQXV0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</w:fldData>
        </w:fldChar>
      </w:r>
      <w:r w:rsidRPr="009F2748">
        <w:rPr>
          <w:lang w:val="nl-NL"/>
        </w:rPr>
        <w:instrText xml:space="preserve"> ADDIN EN.CITE.DATA </w:instrText>
      </w:r>
      <w:r>
        <w:fldChar w:fldCharType="end"/>
      </w:r>
      <w:r>
        <w:fldChar w:fldCharType="separate"/>
      </w:r>
      <w:r w:rsidRPr="009F2748">
        <w:rPr>
          <w:lang w:val="nl-NL"/>
        </w:rPr>
        <w:t>León-Castillo, de Boer, et al. (2020)</w:t>
      </w:r>
      <w:r>
        <w:fldChar w:fldCharType="end"/>
      </w:r>
      <w:r w:rsidRPr="009F2748">
        <w:rPr>
          <w:lang w:val="nl-NL"/>
        </w:rPr>
        <w:t xml:space="preserve"> Fig 3 pp 8; </w:t>
      </w:r>
      <w:r>
        <w:fldChar w:fldCharType="begin">
          <w:fldData xml:space="preserve">PEVuZE5vdGU+PENpdGUgQXV0aG9yWWVhcj0iMSI+PEF1dGhvcj5Qb3N0PC9BdXRob3I+PFllYXI+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=
</w:fldData>
        </w:fldChar>
      </w:r>
      <w:r w:rsidRPr="009F2748">
        <w:rPr>
          <w:lang w:val="nl-NL"/>
        </w:rPr>
        <w:instrText xml:space="preserve"> ADDIN EN.CITE </w:instrText>
      </w:r>
      <w:r>
        <w:fldChar w:fldCharType="begin">
          <w:fldData xml:space="preserve">PEVuZE5vdGU+PENpdGUgQXV0aG9yWWVhcj0iMSI+PEF1dGhvcj5Qb3N0PC9BdXRob3I+PFllYXI+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=
</w:fldData>
        </w:fldChar>
      </w:r>
      <w:r w:rsidRPr="009F2748">
        <w:rPr>
          <w:lang w:val="nl-NL"/>
        </w:rPr>
        <w:instrText xml:space="preserve"> ADDIN EN.CITE.DATA </w:instrText>
      </w:r>
      <w:r>
        <w:fldChar w:fldCharType="end"/>
      </w:r>
      <w:r>
        <w:fldChar w:fldCharType="separate"/>
      </w:r>
      <w:r w:rsidRPr="009F2748">
        <w:rPr>
          <w:lang w:val="nl-NL"/>
        </w:rPr>
        <w:t xml:space="preserve">Post et al. </w:t>
      </w:r>
      <w:r>
        <w:t>(2025)</w:t>
      </w:r>
      <w:r>
        <w:fldChar w:fldCharType="end"/>
      </w:r>
      <w:r>
        <w:t xml:space="preserve"> Figure 3 pp 8</w:t>
      </w:r>
    </w:p>
    <w:p w14:paraId="213924C6" w14:textId="11D5654C" w:rsidR="00772829" w:rsidRPr="00223664" w:rsidRDefault="00772829" w:rsidP="00DB3DDA">
      <w:pPr>
        <w:pStyle w:val="Heading4"/>
      </w:pPr>
      <w:r w:rsidRPr="00223664">
        <w:t>Clinical claim</w:t>
      </w:r>
    </w:p>
    <w:p w14:paraId="28A5BE70" w14:textId="4F4883AD" w:rsidR="006636FC" w:rsidRDefault="007512AA" w:rsidP="007512AA">
      <w:r w:rsidRPr="00F834DD">
        <w:t xml:space="preserve">The evidence suggests that </w:t>
      </w:r>
      <w:r w:rsidR="006636FC" w:rsidRPr="00836811">
        <w:rPr>
          <w:i/>
        </w:rPr>
        <w:t>POLE</w:t>
      </w:r>
      <w:r w:rsidR="006636FC">
        <w:t xml:space="preserve">mut EC is associated with </w:t>
      </w:r>
      <w:r w:rsidR="00F932F2">
        <w:t xml:space="preserve">a </w:t>
      </w:r>
      <w:r w:rsidR="006636FC">
        <w:t xml:space="preserve">favourable prognosis compared with other molecular classes, with significantly better OS and RFS. </w:t>
      </w:r>
    </w:p>
    <w:p w14:paraId="6C6EA40D" w14:textId="79228637" w:rsidR="00BC5073" w:rsidRPr="00F834DD" w:rsidRDefault="007512AA" w:rsidP="00BC5073">
      <w:r w:rsidRPr="00F834DD">
        <w:t xml:space="preserve">The evidence suggests that </w:t>
      </w:r>
      <w:r w:rsidR="006A3400">
        <w:t xml:space="preserve">due to </w:t>
      </w:r>
      <w:r w:rsidR="00512288">
        <w:t>the absence of</w:t>
      </w:r>
      <w:r w:rsidR="006A3400">
        <w:t xml:space="preserve"> statistically significant difference</w:t>
      </w:r>
      <w:r w:rsidR="005E661F">
        <w:t>s</w:t>
      </w:r>
      <w:r w:rsidR="006A3400">
        <w:t xml:space="preserve"> observed for OS, RFS, PFS and/or DSS,</w:t>
      </w:r>
      <w:r w:rsidR="006A3400" w:rsidRPr="00F834DD">
        <w:t xml:space="preserve"> </w:t>
      </w:r>
      <w:r w:rsidR="006A3400">
        <w:t xml:space="preserve">less intensive adjuvant therapy </w:t>
      </w:r>
      <w:r w:rsidR="006A3400" w:rsidRPr="00F834DD">
        <w:t xml:space="preserve">has non-inferior efficacy compared with more intensive regimens </w:t>
      </w:r>
      <w:r w:rsidRPr="00F834DD">
        <w:t xml:space="preserve">in patients with </w:t>
      </w:r>
      <w:r w:rsidR="007056B3">
        <w:t xml:space="preserve">stage I–II </w:t>
      </w:r>
      <w:r w:rsidR="00836811" w:rsidRPr="00836811">
        <w:rPr>
          <w:i/>
        </w:rPr>
        <w:t>POLE</w:t>
      </w:r>
      <w:r w:rsidRPr="00F834DD">
        <w:t>mut EC.</w:t>
      </w:r>
      <w:r w:rsidR="008C2737">
        <w:t xml:space="preserve"> However, </w:t>
      </w:r>
      <w:r w:rsidR="009352A4">
        <w:t>this conclusion is based on low quality evidence</w:t>
      </w:r>
      <w:r w:rsidR="008C2737">
        <w:t>.</w:t>
      </w:r>
      <w:r w:rsidRPr="00F834DD">
        <w:t xml:space="preserve"> </w:t>
      </w:r>
      <w:r w:rsidR="00BC5073">
        <w:t>Evidence for patients with</w:t>
      </w:r>
      <w:r w:rsidR="00BC5073" w:rsidRPr="00F834DD">
        <w:t xml:space="preserve"> </w:t>
      </w:r>
      <w:r w:rsidR="00BC5073">
        <w:t>stage III–</w:t>
      </w:r>
      <w:r w:rsidR="00BC5073" w:rsidRPr="00F834DD">
        <w:t xml:space="preserve">IV </w:t>
      </w:r>
      <w:r w:rsidR="00BC5073" w:rsidRPr="00572E78">
        <w:rPr>
          <w:i/>
        </w:rPr>
        <w:t>POLE</w:t>
      </w:r>
      <w:r w:rsidR="00BC5073" w:rsidRPr="00F834DD">
        <w:t>mut EC</w:t>
      </w:r>
      <w:r w:rsidR="00BC5073">
        <w:t xml:space="preserve"> is limited</w:t>
      </w:r>
      <w:r w:rsidR="00BC5073" w:rsidRPr="00F834DD">
        <w:t>.</w:t>
      </w:r>
    </w:p>
    <w:p w14:paraId="539EBA7F" w14:textId="7A310F6B" w:rsidR="007512AA" w:rsidRPr="00F834DD" w:rsidRDefault="00AF32F1" w:rsidP="007512AA">
      <w:r w:rsidRPr="00F834DD">
        <w:t xml:space="preserve">The evidence suggests that </w:t>
      </w:r>
      <w:r>
        <w:t>due to statistically significantly fewer grade 2</w:t>
      </w:r>
      <w:r w:rsidR="00F84453">
        <w:t xml:space="preserve"> AEs</w:t>
      </w:r>
      <w:r>
        <w:t xml:space="preserve"> and grade 3-4 AEs, </w:t>
      </w:r>
      <w:r w:rsidRPr="00F834DD">
        <w:t xml:space="preserve">less intensive adjuvant therapy </w:t>
      </w:r>
      <w:r w:rsidR="0053258B">
        <w:t xml:space="preserve">likely </w:t>
      </w:r>
      <w:r w:rsidR="0003315E">
        <w:t>has</w:t>
      </w:r>
      <w:r w:rsidR="0053258B">
        <w:t xml:space="preserve"> </w:t>
      </w:r>
      <w:r w:rsidRPr="00F834DD">
        <w:t xml:space="preserve">superior safety compared to more intensive regimens in patients with </w:t>
      </w:r>
      <w:r w:rsidRPr="00572E78">
        <w:rPr>
          <w:i/>
        </w:rPr>
        <w:t>POLE</w:t>
      </w:r>
      <w:r w:rsidRPr="00F834DD">
        <w:t xml:space="preserve">mut EC. </w:t>
      </w:r>
      <w:r w:rsidR="007512AA" w:rsidRPr="00F834DD">
        <w:t xml:space="preserve">Overall, </w:t>
      </w:r>
      <w:r w:rsidR="00572E78" w:rsidRPr="00572E78">
        <w:rPr>
          <w:i/>
        </w:rPr>
        <w:t>POLE</w:t>
      </w:r>
      <w:r w:rsidR="007512AA" w:rsidRPr="00F834DD">
        <w:t xml:space="preserve"> genotyping to determine </w:t>
      </w:r>
      <w:r w:rsidR="00572E78" w:rsidRPr="00572E78">
        <w:rPr>
          <w:i/>
        </w:rPr>
        <w:t>POLE</w:t>
      </w:r>
      <w:r w:rsidR="007512AA" w:rsidRPr="00F834DD">
        <w:t xml:space="preserve"> mutation status in EC is likely to lead to superior outcomes in patients with </w:t>
      </w:r>
      <w:r w:rsidR="002768A8">
        <w:t>stage I</w:t>
      </w:r>
      <w:r w:rsidR="00954037">
        <w:t>–</w:t>
      </w:r>
      <w:r w:rsidR="002768A8">
        <w:t xml:space="preserve">II </w:t>
      </w:r>
      <w:r w:rsidR="00572E78" w:rsidRPr="00572E78">
        <w:rPr>
          <w:i/>
        </w:rPr>
        <w:t>POLE</w:t>
      </w:r>
      <w:r w:rsidR="007512AA" w:rsidRPr="00F834DD">
        <w:t xml:space="preserve">mut EC. </w:t>
      </w:r>
      <w:r w:rsidR="002768A8">
        <w:t>Evidence for stage III</w:t>
      </w:r>
      <w:r w:rsidR="00954037">
        <w:t>–</w:t>
      </w:r>
      <w:r w:rsidR="002768A8">
        <w:t>IV disease</w:t>
      </w:r>
      <w:r w:rsidR="00F84CF5">
        <w:t xml:space="preserve"> is limited</w:t>
      </w:r>
      <w:r w:rsidR="002768A8">
        <w:t>.</w:t>
      </w:r>
    </w:p>
    <w:p w14:paraId="0D09C9E4" w14:textId="77F1F37B" w:rsidR="00772829" w:rsidRPr="00CE28E3" w:rsidRDefault="00772829" w:rsidP="00DE034C">
      <w:pPr>
        <w:pStyle w:val="Heading2"/>
        <w:numPr>
          <w:ilvl w:val="0"/>
          <w:numId w:val="18"/>
        </w:numPr>
        <w:ind w:hanging="720"/>
      </w:pPr>
      <w:bookmarkStart w:id="52" w:name="_Toc220675610"/>
      <w:bookmarkStart w:id="53" w:name="_Toc220670379"/>
      <w:bookmarkStart w:id="54" w:name="_Ref223619441"/>
      <w:r w:rsidRPr="00CE28E3">
        <w:t>Economic evaluation</w:t>
      </w:r>
      <w:bookmarkEnd w:id="52"/>
      <w:bookmarkEnd w:id="53"/>
      <w:bookmarkEnd w:id="54"/>
    </w:p>
    <w:p w14:paraId="10E71D59" w14:textId="2D244EF9" w:rsidR="00800556" w:rsidRDefault="00800556" w:rsidP="00800556">
      <w:r w:rsidRPr="004A234A">
        <w:t>Th</w:t>
      </w:r>
      <w:r w:rsidR="0078183C">
        <w:t>e</w:t>
      </w:r>
      <w:r w:rsidRPr="004A234A">
        <w:t xml:space="preserve"> economic evaluation assessed the cost-effectiveness </w:t>
      </w:r>
      <w:r w:rsidR="004B5413">
        <w:t xml:space="preserve">and cost-utility </w:t>
      </w:r>
      <w:r w:rsidRPr="004A234A">
        <w:t>of</w:t>
      </w:r>
      <w:r w:rsidRPr="005752FC">
        <w:rPr>
          <w:i/>
        </w:rPr>
        <w:t xml:space="preserve"> </w:t>
      </w:r>
      <w:r w:rsidRPr="00572E78">
        <w:rPr>
          <w:i/>
        </w:rPr>
        <w:t>POLE</w:t>
      </w:r>
      <w:r>
        <w:t xml:space="preserve"> genotyping </w:t>
      </w:r>
      <w:r w:rsidR="00D9518B">
        <w:t>in addition to standard care</w:t>
      </w:r>
      <w:r>
        <w:t xml:space="preserve"> compared to </w:t>
      </w:r>
      <w:r w:rsidR="00D9518B">
        <w:t xml:space="preserve">standard care </w:t>
      </w:r>
      <w:r w:rsidR="00EE0C26">
        <w:t xml:space="preserve">alone </w:t>
      </w:r>
      <w:r>
        <w:t xml:space="preserve">for the management of EC. </w:t>
      </w:r>
      <w:r w:rsidRPr="005752FC">
        <w:t xml:space="preserve">The </w:t>
      </w:r>
      <w:r w:rsidRPr="005752FC">
        <w:lastRenderedPageBreak/>
        <w:t>objective was to determine whether</w:t>
      </w:r>
      <w:r w:rsidRPr="005752FC">
        <w:rPr>
          <w:i/>
        </w:rPr>
        <w:t xml:space="preserve"> </w:t>
      </w:r>
      <w:r w:rsidRPr="00572E78">
        <w:rPr>
          <w:i/>
        </w:rPr>
        <w:t>POLE</w:t>
      </w:r>
      <w:r>
        <w:t xml:space="preserve"> genotyping </w:t>
      </w:r>
      <w:r w:rsidR="008E0DF0">
        <w:t>is</w:t>
      </w:r>
      <w:r w:rsidR="002D6042">
        <w:t xml:space="preserve"> likely to be</w:t>
      </w:r>
      <w:r w:rsidR="008E0DF0">
        <w:t xml:space="preserve"> cost-effe</w:t>
      </w:r>
      <w:r w:rsidR="002D6042">
        <w:t>ctive or</w:t>
      </w:r>
      <w:r>
        <w:t xml:space="preserve"> cost saving</w:t>
      </w:r>
      <w:r w:rsidR="001F76BA">
        <w:t>,</w:t>
      </w:r>
      <w:r>
        <w:t xml:space="preserve"> within the </w:t>
      </w:r>
      <w:r w:rsidR="00D52048" w:rsidRPr="00D87A8A">
        <w:t>context</w:t>
      </w:r>
      <w:r w:rsidR="00D52048">
        <w:t xml:space="preserve"> </w:t>
      </w:r>
      <w:r w:rsidR="005C706B">
        <w:t>o</w:t>
      </w:r>
      <w:r w:rsidR="00D52048">
        <w:t xml:space="preserve">f the </w:t>
      </w:r>
      <w:r>
        <w:t>Australian h</w:t>
      </w:r>
      <w:r w:rsidRPr="005752FC">
        <w:t>ealthcare system</w:t>
      </w:r>
      <w:r>
        <w:t>.</w:t>
      </w:r>
      <w:r w:rsidR="00556582">
        <w:t xml:space="preserve"> </w:t>
      </w:r>
    </w:p>
    <w:p w14:paraId="69583ED6" w14:textId="0064970B" w:rsidR="00D62D69" w:rsidRDefault="00D62D69" w:rsidP="00D62D69">
      <w:r>
        <w:t xml:space="preserve">A </w:t>
      </w:r>
      <w:r w:rsidRPr="005752FC">
        <w:t>decision tree model was developed to estimate costs and health outcomes associated with</w:t>
      </w:r>
      <w:r w:rsidRPr="0046327A">
        <w:rPr>
          <w:i/>
        </w:rPr>
        <w:t xml:space="preserve"> </w:t>
      </w:r>
      <w:r w:rsidRPr="00572E78">
        <w:rPr>
          <w:i/>
        </w:rPr>
        <w:t>POLE</w:t>
      </w:r>
      <w:r>
        <w:t xml:space="preserve"> genotyping compared to </w:t>
      </w:r>
      <w:r w:rsidR="00D9518B">
        <w:t>standard care</w:t>
      </w:r>
      <w:r w:rsidRPr="0010657E">
        <w:t xml:space="preserve"> </w:t>
      </w:r>
      <w:r w:rsidR="00912716">
        <w:t xml:space="preserve">(MMR, p53, ER assessment) </w:t>
      </w:r>
      <w:r>
        <w:t>f</w:t>
      </w:r>
      <w:r w:rsidRPr="0010657E">
        <w:t xml:space="preserve">rom </w:t>
      </w:r>
      <w:r w:rsidR="00C14103">
        <w:t>an</w:t>
      </w:r>
      <w:r w:rsidRPr="0010657E" w:rsidDel="00C14103">
        <w:t xml:space="preserve"> </w:t>
      </w:r>
      <w:r w:rsidRPr="0010657E">
        <w:t>Australian healthcare system</w:t>
      </w:r>
      <w:r w:rsidR="00C14103">
        <w:t xml:space="preserve"> </w:t>
      </w:r>
      <w:r w:rsidR="00C14103" w:rsidRPr="0010657E">
        <w:t>perspective</w:t>
      </w:r>
      <w:r>
        <w:t>.</w:t>
      </w:r>
      <w:r w:rsidR="00EE0C26">
        <w:t xml:space="preserve"> </w:t>
      </w:r>
      <w:r w:rsidR="00A20559">
        <w:t>The main outcomes of the economic analysis were incremental costs, costs per diagnosis</w:t>
      </w:r>
      <w:r w:rsidR="002D6042">
        <w:t>,</w:t>
      </w:r>
      <w:r w:rsidR="00A20559">
        <w:t xml:space="preserve"> and cost per patient undergoing adjuvant therapy</w:t>
      </w:r>
      <w:r w:rsidR="00A20559" w:rsidRPr="003C3F7C">
        <w:t xml:space="preserve"> de-</w:t>
      </w:r>
      <w:r w:rsidR="00A20559">
        <w:t>escalation.</w:t>
      </w:r>
      <w:r w:rsidR="000F2670">
        <w:t xml:space="preserve"> A Markov model extension was also developed to </w:t>
      </w:r>
      <w:r w:rsidR="00005B0D">
        <w:t xml:space="preserve">quantify the </w:t>
      </w:r>
      <w:r w:rsidR="00005B0D" w:rsidRPr="00005B0D">
        <w:t xml:space="preserve">incremental costs and incremental QALYs gained through treatment de-escalation among patients with </w:t>
      </w:r>
      <w:r w:rsidR="00005B0D" w:rsidRPr="00005B0D">
        <w:rPr>
          <w:i/>
          <w:iCs/>
        </w:rPr>
        <w:t>POLE</w:t>
      </w:r>
      <w:r w:rsidR="00005B0D" w:rsidRPr="00005B0D">
        <w:t xml:space="preserve">mut EC. When combined with the change in management predictions from the </w:t>
      </w:r>
      <w:r w:rsidR="00005B0D">
        <w:t>decision tree model</w:t>
      </w:r>
      <w:r w:rsidR="00005B0D" w:rsidRPr="00005B0D">
        <w:t xml:space="preserve">, this allowed for estimation of the incremental cost per QALY gained for </w:t>
      </w:r>
      <w:r w:rsidR="00005B0D" w:rsidRPr="00A93390">
        <w:rPr>
          <w:i/>
          <w:iCs/>
        </w:rPr>
        <w:t>POLE</w:t>
      </w:r>
      <w:r w:rsidR="00005B0D" w:rsidRPr="00005B0D">
        <w:t xml:space="preserve"> genotyping compared to standard care</w:t>
      </w:r>
      <w:r w:rsidR="00862B21">
        <w:t>.</w:t>
      </w:r>
    </w:p>
    <w:p w14:paraId="7407DA6C" w14:textId="7704BDD6" w:rsidR="00A9274B" w:rsidRDefault="00D62D69" w:rsidP="00D62D69">
      <w:r w:rsidRPr="0010657E">
        <w:t xml:space="preserve">Model inputs were </w:t>
      </w:r>
      <w:r w:rsidR="00951ECE">
        <w:t xml:space="preserve">mostly </w:t>
      </w:r>
      <w:r w:rsidRPr="0010657E">
        <w:t>derived from</w:t>
      </w:r>
      <w:r>
        <w:t xml:space="preserve"> </w:t>
      </w:r>
      <w:r w:rsidR="001A1C5F">
        <w:t xml:space="preserve">the </w:t>
      </w:r>
      <w:r>
        <w:t xml:space="preserve">published literature and informed assumptions, </w:t>
      </w:r>
      <w:r w:rsidRPr="00693F3D">
        <w:t xml:space="preserve">as evidence from the clinical section was either limited or </w:t>
      </w:r>
      <w:r w:rsidR="00912716">
        <w:t>in</w:t>
      </w:r>
      <w:r w:rsidRPr="00693F3D">
        <w:t>applicable</w:t>
      </w:r>
      <w:r>
        <w:t xml:space="preserve"> to the Australian setting. Although </w:t>
      </w:r>
      <w:r w:rsidRPr="00693F3D">
        <w:t xml:space="preserve">high </w:t>
      </w:r>
      <w:r>
        <w:t>d</w:t>
      </w:r>
      <w:r w:rsidRPr="00693F3D">
        <w:t xml:space="preserve">iagnostic accuracy </w:t>
      </w:r>
      <w:r w:rsidR="001A1C5F">
        <w:t>was reported</w:t>
      </w:r>
      <w:r w:rsidR="001A1C5F" w:rsidRPr="00693F3D">
        <w:t xml:space="preserve"> </w:t>
      </w:r>
      <w:r w:rsidRPr="00693F3D">
        <w:t xml:space="preserve">for </w:t>
      </w:r>
      <w:r w:rsidRPr="00076C3A">
        <w:rPr>
          <w:i/>
        </w:rPr>
        <w:t>POLE</w:t>
      </w:r>
      <w:r w:rsidRPr="00693F3D">
        <w:t xml:space="preserve"> genotyping compared with </w:t>
      </w:r>
      <w:r>
        <w:t>the</w:t>
      </w:r>
      <w:r w:rsidRPr="00693F3D" w:rsidDel="001A1C5F">
        <w:t xml:space="preserve"> </w:t>
      </w:r>
      <w:r w:rsidRPr="00693F3D">
        <w:t>respective reference standards</w:t>
      </w:r>
      <w:r>
        <w:t xml:space="preserve"> in each study, the </w:t>
      </w:r>
      <w:r w:rsidRPr="00693F3D">
        <w:t xml:space="preserve">applicability of these results to the Australian setting was </w:t>
      </w:r>
      <w:r>
        <w:t xml:space="preserve">highly </w:t>
      </w:r>
      <w:r w:rsidRPr="00693F3D">
        <w:t>uncertain</w:t>
      </w:r>
      <w:r>
        <w:t>.</w:t>
      </w:r>
      <w:r w:rsidRPr="00693F3D">
        <w:t xml:space="preserve"> Local </w:t>
      </w:r>
      <w:r>
        <w:t>clinician</w:t>
      </w:r>
      <w:r w:rsidRPr="00693F3D">
        <w:t xml:space="preserve"> </w:t>
      </w:r>
      <w:r>
        <w:t>input</w:t>
      </w:r>
      <w:r w:rsidRPr="00693F3D">
        <w:t xml:space="preserve"> indicated that NGS is the sole methodology for </w:t>
      </w:r>
      <w:r w:rsidRPr="0031118B">
        <w:rPr>
          <w:i/>
        </w:rPr>
        <w:t>POLE</w:t>
      </w:r>
      <w:r w:rsidRPr="00693F3D">
        <w:t xml:space="preserve"> genotyping in Australia</w:t>
      </w:r>
      <w:r w:rsidR="00587B5B">
        <w:t xml:space="preserve">, so </w:t>
      </w:r>
      <w:r w:rsidR="00CF5D46">
        <w:t xml:space="preserve">the model assumed all </w:t>
      </w:r>
      <w:r w:rsidR="00CF5D46" w:rsidRPr="00076C3A">
        <w:rPr>
          <w:i/>
        </w:rPr>
        <w:t>POLE</w:t>
      </w:r>
      <w:r w:rsidR="00CF5D46">
        <w:t xml:space="preserve"> genotyping would be performed via NGS</w:t>
      </w:r>
      <w:r w:rsidRPr="00693F3D">
        <w:t>.</w:t>
      </w:r>
      <w:r w:rsidR="001C009C">
        <w:t xml:space="preserve"> </w:t>
      </w:r>
      <w:r w:rsidR="00CF5D46">
        <w:t>As</w:t>
      </w:r>
      <w:r w:rsidR="001C009C">
        <w:t xml:space="preserve"> NGS was defined as the reference standard </w:t>
      </w:r>
      <w:r w:rsidR="00027287">
        <w:t>in</w:t>
      </w:r>
      <w:r w:rsidR="001C009C">
        <w:t xml:space="preserve"> th</w:t>
      </w:r>
      <w:r w:rsidR="00516F27">
        <w:t>e</w:t>
      </w:r>
      <w:r w:rsidR="001C009C">
        <w:t xml:space="preserve"> application</w:t>
      </w:r>
      <w:r w:rsidR="00CF5D46">
        <w:t xml:space="preserve">, </w:t>
      </w:r>
      <w:r w:rsidR="00516F27">
        <w:t>NGS</w:t>
      </w:r>
      <w:r w:rsidR="00CF5D46">
        <w:t xml:space="preserve"> results were assumed to reflect the true </w:t>
      </w:r>
      <w:r w:rsidR="00AC08A7" w:rsidRPr="00AC08A7">
        <w:t>variant</w:t>
      </w:r>
      <w:r w:rsidR="00AC08A7" w:rsidRPr="00AC08A7" w:rsidDel="00AC08A7">
        <w:t xml:space="preserve"> </w:t>
      </w:r>
      <w:r w:rsidR="00CF5D46">
        <w:t>status</w:t>
      </w:r>
      <w:r w:rsidR="009D36A6">
        <w:t xml:space="preserve"> for the purposes of the economic evaluation</w:t>
      </w:r>
      <w:r w:rsidR="007B2144">
        <w:t>, with test accuracy assumed to be 100% (</w:t>
      </w:r>
      <w:r w:rsidR="00F027FB">
        <w:t>al</w:t>
      </w:r>
      <w:r w:rsidR="007B2144">
        <w:t>though a test failure rate was incorporated)</w:t>
      </w:r>
      <w:r w:rsidR="009D36A6">
        <w:t>.</w:t>
      </w:r>
      <w:r>
        <w:t xml:space="preserve"> </w:t>
      </w:r>
      <w:r w:rsidR="003478CF">
        <w:t>T</w:t>
      </w:r>
      <w:r w:rsidRPr="00693F3D">
        <w:t>he clinical section did not identify any direct</w:t>
      </w:r>
      <w:r>
        <w:t xml:space="preserve"> </w:t>
      </w:r>
      <w:r w:rsidRPr="00C060A9">
        <w:t>evidence</w:t>
      </w:r>
      <w:r>
        <w:t xml:space="preserve"> </w:t>
      </w:r>
      <w:r w:rsidR="003478CF">
        <w:t>for</w:t>
      </w:r>
      <w:r>
        <w:t xml:space="preserve"> </w:t>
      </w:r>
      <w:r w:rsidRPr="00C060A9">
        <w:t>management</w:t>
      </w:r>
      <w:r>
        <w:t xml:space="preserve"> changes </w:t>
      </w:r>
      <w:r w:rsidRPr="00C060A9">
        <w:t xml:space="preserve">resulting from </w:t>
      </w:r>
      <w:r w:rsidRPr="0031118B">
        <w:rPr>
          <w:i/>
        </w:rPr>
        <w:t>POLE</w:t>
      </w:r>
      <w:r w:rsidRPr="00C060A9">
        <w:t xml:space="preserve"> genotyping</w:t>
      </w:r>
      <w:r>
        <w:t xml:space="preserve">. </w:t>
      </w:r>
      <w:r w:rsidR="00D21935" w:rsidRPr="00D21935">
        <w:t xml:space="preserve">In the absence of direct evidence, decisions </w:t>
      </w:r>
      <w:r w:rsidR="009344AA">
        <w:t xml:space="preserve">for adjuvant treatments </w:t>
      </w:r>
      <w:r w:rsidR="00D21935" w:rsidRPr="00D21935">
        <w:t>were modelled based on the ESGO-ESTRO-ESP 2025 guidelines</w:t>
      </w:r>
      <w:r w:rsidR="00C64A75">
        <w:t>,</w:t>
      </w:r>
      <w:r w:rsidR="00367609" w:rsidRPr="009C1B3E">
        <w:rPr>
          <w:vertAlign w:val="superscript"/>
        </w:rPr>
        <w:fldChar w:fldCharType="begin"/>
      </w:r>
      <w:r w:rsidR="00367609" w:rsidRPr="009C1B3E">
        <w:rPr>
          <w:vertAlign w:val="superscript"/>
        </w:rPr>
        <w:instrText xml:space="preserve"> NOTEREF _Ref222384373 \h </w:instrText>
      </w:r>
      <w:r w:rsidR="00367609">
        <w:rPr>
          <w:vertAlign w:val="superscript"/>
        </w:rPr>
        <w:instrText xml:space="preserve"> \* MERGEFORMAT </w:instrText>
      </w:r>
      <w:r w:rsidR="00367609" w:rsidRPr="009C1B3E">
        <w:rPr>
          <w:vertAlign w:val="superscript"/>
        </w:rPr>
      </w:r>
      <w:r w:rsidR="00367609" w:rsidRPr="009C1B3E">
        <w:rPr>
          <w:vertAlign w:val="superscript"/>
        </w:rPr>
        <w:fldChar w:fldCharType="separate"/>
      </w:r>
      <w:r w:rsidR="000B42CB">
        <w:rPr>
          <w:vertAlign w:val="superscript"/>
        </w:rPr>
        <w:t>5</w:t>
      </w:r>
      <w:r w:rsidR="00367609" w:rsidRPr="009C1B3E">
        <w:rPr>
          <w:vertAlign w:val="superscript"/>
        </w:rPr>
        <w:fldChar w:fldCharType="end"/>
      </w:r>
      <w:r w:rsidR="00D21935" w:rsidRPr="00D21935">
        <w:t xml:space="preserve"> which incorporate molecular classification into adjuvant treatment recommendations.</w:t>
      </w:r>
      <w:r w:rsidR="007A35AA">
        <w:t xml:space="preserve"> </w:t>
      </w:r>
    </w:p>
    <w:p w14:paraId="4E271E51" w14:textId="20B8D288" w:rsidR="00966488" w:rsidRDefault="006B5923" w:rsidP="00D62D69">
      <w:r>
        <w:t>The a</w:t>
      </w:r>
      <w:r w:rsidR="00905BF6">
        <w:t xml:space="preserve">vailable evidence suggests </w:t>
      </w:r>
      <w:r w:rsidR="00F36726">
        <w:t xml:space="preserve">equivalent </w:t>
      </w:r>
      <w:r w:rsidR="00EF7550" w:rsidRPr="00EF7550">
        <w:t>OS, RFS, PFS and/or DSS</w:t>
      </w:r>
      <w:r w:rsidR="00EF7550" w:rsidRPr="00EF7550" w:rsidDel="00EF7550">
        <w:t xml:space="preserve"> </w:t>
      </w:r>
      <w:r w:rsidR="00F36726">
        <w:t>outcomes irrespective of adjuvant therapy received</w:t>
      </w:r>
      <w:r w:rsidR="00905BF6" w:rsidRPr="00F834DD">
        <w:t xml:space="preserve"> in </w:t>
      </w:r>
      <w:r w:rsidR="00905BF6">
        <w:t xml:space="preserve">stage I–II </w:t>
      </w:r>
      <w:r w:rsidR="00905BF6" w:rsidRPr="00572E78">
        <w:rPr>
          <w:i/>
        </w:rPr>
        <w:t>POLE</w:t>
      </w:r>
      <w:r w:rsidR="00905BF6" w:rsidRPr="00F834DD">
        <w:t>mut EC</w:t>
      </w:r>
      <w:r>
        <w:t>,</w:t>
      </w:r>
      <w:r w:rsidR="00CE720D">
        <w:t xml:space="preserve"> </w:t>
      </w:r>
      <w:r w:rsidR="004C0748">
        <w:t xml:space="preserve">with </w:t>
      </w:r>
      <w:r w:rsidR="00D1789B">
        <w:t xml:space="preserve">likely </w:t>
      </w:r>
      <w:r w:rsidR="004C0748">
        <w:t xml:space="preserve">superior safety </w:t>
      </w:r>
      <w:r w:rsidR="00F264DC">
        <w:t>(</w:t>
      </w:r>
      <w:r w:rsidR="009F53A7">
        <w:t xml:space="preserve">see section </w:t>
      </w:r>
      <w:r w:rsidR="00F264DC">
        <w:fldChar w:fldCharType="begin"/>
      </w:r>
      <w:r w:rsidR="00F264DC">
        <w:instrText xml:space="preserve"> REF _Ref213066162 \h </w:instrText>
      </w:r>
      <w:r w:rsidR="00F264DC">
        <w:fldChar w:fldCharType="separate"/>
      </w:r>
      <w:r w:rsidR="00996E6E" w:rsidRPr="00CE28E3">
        <w:t>Comparative effectiveness</w:t>
      </w:r>
      <w:r w:rsidR="00F264DC">
        <w:fldChar w:fldCharType="end"/>
      </w:r>
      <w:r w:rsidR="00F264DC">
        <w:t>)</w:t>
      </w:r>
      <w:r w:rsidR="00AC2E8A">
        <w:t>.</w:t>
      </w:r>
      <w:r w:rsidR="00B94513">
        <w:t xml:space="preserve"> </w:t>
      </w:r>
      <w:r w:rsidR="00AC3C9D">
        <w:t>Lack of evidence for stage III–IV EC precludes any definitive conclusion in this group</w:t>
      </w:r>
      <w:r w:rsidR="004F2476">
        <w:t>.</w:t>
      </w:r>
      <w:r w:rsidR="00AC3C9D">
        <w:t xml:space="preserve"> </w:t>
      </w:r>
      <w:r w:rsidR="0039436C">
        <w:t>H</w:t>
      </w:r>
      <w:r w:rsidR="0039436C" w:rsidRPr="004E2FBD">
        <w:t xml:space="preserve">igher </w:t>
      </w:r>
      <w:r w:rsidR="0039436C" w:rsidRPr="00101BF3">
        <w:t xml:space="preserve">long-term </w:t>
      </w:r>
      <w:r w:rsidR="0039436C" w:rsidRPr="004E2FBD">
        <w:t>symptom burden</w:t>
      </w:r>
      <w:r w:rsidR="00C55AE7">
        <w:t>s</w:t>
      </w:r>
      <w:r w:rsidR="00B94513">
        <w:t xml:space="preserve"> </w:t>
      </w:r>
      <w:r w:rsidR="00C55AE7">
        <w:t>have</w:t>
      </w:r>
      <w:r w:rsidR="00B94513">
        <w:t xml:space="preserve"> been reported in associat</w:t>
      </w:r>
      <w:r w:rsidR="00AC3C9D">
        <w:t>ion</w:t>
      </w:r>
      <w:r w:rsidR="00B94513">
        <w:t xml:space="preserve"> with m</w:t>
      </w:r>
      <w:r w:rsidR="00B94513" w:rsidRPr="004E2FBD">
        <w:t>ore intensive adjuvant therapies</w:t>
      </w:r>
      <w:r w:rsidR="0039436C" w:rsidRPr="004E2FBD">
        <w:t>, including bowel and bladder effects for EBRT and persistent neuropathy after chemoradiation</w:t>
      </w:r>
      <w:r w:rsidR="00E65CA1">
        <w:t>.</w:t>
      </w:r>
      <w:bookmarkStart w:id="55" w:name="_Ref216339636"/>
      <w:r w:rsidR="0088637F">
        <w:rPr>
          <w:rStyle w:val="FootnoteReference"/>
        </w:rPr>
        <w:footnoteReference w:id="23"/>
      </w:r>
      <w:bookmarkEnd w:id="55"/>
      <w:r w:rsidR="008F6ED6" w:rsidRPr="00C10C68">
        <w:rPr>
          <w:vertAlign w:val="superscript"/>
        </w:rPr>
        <w:t>,</w:t>
      </w:r>
      <w:bookmarkStart w:id="56" w:name="_Ref216339570"/>
      <w:r w:rsidR="008F6ED6" w:rsidRPr="008F6ED6">
        <w:rPr>
          <w:rStyle w:val="FootnoteReference"/>
        </w:rPr>
        <w:footnoteReference w:id="24"/>
      </w:r>
      <w:bookmarkEnd w:id="56"/>
      <w:r w:rsidR="00964657">
        <w:rPr>
          <w:vertAlign w:val="superscript"/>
        </w:rPr>
        <w:t>,</w:t>
      </w:r>
      <w:r w:rsidR="008F6ED6" w:rsidRPr="008F6ED6">
        <w:rPr>
          <w:rStyle w:val="FootnoteReference"/>
        </w:rPr>
        <w:footnoteReference w:id="25"/>
      </w:r>
      <w:r w:rsidR="0039436C" w:rsidRPr="00C10C68">
        <w:rPr>
          <w:vertAlign w:val="superscript"/>
        </w:rPr>
        <w:t xml:space="preserve"> </w:t>
      </w:r>
      <w:r w:rsidR="00101B4C" w:rsidRPr="008E286B">
        <w:t>S</w:t>
      </w:r>
      <w:r w:rsidR="0039436C" w:rsidRPr="008E286B">
        <w:t>hort</w:t>
      </w:r>
      <w:r w:rsidR="00504A2F" w:rsidRPr="008E286B">
        <w:t>-</w:t>
      </w:r>
      <w:r w:rsidR="0039436C" w:rsidRPr="008E286B">
        <w:t xml:space="preserve"> or long</w:t>
      </w:r>
      <w:r w:rsidR="008E286B" w:rsidRPr="008E286B">
        <w:t>er</w:t>
      </w:r>
      <w:r w:rsidR="0039436C" w:rsidRPr="008E286B">
        <w:t xml:space="preserve">-term reductions in </w:t>
      </w:r>
      <w:r w:rsidR="008E286B" w:rsidRPr="008E286B">
        <w:t>various domains</w:t>
      </w:r>
      <w:r w:rsidR="0039436C" w:rsidRPr="008E286B">
        <w:t xml:space="preserve"> </w:t>
      </w:r>
      <w:r w:rsidR="0068709D" w:rsidRPr="008E286B">
        <w:t>o</w:t>
      </w:r>
      <w:r w:rsidR="00CD06BB" w:rsidRPr="008E286B">
        <w:t>n</w:t>
      </w:r>
      <w:r w:rsidR="00662DB3" w:rsidRPr="008E286B">
        <w:t xml:space="preserve"> quality</w:t>
      </w:r>
      <w:r w:rsidR="00CD06BB" w:rsidRPr="008E286B">
        <w:t>-</w:t>
      </w:r>
      <w:r w:rsidR="00662DB3" w:rsidRPr="008E286B">
        <w:t>of</w:t>
      </w:r>
      <w:r w:rsidR="00CD06BB" w:rsidRPr="008E286B">
        <w:t>-</w:t>
      </w:r>
      <w:r w:rsidR="00662DB3" w:rsidRPr="008E286B">
        <w:t>life instruments</w:t>
      </w:r>
      <w:r w:rsidR="0068709D" w:rsidRPr="008E286B">
        <w:t xml:space="preserve"> </w:t>
      </w:r>
      <w:r w:rsidR="00101B4C" w:rsidRPr="008E286B">
        <w:t>have also been observed</w:t>
      </w:r>
      <w:r w:rsidR="008C713C">
        <w:t xml:space="preserve"> </w:t>
      </w:r>
      <w:r w:rsidR="00101B4C" w:rsidRPr="008E286B">
        <w:t>.</w:t>
      </w:r>
      <w:r w:rsidR="007F5CBF" w:rsidRPr="00C10C68">
        <w:rPr>
          <w:vertAlign w:val="superscript"/>
        </w:rPr>
        <w:fldChar w:fldCharType="begin"/>
      </w:r>
      <w:r w:rsidR="007F5CBF" w:rsidRPr="00C10C68">
        <w:rPr>
          <w:vertAlign w:val="superscript"/>
        </w:rPr>
        <w:instrText xml:space="preserve"> NOTEREF _Ref216339420 \h </w:instrText>
      </w:r>
      <w:r w:rsidR="007F5CBF">
        <w:rPr>
          <w:vertAlign w:val="superscript"/>
        </w:rPr>
        <w:instrText xml:space="preserve"> \* MERGEFORMAT </w:instrText>
      </w:r>
      <w:r w:rsidR="007F5CBF" w:rsidRPr="00C10C68">
        <w:rPr>
          <w:vertAlign w:val="superscript"/>
        </w:rPr>
      </w:r>
      <w:r w:rsidR="007F5CBF" w:rsidRPr="00C10C68">
        <w:rPr>
          <w:vertAlign w:val="superscript"/>
        </w:rPr>
        <w:fldChar w:fldCharType="separate"/>
      </w:r>
      <w:r w:rsidR="000B42CB">
        <w:rPr>
          <w:vertAlign w:val="superscript"/>
        </w:rPr>
        <w:t>21</w:t>
      </w:r>
      <w:r w:rsidR="007F5CBF" w:rsidRPr="00C10C68">
        <w:rPr>
          <w:vertAlign w:val="superscript"/>
        </w:rPr>
        <w:fldChar w:fldCharType="end"/>
      </w:r>
      <w:r w:rsidR="007F5CBF" w:rsidRPr="00C10C68">
        <w:rPr>
          <w:vertAlign w:val="superscript"/>
        </w:rPr>
        <w:t>,</w:t>
      </w:r>
      <w:r w:rsidR="007F5CBF" w:rsidRPr="00C10C68">
        <w:rPr>
          <w:vertAlign w:val="superscript"/>
        </w:rPr>
        <w:fldChar w:fldCharType="begin"/>
      </w:r>
      <w:r w:rsidR="007F5CBF" w:rsidRPr="00C10C68">
        <w:rPr>
          <w:vertAlign w:val="superscript"/>
        </w:rPr>
        <w:instrText xml:space="preserve"> NOTEREF _Ref216339636 \h </w:instrText>
      </w:r>
      <w:r w:rsidR="007F5CBF">
        <w:rPr>
          <w:vertAlign w:val="superscript"/>
        </w:rPr>
        <w:instrText xml:space="preserve"> \* MERGEFORMAT </w:instrText>
      </w:r>
      <w:r w:rsidR="007F5CBF" w:rsidRPr="00C10C68">
        <w:rPr>
          <w:vertAlign w:val="superscript"/>
        </w:rPr>
      </w:r>
      <w:r w:rsidR="007F5CBF" w:rsidRPr="00C10C68">
        <w:rPr>
          <w:vertAlign w:val="superscript"/>
        </w:rPr>
        <w:fldChar w:fldCharType="separate"/>
      </w:r>
      <w:r w:rsidR="000B42CB">
        <w:rPr>
          <w:vertAlign w:val="superscript"/>
        </w:rPr>
        <w:t>22</w:t>
      </w:r>
      <w:r w:rsidR="007F5CBF" w:rsidRPr="00C10C68">
        <w:rPr>
          <w:vertAlign w:val="superscript"/>
        </w:rPr>
        <w:fldChar w:fldCharType="end"/>
      </w:r>
      <w:r w:rsidR="007F5CBF" w:rsidRPr="00C10C68">
        <w:rPr>
          <w:vertAlign w:val="superscript"/>
        </w:rPr>
        <w:t>,</w:t>
      </w:r>
      <w:r w:rsidR="007F5CBF" w:rsidRPr="00C10C68">
        <w:rPr>
          <w:vertAlign w:val="superscript"/>
        </w:rPr>
        <w:fldChar w:fldCharType="begin"/>
      </w:r>
      <w:r w:rsidR="007F5CBF" w:rsidRPr="00C10C68">
        <w:rPr>
          <w:vertAlign w:val="superscript"/>
        </w:rPr>
        <w:instrText xml:space="preserve"> NOTEREF _Ref216339570 \h </w:instrText>
      </w:r>
      <w:r w:rsidR="007F5CBF">
        <w:rPr>
          <w:vertAlign w:val="superscript"/>
        </w:rPr>
        <w:instrText xml:space="preserve"> \* MERGEFORMAT </w:instrText>
      </w:r>
      <w:r w:rsidR="007F5CBF" w:rsidRPr="00C10C68">
        <w:rPr>
          <w:vertAlign w:val="superscript"/>
        </w:rPr>
      </w:r>
      <w:r w:rsidR="007F5CBF" w:rsidRPr="00C10C68">
        <w:rPr>
          <w:vertAlign w:val="superscript"/>
        </w:rPr>
        <w:fldChar w:fldCharType="separate"/>
      </w:r>
      <w:r w:rsidR="000B42CB">
        <w:rPr>
          <w:vertAlign w:val="superscript"/>
        </w:rPr>
        <w:t>23</w:t>
      </w:r>
      <w:r w:rsidR="007F5CBF" w:rsidRPr="00C10C68">
        <w:rPr>
          <w:vertAlign w:val="superscript"/>
        </w:rPr>
        <w:fldChar w:fldCharType="end"/>
      </w:r>
      <w:r w:rsidR="0039436C" w:rsidRPr="008E286B">
        <w:t xml:space="preserve"> These </w:t>
      </w:r>
      <w:r w:rsidR="006C3FF1" w:rsidRPr="008E286B">
        <w:t>differences could</w:t>
      </w:r>
      <w:r w:rsidR="0039436C" w:rsidRPr="008E286B">
        <w:t xml:space="preserve"> lead to </w:t>
      </w:r>
      <w:r w:rsidR="004832E4" w:rsidRPr="008E286B">
        <w:t>moderate</w:t>
      </w:r>
      <w:r w:rsidR="0039436C" w:rsidRPr="008E286B">
        <w:t xml:space="preserve"> QALY losses over time</w:t>
      </w:r>
      <w:r w:rsidR="008C713C">
        <w:t>.</w:t>
      </w:r>
      <w:r w:rsidR="0039436C">
        <w:t xml:space="preserve"> </w:t>
      </w:r>
    </w:p>
    <w:p w14:paraId="7A7FD227" w14:textId="7DC91A2C" w:rsidR="00CF7881" w:rsidRDefault="00CF7881" w:rsidP="00D62D69">
      <w:r>
        <w:t xml:space="preserve">Two </w:t>
      </w:r>
      <w:r w:rsidR="00AC2E8A">
        <w:t xml:space="preserve">published </w:t>
      </w:r>
      <w:r>
        <w:t xml:space="preserve">cost-utility analyses </w:t>
      </w:r>
      <w:r w:rsidR="00971152">
        <w:t>(CUA)</w:t>
      </w:r>
      <w:r>
        <w:t xml:space="preserve"> were identified assess</w:t>
      </w:r>
      <w:r w:rsidR="00AF5F03">
        <w:t>ing</w:t>
      </w:r>
      <w:r>
        <w:t xml:space="preserve"> the cost-utility of molecular testing (MMR </w:t>
      </w:r>
      <w:r w:rsidR="00764817" w:rsidRPr="004B23FD">
        <w:t>immunohistochemistry</w:t>
      </w:r>
      <w:r>
        <w:t xml:space="preserve">, p53 </w:t>
      </w:r>
      <w:r w:rsidR="00764817" w:rsidRPr="004B23FD">
        <w:t xml:space="preserve">immunohistochemistry </w:t>
      </w:r>
      <w:r>
        <w:t xml:space="preserve">and </w:t>
      </w:r>
      <w:r w:rsidRPr="00101BF3">
        <w:rPr>
          <w:i/>
        </w:rPr>
        <w:t>POLE</w:t>
      </w:r>
      <w:r>
        <w:t xml:space="preserve"> genotyping) versus no molecular testing in </w:t>
      </w:r>
      <w:r w:rsidR="00F43E24">
        <w:t xml:space="preserve">EC </w:t>
      </w:r>
      <w:r>
        <w:t xml:space="preserve">patient subgroups (stage I and II high-risk EC and stage III EC </w:t>
      </w:r>
      <w:r>
        <w:lastRenderedPageBreak/>
        <w:t>cohorts).</w:t>
      </w:r>
      <w:bookmarkStart w:id="57" w:name="_Ref222912063"/>
      <w:r w:rsidR="00563C04">
        <w:rPr>
          <w:rStyle w:val="FootnoteReference"/>
        </w:rPr>
        <w:footnoteReference w:id="26"/>
      </w:r>
      <w:bookmarkEnd w:id="57"/>
      <w:r w:rsidR="00675E44">
        <w:rPr>
          <w:vertAlign w:val="superscript"/>
        </w:rPr>
        <w:t>,</w:t>
      </w:r>
      <w:bookmarkStart w:id="58" w:name="_Ref222912065"/>
      <w:r w:rsidR="00675E44">
        <w:rPr>
          <w:rStyle w:val="FootnoteReference"/>
        </w:rPr>
        <w:footnoteReference w:id="27"/>
      </w:r>
      <w:bookmarkEnd w:id="58"/>
      <w:r>
        <w:t xml:space="preserve"> </w:t>
      </w:r>
      <w:r w:rsidR="00AA11A6">
        <w:t xml:space="preserve">Despite </w:t>
      </w:r>
      <w:r w:rsidRPr="00B40BCE">
        <w:t>estimat</w:t>
      </w:r>
      <w:r w:rsidR="00AA11A6">
        <w:t>ing</w:t>
      </w:r>
      <w:r w:rsidRPr="00B40BCE">
        <w:t xml:space="preserve"> QALY differences, </w:t>
      </w:r>
      <w:r w:rsidR="00AA11A6" w:rsidRPr="00B40BCE">
        <w:t xml:space="preserve">these studies </w:t>
      </w:r>
      <w:r w:rsidRPr="00B40BCE">
        <w:t xml:space="preserve">addressed narrower clinical questions </w:t>
      </w:r>
      <w:r>
        <w:t xml:space="preserve">and </w:t>
      </w:r>
      <w:r w:rsidR="00B16F20">
        <w:t xml:space="preserve">adjuvant </w:t>
      </w:r>
      <w:r>
        <w:t>treatment decisions (i.e. C</w:t>
      </w:r>
      <w:r w:rsidR="00EC2D61">
        <w:t>T</w:t>
      </w:r>
      <w:r>
        <w:t xml:space="preserve">RT vs RT alone) </w:t>
      </w:r>
      <w:r w:rsidRPr="00B40BCE">
        <w:t xml:space="preserve">and could not be replicated </w:t>
      </w:r>
      <w:r w:rsidR="006B145D">
        <w:t>easily</w:t>
      </w:r>
      <w:r w:rsidR="006B145D" w:rsidRPr="00B40BCE">
        <w:t xml:space="preserve"> </w:t>
      </w:r>
      <w:r w:rsidRPr="00B40BCE">
        <w:t>within the broader decision context of the present analysis</w:t>
      </w:r>
      <w:r w:rsidR="007853B3">
        <w:t>.</w:t>
      </w:r>
    </w:p>
    <w:p w14:paraId="1E522902" w14:textId="26FE0219" w:rsidR="00990916" w:rsidRDefault="00FA69C6" w:rsidP="00D62D69">
      <w:r>
        <w:t>For th</w:t>
      </w:r>
      <w:r w:rsidR="00FC0BC9">
        <w:t>e current</w:t>
      </w:r>
      <w:r>
        <w:t xml:space="preserve"> analysis, a Markov model extension </w:t>
      </w:r>
      <w:r w:rsidRPr="00FA69C6">
        <w:t xml:space="preserve">was constructed to quantify the costs and QALY outcomes associated with various potential adjuvant therapy options for patients with </w:t>
      </w:r>
      <w:r w:rsidRPr="00C10C68">
        <w:rPr>
          <w:i/>
          <w:iCs/>
        </w:rPr>
        <w:t>POLE</w:t>
      </w:r>
      <w:r w:rsidRPr="00FA69C6">
        <w:t>mut EC</w:t>
      </w:r>
      <w:r w:rsidR="00F8169F">
        <w:t xml:space="preserve"> over a 5-year time horizon</w:t>
      </w:r>
      <w:r w:rsidRPr="00FA69C6">
        <w:t>.</w:t>
      </w:r>
      <w:r w:rsidR="00F8169F">
        <w:t xml:space="preserve"> Based on the cost and QALY outcomes modelled for each treatment alternative via the Markov modelling, incremental costs and incremental QALYs gained outcomes for each treatment comparison (adjuvant therapy vs VBT; RT alone vs CTRT etc.) were estimated. The treatment comparisons considered comprised the changes in adjuvant therapy/treatment de-escalation options modelled in the CEA.</w:t>
      </w:r>
    </w:p>
    <w:p w14:paraId="6101A473" w14:textId="7D8467DF" w:rsidR="00D62D69" w:rsidRDefault="00D62D69" w:rsidP="00D62D69">
      <w:r>
        <w:t>A</w:t>
      </w:r>
      <w:r w:rsidRPr="003251C2">
        <w:t xml:space="preserve"> brief overview</w:t>
      </w:r>
      <w:r w:rsidRPr="004A234A">
        <w:t xml:space="preserve"> </w:t>
      </w:r>
      <w:r w:rsidRPr="003251C2">
        <w:t>of the model parameters</w:t>
      </w:r>
      <w:r>
        <w:t xml:space="preserve"> is</w:t>
      </w:r>
      <w:r w:rsidRPr="004A234A">
        <w:t xml:space="preserve"> </w:t>
      </w:r>
      <w:r w:rsidRPr="003251C2">
        <w:t>provide</w:t>
      </w:r>
      <w:r>
        <w:t xml:space="preserve">d in </w:t>
      </w:r>
      <w:r>
        <w:fldChar w:fldCharType="begin"/>
      </w:r>
      <w:r>
        <w:instrText xml:space="preserve"> REF _Ref69725820 \h </w:instrText>
      </w:r>
      <w:r>
        <w:fldChar w:fldCharType="separate"/>
      </w:r>
      <w:r w:rsidR="000B42CB" w:rsidRPr="00CE28E3">
        <w:t>Table</w:t>
      </w:r>
      <w:r w:rsidR="000B42CB">
        <w:t xml:space="preserve"> </w:t>
      </w:r>
      <w:r w:rsidR="000B42CB">
        <w:rPr>
          <w:noProof/>
        </w:rPr>
        <w:t>9</w:t>
      </w:r>
      <w:r>
        <w:fldChar w:fldCharType="end"/>
      </w:r>
      <w:r>
        <w:t>.</w:t>
      </w:r>
    </w:p>
    <w:p w14:paraId="7832FEBA" w14:textId="5DF4AA02" w:rsidR="00C107C3" w:rsidRPr="00CE28E3" w:rsidRDefault="00C107C3" w:rsidP="005D45CD">
      <w:pPr>
        <w:pStyle w:val="Caption"/>
        <w:widowControl w:val="0"/>
        <w:tabs>
          <w:tab w:val="left" w:pos="1134"/>
        </w:tabs>
        <w:ind w:left="1134" w:hanging="1134"/>
      </w:pPr>
      <w:bookmarkStart w:id="59" w:name="_Ref69725820"/>
      <w:r w:rsidRPr="00CE28E3">
        <w:t>Table</w:t>
      </w:r>
      <w:r w:rsidR="008F0910">
        <w:t xml:space="preserve"> </w:t>
      </w:r>
      <w:r>
        <w:fldChar w:fldCharType="begin"/>
      </w:r>
      <w:r>
        <w:instrText>SEQ Table \* ARABIC</w:instrText>
      </w:r>
      <w:r>
        <w:fldChar w:fldCharType="separate"/>
      </w:r>
      <w:r w:rsidR="00996E6E">
        <w:rPr>
          <w:noProof/>
        </w:rPr>
        <w:t>9</w:t>
      </w:r>
      <w:r>
        <w:fldChar w:fldCharType="end"/>
      </w:r>
      <w:bookmarkEnd w:id="59"/>
      <w:r w:rsidR="00C67FE1">
        <w:t xml:space="preserve"> </w:t>
      </w:r>
      <w:r w:rsidRPr="00CE28E3">
        <w:t xml:space="preserve">Summary of economic evaluation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the economic evaluation "/>
        <w:tblDescription w:val="This table describes the key constructs of the economic evaluation that is provided in the assessment report."/>
      </w:tblPr>
      <w:tblGrid>
        <w:gridCol w:w="2122"/>
        <w:gridCol w:w="6894"/>
      </w:tblGrid>
      <w:tr w:rsidR="002D29BF" w:rsidRPr="00CE28E3" w14:paraId="3C0DF1BD" w14:textId="2726922C" w:rsidTr="000B3C60">
        <w:trPr>
          <w:tblHeader/>
        </w:trPr>
        <w:tc>
          <w:tcPr>
            <w:tcW w:w="1177" w:type="pct"/>
            <w:shd w:val="clear" w:color="auto" w:fill="F2F2F2" w:themeFill="background1" w:themeFillShade="F2"/>
          </w:tcPr>
          <w:p w14:paraId="57632985" w14:textId="77777777" w:rsidR="00C05700" w:rsidRPr="000449D1" w:rsidRDefault="00C05700" w:rsidP="00D6573F">
            <w:pPr>
              <w:pStyle w:val="Tableheading1"/>
            </w:pPr>
            <w:bookmarkStart w:id="60" w:name="Title_Table5"/>
            <w:bookmarkStart w:id="61" w:name="_Hlk68276446"/>
            <w:bookmarkEnd w:id="60"/>
            <w:r w:rsidRPr="000449D1">
              <w:t>Component</w:t>
            </w:r>
          </w:p>
        </w:tc>
        <w:tc>
          <w:tcPr>
            <w:tcW w:w="3823" w:type="pct"/>
            <w:shd w:val="clear" w:color="auto" w:fill="F2F2F2" w:themeFill="background1" w:themeFillShade="F2"/>
          </w:tcPr>
          <w:p w14:paraId="123CA837" w14:textId="77777777" w:rsidR="00C05700" w:rsidRPr="000449D1" w:rsidRDefault="00C05700" w:rsidP="00D6573F">
            <w:pPr>
              <w:pStyle w:val="Tableheading1"/>
            </w:pPr>
            <w:r w:rsidRPr="000449D1">
              <w:t>Description</w:t>
            </w:r>
          </w:p>
        </w:tc>
      </w:tr>
      <w:tr w:rsidR="00520993" w:rsidRPr="000449D1" w14:paraId="31113E27" w14:textId="755DAA21" w:rsidTr="000B3C60">
        <w:tc>
          <w:tcPr>
            <w:tcW w:w="1177" w:type="pct"/>
          </w:tcPr>
          <w:p w14:paraId="7DFFBC7E" w14:textId="77777777" w:rsidR="00C05700" w:rsidRPr="000449D1" w:rsidRDefault="00C05700" w:rsidP="00D6573F">
            <w:pPr>
              <w:pStyle w:val="Tabletext0"/>
              <w:jc w:val="left"/>
            </w:pPr>
            <w:r w:rsidRPr="000449D1">
              <w:t>Perspective</w:t>
            </w:r>
          </w:p>
        </w:tc>
        <w:tc>
          <w:tcPr>
            <w:tcW w:w="3823" w:type="pct"/>
          </w:tcPr>
          <w:p w14:paraId="56EF2FFF" w14:textId="51ADFAB5" w:rsidR="00C05700" w:rsidRPr="000449D1" w:rsidRDefault="00FB411D" w:rsidP="00D6573F">
            <w:pPr>
              <w:pStyle w:val="Tabletext0"/>
              <w:jc w:val="left"/>
            </w:pPr>
            <w:r w:rsidRPr="000449D1">
              <w:rPr>
                <w:rFonts w:cs="Courier New"/>
              </w:rPr>
              <w:t>Healthcare</w:t>
            </w:r>
            <w:r w:rsidR="00C05700" w:rsidRPr="000449D1">
              <w:t xml:space="preserve"> system perspective</w:t>
            </w:r>
          </w:p>
        </w:tc>
      </w:tr>
      <w:tr w:rsidR="00520993" w:rsidRPr="000449D1" w14:paraId="3AE7C53E" w14:textId="3AF3CBC2" w:rsidTr="000B3C60">
        <w:tc>
          <w:tcPr>
            <w:tcW w:w="1177" w:type="pct"/>
          </w:tcPr>
          <w:p w14:paraId="7D8A22F3" w14:textId="77777777" w:rsidR="00C05700" w:rsidRPr="000449D1" w:rsidRDefault="00C05700" w:rsidP="00D6573F">
            <w:pPr>
              <w:pStyle w:val="Tabletext0"/>
              <w:jc w:val="left"/>
            </w:pPr>
            <w:r w:rsidRPr="000449D1">
              <w:t>Population</w:t>
            </w:r>
          </w:p>
        </w:tc>
        <w:tc>
          <w:tcPr>
            <w:tcW w:w="3823" w:type="pct"/>
          </w:tcPr>
          <w:p w14:paraId="376BBABD" w14:textId="37275EDF" w:rsidR="00C05700" w:rsidRPr="000449D1" w:rsidRDefault="00FB411D" w:rsidP="00D6573F">
            <w:pPr>
              <w:pStyle w:val="Tabletext0"/>
              <w:jc w:val="left"/>
            </w:pPr>
            <w:r w:rsidRPr="00727BE6">
              <w:rPr>
                <w:rFonts w:cs="Courier New"/>
              </w:rPr>
              <w:t>Patients diagnosed with endometrial carcinoma</w:t>
            </w:r>
            <w:r>
              <w:rPr>
                <w:rFonts w:cs="Courier New"/>
              </w:rPr>
              <w:t xml:space="preserve"> </w:t>
            </w:r>
            <w:r w:rsidRPr="004D1EFA">
              <w:rPr>
                <w:rFonts w:cs="Courier New"/>
              </w:rPr>
              <w:t xml:space="preserve">(NGOR data </w:t>
            </w:r>
            <w:r w:rsidRPr="00F834DD">
              <w:rPr>
                <w:rFonts w:cs="Courier New"/>
              </w:rPr>
              <w:t>2017</w:t>
            </w:r>
            <w:r>
              <w:rPr>
                <w:rFonts w:cs="Courier New"/>
              </w:rPr>
              <w:t>–</w:t>
            </w:r>
            <w:r w:rsidRPr="004D1EFA">
              <w:rPr>
                <w:rFonts w:cs="Courier New"/>
              </w:rPr>
              <w:t xml:space="preserve">2023: </w:t>
            </w:r>
            <w:r>
              <w:rPr>
                <w:rFonts w:cs="Courier New"/>
              </w:rPr>
              <w:t>mean</w:t>
            </w:r>
            <w:r w:rsidRPr="004D1EFA">
              <w:rPr>
                <w:rFonts w:cs="Courier New"/>
              </w:rPr>
              <w:t xml:space="preserve"> age 64.3 years, </w:t>
            </w:r>
            <w:r>
              <w:rPr>
                <w:rFonts w:cs="Courier New"/>
              </w:rPr>
              <w:t xml:space="preserve">FIGO </w:t>
            </w:r>
            <w:r w:rsidR="00147390">
              <w:rPr>
                <w:rFonts w:cs="Courier New"/>
              </w:rPr>
              <w:t>s</w:t>
            </w:r>
            <w:r w:rsidRPr="009C76CE">
              <w:rPr>
                <w:rFonts w:cs="Courier New"/>
              </w:rPr>
              <w:t>tage</w:t>
            </w:r>
            <w:r w:rsidRPr="004D1EFA">
              <w:rPr>
                <w:rFonts w:cs="Courier New"/>
              </w:rPr>
              <w:t xml:space="preserve"> I</w:t>
            </w:r>
            <w:r w:rsidRPr="009C76CE">
              <w:rPr>
                <w:rFonts w:cs="Courier New"/>
              </w:rPr>
              <w:t xml:space="preserve"> 68.9%, II</w:t>
            </w:r>
            <w:r w:rsidRPr="004D1EFA">
              <w:rPr>
                <w:rFonts w:cs="Courier New"/>
              </w:rPr>
              <w:t xml:space="preserve"> 6.8</w:t>
            </w:r>
            <w:r w:rsidRPr="009C76CE">
              <w:rPr>
                <w:rFonts w:cs="Courier New"/>
              </w:rPr>
              <w:t>%, III</w:t>
            </w:r>
            <w:r w:rsidRPr="004D1EFA">
              <w:rPr>
                <w:rFonts w:cs="Courier New"/>
              </w:rPr>
              <w:t xml:space="preserve"> 13.1</w:t>
            </w:r>
            <w:r w:rsidRPr="009C76CE">
              <w:rPr>
                <w:rFonts w:cs="Courier New"/>
              </w:rPr>
              <w:t>%, IV</w:t>
            </w:r>
            <w:r w:rsidRPr="004D1EFA">
              <w:rPr>
                <w:rFonts w:cs="Courier New"/>
              </w:rPr>
              <w:t xml:space="preserve"> 6.5</w:t>
            </w:r>
            <w:r w:rsidRPr="009C76CE">
              <w:rPr>
                <w:rFonts w:cs="Courier New"/>
              </w:rPr>
              <w:t>%,</w:t>
            </w:r>
            <w:r w:rsidRPr="004D1EFA">
              <w:rPr>
                <w:rFonts w:cs="Courier New"/>
              </w:rPr>
              <w:t xml:space="preserve"> unknown </w:t>
            </w:r>
            <w:r w:rsidRPr="009C76CE">
              <w:rPr>
                <w:rFonts w:cs="Courier New"/>
              </w:rPr>
              <w:t>4.7%</w:t>
            </w:r>
            <w:r w:rsidRPr="004D1EFA">
              <w:rPr>
                <w:rFonts w:cs="Courier New"/>
              </w:rPr>
              <w:t>)</w:t>
            </w:r>
          </w:p>
        </w:tc>
      </w:tr>
      <w:tr w:rsidR="00520993" w:rsidRPr="000449D1" w14:paraId="35DC265A" w14:textId="6A15DD17" w:rsidTr="000B3C60">
        <w:tc>
          <w:tcPr>
            <w:tcW w:w="1177" w:type="pct"/>
          </w:tcPr>
          <w:p w14:paraId="6886BA88" w14:textId="77777777" w:rsidR="00C05700" w:rsidRPr="000449D1" w:rsidRDefault="00C05700" w:rsidP="00D6573F">
            <w:pPr>
              <w:pStyle w:val="Tabletext0"/>
              <w:jc w:val="left"/>
            </w:pPr>
            <w:r w:rsidRPr="000449D1">
              <w:t>Prior testing</w:t>
            </w:r>
          </w:p>
        </w:tc>
        <w:tc>
          <w:tcPr>
            <w:tcW w:w="3823" w:type="pct"/>
          </w:tcPr>
          <w:p w14:paraId="13AED989" w14:textId="16AE1790" w:rsidR="00C05700" w:rsidRPr="000449D1" w:rsidRDefault="00FB411D" w:rsidP="00D6573F">
            <w:pPr>
              <w:pStyle w:val="Tabletext0"/>
              <w:jc w:val="left"/>
            </w:pPr>
            <w:r w:rsidRPr="00727BE6">
              <w:rPr>
                <w:rFonts w:cs="Courier New"/>
              </w:rPr>
              <w:t>Pelvic ultrasonography with or without transvaginal ultrasonography to measure endometrial thickness, endometrial biopsy, and/or dilatation and curettage with or without hysteroscopy.</w:t>
            </w:r>
          </w:p>
        </w:tc>
      </w:tr>
      <w:tr w:rsidR="00520993" w:rsidRPr="000449D1" w14:paraId="750830A5" w14:textId="33978BE8" w:rsidTr="000B3C60">
        <w:tc>
          <w:tcPr>
            <w:tcW w:w="1177" w:type="pct"/>
          </w:tcPr>
          <w:p w14:paraId="59B80C68" w14:textId="77777777" w:rsidR="00C05700" w:rsidRPr="000449D1" w:rsidRDefault="00C05700" w:rsidP="00D6573F">
            <w:pPr>
              <w:pStyle w:val="Tabletext0"/>
              <w:jc w:val="left"/>
            </w:pPr>
            <w:r w:rsidRPr="000449D1">
              <w:t>Comparator</w:t>
            </w:r>
          </w:p>
        </w:tc>
        <w:tc>
          <w:tcPr>
            <w:tcW w:w="3823" w:type="pct"/>
          </w:tcPr>
          <w:p w14:paraId="04C0D717" w14:textId="5B1DC037" w:rsidR="00C05700" w:rsidRPr="000449D1" w:rsidRDefault="00FB411D" w:rsidP="00D6573F">
            <w:pPr>
              <w:pStyle w:val="Tabletext0"/>
              <w:jc w:val="left"/>
            </w:pPr>
            <w:r w:rsidRPr="00727BE6">
              <w:rPr>
                <w:rFonts w:cs="Courier New"/>
              </w:rPr>
              <w:t xml:space="preserve">No </w:t>
            </w:r>
            <w:r w:rsidRPr="00076C3A">
              <w:rPr>
                <w:rFonts w:cs="Courier New"/>
                <w:i/>
              </w:rPr>
              <w:t>POLE</w:t>
            </w:r>
            <w:r>
              <w:rPr>
                <w:rFonts w:cs="Courier New"/>
              </w:rPr>
              <w:t xml:space="preserve"> </w:t>
            </w:r>
            <w:r w:rsidR="00BA0483" w:rsidRPr="00BA0483">
              <w:rPr>
                <w:rFonts w:cs="Courier New"/>
              </w:rPr>
              <w:t>genotyping</w:t>
            </w:r>
          </w:p>
        </w:tc>
      </w:tr>
      <w:tr w:rsidR="00520993" w:rsidRPr="000449D1" w14:paraId="36F1EEEF" w14:textId="77777777" w:rsidTr="000B3C60">
        <w:tc>
          <w:tcPr>
            <w:tcW w:w="1177" w:type="pct"/>
          </w:tcPr>
          <w:p w14:paraId="4486620D" w14:textId="759AB978" w:rsidR="001B6F5B" w:rsidRPr="000449D1" w:rsidRDefault="001B6F5B" w:rsidP="00D6573F">
            <w:pPr>
              <w:pStyle w:val="Tabletext0"/>
              <w:jc w:val="left"/>
            </w:pPr>
            <w:r w:rsidRPr="00AB2C63">
              <w:t>Reference standard</w:t>
            </w:r>
          </w:p>
        </w:tc>
        <w:tc>
          <w:tcPr>
            <w:tcW w:w="3823" w:type="pct"/>
          </w:tcPr>
          <w:p w14:paraId="726C64C3" w14:textId="176DD715" w:rsidR="001B6F5B" w:rsidRPr="00727BE6" w:rsidRDefault="001B6F5B" w:rsidP="00D6573F">
            <w:pPr>
              <w:pStyle w:val="Tabletext0"/>
              <w:jc w:val="left"/>
              <w:rPr>
                <w:rFonts w:cs="Courier New"/>
              </w:rPr>
            </w:pPr>
            <w:r w:rsidRPr="00AB2C63">
              <w:t>N</w:t>
            </w:r>
            <w:r w:rsidR="00DA1015">
              <w:t>GS</w:t>
            </w:r>
          </w:p>
        </w:tc>
      </w:tr>
      <w:tr w:rsidR="00520993" w:rsidRPr="000449D1" w14:paraId="352DFBB5" w14:textId="23E331A7" w:rsidTr="000B3C60">
        <w:tc>
          <w:tcPr>
            <w:tcW w:w="1177" w:type="pct"/>
          </w:tcPr>
          <w:p w14:paraId="563F18FC" w14:textId="77777777" w:rsidR="00C05700" w:rsidRPr="000449D1" w:rsidRDefault="00C05700" w:rsidP="00D6573F">
            <w:pPr>
              <w:pStyle w:val="Tabletext0"/>
              <w:jc w:val="left"/>
            </w:pPr>
            <w:r w:rsidRPr="000449D1">
              <w:t>Type(s) of analysis</w:t>
            </w:r>
          </w:p>
        </w:tc>
        <w:tc>
          <w:tcPr>
            <w:tcW w:w="3823" w:type="pct"/>
          </w:tcPr>
          <w:p w14:paraId="4DAE5CE1" w14:textId="0727CA2B" w:rsidR="00C05700" w:rsidRPr="000449D1" w:rsidRDefault="00D3417B" w:rsidP="00D6573F">
            <w:pPr>
              <w:pStyle w:val="Tabletext0"/>
              <w:jc w:val="left"/>
            </w:pPr>
            <w:r w:rsidRPr="006913D6">
              <w:t>CEA</w:t>
            </w:r>
            <w:r w:rsidR="00F8169F">
              <w:t xml:space="preserve"> </w:t>
            </w:r>
            <w:r w:rsidR="00F8169F">
              <w:rPr>
                <w:rFonts w:cs="Courier New"/>
              </w:rPr>
              <w:t>and CUA</w:t>
            </w:r>
          </w:p>
        </w:tc>
      </w:tr>
      <w:tr w:rsidR="00520993" w:rsidRPr="000449D1" w14:paraId="6CB6FA6B" w14:textId="0CFF196E" w:rsidTr="000B3C60">
        <w:tc>
          <w:tcPr>
            <w:tcW w:w="1177" w:type="pct"/>
          </w:tcPr>
          <w:p w14:paraId="401E0BAC" w14:textId="77777777" w:rsidR="00C05700" w:rsidRPr="000449D1" w:rsidRDefault="00C05700" w:rsidP="00D6573F">
            <w:pPr>
              <w:pStyle w:val="Tabletext0"/>
              <w:jc w:val="left"/>
            </w:pPr>
            <w:r w:rsidRPr="000449D1">
              <w:t>Outcomes</w:t>
            </w:r>
          </w:p>
        </w:tc>
        <w:tc>
          <w:tcPr>
            <w:tcW w:w="3823" w:type="pct"/>
          </w:tcPr>
          <w:p w14:paraId="5B732CD2" w14:textId="7B5B5A37" w:rsidR="00376176" w:rsidRPr="00376176" w:rsidRDefault="00376176" w:rsidP="00376176">
            <w:pPr>
              <w:pStyle w:val="TableText"/>
              <w:rPr>
                <w:rFonts w:cs="Courier New"/>
                <w:szCs w:val="20"/>
              </w:rPr>
            </w:pPr>
            <w:r w:rsidRPr="00376176">
              <w:rPr>
                <w:rFonts w:cs="Courier New"/>
                <w:szCs w:val="20"/>
              </w:rPr>
              <w:t>Incremental cost</w:t>
            </w:r>
            <w:r w:rsidR="00E236A6">
              <w:rPr>
                <w:rFonts w:cs="Courier New"/>
                <w:szCs w:val="20"/>
              </w:rPr>
              <w:t>s</w:t>
            </w:r>
          </w:p>
          <w:p w14:paraId="5F89A969" w14:textId="75DC6C65" w:rsidR="00911B64" w:rsidRPr="00376176" w:rsidRDefault="00911B64" w:rsidP="00911B64">
            <w:pPr>
              <w:pStyle w:val="Tabletext0"/>
            </w:pPr>
            <w:r w:rsidRPr="00376176">
              <w:t xml:space="preserve">Incremental cost per diagnosis (patient found to harbour a </w:t>
            </w:r>
            <w:r w:rsidRPr="00376176">
              <w:rPr>
                <w:i/>
              </w:rPr>
              <w:t>POLE</w:t>
            </w:r>
            <w:r w:rsidR="002F6E84" w:rsidRPr="00376176">
              <w:t>mut</w:t>
            </w:r>
            <w:r w:rsidRPr="00376176">
              <w:t>)</w:t>
            </w:r>
          </w:p>
          <w:p w14:paraId="569F62B6" w14:textId="77777777" w:rsidR="00C05700" w:rsidRDefault="00911B64" w:rsidP="00D6573F">
            <w:pPr>
              <w:pStyle w:val="Tabletext0"/>
              <w:jc w:val="left"/>
            </w:pPr>
            <w:r w:rsidRPr="00376176">
              <w:t>Incremental cost</w:t>
            </w:r>
            <w:r w:rsidR="009B51C3" w:rsidRPr="00376176">
              <w:t xml:space="preserve"> per patient undergoing adjuvant therapy de-escalation</w:t>
            </w:r>
          </w:p>
          <w:p w14:paraId="5BB292CF" w14:textId="5E9CCE11" w:rsidR="00C05700" w:rsidRPr="000449D1" w:rsidRDefault="00F8169F" w:rsidP="00D6573F">
            <w:pPr>
              <w:pStyle w:val="Tabletext0"/>
              <w:jc w:val="left"/>
            </w:pPr>
            <w:r>
              <w:rPr>
                <w:rFonts w:cs="Courier New"/>
              </w:rPr>
              <w:t>Incremental cost per QALY gained</w:t>
            </w:r>
          </w:p>
        </w:tc>
      </w:tr>
      <w:tr w:rsidR="00520993" w:rsidRPr="000449D1" w14:paraId="643C0794" w14:textId="7BA4E085" w:rsidTr="000B3C60">
        <w:tc>
          <w:tcPr>
            <w:tcW w:w="1177" w:type="pct"/>
          </w:tcPr>
          <w:p w14:paraId="42B1D84D" w14:textId="77777777" w:rsidR="00C05700" w:rsidRPr="000449D1" w:rsidRDefault="00C05700" w:rsidP="00D6573F">
            <w:pPr>
              <w:pStyle w:val="Tabletext0"/>
              <w:jc w:val="left"/>
            </w:pPr>
            <w:r w:rsidRPr="000449D1">
              <w:t>Time horizon</w:t>
            </w:r>
          </w:p>
        </w:tc>
        <w:tc>
          <w:tcPr>
            <w:tcW w:w="3823" w:type="pct"/>
          </w:tcPr>
          <w:p w14:paraId="3BC3DE82" w14:textId="2861C745" w:rsidR="00C05700" w:rsidRPr="000449D1" w:rsidRDefault="00F8169F" w:rsidP="00D6573F">
            <w:pPr>
              <w:pStyle w:val="Tabletext0"/>
              <w:jc w:val="left"/>
            </w:pPr>
            <w:r>
              <w:t>5 years</w:t>
            </w:r>
          </w:p>
        </w:tc>
      </w:tr>
      <w:tr w:rsidR="00520993" w:rsidRPr="000449D1" w14:paraId="0949BCCC" w14:textId="4456977C" w:rsidTr="000B3C60">
        <w:tc>
          <w:tcPr>
            <w:tcW w:w="1177" w:type="pct"/>
          </w:tcPr>
          <w:p w14:paraId="6DFB973F" w14:textId="77777777" w:rsidR="00C05700" w:rsidRPr="000449D1" w:rsidRDefault="00C05700" w:rsidP="00D6573F">
            <w:pPr>
              <w:pStyle w:val="Tabletext0"/>
              <w:jc w:val="left"/>
            </w:pPr>
            <w:r w:rsidRPr="000449D1">
              <w:t>Computational method</w:t>
            </w:r>
          </w:p>
        </w:tc>
        <w:tc>
          <w:tcPr>
            <w:tcW w:w="3823" w:type="pct"/>
          </w:tcPr>
          <w:p w14:paraId="67E64DF6" w14:textId="00CF6A49" w:rsidR="00C05700" w:rsidRPr="000449D1" w:rsidRDefault="00D3417B" w:rsidP="00D6573F">
            <w:pPr>
              <w:pStyle w:val="Tabletext0"/>
              <w:jc w:val="left"/>
            </w:pPr>
            <w:r w:rsidRPr="00D7683F">
              <w:t>Decision tree model</w:t>
            </w:r>
            <w:r w:rsidR="00F8169F">
              <w:t xml:space="preserve"> with Markov model extension</w:t>
            </w:r>
          </w:p>
        </w:tc>
      </w:tr>
      <w:tr w:rsidR="00520993" w:rsidRPr="000449D1" w14:paraId="780AB6C6" w14:textId="5D51678D" w:rsidTr="000B3C60">
        <w:tc>
          <w:tcPr>
            <w:tcW w:w="1177" w:type="pct"/>
          </w:tcPr>
          <w:p w14:paraId="6CDC9D32" w14:textId="77777777" w:rsidR="00C05700" w:rsidRPr="000449D1" w:rsidRDefault="00C05700" w:rsidP="00D6573F">
            <w:pPr>
              <w:pStyle w:val="Tabletext0"/>
              <w:jc w:val="left"/>
            </w:pPr>
            <w:r w:rsidRPr="000449D1">
              <w:t>Generation of the base case</w:t>
            </w:r>
          </w:p>
        </w:tc>
        <w:tc>
          <w:tcPr>
            <w:tcW w:w="3823" w:type="pct"/>
          </w:tcPr>
          <w:p w14:paraId="6687851E" w14:textId="02C9E8C9" w:rsidR="00C05700" w:rsidRPr="000449D1" w:rsidRDefault="00D3417B" w:rsidP="00D6573F">
            <w:pPr>
              <w:pStyle w:val="Tabletext0"/>
              <w:jc w:val="left"/>
            </w:pPr>
            <w:r w:rsidRPr="00D7683F">
              <w:t xml:space="preserve">Modelled </w:t>
            </w:r>
          </w:p>
        </w:tc>
      </w:tr>
      <w:tr w:rsidR="00520993" w:rsidRPr="000449D1" w14:paraId="03A3B794" w14:textId="3A58F192" w:rsidTr="000B3C60">
        <w:tc>
          <w:tcPr>
            <w:tcW w:w="1177" w:type="pct"/>
          </w:tcPr>
          <w:p w14:paraId="4E12B2D4" w14:textId="77777777" w:rsidR="00C05700" w:rsidRPr="000449D1" w:rsidRDefault="00C05700" w:rsidP="00D6573F">
            <w:pPr>
              <w:pStyle w:val="Tabletext0"/>
              <w:jc w:val="left"/>
            </w:pPr>
            <w:r w:rsidRPr="000449D1">
              <w:t>Health states</w:t>
            </w:r>
          </w:p>
        </w:tc>
        <w:tc>
          <w:tcPr>
            <w:tcW w:w="3823" w:type="pct"/>
          </w:tcPr>
          <w:p w14:paraId="3E63543F" w14:textId="4107A97B" w:rsidR="00C05700" w:rsidRPr="000449D1" w:rsidRDefault="00F8169F" w:rsidP="00D6573F">
            <w:pPr>
              <w:pStyle w:val="Tabletext0"/>
              <w:jc w:val="left"/>
            </w:pPr>
            <w:r>
              <w:rPr>
                <w:rFonts w:cs="Courier New"/>
              </w:rPr>
              <w:t>Recurrence free, recurred disease, dead</w:t>
            </w:r>
          </w:p>
        </w:tc>
      </w:tr>
      <w:tr w:rsidR="00520993" w:rsidRPr="000449D1" w14:paraId="0212C695" w14:textId="63F9F923" w:rsidTr="000B3C60">
        <w:tc>
          <w:tcPr>
            <w:tcW w:w="1177" w:type="pct"/>
          </w:tcPr>
          <w:p w14:paraId="3AC64F34" w14:textId="77777777" w:rsidR="00C05700" w:rsidRPr="000449D1" w:rsidRDefault="00C05700" w:rsidP="00D6573F">
            <w:pPr>
              <w:pStyle w:val="Tabletext0"/>
              <w:jc w:val="left"/>
            </w:pPr>
            <w:r w:rsidRPr="000449D1">
              <w:t>Cycle length</w:t>
            </w:r>
          </w:p>
        </w:tc>
        <w:tc>
          <w:tcPr>
            <w:tcW w:w="3823" w:type="pct"/>
          </w:tcPr>
          <w:p w14:paraId="64D95EB2" w14:textId="5DFDA3DB" w:rsidR="00C05700" w:rsidRPr="000449D1" w:rsidRDefault="00F8169F" w:rsidP="00D6573F">
            <w:pPr>
              <w:pStyle w:val="Tabletext0"/>
              <w:jc w:val="left"/>
            </w:pPr>
            <w:r>
              <w:t>1 month</w:t>
            </w:r>
          </w:p>
        </w:tc>
      </w:tr>
      <w:tr w:rsidR="00520993" w:rsidRPr="000449D1" w14:paraId="2976544F" w14:textId="76387CDF" w:rsidTr="000B3C60">
        <w:tc>
          <w:tcPr>
            <w:tcW w:w="1177" w:type="pct"/>
          </w:tcPr>
          <w:p w14:paraId="2558F588" w14:textId="77777777" w:rsidR="00C05700" w:rsidRPr="000449D1" w:rsidRDefault="00C05700" w:rsidP="00D6573F">
            <w:pPr>
              <w:pStyle w:val="Tabletext0"/>
              <w:jc w:val="left"/>
            </w:pPr>
            <w:r w:rsidRPr="000449D1">
              <w:t>Transition probabilities</w:t>
            </w:r>
          </w:p>
        </w:tc>
        <w:tc>
          <w:tcPr>
            <w:tcW w:w="3823" w:type="pct"/>
          </w:tcPr>
          <w:p w14:paraId="519E0027" w14:textId="1AF5FAB5" w:rsidR="00D3417B" w:rsidRPr="009C56EC" w:rsidRDefault="00D3417B" w:rsidP="006E5583">
            <w:pPr>
              <w:pStyle w:val="TableText"/>
              <w:rPr>
                <w:rFonts w:cs="Courier New"/>
                <w:highlight w:val="yellow"/>
              </w:rPr>
            </w:pPr>
            <w:r w:rsidRPr="00727BE6">
              <w:rPr>
                <w:rFonts w:cs="Courier New"/>
              </w:rPr>
              <w:t xml:space="preserve">All transition probabilities </w:t>
            </w:r>
            <w:r>
              <w:rPr>
                <w:rFonts w:cs="Courier New"/>
                <w:szCs w:val="20"/>
              </w:rPr>
              <w:t xml:space="preserve">directly </w:t>
            </w:r>
            <w:r w:rsidRPr="00727BE6">
              <w:rPr>
                <w:rFonts w:cs="Courier New"/>
                <w:szCs w:val="20"/>
              </w:rPr>
              <w:t xml:space="preserve">from </w:t>
            </w:r>
            <w:r w:rsidRPr="00383CD2">
              <w:rPr>
                <w:rFonts w:cs="Courier New"/>
                <w:szCs w:val="20"/>
              </w:rPr>
              <w:t>published literature</w:t>
            </w:r>
            <w:r>
              <w:rPr>
                <w:rFonts w:cs="Courier New"/>
                <w:szCs w:val="20"/>
              </w:rPr>
              <w:t xml:space="preserve">, </w:t>
            </w:r>
            <w:r w:rsidRPr="00383CD2">
              <w:rPr>
                <w:rFonts w:cs="Courier New"/>
                <w:szCs w:val="20"/>
              </w:rPr>
              <w:t xml:space="preserve">supplemented by assumptions, given </w:t>
            </w:r>
            <w:r w:rsidRPr="009816AF">
              <w:rPr>
                <w:rFonts w:cs="Courier New"/>
                <w:szCs w:val="20"/>
              </w:rPr>
              <w:t xml:space="preserve">the </w:t>
            </w:r>
            <w:r w:rsidR="00D75094">
              <w:rPr>
                <w:rFonts w:cs="Courier New"/>
              </w:rPr>
              <w:t>limited</w:t>
            </w:r>
            <w:r w:rsidR="00D75094" w:rsidRPr="009816AF">
              <w:rPr>
                <w:rFonts w:cs="Courier New"/>
                <w:szCs w:val="20"/>
              </w:rPr>
              <w:t xml:space="preserve"> </w:t>
            </w:r>
            <w:r w:rsidRPr="009816AF">
              <w:rPr>
                <w:rFonts w:cs="Courier New"/>
                <w:szCs w:val="20"/>
              </w:rPr>
              <w:t>clinical evidence</w:t>
            </w:r>
            <w:r>
              <w:rPr>
                <w:rFonts w:cs="Courier New"/>
              </w:rPr>
              <w:t xml:space="preserve">. </w:t>
            </w:r>
          </w:p>
          <w:p w14:paraId="3578C1AB" w14:textId="3ED803B1" w:rsidR="00D3417B" w:rsidRDefault="00D3417B" w:rsidP="006E5583">
            <w:pPr>
              <w:pStyle w:val="TableText"/>
              <w:rPr>
                <w:rFonts w:cs="Courier New"/>
              </w:rPr>
            </w:pPr>
            <w:r w:rsidRPr="003A6FA0">
              <w:rPr>
                <w:rFonts w:cs="Courier New"/>
              </w:rPr>
              <w:lastRenderedPageBreak/>
              <w:t>Prevalence</w:t>
            </w:r>
            <w:r>
              <w:rPr>
                <w:rFonts w:cs="Courier New"/>
              </w:rPr>
              <w:t xml:space="preserve"> of FIGO stages, molecular biomarkers and grades informed by the published literature</w:t>
            </w:r>
            <w:r w:rsidR="009E7CFF">
              <w:rPr>
                <w:rFonts w:cs="Courier New"/>
              </w:rPr>
              <w:t>.</w:t>
            </w:r>
            <w:r w:rsidR="00563D04" w:rsidRPr="009E7CFF">
              <w:rPr>
                <w:rStyle w:val="FootnoteReference"/>
                <w:rFonts w:cs="Courier New"/>
              </w:rPr>
              <w:footnoteReference w:id="28"/>
            </w:r>
            <w:r w:rsidR="009E7CFF" w:rsidRPr="00C10C68">
              <w:rPr>
                <w:rFonts w:cs="Courier New"/>
                <w:vertAlign w:val="superscript"/>
              </w:rPr>
              <w:t>,</w:t>
            </w:r>
            <w:bookmarkStart w:id="62" w:name="_Ref216340419"/>
            <w:r w:rsidR="00377577" w:rsidRPr="009E7CFF">
              <w:rPr>
                <w:rStyle w:val="FootnoteReference"/>
                <w:rFonts w:cs="Courier New"/>
              </w:rPr>
              <w:footnoteReference w:id="29"/>
            </w:r>
            <w:bookmarkEnd w:id="62"/>
            <w:r w:rsidR="009E7CFF" w:rsidRPr="00C10C68">
              <w:rPr>
                <w:rFonts w:cs="Courier New"/>
                <w:vertAlign w:val="superscript"/>
              </w:rPr>
              <w:t>,</w:t>
            </w:r>
            <w:bookmarkStart w:id="63" w:name="_Ref216340424"/>
            <w:r w:rsidR="009E7CFF" w:rsidRPr="009E7CFF">
              <w:rPr>
                <w:rStyle w:val="FootnoteReference"/>
                <w:rFonts w:cs="Courier New"/>
              </w:rPr>
              <w:footnoteReference w:id="30"/>
            </w:r>
            <w:bookmarkEnd w:id="63"/>
          </w:p>
          <w:p w14:paraId="68FFFE54" w14:textId="5B91BEFC" w:rsidR="00066820" w:rsidRDefault="006E5583" w:rsidP="00D6573F">
            <w:pPr>
              <w:pStyle w:val="Tabletext0"/>
              <w:jc w:val="left"/>
              <w:rPr>
                <w:rFonts w:cs="Courier New"/>
              </w:rPr>
            </w:pPr>
            <w:r>
              <w:rPr>
                <w:rFonts w:cs="Courier New"/>
              </w:rPr>
              <w:t>Test a</w:t>
            </w:r>
            <w:r w:rsidRPr="003A6FA0">
              <w:rPr>
                <w:rFonts w:cs="Courier New"/>
              </w:rPr>
              <w:t>ccuracy</w:t>
            </w:r>
            <w:r>
              <w:rPr>
                <w:rFonts w:cs="Courier New"/>
              </w:rPr>
              <w:t xml:space="preserve"> assumed </w:t>
            </w:r>
            <w:r w:rsidR="00C80BA8">
              <w:rPr>
                <w:rFonts w:cs="Courier New"/>
              </w:rPr>
              <w:t xml:space="preserve">at </w:t>
            </w:r>
            <w:r>
              <w:rPr>
                <w:rFonts w:cs="Courier New"/>
              </w:rPr>
              <w:t xml:space="preserve">100%, as </w:t>
            </w:r>
            <w:r w:rsidRPr="00F554F4">
              <w:rPr>
                <w:rFonts w:cs="Courier New"/>
              </w:rPr>
              <w:t>NGS defined as the reference standard for this application</w:t>
            </w:r>
            <w:r>
              <w:rPr>
                <w:rFonts w:cs="Courier New"/>
              </w:rPr>
              <w:t>.</w:t>
            </w:r>
            <w:r w:rsidDel="00EB3E8E">
              <w:rPr>
                <w:rFonts w:cs="Courier New"/>
              </w:rPr>
              <w:t xml:space="preserve"> </w:t>
            </w:r>
            <w:r>
              <w:rPr>
                <w:rFonts w:cs="Courier New"/>
              </w:rPr>
              <w:t xml:space="preserve">Test failure rate informed by </w:t>
            </w:r>
            <w:r w:rsidR="007370EF">
              <w:rPr>
                <w:rFonts w:cs="Courier New"/>
              </w:rPr>
              <w:t>Chen</w:t>
            </w:r>
            <w:r w:rsidR="007370EF" w:rsidRPr="006078DB">
              <w:rPr>
                <w:rFonts w:cs="Courier New"/>
              </w:rPr>
              <w:t xml:space="preserve"> </w:t>
            </w:r>
            <w:r>
              <w:rPr>
                <w:rFonts w:cs="Courier New"/>
              </w:rPr>
              <w:t>et al.</w:t>
            </w:r>
            <w:r w:rsidRPr="006078DB">
              <w:rPr>
                <w:rFonts w:cs="Courier New"/>
              </w:rPr>
              <w:t xml:space="preserve"> </w:t>
            </w:r>
            <w:r>
              <w:rPr>
                <w:rFonts w:cs="Courier New"/>
              </w:rPr>
              <w:t>(</w:t>
            </w:r>
            <w:r w:rsidRPr="006078DB">
              <w:rPr>
                <w:rFonts w:cs="Courier New"/>
              </w:rPr>
              <w:t>202</w:t>
            </w:r>
            <w:r w:rsidR="007370EF">
              <w:rPr>
                <w:rFonts w:cs="Courier New"/>
              </w:rPr>
              <w:t>4</w:t>
            </w:r>
            <w:r>
              <w:rPr>
                <w:rFonts w:cs="Courier New"/>
              </w:rPr>
              <w:t>).</w:t>
            </w:r>
            <w:r w:rsidR="00B23526">
              <w:rPr>
                <w:rFonts w:cs="Courier New"/>
                <w:vertAlign w:val="superscript"/>
              </w:rPr>
              <w:fldChar w:fldCharType="begin"/>
            </w:r>
            <w:r w:rsidR="00B23526">
              <w:rPr>
                <w:rFonts w:cs="Courier New"/>
                <w:vertAlign w:val="superscript"/>
              </w:rPr>
              <w:instrText xml:space="preserve"> NOTEREF _Ref222382964 \h </w:instrText>
            </w:r>
            <w:r w:rsidR="00B23526">
              <w:rPr>
                <w:rFonts w:cs="Courier New"/>
                <w:vertAlign w:val="superscript"/>
              </w:rPr>
            </w:r>
            <w:r w:rsidR="00B23526">
              <w:rPr>
                <w:rFonts w:cs="Courier New"/>
                <w:vertAlign w:val="superscript"/>
              </w:rPr>
              <w:fldChar w:fldCharType="separate"/>
            </w:r>
            <w:r w:rsidR="000B42CB">
              <w:rPr>
                <w:rFonts w:cs="Courier New"/>
                <w:vertAlign w:val="superscript"/>
              </w:rPr>
              <w:t>6</w:t>
            </w:r>
            <w:r w:rsidR="00B23526">
              <w:rPr>
                <w:rFonts w:cs="Courier New"/>
                <w:vertAlign w:val="superscript"/>
              </w:rPr>
              <w:fldChar w:fldCharType="end"/>
            </w:r>
            <w:r>
              <w:rPr>
                <w:rFonts w:cs="Courier New"/>
              </w:rPr>
              <w:t xml:space="preserve"> </w:t>
            </w:r>
            <w:r w:rsidR="00D3417B">
              <w:rPr>
                <w:rFonts w:cs="Courier New"/>
              </w:rPr>
              <w:t>C</w:t>
            </w:r>
            <w:r w:rsidR="00D3417B" w:rsidRPr="003A6FA0">
              <w:rPr>
                <w:rFonts w:cs="Courier New"/>
              </w:rPr>
              <w:t>hange in management</w:t>
            </w:r>
            <w:r w:rsidR="00D3417B">
              <w:rPr>
                <w:rFonts w:cs="Courier New"/>
              </w:rPr>
              <w:t xml:space="preserve"> </w:t>
            </w:r>
            <w:r w:rsidR="00C80BA8">
              <w:rPr>
                <w:rFonts w:cs="Courier New"/>
              </w:rPr>
              <w:t>according to</w:t>
            </w:r>
            <w:r w:rsidR="00D3417B">
              <w:rPr>
                <w:rFonts w:cs="Courier New"/>
              </w:rPr>
              <w:t xml:space="preserve"> </w:t>
            </w:r>
            <w:r w:rsidR="00D3417B" w:rsidRPr="007D6A87">
              <w:rPr>
                <w:rFonts w:cs="Courier New"/>
              </w:rPr>
              <w:t xml:space="preserve">ESGO-ESTRO-ESP 2025 </w:t>
            </w:r>
            <w:r w:rsidR="00D3417B">
              <w:rPr>
                <w:rFonts w:cs="Courier New"/>
              </w:rPr>
              <w:t xml:space="preserve">guidelines, with the assumption that all patients </w:t>
            </w:r>
            <w:r w:rsidR="00D3417B" w:rsidRPr="007D6A87">
              <w:rPr>
                <w:rFonts w:cs="Courier New"/>
              </w:rPr>
              <w:t xml:space="preserve">without metastatic disease (FIGO stage I–IVA) currently receiving adjuvant therapy who </w:t>
            </w:r>
            <w:r w:rsidR="006D1603">
              <w:rPr>
                <w:rFonts w:cs="Courier New"/>
              </w:rPr>
              <w:t>a</w:t>
            </w:r>
            <w:r w:rsidR="00D3417B" w:rsidRPr="007D6A87">
              <w:rPr>
                <w:rFonts w:cs="Courier New"/>
              </w:rPr>
              <w:t xml:space="preserve">re successfully identified as </w:t>
            </w:r>
            <w:r w:rsidR="00D3417B" w:rsidRPr="00076C3A">
              <w:rPr>
                <w:rFonts w:cs="Courier New"/>
                <w:i/>
              </w:rPr>
              <w:t>POLE</w:t>
            </w:r>
            <w:r w:rsidR="00D3417B" w:rsidRPr="007D6A87">
              <w:rPr>
                <w:rFonts w:cs="Courier New"/>
              </w:rPr>
              <w:t>mut would undergo treatment de-escalation</w:t>
            </w:r>
            <w:r w:rsidR="00D3417B">
              <w:rPr>
                <w:rFonts w:cs="Courier New"/>
              </w:rPr>
              <w:t>.</w:t>
            </w:r>
          </w:p>
          <w:p w14:paraId="22246D7D" w14:textId="77777777" w:rsidR="00C05700" w:rsidRDefault="007E1FD3" w:rsidP="00D6573F">
            <w:pPr>
              <w:pStyle w:val="Tabletext0"/>
              <w:jc w:val="left"/>
              <w:rPr>
                <w:rFonts w:cs="Courier New"/>
              </w:rPr>
            </w:pPr>
            <w:r>
              <w:rPr>
                <w:rFonts w:cs="Courier New"/>
              </w:rPr>
              <w:t>Risk-based adjuvant treatment options including observation (</w:t>
            </w:r>
            <w:r w:rsidDel="009C78EA">
              <w:rPr>
                <w:rFonts w:cs="Courier New"/>
              </w:rPr>
              <w:t>i.e</w:t>
            </w:r>
            <w:r>
              <w:rPr>
                <w:rFonts w:cs="Courier New"/>
              </w:rPr>
              <w:t>. no adjuvant therapy), radiation therapy, chemotherapy, chemoradiation therapy and immunotherapy</w:t>
            </w:r>
            <w:r w:rsidR="00607A51">
              <w:rPr>
                <w:rFonts w:cs="Courier New"/>
              </w:rPr>
              <w:t xml:space="preserve"> were modelled</w:t>
            </w:r>
            <w:r>
              <w:rPr>
                <w:rFonts w:cs="Courier New"/>
              </w:rPr>
              <w:t>.</w:t>
            </w:r>
          </w:p>
          <w:p w14:paraId="5F8BD80C" w14:textId="0158B5D3" w:rsidR="00F8169F" w:rsidRDefault="00F8169F" w:rsidP="00F8169F">
            <w:pPr>
              <w:pStyle w:val="TableText"/>
              <w:rPr>
                <w:rFonts w:cs="Courier New"/>
                <w:szCs w:val="20"/>
              </w:rPr>
            </w:pPr>
            <w:r>
              <w:rPr>
                <w:rFonts w:cs="Courier New"/>
                <w:szCs w:val="20"/>
              </w:rPr>
              <w:t xml:space="preserve">Recurrence-free survival was modelled based on data for the </w:t>
            </w:r>
            <w:r>
              <w:rPr>
                <w:rFonts w:cs="Courier New"/>
                <w:i/>
                <w:iCs/>
                <w:szCs w:val="20"/>
              </w:rPr>
              <w:t>POLE</w:t>
            </w:r>
            <w:r>
              <w:rPr>
                <w:rFonts w:cs="Courier New"/>
                <w:szCs w:val="20"/>
              </w:rPr>
              <w:t>mut cohort irrespective of stage (due to limited data) or adjuvant therapy received (available evidence showed no difference irrespective of adjuvant therapy received).</w:t>
            </w:r>
            <w:r w:rsidR="002A3C5F" w:rsidRPr="003B2950">
              <w:rPr>
                <w:rFonts w:cs="Courier New"/>
                <w:szCs w:val="20"/>
                <w:vertAlign w:val="superscript"/>
              </w:rPr>
              <w:t>,</w:t>
            </w:r>
            <w:r w:rsidR="002A3C5F" w:rsidRPr="003B2950">
              <w:rPr>
                <w:rFonts w:cs="Courier New"/>
                <w:szCs w:val="20"/>
                <w:vertAlign w:val="superscript"/>
              </w:rPr>
              <w:fldChar w:fldCharType="begin"/>
            </w:r>
            <w:r w:rsidR="002A3C5F" w:rsidRPr="003B2950">
              <w:rPr>
                <w:rFonts w:cs="Courier New"/>
                <w:szCs w:val="20"/>
                <w:vertAlign w:val="superscript"/>
              </w:rPr>
              <w:instrText xml:space="preserve"> NOTEREF _Ref215208633 \h  \* MERGEFORMAT </w:instrText>
            </w:r>
            <w:r w:rsidR="002A3C5F" w:rsidRPr="003B2950">
              <w:rPr>
                <w:rFonts w:cs="Courier New"/>
                <w:szCs w:val="20"/>
                <w:vertAlign w:val="superscript"/>
              </w:rPr>
            </w:r>
            <w:r w:rsidR="002A3C5F" w:rsidRPr="003B2950">
              <w:rPr>
                <w:rFonts w:cs="Courier New"/>
                <w:szCs w:val="20"/>
                <w:vertAlign w:val="superscript"/>
              </w:rPr>
              <w:fldChar w:fldCharType="separate"/>
            </w:r>
            <w:r w:rsidR="000B42CB">
              <w:rPr>
                <w:rFonts w:cs="Courier New"/>
                <w:szCs w:val="20"/>
                <w:vertAlign w:val="superscript"/>
              </w:rPr>
              <w:t>12</w:t>
            </w:r>
            <w:r w:rsidR="002A3C5F" w:rsidRPr="003B2950">
              <w:rPr>
                <w:rFonts w:cs="Courier New"/>
                <w:szCs w:val="20"/>
                <w:vertAlign w:val="superscript"/>
              </w:rPr>
              <w:fldChar w:fldCharType="end"/>
            </w:r>
            <w:r>
              <w:rPr>
                <w:rFonts w:cs="Courier New"/>
                <w:szCs w:val="20"/>
              </w:rPr>
              <w:t xml:space="preserve"> Mortality was modelled based on Australian Life Tables and literature-based data for the post-recurrence state.</w:t>
            </w:r>
            <w:r w:rsidR="002A3C5F" w:rsidRPr="00691552">
              <w:rPr>
                <w:rStyle w:val="FootnoteReference"/>
                <w:rFonts w:cs="Courier New"/>
                <w:szCs w:val="20"/>
              </w:rPr>
              <w:footnoteReference w:id="31"/>
            </w:r>
            <w:r w:rsidR="00691552" w:rsidRPr="00C10C68">
              <w:rPr>
                <w:rFonts w:cs="Courier New"/>
                <w:szCs w:val="20"/>
                <w:vertAlign w:val="superscript"/>
              </w:rPr>
              <w:t>,</w:t>
            </w:r>
            <w:r w:rsidR="00691552" w:rsidRPr="00691552">
              <w:rPr>
                <w:rStyle w:val="FootnoteReference"/>
                <w:rFonts w:cs="Courier New"/>
                <w:szCs w:val="20"/>
              </w:rPr>
              <w:footnoteReference w:id="32"/>
            </w:r>
          </w:p>
          <w:p w14:paraId="1904DA8D" w14:textId="2293ADB6" w:rsidR="00C05700" w:rsidRDefault="00F8169F" w:rsidP="00D6573F">
            <w:pPr>
              <w:pStyle w:val="Tabletext0"/>
              <w:jc w:val="left"/>
              <w:rPr>
                <w:rFonts w:cs="Courier New"/>
                <w:vertAlign w:val="superscript"/>
              </w:rPr>
            </w:pPr>
            <w:r>
              <w:rPr>
                <w:rFonts w:cs="Courier New"/>
              </w:rPr>
              <w:t>Health state utility values were informed by existing cost-utility models, additional literature</w:t>
            </w:r>
            <w:r w:rsidR="00F83979" w:rsidDel="000C3F59">
              <w:rPr>
                <w:rFonts w:cs="Courier New"/>
              </w:rPr>
              <w:t xml:space="preserve"> </w:t>
            </w:r>
            <w:r>
              <w:rPr>
                <w:rFonts w:cs="Courier New"/>
              </w:rPr>
              <w:t>and Australian population norms.</w:t>
            </w:r>
            <w:r w:rsidR="00761FD4" w:rsidRPr="009C1B3E">
              <w:rPr>
                <w:rFonts w:cs="Courier New"/>
                <w:vertAlign w:val="superscript"/>
              </w:rPr>
              <w:fldChar w:fldCharType="begin"/>
            </w:r>
            <w:r w:rsidR="00761FD4" w:rsidRPr="009C1B3E">
              <w:rPr>
                <w:rFonts w:cs="Courier New"/>
                <w:vertAlign w:val="superscript"/>
              </w:rPr>
              <w:instrText xml:space="preserve"> NOTEREF _Ref222912063 \h </w:instrText>
            </w:r>
            <w:r w:rsidR="00761FD4">
              <w:rPr>
                <w:rFonts w:cs="Courier New"/>
                <w:vertAlign w:val="superscript"/>
              </w:rPr>
              <w:instrText xml:space="preserve"> \* MERGEFORMAT </w:instrText>
            </w:r>
            <w:r w:rsidR="00761FD4" w:rsidRPr="009C1B3E">
              <w:rPr>
                <w:rFonts w:cs="Courier New"/>
                <w:vertAlign w:val="superscript"/>
              </w:rPr>
            </w:r>
            <w:r w:rsidR="00761FD4" w:rsidRPr="009C1B3E">
              <w:rPr>
                <w:rFonts w:cs="Courier New"/>
                <w:vertAlign w:val="superscript"/>
              </w:rPr>
              <w:fldChar w:fldCharType="separate"/>
            </w:r>
            <w:r w:rsidR="000B42CB">
              <w:rPr>
                <w:rFonts w:cs="Courier New"/>
                <w:vertAlign w:val="superscript"/>
              </w:rPr>
              <w:t>25</w:t>
            </w:r>
            <w:r w:rsidR="00761FD4" w:rsidRPr="009C1B3E">
              <w:rPr>
                <w:rFonts w:cs="Courier New"/>
                <w:vertAlign w:val="superscript"/>
              </w:rPr>
              <w:fldChar w:fldCharType="end"/>
            </w:r>
            <w:r w:rsidR="00761FD4" w:rsidRPr="009C1B3E">
              <w:rPr>
                <w:rFonts w:cs="Courier New"/>
                <w:vertAlign w:val="superscript"/>
              </w:rPr>
              <w:t>,</w:t>
            </w:r>
            <w:r w:rsidR="00761FD4" w:rsidRPr="009C1B3E">
              <w:rPr>
                <w:rFonts w:cs="Courier New"/>
                <w:vertAlign w:val="superscript"/>
              </w:rPr>
              <w:fldChar w:fldCharType="begin"/>
            </w:r>
            <w:r w:rsidR="00761FD4" w:rsidRPr="009C1B3E">
              <w:rPr>
                <w:rFonts w:cs="Courier New"/>
                <w:vertAlign w:val="superscript"/>
              </w:rPr>
              <w:instrText xml:space="preserve"> NOTEREF _Ref222912065 \h </w:instrText>
            </w:r>
            <w:r w:rsidR="00761FD4">
              <w:rPr>
                <w:rFonts w:cs="Courier New"/>
                <w:vertAlign w:val="superscript"/>
              </w:rPr>
              <w:instrText xml:space="preserve"> \* MERGEFORMAT </w:instrText>
            </w:r>
            <w:r w:rsidR="00761FD4" w:rsidRPr="009C1B3E">
              <w:rPr>
                <w:rFonts w:cs="Courier New"/>
                <w:vertAlign w:val="superscript"/>
              </w:rPr>
            </w:r>
            <w:r w:rsidR="00761FD4" w:rsidRPr="009C1B3E">
              <w:rPr>
                <w:rFonts w:cs="Courier New"/>
                <w:vertAlign w:val="superscript"/>
              </w:rPr>
              <w:fldChar w:fldCharType="separate"/>
            </w:r>
            <w:r w:rsidR="000B42CB">
              <w:rPr>
                <w:rFonts w:cs="Courier New"/>
                <w:vertAlign w:val="superscript"/>
              </w:rPr>
              <w:t>26</w:t>
            </w:r>
            <w:r w:rsidR="00761FD4" w:rsidRPr="009C1B3E">
              <w:rPr>
                <w:rFonts w:cs="Courier New"/>
                <w:vertAlign w:val="superscript"/>
              </w:rPr>
              <w:fldChar w:fldCharType="end"/>
            </w:r>
            <w:bookmarkStart w:id="64" w:name="_Ref216340456"/>
            <w:r w:rsidR="00855B49">
              <w:rPr>
                <w:rFonts w:cs="Courier New"/>
                <w:vertAlign w:val="superscript"/>
              </w:rPr>
              <w:t>,</w:t>
            </w:r>
            <w:bookmarkStart w:id="65" w:name="_Ref223617509"/>
            <w:r w:rsidR="00691552" w:rsidRPr="00D852DF">
              <w:rPr>
                <w:rStyle w:val="FootnoteReference"/>
                <w:rFonts w:cs="Courier New"/>
              </w:rPr>
              <w:footnoteReference w:id="33"/>
            </w:r>
            <w:bookmarkEnd w:id="64"/>
            <w:bookmarkEnd w:id="65"/>
            <w:r w:rsidR="00D852DF" w:rsidRPr="00D852DF">
              <w:rPr>
                <w:rFonts w:cs="Courier New"/>
                <w:vertAlign w:val="superscript"/>
              </w:rPr>
              <w:t>,</w:t>
            </w:r>
            <w:bookmarkStart w:id="66" w:name="_Ref216340458"/>
            <w:r w:rsidR="00691552" w:rsidRPr="00D852DF">
              <w:rPr>
                <w:rStyle w:val="FootnoteReference"/>
                <w:rFonts w:cs="Courier New"/>
              </w:rPr>
              <w:footnoteReference w:id="34"/>
            </w:r>
            <w:bookmarkEnd w:id="66"/>
            <w:r w:rsidR="00D852DF" w:rsidRPr="00D852DF">
              <w:rPr>
                <w:rFonts w:cs="Courier New"/>
                <w:vertAlign w:val="superscript"/>
              </w:rPr>
              <w:t>,</w:t>
            </w:r>
            <w:bookmarkStart w:id="67" w:name="_Ref216340460"/>
            <w:r w:rsidR="00C65496" w:rsidRPr="00D852DF">
              <w:rPr>
                <w:rStyle w:val="FootnoteReference"/>
                <w:rFonts w:cs="Courier New"/>
              </w:rPr>
              <w:footnoteReference w:id="35"/>
            </w:r>
            <w:bookmarkEnd w:id="67"/>
            <w:r w:rsidR="00D852DF" w:rsidRPr="00D852DF">
              <w:rPr>
                <w:rFonts w:cs="Courier New"/>
                <w:vertAlign w:val="superscript"/>
              </w:rPr>
              <w:t>,</w:t>
            </w:r>
            <w:bookmarkStart w:id="68" w:name="_Ref223617639"/>
            <w:r w:rsidR="00C65496" w:rsidRPr="00D852DF">
              <w:rPr>
                <w:rStyle w:val="FootnoteReference"/>
                <w:rFonts w:cs="Courier New"/>
              </w:rPr>
              <w:footnoteReference w:id="36"/>
            </w:r>
            <w:bookmarkEnd w:id="68"/>
          </w:p>
          <w:p w14:paraId="43B247B9" w14:textId="27F6D512" w:rsidR="004B24E3" w:rsidRPr="00316182" w:rsidRDefault="00C07451" w:rsidP="00D6573F">
            <w:pPr>
              <w:pStyle w:val="Tabletext0"/>
              <w:jc w:val="left"/>
            </w:pPr>
            <w:r>
              <w:t xml:space="preserve">The base case assumed </w:t>
            </w:r>
            <w:r w:rsidR="002D7A8C">
              <w:t xml:space="preserve">64% of identified </w:t>
            </w:r>
            <w:r w:rsidR="002D7A8C" w:rsidRPr="00076C3A">
              <w:rPr>
                <w:i/>
              </w:rPr>
              <w:t>POLE</w:t>
            </w:r>
            <w:r w:rsidR="002D7A8C">
              <w:t xml:space="preserve">mut cases </w:t>
            </w:r>
            <w:r w:rsidR="00A07585">
              <w:t xml:space="preserve">would undergo </w:t>
            </w:r>
            <w:r w:rsidR="00465D81">
              <w:t xml:space="preserve">treatment </w:t>
            </w:r>
            <w:r w:rsidR="00B06E71">
              <w:t xml:space="preserve">de-escalation </w:t>
            </w:r>
            <w:r w:rsidR="00B06E71" w:rsidRPr="00D21935">
              <w:t>based on the ESGO-ESTRO-ESP 2025 guideli</w:t>
            </w:r>
            <w:r w:rsidR="00B06E71">
              <w:t xml:space="preserve">nes and </w:t>
            </w:r>
            <w:r w:rsidR="00AB491E">
              <w:t>noting</w:t>
            </w:r>
            <w:r w:rsidR="0059124C">
              <w:t xml:space="preserve"> a recent</w:t>
            </w:r>
            <w:r w:rsidR="004B24E3">
              <w:t xml:space="preserve"> conference abstract report</w:t>
            </w:r>
            <w:r w:rsidR="0059124C">
              <w:t xml:space="preserve"> </w:t>
            </w:r>
            <w:r w:rsidR="000B7DC8">
              <w:rPr>
                <w:rStyle w:val="FootnoteReference"/>
              </w:rPr>
              <w:footnoteReference w:id="37"/>
            </w:r>
            <w:r w:rsidR="004B24E3">
              <w:t>.</w:t>
            </w:r>
          </w:p>
        </w:tc>
      </w:tr>
      <w:tr w:rsidR="00520993" w:rsidRPr="000449D1" w14:paraId="0619B77B" w14:textId="65D0CC25" w:rsidTr="000B3C60">
        <w:tc>
          <w:tcPr>
            <w:tcW w:w="1177" w:type="pct"/>
          </w:tcPr>
          <w:p w14:paraId="3B8D14D8" w14:textId="77777777" w:rsidR="00C05700" w:rsidRPr="000449D1" w:rsidRDefault="00C05700" w:rsidP="00D6573F">
            <w:pPr>
              <w:pStyle w:val="Tabletext0"/>
              <w:jc w:val="left"/>
            </w:pPr>
            <w:r w:rsidRPr="000449D1">
              <w:lastRenderedPageBreak/>
              <w:t>Discount rate</w:t>
            </w:r>
          </w:p>
        </w:tc>
        <w:tc>
          <w:tcPr>
            <w:tcW w:w="3823" w:type="pct"/>
          </w:tcPr>
          <w:p w14:paraId="2E657A83" w14:textId="0154908D" w:rsidR="00C05700" w:rsidRPr="000449D1" w:rsidRDefault="00F83979" w:rsidP="00D6573F">
            <w:pPr>
              <w:pStyle w:val="Tabletext0"/>
              <w:jc w:val="left"/>
            </w:pPr>
            <w:r>
              <w:rPr>
                <w:rFonts w:cs="Courier New"/>
              </w:rPr>
              <w:t>5% per annum for costs and effects</w:t>
            </w:r>
          </w:p>
        </w:tc>
      </w:tr>
      <w:tr w:rsidR="00520993" w:rsidRPr="000449D1" w14:paraId="507E6356" w14:textId="7BFC4306" w:rsidTr="000B3C60">
        <w:tc>
          <w:tcPr>
            <w:tcW w:w="1177" w:type="pct"/>
          </w:tcPr>
          <w:p w14:paraId="23A08C87" w14:textId="77777777" w:rsidR="00C05700" w:rsidRPr="000449D1" w:rsidRDefault="00C05700" w:rsidP="00D6573F">
            <w:pPr>
              <w:pStyle w:val="Tabletext0"/>
              <w:jc w:val="left"/>
            </w:pPr>
            <w:r w:rsidRPr="000449D1">
              <w:t>Software</w:t>
            </w:r>
          </w:p>
        </w:tc>
        <w:tc>
          <w:tcPr>
            <w:tcW w:w="3823" w:type="pct"/>
          </w:tcPr>
          <w:p w14:paraId="613BDC46" w14:textId="031A125D" w:rsidR="00C05700" w:rsidRPr="000449D1" w:rsidRDefault="00D3417B" w:rsidP="00D6573F">
            <w:pPr>
              <w:pStyle w:val="Tabletext0"/>
              <w:jc w:val="left"/>
            </w:pPr>
            <w:r w:rsidRPr="000449D1">
              <w:rPr>
                <w:rFonts w:cs="Courier New"/>
              </w:rPr>
              <w:t>Tree Age</w:t>
            </w:r>
            <w:r w:rsidR="00C05700" w:rsidRPr="000449D1">
              <w:t xml:space="preserve"> Pro</w:t>
            </w:r>
            <w:r>
              <w:rPr>
                <w:rFonts w:cs="Courier New"/>
              </w:rPr>
              <w:t xml:space="preserve"> 2023</w:t>
            </w:r>
          </w:p>
        </w:tc>
      </w:tr>
    </w:tbl>
    <w:p w14:paraId="4B4236AC" w14:textId="6E7CEC25" w:rsidR="00587639" w:rsidRDefault="007C5D4F" w:rsidP="00D87235">
      <w:pPr>
        <w:pStyle w:val="Tablefooter0"/>
        <w:keepNext/>
      </w:pPr>
      <w:bookmarkStart w:id="69" w:name="_Hlk68276459"/>
      <w:bookmarkEnd w:id="61"/>
      <w:r>
        <w:t xml:space="preserve">Abbreviations: CEA = cost-effectiveness analysis; </w:t>
      </w:r>
      <w:r w:rsidR="00F83979">
        <w:t>CUA = cost-utility analysis;</w:t>
      </w:r>
      <w:r w:rsidRPr="00585797">
        <w:t xml:space="preserve"> ESGO = European Society of Gynaecological Oncology; ESP = European Society of Pathology; ESTRO = European Society for Radiotherapy and Oncology; </w:t>
      </w:r>
      <w:r>
        <w:t xml:space="preserve">FIGO = </w:t>
      </w:r>
      <w:r w:rsidRPr="00911136">
        <w:t>International Federation of Gynecology and Obstetrics</w:t>
      </w:r>
      <w:r>
        <w:t xml:space="preserve">; NA = </w:t>
      </w:r>
      <w:r w:rsidRPr="00911136">
        <w:t>not applicable</w:t>
      </w:r>
      <w:r>
        <w:t xml:space="preserve">; NGOR = National Gynae-Oncology Registry; NGS = </w:t>
      </w:r>
      <w:r w:rsidRPr="00911136">
        <w:t>next generation sequencing</w:t>
      </w:r>
      <w:r>
        <w:t xml:space="preserve">; </w:t>
      </w:r>
      <w:r w:rsidRPr="00572E78">
        <w:rPr>
          <w:i/>
        </w:rPr>
        <w:t>POLE</w:t>
      </w:r>
      <w:r>
        <w:t xml:space="preserve"> = DNA </w:t>
      </w:r>
      <w:r w:rsidRPr="00790507">
        <w:t>polymerase epsilon</w:t>
      </w:r>
      <w:r w:rsidR="007260AC">
        <w:t>, catalytic subunit</w:t>
      </w:r>
      <w:r>
        <w:t xml:space="preserve">; </w:t>
      </w:r>
      <w:r w:rsidRPr="00845BB6">
        <w:rPr>
          <w:i/>
        </w:rPr>
        <w:t>POLE</w:t>
      </w:r>
      <w:r w:rsidRPr="00911136">
        <w:t>mut</w:t>
      </w:r>
      <w:r>
        <w:t xml:space="preserve"> = </w:t>
      </w:r>
      <w:r w:rsidRPr="00F126EC">
        <w:t>DNA polymerase epsilon</w:t>
      </w:r>
      <w:r w:rsidR="007260AC">
        <w:t>, catalytic subunit</w:t>
      </w:r>
      <w:r w:rsidRPr="00F126EC">
        <w:t xml:space="preserve"> mutation</w:t>
      </w:r>
      <w:r w:rsidR="00F83979">
        <w:t>; QALY = quality-adjusted life year</w:t>
      </w:r>
      <w:r>
        <w:t>.</w:t>
      </w:r>
    </w:p>
    <w:bookmarkEnd w:id="69"/>
    <w:p w14:paraId="34D9FB88" w14:textId="1495D5CA" w:rsidR="00670A72" w:rsidRPr="003251C2" w:rsidRDefault="00670A72" w:rsidP="001F51B0">
      <w:r>
        <w:t>A</w:t>
      </w:r>
      <w:r w:rsidRPr="0022528B">
        <w:t xml:space="preserve"> </w:t>
      </w:r>
      <w:r w:rsidRPr="003251C2">
        <w:t xml:space="preserve">stepped analysis </w:t>
      </w:r>
      <w:r>
        <w:t xml:space="preserve">was performed </w:t>
      </w:r>
      <w:r w:rsidRPr="003251C2">
        <w:t>for the base</w:t>
      </w:r>
      <w:r>
        <w:t>-</w:t>
      </w:r>
      <w:r w:rsidRPr="003251C2">
        <w:t>case economic evaluation</w:t>
      </w:r>
      <w:r>
        <w:t xml:space="preserve"> </w:t>
      </w:r>
      <w:r w:rsidR="0042491C">
        <w:t>(</w:t>
      </w:r>
      <w:r w:rsidR="00E57F16">
        <w:fldChar w:fldCharType="begin"/>
      </w:r>
      <w:r w:rsidR="00E57F16">
        <w:instrText xml:space="preserve"> REF _Ref213153083 \h </w:instrText>
      </w:r>
      <w:r w:rsidR="00E57F16">
        <w:fldChar w:fldCharType="separate"/>
      </w:r>
      <w:r w:rsidR="000B42CB" w:rsidRPr="00CE28E3">
        <w:t>Table</w:t>
      </w:r>
      <w:r w:rsidR="000B42CB">
        <w:t xml:space="preserve"> </w:t>
      </w:r>
      <w:r w:rsidR="000B42CB">
        <w:rPr>
          <w:noProof/>
        </w:rPr>
        <w:t>10</w:t>
      </w:r>
      <w:r w:rsidR="00E57F16">
        <w:fldChar w:fldCharType="end"/>
      </w:r>
      <w:r w:rsidR="0042491C">
        <w:t>)</w:t>
      </w:r>
      <w:r>
        <w:t xml:space="preserve">. </w:t>
      </w:r>
    </w:p>
    <w:p w14:paraId="515FB3B3" w14:textId="55ED75C3" w:rsidR="00FC5603" w:rsidRPr="00CE28E3" w:rsidRDefault="00FC5603" w:rsidP="00A662DC">
      <w:pPr>
        <w:pStyle w:val="Caption"/>
      </w:pPr>
      <w:bookmarkStart w:id="70" w:name="Title_Table6"/>
      <w:bookmarkStart w:id="71" w:name="_Ref69725876"/>
      <w:bookmarkStart w:id="72" w:name="_Ref213153083"/>
      <w:bookmarkEnd w:id="70"/>
      <w:r w:rsidRPr="00CE28E3">
        <w:lastRenderedPageBreak/>
        <w:t>Table</w:t>
      </w:r>
      <w:r w:rsidR="00E57F16">
        <w:t xml:space="preserve"> </w:t>
      </w:r>
      <w:r>
        <w:fldChar w:fldCharType="begin"/>
      </w:r>
      <w:r>
        <w:instrText>SEQ Table \* ARABIC</w:instrText>
      </w:r>
      <w:r>
        <w:fldChar w:fldCharType="separate"/>
      </w:r>
      <w:r w:rsidR="00996E6E">
        <w:rPr>
          <w:noProof/>
        </w:rPr>
        <w:t>10</w:t>
      </w:r>
      <w:r>
        <w:fldChar w:fldCharType="end"/>
      </w:r>
      <w:bookmarkEnd w:id="71"/>
      <w:bookmarkEnd w:id="72"/>
      <w:r w:rsidRPr="00CE28E3">
        <w:t xml:space="preserve"> Results of stepped economic analysis</w:t>
      </w:r>
      <w:r w:rsidR="00667FBD">
        <w:t xml:space="preserve"> (using </w:t>
      </w:r>
      <w:r w:rsidR="00AD24FB">
        <w:t xml:space="preserve">the </w:t>
      </w:r>
      <w:r w:rsidR="001B251E">
        <w:t xml:space="preserve">applicant’s </w:t>
      </w:r>
      <w:r w:rsidR="00AA1546">
        <w:t xml:space="preserve">higher </w:t>
      </w:r>
      <w:r w:rsidR="00AD24FB">
        <w:t>proposed</w:t>
      </w:r>
      <w:r w:rsidR="00AD24FB" w:rsidRPr="00AD24FB">
        <w:t xml:space="preserve"> fee</w:t>
      </w:r>
      <w:r w:rsidR="00AD24FB">
        <w:t xml:space="preserve"> of $497.</w:t>
      </w:r>
      <w:r w:rsidR="00C07916">
        <w:t>13</w:t>
      </w:r>
      <w:r w:rsidR="00A248DD">
        <w:t xml:space="preserve"> excluding the m</w:t>
      </w:r>
      <w:r w:rsidR="00A248DD" w:rsidRPr="00A248DD">
        <w:t>argin of error</w:t>
      </w:r>
      <w:r w:rsidR="001B251E">
        <w:t>)</w:t>
      </w:r>
      <w:r w:rsidR="00C07916">
        <w:t xml:space="preserve"> </w:t>
      </w:r>
      <w:r w:rsidR="00AD24FB">
        <w:t xml:space="preserve"> </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sults of the stepped economic analyses"/>
      </w:tblPr>
      <w:tblGrid>
        <w:gridCol w:w="2972"/>
        <w:gridCol w:w="1134"/>
        <w:gridCol w:w="1134"/>
        <w:gridCol w:w="2126"/>
        <w:gridCol w:w="1650"/>
      </w:tblGrid>
      <w:tr w:rsidR="004D650D" w:rsidRPr="00CE28E3" w14:paraId="498F309F" w14:textId="77777777" w:rsidTr="2908E4A8">
        <w:trPr>
          <w:cnfStyle w:val="100000000000" w:firstRow="1" w:lastRow="0" w:firstColumn="0" w:lastColumn="0" w:oddVBand="0" w:evenVBand="0" w:oddHBand="0" w:evenHBand="0" w:firstRowFirstColumn="0" w:firstRowLastColumn="0" w:lastRowFirstColumn="0" w:lastRowLastColumn="0"/>
          <w:cantSplit/>
          <w:trHeight w:val="300"/>
          <w:tblHeader/>
        </w:trPr>
        <w:tc>
          <w:tcPr>
            <w:tcW w:w="1648" w:type="pct"/>
            <w:shd w:val="clear" w:color="auto" w:fill="F2F2F2" w:themeFill="background1" w:themeFillShade="F2"/>
            <w:noWrap/>
            <w:hideMark/>
          </w:tcPr>
          <w:p w14:paraId="601E6D06" w14:textId="7430F1C1" w:rsidR="00A662DC" w:rsidRPr="00CE28E3" w:rsidRDefault="00A662DC" w:rsidP="00E44D5D">
            <w:pPr>
              <w:pStyle w:val="Tableheading1"/>
              <w:jc w:val="left"/>
            </w:pPr>
            <w:bookmarkStart w:id="73" w:name="Title_Table7" w:colFirst="0" w:colLast="0"/>
            <w:bookmarkStart w:id="74" w:name="_Hlk68276562"/>
            <w:r w:rsidRPr="00A662DC">
              <w:t>Step</w:t>
            </w:r>
          </w:p>
        </w:tc>
        <w:tc>
          <w:tcPr>
            <w:tcW w:w="629" w:type="pct"/>
            <w:shd w:val="clear" w:color="auto" w:fill="F2F2F2" w:themeFill="background1" w:themeFillShade="F2"/>
            <w:noWrap/>
            <w:hideMark/>
          </w:tcPr>
          <w:p w14:paraId="0A496DB4" w14:textId="6BC22FB6" w:rsidR="00A662DC" w:rsidRPr="00CE28E3" w:rsidRDefault="00D15DC7" w:rsidP="00E44D5D">
            <w:pPr>
              <w:pStyle w:val="Tableheading1"/>
              <w:jc w:val="left"/>
            </w:pPr>
            <w:r w:rsidRPr="0022528B">
              <w:rPr>
                <w:i/>
              </w:rPr>
              <w:t>POLE</w:t>
            </w:r>
            <w:r>
              <w:t xml:space="preserve"> genotyping</w:t>
            </w:r>
          </w:p>
        </w:tc>
        <w:tc>
          <w:tcPr>
            <w:tcW w:w="629" w:type="pct"/>
            <w:shd w:val="clear" w:color="auto" w:fill="F2F2F2" w:themeFill="background1" w:themeFillShade="F2"/>
            <w:noWrap/>
            <w:hideMark/>
          </w:tcPr>
          <w:p w14:paraId="3E0242CB" w14:textId="6F0D2F7C" w:rsidR="00A662DC" w:rsidRPr="00CE28E3" w:rsidRDefault="00D15DC7" w:rsidP="00E44D5D">
            <w:pPr>
              <w:pStyle w:val="Tableheading1"/>
              <w:jc w:val="left"/>
            </w:pPr>
            <w:r w:rsidRPr="0022528B">
              <w:t xml:space="preserve">No </w:t>
            </w:r>
            <w:r w:rsidRPr="0022528B">
              <w:rPr>
                <w:i/>
              </w:rPr>
              <w:t>POLE</w:t>
            </w:r>
            <w:r>
              <w:t xml:space="preserve"> genotyping</w:t>
            </w:r>
          </w:p>
        </w:tc>
        <w:tc>
          <w:tcPr>
            <w:tcW w:w="1179" w:type="pct"/>
            <w:shd w:val="clear" w:color="auto" w:fill="F2F2F2" w:themeFill="background1" w:themeFillShade="F2"/>
            <w:noWrap/>
            <w:hideMark/>
          </w:tcPr>
          <w:p w14:paraId="77C94C9F" w14:textId="77777777" w:rsidR="00A662DC" w:rsidRPr="00CE28E3" w:rsidRDefault="00A662DC" w:rsidP="00E44D5D">
            <w:pPr>
              <w:pStyle w:val="Tableheading1"/>
              <w:jc w:val="left"/>
            </w:pPr>
            <w:r w:rsidRPr="009E23EC">
              <w:t>Increment</w:t>
            </w:r>
          </w:p>
        </w:tc>
        <w:tc>
          <w:tcPr>
            <w:tcW w:w="915" w:type="pct"/>
            <w:shd w:val="clear" w:color="auto" w:fill="F2F2F2" w:themeFill="background1" w:themeFillShade="F2"/>
          </w:tcPr>
          <w:p w14:paraId="008D58AA" w14:textId="176EC49D" w:rsidR="00A662DC" w:rsidRPr="00CE28E3" w:rsidRDefault="00B9042F" w:rsidP="00E44D5D">
            <w:pPr>
              <w:pStyle w:val="Tableheading1"/>
              <w:jc w:val="left"/>
            </w:pPr>
            <w:r w:rsidRPr="00CE28E3">
              <w:t>Incremental cost</w:t>
            </w:r>
            <w:r w:rsidR="00861A0D">
              <w:t>s</w:t>
            </w:r>
            <w:r w:rsidRPr="00CE28E3">
              <w:t xml:space="preserve"> per</w:t>
            </w:r>
            <w:r>
              <w:t xml:space="preserve"> effect</w:t>
            </w:r>
          </w:p>
        </w:tc>
      </w:tr>
      <w:tr w:rsidR="0048702D" w:rsidRPr="00CE28E3" w14:paraId="4DE457FD" w14:textId="77777777" w:rsidTr="2908E4A8">
        <w:trPr>
          <w:cantSplit/>
          <w:trHeight w:val="300"/>
        </w:trPr>
        <w:tc>
          <w:tcPr>
            <w:tcW w:w="5000" w:type="pct"/>
            <w:gridSpan w:val="5"/>
            <w:shd w:val="clear" w:color="auto" w:fill="D9D9D9" w:themeFill="background1" w:themeFillShade="D9"/>
            <w:noWrap/>
            <w:hideMark/>
          </w:tcPr>
          <w:p w14:paraId="670BE1DA" w14:textId="5E4F3F8C" w:rsidR="0048702D" w:rsidRPr="0048702D" w:rsidRDefault="0048702D">
            <w:pPr>
              <w:pStyle w:val="Tabletext0"/>
              <w:rPr>
                <w:b/>
              </w:rPr>
            </w:pPr>
            <w:r w:rsidRPr="0048702D">
              <w:rPr>
                <w:b/>
              </w:rPr>
              <w:t xml:space="preserve">Step 1 – Diagnostic accuracy </w:t>
            </w:r>
            <w:r w:rsidR="00CF3B0A">
              <w:rPr>
                <w:b/>
              </w:rPr>
              <w:t>(</w:t>
            </w:r>
            <w:r w:rsidRPr="0048702D">
              <w:rPr>
                <w:b/>
              </w:rPr>
              <w:t>assumed to be 100%</w:t>
            </w:r>
            <w:r w:rsidR="00CF3B0A">
              <w:rPr>
                <w:b/>
              </w:rPr>
              <w:t>)</w:t>
            </w:r>
            <w:r w:rsidRPr="0048702D">
              <w:rPr>
                <w:b/>
              </w:rPr>
              <w:t xml:space="preserve"> and test failure rate </w:t>
            </w:r>
            <w:r w:rsidR="00CF3B0A">
              <w:rPr>
                <w:b/>
              </w:rPr>
              <w:t>(</w:t>
            </w:r>
            <w:r w:rsidRPr="0048702D">
              <w:rPr>
                <w:b/>
              </w:rPr>
              <w:t xml:space="preserve">assumed to be </w:t>
            </w:r>
            <w:r w:rsidR="00C6480B">
              <w:rPr>
                <w:b/>
              </w:rPr>
              <w:t>4.95</w:t>
            </w:r>
            <w:r w:rsidRPr="0048702D">
              <w:rPr>
                <w:b/>
              </w:rPr>
              <w:t>%</w:t>
            </w:r>
            <w:r w:rsidR="00CF3B0A">
              <w:rPr>
                <w:b/>
              </w:rPr>
              <w:t>)</w:t>
            </w:r>
            <w:r w:rsidRPr="0048702D">
              <w:rPr>
                <w:b/>
              </w:rPr>
              <w:t xml:space="preserve"> applied to prevalence of </w:t>
            </w:r>
            <w:r w:rsidRPr="0048702D">
              <w:rPr>
                <w:b/>
                <w:i/>
              </w:rPr>
              <w:t>POLE</w:t>
            </w:r>
            <w:r w:rsidRPr="00861A0D">
              <w:rPr>
                <w:b/>
              </w:rPr>
              <w:t>mut</w:t>
            </w:r>
            <w:r w:rsidRPr="0048702D">
              <w:rPr>
                <w:b/>
              </w:rPr>
              <w:t xml:space="preserve"> in the eligible Australian population</w:t>
            </w:r>
          </w:p>
        </w:tc>
      </w:tr>
      <w:tr w:rsidR="0048702D" w:rsidRPr="00CE28E3" w14:paraId="1631B862" w14:textId="77777777" w:rsidTr="2908E4A8">
        <w:trPr>
          <w:cantSplit/>
          <w:trHeight w:val="300"/>
        </w:trPr>
        <w:tc>
          <w:tcPr>
            <w:tcW w:w="1648" w:type="pct"/>
            <w:noWrap/>
          </w:tcPr>
          <w:p w14:paraId="4C105F0C" w14:textId="51852B99" w:rsidR="0048702D" w:rsidRPr="00CE28E3" w:rsidRDefault="0048702D">
            <w:pPr>
              <w:pStyle w:val="Tabletext0"/>
            </w:pPr>
            <w:r>
              <w:t>Cost</w:t>
            </w:r>
          </w:p>
        </w:tc>
        <w:tc>
          <w:tcPr>
            <w:tcW w:w="629" w:type="pct"/>
            <w:noWrap/>
          </w:tcPr>
          <w:p w14:paraId="2B1B3CE8" w14:textId="77E93CE7" w:rsidR="0048702D" w:rsidRPr="00A93390" w:rsidRDefault="0048702D">
            <w:pPr>
              <w:pStyle w:val="Tabletext0"/>
              <w:rPr>
                <w:vertAlign w:val="superscript"/>
              </w:rPr>
            </w:pPr>
            <w:r>
              <w:t>$</w:t>
            </w:r>
            <w:r w:rsidRPr="001B0AE5">
              <w:t>497.13</w:t>
            </w:r>
          </w:p>
        </w:tc>
        <w:tc>
          <w:tcPr>
            <w:tcW w:w="629" w:type="pct"/>
            <w:noWrap/>
          </w:tcPr>
          <w:p w14:paraId="4EFC5930" w14:textId="77777777" w:rsidR="0048702D" w:rsidRPr="00CE28E3" w:rsidRDefault="0048702D">
            <w:pPr>
              <w:pStyle w:val="Tabletext0"/>
            </w:pPr>
            <w:r>
              <w:t>$0</w:t>
            </w:r>
          </w:p>
        </w:tc>
        <w:tc>
          <w:tcPr>
            <w:tcW w:w="1179" w:type="pct"/>
            <w:noWrap/>
          </w:tcPr>
          <w:p w14:paraId="41F65629" w14:textId="77777777" w:rsidR="0048702D" w:rsidRPr="00CE28E3" w:rsidRDefault="0048702D">
            <w:pPr>
              <w:pStyle w:val="Tabletext0"/>
            </w:pPr>
            <w:r>
              <w:t>$</w:t>
            </w:r>
            <w:r w:rsidRPr="001B0AE5">
              <w:t>497.13</w:t>
            </w:r>
          </w:p>
        </w:tc>
        <w:tc>
          <w:tcPr>
            <w:tcW w:w="915" w:type="pct"/>
            <w:vMerge w:val="restart"/>
          </w:tcPr>
          <w:p w14:paraId="225446ED" w14:textId="2145C63D" w:rsidR="0048702D" w:rsidRPr="00CE28E3" w:rsidRDefault="00FE73D5">
            <w:pPr>
              <w:pStyle w:val="Tabletext0"/>
            </w:pPr>
            <w:r>
              <w:t>$5,105.07</w:t>
            </w:r>
          </w:p>
        </w:tc>
      </w:tr>
      <w:tr w:rsidR="0048702D" w:rsidRPr="00CE28E3" w14:paraId="72317468" w14:textId="77777777" w:rsidTr="2908E4A8">
        <w:trPr>
          <w:cantSplit/>
          <w:trHeight w:val="300"/>
        </w:trPr>
        <w:tc>
          <w:tcPr>
            <w:tcW w:w="1648" w:type="pct"/>
            <w:noWrap/>
          </w:tcPr>
          <w:p w14:paraId="0C7B499E" w14:textId="77777777" w:rsidR="0048702D" w:rsidRDefault="0048702D">
            <w:pPr>
              <w:pStyle w:val="Tabletext0"/>
            </w:pPr>
            <w:r>
              <w:t>Total correct diagnoses</w:t>
            </w:r>
          </w:p>
        </w:tc>
        <w:tc>
          <w:tcPr>
            <w:tcW w:w="629" w:type="pct"/>
            <w:noWrap/>
          </w:tcPr>
          <w:p w14:paraId="70C3E6D8" w14:textId="0CD2C69D" w:rsidR="0048702D" w:rsidRPr="00CE28E3" w:rsidRDefault="004B6FA5">
            <w:pPr>
              <w:pStyle w:val="Tabletext0"/>
            </w:pPr>
            <w:r>
              <w:t>0.0974</w:t>
            </w:r>
          </w:p>
        </w:tc>
        <w:tc>
          <w:tcPr>
            <w:tcW w:w="629" w:type="pct"/>
            <w:noWrap/>
          </w:tcPr>
          <w:p w14:paraId="267BF25E" w14:textId="77777777" w:rsidR="0048702D" w:rsidRPr="00CE28E3" w:rsidRDefault="0048702D">
            <w:pPr>
              <w:pStyle w:val="Tabletext0"/>
            </w:pPr>
            <w:r>
              <w:t>0</w:t>
            </w:r>
          </w:p>
        </w:tc>
        <w:tc>
          <w:tcPr>
            <w:tcW w:w="1179" w:type="pct"/>
            <w:noWrap/>
          </w:tcPr>
          <w:p w14:paraId="7C0DCA66" w14:textId="0D1A2E35" w:rsidR="0048702D" w:rsidRPr="00CE28E3" w:rsidRDefault="004B6FA5">
            <w:pPr>
              <w:pStyle w:val="Tabletext0"/>
            </w:pPr>
            <w:r>
              <w:t>0.0974</w:t>
            </w:r>
          </w:p>
        </w:tc>
        <w:tc>
          <w:tcPr>
            <w:tcW w:w="915" w:type="pct"/>
            <w:vMerge/>
          </w:tcPr>
          <w:p w14:paraId="381AAB7C" w14:textId="280078AF" w:rsidR="0048702D" w:rsidRPr="00CE28E3" w:rsidRDefault="0048702D">
            <w:pPr>
              <w:pStyle w:val="Tabletext0"/>
            </w:pPr>
          </w:p>
        </w:tc>
      </w:tr>
      <w:tr w:rsidR="0048702D" w:rsidRPr="00CE28E3" w14:paraId="6A55E86D" w14:textId="77777777" w:rsidTr="2908E4A8">
        <w:trPr>
          <w:cantSplit/>
          <w:trHeight w:val="300"/>
        </w:trPr>
        <w:tc>
          <w:tcPr>
            <w:tcW w:w="5000" w:type="pct"/>
            <w:gridSpan w:val="5"/>
            <w:shd w:val="clear" w:color="auto" w:fill="D9D9D9" w:themeFill="background1" w:themeFillShade="D9"/>
            <w:noWrap/>
          </w:tcPr>
          <w:p w14:paraId="6E4BBB1B" w14:textId="0DFD2676" w:rsidR="0048702D" w:rsidRPr="0048702D" w:rsidRDefault="0048702D" w:rsidP="00B95965">
            <w:pPr>
              <w:pStyle w:val="Tabletext0"/>
              <w:keepNext/>
              <w:rPr>
                <w:b/>
              </w:rPr>
            </w:pPr>
            <w:r w:rsidRPr="0048702D">
              <w:rPr>
                <w:b/>
              </w:rPr>
              <w:t>Step 2 – Incorporation of change in clinical management</w:t>
            </w:r>
            <w:r w:rsidR="00A122D7">
              <w:rPr>
                <w:b/>
              </w:rPr>
              <w:t xml:space="preserve"> (</w:t>
            </w:r>
            <w:r w:rsidRPr="0048702D">
              <w:rPr>
                <w:b/>
              </w:rPr>
              <w:t xml:space="preserve">directed by </w:t>
            </w:r>
            <w:r w:rsidRPr="0048702D">
              <w:rPr>
                <w:b/>
                <w:i/>
              </w:rPr>
              <w:t>POLE</w:t>
            </w:r>
            <w:r w:rsidRPr="0048702D">
              <w:rPr>
                <w:b/>
              </w:rPr>
              <w:t xml:space="preserve"> test result</w:t>
            </w:r>
            <w:r w:rsidR="00A122D7">
              <w:rPr>
                <w:b/>
              </w:rPr>
              <w:t>)</w:t>
            </w:r>
          </w:p>
        </w:tc>
      </w:tr>
      <w:tr w:rsidR="0048702D" w:rsidRPr="00CE28E3" w14:paraId="499EB88B" w14:textId="77777777" w:rsidTr="2908E4A8">
        <w:trPr>
          <w:cantSplit/>
          <w:trHeight w:val="300"/>
        </w:trPr>
        <w:tc>
          <w:tcPr>
            <w:tcW w:w="1648" w:type="pct"/>
            <w:noWrap/>
          </w:tcPr>
          <w:p w14:paraId="7CC293E8" w14:textId="01B0C892" w:rsidR="0048702D" w:rsidRPr="00CE28E3" w:rsidRDefault="0048702D">
            <w:pPr>
              <w:pStyle w:val="Tabletext0"/>
            </w:pPr>
            <w:r>
              <w:t>Cost</w:t>
            </w:r>
          </w:p>
        </w:tc>
        <w:tc>
          <w:tcPr>
            <w:tcW w:w="629" w:type="pct"/>
            <w:noWrap/>
          </w:tcPr>
          <w:p w14:paraId="4FB12437" w14:textId="406B716F" w:rsidR="0048702D" w:rsidRPr="00CE28E3" w:rsidRDefault="004B6FA5">
            <w:pPr>
              <w:pStyle w:val="Tabletext0"/>
            </w:pPr>
            <w:r>
              <w:t>$11,052.47</w:t>
            </w:r>
          </w:p>
        </w:tc>
        <w:tc>
          <w:tcPr>
            <w:tcW w:w="629" w:type="pct"/>
            <w:noWrap/>
          </w:tcPr>
          <w:p w14:paraId="59C73269" w14:textId="74EB826B" w:rsidR="0048702D" w:rsidRPr="00CE28E3" w:rsidRDefault="004B6FA5">
            <w:pPr>
              <w:pStyle w:val="Tabletext0"/>
            </w:pPr>
            <w:r>
              <w:t>$11,190.77</w:t>
            </w:r>
          </w:p>
        </w:tc>
        <w:tc>
          <w:tcPr>
            <w:tcW w:w="1179" w:type="pct"/>
            <w:noWrap/>
          </w:tcPr>
          <w:p w14:paraId="49E5DD94" w14:textId="6A9C06B0" w:rsidR="0048702D" w:rsidRPr="00CE28E3" w:rsidRDefault="005453A7" w:rsidP="00F328BB">
            <w:pPr>
              <w:pStyle w:val="Tabletext0"/>
              <w:jc w:val="left"/>
            </w:pPr>
            <w:r>
              <w:t>−</w:t>
            </w:r>
            <w:r w:rsidR="004B6FA5">
              <w:t>$138.30</w:t>
            </w:r>
            <w:r w:rsidR="00A24CB9" w:rsidRPr="00A24CB9">
              <w:t xml:space="preserve"> </w:t>
            </w:r>
            <w:r w:rsidR="0048702D" w:rsidRPr="005D0F10">
              <w:t>(cost saving)</w:t>
            </w:r>
          </w:p>
        </w:tc>
        <w:tc>
          <w:tcPr>
            <w:tcW w:w="915" w:type="pct"/>
            <w:vMerge w:val="restart"/>
          </w:tcPr>
          <w:p w14:paraId="4F005496" w14:textId="418B585E" w:rsidR="0048702D" w:rsidRPr="00CE28E3" w:rsidRDefault="00382A52">
            <w:pPr>
              <w:pStyle w:val="Tabletext0"/>
            </w:pPr>
            <w:r>
              <w:t xml:space="preserve">Dominant </w:t>
            </w:r>
          </w:p>
          <w:p w14:paraId="12726523" w14:textId="405E7CE7" w:rsidR="0048702D" w:rsidRPr="00CE28E3" w:rsidRDefault="00382A52">
            <w:pPr>
              <w:pStyle w:val="Tabletext0"/>
            </w:pPr>
            <w:r>
              <w:t>(−</w:t>
            </w:r>
            <w:r w:rsidR="10E8A3D2">
              <w:t>$2,219.35</w:t>
            </w:r>
            <w:r>
              <w:t>)</w:t>
            </w:r>
          </w:p>
        </w:tc>
      </w:tr>
      <w:tr w:rsidR="0048702D" w:rsidRPr="00CE28E3" w14:paraId="1B77B40E" w14:textId="77777777" w:rsidTr="2908E4A8">
        <w:trPr>
          <w:cantSplit/>
          <w:trHeight w:val="300"/>
        </w:trPr>
        <w:tc>
          <w:tcPr>
            <w:tcW w:w="1648" w:type="pct"/>
            <w:noWrap/>
          </w:tcPr>
          <w:p w14:paraId="691A9B9D" w14:textId="77777777" w:rsidR="0048702D" w:rsidRDefault="0048702D">
            <w:pPr>
              <w:pStyle w:val="Tabletext0"/>
            </w:pPr>
            <w:r>
              <w:t>Appropriate management allocation</w:t>
            </w:r>
          </w:p>
        </w:tc>
        <w:tc>
          <w:tcPr>
            <w:tcW w:w="629" w:type="pct"/>
            <w:noWrap/>
          </w:tcPr>
          <w:p w14:paraId="3CD0BE30" w14:textId="04BD4363" w:rsidR="0048702D" w:rsidRDefault="004566BE">
            <w:pPr>
              <w:pStyle w:val="Tabletext0"/>
            </w:pPr>
            <w:r w:rsidRPr="004566BE">
              <w:t>0.0623</w:t>
            </w:r>
          </w:p>
        </w:tc>
        <w:tc>
          <w:tcPr>
            <w:tcW w:w="629" w:type="pct"/>
            <w:noWrap/>
          </w:tcPr>
          <w:p w14:paraId="2F1CFD59" w14:textId="77777777" w:rsidR="0048702D" w:rsidRDefault="0048702D">
            <w:pPr>
              <w:pStyle w:val="Tabletext0"/>
            </w:pPr>
            <w:r w:rsidRPr="004F2B8E">
              <w:t>0</w:t>
            </w:r>
          </w:p>
        </w:tc>
        <w:tc>
          <w:tcPr>
            <w:tcW w:w="1179" w:type="pct"/>
            <w:noWrap/>
          </w:tcPr>
          <w:p w14:paraId="063004DF" w14:textId="6BCEDF50" w:rsidR="0048702D" w:rsidRDefault="004566BE">
            <w:pPr>
              <w:pStyle w:val="Tabletext0"/>
            </w:pPr>
            <w:r w:rsidRPr="004566BE">
              <w:t>0.0623</w:t>
            </w:r>
          </w:p>
        </w:tc>
        <w:tc>
          <w:tcPr>
            <w:tcW w:w="915" w:type="pct"/>
            <w:vMerge/>
          </w:tcPr>
          <w:p w14:paraId="7B3781B3" w14:textId="5D82559B" w:rsidR="0048702D" w:rsidRPr="00CE28E3" w:rsidRDefault="0048702D">
            <w:pPr>
              <w:pStyle w:val="Tabletext0"/>
            </w:pPr>
          </w:p>
        </w:tc>
      </w:tr>
      <w:tr w:rsidR="009B693F" w:rsidRPr="00CE28E3" w14:paraId="1341EBC4" w14:textId="77777777" w:rsidTr="2908E4A8">
        <w:trPr>
          <w:cantSplit/>
          <w:trHeight w:val="300"/>
        </w:trPr>
        <w:tc>
          <w:tcPr>
            <w:tcW w:w="5000" w:type="pct"/>
            <w:gridSpan w:val="5"/>
            <w:noWrap/>
          </w:tcPr>
          <w:p w14:paraId="7C3EE0C5" w14:textId="56F1DC43" w:rsidR="009B693F" w:rsidRDefault="009B693F" w:rsidP="007972FD">
            <w:pPr>
              <w:pStyle w:val="Tabletext0"/>
              <w:keepNext/>
            </w:pPr>
            <w:r w:rsidRPr="007972FD">
              <w:rPr>
                <w:b/>
                <w:bCs/>
              </w:rPr>
              <w:t>Step 3 – Extrapolation over a 5-year time horizon</w:t>
            </w:r>
          </w:p>
        </w:tc>
      </w:tr>
      <w:tr w:rsidR="00382A52" w:rsidRPr="00CE28E3" w14:paraId="028D8FAC" w14:textId="77777777" w:rsidTr="2908E4A8">
        <w:trPr>
          <w:cantSplit/>
          <w:trHeight w:val="300"/>
        </w:trPr>
        <w:tc>
          <w:tcPr>
            <w:tcW w:w="1648" w:type="pct"/>
            <w:noWrap/>
          </w:tcPr>
          <w:p w14:paraId="574FF639" w14:textId="52EC1CF0" w:rsidR="00382A52" w:rsidRDefault="00382A52">
            <w:pPr>
              <w:pStyle w:val="Tabletext0"/>
            </w:pPr>
            <w:r>
              <w:t>Cost</w:t>
            </w:r>
          </w:p>
        </w:tc>
        <w:tc>
          <w:tcPr>
            <w:tcW w:w="629" w:type="pct"/>
            <w:noWrap/>
          </w:tcPr>
          <w:p w14:paraId="31A5C82B" w14:textId="55B78BEA" w:rsidR="00382A52" w:rsidRPr="004F2B8E" w:rsidRDefault="00382A52">
            <w:pPr>
              <w:pStyle w:val="Tabletext0"/>
            </w:pPr>
            <w:r>
              <w:t>NE</w:t>
            </w:r>
            <w:r w:rsidR="00CC38F6" w:rsidRPr="00C10C68">
              <w:rPr>
                <w:vertAlign w:val="superscript"/>
              </w:rPr>
              <w:t>a</w:t>
            </w:r>
          </w:p>
        </w:tc>
        <w:tc>
          <w:tcPr>
            <w:tcW w:w="629" w:type="pct"/>
            <w:noWrap/>
          </w:tcPr>
          <w:p w14:paraId="3FFCDCD5" w14:textId="4D94E7B2" w:rsidR="00382A52" w:rsidRPr="004F2B8E" w:rsidRDefault="00CC38F6">
            <w:pPr>
              <w:pStyle w:val="Tabletext0"/>
            </w:pPr>
            <w:r>
              <w:t>NE</w:t>
            </w:r>
            <w:r w:rsidRPr="00B759F2">
              <w:rPr>
                <w:vertAlign w:val="superscript"/>
              </w:rPr>
              <w:t>a</w:t>
            </w:r>
          </w:p>
        </w:tc>
        <w:tc>
          <w:tcPr>
            <w:tcW w:w="1179" w:type="pct"/>
            <w:noWrap/>
          </w:tcPr>
          <w:p w14:paraId="62B0AE98" w14:textId="7A5A02A9" w:rsidR="00382A52" w:rsidRPr="004F2B8E" w:rsidRDefault="000C3F59">
            <w:pPr>
              <w:pStyle w:val="Tabletext0"/>
            </w:pPr>
            <w:r>
              <w:t>−</w:t>
            </w:r>
            <w:r w:rsidR="004B6FA5">
              <w:t>$138.30</w:t>
            </w:r>
            <w:r w:rsidR="00382A52">
              <w:t xml:space="preserve"> (cost saving)</w:t>
            </w:r>
          </w:p>
        </w:tc>
        <w:tc>
          <w:tcPr>
            <w:tcW w:w="915" w:type="pct"/>
            <w:vMerge w:val="restart"/>
          </w:tcPr>
          <w:p w14:paraId="2F26E78B" w14:textId="335BB62D" w:rsidR="00382A52" w:rsidRDefault="00382A52">
            <w:pPr>
              <w:pStyle w:val="Tabletext0"/>
            </w:pPr>
            <w:r>
              <w:t>NA</w:t>
            </w:r>
          </w:p>
        </w:tc>
      </w:tr>
      <w:tr w:rsidR="00382A52" w:rsidRPr="00CE28E3" w14:paraId="359B27B4" w14:textId="77777777" w:rsidTr="2908E4A8">
        <w:trPr>
          <w:cantSplit/>
          <w:trHeight w:val="300"/>
        </w:trPr>
        <w:tc>
          <w:tcPr>
            <w:tcW w:w="1648" w:type="pct"/>
            <w:noWrap/>
          </w:tcPr>
          <w:p w14:paraId="61E08F3A" w14:textId="0B26A106" w:rsidR="00382A52" w:rsidRDefault="00382A52">
            <w:pPr>
              <w:pStyle w:val="Tabletext0"/>
            </w:pPr>
            <w:r>
              <w:t>Life years gained</w:t>
            </w:r>
          </w:p>
        </w:tc>
        <w:tc>
          <w:tcPr>
            <w:tcW w:w="629" w:type="pct"/>
            <w:noWrap/>
          </w:tcPr>
          <w:p w14:paraId="7EE394D5" w14:textId="4C3B0961" w:rsidR="00382A52" w:rsidRPr="004F2B8E" w:rsidRDefault="00CC38F6">
            <w:pPr>
              <w:pStyle w:val="Tabletext0"/>
            </w:pPr>
            <w:r>
              <w:t>NE</w:t>
            </w:r>
            <w:r w:rsidRPr="00B759F2">
              <w:rPr>
                <w:vertAlign w:val="superscript"/>
              </w:rPr>
              <w:t>a</w:t>
            </w:r>
          </w:p>
        </w:tc>
        <w:tc>
          <w:tcPr>
            <w:tcW w:w="629" w:type="pct"/>
            <w:noWrap/>
          </w:tcPr>
          <w:p w14:paraId="7BD1BDBD" w14:textId="7D04EA66" w:rsidR="00382A52" w:rsidRPr="004F2B8E" w:rsidRDefault="00CC38F6">
            <w:pPr>
              <w:pStyle w:val="Tabletext0"/>
            </w:pPr>
            <w:r>
              <w:t>NE</w:t>
            </w:r>
            <w:r w:rsidRPr="00B759F2">
              <w:rPr>
                <w:vertAlign w:val="superscript"/>
              </w:rPr>
              <w:t>a</w:t>
            </w:r>
          </w:p>
        </w:tc>
        <w:tc>
          <w:tcPr>
            <w:tcW w:w="1179" w:type="pct"/>
            <w:noWrap/>
          </w:tcPr>
          <w:p w14:paraId="3869005C" w14:textId="78D58855" w:rsidR="00382A52" w:rsidRPr="004F2B8E" w:rsidRDefault="00382A52">
            <w:pPr>
              <w:pStyle w:val="Tabletext0"/>
            </w:pPr>
            <w:r>
              <w:t>0.000</w:t>
            </w:r>
          </w:p>
        </w:tc>
        <w:tc>
          <w:tcPr>
            <w:tcW w:w="915" w:type="pct"/>
            <w:vMerge/>
          </w:tcPr>
          <w:p w14:paraId="2F3F9746" w14:textId="5C1E991C" w:rsidR="00382A52" w:rsidRDefault="00382A52">
            <w:pPr>
              <w:pStyle w:val="Tabletext0"/>
            </w:pPr>
          </w:p>
        </w:tc>
      </w:tr>
      <w:tr w:rsidR="009B693F" w:rsidRPr="00CE28E3" w14:paraId="2CE63A31" w14:textId="77777777" w:rsidTr="2908E4A8">
        <w:trPr>
          <w:cantSplit/>
          <w:trHeight w:val="300"/>
        </w:trPr>
        <w:tc>
          <w:tcPr>
            <w:tcW w:w="5000" w:type="pct"/>
            <w:gridSpan w:val="5"/>
            <w:noWrap/>
          </w:tcPr>
          <w:p w14:paraId="382635AF" w14:textId="1CF928C3" w:rsidR="009B693F" w:rsidRDefault="009B693F" w:rsidP="007972FD">
            <w:pPr>
              <w:pStyle w:val="Tabletext0"/>
              <w:keepNext/>
            </w:pPr>
            <w:r w:rsidRPr="007972FD">
              <w:rPr>
                <w:b/>
                <w:bCs/>
              </w:rPr>
              <w:t>Step 4 – Translation to QALY outcomes</w:t>
            </w:r>
          </w:p>
        </w:tc>
      </w:tr>
      <w:tr w:rsidR="00F4533C" w:rsidRPr="00CE28E3" w14:paraId="417C9972" w14:textId="77777777" w:rsidTr="2908E4A8">
        <w:trPr>
          <w:cantSplit/>
          <w:trHeight w:val="300"/>
        </w:trPr>
        <w:tc>
          <w:tcPr>
            <w:tcW w:w="1648" w:type="pct"/>
            <w:noWrap/>
          </w:tcPr>
          <w:p w14:paraId="0385935D" w14:textId="6E3530D4" w:rsidR="00F4533C" w:rsidRDefault="00F4533C" w:rsidP="00382A52">
            <w:pPr>
              <w:pStyle w:val="Tabletext0"/>
            </w:pPr>
            <w:r>
              <w:t>Cost</w:t>
            </w:r>
          </w:p>
        </w:tc>
        <w:tc>
          <w:tcPr>
            <w:tcW w:w="629" w:type="pct"/>
            <w:noWrap/>
          </w:tcPr>
          <w:p w14:paraId="36731ABF" w14:textId="2016E69F" w:rsidR="00F4533C" w:rsidRPr="004F2B8E" w:rsidRDefault="00CC38F6" w:rsidP="00382A52">
            <w:pPr>
              <w:pStyle w:val="Tabletext0"/>
            </w:pPr>
            <w:r>
              <w:t>NE</w:t>
            </w:r>
            <w:r w:rsidRPr="00B759F2">
              <w:rPr>
                <w:vertAlign w:val="superscript"/>
              </w:rPr>
              <w:t>a</w:t>
            </w:r>
          </w:p>
        </w:tc>
        <w:tc>
          <w:tcPr>
            <w:tcW w:w="629" w:type="pct"/>
            <w:noWrap/>
          </w:tcPr>
          <w:p w14:paraId="78D5E18F" w14:textId="7E0D680C" w:rsidR="00F4533C" w:rsidRPr="004F2B8E" w:rsidRDefault="00CC38F6" w:rsidP="00382A52">
            <w:pPr>
              <w:pStyle w:val="Tabletext0"/>
            </w:pPr>
            <w:r>
              <w:t>NE</w:t>
            </w:r>
            <w:r w:rsidRPr="00B759F2">
              <w:rPr>
                <w:vertAlign w:val="superscript"/>
              </w:rPr>
              <w:t>a</w:t>
            </w:r>
          </w:p>
        </w:tc>
        <w:tc>
          <w:tcPr>
            <w:tcW w:w="1179" w:type="pct"/>
            <w:noWrap/>
          </w:tcPr>
          <w:p w14:paraId="403B126D" w14:textId="6A24FE4F" w:rsidR="00F4533C" w:rsidRPr="004F2B8E" w:rsidRDefault="00320A35" w:rsidP="00382A52">
            <w:pPr>
              <w:pStyle w:val="Tabletext0"/>
            </w:pPr>
            <w:r>
              <w:t>−</w:t>
            </w:r>
            <w:r w:rsidR="004B6FA5">
              <w:t>$138.30</w:t>
            </w:r>
            <w:r w:rsidR="00F4533C">
              <w:t xml:space="preserve"> (cost saving)</w:t>
            </w:r>
          </w:p>
        </w:tc>
        <w:tc>
          <w:tcPr>
            <w:tcW w:w="915" w:type="pct"/>
            <w:vMerge w:val="restart"/>
          </w:tcPr>
          <w:p w14:paraId="353EB398" w14:textId="1DD20D15" w:rsidR="00F4533C" w:rsidRPr="00F4533C" w:rsidRDefault="00F4533C" w:rsidP="00382A52">
            <w:pPr>
              <w:pStyle w:val="Tabletext0"/>
            </w:pPr>
            <w:r>
              <w:rPr>
                <w:i/>
                <w:iCs/>
              </w:rPr>
              <w:t xml:space="preserve">POLE </w:t>
            </w:r>
            <w:r>
              <w:t>genotyping dominant</w:t>
            </w:r>
          </w:p>
        </w:tc>
      </w:tr>
      <w:tr w:rsidR="00F4533C" w:rsidRPr="00CE28E3" w14:paraId="7467E654" w14:textId="77777777" w:rsidTr="2908E4A8">
        <w:trPr>
          <w:cantSplit/>
          <w:trHeight w:val="300"/>
        </w:trPr>
        <w:tc>
          <w:tcPr>
            <w:tcW w:w="1648" w:type="pct"/>
            <w:noWrap/>
          </w:tcPr>
          <w:p w14:paraId="307C79E4" w14:textId="36036EE2" w:rsidR="00F4533C" w:rsidRDefault="00F4533C" w:rsidP="00382A52">
            <w:pPr>
              <w:pStyle w:val="Tabletext0"/>
            </w:pPr>
            <w:r>
              <w:t>QALYs gained</w:t>
            </w:r>
          </w:p>
        </w:tc>
        <w:tc>
          <w:tcPr>
            <w:tcW w:w="629" w:type="pct"/>
            <w:noWrap/>
          </w:tcPr>
          <w:p w14:paraId="325CFD3A" w14:textId="6378A35C" w:rsidR="00F4533C" w:rsidRPr="004F2B8E" w:rsidRDefault="00CC38F6" w:rsidP="00382A52">
            <w:pPr>
              <w:pStyle w:val="Tabletext0"/>
            </w:pPr>
            <w:r>
              <w:t>NE</w:t>
            </w:r>
            <w:r w:rsidRPr="00B759F2">
              <w:rPr>
                <w:vertAlign w:val="superscript"/>
              </w:rPr>
              <w:t>a</w:t>
            </w:r>
          </w:p>
        </w:tc>
        <w:tc>
          <w:tcPr>
            <w:tcW w:w="629" w:type="pct"/>
            <w:noWrap/>
          </w:tcPr>
          <w:p w14:paraId="346B70A7" w14:textId="3796A196" w:rsidR="00F4533C" w:rsidRPr="004F2B8E" w:rsidRDefault="00CC38F6" w:rsidP="00382A52">
            <w:pPr>
              <w:pStyle w:val="Tabletext0"/>
            </w:pPr>
            <w:r>
              <w:t>NE</w:t>
            </w:r>
            <w:r w:rsidRPr="00B759F2">
              <w:rPr>
                <w:vertAlign w:val="superscript"/>
              </w:rPr>
              <w:t>a</w:t>
            </w:r>
          </w:p>
        </w:tc>
        <w:tc>
          <w:tcPr>
            <w:tcW w:w="1179" w:type="pct"/>
            <w:noWrap/>
          </w:tcPr>
          <w:p w14:paraId="18CD78F2" w14:textId="4A03AD2E" w:rsidR="00F4533C" w:rsidRPr="004F2B8E" w:rsidRDefault="00F4533C" w:rsidP="00382A52">
            <w:pPr>
              <w:pStyle w:val="Tabletext0"/>
            </w:pPr>
            <w:r>
              <w:t>0.0</w:t>
            </w:r>
            <w:r w:rsidR="00F617C2">
              <w:t>10</w:t>
            </w:r>
          </w:p>
        </w:tc>
        <w:tc>
          <w:tcPr>
            <w:tcW w:w="915" w:type="pct"/>
            <w:vMerge/>
          </w:tcPr>
          <w:p w14:paraId="1DA59593" w14:textId="77777777" w:rsidR="00F4533C" w:rsidRDefault="00F4533C" w:rsidP="00382A52">
            <w:pPr>
              <w:pStyle w:val="Tabletext0"/>
            </w:pPr>
          </w:p>
        </w:tc>
      </w:tr>
    </w:tbl>
    <w:bookmarkEnd w:id="73"/>
    <w:p w14:paraId="59F9E1F0" w14:textId="1728127E" w:rsidR="00472437" w:rsidRDefault="00472437" w:rsidP="00472437">
      <w:pPr>
        <w:pStyle w:val="Tablefooter0"/>
      </w:pPr>
      <w:r w:rsidRPr="005A11A6">
        <w:rPr>
          <w:rFonts w:eastAsia="Calibri"/>
        </w:rPr>
        <w:t xml:space="preserve">Abbreviations: </w:t>
      </w:r>
      <w:r w:rsidRPr="00312F4B">
        <w:rPr>
          <w:rFonts w:eastAsia="Calibri"/>
          <w:i/>
        </w:rPr>
        <w:t>POLE</w:t>
      </w:r>
      <w:r w:rsidRPr="005A11A6">
        <w:rPr>
          <w:rFonts w:eastAsia="Calibri"/>
        </w:rPr>
        <w:t xml:space="preserve"> = DNA polymerase epsilon</w:t>
      </w:r>
      <w:r w:rsidR="007260AC">
        <w:rPr>
          <w:rFonts w:eastAsia="Calibri"/>
        </w:rPr>
        <w:t>, catalytic subunit</w:t>
      </w:r>
      <w:r>
        <w:rPr>
          <w:rFonts w:eastAsia="Calibri"/>
        </w:rPr>
        <w:t xml:space="preserve">; </w:t>
      </w:r>
      <w:r w:rsidR="00964188">
        <w:rPr>
          <w:rFonts w:eastAsia="Calibri"/>
        </w:rPr>
        <w:t>NA = not applicable;</w:t>
      </w:r>
      <w:r w:rsidR="00382A52">
        <w:rPr>
          <w:rFonts w:eastAsia="Calibri"/>
        </w:rPr>
        <w:t xml:space="preserve"> NE = not estimated;</w:t>
      </w:r>
      <w:r w:rsidR="00964188">
        <w:rPr>
          <w:rFonts w:eastAsia="Calibri"/>
        </w:rPr>
        <w:t xml:space="preserve"> </w:t>
      </w:r>
      <w:r w:rsidRPr="00312F4B">
        <w:rPr>
          <w:i/>
        </w:rPr>
        <w:t>POLE</w:t>
      </w:r>
      <w:r w:rsidRPr="00312F4B">
        <w:t>mut</w:t>
      </w:r>
      <w:r>
        <w:t xml:space="preserve"> = </w:t>
      </w:r>
      <w:r w:rsidR="00FE28F7" w:rsidRPr="00FE28F7">
        <w:t>DNA polymerase epsilon</w:t>
      </w:r>
      <w:r w:rsidR="007260AC">
        <w:t>, catalytic subunit</w:t>
      </w:r>
      <w:r w:rsidR="00FE28F7" w:rsidRPr="00FE28F7">
        <w:t xml:space="preserve"> mutation</w:t>
      </w:r>
      <w:r w:rsidR="009B693F">
        <w:t>; QALY = quality-adjusted life year</w:t>
      </w:r>
      <w:r>
        <w:t>.</w:t>
      </w:r>
    </w:p>
    <w:p w14:paraId="7E17F5F4" w14:textId="523F36EA" w:rsidR="0020028F" w:rsidRDefault="0020028F" w:rsidP="00472437">
      <w:pPr>
        <w:pStyle w:val="Tablefooter0"/>
      </w:pPr>
      <w:r>
        <w:t>Notes:</w:t>
      </w:r>
    </w:p>
    <w:p w14:paraId="20AE400F" w14:textId="51015858" w:rsidR="0020028F" w:rsidRPr="00C52C4A" w:rsidRDefault="0020028F" w:rsidP="00472437">
      <w:pPr>
        <w:pStyle w:val="Tablefooter0"/>
      </w:pPr>
      <w:r w:rsidRPr="00C10C68">
        <w:rPr>
          <w:vertAlign w:val="superscript"/>
        </w:rPr>
        <w:t>a</w:t>
      </w:r>
      <w:r>
        <w:t xml:space="preserve"> Costs and effects associated with various adjuvant therapy alternatives were </w:t>
      </w:r>
      <w:r w:rsidR="0096419B">
        <w:t xml:space="preserve">quantified only among patients with </w:t>
      </w:r>
      <w:r w:rsidR="0096419B">
        <w:rPr>
          <w:i/>
          <w:iCs/>
        </w:rPr>
        <w:t>POLE</w:t>
      </w:r>
      <w:r w:rsidR="0096419B">
        <w:t>mut EC, to facilitate estimation of the incremental costs and effects associated with treatment de-escalation</w:t>
      </w:r>
      <w:r w:rsidR="00C52C4A">
        <w:t xml:space="preserve"> for patients with </w:t>
      </w:r>
      <w:r w:rsidR="00C52C4A">
        <w:rPr>
          <w:i/>
          <w:iCs/>
        </w:rPr>
        <w:t>POLE</w:t>
      </w:r>
      <w:r w:rsidR="00C52C4A">
        <w:t>mut EC. The overall costs and effects across the</w:t>
      </w:r>
      <w:r w:rsidR="004805E0">
        <w:t xml:space="preserve"> general </w:t>
      </w:r>
      <w:r w:rsidR="00C52C4A">
        <w:t xml:space="preserve">EC </w:t>
      </w:r>
      <w:r w:rsidR="004805E0">
        <w:t xml:space="preserve">test population were not extrapolated over the 5-year period. </w:t>
      </w:r>
      <w:r w:rsidR="00B4519F">
        <w:t>Incremental</w:t>
      </w:r>
      <w:r w:rsidR="00D65D45">
        <w:t xml:space="preserve"> treatment and progression-related</w:t>
      </w:r>
      <w:r w:rsidR="00B4519F">
        <w:t xml:space="preserve"> costs and incremental</w:t>
      </w:r>
      <w:r w:rsidR="00D65D45">
        <w:t xml:space="preserve"> </w:t>
      </w:r>
      <w:r w:rsidR="00841FB1">
        <w:t xml:space="preserve">effects attributable to </w:t>
      </w:r>
      <w:r w:rsidR="00841FB1">
        <w:rPr>
          <w:i/>
          <w:iCs/>
        </w:rPr>
        <w:t xml:space="preserve">POLE </w:t>
      </w:r>
      <w:r w:rsidR="00841FB1">
        <w:t>genotyping</w:t>
      </w:r>
      <w:r w:rsidR="00D65D45">
        <w:t xml:space="preserve"> for patients without</w:t>
      </w:r>
      <w:r w:rsidR="00CE6E48">
        <w:t xml:space="preserve"> a </w:t>
      </w:r>
      <w:r w:rsidR="00CE6E48">
        <w:rPr>
          <w:i/>
          <w:iCs/>
        </w:rPr>
        <w:t>POLE</w:t>
      </w:r>
      <w:r w:rsidR="00CE6E48">
        <w:t>mut</w:t>
      </w:r>
      <w:r w:rsidR="00841FB1">
        <w:t xml:space="preserve"> </w:t>
      </w:r>
      <w:r w:rsidR="006A4CAC">
        <w:t>were</w:t>
      </w:r>
      <w:r w:rsidR="00841FB1">
        <w:t xml:space="preserve"> assumed to be zero</w:t>
      </w:r>
      <w:r w:rsidR="00CE6E48">
        <w:t xml:space="preserve">. The only incremental cost incurred by </w:t>
      </w:r>
      <w:r w:rsidR="006A4CAC">
        <w:t>these patients</w:t>
      </w:r>
      <w:r w:rsidR="00CE6E48">
        <w:t xml:space="preserve"> is the cost of NGS.</w:t>
      </w:r>
    </w:p>
    <w:p w14:paraId="20CB88F9" w14:textId="4C0BBF5F" w:rsidR="00B13818" w:rsidRPr="0049525E" w:rsidRDefault="00B13818" w:rsidP="004E6115">
      <w:r>
        <w:t xml:space="preserve">Overall, </w:t>
      </w:r>
      <w:r w:rsidR="00877C35">
        <w:t>using the requested fee of $</w:t>
      </w:r>
      <w:r w:rsidR="00877C35" w:rsidRPr="001B0AE5">
        <w:t>497.13</w:t>
      </w:r>
      <w:r w:rsidR="00877C35">
        <w:t xml:space="preserve">, </w:t>
      </w:r>
      <w:r>
        <w:t xml:space="preserve">the model predicted that </w:t>
      </w:r>
      <w:r w:rsidR="00044263">
        <w:t>9.74%</w:t>
      </w:r>
      <w:r>
        <w:t xml:space="preserve"> of EC patients would be identified as </w:t>
      </w:r>
      <w:r>
        <w:rPr>
          <w:i/>
          <w:iCs/>
        </w:rPr>
        <w:t>POLE</w:t>
      </w:r>
      <w:r>
        <w:t xml:space="preserve">mut, with an estimated incremental cost of </w:t>
      </w:r>
      <w:r w:rsidR="00FE73D5">
        <w:t>$5,105.07</w:t>
      </w:r>
      <w:r w:rsidR="0049525E">
        <w:t xml:space="preserve"> per </w:t>
      </w:r>
      <w:r w:rsidR="0049525E">
        <w:rPr>
          <w:i/>
          <w:iCs/>
        </w:rPr>
        <w:t>POLE</w:t>
      </w:r>
      <w:r w:rsidR="0049525E">
        <w:t>mut case identified. This ICER value (cost per measure of diagnostic yield) falls within the range of similar ICERs for other germline genetic tests supported by MSAC (see committee-in-confidence sections for comparisons).</w:t>
      </w:r>
    </w:p>
    <w:p w14:paraId="32B026AA" w14:textId="0EACF105" w:rsidR="004E6115" w:rsidRPr="003251C2" w:rsidRDefault="00D33D56" w:rsidP="004E6115">
      <w:r>
        <w:t>When the model was extended to incorporate change in management outcomes, t</w:t>
      </w:r>
      <w:r w:rsidR="004E6115">
        <w:t xml:space="preserve">he proposed intervention </w:t>
      </w:r>
      <w:r w:rsidR="00E51793">
        <w:t>(</w:t>
      </w:r>
      <w:r w:rsidR="00076C3A" w:rsidRPr="00076C3A">
        <w:rPr>
          <w:i/>
        </w:rPr>
        <w:t>POLE</w:t>
      </w:r>
      <w:r w:rsidR="00E51793">
        <w:t xml:space="preserve"> genotyping)</w:t>
      </w:r>
      <w:r w:rsidR="004E6115">
        <w:t xml:space="preserve"> </w:t>
      </w:r>
      <w:r>
        <w:t xml:space="preserve">became dominant over </w:t>
      </w:r>
      <w:r w:rsidR="004E6115">
        <w:t>the comparator</w:t>
      </w:r>
      <w:r w:rsidR="005C10F1">
        <w:t xml:space="preserve"> </w:t>
      </w:r>
      <w:r w:rsidR="00CE4986">
        <w:t>(i.e. less costly and more effective)</w:t>
      </w:r>
      <w:r w:rsidR="004E6115">
        <w:t xml:space="preserve">. Compared with no </w:t>
      </w:r>
      <w:r w:rsidR="004E6115" w:rsidRPr="005A11A6">
        <w:rPr>
          <w:i/>
        </w:rPr>
        <w:t>POLE</w:t>
      </w:r>
      <w:r w:rsidR="004E6115">
        <w:t xml:space="preserve"> genotyping, </w:t>
      </w:r>
      <w:r w:rsidR="004E6115" w:rsidRPr="005A11A6">
        <w:rPr>
          <w:i/>
        </w:rPr>
        <w:t>POLE</w:t>
      </w:r>
      <w:r w:rsidR="004E6115">
        <w:t xml:space="preserve"> genotyping was associated with fewer costs and more effectiveness (</w:t>
      </w:r>
      <w:bookmarkEnd w:id="74"/>
      <w:r w:rsidR="003571C2" w:rsidRPr="00F834DD">
        <w:fldChar w:fldCharType="begin"/>
      </w:r>
      <w:r w:rsidR="003571C2" w:rsidRPr="00C10C68">
        <w:rPr>
          <w:caps/>
        </w:rPr>
        <w:instrText xml:space="preserve"> REF _Ref69726284 \h </w:instrText>
      </w:r>
      <w:r w:rsidR="00F834DD" w:rsidRPr="00C10C68">
        <w:rPr>
          <w:caps/>
        </w:rPr>
        <w:instrText xml:space="preserve"> \* MERGEFORMAT </w:instrText>
      </w:r>
      <w:r w:rsidR="003571C2" w:rsidRPr="00F834DD">
        <w:fldChar w:fldCharType="separate"/>
      </w:r>
      <w:r w:rsidR="000B42CB" w:rsidRPr="00CE28E3">
        <w:t>Table</w:t>
      </w:r>
      <w:r w:rsidR="000B42CB">
        <w:t> 11</w:t>
      </w:r>
      <w:r w:rsidR="003571C2" w:rsidRPr="00F834DD">
        <w:fldChar w:fldCharType="end"/>
      </w:r>
      <w:r w:rsidR="00A354D2">
        <w:t xml:space="preserve"> and </w:t>
      </w:r>
      <w:r w:rsidR="00A354D2">
        <w:fldChar w:fldCharType="begin"/>
      </w:r>
      <w:r w:rsidR="00A354D2">
        <w:instrText xml:space="preserve"> REF _Ref69726321 \h </w:instrText>
      </w:r>
      <w:r w:rsidR="00A354D2">
        <w:fldChar w:fldCharType="separate"/>
      </w:r>
      <w:r w:rsidR="000B42CB" w:rsidRPr="00CE28E3">
        <w:t>Table</w:t>
      </w:r>
      <w:r w:rsidR="000B42CB">
        <w:t> </w:t>
      </w:r>
      <w:r w:rsidR="000B42CB">
        <w:rPr>
          <w:noProof/>
        </w:rPr>
        <w:t>13</w:t>
      </w:r>
      <w:r w:rsidR="00A354D2">
        <w:fldChar w:fldCharType="end"/>
      </w:r>
      <w:r w:rsidR="004E6115">
        <w:t xml:space="preserve">). Approximately </w:t>
      </w:r>
      <w:r w:rsidR="00044263">
        <w:t>6.23%</w:t>
      </w:r>
      <w:r w:rsidR="004E6115">
        <w:t xml:space="preserve"> of EC patients </w:t>
      </w:r>
      <w:r w:rsidR="00C06117">
        <w:t>were</w:t>
      </w:r>
      <w:r w:rsidR="004E6115">
        <w:t xml:space="preserve"> estimated to undergo </w:t>
      </w:r>
      <w:r w:rsidR="00302373">
        <w:t xml:space="preserve">adjuvant </w:t>
      </w:r>
      <w:r w:rsidR="004E6115" w:rsidRPr="005A11A6">
        <w:t>treatment de-escalation</w:t>
      </w:r>
      <w:r w:rsidR="007E2C10">
        <w:t xml:space="preserve">, with </w:t>
      </w:r>
      <w:r w:rsidR="00FA1971" w:rsidRPr="00FA1971">
        <w:t xml:space="preserve">an average total cost saving of </w:t>
      </w:r>
      <w:r w:rsidR="004B6FA5">
        <w:t>$138.30</w:t>
      </w:r>
      <w:r w:rsidR="00FA1971" w:rsidRPr="00FA1971">
        <w:t xml:space="preserve"> per patient tested</w:t>
      </w:r>
      <w:r w:rsidR="007E2C10">
        <w:t>.</w:t>
      </w:r>
      <w:r w:rsidR="00013D67">
        <w:t xml:space="preserve"> </w:t>
      </w:r>
      <w:r w:rsidR="00BA703D">
        <w:t>E</w:t>
      </w:r>
      <w:r w:rsidR="00013D67">
        <w:t xml:space="preserve">xploratory cost-utility modelling estimated </w:t>
      </w:r>
      <w:r w:rsidR="00013D67" w:rsidRPr="00C94093">
        <w:rPr>
          <w:i/>
          <w:iCs/>
        </w:rPr>
        <w:t>POLE</w:t>
      </w:r>
      <w:r w:rsidR="00013D67">
        <w:t xml:space="preserve"> genotyping to be associated with an incremental </w:t>
      </w:r>
      <w:r w:rsidR="00BA703D">
        <w:t>0.0</w:t>
      </w:r>
      <w:r w:rsidR="00BC66EF">
        <w:t>10</w:t>
      </w:r>
      <w:r w:rsidR="00BA703D">
        <w:t xml:space="preserve"> </w:t>
      </w:r>
      <w:r w:rsidR="00013D67">
        <w:t xml:space="preserve">QALYs gained </w:t>
      </w:r>
      <w:r w:rsidR="00BA703D">
        <w:t xml:space="preserve">compared to no </w:t>
      </w:r>
      <w:r w:rsidR="00BA703D">
        <w:rPr>
          <w:i/>
          <w:iCs/>
        </w:rPr>
        <w:t xml:space="preserve">POLE </w:t>
      </w:r>
      <w:r w:rsidR="00BA703D">
        <w:t>genotyping</w:t>
      </w:r>
      <w:r w:rsidR="004F334F">
        <w:t xml:space="preserve"> over a 5-year time horizon</w:t>
      </w:r>
      <w:r w:rsidR="00162A7F">
        <w:t xml:space="preserve"> for the overall EC test population</w:t>
      </w:r>
      <w:r w:rsidR="00013D67">
        <w:t>, though this figure is highly uncertain</w:t>
      </w:r>
      <w:r w:rsidR="004F334F">
        <w:t xml:space="preserve"> and may fall anywhere between 0.00</w:t>
      </w:r>
      <w:r w:rsidR="00BC66EF">
        <w:t>05</w:t>
      </w:r>
      <w:r w:rsidR="004F334F">
        <w:t>–0.0</w:t>
      </w:r>
      <w:r w:rsidR="00BC66EF">
        <w:t>21</w:t>
      </w:r>
      <w:r w:rsidR="004F334F">
        <w:t xml:space="preserve"> QALYs</w:t>
      </w:r>
      <w:r w:rsidR="00013D67">
        <w:t>.</w:t>
      </w:r>
    </w:p>
    <w:p w14:paraId="1B770181" w14:textId="6333F61A" w:rsidR="002F32FB" w:rsidRPr="00CE28E3" w:rsidRDefault="002F32FB" w:rsidP="00135FC9">
      <w:pPr>
        <w:pStyle w:val="Caption"/>
      </w:pPr>
      <w:bookmarkStart w:id="75" w:name="_Ref69726284"/>
      <w:r w:rsidRPr="00CE28E3">
        <w:lastRenderedPageBreak/>
        <w:t>Table</w:t>
      </w:r>
      <w:r w:rsidR="003571C2">
        <w:t> </w:t>
      </w:r>
      <w:r>
        <w:fldChar w:fldCharType="begin"/>
      </w:r>
      <w:r>
        <w:instrText>SEQ Table \* ARABIC</w:instrText>
      </w:r>
      <w:r>
        <w:fldChar w:fldCharType="separate"/>
      </w:r>
      <w:r w:rsidR="00996E6E">
        <w:rPr>
          <w:noProof/>
        </w:rPr>
        <w:t>11</w:t>
      </w:r>
      <w:r>
        <w:fldChar w:fldCharType="end"/>
      </w:r>
      <w:bookmarkEnd w:id="75"/>
      <w:r w:rsidR="00F10919">
        <w:t xml:space="preserve"> </w:t>
      </w:r>
      <w:r w:rsidRPr="00CE28E3">
        <w:t xml:space="preserve">Results of </w:t>
      </w:r>
      <w:r w:rsidR="00ED2B88">
        <w:t>cost-effectiveness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78"/>
        <w:gridCol w:w="2277"/>
        <w:gridCol w:w="2277"/>
        <w:gridCol w:w="2184"/>
      </w:tblGrid>
      <w:tr w:rsidR="00786F73" w:rsidRPr="00CE28E3" w14:paraId="7816DDEA" w14:textId="77777777" w:rsidTr="00B95965">
        <w:trPr>
          <w:cantSplit/>
          <w:tblHeader/>
        </w:trPr>
        <w:tc>
          <w:tcPr>
            <w:tcW w:w="1263" w:type="pct"/>
            <w:shd w:val="clear" w:color="auto" w:fill="F2F2F2" w:themeFill="background1" w:themeFillShade="F2"/>
          </w:tcPr>
          <w:p w14:paraId="1D1CE4C1" w14:textId="51092B44" w:rsidR="00406A8E" w:rsidRPr="00CE28E3" w:rsidRDefault="00406A8E" w:rsidP="00E44D5D">
            <w:pPr>
              <w:pStyle w:val="Tableheading1"/>
              <w:jc w:val="left"/>
            </w:pPr>
            <w:bookmarkStart w:id="76" w:name="_Hlk68276600"/>
            <w:r>
              <w:t>Parameter</w:t>
            </w:r>
          </w:p>
        </w:tc>
        <w:tc>
          <w:tcPr>
            <w:tcW w:w="1263" w:type="pct"/>
            <w:shd w:val="clear" w:color="auto" w:fill="F2F2F2" w:themeFill="background1" w:themeFillShade="F2"/>
          </w:tcPr>
          <w:p w14:paraId="78808292" w14:textId="53FCAB0A" w:rsidR="00406A8E" w:rsidRPr="00CE28E3" w:rsidRDefault="00406A8E" w:rsidP="00E44D5D">
            <w:pPr>
              <w:pStyle w:val="Tableheading1"/>
              <w:jc w:val="center"/>
            </w:pPr>
            <w:r w:rsidRPr="0022528B">
              <w:rPr>
                <w:i/>
              </w:rPr>
              <w:t>POLE</w:t>
            </w:r>
            <w:r>
              <w:t xml:space="preserve"> genotyping</w:t>
            </w:r>
          </w:p>
        </w:tc>
        <w:tc>
          <w:tcPr>
            <w:tcW w:w="1263" w:type="pct"/>
            <w:shd w:val="clear" w:color="auto" w:fill="F2F2F2" w:themeFill="background1" w:themeFillShade="F2"/>
          </w:tcPr>
          <w:p w14:paraId="751E1FA9" w14:textId="4FCA2FDA" w:rsidR="00406A8E" w:rsidRPr="00CE28E3" w:rsidRDefault="00406A8E" w:rsidP="00E44D5D">
            <w:pPr>
              <w:pStyle w:val="Tableheading1"/>
              <w:jc w:val="center"/>
            </w:pPr>
            <w:r w:rsidRPr="0022528B">
              <w:t xml:space="preserve">No </w:t>
            </w:r>
            <w:r w:rsidRPr="0022528B">
              <w:rPr>
                <w:i/>
              </w:rPr>
              <w:t>POLE</w:t>
            </w:r>
            <w:r>
              <w:t xml:space="preserve"> genotyping</w:t>
            </w:r>
          </w:p>
        </w:tc>
        <w:tc>
          <w:tcPr>
            <w:tcW w:w="1211" w:type="pct"/>
            <w:shd w:val="clear" w:color="auto" w:fill="F2F2F2" w:themeFill="background1" w:themeFillShade="F2"/>
            <w:vAlign w:val="center"/>
          </w:tcPr>
          <w:p w14:paraId="1FB183B8" w14:textId="77777777" w:rsidR="00406A8E" w:rsidRPr="00CE28E3" w:rsidRDefault="00406A8E" w:rsidP="00E44D5D">
            <w:pPr>
              <w:pStyle w:val="Tableheading1"/>
              <w:jc w:val="center"/>
            </w:pPr>
            <w:r w:rsidRPr="00CE28E3">
              <w:t>Increment</w:t>
            </w:r>
          </w:p>
        </w:tc>
      </w:tr>
      <w:tr w:rsidR="00786F73" w:rsidRPr="00CE28E3" w14:paraId="5E95C993" w14:textId="77777777">
        <w:trPr>
          <w:cantSplit/>
        </w:trPr>
        <w:tc>
          <w:tcPr>
            <w:tcW w:w="1263" w:type="pct"/>
          </w:tcPr>
          <w:p w14:paraId="204C636E" w14:textId="1DF79A8D" w:rsidR="00406A8E" w:rsidRPr="00CE28E3" w:rsidRDefault="00406A8E">
            <w:pPr>
              <w:pStyle w:val="TableText"/>
              <w:keepNext/>
            </w:pPr>
            <w:r w:rsidRPr="00C43539">
              <w:t>Diagnostic cost</w:t>
            </w:r>
          </w:p>
        </w:tc>
        <w:tc>
          <w:tcPr>
            <w:tcW w:w="1263" w:type="pct"/>
          </w:tcPr>
          <w:p w14:paraId="2D8F2B89" w14:textId="77777777" w:rsidR="00406A8E" w:rsidRPr="00CE28E3" w:rsidRDefault="00406A8E">
            <w:pPr>
              <w:pStyle w:val="TableText"/>
              <w:keepNext/>
              <w:jc w:val="center"/>
            </w:pPr>
            <w:r w:rsidRPr="006B05FF">
              <w:t>$497.13</w:t>
            </w:r>
          </w:p>
        </w:tc>
        <w:tc>
          <w:tcPr>
            <w:tcW w:w="1263" w:type="pct"/>
          </w:tcPr>
          <w:p w14:paraId="6885DF90" w14:textId="77777777" w:rsidR="00406A8E" w:rsidRPr="00CE28E3" w:rsidRDefault="00406A8E">
            <w:pPr>
              <w:pStyle w:val="TableText"/>
              <w:keepNext/>
              <w:jc w:val="center"/>
            </w:pPr>
            <w:r w:rsidRPr="006B05FF">
              <w:t>$0</w:t>
            </w:r>
          </w:p>
        </w:tc>
        <w:tc>
          <w:tcPr>
            <w:tcW w:w="1211" w:type="pct"/>
          </w:tcPr>
          <w:p w14:paraId="72DE8B60" w14:textId="77777777" w:rsidR="00406A8E" w:rsidRPr="00CE28E3" w:rsidRDefault="00406A8E">
            <w:pPr>
              <w:pStyle w:val="TableText"/>
              <w:keepNext/>
              <w:jc w:val="center"/>
            </w:pPr>
            <w:r w:rsidRPr="006B05FF">
              <w:t>$497.13</w:t>
            </w:r>
          </w:p>
        </w:tc>
      </w:tr>
      <w:tr w:rsidR="00786F73" w:rsidRPr="00CE28E3" w14:paraId="43205AFC" w14:textId="77777777">
        <w:trPr>
          <w:cantSplit/>
        </w:trPr>
        <w:tc>
          <w:tcPr>
            <w:tcW w:w="1263" w:type="pct"/>
          </w:tcPr>
          <w:p w14:paraId="3362F53A" w14:textId="51D5E69B" w:rsidR="00406A8E" w:rsidRPr="00CE28E3" w:rsidRDefault="00406A8E">
            <w:pPr>
              <w:pStyle w:val="TableText"/>
              <w:keepNext/>
            </w:pPr>
            <w:r w:rsidRPr="00C43539">
              <w:t>Total cost</w:t>
            </w:r>
          </w:p>
        </w:tc>
        <w:tc>
          <w:tcPr>
            <w:tcW w:w="1263" w:type="pct"/>
          </w:tcPr>
          <w:p w14:paraId="76669054" w14:textId="7665526D" w:rsidR="00406A8E" w:rsidRPr="00F834DD" w:rsidRDefault="004B6FA5">
            <w:pPr>
              <w:pStyle w:val="TableText"/>
              <w:keepNext/>
              <w:jc w:val="center"/>
            </w:pPr>
            <w:r>
              <w:t>$11,052.47</w:t>
            </w:r>
          </w:p>
        </w:tc>
        <w:tc>
          <w:tcPr>
            <w:tcW w:w="1263" w:type="pct"/>
          </w:tcPr>
          <w:p w14:paraId="57BBD3AF" w14:textId="416BE314" w:rsidR="00406A8E" w:rsidRPr="00F834DD" w:rsidRDefault="004B6FA5">
            <w:pPr>
              <w:pStyle w:val="TableText"/>
              <w:keepNext/>
              <w:jc w:val="center"/>
            </w:pPr>
            <w:r>
              <w:t>$11,190.77</w:t>
            </w:r>
          </w:p>
        </w:tc>
        <w:tc>
          <w:tcPr>
            <w:tcW w:w="1211" w:type="pct"/>
          </w:tcPr>
          <w:p w14:paraId="5BB4D370" w14:textId="2A8E9668" w:rsidR="00406A8E" w:rsidRPr="00F834DD" w:rsidRDefault="00390D9E">
            <w:pPr>
              <w:pStyle w:val="TableText"/>
              <w:keepNext/>
              <w:jc w:val="center"/>
            </w:pPr>
            <w:r>
              <w:t>−</w:t>
            </w:r>
            <w:r w:rsidR="004B6FA5">
              <w:t>$138.30</w:t>
            </w:r>
          </w:p>
        </w:tc>
      </w:tr>
      <w:tr w:rsidR="00786F73" w:rsidRPr="00CE28E3" w14:paraId="5E14102F" w14:textId="77777777">
        <w:trPr>
          <w:cantSplit/>
        </w:trPr>
        <w:tc>
          <w:tcPr>
            <w:tcW w:w="1263" w:type="pct"/>
          </w:tcPr>
          <w:p w14:paraId="4B4F5395" w14:textId="77777777" w:rsidR="00406A8E" w:rsidRPr="00CE28E3" w:rsidRDefault="00406A8E">
            <w:pPr>
              <w:pStyle w:val="TableText"/>
              <w:keepNext/>
            </w:pPr>
            <w:r w:rsidRPr="00B46CF1">
              <w:t>Diagnosis</w:t>
            </w:r>
          </w:p>
        </w:tc>
        <w:tc>
          <w:tcPr>
            <w:tcW w:w="1263" w:type="pct"/>
          </w:tcPr>
          <w:p w14:paraId="3D465365" w14:textId="3B2CD69E" w:rsidR="00406A8E" w:rsidRPr="00CE28E3" w:rsidRDefault="004B6FA5">
            <w:pPr>
              <w:pStyle w:val="TableText"/>
              <w:keepNext/>
              <w:jc w:val="center"/>
            </w:pPr>
            <w:r>
              <w:t>0.0974</w:t>
            </w:r>
          </w:p>
        </w:tc>
        <w:tc>
          <w:tcPr>
            <w:tcW w:w="1263" w:type="pct"/>
          </w:tcPr>
          <w:p w14:paraId="4DFA227B" w14:textId="77777777" w:rsidR="00406A8E" w:rsidRPr="00CE28E3" w:rsidRDefault="00406A8E">
            <w:pPr>
              <w:pStyle w:val="TableText"/>
              <w:keepNext/>
              <w:jc w:val="center"/>
            </w:pPr>
            <w:r w:rsidRPr="00AE043F">
              <w:t>0</w:t>
            </w:r>
          </w:p>
        </w:tc>
        <w:tc>
          <w:tcPr>
            <w:tcW w:w="1211" w:type="pct"/>
          </w:tcPr>
          <w:p w14:paraId="1009ABE4" w14:textId="42324623" w:rsidR="00406A8E" w:rsidRPr="00CE28E3" w:rsidRDefault="004B6FA5">
            <w:pPr>
              <w:pStyle w:val="TableText"/>
              <w:keepNext/>
              <w:jc w:val="center"/>
            </w:pPr>
            <w:r>
              <w:t>0.0974</w:t>
            </w:r>
          </w:p>
        </w:tc>
      </w:tr>
      <w:tr w:rsidR="00786F73" w:rsidRPr="00CE28E3" w14:paraId="61909AB6" w14:textId="77777777">
        <w:trPr>
          <w:cantSplit/>
        </w:trPr>
        <w:tc>
          <w:tcPr>
            <w:tcW w:w="1263" w:type="pct"/>
          </w:tcPr>
          <w:p w14:paraId="42BDCA6B" w14:textId="77777777" w:rsidR="00406A8E" w:rsidRPr="00CE28E3" w:rsidRDefault="00406A8E">
            <w:pPr>
              <w:pStyle w:val="TableText"/>
              <w:keepNext/>
            </w:pPr>
            <w:r w:rsidRPr="00B46CF1">
              <w:t>Treatment de-escalation</w:t>
            </w:r>
          </w:p>
        </w:tc>
        <w:tc>
          <w:tcPr>
            <w:tcW w:w="1263" w:type="pct"/>
          </w:tcPr>
          <w:p w14:paraId="060B4191" w14:textId="1DB98548" w:rsidR="00406A8E" w:rsidRPr="00CE28E3" w:rsidRDefault="009F4EFC">
            <w:pPr>
              <w:pStyle w:val="TableText"/>
              <w:keepNext/>
              <w:jc w:val="center"/>
            </w:pPr>
            <w:r w:rsidRPr="009F4EFC">
              <w:t>0.0623</w:t>
            </w:r>
          </w:p>
        </w:tc>
        <w:tc>
          <w:tcPr>
            <w:tcW w:w="1263" w:type="pct"/>
          </w:tcPr>
          <w:p w14:paraId="78DF1138" w14:textId="77777777" w:rsidR="00406A8E" w:rsidRPr="00CE28E3" w:rsidRDefault="00406A8E">
            <w:pPr>
              <w:pStyle w:val="TableText"/>
              <w:keepNext/>
              <w:jc w:val="center"/>
            </w:pPr>
            <w:r w:rsidRPr="00AE043F">
              <w:t>0</w:t>
            </w:r>
          </w:p>
        </w:tc>
        <w:tc>
          <w:tcPr>
            <w:tcW w:w="1211" w:type="pct"/>
          </w:tcPr>
          <w:p w14:paraId="20A47E5E" w14:textId="713AE974" w:rsidR="00406A8E" w:rsidRPr="00CE28E3" w:rsidRDefault="009F4EFC">
            <w:pPr>
              <w:pStyle w:val="TableText"/>
              <w:keepNext/>
              <w:jc w:val="center"/>
            </w:pPr>
            <w:r w:rsidRPr="009F4EFC">
              <w:t>0.0623</w:t>
            </w:r>
          </w:p>
        </w:tc>
      </w:tr>
      <w:tr w:rsidR="00786F73" w:rsidRPr="00CE28E3" w14:paraId="773367BB" w14:textId="77777777" w:rsidTr="3DD60ABB">
        <w:trPr>
          <w:cantSplit/>
        </w:trPr>
        <w:tc>
          <w:tcPr>
            <w:tcW w:w="3789" w:type="pct"/>
            <w:gridSpan w:val="3"/>
            <w:tcBorders>
              <w:right w:val="single" w:sz="4" w:space="0" w:color="000000" w:themeColor="text1"/>
            </w:tcBorders>
          </w:tcPr>
          <w:p w14:paraId="038C2BA9" w14:textId="1A9A9BEF" w:rsidR="00406A8E" w:rsidRPr="002811E1" w:rsidRDefault="00406A8E" w:rsidP="002811E1">
            <w:pPr>
              <w:pStyle w:val="TableText"/>
              <w:keepNext/>
              <w:rPr>
                <w:rFonts w:eastAsiaTheme="majorEastAsia" w:cs="Times New Roman"/>
                <w:b/>
                <w:szCs w:val="24"/>
                <w:lang w:val="en-US" w:eastAsia="en-AU"/>
              </w:rPr>
            </w:pPr>
            <w:r w:rsidRPr="002811E1">
              <w:rPr>
                <w:rFonts w:eastAsiaTheme="majorEastAsia" w:cs="Times New Roman"/>
                <w:b/>
                <w:szCs w:val="24"/>
                <w:lang w:val="en-US" w:eastAsia="en-AU"/>
              </w:rPr>
              <w:t xml:space="preserve">Incremental </w:t>
            </w:r>
            <w:r w:rsidR="00AB45E1" w:rsidRPr="00AB45E1">
              <w:rPr>
                <w:rFonts w:eastAsiaTheme="majorEastAsia" w:cs="Times New Roman"/>
                <w:b/>
                <w:szCs w:val="24"/>
                <w:lang w:val="en-US" w:eastAsia="en-AU"/>
              </w:rPr>
              <w:t xml:space="preserve">diagnostic cost per patient </w:t>
            </w:r>
            <w:r w:rsidR="004E4003">
              <w:rPr>
                <w:rFonts w:eastAsiaTheme="majorEastAsia" w:cs="Times New Roman"/>
                <w:b/>
                <w:szCs w:val="24"/>
                <w:lang w:val="en-US" w:eastAsia="en-AU"/>
              </w:rPr>
              <w:t>with</w:t>
            </w:r>
            <w:r w:rsidR="00AB45E1" w:rsidRPr="00AB45E1">
              <w:rPr>
                <w:rFonts w:eastAsiaTheme="majorEastAsia" w:cs="Times New Roman"/>
                <w:b/>
                <w:szCs w:val="24"/>
                <w:lang w:val="en-US" w:eastAsia="en-AU"/>
              </w:rPr>
              <w:t xml:space="preserve"> </w:t>
            </w:r>
            <w:r w:rsidR="002F6E84">
              <w:rPr>
                <w:rFonts w:eastAsiaTheme="majorEastAsia" w:cs="Times New Roman"/>
                <w:b/>
                <w:i/>
                <w:szCs w:val="24"/>
                <w:lang w:val="en-US" w:eastAsia="en-AU"/>
              </w:rPr>
              <w:t>POLE</w:t>
            </w:r>
            <w:r w:rsidR="002F6E84" w:rsidRPr="005453E2">
              <w:rPr>
                <w:rFonts w:eastAsiaTheme="majorEastAsia" w:cs="Times New Roman"/>
                <w:b/>
                <w:szCs w:val="24"/>
                <w:lang w:val="en-US" w:eastAsia="en-AU"/>
              </w:rPr>
              <w:t>mut</w:t>
            </w:r>
          </w:p>
        </w:tc>
        <w:tc>
          <w:tcPr>
            <w:tcW w:w="1211" w:type="pct"/>
            <w:tcBorders>
              <w:left w:val="single" w:sz="4" w:space="0" w:color="000000" w:themeColor="text1"/>
            </w:tcBorders>
          </w:tcPr>
          <w:p w14:paraId="3373A951" w14:textId="7C1B0039" w:rsidR="00406A8E" w:rsidRPr="002811E1" w:rsidRDefault="00FE73D5" w:rsidP="002811E1">
            <w:pPr>
              <w:pStyle w:val="TableText"/>
              <w:keepNext/>
              <w:jc w:val="center"/>
              <w:rPr>
                <w:rFonts w:eastAsiaTheme="majorEastAsia" w:cs="Times New Roman"/>
                <w:b/>
                <w:lang w:val="en-US" w:eastAsia="en-AU"/>
              </w:rPr>
            </w:pPr>
            <w:r>
              <w:rPr>
                <w:rFonts w:eastAsiaTheme="majorEastAsia" w:cs="Times New Roman"/>
                <w:b/>
                <w:lang w:val="en-US" w:eastAsia="en-AU"/>
              </w:rPr>
              <w:t>$5,105.07</w:t>
            </w:r>
          </w:p>
        </w:tc>
      </w:tr>
      <w:tr w:rsidR="00786F73" w:rsidRPr="00CE28E3" w14:paraId="6DC50599" w14:textId="77777777" w:rsidTr="3DD60ABB">
        <w:trPr>
          <w:cantSplit/>
          <w:trHeight w:val="261"/>
        </w:trPr>
        <w:tc>
          <w:tcPr>
            <w:tcW w:w="3789" w:type="pct"/>
            <w:gridSpan w:val="3"/>
            <w:tcBorders>
              <w:right w:val="single" w:sz="4" w:space="0" w:color="000000" w:themeColor="text1"/>
            </w:tcBorders>
          </w:tcPr>
          <w:p w14:paraId="0A1F72F0" w14:textId="77777777" w:rsidR="00406A8E" w:rsidRPr="002811E1" w:rsidRDefault="00406A8E" w:rsidP="002811E1">
            <w:pPr>
              <w:pStyle w:val="TableText"/>
              <w:keepNext/>
              <w:rPr>
                <w:rFonts w:eastAsiaTheme="majorEastAsia" w:cs="Times New Roman"/>
                <w:b/>
                <w:szCs w:val="24"/>
                <w:lang w:val="en-US" w:eastAsia="en-AU"/>
              </w:rPr>
            </w:pPr>
            <w:r w:rsidRPr="002811E1">
              <w:rPr>
                <w:rFonts w:eastAsiaTheme="majorEastAsia" w:cs="Times New Roman"/>
                <w:b/>
                <w:szCs w:val="24"/>
                <w:lang w:val="en-US" w:eastAsia="en-AU"/>
              </w:rPr>
              <w:t>Incremental cost per patient undergoing adjuvant therapy de-escalation</w:t>
            </w:r>
          </w:p>
        </w:tc>
        <w:tc>
          <w:tcPr>
            <w:tcW w:w="1211" w:type="pct"/>
            <w:tcBorders>
              <w:left w:val="single" w:sz="4" w:space="0" w:color="000000" w:themeColor="text1"/>
            </w:tcBorders>
          </w:tcPr>
          <w:p w14:paraId="73891A5B" w14:textId="77834ED9" w:rsidR="00406A8E" w:rsidRPr="002811E1" w:rsidRDefault="00F16626" w:rsidP="002811E1">
            <w:pPr>
              <w:pStyle w:val="TableText"/>
              <w:keepNext/>
              <w:jc w:val="center"/>
              <w:rPr>
                <w:rFonts w:eastAsiaTheme="majorEastAsia" w:cs="Times New Roman"/>
                <w:b/>
                <w:szCs w:val="24"/>
                <w:lang w:val="en-US" w:eastAsia="en-AU"/>
              </w:rPr>
            </w:pPr>
            <w:r w:rsidRPr="00F16626">
              <w:rPr>
                <w:rFonts w:eastAsiaTheme="majorEastAsia" w:cs="Times New Roman"/>
                <w:b/>
                <w:i/>
                <w:szCs w:val="24"/>
                <w:lang w:val="en-US" w:eastAsia="en-AU"/>
              </w:rPr>
              <w:t>POLE</w:t>
            </w:r>
            <w:r w:rsidRPr="00F16626">
              <w:rPr>
                <w:rFonts w:eastAsiaTheme="majorEastAsia" w:cs="Times New Roman"/>
                <w:b/>
                <w:szCs w:val="24"/>
                <w:lang w:val="en-US" w:eastAsia="en-AU"/>
              </w:rPr>
              <w:t xml:space="preserve"> genotyping dominant</w:t>
            </w:r>
          </w:p>
        </w:tc>
      </w:tr>
    </w:tbl>
    <w:p w14:paraId="040CC3D8" w14:textId="23DAF294" w:rsidR="009447C8" w:rsidRDefault="009447C8" w:rsidP="009447C8">
      <w:pPr>
        <w:pStyle w:val="Tablefooter0"/>
      </w:pPr>
      <w:r w:rsidRPr="005A11A6">
        <w:rPr>
          <w:rFonts w:eastAsia="Calibri"/>
        </w:rPr>
        <w:t xml:space="preserve">Abbreviations: </w:t>
      </w:r>
      <w:r w:rsidR="00076C3A" w:rsidRPr="00076C3A">
        <w:rPr>
          <w:rFonts w:eastAsia="Calibri"/>
          <w:i/>
        </w:rPr>
        <w:t>POLE</w:t>
      </w:r>
      <w:r w:rsidRPr="005A11A6">
        <w:rPr>
          <w:rFonts w:eastAsia="Calibri"/>
        </w:rPr>
        <w:t xml:space="preserve"> = DNA polymerase epsilon</w:t>
      </w:r>
      <w:r w:rsidR="007260AC">
        <w:rPr>
          <w:rFonts w:eastAsia="Calibri"/>
        </w:rPr>
        <w:t>, catalytic subunit</w:t>
      </w:r>
      <w:r>
        <w:t>.</w:t>
      </w:r>
    </w:p>
    <w:p w14:paraId="128E712B" w14:textId="5C461856" w:rsidR="001C4FDC" w:rsidRDefault="001C4FDC" w:rsidP="00ED2B88">
      <w:pPr>
        <w:pStyle w:val="Caption"/>
      </w:pPr>
      <w:bookmarkStart w:id="77" w:name="_Ref223620184"/>
      <w:bookmarkStart w:id="78" w:name="_Ref223620179"/>
      <w:r>
        <w:t xml:space="preserve">Table </w:t>
      </w:r>
      <w:r>
        <w:fldChar w:fldCharType="begin"/>
      </w:r>
      <w:r>
        <w:instrText>SEQ Table \* ARABIC</w:instrText>
      </w:r>
      <w:r>
        <w:fldChar w:fldCharType="separate"/>
      </w:r>
      <w:r w:rsidR="00996E6E">
        <w:rPr>
          <w:noProof/>
        </w:rPr>
        <w:t>12</w:t>
      </w:r>
      <w:r>
        <w:fldChar w:fldCharType="end"/>
      </w:r>
      <w:bookmarkEnd w:id="77"/>
      <w:r w:rsidR="00ED2B88">
        <w:t xml:space="preserve"> Results of the extended cost-utility analysis</w:t>
      </w:r>
      <w:r w:rsidR="00A354D2">
        <w:t xml:space="preserve"> over a 5-year time horizon</w:t>
      </w:r>
      <w:bookmarkEnd w:id="78"/>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A354D2" w:rsidRPr="005B2E18" w14:paraId="23D69388" w14:textId="77777777" w:rsidTr="0038677F">
        <w:trPr>
          <w:cantSplit/>
          <w:tblHeader/>
        </w:trPr>
        <w:tc>
          <w:tcPr>
            <w:tcW w:w="1666" w:type="pct"/>
            <w:shd w:val="clear" w:color="auto" w:fill="F2F2F2" w:themeFill="background1" w:themeFillShade="F2"/>
          </w:tcPr>
          <w:p w14:paraId="246029C0" w14:textId="567CBEC0" w:rsidR="00A354D2" w:rsidRPr="005B2E18" w:rsidRDefault="00A82A9D">
            <w:pPr>
              <w:pStyle w:val="Tabletext0"/>
              <w:rPr>
                <w:b/>
                <w:bCs/>
              </w:rPr>
            </w:pPr>
            <w:r>
              <w:rPr>
                <w:b/>
                <w:bCs/>
              </w:rPr>
              <w:t>Parameter</w:t>
            </w:r>
          </w:p>
        </w:tc>
        <w:tc>
          <w:tcPr>
            <w:tcW w:w="1666" w:type="pct"/>
            <w:shd w:val="clear" w:color="auto" w:fill="F2F2F2" w:themeFill="background1" w:themeFillShade="F2"/>
          </w:tcPr>
          <w:p w14:paraId="510BB515" w14:textId="0374D8DE" w:rsidR="00A354D2" w:rsidRPr="005B2E18" w:rsidRDefault="00A354D2">
            <w:pPr>
              <w:pStyle w:val="Tabletext0"/>
              <w:rPr>
                <w:b/>
                <w:bCs/>
              </w:rPr>
            </w:pPr>
            <w:r w:rsidRPr="005B2E18">
              <w:rPr>
                <w:b/>
                <w:bCs/>
              </w:rPr>
              <w:t>Incremental costs/effectiveness</w:t>
            </w:r>
          </w:p>
        </w:tc>
        <w:tc>
          <w:tcPr>
            <w:tcW w:w="1667" w:type="pct"/>
            <w:shd w:val="clear" w:color="auto" w:fill="F2F2F2" w:themeFill="background1" w:themeFillShade="F2"/>
          </w:tcPr>
          <w:p w14:paraId="492ECF61" w14:textId="77777777" w:rsidR="00A354D2" w:rsidRPr="005B2E18" w:rsidRDefault="00A354D2">
            <w:pPr>
              <w:pStyle w:val="Tabletext0"/>
              <w:rPr>
                <w:b/>
                <w:bCs/>
              </w:rPr>
            </w:pPr>
            <w:r w:rsidRPr="005B2E18">
              <w:rPr>
                <w:b/>
                <w:bCs/>
              </w:rPr>
              <w:t>Incremental costs per effect</w:t>
            </w:r>
          </w:p>
        </w:tc>
      </w:tr>
      <w:tr w:rsidR="00A354D2" w14:paraId="18A6BB27" w14:textId="77777777" w:rsidTr="00C10C68">
        <w:trPr>
          <w:cantSplit/>
        </w:trPr>
        <w:tc>
          <w:tcPr>
            <w:tcW w:w="1666" w:type="pct"/>
          </w:tcPr>
          <w:p w14:paraId="79E69355" w14:textId="77777777" w:rsidR="00A354D2" w:rsidRDefault="00A354D2">
            <w:pPr>
              <w:pStyle w:val="Tabletext0"/>
            </w:pPr>
            <w:r>
              <w:t>Costs</w:t>
            </w:r>
          </w:p>
        </w:tc>
        <w:tc>
          <w:tcPr>
            <w:tcW w:w="1666" w:type="pct"/>
          </w:tcPr>
          <w:p w14:paraId="040D265B" w14:textId="32E478ED" w:rsidR="00A354D2" w:rsidRDefault="00F13A2C">
            <w:pPr>
              <w:pStyle w:val="Tabletext0"/>
            </w:pPr>
            <w:r>
              <w:t>−</w:t>
            </w:r>
            <w:r w:rsidR="004B6FA5">
              <w:t>$138.30</w:t>
            </w:r>
            <w:r w:rsidR="00A354D2">
              <w:t xml:space="preserve"> (cost saving)</w:t>
            </w:r>
          </w:p>
        </w:tc>
        <w:tc>
          <w:tcPr>
            <w:tcW w:w="1667" w:type="pct"/>
          </w:tcPr>
          <w:p w14:paraId="07851C99" w14:textId="77777777" w:rsidR="00A354D2" w:rsidRDefault="00A354D2">
            <w:pPr>
              <w:pStyle w:val="Tabletext0"/>
            </w:pPr>
            <w:r>
              <w:t>NA</w:t>
            </w:r>
          </w:p>
        </w:tc>
      </w:tr>
      <w:tr w:rsidR="00A354D2" w14:paraId="2F24D9CC" w14:textId="77777777" w:rsidTr="00C10C68">
        <w:trPr>
          <w:cantSplit/>
        </w:trPr>
        <w:tc>
          <w:tcPr>
            <w:tcW w:w="1666" w:type="pct"/>
          </w:tcPr>
          <w:p w14:paraId="4F668908" w14:textId="77777777" w:rsidR="00A354D2" w:rsidRDefault="00A354D2">
            <w:pPr>
              <w:pStyle w:val="Tabletext0"/>
            </w:pPr>
            <w:r>
              <w:t>Life years</w:t>
            </w:r>
          </w:p>
        </w:tc>
        <w:tc>
          <w:tcPr>
            <w:tcW w:w="1666" w:type="pct"/>
          </w:tcPr>
          <w:p w14:paraId="3E39AFC1" w14:textId="18247E8F" w:rsidR="00A354D2" w:rsidRDefault="00A354D2">
            <w:pPr>
              <w:pStyle w:val="Tabletext0"/>
            </w:pPr>
            <w:r>
              <w:t>0.000</w:t>
            </w:r>
          </w:p>
        </w:tc>
        <w:tc>
          <w:tcPr>
            <w:tcW w:w="1667" w:type="pct"/>
          </w:tcPr>
          <w:p w14:paraId="46185941" w14:textId="77777777" w:rsidR="00A354D2" w:rsidRDefault="00A354D2">
            <w:pPr>
              <w:pStyle w:val="Tabletext0"/>
            </w:pPr>
            <w:r>
              <w:t>NA</w:t>
            </w:r>
          </w:p>
        </w:tc>
      </w:tr>
      <w:tr w:rsidR="00A354D2" w14:paraId="57A1791D" w14:textId="77777777" w:rsidTr="00C10C68">
        <w:trPr>
          <w:cantSplit/>
        </w:trPr>
        <w:tc>
          <w:tcPr>
            <w:tcW w:w="1666" w:type="pct"/>
          </w:tcPr>
          <w:p w14:paraId="33C43004" w14:textId="77777777" w:rsidR="00A354D2" w:rsidRDefault="00A354D2">
            <w:pPr>
              <w:pStyle w:val="Tabletext0"/>
            </w:pPr>
            <w:r>
              <w:t>QALYs</w:t>
            </w:r>
          </w:p>
        </w:tc>
        <w:tc>
          <w:tcPr>
            <w:tcW w:w="1666" w:type="pct"/>
          </w:tcPr>
          <w:p w14:paraId="2EAA8A86" w14:textId="3A9C693F" w:rsidR="00A354D2" w:rsidRDefault="00A354D2">
            <w:pPr>
              <w:pStyle w:val="Tabletext0"/>
            </w:pPr>
            <w:r>
              <w:t>0.0</w:t>
            </w:r>
            <w:r w:rsidR="00BC66EF">
              <w:t>10</w:t>
            </w:r>
          </w:p>
        </w:tc>
        <w:tc>
          <w:tcPr>
            <w:tcW w:w="1667" w:type="pct"/>
          </w:tcPr>
          <w:p w14:paraId="5F90F8B1" w14:textId="55CDACB4" w:rsidR="00A354D2" w:rsidRDefault="00A354D2">
            <w:pPr>
              <w:pStyle w:val="Tabletext0"/>
            </w:pPr>
            <w:r>
              <w:rPr>
                <w:i/>
                <w:iCs/>
              </w:rPr>
              <w:t xml:space="preserve">POLE </w:t>
            </w:r>
            <w:r>
              <w:t>genotyping dominant</w:t>
            </w:r>
          </w:p>
        </w:tc>
      </w:tr>
    </w:tbl>
    <w:p w14:paraId="2C7C28A4" w14:textId="68B02D11" w:rsidR="001C4FDC" w:rsidRDefault="001C4FDC" w:rsidP="009447C8">
      <w:pPr>
        <w:pStyle w:val="Tablefooter0"/>
      </w:pPr>
      <w:r w:rsidRPr="004A4E30">
        <w:rPr>
          <w:lang w:val="en-US"/>
        </w:rPr>
        <w:t xml:space="preserve">Abbreviations: </w:t>
      </w:r>
      <w:r>
        <w:rPr>
          <w:lang w:val="en-US"/>
        </w:rPr>
        <w:t xml:space="preserve">NA = </w:t>
      </w:r>
      <w:r w:rsidRPr="00E92E31">
        <w:rPr>
          <w:lang w:val="en-US"/>
        </w:rPr>
        <w:t>not applicable</w:t>
      </w:r>
      <w:r>
        <w:rPr>
          <w:lang w:val="en-US"/>
        </w:rPr>
        <w:t xml:space="preserve">; </w:t>
      </w:r>
      <w:r w:rsidRPr="003E2792">
        <w:rPr>
          <w:i/>
          <w:lang w:val="en-US"/>
        </w:rPr>
        <w:t>POLE</w:t>
      </w:r>
      <w:r>
        <w:rPr>
          <w:lang w:val="en-US"/>
        </w:rPr>
        <w:t xml:space="preserve"> = DNA </w:t>
      </w:r>
      <w:r w:rsidRPr="00A53B9A">
        <w:rPr>
          <w:lang w:val="en-US"/>
        </w:rPr>
        <w:t>polymerase epsilon</w:t>
      </w:r>
      <w:r>
        <w:rPr>
          <w:lang w:val="en-US"/>
        </w:rPr>
        <w:t>, catalytic subunit; QALY = quality-adjusted life year</w:t>
      </w:r>
    </w:p>
    <w:p w14:paraId="722B0B21" w14:textId="5843BFA3" w:rsidR="00B560C0" w:rsidRDefault="00DB1D64" w:rsidP="00053FA7">
      <w:r>
        <w:t xml:space="preserve">A </w:t>
      </w:r>
      <w:r w:rsidRPr="00DB1D64">
        <w:t xml:space="preserve">one-way sensitivity analysis was </w:t>
      </w:r>
      <w:r w:rsidR="00690C4B">
        <w:t>conducted</w:t>
      </w:r>
      <w:r w:rsidRPr="00DB1D64">
        <w:t xml:space="preserve"> to </w:t>
      </w:r>
      <w:r w:rsidR="00690C4B">
        <w:t>assess</w:t>
      </w:r>
      <w:r w:rsidRPr="00DB1D64">
        <w:t xml:space="preserve"> the impact of parameter uncertainty on disaggregated outcomes. Uncertainty ranges were </w:t>
      </w:r>
      <w:r w:rsidR="00690C4B">
        <w:t>applied to</w:t>
      </w:r>
      <w:r w:rsidRPr="00DB1D64">
        <w:t xml:space="preserve"> the following input parameters: </w:t>
      </w:r>
      <w:r w:rsidR="008D3BD5" w:rsidRPr="008D3BD5">
        <w:t xml:space="preserve">probability of </w:t>
      </w:r>
      <w:r w:rsidR="00076C3A" w:rsidRPr="00076C3A">
        <w:rPr>
          <w:i/>
        </w:rPr>
        <w:t>POLE</w:t>
      </w:r>
      <w:r w:rsidR="008D3BD5" w:rsidRPr="008D3BD5">
        <w:t xml:space="preserve">mut within specific subgroups, NGS failure rate, proportion receiving no adjuvant therapy among the intermediate- or high–intermediate-risk subgroup, proportion receiving chemotherapy alone in the high-risk group, and proportions of low-grade and </w:t>
      </w:r>
      <w:r w:rsidR="00F13A2C">
        <w:t>o</w:t>
      </w:r>
      <w:r w:rsidR="00BB570F">
        <w:t>estrogen receptor positive (</w:t>
      </w:r>
      <w:r w:rsidR="008D3BD5" w:rsidRPr="007D4FD4">
        <w:t>ER</w:t>
      </w:r>
      <w:r w:rsidR="007D4FD4" w:rsidRPr="007D4FD4">
        <w:t>+</w:t>
      </w:r>
      <w:r w:rsidR="00BB570F">
        <w:t>)</w:t>
      </w:r>
      <w:r w:rsidR="008D3BD5" w:rsidRPr="008D3BD5">
        <w:t xml:space="preserve"> tumours</w:t>
      </w:r>
      <w:r w:rsidR="00D72B00">
        <w:t xml:space="preserve">, as well as </w:t>
      </w:r>
      <w:r w:rsidR="00001B14" w:rsidRPr="00076C3A">
        <w:rPr>
          <w:i/>
        </w:rPr>
        <w:t>POLE</w:t>
      </w:r>
      <w:r w:rsidR="00001B14">
        <w:rPr>
          <w:i/>
        </w:rPr>
        <w:t xml:space="preserve"> </w:t>
      </w:r>
      <w:r w:rsidR="00001B14">
        <w:t xml:space="preserve">testing </w:t>
      </w:r>
      <w:r w:rsidR="00D72B00">
        <w:t>costs</w:t>
      </w:r>
      <w:r w:rsidR="008D3BD5">
        <w:t>.</w:t>
      </w:r>
      <w:r w:rsidR="003F2D6C" w:rsidRPr="003F2D6C">
        <w:t xml:space="preserve"> </w:t>
      </w:r>
      <w:r w:rsidR="005E0390">
        <w:t xml:space="preserve">For the CUA, uncertainty ranges were applied to </w:t>
      </w:r>
      <w:r w:rsidR="001E3A04">
        <w:t>all health state utility values as well as the 5-year RFS input.</w:t>
      </w:r>
    </w:p>
    <w:p w14:paraId="52B004DF" w14:textId="6D0CECDA" w:rsidR="00A02A30" w:rsidRDefault="008F058F" w:rsidP="00053FA7">
      <w:r w:rsidRPr="003F2D6C">
        <w:t>Subgroup analyses were conducted to explore variations in model outcomes across the 13 patient subgroups</w:t>
      </w:r>
      <w:r>
        <w:t xml:space="preserve"> classified by</w:t>
      </w:r>
      <w:r w:rsidRPr="009C5A6A">
        <w:t xml:space="preserve"> molecular classifications and clinicopathological characteristics (e.g. FIGO stage, tumour grade, ER status)</w:t>
      </w:r>
      <w:r>
        <w:t>.</w:t>
      </w:r>
      <w:r w:rsidRPr="00A574BC">
        <w:t xml:space="preserve"> </w:t>
      </w:r>
      <w:r w:rsidR="00B560C0">
        <w:t>Scenario analyses explored uncertainties related to adjuvant therapy costs</w:t>
      </w:r>
      <w:r w:rsidR="001E3A04">
        <w:t>, the proportion of patients experiencing treatment de-escalation,</w:t>
      </w:r>
      <w:r w:rsidR="00B560C0">
        <w:t xml:space="preserve"> the composition of the eligible test population entering the model</w:t>
      </w:r>
      <w:r w:rsidR="007E2B9F">
        <w:t>, and the inclusion of potential additional consultation costs</w:t>
      </w:r>
      <w:r w:rsidR="00B560C0">
        <w:t>.</w:t>
      </w:r>
      <w:r>
        <w:t xml:space="preserve"> </w:t>
      </w:r>
    </w:p>
    <w:bookmarkEnd w:id="76"/>
    <w:p w14:paraId="646D0440" w14:textId="6F16C22F" w:rsidR="00E46F50" w:rsidRDefault="00053FA7" w:rsidP="00E46F50">
      <w:r>
        <w:t xml:space="preserve">Key model drivers are summarised in </w:t>
      </w:r>
      <w:r w:rsidRPr="00F834DD">
        <w:fldChar w:fldCharType="begin"/>
      </w:r>
      <w:r w:rsidRPr="00F834DD">
        <w:instrText xml:space="preserve"> REF _Ref69726321 \h  \* MERGEFORMAT </w:instrText>
      </w:r>
      <w:r w:rsidRPr="00F834DD">
        <w:fldChar w:fldCharType="separate"/>
      </w:r>
      <w:r w:rsidR="000B42CB" w:rsidRPr="00CE28E3">
        <w:t>Table</w:t>
      </w:r>
      <w:r w:rsidR="000B42CB">
        <w:t> 13</w:t>
      </w:r>
      <w:r w:rsidRPr="00F834DD">
        <w:fldChar w:fldCharType="end"/>
      </w:r>
      <w:r>
        <w:t>.</w:t>
      </w:r>
    </w:p>
    <w:p w14:paraId="708EBBC4" w14:textId="56C42179" w:rsidR="002F32FB" w:rsidRPr="00CE28E3" w:rsidRDefault="002F32FB" w:rsidP="002F32FB">
      <w:pPr>
        <w:pStyle w:val="Caption"/>
      </w:pPr>
      <w:bookmarkStart w:id="79" w:name="_Ref69726321"/>
      <w:r w:rsidRPr="00CE28E3">
        <w:t>Table</w:t>
      </w:r>
      <w:r w:rsidR="003571C2">
        <w:t> </w:t>
      </w:r>
      <w:r>
        <w:fldChar w:fldCharType="begin"/>
      </w:r>
      <w:r>
        <w:instrText>SEQ Table \* ARABIC</w:instrText>
      </w:r>
      <w:r>
        <w:fldChar w:fldCharType="separate"/>
      </w:r>
      <w:r w:rsidR="00996E6E">
        <w:rPr>
          <w:noProof/>
        </w:rPr>
        <w:t>13</w:t>
      </w:r>
      <w:r>
        <w:fldChar w:fldCharType="end"/>
      </w:r>
      <w:bookmarkEnd w:id="79"/>
      <w:r w:rsidR="00F10919">
        <w:t xml:space="preserve"> </w:t>
      </w:r>
      <w:r w:rsidRPr="00CE28E3">
        <w:t>Key drivers of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2"/>
        <w:gridCol w:w="4111"/>
        <w:gridCol w:w="3633"/>
      </w:tblGrid>
      <w:tr w:rsidR="002F32FB" w:rsidRPr="00CE28E3" w14:paraId="11B0BC91" w14:textId="77777777" w:rsidTr="00A82A9D">
        <w:trPr>
          <w:tblHeader/>
        </w:trPr>
        <w:tc>
          <w:tcPr>
            <w:tcW w:w="705" w:type="pct"/>
            <w:shd w:val="clear" w:color="auto" w:fill="F2F2F2" w:themeFill="background1" w:themeFillShade="F2"/>
            <w:vAlign w:val="center"/>
          </w:tcPr>
          <w:p w14:paraId="2EC6365B" w14:textId="77777777" w:rsidR="002F32FB" w:rsidRPr="00CE28E3" w:rsidRDefault="002F32FB" w:rsidP="00A82A9D">
            <w:pPr>
              <w:pStyle w:val="Tableheading1"/>
              <w:jc w:val="center"/>
            </w:pPr>
            <w:bookmarkStart w:id="80" w:name="Title_Table10" w:colFirst="0" w:colLast="0"/>
            <w:bookmarkStart w:id="81" w:name="_Hlk68276626"/>
            <w:r w:rsidRPr="00CE28E3">
              <w:t>Description</w:t>
            </w:r>
          </w:p>
        </w:tc>
        <w:tc>
          <w:tcPr>
            <w:tcW w:w="2280" w:type="pct"/>
            <w:shd w:val="clear" w:color="auto" w:fill="F2F2F2" w:themeFill="background1" w:themeFillShade="F2"/>
            <w:vAlign w:val="center"/>
          </w:tcPr>
          <w:p w14:paraId="0520071F" w14:textId="77777777" w:rsidR="002F32FB" w:rsidRPr="00CE28E3" w:rsidRDefault="002F32FB" w:rsidP="00A82A9D">
            <w:pPr>
              <w:pStyle w:val="Tableheading1"/>
              <w:jc w:val="center"/>
            </w:pPr>
            <w:r w:rsidRPr="00CE28E3">
              <w:t>Method/Value</w:t>
            </w:r>
          </w:p>
        </w:tc>
        <w:tc>
          <w:tcPr>
            <w:tcW w:w="2015" w:type="pct"/>
            <w:shd w:val="clear" w:color="auto" w:fill="F2F2F2" w:themeFill="background1" w:themeFillShade="F2"/>
            <w:vAlign w:val="center"/>
          </w:tcPr>
          <w:p w14:paraId="66E24653" w14:textId="3810E351" w:rsidR="002F32FB" w:rsidRPr="00CE28E3" w:rsidRDefault="002F32FB" w:rsidP="00A82A9D">
            <w:pPr>
              <w:pStyle w:val="Tableheading1"/>
              <w:jc w:val="center"/>
            </w:pPr>
            <w:r w:rsidRPr="00CE28E3">
              <w:t>Impact</w:t>
            </w:r>
          </w:p>
        </w:tc>
      </w:tr>
      <w:tr w:rsidR="00086914" w:rsidRPr="00CE28E3" w14:paraId="21329FC7" w14:textId="77777777" w:rsidTr="00C10C68">
        <w:tc>
          <w:tcPr>
            <w:tcW w:w="705" w:type="pct"/>
            <w:vAlign w:val="center"/>
          </w:tcPr>
          <w:p w14:paraId="1F2D8E0A" w14:textId="2B6973B8" w:rsidR="00086914" w:rsidRPr="00CE28E3" w:rsidRDefault="00932190" w:rsidP="003B61B7">
            <w:pPr>
              <w:pStyle w:val="TableText"/>
              <w:jc w:val="center"/>
              <w:rPr>
                <w:lang w:val="en-US"/>
              </w:rPr>
            </w:pPr>
            <w:r>
              <w:rPr>
                <w:lang w:val="en-US"/>
              </w:rPr>
              <w:t>U</w:t>
            </w:r>
            <w:r w:rsidRPr="00932190">
              <w:rPr>
                <w:lang w:val="en-US"/>
              </w:rPr>
              <w:t>se of first-line immunotherapy in stage III</w:t>
            </w:r>
            <w:r>
              <w:rPr>
                <w:lang w:val="en-US"/>
              </w:rPr>
              <w:t>–</w:t>
            </w:r>
            <w:r w:rsidRPr="00932190">
              <w:rPr>
                <w:lang w:val="en-US"/>
              </w:rPr>
              <w:t>IV MMRd EC</w:t>
            </w:r>
          </w:p>
        </w:tc>
        <w:tc>
          <w:tcPr>
            <w:tcW w:w="2280" w:type="pct"/>
            <w:vAlign w:val="center"/>
          </w:tcPr>
          <w:p w14:paraId="31AEE1D6" w14:textId="5724850D" w:rsidR="00E975BF" w:rsidRPr="00CE28E3" w:rsidRDefault="00C217CE" w:rsidP="003B61B7">
            <w:pPr>
              <w:pStyle w:val="TableText"/>
              <w:rPr>
                <w:lang w:val="en-US"/>
              </w:rPr>
            </w:pPr>
            <w:r>
              <w:rPr>
                <w:lang w:val="en-US"/>
              </w:rPr>
              <w:t>P</w:t>
            </w:r>
            <w:r w:rsidRPr="00C217CE">
              <w:rPr>
                <w:lang w:val="en-US"/>
              </w:rPr>
              <w:t>atients with stage III</w:t>
            </w:r>
            <w:r>
              <w:rPr>
                <w:lang w:val="en-US"/>
              </w:rPr>
              <w:t>–</w:t>
            </w:r>
            <w:r w:rsidRPr="00C217CE">
              <w:rPr>
                <w:lang w:val="en-US"/>
              </w:rPr>
              <w:t>IVA MMRd EC were assumed to receive chemo</w:t>
            </w:r>
            <w:r>
              <w:rPr>
                <w:lang w:val="en-US"/>
              </w:rPr>
              <w:t>therapy</w:t>
            </w:r>
            <w:r w:rsidRPr="00C217CE">
              <w:rPr>
                <w:lang w:val="en-US"/>
              </w:rPr>
              <w:t xml:space="preserve"> + immuno</w:t>
            </w:r>
            <w:r>
              <w:rPr>
                <w:lang w:val="en-US"/>
              </w:rPr>
              <w:t>therapy</w:t>
            </w:r>
            <w:r w:rsidRPr="00C217CE">
              <w:rPr>
                <w:lang w:val="en-US"/>
              </w:rPr>
              <w:t xml:space="preserve"> + EBRT, in line with </w:t>
            </w:r>
            <w:r w:rsidR="000B6B7A" w:rsidRPr="000B6B7A">
              <w:rPr>
                <w:lang w:val="en-US"/>
              </w:rPr>
              <w:t>ESGO-ESTRO-ESP 2025 guidelines</w:t>
            </w:r>
            <w:r w:rsidR="000B6B7A">
              <w:rPr>
                <w:lang w:val="en-US"/>
              </w:rPr>
              <w:t>.</w:t>
            </w:r>
            <w:r w:rsidR="008A040B">
              <w:rPr>
                <w:vertAlign w:val="superscript"/>
                <w:lang w:val="en-US"/>
              </w:rPr>
              <w:fldChar w:fldCharType="begin"/>
            </w:r>
            <w:r w:rsidR="008A040B">
              <w:rPr>
                <w:vertAlign w:val="superscript"/>
                <w:lang w:val="en-US"/>
              </w:rPr>
              <w:instrText xml:space="preserve"> NOTEREF _Ref222384373 \h </w:instrText>
            </w:r>
            <w:r w:rsidR="008A040B">
              <w:rPr>
                <w:vertAlign w:val="superscript"/>
                <w:lang w:val="en-US"/>
              </w:rPr>
            </w:r>
            <w:r w:rsidR="008A040B">
              <w:rPr>
                <w:vertAlign w:val="superscript"/>
                <w:lang w:val="en-US"/>
              </w:rPr>
              <w:fldChar w:fldCharType="separate"/>
            </w:r>
            <w:r w:rsidR="000B42CB">
              <w:rPr>
                <w:vertAlign w:val="superscript"/>
                <w:lang w:val="en-US"/>
              </w:rPr>
              <w:t>5</w:t>
            </w:r>
            <w:r w:rsidR="008A040B">
              <w:rPr>
                <w:vertAlign w:val="superscript"/>
                <w:lang w:val="en-US"/>
              </w:rPr>
              <w:fldChar w:fldCharType="end"/>
            </w:r>
            <w:r w:rsidR="000B6B7A" w:rsidRPr="00C10C68">
              <w:rPr>
                <w:vertAlign w:val="superscript"/>
                <w:lang w:val="en-US"/>
              </w:rPr>
              <w:t xml:space="preserve"> </w:t>
            </w:r>
            <w:r w:rsidRPr="00C217CE">
              <w:rPr>
                <w:lang w:val="en-US"/>
              </w:rPr>
              <w:t>For those stage III</w:t>
            </w:r>
            <w:r w:rsidR="000B6B7A">
              <w:rPr>
                <w:lang w:val="en-US"/>
              </w:rPr>
              <w:t>–</w:t>
            </w:r>
            <w:r w:rsidRPr="00C217CE">
              <w:rPr>
                <w:lang w:val="en-US"/>
              </w:rPr>
              <w:t xml:space="preserve">IV EC patients with both MMRd and </w:t>
            </w:r>
            <w:r w:rsidRPr="005634D8">
              <w:rPr>
                <w:i/>
                <w:lang w:val="en-US"/>
              </w:rPr>
              <w:t>POLE</w:t>
            </w:r>
            <w:r w:rsidRPr="00C217CE">
              <w:rPr>
                <w:lang w:val="en-US"/>
              </w:rPr>
              <w:t xml:space="preserve">mut, identification of the </w:t>
            </w:r>
            <w:r w:rsidRPr="009D3E8F">
              <w:rPr>
                <w:i/>
                <w:lang w:val="en-US"/>
              </w:rPr>
              <w:t>POLE</w:t>
            </w:r>
            <w:r w:rsidRPr="00C217CE">
              <w:rPr>
                <w:lang w:val="en-US"/>
              </w:rPr>
              <w:t>mut was assumed to result in a de-escalation to EBRT alone, meaning costs for both immunotherapy and chemotherapy were avoided in these patients</w:t>
            </w:r>
            <w:r w:rsidR="009D3E8F">
              <w:rPr>
                <w:lang w:val="en-US"/>
              </w:rPr>
              <w:t>.</w:t>
            </w:r>
            <w:r w:rsidR="00CA2275">
              <w:rPr>
                <w:lang w:val="en-US"/>
              </w:rPr>
              <w:t xml:space="preserve"> </w:t>
            </w:r>
            <w:r w:rsidR="0049784F" w:rsidRPr="0049784F">
              <w:rPr>
                <w:lang w:val="en-US"/>
              </w:rPr>
              <w:t>The base case assumed dostarlimab for both induction and maintenance immunotherapy</w:t>
            </w:r>
            <w:r w:rsidR="00406CB9">
              <w:rPr>
                <w:lang w:val="en-US"/>
              </w:rPr>
              <w:t>.</w:t>
            </w:r>
            <w:r w:rsidR="0049784F">
              <w:rPr>
                <w:lang w:val="en-US"/>
              </w:rPr>
              <w:t xml:space="preserve"> </w:t>
            </w:r>
          </w:p>
        </w:tc>
        <w:tc>
          <w:tcPr>
            <w:tcW w:w="2015" w:type="pct"/>
            <w:vAlign w:val="center"/>
          </w:tcPr>
          <w:p w14:paraId="1D1A9E2B" w14:textId="4C5B3878" w:rsidR="00086914" w:rsidRPr="00EB0BC9" w:rsidRDefault="000E64F9" w:rsidP="0080422E">
            <w:pPr>
              <w:pStyle w:val="TableText"/>
              <w:rPr>
                <w:lang w:val="en-US"/>
              </w:rPr>
            </w:pPr>
            <w:r w:rsidRPr="000E64F9">
              <w:rPr>
                <w:lang w:val="en-US"/>
              </w:rPr>
              <w:t>High</w:t>
            </w:r>
            <w:r w:rsidR="009D3E8F">
              <w:rPr>
                <w:lang w:val="en-US"/>
              </w:rPr>
              <w:t>,</w:t>
            </w:r>
            <w:r w:rsidR="00D12CB7">
              <w:rPr>
                <w:lang w:val="en-US"/>
              </w:rPr>
              <w:t xml:space="preserve"> favours </w:t>
            </w:r>
            <w:r w:rsidR="004C62F1">
              <w:rPr>
                <w:lang w:val="en-US"/>
              </w:rPr>
              <w:t>the intervention.</w:t>
            </w:r>
            <w:r w:rsidR="0080422E">
              <w:rPr>
                <w:lang w:val="en-US"/>
              </w:rPr>
              <w:t xml:space="preserve"> </w:t>
            </w:r>
            <w:r w:rsidR="009650DB" w:rsidRPr="00076854">
              <w:rPr>
                <w:lang w:val="en-US"/>
              </w:rPr>
              <w:t xml:space="preserve">Immunotherapy costs identified as a key driver of model outcomes, as avoiding </w:t>
            </w:r>
            <w:r w:rsidR="009650DB">
              <w:rPr>
                <w:lang w:val="en-US"/>
              </w:rPr>
              <w:t>i</w:t>
            </w:r>
            <w:r w:rsidR="009650DB" w:rsidRPr="00076854">
              <w:rPr>
                <w:lang w:val="en-US"/>
              </w:rPr>
              <w:t>mmunotherapy</w:t>
            </w:r>
            <w:r w:rsidR="004C2FE1">
              <w:rPr>
                <w:lang w:val="en-US"/>
              </w:rPr>
              <w:t xml:space="preserve"> (in combination with </w:t>
            </w:r>
            <w:r w:rsidR="004C2FE1" w:rsidRPr="00C217CE">
              <w:rPr>
                <w:lang w:val="en-US"/>
              </w:rPr>
              <w:t>chemo</w:t>
            </w:r>
            <w:r w:rsidR="004C2FE1">
              <w:rPr>
                <w:lang w:val="en-US"/>
              </w:rPr>
              <w:t>therapy)</w:t>
            </w:r>
            <w:r w:rsidR="009650DB" w:rsidRPr="00076854">
              <w:rPr>
                <w:lang w:val="en-US"/>
              </w:rPr>
              <w:t xml:space="preserve"> in the MMRd stage III–IVA subgroup accounted for nearly all cost savings</w:t>
            </w:r>
            <w:r w:rsidR="009650DB">
              <w:rPr>
                <w:lang w:val="en-US"/>
              </w:rPr>
              <w:t xml:space="preserve"> in the model</w:t>
            </w:r>
            <w:r w:rsidR="009650DB" w:rsidRPr="00076854">
              <w:rPr>
                <w:lang w:val="en-US"/>
              </w:rPr>
              <w:t xml:space="preserve">. The substantial </w:t>
            </w:r>
            <w:r w:rsidR="00384355" w:rsidRPr="00076854">
              <w:rPr>
                <w:lang w:val="en-US"/>
              </w:rPr>
              <w:t>cost</w:t>
            </w:r>
            <w:r w:rsidR="009650DB" w:rsidRPr="00076854">
              <w:rPr>
                <w:lang w:val="en-US"/>
              </w:rPr>
              <w:t xml:space="preserve"> of immunotherapy </w:t>
            </w:r>
            <w:r w:rsidR="00E42FCB">
              <w:rPr>
                <w:lang w:val="en-US"/>
              </w:rPr>
              <w:t>determines</w:t>
            </w:r>
            <w:r w:rsidR="009650DB" w:rsidRPr="00076854">
              <w:rPr>
                <w:lang w:val="en-US"/>
              </w:rPr>
              <w:t xml:space="preserve"> that even small changes in use</w:t>
            </w:r>
            <w:r w:rsidR="00E42FCB">
              <w:rPr>
                <w:lang w:val="en-US"/>
              </w:rPr>
              <w:t xml:space="preserve"> (i.e. this </w:t>
            </w:r>
            <w:r w:rsidR="00A4037B">
              <w:rPr>
                <w:lang w:val="en-US"/>
              </w:rPr>
              <w:t>input</w:t>
            </w:r>
            <w:r w:rsidR="00E42FCB">
              <w:rPr>
                <w:lang w:val="en-US"/>
              </w:rPr>
              <w:t>)</w:t>
            </w:r>
            <w:r w:rsidR="009650DB" w:rsidRPr="00076854">
              <w:rPr>
                <w:lang w:val="en-US"/>
              </w:rPr>
              <w:t xml:space="preserve"> have pronounced impact on total </w:t>
            </w:r>
            <w:r w:rsidR="00A4037B" w:rsidRPr="000E64F9">
              <w:rPr>
                <w:lang w:val="en-US"/>
              </w:rPr>
              <w:t xml:space="preserve">incremental </w:t>
            </w:r>
            <w:r w:rsidR="009650DB" w:rsidRPr="00076854">
              <w:rPr>
                <w:lang w:val="en-US"/>
              </w:rPr>
              <w:t>costs.</w:t>
            </w:r>
            <w:r w:rsidR="008C768C">
              <w:rPr>
                <w:lang w:val="en-US"/>
              </w:rPr>
              <w:t xml:space="preserve"> Scenario using durvalumab in place of </w:t>
            </w:r>
            <w:r w:rsidR="00857F74">
              <w:rPr>
                <w:lang w:val="en-US"/>
              </w:rPr>
              <w:t xml:space="preserve">dostarlimab </w:t>
            </w:r>
            <w:r w:rsidR="00D11EB6" w:rsidRPr="00D11EB6">
              <w:rPr>
                <w:lang w:val="en-US"/>
              </w:rPr>
              <w:t>inverted the incremental costs (i.e. reverted the cost saving result</w:t>
            </w:r>
            <w:r w:rsidR="00D11EB6">
              <w:rPr>
                <w:lang w:val="en-US"/>
              </w:rPr>
              <w:t>,</w:t>
            </w:r>
            <w:r w:rsidR="00CA2275">
              <w:rPr>
                <w:lang w:val="en-US"/>
              </w:rPr>
              <w:t xml:space="preserve"> </w:t>
            </w:r>
            <w:r w:rsidR="00D11EB6" w:rsidRPr="00D11EB6">
              <w:rPr>
                <w:lang w:val="en-US"/>
              </w:rPr>
              <w:t>$24.49</w:t>
            </w:r>
            <w:r w:rsidR="00CA2275">
              <w:rPr>
                <w:lang w:val="en-US"/>
              </w:rPr>
              <w:t xml:space="preserve"> vs </w:t>
            </w:r>
            <w:r w:rsidR="00CA2275" w:rsidRPr="00857F74">
              <w:rPr>
                <w:lang w:val="en-US"/>
              </w:rPr>
              <w:t>−$138.30 in the base case</w:t>
            </w:r>
            <w:r w:rsidR="00D11EB6" w:rsidRPr="00D11EB6">
              <w:rPr>
                <w:lang w:val="en-US"/>
              </w:rPr>
              <w:t>).</w:t>
            </w:r>
          </w:p>
        </w:tc>
      </w:tr>
      <w:tr w:rsidR="00AA2F0C" w:rsidRPr="00CE28E3" w14:paraId="7BB8E1D7" w14:textId="77777777" w:rsidTr="00C10C68">
        <w:tc>
          <w:tcPr>
            <w:tcW w:w="705" w:type="pct"/>
            <w:vAlign w:val="center"/>
          </w:tcPr>
          <w:p w14:paraId="4CEEB1DF" w14:textId="4D06ACB2" w:rsidR="00AA2F0C" w:rsidRPr="00086914" w:rsidRDefault="00AA2F0C" w:rsidP="000E119E">
            <w:pPr>
              <w:pStyle w:val="TableText"/>
              <w:jc w:val="center"/>
              <w:rPr>
                <w:lang w:val="en-US"/>
              </w:rPr>
            </w:pPr>
            <w:r w:rsidRPr="009E7965">
              <w:t>NGS failure</w:t>
            </w:r>
            <w:r>
              <w:t xml:space="preserve"> rate</w:t>
            </w:r>
          </w:p>
        </w:tc>
        <w:tc>
          <w:tcPr>
            <w:tcW w:w="2280" w:type="pct"/>
            <w:vAlign w:val="center"/>
          </w:tcPr>
          <w:p w14:paraId="7C2A87F6" w14:textId="2F1126DB" w:rsidR="00AA2F0C" w:rsidRPr="00CE28E3" w:rsidRDefault="00CA45FA" w:rsidP="00AA2F0C">
            <w:pPr>
              <w:pStyle w:val="TableText"/>
              <w:rPr>
                <w:lang w:val="en-US"/>
              </w:rPr>
            </w:pPr>
            <w:r w:rsidRPr="00CA45FA">
              <w:rPr>
                <w:lang w:val="en-US"/>
              </w:rPr>
              <w:t>Assumed</w:t>
            </w:r>
            <w:r w:rsidR="009008F2">
              <w:rPr>
                <w:lang w:val="en-US"/>
              </w:rPr>
              <w:t>,</w:t>
            </w:r>
            <w:r w:rsidRPr="00CA45FA">
              <w:rPr>
                <w:lang w:val="en-US"/>
              </w:rPr>
              <w:t xml:space="preserve"> based on best available evidence </w:t>
            </w:r>
            <w:r w:rsidR="009008F2">
              <w:rPr>
                <w:lang w:val="en-US"/>
              </w:rPr>
              <w:t>(</w:t>
            </w:r>
            <w:r>
              <w:rPr>
                <w:lang w:val="en-US"/>
              </w:rPr>
              <w:t xml:space="preserve">i.e. </w:t>
            </w:r>
            <w:r w:rsidRPr="00CA45FA">
              <w:rPr>
                <w:lang w:val="en-US"/>
              </w:rPr>
              <w:t xml:space="preserve">failure rates in </w:t>
            </w:r>
            <w:r w:rsidR="001D61A0">
              <w:rPr>
                <w:lang w:val="en-US"/>
              </w:rPr>
              <w:t>EC</w:t>
            </w:r>
            <w:r w:rsidRPr="00CA45FA">
              <w:rPr>
                <w:lang w:val="en-US"/>
              </w:rPr>
              <w:t xml:space="preserve"> due to insufficient material quantity or quality (</w:t>
            </w:r>
            <w:r w:rsidR="007370EF">
              <w:rPr>
                <w:lang w:val="en-US"/>
              </w:rPr>
              <w:t>Chen</w:t>
            </w:r>
            <w:r w:rsidR="007370EF" w:rsidRPr="00CA45FA">
              <w:rPr>
                <w:lang w:val="en-US"/>
              </w:rPr>
              <w:t xml:space="preserve"> </w:t>
            </w:r>
            <w:r w:rsidRPr="00CA45FA">
              <w:rPr>
                <w:lang w:val="en-US"/>
              </w:rPr>
              <w:t>et al., 202</w:t>
            </w:r>
            <w:r w:rsidR="007370EF">
              <w:rPr>
                <w:lang w:val="en-US"/>
              </w:rPr>
              <w:t>4</w:t>
            </w:r>
            <w:r w:rsidRPr="00CA45FA">
              <w:rPr>
                <w:lang w:val="en-US"/>
              </w:rPr>
              <w:t>)</w:t>
            </w:r>
            <w:r w:rsidR="00B23526" w:rsidRPr="000E0D88">
              <w:rPr>
                <w:vertAlign w:val="superscript"/>
                <w:lang w:val="en-US"/>
              </w:rPr>
              <w:fldChar w:fldCharType="begin"/>
            </w:r>
            <w:r w:rsidR="00B23526" w:rsidRPr="000E0D88">
              <w:rPr>
                <w:vertAlign w:val="superscript"/>
                <w:lang w:val="en-US"/>
              </w:rPr>
              <w:instrText xml:space="preserve"> NOTEREF _Ref222382964 \h </w:instrText>
            </w:r>
            <w:r w:rsidR="00DE41CB">
              <w:rPr>
                <w:vertAlign w:val="superscript"/>
                <w:lang w:val="en-US"/>
              </w:rPr>
              <w:instrText xml:space="preserve"> \* MERGEFORMAT </w:instrText>
            </w:r>
            <w:r w:rsidR="00B23526" w:rsidRPr="000E0D88">
              <w:rPr>
                <w:vertAlign w:val="superscript"/>
                <w:lang w:val="en-US"/>
              </w:rPr>
            </w:r>
            <w:r w:rsidR="00B23526" w:rsidRPr="000E0D88">
              <w:rPr>
                <w:vertAlign w:val="superscript"/>
                <w:lang w:val="en-US"/>
              </w:rPr>
              <w:fldChar w:fldCharType="separate"/>
            </w:r>
            <w:r w:rsidR="000B42CB">
              <w:rPr>
                <w:vertAlign w:val="superscript"/>
                <w:lang w:val="en-US"/>
              </w:rPr>
              <w:t>6</w:t>
            </w:r>
            <w:r w:rsidR="00B23526" w:rsidRPr="000E0D88">
              <w:rPr>
                <w:vertAlign w:val="superscript"/>
                <w:lang w:val="en-US"/>
              </w:rPr>
              <w:fldChar w:fldCharType="end"/>
            </w:r>
            <w:r w:rsidR="00091F1C">
              <w:rPr>
                <w:lang w:val="en-US"/>
              </w:rPr>
              <w:t>)</w:t>
            </w:r>
            <w:r w:rsidRPr="00CA45FA">
              <w:rPr>
                <w:lang w:val="en-US"/>
              </w:rPr>
              <w:t xml:space="preserve"> and varied by ±10% in the</w:t>
            </w:r>
            <w:r w:rsidR="00DC3EC7">
              <w:rPr>
                <w:lang w:val="en-US"/>
              </w:rPr>
              <w:t xml:space="preserve"> </w:t>
            </w:r>
            <w:r w:rsidR="00A35C29" w:rsidRPr="00A35C29">
              <w:rPr>
                <w:lang w:val="en-US"/>
              </w:rPr>
              <w:t>OWSA</w:t>
            </w:r>
            <w:r w:rsidR="00DC3EC7">
              <w:rPr>
                <w:lang w:val="en-US"/>
              </w:rPr>
              <w:t>.</w:t>
            </w:r>
          </w:p>
        </w:tc>
        <w:tc>
          <w:tcPr>
            <w:tcW w:w="2015" w:type="pct"/>
            <w:vAlign w:val="center"/>
          </w:tcPr>
          <w:p w14:paraId="06AED1F2" w14:textId="7FEB3F2C" w:rsidR="00AA2F0C" w:rsidRPr="00EB0BC9" w:rsidRDefault="00285E89" w:rsidP="0080422E">
            <w:pPr>
              <w:pStyle w:val="TableText"/>
              <w:rPr>
                <w:lang w:val="en-US"/>
              </w:rPr>
            </w:pPr>
            <w:r w:rsidRPr="00EB0BC9">
              <w:rPr>
                <w:lang w:val="en-US"/>
              </w:rPr>
              <w:t>Moderate</w:t>
            </w:r>
            <w:r w:rsidR="009765EC" w:rsidRPr="000E64F9">
              <w:rPr>
                <w:lang w:val="en-US"/>
              </w:rPr>
              <w:t xml:space="preserve"> impact on incremental costs</w:t>
            </w:r>
            <w:r w:rsidR="009765EC">
              <w:t xml:space="preserve"> and </w:t>
            </w:r>
            <w:r w:rsidR="009765EC" w:rsidRPr="009765EC">
              <w:rPr>
                <w:lang w:val="en-US"/>
              </w:rPr>
              <w:t>effects</w:t>
            </w:r>
            <w:r w:rsidR="00091F1C">
              <w:rPr>
                <w:lang w:val="en-US"/>
              </w:rPr>
              <w:t>;</w:t>
            </w:r>
            <w:r>
              <w:rPr>
                <w:lang w:val="en-US"/>
              </w:rPr>
              <w:t xml:space="preserve"> </w:t>
            </w:r>
            <w:r w:rsidR="009765EC" w:rsidRPr="00AF1E83">
              <w:rPr>
                <w:lang w:val="en-US"/>
              </w:rPr>
              <w:t>direction of effect (i.e. favour</w:t>
            </w:r>
            <w:r w:rsidR="00091F1C">
              <w:rPr>
                <w:lang w:val="en-US"/>
              </w:rPr>
              <w:t>ing</w:t>
            </w:r>
            <w:r w:rsidR="009765EC" w:rsidRPr="00AF1E83">
              <w:rPr>
                <w:lang w:val="en-US"/>
              </w:rPr>
              <w:t xml:space="preserve"> intervention or comparator) uncertain</w:t>
            </w:r>
            <w:r w:rsidR="00CA45FA">
              <w:rPr>
                <w:lang w:val="en-US"/>
              </w:rPr>
              <w:t>.</w:t>
            </w:r>
          </w:p>
        </w:tc>
      </w:tr>
      <w:tr w:rsidR="00AA2F0C" w:rsidRPr="00CE28E3" w14:paraId="4D661D91" w14:textId="77777777" w:rsidTr="00C10C68">
        <w:tc>
          <w:tcPr>
            <w:tcW w:w="705" w:type="pct"/>
            <w:vAlign w:val="center"/>
          </w:tcPr>
          <w:p w14:paraId="75ABAD11" w14:textId="6300E509" w:rsidR="00AA2F0C" w:rsidRPr="00086914" w:rsidRDefault="00AA2F0C" w:rsidP="000E119E">
            <w:pPr>
              <w:pStyle w:val="TableText"/>
              <w:jc w:val="center"/>
              <w:rPr>
                <w:lang w:val="en-US"/>
              </w:rPr>
            </w:pPr>
            <w:r w:rsidRPr="009E7965">
              <w:lastRenderedPageBreak/>
              <w:t xml:space="preserve">Probability of </w:t>
            </w:r>
            <w:r w:rsidR="00076C3A" w:rsidRPr="00076C3A">
              <w:rPr>
                <w:i/>
              </w:rPr>
              <w:t>POLE</w:t>
            </w:r>
            <w:r w:rsidRPr="009E7965">
              <w:t>mut among MMRp and p53wt</w:t>
            </w:r>
            <w:r w:rsidR="00C217CE">
              <w:t xml:space="preserve"> EC</w:t>
            </w:r>
          </w:p>
        </w:tc>
        <w:tc>
          <w:tcPr>
            <w:tcW w:w="2280" w:type="pct"/>
            <w:vAlign w:val="center"/>
          </w:tcPr>
          <w:p w14:paraId="561B5C9C" w14:textId="35A35D61" w:rsidR="00AA2F0C" w:rsidRPr="00CE28E3" w:rsidRDefault="008859C3" w:rsidP="00AA2F0C">
            <w:pPr>
              <w:pStyle w:val="TableText"/>
              <w:rPr>
                <w:lang w:val="en-US"/>
              </w:rPr>
            </w:pPr>
            <w:r>
              <w:rPr>
                <w:lang w:val="en-US"/>
              </w:rPr>
              <w:t>Base case a</w:t>
            </w:r>
            <w:r w:rsidRPr="009A3355">
              <w:rPr>
                <w:lang w:val="en-US"/>
              </w:rPr>
              <w:t xml:space="preserve">ssumptions based on prevalence data from </w:t>
            </w:r>
            <w:r w:rsidRPr="00530FEF">
              <w:rPr>
                <w:lang w:val="en-US"/>
              </w:rPr>
              <w:t>Talhouk</w:t>
            </w:r>
            <w:r>
              <w:rPr>
                <w:lang w:val="en-US"/>
              </w:rPr>
              <w:t xml:space="preserve"> et al.</w:t>
            </w:r>
            <w:r w:rsidRPr="00530FEF">
              <w:rPr>
                <w:lang w:val="en-US"/>
              </w:rPr>
              <w:t xml:space="preserve"> </w:t>
            </w:r>
            <w:r w:rsidRPr="009A3355">
              <w:rPr>
                <w:lang w:val="en-US"/>
              </w:rPr>
              <w:t>(2017)</w:t>
            </w:r>
            <w:r w:rsidR="002D50A8" w:rsidRPr="00C10C68">
              <w:rPr>
                <w:vertAlign w:val="superscript"/>
                <w:lang w:val="en-US"/>
              </w:rPr>
              <w:fldChar w:fldCharType="begin"/>
            </w:r>
            <w:r w:rsidR="002D50A8" w:rsidRPr="00C10C68">
              <w:rPr>
                <w:vertAlign w:val="superscript"/>
                <w:lang w:val="en-US"/>
              </w:rPr>
              <w:instrText xml:space="preserve"> NOTEREF _Ref216340419 \h </w:instrText>
            </w:r>
            <w:r w:rsidR="002D50A8">
              <w:rPr>
                <w:vertAlign w:val="superscript"/>
                <w:lang w:val="en-US"/>
              </w:rPr>
              <w:instrText xml:space="preserve"> \* MERGEFORMAT </w:instrText>
            </w:r>
            <w:r w:rsidR="002D50A8" w:rsidRPr="00C10C68">
              <w:rPr>
                <w:vertAlign w:val="superscript"/>
                <w:lang w:val="en-US"/>
              </w:rPr>
            </w:r>
            <w:r w:rsidR="002D50A8" w:rsidRPr="00C10C68">
              <w:rPr>
                <w:vertAlign w:val="superscript"/>
                <w:lang w:val="en-US"/>
              </w:rPr>
              <w:fldChar w:fldCharType="separate"/>
            </w:r>
            <w:r w:rsidR="000B42CB">
              <w:rPr>
                <w:vertAlign w:val="superscript"/>
                <w:lang w:val="en-US"/>
              </w:rPr>
              <w:t>28</w:t>
            </w:r>
            <w:r w:rsidR="002D50A8" w:rsidRPr="00C10C68">
              <w:rPr>
                <w:vertAlign w:val="superscript"/>
                <w:lang w:val="en-US"/>
              </w:rPr>
              <w:fldChar w:fldCharType="end"/>
            </w:r>
            <w:r w:rsidRPr="009A3355">
              <w:rPr>
                <w:lang w:val="en-US"/>
              </w:rPr>
              <w:t xml:space="preserve"> and </w:t>
            </w:r>
            <w:r w:rsidRPr="00530FEF">
              <w:rPr>
                <w:lang w:val="en-US"/>
              </w:rPr>
              <w:t xml:space="preserve">León-Castillo </w:t>
            </w:r>
            <w:r>
              <w:rPr>
                <w:lang w:val="en-US"/>
              </w:rPr>
              <w:t xml:space="preserve">et al. </w:t>
            </w:r>
            <w:r w:rsidRPr="009A3355">
              <w:rPr>
                <w:lang w:val="en-US"/>
              </w:rPr>
              <w:t>(2020)</w:t>
            </w:r>
            <w:r w:rsidR="002D50A8" w:rsidRPr="00C10C68">
              <w:rPr>
                <w:vertAlign w:val="superscript"/>
                <w:lang w:val="en-US"/>
              </w:rPr>
              <w:fldChar w:fldCharType="begin"/>
            </w:r>
            <w:r w:rsidR="002D50A8" w:rsidRPr="00C10C68">
              <w:rPr>
                <w:vertAlign w:val="superscript"/>
                <w:lang w:val="en-US"/>
              </w:rPr>
              <w:instrText xml:space="preserve"> NOTEREF _Ref216340424 \h </w:instrText>
            </w:r>
            <w:r w:rsidR="002D50A8">
              <w:rPr>
                <w:vertAlign w:val="superscript"/>
                <w:lang w:val="en-US"/>
              </w:rPr>
              <w:instrText xml:space="preserve"> \* MERGEFORMAT </w:instrText>
            </w:r>
            <w:r w:rsidR="002D50A8" w:rsidRPr="00C10C68">
              <w:rPr>
                <w:vertAlign w:val="superscript"/>
                <w:lang w:val="en-US"/>
              </w:rPr>
            </w:r>
            <w:r w:rsidR="002D50A8" w:rsidRPr="00C10C68">
              <w:rPr>
                <w:vertAlign w:val="superscript"/>
                <w:lang w:val="en-US"/>
              </w:rPr>
              <w:fldChar w:fldCharType="separate"/>
            </w:r>
            <w:r w:rsidR="000B42CB">
              <w:rPr>
                <w:vertAlign w:val="superscript"/>
                <w:lang w:val="en-US"/>
              </w:rPr>
              <w:t>29</w:t>
            </w:r>
            <w:r w:rsidR="002D50A8" w:rsidRPr="00C10C68">
              <w:rPr>
                <w:vertAlign w:val="superscript"/>
                <w:lang w:val="en-US"/>
              </w:rPr>
              <w:fldChar w:fldCharType="end"/>
            </w:r>
            <w:r w:rsidRPr="009A3355">
              <w:rPr>
                <w:lang w:val="en-US"/>
              </w:rPr>
              <w:t xml:space="preserve"> and varied by ±10% in the </w:t>
            </w:r>
            <w:r>
              <w:rPr>
                <w:lang w:val="en-US"/>
              </w:rPr>
              <w:t>OWSA</w:t>
            </w:r>
            <w:r w:rsidRPr="009A3355">
              <w:rPr>
                <w:lang w:val="en-US"/>
              </w:rPr>
              <w:t>.</w:t>
            </w:r>
          </w:p>
        </w:tc>
        <w:tc>
          <w:tcPr>
            <w:tcW w:w="2015" w:type="pct"/>
            <w:vAlign w:val="center"/>
          </w:tcPr>
          <w:p w14:paraId="72BCBB30" w14:textId="6EA69BA7" w:rsidR="00AA2F0C" w:rsidRPr="00EB0BC9" w:rsidRDefault="00A005A1" w:rsidP="0080422E">
            <w:pPr>
              <w:pStyle w:val="TableText"/>
              <w:rPr>
                <w:lang w:val="en-US"/>
              </w:rPr>
            </w:pPr>
            <w:r w:rsidRPr="00EB0BC9">
              <w:rPr>
                <w:lang w:val="en-US"/>
              </w:rPr>
              <w:t>Moderate</w:t>
            </w:r>
            <w:r w:rsidRPr="000E64F9">
              <w:rPr>
                <w:lang w:val="en-US"/>
              </w:rPr>
              <w:t xml:space="preserve"> impact on incremental </w:t>
            </w:r>
            <w:r w:rsidR="00BA0267" w:rsidRPr="009765EC">
              <w:rPr>
                <w:lang w:val="en-US"/>
              </w:rPr>
              <w:t>effects</w:t>
            </w:r>
            <w:r w:rsidR="00850CCD">
              <w:rPr>
                <w:lang w:val="en-US"/>
              </w:rPr>
              <w:t>;</w:t>
            </w:r>
            <w:r>
              <w:rPr>
                <w:lang w:val="en-US"/>
              </w:rPr>
              <w:t xml:space="preserve"> </w:t>
            </w:r>
            <w:r w:rsidR="00073222" w:rsidRPr="00AF1E83">
              <w:rPr>
                <w:lang w:val="en-US"/>
              </w:rPr>
              <w:t>direction of effect (i.e. favour</w:t>
            </w:r>
            <w:r w:rsidR="00850CCD">
              <w:rPr>
                <w:lang w:val="en-US"/>
              </w:rPr>
              <w:t>ing</w:t>
            </w:r>
            <w:r w:rsidR="00073222" w:rsidRPr="00AF1E83">
              <w:rPr>
                <w:lang w:val="en-US"/>
              </w:rPr>
              <w:t xml:space="preserve"> intervention or comparator) uncertain</w:t>
            </w:r>
            <w:r>
              <w:rPr>
                <w:lang w:val="en-US"/>
              </w:rPr>
              <w:t>.</w:t>
            </w:r>
          </w:p>
        </w:tc>
      </w:tr>
      <w:tr w:rsidR="00AA2F0C" w:rsidRPr="00CE28E3" w14:paraId="37DBEC00" w14:textId="77777777" w:rsidTr="00C10C68">
        <w:tc>
          <w:tcPr>
            <w:tcW w:w="705" w:type="pct"/>
            <w:vAlign w:val="center"/>
          </w:tcPr>
          <w:p w14:paraId="748A9E74" w14:textId="63D26E5E" w:rsidR="00AA2F0C" w:rsidRPr="009E7965" w:rsidRDefault="00CE2B67" w:rsidP="000E119E">
            <w:pPr>
              <w:pStyle w:val="TableText"/>
              <w:jc w:val="center"/>
            </w:pPr>
            <w:r>
              <w:t>C</w:t>
            </w:r>
            <w:r w:rsidR="00FB5096" w:rsidRPr="00FB5096">
              <w:t>omposition of eligible test population entering the model</w:t>
            </w:r>
          </w:p>
        </w:tc>
        <w:tc>
          <w:tcPr>
            <w:tcW w:w="2280" w:type="pct"/>
            <w:vAlign w:val="center"/>
          </w:tcPr>
          <w:p w14:paraId="04EDCF17" w14:textId="5158BECD" w:rsidR="00AA2F0C" w:rsidRPr="00CE28E3" w:rsidRDefault="0086654F" w:rsidP="00AA2F0C">
            <w:pPr>
              <w:pStyle w:val="TableText"/>
              <w:rPr>
                <w:lang w:val="en-US"/>
              </w:rPr>
            </w:pPr>
            <w:r>
              <w:rPr>
                <w:lang w:val="en-US"/>
              </w:rPr>
              <w:t>B</w:t>
            </w:r>
            <w:r w:rsidRPr="0086654F">
              <w:rPr>
                <w:lang w:val="en-US"/>
              </w:rPr>
              <w:t xml:space="preserve">ase case included all EC patients, whereas scenario analyses excluded certain subgroups in which </w:t>
            </w:r>
            <w:r w:rsidR="001B20C1">
              <w:rPr>
                <w:lang w:val="en-US"/>
              </w:rPr>
              <w:t>a</w:t>
            </w:r>
            <w:r w:rsidR="003D749A">
              <w:rPr>
                <w:lang w:val="en-US"/>
              </w:rPr>
              <w:t>)</w:t>
            </w:r>
            <w:r w:rsidR="001B20C1">
              <w:rPr>
                <w:lang w:val="en-US"/>
              </w:rPr>
              <w:t xml:space="preserve"> </w:t>
            </w:r>
            <w:r w:rsidR="00076C3A" w:rsidRPr="00076C3A">
              <w:rPr>
                <w:i/>
                <w:lang w:val="en-US"/>
              </w:rPr>
              <w:t>POLE</w:t>
            </w:r>
            <w:r w:rsidRPr="0086654F">
              <w:rPr>
                <w:lang w:val="en-US"/>
              </w:rPr>
              <w:t xml:space="preserve"> genotyping not expected to </w:t>
            </w:r>
            <w:r w:rsidR="001B20C1">
              <w:rPr>
                <w:lang w:val="en-US"/>
              </w:rPr>
              <w:t>change</w:t>
            </w:r>
            <w:r w:rsidRPr="0086654F">
              <w:rPr>
                <w:lang w:val="en-US"/>
              </w:rPr>
              <w:t xml:space="preserve"> management</w:t>
            </w:r>
            <w:r w:rsidR="00850CCD">
              <w:rPr>
                <w:lang w:val="en-US"/>
              </w:rPr>
              <w:t>,</w:t>
            </w:r>
            <w:r w:rsidRPr="0086654F">
              <w:rPr>
                <w:lang w:val="en-US"/>
              </w:rPr>
              <w:t xml:space="preserve"> or </w:t>
            </w:r>
            <w:r w:rsidR="001B20C1">
              <w:rPr>
                <w:lang w:val="en-US"/>
              </w:rPr>
              <w:t>b</w:t>
            </w:r>
            <w:r w:rsidR="003D749A">
              <w:rPr>
                <w:lang w:val="en-US"/>
              </w:rPr>
              <w:t>)</w:t>
            </w:r>
            <w:r w:rsidRPr="0086654F">
              <w:rPr>
                <w:lang w:val="en-US"/>
              </w:rPr>
              <w:t xml:space="preserve"> patients would not receive adjuvant therapy regardless of </w:t>
            </w:r>
            <w:r w:rsidR="00076C3A" w:rsidRPr="00076C3A">
              <w:rPr>
                <w:i/>
                <w:lang w:val="en-US"/>
              </w:rPr>
              <w:t>POLE</w:t>
            </w:r>
            <w:r w:rsidR="001B20C1" w:rsidRPr="0086654F">
              <w:rPr>
                <w:lang w:val="en-US"/>
              </w:rPr>
              <w:t xml:space="preserve"> </w:t>
            </w:r>
            <w:r w:rsidR="00BA18E9">
              <w:rPr>
                <w:lang w:val="en-US"/>
              </w:rPr>
              <w:t>status</w:t>
            </w:r>
            <w:r w:rsidRPr="0086654F">
              <w:rPr>
                <w:lang w:val="en-US"/>
              </w:rPr>
              <w:t>.</w:t>
            </w:r>
          </w:p>
        </w:tc>
        <w:tc>
          <w:tcPr>
            <w:tcW w:w="2015" w:type="pct"/>
            <w:vAlign w:val="center"/>
          </w:tcPr>
          <w:p w14:paraId="322E5E14" w14:textId="3FF12E17" w:rsidR="00B716C4" w:rsidRPr="00EB0BC9" w:rsidRDefault="00CC357A" w:rsidP="003D749A">
            <w:pPr>
              <w:pStyle w:val="TableText"/>
              <w:rPr>
                <w:lang w:val="en-US"/>
              </w:rPr>
            </w:pPr>
            <w:r w:rsidRPr="00CC357A">
              <w:rPr>
                <w:lang w:val="en-US"/>
              </w:rPr>
              <w:t>High</w:t>
            </w:r>
            <w:r>
              <w:rPr>
                <w:lang w:val="en-US"/>
              </w:rPr>
              <w:t>,</w:t>
            </w:r>
            <w:r w:rsidRPr="00CC357A">
              <w:rPr>
                <w:lang w:val="en-US"/>
              </w:rPr>
              <w:t xml:space="preserve"> </w:t>
            </w:r>
            <w:r w:rsidR="009765EC">
              <w:rPr>
                <w:lang w:val="en-US"/>
              </w:rPr>
              <w:t>favours the comparator.</w:t>
            </w:r>
            <w:r w:rsidR="003D749A">
              <w:rPr>
                <w:lang w:val="en-US"/>
              </w:rPr>
              <w:t xml:space="preserve"> </w:t>
            </w:r>
            <w:r w:rsidR="00B716C4" w:rsidRPr="00B716C4">
              <w:t xml:space="preserve">When subgroups unlikely to benefit from </w:t>
            </w:r>
            <w:r w:rsidR="00076C3A" w:rsidRPr="00076C3A">
              <w:rPr>
                <w:i/>
              </w:rPr>
              <w:t>POLE</w:t>
            </w:r>
            <w:r w:rsidR="00B716C4" w:rsidRPr="00B716C4">
              <w:t xml:space="preserve"> genotyping were excluded</w:t>
            </w:r>
            <w:r w:rsidR="00996FEA">
              <w:t xml:space="preserve"> from the analysis</w:t>
            </w:r>
            <w:r w:rsidR="00B716C4" w:rsidRPr="00B716C4">
              <w:t xml:space="preserve">, a slightly lower proportion of patients were identified </w:t>
            </w:r>
            <w:r w:rsidR="00996FEA">
              <w:t xml:space="preserve">to </w:t>
            </w:r>
            <w:r w:rsidR="00E46803" w:rsidRPr="00E46803">
              <w:t xml:space="preserve">harbour a </w:t>
            </w:r>
            <w:r w:rsidR="00312A1F">
              <w:rPr>
                <w:i/>
              </w:rPr>
              <w:t>POLE</w:t>
            </w:r>
            <w:r w:rsidR="00312A1F" w:rsidRPr="00312A1F">
              <w:t>mut</w:t>
            </w:r>
            <w:r w:rsidR="009C5E15">
              <w:t>.</w:t>
            </w:r>
            <w:r w:rsidR="00B716C4" w:rsidRPr="00B716C4">
              <w:t xml:space="preserve"> </w:t>
            </w:r>
            <w:r w:rsidR="003A5F24">
              <w:t>H</w:t>
            </w:r>
            <w:r w:rsidR="00B716C4" w:rsidRPr="00B716C4">
              <w:t>igher proportion</w:t>
            </w:r>
            <w:r w:rsidR="008F4297">
              <w:t xml:space="preserve"> of patients </w:t>
            </w:r>
            <w:r w:rsidR="003769CA">
              <w:t>projected to</w:t>
            </w:r>
            <w:r w:rsidR="00B716C4" w:rsidRPr="00B716C4">
              <w:t xml:space="preserve"> under</w:t>
            </w:r>
            <w:r w:rsidR="003769CA">
              <w:t>go</w:t>
            </w:r>
            <w:r w:rsidR="00B716C4" w:rsidRPr="00B716C4">
              <w:t xml:space="preserve"> </w:t>
            </w:r>
            <w:r w:rsidR="00133E20">
              <w:t xml:space="preserve">adjuvant </w:t>
            </w:r>
            <w:r w:rsidR="00B716C4" w:rsidRPr="00B716C4">
              <w:t xml:space="preserve">treatment de-escalation, resulting in greater cost savings per patient (up to </w:t>
            </w:r>
            <w:r w:rsidR="003A4F9F">
              <w:t>203.2</w:t>
            </w:r>
            <w:r w:rsidR="00B716C4" w:rsidRPr="00B716C4">
              <w:t>% higher than base case)</w:t>
            </w:r>
            <w:r w:rsidR="00386504">
              <w:t xml:space="preserve"> and increased incremental QALY</w:t>
            </w:r>
            <w:r w:rsidR="00822D5D">
              <w:t>s</w:t>
            </w:r>
            <w:r w:rsidR="00386504">
              <w:t xml:space="preserve"> gained</w:t>
            </w:r>
            <w:r w:rsidR="00B716C4" w:rsidRPr="00B716C4">
              <w:t>.</w:t>
            </w:r>
          </w:p>
        </w:tc>
      </w:tr>
      <w:tr w:rsidR="00A005A1" w:rsidRPr="00CE28E3" w14:paraId="56F72B95" w14:textId="77777777" w:rsidTr="00C10C68">
        <w:tc>
          <w:tcPr>
            <w:tcW w:w="705" w:type="pct"/>
            <w:vAlign w:val="center"/>
          </w:tcPr>
          <w:p w14:paraId="00DBE2D3" w14:textId="023B7D6D" w:rsidR="00A005A1" w:rsidRPr="00FB5096" w:rsidRDefault="00A005A1" w:rsidP="00A005A1">
            <w:pPr>
              <w:pStyle w:val="TableText"/>
              <w:jc w:val="center"/>
            </w:pPr>
            <w:r>
              <w:t xml:space="preserve">Proportion of </w:t>
            </w:r>
            <w:r w:rsidRPr="00FB5096">
              <w:t xml:space="preserve">patients </w:t>
            </w:r>
            <w:r w:rsidR="002F4064">
              <w:t>with</w:t>
            </w:r>
            <w:r w:rsidRPr="00FB5096">
              <w:t xml:space="preserve"> change in management</w:t>
            </w:r>
            <w:r>
              <w:t xml:space="preserve"> </w:t>
            </w:r>
            <w:r w:rsidR="002F4064" w:rsidRPr="002F4064">
              <w:t xml:space="preserve">following </w:t>
            </w:r>
            <w:r w:rsidR="00076C3A" w:rsidRPr="00076C3A">
              <w:rPr>
                <w:i/>
              </w:rPr>
              <w:t>POLE</w:t>
            </w:r>
            <w:r w:rsidR="002F4064" w:rsidRPr="002F4064">
              <w:t>mut identification</w:t>
            </w:r>
          </w:p>
        </w:tc>
        <w:tc>
          <w:tcPr>
            <w:tcW w:w="2280" w:type="pct"/>
            <w:vAlign w:val="center"/>
          </w:tcPr>
          <w:p w14:paraId="0E996A8F" w14:textId="789101CD" w:rsidR="00891708" w:rsidRPr="00CE28E3" w:rsidRDefault="00A00D87" w:rsidP="00A005A1">
            <w:pPr>
              <w:pStyle w:val="TableText"/>
              <w:rPr>
                <w:lang w:val="en-US"/>
              </w:rPr>
            </w:pPr>
            <w:r>
              <w:rPr>
                <w:lang w:val="en-US"/>
              </w:rPr>
              <w:t>B</w:t>
            </w:r>
            <w:r w:rsidR="00891708" w:rsidRPr="00891708">
              <w:rPr>
                <w:lang w:val="en-US"/>
              </w:rPr>
              <w:t>ase case</w:t>
            </w:r>
            <w:r>
              <w:rPr>
                <w:lang w:val="en-US"/>
              </w:rPr>
              <w:t xml:space="preserve"> </w:t>
            </w:r>
            <w:r w:rsidRPr="00891708">
              <w:rPr>
                <w:lang w:val="en-US"/>
              </w:rPr>
              <w:t>assumed</w:t>
            </w:r>
            <w:r w:rsidR="00891708" w:rsidRPr="00891708">
              <w:rPr>
                <w:lang w:val="en-US"/>
              </w:rPr>
              <w:t xml:space="preserve"> all non-metastatic </w:t>
            </w:r>
            <w:r w:rsidR="00891708">
              <w:rPr>
                <w:lang w:val="en-US"/>
              </w:rPr>
              <w:t xml:space="preserve">EC </w:t>
            </w:r>
            <w:r w:rsidR="00891708" w:rsidRPr="00891708">
              <w:rPr>
                <w:lang w:val="en-US"/>
              </w:rPr>
              <w:t xml:space="preserve">patients receiving adjuvant therapy identified as </w:t>
            </w:r>
            <w:r w:rsidR="00076C3A" w:rsidRPr="00076C3A">
              <w:rPr>
                <w:i/>
                <w:lang w:val="en-US"/>
              </w:rPr>
              <w:t>POLE</w:t>
            </w:r>
            <w:r w:rsidR="00891708" w:rsidRPr="00891708">
              <w:rPr>
                <w:lang w:val="en-US"/>
              </w:rPr>
              <w:t xml:space="preserve">mut </w:t>
            </w:r>
            <w:r>
              <w:rPr>
                <w:lang w:val="en-US"/>
              </w:rPr>
              <w:t>would</w:t>
            </w:r>
            <w:r w:rsidR="00891708" w:rsidRPr="00891708">
              <w:rPr>
                <w:lang w:val="en-US"/>
              </w:rPr>
              <w:t xml:space="preserve"> undergo treatment de-escalation, representing the most optimistic scenario. Given the lack of clear guideline recommendations </w:t>
            </w:r>
            <w:r w:rsidR="00631FEA">
              <w:rPr>
                <w:lang w:val="en-US"/>
              </w:rPr>
              <w:t xml:space="preserve">or clinical evidence </w:t>
            </w:r>
            <w:r w:rsidR="00891708" w:rsidRPr="00891708">
              <w:rPr>
                <w:lang w:val="en-US"/>
              </w:rPr>
              <w:t>for stage III–IVA disease, less optimistic assumptions explored in scenario analyses</w:t>
            </w:r>
            <w:r w:rsidR="00481950">
              <w:rPr>
                <w:lang w:val="en-US"/>
              </w:rPr>
              <w:t xml:space="preserve"> (</w:t>
            </w:r>
            <w:r w:rsidR="00481950" w:rsidRPr="00FB5096">
              <w:rPr>
                <w:lang w:val="en-US"/>
              </w:rPr>
              <w:t>stage III–IVA subgroup</w:t>
            </w:r>
            <w:r w:rsidR="007625B4">
              <w:rPr>
                <w:lang w:val="en-US"/>
              </w:rPr>
              <w:t>,</w:t>
            </w:r>
            <w:r w:rsidR="0096032D">
              <w:rPr>
                <w:lang w:val="en-US"/>
              </w:rPr>
              <w:t xml:space="preserve"> </w:t>
            </w:r>
            <w:r w:rsidR="00CF55B0" w:rsidRPr="00CF55B0">
              <w:rPr>
                <w:lang w:val="en-US"/>
              </w:rPr>
              <w:t>varied by</w:t>
            </w:r>
            <w:r w:rsidR="00CF55B0">
              <w:rPr>
                <w:lang w:val="en-US"/>
              </w:rPr>
              <w:t xml:space="preserve"> </w:t>
            </w:r>
            <w:r w:rsidR="0096032D" w:rsidRPr="0096032D">
              <w:rPr>
                <w:lang w:val="en-US"/>
              </w:rPr>
              <w:t>10–90%</w:t>
            </w:r>
            <w:r w:rsidR="00481950">
              <w:rPr>
                <w:lang w:val="en-US"/>
              </w:rPr>
              <w:t>)</w:t>
            </w:r>
            <w:r w:rsidR="00891708" w:rsidRPr="00891708">
              <w:rPr>
                <w:lang w:val="en-US"/>
              </w:rPr>
              <w:t>.</w:t>
            </w:r>
          </w:p>
        </w:tc>
        <w:tc>
          <w:tcPr>
            <w:tcW w:w="2015" w:type="pct"/>
            <w:vAlign w:val="center"/>
          </w:tcPr>
          <w:p w14:paraId="2E99A261" w14:textId="4E1A4AB2" w:rsidR="00CF3E21" w:rsidRPr="00EB0BC9" w:rsidRDefault="002A4E23" w:rsidP="00A005A1">
            <w:pPr>
              <w:pStyle w:val="TableText"/>
              <w:rPr>
                <w:lang w:val="en-US"/>
              </w:rPr>
            </w:pPr>
            <w:r w:rsidRPr="00CC357A">
              <w:rPr>
                <w:lang w:val="en-US"/>
              </w:rPr>
              <w:t>High</w:t>
            </w:r>
            <w:r>
              <w:rPr>
                <w:lang w:val="en-US"/>
              </w:rPr>
              <w:t>,</w:t>
            </w:r>
            <w:r w:rsidRPr="00CC357A">
              <w:rPr>
                <w:lang w:val="en-US"/>
              </w:rPr>
              <w:t xml:space="preserve"> </w:t>
            </w:r>
            <w:r>
              <w:rPr>
                <w:lang w:val="en-US"/>
              </w:rPr>
              <w:t>favours the intervention.</w:t>
            </w:r>
            <w:r w:rsidR="00E44D5D">
              <w:rPr>
                <w:lang w:val="en-US"/>
              </w:rPr>
              <w:t xml:space="preserve"> </w:t>
            </w:r>
            <w:r w:rsidR="00191136">
              <w:rPr>
                <w:lang w:val="en-US"/>
              </w:rPr>
              <w:t>S</w:t>
            </w:r>
            <w:r w:rsidR="00CF3E21" w:rsidRPr="00CF3E21">
              <w:rPr>
                <w:lang w:val="en-US"/>
              </w:rPr>
              <w:t xml:space="preserve">cenario </w:t>
            </w:r>
            <w:r w:rsidR="00C93C9A" w:rsidRPr="00C93C9A">
              <w:rPr>
                <w:lang w:val="en-US"/>
              </w:rPr>
              <w:t>assuming 50% of stage III–IVA patients changed management</w:t>
            </w:r>
            <w:r w:rsidR="00C93C9A">
              <w:rPr>
                <w:lang w:val="en-US"/>
              </w:rPr>
              <w:t xml:space="preserve"> due to </w:t>
            </w:r>
            <w:r w:rsidR="00C93C9A" w:rsidRPr="002F4064">
              <w:t>identification</w:t>
            </w:r>
            <w:r w:rsidR="00C93C9A" w:rsidRPr="00AB2757">
              <w:t xml:space="preserve"> of </w:t>
            </w:r>
            <w:r w:rsidR="00076C3A" w:rsidRPr="00076C3A">
              <w:rPr>
                <w:i/>
              </w:rPr>
              <w:t>POLE</w:t>
            </w:r>
            <w:r w:rsidR="00C93C9A" w:rsidRPr="002F4064">
              <w:t>mut</w:t>
            </w:r>
            <w:r w:rsidR="00C93C9A" w:rsidRPr="00C93C9A">
              <w:rPr>
                <w:lang w:val="en-US"/>
              </w:rPr>
              <w:t xml:space="preserve"> </w:t>
            </w:r>
            <w:r w:rsidR="00F653AC">
              <w:rPr>
                <w:lang w:val="en-US"/>
              </w:rPr>
              <w:t>inverted the incremental costs (i.e. reverted the cost saving result)</w:t>
            </w:r>
            <w:r w:rsidR="00C93C9A" w:rsidRPr="00C93C9A">
              <w:rPr>
                <w:lang w:val="en-US"/>
              </w:rPr>
              <w:t>.</w:t>
            </w:r>
            <w:r w:rsidR="00822D5D">
              <w:rPr>
                <w:lang w:val="en-US"/>
              </w:rPr>
              <w:t xml:space="preserve"> Incremental QALYs gained were reduced by 1</w:t>
            </w:r>
            <w:r w:rsidR="009F7F6F">
              <w:rPr>
                <w:lang w:val="en-US"/>
              </w:rPr>
              <w:t>1</w:t>
            </w:r>
            <w:r w:rsidR="00822D5D">
              <w:rPr>
                <w:lang w:val="en-US"/>
              </w:rPr>
              <w:t>.0% under this scenario.</w:t>
            </w:r>
          </w:p>
        </w:tc>
      </w:tr>
      <w:tr w:rsidR="003F7FD4" w:rsidRPr="00CE28E3" w14:paraId="1E12A606" w14:textId="77777777" w:rsidTr="00C10C68">
        <w:tc>
          <w:tcPr>
            <w:tcW w:w="705" w:type="pct"/>
            <w:vAlign w:val="center"/>
          </w:tcPr>
          <w:p w14:paraId="082E3C3C" w14:textId="4E50A632" w:rsidR="003F7FD4" w:rsidRDefault="003F7FD4" w:rsidP="00A005A1">
            <w:pPr>
              <w:pStyle w:val="TableText"/>
              <w:jc w:val="center"/>
            </w:pPr>
            <w:r>
              <w:t>Cost</w:t>
            </w:r>
            <w:r w:rsidR="003A1463">
              <w:t xml:space="preserve"> </w:t>
            </w:r>
            <w:r w:rsidR="00540131">
              <w:t xml:space="preserve">of </w:t>
            </w:r>
            <w:r w:rsidR="003A1463" w:rsidRPr="003A1463">
              <w:rPr>
                <w:i/>
                <w:iCs/>
              </w:rPr>
              <w:t>POLE</w:t>
            </w:r>
            <w:r w:rsidR="003A1463">
              <w:t xml:space="preserve"> genotyping</w:t>
            </w:r>
          </w:p>
        </w:tc>
        <w:tc>
          <w:tcPr>
            <w:tcW w:w="2280" w:type="pct"/>
            <w:vAlign w:val="center"/>
          </w:tcPr>
          <w:p w14:paraId="70C981FE" w14:textId="395FE772" w:rsidR="003F7FD4" w:rsidRDefault="00540131" w:rsidP="00A005A1">
            <w:pPr>
              <w:pStyle w:val="TableText"/>
              <w:rPr>
                <w:lang w:val="en-US"/>
              </w:rPr>
            </w:pPr>
            <w:r w:rsidRPr="00540131">
              <w:rPr>
                <w:lang w:val="en-US"/>
              </w:rPr>
              <w:t xml:space="preserve">Base case assumptions based on the proposed fee of $497.13 for a new MBS item for </w:t>
            </w:r>
            <w:r w:rsidRPr="00540131">
              <w:rPr>
                <w:i/>
                <w:iCs/>
                <w:lang w:val="en-US"/>
              </w:rPr>
              <w:t>POLE</w:t>
            </w:r>
            <w:r w:rsidRPr="00540131">
              <w:rPr>
                <w:lang w:val="en-US"/>
              </w:rPr>
              <w:t xml:space="preserve"> genotyping.</w:t>
            </w:r>
            <w:r w:rsidRPr="00540131">
              <w:t xml:space="preserve"> </w:t>
            </w:r>
            <w:r w:rsidRPr="00540131">
              <w:rPr>
                <w:lang w:val="en-US"/>
              </w:rPr>
              <w:t xml:space="preserve">A sensitivity analysis was conducted using alternative </w:t>
            </w:r>
            <w:r w:rsidRPr="00540131">
              <w:rPr>
                <w:i/>
                <w:iCs/>
                <w:lang w:val="en-US"/>
              </w:rPr>
              <w:t>POLE</w:t>
            </w:r>
            <w:r w:rsidRPr="00540131">
              <w:rPr>
                <w:lang w:val="en-US"/>
              </w:rPr>
              <w:t xml:space="preserve"> genotyping costs of $550 (to reflect the error of margin) and $397.35 (based on the existing MBS item 73337 for single-gene testing).</w:t>
            </w:r>
          </w:p>
        </w:tc>
        <w:tc>
          <w:tcPr>
            <w:tcW w:w="2015" w:type="pct"/>
            <w:vAlign w:val="center"/>
          </w:tcPr>
          <w:p w14:paraId="7D8CCFF3" w14:textId="48CDE3AA" w:rsidR="003F7FD4" w:rsidRPr="00CC357A" w:rsidRDefault="00540131" w:rsidP="00A005A1">
            <w:pPr>
              <w:pStyle w:val="TableText"/>
              <w:rPr>
                <w:lang w:val="en-US"/>
              </w:rPr>
            </w:pPr>
            <w:r w:rsidRPr="00540131">
              <w:rPr>
                <w:lang w:val="en-US"/>
              </w:rPr>
              <w:t>Moderate impact on incremental costs; direction of effect (i.e. favouring intervention or comparator) uncertain.</w:t>
            </w:r>
          </w:p>
        </w:tc>
      </w:tr>
      <w:tr w:rsidR="00D50442" w:rsidRPr="00CE28E3" w14:paraId="3069C7EF" w14:textId="77777777" w:rsidTr="003F7FD4">
        <w:tc>
          <w:tcPr>
            <w:tcW w:w="705" w:type="pct"/>
            <w:vAlign w:val="center"/>
          </w:tcPr>
          <w:p w14:paraId="79EC39CE" w14:textId="473E8191" w:rsidR="00D50442" w:rsidRDefault="00D50442" w:rsidP="00540131">
            <w:pPr>
              <w:pStyle w:val="TableText"/>
              <w:jc w:val="center"/>
            </w:pPr>
            <w:r>
              <w:t xml:space="preserve">Health state </w:t>
            </w:r>
            <w:r w:rsidRPr="007C7DFE">
              <w:t>utility</w:t>
            </w:r>
            <w:r>
              <w:t xml:space="preserve"> values</w:t>
            </w:r>
          </w:p>
        </w:tc>
        <w:tc>
          <w:tcPr>
            <w:tcW w:w="2280" w:type="pct"/>
            <w:vAlign w:val="center"/>
          </w:tcPr>
          <w:p w14:paraId="767286EC" w14:textId="3B527BB7" w:rsidR="00D50442" w:rsidRPr="00540131" w:rsidRDefault="008D19C0" w:rsidP="00540131">
            <w:pPr>
              <w:pStyle w:val="TableText"/>
              <w:rPr>
                <w:lang w:val="en-US"/>
              </w:rPr>
            </w:pPr>
            <w:r>
              <w:rPr>
                <w:rFonts w:cs="Courier New"/>
              </w:rPr>
              <w:t xml:space="preserve">Health state utility values were informed by various published sources, elicited using </w:t>
            </w:r>
            <w:r w:rsidR="004855F6">
              <w:rPr>
                <w:rFonts w:cs="Courier New"/>
              </w:rPr>
              <w:t>a variety of techniques across diverse populations, and focused on cervical cancer</w:t>
            </w:r>
            <w:r w:rsidR="00600E73">
              <w:rPr>
                <w:rFonts w:cs="Courier New"/>
              </w:rPr>
              <w:t>-related</w:t>
            </w:r>
            <w:r w:rsidR="004855F6">
              <w:rPr>
                <w:rFonts w:cs="Courier New"/>
              </w:rPr>
              <w:t xml:space="preserve"> health states.</w:t>
            </w:r>
            <w:r w:rsidR="008705A2" w:rsidRPr="00C10C68">
              <w:rPr>
                <w:rFonts w:cs="Courier New"/>
                <w:vertAlign w:val="superscript"/>
              </w:rPr>
              <w:fldChar w:fldCharType="begin"/>
            </w:r>
            <w:r w:rsidR="008705A2" w:rsidRPr="00C10C68">
              <w:rPr>
                <w:rFonts w:cs="Courier New"/>
                <w:vertAlign w:val="superscript"/>
              </w:rPr>
              <w:instrText xml:space="preserve"> NOTEREF _Ref216340456 \h </w:instrText>
            </w:r>
            <w:r w:rsidR="008705A2">
              <w:rPr>
                <w:rFonts w:cs="Courier New"/>
                <w:vertAlign w:val="superscript"/>
              </w:rPr>
              <w:instrText xml:space="preserve"> \* MERGEFORMAT </w:instrText>
            </w:r>
            <w:r w:rsidR="008705A2" w:rsidRPr="00C10C68">
              <w:rPr>
                <w:rFonts w:cs="Courier New"/>
                <w:vertAlign w:val="superscript"/>
              </w:rPr>
            </w:r>
            <w:r w:rsidR="008705A2" w:rsidRPr="00C10C68">
              <w:rPr>
                <w:rFonts w:cs="Courier New"/>
                <w:vertAlign w:val="superscript"/>
              </w:rPr>
              <w:fldChar w:fldCharType="separate"/>
            </w:r>
            <w:r w:rsidR="000B42CB">
              <w:rPr>
                <w:rFonts w:cs="Courier New"/>
                <w:vertAlign w:val="superscript"/>
              </w:rPr>
              <w:t>32</w:t>
            </w:r>
            <w:r w:rsidR="008705A2" w:rsidRPr="00C10C68">
              <w:rPr>
                <w:rFonts w:cs="Courier New"/>
                <w:vertAlign w:val="superscript"/>
              </w:rPr>
              <w:fldChar w:fldCharType="end"/>
            </w:r>
            <w:r w:rsidR="008705A2" w:rsidRPr="00C10C68">
              <w:rPr>
                <w:rFonts w:cs="Courier New"/>
                <w:vertAlign w:val="superscript"/>
              </w:rPr>
              <w:t>,</w:t>
            </w:r>
            <w:r w:rsidR="008705A2" w:rsidRPr="00C10C68">
              <w:rPr>
                <w:rFonts w:cs="Courier New"/>
                <w:vertAlign w:val="superscript"/>
              </w:rPr>
              <w:fldChar w:fldCharType="begin"/>
            </w:r>
            <w:r w:rsidR="008705A2" w:rsidRPr="00C10C68">
              <w:rPr>
                <w:rFonts w:cs="Courier New"/>
                <w:vertAlign w:val="superscript"/>
              </w:rPr>
              <w:instrText xml:space="preserve"> NOTEREF _Ref216340458 \h </w:instrText>
            </w:r>
            <w:r w:rsidR="008705A2">
              <w:rPr>
                <w:rFonts w:cs="Courier New"/>
                <w:vertAlign w:val="superscript"/>
              </w:rPr>
              <w:instrText xml:space="preserve"> \* MERGEFORMAT </w:instrText>
            </w:r>
            <w:r w:rsidR="008705A2" w:rsidRPr="00C10C68">
              <w:rPr>
                <w:rFonts w:cs="Courier New"/>
                <w:vertAlign w:val="superscript"/>
              </w:rPr>
            </w:r>
            <w:r w:rsidR="008705A2" w:rsidRPr="00C10C68">
              <w:rPr>
                <w:rFonts w:cs="Courier New"/>
                <w:vertAlign w:val="superscript"/>
              </w:rPr>
              <w:fldChar w:fldCharType="separate"/>
            </w:r>
            <w:r w:rsidR="000B42CB">
              <w:rPr>
                <w:rFonts w:cs="Courier New"/>
                <w:vertAlign w:val="superscript"/>
              </w:rPr>
              <w:t>33</w:t>
            </w:r>
            <w:r w:rsidR="008705A2" w:rsidRPr="00C10C68">
              <w:rPr>
                <w:rFonts w:cs="Courier New"/>
                <w:vertAlign w:val="superscript"/>
              </w:rPr>
              <w:fldChar w:fldCharType="end"/>
            </w:r>
            <w:r w:rsidR="008705A2" w:rsidRPr="00C10C68">
              <w:rPr>
                <w:rFonts w:cs="Courier New"/>
                <w:vertAlign w:val="superscript"/>
              </w:rPr>
              <w:t>,</w:t>
            </w:r>
            <w:r w:rsidR="008705A2" w:rsidRPr="00C10C68">
              <w:rPr>
                <w:rFonts w:cs="Courier New"/>
                <w:vertAlign w:val="superscript"/>
              </w:rPr>
              <w:fldChar w:fldCharType="begin"/>
            </w:r>
            <w:r w:rsidR="008705A2" w:rsidRPr="00C10C68">
              <w:rPr>
                <w:rFonts w:cs="Courier New"/>
                <w:vertAlign w:val="superscript"/>
              </w:rPr>
              <w:instrText xml:space="preserve"> NOTEREF _Ref216340460 \h </w:instrText>
            </w:r>
            <w:r w:rsidR="008705A2">
              <w:rPr>
                <w:rFonts w:cs="Courier New"/>
                <w:vertAlign w:val="superscript"/>
              </w:rPr>
              <w:instrText xml:space="preserve"> \* MERGEFORMAT </w:instrText>
            </w:r>
            <w:r w:rsidR="008705A2" w:rsidRPr="00C10C68">
              <w:rPr>
                <w:rFonts w:cs="Courier New"/>
                <w:vertAlign w:val="superscript"/>
              </w:rPr>
            </w:r>
            <w:r w:rsidR="008705A2" w:rsidRPr="00C10C68">
              <w:rPr>
                <w:rFonts w:cs="Courier New"/>
                <w:vertAlign w:val="superscript"/>
              </w:rPr>
              <w:fldChar w:fldCharType="separate"/>
            </w:r>
            <w:r w:rsidR="000B42CB">
              <w:rPr>
                <w:rFonts w:cs="Courier New"/>
                <w:vertAlign w:val="superscript"/>
              </w:rPr>
              <w:t>34</w:t>
            </w:r>
            <w:r w:rsidR="008705A2" w:rsidRPr="00C10C68">
              <w:rPr>
                <w:rFonts w:cs="Courier New"/>
                <w:vertAlign w:val="superscript"/>
              </w:rPr>
              <w:fldChar w:fldCharType="end"/>
            </w:r>
            <w:r w:rsidR="004855F6">
              <w:rPr>
                <w:rFonts w:cs="Courier New"/>
              </w:rPr>
              <w:t xml:space="preserve"> HRQoL data has typically been collected using the </w:t>
            </w:r>
            <w:r w:rsidR="004855F6" w:rsidRPr="005A7348">
              <w:t>EORTC-QLQ-C30</w:t>
            </w:r>
            <w:r w:rsidR="004855F6">
              <w:rPr>
                <w:rFonts w:cs="Courier New"/>
              </w:rPr>
              <w:t xml:space="preserve"> in </w:t>
            </w:r>
            <w:r w:rsidR="009D51E7">
              <w:rPr>
                <w:rFonts w:cs="Courier New"/>
              </w:rPr>
              <w:t>included</w:t>
            </w:r>
            <w:r w:rsidR="004855F6">
              <w:rPr>
                <w:rFonts w:cs="Courier New"/>
              </w:rPr>
              <w:t xml:space="preserve"> RCTs </w:t>
            </w:r>
            <w:r w:rsidR="009D51E7">
              <w:rPr>
                <w:rFonts w:cs="Courier New"/>
              </w:rPr>
              <w:t xml:space="preserve">(e.g. PORTEC 2 and 3), requiring mapping to </w:t>
            </w:r>
            <w:r w:rsidR="00F53203">
              <w:rPr>
                <w:rFonts w:cs="Courier New"/>
              </w:rPr>
              <w:t xml:space="preserve">a </w:t>
            </w:r>
            <w:r w:rsidR="009D51E7">
              <w:rPr>
                <w:rFonts w:cs="Courier New"/>
              </w:rPr>
              <w:t>utility index</w:t>
            </w:r>
            <w:r w:rsidR="00B72943">
              <w:rPr>
                <w:rFonts w:cs="Courier New"/>
              </w:rPr>
              <w:t xml:space="preserve">. This approach was explored in scenario analysis. </w:t>
            </w:r>
          </w:p>
        </w:tc>
        <w:tc>
          <w:tcPr>
            <w:tcW w:w="2015" w:type="pct"/>
            <w:vAlign w:val="center"/>
          </w:tcPr>
          <w:p w14:paraId="76FB72A3" w14:textId="0E282E70" w:rsidR="00360438" w:rsidRDefault="00360438" w:rsidP="00540131">
            <w:pPr>
              <w:pStyle w:val="TableText"/>
              <w:rPr>
                <w:lang w:val="en-US"/>
              </w:rPr>
            </w:pPr>
            <w:r>
              <w:rPr>
                <w:lang w:val="en-US"/>
              </w:rPr>
              <w:t>High impact on exploratory CUA findings; likely favour intervention.</w:t>
            </w:r>
          </w:p>
          <w:p w14:paraId="22AF0BF0" w14:textId="31F8DDA5" w:rsidR="00D50442" w:rsidRPr="00540131" w:rsidRDefault="00360438" w:rsidP="00540131">
            <w:pPr>
              <w:pStyle w:val="TableText"/>
              <w:rPr>
                <w:lang w:val="en-US"/>
              </w:rPr>
            </w:pPr>
            <w:r w:rsidRPr="00360438">
              <w:rPr>
                <w:lang w:val="en-US"/>
              </w:rPr>
              <w:t>Health state utility values were key drivers of incremental QALYs, with estimated incremental QALYs varying between 0.000</w:t>
            </w:r>
            <w:r w:rsidR="004F1C4B">
              <w:rPr>
                <w:lang w:val="en-US"/>
              </w:rPr>
              <w:t>5</w:t>
            </w:r>
            <w:r w:rsidRPr="00360438">
              <w:rPr>
                <w:lang w:val="en-US"/>
              </w:rPr>
              <w:t>–0.0</w:t>
            </w:r>
            <w:r w:rsidR="004F1C4B">
              <w:rPr>
                <w:lang w:val="en-US"/>
              </w:rPr>
              <w:t>21</w:t>
            </w:r>
            <w:r w:rsidRPr="00360438">
              <w:rPr>
                <w:lang w:val="en-US"/>
              </w:rPr>
              <w:t xml:space="preserve"> in OWSA.</w:t>
            </w:r>
            <w:r>
              <w:rPr>
                <w:lang w:val="en-US"/>
              </w:rPr>
              <w:t xml:space="preserve"> Scenario analysis testing an alternate source of utility values </w:t>
            </w:r>
            <w:r w:rsidR="00964008">
              <w:rPr>
                <w:lang w:val="en-US"/>
              </w:rPr>
              <w:t>redu</w:t>
            </w:r>
            <w:r w:rsidR="004F1C4B">
              <w:rPr>
                <w:lang w:val="en-US"/>
              </w:rPr>
              <w:t>c</w:t>
            </w:r>
            <w:r w:rsidR="00964008">
              <w:rPr>
                <w:lang w:val="en-US"/>
              </w:rPr>
              <w:t xml:space="preserve">ed incremental QALYs gained by 76.2%. </w:t>
            </w:r>
          </w:p>
        </w:tc>
      </w:tr>
    </w:tbl>
    <w:p w14:paraId="27EA1A93" w14:textId="28EAA29D" w:rsidR="00C56CB1" w:rsidRDefault="000273E3" w:rsidP="00C56CB1">
      <w:pPr>
        <w:pStyle w:val="Tablefooter0"/>
      </w:pPr>
      <w:bookmarkStart w:id="82" w:name="_Hlk68276635"/>
      <w:bookmarkEnd w:id="80"/>
      <w:bookmarkEnd w:id="81"/>
      <w:r w:rsidRPr="000273E3">
        <w:t xml:space="preserve">Abbreviations: </w:t>
      </w:r>
      <w:r w:rsidR="00B72943">
        <w:t xml:space="preserve">CUA = cost-utility analysis; </w:t>
      </w:r>
      <w:r w:rsidR="00BD1E22" w:rsidRPr="003D450C">
        <w:t xml:space="preserve">EC = </w:t>
      </w:r>
      <w:r w:rsidR="003D450C" w:rsidRPr="003D450C">
        <w:t xml:space="preserve">endometrial </w:t>
      </w:r>
      <w:r w:rsidR="007655D2">
        <w:t>cancer</w:t>
      </w:r>
      <w:r w:rsidR="00BD1E22" w:rsidRPr="003D450C">
        <w:t>;</w:t>
      </w:r>
      <w:r w:rsidRPr="003D450C">
        <w:t xml:space="preserve"> </w:t>
      </w:r>
      <w:r w:rsidR="00B72943" w:rsidRPr="005A7348">
        <w:t>EORTC-QLQ-C30</w:t>
      </w:r>
      <w:r w:rsidR="00F53203">
        <w:t xml:space="preserve"> = </w:t>
      </w:r>
      <w:r w:rsidR="00F53203" w:rsidRPr="00F53203">
        <w:t>European Organisation for Research and Treatment of Cancer – Quality of Life Questionnaire – Core 30</w:t>
      </w:r>
      <w:r w:rsidR="00F53203">
        <w:t>;</w:t>
      </w:r>
      <w:r w:rsidRPr="003D450C">
        <w:t xml:space="preserve"> </w:t>
      </w:r>
      <w:r w:rsidRPr="000273E3">
        <w:t xml:space="preserve">ER = oestrogen receptor; </w:t>
      </w:r>
      <w:r w:rsidR="00E356DD">
        <w:t xml:space="preserve">FIGO = </w:t>
      </w:r>
      <w:r w:rsidR="003D450C" w:rsidRPr="003D450C">
        <w:t>International Federation of Gynecology and Obstetrics</w:t>
      </w:r>
      <w:r w:rsidR="00E356DD">
        <w:t xml:space="preserve">; </w:t>
      </w:r>
      <w:r w:rsidR="00B72943">
        <w:t xml:space="preserve">HRQoL = health-related quality of life; </w:t>
      </w:r>
      <w:r w:rsidRPr="000273E3">
        <w:t xml:space="preserve">MMRd = mismatch repair deficient; MMRp = mismatch repair proficient; NGS = next generation sequencing; </w:t>
      </w:r>
      <w:r w:rsidR="00015292">
        <w:t xml:space="preserve">OWSA = </w:t>
      </w:r>
      <w:r w:rsidR="003D450C" w:rsidRPr="003D450C">
        <w:t>one-way sensitivity analysis</w:t>
      </w:r>
      <w:r w:rsidR="00015292">
        <w:t xml:space="preserve">; </w:t>
      </w:r>
      <w:r w:rsidRPr="000273E3">
        <w:t xml:space="preserve">p53abn = abnormal p53 protein expression; p53wt = p53 protein wild type; </w:t>
      </w:r>
      <w:r w:rsidR="001E2241" w:rsidRPr="003D450C">
        <w:rPr>
          <w:rFonts w:eastAsia="Calibri"/>
          <w:i/>
        </w:rPr>
        <w:t>POLE</w:t>
      </w:r>
      <w:r w:rsidR="001E2241" w:rsidRPr="003D450C">
        <w:rPr>
          <w:rFonts w:eastAsia="Calibri"/>
        </w:rPr>
        <w:t xml:space="preserve"> = DNA polymerase epsilon</w:t>
      </w:r>
      <w:r w:rsidR="007260AC">
        <w:rPr>
          <w:rFonts w:eastAsia="Calibri"/>
        </w:rPr>
        <w:t>, catalytic subunit</w:t>
      </w:r>
      <w:r w:rsidR="001E2241">
        <w:rPr>
          <w:rFonts w:eastAsia="Calibri"/>
        </w:rPr>
        <w:t>;</w:t>
      </w:r>
      <w:r w:rsidR="001E2241" w:rsidRPr="000273E3">
        <w:t xml:space="preserve"> </w:t>
      </w:r>
      <w:r w:rsidRPr="0001241D">
        <w:rPr>
          <w:i/>
        </w:rPr>
        <w:t>POLE</w:t>
      </w:r>
      <w:r w:rsidRPr="000273E3">
        <w:t>mut = DNA polymerase epsilon</w:t>
      </w:r>
      <w:r w:rsidR="007260AC">
        <w:t>, catalytic subunit</w:t>
      </w:r>
      <w:r w:rsidRPr="000273E3">
        <w:t xml:space="preserve"> mutation</w:t>
      </w:r>
      <w:r w:rsidR="00B72943">
        <w:t>; QALY = quality-adjusted life year</w:t>
      </w:r>
      <w:r w:rsidR="00F53203">
        <w:t>; RCT = randomised controlled trial</w:t>
      </w:r>
      <w:r w:rsidRPr="000273E3">
        <w:t>.</w:t>
      </w:r>
    </w:p>
    <w:bookmarkEnd w:id="82"/>
    <w:p w14:paraId="1C6184C2" w14:textId="1DF5607F" w:rsidR="00FB228A" w:rsidRDefault="00E36E0F" w:rsidP="00330A0A">
      <w:r>
        <w:t>K</w:t>
      </w:r>
      <w:r w:rsidR="007C328C" w:rsidRPr="007C328C">
        <w:t xml:space="preserve">ey univariate sensitivity analyses and scenario analyses </w:t>
      </w:r>
      <w:r w:rsidR="00645EF8">
        <w:t>undertaken on the decision tree model</w:t>
      </w:r>
      <w:r w:rsidR="007C328C" w:rsidRPr="007C328C">
        <w:t xml:space="preserve"> are summarised in</w:t>
      </w:r>
      <w:r w:rsidR="007C328C">
        <w:t xml:space="preserve"> </w:t>
      </w:r>
      <w:r w:rsidR="003571C2" w:rsidRPr="00F834DD">
        <w:fldChar w:fldCharType="begin"/>
      </w:r>
      <w:r w:rsidR="003571C2" w:rsidRPr="00F834DD">
        <w:instrText xml:space="preserve"> REF _Ref69726347 \h </w:instrText>
      </w:r>
      <w:r w:rsidR="00F834DD" w:rsidRPr="00F834DD">
        <w:instrText xml:space="preserve"> \* MERGEFORMAT </w:instrText>
      </w:r>
      <w:r w:rsidR="003571C2" w:rsidRPr="00F834DD">
        <w:fldChar w:fldCharType="separate"/>
      </w:r>
      <w:r w:rsidR="000B42CB" w:rsidRPr="00CE28E3">
        <w:t>Table</w:t>
      </w:r>
      <w:r w:rsidR="000B42CB">
        <w:t> 14</w:t>
      </w:r>
      <w:r w:rsidR="003571C2" w:rsidRPr="00F834DD">
        <w:fldChar w:fldCharType="end"/>
      </w:r>
      <w:r w:rsidR="008B5B67" w:rsidRPr="00CE28E3">
        <w:t xml:space="preserve">. </w:t>
      </w:r>
    </w:p>
    <w:p w14:paraId="56EB7C23" w14:textId="7CE3BA71" w:rsidR="00610ABA" w:rsidRDefault="00C14F68" w:rsidP="00330A0A">
      <w:r>
        <w:t>The assumed p</w:t>
      </w:r>
      <w:r w:rsidR="004A71A4" w:rsidRPr="004A71A4">
        <w:t xml:space="preserve">roportion of </w:t>
      </w:r>
      <w:r w:rsidR="00585539" w:rsidRPr="00585539">
        <w:t xml:space="preserve">stage III–IVA </w:t>
      </w:r>
      <w:r w:rsidR="00C816FF" w:rsidRPr="00C816FF">
        <w:t xml:space="preserve">patients with </w:t>
      </w:r>
      <w:r w:rsidR="00C816FF" w:rsidRPr="00836811">
        <w:rPr>
          <w:i/>
        </w:rPr>
        <w:t>POLE</w:t>
      </w:r>
      <w:r w:rsidR="00C816FF" w:rsidRPr="00C816FF">
        <w:t>mut</w:t>
      </w:r>
      <w:r w:rsidR="004A71A4" w:rsidRPr="004A71A4">
        <w:t xml:space="preserve"> </w:t>
      </w:r>
      <w:r w:rsidR="00746F65" w:rsidRPr="00746F65">
        <w:t>experienc</w:t>
      </w:r>
      <w:r w:rsidR="00746F65">
        <w:t>ing</w:t>
      </w:r>
      <w:r w:rsidR="00746F65" w:rsidRPr="00746F65">
        <w:t xml:space="preserve"> a change in management</w:t>
      </w:r>
      <w:r w:rsidR="004A71A4" w:rsidRPr="004A71A4">
        <w:t xml:space="preserve"> </w:t>
      </w:r>
      <w:r w:rsidR="006B2A6D">
        <w:t>as a result of</w:t>
      </w:r>
      <w:r w:rsidR="006C426C" w:rsidRPr="006C426C">
        <w:t xml:space="preserve"> </w:t>
      </w:r>
      <w:r w:rsidR="006C426C" w:rsidRPr="00BA49FD">
        <w:rPr>
          <w:i/>
        </w:rPr>
        <w:t>POLE</w:t>
      </w:r>
      <w:r w:rsidR="006C426C" w:rsidRPr="006C426C">
        <w:t xml:space="preserve"> genotyping</w:t>
      </w:r>
      <w:r w:rsidR="00446447">
        <w:t xml:space="preserve"> was </w:t>
      </w:r>
      <w:r w:rsidR="001211EB" w:rsidRPr="001211EB">
        <w:t>identified</w:t>
      </w:r>
      <w:r w:rsidR="00446447">
        <w:t xml:space="preserve"> </w:t>
      </w:r>
      <w:r w:rsidR="001211EB">
        <w:t>as</w:t>
      </w:r>
      <w:r w:rsidR="00446447">
        <w:t xml:space="preserve"> a key driver </w:t>
      </w:r>
      <w:r w:rsidR="001211EB">
        <w:t>of</w:t>
      </w:r>
      <w:r w:rsidR="00446447">
        <w:t xml:space="preserve"> the incremental cost</w:t>
      </w:r>
      <w:r w:rsidR="006942A5">
        <w:t xml:space="preserve"> per patient tested. </w:t>
      </w:r>
      <w:r w:rsidR="007A3439" w:rsidRPr="007A3439">
        <w:t xml:space="preserve">Scenario analyses </w:t>
      </w:r>
      <w:r w:rsidR="00803C24">
        <w:t>demonstrated how</w:t>
      </w:r>
      <w:r w:rsidR="007A3439" w:rsidRPr="007A3439">
        <w:t xml:space="preserve"> </w:t>
      </w:r>
      <w:r w:rsidR="007A3439">
        <w:t>the</w:t>
      </w:r>
      <w:r w:rsidR="007A3439" w:rsidRPr="007A3439">
        <w:t xml:space="preserve"> </w:t>
      </w:r>
      <w:r w:rsidR="00CC31C4">
        <w:t xml:space="preserve">expected </w:t>
      </w:r>
      <w:r w:rsidR="007A3439" w:rsidRPr="007A3439">
        <w:t>cost saving</w:t>
      </w:r>
      <w:r w:rsidR="00CC31C4">
        <w:t xml:space="preserve"> per tested </w:t>
      </w:r>
      <w:r w:rsidR="00CC31C4" w:rsidRPr="007370EF">
        <w:t>patient</w:t>
      </w:r>
      <w:r w:rsidR="00803C24" w:rsidRPr="007370EF">
        <w:t xml:space="preserve"> </w:t>
      </w:r>
      <w:r w:rsidR="007A3439" w:rsidRPr="007370EF">
        <w:t xml:space="preserve">decreased as this proportion </w:t>
      </w:r>
      <w:r w:rsidR="00CC31C4" w:rsidRPr="007370EF">
        <w:t xml:space="preserve">was </w:t>
      </w:r>
      <w:r w:rsidR="00BA49FD" w:rsidRPr="007370EF">
        <w:t>reduced</w:t>
      </w:r>
      <w:r w:rsidR="007A3439" w:rsidRPr="007370EF">
        <w:t>.</w:t>
      </w:r>
      <w:r w:rsidR="00BA49FD" w:rsidRPr="007370EF">
        <w:t xml:space="preserve"> </w:t>
      </w:r>
      <w:r w:rsidR="00CA63EF" w:rsidRPr="007370EF">
        <w:t>V</w:t>
      </w:r>
      <w:r w:rsidR="002F4CDE" w:rsidRPr="007370EF">
        <w:t>ariation</w:t>
      </w:r>
      <w:r w:rsidR="00AF5580" w:rsidRPr="007370EF">
        <w:t>s</w:t>
      </w:r>
      <w:r w:rsidR="002F4CDE" w:rsidRPr="007370EF">
        <w:t xml:space="preserve"> in the </w:t>
      </w:r>
      <w:r w:rsidR="00A92445" w:rsidRPr="007370EF">
        <w:t>prevalence</w:t>
      </w:r>
      <w:r w:rsidR="00DD1F5B" w:rsidRPr="007370EF">
        <w:t xml:space="preserve"> of </w:t>
      </w:r>
      <w:r w:rsidR="00DD1F5B" w:rsidRPr="007370EF">
        <w:rPr>
          <w:i/>
        </w:rPr>
        <w:t>POLE</w:t>
      </w:r>
      <w:r w:rsidR="00DD1F5B" w:rsidRPr="007370EF">
        <w:t>mut among MMRd</w:t>
      </w:r>
      <w:r w:rsidR="00A92445" w:rsidRPr="007370EF">
        <w:t xml:space="preserve"> patients</w:t>
      </w:r>
      <w:r w:rsidR="00747C4D" w:rsidRPr="007370EF">
        <w:t xml:space="preserve"> </w:t>
      </w:r>
      <w:r w:rsidR="002F4CDE" w:rsidRPr="007370EF">
        <w:t>(±10%)</w:t>
      </w:r>
      <w:r w:rsidR="00747C4D" w:rsidRPr="007370EF">
        <w:t xml:space="preserve"> </w:t>
      </w:r>
      <w:r w:rsidR="00A92445" w:rsidRPr="007370EF">
        <w:t>impacted</w:t>
      </w:r>
      <w:r w:rsidR="004B7E01" w:rsidRPr="007370EF">
        <w:t xml:space="preserve"> the incremental cost per patient tested</w:t>
      </w:r>
      <w:r w:rsidR="00A400A3" w:rsidRPr="007370EF">
        <w:t xml:space="preserve"> by </w:t>
      </w:r>
      <w:r w:rsidR="005A6D93" w:rsidRPr="007370EF">
        <w:t>approximately ±</w:t>
      </w:r>
      <w:r w:rsidR="00234FA1" w:rsidRPr="007370EF">
        <w:t>33</w:t>
      </w:r>
      <w:r w:rsidR="00685238" w:rsidRPr="007370EF">
        <w:t>%</w:t>
      </w:r>
      <w:r w:rsidR="00E6480B" w:rsidRPr="007370EF">
        <w:t>.</w:t>
      </w:r>
      <w:r w:rsidR="00A92445" w:rsidRPr="007370EF">
        <w:t xml:space="preserve"> </w:t>
      </w:r>
      <w:r w:rsidR="00197AA9" w:rsidRPr="007370EF">
        <w:t>The</w:t>
      </w:r>
      <w:r w:rsidR="00197AA9">
        <w:t xml:space="preserve"> </w:t>
      </w:r>
      <w:r w:rsidR="00617B5A">
        <w:t>significance of this input</w:t>
      </w:r>
      <w:r w:rsidR="00E6480B">
        <w:t xml:space="preserve"> was</w:t>
      </w:r>
      <w:r w:rsidR="00DC00AA">
        <w:t xml:space="preserve"> primarily</w:t>
      </w:r>
      <w:r w:rsidR="005B2AFB">
        <w:t xml:space="preserve"> driven by </w:t>
      </w:r>
      <w:r w:rsidR="007223E0">
        <w:t>its impact on</w:t>
      </w:r>
      <w:r w:rsidR="005D6AFB">
        <w:t xml:space="preserve"> incremental cost</w:t>
      </w:r>
      <w:r w:rsidR="00CA63EF">
        <w:t>s associated with avoided first-line immunotherapy in stage III-IV MMRd EC patients</w:t>
      </w:r>
      <w:r w:rsidR="00685238">
        <w:t>.</w:t>
      </w:r>
      <w:r w:rsidR="001377F0" w:rsidRPr="001377F0">
        <w:t xml:space="preserve"> </w:t>
      </w:r>
      <w:r w:rsidR="00CA63EF">
        <w:t>Three scenarios</w:t>
      </w:r>
      <w:r w:rsidR="001377F0" w:rsidRPr="001377F0">
        <w:t xml:space="preserve"> </w:t>
      </w:r>
      <w:r w:rsidR="00AB5B04" w:rsidRPr="00AB5B04">
        <w:t>excluding</w:t>
      </w:r>
      <w:r w:rsidR="00AB5B04">
        <w:t xml:space="preserve"> </w:t>
      </w:r>
      <w:r w:rsidR="001377F0" w:rsidRPr="001377F0">
        <w:t xml:space="preserve">subgroups unlikely to benefit from </w:t>
      </w:r>
      <w:r w:rsidR="001377F0" w:rsidRPr="00BA49FD">
        <w:rPr>
          <w:i/>
        </w:rPr>
        <w:t>POLE</w:t>
      </w:r>
      <w:r w:rsidR="001377F0" w:rsidRPr="001377F0">
        <w:t xml:space="preserve"> </w:t>
      </w:r>
      <w:r w:rsidR="001377F0">
        <w:t>genotyping</w:t>
      </w:r>
      <w:r w:rsidR="001377F0" w:rsidRPr="001377F0">
        <w:t xml:space="preserve"> were </w:t>
      </w:r>
      <w:r w:rsidR="00CA63EF">
        <w:t xml:space="preserve">also </w:t>
      </w:r>
      <w:r w:rsidR="001377F0" w:rsidRPr="001377F0">
        <w:t xml:space="preserve">conducted. </w:t>
      </w:r>
      <w:r w:rsidR="001B53E6" w:rsidRPr="001B53E6">
        <w:t>These</w:t>
      </w:r>
      <w:r w:rsidR="001B6767">
        <w:t xml:space="preserve"> subgroups include</w:t>
      </w:r>
      <w:r w:rsidR="001B53E6" w:rsidRPr="001B53E6">
        <w:t>, for example,</w:t>
      </w:r>
      <w:r w:rsidR="001B6767" w:rsidRPr="001B6767">
        <w:t xml:space="preserve"> Subgroup 1: MMRd &amp; FIGO stage IA or IC</w:t>
      </w:r>
      <w:r w:rsidR="00B064D3">
        <w:t xml:space="preserve">; </w:t>
      </w:r>
      <w:r w:rsidR="001B6767" w:rsidRPr="001B6767">
        <w:t>Subgroup 7: MMRp &amp; p53wt &amp; low-grade disease &amp; ER+ &amp; FIGO stage IA</w:t>
      </w:r>
      <w:r w:rsidR="001B53E6">
        <w:t xml:space="preserve"> (</w:t>
      </w:r>
      <w:r w:rsidR="001B53E6" w:rsidRPr="00F834DD">
        <w:fldChar w:fldCharType="begin"/>
      </w:r>
      <w:r w:rsidR="001B53E6" w:rsidRPr="00F834DD">
        <w:instrText xml:space="preserve"> REF _Ref69726347 \h  \* MERGEFORMAT </w:instrText>
      </w:r>
      <w:r w:rsidR="001B53E6" w:rsidRPr="00F834DD">
        <w:fldChar w:fldCharType="separate"/>
      </w:r>
      <w:r w:rsidR="000B42CB" w:rsidRPr="00CE28E3">
        <w:t>Table</w:t>
      </w:r>
      <w:r w:rsidR="000B42CB">
        <w:t> 14</w:t>
      </w:r>
      <w:r w:rsidR="001B53E6" w:rsidRPr="00F834DD">
        <w:fldChar w:fldCharType="end"/>
      </w:r>
      <w:r w:rsidR="001B53E6">
        <w:t>)</w:t>
      </w:r>
      <w:r w:rsidR="00B064D3">
        <w:t>.</w:t>
      </w:r>
      <w:r w:rsidR="001B6767">
        <w:t xml:space="preserve"> </w:t>
      </w:r>
      <w:r w:rsidR="00AB5B04">
        <w:t>T</w:t>
      </w:r>
      <w:r w:rsidR="008A7B9F">
        <w:t xml:space="preserve">he </w:t>
      </w:r>
      <w:r w:rsidR="001377F0" w:rsidRPr="001377F0">
        <w:t xml:space="preserve">average </w:t>
      </w:r>
      <w:r w:rsidR="001377F0" w:rsidRPr="001377F0">
        <w:lastRenderedPageBreak/>
        <w:t xml:space="preserve">cost savings </w:t>
      </w:r>
      <w:r w:rsidR="00B26A9A">
        <w:t xml:space="preserve">per patient tested </w:t>
      </w:r>
      <w:r w:rsidR="001377F0" w:rsidRPr="001377F0">
        <w:t xml:space="preserve">were estimated </w:t>
      </w:r>
      <w:r w:rsidR="00084FF8">
        <w:t xml:space="preserve">to </w:t>
      </w:r>
      <w:r w:rsidR="001377F0" w:rsidRPr="001377F0">
        <w:t>increase</w:t>
      </w:r>
      <w:r w:rsidR="00DC614E">
        <w:t xml:space="preserve"> by</w:t>
      </w:r>
      <w:r w:rsidR="001377F0" w:rsidRPr="001377F0">
        <w:t xml:space="preserve"> </w:t>
      </w:r>
      <w:r w:rsidR="001863FE">
        <w:t>72.3</w:t>
      </w:r>
      <w:r w:rsidR="00D35B20">
        <w:t>–</w:t>
      </w:r>
      <w:r w:rsidR="001863FE">
        <w:t>203.2</w:t>
      </w:r>
      <w:r w:rsidR="001377F0" w:rsidRPr="001377F0">
        <w:t xml:space="preserve">%, compared with the base case result of </w:t>
      </w:r>
      <w:r w:rsidR="004B6FA5">
        <w:t>$138.30</w:t>
      </w:r>
      <w:r w:rsidR="001377F0" w:rsidRPr="001377F0">
        <w:t>.</w:t>
      </w:r>
    </w:p>
    <w:p w14:paraId="2C785A4C" w14:textId="4E1EA590" w:rsidR="008B5B67" w:rsidRPr="00CE28E3" w:rsidRDefault="008B5B67" w:rsidP="00135FC9">
      <w:pPr>
        <w:pStyle w:val="Caption"/>
      </w:pPr>
      <w:bookmarkStart w:id="83" w:name="_Ref69726347"/>
      <w:r w:rsidRPr="00CE28E3">
        <w:t>Table</w:t>
      </w:r>
      <w:r w:rsidR="003571C2">
        <w:t> </w:t>
      </w:r>
      <w:r>
        <w:fldChar w:fldCharType="begin"/>
      </w:r>
      <w:r>
        <w:instrText>SEQ Table \* ARABIC</w:instrText>
      </w:r>
      <w:r>
        <w:fldChar w:fldCharType="separate"/>
      </w:r>
      <w:r w:rsidR="00996E6E">
        <w:rPr>
          <w:noProof/>
        </w:rPr>
        <w:t>14</w:t>
      </w:r>
      <w:r>
        <w:fldChar w:fldCharType="end"/>
      </w:r>
      <w:bookmarkEnd w:id="83"/>
      <w:r w:rsidR="00F10919">
        <w:t xml:space="preserve"> </w:t>
      </w:r>
      <w:r w:rsidRPr="00CE28E3">
        <w:t xml:space="preserve">Sensitivity </w:t>
      </w:r>
      <w:r w:rsidR="00FC42B4" w:rsidRPr="007C328C">
        <w:t xml:space="preserve">and scenario </w:t>
      </w:r>
      <w:r w:rsidRPr="00CE28E3">
        <w:t>analyses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73"/>
        <w:gridCol w:w="1873"/>
        <w:gridCol w:w="1873"/>
      </w:tblGrid>
      <w:tr w:rsidR="00E44D5D" w14:paraId="7E8361D5" w14:textId="77777777" w:rsidTr="00197254">
        <w:trPr>
          <w:tblHeader/>
        </w:trPr>
        <w:tc>
          <w:tcPr>
            <w:tcW w:w="3397" w:type="dxa"/>
            <w:shd w:val="clear" w:color="auto" w:fill="F2F2F2" w:themeFill="background1" w:themeFillShade="F2"/>
            <w:vAlign w:val="center"/>
          </w:tcPr>
          <w:p w14:paraId="492EEAD9" w14:textId="7ACA7878" w:rsidR="00E44D5D" w:rsidRDefault="00771C18" w:rsidP="00197254">
            <w:pPr>
              <w:pStyle w:val="Tableheading1"/>
              <w:jc w:val="left"/>
            </w:pPr>
            <w:r w:rsidRPr="00CE28E3">
              <w:t>Analys</w:t>
            </w:r>
            <w:r>
              <w:t>i</w:t>
            </w:r>
            <w:r w:rsidRPr="00CE28E3">
              <w:t>s</w:t>
            </w:r>
          </w:p>
        </w:tc>
        <w:tc>
          <w:tcPr>
            <w:tcW w:w="1873" w:type="dxa"/>
            <w:shd w:val="clear" w:color="auto" w:fill="F2F2F2" w:themeFill="background1" w:themeFillShade="F2"/>
            <w:vAlign w:val="center"/>
          </w:tcPr>
          <w:p w14:paraId="27F46D8F" w14:textId="447C8CAE" w:rsidR="00E44D5D" w:rsidRDefault="00771C18" w:rsidP="00197254">
            <w:pPr>
              <w:pStyle w:val="Tableheading1"/>
              <w:jc w:val="left"/>
            </w:pPr>
            <w:r w:rsidRPr="00CE28E3">
              <w:t xml:space="preserve">Incremental </w:t>
            </w:r>
            <w:r w:rsidRPr="002E3A05">
              <w:t xml:space="preserve">total </w:t>
            </w:r>
            <w:r w:rsidRPr="00CE28E3">
              <w:t>cost</w:t>
            </w:r>
            <w:r w:rsidRPr="002E3A05">
              <w:t xml:space="preserve"> per patient</w:t>
            </w:r>
          </w:p>
        </w:tc>
        <w:tc>
          <w:tcPr>
            <w:tcW w:w="1873" w:type="dxa"/>
            <w:shd w:val="clear" w:color="auto" w:fill="F2F2F2" w:themeFill="background1" w:themeFillShade="F2"/>
            <w:vAlign w:val="center"/>
          </w:tcPr>
          <w:p w14:paraId="671BE1E9" w14:textId="65BC515E" w:rsidR="00E44D5D" w:rsidRDefault="00771C18" w:rsidP="00197254">
            <w:pPr>
              <w:pStyle w:val="Tableheading1"/>
              <w:jc w:val="left"/>
            </w:pPr>
            <w:r w:rsidRPr="002E3A05">
              <w:t xml:space="preserve">Incremental proportion </w:t>
            </w:r>
            <w:r w:rsidRPr="00076C3A">
              <w:rPr>
                <w:i/>
              </w:rPr>
              <w:t>POLE</w:t>
            </w:r>
            <w:r w:rsidRPr="002E3A05">
              <w:t>mut identified</w:t>
            </w:r>
          </w:p>
        </w:tc>
        <w:tc>
          <w:tcPr>
            <w:tcW w:w="1873" w:type="dxa"/>
            <w:shd w:val="clear" w:color="auto" w:fill="F2F2F2" w:themeFill="background1" w:themeFillShade="F2"/>
          </w:tcPr>
          <w:p w14:paraId="33B6951E" w14:textId="69D4E86E" w:rsidR="00E44D5D" w:rsidRDefault="00771C18" w:rsidP="00197254">
            <w:pPr>
              <w:pStyle w:val="Tableheading1"/>
              <w:jc w:val="left"/>
            </w:pPr>
            <w:r w:rsidRPr="002E3A05">
              <w:t>Incremental proportion of patients undergoing de-escalation</w:t>
            </w:r>
          </w:p>
        </w:tc>
      </w:tr>
      <w:tr w:rsidR="00E44D5D" w:rsidRPr="00771C18" w14:paraId="11CF6607" w14:textId="77777777" w:rsidTr="00AA124C">
        <w:tc>
          <w:tcPr>
            <w:tcW w:w="3397" w:type="dxa"/>
          </w:tcPr>
          <w:p w14:paraId="114D2297" w14:textId="27E5BB79" w:rsidR="00E44D5D" w:rsidRPr="00771C18" w:rsidRDefault="00771C18" w:rsidP="00E44D5D">
            <w:pPr>
              <w:pStyle w:val="Tabletext0"/>
              <w:rPr>
                <w:b/>
              </w:rPr>
            </w:pPr>
            <w:r w:rsidRPr="00771C18">
              <w:rPr>
                <w:b/>
              </w:rPr>
              <w:t>Base case</w:t>
            </w:r>
          </w:p>
        </w:tc>
        <w:tc>
          <w:tcPr>
            <w:tcW w:w="1873" w:type="dxa"/>
          </w:tcPr>
          <w:p w14:paraId="5734B838" w14:textId="77D921BE" w:rsidR="00E44D5D" w:rsidRPr="00771C18" w:rsidRDefault="00771C18" w:rsidP="00E44D5D">
            <w:pPr>
              <w:pStyle w:val="Tabletext0"/>
              <w:rPr>
                <w:b/>
              </w:rPr>
            </w:pPr>
            <w:r w:rsidRPr="00771C18">
              <w:rPr>
                <w:b/>
              </w:rPr>
              <w:t>−</w:t>
            </w:r>
            <w:r w:rsidR="004B6FA5">
              <w:rPr>
                <w:b/>
              </w:rPr>
              <w:t>$138.30</w:t>
            </w:r>
          </w:p>
        </w:tc>
        <w:tc>
          <w:tcPr>
            <w:tcW w:w="1873" w:type="dxa"/>
          </w:tcPr>
          <w:p w14:paraId="1C8C337B" w14:textId="5FF06990" w:rsidR="00E44D5D" w:rsidRPr="00771C18" w:rsidRDefault="004B6FA5" w:rsidP="00E44D5D">
            <w:pPr>
              <w:pStyle w:val="Tabletext0"/>
              <w:rPr>
                <w:b/>
              </w:rPr>
            </w:pPr>
            <w:r>
              <w:rPr>
                <w:b/>
              </w:rPr>
              <w:t>0.0974</w:t>
            </w:r>
          </w:p>
        </w:tc>
        <w:tc>
          <w:tcPr>
            <w:tcW w:w="1873" w:type="dxa"/>
          </w:tcPr>
          <w:p w14:paraId="499FC82E" w14:textId="250E96C0" w:rsidR="00E44D5D" w:rsidRPr="00771C18" w:rsidRDefault="0001394C" w:rsidP="00E44D5D">
            <w:pPr>
              <w:pStyle w:val="Tabletext0"/>
              <w:rPr>
                <w:b/>
              </w:rPr>
            </w:pPr>
            <w:r w:rsidRPr="0001394C">
              <w:rPr>
                <w:b/>
              </w:rPr>
              <w:t>0.0623</w:t>
            </w:r>
          </w:p>
        </w:tc>
      </w:tr>
      <w:tr w:rsidR="00E44D5D" w14:paraId="2FB79D32" w14:textId="77777777" w:rsidTr="00AA124C">
        <w:tc>
          <w:tcPr>
            <w:tcW w:w="9016" w:type="dxa"/>
            <w:gridSpan w:val="4"/>
          </w:tcPr>
          <w:p w14:paraId="3EA3DF3B" w14:textId="503ADBE5" w:rsidR="00E44D5D" w:rsidRDefault="009141A1" w:rsidP="00E44D5D">
            <w:pPr>
              <w:pStyle w:val="Tabletext0"/>
            </w:pPr>
            <w:r w:rsidRPr="009141A1">
              <w:rPr>
                <w:b/>
              </w:rPr>
              <w:t xml:space="preserve">Probability of </w:t>
            </w:r>
            <w:r w:rsidRPr="009141A1">
              <w:rPr>
                <w:b/>
                <w:i/>
              </w:rPr>
              <w:t>POLE</w:t>
            </w:r>
            <w:r w:rsidRPr="009141A1">
              <w:rPr>
                <w:b/>
              </w:rPr>
              <w:t>mut among MMRd</w:t>
            </w:r>
            <w:r w:rsidR="00591205">
              <w:rPr>
                <w:b/>
              </w:rPr>
              <w:t xml:space="preserve"> EC</w:t>
            </w:r>
            <w:r w:rsidRPr="009141A1">
              <w:rPr>
                <w:b/>
              </w:rPr>
              <w:t xml:space="preserve"> (base case 5.95%)</w:t>
            </w:r>
          </w:p>
        </w:tc>
      </w:tr>
      <w:tr w:rsidR="006C0CFB" w14:paraId="255CC2A1" w14:textId="77777777" w:rsidTr="00AA124C">
        <w:tc>
          <w:tcPr>
            <w:tcW w:w="3397" w:type="dxa"/>
          </w:tcPr>
          <w:p w14:paraId="32165AEF" w14:textId="01CE229B" w:rsidR="006C0CFB" w:rsidRDefault="006C0CFB" w:rsidP="006C0CFB">
            <w:pPr>
              <w:pStyle w:val="Tabletext0"/>
            </w:pPr>
            <w:r w:rsidRPr="00CE44F5">
              <w:t>5.36%</w:t>
            </w:r>
          </w:p>
        </w:tc>
        <w:tc>
          <w:tcPr>
            <w:tcW w:w="1873" w:type="dxa"/>
          </w:tcPr>
          <w:p w14:paraId="1EAB5F83" w14:textId="6B36BC3F" w:rsidR="006C0CFB" w:rsidRDefault="006C0CFB" w:rsidP="006C0CFB">
            <w:pPr>
              <w:pStyle w:val="Tabletext0"/>
            </w:pPr>
            <w:r w:rsidRPr="0045070E">
              <w:t>−</w:t>
            </w:r>
            <w:r w:rsidRPr="009E0AF0">
              <w:t>$184.67</w:t>
            </w:r>
          </w:p>
        </w:tc>
        <w:tc>
          <w:tcPr>
            <w:tcW w:w="1873" w:type="dxa"/>
          </w:tcPr>
          <w:p w14:paraId="2F7BF284" w14:textId="2DE09D19" w:rsidR="006C0CFB" w:rsidRDefault="006C0CFB" w:rsidP="006C0CFB">
            <w:pPr>
              <w:pStyle w:val="Tabletext0"/>
            </w:pPr>
            <w:r w:rsidRPr="004E0D79">
              <w:t>0.0963</w:t>
            </w:r>
          </w:p>
        </w:tc>
        <w:tc>
          <w:tcPr>
            <w:tcW w:w="1873" w:type="dxa"/>
          </w:tcPr>
          <w:p w14:paraId="41138832" w14:textId="1CF78440" w:rsidR="006C0CFB" w:rsidRDefault="006C0CFB" w:rsidP="006C0CFB">
            <w:pPr>
              <w:pStyle w:val="Tabletext0"/>
            </w:pPr>
            <w:r w:rsidRPr="004E0D79">
              <w:t>0.0618</w:t>
            </w:r>
          </w:p>
        </w:tc>
      </w:tr>
      <w:tr w:rsidR="006C0CFB" w14:paraId="38E67787" w14:textId="77777777" w:rsidTr="00AA124C">
        <w:tc>
          <w:tcPr>
            <w:tcW w:w="3397" w:type="dxa"/>
          </w:tcPr>
          <w:p w14:paraId="72A35382" w14:textId="5CB26125" w:rsidR="006C0CFB" w:rsidRDefault="006C0CFB" w:rsidP="006C0CFB">
            <w:pPr>
              <w:pStyle w:val="Tabletext0"/>
            </w:pPr>
            <w:r w:rsidRPr="00CE44F5">
              <w:t>6.55%</w:t>
            </w:r>
          </w:p>
        </w:tc>
        <w:tc>
          <w:tcPr>
            <w:tcW w:w="1873" w:type="dxa"/>
          </w:tcPr>
          <w:p w14:paraId="7EC784D4" w14:textId="48FBB4EA" w:rsidR="006C0CFB" w:rsidRDefault="006C0CFB" w:rsidP="006C0CFB">
            <w:pPr>
              <w:pStyle w:val="Tabletext0"/>
            </w:pPr>
            <w:r w:rsidRPr="0045070E">
              <w:t>−</w:t>
            </w:r>
            <w:r w:rsidRPr="009E0AF0">
              <w:t>$92.61</w:t>
            </w:r>
          </w:p>
        </w:tc>
        <w:tc>
          <w:tcPr>
            <w:tcW w:w="1873" w:type="dxa"/>
          </w:tcPr>
          <w:p w14:paraId="473FBAB7" w14:textId="7B584E3E" w:rsidR="006C0CFB" w:rsidRDefault="006C0CFB" w:rsidP="006C0CFB">
            <w:pPr>
              <w:pStyle w:val="Tabletext0"/>
            </w:pPr>
            <w:r w:rsidRPr="004E0D79">
              <w:t>0.0985</w:t>
            </w:r>
          </w:p>
        </w:tc>
        <w:tc>
          <w:tcPr>
            <w:tcW w:w="1873" w:type="dxa"/>
          </w:tcPr>
          <w:p w14:paraId="72EAE880" w14:textId="05BEAD8B" w:rsidR="006C0CFB" w:rsidRDefault="006C0CFB" w:rsidP="006C0CFB">
            <w:pPr>
              <w:pStyle w:val="Tabletext0"/>
            </w:pPr>
            <w:r w:rsidRPr="004E0D79">
              <w:t>0.0629</w:t>
            </w:r>
          </w:p>
        </w:tc>
      </w:tr>
      <w:tr w:rsidR="00771C18" w14:paraId="36B01561" w14:textId="77777777" w:rsidTr="00AA124C">
        <w:tc>
          <w:tcPr>
            <w:tcW w:w="9016" w:type="dxa"/>
            <w:gridSpan w:val="4"/>
          </w:tcPr>
          <w:p w14:paraId="3EBB68CB" w14:textId="7F145B46" w:rsidR="00771C18" w:rsidRPr="00CE44F5" w:rsidRDefault="005634D8" w:rsidP="00771C18">
            <w:pPr>
              <w:pStyle w:val="Tabletext0"/>
            </w:pPr>
            <w:r w:rsidRPr="00A30C5C">
              <w:rPr>
                <w:b/>
              </w:rPr>
              <w:t>NGS failure</w:t>
            </w:r>
            <w:r w:rsidR="00591205">
              <w:rPr>
                <w:b/>
              </w:rPr>
              <w:t xml:space="preserve"> rate</w:t>
            </w:r>
            <w:r w:rsidRPr="00A30C5C">
              <w:rPr>
                <w:b/>
              </w:rPr>
              <w:t xml:space="preserve"> (base case </w:t>
            </w:r>
            <w:r w:rsidR="00F27B49">
              <w:rPr>
                <w:b/>
              </w:rPr>
              <w:t>4.95</w:t>
            </w:r>
            <w:r w:rsidRPr="00A30C5C">
              <w:rPr>
                <w:b/>
              </w:rPr>
              <w:t>%)</w:t>
            </w:r>
          </w:p>
        </w:tc>
      </w:tr>
      <w:tr w:rsidR="006C0CFB" w14:paraId="56168F4E" w14:textId="77777777" w:rsidTr="00AA124C">
        <w:tc>
          <w:tcPr>
            <w:tcW w:w="3397" w:type="dxa"/>
          </w:tcPr>
          <w:p w14:paraId="569F24E0" w14:textId="4AFE8BF5" w:rsidR="006C0CFB" w:rsidRPr="00CE44F5" w:rsidRDefault="006C0CFB" w:rsidP="006C0CFB">
            <w:pPr>
              <w:pStyle w:val="Tabletext0"/>
            </w:pPr>
            <w:r w:rsidRPr="00F27B49">
              <w:t>4.45%</w:t>
            </w:r>
          </w:p>
        </w:tc>
        <w:tc>
          <w:tcPr>
            <w:tcW w:w="1873" w:type="dxa"/>
          </w:tcPr>
          <w:p w14:paraId="32568AE7" w14:textId="5BEE98CB" w:rsidR="006C0CFB" w:rsidRPr="00CE44F5" w:rsidRDefault="006C0CFB" w:rsidP="006C0CFB">
            <w:pPr>
              <w:pStyle w:val="Tabletext0"/>
            </w:pPr>
            <w:r w:rsidRPr="0045070E">
              <w:t>−</w:t>
            </w:r>
            <w:r w:rsidRPr="00F16C3F">
              <w:t>$141.63</w:t>
            </w:r>
          </w:p>
        </w:tc>
        <w:tc>
          <w:tcPr>
            <w:tcW w:w="1873" w:type="dxa"/>
          </w:tcPr>
          <w:p w14:paraId="3D1B9E7A" w14:textId="6B688CB8" w:rsidR="006C0CFB" w:rsidRPr="00CE44F5" w:rsidRDefault="006C0CFB" w:rsidP="006C0CFB">
            <w:pPr>
              <w:pStyle w:val="Tabletext0"/>
            </w:pPr>
            <w:r w:rsidRPr="00211BE1">
              <w:t>0.0969</w:t>
            </w:r>
          </w:p>
        </w:tc>
        <w:tc>
          <w:tcPr>
            <w:tcW w:w="1873" w:type="dxa"/>
          </w:tcPr>
          <w:p w14:paraId="679B9100" w14:textId="24EB5B0B" w:rsidR="006C0CFB" w:rsidRPr="00CE44F5" w:rsidRDefault="006C0CFB" w:rsidP="006C0CFB">
            <w:pPr>
              <w:pStyle w:val="Tabletext0"/>
            </w:pPr>
            <w:r w:rsidRPr="00211BE1">
              <w:t>0.0620</w:t>
            </w:r>
          </w:p>
        </w:tc>
      </w:tr>
      <w:tr w:rsidR="006C0CFB" w14:paraId="2310F317" w14:textId="77777777" w:rsidTr="00AA124C">
        <w:tc>
          <w:tcPr>
            <w:tcW w:w="3397" w:type="dxa"/>
          </w:tcPr>
          <w:p w14:paraId="2CA648FE" w14:textId="7410738F" w:rsidR="006C0CFB" w:rsidRPr="00CE44F5" w:rsidRDefault="006C0CFB" w:rsidP="006C0CFB">
            <w:pPr>
              <w:pStyle w:val="Tabletext0"/>
            </w:pPr>
            <w:r w:rsidRPr="00F27B49">
              <w:t>5.44%</w:t>
            </w:r>
          </w:p>
        </w:tc>
        <w:tc>
          <w:tcPr>
            <w:tcW w:w="1873" w:type="dxa"/>
          </w:tcPr>
          <w:p w14:paraId="024AFF9C" w14:textId="23D420D9" w:rsidR="006C0CFB" w:rsidRPr="00CE44F5" w:rsidRDefault="006C0CFB" w:rsidP="006C0CFB">
            <w:pPr>
              <w:pStyle w:val="Tabletext0"/>
            </w:pPr>
            <w:r w:rsidRPr="0045070E">
              <w:t>−</w:t>
            </w:r>
            <w:r w:rsidRPr="00F16C3F">
              <w:t>$135.01</w:t>
            </w:r>
          </w:p>
        </w:tc>
        <w:tc>
          <w:tcPr>
            <w:tcW w:w="1873" w:type="dxa"/>
          </w:tcPr>
          <w:p w14:paraId="123CB427" w14:textId="1BFCEBB7" w:rsidR="006C0CFB" w:rsidRPr="00CE44F5" w:rsidRDefault="006C0CFB" w:rsidP="006C0CFB">
            <w:pPr>
              <w:pStyle w:val="Tabletext0"/>
            </w:pPr>
            <w:r w:rsidRPr="00211BE1">
              <w:t>0.0979</w:t>
            </w:r>
          </w:p>
        </w:tc>
        <w:tc>
          <w:tcPr>
            <w:tcW w:w="1873" w:type="dxa"/>
          </w:tcPr>
          <w:p w14:paraId="3DD803A7" w14:textId="50EB9EE0" w:rsidR="006C0CFB" w:rsidRPr="00CE44F5" w:rsidRDefault="006C0CFB" w:rsidP="006C0CFB">
            <w:pPr>
              <w:pStyle w:val="Tabletext0"/>
            </w:pPr>
            <w:r w:rsidRPr="00211BE1">
              <w:t>0.0626</w:t>
            </w:r>
          </w:p>
        </w:tc>
      </w:tr>
      <w:tr w:rsidR="00771C18" w14:paraId="33AC694C" w14:textId="77777777" w:rsidTr="00AA124C">
        <w:tc>
          <w:tcPr>
            <w:tcW w:w="9016" w:type="dxa"/>
            <w:gridSpan w:val="4"/>
          </w:tcPr>
          <w:p w14:paraId="043300A5" w14:textId="275E8D20" w:rsidR="00771C18" w:rsidRPr="00CE44F5" w:rsidRDefault="009141A1" w:rsidP="00771C18">
            <w:pPr>
              <w:pStyle w:val="Tabletext0"/>
            </w:pPr>
            <w:r w:rsidRPr="009141A1">
              <w:rPr>
                <w:b/>
              </w:rPr>
              <w:t xml:space="preserve">Probability of </w:t>
            </w:r>
            <w:r w:rsidRPr="009141A1">
              <w:rPr>
                <w:b/>
                <w:i/>
              </w:rPr>
              <w:t>POLE</w:t>
            </w:r>
            <w:r w:rsidRPr="009141A1">
              <w:rPr>
                <w:b/>
              </w:rPr>
              <w:t xml:space="preserve">mut among </w:t>
            </w:r>
            <w:r w:rsidR="0054389E">
              <w:rPr>
                <w:b/>
              </w:rPr>
              <w:t xml:space="preserve">EC with </w:t>
            </w:r>
            <w:r w:rsidRPr="009141A1">
              <w:rPr>
                <w:b/>
              </w:rPr>
              <w:t>MMRp and p53wt (base case 16.36%)</w:t>
            </w:r>
          </w:p>
        </w:tc>
      </w:tr>
      <w:tr w:rsidR="006C0CFB" w14:paraId="5BACFAFE" w14:textId="77777777" w:rsidTr="00AA124C">
        <w:tc>
          <w:tcPr>
            <w:tcW w:w="3397" w:type="dxa"/>
          </w:tcPr>
          <w:p w14:paraId="406E31AB" w14:textId="2BE9E0EA" w:rsidR="006C0CFB" w:rsidRPr="00CE44F5" w:rsidRDefault="006C0CFB" w:rsidP="006C0CFB">
            <w:pPr>
              <w:pStyle w:val="Tabletext0"/>
            </w:pPr>
            <w:r w:rsidRPr="00D0381F">
              <w:t>14.72%</w:t>
            </w:r>
          </w:p>
        </w:tc>
        <w:tc>
          <w:tcPr>
            <w:tcW w:w="1873" w:type="dxa"/>
          </w:tcPr>
          <w:p w14:paraId="5E745186" w14:textId="3E6D51A9" w:rsidR="006C0CFB" w:rsidRPr="00CE44F5" w:rsidRDefault="006C0CFB" w:rsidP="006C0CFB">
            <w:pPr>
              <w:pStyle w:val="Tabletext0"/>
            </w:pPr>
            <w:r w:rsidRPr="0045070E">
              <w:t>−</w:t>
            </w:r>
            <w:r w:rsidRPr="00A00478">
              <w:t>$153.07</w:t>
            </w:r>
          </w:p>
        </w:tc>
        <w:tc>
          <w:tcPr>
            <w:tcW w:w="1873" w:type="dxa"/>
          </w:tcPr>
          <w:p w14:paraId="2F686ACE" w14:textId="02E294D8" w:rsidR="006C0CFB" w:rsidRPr="00CE44F5" w:rsidRDefault="006C0CFB" w:rsidP="006C0CFB">
            <w:pPr>
              <w:pStyle w:val="Tabletext0"/>
            </w:pPr>
            <w:r w:rsidRPr="000D289B">
              <w:t>0.0896</w:t>
            </w:r>
          </w:p>
        </w:tc>
        <w:tc>
          <w:tcPr>
            <w:tcW w:w="1873" w:type="dxa"/>
          </w:tcPr>
          <w:p w14:paraId="53D6349B" w14:textId="4974CAC8" w:rsidR="006C0CFB" w:rsidRPr="00CE44F5" w:rsidRDefault="006C0CFB" w:rsidP="006C0CFB">
            <w:pPr>
              <w:pStyle w:val="Tabletext0"/>
            </w:pPr>
            <w:r w:rsidRPr="000D289B">
              <w:t>0.0573</w:t>
            </w:r>
          </w:p>
        </w:tc>
      </w:tr>
      <w:tr w:rsidR="006C0CFB" w14:paraId="0D2011A8" w14:textId="77777777" w:rsidTr="00AA124C">
        <w:tc>
          <w:tcPr>
            <w:tcW w:w="3397" w:type="dxa"/>
          </w:tcPr>
          <w:p w14:paraId="683794FF" w14:textId="6D03A8D2" w:rsidR="006C0CFB" w:rsidRPr="00CE44F5" w:rsidRDefault="006C0CFB" w:rsidP="006C0CFB">
            <w:pPr>
              <w:pStyle w:val="Tabletext0"/>
            </w:pPr>
            <w:r w:rsidRPr="00D0381F">
              <w:t>18.00%</w:t>
            </w:r>
          </w:p>
        </w:tc>
        <w:tc>
          <w:tcPr>
            <w:tcW w:w="1873" w:type="dxa"/>
          </w:tcPr>
          <w:p w14:paraId="375BEC01" w14:textId="6F16A72C" w:rsidR="006C0CFB" w:rsidRPr="00CE44F5" w:rsidRDefault="006C0CFB" w:rsidP="006C0CFB">
            <w:pPr>
              <w:pStyle w:val="Tabletext0"/>
            </w:pPr>
            <w:r w:rsidRPr="0045070E">
              <w:t>−</w:t>
            </w:r>
            <w:r w:rsidRPr="00A00478">
              <w:t>$123.53</w:t>
            </w:r>
          </w:p>
        </w:tc>
        <w:tc>
          <w:tcPr>
            <w:tcW w:w="1873" w:type="dxa"/>
          </w:tcPr>
          <w:p w14:paraId="5C79B562" w14:textId="53184369" w:rsidR="006C0CFB" w:rsidRPr="00CE44F5" w:rsidRDefault="006C0CFB" w:rsidP="006C0CFB">
            <w:pPr>
              <w:pStyle w:val="Tabletext0"/>
            </w:pPr>
            <w:r w:rsidRPr="000D289B">
              <w:t>0.1052</w:t>
            </w:r>
          </w:p>
        </w:tc>
        <w:tc>
          <w:tcPr>
            <w:tcW w:w="1873" w:type="dxa"/>
          </w:tcPr>
          <w:p w14:paraId="44305455" w14:textId="64DEF9DF" w:rsidR="006C0CFB" w:rsidRPr="00CE44F5" w:rsidRDefault="006C0CFB" w:rsidP="006C0CFB">
            <w:pPr>
              <w:pStyle w:val="Tabletext0"/>
            </w:pPr>
            <w:r w:rsidRPr="000D289B">
              <w:t>0.0673</w:t>
            </w:r>
          </w:p>
        </w:tc>
      </w:tr>
      <w:tr w:rsidR="00771C18" w14:paraId="4488A498" w14:textId="77777777" w:rsidTr="00AA124C">
        <w:tc>
          <w:tcPr>
            <w:tcW w:w="9016" w:type="dxa"/>
            <w:gridSpan w:val="4"/>
          </w:tcPr>
          <w:p w14:paraId="5D8EA624" w14:textId="0AAD6AC3" w:rsidR="00771C18" w:rsidRPr="00CE44F5" w:rsidRDefault="009141A1" w:rsidP="00771C18">
            <w:pPr>
              <w:pStyle w:val="Tabletext0"/>
            </w:pPr>
            <w:r w:rsidRPr="009141A1">
              <w:rPr>
                <w:b/>
              </w:rPr>
              <w:t>Eligible test population (base case all EC patients)</w:t>
            </w:r>
          </w:p>
        </w:tc>
      </w:tr>
      <w:tr w:rsidR="007A794A" w14:paraId="23FA2699" w14:textId="77777777" w:rsidTr="00AA124C">
        <w:tc>
          <w:tcPr>
            <w:tcW w:w="3397" w:type="dxa"/>
          </w:tcPr>
          <w:p w14:paraId="1F344F42" w14:textId="3CCBE39E" w:rsidR="007A794A" w:rsidRPr="00265762" w:rsidRDefault="007A794A" w:rsidP="007A794A">
            <w:pPr>
              <w:pStyle w:val="Tabletext0"/>
            </w:pPr>
            <w:r w:rsidRPr="0045070E">
              <w:t>removing subgroup 7</w:t>
            </w:r>
          </w:p>
        </w:tc>
        <w:tc>
          <w:tcPr>
            <w:tcW w:w="1873" w:type="dxa"/>
          </w:tcPr>
          <w:p w14:paraId="34D158C4" w14:textId="7125CFED" w:rsidR="007A794A" w:rsidRPr="00CE44F5" w:rsidRDefault="007A794A" w:rsidP="007A794A">
            <w:pPr>
              <w:pStyle w:val="Tabletext0"/>
            </w:pPr>
            <w:r w:rsidRPr="0045070E">
              <w:t>−</w:t>
            </w:r>
            <w:r w:rsidRPr="00F574BE">
              <w:t>$238.22</w:t>
            </w:r>
          </w:p>
        </w:tc>
        <w:tc>
          <w:tcPr>
            <w:tcW w:w="1873" w:type="dxa"/>
          </w:tcPr>
          <w:p w14:paraId="5E471D1C" w14:textId="52A69F66" w:rsidR="007A794A" w:rsidRPr="00CE44F5" w:rsidRDefault="007A794A" w:rsidP="007A794A">
            <w:pPr>
              <w:pStyle w:val="Tabletext0"/>
            </w:pPr>
            <w:r w:rsidRPr="00F574BE">
              <w:t>0.0882</w:t>
            </w:r>
          </w:p>
        </w:tc>
        <w:tc>
          <w:tcPr>
            <w:tcW w:w="1873" w:type="dxa"/>
          </w:tcPr>
          <w:p w14:paraId="6934A711" w14:textId="5D3DDFE6" w:rsidR="007A794A" w:rsidRPr="00CE44F5" w:rsidRDefault="007A794A" w:rsidP="007A794A">
            <w:pPr>
              <w:pStyle w:val="Tabletext0"/>
            </w:pPr>
            <w:r w:rsidRPr="00F574BE">
              <w:t>0.0721</w:t>
            </w:r>
          </w:p>
        </w:tc>
      </w:tr>
      <w:tr w:rsidR="007A794A" w14:paraId="2B1F2CF3" w14:textId="77777777" w:rsidTr="00AA124C">
        <w:tc>
          <w:tcPr>
            <w:tcW w:w="3397" w:type="dxa"/>
          </w:tcPr>
          <w:p w14:paraId="0D40F17B" w14:textId="585084DB" w:rsidR="007A794A" w:rsidRPr="00CE44F5" w:rsidRDefault="007A794A" w:rsidP="007A794A">
            <w:pPr>
              <w:pStyle w:val="Tabletext0"/>
            </w:pPr>
            <w:r w:rsidRPr="0045070E">
              <w:t>removing subgroups 1, 4, 7 and 10</w:t>
            </w:r>
          </w:p>
        </w:tc>
        <w:tc>
          <w:tcPr>
            <w:tcW w:w="1873" w:type="dxa"/>
          </w:tcPr>
          <w:p w14:paraId="0F7CA858" w14:textId="4702076C" w:rsidR="007A794A" w:rsidRPr="00CE44F5" w:rsidRDefault="007A794A" w:rsidP="007A794A">
            <w:pPr>
              <w:pStyle w:val="Tabletext0"/>
            </w:pPr>
            <w:r w:rsidRPr="0045070E">
              <w:t>−</w:t>
            </w:r>
            <w:r w:rsidRPr="00F574BE">
              <w:t>$369.96</w:t>
            </w:r>
          </w:p>
        </w:tc>
        <w:tc>
          <w:tcPr>
            <w:tcW w:w="1873" w:type="dxa"/>
          </w:tcPr>
          <w:p w14:paraId="3C52F556" w14:textId="33E390DA" w:rsidR="007A794A" w:rsidRPr="00CE44F5" w:rsidRDefault="007A794A" w:rsidP="007A794A">
            <w:pPr>
              <w:pStyle w:val="Tabletext0"/>
            </w:pPr>
            <w:r w:rsidRPr="00F574BE">
              <w:t>0.0925</w:t>
            </w:r>
          </w:p>
        </w:tc>
        <w:tc>
          <w:tcPr>
            <w:tcW w:w="1873" w:type="dxa"/>
          </w:tcPr>
          <w:p w14:paraId="559AB504" w14:textId="3C38D423" w:rsidR="007A794A" w:rsidRPr="00CE44F5" w:rsidRDefault="007A794A" w:rsidP="007A794A">
            <w:pPr>
              <w:pStyle w:val="Tabletext0"/>
            </w:pPr>
            <w:r w:rsidRPr="00F574BE">
              <w:t>0.0850</w:t>
            </w:r>
          </w:p>
        </w:tc>
      </w:tr>
      <w:tr w:rsidR="007A794A" w14:paraId="32724C02" w14:textId="77777777" w:rsidTr="00AA124C">
        <w:tc>
          <w:tcPr>
            <w:tcW w:w="3397" w:type="dxa"/>
          </w:tcPr>
          <w:p w14:paraId="7C8447C9" w14:textId="45E432C5" w:rsidR="007A794A" w:rsidRDefault="007A794A" w:rsidP="007A794A">
            <w:pPr>
              <w:pStyle w:val="Tabletext0"/>
            </w:pPr>
            <w:r w:rsidRPr="0045070E">
              <w:t>removing subgroups 1, 4, 7, 10 and 13</w:t>
            </w:r>
          </w:p>
        </w:tc>
        <w:tc>
          <w:tcPr>
            <w:tcW w:w="1873" w:type="dxa"/>
          </w:tcPr>
          <w:p w14:paraId="79C2F0BD" w14:textId="07257F42" w:rsidR="007A794A" w:rsidRDefault="007A794A" w:rsidP="007A794A">
            <w:pPr>
              <w:pStyle w:val="Tabletext0"/>
            </w:pPr>
            <w:r w:rsidRPr="0045070E">
              <w:t>−</w:t>
            </w:r>
            <w:r w:rsidRPr="00F574BE">
              <w:t>$419.28</w:t>
            </w:r>
          </w:p>
        </w:tc>
        <w:tc>
          <w:tcPr>
            <w:tcW w:w="1873" w:type="dxa"/>
          </w:tcPr>
          <w:p w14:paraId="469A7347" w14:textId="448FAA6B" w:rsidR="007A794A" w:rsidRDefault="007A794A" w:rsidP="007A794A">
            <w:pPr>
              <w:pStyle w:val="Tabletext0"/>
            </w:pPr>
            <w:r w:rsidRPr="00F574BE">
              <w:t>0.0969</w:t>
            </w:r>
          </w:p>
        </w:tc>
        <w:tc>
          <w:tcPr>
            <w:tcW w:w="1873" w:type="dxa"/>
          </w:tcPr>
          <w:p w14:paraId="2E4544EF" w14:textId="5689A17D" w:rsidR="007A794A" w:rsidRDefault="007A794A" w:rsidP="007A794A">
            <w:pPr>
              <w:pStyle w:val="Tabletext0"/>
            </w:pPr>
            <w:r w:rsidRPr="00F574BE">
              <w:t>0.0899</w:t>
            </w:r>
          </w:p>
        </w:tc>
      </w:tr>
      <w:tr w:rsidR="00AA124C" w14:paraId="409BD515" w14:textId="77777777" w:rsidTr="00AA124C">
        <w:tc>
          <w:tcPr>
            <w:tcW w:w="9016" w:type="dxa"/>
            <w:gridSpan w:val="4"/>
          </w:tcPr>
          <w:p w14:paraId="18278EBE" w14:textId="3D94FB11" w:rsidR="00AA124C" w:rsidRPr="0045070E" w:rsidRDefault="009141A1" w:rsidP="00265762">
            <w:pPr>
              <w:pStyle w:val="Tabletext0"/>
            </w:pPr>
            <w:r w:rsidRPr="009141A1">
              <w:rPr>
                <w:b/>
              </w:rPr>
              <w:t xml:space="preserve">Proportion of FIGO stage III–IVA patients with a change in management following </w:t>
            </w:r>
            <w:r w:rsidRPr="009141A1">
              <w:rPr>
                <w:b/>
                <w:i/>
              </w:rPr>
              <w:t>POLE</w:t>
            </w:r>
            <w:r w:rsidRPr="009141A1">
              <w:rPr>
                <w:b/>
              </w:rPr>
              <w:t>mut identification (base case 100% management change)</w:t>
            </w:r>
          </w:p>
        </w:tc>
      </w:tr>
      <w:tr w:rsidR="00613943" w14:paraId="1E04B149" w14:textId="77777777" w:rsidTr="00AA124C">
        <w:tc>
          <w:tcPr>
            <w:tcW w:w="3397" w:type="dxa"/>
          </w:tcPr>
          <w:p w14:paraId="7BDFC6ED" w14:textId="23A1F8D7" w:rsidR="00613943" w:rsidRPr="0045070E" w:rsidRDefault="00613943" w:rsidP="00613943">
            <w:pPr>
              <w:pStyle w:val="Tabletext0"/>
            </w:pPr>
            <w:r w:rsidRPr="00FD6313">
              <w:t>90% management change, 10% no change</w:t>
            </w:r>
          </w:p>
        </w:tc>
        <w:tc>
          <w:tcPr>
            <w:tcW w:w="1873" w:type="dxa"/>
          </w:tcPr>
          <w:p w14:paraId="52DF779E" w14:textId="52777479" w:rsidR="00613943" w:rsidRPr="0045070E" w:rsidRDefault="00613943" w:rsidP="00613943">
            <w:pPr>
              <w:pStyle w:val="Tabletext0"/>
            </w:pPr>
            <w:r w:rsidRPr="0045070E">
              <w:t>−</w:t>
            </w:r>
            <w:r w:rsidRPr="0047101B">
              <w:t>$93.93</w:t>
            </w:r>
          </w:p>
        </w:tc>
        <w:tc>
          <w:tcPr>
            <w:tcW w:w="1873" w:type="dxa"/>
          </w:tcPr>
          <w:p w14:paraId="61FCDC9C" w14:textId="4BBC2A96" w:rsidR="00613943" w:rsidRPr="0045070E" w:rsidRDefault="00613943" w:rsidP="00613943">
            <w:pPr>
              <w:pStyle w:val="Tabletext0"/>
            </w:pPr>
            <w:r>
              <w:t>0.0974</w:t>
            </w:r>
          </w:p>
        </w:tc>
        <w:tc>
          <w:tcPr>
            <w:tcW w:w="1873" w:type="dxa"/>
          </w:tcPr>
          <w:p w14:paraId="3CA8424F" w14:textId="0CBA9429" w:rsidR="00613943" w:rsidRPr="0045070E" w:rsidRDefault="00613943" w:rsidP="00613943">
            <w:pPr>
              <w:pStyle w:val="Tabletext0"/>
            </w:pPr>
            <w:r w:rsidRPr="003C15E3">
              <w:t>0.0472</w:t>
            </w:r>
          </w:p>
        </w:tc>
      </w:tr>
      <w:tr w:rsidR="00613943" w14:paraId="21901BA9" w14:textId="77777777" w:rsidTr="00AA124C">
        <w:tc>
          <w:tcPr>
            <w:tcW w:w="3397" w:type="dxa"/>
          </w:tcPr>
          <w:p w14:paraId="457D63E6" w14:textId="469F6B0A" w:rsidR="00613943" w:rsidRPr="0045070E" w:rsidRDefault="00613943" w:rsidP="00613943">
            <w:pPr>
              <w:pStyle w:val="Tabletext0"/>
            </w:pPr>
            <w:r w:rsidRPr="00FD6313">
              <w:t>70% management change, 30% no change</w:t>
            </w:r>
          </w:p>
        </w:tc>
        <w:tc>
          <w:tcPr>
            <w:tcW w:w="1873" w:type="dxa"/>
          </w:tcPr>
          <w:p w14:paraId="766E538E" w14:textId="69C257C8" w:rsidR="00613943" w:rsidRPr="0045070E" w:rsidRDefault="00613943" w:rsidP="00613943">
            <w:pPr>
              <w:pStyle w:val="Tabletext0"/>
            </w:pPr>
            <w:r w:rsidRPr="0045070E">
              <w:t>−</w:t>
            </w:r>
            <w:r w:rsidRPr="0047101B">
              <w:t>$5.20</w:t>
            </w:r>
          </w:p>
        </w:tc>
        <w:tc>
          <w:tcPr>
            <w:tcW w:w="1873" w:type="dxa"/>
          </w:tcPr>
          <w:p w14:paraId="01886919" w14:textId="5FAE7D61" w:rsidR="00613943" w:rsidRPr="0045070E" w:rsidRDefault="00613943" w:rsidP="00613943">
            <w:pPr>
              <w:pStyle w:val="Tabletext0"/>
            </w:pPr>
            <w:r>
              <w:t>0.0974</w:t>
            </w:r>
          </w:p>
        </w:tc>
        <w:tc>
          <w:tcPr>
            <w:tcW w:w="1873" w:type="dxa"/>
          </w:tcPr>
          <w:p w14:paraId="693496F5" w14:textId="440CD764" w:rsidR="00613943" w:rsidRPr="0045070E" w:rsidRDefault="00613943" w:rsidP="00613943">
            <w:pPr>
              <w:pStyle w:val="Tabletext0"/>
            </w:pPr>
            <w:r w:rsidRPr="003C15E3">
              <w:t>0.0505</w:t>
            </w:r>
          </w:p>
        </w:tc>
      </w:tr>
      <w:tr w:rsidR="00613943" w14:paraId="77A7CE83" w14:textId="77777777" w:rsidTr="00AA124C">
        <w:tc>
          <w:tcPr>
            <w:tcW w:w="3397" w:type="dxa"/>
          </w:tcPr>
          <w:p w14:paraId="4397AC7C" w14:textId="4B1F8712" w:rsidR="00613943" w:rsidRPr="0045070E" w:rsidRDefault="00613943" w:rsidP="00613943">
            <w:pPr>
              <w:pStyle w:val="Tabletext0"/>
            </w:pPr>
            <w:r w:rsidRPr="00FD6313">
              <w:t>50% management change, 50% no change</w:t>
            </w:r>
          </w:p>
        </w:tc>
        <w:tc>
          <w:tcPr>
            <w:tcW w:w="1873" w:type="dxa"/>
          </w:tcPr>
          <w:p w14:paraId="2CC0F275" w14:textId="69000211" w:rsidR="00613943" w:rsidRPr="0045070E" w:rsidRDefault="00613943" w:rsidP="00613943">
            <w:pPr>
              <w:pStyle w:val="Tabletext0"/>
            </w:pPr>
            <w:r w:rsidRPr="0047101B">
              <w:t>$83.53</w:t>
            </w:r>
          </w:p>
        </w:tc>
        <w:tc>
          <w:tcPr>
            <w:tcW w:w="1873" w:type="dxa"/>
          </w:tcPr>
          <w:p w14:paraId="01222B14" w14:textId="405C269C" w:rsidR="00613943" w:rsidRPr="0045070E" w:rsidRDefault="00613943" w:rsidP="00613943">
            <w:pPr>
              <w:pStyle w:val="Tabletext0"/>
            </w:pPr>
            <w:r>
              <w:t>0.0974</w:t>
            </w:r>
          </w:p>
        </w:tc>
        <w:tc>
          <w:tcPr>
            <w:tcW w:w="1873" w:type="dxa"/>
          </w:tcPr>
          <w:p w14:paraId="16DB5710" w14:textId="2A41FFBF" w:rsidR="00613943" w:rsidRPr="0045070E" w:rsidRDefault="00613943" w:rsidP="00613943">
            <w:pPr>
              <w:pStyle w:val="Tabletext0"/>
            </w:pPr>
            <w:r w:rsidRPr="003C15E3">
              <w:t>0.0539</w:t>
            </w:r>
          </w:p>
        </w:tc>
      </w:tr>
      <w:tr w:rsidR="00613943" w14:paraId="24371A89" w14:textId="77777777" w:rsidTr="00AA124C">
        <w:tc>
          <w:tcPr>
            <w:tcW w:w="3397" w:type="dxa"/>
          </w:tcPr>
          <w:p w14:paraId="6675E1C4" w14:textId="1E0E7876" w:rsidR="00613943" w:rsidRPr="0045070E" w:rsidRDefault="00613943" w:rsidP="00613943">
            <w:pPr>
              <w:pStyle w:val="Tabletext0"/>
            </w:pPr>
            <w:r w:rsidRPr="00FD6313">
              <w:t>30% management change, 70% no change</w:t>
            </w:r>
          </w:p>
        </w:tc>
        <w:tc>
          <w:tcPr>
            <w:tcW w:w="1873" w:type="dxa"/>
          </w:tcPr>
          <w:p w14:paraId="5362F943" w14:textId="46848D86" w:rsidR="00613943" w:rsidRPr="0045070E" w:rsidRDefault="00613943" w:rsidP="00613943">
            <w:pPr>
              <w:pStyle w:val="Tabletext0"/>
            </w:pPr>
            <w:r w:rsidRPr="0047101B">
              <w:t>$172.27</w:t>
            </w:r>
          </w:p>
        </w:tc>
        <w:tc>
          <w:tcPr>
            <w:tcW w:w="1873" w:type="dxa"/>
          </w:tcPr>
          <w:p w14:paraId="1701701C" w14:textId="6636166F" w:rsidR="00613943" w:rsidRPr="0045070E" w:rsidRDefault="00613943" w:rsidP="00613943">
            <w:pPr>
              <w:pStyle w:val="Tabletext0"/>
            </w:pPr>
            <w:r>
              <w:t>0.0974</w:t>
            </w:r>
          </w:p>
        </w:tc>
        <w:tc>
          <w:tcPr>
            <w:tcW w:w="1873" w:type="dxa"/>
          </w:tcPr>
          <w:p w14:paraId="2D36A3CF" w14:textId="4407887A" w:rsidR="00613943" w:rsidRPr="0045070E" w:rsidRDefault="00613943" w:rsidP="00613943">
            <w:pPr>
              <w:pStyle w:val="Tabletext0"/>
            </w:pPr>
            <w:r w:rsidRPr="003C15E3">
              <w:t>0.0573</w:t>
            </w:r>
          </w:p>
        </w:tc>
      </w:tr>
      <w:tr w:rsidR="00613943" w14:paraId="6A1CD932" w14:textId="77777777" w:rsidTr="00AA124C">
        <w:tc>
          <w:tcPr>
            <w:tcW w:w="3397" w:type="dxa"/>
          </w:tcPr>
          <w:p w14:paraId="036D16FC" w14:textId="12B06DEC" w:rsidR="00613943" w:rsidRPr="0045070E" w:rsidRDefault="00613943" w:rsidP="00613943">
            <w:pPr>
              <w:pStyle w:val="Tabletext0"/>
            </w:pPr>
            <w:r w:rsidRPr="00FD6313">
              <w:t>10% management change, 90% no change</w:t>
            </w:r>
          </w:p>
        </w:tc>
        <w:tc>
          <w:tcPr>
            <w:tcW w:w="1873" w:type="dxa"/>
          </w:tcPr>
          <w:p w14:paraId="0B177C98" w14:textId="700B763A" w:rsidR="00613943" w:rsidRPr="0045070E" w:rsidRDefault="00613943" w:rsidP="00613943">
            <w:pPr>
              <w:pStyle w:val="Tabletext0"/>
            </w:pPr>
            <w:r w:rsidRPr="0047101B">
              <w:t>$261.00</w:t>
            </w:r>
          </w:p>
        </w:tc>
        <w:tc>
          <w:tcPr>
            <w:tcW w:w="1873" w:type="dxa"/>
          </w:tcPr>
          <w:p w14:paraId="1F138BCB" w14:textId="02C37AF9" w:rsidR="00613943" w:rsidRPr="0045070E" w:rsidRDefault="00613943" w:rsidP="00613943">
            <w:pPr>
              <w:pStyle w:val="Tabletext0"/>
            </w:pPr>
            <w:r>
              <w:t>0.0974</w:t>
            </w:r>
          </w:p>
        </w:tc>
        <w:tc>
          <w:tcPr>
            <w:tcW w:w="1873" w:type="dxa"/>
          </w:tcPr>
          <w:p w14:paraId="4BE6A38B" w14:textId="20514527" w:rsidR="00613943" w:rsidRPr="0045070E" w:rsidRDefault="00613943" w:rsidP="00613943">
            <w:pPr>
              <w:pStyle w:val="Tabletext0"/>
            </w:pPr>
            <w:r w:rsidRPr="003C15E3">
              <w:t>0.0606</w:t>
            </w:r>
          </w:p>
        </w:tc>
      </w:tr>
    </w:tbl>
    <w:p w14:paraId="7C8BD77C" w14:textId="66748B89" w:rsidR="0041102E" w:rsidRDefault="0001241D" w:rsidP="0041102E">
      <w:pPr>
        <w:pStyle w:val="Tablefooter0"/>
      </w:pPr>
      <w:bookmarkStart w:id="84" w:name="_Hlk68276759"/>
      <w:r w:rsidRPr="003D450C">
        <w:t xml:space="preserve">Abbreviations: EC = endometrial </w:t>
      </w:r>
      <w:r w:rsidR="007655D2">
        <w:t>cancer</w:t>
      </w:r>
      <w:r w:rsidRPr="003D450C">
        <w:t xml:space="preserve">; FIGO = International Federation of Gynecology and Obstetrics; MMRd = mismatch repair deficient; MMRp = mismatch repair proficient; NGS = next generation sequencing; p53wt = p53 protein wild type; </w:t>
      </w:r>
      <w:r w:rsidRPr="006338E8">
        <w:rPr>
          <w:i/>
        </w:rPr>
        <w:t>POLE</w:t>
      </w:r>
      <w:r w:rsidRPr="003D450C">
        <w:t>mut = DNA polymerase epsilon</w:t>
      </w:r>
      <w:r w:rsidR="007260AC">
        <w:t>, catalytic subunit</w:t>
      </w:r>
      <w:r w:rsidRPr="003D450C">
        <w:t xml:space="preserve"> mutation.</w:t>
      </w:r>
    </w:p>
    <w:p w14:paraId="41AD411D" w14:textId="77777777" w:rsidR="00292C67" w:rsidRPr="00B835A2" w:rsidRDefault="00292C67" w:rsidP="00292C67">
      <w:pPr>
        <w:pStyle w:val="Tablefooter0"/>
        <w:rPr>
          <w:lang w:val="en-US"/>
        </w:rPr>
      </w:pPr>
      <w:r w:rsidRPr="00B835A2">
        <w:rPr>
          <w:lang w:val="en-US"/>
        </w:rPr>
        <w:t>Subgroup 1</w:t>
      </w:r>
      <w:r>
        <w:rPr>
          <w:lang w:val="en-US"/>
        </w:rPr>
        <w:t>:</w:t>
      </w:r>
      <w:r w:rsidRPr="00B835A2">
        <w:rPr>
          <w:lang w:val="en-US"/>
        </w:rPr>
        <w:t xml:space="preserve"> MMRd &amp; FIGO stage IA or IC</w:t>
      </w:r>
    </w:p>
    <w:p w14:paraId="2EA7CBEE" w14:textId="77777777" w:rsidR="00292C67" w:rsidRPr="00B835A2" w:rsidRDefault="00292C67" w:rsidP="00292C67">
      <w:pPr>
        <w:pStyle w:val="Tablefooter0"/>
        <w:rPr>
          <w:lang w:val="en-US"/>
        </w:rPr>
      </w:pPr>
      <w:r w:rsidRPr="00B835A2">
        <w:rPr>
          <w:lang w:val="en-US"/>
        </w:rPr>
        <w:t>Subgroup 2</w:t>
      </w:r>
      <w:r>
        <w:rPr>
          <w:lang w:val="en-US"/>
        </w:rPr>
        <w:t>:</w:t>
      </w:r>
      <w:r w:rsidRPr="00B835A2">
        <w:rPr>
          <w:lang w:val="en-US"/>
        </w:rPr>
        <w:t xml:space="preserve"> MMRd &amp; FIGO stage IB or II</w:t>
      </w:r>
    </w:p>
    <w:p w14:paraId="76472D7E" w14:textId="77777777" w:rsidR="00292C67" w:rsidRPr="00B835A2" w:rsidRDefault="00292C67" w:rsidP="00292C67">
      <w:pPr>
        <w:pStyle w:val="Tablefooter0"/>
        <w:rPr>
          <w:lang w:val="en-US"/>
        </w:rPr>
      </w:pPr>
      <w:r w:rsidRPr="00B835A2">
        <w:rPr>
          <w:lang w:val="en-US"/>
        </w:rPr>
        <w:t>Subgroup 3</w:t>
      </w:r>
      <w:r>
        <w:rPr>
          <w:lang w:val="en-US"/>
        </w:rPr>
        <w:t>:</w:t>
      </w:r>
      <w:r w:rsidRPr="00B835A2">
        <w:rPr>
          <w:lang w:val="en-US"/>
        </w:rPr>
        <w:t xml:space="preserve"> MMRd &amp; FIGO stage III–IVA</w:t>
      </w:r>
    </w:p>
    <w:p w14:paraId="23A93848" w14:textId="77777777" w:rsidR="00292C67" w:rsidRPr="00B835A2" w:rsidRDefault="00292C67" w:rsidP="00292C67">
      <w:pPr>
        <w:pStyle w:val="Tablefooter0"/>
        <w:rPr>
          <w:lang w:val="en-US"/>
        </w:rPr>
      </w:pPr>
      <w:r w:rsidRPr="00B835A2">
        <w:rPr>
          <w:lang w:val="en-US"/>
        </w:rPr>
        <w:t>Subgroup 4</w:t>
      </w:r>
      <w:r>
        <w:rPr>
          <w:lang w:val="en-US"/>
        </w:rPr>
        <w:t>:</w:t>
      </w:r>
      <w:r w:rsidRPr="00B835A2">
        <w:rPr>
          <w:lang w:val="en-US"/>
        </w:rPr>
        <w:t xml:space="preserve"> p53abn &amp; FIGO stage IA1 or IC</w:t>
      </w:r>
    </w:p>
    <w:p w14:paraId="2DE0DF39" w14:textId="77777777" w:rsidR="00292C67" w:rsidRPr="00B835A2" w:rsidRDefault="00292C67" w:rsidP="00292C67">
      <w:pPr>
        <w:pStyle w:val="Tablefooter0"/>
        <w:rPr>
          <w:lang w:val="en-US"/>
        </w:rPr>
      </w:pPr>
      <w:r w:rsidRPr="00B835A2">
        <w:rPr>
          <w:lang w:val="en-US"/>
        </w:rPr>
        <w:t>Subgroup 5</w:t>
      </w:r>
      <w:r>
        <w:rPr>
          <w:lang w:val="en-US"/>
        </w:rPr>
        <w:t>:</w:t>
      </w:r>
      <w:r w:rsidRPr="00B835A2">
        <w:rPr>
          <w:lang w:val="en-US"/>
        </w:rPr>
        <w:t xml:space="preserve"> p53abn &amp; FIGO stage IA2, IA3, IB or II</w:t>
      </w:r>
    </w:p>
    <w:p w14:paraId="26E068F9" w14:textId="77777777" w:rsidR="00292C67" w:rsidRPr="00B835A2" w:rsidRDefault="00292C67" w:rsidP="00292C67">
      <w:pPr>
        <w:pStyle w:val="Tablefooter0"/>
        <w:rPr>
          <w:lang w:val="en-US"/>
        </w:rPr>
      </w:pPr>
      <w:r w:rsidRPr="00B835A2">
        <w:rPr>
          <w:lang w:val="en-US"/>
        </w:rPr>
        <w:t>Subgroup 6</w:t>
      </w:r>
      <w:r>
        <w:rPr>
          <w:lang w:val="en-US"/>
        </w:rPr>
        <w:t>:</w:t>
      </w:r>
      <w:r w:rsidRPr="00B835A2">
        <w:rPr>
          <w:lang w:val="en-US"/>
        </w:rPr>
        <w:t xml:space="preserve"> p53abn &amp; FIGO stage III or IVA</w:t>
      </w:r>
    </w:p>
    <w:p w14:paraId="0A27D514" w14:textId="77777777" w:rsidR="00292C67" w:rsidRPr="00B835A2" w:rsidRDefault="00292C67" w:rsidP="00292C67">
      <w:pPr>
        <w:pStyle w:val="Tablefooter0"/>
        <w:rPr>
          <w:lang w:val="en-US"/>
        </w:rPr>
      </w:pPr>
      <w:r w:rsidRPr="00B835A2">
        <w:rPr>
          <w:lang w:val="en-US"/>
        </w:rPr>
        <w:t>Subgroup 7</w:t>
      </w:r>
      <w:r>
        <w:rPr>
          <w:lang w:val="en-US"/>
        </w:rPr>
        <w:t>:</w:t>
      </w:r>
      <w:r w:rsidRPr="00B835A2">
        <w:rPr>
          <w:lang w:val="en-US"/>
        </w:rPr>
        <w:t xml:space="preserve"> MMRp &amp; p53wt &amp; low-grade disease &amp; ER+ &amp; FIGO stage IA</w:t>
      </w:r>
    </w:p>
    <w:p w14:paraId="352611B8" w14:textId="77777777" w:rsidR="00292C67" w:rsidRPr="00B835A2" w:rsidRDefault="00292C67" w:rsidP="00292C67">
      <w:pPr>
        <w:pStyle w:val="Tablefooter0"/>
        <w:rPr>
          <w:lang w:val="en-US"/>
        </w:rPr>
      </w:pPr>
      <w:r w:rsidRPr="00B835A2">
        <w:rPr>
          <w:lang w:val="en-US"/>
        </w:rPr>
        <w:t>Subgroup 8</w:t>
      </w:r>
      <w:r>
        <w:rPr>
          <w:lang w:val="en-US"/>
        </w:rPr>
        <w:t>:</w:t>
      </w:r>
      <w:r w:rsidRPr="00B835A2">
        <w:rPr>
          <w:lang w:val="en-US"/>
        </w:rPr>
        <w:t xml:space="preserve"> MMRp &amp; p53wt &amp; low-grade disease &amp; ER+ &amp; FIGO stage IB, IC or II</w:t>
      </w:r>
    </w:p>
    <w:p w14:paraId="10829531" w14:textId="77777777" w:rsidR="00292C67" w:rsidRPr="00B835A2" w:rsidRDefault="00292C67" w:rsidP="00292C67">
      <w:pPr>
        <w:pStyle w:val="Tablefooter0"/>
        <w:rPr>
          <w:lang w:val="en-US"/>
        </w:rPr>
      </w:pPr>
      <w:r w:rsidRPr="00B835A2">
        <w:rPr>
          <w:lang w:val="en-US"/>
        </w:rPr>
        <w:t>Subgroup 9</w:t>
      </w:r>
      <w:r>
        <w:rPr>
          <w:lang w:val="en-US"/>
        </w:rPr>
        <w:t>:</w:t>
      </w:r>
      <w:r w:rsidRPr="00B835A2">
        <w:rPr>
          <w:lang w:val="en-US"/>
        </w:rPr>
        <w:t xml:space="preserve"> MMRp &amp; p53wt &amp; low-grade disease &amp; ER+ &amp; FIGO stage III–IVA</w:t>
      </w:r>
    </w:p>
    <w:p w14:paraId="7CA22801" w14:textId="77777777" w:rsidR="00292C67" w:rsidRPr="00B835A2" w:rsidRDefault="00292C67" w:rsidP="00292C67">
      <w:pPr>
        <w:pStyle w:val="Tablefooter0"/>
        <w:rPr>
          <w:lang w:val="en-US"/>
        </w:rPr>
      </w:pPr>
      <w:r w:rsidRPr="00B835A2">
        <w:rPr>
          <w:lang w:val="en-US"/>
        </w:rPr>
        <w:t>Subgroup 10</w:t>
      </w:r>
      <w:r>
        <w:rPr>
          <w:lang w:val="en-US"/>
        </w:rPr>
        <w:t>:</w:t>
      </w:r>
      <w:r w:rsidRPr="00B835A2">
        <w:rPr>
          <w:lang w:val="en-US"/>
        </w:rPr>
        <w:t xml:space="preserve"> MMRp &amp; p53wt &amp; high-grade disease or ER- &amp; FIGO stage IA1 or IC</w:t>
      </w:r>
    </w:p>
    <w:p w14:paraId="73E598D5" w14:textId="77777777" w:rsidR="00292C67" w:rsidRPr="00B835A2" w:rsidRDefault="00292C67" w:rsidP="00292C67">
      <w:pPr>
        <w:pStyle w:val="Tablefooter0"/>
        <w:rPr>
          <w:lang w:val="en-US"/>
        </w:rPr>
      </w:pPr>
      <w:r w:rsidRPr="00B835A2">
        <w:rPr>
          <w:lang w:val="en-US"/>
        </w:rPr>
        <w:t>Subgroup 11</w:t>
      </w:r>
      <w:r>
        <w:rPr>
          <w:lang w:val="en-US"/>
        </w:rPr>
        <w:t>:</w:t>
      </w:r>
      <w:r w:rsidRPr="00B835A2">
        <w:rPr>
          <w:lang w:val="en-US"/>
        </w:rPr>
        <w:t xml:space="preserve"> MMRp &amp; p53wt &amp; high-grade disease or ER- &amp; FIGO stage IA2, IA3, IB or II</w:t>
      </w:r>
    </w:p>
    <w:p w14:paraId="4A2527ED" w14:textId="77777777" w:rsidR="00292C67" w:rsidRPr="00B835A2" w:rsidRDefault="00292C67" w:rsidP="00292C67">
      <w:pPr>
        <w:pStyle w:val="Tablefooter0"/>
        <w:rPr>
          <w:lang w:val="en-US"/>
        </w:rPr>
      </w:pPr>
      <w:r w:rsidRPr="00B835A2">
        <w:rPr>
          <w:lang w:val="en-US"/>
        </w:rPr>
        <w:t>Subgroup 12</w:t>
      </w:r>
      <w:r>
        <w:rPr>
          <w:lang w:val="en-US"/>
        </w:rPr>
        <w:t>:</w:t>
      </w:r>
      <w:r w:rsidRPr="00B835A2">
        <w:rPr>
          <w:lang w:val="en-US"/>
        </w:rPr>
        <w:t xml:space="preserve"> MMRp &amp; p53wt &amp; high-grade disease or ER- &amp; FIGO stage III or IVA</w:t>
      </w:r>
    </w:p>
    <w:p w14:paraId="407ED64D" w14:textId="5304B75F" w:rsidR="006E3D76" w:rsidRDefault="00292C67" w:rsidP="00170D6C">
      <w:pPr>
        <w:pStyle w:val="Tablefooter0"/>
        <w:rPr>
          <w:lang w:val="en-US"/>
        </w:rPr>
      </w:pPr>
      <w:r w:rsidRPr="00B835A2">
        <w:rPr>
          <w:lang w:val="en-US"/>
        </w:rPr>
        <w:t>Subgroup 13</w:t>
      </w:r>
      <w:r>
        <w:rPr>
          <w:lang w:val="en-US"/>
        </w:rPr>
        <w:t>:</w:t>
      </w:r>
      <w:r w:rsidRPr="00B835A2">
        <w:rPr>
          <w:lang w:val="en-US"/>
        </w:rPr>
        <w:t xml:space="preserve"> FIGO stage IVB or IVC (any molecular classification)</w:t>
      </w:r>
    </w:p>
    <w:p w14:paraId="038552DF" w14:textId="6A088DED" w:rsidR="00B560CA" w:rsidRDefault="001A726F" w:rsidP="00B560CA">
      <w:r>
        <w:t>In the</w:t>
      </w:r>
      <w:r w:rsidR="00B560CA">
        <w:t xml:space="preserve"> cost-utility analysis, </w:t>
      </w:r>
      <w:r w:rsidR="00B560CA">
        <w:rPr>
          <w:i/>
          <w:iCs/>
        </w:rPr>
        <w:t xml:space="preserve">POLE </w:t>
      </w:r>
      <w:r w:rsidR="00B560CA">
        <w:t xml:space="preserve">genotyping remained dominant in most </w:t>
      </w:r>
      <w:r w:rsidR="00A61132">
        <w:t xml:space="preserve">one-way </w:t>
      </w:r>
      <w:r w:rsidR="00B560CA">
        <w:t>scenarios</w:t>
      </w:r>
      <w:r>
        <w:t xml:space="preserve"> tested</w:t>
      </w:r>
      <w:r w:rsidR="00B560CA">
        <w:t xml:space="preserve">, apart from those in which 0% of patients with stage III-IVA </w:t>
      </w:r>
      <w:r w:rsidR="00B560CA">
        <w:rPr>
          <w:i/>
          <w:iCs/>
        </w:rPr>
        <w:t>POLE</w:t>
      </w:r>
      <w:r w:rsidR="00B560CA">
        <w:t>mut EC were assumed to de-escalate adjuvant therapy and/or immunotherapy was removed as an adjuvant therapy option for patients with stage III-IVA MMRd EC.</w:t>
      </w:r>
    </w:p>
    <w:p w14:paraId="3A7461EB" w14:textId="0AF011CB" w:rsidR="00BD762E" w:rsidRDefault="00BD762E" w:rsidP="00B560CA">
      <w:r>
        <w:lastRenderedPageBreak/>
        <w:t>K</w:t>
      </w:r>
      <w:r w:rsidRPr="007C328C">
        <w:t>ey scenario analyses</w:t>
      </w:r>
      <w:r>
        <w:t xml:space="preserve"> undertaken on the cost-utility model</w:t>
      </w:r>
      <w:r w:rsidRPr="007C328C">
        <w:t xml:space="preserve"> are </w:t>
      </w:r>
      <w:r>
        <w:t xml:space="preserve">presented in </w:t>
      </w:r>
      <w:r>
        <w:fldChar w:fldCharType="begin"/>
      </w:r>
      <w:r>
        <w:instrText xml:space="preserve"> REF _Ref216309458 \h </w:instrText>
      </w:r>
      <w:r>
        <w:fldChar w:fldCharType="separate"/>
      </w:r>
      <w:r w:rsidR="00996E6E">
        <w:t xml:space="preserve">Table </w:t>
      </w:r>
      <w:r w:rsidR="00996E6E">
        <w:rPr>
          <w:noProof/>
        </w:rPr>
        <w:t>15</w:t>
      </w:r>
      <w:r>
        <w:fldChar w:fldCharType="end"/>
      </w:r>
      <w:r>
        <w:t xml:space="preserve">. </w:t>
      </w:r>
      <w:r>
        <w:rPr>
          <w:lang w:val="en-US"/>
        </w:rPr>
        <w:t xml:space="preserve">Across these key scenarios, </w:t>
      </w:r>
      <w:r>
        <w:t xml:space="preserve">the incremental QALY outcome for </w:t>
      </w:r>
      <w:r>
        <w:rPr>
          <w:i/>
          <w:iCs/>
        </w:rPr>
        <w:t xml:space="preserve">POLE </w:t>
      </w:r>
      <w:r>
        <w:t>genotyping relative to standard care varied between 0.002–0.01</w:t>
      </w:r>
      <w:r w:rsidR="00216ECE">
        <w:t>8</w:t>
      </w:r>
      <w:r>
        <w:t xml:space="preserve">. </w:t>
      </w:r>
    </w:p>
    <w:p w14:paraId="40F10B95" w14:textId="32F26136" w:rsidR="0039429A" w:rsidRPr="00BD762E" w:rsidRDefault="00AB10A1">
      <w:r>
        <w:t xml:space="preserve">Several multivariate </w:t>
      </w:r>
      <w:r w:rsidR="00A00F3C">
        <w:t>analyses</w:t>
      </w:r>
      <w:r>
        <w:t xml:space="preserve"> were undertaken to explore </w:t>
      </w:r>
      <w:r w:rsidR="00A00F3C">
        <w:t xml:space="preserve">cost-utility outcomes under more conservative scenarios </w:t>
      </w:r>
      <w:r w:rsidR="00BA6AA6">
        <w:t xml:space="preserve">with respect to treatment de-escalation proportions among patients with stage III-IV </w:t>
      </w:r>
      <w:r w:rsidR="00BA6AA6">
        <w:rPr>
          <w:i/>
          <w:iCs/>
        </w:rPr>
        <w:t>POLE</w:t>
      </w:r>
      <w:r w:rsidR="00BA6AA6">
        <w:t>mut EC</w:t>
      </w:r>
      <w:r w:rsidR="002A2389">
        <w:t xml:space="preserve">, </w:t>
      </w:r>
      <w:r w:rsidR="00C23323">
        <w:t xml:space="preserve">use of immunotherapy in the absence of </w:t>
      </w:r>
      <w:r w:rsidR="00C23323">
        <w:rPr>
          <w:i/>
          <w:iCs/>
        </w:rPr>
        <w:t xml:space="preserve">POLE </w:t>
      </w:r>
      <w:r w:rsidR="00C23323">
        <w:t>genotyping</w:t>
      </w:r>
      <w:r w:rsidR="002A2389">
        <w:t>, and health state utility estimates</w:t>
      </w:r>
      <w:r w:rsidR="00BC6D56">
        <w:t>, with or without variations in test population eligibility</w:t>
      </w:r>
      <w:r w:rsidR="00A22FEB">
        <w:t xml:space="preserve"> and/or an extension of the time horizon</w:t>
      </w:r>
      <w:r w:rsidR="00BC6D56">
        <w:t>.</w:t>
      </w:r>
      <w:r w:rsidR="00C23323">
        <w:t xml:space="preserve"> </w:t>
      </w:r>
      <w:r w:rsidR="00BC5B18">
        <w:t>Overall</w:t>
      </w:r>
      <w:r w:rsidR="0039429A">
        <w:t xml:space="preserve">, there was considerable variation in the </w:t>
      </w:r>
      <w:r w:rsidR="0023008F">
        <w:t>incremental cost-effectiveness ratio (</w:t>
      </w:r>
      <w:r w:rsidR="0039429A">
        <w:t>ICER</w:t>
      </w:r>
      <w:r w:rsidR="0023008F">
        <w:t>)</w:t>
      </w:r>
      <w:r w:rsidR="0039429A">
        <w:t xml:space="preserve"> depending on the assumptions adopted.</w:t>
      </w:r>
    </w:p>
    <w:p w14:paraId="158D505A" w14:textId="311C4350" w:rsidR="009D0D2F" w:rsidRDefault="009D0D2F" w:rsidP="00E936CF">
      <w:pPr>
        <w:pStyle w:val="Caption"/>
      </w:pPr>
      <w:bookmarkStart w:id="85" w:name="_Ref216309458"/>
      <w:r>
        <w:t xml:space="preserve">Table </w:t>
      </w:r>
      <w:r>
        <w:fldChar w:fldCharType="begin"/>
      </w:r>
      <w:r>
        <w:instrText>SEQ Table \* ARABIC</w:instrText>
      </w:r>
      <w:r>
        <w:fldChar w:fldCharType="separate"/>
      </w:r>
      <w:r w:rsidR="00996E6E">
        <w:rPr>
          <w:noProof/>
        </w:rPr>
        <w:t>15</w:t>
      </w:r>
      <w:r>
        <w:fldChar w:fldCharType="end"/>
      </w:r>
      <w:bookmarkEnd w:id="85"/>
      <w:r>
        <w:t xml:space="preserve"> Key scenario analyses on the cost</w:t>
      </w:r>
      <w:r w:rsidR="5122AA59">
        <w:t>-</w:t>
      </w:r>
      <w:r>
        <w:t>utility analysis</w:t>
      </w:r>
    </w:p>
    <w:tbl>
      <w:tblPr>
        <w:tblStyle w:val="TableGrid"/>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360"/>
        <w:gridCol w:w="1155"/>
        <w:gridCol w:w="1251"/>
        <w:gridCol w:w="1858"/>
      </w:tblGrid>
      <w:tr w:rsidR="007F7203" w:rsidRPr="00E936CF" w14:paraId="366D26F2" w14:textId="77777777" w:rsidTr="2908E4A8">
        <w:trPr>
          <w:cantSplit/>
          <w:trHeight w:val="300"/>
          <w:tblHeader/>
        </w:trPr>
        <w:tc>
          <w:tcPr>
            <w:tcW w:w="392" w:type="dxa"/>
            <w:shd w:val="clear" w:color="auto" w:fill="F2F2F2" w:themeFill="background1" w:themeFillShade="F2"/>
          </w:tcPr>
          <w:p w14:paraId="6A4717AE" w14:textId="77777777" w:rsidR="008C739B" w:rsidRPr="00E936CF" w:rsidRDefault="008C739B" w:rsidP="00E936CF">
            <w:pPr>
              <w:pStyle w:val="Tabletext0"/>
              <w:jc w:val="left"/>
              <w:rPr>
                <w:b/>
                <w:bCs/>
              </w:rPr>
            </w:pPr>
          </w:p>
        </w:tc>
        <w:tc>
          <w:tcPr>
            <w:tcW w:w="4360" w:type="dxa"/>
            <w:shd w:val="clear" w:color="auto" w:fill="F2F2F2" w:themeFill="background1" w:themeFillShade="F2"/>
          </w:tcPr>
          <w:p w14:paraId="111575B3" w14:textId="310A1151" w:rsidR="008C739B" w:rsidRPr="00E936CF" w:rsidRDefault="008C739B" w:rsidP="00E936CF">
            <w:pPr>
              <w:pStyle w:val="Tabletext0"/>
              <w:jc w:val="left"/>
              <w:rPr>
                <w:b/>
                <w:bCs/>
              </w:rPr>
            </w:pPr>
            <w:r w:rsidRPr="00E936CF">
              <w:rPr>
                <w:b/>
                <w:bCs/>
              </w:rPr>
              <w:t>Analysis</w:t>
            </w:r>
          </w:p>
        </w:tc>
        <w:tc>
          <w:tcPr>
            <w:tcW w:w="1155" w:type="dxa"/>
            <w:shd w:val="clear" w:color="auto" w:fill="F2F2F2" w:themeFill="background1" w:themeFillShade="F2"/>
          </w:tcPr>
          <w:p w14:paraId="7F5100D5" w14:textId="0556069F" w:rsidR="008C739B" w:rsidRPr="00E936CF" w:rsidRDefault="008C739B" w:rsidP="00E936CF">
            <w:pPr>
              <w:pStyle w:val="Tabletext0"/>
              <w:jc w:val="left"/>
              <w:rPr>
                <w:b/>
                <w:bCs/>
              </w:rPr>
            </w:pPr>
            <w:r w:rsidRPr="00E936CF">
              <w:rPr>
                <w:b/>
                <w:bCs/>
              </w:rPr>
              <w:t>Incremental costs</w:t>
            </w:r>
            <w:r w:rsidR="00F8504F">
              <w:rPr>
                <w:b/>
                <w:bCs/>
              </w:rPr>
              <w:t xml:space="preserve"> ($)</w:t>
            </w:r>
          </w:p>
        </w:tc>
        <w:tc>
          <w:tcPr>
            <w:tcW w:w="1251" w:type="dxa"/>
            <w:shd w:val="clear" w:color="auto" w:fill="F2F2F2" w:themeFill="background1" w:themeFillShade="F2"/>
          </w:tcPr>
          <w:p w14:paraId="6199DD0B" w14:textId="496ED484" w:rsidR="008C739B" w:rsidRPr="00E936CF" w:rsidRDefault="008C739B" w:rsidP="00E936CF">
            <w:pPr>
              <w:pStyle w:val="Tabletext0"/>
              <w:jc w:val="left"/>
              <w:rPr>
                <w:b/>
                <w:bCs/>
              </w:rPr>
            </w:pPr>
            <w:r w:rsidRPr="00E936CF">
              <w:rPr>
                <w:b/>
                <w:bCs/>
              </w:rPr>
              <w:t>Incremental QALYs</w:t>
            </w:r>
          </w:p>
        </w:tc>
        <w:tc>
          <w:tcPr>
            <w:tcW w:w="1858" w:type="dxa"/>
            <w:shd w:val="clear" w:color="auto" w:fill="F2F2F2" w:themeFill="background1" w:themeFillShade="F2"/>
          </w:tcPr>
          <w:p w14:paraId="66C1DDF6" w14:textId="3C200174" w:rsidR="008C739B" w:rsidRPr="00E936CF" w:rsidRDefault="008C739B" w:rsidP="00E936CF">
            <w:pPr>
              <w:pStyle w:val="Tabletext0"/>
              <w:jc w:val="left"/>
              <w:rPr>
                <w:b/>
                <w:bCs/>
              </w:rPr>
            </w:pPr>
            <w:r w:rsidRPr="00E936CF">
              <w:rPr>
                <w:b/>
                <w:bCs/>
              </w:rPr>
              <w:t>ICER</w:t>
            </w:r>
            <w:r w:rsidR="00F8504F">
              <w:rPr>
                <w:b/>
                <w:bCs/>
              </w:rPr>
              <w:t xml:space="preserve"> ($/QALY)</w:t>
            </w:r>
          </w:p>
        </w:tc>
      </w:tr>
      <w:tr w:rsidR="00E936CF" w:rsidRPr="00E936CF" w14:paraId="1BFA1093" w14:textId="77777777" w:rsidTr="00147CD0">
        <w:trPr>
          <w:cantSplit/>
          <w:trHeight w:val="300"/>
        </w:trPr>
        <w:tc>
          <w:tcPr>
            <w:tcW w:w="392" w:type="dxa"/>
          </w:tcPr>
          <w:p w14:paraId="651E88B3" w14:textId="77777777" w:rsidR="008C739B" w:rsidRPr="00E936CF" w:rsidRDefault="008C739B" w:rsidP="00E936CF">
            <w:pPr>
              <w:pStyle w:val="Tabletext0"/>
              <w:jc w:val="left"/>
              <w:rPr>
                <w:b/>
                <w:bCs/>
              </w:rPr>
            </w:pPr>
          </w:p>
        </w:tc>
        <w:tc>
          <w:tcPr>
            <w:tcW w:w="4360" w:type="dxa"/>
          </w:tcPr>
          <w:p w14:paraId="147BE011" w14:textId="56B47CA4" w:rsidR="008C739B" w:rsidRPr="00E936CF" w:rsidRDefault="008C739B" w:rsidP="00E936CF">
            <w:pPr>
              <w:pStyle w:val="Tabletext0"/>
              <w:jc w:val="left"/>
              <w:rPr>
                <w:b/>
                <w:bCs/>
              </w:rPr>
            </w:pPr>
            <w:r w:rsidRPr="00E936CF">
              <w:rPr>
                <w:b/>
                <w:bCs/>
              </w:rPr>
              <w:t>Base case</w:t>
            </w:r>
          </w:p>
        </w:tc>
        <w:tc>
          <w:tcPr>
            <w:tcW w:w="1155" w:type="dxa"/>
          </w:tcPr>
          <w:p w14:paraId="6F4FB0F5" w14:textId="0CD6E806" w:rsidR="008C739B" w:rsidRPr="00E936CF" w:rsidRDefault="00A61132" w:rsidP="00E936CF">
            <w:pPr>
              <w:pStyle w:val="Tabletext0"/>
              <w:jc w:val="left"/>
              <w:rPr>
                <w:b/>
                <w:bCs/>
              </w:rPr>
            </w:pPr>
            <w:r w:rsidRPr="0038677F">
              <w:t>–</w:t>
            </w:r>
            <w:r w:rsidRPr="000C3B6A">
              <w:t>138.30</w:t>
            </w:r>
          </w:p>
        </w:tc>
        <w:tc>
          <w:tcPr>
            <w:tcW w:w="1251" w:type="dxa"/>
          </w:tcPr>
          <w:p w14:paraId="5F449D77" w14:textId="2B8FEC26" w:rsidR="008C739B" w:rsidRPr="00E936CF" w:rsidRDefault="00A61132" w:rsidP="00E936CF">
            <w:pPr>
              <w:pStyle w:val="Tabletext0"/>
              <w:jc w:val="left"/>
              <w:rPr>
                <w:b/>
                <w:bCs/>
              </w:rPr>
            </w:pPr>
            <w:r w:rsidRPr="0038677F">
              <w:t>0.</w:t>
            </w:r>
            <w:r w:rsidRPr="000C3B6A">
              <w:t>010</w:t>
            </w:r>
            <w:r w:rsidRPr="0038677F">
              <w:t xml:space="preserve"> </w:t>
            </w:r>
          </w:p>
        </w:tc>
        <w:tc>
          <w:tcPr>
            <w:tcW w:w="1858" w:type="dxa"/>
          </w:tcPr>
          <w:p w14:paraId="6659BED0" w14:textId="2762604A" w:rsidR="008C739B" w:rsidRPr="00E936CF" w:rsidRDefault="008C739B" w:rsidP="00E936CF">
            <w:pPr>
              <w:pStyle w:val="Tabletext0"/>
              <w:jc w:val="left"/>
              <w:rPr>
                <w:b/>
                <w:bCs/>
              </w:rPr>
            </w:pPr>
            <w:r w:rsidRPr="0038677F">
              <w:rPr>
                <w:b/>
                <w:i/>
              </w:rPr>
              <w:t>POLE</w:t>
            </w:r>
            <w:r w:rsidRPr="00E936CF">
              <w:rPr>
                <w:b/>
                <w:bCs/>
              </w:rPr>
              <w:t xml:space="preserve"> genotyping dominant </w:t>
            </w:r>
          </w:p>
        </w:tc>
      </w:tr>
      <w:tr w:rsidR="002A2764" w14:paraId="7263333A" w14:textId="77777777" w:rsidTr="00147CD0">
        <w:trPr>
          <w:cantSplit/>
          <w:trHeight w:val="300"/>
        </w:trPr>
        <w:tc>
          <w:tcPr>
            <w:tcW w:w="392" w:type="dxa"/>
          </w:tcPr>
          <w:p w14:paraId="5D6E1D8F" w14:textId="146C453F" w:rsidR="002A2764" w:rsidRDefault="002A2764" w:rsidP="00E936CF">
            <w:pPr>
              <w:pStyle w:val="Tabletext0"/>
              <w:jc w:val="left"/>
            </w:pPr>
            <w:r>
              <w:t>1</w:t>
            </w:r>
          </w:p>
        </w:tc>
        <w:tc>
          <w:tcPr>
            <w:tcW w:w="4360" w:type="dxa"/>
          </w:tcPr>
          <w:p w14:paraId="6470E398" w14:textId="3AF59277" w:rsidR="002A2764" w:rsidRPr="004A30E5" w:rsidRDefault="002A2764" w:rsidP="00E936CF">
            <w:pPr>
              <w:pStyle w:val="Tabletext0"/>
              <w:jc w:val="left"/>
            </w:pPr>
            <w:r w:rsidRPr="00BA0930">
              <w:t xml:space="preserve">0% of patients with stage III-IVA </w:t>
            </w:r>
            <w:r w:rsidRPr="005A3AA6">
              <w:rPr>
                <w:i/>
                <w:iCs/>
              </w:rPr>
              <w:t>POLE</w:t>
            </w:r>
            <w:r w:rsidRPr="00BA0930">
              <w:t>mut</w:t>
            </w:r>
            <w:r w:rsidR="00E936CF">
              <w:t xml:space="preserve"> de-escalated</w:t>
            </w:r>
          </w:p>
        </w:tc>
        <w:tc>
          <w:tcPr>
            <w:tcW w:w="1155" w:type="dxa"/>
          </w:tcPr>
          <w:p w14:paraId="59D82698" w14:textId="4B632999" w:rsidR="002A2764" w:rsidRPr="004A30E5" w:rsidRDefault="00A61132" w:rsidP="00E936CF">
            <w:pPr>
              <w:pStyle w:val="Tabletext0"/>
              <w:jc w:val="left"/>
            </w:pPr>
            <w:r w:rsidRPr="00DE05FC">
              <w:t>305.82</w:t>
            </w:r>
          </w:p>
        </w:tc>
        <w:tc>
          <w:tcPr>
            <w:tcW w:w="1251" w:type="dxa"/>
          </w:tcPr>
          <w:p w14:paraId="544D7008" w14:textId="363FAA79" w:rsidR="002A2764" w:rsidRPr="004A30E5" w:rsidRDefault="00A61132" w:rsidP="00E936CF">
            <w:pPr>
              <w:pStyle w:val="Tabletext0"/>
              <w:jc w:val="left"/>
            </w:pPr>
            <w:r w:rsidRPr="00DE05FC">
              <w:t>0.008</w:t>
            </w:r>
          </w:p>
        </w:tc>
        <w:tc>
          <w:tcPr>
            <w:tcW w:w="1858" w:type="dxa"/>
          </w:tcPr>
          <w:p w14:paraId="39CFC271" w14:textId="3F46E9C9" w:rsidR="002A2764" w:rsidRPr="004A30E5" w:rsidRDefault="00A61132" w:rsidP="00E936CF">
            <w:pPr>
              <w:pStyle w:val="Tabletext0"/>
              <w:jc w:val="left"/>
            </w:pPr>
            <w:r>
              <w:t>37,957.88</w:t>
            </w:r>
          </w:p>
        </w:tc>
      </w:tr>
      <w:tr w:rsidR="002A2764" w14:paraId="62B13823" w14:textId="77777777" w:rsidTr="00147CD0">
        <w:trPr>
          <w:cantSplit/>
          <w:trHeight w:val="300"/>
        </w:trPr>
        <w:tc>
          <w:tcPr>
            <w:tcW w:w="392" w:type="dxa"/>
          </w:tcPr>
          <w:p w14:paraId="06CECE17" w14:textId="0163125F" w:rsidR="002A2764" w:rsidRDefault="002A2764" w:rsidP="00E936CF">
            <w:pPr>
              <w:pStyle w:val="Tabletext0"/>
              <w:jc w:val="left"/>
            </w:pPr>
            <w:r>
              <w:t>2</w:t>
            </w:r>
          </w:p>
        </w:tc>
        <w:tc>
          <w:tcPr>
            <w:tcW w:w="4360" w:type="dxa"/>
          </w:tcPr>
          <w:p w14:paraId="46C4EA13" w14:textId="3536CD37" w:rsidR="002A2764" w:rsidRPr="004A30E5" w:rsidRDefault="002A2764" w:rsidP="00E936CF">
            <w:pPr>
              <w:pStyle w:val="Tabletext0"/>
              <w:jc w:val="left"/>
            </w:pPr>
            <w:r w:rsidRPr="00681D16">
              <w:t xml:space="preserve">50% of patients with stage III-IVA </w:t>
            </w:r>
            <w:r w:rsidRPr="005A3AA6">
              <w:rPr>
                <w:i/>
                <w:iCs/>
              </w:rPr>
              <w:t>POLE</w:t>
            </w:r>
            <w:r w:rsidRPr="00681D16">
              <w:t>mut</w:t>
            </w:r>
            <w:r w:rsidR="00E936CF">
              <w:t xml:space="preserve"> de-escalated</w:t>
            </w:r>
          </w:p>
        </w:tc>
        <w:tc>
          <w:tcPr>
            <w:tcW w:w="1155" w:type="dxa"/>
          </w:tcPr>
          <w:p w14:paraId="0B54AAB4" w14:textId="7D8BE883" w:rsidR="002A2764" w:rsidRPr="004A30E5" w:rsidRDefault="00A61132" w:rsidP="00E936CF">
            <w:pPr>
              <w:pStyle w:val="Tabletext0"/>
              <w:jc w:val="left"/>
            </w:pPr>
            <w:r w:rsidRPr="005A3EB2">
              <w:t>83.76</w:t>
            </w:r>
          </w:p>
        </w:tc>
        <w:tc>
          <w:tcPr>
            <w:tcW w:w="1251" w:type="dxa"/>
          </w:tcPr>
          <w:p w14:paraId="4A258006" w14:textId="7B63D46F" w:rsidR="002A2764" w:rsidRPr="004A30E5" w:rsidRDefault="00A61132" w:rsidP="00E936CF">
            <w:pPr>
              <w:pStyle w:val="Tabletext0"/>
              <w:jc w:val="left"/>
            </w:pPr>
            <w:r w:rsidRPr="005A3EB2">
              <w:t>0.009</w:t>
            </w:r>
          </w:p>
        </w:tc>
        <w:tc>
          <w:tcPr>
            <w:tcW w:w="1858" w:type="dxa"/>
          </w:tcPr>
          <w:p w14:paraId="1BAD4EB5" w14:textId="3FD9A76D" w:rsidR="002A2764" w:rsidRPr="004A30E5" w:rsidRDefault="00A61132" w:rsidP="00E936CF">
            <w:pPr>
              <w:pStyle w:val="Tabletext0"/>
              <w:jc w:val="left"/>
            </w:pPr>
            <w:r w:rsidRPr="005A3EB2">
              <w:t>9,107.40</w:t>
            </w:r>
          </w:p>
        </w:tc>
      </w:tr>
      <w:tr w:rsidR="00F8504F" w14:paraId="200530D5" w14:textId="77777777" w:rsidTr="00147CD0">
        <w:trPr>
          <w:cantSplit/>
          <w:trHeight w:val="300"/>
        </w:trPr>
        <w:tc>
          <w:tcPr>
            <w:tcW w:w="392" w:type="dxa"/>
          </w:tcPr>
          <w:p w14:paraId="7719CA7A" w14:textId="308140FF" w:rsidR="002A2764" w:rsidRDefault="002A2764" w:rsidP="00E936CF">
            <w:pPr>
              <w:pStyle w:val="Tabletext0"/>
              <w:jc w:val="left"/>
            </w:pPr>
            <w:r>
              <w:t>3</w:t>
            </w:r>
          </w:p>
        </w:tc>
        <w:tc>
          <w:tcPr>
            <w:tcW w:w="4360" w:type="dxa"/>
          </w:tcPr>
          <w:p w14:paraId="34A45EE2" w14:textId="6624C62E" w:rsidR="002A2764" w:rsidRDefault="002A2764" w:rsidP="00E936CF">
            <w:pPr>
              <w:pStyle w:val="Tabletext0"/>
              <w:jc w:val="left"/>
            </w:pPr>
            <w:r>
              <w:t>Exclude immunotherapy as therapy option</w:t>
            </w:r>
            <w:r w:rsidR="00E936CF">
              <w:t xml:space="preserve"> for MMRd </w:t>
            </w:r>
            <w:r w:rsidR="00C86C21">
              <w:t>stage III-IVA EC</w:t>
            </w:r>
          </w:p>
        </w:tc>
        <w:tc>
          <w:tcPr>
            <w:tcW w:w="1155" w:type="dxa"/>
          </w:tcPr>
          <w:p w14:paraId="20D8E6A2" w14:textId="1BF8D93E" w:rsidR="002A2764" w:rsidRDefault="00B72DD3" w:rsidP="00E936CF">
            <w:pPr>
              <w:pStyle w:val="Tabletext0"/>
              <w:jc w:val="left"/>
            </w:pPr>
            <w:r w:rsidRPr="00E26F30">
              <w:t>310.82</w:t>
            </w:r>
          </w:p>
        </w:tc>
        <w:tc>
          <w:tcPr>
            <w:tcW w:w="1251" w:type="dxa"/>
          </w:tcPr>
          <w:p w14:paraId="3C14A939" w14:textId="34B2CE6E" w:rsidR="002A2764" w:rsidRDefault="00B72DD3" w:rsidP="00E936CF">
            <w:pPr>
              <w:pStyle w:val="Tabletext0"/>
              <w:jc w:val="left"/>
            </w:pPr>
            <w:r w:rsidRPr="00E26F30">
              <w:t xml:space="preserve">0.010 </w:t>
            </w:r>
          </w:p>
        </w:tc>
        <w:tc>
          <w:tcPr>
            <w:tcW w:w="1858" w:type="dxa"/>
          </w:tcPr>
          <w:p w14:paraId="7FACB769" w14:textId="4AA6208F" w:rsidR="002A2764" w:rsidRDefault="00B72DD3" w:rsidP="00E936CF">
            <w:pPr>
              <w:pStyle w:val="Tabletext0"/>
              <w:jc w:val="left"/>
            </w:pPr>
            <w:r w:rsidRPr="00E26F30">
              <w:t>30,508.91</w:t>
            </w:r>
          </w:p>
        </w:tc>
      </w:tr>
      <w:tr w:rsidR="002A2764" w14:paraId="38FDD39C" w14:textId="77777777" w:rsidTr="00147CD0">
        <w:trPr>
          <w:cantSplit/>
          <w:trHeight w:val="300"/>
        </w:trPr>
        <w:tc>
          <w:tcPr>
            <w:tcW w:w="392" w:type="dxa"/>
          </w:tcPr>
          <w:p w14:paraId="04848D4E" w14:textId="573CAE46" w:rsidR="002A2764" w:rsidRDefault="002A2764" w:rsidP="00E936CF">
            <w:pPr>
              <w:pStyle w:val="Tabletext0"/>
              <w:jc w:val="left"/>
            </w:pPr>
            <w:r>
              <w:t>4</w:t>
            </w:r>
          </w:p>
        </w:tc>
        <w:tc>
          <w:tcPr>
            <w:tcW w:w="4360" w:type="dxa"/>
          </w:tcPr>
          <w:p w14:paraId="6C2D958B" w14:textId="65122DA1" w:rsidR="002A2764" w:rsidRDefault="00C86C21" w:rsidP="00E936CF">
            <w:pPr>
              <w:pStyle w:val="Tabletext0"/>
              <w:jc w:val="left"/>
            </w:pPr>
            <w:r>
              <w:t>Exclude</w:t>
            </w:r>
            <w:r w:rsidR="002A2764" w:rsidRPr="00205C67">
              <w:t xml:space="preserve"> no adjuvant therapy</w:t>
            </w:r>
            <w:r>
              <w:t xml:space="preserve"> as an</w:t>
            </w:r>
            <w:r w:rsidR="002A2764" w:rsidRPr="00205C67">
              <w:t xml:space="preserve"> option </w:t>
            </w:r>
            <w:r w:rsidR="0074384B">
              <w:t>for intermediate and high-intermediate risk EC</w:t>
            </w:r>
          </w:p>
        </w:tc>
        <w:tc>
          <w:tcPr>
            <w:tcW w:w="1155" w:type="dxa"/>
          </w:tcPr>
          <w:p w14:paraId="2BCED5C8" w14:textId="623BFC8B" w:rsidR="002A2764" w:rsidRPr="007E2622" w:rsidRDefault="00B72DD3" w:rsidP="00E936CF">
            <w:pPr>
              <w:pStyle w:val="Tabletext0"/>
              <w:jc w:val="left"/>
            </w:pPr>
            <w:r w:rsidRPr="00253635">
              <w:t>–154.87</w:t>
            </w:r>
          </w:p>
        </w:tc>
        <w:tc>
          <w:tcPr>
            <w:tcW w:w="1251" w:type="dxa"/>
          </w:tcPr>
          <w:p w14:paraId="38EC1CDE" w14:textId="32543E3C" w:rsidR="002A2764" w:rsidRPr="007E2622" w:rsidRDefault="00B72DD3" w:rsidP="00E936CF">
            <w:pPr>
              <w:pStyle w:val="Tabletext0"/>
              <w:jc w:val="left"/>
            </w:pPr>
            <w:r w:rsidRPr="00253635">
              <w:t xml:space="preserve">0.011 </w:t>
            </w:r>
          </w:p>
        </w:tc>
        <w:tc>
          <w:tcPr>
            <w:tcW w:w="1858" w:type="dxa"/>
          </w:tcPr>
          <w:p w14:paraId="551C47DD" w14:textId="04D6B2F7" w:rsidR="002A2764" w:rsidRPr="007E2622" w:rsidRDefault="002A2764" w:rsidP="00E936CF">
            <w:pPr>
              <w:pStyle w:val="Tabletext0"/>
              <w:jc w:val="left"/>
            </w:pPr>
            <w:r w:rsidRPr="0038677F">
              <w:rPr>
                <w:i/>
              </w:rPr>
              <w:t>POLE</w:t>
            </w:r>
            <w:r w:rsidRPr="00205C67">
              <w:t xml:space="preserve"> genotyping dominant </w:t>
            </w:r>
          </w:p>
        </w:tc>
      </w:tr>
      <w:tr w:rsidR="002A2764" w14:paraId="1B7D9354" w14:textId="77777777" w:rsidTr="00147CD0">
        <w:trPr>
          <w:cantSplit/>
          <w:trHeight w:val="300"/>
        </w:trPr>
        <w:tc>
          <w:tcPr>
            <w:tcW w:w="392" w:type="dxa"/>
          </w:tcPr>
          <w:p w14:paraId="66D2A154" w14:textId="32A449C9" w:rsidR="002A2764" w:rsidRDefault="002A2764" w:rsidP="00E936CF">
            <w:pPr>
              <w:pStyle w:val="Tabletext0"/>
              <w:jc w:val="left"/>
            </w:pPr>
            <w:r>
              <w:t>5</w:t>
            </w:r>
          </w:p>
        </w:tc>
        <w:tc>
          <w:tcPr>
            <w:tcW w:w="4360" w:type="dxa"/>
          </w:tcPr>
          <w:p w14:paraId="3983FD77" w14:textId="5F1EA268" w:rsidR="002A2764" w:rsidRPr="00205C67" w:rsidRDefault="002A2764" w:rsidP="00E936CF">
            <w:pPr>
              <w:pStyle w:val="Tabletext0"/>
              <w:jc w:val="left"/>
            </w:pPr>
            <w:r w:rsidRPr="004A30E5">
              <w:t>Remove subgroup 7</w:t>
            </w:r>
            <w:r w:rsidR="0074384B" w:rsidRPr="005A3AA6">
              <w:rPr>
                <w:vertAlign w:val="superscript"/>
              </w:rPr>
              <w:t>a</w:t>
            </w:r>
            <w:r w:rsidRPr="004A30E5">
              <w:t xml:space="preserve"> from test population</w:t>
            </w:r>
          </w:p>
        </w:tc>
        <w:tc>
          <w:tcPr>
            <w:tcW w:w="1155" w:type="dxa"/>
          </w:tcPr>
          <w:p w14:paraId="179F91EE" w14:textId="64E44030" w:rsidR="002A2764" w:rsidRPr="00205C67" w:rsidRDefault="00B72DD3" w:rsidP="00E936CF">
            <w:pPr>
              <w:pStyle w:val="Tabletext0"/>
              <w:jc w:val="left"/>
            </w:pPr>
            <w:r w:rsidRPr="00F5526B">
              <w:t>–238.22</w:t>
            </w:r>
          </w:p>
        </w:tc>
        <w:tc>
          <w:tcPr>
            <w:tcW w:w="1251" w:type="dxa"/>
          </w:tcPr>
          <w:p w14:paraId="5FAE06D0" w14:textId="237F5AB7" w:rsidR="002A2764" w:rsidRPr="00205C67" w:rsidRDefault="00B72DD3" w:rsidP="00E936CF">
            <w:pPr>
              <w:pStyle w:val="Tabletext0"/>
              <w:jc w:val="left"/>
            </w:pPr>
            <w:r w:rsidRPr="00F5526B">
              <w:t xml:space="preserve">0.012 </w:t>
            </w:r>
          </w:p>
        </w:tc>
        <w:tc>
          <w:tcPr>
            <w:tcW w:w="1858" w:type="dxa"/>
          </w:tcPr>
          <w:p w14:paraId="324851F9" w14:textId="0CE84DA1" w:rsidR="002A2764" w:rsidRPr="00205C67" w:rsidRDefault="002A2764" w:rsidP="00E936CF">
            <w:pPr>
              <w:pStyle w:val="Tabletext0"/>
              <w:jc w:val="left"/>
            </w:pPr>
            <w:r w:rsidRPr="0038677F">
              <w:rPr>
                <w:i/>
              </w:rPr>
              <w:t>POLE</w:t>
            </w:r>
            <w:r w:rsidRPr="004A30E5">
              <w:t xml:space="preserve"> genotyping dominant </w:t>
            </w:r>
          </w:p>
        </w:tc>
      </w:tr>
      <w:tr w:rsidR="002A2764" w14:paraId="32635F64" w14:textId="77777777" w:rsidTr="00147CD0">
        <w:trPr>
          <w:cantSplit/>
          <w:trHeight w:val="300"/>
        </w:trPr>
        <w:tc>
          <w:tcPr>
            <w:tcW w:w="392" w:type="dxa"/>
          </w:tcPr>
          <w:p w14:paraId="1534C67C" w14:textId="2B3DC12A" w:rsidR="002A2764" w:rsidRDefault="002A2764" w:rsidP="00E936CF">
            <w:pPr>
              <w:pStyle w:val="Tabletext0"/>
              <w:jc w:val="left"/>
            </w:pPr>
            <w:r>
              <w:t>6</w:t>
            </w:r>
          </w:p>
        </w:tc>
        <w:tc>
          <w:tcPr>
            <w:tcW w:w="4360" w:type="dxa"/>
          </w:tcPr>
          <w:p w14:paraId="24AF3DB8" w14:textId="4B52A296" w:rsidR="002A2764" w:rsidRPr="00205C67" w:rsidRDefault="002A2764" w:rsidP="00E936CF">
            <w:pPr>
              <w:pStyle w:val="Tabletext0"/>
              <w:jc w:val="left"/>
            </w:pPr>
            <w:r w:rsidRPr="004A30E5">
              <w:t>Remove subgroups 1</w:t>
            </w:r>
            <w:r w:rsidR="00FB27EC" w:rsidRPr="005A3AA6">
              <w:rPr>
                <w:vertAlign w:val="superscript"/>
              </w:rPr>
              <w:t>b</w:t>
            </w:r>
            <w:r w:rsidRPr="004A30E5">
              <w:t>, 4</w:t>
            </w:r>
            <w:r w:rsidR="00FB27EC" w:rsidRPr="005A3AA6">
              <w:rPr>
                <w:vertAlign w:val="superscript"/>
              </w:rPr>
              <w:t>c</w:t>
            </w:r>
            <w:r w:rsidRPr="004A30E5">
              <w:t>, 7</w:t>
            </w:r>
            <w:r w:rsidR="00FB27EC" w:rsidRPr="00BE2956">
              <w:rPr>
                <w:vertAlign w:val="superscript"/>
              </w:rPr>
              <w:t>a</w:t>
            </w:r>
            <w:r w:rsidRPr="004A30E5">
              <w:t>, 10</w:t>
            </w:r>
            <w:r w:rsidR="00FB27EC" w:rsidRPr="005A3AA6">
              <w:rPr>
                <w:vertAlign w:val="superscript"/>
              </w:rPr>
              <w:t>d</w:t>
            </w:r>
            <w:r w:rsidRPr="004A30E5">
              <w:t xml:space="preserve"> and 13</w:t>
            </w:r>
            <w:r w:rsidR="00FB27EC" w:rsidRPr="005A3AA6">
              <w:rPr>
                <w:vertAlign w:val="superscript"/>
              </w:rPr>
              <w:t>e</w:t>
            </w:r>
            <w:r w:rsidR="000C06E4" w:rsidRPr="004A30E5">
              <w:t xml:space="preserve"> </w:t>
            </w:r>
            <w:r w:rsidRPr="004A30E5">
              <w:t>from test population</w:t>
            </w:r>
          </w:p>
        </w:tc>
        <w:tc>
          <w:tcPr>
            <w:tcW w:w="1155" w:type="dxa"/>
          </w:tcPr>
          <w:p w14:paraId="71DF77EF" w14:textId="67C7D9D2" w:rsidR="002A2764" w:rsidRPr="00205C67" w:rsidRDefault="00C9690B" w:rsidP="00E936CF">
            <w:pPr>
              <w:pStyle w:val="Tabletext0"/>
              <w:jc w:val="left"/>
            </w:pPr>
            <w:r w:rsidRPr="00793446">
              <w:t>–419.28</w:t>
            </w:r>
          </w:p>
        </w:tc>
        <w:tc>
          <w:tcPr>
            <w:tcW w:w="1251" w:type="dxa"/>
          </w:tcPr>
          <w:p w14:paraId="2508FF97" w14:textId="78FC4818" w:rsidR="002A2764" w:rsidRPr="00205C67" w:rsidRDefault="00C9690B" w:rsidP="00E936CF">
            <w:pPr>
              <w:pStyle w:val="Tabletext0"/>
              <w:jc w:val="left"/>
            </w:pPr>
            <w:r w:rsidRPr="00793446">
              <w:t xml:space="preserve">0.015 </w:t>
            </w:r>
          </w:p>
        </w:tc>
        <w:tc>
          <w:tcPr>
            <w:tcW w:w="1858" w:type="dxa"/>
          </w:tcPr>
          <w:p w14:paraId="65420FC2" w14:textId="3F6E5748" w:rsidR="002A2764" w:rsidRPr="00205C67" w:rsidRDefault="002A2764" w:rsidP="00E936CF">
            <w:pPr>
              <w:pStyle w:val="Tabletext0"/>
              <w:jc w:val="left"/>
            </w:pPr>
            <w:r w:rsidRPr="0038677F">
              <w:rPr>
                <w:i/>
              </w:rPr>
              <w:t>POLE</w:t>
            </w:r>
            <w:r w:rsidRPr="004A30E5">
              <w:t xml:space="preserve"> genotyping dominant </w:t>
            </w:r>
          </w:p>
        </w:tc>
      </w:tr>
      <w:tr w:rsidR="00F8504F" w14:paraId="2AAB4BAB" w14:textId="77777777" w:rsidTr="00147CD0">
        <w:trPr>
          <w:cantSplit/>
          <w:trHeight w:val="300"/>
        </w:trPr>
        <w:tc>
          <w:tcPr>
            <w:tcW w:w="392" w:type="dxa"/>
          </w:tcPr>
          <w:p w14:paraId="227CEAD9" w14:textId="2039F7B4" w:rsidR="002A2764" w:rsidRDefault="002A2764" w:rsidP="00E936CF">
            <w:pPr>
              <w:pStyle w:val="Tabletext0"/>
              <w:jc w:val="left"/>
            </w:pPr>
            <w:r>
              <w:t>7</w:t>
            </w:r>
          </w:p>
        </w:tc>
        <w:tc>
          <w:tcPr>
            <w:tcW w:w="4360" w:type="dxa"/>
          </w:tcPr>
          <w:p w14:paraId="6E60C417" w14:textId="4EB2B68E" w:rsidR="002A2764" w:rsidRDefault="002A2764" w:rsidP="00E936CF">
            <w:pPr>
              <w:pStyle w:val="Tabletext0"/>
              <w:jc w:val="left"/>
            </w:pPr>
            <w:r>
              <w:t xml:space="preserve">Use mapped EORTC-QLQ C30 scores to inform </w:t>
            </w:r>
            <w:r w:rsidR="00BF0B01">
              <w:t xml:space="preserve">health state utilities </w:t>
            </w:r>
          </w:p>
        </w:tc>
        <w:tc>
          <w:tcPr>
            <w:tcW w:w="1155" w:type="dxa"/>
          </w:tcPr>
          <w:p w14:paraId="114FAB82" w14:textId="0166B5C3" w:rsidR="002A2764" w:rsidRPr="007E2622" w:rsidRDefault="00C9690B" w:rsidP="00E936CF">
            <w:pPr>
              <w:pStyle w:val="Tabletext0"/>
              <w:jc w:val="left"/>
            </w:pPr>
            <w:r w:rsidRPr="00DB4DFA">
              <w:t>–138.30</w:t>
            </w:r>
          </w:p>
        </w:tc>
        <w:tc>
          <w:tcPr>
            <w:tcW w:w="1251" w:type="dxa"/>
          </w:tcPr>
          <w:p w14:paraId="38734529" w14:textId="660B44AE" w:rsidR="002A2764" w:rsidRPr="007E2622" w:rsidRDefault="00C9690B" w:rsidP="00E936CF">
            <w:pPr>
              <w:pStyle w:val="Tabletext0"/>
              <w:jc w:val="left"/>
            </w:pPr>
            <w:r w:rsidRPr="00DB4DFA">
              <w:t xml:space="preserve">0.002 </w:t>
            </w:r>
          </w:p>
        </w:tc>
        <w:tc>
          <w:tcPr>
            <w:tcW w:w="1858" w:type="dxa"/>
          </w:tcPr>
          <w:p w14:paraId="393112CE" w14:textId="4E6D5C65" w:rsidR="002A2764" w:rsidRPr="007E2622" w:rsidRDefault="002A2764" w:rsidP="00E936CF">
            <w:pPr>
              <w:pStyle w:val="Tabletext0"/>
              <w:jc w:val="left"/>
            </w:pPr>
            <w:r w:rsidRPr="00FB1E3D">
              <w:rPr>
                <w:i/>
                <w:iCs/>
              </w:rPr>
              <w:t>POLE</w:t>
            </w:r>
            <w:r w:rsidRPr="000F7298">
              <w:t xml:space="preserve"> </w:t>
            </w:r>
            <w:r>
              <w:t xml:space="preserve">genotyping </w:t>
            </w:r>
            <w:r w:rsidRPr="000F7298">
              <w:t xml:space="preserve">dominant </w:t>
            </w:r>
          </w:p>
        </w:tc>
      </w:tr>
      <w:tr w:rsidR="00F8504F" w14:paraId="40AA3A6A" w14:textId="77777777" w:rsidTr="00147CD0">
        <w:trPr>
          <w:cantSplit/>
          <w:trHeight w:val="300"/>
        </w:trPr>
        <w:tc>
          <w:tcPr>
            <w:tcW w:w="392" w:type="dxa"/>
          </w:tcPr>
          <w:p w14:paraId="5784848B" w14:textId="08D3CE81" w:rsidR="002A2764" w:rsidRDefault="002A2764" w:rsidP="00E936CF">
            <w:pPr>
              <w:pStyle w:val="Tabletext0"/>
              <w:jc w:val="left"/>
            </w:pPr>
            <w:r>
              <w:t>8</w:t>
            </w:r>
          </w:p>
        </w:tc>
        <w:tc>
          <w:tcPr>
            <w:tcW w:w="4360" w:type="dxa"/>
            <w:tcBorders>
              <w:bottom w:val="single" w:sz="4" w:space="0" w:color="auto"/>
            </w:tcBorders>
          </w:tcPr>
          <w:p w14:paraId="0F69CF60" w14:textId="417F0953" w:rsidR="002A2764" w:rsidRDefault="002A2764" w:rsidP="00E936CF">
            <w:pPr>
              <w:pStyle w:val="Tabletext0"/>
              <w:jc w:val="left"/>
            </w:pPr>
            <w:r>
              <w:t>Extend time horizon to 10 years</w:t>
            </w:r>
          </w:p>
        </w:tc>
        <w:tc>
          <w:tcPr>
            <w:tcW w:w="1155" w:type="dxa"/>
            <w:tcBorders>
              <w:bottom w:val="single" w:sz="4" w:space="0" w:color="auto"/>
            </w:tcBorders>
          </w:tcPr>
          <w:p w14:paraId="69455B1B" w14:textId="5C57A2D3" w:rsidR="002A2764" w:rsidRPr="007E2622" w:rsidRDefault="00C9690B" w:rsidP="00E936CF">
            <w:pPr>
              <w:pStyle w:val="Tabletext0"/>
              <w:jc w:val="left"/>
            </w:pPr>
            <w:r w:rsidRPr="006B5B5F">
              <w:t>–138.30</w:t>
            </w:r>
          </w:p>
        </w:tc>
        <w:tc>
          <w:tcPr>
            <w:tcW w:w="1251" w:type="dxa"/>
            <w:tcBorders>
              <w:bottom w:val="single" w:sz="4" w:space="0" w:color="auto"/>
            </w:tcBorders>
          </w:tcPr>
          <w:p w14:paraId="24C514B8" w14:textId="290E6035" w:rsidR="002A2764" w:rsidRPr="007E2622" w:rsidRDefault="00C9690B" w:rsidP="00E936CF">
            <w:pPr>
              <w:pStyle w:val="Tabletext0"/>
              <w:jc w:val="left"/>
            </w:pPr>
            <w:r w:rsidRPr="006B5B5F">
              <w:t>0.018</w:t>
            </w:r>
          </w:p>
        </w:tc>
        <w:tc>
          <w:tcPr>
            <w:tcW w:w="1858" w:type="dxa"/>
            <w:tcBorders>
              <w:bottom w:val="single" w:sz="4" w:space="0" w:color="auto"/>
            </w:tcBorders>
          </w:tcPr>
          <w:p w14:paraId="37B89EA0" w14:textId="6FD4BAD1" w:rsidR="002A2764" w:rsidRPr="007E2622" w:rsidRDefault="002A2764" w:rsidP="00E936CF">
            <w:pPr>
              <w:pStyle w:val="Tabletext0"/>
              <w:jc w:val="left"/>
            </w:pPr>
            <w:r w:rsidRPr="00FB1E3D">
              <w:rPr>
                <w:i/>
                <w:iCs/>
              </w:rPr>
              <w:t>POLE</w:t>
            </w:r>
            <w:r w:rsidRPr="00B96A83">
              <w:t xml:space="preserve"> </w:t>
            </w:r>
            <w:r>
              <w:t xml:space="preserve">genotyping </w:t>
            </w:r>
            <w:r w:rsidRPr="00B96A83">
              <w:t xml:space="preserve">dominant </w:t>
            </w:r>
          </w:p>
        </w:tc>
      </w:tr>
      <w:tr w:rsidR="007F7203" w:rsidRPr="00E936CF" w14:paraId="602D0360" w14:textId="77777777" w:rsidTr="2908E4A8">
        <w:trPr>
          <w:cantSplit/>
          <w:trHeight w:val="300"/>
        </w:trPr>
        <w:tc>
          <w:tcPr>
            <w:tcW w:w="392" w:type="dxa"/>
            <w:shd w:val="clear" w:color="auto" w:fill="D9D9D9" w:themeFill="background1" w:themeFillShade="D9"/>
          </w:tcPr>
          <w:p w14:paraId="0C2EDDE2" w14:textId="77777777" w:rsidR="00060457" w:rsidRPr="00E936CF" w:rsidRDefault="00060457" w:rsidP="00E936CF">
            <w:pPr>
              <w:pStyle w:val="Tabletext0"/>
              <w:jc w:val="left"/>
              <w:rPr>
                <w:b/>
                <w:bCs/>
              </w:rPr>
            </w:pPr>
          </w:p>
        </w:tc>
        <w:tc>
          <w:tcPr>
            <w:tcW w:w="4360" w:type="dxa"/>
            <w:tcBorders>
              <w:right w:val="nil"/>
            </w:tcBorders>
            <w:shd w:val="clear" w:color="auto" w:fill="D9D9D9" w:themeFill="background1" w:themeFillShade="D9"/>
          </w:tcPr>
          <w:p w14:paraId="7D02D507" w14:textId="6B8EB5DF" w:rsidR="00060457" w:rsidRPr="00E936CF" w:rsidRDefault="00060457" w:rsidP="00E936CF">
            <w:pPr>
              <w:pStyle w:val="Tabletext0"/>
              <w:jc w:val="left"/>
              <w:rPr>
                <w:b/>
                <w:bCs/>
              </w:rPr>
            </w:pPr>
            <w:r w:rsidRPr="00E936CF">
              <w:rPr>
                <w:b/>
                <w:bCs/>
              </w:rPr>
              <w:t>Multivariate analysis</w:t>
            </w:r>
          </w:p>
        </w:tc>
        <w:tc>
          <w:tcPr>
            <w:tcW w:w="1155" w:type="dxa"/>
            <w:tcBorders>
              <w:left w:val="nil"/>
              <w:right w:val="nil"/>
            </w:tcBorders>
            <w:shd w:val="clear" w:color="auto" w:fill="D9D9D9" w:themeFill="background1" w:themeFillShade="D9"/>
          </w:tcPr>
          <w:p w14:paraId="70B37B01" w14:textId="77777777" w:rsidR="00060457" w:rsidRPr="00E936CF" w:rsidRDefault="00060457" w:rsidP="00E936CF">
            <w:pPr>
              <w:pStyle w:val="Tabletext0"/>
              <w:jc w:val="left"/>
              <w:rPr>
                <w:b/>
                <w:bCs/>
              </w:rPr>
            </w:pPr>
          </w:p>
        </w:tc>
        <w:tc>
          <w:tcPr>
            <w:tcW w:w="1251" w:type="dxa"/>
            <w:tcBorders>
              <w:left w:val="nil"/>
              <w:right w:val="nil"/>
            </w:tcBorders>
            <w:shd w:val="clear" w:color="auto" w:fill="D9D9D9" w:themeFill="background1" w:themeFillShade="D9"/>
          </w:tcPr>
          <w:p w14:paraId="3082D32B" w14:textId="77777777" w:rsidR="00060457" w:rsidRPr="00E936CF" w:rsidRDefault="00060457" w:rsidP="00E936CF">
            <w:pPr>
              <w:pStyle w:val="Tabletext0"/>
              <w:jc w:val="left"/>
              <w:rPr>
                <w:b/>
                <w:bCs/>
              </w:rPr>
            </w:pPr>
          </w:p>
        </w:tc>
        <w:tc>
          <w:tcPr>
            <w:tcW w:w="1858" w:type="dxa"/>
            <w:tcBorders>
              <w:left w:val="nil"/>
            </w:tcBorders>
            <w:shd w:val="clear" w:color="auto" w:fill="D9D9D9" w:themeFill="background1" w:themeFillShade="D9"/>
          </w:tcPr>
          <w:p w14:paraId="25EBF190" w14:textId="77777777" w:rsidR="00060457" w:rsidRPr="00E936CF" w:rsidRDefault="00060457" w:rsidP="00E936CF">
            <w:pPr>
              <w:pStyle w:val="Tabletext0"/>
              <w:jc w:val="left"/>
              <w:rPr>
                <w:b/>
                <w:bCs/>
                <w:i/>
                <w:iCs/>
              </w:rPr>
            </w:pPr>
          </w:p>
        </w:tc>
      </w:tr>
      <w:tr w:rsidR="00F8504F" w14:paraId="2E191CCB" w14:textId="77777777" w:rsidTr="00147CD0">
        <w:trPr>
          <w:cantSplit/>
          <w:trHeight w:val="300"/>
        </w:trPr>
        <w:tc>
          <w:tcPr>
            <w:tcW w:w="392" w:type="dxa"/>
          </w:tcPr>
          <w:p w14:paraId="4B6648BD" w14:textId="7ECCADB3" w:rsidR="008D0E7B" w:rsidRPr="00BA0930" w:rsidRDefault="008D0E7B" w:rsidP="00E936CF">
            <w:pPr>
              <w:pStyle w:val="Tabletext0"/>
              <w:jc w:val="left"/>
            </w:pPr>
          </w:p>
        </w:tc>
        <w:tc>
          <w:tcPr>
            <w:tcW w:w="4360" w:type="dxa"/>
          </w:tcPr>
          <w:p w14:paraId="42D18151" w14:textId="33B5B27F" w:rsidR="008D0E7B" w:rsidRDefault="008D0E7B" w:rsidP="00E936CF">
            <w:pPr>
              <w:pStyle w:val="Tabletext0"/>
              <w:jc w:val="left"/>
            </w:pPr>
            <w:r>
              <w:t>1 + 3 + 4</w:t>
            </w:r>
          </w:p>
        </w:tc>
        <w:tc>
          <w:tcPr>
            <w:tcW w:w="1155" w:type="dxa"/>
          </w:tcPr>
          <w:p w14:paraId="7A5ADF6E" w14:textId="278D913F" w:rsidR="008D0E7B" w:rsidRDefault="00BE3997" w:rsidP="00E936CF">
            <w:pPr>
              <w:pStyle w:val="Tabletext0"/>
              <w:jc w:val="left"/>
            </w:pPr>
            <w:r w:rsidRPr="00050E57">
              <w:t>289.25</w:t>
            </w:r>
          </w:p>
        </w:tc>
        <w:tc>
          <w:tcPr>
            <w:tcW w:w="1251" w:type="dxa"/>
          </w:tcPr>
          <w:p w14:paraId="0B3A8B74" w14:textId="7D09D601" w:rsidR="008D0E7B" w:rsidRPr="00B96A83" w:rsidRDefault="00BE3997" w:rsidP="00E936CF">
            <w:pPr>
              <w:pStyle w:val="Tabletext0"/>
              <w:jc w:val="left"/>
            </w:pPr>
            <w:r w:rsidRPr="00050E57">
              <w:t>0.008</w:t>
            </w:r>
          </w:p>
        </w:tc>
        <w:tc>
          <w:tcPr>
            <w:tcW w:w="1858" w:type="dxa"/>
          </w:tcPr>
          <w:p w14:paraId="6004AACB" w14:textId="7D63E66F" w:rsidR="008D0E7B" w:rsidRPr="00FB1E3D" w:rsidRDefault="00BE3997" w:rsidP="00E936CF">
            <w:pPr>
              <w:pStyle w:val="Tabletext0"/>
              <w:jc w:val="left"/>
              <w:rPr>
                <w:i/>
                <w:iCs/>
              </w:rPr>
            </w:pPr>
            <w:r w:rsidRPr="00050E57">
              <w:t xml:space="preserve">34,655.77 </w:t>
            </w:r>
          </w:p>
        </w:tc>
      </w:tr>
      <w:tr w:rsidR="00F8504F" w14:paraId="6A4DD985" w14:textId="77777777" w:rsidTr="00147CD0">
        <w:trPr>
          <w:cantSplit/>
          <w:trHeight w:val="300"/>
        </w:trPr>
        <w:tc>
          <w:tcPr>
            <w:tcW w:w="392" w:type="dxa"/>
          </w:tcPr>
          <w:p w14:paraId="00ED6BCD" w14:textId="51DF4E53" w:rsidR="008D0E7B" w:rsidRPr="00681D16" w:rsidRDefault="008D0E7B" w:rsidP="00E936CF">
            <w:pPr>
              <w:pStyle w:val="Tabletext0"/>
              <w:jc w:val="left"/>
            </w:pPr>
          </w:p>
        </w:tc>
        <w:tc>
          <w:tcPr>
            <w:tcW w:w="4360" w:type="dxa"/>
          </w:tcPr>
          <w:p w14:paraId="0D04DDF9" w14:textId="7C8C3D1C" w:rsidR="008D0E7B" w:rsidRDefault="008D0E7B" w:rsidP="00E936CF">
            <w:pPr>
              <w:pStyle w:val="Tabletext0"/>
              <w:jc w:val="left"/>
            </w:pPr>
            <w:r>
              <w:t>1 + 4 + 7 + 8</w:t>
            </w:r>
          </w:p>
        </w:tc>
        <w:tc>
          <w:tcPr>
            <w:tcW w:w="1155" w:type="dxa"/>
          </w:tcPr>
          <w:p w14:paraId="0EC448F7" w14:textId="2B116711" w:rsidR="008D0E7B" w:rsidRDefault="00376F2F" w:rsidP="00E936CF">
            <w:pPr>
              <w:pStyle w:val="Tabletext0"/>
              <w:jc w:val="left"/>
            </w:pPr>
            <w:r w:rsidRPr="00771560">
              <w:t>289.25</w:t>
            </w:r>
          </w:p>
        </w:tc>
        <w:tc>
          <w:tcPr>
            <w:tcW w:w="1251" w:type="dxa"/>
          </w:tcPr>
          <w:p w14:paraId="1B2FE55A" w14:textId="55ABAF72" w:rsidR="008D0E7B" w:rsidRPr="00B96A83" w:rsidRDefault="00376F2F" w:rsidP="00E936CF">
            <w:pPr>
              <w:pStyle w:val="Tabletext0"/>
              <w:jc w:val="left"/>
            </w:pPr>
            <w:r w:rsidRPr="00771560">
              <w:t>0.003</w:t>
            </w:r>
          </w:p>
        </w:tc>
        <w:tc>
          <w:tcPr>
            <w:tcW w:w="1858" w:type="dxa"/>
          </w:tcPr>
          <w:p w14:paraId="177E7B53" w14:textId="36769210" w:rsidR="008D0E7B" w:rsidRPr="00FB1E3D" w:rsidRDefault="00376F2F" w:rsidP="00E936CF">
            <w:pPr>
              <w:pStyle w:val="Tabletext0"/>
              <w:jc w:val="left"/>
              <w:rPr>
                <w:i/>
                <w:iCs/>
              </w:rPr>
            </w:pPr>
            <w:r w:rsidRPr="00771560">
              <w:t xml:space="preserve">112,715.91 </w:t>
            </w:r>
          </w:p>
        </w:tc>
      </w:tr>
      <w:tr w:rsidR="008D0E7B" w14:paraId="7D738612" w14:textId="77777777" w:rsidTr="00147CD0">
        <w:trPr>
          <w:cantSplit/>
          <w:trHeight w:val="300"/>
        </w:trPr>
        <w:tc>
          <w:tcPr>
            <w:tcW w:w="392" w:type="dxa"/>
          </w:tcPr>
          <w:p w14:paraId="4E0E4675" w14:textId="15BC0033" w:rsidR="008D0E7B" w:rsidRDefault="008D0E7B" w:rsidP="00E936CF">
            <w:pPr>
              <w:pStyle w:val="Tabletext0"/>
              <w:jc w:val="left"/>
            </w:pPr>
          </w:p>
        </w:tc>
        <w:tc>
          <w:tcPr>
            <w:tcW w:w="4360" w:type="dxa"/>
          </w:tcPr>
          <w:p w14:paraId="14B1DBCF" w14:textId="2023A93F" w:rsidR="008D0E7B" w:rsidRPr="00681D16" w:rsidRDefault="008D0E7B" w:rsidP="00E936CF">
            <w:pPr>
              <w:pStyle w:val="Tabletext0"/>
              <w:jc w:val="left"/>
            </w:pPr>
            <w:r>
              <w:t>2 + 3 + 4</w:t>
            </w:r>
          </w:p>
        </w:tc>
        <w:tc>
          <w:tcPr>
            <w:tcW w:w="1155" w:type="dxa"/>
          </w:tcPr>
          <w:p w14:paraId="064A5DDC" w14:textId="7DCE4DFE" w:rsidR="008D0E7B" w:rsidRPr="00681D16" w:rsidRDefault="00737862" w:rsidP="00E936CF">
            <w:pPr>
              <w:pStyle w:val="Tabletext0"/>
              <w:jc w:val="left"/>
            </w:pPr>
            <w:r w:rsidRPr="001D2C5A">
              <w:t>291.75</w:t>
            </w:r>
          </w:p>
        </w:tc>
        <w:tc>
          <w:tcPr>
            <w:tcW w:w="1251" w:type="dxa"/>
          </w:tcPr>
          <w:p w14:paraId="6DFF633D" w14:textId="6E9315D6" w:rsidR="008D0E7B" w:rsidRPr="00681D16" w:rsidRDefault="00737862" w:rsidP="00E936CF">
            <w:pPr>
              <w:pStyle w:val="Tabletext0"/>
              <w:jc w:val="left"/>
            </w:pPr>
            <w:r w:rsidRPr="001D2C5A">
              <w:t>0.009</w:t>
            </w:r>
          </w:p>
        </w:tc>
        <w:tc>
          <w:tcPr>
            <w:tcW w:w="1858" w:type="dxa"/>
          </w:tcPr>
          <w:p w14:paraId="798EFC57" w14:textId="1BB9A9A8" w:rsidR="008D0E7B" w:rsidRPr="00681D16" w:rsidRDefault="00737862" w:rsidP="00E936CF">
            <w:pPr>
              <w:pStyle w:val="Tabletext0"/>
              <w:jc w:val="left"/>
            </w:pPr>
            <w:r w:rsidRPr="001D2C5A">
              <w:t xml:space="preserve">30,998.05 </w:t>
            </w:r>
          </w:p>
        </w:tc>
      </w:tr>
      <w:tr w:rsidR="00EF4526" w14:paraId="007602FB" w14:textId="77777777" w:rsidTr="00147CD0">
        <w:trPr>
          <w:cantSplit/>
          <w:trHeight w:val="300"/>
        </w:trPr>
        <w:tc>
          <w:tcPr>
            <w:tcW w:w="392" w:type="dxa"/>
          </w:tcPr>
          <w:p w14:paraId="32963A44" w14:textId="77777777" w:rsidR="00EF4526" w:rsidRDefault="00EF4526" w:rsidP="00E936CF">
            <w:pPr>
              <w:pStyle w:val="Tabletext0"/>
              <w:jc w:val="left"/>
            </w:pPr>
          </w:p>
        </w:tc>
        <w:tc>
          <w:tcPr>
            <w:tcW w:w="4360" w:type="dxa"/>
          </w:tcPr>
          <w:p w14:paraId="48461799" w14:textId="71B1844D" w:rsidR="00EF4526" w:rsidRDefault="00EF4526" w:rsidP="00E936CF">
            <w:pPr>
              <w:pStyle w:val="Tabletext0"/>
              <w:jc w:val="left"/>
            </w:pPr>
            <w:r>
              <w:t>2 + 3 + 4 + 7</w:t>
            </w:r>
          </w:p>
        </w:tc>
        <w:tc>
          <w:tcPr>
            <w:tcW w:w="1155" w:type="dxa"/>
          </w:tcPr>
          <w:p w14:paraId="44041AB4" w14:textId="3CAE4FB3" w:rsidR="00EF4526" w:rsidRPr="00503A26" w:rsidRDefault="00486956" w:rsidP="00E936CF">
            <w:pPr>
              <w:pStyle w:val="Tabletext0"/>
              <w:jc w:val="left"/>
            </w:pPr>
            <w:r w:rsidRPr="00546351">
              <w:t>291.75</w:t>
            </w:r>
          </w:p>
        </w:tc>
        <w:tc>
          <w:tcPr>
            <w:tcW w:w="1251" w:type="dxa"/>
          </w:tcPr>
          <w:p w14:paraId="6C814839" w14:textId="06344C50" w:rsidR="00EF4526" w:rsidRPr="00503A26" w:rsidRDefault="00486956" w:rsidP="00E936CF">
            <w:pPr>
              <w:pStyle w:val="Tabletext0"/>
              <w:jc w:val="left"/>
            </w:pPr>
            <w:r w:rsidRPr="00546351">
              <w:t>0.002</w:t>
            </w:r>
          </w:p>
        </w:tc>
        <w:tc>
          <w:tcPr>
            <w:tcW w:w="1858" w:type="dxa"/>
          </w:tcPr>
          <w:p w14:paraId="36BCB4EF" w14:textId="1F605B14" w:rsidR="00EF4526" w:rsidRPr="00503A26" w:rsidRDefault="00486956" w:rsidP="00E936CF">
            <w:pPr>
              <w:pStyle w:val="Tabletext0"/>
              <w:jc w:val="left"/>
            </w:pPr>
            <w:r w:rsidRPr="00546351">
              <w:t xml:space="preserve">142,836.04 </w:t>
            </w:r>
          </w:p>
        </w:tc>
      </w:tr>
      <w:tr w:rsidR="00EF4526" w14:paraId="3716011C" w14:textId="77777777" w:rsidTr="00147CD0">
        <w:trPr>
          <w:cantSplit/>
          <w:trHeight w:val="300"/>
        </w:trPr>
        <w:tc>
          <w:tcPr>
            <w:tcW w:w="392" w:type="dxa"/>
          </w:tcPr>
          <w:p w14:paraId="7664332B" w14:textId="77777777" w:rsidR="00EF4526" w:rsidRDefault="00EF4526" w:rsidP="00E936CF">
            <w:pPr>
              <w:pStyle w:val="Tabletext0"/>
              <w:jc w:val="left"/>
            </w:pPr>
          </w:p>
        </w:tc>
        <w:tc>
          <w:tcPr>
            <w:tcW w:w="4360" w:type="dxa"/>
          </w:tcPr>
          <w:p w14:paraId="7D0BEBA2" w14:textId="4E92C2B7" w:rsidR="00EF4526" w:rsidRPr="00681D16" w:rsidRDefault="00EF4526" w:rsidP="00E936CF">
            <w:pPr>
              <w:pStyle w:val="Tabletext0"/>
              <w:jc w:val="left"/>
            </w:pPr>
            <w:r>
              <w:t>2 + 4 + 7 + 8</w:t>
            </w:r>
          </w:p>
        </w:tc>
        <w:tc>
          <w:tcPr>
            <w:tcW w:w="1155" w:type="dxa"/>
          </w:tcPr>
          <w:p w14:paraId="4D5B9F29" w14:textId="6F44C603" w:rsidR="00EF4526" w:rsidRPr="00681D16" w:rsidRDefault="00F86C3A" w:rsidP="00E936CF">
            <w:pPr>
              <w:pStyle w:val="Tabletext0"/>
              <w:jc w:val="left"/>
            </w:pPr>
            <w:r w:rsidRPr="001D72DF">
              <w:t>67.19</w:t>
            </w:r>
          </w:p>
        </w:tc>
        <w:tc>
          <w:tcPr>
            <w:tcW w:w="1251" w:type="dxa"/>
          </w:tcPr>
          <w:p w14:paraId="4EF5C4BB" w14:textId="3C6D51A2" w:rsidR="00EF4526" w:rsidRPr="00681D16" w:rsidRDefault="00486956" w:rsidP="00E936CF">
            <w:pPr>
              <w:pStyle w:val="Tabletext0"/>
              <w:jc w:val="left"/>
            </w:pPr>
            <w:r w:rsidRPr="005C4302">
              <w:t>0.003</w:t>
            </w:r>
          </w:p>
        </w:tc>
        <w:tc>
          <w:tcPr>
            <w:tcW w:w="1858" w:type="dxa"/>
          </w:tcPr>
          <w:p w14:paraId="458915CC" w14:textId="48E18719" w:rsidR="00EF4526" w:rsidRPr="00681D16" w:rsidRDefault="00F86C3A" w:rsidP="00E936CF">
            <w:pPr>
              <w:pStyle w:val="Tabletext0"/>
              <w:jc w:val="left"/>
            </w:pPr>
            <w:r w:rsidRPr="001D72DF">
              <w:t>21,772.78</w:t>
            </w:r>
            <w:r w:rsidR="00486956" w:rsidRPr="005C4302">
              <w:t xml:space="preserve"> </w:t>
            </w:r>
          </w:p>
        </w:tc>
      </w:tr>
      <w:tr w:rsidR="00BF7314" w14:paraId="77FD213A" w14:textId="77777777" w:rsidTr="00147CD0">
        <w:trPr>
          <w:cantSplit/>
          <w:trHeight w:val="300"/>
        </w:trPr>
        <w:tc>
          <w:tcPr>
            <w:tcW w:w="392" w:type="dxa"/>
          </w:tcPr>
          <w:p w14:paraId="71BB56A2" w14:textId="77777777" w:rsidR="00BF7314" w:rsidRDefault="00BF7314" w:rsidP="00E936CF">
            <w:pPr>
              <w:pStyle w:val="Tabletext0"/>
              <w:jc w:val="left"/>
            </w:pPr>
          </w:p>
        </w:tc>
        <w:tc>
          <w:tcPr>
            <w:tcW w:w="4360" w:type="dxa"/>
          </w:tcPr>
          <w:p w14:paraId="3AF76E47" w14:textId="436FB659" w:rsidR="00BF7314" w:rsidRPr="00681D16" w:rsidRDefault="00BF7314" w:rsidP="00E936CF">
            <w:pPr>
              <w:pStyle w:val="Tabletext0"/>
              <w:jc w:val="left"/>
            </w:pPr>
            <w:r>
              <w:t>2 + 6</w:t>
            </w:r>
          </w:p>
        </w:tc>
        <w:tc>
          <w:tcPr>
            <w:tcW w:w="1155" w:type="dxa"/>
          </w:tcPr>
          <w:p w14:paraId="414E6326" w14:textId="5C0AFBA7" w:rsidR="00BF7314" w:rsidRPr="00681D16" w:rsidRDefault="00F84C99" w:rsidP="00E936CF">
            <w:pPr>
              <w:pStyle w:val="Tabletext0"/>
              <w:jc w:val="left"/>
            </w:pPr>
            <w:r w:rsidRPr="0063734D">
              <w:t>–99.03</w:t>
            </w:r>
          </w:p>
        </w:tc>
        <w:tc>
          <w:tcPr>
            <w:tcW w:w="1251" w:type="dxa"/>
          </w:tcPr>
          <w:p w14:paraId="773E7BF9" w14:textId="2C650B9D" w:rsidR="00BF7314" w:rsidRPr="00681D16" w:rsidRDefault="00F84C99" w:rsidP="00E936CF">
            <w:pPr>
              <w:pStyle w:val="Tabletext0"/>
              <w:jc w:val="left"/>
            </w:pPr>
            <w:r w:rsidRPr="0063734D">
              <w:t>0.013</w:t>
            </w:r>
          </w:p>
        </w:tc>
        <w:tc>
          <w:tcPr>
            <w:tcW w:w="1858" w:type="dxa"/>
          </w:tcPr>
          <w:p w14:paraId="3326F120" w14:textId="7A5B164C" w:rsidR="00BF7314" w:rsidRPr="00681D16" w:rsidRDefault="00BF7314" w:rsidP="00E936CF">
            <w:pPr>
              <w:pStyle w:val="Tabletext0"/>
              <w:jc w:val="left"/>
            </w:pPr>
            <w:r w:rsidRPr="0038677F">
              <w:rPr>
                <w:i/>
              </w:rPr>
              <w:t>POLE</w:t>
            </w:r>
            <w:r w:rsidRPr="003F70F0">
              <w:t xml:space="preserve"> genotyping dominant</w:t>
            </w:r>
          </w:p>
        </w:tc>
      </w:tr>
      <w:tr w:rsidR="00B66CF1" w14:paraId="5068C5B3" w14:textId="77777777" w:rsidTr="00147CD0">
        <w:trPr>
          <w:cantSplit/>
          <w:trHeight w:val="300"/>
        </w:trPr>
        <w:tc>
          <w:tcPr>
            <w:tcW w:w="392" w:type="dxa"/>
          </w:tcPr>
          <w:p w14:paraId="633FD0D2" w14:textId="77777777" w:rsidR="00B66CF1" w:rsidRDefault="00B66CF1" w:rsidP="00E936CF">
            <w:pPr>
              <w:pStyle w:val="Tabletext0"/>
              <w:jc w:val="left"/>
            </w:pPr>
          </w:p>
        </w:tc>
        <w:tc>
          <w:tcPr>
            <w:tcW w:w="4360" w:type="dxa"/>
          </w:tcPr>
          <w:p w14:paraId="223AF0F7" w14:textId="5781D3FF" w:rsidR="00B66CF1" w:rsidRDefault="00B66CF1" w:rsidP="00E936CF">
            <w:pPr>
              <w:pStyle w:val="Tabletext0"/>
              <w:jc w:val="left"/>
            </w:pPr>
            <w:r>
              <w:t>2 + 6 + 10 + 11</w:t>
            </w:r>
          </w:p>
        </w:tc>
        <w:tc>
          <w:tcPr>
            <w:tcW w:w="1155" w:type="dxa"/>
          </w:tcPr>
          <w:p w14:paraId="4A3B040E" w14:textId="26757661" w:rsidR="00B66CF1" w:rsidRPr="00681D16" w:rsidRDefault="00BD321A" w:rsidP="00E936CF">
            <w:pPr>
              <w:pStyle w:val="Tabletext0"/>
              <w:jc w:val="left"/>
            </w:pPr>
            <w:r w:rsidRPr="005576B1">
              <w:t>–99.03</w:t>
            </w:r>
          </w:p>
        </w:tc>
        <w:tc>
          <w:tcPr>
            <w:tcW w:w="1251" w:type="dxa"/>
          </w:tcPr>
          <w:p w14:paraId="55175C22" w14:textId="7D7E4549" w:rsidR="00B66CF1" w:rsidRPr="00681D16" w:rsidRDefault="00BD321A" w:rsidP="00E936CF">
            <w:pPr>
              <w:pStyle w:val="Tabletext0"/>
              <w:jc w:val="left"/>
            </w:pPr>
            <w:r w:rsidRPr="005576B1">
              <w:t xml:space="preserve">0.004 </w:t>
            </w:r>
          </w:p>
        </w:tc>
        <w:tc>
          <w:tcPr>
            <w:tcW w:w="1858" w:type="dxa"/>
          </w:tcPr>
          <w:p w14:paraId="7C367664" w14:textId="034B347E" w:rsidR="00B66CF1" w:rsidRPr="00681D16" w:rsidRDefault="00BD321A" w:rsidP="00E936CF">
            <w:pPr>
              <w:pStyle w:val="Tabletext0"/>
              <w:jc w:val="left"/>
            </w:pPr>
            <w:r w:rsidRPr="0038677F">
              <w:rPr>
                <w:i/>
              </w:rPr>
              <w:t>POLE</w:t>
            </w:r>
            <w:r w:rsidRPr="005576B1">
              <w:t xml:space="preserve"> genotyping dominant </w:t>
            </w:r>
          </w:p>
        </w:tc>
      </w:tr>
      <w:tr w:rsidR="0012630B" w14:paraId="4A598BD0" w14:textId="77777777" w:rsidTr="00147CD0">
        <w:trPr>
          <w:cantSplit/>
          <w:trHeight w:val="300"/>
        </w:trPr>
        <w:tc>
          <w:tcPr>
            <w:tcW w:w="392" w:type="dxa"/>
          </w:tcPr>
          <w:p w14:paraId="4024777F" w14:textId="77777777" w:rsidR="0012630B" w:rsidRDefault="0012630B" w:rsidP="00E936CF">
            <w:pPr>
              <w:pStyle w:val="Tabletext0"/>
              <w:jc w:val="left"/>
            </w:pPr>
          </w:p>
        </w:tc>
        <w:tc>
          <w:tcPr>
            <w:tcW w:w="4360" w:type="dxa"/>
          </w:tcPr>
          <w:p w14:paraId="52090A18" w14:textId="2AAECC02" w:rsidR="0012630B" w:rsidRDefault="0012630B" w:rsidP="00E936CF">
            <w:pPr>
              <w:pStyle w:val="Tabletext0"/>
              <w:jc w:val="left"/>
            </w:pPr>
            <w:r>
              <w:t>2 + 5 + 10 + 11</w:t>
            </w:r>
          </w:p>
        </w:tc>
        <w:tc>
          <w:tcPr>
            <w:tcW w:w="1155" w:type="dxa"/>
          </w:tcPr>
          <w:p w14:paraId="3FD51515" w14:textId="0EACEBF4" w:rsidR="0012630B" w:rsidRPr="00681D16" w:rsidRDefault="00BD321A" w:rsidP="00E936CF">
            <w:pPr>
              <w:pStyle w:val="Tabletext0"/>
              <w:jc w:val="left"/>
            </w:pPr>
            <w:r w:rsidRPr="00732B61">
              <w:t>18.76</w:t>
            </w:r>
          </w:p>
        </w:tc>
        <w:tc>
          <w:tcPr>
            <w:tcW w:w="1251" w:type="dxa"/>
          </w:tcPr>
          <w:p w14:paraId="6C96A2B7" w14:textId="1AE495EE" w:rsidR="0012630B" w:rsidRPr="00681D16" w:rsidRDefault="00BD321A" w:rsidP="00E936CF">
            <w:pPr>
              <w:pStyle w:val="Tabletext0"/>
              <w:jc w:val="left"/>
            </w:pPr>
            <w:r w:rsidRPr="00732B61">
              <w:t>0.003</w:t>
            </w:r>
          </w:p>
        </w:tc>
        <w:tc>
          <w:tcPr>
            <w:tcW w:w="1858" w:type="dxa"/>
          </w:tcPr>
          <w:p w14:paraId="69ED2962" w14:textId="1E8390F9" w:rsidR="0012630B" w:rsidRPr="00681D16" w:rsidRDefault="039C90B2" w:rsidP="00E936CF">
            <w:pPr>
              <w:pStyle w:val="Tabletext0"/>
              <w:jc w:val="left"/>
            </w:pPr>
            <w:r>
              <w:t>5,387.71</w:t>
            </w:r>
          </w:p>
        </w:tc>
      </w:tr>
    </w:tbl>
    <w:p w14:paraId="0535664C" w14:textId="69CF8CBE" w:rsidR="005333B4" w:rsidRDefault="008B0BC8" w:rsidP="00FB27EC">
      <w:pPr>
        <w:pStyle w:val="Tablefooter0"/>
        <w:rPr>
          <w:lang w:val="en-US"/>
        </w:rPr>
      </w:pPr>
      <w:r>
        <w:rPr>
          <w:lang w:val="en-US"/>
        </w:rPr>
        <w:t>Abbreviations</w:t>
      </w:r>
      <w:r w:rsidR="005333B4">
        <w:rPr>
          <w:lang w:val="en-US"/>
        </w:rPr>
        <w:t xml:space="preserve">: EC = endometrial </w:t>
      </w:r>
      <w:r w:rsidR="007655D2">
        <w:rPr>
          <w:lang w:val="en-US"/>
        </w:rPr>
        <w:t>cancer</w:t>
      </w:r>
      <w:r w:rsidR="005333B4">
        <w:rPr>
          <w:lang w:val="en-US"/>
        </w:rPr>
        <w:t>;</w:t>
      </w:r>
      <w:r w:rsidR="00A37A74">
        <w:rPr>
          <w:lang w:val="en-US"/>
        </w:rPr>
        <w:t xml:space="preserve"> </w:t>
      </w:r>
      <w:r w:rsidR="00A37A74" w:rsidRPr="00FB1E3D">
        <w:rPr>
          <w:lang w:val="en-US"/>
        </w:rPr>
        <w:t>EORTC-QLQ-C30 = European Organisation for Research and Treatment of Cancer – Quality of Life Questionnaire – Core 30;</w:t>
      </w:r>
      <w:r w:rsidR="005333B4">
        <w:rPr>
          <w:lang w:val="en-US"/>
        </w:rPr>
        <w:t xml:space="preserve"> ICER = incremental cost-effectiveness ratio; </w:t>
      </w:r>
      <w:r w:rsidR="005333B4">
        <w:rPr>
          <w:i/>
          <w:iCs/>
          <w:lang w:val="en-US"/>
        </w:rPr>
        <w:t xml:space="preserve">POLE </w:t>
      </w:r>
      <w:r w:rsidR="005333B4">
        <w:rPr>
          <w:lang w:val="en-US"/>
        </w:rPr>
        <w:t xml:space="preserve">= </w:t>
      </w:r>
      <w:r w:rsidR="005333B4" w:rsidRPr="00FB1E3D">
        <w:rPr>
          <w:lang w:val="en-US"/>
        </w:rPr>
        <w:t>DNA polymerase epsilon, catalytic subunit</w:t>
      </w:r>
      <w:r w:rsidR="005333B4">
        <w:rPr>
          <w:lang w:val="en-US"/>
        </w:rPr>
        <w:t>; QALY = quality-adjusted life year</w:t>
      </w:r>
      <w:r w:rsidR="0051621F">
        <w:rPr>
          <w:lang w:val="en-US"/>
        </w:rPr>
        <w:t>.</w:t>
      </w:r>
    </w:p>
    <w:p w14:paraId="7BF282D1" w14:textId="2ACFE949" w:rsidR="00593934" w:rsidRPr="00C10C68" w:rsidRDefault="0074384B" w:rsidP="00C10C68">
      <w:pPr>
        <w:pStyle w:val="Tablefooter0"/>
        <w:rPr>
          <w:lang w:val="en-US"/>
        </w:rPr>
      </w:pPr>
      <w:r w:rsidRPr="00C10C68">
        <w:rPr>
          <w:lang w:val="en-US"/>
        </w:rPr>
        <w:t>Notes:</w:t>
      </w:r>
    </w:p>
    <w:p w14:paraId="40A021B0" w14:textId="692EC053" w:rsidR="00FB27EC" w:rsidRPr="00C10C68" w:rsidRDefault="00FB27EC" w:rsidP="00C10C68">
      <w:pPr>
        <w:pStyle w:val="Tablefooter0"/>
        <w:rPr>
          <w:lang w:val="en-US"/>
        </w:rPr>
      </w:pPr>
      <w:r>
        <w:rPr>
          <w:vertAlign w:val="superscript"/>
          <w:lang w:val="en-US"/>
        </w:rPr>
        <w:t>a</w:t>
      </w:r>
      <w:r w:rsidR="0074384B" w:rsidRPr="00C10C68">
        <w:rPr>
          <w:lang w:val="en-US"/>
        </w:rPr>
        <w:t xml:space="preserve"> </w:t>
      </w:r>
      <w:r w:rsidRPr="000C06E4">
        <w:rPr>
          <w:lang w:val="en-US"/>
        </w:rPr>
        <w:t>MMRp &amp; p53wt &amp; low-grade disease &amp; ER+ &amp; FIGO stage IA</w:t>
      </w:r>
      <w:r>
        <w:rPr>
          <w:lang w:val="en-US"/>
        </w:rPr>
        <w:t xml:space="preserve"> </w:t>
      </w:r>
    </w:p>
    <w:p w14:paraId="5371FD15" w14:textId="5FDD1FF9" w:rsidR="000C06E4" w:rsidRPr="000C06E4" w:rsidRDefault="00FB27EC" w:rsidP="00C10C68">
      <w:pPr>
        <w:pStyle w:val="Tablefooter0"/>
        <w:rPr>
          <w:lang w:val="en-US"/>
        </w:rPr>
      </w:pPr>
      <w:r>
        <w:rPr>
          <w:vertAlign w:val="superscript"/>
          <w:lang w:val="en-US"/>
        </w:rPr>
        <w:t>b</w:t>
      </w:r>
      <w:r w:rsidR="000C06E4" w:rsidRPr="000C06E4">
        <w:rPr>
          <w:lang w:val="en-US"/>
        </w:rPr>
        <w:t xml:space="preserve"> MMRd &amp; FIGO stage IA or IC</w:t>
      </w:r>
    </w:p>
    <w:p w14:paraId="4A31FDAD" w14:textId="2CBC94D8" w:rsidR="000C06E4" w:rsidRPr="000C06E4" w:rsidRDefault="00FB27EC" w:rsidP="00C10C68">
      <w:pPr>
        <w:pStyle w:val="Tablefooter0"/>
        <w:rPr>
          <w:lang w:val="en-US"/>
        </w:rPr>
      </w:pPr>
      <w:r>
        <w:rPr>
          <w:vertAlign w:val="superscript"/>
          <w:lang w:val="en-US"/>
        </w:rPr>
        <w:t>c</w:t>
      </w:r>
      <w:r w:rsidR="000C06E4" w:rsidRPr="000C06E4">
        <w:rPr>
          <w:lang w:val="en-US"/>
        </w:rPr>
        <w:t xml:space="preserve"> p53abn &amp; FIGO stage IA1 or IC</w:t>
      </w:r>
    </w:p>
    <w:p w14:paraId="426AC976" w14:textId="49BE4B9A" w:rsidR="000C06E4" w:rsidRPr="000C06E4" w:rsidRDefault="00FB27EC" w:rsidP="00C10C68">
      <w:pPr>
        <w:pStyle w:val="Tablefooter0"/>
        <w:rPr>
          <w:lang w:val="en-US"/>
        </w:rPr>
      </w:pPr>
      <w:r>
        <w:rPr>
          <w:vertAlign w:val="superscript"/>
          <w:lang w:val="en-US"/>
        </w:rPr>
        <w:t>d</w:t>
      </w:r>
      <w:r w:rsidR="000C06E4" w:rsidRPr="000C06E4">
        <w:rPr>
          <w:lang w:val="en-US"/>
        </w:rPr>
        <w:t xml:space="preserve"> MMRp &amp; p53wt &amp; high-grade disease or ER- &amp; FIGO stage IA1 or IC</w:t>
      </w:r>
    </w:p>
    <w:p w14:paraId="5569AB61" w14:textId="76FB8895" w:rsidR="00A0350D" w:rsidRPr="007227F7" w:rsidRDefault="00FB27EC" w:rsidP="00643392">
      <w:pPr>
        <w:pStyle w:val="Tablefooter0"/>
        <w:rPr>
          <w:lang w:val="en-US"/>
        </w:rPr>
      </w:pPr>
      <w:r w:rsidRPr="00B31122">
        <w:rPr>
          <w:lang w:val="en-US"/>
        </w:rPr>
        <w:t>e</w:t>
      </w:r>
      <w:r w:rsidR="000C06E4" w:rsidRPr="000C06E4">
        <w:rPr>
          <w:lang w:val="en-US"/>
        </w:rPr>
        <w:t xml:space="preserve"> FIGO stage IVB or IVC (any molecular classification)</w:t>
      </w:r>
    </w:p>
    <w:p w14:paraId="394D3737" w14:textId="53A69388" w:rsidR="00EF503A" w:rsidRDefault="00EF503A" w:rsidP="00EF503A">
      <w:pPr>
        <w:pStyle w:val="Heading4"/>
      </w:pPr>
      <w:r>
        <w:lastRenderedPageBreak/>
        <w:t>Post-ESC work</w:t>
      </w:r>
    </w:p>
    <w:p w14:paraId="503365EF" w14:textId="429A8A31" w:rsidR="00D142E2" w:rsidRDefault="00D142E2" w:rsidP="00D142E2">
      <w:r w:rsidRPr="5D8B8FC4">
        <w:rPr>
          <w:lang w:val="en-US"/>
        </w:rPr>
        <w:t xml:space="preserve">ESC requested clarification of the utilities for immunotherapy used in </w:t>
      </w:r>
      <w:r>
        <w:rPr>
          <w:lang w:val="en-US"/>
        </w:rPr>
        <w:t xml:space="preserve">the </w:t>
      </w:r>
      <w:r w:rsidRPr="5D8B8FC4">
        <w:rPr>
          <w:lang w:val="en-US"/>
        </w:rPr>
        <w:t>DCAR</w:t>
      </w:r>
      <w:r>
        <w:rPr>
          <w:lang w:val="en-US"/>
        </w:rPr>
        <w:t>. P</w:t>
      </w:r>
      <w:r w:rsidRPr="5D8B8FC4">
        <w:rPr>
          <w:lang w:val="en-US"/>
        </w:rPr>
        <w:t>ost-ESC</w:t>
      </w:r>
      <w:r>
        <w:rPr>
          <w:lang w:val="en-US"/>
        </w:rPr>
        <w:t>,</w:t>
      </w:r>
      <w:r w:rsidRPr="5D8B8FC4">
        <w:rPr>
          <w:lang w:val="en-US"/>
        </w:rPr>
        <w:t xml:space="preserve"> the assessment group clarified that </w:t>
      </w:r>
      <w:r>
        <w:t xml:space="preserve">in the base case, utilities for immunotherapy + chemotherapy ± RT were set equal to those for CTRT (0.79), due to </w:t>
      </w:r>
      <w:r w:rsidRPr="00F4443A">
        <w:t xml:space="preserve">the absence of available utility data for immunotherapy in </w:t>
      </w:r>
      <w:r w:rsidR="00E24ACA">
        <w:t xml:space="preserve">the </w:t>
      </w:r>
      <w:r>
        <w:t xml:space="preserve">relevant </w:t>
      </w:r>
      <w:r w:rsidRPr="00F4443A">
        <w:t>EC population</w:t>
      </w:r>
      <w:r>
        <w:t xml:space="preserve">. The assessment group also stated that a simplifying assumption was used for a scenario analysis (Scenario 7 presented in </w:t>
      </w:r>
      <w:r>
        <w:fldChar w:fldCharType="begin"/>
      </w:r>
      <w:r>
        <w:instrText>REF _Ref216309458</w:instrText>
      </w:r>
      <w:r>
        <w:fldChar w:fldCharType="separate"/>
      </w:r>
      <w:r w:rsidR="00996E6E">
        <w:t xml:space="preserve">Table </w:t>
      </w:r>
      <w:r w:rsidR="00996E6E">
        <w:rPr>
          <w:noProof/>
        </w:rPr>
        <w:t>15</w:t>
      </w:r>
      <w:r>
        <w:fldChar w:fldCharType="end"/>
      </w:r>
      <w:r>
        <w:t xml:space="preserve">), in that the same utilities, using the mapped PORTEC 3 values, were applied to VBT, EBRT, EBRT + VBT and CTRT, chemotherapy alone, immunotherapy + chemotherapy ± RT. The utilities used in the base case and scenario analysis are summarised in </w:t>
      </w:r>
      <w:r w:rsidR="009E4365">
        <w:fldChar w:fldCharType="begin"/>
      </w:r>
      <w:r w:rsidR="009E4365">
        <w:instrText xml:space="preserve"> REF _Ref223621421 \h </w:instrText>
      </w:r>
      <w:r w:rsidR="009E4365">
        <w:fldChar w:fldCharType="separate"/>
      </w:r>
      <w:r w:rsidR="00996E6E">
        <w:t xml:space="preserve">Table </w:t>
      </w:r>
      <w:r w:rsidR="00996E6E">
        <w:rPr>
          <w:noProof/>
        </w:rPr>
        <w:t>16</w:t>
      </w:r>
      <w:r w:rsidR="009E4365">
        <w:fldChar w:fldCharType="end"/>
      </w:r>
      <w:r>
        <w:t xml:space="preserve">. </w:t>
      </w:r>
    </w:p>
    <w:p w14:paraId="5EDA56A4" w14:textId="66D0D428" w:rsidR="00D142E2" w:rsidRDefault="00D142E2" w:rsidP="00D142E2">
      <w:pPr>
        <w:pStyle w:val="Caption"/>
      </w:pPr>
      <w:bookmarkStart w:id="86" w:name="_Ref223621421"/>
      <w:r>
        <w:t xml:space="preserve">Table </w:t>
      </w:r>
      <w:r>
        <w:fldChar w:fldCharType="begin"/>
      </w:r>
      <w:r>
        <w:instrText>SEQ Table \* ARABIC</w:instrText>
      </w:r>
      <w:r>
        <w:fldChar w:fldCharType="separate"/>
      </w:r>
      <w:r w:rsidR="00996E6E">
        <w:rPr>
          <w:noProof/>
        </w:rPr>
        <w:t>16</w:t>
      </w:r>
      <w:r>
        <w:fldChar w:fldCharType="end"/>
      </w:r>
      <w:bookmarkEnd w:id="86"/>
      <w:r>
        <w:t xml:space="preserve"> </w:t>
      </w:r>
      <w:r w:rsidRPr="004F6922">
        <w:t>Summary of utility values</w:t>
      </w:r>
      <w:r>
        <w:t xml:space="preserve"> for the base case and </w:t>
      </w:r>
      <w:r w:rsidRPr="004F6922">
        <w:t>scenario analysis</w:t>
      </w:r>
      <w:r>
        <w:t xml:space="preserve"> in the </w:t>
      </w:r>
      <w:r w:rsidRPr="004F6922">
        <w:t>DCAR</w:t>
      </w:r>
      <w: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52"/>
        <w:gridCol w:w="4059"/>
      </w:tblGrid>
      <w:tr w:rsidR="00D142E2" w:rsidRPr="00BE47FA" w14:paraId="69A7EC81" w14:textId="77777777">
        <w:trPr>
          <w:cantSplit/>
          <w:tblHeader/>
        </w:trPr>
        <w:tc>
          <w:tcPr>
            <w:tcW w:w="2405" w:type="dxa"/>
            <w:shd w:val="clear" w:color="auto" w:fill="F2F2F2" w:themeFill="background1" w:themeFillShade="F2"/>
            <w:vAlign w:val="center"/>
          </w:tcPr>
          <w:p w14:paraId="793AC317" w14:textId="77777777" w:rsidR="00D142E2" w:rsidRPr="00BE47FA" w:rsidRDefault="00D142E2" w:rsidP="003960E9">
            <w:pPr>
              <w:pStyle w:val="Tableheading1"/>
              <w:rPr>
                <w:rFonts w:eastAsia="Times New Roman"/>
                <w:lang w:eastAsia="en-AU"/>
              </w:rPr>
            </w:pPr>
            <w:r w:rsidRPr="00BE47FA">
              <w:rPr>
                <w:rFonts w:eastAsia="Times New Roman"/>
                <w:lang w:eastAsia="en-AU"/>
              </w:rPr>
              <w:t>Treatment</w:t>
            </w:r>
          </w:p>
        </w:tc>
        <w:tc>
          <w:tcPr>
            <w:tcW w:w="2552" w:type="dxa"/>
            <w:shd w:val="clear" w:color="auto" w:fill="F2F2F2" w:themeFill="background1" w:themeFillShade="F2"/>
            <w:vAlign w:val="center"/>
          </w:tcPr>
          <w:p w14:paraId="5E5B50AD" w14:textId="77777777" w:rsidR="00D142E2" w:rsidRPr="00BE47FA" w:rsidRDefault="00D142E2" w:rsidP="003960E9">
            <w:pPr>
              <w:pStyle w:val="Tableheading1"/>
              <w:rPr>
                <w:rFonts w:eastAsia="Times New Roman"/>
                <w:lang w:eastAsia="en-AU"/>
              </w:rPr>
            </w:pPr>
            <w:r w:rsidRPr="00BE47FA">
              <w:rPr>
                <w:rFonts w:eastAsia="Times New Roman"/>
                <w:lang w:eastAsia="en-AU"/>
              </w:rPr>
              <w:t>Base case</w:t>
            </w:r>
          </w:p>
        </w:tc>
        <w:tc>
          <w:tcPr>
            <w:tcW w:w="4059" w:type="dxa"/>
            <w:shd w:val="clear" w:color="auto" w:fill="F2F2F2" w:themeFill="background1" w:themeFillShade="F2"/>
            <w:vAlign w:val="center"/>
          </w:tcPr>
          <w:p w14:paraId="7032D87B" w14:textId="60298238" w:rsidR="00D142E2" w:rsidRPr="00BE47FA" w:rsidRDefault="00D142E2" w:rsidP="003960E9">
            <w:pPr>
              <w:pStyle w:val="Tableheading1"/>
              <w:rPr>
                <w:rFonts w:eastAsia="Times New Roman"/>
                <w:lang w:eastAsia="en-AU"/>
              </w:rPr>
            </w:pPr>
            <w:r>
              <w:rPr>
                <w:rFonts w:eastAsia="Times New Roman"/>
                <w:lang w:eastAsia="en-AU"/>
              </w:rPr>
              <w:t>S</w:t>
            </w:r>
            <w:r w:rsidRPr="00BE47FA">
              <w:rPr>
                <w:rFonts w:eastAsia="Times New Roman"/>
                <w:lang w:eastAsia="en-AU"/>
              </w:rPr>
              <w:t>cenario</w:t>
            </w:r>
            <w:r>
              <w:rPr>
                <w:rFonts w:eastAsia="Times New Roman"/>
                <w:lang w:eastAsia="en-AU"/>
              </w:rPr>
              <w:t xml:space="preserve"> 7 in </w:t>
            </w:r>
            <w:r>
              <w:rPr>
                <w:rFonts w:eastAsia="Times New Roman"/>
                <w:lang w:eastAsia="en-AU"/>
              </w:rPr>
              <w:fldChar w:fldCharType="begin"/>
            </w:r>
            <w:r>
              <w:rPr>
                <w:rFonts w:eastAsia="Times New Roman"/>
                <w:lang w:eastAsia="en-AU"/>
              </w:rPr>
              <w:instrText xml:space="preserve"> REF _Ref216309458 </w:instrText>
            </w:r>
            <w:r>
              <w:rPr>
                <w:rFonts w:eastAsia="Times New Roman"/>
                <w:lang w:eastAsia="en-AU"/>
              </w:rPr>
              <w:fldChar w:fldCharType="separate"/>
            </w:r>
            <w:r w:rsidR="00996E6E">
              <w:t xml:space="preserve">Table </w:t>
            </w:r>
            <w:r w:rsidR="00996E6E">
              <w:rPr>
                <w:noProof/>
              </w:rPr>
              <w:t>15</w:t>
            </w:r>
            <w:r>
              <w:rPr>
                <w:rFonts w:eastAsia="Times New Roman"/>
                <w:lang w:eastAsia="en-AU"/>
              </w:rPr>
              <w:fldChar w:fldCharType="end"/>
            </w:r>
            <w:r w:rsidDel="00AE45E2">
              <w:rPr>
                <w:rFonts w:eastAsia="Times New Roman"/>
                <w:lang w:eastAsia="en-AU"/>
              </w:rPr>
              <w:t xml:space="preserve"> </w:t>
            </w:r>
          </w:p>
        </w:tc>
      </w:tr>
      <w:tr w:rsidR="00D142E2" w:rsidRPr="008871D6" w14:paraId="4FDCB1E1" w14:textId="77777777">
        <w:tc>
          <w:tcPr>
            <w:tcW w:w="2405" w:type="dxa"/>
            <w:vAlign w:val="center"/>
          </w:tcPr>
          <w:p w14:paraId="6A28FA96" w14:textId="77777777" w:rsidR="00D142E2" w:rsidRPr="00A92764" w:rsidRDefault="00D142E2" w:rsidP="003960E9">
            <w:pPr>
              <w:pStyle w:val="Tabletext0"/>
              <w:spacing w:before="0"/>
              <w:rPr>
                <w:b/>
                <w:bCs/>
              </w:rPr>
            </w:pPr>
            <w:r w:rsidRPr="00A92764">
              <w:rPr>
                <w:b/>
                <w:bCs/>
              </w:rPr>
              <w:t>No adjuvant therapy</w:t>
            </w:r>
          </w:p>
        </w:tc>
        <w:tc>
          <w:tcPr>
            <w:tcW w:w="2552" w:type="dxa"/>
            <w:vAlign w:val="center"/>
          </w:tcPr>
          <w:p w14:paraId="412231A5" w14:textId="77777777" w:rsidR="00D142E2" w:rsidRPr="003B43BB" w:rsidRDefault="00D142E2" w:rsidP="003960E9">
            <w:pPr>
              <w:pStyle w:val="Tabletext0"/>
              <w:spacing w:before="0"/>
            </w:pPr>
            <w:r w:rsidRPr="003B43BB">
              <w:t>0.89</w:t>
            </w:r>
          </w:p>
        </w:tc>
        <w:tc>
          <w:tcPr>
            <w:tcW w:w="4059" w:type="dxa"/>
            <w:vAlign w:val="center"/>
          </w:tcPr>
          <w:p w14:paraId="57D76905" w14:textId="77777777" w:rsidR="00D142E2" w:rsidRPr="003B43BB" w:rsidRDefault="00D142E2" w:rsidP="003960E9">
            <w:pPr>
              <w:pStyle w:val="Tabletext0"/>
              <w:spacing w:before="0"/>
            </w:pPr>
            <w:r w:rsidRPr="003B43BB">
              <w:t xml:space="preserve">0.87 </w:t>
            </w:r>
          </w:p>
          <w:p w14:paraId="7DE4DC19" w14:textId="77777777" w:rsidR="00D142E2" w:rsidRPr="003B43BB" w:rsidRDefault="00D142E2" w:rsidP="003960E9">
            <w:pPr>
              <w:pStyle w:val="Tabletext0"/>
              <w:spacing w:before="0"/>
            </w:pPr>
            <w:r w:rsidRPr="003B43BB">
              <w:t>*Set equal to Australian population norm</w:t>
            </w:r>
          </w:p>
        </w:tc>
      </w:tr>
      <w:tr w:rsidR="00D142E2" w:rsidRPr="008871D6" w14:paraId="4C9CDCF8" w14:textId="77777777">
        <w:tc>
          <w:tcPr>
            <w:tcW w:w="2405" w:type="dxa"/>
            <w:vAlign w:val="center"/>
          </w:tcPr>
          <w:p w14:paraId="60A0D5E2" w14:textId="77777777" w:rsidR="00D142E2" w:rsidRPr="00A92764" w:rsidRDefault="00D142E2" w:rsidP="003960E9">
            <w:pPr>
              <w:pStyle w:val="Tabletext0"/>
              <w:spacing w:before="0"/>
              <w:rPr>
                <w:b/>
                <w:bCs/>
              </w:rPr>
            </w:pPr>
            <w:r w:rsidRPr="00A92764">
              <w:rPr>
                <w:b/>
                <w:bCs/>
              </w:rPr>
              <w:t>VBT</w:t>
            </w:r>
          </w:p>
        </w:tc>
        <w:tc>
          <w:tcPr>
            <w:tcW w:w="2552" w:type="dxa"/>
            <w:vAlign w:val="center"/>
          </w:tcPr>
          <w:p w14:paraId="153A3471" w14:textId="77777777" w:rsidR="00D142E2" w:rsidRPr="003B43BB" w:rsidRDefault="00D142E2" w:rsidP="003960E9">
            <w:pPr>
              <w:pStyle w:val="Tabletext0"/>
              <w:spacing w:before="0"/>
            </w:pPr>
            <w:r w:rsidRPr="003B43BB">
              <w:t>0.89</w:t>
            </w:r>
          </w:p>
        </w:tc>
        <w:tc>
          <w:tcPr>
            <w:tcW w:w="4059" w:type="dxa"/>
            <w:vAlign w:val="center"/>
          </w:tcPr>
          <w:p w14:paraId="74FA97C2" w14:textId="77777777" w:rsidR="00D142E2" w:rsidRPr="003B43BB" w:rsidRDefault="00D142E2" w:rsidP="003960E9">
            <w:pPr>
              <w:pStyle w:val="Tabletext0"/>
              <w:spacing w:before="0"/>
            </w:pPr>
            <w:r w:rsidRPr="003B43BB">
              <w:t>*Set equal to EBRT ± VBT</w:t>
            </w:r>
          </w:p>
        </w:tc>
      </w:tr>
      <w:tr w:rsidR="00D142E2" w:rsidRPr="008871D6" w14:paraId="325F7EF5" w14:textId="77777777">
        <w:tc>
          <w:tcPr>
            <w:tcW w:w="2405" w:type="dxa"/>
            <w:vAlign w:val="center"/>
          </w:tcPr>
          <w:p w14:paraId="38D5FAB9" w14:textId="77777777" w:rsidR="00D142E2" w:rsidRPr="00A92764" w:rsidRDefault="00D142E2" w:rsidP="003960E9">
            <w:pPr>
              <w:pStyle w:val="Tabletext0"/>
              <w:spacing w:before="0"/>
              <w:rPr>
                <w:b/>
                <w:bCs/>
              </w:rPr>
            </w:pPr>
            <w:r w:rsidRPr="00A92764">
              <w:rPr>
                <w:b/>
                <w:bCs/>
              </w:rPr>
              <w:t>EBRT ± VBT</w:t>
            </w:r>
          </w:p>
        </w:tc>
        <w:tc>
          <w:tcPr>
            <w:tcW w:w="2552" w:type="dxa"/>
            <w:vAlign w:val="center"/>
          </w:tcPr>
          <w:p w14:paraId="040062E1" w14:textId="77777777" w:rsidR="00D142E2" w:rsidRPr="003B43BB" w:rsidRDefault="00D142E2" w:rsidP="003960E9">
            <w:pPr>
              <w:pStyle w:val="Tabletext0"/>
              <w:spacing w:before="0"/>
            </w:pPr>
            <w:r w:rsidRPr="003B43BB">
              <w:t>0.84</w:t>
            </w:r>
          </w:p>
        </w:tc>
        <w:tc>
          <w:tcPr>
            <w:tcW w:w="4059" w:type="dxa"/>
            <w:vAlign w:val="center"/>
          </w:tcPr>
          <w:p w14:paraId="1DDDF2C9" w14:textId="77777777" w:rsidR="00D142E2" w:rsidRPr="003B43BB" w:rsidRDefault="00D142E2" w:rsidP="003960E9">
            <w:pPr>
              <w:pStyle w:val="Tabletext0"/>
              <w:spacing w:before="0"/>
            </w:pPr>
            <w:r w:rsidRPr="003B43BB">
              <w:t xml:space="preserve">0.858–0.870 </w:t>
            </w:r>
          </w:p>
          <w:p w14:paraId="66B7C077" w14:textId="77777777" w:rsidR="00D142E2" w:rsidRPr="003B43BB" w:rsidRDefault="00D142E2" w:rsidP="003960E9">
            <w:pPr>
              <w:pStyle w:val="Tabletext0"/>
              <w:spacing w:before="0"/>
            </w:pPr>
            <w:r w:rsidRPr="003B43BB">
              <w:t>*Time-dependent</w:t>
            </w:r>
          </w:p>
        </w:tc>
      </w:tr>
      <w:tr w:rsidR="00D142E2" w:rsidRPr="008871D6" w14:paraId="1A3268E9" w14:textId="77777777">
        <w:tc>
          <w:tcPr>
            <w:tcW w:w="2405" w:type="dxa"/>
            <w:vAlign w:val="center"/>
          </w:tcPr>
          <w:p w14:paraId="14963BCC" w14:textId="77777777" w:rsidR="00D142E2" w:rsidRPr="00A92764" w:rsidRDefault="00D142E2" w:rsidP="003960E9">
            <w:pPr>
              <w:pStyle w:val="Tabletext0"/>
              <w:spacing w:before="0"/>
              <w:rPr>
                <w:b/>
                <w:bCs/>
              </w:rPr>
            </w:pPr>
            <w:r w:rsidRPr="00A92764">
              <w:rPr>
                <w:b/>
                <w:bCs/>
              </w:rPr>
              <w:t>CTRT</w:t>
            </w:r>
          </w:p>
        </w:tc>
        <w:tc>
          <w:tcPr>
            <w:tcW w:w="2552" w:type="dxa"/>
            <w:vAlign w:val="center"/>
          </w:tcPr>
          <w:p w14:paraId="6280BCD3" w14:textId="77777777" w:rsidR="00D142E2" w:rsidRPr="003B43BB" w:rsidRDefault="00D142E2" w:rsidP="003960E9">
            <w:pPr>
              <w:pStyle w:val="Tabletext0"/>
              <w:spacing w:before="0"/>
            </w:pPr>
            <w:r w:rsidRPr="003B43BB">
              <w:t>0.79</w:t>
            </w:r>
          </w:p>
        </w:tc>
        <w:tc>
          <w:tcPr>
            <w:tcW w:w="4059" w:type="dxa"/>
            <w:vAlign w:val="center"/>
          </w:tcPr>
          <w:p w14:paraId="7FD8E1EF" w14:textId="77777777" w:rsidR="00D142E2" w:rsidRPr="003B43BB" w:rsidRDefault="00D142E2" w:rsidP="003960E9">
            <w:pPr>
              <w:pStyle w:val="Tabletext0"/>
              <w:spacing w:before="0"/>
            </w:pPr>
            <w:r w:rsidRPr="003B43BB">
              <w:t xml:space="preserve">0.830–0.863 </w:t>
            </w:r>
          </w:p>
          <w:p w14:paraId="3E60949F" w14:textId="77777777" w:rsidR="00D142E2" w:rsidRPr="003B43BB" w:rsidRDefault="00D142E2" w:rsidP="003960E9">
            <w:pPr>
              <w:pStyle w:val="Tabletext0"/>
              <w:spacing w:before="0"/>
            </w:pPr>
            <w:r w:rsidRPr="003B43BB">
              <w:t>*Time-dependent</w:t>
            </w:r>
          </w:p>
        </w:tc>
      </w:tr>
      <w:tr w:rsidR="00D142E2" w:rsidRPr="008871D6" w14:paraId="3E966C9F" w14:textId="77777777">
        <w:tc>
          <w:tcPr>
            <w:tcW w:w="2405" w:type="dxa"/>
            <w:vAlign w:val="center"/>
          </w:tcPr>
          <w:p w14:paraId="1AEF819F" w14:textId="77777777" w:rsidR="00D142E2" w:rsidRPr="00A92764" w:rsidRDefault="00D142E2" w:rsidP="003960E9">
            <w:pPr>
              <w:pStyle w:val="Tabletext0"/>
              <w:spacing w:before="0"/>
              <w:rPr>
                <w:b/>
                <w:bCs/>
              </w:rPr>
            </w:pPr>
            <w:r w:rsidRPr="00A92764">
              <w:rPr>
                <w:b/>
                <w:bCs/>
              </w:rPr>
              <w:t>Chemotherapy alone</w:t>
            </w:r>
          </w:p>
        </w:tc>
        <w:tc>
          <w:tcPr>
            <w:tcW w:w="2552" w:type="dxa"/>
            <w:vAlign w:val="center"/>
          </w:tcPr>
          <w:p w14:paraId="714C7578" w14:textId="77777777" w:rsidR="00D142E2" w:rsidRPr="003B43BB" w:rsidRDefault="00D142E2" w:rsidP="003960E9">
            <w:pPr>
              <w:pStyle w:val="Tabletext0"/>
              <w:spacing w:before="0"/>
            </w:pPr>
            <w:r w:rsidRPr="003B43BB">
              <w:t>0.83</w:t>
            </w:r>
          </w:p>
        </w:tc>
        <w:tc>
          <w:tcPr>
            <w:tcW w:w="4059" w:type="dxa"/>
            <w:vAlign w:val="center"/>
          </w:tcPr>
          <w:p w14:paraId="1D436C17" w14:textId="77777777" w:rsidR="00D142E2" w:rsidRPr="003B43BB" w:rsidRDefault="00D142E2" w:rsidP="003960E9">
            <w:pPr>
              <w:pStyle w:val="Tabletext0"/>
              <w:spacing w:before="0"/>
            </w:pPr>
            <w:r w:rsidRPr="003B43BB">
              <w:t>*Set equal to CTRT</w:t>
            </w:r>
          </w:p>
        </w:tc>
      </w:tr>
      <w:tr w:rsidR="00D142E2" w:rsidRPr="008871D6" w14:paraId="0BB895BA" w14:textId="77777777">
        <w:trPr>
          <w:trHeight w:val="705"/>
        </w:trPr>
        <w:tc>
          <w:tcPr>
            <w:tcW w:w="2405" w:type="dxa"/>
            <w:vAlign w:val="center"/>
          </w:tcPr>
          <w:p w14:paraId="2BD1E76E" w14:textId="77777777" w:rsidR="00D142E2" w:rsidRPr="00A92764" w:rsidRDefault="00D142E2" w:rsidP="003960E9">
            <w:pPr>
              <w:pStyle w:val="Tabletext0"/>
              <w:spacing w:before="0"/>
              <w:rPr>
                <w:b/>
                <w:bCs/>
              </w:rPr>
            </w:pPr>
            <w:r w:rsidRPr="00A92764">
              <w:rPr>
                <w:b/>
                <w:bCs/>
              </w:rPr>
              <w:t>Immunotherapy + chemotherapy ± RT</w:t>
            </w:r>
          </w:p>
        </w:tc>
        <w:tc>
          <w:tcPr>
            <w:tcW w:w="2552" w:type="dxa"/>
            <w:vAlign w:val="center"/>
          </w:tcPr>
          <w:p w14:paraId="2EA82E5E" w14:textId="77777777" w:rsidR="00D142E2" w:rsidRPr="003B43BB" w:rsidRDefault="00D142E2" w:rsidP="003960E9">
            <w:pPr>
              <w:pStyle w:val="Tabletext0"/>
              <w:spacing w:before="0"/>
            </w:pPr>
            <w:r w:rsidRPr="003B43BB">
              <w:t xml:space="preserve">0.79 </w:t>
            </w:r>
          </w:p>
          <w:p w14:paraId="0507A9F6" w14:textId="77777777" w:rsidR="00D142E2" w:rsidRPr="003B43BB" w:rsidRDefault="00D142E2" w:rsidP="003960E9">
            <w:pPr>
              <w:pStyle w:val="Tabletext0"/>
              <w:spacing w:before="0"/>
            </w:pPr>
            <w:r w:rsidRPr="003B43BB">
              <w:t>**set equivalent to CTRT</w:t>
            </w:r>
          </w:p>
        </w:tc>
        <w:tc>
          <w:tcPr>
            <w:tcW w:w="4059" w:type="dxa"/>
            <w:vAlign w:val="center"/>
          </w:tcPr>
          <w:p w14:paraId="121005BB" w14:textId="77777777" w:rsidR="00D142E2" w:rsidRPr="003B43BB" w:rsidRDefault="00D142E2" w:rsidP="003960E9">
            <w:pPr>
              <w:pStyle w:val="Tabletext0"/>
              <w:spacing w:before="0"/>
            </w:pPr>
            <w:r w:rsidRPr="003B43BB">
              <w:t>*Set equal to CTRT</w:t>
            </w:r>
          </w:p>
        </w:tc>
      </w:tr>
    </w:tbl>
    <w:p w14:paraId="6EAAE99C" w14:textId="2AB3AA80" w:rsidR="000669AD" w:rsidRDefault="00D142E2" w:rsidP="003960E9">
      <w:pPr>
        <w:pStyle w:val="Tablefooter0"/>
        <w:spacing w:line="240" w:lineRule="auto"/>
      </w:pPr>
      <w:r>
        <w:t xml:space="preserve">Abbreviations: CTRT = </w:t>
      </w:r>
      <w:r w:rsidRPr="00042BBF">
        <w:t>chemoradiation therapy</w:t>
      </w:r>
      <w:r>
        <w:t xml:space="preserve">; EBRT = external beam radiation therapy; </w:t>
      </w:r>
      <w:r w:rsidRPr="000A56EE">
        <w:t>RT = radiation therapy</w:t>
      </w:r>
      <w:r>
        <w:t>;</w:t>
      </w:r>
      <w:r w:rsidRPr="000A56EE">
        <w:t xml:space="preserve"> </w:t>
      </w:r>
      <w:r>
        <w:t>VBT = vaginal brachytherapy</w:t>
      </w:r>
    </w:p>
    <w:p w14:paraId="0435142D" w14:textId="1E5A6E17" w:rsidR="00F15C67" w:rsidRDefault="00E2426E" w:rsidP="00694286">
      <w:r>
        <w:fldChar w:fldCharType="begin"/>
      </w:r>
      <w:r>
        <w:instrText xml:space="preserve"> REF _Ref223615352 \h </w:instrText>
      </w:r>
      <w:r>
        <w:fldChar w:fldCharType="separate"/>
      </w:r>
      <w:r w:rsidR="00996E6E">
        <w:t xml:space="preserve">Table </w:t>
      </w:r>
      <w:r w:rsidR="00996E6E">
        <w:rPr>
          <w:noProof/>
        </w:rPr>
        <w:t>17</w:t>
      </w:r>
      <w:r>
        <w:fldChar w:fldCharType="end"/>
      </w:r>
      <w:r>
        <w:t xml:space="preserve"> </w:t>
      </w:r>
      <w:r w:rsidR="00F15C67">
        <w:t xml:space="preserve">and </w:t>
      </w:r>
      <w:r>
        <w:fldChar w:fldCharType="begin"/>
      </w:r>
      <w:r>
        <w:instrText xml:space="preserve"> REF _Ref223615363 \h </w:instrText>
      </w:r>
      <w:r>
        <w:fldChar w:fldCharType="separate"/>
      </w:r>
      <w:r w:rsidR="00996E6E">
        <w:t xml:space="preserve">Table </w:t>
      </w:r>
      <w:r w:rsidR="00996E6E">
        <w:rPr>
          <w:noProof/>
        </w:rPr>
        <w:t>18</w:t>
      </w:r>
      <w:r>
        <w:fldChar w:fldCharType="end"/>
      </w:r>
      <w:r>
        <w:t xml:space="preserve"> </w:t>
      </w:r>
      <w:r w:rsidR="006A7EB7">
        <w:t xml:space="preserve">presents the scenario analyses of </w:t>
      </w:r>
      <w:r w:rsidR="00202A3B">
        <w:t>subgroups 1 (MMRd &amp; FIGO stage IA or IC) &amp; 7 (</w:t>
      </w:r>
      <w:r w:rsidR="00202A3B" w:rsidRPr="00B835A2">
        <w:rPr>
          <w:lang w:val="en-US"/>
        </w:rPr>
        <w:t>MMRp &amp; p53wt &amp; low-grade disease &amp; ER+ &amp; FIGO stage IA</w:t>
      </w:r>
      <w:r w:rsidR="00202A3B">
        <w:rPr>
          <w:lang w:val="en-US"/>
        </w:rPr>
        <w:t>)</w:t>
      </w:r>
      <w:r w:rsidR="00202A3B">
        <w:t xml:space="preserve"> and </w:t>
      </w:r>
      <w:r w:rsidR="00881231">
        <w:t xml:space="preserve">subgroups </w:t>
      </w:r>
      <w:r w:rsidR="00202A3B">
        <w:t>2 (</w:t>
      </w:r>
      <w:r w:rsidR="00202A3B" w:rsidRPr="00D27823">
        <w:t>MMRd &amp; FIGO stage IB or II</w:t>
      </w:r>
      <w:r w:rsidR="00202A3B">
        <w:t>) &amp;</w:t>
      </w:r>
      <w:r w:rsidR="00881231">
        <w:t xml:space="preserve"> 7 </w:t>
      </w:r>
      <w:r w:rsidR="006A7EB7">
        <w:t>requested by ESC.</w:t>
      </w:r>
    </w:p>
    <w:p w14:paraId="10CE9010" w14:textId="1F647848" w:rsidR="00142196" w:rsidRPr="003C4258" w:rsidRDefault="00246EDF" w:rsidP="00246EDF">
      <w:pPr>
        <w:pStyle w:val="Caption"/>
        <w:rPr>
          <w:color w:val="000000" w:themeColor="text1"/>
        </w:rPr>
      </w:pPr>
      <w:bookmarkStart w:id="87" w:name="_Ref223615352"/>
      <w:r>
        <w:t xml:space="preserve">Table </w:t>
      </w:r>
      <w:r>
        <w:fldChar w:fldCharType="begin"/>
      </w:r>
      <w:r>
        <w:instrText>SEQ Table \* ARABIC</w:instrText>
      </w:r>
      <w:r>
        <w:fldChar w:fldCharType="separate"/>
      </w:r>
      <w:r w:rsidR="00996E6E">
        <w:rPr>
          <w:noProof/>
        </w:rPr>
        <w:t>17</w:t>
      </w:r>
      <w:r>
        <w:fldChar w:fldCharType="end"/>
      </w:r>
      <w:bookmarkEnd w:id="87"/>
      <w:r>
        <w:t xml:space="preserve"> </w:t>
      </w:r>
      <w:r w:rsidR="00142196" w:rsidRPr="003C4258">
        <w:rPr>
          <w:color w:val="000000" w:themeColor="text1"/>
        </w:rPr>
        <w:t>Results of scenario analyses for the cost-effectiveness analysis</w:t>
      </w:r>
      <w:r w:rsidR="00E2426E">
        <w:rPr>
          <w:color w:val="000000" w:themeColor="text1"/>
        </w:rPr>
        <w:t xml:space="preserve"> of subgroups 1&amp;7 and 2&amp;7</w:t>
      </w:r>
    </w:p>
    <w:tbl>
      <w:tblPr>
        <w:tblStyle w:val="HTATableshaded"/>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905"/>
        <w:gridCol w:w="2016"/>
        <w:gridCol w:w="2385"/>
      </w:tblGrid>
      <w:tr w:rsidR="00142196" w:rsidRPr="00446305" w14:paraId="691A02A0" w14:textId="77777777" w:rsidTr="00857A43">
        <w:trPr>
          <w:cnfStyle w:val="100000000000" w:firstRow="1" w:lastRow="0" w:firstColumn="0" w:lastColumn="0" w:oddVBand="0" w:evenVBand="0" w:oddHBand="0" w:evenHBand="0" w:firstRowFirstColumn="0" w:firstRowLastColumn="0" w:lastRowFirstColumn="0" w:lastRowLastColumn="0"/>
          <w:trHeight w:val="300"/>
          <w:tblHeader/>
        </w:trPr>
        <w:tc>
          <w:tcPr>
            <w:tcW w:w="2721" w:type="dxa"/>
            <w:shd w:val="clear" w:color="auto" w:fill="F2F2F2" w:themeFill="background1" w:themeFillShade="F2"/>
            <w:hideMark/>
          </w:tcPr>
          <w:p w14:paraId="5F797593" w14:textId="77777777" w:rsidR="00142196" w:rsidRPr="003C4258" w:rsidRDefault="00142196" w:rsidP="003960E9">
            <w:pPr>
              <w:pStyle w:val="Tableheading1"/>
              <w:rPr>
                <w:color w:val="000000" w:themeColor="text1"/>
              </w:rPr>
            </w:pPr>
          </w:p>
        </w:tc>
        <w:tc>
          <w:tcPr>
            <w:tcW w:w="1905" w:type="dxa"/>
            <w:shd w:val="clear" w:color="auto" w:fill="F2F2F2" w:themeFill="background1" w:themeFillShade="F2"/>
          </w:tcPr>
          <w:p w14:paraId="51A07858" w14:textId="77777777" w:rsidR="00142196" w:rsidRPr="003C4258" w:rsidRDefault="00142196" w:rsidP="003960E9">
            <w:pPr>
              <w:pStyle w:val="Tableheading1"/>
              <w:rPr>
                <w:color w:val="000000" w:themeColor="text1"/>
              </w:rPr>
            </w:pPr>
            <w:r w:rsidRPr="003C4258">
              <w:rPr>
                <w:i/>
                <w:color w:val="000000" w:themeColor="text1"/>
              </w:rPr>
              <w:t>POLE</w:t>
            </w:r>
            <w:r w:rsidRPr="003C4258">
              <w:rPr>
                <w:color w:val="000000" w:themeColor="text1"/>
              </w:rPr>
              <w:t xml:space="preserve"> genotyping</w:t>
            </w:r>
          </w:p>
        </w:tc>
        <w:tc>
          <w:tcPr>
            <w:tcW w:w="2016" w:type="dxa"/>
            <w:shd w:val="clear" w:color="auto" w:fill="F2F2F2" w:themeFill="background1" w:themeFillShade="F2"/>
          </w:tcPr>
          <w:p w14:paraId="1435B00C" w14:textId="77777777" w:rsidR="00142196" w:rsidRPr="003C4258" w:rsidRDefault="00142196" w:rsidP="003960E9">
            <w:pPr>
              <w:pStyle w:val="Tableheading1"/>
              <w:jc w:val="left"/>
              <w:rPr>
                <w:color w:val="000000" w:themeColor="text1"/>
              </w:rPr>
            </w:pPr>
            <w:r w:rsidRPr="2908E4A8">
              <w:rPr>
                <w:color w:val="000000" w:themeColor="text1"/>
              </w:rPr>
              <w:t xml:space="preserve">No </w:t>
            </w:r>
            <w:r w:rsidRPr="2908E4A8">
              <w:rPr>
                <w:i/>
                <w:iCs/>
                <w:color w:val="000000" w:themeColor="text1"/>
              </w:rPr>
              <w:t>POLE</w:t>
            </w:r>
            <w:r w:rsidRPr="2908E4A8">
              <w:rPr>
                <w:color w:val="000000" w:themeColor="text1"/>
              </w:rPr>
              <w:t xml:space="preserve"> genotyping</w:t>
            </w:r>
          </w:p>
        </w:tc>
        <w:tc>
          <w:tcPr>
            <w:tcW w:w="2385" w:type="dxa"/>
            <w:shd w:val="clear" w:color="auto" w:fill="F2F2F2" w:themeFill="background1" w:themeFillShade="F2"/>
          </w:tcPr>
          <w:p w14:paraId="6AAF7B4C" w14:textId="77777777" w:rsidR="00142196" w:rsidRPr="003C4258" w:rsidRDefault="00142196" w:rsidP="003960E9">
            <w:pPr>
              <w:pStyle w:val="Tableheading1"/>
              <w:jc w:val="left"/>
              <w:rPr>
                <w:color w:val="000000" w:themeColor="text1"/>
              </w:rPr>
            </w:pPr>
            <w:r w:rsidRPr="003C4258">
              <w:rPr>
                <w:color w:val="000000" w:themeColor="text1"/>
              </w:rPr>
              <w:t>Incremental costs/ effectiveness</w:t>
            </w:r>
          </w:p>
        </w:tc>
      </w:tr>
      <w:tr w:rsidR="00142196" w:rsidRPr="00446305" w14:paraId="28F789CE" w14:textId="77777777" w:rsidTr="00857A43">
        <w:trPr>
          <w:trHeight w:val="300"/>
        </w:trPr>
        <w:tc>
          <w:tcPr>
            <w:tcW w:w="9027" w:type="dxa"/>
            <w:gridSpan w:val="4"/>
          </w:tcPr>
          <w:p w14:paraId="25E3A32C" w14:textId="3D39F460" w:rsidR="00142196" w:rsidRPr="003C4258" w:rsidRDefault="00142196" w:rsidP="003960E9">
            <w:pPr>
              <w:pStyle w:val="Tabletext0"/>
              <w:spacing w:before="0"/>
              <w:rPr>
                <w:b/>
                <w:color w:val="000000" w:themeColor="text1"/>
              </w:rPr>
            </w:pPr>
            <w:r>
              <w:rPr>
                <w:b/>
                <w:color w:val="000000" w:themeColor="text1"/>
              </w:rPr>
              <w:t>S</w:t>
            </w:r>
            <w:r w:rsidRPr="003C4258">
              <w:rPr>
                <w:b/>
                <w:color w:val="000000" w:themeColor="text1"/>
              </w:rPr>
              <w:t>ubgroups 1 and 7</w:t>
            </w:r>
          </w:p>
        </w:tc>
      </w:tr>
      <w:tr w:rsidR="00142196" w:rsidRPr="00D91F49" w14:paraId="67A80113" w14:textId="77777777" w:rsidTr="00857A43">
        <w:trPr>
          <w:trHeight w:val="300"/>
        </w:trPr>
        <w:tc>
          <w:tcPr>
            <w:tcW w:w="2721" w:type="dxa"/>
          </w:tcPr>
          <w:p w14:paraId="3B6E6DDE" w14:textId="77777777" w:rsidR="00142196" w:rsidRPr="003C4258" w:rsidRDefault="00142196" w:rsidP="003960E9">
            <w:pPr>
              <w:pStyle w:val="Tabletext0"/>
              <w:spacing w:before="0"/>
              <w:rPr>
                <w:color w:val="000000" w:themeColor="text1"/>
              </w:rPr>
            </w:pPr>
            <w:r w:rsidRPr="003C4258">
              <w:rPr>
                <w:color w:val="000000" w:themeColor="text1"/>
              </w:rPr>
              <w:t>Diagnostic costs</w:t>
            </w:r>
          </w:p>
        </w:tc>
        <w:tc>
          <w:tcPr>
            <w:tcW w:w="1905" w:type="dxa"/>
          </w:tcPr>
          <w:p w14:paraId="1679A2CF" w14:textId="77777777" w:rsidR="00142196" w:rsidRPr="003C4258" w:rsidRDefault="00142196" w:rsidP="003960E9">
            <w:pPr>
              <w:pStyle w:val="Tabletext0"/>
              <w:spacing w:before="0"/>
              <w:rPr>
                <w:color w:val="000000" w:themeColor="text1"/>
              </w:rPr>
            </w:pPr>
            <w:r w:rsidRPr="003C4258">
              <w:rPr>
                <w:color w:val="000000" w:themeColor="text1"/>
              </w:rPr>
              <w:t>$497.13</w:t>
            </w:r>
          </w:p>
        </w:tc>
        <w:tc>
          <w:tcPr>
            <w:tcW w:w="2016" w:type="dxa"/>
          </w:tcPr>
          <w:p w14:paraId="5367ABC6" w14:textId="77777777" w:rsidR="00142196" w:rsidRPr="003C4258" w:rsidRDefault="00142196" w:rsidP="003960E9">
            <w:pPr>
              <w:pStyle w:val="Tabletext0"/>
              <w:spacing w:before="0"/>
              <w:rPr>
                <w:color w:val="000000" w:themeColor="text1"/>
              </w:rPr>
            </w:pPr>
            <w:r w:rsidRPr="003C4258">
              <w:rPr>
                <w:color w:val="000000" w:themeColor="text1"/>
              </w:rPr>
              <w:t>$0</w:t>
            </w:r>
          </w:p>
        </w:tc>
        <w:tc>
          <w:tcPr>
            <w:tcW w:w="2385" w:type="dxa"/>
          </w:tcPr>
          <w:p w14:paraId="4B35BD32" w14:textId="77777777" w:rsidR="00142196" w:rsidRPr="003C4258" w:rsidRDefault="00142196" w:rsidP="003960E9">
            <w:pPr>
              <w:pStyle w:val="Tabletext0"/>
              <w:spacing w:before="0"/>
              <w:rPr>
                <w:color w:val="000000" w:themeColor="text1"/>
              </w:rPr>
            </w:pPr>
            <w:r w:rsidRPr="003C4258">
              <w:rPr>
                <w:color w:val="000000" w:themeColor="text1"/>
              </w:rPr>
              <w:t>$497.13</w:t>
            </w:r>
          </w:p>
        </w:tc>
      </w:tr>
      <w:tr w:rsidR="00142196" w:rsidRPr="004C2BD0" w14:paraId="6CB8C1B5" w14:textId="77777777" w:rsidTr="00857A43">
        <w:trPr>
          <w:trHeight w:val="215"/>
        </w:trPr>
        <w:tc>
          <w:tcPr>
            <w:tcW w:w="2721" w:type="dxa"/>
          </w:tcPr>
          <w:p w14:paraId="333E34E8" w14:textId="77777777" w:rsidR="00142196" w:rsidRPr="003C4258" w:rsidRDefault="00142196" w:rsidP="003960E9">
            <w:pPr>
              <w:pStyle w:val="Tabletext0"/>
              <w:spacing w:before="0"/>
              <w:rPr>
                <w:color w:val="000000" w:themeColor="text1"/>
              </w:rPr>
            </w:pPr>
            <w:r w:rsidRPr="003C4258">
              <w:rPr>
                <w:color w:val="000000" w:themeColor="text1"/>
              </w:rPr>
              <w:t>Total costs</w:t>
            </w:r>
          </w:p>
        </w:tc>
        <w:tc>
          <w:tcPr>
            <w:tcW w:w="1905" w:type="dxa"/>
          </w:tcPr>
          <w:p w14:paraId="74807D8C" w14:textId="77777777" w:rsidR="00142196" w:rsidRPr="003C4258" w:rsidRDefault="00142196" w:rsidP="003960E9">
            <w:pPr>
              <w:pStyle w:val="Tabletext0"/>
              <w:spacing w:before="0"/>
              <w:rPr>
                <w:color w:val="000000" w:themeColor="text1"/>
              </w:rPr>
            </w:pPr>
            <w:r w:rsidRPr="003C4258">
              <w:rPr>
                <w:color w:val="000000" w:themeColor="text1"/>
              </w:rPr>
              <w:t>$497.13</w:t>
            </w:r>
          </w:p>
        </w:tc>
        <w:tc>
          <w:tcPr>
            <w:tcW w:w="2016" w:type="dxa"/>
          </w:tcPr>
          <w:p w14:paraId="005D58D4" w14:textId="77777777" w:rsidR="00142196" w:rsidRPr="003C4258" w:rsidRDefault="00142196" w:rsidP="003960E9">
            <w:pPr>
              <w:pStyle w:val="Tabletext0"/>
              <w:spacing w:before="0"/>
              <w:rPr>
                <w:color w:val="000000" w:themeColor="text1"/>
              </w:rPr>
            </w:pPr>
            <w:r w:rsidRPr="003C4258">
              <w:rPr>
                <w:color w:val="000000" w:themeColor="text1"/>
              </w:rPr>
              <w:t>$0</w:t>
            </w:r>
          </w:p>
        </w:tc>
        <w:tc>
          <w:tcPr>
            <w:tcW w:w="2385" w:type="dxa"/>
          </w:tcPr>
          <w:p w14:paraId="18255EF6" w14:textId="77777777" w:rsidR="00142196" w:rsidRPr="003C4258" w:rsidRDefault="00142196" w:rsidP="003960E9">
            <w:pPr>
              <w:pStyle w:val="Tabletext0"/>
              <w:spacing w:before="0"/>
              <w:rPr>
                <w:color w:val="000000" w:themeColor="text1"/>
              </w:rPr>
            </w:pPr>
            <w:r w:rsidRPr="003C4258">
              <w:rPr>
                <w:color w:val="000000" w:themeColor="text1"/>
              </w:rPr>
              <w:t>$497.13</w:t>
            </w:r>
          </w:p>
        </w:tc>
      </w:tr>
      <w:tr w:rsidR="00142196" w:rsidRPr="004C2BD0" w14:paraId="232C2577" w14:textId="77777777" w:rsidTr="00857A43">
        <w:trPr>
          <w:trHeight w:val="215"/>
        </w:trPr>
        <w:tc>
          <w:tcPr>
            <w:tcW w:w="2721" w:type="dxa"/>
            <w:hideMark/>
          </w:tcPr>
          <w:p w14:paraId="06EC29C2" w14:textId="77777777" w:rsidR="00142196" w:rsidRPr="003C4258" w:rsidRDefault="00142196" w:rsidP="003960E9">
            <w:pPr>
              <w:pStyle w:val="Tabletext0"/>
              <w:spacing w:before="0"/>
              <w:rPr>
                <w:color w:val="000000" w:themeColor="text1"/>
              </w:rPr>
            </w:pPr>
            <w:r w:rsidRPr="003C4258">
              <w:rPr>
                <w:color w:val="000000" w:themeColor="text1"/>
              </w:rPr>
              <w:t>Diagnosis</w:t>
            </w:r>
          </w:p>
        </w:tc>
        <w:tc>
          <w:tcPr>
            <w:tcW w:w="1905" w:type="dxa"/>
          </w:tcPr>
          <w:p w14:paraId="2D0ABDD6" w14:textId="77777777" w:rsidR="00142196" w:rsidRPr="003C4258" w:rsidRDefault="00142196" w:rsidP="003960E9">
            <w:pPr>
              <w:pStyle w:val="Tabletext0"/>
              <w:spacing w:before="0"/>
              <w:rPr>
                <w:color w:val="000000" w:themeColor="text1"/>
              </w:rPr>
            </w:pPr>
            <w:r w:rsidRPr="003C4258">
              <w:rPr>
                <w:color w:val="000000" w:themeColor="text1"/>
              </w:rPr>
              <w:t>0.1178</w:t>
            </w:r>
          </w:p>
        </w:tc>
        <w:tc>
          <w:tcPr>
            <w:tcW w:w="2016" w:type="dxa"/>
          </w:tcPr>
          <w:p w14:paraId="102183BA" w14:textId="77777777" w:rsidR="00142196" w:rsidRPr="003C4258" w:rsidRDefault="00142196" w:rsidP="003960E9">
            <w:pPr>
              <w:pStyle w:val="Tabletext0"/>
              <w:spacing w:before="0"/>
              <w:rPr>
                <w:color w:val="000000" w:themeColor="text1"/>
              </w:rPr>
            </w:pPr>
            <w:r w:rsidRPr="003C4258">
              <w:rPr>
                <w:color w:val="000000" w:themeColor="text1"/>
              </w:rPr>
              <w:t>0</w:t>
            </w:r>
          </w:p>
        </w:tc>
        <w:tc>
          <w:tcPr>
            <w:tcW w:w="2385" w:type="dxa"/>
          </w:tcPr>
          <w:p w14:paraId="70C726E5" w14:textId="77777777" w:rsidR="00142196" w:rsidRPr="003C4258" w:rsidRDefault="00142196" w:rsidP="003960E9">
            <w:pPr>
              <w:pStyle w:val="Tabletext0"/>
              <w:spacing w:before="0"/>
              <w:rPr>
                <w:color w:val="000000" w:themeColor="text1"/>
              </w:rPr>
            </w:pPr>
            <w:r w:rsidRPr="003C4258">
              <w:rPr>
                <w:color w:val="000000" w:themeColor="text1"/>
              </w:rPr>
              <w:t>0.1178</w:t>
            </w:r>
          </w:p>
        </w:tc>
      </w:tr>
      <w:tr w:rsidR="00142196" w:rsidRPr="004C2BD0" w14:paraId="14D130B7" w14:textId="77777777" w:rsidTr="00857A43">
        <w:trPr>
          <w:trHeight w:val="215"/>
        </w:trPr>
        <w:tc>
          <w:tcPr>
            <w:tcW w:w="2721" w:type="dxa"/>
            <w:hideMark/>
          </w:tcPr>
          <w:p w14:paraId="6FA60CE3" w14:textId="77777777" w:rsidR="00142196" w:rsidRPr="003C4258" w:rsidRDefault="00142196" w:rsidP="003960E9">
            <w:pPr>
              <w:pStyle w:val="Tabletext0"/>
              <w:spacing w:before="0"/>
              <w:rPr>
                <w:color w:val="000000" w:themeColor="text1"/>
              </w:rPr>
            </w:pPr>
            <w:r w:rsidRPr="003C4258">
              <w:rPr>
                <w:color w:val="000000" w:themeColor="text1"/>
              </w:rPr>
              <w:t>Treatment de-escalation</w:t>
            </w:r>
          </w:p>
        </w:tc>
        <w:tc>
          <w:tcPr>
            <w:tcW w:w="1905" w:type="dxa"/>
          </w:tcPr>
          <w:p w14:paraId="50494551" w14:textId="77777777" w:rsidR="00142196" w:rsidRPr="003C4258" w:rsidRDefault="00142196" w:rsidP="003960E9">
            <w:pPr>
              <w:pStyle w:val="Tabletext0"/>
              <w:spacing w:before="0"/>
              <w:rPr>
                <w:color w:val="000000" w:themeColor="text1"/>
              </w:rPr>
            </w:pPr>
            <w:r w:rsidRPr="003C4258">
              <w:rPr>
                <w:color w:val="000000" w:themeColor="text1"/>
              </w:rPr>
              <w:t>0</w:t>
            </w:r>
          </w:p>
        </w:tc>
        <w:tc>
          <w:tcPr>
            <w:tcW w:w="2016" w:type="dxa"/>
          </w:tcPr>
          <w:p w14:paraId="25F52126" w14:textId="77777777" w:rsidR="00142196" w:rsidRPr="003C4258" w:rsidRDefault="00142196" w:rsidP="003960E9">
            <w:pPr>
              <w:pStyle w:val="Tabletext0"/>
              <w:spacing w:before="0"/>
              <w:rPr>
                <w:color w:val="000000" w:themeColor="text1"/>
              </w:rPr>
            </w:pPr>
            <w:r w:rsidRPr="003C4258">
              <w:rPr>
                <w:color w:val="000000" w:themeColor="text1"/>
              </w:rPr>
              <w:t>0</w:t>
            </w:r>
          </w:p>
        </w:tc>
        <w:tc>
          <w:tcPr>
            <w:tcW w:w="2385" w:type="dxa"/>
          </w:tcPr>
          <w:p w14:paraId="480577C9" w14:textId="77777777" w:rsidR="00142196" w:rsidRPr="003C4258" w:rsidRDefault="00142196" w:rsidP="003960E9">
            <w:pPr>
              <w:pStyle w:val="Tabletext0"/>
              <w:spacing w:before="0"/>
              <w:rPr>
                <w:color w:val="000000" w:themeColor="text1"/>
              </w:rPr>
            </w:pPr>
            <w:r w:rsidRPr="003C4258">
              <w:rPr>
                <w:color w:val="000000" w:themeColor="text1"/>
              </w:rPr>
              <w:t>0</w:t>
            </w:r>
          </w:p>
        </w:tc>
      </w:tr>
      <w:tr w:rsidR="00142196" w:rsidRPr="004C2BD0" w14:paraId="3295F662" w14:textId="77777777" w:rsidTr="00857A43">
        <w:trPr>
          <w:trHeight w:val="215"/>
        </w:trPr>
        <w:tc>
          <w:tcPr>
            <w:tcW w:w="6642" w:type="dxa"/>
            <w:gridSpan w:val="3"/>
          </w:tcPr>
          <w:p w14:paraId="38469607" w14:textId="77777777" w:rsidR="00142196" w:rsidRPr="003C4258" w:rsidRDefault="00142196" w:rsidP="003960E9">
            <w:pPr>
              <w:pStyle w:val="Tabletext0"/>
              <w:spacing w:before="0"/>
              <w:rPr>
                <w:color w:val="000000" w:themeColor="text1"/>
              </w:rPr>
            </w:pPr>
            <w:r w:rsidRPr="003C4258">
              <w:rPr>
                <w:color w:val="000000" w:themeColor="text1"/>
              </w:rPr>
              <w:t xml:space="preserve">Incremental diagnostic cost per patient with </w:t>
            </w:r>
            <w:r w:rsidRPr="003C4258">
              <w:rPr>
                <w:i/>
                <w:color w:val="000000" w:themeColor="text1"/>
              </w:rPr>
              <w:t>POLE</w:t>
            </w:r>
            <w:r w:rsidRPr="003C4258">
              <w:rPr>
                <w:color w:val="000000" w:themeColor="text1"/>
              </w:rPr>
              <w:t>mut</w:t>
            </w:r>
          </w:p>
        </w:tc>
        <w:tc>
          <w:tcPr>
            <w:tcW w:w="2385" w:type="dxa"/>
          </w:tcPr>
          <w:p w14:paraId="06F65134" w14:textId="77777777" w:rsidR="00142196" w:rsidRPr="003C4258" w:rsidRDefault="00142196" w:rsidP="003960E9">
            <w:pPr>
              <w:pStyle w:val="Tabletext0"/>
              <w:spacing w:before="0"/>
              <w:rPr>
                <w:color w:val="000000" w:themeColor="text1"/>
              </w:rPr>
            </w:pPr>
            <w:r w:rsidRPr="003C4258">
              <w:rPr>
                <w:color w:val="000000" w:themeColor="text1"/>
              </w:rPr>
              <w:t>$4,221.27</w:t>
            </w:r>
          </w:p>
        </w:tc>
      </w:tr>
      <w:tr w:rsidR="00142196" w:rsidRPr="004C2BD0" w14:paraId="3E48523E" w14:textId="77777777" w:rsidTr="00857A43">
        <w:trPr>
          <w:trHeight w:val="215"/>
        </w:trPr>
        <w:tc>
          <w:tcPr>
            <w:tcW w:w="6642" w:type="dxa"/>
            <w:gridSpan w:val="3"/>
          </w:tcPr>
          <w:p w14:paraId="3E19D3CF" w14:textId="77777777" w:rsidR="00142196" w:rsidRPr="003C4258" w:rsidRDefault="00142196" w:rsidP="003960E9">
            <w:pPr>
              <w:pStyle w:val="Tabletext0"/>
              <w:spacing w:before="0"/>
              <w:rPr>
                <w:color w:val="000000" w:themeColor="text1"/>
              </w:rPr>
            </w:pPr>
            <w:r w:rsidRPr="003C4258">
              <w:rPr>
                <w:color w:val="000000" w:themeColor="text1"/>
              </w:rPr>
              <w:t>Incremental cost per patient undergoing adjuvant therapy de-escalation</w:t>
            </w:r>
          </w:p>
        </w:tc>
        <w:tc>
          <w:tcPr>
            <w:tcW w:w="2385" w:type="dxa"/>
          </w:tcPr>
          <w:p w14:paraId="7FDF8D9A" w14:textId="77777777" w:rsidR="00142196" w:rsidRPr="003C4258" w:rsidRDefault="00142196" w:rsidP="003960E9">
            <w:pPr>
              <w:pStyle w:val="Tabletext0"/>
              <w:spacing w:before="0"/>
              <w:rPr>
                <w:color w:val="000000" w:themeColor="text1"/>
              </w:rPr>
            </w:pPr>
            <w:r w:rsidRPr="003C4258">
              <w:rPr>
                <w:color w:val="000000" w:themeColor="text1"/>
              </w:rPr>
              <w:t>NA</w:t>
            </w:r>
            <w:r w:rsidRPr="003C4258">
              <w:rPr>
                <w:color w:val="000000" w:themeColor="text1"/>
                <w:vertAlign w:val="superscript"/>
              </w:rPr>
              <w:t>a</w:t>
            </w:r>
          </w:p>
        </w:tc>
      </w:tr>
      <w:tr w:rsidR="00142196" w:rsidRPr="00446305" w14:paraId="359F2E26" w14:textId="77777777" w:rsidTr="00857A43">
        <w:trPr>
          <w:trHeight w:val="300"/>
        </w:trPr>
        <w:tc>
          <w:tcPr>
            <w:tcW w:w="9027" w:type="dxa"/>
            <w:gridSpan w:val="4"/>
          </w:tcPr>
          <w:p w14:paraId="7787F3C1" w14:textId="14961FF5" w:rsidR="00142196" w:rsidRPr="003C4258" w:rsidRDefault="00142196" w:rsidP="003960E9">
            <w:pPr>
              <w:pStyle w:val="Tabletext0"/>
              <w:spacing w:before="0"/>
              <w:rPr>
                <w:b/>
                <w:color w:val="000000" w:themeColor="text1"/>
              </w:rPr>
            </w:pPr>
            <w:r>
              <w:rPr>
                <w:b/>
                <w:color w:val="000000" w:themeColor="text1"/>
              </w:rPr>
              <w:t>S</w:t>
            </w:r>
            <w:r w:rsidRPr="003C4258">
              <w:rPr>
                <w:b/>
                <w:color w:val="000000" w:themeColor="text1"/>
              </w:rPr>
              <w:t>ubgroups 2 and 7</w:t>
            </w:r>
          </w:p>
        </w:tc>
      </w:tr>
      <w:tr w:rsidR="00142196" w:rsidRPr="00D91F49" w14:paraId="672D992F" w14:textId="77777777" w:rsidTr="00857A43">
        <w:trPr>
          <w:trHeight w:val="300"/>
        </w:trPr>
        <w:tc>
          <w:tcPr>
            <w:tcW w:w="2721" w:type="dxa"/>
          </w:tcPr>
          <w:p w14:paraId="36BA252C" w14:textId="77777777" w:rsidR="00142196" w:rsidRPr="003C4258" w:rsidRDefault="00142196" w:rsidP="003960E9">
            <w:pPr>
              <w:pStyle w:val="Tabletext0"/>
              <w:spacing w:before="0"/>
              <w:rPr>
                <w:color w:val="000000" w:themeColor="text1"/>
              </w:rPr>
            </w:pPr>
            <w:r w:rsidRPr="003C4258">
              <w:rPr>
                <w:color w:val="000000" w:themeColor="text1"/>
              </w:rPr>
              <w:t>Diagnostic costs</w:t>
            </w:r>
          </w:p>
        </w:tc>
        <w:tc>
          <w:tcPr>
            <w:tcW w:w="1905" w:type="dxa"/>
          </w:tcPr>
          <w:p w14:paraId="1E30D9C2" w14:textId="77777777" w:rsidR="00142196" w:rsidRPr="003C4258" w:rsidRDefault="00142196" w:rsidP="003960E9">
            <w:pPr>
              <w:pStyle w:val="Tabletext0"/>
              <w:spacing w:before="0"/>
              <w:rPr>
                <w:color w:val="000000" w:themeColor="text1"/>
              </w:rPr>
            </w:pPr>
            <w:r w:rsidRPr="003C4258">
              <w:rPr>
                <w:color w:val="000000" w:themeColor="text1"/>
              </w:rPr>
              <w:t>$497.13</w:t>
            </w:r>
          </w:p>
        </w:tc>
        <w:tc>
          <w:tcPr>
            <w:tcW w:w="2016" w:type="dxa"/>
          </w:tcPr>
          <w:p w14:paraId="531EB9F9" w14:textId="77777777" w:rsidR="00142196" w:rsidRPr="003C4258" w:rsidRDefault="00142196" w:rsidP="003960E9">
            <w:pPr>
              <w:pStyle w:val="Tabletext0"/>
              <w:spacing w:before="0"/>
              <w:rPr>
                <w:color w:val="000000" w:themeColor="text1"/>
              </w:rPr>
            </w:pPr>
            <w:r w:rsidRPr="003C4258">
              <w:rPr>
                <w:color w:val="000000" w:themeColor="text1"/>
              </w:rPr>
              <w:t>$0</w:t>
            </w:r>
          </w:p>
        </w:tc>
        <w:tc>
          <w:tcPr>
            <w:tcW w:w="2385" w:type="dxa"/>
          </w:tcPr>
          <w:p w14:paraId="5CD15EC5" w14:textId="77777777" w:rsidR="00142196" w:rsidRPr="003C4258" w:rsidRDefault="00142196" w:rsidP="003960E9">
            <w:pPr>
              <w:pStyle w:val="Tabletext0"/>
              <w:spacing w:before="0"/>
              <w:rPr>
                <w:color w:val="000000" w:themeColor="text1"/>
              </w:rPr>
            </w:pPr>
            <w:r w:rsidRPr="003C4258">
              <w:rPr>
                <w:color w:val="000000" w:themeColor="text1"/>
              </w:rPr>
              <w:t>$497.13</w:t>
            </w:r>
          </w:p>
        </w:tc>
      </w:tr>
      <w:tr w:rsidR="00142196" w:rsidRPr="004C2BD0" w14:paraId="0E9DD597" w14:textId="77777777" w:rsidTr="00857A43">
        <w:trPr>
          <w:trHeight w:val="215"/>
        </w:trPr>
        <w:tc>
          <w:tcPr>
            <w:tcW w:w="2721" w:type="dxa"/>
          </w:tcPr>
          <w:p w14:paraId="5B5A964F" w14:textId="77777777" w:rsidR="00142196" w:rsidRPr="003C4258" w:rsidRDefault="00142196" w:rsidP="003960E9">
            <w:pPr>
              <w:pStyle w:val="Tabletext0"/>
              <w:spacing w:before="0"/>
              <w:rPr>
                <w:color w:val="000000" w:themeColor="text1"/>
              </w:rPr>
            </w:pPr>
            <w:r w:rsidRPr="003C4258">
              <w:rPr>
                <w:color w:val="000000" w:themeColor="text1"/>
              </w:rPr>
              <w:t>Total costs</w:t>
            </w:r>
          </w:p>
        </w:tc>
        <w:tc>
          <w:tcPr>
            <w:tcW w:w="1905" w:type="dxa"/>
          </w:tcPr>
          <w:p w14:paraId="3D4546AA" w14:textId="77777777" w:rsidR="00142196" w:rsidRPr="003C4258" w:rsidRDefault="00142196" w:rsidP="003960E9">
            <w:pPr>
              <w:pStyle w:val="Tabletext0"/>
              <w:spacing w:before="0"/>
              <w:rPr>
                <w:color w:val="000000" w:themeColor="text1"/>
              </w:rPr>
            </w:pPr>
            <w:r w:rsidRPr="003C4258">
              <w:rPr>
                <w:color w:val="000000" w:themeColor="text1"/>
              </w:rPr>
              <w:t>$1,432.53</w:t>
            </w:r>
          </w:p>
        </w:tc>
        <w:tc>
          <w:tcPr>
            <w:tcW w:w="2016" w:type="dxa"/>
          </w:tcPr>
          <w:p w14:paraId="25B4CC2A" w14:textId="77777777" w:rsidR="00142196" w:rsidRPr="003C4258" w:rsidRDefault="00142196" w:rsidP="003960E9">
            <w:pPr>
              <w:pStyle w:val="Tabletext0"/>
              <w:spacing w:before="0"/>
              <w:rPr>
                <w:color w:val="000000" w:themeColor="text1"/>
              </w:rPr>
            </w:pPr>
            <w:r w:rsidRPr="003C4258">
              <w:rPr>
                <w:color w:val="000000" w:themeColor="text1"/>
              </w:rPr>
              <w:t>$991.48</w:t>
            </w:r>
          </w:p>
        </w:tc>
        <w:tc>
          <w:tcPr>
            <w:tcW w:w="2385" w:type="dxa"/>
          </w:tcPr>
          <w:p w14:paraId="24092A05" w14:textId="77777777" w:rsidR="00142196" w:rsidRPr="003C4258" w:rsidRDefault="00142196" w:rsidP="003960E9">
            <w:pPr>
              <w:pStyle w:val="Tabletext0"/>
              <w:spacing w:before="0"/>
              <w:rPr>
                <w:color w:val="000000" w:themeColor="text1"/>
              </w:rPr>
            </w:pPr>
            <w:r w:rsidRPr="003C4258">
              <w:rPr>
                <w:color w:val="000000" w:themeColor="text1"/>
              </w:rPr>
              <w:t>$441.05</w:t>
            </w:r>
          </w:p>
        </w:tc>
      </w:tr>
      <w:tr w:rsidR="00142196" w:rsidRPr="004C2BD0" w14:paraId="5EA4841D" w14:textId="77777777" w:rsidTr="00857A43">
        <w:trPr>
          <w:trHeight w:val="215"/>
        </w:trPr>
        <w:tc>
          <w:tcPr>
            <w:tcW w:w="2721" w:type="dxa"/>
            <w:hideMark/>
          </w:tcPr>
          <w:p w14:paraId="5817B82D" w14:textId="77777777" w:rsidR="00142196" w:rsidRPr="003C4258" w:rsidRDefault="00142196" w:rsidP="003960E9">
            <w:pPr>
              <w:pStyle w:val="Tabletext0"/>
              <w:spacing w:before="0"/>
              <w:rPr>
                <w:color w:val="000000" w:themeColor="text1"/>
              </w:rPr>
            </w:pPr>
            <w:r w:rsidRPr="003C4258">
              <w:rPr>
                <w:color w:val="000000" w:themeColor="text1"/>
              </w:rPr>
              <w:t>Diagnosis</w:t>
            </w:r>
          </w:p>
        </w:tc>
        <w:tc>
          <w:tcPr>
            <w:tcW w:w="1905" w:type="dxa"/>
          </w:tcPr>
          <w:p w14:paraId="21018AA3" w14:textId="77777777" w:rsidR="00142196" w:rsidRPr="003C4258" w:rsidRDefault="00142196" w:rsidP="003960E9">
            <w:pPr>
              <w:pStyle w:val="Tabletext0"/>
              <w:spacing w:before="0"/>
              <w:rPr>
                <w:color w:val="000000" w:themeColor="text1"/>
              </w:rPr>
            </w:pPr>
            <w:r w:rsidRPr="003C4258">
              <w:rPr>
                <w:color w:val="000000" w:themeColor="text1"/>
              </w:rPr>
              <w:t>0.1202</w:t>
            </w:r>
          </w:p>
        </w:tc>
        <w:tc>
          <w:tcPr>
            <w:tcW w:w="2016" w:type="dxa"/>
          </w:tcPr>
          <w:p w14:paraId="53306575" w14:textId="77777777" w:rsidR="00142196" w:rsidRPr="003C4258" w:rsidRDefault="00142196" w:rsidP="003960E9">
            <w:pPr>
              <w:pStyle w:val="Tabletext0"/>
              <w:spacing w:before="0"/>
              <w:rPr>
                <w:color w:val="000000" w:themeColor="text1"/>
              </w:rPr>
            </w:pPr>
            <w:r w:rsidRPr="003C4258">
              <w:rPr>
                <w:color w:val="000000" w:themeColor="text1"/>
              </w:rPr>
              <w:t>0</w:t>
            </w:r>
          </w:p>
        </w:tc>
        <w:tc>
          <w:tcPr>
            <w:tcW w:w="2385" w:type="dxa"/>
          </w:tcPr>
          <w:p w14:paraId="02B115F8" w14:textId="77777777" w:rsidR="00142196" w:rsidRPr="003C4258" w:rsidRDefault="00142196" w:rsidP="003960E9">
            <w:pPr>
              <w:pStyle w:val="Tabletext0"/>
              <w:spacing w:before="0"/>
              <w:rPr>
                <w:color w:val="000000" w:themeColor="text1"/>
              </w:rPr>
            </w:pPr>
            <w:r w:rsidRPr="003C4258">
              <w:rPr>
                <w:color w:val="000000" w:themeColor="text1"/>
              </w:rPr>
              <w:t>0.1202</w:t>
            </w:r>
          </w:p>
        </w:tc>
      </w:tr>
      <w:tr w:rsidR="00142196" w:rsidRPr="004C2BD0" w14:paraId="43E7DF7F" w14:textId="77777777" w:rsidTr="00857A43">
        <w:trPr>
          <w:trHeight w:val="215"/>
        </w:trPr>
        <w:tc>
          <w:tcPr>
            <w:tcW w:w="2721" w:type="dxa"/>
            <w:hideMark/>
          </w:tcPr>
          <w:p w14:paraId="686D2F24" w14:textId="77777777" w:rsidR="00142196" w:rsidRPr="003C4258" w:rsidRDefault="00142196" w:rsidP="003960E9">
            <w:pPr>
              <w:pStyle w:val="Tabletext0"/>
              <w:spacing w:before="0"/>
              <w:rPr>
                <w:color w:val="000000" w:themeColor="text1"/>
              </w:rPr>
            </w:pPr>
            <w:r w:rsidRPr="003C4258">
              <w:rPr>
                <w:color w:val="000000" w:themeColor="text1"/>
              </w:rPr>
              <w:t>Treatment de-escalation</w:t>
            </w:r>
          </w:p>
        </w:tc>
        <w:tc>
          <w:tcPr>
            <w:tcW w:w="1905" w:type="dxa"/>
          </w:tcPr>
          <w:p w14:paraId="3FB66A6B" w14:textId="77777777" w:rsidR="00142196" w:rsidRPr="003C4258" w:rsidRDefault="00142196" w:rsidP="003960E9">
            <w:pPr>
              <w:pStyle w:val="Tabletext0"/>
              <w:spacing w:before="0"/>
              <w:rPr>
                <w:color w:val="000000" w:themeColor="text1"/>
              </w:rPr>
            </w:pPr>
            <w:r w:rsidRPr="003C4258">
              <w:rPr>
                <w:color w:val="000000" w:themeColor="text1"/>
              </w:rPr>
              <w:t>0.0164</w:t>
            </w:r>
          </w:p>
        </w:tc>
        <w:tc>
          <w:tcPr>
            <w:tcW w:w="2016" w:type="dxa"/>
          </w:tcPr>
          <w:p w14:paraId="541D6BC1" w14:textId="77777777" w:rsidR="00142196" w:rsidRPr="003C4258" w:rsidRDefault="00142196" w:rsidP="003960E9">
            <w:pPr>
              <w:pStyle w:val="Tabletext0"/>
              <w:spacing w:before="0"/>
              <w:rPr>
                <w:color w:val="000000" w:themeColor="text1"/>
              </w:rPr>
            </w:pPr>
            <w:r w:rsidRPr="003C4258">
              <w:rPr>
                <w:color w:val="000000" w:themeColor="text1"/>
              </w:rPr>
              <w:t>0</w:t>
            </w:r>
          </w:p>
        </w:tc>
        <w:tc>
          <w:tcPr>
            <w:tcW w:w="2385" w:type="dxa"/>
          </w:tcPr>
          <w:p w14:paraId="07BB9FA3" w14:textId="77777777" w:rsidR="00142196" w:rsidRPr="003C4258" w:rsidRDefault="00142196" w:rsidP="003960E9">
            <w:pPr>
              <w:pStyle w:val="Tabletext0"/>
              <w:spacing w:before="0"/>
              <w:rPr>
                <w:color w:val="000000" w:themeColor="text1"/>
              </w:rPr>
            </w:pPr>
            <w:r w:rsidRPr="003C4258">
              <w:rPr>
                <w:color w:val="000000" w:themeColor="text1"/>
              </w:rPr>
              <w:t>0.0164</w:t>
            </w:r>
          </w:p>
        </w:tc>
      </w:tr>
      <w:tr w:rsidR="00142196" w:rsidRPr="004C2BD0" w14:paraId="11C86AB5" w14:textId="77777777" w:rsidTr="00857A43">
        <w:trPr>
          <w:trHeight w:val="215"/>
        </w:trPr>
        <w:tc>
          <w:tcPr>
            <w:tcW w:w="6642" w:type="dxa"/>
            <w:gridSpan w:val="3"/>
          </w:tcPr>
          <w:p w14:paraId="3175D637" w14:textId="77777777" w:rsidR="00142196" w:rsidRPr="003C4258" w:rsidRDefault="00142196" w:rsidP="003960E9">
            <w:pPr>
              <w:pStyle w:val="Tabletext0"/>
              <w:spacing w:before="0"/>
              <w:rPr>
                <w:color w:val="000000" w:themeColor="text1"/>
              </w:rPr>
            </w:pPr>
            <w:r w:rsidRPr="003C4258">
              <w:rPr>
                <w:color w:val="000000" w:themeColor="text1"/>
              </w:rPr>
              <w:t xml:space="preserve">Incremental diagnostic cost per patient with </w:t>
            </w:r>
            <w:r w:rsidRPr="003C4258">
              <w:rPr>
                <w:i/>
                <w:color w:val="000000" w:themeColor="text1"/>
              </w:rPr>
              <w:t>POLE</w:t>
            </w:r>
            <w:r w:rsidRPr="003C4258">
              <w:rPr>
                <w:color w:val="000000" w:themeColor="text1"/>
              </w:rPr>
              <w:t>mut</w:t>
            </w:r>
          </w:p>
        </w:tc>
        <w:tc>
          <w:tcPr>
            <w:tcW w:w="2385" w:type="dxa"/>
          </w:tcPr>
          <w:p w14:paraId="10A7D5F9" w14:textId="77777777" w:rsidR="00142196" w:rsidRPr="003C4258" w:rsidRDefault="00142196" w:rsidP="003960E9">
            <w:pPr>
              <w:pStyle w:val="Tabletext0"/>
              <w:spacing w:before="0"/>
              <w:rPr>
                <w:color w:val="000000" w:themeColor="text1"/>
              </w:rPr>
            </w:pPr>
            <w:r w:rsidRPr="003C4258">
              <w:rPr>
                <w:color w:val="000000" w:themeColor="text1"/>
              </w:rPr>
              <w:t>$4,136.03</w:t>
            </w:r>
          </w:p>
        </w:tc>
      </w:tr>
      <w:tr w:rsidR="00142196" w:rsidRPr="004C2BD0" w14:paraId="20E30BE2" w14:textId="77777777" w:rsidTr="00857A43">
        <w:trPr>
          <w:trHeight w:val="215"/>
        </w:trPr>
        <w:tc>
          <w:tcPr>
            <w:tcW w:w="6642" w:type="dxa"/>
            <w:gridSpan w:val="3"/>
          </w:tcPr>
          <w:p w14:paraId="50B24C8A" w14:textId="77777777" w:rsidR="00142196" w:rsidRPr="003C4258" w:rsidRDefault="00142196" w:rsidP="003960E9">
            <w:pPr>
              <w:pStyle w:val="Tabletext0"/>
              <w:spacing w:before="0"/>
              <w:rPr>
                <w:color w:val="000000" w:themeColor="text1"/>
              </w:rPr>
            </w:pPr>
            <w:r w:rsidRPr="003C4258">
              <w:rPr>
                <w:color w:val="000000" w:themeColor="text1"/>
              </w:rPr>
              <w:t>Incremental cost per patient undergoing adjuvant therapy de-escalation</w:t>
            </w:r>
          </w:p>
        </w:tc>
        <w:tc>
          <w:tcPr>
            <w:tcW w:w="2385" w:type="dxa"/>
          </w:tcPr>
          <w:p w14:paraId="632F191B" w14:textId="77777777" w:rsidR="00142196" w:rsidRPr="003C4258" w:rsidRDefault="00142196" w:rsidP="003960E9">
            <w:pPr>
              <w:pStyle w:val="Tabletext0"/>
              <w:spacing w:before="0"/>
              <w:rPr>
                <w:color w:val="000000" w:themeColor="text1"/>
              </w:rPr>
            </w:pPr>
            <w:r w:rsidRPr="003C4258">
              <w:rPr>
                <w:color w:val="000000" w:themeColor="text1"/>
              </w:rPr>
              <w:t>$26,930.33</w:t>
            </w:r>
          </w:p>
        </w:tc>
      </w:tr>
    </w:tbl>
    <w:p w14:paraId="414BA63B" w14:textId="77777777" w:rsidR="00142196" w:rsidRPr="003C4258" w:rsidRDefault="00142196" w:rsidP="003960E9">
      <w:pPr>
        <w:pStyle w:val="Tablefooter0"/>
        <w:spacing w:line="240" w:lineRule="auto"/>
        <w:rPr>
          <w:color w:val="000000" w:themeColor="text1"/>
        </w:rPr>
      </w:pPr>
      <w:r w:rsidRPr="003C4258">
        <w:rPr>
          <w:color w:val="000000" w:themeColor="text1"/>
        </w:rPr>
        <w:t xml:space="preserve">Abbreviations: </w:t>
      </w:r>
      <w:r w:rsidRPr="003C4258">
        <w:rPr>
          <w:color w:val="000000" w:themeColor="text1"/>
          <w:lang w:val="en-US"/>
        </w:rPr>
        <w:t xml:space="preserve">NA = not applicable; </w:t>
      </w:r>
      <w:r w:rsidRPr="003C4258">
        <w:rPr>
          <w:i/>
          <w:color w:val="000000" w:themeColor="text1"/>
          <w:lang w:val="en-US"/>
        </w:rPr>
        <w:t>POLE</w:t>
      </w:r>
      <w:r w:rsidRPr="003C4258">
        <w:rPr>
          <w:color w:val="000000" w:themeColor="text1"/>
          <w:lang w:val="en-US"/>
        </w:rPr>
        <w:t xml:space="preserve"> = DNA polymerase epsilon, catalytic subunit</w:t>
      </w:r>
    </w:p>
    <w:p w14:paraId="0E350A11" w14:textId="77777777" w:rsidR="00142196" w:rsidRPr="003C4258" w:rsidRDefault="00142196" w:rsidP="003960E9">
      <w:pPr>
        <w:pStyle w:val="Tablefooter0"/>
        <w:spacing w:line="240" w:lineRule="auto"/>
        <w:rPr>
          <w:color w:val="000000" w:themeColor="text1"/>
          <w:lang w:val="en-US"/>
        </w:rPr>
      </w:pPr>
      <w:r w:rsidRPr="003C4258">
        <w:rPr>
          <w:color w:val="000000" w:themeColor="text1"/>
          <w:lang w:val="en-US"/>
        </w:rPr>
        <w:t>Subgroup 1: MMRd &amp; FIGO stage IA or IC</w:t>
      </w:r>
    </w:p>
    <w:p w14:paraId="23CFDF7B" w14:textId="77777777" w:rsidR="00142196" w:rsidRPr="003C4258" w:rsidRDefault="00142196" w:rsidP="003960E9">
      <w:pPr>
        <w:pStyle w:val="Tablefooter0"/>
        <w:spacing w:line="240" w:lineRule="auto"/>
        <w:rPr>
          <w:color w:val="000000" w:themeColor="text1"/>
          <w:lang w:val="en-US"/>
        </w:rPr>
      </w:pPr>
      <w:r w:rsidRPr="003C4258">
        <w:rPr>
          <w:color w:val="000000" w:themeColor="text1"/>
          <w:lang w:val="en-US"/>
        </w:rPr>
        <w:t>Subgroup 2: MMRd &amp; FIGO stage IB or II</w:t>
      </w:r>
    </w:p>
    <w:p w14:paraId="78BD3916" w14:textId="77777777" w:rsidR="00142196" w:rsidRPr="003C4258" w:rsidRDefault="00142196" w:rsidP="003960E9">
      <w:pPr>
        <w:pStyle w:val="Tablefooter0"/>
        <w:spacing w:line="240" w:lineRule="auto"/>
        <w:rPr>
          <w:color w:val="000000" w:themeColor="text1"/>
          <w:lang w:val="en-US"/>
        </w:rPr>
      </w:pPr>
      <w:r w:rsidRPr="003C4258">
        <w:rPr>
          <w:color w:val="000000" w:themeColor="text1"/>
          <w:lang w:val="en-US"/>
        </w:rPr>
        <w:t>Subgroup 7: MMRp &amp; p53wt &amp; low-grade disease &amp; ER+ &amp; FIGO stage IA</w:t>
      </w:r>
    </w:p>
    <w:p w14:paraId="0E44052B" w14:textId="3AFAB768" w:rsidR="00142196" w:rsidRPr="003C4258" w:rsidRDefault="00142196" w:rsidP="003960E9">
      <w:pPr>
        <w:pStyle w:val="Tablefooter0"/>
        <w:spacing w:line="240" w:lineRule="auto"/>
        <w:rPr>
          <w:color w:val="000000" w:themeColor="text1"/>
          <w:lang w:val="en-US"/>
        </w:rPr>
      </w:pPr>
      <w:r w:rsidRPr="003C4258">
        <w:rPr>
          <w:color w:val="000000" w:themeColor="text1"/>
          <w:lang w:val="en-US"/>
        </w:rPr>
        <w:t xml:space="preserve">Note: </w:t>
      </w:r>
      <w:r w:rsidRPr="003C4258">
        <w:rPr>
          <w:color w:val="000000" w:themeColor="text1"/>
          <w:vertAlign w:val="superscript"/>
          <w:lang w:val="en-US"/>
        </w:rPr>
        <w:t>a</w:t>
      </w:r>
      <w:r w:rsidRPr="003C4258">
        <w:rPr>
          <w:color w:val="000000" w:themeColor="text1"/>
          <w:lang w:val="en-US"/>
        </w:rPr>
        <w:t xml:space="preserve"> NA indicates that the calculation was not meaningful because the denominator was zero (there was no difference in effectiveness).</w:t>
      </w:r>
      <w:r w:rsidR="008B0C88">
        <w:rPr>
          <w:color w:val="000000" w:themeColor="text1"/>
          <w:lang w:val="en-US"/>
        </w:rPr>
        <w:br/>
      </w:r>
      <w:r w:rsidR="001C1BE5">
        <w:rPr>
          <w:color w:val="000000" w:themeColor="text1"/>
          <w:lang w:val="en-US"/>
        </w:rPr>
        <w:t xml:space="preserve">        </w:t>
      </w:r>
      <w:r w:rsidR="00E82DB7">
        <w:rPr>
          <w:color w:val="000000" w:themeColor="text1"/>
          <w:lang w:val="en-US"/>
        </w:rPr>
        <w:t xml:space="preserve">  </w:t>
      </w:r>
      <w:r w:rsidR="00CB7047">
        <w:rPr>
          <w:color w:val="000000" w:themeColor="text1"/>
          <w:lang w:val="en-US"/>
        </w:rPr>
        <w:t>MBS test f</w:t>
      </w:r>
      <w:r w:rsidR="00E82DB7">
        <w:rPr>
          <w:color w:val="000000" w:themeColor="text1"/>
          <w:lang w:val="en-US"/>
        </w:rPr>
        <w:t>e</w:t>
      </w:r>
      <w:r w:rsidR="00CB7047">
        <w:rPr>
          <w:color w:val="000000" w:themeColor="text1"/>
          <w:lang w:val="en-US"/>
        </w:rPr>
        <w:t xml:space="preserve">e of $497.13 </w:t>
      </w:r>
      <w:r w:rsidR="00E82DB7">
        <w:rPr>
          <w:color w:val="000000" w:themeColor="text1"/>
          <w:lang w:val="en-US"/>
        </w:rPr>
        <w:t>used</w:t>
      </w:r>
      <w:r w:rsidR="008060A4">
        <w:rPr>
          <w:color w:val="000000" w:themeColor="text1"/>
          <w:lang w:val="en-US"/>
        </w:rPr>
        <w:t xml:space="preserve"> for the results presented in the table</w:t>
      </w:r>
      <w:r w:rsidR="00EC4644">
        <w:rPr>
          <w:color w:val="000000" w:themeColor="text1"/>
          <w:lang w:val="en-US"/>
        </w:rPr>
        <w:t>.</w:t>
      </w:r>
    </w:p>
    <w:p w14:paraId="70FD5356" w14:textId="206478DC" w:rsidR="00142196" w:rsidRPr="003C4258" w:rsidRDefault="00246EDF" w:rsidP="00246EDF">
      <w:pPr>
        <w:pStyle w:val="Caption"/>
        <w:rPr>
          <w:color w:val="000000" w:themeColor="text1"/>
        </w:rPr>
      </w:pPr>
      <w:bookmarkStart w:id="88" w:name="_Ref223615363"/>
      <w:r>
        <w:lastRenderedPageBreak/>
        <w:t xml:space="preserve">Table </w:t>
      </w:r>
      <w:r>
        <w:fldChar w:fldCharType="begin"/>
      </w:r>
      <w:r>
        <w:instrText>SEQ Table \* ARABIC</w:instrText>
      </w:r>
      <w:r>
        <w:fldChar w:fldCharType="separate"/>
      </w:r>
      <w:r w:rsidR="00996E6E">
        <w:rPr>
          <w:noProof/>
        </w:rPr>
        <w:t>18</w:t>
      </w:r>
      <w:r>
        <w:fldChar w:fldCharType="end"/>
      </w:r>
      <w:bookmarkEnd w:id="88"/>
      <w:r>
        <w:t xml:space="preserve"> </w:t>
      </w:r>
      <w:r w:rsidR="00142196" w:rsidRPr="003C4258">
        <w:rPr>
          <w:color w:val="000000" w:themeColor="text1"/>
        </w:rPr>
        <w:t>Results of scenario analyses for the cost-utility analysis</w:t>
      </w:r>
      <w:r w:rsidR="00E2426E">
        <w:rPr>
          <w:color w:val="000000" w:themeColor="text1"/>
        </w:rPr>
        <w:t xml:space="preserve"> of subgroups 1&amp;7 and 2&amp;7</w:t>
      </w:r>
    </w:p>
    <w:tbl>
      <w:tblPr>
        <w:tblStyle w:val="TableGrid"/>
        <w:tblW w:w="8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003"/>
        <w:gridCol w:w="2049"/>
        <w:gridCol w:w="2324"/>
      </w:tblGrid>
      <w:tr w:rsidR="00B14621" w:rsidRPr="00283E8E" w14:paraId="52103687" w14:textId="77777777" w:rsidTr="00857A43">
        <w:trPr>
          <w:trHeight w:val="300"/>
          <w:tblHeader/>
        </w:trPr>
        <w:tc>
          <w:tcPr>
            <w:tcW w:w="2220" w:type="dxa"/>
            <w:shd w:val="clear" w:color="auto" w:fill="F2F2F2" w:themeFill="background1" w:themeFillShade="F2"/>
          </w:tcPr>
          <w:p w14:paraId="70E0FD26" w14:textId="77777777" w:rsidR="00B14621" w:rsidRPr="003C4258" w:rsidRDefault="00B14621">
            <w:pPr>
              <w:pStyle w:val="Tabletext0"/>
              <w:rPr>
                <w:b/>
                <w:color w:val="000000" w:themeColor="text1"/>
              </w:rPr>
            </w:pPr>
            <w:r w:rsidRPr="003C4258">
              <w:rPr>
                <w:b/>
                <w:color w:val="000000" w:themeColor="text1"/>
              </w:rPr>
              <w:t>Scenario</w:t>
            </w:r>
          </w:p>
        </w:tc>
        <w:tc>
          <w:tcPr>
            <w:tcW w:w="2003" w:type="dxa"/>
            <w:shd w:val="clear" w:color="auto" w:fill="F2F2F2" w:themeFill="background1" w:themeFillShade="F2"/>
          </w:tcPr>
          <w:p w14:paraId="025C8236" w14:textId="77777777" w:rsidR="00B14621" w:rsidRPr="003C4258" w:rsidRDefault="00B14621">
            <w:pPr>
              <w:pStyle w:val="Tabletext0"/>
              <w:rPr>
                <w:b/>
                <w:color w:val="000000" w:themeColor="text1"/>
              </w:rPr>
            </w:pPr>
            <w:r w:rsidRPr="003C4258">
              <w:rPr>
                <w:b/>
                <w:color w:val="000000" w:themeColor="text1"/>
              </w:rPr>
              <w:t>Incremental cost ($)</w:t>
            </w:r>
          </w:p>
        </w:tc>
        <w:tc>
          <w:tcPr>
            <w:tcW w:w="2049" w:type="dxa"/>
            <w:shd w:val="clear" w:color="auto" w:fill="F2F2F2" w:themeFill="background1" w:themeFillShade="F2"/>
          </w:tcPr>
          <w:p w14:paraId="31FBF835" w14:textId="77777777" w:rsidR="00B14621" w:rsidRPr="003C4258" w:rsidRDefault="00B14621">
            <w:pPr>
              <w:pStyle w:val="Tabletext0"/>
              <w:rPr>
                <w:b/>
                <w:color w:val="000000" w:themeColor="text1"/>
              </w:rPr>
            </w:pPr>
            <w:r w:rsidRPr="003C4258">
              <w:rPr>
                <w:b/>
                <w:color w:val="000000" w:themeColor="text1"/>
              </w:rPr>
              <w:t>Incremental QALYs</w:t>
            </w:r>
          </w:p>
        </w:tc>
        <w:tc>
          <w:tcPr>
            <w:tcW w:w="2324" w:type="dxa"/>
            <w:shd w:val="clear" w:color="auto" w:fill="F2F2F2" w:themeFill="background1" w:themeFillShade="F2"/>
          </w:tcPr>
          <w:p w14:paraId="2A6DD1A3" w14:textId="77777777" w:rsidR="00B14621" w:rsidRPr="003C4258" w:rsidRDefault="00B14621">
            <w:pPr>
              <w:pStyle w:val="Tabletext0"/>
              <w:jc w:val="left"/>
              <w:rPr>
                <w:b/>
                <w:color w:val="000000" w:themeColor="text1"/>
              </w:rPr>
            </w:pPr>
            <w:r w:rsidRPr="003C4258">
              <w:rPr>
                <w:b/>
                <w:color w:val="000000" w:themeColor="text1"/>
              </w:rPr>
              <w:t>ICER ($/QALY)</w:t>
            </w:r>
          </w:p>
        </w:tc>
      </w:tr>
      <w:tr w:rsidR="00B14621" w14:paraId="6AA642B5" w14:textId="77777777" w:rsidTr="00857A43">
        <w:trPr>
          <w:trHeight w:val="300"/>
        </w:trPr>
        <w:tc>
          <w:tcPr>
            <w:tcW w:w="2220" w:type="dxa"/>
          </w:tcPr>
          <w:p w14:paraId="0E816843" w14:textId="77777777" w:rsidR="00B14621" w:rsidRPr="003C4258" w:rsidRDefault="00B14621">
            <w:pPr>
              <w:pStyle w:val="Tabletext0"/>
              <w:rPr>
                <w:color w:val="000000" w:themeColor="text1"/>
              </w:rPr>
            </w:pPr>
            <w:r w:rsidRPr="003C4258">
              <w:rPr>
                <w:color w:val="000000" w:themeColor="text1"/>
              </w:rPr>
              <w:t>Base case</w:t>
            </w:r>
          </w:p>
        </w:tc>
        <w:tc>
          <w:tcPr>
            <w:tcW w:w="2003" w:type="dxa"/>
          </w:tcPr>
          <w:p w14:paraId="15898691" w14:textId="77777777" w:rsidR="00B14621" w:rsidRPr="003C4258" w:rsidRDefault="00B14621">
            <w:pPr>
              <w:pStyle w:val="Tabletext0"/>
              <w:rPr>
                <w:color w:val="000000" w:themeColor="text1"/>
              </w:rPr>
            </w:pPr>
            <w:r w:rsidRPr="003C4258">
              <w:rPr>
                <w:color w:val="000000" w:themeColor="text1"/>
              </w:rPr>
              <w:t>–138.30</w:t>
            </w:r>
          </w:p>
        </w:tc>
        <w:tc>
          <w:tcPr>
            <w:tcW w:w="2049" w:type="dxa"/>
          </w:tcPr>
          <w:p w14:paraId="57FC334E" w14:textId="77777777" w:rsidR="00B14621" w:rsidRPr="003C4258" w:rsidRDefault="00B14621">
            <w:pPr>
              <w:pStyle w:val="Tabletext0"/>
              <w:rPr>
                <w:color w:val="000000" w:themeColor="text1"/>
              </w:rPr>
            </w:pPr>
            <w:r w:rsidRPr="003C4258">
              <w:rPr>
                <w:color w:val="000000" w:themeColor="text1"/>
              </w:rPr>
              <w:t xml:space="preserve">0.010 </w:t>
            </w:r>
          </w:p>
        </w:tc>
        <w:tc>
          <w:tcPr>
            <w:tcW w:w="2324" w:type="dxa"/>
          </w:tcPr>
          <w:p w14:paraId="01490DE2" w14:textId="77777777" w:rsidR="00B14621" w:rsidRPr="003C4258" w:rsidRDefault="00B14621">
            <w:pPr>
              <w:pStyle w:val="Tabletext0"/>
              <w:jc w:val="left"/>
              <w:rPr>
                <w:color w:val="000000" w:themeColor="text1"/>
              </w:rPr>
            </w:pPr>
            <w:r w:rsidRPr="003C4258">
              <w:rPr>
                <w:i/>
                <w:iCs/>
                <w:color w:val="000000" w:themeColor="text1"/>
              </w:rPr>
              <w:t>POLE</w:t>
            </w:r>
            <w:r w:rsidRPr="003C4258">
              <w:rPr>
                <w:color w:val="000000" w:themeColor="text1"/>
              </w:rPr>
              <w:t xml:space="preserve"> genotyping dominant </w:t>
            </w:r>
          </w:p>
        </w:tc>
      </w:tr>
      <w:tr w:rsidR="00B14621" w:rsidRPr="008246E3" w14:paraId="65173769" w14:textId="77777777" w:rsidTr="00857A43">
        <w:trPr>
          <w:trHeight w:val="300"/>
        </w:trPr>
        <w:tc>
          <w:tcPr>
            <w:tcW w:w="8596" w:type="dxa"/>
            <w:gridSpan w:val="4"/>
          </w:tcPr>
          <w:p w14:paraId="24FEFC06" w14:textId="77777777" w:rsidR="00B14621" w:rsidRPr="003C4258" w:rsidRDefault="00B14621">
            <w:pPr>
              <w:pStyle w:val="Tabletext0"/>
              <w:jc w:val="left"/>
              <w:rPr>
                <w:b/>
                <w:color w:val="000000" w:themeColor="text1"/>
              </w:rPr>
            </w:pPr>
            <w:r w:rsidRPr="003C4258">
              <w:rPr>
                <w:b/>
                <w:color w:val="000000" w:themeColor="text1"/>
              </w:rPr>
              <w:t>Test population (base case: all EC patients)</w:t>
            </w:r>
          </w:p>
        </w:tc>
      </w:tr>
      <w:tr w:rsidR="00B14621" w:rsidRPr="00FB1E3D" w14:paraId="3C2C1A42" w14:textId="77777777" w:rsidTr="00857A43">
        <w:trPr>
          <w:trHeight w:val="300"/>
        </w:trPr>
        <w:tc>
          <w:tcPr>
            <w:tcW w:w="2220" w:type="dxa"/>
          </w:tcPr>
          <w:p w14:paraId="43562DDE" w14:textId="77777777" w:rsidR="00B14621" w:rsidRPr="003C4258" w:rsidRDefault="00B14621">
            <w:pPr>
              <w:pStyle w:val="Tabletext0"/>
              <w:rPr>
                <w:color w:val="000000" w:themeColor="text1"/>
              </w:rPr>
            </w:pPr>
            <w:r w:rsidRPr="003C4258">
              <w:rPr>
                <w:color w:val="000000" w:themeColor="text1"/>
              </w:rPr>
              <w:t>Subgroups 1 and 7</w:t>
            </w:r>
          </w:p>
        </w:tc>
        <w:tc>
          <w:tcPr>
            <w:tcW w:w="2003" w:type="dxa"/>
          </w:tcPr>
          <w:p w14:paraId="5C2A77F0" w14:textId="77777777" w:rsidR="00B14621" w:rsidRPr="003C4258" w:rsidRDefault="00B14621">
            <w:pPr>
              <w:pStyle w:val="Tabletext0"/>
              <w:rPr>
                <w:color w:val="000000" w:themeColor="text1"/>
              </w:rPr>
            </w:pPr>
            <w:r w:rsidRPr="003C4258">
              <w:rPr>
                <w:color w:val="000000" w:themeColor="text1"/>
              </w:rPr>
              <w:t>$497.13</w:t>
            </w:r>
          </w:p>
        </w:tc>
        <w:tc>
          <w:tcPr>
            <w:tcW w:w="2049" w:type="dxa"/>
          </w:tcPr>
          <w:p w14:paraId="6448074E" w14:textId="77777777" w:rsidR="00B14621" w:rsidRPr="003C4258" w:rsidRDefault="00B14621">
            <w:pPr>
              <w:pStyle w:val="Tabletext0"/>
              <w:rPr>
                <w:color w:val="000000" w:themeColor="text1"/>
              </w:rPr>
            </w:pPr>
            <w:r w:rsidRPr="003C4258">
              <w:rPr>
                <w:color w:val="000000" w:themeColor="text1"/>
              </w:rPr>
              <w:t>-</w:t>
            </w:r>
          </w:p>
        </w:tc>
        <w:tc>
          <w:tcPr>
            <w:tcW w:w="2324" w:type="dxa"/>
          </w:tcPr>
          <w:p w14:paraId="3A4D225D" w14:textId="77777777" w:rsidR="00B14621" w:rsidRPr="003C4258" w:rsidRDefault="00B14621">
            <w:pPr>
              <w:pStyle w:val="Tabletext0"/>
              <w:jc w:val="left"/>
              <w:rPr>
                <w:color w:val="000000" w:themeColor="text1"/>
              </w:rPr>
            </w:pPr>
            <w:r w:rsidRPr="003C4258">
              <w:rPr>
                <w:color w:val="000000" w:themeColor="text1"/>
              </w:rPr>
              <w:t>NA</w:t>
            </w:r>
            <w:r w:rsidRPr="003C4258">
              <w:rPr>
                <w:color w:val="000000" w:themeColor="text1"/>
                <w:vertAlign w:val="superscript"/>
              </w:rPr>
              <w:t>a</w:t>
            </w:r>
          </w:p>
        </w:tc>
      </w:tr>
      <w:tr w:rsidR="00B14621" w:rsidRPr="00FB1E3D" w14:paraId="02B9CAD0" w14:textId="77777777" w:rsidTr="00857A43">
        <w:trPr>
          <w:trHeight w:val="300"/>
        </w:trPr>
        <w:tc>
          <w:tcPr>
            <w:tcW w:w="2220" w:type="dxa"/>
          </w:tcPr>
          <w:p w14:paraId="06C7F12B" w14:textId="77777777" w:rsidR="00B14621" w:rsidRPr="003C4258" w:rsidRDefault="00B14621">
            <w:pPr>
              <w:pStyle w:val="Tabletext0"/>
              <w:rPr>
                <w:color w:val="000000" w:themeColor="text1"/>
              </w:rPr>
            </w:pPr>
            <w:r w:rsidRPr="003C4258">
              <w:rPr>
                <w:color w:val="000000" w:themeColor="text1"/>
              </w:rPr>
              <w:t>Subgroups 2 and 7</w:t>
            </w:r>
          </w:p>
        </w:tc>
        <w:tc>
          <w:tcPr>
            <w:tcW w:w="2003" w:type="dxa"/>
          </w:tcPr>
          <w:p w14:paraId="3F7BC462" w14:textId="77777777" w:rsidR="00B14621" w:rsidRPr="003C4258" w:rsidRDefault="00B14621">
            <w:pPr>
              <w:pStyle w:val="Tabletext0"/>
              <w:rPr>
                <w:color w:val="000000" w:themeColor="text1"/>
              </w:rPr>
            </w:pPr>
            <w:r w:rsidRPr="003C4258">
              <w:rPr>
                <w:color w:val="000000" w:themeColor="text1"/>
              </w:rPr>
              <w:t>$441.05</w:t>
            </w:r>
          </w:p>
        </w:tc>
        <w:tc>
          <w:tcPr>
            <w:tcW w:w="2049" w:type="dxa"/>
          </w:tcPr>
          <w:p w14:paraId="0A29B232" w14:textId="77777777" w:rsidR="00B14621" w:rsidRPr="003C4258" w:rsidRDefault="00B14621">
            <w:pPr>
              <w:pStyle w:val="Tabletext0"/>
              <w:rPr>
                <w:color w:val="000000" w:themeColor="text1"/>
              </w:rPr>
            </w:pPr>
            <w:r w:rsidRPr="003C4258">
              <w:rPr>
                <w:color w:val="000000" w:themeColor="text1"/>
              </w:rPr>
              <w:t>0.001</w:t>
            </w:r>
          </w:p>
        </w:tc>
        <w:tc>
          <w:tcPr>
            <w:tcW w:w="2324" w:type="dxa"/>
          </w:tcPr>
          <w:p w14:paraId="7CA5E11B" w14:textId="77777777" w:rsidR="00B14621" w:rsidRPr="003C4258" w:rsidRDefault="00B14621">
            <w:pPr>
              <w:pStyle w:val="Tabletext0"/>
              <w:jc w:val="left"/>
              <w:rPr>
                <w:color w:val="000000" w:themeColor="text1"/>
              </w:rPr>
            </w:pPr>
            <w:r w:rsidRPr="003C4258">
              <w:rPr>
                <w:color w:val="000000" w:themeColor="text1"/>
              </w:rPr>
              <w:t>$450,125.81</w:t>
            </w:r>
          </w:p>
        </w:tc>
      </w:tr>
    </w:tbl>
    <w:p w14:paraId="2CA646BC" w14:textId="77777777" w:rsidR="00142196" w:rsidRPr="003C4258" w:rsidRDefault="00142196" w:rsidP="00142196">
      <w:pPr>
        <w:pStyle w:val="Tablefooter0"/>
        <w:rPr>
          <w:color w:val="000000" w:themeColor="text1"/>
        </w:rPr>
      </w:pPr>
      <w:r w:rsidRPr="003C4258">
        <w:rPr>
          <w:color w:val="000000" w:themeColor="text1"/>
        </w:rPr>
        <w:t>Abbreviations: EC = endometrial cancer; ICER = incremental cost-effectiveness ratio;</w:t>
      </w:r>
      <w:r w:rsidRPr="003C4258">
        <w:rPr>
          <w:color w:val="000000" w:themeColor="text1"/>
          <w:lang w:val="en-US"/>
        </w:rPr>
        <w:t xml:space="preserve"> NA = not applicable;</w:t>
      </w:r>
      <w:r w:rsidRPr="003C4258">
        <w:rPr>
          <w:color w:val="000000" w:themeColor="text1"/>
        </w:rPr>
        <w:t xml:space="preserve"> POLE = DNA polymerase epsilon, catalytic subunit; QALY = quality-adjusted life year</w:t>
      </w:r>
    </w:p>
    <w:p w14:paraId="01F4647B" w14:textId="77777777" w:rsidR="00142196" w:rsidRPr="003C4258" w:rsidRDefault="00142196" w:rsidP="00142196">
      <w:pPr>
        <w:pStyle w:val="Tablefooter0"/>
        <w:rPr>
          <w:color w:val="000000" w:themeColor="text1"/>
        </w:rPr>
      </w:pPr>
      <w:r w:rsidRPr="003C4258">
        <w:rPr>
          <w:color w:val="000000" w:themeColor="text1"/>
        </w:rPr>
        <w:t>Subgroup 1: MMRd &amp; FIGO stage IA or IC</w:t>
      </w:r>
    </w:p>
    <w:p w14:paraId="17BF866C" w14:textId="77777777" w:rsidR="00142196" w:rsidRPr="003C4258" w:rsidRDefault="00142196" w:rsidP="00142196">
      <w:pPr>
        <w:pStyle w:val="Tablefooter0"/>
        <w:rPr>
          <w:color w:val="000000" w:themeColor="text1"/>
          <w:lang w:val="en-US"/>
        </w:rPr>
      </w:pPr>
      <w:r w:rsidRPr="003C4258">
        <w:rPr>
          <w:color w:val="000000" w:themeColor="text1"/>
          <w:lang w:val="en-US"/>
        </w:rPr>
        <w:t>Subgroup 2: MMRd &amp; FIGO stage IB or II</w:t>
      </w:r>
    </w:p>
    <w:p w14:paraId="29949882" w14:textId="77777777" w:rsidR="00142196" w:rsidRPr="003C4258" w:rsidRDefault="00142196" w:rsidP="00142196">
      <w:pPr>
        <w:pStyle w:val="Tablefooter0"/>
        <w:rPr>
          <w:color w:val="000000" w:themeColor="text1"/>
          <w:lang w:val="en-US"/>
        </w:rPr>
      </w:pPr>
      <w:r w:rsidRPr="003C4258">
        <w:rPr>
          <w:color w:val="000000" w:themeColor="text1"/>
          <w:lang w:val="en-US"/>
        </w:rPr>
        <w:t>Subgroup 7: MMRp &amp; p53wt &amp; low-grade disease &amp; ER+ &amp; FIGO stage IA</w:t>
      </w:r>
    </w:p>
    <w:p w14:paraId="44AB7158" w14:textId="7B8BEA6E" w:rsidR="00142196" w:rsidRPr="003C4258" w:rsidRDefault="00142196" w:rsidP="00142196">
      <w:pPr>
        <w:pStyle w:val="Tablefooter0"/>
        <w:rPr>
          <w:color w:val="000000" w:themeColor="text1"/>
          <w:lang w:val="en-US"/>
        </w:rPr>
      </w:pPr>
      <w:r w:rsidRPr="003C4258">
        <w:rPr>
          <w:color w:val="000000" w:themeColor="text1"/>
          <w:lang w:val="en-US"/>
        </w:rPr>
        <w:t xml:space="preserve">Note: </w:t>
      </w:r>
      <w:r w:rsidRPr="003C4258">
        <w:rPr>
          <w:color w:val="000000" w:themeColor="text1"/>
          <w:vertAlign w:val="superscript"/>
          <w:lang w:val="en-US"/>
        </w:rPr>
        <w:t>a</w:t>
      </w:r>
      <w:r w:rsidRPr="003C4258">
        <w:rPr>
          <w:color w:val="000000" w:themeColor="text1"/>
          <w:lang w:val="en-US"/>
        </w:rPr>
        <w:t xml:space="preserve"> Not calculated because there was no difference in effectiveness</w:t>
      </w:r>
      <w:r>
        <w:rPr>
          <w:color w:val="000000" w:themeColor="text1"/>
          <w:lang w:val="en-US"/>
        </w:rPr>
        <w:t>.</w:t>
      </w:r>
      <w:r w:rsidR="008060A4">
        <w:rPr>
          <w:color w:val="000000" w:themeColor="text1"/>
          <w:lang w:val="en-US"/>
        </w:rPr>
        <w:br/>
        <w:t xml:space="preserve">         MBS test fee of $497.13 used for the results presented in the table.</w:t>
      </w:r>
    </w:p>
    <w:p w14:paraId="45F1A781" w14:textId="5F6BFDA9" w:rsidR="00F15C67" w:rsidRDefault="00E2426E" w:rsidP="00F15C67">
      <w:r>
        <w:fldChar w:fldCharType="begin"/>
      </w:r>
      <w:r>
        <w:instrText xml:space="preserve"> REF _Ref223615427 \h </w:instrText>
      </w:r>
      <w:r>
        <w:fldChar w:fldCharType="separate"/>
      </w:r>
      <w:r w:rsidR="00996E6E">
        <w:t xml:space="preserve">Table </w:t>
      </w:r>
      <w:r w:rsidR="00996E6E">
        <w:rPr>
          <w:noProof/>
        </w:rPr>
        <w:t>19</w:t>
      </w:r>
      <w:r>
        <w:fldChar w:fldCharType="end"/>
      </w:r>
      <w:r w:rsidR="005E4B1B">
        <w:t xml:space="preserve"> and </w:t>
      </w:r>
      <w:r w:rsidR="005E4B1B">
        <w:fldChar w:fldCharType="begin"/>
      </w:r>
      <w:r w:rsidR="005E4B1B">
        <w:instrText xml:space="preserve"> REF _Ref223615623 \h </w:instrText>
      </w:r>
      <w:r w:rsidR="005E4B1B">
        <w:fldChar w:fldCharType="separate"/>
      </w:r>
      <w:r w:rsidR="00996E6E">
        <w:t xml:space="preserve">Table </w:t>
      </w:r>
      <w:r w:rsidR="00996E6E">
        <w:rPr>
          <w:noProof/>
        </w:rPr>
        <w:t>20</w:t>
      </w:r>
      <w:r w:rsidR="005E4B1B">
        <w:fldChar w:fldCharType="end"/>
      </w:r>
      <w:r w:rsidR="00B026F6">
        <w:t xml:space="preserve"> provides </w:t>
      </w:r>
      <w:r w:rsidR="005F2A83">
        <w:t xml:space="preserve">scenario analyses using test fee of $397.35 as </w:t>
      </w:r>
      <w:r w:rsidR="005E4B1B">
        <w:t>advised</w:t>
      </w:r>
      <w:r w:rsidR="005F2A83">
        <w:t xml:space="preserve"> by ESC </w:t>
      </w:r>
    </w:p>
    <w:p w14:paraId="62B3DE1F" w14:textId="1D2C3628" w:rsidR="00F15C67" w:rsidRPr="00CE28E3" w:rsidRDefault="004418CF" w:rsidP="004418CF">
      <w:pPr>
        <w:pStyle w:val="Caption"/>
      </w:pPr>
      <w:bookmarkStart w:id="89" w:name="_Ref223615427"/>
      <w:r>
        <w:t xml:space="preserve">Table </w:t>
      </w:r>
      <w:r>
        <w:fldChar w:fldCharType="begin"/>
      </w:r>
      <w:r>
        <w:instrText>SEQ Table \* ARABIC</w:instrText>
      </w:r>
      <w:r>
        <w:fldChar w:fldCharType="separate"/>
      </w:r>
      <w:r w:rsidR="00996E6E">
        <w:rPr>
          <w:noProof/>
        </w:rPr>
        <w:t>19</w:t>
      </w:r>
      <w:r>
        <w:fldChar w:fldCharType="end"/>
      </w:r>
      <w:bookmarkEnd w:id="89"/>
      <w:r>
        <w:t xml:space="preserve"> </w:t>
      </w:r>
      <w:r w:rsidR="00F15C67">
        <w:t>Results of s</w:t>
      </w:r>
      <w:r w:rsidR="00F15C67" w:rsidRPr="009E5FC1">
        <w:t>cenario analyses</w:t>
      </w:r>
      <w:r w:rsidR="00F15C67">
        <w:t xml:space="preserve"> for the cost-effectiveness analysis </w:t>
      </w:r>
      <w:r w:rsidR="00E2426E">
        <w:t>with test fee of $397.35</w:t>
      </w:r>
    </w:p>
    <w:tbl>
      <w:tblPr>
        <w:tblStyle w:val="HTATableshaded"/>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029"/>
        <w:gridCol w:w="1892"/>
        <w:gridCol w:w="2385"/>
      </w:tblGrid>
      <w:tr w:rsidR="00F15C67" w:rsidRPr="00446305" w14:paraId="2DA8FBFF" w14:textId="77777777" w:rsidTr="00CC7518">
        <w:trPr>
          <w:cnfStyle w:val="100000000000" w:firstRow="1" w:lastRow="0" w:firstColumn="0" w:lastColumn="0" w:oddVBand="0" w:evenVBand="0" w:oddHBand="0" w:evenHBand="0" w:firstRowFirstColumn="0" w:firstRowLastColumn="0" w:lastRowFirstColumn="0" w:lastRowLastColumn="0"/>
          <w:tblHeader/>
        </w:trPr>
        <w:tc>
          <w:tcPr>
            <w:tcW w:w="1507" w:type="pct"/>
            <w:shd w:val="clear" w:color="auto" w:fill="F2F2F2" w:themeFill="background1" w:themeFillShade="F2"/>
            <w:hideMark/>
          </w:tcPr>
          <w:p w14:paraId="295D386F" w14:textId="77777777" w:rsidR="00F15C67" w:rsidRPr="00446305" w:rsidRDefault="00F15C67">
            <w:pPr>
              <w:pStyle w:val="Tableheading1"/>
            </w:pPr>
          </w:p>
        </w:tc>
        <w:tc>
          <w:tcPr>
            <w:tcW w:w="1124" w:type="pct"/>
            <w:shd w:val="clear" w:color="auto" w:fill="F2F2F2" w:themeFill="background1" w:themeFillShade="F2"/>
          </w:tcPr>
          <w:p w14:paraId="784AC6BF" w14:textId="77777777" w:rsidR="00F15C67" w:rsidRPr="006A3410" w:rsidRDefault="00F15C67">
            <w:pPr>
              <w:pStyle w:val="Tableheading1"/>
            </w:pPr>
            <w:r w:rsidRPr="006A3410">
              <w:rPr>
                <w:i/>
              </w:rPr>
              <w:t>POLE</w:t>
            </w:r>
            <w:r w:rsidRPr="006A3410">
              <w:t xml:space="preserve"> genotyping</w:t>
            </w:r>
          </w:p>
        </w:tc>
        <w:tc>
          <w:tcPr>
            <w:tcW w:w="1048" w:type="pct"/>
            <w:shd w:val="clear" w:color="auto" w:fill="F2F2F2" w:themeFill="background1" w:themeFillShade="F2"/>
          </w:tcPr>
          <w:p w14:paraId="67B79814" w14:textId="77777777" w:rsidR="00F15C67" w:rsidRPr="006A3410" w:rsidRDefault="00F15C67">
            <w:pPr>
              <w:pStyle w:val="Tableheading1"/>
            </w:pPr>
            <w:r w:rsidRPr="006A3410">
              <w:t xml:space="preserve">No </w:t>
            </w:r>
            <w:r w:rsidRPr="006A3410">
              <w:rPr>
                <w:i/>
              </w:rPr>
              <w:t>POLE</w:t>
            </w:r>
            <w:r w:rsidRPr="006A3410">
              <w:t xml:space="preserve"> genotyping</w:t>
            </w:r>
          </w:p>
        </w:tc>
        <w:tc>
          <w:tcPr>
            <w:tcW w:w="1321" w:type="pct"/>
            <w:shd w:val="clear" w:color="auto" w:fill="F2F2F2" w:themeFill="background1" w:themeFillShade="F2"/>
          </w:tcPr>
          <w:p w14:paraId="09521980" w14:textId="77777777" w:rsidR="00F15C67" w:rsidRPr="006A3410" w:rsidRDefault="00F15C67">
            <w:pPr>
              <w:pStyle w:val="Tableheading1"/>
              <w:jc w:val="left"/>
            </w:pPr>
            <w:r w:rsidRPr="006A3410">
              <w:t>Incremental costs/ effectiveness</w:t>
            </w:r>
          </w:p>
        </w:tc>
      </w:tr>
      <w:tr w:rsidR="00F15C67" w:rsidRPr="00446305" w14:paraId="70C8BFD6" w14:textId="77777777" w:rsidTr="00CC7518">
        <w:tc>
          <w:tcPr>
            <w:tcW w:w="5000" w:type="pct"/>
            <w:gridSpan w:val="4"/>
          </w:tcPr>
          <w:p w14:paraId="46D83DD4" w14:textId="57B5E4DF" w:rsidR="00F15C67" w:rsidRPr="00446305" w:rsidRDefault="00F15C67">
            <w:pPr>
              <w:pStyle w:val="Tabletext0"/>
              <w:rPr>
                <w:b/>
              </w:rPr>
            </w:pPr>
            <w:r>
              <w:rPr>
                <w:b/>
              </w:rPr>
              <w:t>P</w:t>
            </w:r>
            <w:r w:rsidRPr="00F90D62">
              <w:rPr>
                <w:b/>
              </w:rPr>
              <w:t xml:space="preserve">roposed fee </w:t>
            </w:r>
            <w:r>
              <w:rPr>
                <w:b/>
              </w:rPr>
              <w:t>for</w:t>
            </w:r>
            <w:r w:rsidRPr="00F90D62">
              <w:rPr>
                <w:b/>
              </w:rPr>
              <w:t xml:space="preserve"> </w:t>
            </w:r>
            <w:r w:rsidRPr="00572EE4">
              <w:rPr>
                <w:b/>
                <w:i/>
                <w:iCs/>
              </w:rPr>
              <w:t>POLE</w:t>
            </w:r>
            <w:r>
              <w:rPr>
                <w:b/>
              </w:rPr>
              <w:t xml:space="preserve"> test of </w:t>
            </w:r>
            <w:r w:rsidRPr="00F90D62">
              <w:rPr>
                <w:b/>
              </w:rPr>
              <w:t>$397.35</w:t>
            </w:r>
            <w:r w:rsidR="00B026F6">
              <w:rPr>
                <w:b/>
              </w:rPr>
              <w:t xml:space="preserve"> </w:t>
            </w:r>
          </w:p>
        </w:tc>
      </w:tr>
      <w:tr w:rsidR="00F15C67" w:rsidRPr="00D91F49" w14:paraId="6C6FE7B5" w14:textId="77777777" w:rsidTr="00CC7518">
        <w:tc>
          <w:tcPr>
            <w:tcW w:w="1507" w:type="pct"/>
          </w:tcPr>
          <w:p w14:paraId="60745C11" w14:textId="77777777" w:rsidR="00F15C67" w:rsidRPr="00446305" w:rsidRDefault="00F15C67">
            <w:pPr>
              <w:pStyle w:val="Tabletext0"/>
            </w:pPr>
            <w:r w:rsidRPr="00446305">
              <w:t>Diagnostic costs</w:t>
            </w:r>
          </w:p>
        </w:tc>
        <w:tc>
          <w:tcPr>
            <w:tcW w:w="1124" w:type="pct"/>
          </w:tcPr>
          <w:p w14:paraId="6AFCE498" w14:textId="77777777" w:rsidR="00F15C67" w:rsidRPr="00C004A0" w:rsidRDefault="00F15C67">
            <w:pPr>
              <w:pStyle w:val="Tabletext0"/>
            </w:pPr>
            <w:r w:rsidRPr="00C004A0">
              <w:t>$</w:t>
            </w:r>
            <w:r w:rsidRPr="00F90D62">
              <w:t>397.35</w:t>
            </w:r>
          </w:p>
        </w:tc>
        <w:tc>
          <w:tcPr>
            <w:tcW w:w="1048" w:type="pct"/>
          </w:tcPr>
          <w:p w14:paraId="02DA950E" w14:textId="77777777" w:rsidR="00F15C67" w:rsidRPr="00C004A0" w:rsidRDefault="00F15C67">
            <w:pPr>
              <w:pStyle w:val="Tabletext0"/>
            </w:pPr>
            <w:r w:rsidRPr="00C004A0">
              <w:t>$0</w:t>
            </w:r>
          </w:p>
        </w:tc>
        <w:tc>
          <w:tcPr>
            <w:tcW w:w="1321" w:type="pct"/>
          </w:tcPr>
          <w:p w14:paraId="1694FB0D" w14:textId="77777777" w:rsidR="00F15C67" w:rsidRPr="00C004A0" w:rsidRDefault="00F15C67">
            <w:pPr>
              <w:pStyle w:val="Tabletext0"/>
            </w:pPr>
            <w:r w:rsidRPr="00C004A0">
              <w:t>$</w:t>
            </w:r>
            <w:r w:rsidRPr="00F90D62">
              <w:t>397.35</w:t>
            </w:r>
          </w:p>
        </w:tc>
      </w:tr>
      <w:tr w:rsidR="00F15C67" w:rsidRPr="004C2BD0" w14:paraId="0AAC9D65" w14:textId="77777777" w:rsidTr="00CC7518">
        <w:trPr>
          <w:trHeight w:val="215"/>
        </w:trPr>
        <w:tc>
          <w:tcPr>
            <w:tcW w:w="1507" w:type="pct"/>
          </w:tcPr>
          <w:p w14:paraId="1C18EE43" w14:textId="77777777" w:rsidR="00F15C67" w:rsidRPr="00446305" w:rsidRDefault="00F15C67">
            <w:pPr>
              <w:pStyle w:val="Tabletext0"/>
            </w:pPr>
            <w:r w:rsidRPr="00446305">
              <w:t>Total costs</w:t>
            </w:r>
          </w:p>
        </w:tc>
        <w:tc>
          <w:tcPr>
            <w:tcW w:w="1124" w:type="pct"/>
          </w:tcPr>
          <w:p w14:paraId="03793C36" w14:textId="77777777" w:rsidR="00F15C67" w:rsidRPr="00D922AF" w:rsidRDefault="00F15C67">
            <w:pPr>
              <w:pStyle w:val="Tabletext0"/>
            </w:pPr>
            <w:r w:rsidRPr="00F90D62">
              <w:t>$10,952.69</w:t>
            </w:r>
          </w:p>
        </w:tc>
        <w:tc>
          <w:tcPr>
            <w:tcW w:w="1048" w:type="pct"/>
          </w:tcPr>
          <w:p w14:paraId="5D079C1D" w14:textId="77777777" w:rsidR="00F15C67" w:rsidRPr="00D922AF" w:rsidRDefault="00F15C67">
            <w:pPr>
              <w:pStyle w:val="Tabletext0"/>
            </w:pPr>
            <w:r w:rsidRPr="00F90D62">
              <w:t>$11,190.77</w:t>
            </w:r>
          </w:p>
        </w:tc>
        <w:tc>
          <w:tcPr>
            <w:tcW w:w="1321" w:type="pct"/>
          </w:tcPr>
          <w:p w14:paraId="07FCDCBB" w14:textId="77777777" w:rsidR="00F15C67" w:rsidRPr="00CB5749" w:rsidRDefault="00F15C67">
            <w:pPr>
              <w:pStyle w:val="Tabletext0"/>
            </w:pPr>
            <w:r>
              <w:t>−</w:t>
            </w:r>
            <w:r w:rsidRPr="00CB5749">
              <w:t>$</w:t>
            </w:r>
            <w:r w:rsidRPr="00F90D62">
              <w:t>238.08</w:t>
            </w:r>
            <w:r w:rsidRPr="00CB5749">
              <w:t xml:space="preserve"> (cost saving)</w:t>
            </w:r>
          </w:p>
        </w:tc>
      </w:tr>
      <w:tr w:rsidR="00F15C67" w:rsidRPr="004C2BD0" w14:paraId="5C4A3C39" w14:textId="77777777" w:rsidTr="00CC7518">
        <w:trPr>
          <w:trHeight w:val="215"/>
        </w:trPr>
        <w:tc>
          <w:tcPr>
            <w:tcW w:w="1507" w:type="pct"/>
            <w:hideMark/>
          </w:tcPr>
          <w:p w14:paraId="1B1EECA8" w14:textId="77777777" w:rsidR="00F15C67" w:rsidRPr="00446305" w:rsidRDefault="00F15C67">
            <w:pPr>
              <w:pStyle w:val="Tabletext0"/>
            </w:pPr>
            <w:r w:rsidRPr="00446305">
              <w:t>Diagnosis</w:t>
            </w:r>
          </w:p>
        </w:tc>
        <w:tc>
          <w:tcPr>
            <w:tcW w:w="1124" w:type="pct"/>
          </w:tcPr>
          <w:p w14:paraId="0C69AF05" w14:textId="77777777" w:rsidR="00F15C67" w:rsidRPr="00790143" w:rsidRDefault="00F15C67">
            <w:pPr>
              <w:pStyle w:val="Tabletext0"/>
            </w:pPr>
            <w:r w:rsidRPr="00F90D62">
              <w:t>0.0974</w:t>
            </w:r>
          </w:p>
        </w:tc>
        <w:tc>
          <w:tcPr>
            <w:tcW w:w="1048" w:type="pct"/>
          </w:tcPr>
          <w:p w14:paraId="4D6BF8F4" w14:textId="77777777" w:rsidR="00F15C67" w:rsidRPr="00790143" w:rsidRDefault="00F15C67">
            <w:pPr>
              <w:pStyle w:val="Tabletext0"/>
            </w:pPr>
            <w:r w:rsidRPr="00790143">
              <w:t>0</w:t>
            </w:r>
          </w:p>
        </w:tc>
        <w:tc>
          <w:tcPr>
            <w:tcW w:w="1321" w:type="pct"/>
          </w:tcPr>
          <w:p w14:paraId="423A93F0" w14:textId="77777777" w:rsidR="00F15C67" w:rsidRPr="00F101C1" w:rsidRDefault="00F15C67">
            <w:pPr>
              <w:pStyle w:val="Tabletext0"/>
            </w:pPr>
            <w:r w:rsidRPr="00F90D62">
              <w:t>0.0974</w:t>
            </w:r>
          </w:p>
        </w:tc>
      </w:tr>
      <w:tr w:rsidR="00F15C67" w:rsidRPr="004C2BD0" w14:paraId="01579A40" w14:textId="77777777" w:rsidTr="00CC7518">
        <w:trPr>
          <w:trHeight w:val="215"/>
        </w:trPr>
        <w:tc>
          <w:tcPr>
            <w:tcW w:w="1507" w:type="pct"/>
            <w:hideMark/>
          </w:tcPr>
          <w:p w14:paraId="26F52EF9" w14:textId="77777777" w:rsidR="00F15C67" w:rsidRPr="00446305" w:rsidRDefault="00F15C67">
            <w:pPr>
              <w:pStyle w:val="Tabletext0"/>
            </w:pPr>
            <w:r w:rsidRPr="00446305">
              <w:t>Treatment de-escalation</w:t>
            </w:r>
          </w:p>
        </w:tc>
        <w:tc>
          <w:tcPr>
            <w:tcW w:w="1124" w:type="pct"/>
          </w:tcPr>
          <w:p w14:paraId="2717DF40" w14:textId="77777777" w:rsidR="00F15C67" w:rsidRPr="00ED6D76" w:rsidRDefault="00F15C67">
            <w:pPr>
              <w:pStyle w:val="Tabletext0"/>
            </w:pPr>
            <w:r w:rsidRPr="00F90D62">
              <w:t>0.0623</w:t>
            </w:r>
          </w:p>
        </w:tc>
        <w:tc>
          <w:tcPr>
            <w:tcW w:w="1048" w:type="pct"/>
          </w:tcPr>
          <w:p w14:paraId="59DC5717" w14:textId="77777777" w:rsidR="00F15C67" w:rsidRPr="00ED6D76" w:rsidRDefault="00F15C67">
            <w:pPr>
              <w:pStyle w:val="Tabletext0"/>
            </w:pPr>
            <w:r w:rsidRPr="00ED6D76">
              <w:t>0</w:t>
            </w:r>
          </w:p>
        </w:tc>
        <w:tc>
          <w:tcPr>
            <w:tcW w:w="1321" w:type="pct"/>
          </w:tcPr>
          <w:p w14:paraId="7505FA13" w14:textId="77777777" w:rsidR="00F15C67" w:rsidRPr="00F101C1" w:rsidRDefault="00F15C67">
            <w:pPr>
              <w:pStyle w:val="Tabletext0"/>
            </w:pPr>
            <w:r w:rsidRPr="00F90D62">
              <w:t>0.0623</w:t>
            </w:r>
          </w:p>
        </w:tc>
      </w:tr>
      <w:tr w:rsidR="00F15C67" w:rsidRPr="004C2BD0" w14:paraId="1C4C0CCA" w14:textId="77777777" w:rsidTr="00CC7518">
        <w:trPr>
          <w:trHeight w:val="215"/>
        </w:trPr>
        <w:tc>
          <w:tcPr>
            <w:tcW w:w="3679" w:type="pct"/>
            <w:gridSpan w:val="3"/>
          </w:tcPr>
          <w:p w14:paraId="18C539BB" w14:textId="77777777" w:rsidR="00F15C67" w:rsidRPr="00ED6D76" w:rsidRDefault="00F15C67">
            <w:pPr>
              <w:pStyle w:val="Tabletext0"/>
            </w:pPr>
            <w:r w:rsidRPr="00C96073">
              <w:t xml:space="preserve">Incremental diagnostic cost per patient with </w:t>
            </w:r>
            <w:r w:rsidRPr="00836811">
              <w:rPr>
                <w:i/>
              </w:rPr>
              <w:t>POLE</w:t>
            </w:r>
            <w:r w:rsidRPr="00C96073">
              <w:t>mut</w:t>
            </w:r>
          </w:p>
        </w:tc>
        <w:tc>
          <w:tcPr>
            <w:tcW w:w="1321" w:type="pct"/>
          </w:tcPr>
          <w:p w14:paraId="6144826A" w14:textId="77777777" w:rsidR="00F15C67" w:rsidRPr="00CD536E" w:rsidRDefault="00F15C67">
            <w:pPr>
              <w:pStyle w:val="Tabletext0"/>
            </w:pPr>
            <w:r w:rsidRPr="00F90D62">
              <w:t>$5,105.07</w:t>
            </w:r>
          </w:p>
        </w:tc>
      </w:tr>
      <w:tr w:rsidR="00F15C67" w:rsidRPr="004C2BD0" w14:paraId="46649D03" w14:textId="77777777" w:rsidTr="00CC7518">
        <w:trPr>
          <w:trHeight w:val="215"/>
        </w:trPr>
        <w:tc>
          <w:tcPr>
            <w:tcW w:w="3679" w:type="pct"/>
            <w:gridSpan w:val="3"/>
          </w:tcPr>
          <w:p w14:paraId="2C936F4F" w14:textId="77777777" w:rsidR="00F15C67" w:rsidRPr="00ED6D76" w:rsidRDefault="00F15C67">
            <w:pPr>
              <w:pStyle w:val="Tabletext0"/>
            </w:pPr>
            <w:r w:rsidRPr="00C96073">
              <w:t>Incremental cost per patient undergoing adjuvant therapy de-escalation</w:t>
            </w:r>
          </w:p>
        </w:tc>
        <w:tc>
          <w:tcPr>
            <w:tcW w:w="1321" w:type="pct"/>
          </w:tcPr>
          <w:p w14:paraId="2F21FFF1" w14:textId="77777777" w:rsidR="00F15C67" w:rsidRPr="00CD536E" w:rsidRDefault="00F15C67">
            <w:pPr>
              <w:pStyle w:val="Tabletext0"/>
            </w:pPr>
            <w:r w:rsidRPr="00312F4B">
              <w:t xml:space="preserve">dominant </w:t>
            </w:r>
            <w:r>
              <w:t>(−</w:t>
            </w:r>
            <w:r w:rsidRPr="00F90D62">
              <w:t>$3,820.54</w:t>
            </w:r>
            <w:r>
              <w:t>)</w:t>
            </w:r>
          </w:p>
        </w:tc>
      </w:tr>
    </w:tbl>
    <w:p w14:paraId="190A1391" w14:textId="49A0B968" w:rsidR="00F15C67" w:rsidRPr="007227F7" w:rsidRDefault="00F15C67" w:rsidP="00F15C67">
      <w:pPr>
        <w:pStyle w:val="Tablefooter0"/>
      </w:pPr>
      <w:r w:rsidRPr="004A5A1D">
        <w:t xml:space="preserve">Abbreviations: </w:t>
      </w:r>
      <w:r w:rsidRPr="004A5A1D">
        <w:rPr>
          <w:i/>
          <w:lang w:val="en-US"/>
        </w:rPr>
        <w:t>POLE</w:t>
      </w:r>
      <w:r w:rsidRPr="004A5A1D">
        <w:rPr>
          <w:lang w:val="en-US"/>
        </w:rPr>
        <w:t xml:space="preserve"> = DNA polymerase epsilon</w:t>
      </w:r>
      <w:r>
        <w:rPr>
          <w:lang w:val="en-US"/>
        </w:rPr>
        <w:t>, catalytic subunit</w:t>
      </w:r>
    </w:p>
    <w:p w14:paraId="329D56A7" w14:textId="22D356C5" w:rsidR="00F15C67" w:rsidRDefault="004418CF" w:rsidP="004418CF">
      <w:pPr>
        <w:pStyle w:val="Caption"/>
      </w:pPr>
      <w:bookmarkStart w:id="90" w:name="_Ref223615623"/>
      <w:r>
        <w:t xml:space="preserve">Table </w:t>
      </w:r>
      <w:r>
        <w:fldChar w:fldCharType="begin"/>
      </w:r>
      <w:r>
        <w:instrText>SEQ Table \* ARABIC</w:instrText>
      </w:r>
      <w:r>
        <w:fldChar w:fldCharType="separate"/>
      </w:r>
      <w:r w:rsidR="00996E6E">
        <w:rPr>
          <w:noProof/>
        </w:rPr>
        <w:t>20</w:t>
      </w:r>
      <w:r>
        <w:fldChar w:fldCharType="end"/>
      </w:r>
      <w:bookmarkEnd w:id="90"/>
      <w:r>
        <w:t xml:space="preserve"> </w:t>
      </w:r>
      <w:r w:rsidR="00F15C67">
        <w:t>Results of s</w:t>
      </w:r>
      <w:r w:rsidR="00F15C67" w:rsidRPr="009E5FC1">
        <w:t>cenario analyses</w:t>
      </w:r>
      <w:r w:rsidR="00F15C67">
        <w:t xml:space="preserve"> for the cost-utility analysis </w:t>
      </w:r>
      <w:r w:rsidR="005E4B1B">
        <w:t>with test fee of $397.35</w:t>
      </w:r>
    </w:p>
    <w:tbl>
      <w:tblPr>
        <w:tblStyle w:val="TableGrid"/>
        <w:tblW w:w="8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1945"/>
        <w:gridCol w:w="1803"/>
        <w:gridCol w:w="1803"/>
      </w:tblGrid>
      <w:tr w:rsidR="00F15C67" w:rsidRPr="00283E8E" w14:paraId="330BA83E" w14:textId="77777777" w:rsidTr="00857A43">
        <w:trPr>
          <w:trHeight w:val="300"/>
          <w:tblHeader/>
        </w:trPr>
        <w:tc>
          <w:tcPr>
            <w:tcW w:w="3045" w:type="dxa"/>
            <w:shd w:val="clear" w:color="auto" w:fill="F2F2F2" w:themeFill="background1" w:themeFillShade="F2"/>
          </w:tcPr>
          <w:p w14:paraId="59120841" w14:textId="77777777" w:rsidR="00F15C67" w:rsidRPr="00283E8E" w:rsidRDefault="00F15C67">
            <w:pPr>
              <w:pStyle w:val="Tabletext0"/>
              <w:rPr>
                <w:b/>
              </w:rPr>
            </w:pPr>
            <w:r w:rsidRPr="00283E8E">
              <w:rPr>
                <w:b/>
              </w:rPr>
              <w:t>Scenario</w:t>
            </w:r>
          </w:p>
        </w:tc>
        <w:tc>
          <w:tcPr>
            <w:tcW w:w="1945" w:type="dxa"/>
            <w:shd w:val="clear" w:color="auto" w:fill="F2F2F2" w:themeFill="background1" w:themeFillShade="F2"/>
          </w:tcPr>
          <w:p w14:paraId="23D3794F" w14:textId="77777777" w:rsidR="00F15C67" w:rsidRPr="00283E8E" w:rsidRDefault="00F15C67">
            <w:pPr>
              <w:pStyle w:val="Tabletext0"/>
              <w:rPr>
                <w:b/>
              </w:rPr>
            </w:pPr>
            <w:r>
              <w:rPr>
                <w:b/>
              </w:rPr>
              <w:t>Incremental cost ($)</w:t>
            </w:r>
          </w:p>
        </w:tc>
        <w:tc>
          <w:tcPr>
            <w:tcW w:w="1803" w:type="dxa"/>
            <w:shd w:val="clear" w:color="auto" w:fill="F2F2F2" w:themeFill="background1" w:themeFillShade="F2"/>
          </w:tcPr>
          <w:p w14:paraId="02E1A16C" w14:textId="77777777" w:rsidR="00F15C67" w:rsidRPr="00283E8E" w:rsidRDefault="00F15C67">
            <w:pPr>
              <w:pStyle w:val="Tabletext0"/>
              <w:rPr>
                <w:b/>
              </w:rPr>
            </w:pPr>
            <w:r>
              <w:rPr>
                <w:b/>
              </w:rPr>
              <w:t>Incremental QALYs</w:t>
            </w:r>
          </w:p>
        </w:tc>
        <w:tc>
          <w:tcPr>
            <w:tcW w:w="1803" w:type="dxa"/>
            <w:shd w:val="clear" w:color="auto" w:fill="F2F2F2" w:themeFill="background1" w:themeFillShade="F2"/>
          </w:tcPr>
          <w:p w14:paraId="24FA57EB" w14:textId="77777777" w:rsidR="00F15C67" w:rsidRPr="00283E8E" w:rsidRDefault="00F15C67">
            <w:pPr>
              <w:pStyle w:val="Tabletext0"/>
              <w:jc w:val="left"/>
              <w:rPr>
                <w:b/>
              </w:rPr>
            </w:pPr>
            <w:r>
              <w:rPr>
                <w:b/>
              </w:rPr>
              <w:t>ICER ($/QALY)</w:t>
            </w:r>
          </w:p>
        </w:tc>
      </w:tr>
      <w:tr w:rsidR="00F15C67" w:rsidRPr="0050041B" w14:paraId="414B2D5D" w14:textId="77777777" w:rsidTr="00857A43">
        <w:trPr>
          <w:trHeight w:val="300"/>
        </w:trPr>
        <w:tc>
          <w:tcPr>
            <w:tcW w:w="8596" w:type="dxa"/>
            <w:gridSpan w:val="4"/>
          </w:tcPr>
          <w:p w14:paraId="61422325" w14:textId="77777777" w:rsidR="00F15C67" w:rsidRPr="00FD4CDF" w:rsidRDefault="00F15C67">
            <w:pPr>
              <w:pStyle w:val="Tabletext0"/>
              <w:jc w:val="left"/>
              <w:rPr>
                <w:b/>
              </w:rPr>
            </w:pPr>
            <w:r>
              <w:rPr>
                <w:b/>
              </w:rPr>
              <w:t>P</w:t>
            </w:r>
            <w:r w:rsidRPr="004D2EBA">
              <w:rPr>
                <w:b/>
              </w:rPr>
              <w:t xml:space="preserve">roposed fee for </w:t>
            </w:r>
            <w:r w:rsidRPr="00412500">
              <w:rPr>
                <w:b/>
                <w:i/>
                <w:iCs/>
              </w:rPr>
              <w:t>POLE</w:t>
            </w:r>
            <w:r w:rsidRPr="004D2EBA">
              <w:rPr>
                <w:b/>
              </w:rPr>
              <w:t xml:space="preserve"> test</w:t>
            </w:r>
            <w:r>
              <w:rPr>
                <w:b/>
              </w:rPr>
              <w:t xml:space="preserve"> </w:t>
            </w:r>
            <w:r w:rsidRPr="00FD4CDF">
              <w:rPr>
                <w:b/>
              </w:rPr>
              <w:t xml:space="preserve">(Base case: </w:t>
            </w:r>
            <w:r w:rsidRPr="004D2EBA">
              <w:rPr>
                <w:b/>
              </w:rPr>
              <w:t>$497.13</w:t>
            </w:r>
            <w:r w:rsidRPr="00FD4CDF">
              <w:rPr>
                <w:b/>
              </w:rPr>
              <w:t>)</w:t>
            </w:r>
          </w:p>
        </w:tc>
      </w:tr>
      <w:tr w:rsidR="00F15C67" w14:paraId="62F40438" w14:textId="77777777" w:rsidTr="00857A43">
        <w:trPr>
          <w:trHeight w:val="300"/>
        </w:trPr>
        <w:tc>
          <w:tcPr>
            <w:tcW w:w="3045" w:type="dxa"/>
          </w:tcPr>
          <w:p w14:paraId="7C182A57" w14:textId="77777777" w:rsidR="00F15C67" w:rsidRDefault="00F15C67">
            <w:pPr>
              <w:pStyle w:val="Tabletext0"/>
            </w:pPr>
            <w:r w:rsidRPr="004D2EBA">
              <w:t>$397.35</w:t>
            </w:r>
          </w:p>
        </w:tc>
        <w:tc>
          <w:tcPr>
            <w:tcW w:w="1945" w:type="dxa"/>
          </w:tcPr>
          <w:p w14:paraId="461D387A" w14:textId="77777777" w:rsidR="00F15C67" w:rsidRDefault="00F15C67">
            <w:pPr>
              <w:pStyle w:val="Tabletext0"/>
            </w:pPr>
            <w:r>
              <w:t>–</w:t>
            </w:r>
            <w:r w:rsidRPr="004D2EBA">
              <w:t>238.08</w:t>
            </w:r>
          </w:p>
        </w:tc>
        <w:tc>
          <w:tcPr>
            <w:tcW w:w="1803" w:type="dxa"/>
          </w:tcPr>
          <w:p w14:paraId="6A0C774F" w14:textId="77777777" w:rsidR="00F15C67" w:rsidRPr="00890229" w:rsidRDefault="00F15C67">
            <w:pPr>
              <w:pStyle w:val="Tabletext0"/>
            </w:pPr>
            <w:r w:rsidRPr="004D2EBA">
              <w:t>0.010</w:t>
            </w:r>
          </w:p>
        </w:tc>
        <w:tc>
          <w:tcPr>
            <w:tcW w:w="1803" w:type="dxa"/>
          </w:tcPr>
          <w:p w14:paraId="7B4A0D7A" w14:textId="77777777" w:rsidR="00F15C67" w:rsidRPr="00FB1E3D" w:rsidRDefault="00F15C67">
            <w:pPr>
              <w:pStyle w:val="Tabletext0"/>
              <w:jc w:val="left"/>
              <w:rPr>
                <w:i/>
                <w:iCs/>
              </w:rPr>
            </w:pPr>
            <w:r w:rsidRPr="00FB1E3D">
              <w:rPr>
                <w:i/>
                <w:iCs/>
              </w:rPr>
              <w:t>POLE</w:t>
            </w:r>
            <w:r w:rsidRPr="00EA6B0F">
              <w:t xml:space="preserve"> </w:t>
            </w:r>
            <w:r>
              <w:t xml:space="preserve">genotyping </w:t>
            </w:r>
            <w:r w:rsidRPr="00EA6B0F">
              <w:t xml:space="preserve">dominant </w:t>
            </w:r>
          </w:p>
        </w:tc>
      </w:tr>
    </w:tbl>
    <w:p w14:paraId="4652BEC5" w14:textId="77777777" w:rsidR="00F15C67" w:rsidRPr="0020628E" w:rsidRDefault="00F15C67" w:rsidP="00F15C67">
      <w:pPr>
        <w:pStyle w:val="Tablefooter0"/>
      </w:pPr>
      <w:r w:rsidRPr="0020628E">
        <w:t xml:space="preserve">Abbreviations: ICER = incremental cost-effectiveness ratio; </w:t>
      </w:r>
      <w:r w:rsidRPr="00A71956">
        <w:rPr>
          <w:i/>
        </w:rPr>
        <w:t>POLE</w:t>
      </w:r>
      <w:r w:rsidRPr="0020628E">
        <w:t xml:space="preserve"> = DNA polymerase epsilon, catalytic subunit; QALY = quality-adjusted life year</w:t>
      </w:r>
    </w:p>
    <w:p w14:paraId="17490B2E" w14:textId="4A9A6F67" w:rsidR="00FC2BD5" w:rsidRPr="007F4E07" w:rsidRDefault="00FC2BD5" w:rsidP="00FC2BD5">
      <w:r>
        <w:t xml:space="preserve">ESC considered applying a de-escalation rate of ~46% as observed in the </w:t>
      </w:r>
      <w:r w:rsidRPr="00075A93">
        <w:t>PORTEC-4</w:t>
      </w:r>
      <w:r>
        <w:t>a trial would be more reasonable</w:t>
      </w:r>
      <w:r w:rsidR="00E46414">
        <w:t xml:space="preserve"> compared to 64% tested in the base case</w:t>
      </w:r>
      <w:r>
        <w:t>. Following ESC, the assessment group noted that t</w:t>
      </w:r>
      <w:r w:rsidRPr="007F4E07">
        <w:t>he proportion of patients undergoing</w:t>
      </w:r>
      <w:r>
        <w:t xml:space="preserve"> treatment</w:t>
      </w:r>
      <w:r w:rsidRPr="007F4E07">
        <w:t xml:space="preserve"> de-escalation was not included as a model input</w:t>
      </w:r>
      <w:r>
        <w:t>.</w:t>
      </w:r>
      <w:r w:rsidRPr="0054796A">
        <w:t xml:space="preserve"> </w:t>
      </w:r>
      <w:r>
        <w:t>T</w:t>
      </w:r>
      <w:r w:rsidRPr="007F4E07">
        <w:t>herefore, a sensitivity analysis varying the base case estimate from 64% to 46% could not be conducted.</w:t>
      </w:r>
      <w:r>
        <w:t xml:space="preserve"> </w:t>
      </w:r>
      <w:r w:rsidRPr="007F4E07">
        <w:t>Alternatively,</w:t>
      </w:r>
      <w:r>
        <w:t xml:space="preserve"> the assessment group considered</w:t>
      </w:r>
      <w:r w:rsidRPr="007F4E07">
        <w:t xml:space="preserve"> </w:t>
      </w:r>
      <w:r>
        <w:t xml:space="preserve">in </w:t>
      </w:r>
      <w:r w:rsidR="00C66E0D">
        <w:fldChar w:fldCharType="begin"/>
      </w:r>
      <w:r w:rsidR="00C66E0D">
        <w:instrText xml:space="preserve"> REF _Ref223618756 \h </w:instrText>
      </w:r>
      <w:r w:rsidR="00C66E0D">
        <w:fldChar w:fldCharType="separate"/>
      </w:r>
      <w:r w:rsidR="00996E6E">
        <w:t xml:space="preserve">Table </w:t>
      </w:r>
      <w:r w:rsidR="00996E6E">
        <w:rPr>
          <w:noProof/>
        </w:rPr>
        <w:t>21</w:t>
      </w:r>
      <w:r w:rsidR="00C66E0D">
        <w:fldChar w:fldCharType="end"/>
      </w:r>
      <w:r>
        <w:t xml:space="preserve">, the </w:t>
      </w:r>
      <w:r w:rsidRPr="007F4E07">
        <w:t xml:space="preserve">Scenario </w:t>
      </w:r>
      <w:r>
        <w:t>presented below</w:t>
      </w:r>
      <w:r w:rsidRPr="007F4E07">
        <w:t xml:space="preserve"> </w:t>
      </w:r>
      <w:r>
        <w:t>(</w:t>
      </w:r>
      <w:r w:rsidRPr="007E6914">
        <w:rPr>
          <w:i/>
          <w:iCs/>
        </w:rPr>
        <w:t>FIGO stage III–IVA: 10% management change, 90% no change</w:t>
      </w:r>
      <w:r>
        <w:t>) estimated</w:t>
      </w:r>
      <w:r w:rsidRPr="007F4E07">
        <w:t xml:space="preserve"> </w:t>
      </w:r>
      <w:r>
        <w:t xml:space="preserve">the </w:t>
      </w:r>
      <w:r w:rsidRPr="007F4E07">
        <w:t>proportion of patients undergoing de-escalation to be 48</w:t>
      </w:r>
      <w:r>
        <w:t>.5</w:t>
      </w:r>
      <w:r w:rsidRPr="007F4E07">
        <w:t xml:space="preserve">%, </w:t>
      </w:r>
      <w:r>
        <w:t>and therefore wa</w:t>
      </w:r>
      <w:r w:rsidRPr="007F4E07">
        <w:t xml:space="preserve">s relatively close to the 46% reported in the PORTEC-4A results. </w:t>
      </w:r>
    </w:p>
    <w:p w14:paraId="683EAC77" w14:textId="61A4232D" w:rsidR="00FC2BD5" w:rsidRDefault="00FC2BD5" w:rsidP="003960E9">
      <w:pPr>
        <w:pStyle w:val="Caption"/>
        <w:keepLines/>
      </w:pPr>
      <w:bookmarkStart w:id="91" w:name="_Ref223618756"/>
      <w:r>
        <w:lastRenderedPageBreak/>
        <w:t xml:space="preserve">Table </w:t>
      </w:r>
      <w:r>
        <w:fldChar w:fldCharType="begin"/>
      </w:r>
      <w:r>
        <w:instrText>SEQ Table \* ARABIC</w:instrText>
      </w:r>
      <w:r>
        <w:fldChar w:fldCharType="separate"/>
      </w:r>
      <w:r w:rsidR="00996E6E">
        <w:rPr>
          <w:noProof/>
        </w:rPr>
        <w:t>21</w:t>
      </w:r>
      <w:r>
        <w:fldChar w:fldCharType="end"/>
      </w:r>
      <w:bookmarkEnd w:id="91"/>
      <w:r w:rsidRPr="00583CC6">
        <w:t xml:space="preserve"> </w:t>
      </w:r>
      <w:r>
        <w:t>Results for the cost-effectiveness analysis</w:t>
      </w:r>
      <w:r w:rsidR="00042C73">
        <w:t xml:space="preserve"> of </w:t>
      </w:r>
      <w:r w:rsidR="00042C73">
        <w:rPr>
          <w:lang w:val="en-US"/>
        </w:rPr>
        <w:t>FIGO s</w:t>
      </w:r>
      <w:r w:rsidR="00042C73" w:rsidRPr="00C653B5">
        <w:rPr>
          <w:lang w:val="en-US"/>
        </w:rPr>
        <w:t>tage III–IVA: 10% management change, 90% no change</w:t>
      </w:r>
    </w:p>
    <w:tbl>
      <w:tblPr>
        <w:tblStyle w:val="HTATableshaded"/>
        <w:tblW w:w="9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920"/>
        <w:gridCol w:w="2001"/>
        <w:gridCol w:w="2385"/>
      </w:tblGrid>
      <w:tr w:rsidR="00FC2BD5" w:rsidRPr="00446305" w14:paraId="1A6765E0" w14:textId="77777777" w:rsidTr="00857A43">
        <w:trPr>
          <w:cnfStyle w:val="100000000000" w:firstRow="1" w:lastRow="0" w:firstColumn="0" w:lastColumn="0" w:oddVBand="0" w:evenVBand="0" w:oddHBand="0" w:evenHBand="0" w:firstRowFirstColumn="0" w:firstRowLastColumn="0" w:lastRowFirstColumn="0" w:lastRowLastColumn="0"/>
          <w:trHeight w:val="300"/>
          <w:tblHeader/>
        </w:trPr>
        <w:tc>
          <w:tcPr>
            <w:tcW w:w="2721" w:type="dxa"/>
            <w:shd w:val="clear" w:color="auto" w:fill="F2F2F2" w:themeFill="background1" w:themeFillShade="F2"/>
            <w:hideMark/>
          </w:tcPr>
          <w:p w14:paraId="476B3961" w14:textId="77777777" w:rsidR="00FC2BD5" w:rsidRPr="00446305" w:rsidRDefault="00FC2BD5" w:rsidP="003960E9">
            <w:pPr>
              <w:pStyle w:val="Tableheading1"/>
              <w:keepNext/>
              <w:keepLines/>
            </w:pPr>
          </w:p>
        </w:tc>
        <w:tc>
          <w:tcPr>
            <w:tcW w:w="1920" w:type="dxa"/>
            <w:shd w:val="clear" w:color="auto" w:fill="F2F2F2" w:themeFill="background1" w:themeFillShade="F2"/>
          </w:tcPr>
          <w:p w14:paraId="77852A82" w14:textId="77777777" w:rsidR="00FC2BD5" w:rsidRPr="006A3410" w:rsidRDefault="00FC2BD5" w:rsidP="003960E9">
            <w:pPr>
              <w:pStyle w:val="Tableheading1"/>
              <w:keepNext/>
              <w:keepLines/>
            </w:pPr>
            <w:r w:rsidRPr="006A3410">
              <w:rPr>
                <w:i/>
              </w:rPr>
              <w:t>POLE</w:t>
            </w:r>
            <w:r w:rsidRPr="006A3410">
              <w:t xml:space="preserve"> genotyping</w:t>
            </w:r>
          </w:p>
        </w:tc>
        <w:tc>
          <w:tcPr>
            <w:tcW w:w="2001" w:type="dxa"/>
            <w:shd w:val="clear" w:color="auto" w:fill="F2F2F2" w:themeFill="background1" w:themeFillShade="F2"/>
          </w:tcPr>
          <w:p w14:paraId="4ABCA91F" w14:textId="77777777" w:rsidR="00FC2BD5" w:rsidRPr="006A3410" w:rsidRDefault="00FC2BD5" w:rsidP="003960E9">
            <w:pPr>
              <w:pStyle w:val="Tableheading1"/>
              <w:keepNext/>
              <w:keepLines/>
            </w:pPr>
            <w:r w:rsidRPr="006A3410">
              <w:t xml:space="preserve">No </w:t>
            </w:r>
            <w:r w:rsidRPr="006A3410">
              <w:rPr>
                <w:i/>
              </w:rPr>
              <w:t>POLE</w:t>
            </w:r>
            <w:r w:rsidRPr="006A3410">
              <w:t xml:space="preserve"> genotyping</w:t>
            </w:r>
          </w:p>
        </w:tc>
        <w:tc>
          <w:tcPr>
            <w:tcW w:w="2385" w:type="dxa"/>
            <w:shd w:val="clear" w:color="auto" w:fill="F2F2F2" w:themeFill="background1" w:themeFillShade="F2"/>
          </w:tcPr>
          <w:p w14:paraId="42B0F9AE" w14:textId="77777777" w:rsidR="00FC2BD5" w:rsidRPr="006A3410" w:rsidRDefault="00FC2BD5" w:rsidP="003960E9">
            <w:pPr>
              <w:pStyle w:val="Tableheading1"/>
              <w:keepNext/>
              <w:keepLines/>
              <w:jc w:val="left"/>
            </w:pPr>
            <w:r w:rsidRPr="006A3410">
              <w:t>Incremental costs/ effectiveness</w:t>
            </w:r>
          </w:p>
        </w:tc>
      </w:tr>
      <w:tr w:rsidR="00FC2BD5" w:rsidRPr="00C24C7D" w14:paraId="01253196" w14:textId="77777777" w:rsidTr="00857A43">
        <w:trPr>
          <w:trHeight w:val="300"/>
        </w:trPr>
        <w:tc>
          <w:tcPr>
            <w:tcW w:w="9027" w:type="dxa"/>
            <w:gridSpan w:val="4"/>
          </w:tcPr>
          <w:p w14:paraId="565E77C2" w14:textId="77777777" w:rsidR="00FC2BD5" w:rsidRPr="00045D0D" w:rsidRDefault="00FC2BD5" w:rsidP="003960E9">
            <w:pPr>
              <w:pStyle w:val="Tabletext0"/>
              <w:keepNext/>
              <w:keepLines/>
              <w:rPr>
                <w:b/>
                <w:lang w:val="en-US"/>
              </w:rPr>
            </w:pPr>
            <w:r w:rsidRPr="00C653B5">
              <w:rPr>
                <w:b/>
                <w:lang w:val="en-US"/>
              </w:rPr>
              <w:t>Scenario</w:t>
            </w:r>
            <w:r>
              <w:rPr>
                <w:b/>
                <w:lang w:val="en-US"/>
              </w:rPr>
              <w:t xml:space="preserve"> Analysis</w:t>
            </w:r>
            <w:r w:rsidRPr="00C653B5">
              <w:rPr>
                <w:b/>
                <w:lang w:val="en-US"/>
              </w:rPr>
              <w:t xml:space="preserve">: </w:t>
            </w:r>
            <w:r>
              <w:rPr>
                <w:b/>
                <w:lang w:val="en-US"/>
              </w:rPr>
              <w:t>FIGO s</w:t>
            </w:r>
            <w:r w:rsidRPr="00C653B5">
              <w:rPr>
                <w:b/>
                <w:lang w:val="en-US"/>
              </w:rPr>
              <w:t>tage III–IVA: 10% management change, 90% no change</w:t>
            </w:r>
          </w:p>
        </w:tc>
      </w:tr>
      <w:tr w:rsidR="00FC2BD5" w:rsidRPr="004C2BD0" w14:paraId="53C1DAE3" w14:textId="77777777" w:rsidTr="00857A43">
        <w:trPr>
          <w:trHeight w:val="215"/>
        </w:trPr>
        <w:tc>
          <w:tcPr>
            <w:tcW w:w="2721" w:type="dxa"/>
          </w:tcPr>
          <w:p w14:paraId="0AEBF9D9" w14:textId="77777777" w:rsidR="00FC2BD5" w:rsidRPr="00446305" w:rsidRDefault="00FC2BD5" w:rsidP="003960E9">
            <w:pPr>
              <w:pStyle w:val="Tabletext0"/>
              <w:keepNext/>
              <w:keepLines/>
            </w:pPr>
            <w:r w:rsidRPr="00446305">
              <w:t>Diagnostic costs</w:t>
            </w:r>
          </w:p>
        </w:tc>
        <w:tc>
          <w:tcPr>
            <w:tcW w:w="1920" w:type="dxa"/>
          </w:tcPr>
          <w:p w14:paraId="19DCAFB6" w14:textId="77777777" w:rsidR="00FC2BD5" w:rsidRPr="00463642" w:rsidRDefault="00FC2BD5" w:rsidP="003960E9">
            <w:pPr>
              <w:pStyle w:val="Tabletext0"/>
              <w:keepNext/>
              <w:keepLines/>
            </w:pPr>
            <w:r w:rsidRPr="00C004A0">
              <w:t>$497.13</w:t>
            </w:r>
          </w:p>
        </w:tc>
        <w:tc>
          <w:tcPr>
            <w:tcW w:w="2001" w:type="dxa"/>
          </w:tcPr>
          <w:p w14:paraId="424D88BC" w14:textId="77777777" w:rsidR="00FC2BD5" w:rsidRPr="00ED6D76" w:rsidRDefault="00FC2BD5" w:rsidP="003960E9">
            <w:pPr>
              <w:pStyle w:val="Tabletext0"/>
              <w:keepNext/>
              <w:keepLines/>
            </w:pPr>
            <w:r w:rsidRPr="00C004A0">
              <w:t>$0</w:t>
            </w:r>
          </w:p>
        </w:tc>
        <w:tc>
          <w:tcPr>
            <w:tcW w:w="2385" w:type="dxa"/>
          </w:tcPr>
          <w:p w14:paraId="33836B8D" w14:textId="77777777" w:rsidR="00FC2BD5" w:rsidRPr="00463642" w:rsidRDefault="00FC2BD5" w:rsidP="003960E9">
            <w:pPr>
              <w:pStyle w:val="Tabletext0"/>
              <w:keepNext/>
              <w:keepLines/>
            </w:pPr>
            <w:r w:rsidRPr="00C004A0">
              <w:t>$497.13</w:t>
            </w:r>
          </w:p>
        </w:tc>
      </w:tr>
      <w:tr w:rsidR="00FC2BD5" w:rsidRPr="004C2BD0" w14:paraId="273E55A9" w14:textId="77777777" w:rsidTr="00857A43">
        <w:trPr>
          <w:trHeight w:val="215"/>
        </w:trPr>
        <w:tc>
          <w:tcPr>
            <w:tcW w:w="2721" w:type="dxa"/>
          </w:tcPr>
          <w:p w14:paraId="4EF70810" w14:textId="77777777" w:rsidR="00FC2BD5" w:rsidRPr="00446305" w:rsidRDefault="00FC2BD5" w:rsidP="003960E9">
            <w:pPr>
              <w:pStyle w:val="Tabletext0"/>
              <w:keepNext/>
              <w:keepLines/>
            </w:pPr>
            <w:r w:rsidRPr="00446305">
              <w:t>Total costs</w:t>
            </w:r>
          </w:p>
        </w:tc>
        <w:tc>
          <w:tcPr>
            <w:tcW w:w="1920" w:type="dxa"/>
          </w:tcPr>
          <w:p w14:paraId="75FD203B" w14:textId="77777777" w:rsidR="00FC2BD5" w:rsidRPr="00463642" w:rsidRDefault="00FC2BD5" w:rsidP="003960E9">
            <w:pPr>
              <w:pStyle w:val="Tabletext0"/>
              <w:keepNext/>
              <w:keepLines/>
            </w:pPr>
            <w:r w:rsidRPr="001C35D8">
              <w:t>$11,451.77</w:t>
            </w:r>
          </w:p>
        </w:tc>
        <w:tc>
          <w:tcPr>
            <w:tcW w:w="2001" w:type="dxa"/>
          </w:tcPr>
          <w:p w14:paraId="0ACA7026" w14:textId="77777777" w:rsidR="00FC2BD5" w:rsidRPr="00ED6D76" w:rsidRDefault="00FC2BD5" w:rsidP="003960E9">
            <w:pPr>
              <w:pStyle w:val="Tabletext0"/>
              <w:keepNext/>
              <w:keepLines/>
            </w:pPr>
            <w:r w:rsidRPr="00BB3CB1">
              <w:t>$11,190.77</w:t>
            </w:r>
          </w:p>
        </w:tc>
        <w:tc>
          <w:tcPr>
            <w:tcW w:w="2385" w:type="dxa"/>
          </w:tcPr>
          <w:p w14:paraId="133D06E6" w14:textId="77777777" w:rsidR="00FC2BD5" w:rsidRPr="00463642" w:rsidRDefault="00FC2BD5" w:rsidP="003960E9">
            <w:pPr>
              <w:pStyle w:val="Tabletext0"/>
              <w:keepNext/>
              <w:keepLines/>
            </w:pPr>
            <w:r w:rsidRPr="00BB3CB1">
              <w:t>$261.00</w:t>
            </w:r>
          </w:p>
        </w:tc>
      </w:tr>
      <w:tr w:rsidR="00FC2BD5" w:rsidRPr="004C2BD0" w14:paraId="4CEC7EC5" w14:textId="77777777" w:rsidTr="00857A43">
        <w:trPr>
          <w:trHeight w:val="215"/>
        </w:trPr>
        <w:tc>
          <w:tcPr>
            <w:tcW w:w="2721" w:type="dxa"/>
          </w:tcPr>
          <w:p w14:paraId="1D68FF66" w14:textId="77777777" w:rsidR="00FC2BD5" w:rsidRPr="00446305" w:rsidRDefault="00FC2BD5" w:rsidP="003960E9">
            <w:pPr>
              <w:pStyle w:val="Tabletext0"/>
              <w:keepNext/>
              <w:keepLines/>
            </w:pPr>
            <w:r w:rsidRPr="00446305">
              <w:t>Diagnosis</w:t>
            </w:r>
          </w:p>
        </w:tc>
        <w:tc>
          <w:tcPr>
            <w:tcW w:w="1920" w:type="dxa"/>
          </w:tcPr>
          <w:p w14:paraId="601ABF13" w14:textId="77777777" w:rsidR="00FC2BD5" w:rsidRPr="00463642" w:rsidRDefault="00FC2BD5" w:rsidP="003960E9">
            <w:pPr>
              <w:pStyle w:val="Tabletext0"/>
              <w:keepNext/>
              <w:keepLines/>
            </w:pPr>
            <w:r>
              <w:t>0.0974</w:t>
            </w:r>
          </w:p>
        </w:tc>
        <w:tc>
          <w:tcPr>
            <w:tcW w:w="2001" w:type="dxa"/>
          </w:tcPr>
          <w:p w14:paraId="7D211FA1" w14:textId="77777777" w:rsidR="00FC2BD5" w:rsidRPr="00ED6D76" w:rsidRDefault="00FC2BD5" w:rsidP="003960E9">
            <w:pPr>
              <w:pStyle w:val="Tabletext0"/>
              <w:keepNext/>
              <w:keepLines/>
            </w:pPr>
            <w:r>
              <w:t>0</w:t>
            </w:r>
          </w:p>
        </w:tc>
        <w:tc>
          <w:tcPr>
            <w:tcW w:w="2385" w:type="dxa"/>
          </w:tcPr>
          <w:p w14:paraId="7AC75A9F" w14:textId="77777777" w:rsidR="00FC2BD5" w:rsidRPr="00463642" w:rsidRDefault="00FC2BD5" w:rsidP="003960E9">
            <w:pPr>
              <w:pStyle w:val="Tabletext0"/>
              <w:keepNext/>
              <w:keepLines/>
            </w:pPr>
            <w:r>
              <w:t>0.0974</w:t>
            </w:r>
          </w:p>
        </w:tc>
      </w:tr>
      <w:tr w:rsidR="00FC2BD5" w:rsidRPr="004C2BD0" w14:paraId="6BDF1F05" w14:textId="77777777" w:rsidTr="00857A43">
        <w:trPr>
          <w:trHeight w:val="215"/>
        </w:trPr>
        <w:tc>
          <w:tcPr>
            <w:tcW w:w="2721" w:type="dxa"/>
          </w:tcPr>
          <w:p w14:paraId="27C832E5" w14:textId="77777777" w:rsidR="00FC2BD5" w:rsidRPr="00446305" w:rsidRDefault="00FC2BD5" w:rsidP="003960E9">
            <w:pPr>
              <w:pStyle w:val="Tabletext0"/>
              <w:keepNext/>
              <w:keepLines/>
            </w:pPr>
            <w:r w:rsidRPr="00446305">
              <w:t>Treatment de-escalation</w:t>
            </w:r>
          </w:p>
        </w:tc>
        <w:tc>
          <w:tcPr>
            <w:tcW w:w="1920" w:type="dxa"/>
          </w:tcPr>
          <w:p w14:paraId="4655412D" w14:textId="77777777" w:rsidR="00FC2BD5" w:rsidRPr="00463642" w:rsidRDefault="00FC2BD5" w:rsidP="003960E9">
            <w:pPr>
              <w:pStyle w:val="Tabletext0"/>
              <w:keepNext/>
              <w:keepLines/>
            </w:pPr>
            <w:r>
              <w:t>0.0472</w:t>
            </w:r>
          </w:p>
        </w:tc>
        <w:tc>
          <w:tcPr>
            <w:tcW w:w="2001" w:type="dxa"/>
          </w:tcPr>
          <w:p w14:paraId="4FB227D9" w14:textId="77777777" w:rsidR="00FC2BD5" w:rsidRPr="00ED6D76" w:rsidRDefault="00FC2BD5" w:rsidP="003960E9">
            <w:pPr>
              <w:pStyle w:val="Tabletext0"/>
              <w:keepNext/>
              <w:keepLines/>
            </w:pPr>
            <w:r>
              <w:t>0</w:t>
            </w:r>
          </w:p>
        </w:tc>
        <w:tc>
          <w:tcPr>
            <w:tcW w:w="2385" w:type="dxa"/>
          </w:tcPr>
          <w:p w14:paraId="00AF9B22" w14:textId="77777777" w:rsidR="00FC2BD5" w:rsidRPr="00463642" w:rsidRDefault="00FC2BD5" w:rsidP="003960E9">
            <w:pPr>
              <w:pStyle w:val="Tabletext0"/>
              <w:keepNext/>
              <w:keepLines/>
            </w:pPr>
            <w:r>
              <w:t>0.0472</w:t>
            </w:r>
          </w:p>
        </w:tc>
      </w:tr>
      <w:tr w:rsidR="00FC2BD5" w:rsidRPr="004C2BD0" w14:paraId="05A6992F" w14:textId="77777777" w:rsidTr="00857A43">
        <w:trPr>
          <w:trHeight w:val="215"/>
        </w:trPr>
        <w:tc>
          <w:tcPr>
            <w:tcW w:w="6642" w:type="dxa"/>
            <w:gridSpan w:val="3"/>
          </w:tcPr>
          <w:p w14:paraId="69B60172" w14:textId="77777777" w:rsidR="00FC2BD5" w:rsidRDefault="00FC2BD5" w:rsidP="003960E9">
            <w:pPr>
              <w:pStyle w:val="Tabletext0"/>
              <w:keepNext/>
              <w:keepLines/>
            </w:pPr>
            <w:r w:rsidRPr="00FD515D">
              <w:t xml:space="preserve">Incremental diagnostic cost per patient with </w:t>
            </w:r>
            <w:r w:rsidRPr="00836811">
              <w:rPr>
                <w:i/>
              </w:rPr>
              <w:t>POLE</w:t>
            </w:r>
            <w:r w:rsidRPr="00FD515D">
              <w:t>mut</w:t>
            </w:r>
          </w:p>
        </w:tc>
        <w:tc>
          <w:tcPr>
            <w:tcW w:w="2385" w:type="dxa"/>
          </w:tcPr>
          <w:p w14:paraId="066256BF" w14:textId="77777777" w:rsidR="00FC2BD5" w:rsidRDefault="00FC2BD5" w:rsidP="003960E9">
            <w:pPr>
              <w:pStyle w:val="Tabletext0"/>
              <w:keepNext/>
              <w:keepLines/>
            </w:pPr>
            <w:r>
              <w:t>$5,105.07</w:t>
            </w:r>
          </w:p>
        </w:tc>
      </w:tr>
      <w:tr w:rsidR="00FC2BD5" w:rsidRPr="004C2BD0" w14:paraId="43D87E6C" w14:textId="77777777" w:rsidTr="00857A43">
        <w:trPr>
          <w:trHeight w:val="215"/>
        </w:trPr>
        <w:tc>
          <w:tcPr>
            <w:tcW w:w="6642" w:type="dxa"/>
            <w:gridSpan w:val="3"/>
          </w:tcPr>
          <w:p w14:paraId="634F519A" w14:textId="77777777" w:rsidR="00FC2BD5" w:rsidRDefault="00FC2BD5" w:rsidP="003960E9">
            <w:pPr>
              <w:pStyle w:val="Tabletext0"/>
              <w:keepNext/>
              <w:keepLines/>
            </w:pPr>
            <w:r w:rsidRPr="00FD515D">
              <w:t>Incremental cost per patient undergoing adjuvant therapy de-escalation</w:t>
            </w:r>
          </w:p>
        </w:tc>
        <w:tc>
          <w:tcPr>
            <w:tcW w:w="2385" w:type="dxa"/>
          </w:tcPr>
          <w:p w14:paraId="74FA5D41" w14:textId="77777777" w:rsidR="00FC2BD5" w:rsidRDefault="00FC2BD5" w:rsidP="003960E9">
            <w:pPr>
              <w:pStyle w:val="Tabletext0"/>
              <w:keepNext/>
              <w:keepLines/>
            </w:pPr>
            <w:r w:rsidRPr="00BB3CB1">
              <w:t>$5,533.16</w:t>
            </w:r>
          </w:p>
        </w:tc>
      </w:tr>
    </w:tbl>
    <w:p w14:paraId="5F000713" w14:textId="32D3137B" w:rsidR="00F15C67" w:rsidRPr="005B52B9" w:rsidRDefault="00FC2BD5" w:rsidP="003960E9">
      <w:pPr>
        <w:keepNext/>
        <w:keepLines/>
        <w:rPr>
          <w:rFonts w:ascii="Arial Narrow" w:hAnsi="Arial Narrow"/>
          <w:sz w:val="18"/>
          <w:szCs w:val="18"/>
          <w:lang w:val="en-US"/>
        </w:rPr>
      </w:pPr>
      <w:r w:rsidRPr="00002DC2">
        <w:rPr>
          <w:rFonts w:ascii="Arial Narrow" w:hAnsi="Arial Narrow"/>
          <w:sz w:val="18"/>
          <w:szCs w:val="18"/>
        </w:rPr>
        <w:t xml:space="preserve">Abbreviations: FIGO = International Federation of Gynecology and Obstetrics; </w:t>
      </w:r>
      <w:r w:rsidRPr="00002DC2">
        <w:rPr>
          <w:rFonts w:ascii="Arial Narrow" w:hAnsi="Arial Narrow"/>
          <w:i/>
          <w:sz w:val="18"/>
          <w:szCs w:val="18"/>
          <w:lang w:val="en-US"/>
        </w:rPr>
        <w:t>POLE</w:t>
      </w:r>
      <w:r w:rsidRPr="00002DC2">
        <w:rPr>
          <w:rFonts w:ascii="Arial Narrow" w:hAnsi="Arial Narrow"/>
          <w:sz w:val="18"/>
          <w:szCs w:val="18"/>
          <w:lang w:val="en-US"/>
        </w:rPr>
        <w:t xml:space="preserve"> = DNA polymerase epsilon, catalytic subunit</w:t>
      </w:r>
      <w:r w:rsidR="005B52B9">
        <w:rPr>
          <w:rFonts w:ascii="Arial Narrow" w:hAnsi="Arial Narrow"/>
          <w:sz w:val="18"/>
          <w:szCs w:val="18"/>
          <w:lang w:val="en-US"/>
        </w:rPr>
        <w:br/>
      </w:r>
      <w:r w:rsidR="005B52B9" w:rsidRPr="00EF37B6">
        <w:rPr>
          <w:rFonts w:ascii="Arial Narrow" w:hAnsi="Arial Narrow"/>
          <w:color w:val="000000" w:themeColor="text1"/>
          <w:sz w:val="18"/>
          <w:szCs w:val="18"/>
          <w:lang w:val="en-US"/>
        </w:rPr>
        <w:t>Note: MBS test fee of $497.13 used for the results presented in the table.</w:t>
      </w:r>
    </w:p>
    <w:p w14:paraId="51A09574" w14:textId="580E94B5" w:rsidR="00CC69F3" w:rsidRDefault="008F0CB7" w:rsidP="00694286">
      <w:pPr>
        <w:rPr>
          <w:lang w:val="en-US"/>
        </w:rPr>
      </w:pPr>
      <w:r w:rsidRPr="00002DC2">
        <w:rPr>
          <w:lang w:val="en-US"/>
        </w:rPr>
        <w:t xml:space="preserve">ESC </w:t>
      </w:r>
      <w:r>
        <w:rPr>
          <w:lang w:val="en-US"/>
        </w:rPr>
        <w:t xml:space="preserve">requested for the base case to be respecified </w:t>
      </w:r>
      <w:r w:rsidR="00EC133E">
        <w:rPr>
          <w:lang w:val="en-US"/>
        </w:rPr>
        <w:t>using the following parameters: 46% treatment de-</w:t>
      </w:r>
      <w:r w:rsidR="00D60DAB">
        <w:rPr>
          <w:lang w:val="en-US"/>
        </w:rPr>
        <w:t>escalation</w:t>
      </w:r>
      <w:r w:rsidR="00EC133E">
        <w:rPr>
          <w:lang w:val="en-US"/>
        </w:rPr>
        <w:t xml:space="preserve"> as per PORTEC 4a, use test fee of $397.35 and</w:t>
      </w:r>
      <w:r w:rsidR="00443679">
        <w:rPr>
          <w:lang w:val="en-US"/>
        </w:rPr>
        <w:t xml:space="preserve"> u</w:t>
      </w:r>
      <w:r w:rsidR="00443679" w:rsidRPr="00443679">
        <w:rPr>
          <w:lang w:val="en-US"/>
        </w:rPr>
        <w:t>se mapped utilities</w:t>
      </w:r>
      <w:r w:rsidR="00CD5D2A">
        <w:rPr>
          <w:lang w:val="en-US"/>
        </w:rPr>
        <w:t xml:space="preserve"> informed by PORTEC 3</w:t>
      </w:r>
      <w:r w:rsidR="00443679">
        <w:rPr>
          <w:lang w:val="en-US"/>
        </w:rPr>
        <w:t xml:space="preserve">. </w:t>
      </w:r>
      <w:r w:rsidR="008C4F75">
        <w:rPr>
          <w:lang w:val="en-US"/>
        </w:rPr>
        <w:t xml:space="preserve">However, as stated above, the assessment group noted that </w:t>
      </w:r>
      <w:r w:rsidR="005541FD">
        <w:rPr>
          <w:lang w:val="en-US"/>
        </w:rPr>
        <w:t>the 64% treatment de</w:t>
      </w:r>
      <w:r w:rsidR="00D32C9E">
        <w:rPr>
          <w:lang w:val="en-US"/>
        </w:rPr>
        <w:t>-</w:t>
      </w:r>
      <w:r w:rsidR="008648BD">
        <w:rPr>
          <w:lang w:val="en-US"/>
        </w:rPr>
        <w:t>escalation</w:t>
      </w:r>
      <w:r w:rsidR="00D32C9E">
        <w:rPr>
          <w:lang w:val="en-US"/>
        </w:rPr>
        <w:t xml:space="preserve"> in the base case is a derived intermediate result generated by the model rather than an input parameter and thus it cannot be adjusted within the model.</w:t>
      </w:r>
      <w:r w:rsidR="000E5722">
        <w:rPr>
          <w:lang w:val="en-US"/>
        </w:rPr>
        <w:t xml:space="preserve"> </w:t>
      </w:r>
      <w:r w:rsidR="00E92E80">
        <w:rPr>
          <w:lang w:val="en-US"/>
        </w:rPr>
        <w:t>Th</w:t>
      </w:r>
      <w:r w:rsidR="00692BB3">
        <w:rPr>
          <w:lang w:val="en-US"/>
        </w:rPr>
        <w:t xml:space="preserve">e assessment group has therefore respecified the base case using the </w:t>
      </w:r>
      <w:r w:rsidR="00CD56B0">
        <w:rPr>
          <w:lang w:val="en-US"/>
        </w:rPr>
        <w:t xml:space="preserve">test fee of $397.35 and </w:t>
      </w:r>
      <w:r w:rsidR="000E5722">
        <w:rPr>
          <w:lang w:val="en-US"/>
        </w:rPr>
        <w:t>the mapped utilities.</w:t>
      </w:r>
      <w:r w:rsidR="00887097">
        <w:rPr>
          <w:lang w:val="en-US"/>
        </w:rPr>
        <w:t xml:space="preserve"> Results </w:t>
      </w:r>
      <w:r w:rsidR="00815013">
        <w:rPr>
          <w:lang w:val="en-US"/>
        </w:rPr>
        <w:t>derived from the re</w:t>
      </w:r>
      <w:r w:rsidR="003E459C">
        <w:rPr>
          <w:lang w:val="en-US"/>
        </w:rPr>
        <w:t>specified</w:t>
      </w:r>
      <w:r w:rsidR="00815013">
        <w:rPr>
          <w:lang w:val="en-US"/>
        </w:rPr>
        <w:t xml:space="preserve"> base case are presented in </w:t>
      </w:r>
      <w:r w:rsidR="00815013">
        <w:rPr>
          <w:lang w:val="en-US"/>
        </w:rPr>
        <w:fldChar w:fldCharType="begin"/>
      </w:r>
      <w:r w:rsidR="00815013">
        <w:rPr>
          <w:lang w:val="en-US"/>
        </w:rPr>
        <w:instrText xml:space="preserve"> REF _Ref223618234 \h </w:instrText>
      </w:r>
      <w:r w:rsidR="00815013">
        <w:rPr>
          <w:lang w:val="en-US"/>
        </w:rPr>
      </w:r>
      <w:r w:rsidR="00815013">
        <w:rPr>
          <w:lang w:val="en-US"/>
        </w:rPr>
        <w:fldChar w:fldCharType="separate"/>
      </w:r>
      <w:r w:rsidR="00996E6E">
        <w:t xml:space="preserve">Table </w:t>
      </w:r>
      <w:r w:rsidR="00996E6E">
        <w:rPr>
          <w:noProof/>
        </w:rPr>
        <w:t>22</w:t>
      </w:r>
      <w:r w:rsidR="00815013">
        <w:rPr>
          <w:lang w:val="en-US"/>
        </w:rPr>
        <w:fldChar w:fldCharType="end"/>
      </w:r>
      <w:r w:rsidR="00815013">
        <w:rPr>
          <w:lang w:val="en-US"/>
        </w:rPr>
        <w:t xml:space="preserve"> to </w:t>
      </w:r>
      <w:r w:rsidR="008B50CD">
        <w:rPr>
          <w:lang w:val="en-US"/>
        </w:rPr>
        <w:fldChar w:fldCharType="begin"/>
      </w:r>
      <w:r w:rsidR="008B50CD">
        <w:rPr>
          <w:lang w:val="en-US"/>
        </w:rPr>
        <w:instrText xml:space="preserve"> REF _Ref223618246 \h </w:instrText>
      </w:r>
      <w:r w:rsidR="008B50CD">
        <w:rPr>
          <w:lang w:val="en-US"/>
        </w:rPr>
      </w:r>
      <w:r w:rsidR="008B50CD">
        <w:rPr>
          <w:lang w:val="en-US"/>
        </w:rPr>
        <w:fldChar w:fldCharType="separate"/>
      </w:r>
      <w:r w:rsidR="000B42CB" w:rsidRPr="00C66E0D">
        <w:t xml:space="preserve">Table </w:t>
      </w:r>
      <w:r w:rsidR="000B42CB">
        <w:rPr>
          <w:noProof/>
        </w:rPr>
        <w:t>25</w:t>
      </w:r>
      <w:r w:rsidR="008B50CD">
        <w:rPr>
          <w:lang w:val="en-US"/>
        </w:rPr>
        <w:fldChar w:fldCharType="end"/>
      </w:r>
      <w:r w:rsidR="008B50CD">
        <w:rPr>
          <w:lang w:val="en-US"/>
        </w:rPr>
        <w:t>.</w:t>
      </w:r>
    </w:p>
    <w:p w14:paraId="42010C41" w14:textId="57F8C159" w:rsidR="00CC69F3" w:rsidRPr="00CC69F3" w:rsidRDefault="00CC69F3" w:rsidP="12F47456">
      <w:pPr>
        <w:pStyle w:val="Caption"/>
        <w:rPr>
          <w:rFonts w:eastAsia="Aptos" w:cs="Arial"/>
          <w:i/>
          <w:iCs/>
          <w:color w:val="000000"/>
          <w:kern w:val="2"/>
          <w:sz w:val="18"/>
          <w:szCs w:val="18"/>
          <w:lang w:val="en-US"/>
          <w14:ligatures w14:val="standardContextual"/>
        </w:rPr>
      </w:pPr>
      <w:bookmarkStart w:id="92" w:name="_Ref223618234"/>
      <w:r>
        <w:t xml:space="preserve">Table </w:t>
      </w:r>
      <w:r>
        <w:fldChar w:fldCharType="begin"/>
      </w:r>
      <w:r>
        <w:instrText>SEQ Table \* ARABIC</w:instrText>
      </w:r>
      <w:r>
        <w:fldChar w:fldCharType="separate"/>
      </w:r>
      <w:r w:rsidR="00996E6E">
        <w:rPr>
          <w:noProof/>
        </w:rPr>
        <w:t>22</w:t>
      </w:r>
      <w:r>
        <w:fldChar w:fldCharType="end"/>
      </w:r>
      <w:bookmarkEnd w:id="92"/>
      <w:r>
        <w:t xml:space="preserve"> </w:t>
      </w:r>
      <w:r w:rsidRPr="00002DC2">
        <w:rPr>
          <w:rFonts w:eastAsia="Aptos" w:cs="Arial"/>
          <w:color w:val="000000"/>
          <w:kern w:val="2"/>
          <w:lang w:val="en-US"/>
          <w14:ligatures w14:val="standardContextual"/>
        </w:rPr>
        <w:t>Healthcare resource items: disaggregated summary of cost impact per patient in the economic evaluation, respecified base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3"/>
        <w:gridCol w:w="2251"/>
        <w:gridCol w:w="2251"/>
        <w:gridCol w:w="2251"/>
      </w:tblGrid>
      <w:tr w:rsidR="00CC69F3" w:rsidRPr="00CC69F3" w14:paraId="4158B82A" w14:textId="77777777" w:rsidTr="00CC69F3">
        <w:trPr>
          <w:cantSplit/>
          <w:tblHeader/>
        </w:trPr>
        <w:tc>
          <w:tcPr>
            <w:tcW w:w="2263" w:type="dxa"/>
            <w:shd w:val="clear" w:color="auto" w:fill="F2F2F2"/>
          </w:tcPr>
          <w:p w14:paraId="3D3FF028" w14:textId="77777777" w:rsidR="00CC69F3" w:rsidRPr="00CC69F3" w:rsidRDefault="00CC69F3" w:rsidP="00CC69F3">
            <w:pPr>
              <w:spacing w:before="0" w:after="0" w:line="276" w:lineRule="auto"/>
              <w:jc w:val="both"/>
              <w:rPr>
                <w:rFonts w:ascii="Arial Narrow" w:eastAsia="Aptos" w:hAnsi="Arial Narrow" w:cs="Calibri"/>
                <w:b/>
                <w:bCs/>
                <w:color w:val="000000"/>
                <w:kern w:val="2"/>
                <w:sz w:val="20"/>
                <w:szCs w:val="20"/>
                <w14:ligatures w14:val="standardContextual"/>
              </w:rPr>
            </w:pPr>
            <w:bookmarkStart w:id="93" w:name="Title_Table34" w:colFirst="0" w:colLast="0"/>
            <w:r w:rsidRPr="00CC69F3">
              <w:rPr>
                <w:rFonts w:ascii="Arial Narrow" w:eastAsia="Aptos" w:hAnsi="Arial Narrow" w:cs="Calibri"/>
                <w:b/>
                <w:bCs/>
                <w:color w:val="000000"/>
                <w:kern w:val="2"/>
                <w:sz w:val="20"/>
                <w:szCs w:val="20"/>
                <w14:ligatures w14:val="standardContextual"/>
              </w:rPr>
              <w:t>Type of resource item</w:t>
            </w:r>
          </w:p>
        </w:tc>
        <w:tc>
          <w:tcPr>
            <w:tcW w:w="2251" w:type="dxa"/>
            <w:shd w:val="clear" w:color="auto" w:fill="F2F2F2"/>
          </w:tcPr>
          <w:p w14:paraId="58ED0080" w14:textId="77777777" w:rsidR="00CC69F3" w:rsidRPr="00CC69F3" w:rsidRDefault="00CC69F3" w:rsidP="00CC69F3">
            <w:pPr>
              <w:spacing w:before="0" w:after="0" w:line="276" w:lineRule="auto"/>
              <w:jc w:val="both"/>
              <w:rPr>
                <w:rFonts w:ascii="Arial Narrow" w:eastAsia="Aptos" w:hAnsi="Arial Narrow" w:cs="Calibri"/>
                <w:b/>
                <w:bCs/>
                <w:color w:val="000000"/>
                <w:kern w:val="2"/>
                <w:sz w:val="20"/>
                <w:szCs w:val="20"/>
                <w14:ligatures w14:val="standardContextual"/>
              </w:rPr>
            </w:pPr>
            <w:r w:rsidRPr="00CC69F3">
              <w:rPr>
                <w:rFonts w:ascii="Arial Narrow" w:eastAsia="Aptos" w:hAnsi="Arial Narrow" w:cs="Calibri"/>
                <w:b/>
                <w:bCs/>
                <w:color w:val="000000"/>
                <w:kern w:val="2"/>
                <w:sz w:val="20"/>
                <w:szCs w:val="20"/>
                <w14:ligatures w14:val="standardContextual"/>
              </w:rPr>
              <w:t xml:space="preserve">Costs for </w:t>
            </w:r>
            <w:r w:rsidRPr="00CC69F3">
              <w:rPr>
                <w:rFonts w:ascii="Arial Narrow" w:eastAsia="Aptos" w:hAnsi="Arial Narrow" w:cs="Calibri"/>
                <w:b/>
                <w:bCs/>
                <w:i/>
                <w:color w:val="000000"/>
                <w:kern w:val="2"/>
                <w:sz w:val="20"/>
                <w:szCs w:val="20"/>
                <w14:ligatures w14:val="standardContextual"/>
              </w:rPr>
              <w:t>POLE</w:t>
            </w:r>
            <w:r w:rsidRPr="00CC69F3">
              <w:rPr>
                <w:rFonts w:ascii="Arial Narrow" w:eastAsia="Aptos" w:hAnsi="Arial Narrow" w:cs="Calibri"/>
                <w:b/>
                <w:bCs/>
                <w:color w:val="000000"/>
                <w:kern w:val="2"/>
                <w:sz w:val="20"/>
                <w:szCs w:val="20"/>
                <w14:ligatures w14:val="standardContextual"/>
              </w:rPr>
              <w:t xml:space="preserve"> genotyping</w:t>
            </w:r>
          </w:p>
        </w:tc>
        <w:tc>
          <w:tcPr>
            <w:tcW w:w="2251" w:type="dxa"/>
            <w:shd w:val="clear" w:color="auto" w:fill="F2F2F2"/>
          </w:tcPr>
          <w:p w14:paraId="173923C4" w14:textId="77777777" w:rsidR="00CC69F3" w:rsidRPr="00CC69F3" w:rsidRDefault="00CC69F3" w:rsidP="00CC69F3">
            <w:pPr>
              <w:spacing w:before="0" w:after="0" w:line="276" w:lineRule="auto"/>
              <w:jc w:val="both"/>
              <w:rPr>
                <w:rFonts w:ascii="Arial Narrow" w:eastAsia="Aptos" w:hAnsi="Arial Narrow" w:cs="Calibri"/>
                <w:b/>
                <w:bCs/>
                <w:color w:val="000000"/>
                <w:kern w:val="2"/>
                <w:sz w:val="20"/>
                <w:szCs w:val="20"/>
                <w14:ligatures w14:val="standardContextual"/>
              </w:rPr>
            </w:pPr>
            <w:r w:rsidRPr="00CC69F3">
              <w:rPr>
                <w:rFonts w:ascii="Arial Narrow" w:eastAsia="Aptos" w:hAnsi="Arial Narrow" w:cs="Calibri"/>
                <w:b/>
                <w:bCs/>
                <w:color w:val="000000"/>
                <w:kern w:val="2"/>
                <w:sz w:val="20"/>
                <w:szCs w:val="20"/>
                <w14:ligatures w14:val="standardContextual"/>
              </w:rPr>
              <w:t>Costs for comparator</w:t>
            </w:r>
          </w:p>
        </w:tc>
        <w:tc>
          <w:tcPr>
            <w:tcW w:w="2251" w:type="dxa"/>
            <w:shd w:val="clear" w:color="auto" w:fill="F2F2F2"/>
          </w:tcPr>
          <w:p w14:paraId="061DD3F3" w14:textId="77777777" w:rsidR="00CC69F3" w:rsidRPr="00CC69F3" w:rsidRDefault="00CC69F3" w:rsidP="00CC69F3">
            <w:pPr>
              <w:spacing w:before="0" w:after="0" w:line="276" w:lineRule="auto"/>
              <w:jc w:val="both"/>
              <w:rPr>
                <w:rFonts w:ascii="Arial Narrow" w:eastAsia="Aptos" w:hAnsi="Arial Narrow" w:cs="Calibri"/>
                <w:b/>
                <w:bCs/>
                <w:color w:val="000000"/>
                <w:kern w:val="2"/>
                <w:sz w:val="20"/>
                <w:szCs w:val="20"/>
                <w14:ligatures w14:val="standardContextual"/>
              </w:rPr>
            </w:pPr>
            <w:r w:rsidRPr="00CC69F3">
              <w:rPr>
                <w:rFonts w:ascii="Arial Narrow" w:eastAsia="Aptos" w:hAnsi="Arial Narrow" w:cs="Calibri"/>
                <w:b/>
                <w:bCs/>
                <w:color w:val="000000"/>
                <w:kern w:val="2"/>
                <w:sz w:val="20"/>
                <w:szCs w:val="20"/>
                <w14:ligatures w14:val="standardContextual"/>
              </w:rPr>
              <w:t>Incremental cost</w:t>
            </w:r>
          </w:p>
        </w:tc>
      </w:tr>
      <w:bookmarkEnd w:id="93"/>
      <w:tr w:rsidR="00CC69F3" w:rsidRPr="00CC69F3" w14:paraId="4619EF66" w14:textId="77777777">
        <w:trPr>
          <w:cantSplit/>
          <w:trHeight w:val="215"/>
        </w:trPr>
        <w:tc>
          <w:tcPr>
            <w:tcW w:w="2263" w:type="dxa"/>
          </w:tcPr>
          <w:p w14:paraId="039E0784" w14:textId="77777777" w:rsidR="00CC69F3" w:rsidRPr="00CC69F3" w:rsidRDefault="00CC69F3" w:rsidP="00CC69F3">
            <w:pPr>
              <w:spacing w:before="40" w:after="0" w:line="240" w:lineRule="auto"/>
              <w:jc w:val="both"/>
              <w:rPr>
                <w:rFonts w:ascii="Arial Narrow" w:eastAsia="Times New Roman" w:hAnsi="Arial Narrow" w:cs="Tahoma"/>
                <w:bCs/>
                <w:color w:val="000000"/>
                <w:sz w:val="20"/>
                <w:szCs w:val="20"/>
                <w:lang w:eastAsia="en-AU"/>
              </w:rPr>
            </w:pPr>
            <w:r w:rsidRPr="00CC69F3">
              <w:rPr>
                <w:rFonts w:ascii="Arial Narrow" w:eastAsia="Times New Roman" w:hAnsi="Arial Narrow" w:cs="Tahoma"/>
                <w:bCs/>
                <w:color w:val="000000"/>
                <w:sz w:val="20"/>
                <w:szCs w:val="20"/>
                <w:lang w:eastAsia="en-AU"/>
              </w:rPr>
              <w:t>Diagnosis</w:t>
            </w:r>
          </w:p>
        </w:tc>
        <w:tc>
          <w:tcPr>
            <w:tcW w:w="2251" w:type="dxa"/>
          </w:tcPr>
          <w:p w14:paraId="609307C7"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$397.35</w:t>
            </w:r>
          </w:p>
        </w:tc>
        <w:tc>
          <w:tcPr>
            <w:tcW w:w="2251" w:type="dxa"/>
          </w:tcPr>
          <w:p w14:paraId="039E394F"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w:t>
            </w:r>
          </w:p>
        </w:tc>
        <w:tc>
          <w:tcPr>
            <w:tcW w:w="2251" w:type="dxa"/>
          </w:tcPr>
          <w:p w14:paraId="68094145"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$397.35</w:t>
            </w:r>
          </w:p>
        </w:tc>
      </w:tr>
      <w:tr w:rsidR="00CC69F3" w:rsidRPr="00CC69F3" w14:paraId="7CB4C7F6" w14:textId="77777777">
        <w:trPr>
          <w:cantSplit/>
          <w:trHeight w:val="215"/>
        </w:trPr>
        <w:tc>
          <w:tcPr>
            <w:tcW w:w="2263" w:type="dxa"/>
          </w:tcPr>
          <w:p w14:paraId="6C01F524" w14:textId="77777777" w:rsidR="00CC69F3" w:rsidRPr="00CC69F3" w:rsidRDefault="00CC69F3" w:rsidP="00CC69F3">
            <w:pPr>
              <w:spacing w:before="40" w:after="0" w:line="240" w:lineRule="auto"/>
              <w:jc w:val="both"/>
              <w:rPr>
                <w:rFonts w:ascii="Arial Narrow" w:eastAsia="Times New Roman" w:hAnsi="Arial Narrow" w:cs="Tahoma"/>
                <w:bCs/>
                <w:color w:val="000000"/>
                <w:sz w:val="20"/>
                <w:szCs w:val="20"/>
                <w:lang w:eastAsia="en-AU"/>
              </w:rPr>
            </w:pPr>
            <w:r w:rsidRPr="00CC69F3">
              <w:rPr>
                <w:rFonts w:ascii="Arial Narrow" w:eastAsia="Times New Roman" w:hAnsi="Arial Narrow" w:cs="Tahoma"/>
                <w:bCs/>
                <w:color w:val="000000"/>
                <w:sz w:val="20"/>
                <w:szCs w:val="20"/>
                <w:lang w:eastAsia="en-AU"/>
              </w:rPr>
              <w:t>Treatment de-escalation</w:t>
            </w:r>
          </w:p>
        </w:tc>
        <w:tc>
          <w:tcPr>
            <w:tcW w:w="2251" w:type="dxa"/>
          </w:tcPr>
          <w:p w14:paraId="22266529"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$10,555.34</w:t>
            </w:r>
          </w:p>
        </w:tc>
        <w:tc>
          <w:tcPr>
            <w:tcW w:w="2251" w:type="dxa"/>
          </w:tcPr>
          <w:p w14:paraId="36038BC5"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$11,190.77</w:t>
            </w:r>
          </w:p>
        </w:tc>
        <w:tc>
          <w:tcPr>
            <w:tcW w:w="2251" w:type="dxa"/>
          </w:tcPr>
          <w:p w14:paraId="4115CF0C"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−$635.43</w:t>
            </w:r>
          </w:p>
        </w:tc>
      </w:tr>
      <w:tr w:rsidR="00CC69F3" w:rsidRPr="00CC69F3" w14:paraId="281460BE" w14:textId="77777777">
        <w:trPr>
          <w:cantSplit/>
          <w:trHeight w:val="215"/>
        </w:trPr>
        <w:tc>
          <w:tcPr>
            <w:tcW w:w="2263" w:type="dxa"/>
          </w:tcPr>
          <w:p w14:paraId="3E6828F2" w14:textId="77777777" w:rsidR="00CC69F3" w:rsidRPr="00CC69F3" w:rsidRDefault="00CC69F3" w:rsidP="00CC69F3">
            <w:pPr>
              <w:spacing w:before="40" w:after="0" w:line="240" w:lineRule="auto"/>
              <w:jc w:val="both"/>
              <w:rPr>
                <w:rFonts w:ascii="Arial Narrow" w:eastAsia="Times New Roman" w:hAnsi="Arial Narrow" w:cs="Tahoma"/>
                <w:bCs/>
                <w:color w:val="000000"/>
                <w:sz w:val="20"/>
                <w:szCs w:val="20"/>
                <w:lang w:eastAsia="en-AU"/>
              </w:rPr>
            </w:pPr>
            <w:r w:rsidRPr="00CC69F3">
              <w:rPr>
                <w:rFonts w:ascii="Arial Narrow" w:eastAsia="Times New Roman" w:hAnsi="Arial Narrow" w:cs="Tahoma"/>
                <w:bCs/>
                <w:color w:val="000000"/>
                <w:sz w:val="20"/>
                <w:szCs w:val="20"/>
                <w:lang w:eastAsia="en-AU"/>
              </w:rPr>
              <w:t>Total</w:t>
            </w:r>
          </w:p>
        </w:tc>
        <w:tc>
          <w:tcPr>
            <w:tcW w:w="2251" w:type="dxa"/>
          </w:tcPr>
          <w:p w14:paraId="3CF79A11"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$10,952.69</w:t>
            </w:r>
          </w:p>
        </w:tc>
        <w:tc>
          <w:tcPr>
            <w:tcW w:w="2251" w:type="dxa"/>
          </w:tcPr>
          <w:p w14:paraId="01DE42F7" w14:textId="77777777" w:rsidR="00CC69F3" w:rsidRPr="00CC69F3" w:rsidRDefault="00CC69F3" w:rsidP="00CC69F3">
            <w:pPr>
              <w:spacing w:before="40" w:after="0" w:line="240" w:lineRule="auto"/>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$11,190.77</w:t>
            </w:r>
          </w:p>
        </w:tc>
        <w:tc>
          <w:tcPr>
            <w:tcW w:w="2251" w:type="dxa"/>
          </w:tcPr>
          <w:p w14:paraId="46BBA777"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−$238.08</w:t>
            </w:r>
          </w:p>
        </w:tc>
      </w:tr>
    </w:tbl>
    <w:p w14:paraId="3BA9D793" w14:textId="2DA76599" w:rsidR="00CC69F3" w:rsidRPr="00002DC2" w:rsidRDefault="00C71CF9" w:rsidP="12F47456">
      <w:pPr>
        <w:pStyle w:val="Caption"/>
        <w:rPr>
          <w:rFonts w:eastAsia="Aptos" w:cs="Arial"/>
          <w:i/>
          <w:iCs/>
          <w:color w:val="000000"/>
          <w:kern w:val="2"/>
          <w:lang w:val="en-US"/>
          <w14:ligatures w14:val="standardContextual"/>
        </w:rPr>
      </w:pPr>
      <w:r w:rsidRPr="00C66E0D">
        <w:t xml:space="preserve">Table </w:t>
      </w:r>
      <w:r>
        <w:fldChar w:fldCharType="begin"/>
      </w:r>
      <w:r>
        <w:instrText>SEQ Table \* ARABIC</w:instrText>
      </w:r>
      <w:r>
        <w:fldChar w:fldCharType="separate"/>
      </w:r>
      <w:r w:rsidR="00996E6E">
        <w:rPr>
          <w:noProof/>
        </w:rPr>
        <w:t>23</w:t>
      </w:r>
      <w:r>
        <w:fldChar w:fldCharType="end"/>
      </w:r>
      <w:r w:rsidRPr="00C66E0D">
        <w:t xml:space="preserve"> </w:t>
      </w:r>
      <w:r w:rsidR="00CC69F3" w:rsidRPr="00002DC2">
        <w:rPr>
          <w:rFonts w:eastAsia="Aptos" w:cs="Arial"/>
          <w:color w:val="000000"/>
          <w:kern w:val="2"/>
          <w:lang w:val="en-US"/>
          <w14:ligatures w14:val="standardContextual"/>
        </w:rPr>
        <w:t>Disaggregated summary of health outcomes per patient included in the economic evaluation, respecified base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2014"/>
        <w:gridCol w:w="2015"/>
        <w:gridCol w:w="2015"/>
      </w:tblGrid>
      <w:tr w:rsidR="00CC69F3" w:rsidRPr="00CC69F3" w14:paraId="77031658" w14:textId="77777777" w:rsidTr="00CC69F3">
        <w:trPr>
          <w:cantSplit/>
          <w:trHeight w:val="507"/>
          <w:tblHeader/>
        </w:trPr>
        <w:tc>
          <w:tcPr>
            <w:tcW w:w="2972" w:type="dxa"/>
            <w:shd w:val="clear" w:color="auto" w:fill="F2F2F2"/>
          </w:tcPr>
          <w:p w14:paraId="7DBFEC6E" w14:textId="77777777" w:rsidR="00CC69F3" w:rsidRPr="00CC69F3" w:rsidRDefault="00CC69F3" w:rsidP="00CC69F3">
            <w:pPr>
              <w:spacing w:before="0" w:after="0" w:line="276" w:lineRule="auto"/>
              <w:jc w:val="both"/>
              <w:rPr>
                <w:rFonts w:ascii="Arial Narrow" w:eastAsia="Aptos" w:hAnsi="Arial Narrow" w:cs="Calibri"/>
                <w:b/>
                <w:bCs/>
                <w:color w:val="000000"/>
                <w:kern w:val="2"/>
                <w:sz w:val="20"/>
                <w:szCs w:val="20"/>
                <w14:ligatures w14:val="standardContextual"/>
              </w:rPr>
            </w:pPr>
            <w:r w:rsidRPr="00CC69F3">
              <w:rPr>
                <w:rFonts w:ascii="Arial Narrow" w:eastAsia="Aptos" w:hAnsi="Arial Narrow" w:cs="Calibri"/>
                <w:b/>
                <w:bCs/>
                <w:color w:val="000000"/>
                <w:kern w:val="2"/>
                <w:sz w:val="20"/>
                <w:szCs w:val="20"/>
                <w14:ligatures w14:val="standardContextual"/>
              </w:rPr>
              <w:t>Health outcome</w:t>
            </w:r>
          </w:p>
        </w:tc>
        <w:tc>
          <w:tcPr>
            <w:tcW w:w="2014" w:type="dxa"/>
            <w:shd w:val="clear" w:color="auto" w:fill="F2F2F2"/>
          </w:tcPr>
          <w:p w14:paraId="46DE237C" w14:textId="77777777" w:rsidR="00CC69F3" w:rsidRPr="00CC69F3" w:rsidRDefault="00CC69F3" w:rsidP="00CC69F3">
            <w:pPr>
              <w:spacing w:before="0" w:after="0" w:line="276" w:lineRule="auto"/>
              <w:rPr>
                <w:rFonts w:ascii="Arial Narrow" w:eastAsia="Aptos" w:hAnsi="Arial Narrow" w:cs="Calibri"/>
                <w:b/>
                <w:bCs/>
                <w:color w:val="000000"/>
                <w:kern w:val="2"/>
                <w:sz w:val="20"/>
                <w:szCs w:val="20"/>
                <w14:ligatures w14:val="standardContextual"/>
              </w:rPr>
            </w:pPr>
            <w:r w:rsidRPr="00CC69F3">
              <w:rPr>
                <w:rFonts w:ascii="Arial Narrow" w:eastAsia="Aptos" w:hAnsi="Arial Narrow" w:cs="Calibri"/>
                <w:b/>
                <w:bCs/>
                <w:color w:val="000000"/>
                <w:kern w:val="2"/>
                <w:sz w:val="20"/>
                <w:szCs w:val="20"/>
                <w14:ligatures w14:val="standardContextual"/>
              </w:rPr>
              <w:t xml:space="preserve">Outcome for </w:t>
            </w:r>
            <w:r w:rsidRPr="00CC69F3">
              <w:rPr>
                <w:rFonts w:ascii="Arial Narrow" w:eastAsia="Aptos" w:hAnsi="Arial Narrow" w:cs="Calibri"/>
                <w:b/>
                <w:bCs/>
                <w:i/>
                <w:color w:val="000000"/>
                <w:kern w:val="2"/>
                <w:sz w:val="20"/>
                <w:szCs w:val="20"/>
                <w14:ligatures w14:val="standardContextual"/>
              </w:rPr>
              <w:t>POLE</w:t>
            </w:r>
            <w:r w:rsidRPr="00CC69F3">
              <w:rPr>
                <w:rFonts w:ascii="Arial Narrow" w:eastAsia="Aptos" w:hAnsi="Arial Narrow" w:cs="Calibri"/>
                <w:b/>
                <w:bCs/>
                <w:color w:val="000000"/>
                <w:kern w:val="2"/>
                <w:sz w:val="20"/>
                <w:szCs w:val="20"/>
                <w14:ligatures w14:val="standardContextual"/>
              </w:rPr>
              <w:t xml:space="preserve"> genotyping</w:t>
            </w:r>
          </w:p>
        </w:tc>
        <w:tc>
          <w:tcPr>
            <w:tcW w:w="2015" w:type="dxa"/>
            <w:shd w:val="clear" w:color="auto" w:fill="F2F2F2"/>
          </w:tcPr>
          <w:p w14:paraId="530418B3" w14:textId="77777777" w:rsidR="00CC69F3" w:rsidRPr="00CC69F3" w:rsidRDefault="00CC69F3" w:rsidP="00CC69F3">
            <w:pPr>
              <w:spacing w:before="0" w:after="0" w:line="276" w:lineRule="auto"/>
              <w:rPr>
                <w:rFonts w:ascii="Arial Narrow" w:eastAsia="Aptos" w:hAnsi="Arial Narrow" w:cs="Calibri"/>
                <w:b/>
                <w:bCs/>
                <w:color w:val="000000"/>
                <w:kern w:val="2"/>
                <w:sz w:val="20"/>
                <w:szCs w:val="20"/>
                <w14:ligatures w14:val="standardContextual"/>
              </w:rPr>
            </w:pPr>
            <w:r w:rsidRPr="00CC69F3">
              <w:rPr>
                <w:rFonts w:ascii="Arial Narrow" w:eastAsia="Aptos" w:hAnsi="Arial Narrow" w:cs="Calibri"/>
                <w:b/>
                <w:bCs/>
                <w:color w:val="000000"/>
                <w:kern w:val="2"/>
                <w:sz w:val="20"/>
                <w:szCs w:val="20"/>
                <w14:ligatures w14:val="standardContextual"/>
              </w:rPr>
              <w:t>Outcome for comparator</w:t>
            </w:r>
          </w:p>
        </w:tc>
        <w:tc>
          <w:tcPr>
            <w:tcW w:w="2015" w:type="dxa"/>
            <w:shd w:val="clear" w:color="auto" w:fill="F2F2F2"/>
          </w:tcPr>
          <w:p w14:paraId="5F345DE5" w14:textId="77777777" w:rsidR="00CC69F3" w:rsidRPr="00CC69F3" w:rsidRDefault="00CC69F3" w:rsidP="00CC69F3">
            <w:pPr>
              <w:spacing w:before="0" w:after="0" w:line="276" w:lineRule="auto"/>
              <w:jc w:val="both"/>
              <w:rPr>
                <w:rFonts w:ascii="Arial Narrow" w:eastAsia="Aptos" w:hAnsi="Arial Narrow" w:cs="Calibri"/>
                <w:b/>
                <w:bCs/>
                <w:color w:val="000000"/>
                <w:kern w:val="2"/>
                <w:sz w:val="20"/>
                <w:szCs w:val="20"/>
                <w14:ligatures w14:val="standardContextual"/>
              </w:rPr>
            </w:pPr>
            <w:r w:rsidRPr="00CC69F3">
              <w:rPr>
                <w:rFonts w:ascii="Arial Narrow" w:eastAsia="Aptos" w:hAnsi="Arial Narrow" w:cs="Calibri"/>
                <w:b/>
                <w:bCs/>
                <w:color w:val="000000"/>
                <w:kern w:val="2"/>
                <w:sz w:val="20"/>
                <w:szCs w:val="20"/>
                <w14:ligatures w14:val="standardContextual"/>
              </w:rPr>
              <w:t>Incremental outcome</w:t>
            </w:r>
          </w:p>
        </w:tc>
      </w:tr>
      <w:tr w:rsidR="00CC69F3" w:rsidRPr="00CC69F3" w14:paraId="22B7334E" w14:textId="77777777">
        <w:trPr>
          <w:cantSplit/>
        </w:trPr>
        <w:tc>
          <w:tcPr>
            <w:tcW w:w="2972" w:type="dxa"/>
          </w:tcPr>
          <w:p w14:paraId="4C7D2D59"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Diagnostic outcomes</w:t>
            </w:r>
          </w:p>
        </w:tc>
        <w:tc>
          <w:tcPr>
            <w:tcW w:w="2014" w:type="dxa"/>
          </w:tcPr>
          <w:p w14:paraId="79418113"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0.0974</w:t>
            </w:r>
          </w:p>
        </w:tc>
        <w:tc>
          <w:tcPr>
            <w:tcW w:w="2015" w:type="dxa"/>
          </w:tcPr>
          <w:p w14:paraId="6101BC9F"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w:t>
            </w:r>
          </w:p>
        </w:tc>
        <w:tc>
          <w:tcPr>
            <w:tcW w:w="2015" w:type="dxa"/>
          </w:tcPr>
          <w:p w14:paraId="1AAE1062"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0.0974</w:t>
            </w:r>
          </w:p>
        </w:tc>
      </w:tr>
      <w:tr w:rsidR="00CC69F3" w:rsidRPr="00CC69F3" w14:paraId="2F43B73E" w14:textId="77777777">
        <w:trPr>
          <w:cantSplit/>
        </w:trPr>
        <w:tc>
          <w:tcPr>
            <w:tcW w:w="2972" w:type="dxa"/>
          </w:tcPr>
          <w:p w14:paraId="6937F78C"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Treatment de-escalation outcomes</w:t>
            </w:r>
          </w:p>
        </w:tc>
        <w:tc>
          <w:tcPr>
            <w:tcW w:w="2014" w:type="dxa"/>
          </w:tcPr>
          <w:p w14:paraId="2320A940"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0.0623</w:t>
            </w:r>
          </w:p>
        </w:tc>
        <w:tc>
          <w:tcPr>
            <w:tcW w:w="2015" w:type="dxa"/>
          </w:tcPr>
          <w:p w14:paraId="3709CB9A"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w:t>
            </w:r>
          </w:p>
        </w:tc>
        <w:tc>
          <w:tcPr>
            <w:tcW w:w="2015" w:type="dxa"/>
          </w:tcPr>
          <w:p w14:paraId="0DD49423"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0.0623</w:t>
            </w:r>
          </w:p>
        </w:tc>
      </w:tr>
      <w:tr w:rsidR="00CC69F3" w:rsidRPr="00CC69F3" w14:paraId="14BD4510" w14:textId="77777777">
        <w:trPr>
          <w:cantSplit/>
        </w:trPr>
        <w:tc>
          <w:tcPr>
            <w:tcW w:w="2972" w:type="dxa"/>
          </w:tcPr>
          <w:p w14:paraId="53D985A9"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QALY outcomes</w:t>
            </w:r>
          </w:p>
        </w:tc>
        <w:tc>
          <w:tcPr>
            <w:tcW w:w="2014" w:type="dxa"/>
          </w:tcPr>
          <w:p w14:paraId="5AE990D0"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NE</w:t>
            </w:r>
          </w:p>
        </w:tc>
        <w:tc>
          <w:tcPr>
            <w:tcW w:w="2015" w:type="dxa"/>
          </w:tcPr>
          <w:p w14:paraId="4D657565"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NE</w:t>
            </w:r>
          </w:p>
        </w:tc>
        <w:tc>
          <w:tcPr>
            <w:tcW w:w="2015" w:type="dxa"/>
          </w:tcPr>
          <w:p w14:paraId="48558ADE" w14:textId="77777777" w:rsidR="00CC69F3" w:rsidRPr="00CC69F3" w:rsidRDefault="00CC69F3" w:rsidP="00CC69F3">
            <w:pPr>
              <w:spacing w:before="40" w:after="0" w:line="240" w:lineRule="auto"/>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0.002</w:t>
            </w:r>
          </w:p>
        </w:tc>
      </w:tr>
    </w:tbl>
    <w:p w14:paraId="2C12B35A" w14:textId="35F59A82" w:rsidR="00CC69F3" w:rsidRPr="007227F7" w:rsidRDefault="00CC69F3" w:rsidP="007227F7">
      <w:pPr>
        <w:spacing w:before="0" w:after="0" w:line="276" w:lineRule="auto"/>
        <w:rPr>
          <w:rFonts w:ascii="Arial Narrow" w:eastAsia="Times New Roman" w:hAnsi="Arial Narrow" w:cs="Tahoma"/>
          <w:color w:val="000000"/>
          <w:sz w:val="18"/>
          <w:szCs w:val="18"/>
          <w:lang w:eastAsia="en-AU"/>
        </w:rPr>
      </w:pPr>
      <w:r w:rsidRPr="00CC69F3">
        <w:rPr>
          <w:rFonts w:ascii="Arial Narrow" w:eastAsia="Times New Roman" w:hAnsi="Arial Narrow" w:cs="Tahoma"/>
          <w:color w:val="000000"/>
          <w:sz w:val="18"/>
          <w:szCs w:val="18"/>
          <w:lang w:eastAsia="en-AU"/>
        </w:rPr>
        <w:t>Abbreviations: NE = not estimated; QALY = quality-adjusted life year</w:t>
      </w:r>
    </w:p>
    <w:p w14:paraId="64774269" w14:textId="18EA7817" w:rsidR="00CC69F3" w:rsidRPr="00002DC2" w:rsidRDefault="00C71CF9" w:rsidP="00002DC2">
      <w:pPr>
        <w:pStyle w:val="Caption"/>
        <w:rPr>
          <w:rFonts w:eastAsia="Aptos" w:cs="Arial"/>
          <w:color w:val="000000"/>
          <w:kern w:val="2"/>
          <w:lang w:val="en-US"/>
          <w14:ligatures w14:val="standardContextual"/>
        </w:rPr>
      </w:pPr>
      <w:r w:rsidRPr="00C66E0D">
        <w:t xml:space="preserve">Table </w:t>
      </w:r>
      <w:r>
        <w:fldChar w:fldCharType="begin"/>
      </w:r>
      <w:r>
        <w:instrText>SEQ Table \* ARABIC</w:instrText>
      </w:r>
      <w:r>
        <w:fldChar w:fldCharType="separate"/>
      </w:r>
      <w:r w:rsidR="00996E6E">
        <w:rPr>
          <w:noProof/>
        </w:rPr>
        <w:t>24</w:t>
      </w:r>
      <w:r>
        <w:fldChar w:fldCharType="end"/>
      </w:r>
      <w:r w:rsidRPr="00C66E0D">
        <w:t xml:space="preserve"> </w:t>
      </w:r>
      <w:r w:rsidR="00CC69F3" w:rsidRPr="00002DC2">
        <w:rPr>
          <w:rFonts w:eastAsia="Aptos" w:cs="Arial"/>
          <w:color w:val="000000"/>
          <w:kern w:val="2"/>
          <w:lang w:val="en-US"/>
          <w14:ligatures w14:val="standardContextual"/>
        </w:rPr>
        <w:t xml:space="preserve">Costs per effect of </w:t>
      </w:r>
      <w:r w:rsidR="00CC69F3" w:rsidRPr="12F47456">
        <w:rPr>
          <w:rFonts w:eastAsia="Aptos" w:cs="Arial"/>
          <w:i/>
          <w:iCs/>
          <w:color w:val="000000"/>
          <w:kern w:val="2"/>
          <w:lang w:val="en-US"/>
          <w14:ligatures w14:val="standardContextual"/>
        </w:rPr>
        <w:t>POLE</w:t>
      </w:r>
      <w:r w:rsidR="00CC69F3" w:rsidRPr="00002DC2">
        <w:rPr>
          <w:rFonts w:eastAsia="Aptos" w:cs="Arial"/>
          <w:color w:val="000000"/>
          <w:kern w:val="2"/>
          <w:lang w:val="en-US"/>
          <w14:ligatures w14:val="standardContextual"/>
        </w:rPr>
        <w:t xml:space="preserve"> genotyping in the economic evaluation, respecified base case</w:t>
      </w:r>
    </w:p>
    <w:tbl>
      <w:tblPr>
        <w:tblStyle w:val="HTATableshade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764"/>
        <w:gridCol w:w="1850"/>
        <w:gridCol w:w="2027"/>
        <w:gridCol w:w="1673"/>
      </w:tblGrid>
      <w:tr w:rsidR="00CC69F3" w:rsidRPr="00CC69F3" w14:paraId="304FC2B6" w14:textId="77777777" w:rsidTr="00CC69F3">
        <w:trPr>
          <w:cnfStyle w:val="100000000000" w:firstRow="1" w:lastRow="0" w:firstColumn="0" w:lastColumn="0" w:oddVBand="0" w:evenVBand="0" w:oddHBand="0" w:evenHBand="0" w:firstRowFirstColumn="0" w:firstRowLastColumn="0" w:lastRowFirstColumn="0" w:lastRowLastColumn="0"/>
          <w:tblHeader/>
        </w:trPr>
        <w:tc>
          <w:tcPr>
            <w:tcW w:w="944" w:type="pct"/>
            <w:shd w:val="clear" w:color="auto" w:fill="F2F2F2"/>
            <w:hideMark/>
          </w:tcPr>
          <w:p w14:paraId="4E3B9142" w14:textId="77777777" w:rsidR="00CC69F3" w:rsidRPr="00CC69F3" w:rsidRDefault="00CC69F3" w:rsidP="00CC69F3">
            <w:pPr>
              <w:spacing w:before="40" w:after="0" w:line="276" w:lineRule="auto"/>
              <w:jc w:val="both"/>
              <w:rPr>
                <w:rFonts w:ascii="Arial Narrow" w:hAnsi="Arial Narrow"/>
                <w:b/>
                <w:bCs/>
                <w:color w:val="000000"/>
                <w:sz w:val="20"/>
                <w:szCs w:val="20"/>
              </w:rPr>
            </w:pPr>
          </w:p>
        </w:tc>
        <w:tc>
          <w:tcPr>
            <w:tcW w:w="978" w:type="pct"/>
            <w:shd w:val="clear" w:color="auto" w:fill="F2F2F2"/>
          </w:tcPr>
          <w:p w14:paraId="5E406605" w14:textId="77777777" w:rsidR="00CC69F3" w:rsidRPr="00CC69F3" w:rsidRDefault="00CC69F3" w:rsidP="00CC69F3">
            <w:pPr>
              <w:spacing w:before="40" w:after="0" w:line="276" w:lineRule="auto"/>
              <w:rPr>
                <w:rFonts w:ascii="Arial Narrow" w:hAnsi="Arial Narrow"/>
                <w:b/>
                <w:bCs/>
                <w:color w:val="000000"/>
                <w:sz w:val="20"/>
                <w:szCs w:val="20"/>
              </w:rPr>
            </w:pPr>
            <w:r w:rsidRPr="00CC69F3">
              <w:rPr>
                <w:rFonts w:ascii="Arial Narrow" w:hAnsi="Arial Narrow"/>
                <w:b/>
                <w:bCs/>
                <w:i/>
                <w:color w:val="000000"/>
                <w:sz w:val="20"/>
                <w:szCs w:val="20"/>
              </w:rPr>
              <w:t>POLE</w:t>
            </w:r>
            <w:r w:rsidRPr="00CC69F3">
              <w:rPr>
                <w:rFonts w:ascii="Arial Narrow" w:hAnsi="Arial Narrow"/>
                <w:b/>
                <w:bCs/>
                <w:color w:val="000000"/>
                <w:sz w:val="20"/>
                <w:szCs w:val="20"/>
              </w:rPr>
              <w:t xml:space="preserve"> genotyping</w:t>
            </w:r>
          </w:p>
        </w:tc>
        <w:tc>
          <w:tcPr>
            <w:tcW w:w="1026" w:type="pct"/>
            <w:shd w:val="clear" w:color="auto" w:fill="F2F2F2"/>
          </w:tcPr>
          <w:p w14:paraId="6796ADDF" w14:textId="77777777" w:rsidR="00CC69F3" w:rsidRPr="00CC69F3" w:rsidRDefault="00CC69F3" w:rsidP="00CC69F3">
            <w:pPr>
              <w:spacing w:before="40" w:after="0" w:line="276" w:lineRule="auto"/>
              <w:rPr>
                <w:rFonts w:ascii="Arial Narrow" w:hAnsi="Arial Narrow"/>
                <w:b/>
                <w:bCs/>
                <w:color w:val="000000"/>
                <w:sz w:val="20"/>
                <w:szCs w:val="20"/>
              </w:rPr>
            </w:pPr>
            <w:r w:rsidRPr="00CC69F3">
              <w:rPr>
                <w:rFonts w:ascii="Arial Narrow" w:hAnsi="Arial Narrow"/>
                <w:b/>
                <w:bCs/>
                <w:color w:val="000000"/>
                <w:sz w:val="20"/>
                <w:szCs w:val="20"/>
              </w:rPr>
              <w:t>Comparator</w:t>
            </w:r>
          </w:p>
        </w:tc>
        <w:tc>
          <w:tcPr>
            <w:tcW w:w="1124" w:type="pct"/>
            <w:shd w:val="clear" w:color="auto" w:fill="F2F2F2"/>
          </w:tcPr>
          <w:p w14:paraId="1A993EF9" w14:textId="77777777" w:rsidR="00CC69F3" w:rsidRPr="00CC69F3" w:rsidRDefault="00CC69F3" w:rsidP="00CC69F3">
            <w:pPr>
              <w:spacing w:before="40" w:after="0" w:line="276" w:lineRule="auto"/>
              <w:rPr>
                <w:rFonts w:ascii="Arial Narrow" w:hAnsi="Arial Narrow"/>
                <w:b/>
                <w:bCs/>
                <w:color w:val="000000"/>
                <w:sz w:val="20"/>
                <w:szCs w:val="20"/>
              </w:rPr>
            </w:pPr>
            <w:r w:rsidRPr="00CC69F3">
              <w:rPr>
                <w:rFonts w:ascii="Arial Narrow" w:hAnsi="Arial Narrow"/>
                <w:b/>
                <w:bCs/>
                <w:color w:val="000000"/>
                <w:sz w:val="20"/>
                <w:szCs w:val="20"/>
              </w:rPr>
              <w:t>Incremental costs/ effectiveness</w:t>
            </w:r>
          </w:p>
        </w:tc>
        <w:tc>
          <w:tcPr>
            <w:tcW w:w="928" w:type="pct"/>
            <w:shd w:val="clear" w:color="auto" w:fill="F2F2F2"/>
            <w:hideMark/>
          </w:tcPr>
          <w:p w14:paraId="04118CB6" w14:textId="77777777" w:rsidR="00CC69F3" w:rsidRPr="00CC69F3" w:rsidRDefault="00CC69F3" w:rsidP="00CC69F3">
            <w:pPr>
              <w:spacing w:before="40" w:after="0" w:line="276" w:lineRule="auto"/>
              <w:rPr>
                <w:rFonts w:ascii="Arial Narrow" w:hAnsi="Arial Narrow"/>
                <w:b/>
                <w:bCs/>
                <w:color w:val="000000"/>
                <w:sz w:val="20"/>
                <w:szCs w:val="20"/>
              </w:rPr>
            </w:pPr>
            <w:r w:rsidRPr="00CC69F3">
              <w:rPr>
                <w:rFonts w:ascii="Arial Narrow" w:hAnsi="Arial Narrow"/>
                <w:b/>
                <w:bCs/>
                <w:color w:val="000000"/>
                <w:sz w:val="20"/>
                <w:szCs w:val="20"/>
              </w:rPr>
              <w:t>Incremental costs per effect</w:t>
            </w:r>
          </w:p>
        </w:tc>
      </w:tr>
      <w:tr w:rsidR="00CC69F3" w:rsidRPr="00CC69F3" w14:paraId="2247F743" w14:textId="77777777">
        <w:tc>
          <w:tcPr>
            <w:tcW w:w="944" w:type="pct"/>
          </w:tcPr>
          <w:p w14:paraId="7EED9A7A" w14:textId="77777777" w:rsidR="00CC69F3" w:rsidRPr="00CC69F3" w:rsidRDefault="00CC69F3" w:rsidP="00CC69F3">
            <w:pPr>
              <w:spacing w:before="40" w:after="0"/>
              <w:jc w:val="both"/>
              <w:rPr>
                <w:rFonts w:ascii="Arial Narrow" w:hAnsi="Arial Narrow" w:cs="Tahoma"/>
                <w:bCs/>
                <w:color w:val="000000"/>
                <w:sz w:val="20"/>
                <w:szCs w:val="20"/>
              </w:rPr>
            </w:pPr>
            <w:r w:rsidRPr="00CC69F3">
              <w:rPr>
                <w:rFonts w:ascii="Arial Narrow" w:hAnsi="Arial Narrow" w:cs="Tahoma"/>
                <w:bCs/>
                <w:color w:val="000000"/>
                <w:sz w:val="20"/>
                <w:szCs w:val="20"/>
              </w:rPr>
              <w:t>Diagnostic costs</w:t>
            </w:r>
          </w:p>
        </w:tc>
        <w:tc>
          <w:tcPr>
            <w:tcW w:w="978" w:type="pct"/>
          </w:tcPr>
          <w:p w14:paraId="7C4C3CC4"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$397.35</w:t>
            </w:r>
          </w:p>
        </w:tc>
        <w:tc>
          <w:tcPr>
            <w:tcW w:w="1026" w:type="pct"/>
          </w:tcPr>
          <w:p w14:paraId="13C4348D"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$0</w:t>
            </w:r>
          </w:p>
        </w:tc>
        <w:tc>
          <w:tcPr>
            <w:tcW w:w="1124" w:type="pct"/>
          </w:tcPr>
          <w:p w14:paraId="6920B6C0"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$397.35</w:t>
            </w:r>
          </w:p>
        </w:tc>
        <w:tc>
          <w:tcPr>
            <w:tcW w:w="928" w:type="pct"/>
          </w:tcPr>
          <w:p w14:paraId="270FC010"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NA</w:t>
            </w:r>
          </w:p>
        </w:tc>
      </w:tr>
      <w:tr w:rsidR="00CC69F3" w:rsidRPr="00CC69F3" w14:paraId="11419E42" w14:textId="77777777">
        <w:trPr>
          <w:trHeight w:val="215"/>
        </w:trPr>
        <w:tc>
          <w:tcPr>
            <w:tcW w:w="944" w:type="pct"/>
          </w:tcPr>
          <w:p w14:paraId="3DE589D3" w14:textId="77777777" w:rsidR="00CC69F3" w:rsidRPr="00CC69F3" w:rsidRDefault="00CC69F3" w:rsidP="00CC69F3">
            <w:pPr>
              <w:spacing w:before="40" w:after="0"/>
              <w:jc w:val="both"/>
              <w:rPr>
                <w:rFonts w:ascii="Arial Narrow" w:hAnsi="Arial Narrow" w:cs="Tahoma"/>
                <w:bCs/>
                <w:color w:val="000000"/>
                <w:sz w:val="20"/>
                <w:szCs w:val="20"/>
              </w:rPr>
            </w:pPr>
            <w:r w:rsidRPr="00CC69F3">
              <w:rPr>
                <w:rFonts w:ascii="Arial Narrow" w:hAnsi="Arial Narrow" w:cs="Tahoma"/>
                <w:bCs/>
                <w:color w:val="000000"/>
                <w:sz w:val="20"/>
                <w:szCs w:val="20"/>
              </w:rPr>
              <w:t>Total costs</w:t>
            </w:r>
          </w:p>
        </w:tc>
        <w:tc>
          <w:tcPr>
            <w:tcW w:w="978" w:type="pct"/>
          </w:tcPr>
          <w:p w14:paraId="29E53E3E"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$10,952.69</w:t>
            </w:r>
          </w:p>
        </w:tc>
        <w:tc>
          <w:tcPr>
            <w:tcW w:w="1026" w:type="pct"/>
          </w:tcPr>
          <w:p w14:paraId="5A919B27"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$11,190.77</w:t>
            </w:r>
          </w:p>
        </w:tc>
        <w:tc>
          <w:tcPr>
            <w:tcW w:w="1124" w:type="pct"/>
          </w:tcPr>
          <w:p w14:paraId="1EF9FDB6"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−$238.08 (cost saving)</w:t>
            </w:r>
          </w:p>
        </w:tc>
        <w:tc>
          <w:tcPr>
            <w:tcW w:w="928" w:type="pct"/>
          </w:tcPr>
          <w:p w14:paraId="77870116"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NA</w:t>
            </w:r>
          </w:p>
        </w:tc>
      </w:tr>
      <w:tr w:rsidR="00CC69F3" w:rsidRPr="00CC69F3" w14:paraId="0A3FDA7D" w14:textId="77777777">
        <w:trPr>
          <w:trHeight w:val="215"/>
        </w:trPr>
        <w:tc>
          <w:tcPr>
            <w:tcW w:w="944" w:type="pct"/>
            <w:hideMark/>
          </w:tcPr>
          <w:p w14:paraId="1D6107CB" w14:textId="77777777" w:rsidR="00CC69F3" w:rsidRPr="00CC69F3" w:rsidRDefault="00CC69F3" w:rsidP="00CC69F3">
            <w:pPr>
              <w:spacing w:before="40" w:after="0"/>
              <w:jc w:val="both"/>
              <w:rPr>
                <w:rFonts w:ascii="Arial Narrow" w:hAnsi="Arial Narrow" w:cs="Tahoma"/>
                <w:bCs/>
                <w:color w:val="000000"/>
                <w:sz w:val="20"/>
                <w:szCs w:val="20"/>
              </w:rPr>
            </w:pPr>
            <w:r w:rsidRPr="00CC69F3">
              <w:rPr>
                <w:rFonts w:ascii="Arial Narrow" w:hAnsi="Arial Narrow" w:cs="Tahoma"/>
                <w:bCs/>
                <w:color w:val="000000"/>
                <w:sz w:val="20"/>
                <w:szCs w:val="20"/>
              </w:rPr>
              <w:t>Diagnosis</w:t>
            </w:r>
          </w:p>
        </w:tc>
        <w:tc>
          <w:tcPr>
            <w:tcW w:w="978" w:type="pct"/>
          </w:tcPr>
          <w:p w14:paraId="2E74CAF8"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0.0974</w:t>
            </w:r>
          </w:p>
        </w:tc>
        <w:tc>
          <w:tcPr>
            <w:tcW w:w="1026" w:type="pct"/>
          </w:tcPr>
          <w:p w14:paraId="519B45DD"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0</w:t>
            </w:r>
          </w:p>
        </w:tc>
        <w:tc>
          <w:tcPr>
            <w:tcW w:w="1124" w:type="pct"/>
          </w:tcPr>
          <w:p w14:paraId="4CD40AD9"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0.0974</w:t>
            </w:r>
          </w:p>
        </w:tc>
        <w:tc>
          <w:tcPr>
            <w:tcW w:w="928" w:type="pct"/>
            <w:hideMark/>
          </w:tcPr>
          <w:p w14:paraId="7DB0FF52"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$4,080.42</w:t>
            </w:r>
            <w:r w:rsidRPr="00CC69F3">
              <w:rPr>
                <w:rFonts w:ascii="Arial Narrow" w:hAnsi="Arial Narrow" w:cs="Tahoma"/>
                <w:color w:val="000000"/>
                <w:sz w:val="20"/>
                <w:szCs w:val="20"/>
                <w:vertAlign w:val="superscript"/>
              </w:rPr>
              <w:t>a</w:t>
            </w:r>
          </w:p>
        </w:tc>
      </w:tr>
      <w:tr w:rsidR="00CC69F3" w:rsidRPr="00CC69F3" w14:paraId="51D690CA" w14:textId="77777777">
        <w:trPr>
          <w:trHeight w:val="215"/>
        </w:trPr>
        <w:tc>
          <w:tcPr>
            <w:tcW w:w="944" w:type="pct"/>
            <w:hideMark/>
          </w:tcPr>
          <w:p w14:paraId="4EAD9DE3" w14:textId="77777777" w:rsidR="00CC69F3" w:rsidRPr="00CC69F3" w:rsidRDefault="00CC69F3" w:rsidP="00CC69F3">
            <w:pPr>
              <w:spacing w:before="40" w:after="0"/>
              <w:rPr>
                <w:rFonts w:ascii="Arial Narrow" w:hAnsi="Arial Narrow" w:cs="Tahoma"/>
                <w:bCs/>
                <w:color w:val="000000"/>
                <w:sz w:val="20"/>
                <w:szCs w:val="20"/>
              </w:rPr>
            </w:pPr>
            <w:r w:rsidRPr="00CC69F3">
              <w:rPr>
                <w:rFonts w:ascii="Arial Narrow" w:hAnsi="Arial Narrow" w:cs="Tahoma"/>
                <w:bCs/>
                <w:color w:val="000000"/>
                <w:sz w:val="20"/>
                <w:szCs w:val="20"/>
              </w:rPr>
              <w:t>Treatment de-escalation</w:t>
            </w:r>
          </w:p>
        </w:tc>
        <w:tc>
          <w:tcPr>
            <w:tcW w:w="978" w:type="pct"/>
          </w:tcPr>
          <w:p w14:paraId="758EFB4F"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0.0623</w:t>
            </w:r>
          </w:p>
        </w:tc>
        <w:tc>
          <w:tcPr>
            <w:tcW w:w="1026" w:type="pct"/>
          </w:tcPr>
          <w:p w14:paraId="094BEA7B"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0</w:t>
            </w:r>
          </w:p>
        </w:tc>
        <w:tc>
          <w:tcPr>
            <w:tcW w:w="1124" w:type="pct"/>
          </w:tcPr>
          <w:p w14:paraId="406F3000"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0.0623</w:t>
            </w:r>
          </w:p>
        </w:tc>
        <w:tc>
          <w:tcPr>
            <w:tcW w:w="928" w:type="pct"/>
          </w:tcPr>
          <w:p w14:paraId="04913623" w14:textId="77777777" w:rsidR="00CC69F3" w:rsidRPr="00CC69F3" w:rsidRDefault="00CC69F3" w:rsidP="00CC69F3">
            <w:pPr>
              <w:spacing w:before="40" w:after="0"/>
              <w:jc w:val="both"/>
              <w:rPr>
                <w:rFonts w:ascii="Arial Narrow" w:hAnsi="Arial Narrow" w:cs="Tahoma"/>
                <w:color w:val="000000"/>
                <w:sz w:val="20"/>
                <w:szCs w:val="20"/>
              </w:rPr>
            </w:pPr>
            <w:r w:rsidRPr="00CC69F3">
              <w:rPr>
                <w:rFonts w:ascii="Arial Narrow" w:hAnsi="Arial Narrow" w:cs="Tahoma"/>
                <w:color w:val="000000"/>
                <w:sz w:val="20"/>
                <w:szCs w:val="20"/>
              </w:rPr>
              <w:t>−$3,820.54</w:t>
            </w:r>
            <w:r w:rsidRPr="00CC69F3">
              <w:rPr>
                <w:rFonts w:ascii="Arial Narrow" w:hAnsi="Arial Narrow" w:cs="Tahoma"/>
                <w:color w:val="000000"/>
                <w:sz w:val="20"/>
                <w:szCs w:val="20"/>
                <w:vertAlign w:val="superscript"/>
              </w:rPr>
              <w:t>b</w:t>
            </w:r>
            <w:r w:rsidRPr="00CC69F3">
              <w:rPr>
                <w:rFonts w:ascii="Arial Narrow" w:hAnsi="Arial Narrow" w:cs="Tahoma"/>
                <w:color w:val="000000"/>
                <w:sz w:val="20"/>
                <w:szCs w:val="20"/>
              </w:rPr>
              <w:br/>
              <w:t>(dominant)</w:t>
            </w:r>
          </w:p>
        </w:tc>
      </w:tr>
    </w:tbl>
    <w:p w14:paraId="2F7D7870" w14:textId="77777777" w:rsidR="00CC69F3" w:rsidRPr="00CC69F3" w:rsidRDefault="00CC69F3" w:rsidP="00CC69F3">
      <w:pPr>
        <w:spacing w:before="0" w:after="0" w:line="276" w:lineRule="auto"/>
        <w:rPr>
          <w:rFonts w:ascii="Arial Narrow" w:eastAsia="Times New Roman" w:hAnsi="Arial Narrow" w:cs="Tahoma"/>
          <w:color w:val="000000"/>
          <w:sz w:val="18"/>
          <w:szCs w:val="18"/>
          <w:lang w:val="en-US" w:eastAsia="en-AU"/>
        </w:rPr>
      </w:pPr>
      <w:r w:rsidRPr="00CC69F3">
        <w:rPr>
          <w:rFonts w:ascii="Arial Narrow" w:eastAsia="Times New Roman" w:hAnsi="Arial Narrow" w:cs="Tahoma"/>
          <w:color w:val="000000"/>
          <w:sz w:val="18"/>
          <w:szCs w:val="18"/>
          <w:lang w:val="en-US" w:eastAsia="en-AU"/>
        </w:rPr>
        <w:t>Abbreviations: NA = not applicable;</w:t>
      </w:r>
      <w:r w:rsidRPr="00CC69F3">
        <w:rPr>
          <w:rFonts w:ascii="Arial Narrow" w:eastAsia="Times New Roman" w:hAnsi="Arial Narrow" w:cs="Tahoma"/>
          <w:i/>
          <w:color w:val="000000"/>
          <w:sz w:val="18"/>
          <w:szCs w:val="18"/>
          <w:lang w:val="en-US" w:eastAsia="en-AU"/>
        </w:rPr>
        <w:t xml:space="preserve"> POLE</w:t>
      </w:r>
      <w:r w:rsidRPr="00CC69F3">
        <w:rPr>
          <w:rFonts w:ascii="Arial Narrow" w:eastAsia="Times New Roman" w:hAnsi="Arial Narrow" w:cs="Tahoma"/>
          <w:color w:val="000000"/>
          <w:sz w:val="18"/>
          <w:szCs w:val="18"/>
          <w:lang w:val="en-US" w:eastAsia="en-AU"/>
        </w:rPr>
        <w:t xml:space="preserve"> = DNA polymerase epsilon, catalytic subunit.</w:t>
      </w:r>
    </w:p>
    <w:p w14:paraId="7B823F78" w14:textId="77777777" w:rsidR="00CC69F3" w:rsidRPr="00CC69F3" w:rsidRDefault="00CC69F3" w:rsidP="00CC69F3">
      <w:pPr>
        <w:spacing w:before="0" w:after="0" w:line="276" w:lineRule="auto"/>
        <w:rPr>
          <w:rFonts w:ascii="Arial Narrow" w:eastAsia="Times New Roman" w:hAnsi="Arial Narrow" w:cs="Tahoma"/>
          <w:color w:val="000000"/>
          <w:sz w:val="18"/>
          <w:szCs w:val="18"/>
          <w:lang w:eastAsia="en-AU"/>
        </w:rPr>
      </w:pPr>
      <w:r w:rsidRPr="00CC69F3">
        <w:rPr>
          <w:rFonts w:ascii="Arial Narrow" w:eastAsia="Times New Roman" w:hAnsi="Arial Narrow" w:cs="Tahoma"/>
          <w:color w:val="000000"/>
          <w:sz w:val="18"/>
          <w:szCs w:val="18"/>
          <w:vertAlign w:val="superscript"/>
          <w:lang w:eastAsia="en-AU"/>
        </w:rPr>
        <w:t>a</w:t>
      </w:r>
      <w:r w:rsidRPr="00CC69F3">
        <w:rPr>
          <w:rFonts w:ascii="Arial Narrow" w:eastAsia="Times New Roman" w:hAnsi="Arial Narrow" w:cs="Tahoma"/>
          <w:color w:val="000000"/>
          <w:sz w:val="18"/>
          <w:szCs w:val="18"/>
          <w:lang w:eastAsia="en-AU"/>
        </w:rPr>
        <w:t xml:space="preserve"> calculated as incremental diagnostic costs divided by incremental proportion of patients identified to have a </w:t>
      </w:r>
      <w:r w:rsidRPr="00CC69F3">
        <w:rPr>
          <w:rFonts w:ascii="Arial Narrow" w:eastAsia="Times New Roman" w:hAnsi="Arial Narrow" w:cs="Tahoma"/>
          <w:i/>
          <w:color w:val="000000"/>
          <w:sz w:val="18"/>
          <w:szCs w:val="18"/>
          <w:lang w:eastAsia="en-AU"/>
        </w:rPr>
        <w:t>POLE</w:t>
      </w:r>
      <w:r w:rsidRPr="00CC69F3">
        <w:rPr>
          <w:rFonts w:ascii="Arial Narrow" w:eastAsia="Times New Roman" w:hAnsi="Arial Narrow" w:cs="Tahoma"/>
          <w:color w:val="000000"/>
          <w:sz w:val="18"/>
          <w:szCs w:val="18"/>
          <w:lang w:eastAsia="en-AU"/>
        </w:rPr>
        <w:t>mut</w:t>
      </w:r>
    </w:p>
    <w:p w14:paraId="302A78A8" w14:textId="2A352AE5" w:rsidR="00CC69F3" w:rsidRPr="007227F7" w:rsidRDefault="00CC69F3" w:rsidP="007227F7">
      <w:pPr>
        <w:spacing w:before="0" w:after="0" w:line="276" w:lineRule="auto"/>
        <w:rPr>
          <w:rFonts w:ascii="Arial Narrow" w:eastAsia="Times New Roman" w:hAnsi="Arial Narrow" w:cs="Tahoma"/>
          <w:color w:val="000000"/>
          <w:sz w:val="18"/>
          <w:szCs w:val="18"/>
          <w:lang w:eastAsia="en-AU"/>
        </w:rPr>
      </w:pPr>
      <w:r w:rsidRPr="00CC69F3">
        <w:rPr>
          <w:rFonts w:ascii="Arial Narrow" w:eastAsia="Aptos" w:hAnsi="Arial Narrow" w:cs="Arial"/>
          <w:color w:val="000000"/>
          <w:sz w:val="18"/>
          <w:vertAlign w:val="superscript"/>
          <w:lang w:eastAsia="en-AU"/>
        </w:rPr>
        <w:t>b</w:t>
      </w:r>
      <w:r w:rsidRPr="00CC69F3">
        <w:rPr>
          <w:rFonts w:ascii="Arial Narrow" w:eastAsia="Times New Roman" w:hAnsi="Arial Narrow" w:cs="Tahoma"/>
          <w:color w:val="000000"/>
          <w:sz w:val="18"/>
          <w:szCs w:val="18"/>
          <w:lang w:eastAsia="en-AU"/>
        </w:rPr>
        <w:t xml:space="preserve"> calculated as incremental total costs (i.e. diagnostic + treatment costs) divided by incremental proportion of patients who experience treatment de-escalation</w:t>
      </w:r>
    </w:p>
    <w:p w14:paraId="6863859E" w14:textId="5AE163C2" w:rsidR="00CC69F3" w:rsidRPr="00002DC2" w:rsidRDefault="00C71CF9" w:rsidP="12F47456">
      <w:pPr>
        <w:pStyle w:val="Caption"/>
        <w:rPr>
          <w:rFonts w:eastAsia="Aptos" w:cs="Arial"/>
          <w:i/>
          <w:iCs/>
          <w:color w:val="000000"/>
          <w:kern w:val="2"/>
          <w:lang w:val="en-US"/>
          <w14:ligatures w14:val="standardContextual"/>
        </w:rPr>
      </w:pPr>
      <w:bookmarkStart w:id="94" w:name="_Ref223618246"/>
      <w:r w:rsidRPr="00C66E0D">
        <w:lastRenderedPageBreak/>
        <w:t xml:space="preserve">Table </w:t>
      </w:r>
      <w:r>
        <w:fldChar w:fldCharType="begin"/>
      </w:r>
      <w:r>
        <w:instrText>SEQ Table \* ARABIC</w:instrText>
      </w:r>
      <w:r>
        <w:fldChar w:fldCharType="separate"/>
      </w:r>
      <w:r w:rsidR="00996E6E">
        <w:rPr>
          <w:noProof/>
        </w:rPr>
        <w:t>25</w:t>
      </w:r>
      <w:r>
        <w:fldChar w:fldCharType="end"/>
      </w:r>
      <w:bookmarkEnd w:id="94"/>
      <w:r w:rsidR="00CC69F3" w:rsidRPr="12F47456">
        <w:rPr>
          <w:rFonts w:eastAsia="Aptos" w:cs="Arial"/>
          <w:i/>
          <w:iCs/>
          <w:color w:val="000000"/>
          <w:kern w:val="2"/>
          <w:lang w:val="en-US"/>
          <w14:ligatures w14:val="standardContextual"/>
        </w:rPr>
        <w:t xml:space="preserve"> </w:t>
      </w:r>
      <w:r w:rsidR="00CC69F3" w:rsidRPr="00A03972">
        <w:rPr>
          <w:rFonts w:eastAsia="Aptos" w:cs="Arial"/>
          <w:color w:val="000000"/>
          <w:kern w:val="2"/>
          <w:lang w:val="en-US"/>
          <w14:ligatures w14:val="standardContextual"/>
        </w:rPr>
        <w:t xml:space="preserve">Cost per QALY of </w:t>
      </w:r>
      <w:r w:rsidR="00CC69F3" w:rsidRPr="12F47456">
        <w:rPr>
          <w:rFonts w:eastAsia="Aptos" w:cs="Arial"/>
          <w:i/>
          <w:iCs/>
          <w:color w:val="000000"/>
          <w:kern w:val="2"/>
          <w:lang w:val="en-US"/>
          <w14:ligatures w14:val="standardContextual"/>
        </w:rPr>
        <w:t>POLE</w:t>
      </w:r>
      <w:r w:rsidR="00CC69F3" w:rsidRPr="00EF37B6">
        <w:rPr>
          <w:rFonts w:eastAsia="Aptos" w:cs="Arial"/>
          <w:color w:val="000000"/>
          <w:kern w:val="2"/>
          <w:lang w:val="en-US"/>
          <w14:ligatures w14:val="standardContextual"/>
        </w:rPr>
        <w:t xml:space="preserve"> genotyping in the cost-utility analysis, respecified base case</w:t>
      </w:r>
    </w:p>
    <w:tbl>
      <w:tblPr>
        <w:tblStyle w:val="CMATableTemplat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CC69F3" w:rsidRPr="00CC69F3" w14:paraId="68393867" w14:textId="77777777" w:rsidTr="00CC69F3">
        <w:trPr>
          <w:cantSplit/>
          <w:tblHeader/>
        </w:trPr>
        <w:tc>
          <w:tcPr>
            <w:tcW w:w="1666" w:type="pct"/>
            <w:shd w:val="clear" w:color="auto" w:fill="F2F2F2"/>
          </w:tcPr>
          <w:p w14:paraId="4D09EE44" w14:textId="77777777" w:rsidR="00CC69F3" w:rsidRPr="00CC69F3" w:rsidRDefault="00CC69F3" w:rsidP="00CC69F3">
            <w:pPr>
              <w:spacing w:before="40"/>
              <w:jc w:val="both"/>
              <w:rPr>
                <w:rFonts w:ascii="Arial Narrow" w:eastAsia="Times New Roman" w:hAnsi="Arial Narrow" w:cs="Tahoma"/>
                <w:b/>
                <w:bCs/>
                <w:color w:val="000000"/>
                <w:sz w:val="20"/>
                <w:szCs w:val="20"/>
                <w:lang w:eastAsia="en-AU"/>
              </w:rPr>
            </w:pPr>
            <w:r w:rsidRPr="00CC69F3">
              <w:rPr>
                <w:rFonts w:ascii="Arial Narrow" w:eastAsia="Times New Roman" w:hAnsi="Arial Narrow" w:cs="Tahoma"/>
                <w:b/>
                <w:bCs/>
                <w:color w:val="000000"/>
                <w:sz w:val="20"/>
                <w:szCs w:val="20"/>
                <w:lang w:eastAsia="en-AU"/>
              </w:rPr>
              <w:t>Component</w:t>
            </w:r>
          </w:p>
        </w:tc>
        <w:tc>
          <w:tcPr>
            <w:tcW w:w="1666" w:type="pct"/>
            <w:shd w:val="clear" w:color="auto" w:fill="F2F2F2"/>
          </w:tcPr>
          <w:p w14:paraId="110687D0" w14:textId="77777777" w:rsidR="00CC69F3" w:rsidRPr="00CC69F3" w:rsidRDefault="00CC69F3" w:rsidP="00CC69F3">
            <w:pPr>
              <w:spacing w:before="40"/>
              <w:jc w:val="both"/>
              <w:rPr>
                <w:rFonts w:ascii="Arial Narrow" w:eastAsia="Times New Roman" w:hAnsi="Arial Narrow" w:cs="Tahoma"/>
                <w:b/>
                <w:bCs/>
                <w:color w:val="000000"/>
                <w:sz w:val="20"/>
                <w:szCs w:val="20"/>
                <w:lang w:eastAsia="en-AU"/>
              </w:rPr>
            </w:pPr>
            <w:r w:rsidRPr="00CC69F3">
              <w:rPr>
                <w:rFonts w:ascii="Arial Narrow" w:eastAsia="Times New Roman" w:hAnsi="Arial Narrow" w:cs="Tahoma"/>
                <w:b/>
                <w:bCs/>
                <w:color w:val="000000"/>
                <w:sz w:val="20"/>
                <w:szCs w:val="20"/>
                <w:lang w:eastAsia="en-AU"/>
              </w:rPr>
              <w:t>Incremental costs/effectiveness</w:t>
            </w:r>
          </w:p>
        </w:tc>
        <w:tc>
          <w:tcPr>
            <w:tcW w:w="1667" w:type="pct"/>
            <w:shd w:val="clear" w:color="auto" w:fill="F2F2F2"/>
          </w:tcPr>
          <w:p w14:paraId="4294F9A0" w14:textId="77777777" w:rsidR="00CC69F3" w:rsidRPr="00CC69F3" w:rsidRDefault="00CC69F3" w:rsidP="00CC69F3">
            <w:pPr>
              <w:spacing w:before="40"/>
              <w:jc w:val="both"/>
              <w:rPr>
                <w:rFonts w:ascii="Arial Narrow" w:eastAsia="Times New Roman" w:hAnsi="Arial Narrow" w:cs="Tahoma"/>
                <w:b/>
                <w:bCs/>
                <w:color w:val="000000"/>
                <w:sz w:val="20"/>
                <w:szCs w:val="20"/>
                <w:lang w:eastAsia="en-AU"/>
              </w:rPr>
            </w:pPr>
            <w:r w:rsidRPr="00CC69F3">
              <w:rPr>
                <w:rFonts w:ascii="Arial Narrow" w:eastAsia="Times New Roman" w:hAnsi="Arial Narrow" w:cs="Tahoma"/>
                <w:b/>
                <w:bCs/>
                <w:color w:val="000000"/>
                <w:sz w:val="20"/>
                <w:szCs w:val="20"/>
                <w:lang w:eastAsia="en-AU"/>
              </w:rPr>
              <w:t>Incremental costs per effect</w:t>
            </w:r>
          </w:p>
        </w:tc>
      </w:tr>
      <w:tr w:rsidR="00CC69F3" w:rsidRPr="00CC69F3" w14:paraId="4CFA54CD" w14:textId="77777777">
        <w:trPr>
          <w:cantSplit/>
        </w:trPr>
        <w:tc>
          <w:tcPr>
            <w:tcW w:w="1666" w:type="pct"/>
          </w:tcPr>
          <w:p w14:paraId="7635B9FB" w14:textId="77777777" w:rsidR="00CC69F3" w:rsidRPr="00CC69F3" w:rsidRDefault="00CC69F3" w:rsidP="00CC69F3">
            <w:pPr>
              <w:spacing w:before="40"/>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Costs</w:t>
            </w:r>
          </w:p>
        </w:tc>
        <w:tc>
          <w:tcPr>
            <w:tcW w:w="1666" w:type="pct"/>
          </w:tcPr>
          <w:p w14:paraId="062CC7FA" w14:textId="77777777" w:rsidR="00CC69F3" w:rsidRPr="00CC69F3" w:rsidRDefault="00CC69F3" w:rsidP="00CC69F3">
            <w:pPr>
              <w:spacing w:before="40"/>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−$238.08 (cost saving)</w:t>
            </w:r>
          </w:p>
        </w:tc>
        <w:tc>
          <w:tcPr>
            <w:tcW w:w="1667" w:type="pct"/>
          </w:tcPr>
          <w:p w14:paraId="7F00639C" w14:textId="77777777" w:rsidR="00CC69F3" w:rsidRPr="00CC69F3" w:rsidRDefault="00CC69F3" w:rsidP="00CC69F3">
            <w:pPr>
              <w:spacing w:before="40"/>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NA</w:t>
            </w:r>
          </w:p>
        </w:tc>
      </w:tr>
      <w:tr w:rsidR="00CC69F3" w:rsidRPr="00CC69F3" w14:paraId="14E74EDA" w14:textId="77777777">
        <w:trPr>
          <w:cantSplit/>
        </w:trPr>
        <w:tc>
          <w:tcPr>
            <w:tcW w:w="1666" w:type="pct"/>
          </w:tcPr>
          <w:p w14:paraId="3A942380" w14:textId="77777777" w:rsidR="00CC69F3" w:rsidRPr="00CC69F3" w:rsidRDefault="00CC69F3" w:rsidP="00CC69F3">
            <w:pPr>
              <w:spacing w:before="40"/>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Life years</w:t>
            </w:r>
          </w:p>
        </w:tc>
        <w:tc>
          <w:tcPr>
            <w:tcW w:w="1666" w:type="pct"/>
          </w:tcPr>
          <w:p w14:paraId="6022B5F9" w14:textId="77777777" w:rsidR="00CC69F3" w:rsidRPr="00CC69F3" w:rsidRDefault="00CC69F3" w:rsidP="00CC69F3">
            <w:pPr>
              <w:spacing w:before="40"/>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0.000</w:t>
            </w:r>
          </w:p>
        </w:tc>
        <w:tc>
          <w:tcPr>
            <w:tcW w:w="1667" w:type="pct"/>
          </w:tcPr>
          <w:p w14:paraId="2EABEE72" w14:textId="77777777" w:rsidR="00CC69F3" w:rsidRPr="00CC69F3" w:rsidRDefault="00CC69F3" w:rsidP="00CC69F3">
            <w:pPr>
              <w:spacing w:before="40"/>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NA</w:t>
            </w:r>
          </w:p>
        </w:tc>
      </w:tr>
      <w:tr w:rsidR="00CC69F3" w:rsidRPr="00CC69F3" w14:paraId="6DBF946F" w14:textId="77777777">
        <w:trPr>
          <w:cantSplit/>
        </w:trPr>
        <w:tc>
          <w:tcPr>
            <w:tcW w:w="1666" w:type="pct"/>
          </w:tcPr>
          <w:p w14:paraId="08C8C6F5" w14:textId="77777777" w:rsidR="00CC69F3" w:rsidRPr="00CC69F3" w:rsidRDefault="00CC69F3" w:rsidP="00CC69F3">
            <w:pPr>
              <w:spacing w:before="40"/>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QALYs</w:t>
            </w:r>
          </w:p>
        </w:tc>
        <w:tc>
          <w:tcPr>
            <w:tcW w:w="1666" w:type="pct"/>
          </w:tcPr>
          <w:p w14:paraId="19855C9A" w14:textId="77777777" w:rsidR="00CC69F3" w:rsidRPr="00CC69F3" w:rsidRDefault="00CC69F3" w:rsidP="00CC69F3">
            <w:pPr>
              <w:spacing w:before="40"/>
              <w:jc w:val="both"/>
              <w:rPr>
                <w:rFonts w:ascii="Arial Narrow" w:eastAsia="Times New Roman" w:hAnsi="Arial Narrow" w:cs="Tahoma"/>
                <w:color w:val="000000"/>
                <w:sz w:val="20"/>
                <w:szCs w:val="20"/>
                <w:lang w:eastAsia="en-AU"/>
              </w:rPr>
            </w:pPr>
            <w:r w:rsidRPr="00CC69F3">
              <w:rPr>
                <w:rFonts w:ascii="Arial Narrow" w:eastAsia="Times New Roman" w:hAnsi="Arial Narrow" w:cs="Tahoma"/>
                <w:color w:val="000000"/>
                <w:sz w:val="20"/>
                <w:szCs w:val="20"/>
                <w:lang w:eastAsia="en-AU"/>
              </w:rPr>
              <w:t>0.002</w:t>
            </w:r>
          </w:p>
        </w:tc>
        <w:tc>
          <w:tcPr>
            <w:tcW w:w="1667" w:type="pct"/>
          </w:tcPr>
          <w:p w14:paraId="2C3E513E" w14:textId="77777777" w:rsidR="00CC69F3" w:rsidRPr="00CC69F3" w:rsidRDefault="00CC69F3" w:rsidP="00CC69F3">
            <w:pPr>
              <w:spacing w:before="40"/>
              <w:jc w:val="both"/>
              <w:rPr>
                <w:rFonts w:ascii="Arial Narrow" w:eastAsia="Times New Roman" w:hAnsi="Arial Narrow" w:cs="Tahoma"/>
                <w:color w:val="000000"/>
                <w:sz w:val="20"/>
                <w:szCs w:val="20"/>
                <w:lang w:eastAsia="en-AU"/>
              </w:rPr>
            </w:pPr>
            <w:r w:rsidRPr="00CC69F3">
              <w:rPr>
                <w:rFonts w:ascii="Arial Narrow" w:eastAsia="Times New Roman" w:hAnsi="Arial Narrow" w:cs="Tahoma"/>
                <w:i/>
                <w:iCs/>
                <w:color w:val="000000"/>
                <w:sz w:val="20"/>
                <w:szCs w:val="20"/>
                <w:lang w:eastAsia="en-AU"/>
              </w:rPr>
              <w:t xml:space="preserve">POLE </w:t>
            </w:r>
            <w:r w:rsidRPr="00CC69F3">
              <w:rPr>
                <w:rFonts w:ascii="Arial Narrow" w:eastAsia="Times New Roman" w:hAnsi="Arial Narrow" w:cs="Tahoma"/>
                <w:color w:val="000000"/>
                <w:sz w:val="20"/>
                <w:szCs w:val="20"/>
                <w:lang w:eastAsia="en-AU"/>
              </w:rPr>
              <w:t>genotyping dominant</w:t>
            </w:r>
          </w:p>
        </w:tc>
      </w:tr>
    </w:tbl>
    <w:p w14:paraId="735481A5" w14:textId="54BB5979" w:rsidR="008F0CB7" w:rsidRPr="007227F7" w:rsidRDefault="00CC69F3" w:rsidP="007227F7">
      <w:pPr>
        <w:spacing w:before="0" w:after="0" w:line="276" w:lineRule="auto"/>
        <w:rPr>
          <w:rFonts w:ascii="Arial Narrow" w:eastAsia="Times New Roman" w:hAnsi="Arial Narrow" w:cs="Tahoma"/>
          <w:color w:val="000000"/>
          <w:sz w:val="18"/>
          <w:szCs w:val="18"/>
          <w:lang w:eastAsia="en-AU"/>
        </w:rPr>
      </w:pPr>
      <w:r w:rsidRPr="00CC69F3">
        <w:rPr>
          <w:rFonts w:ascii="Arial Narrow" w:eastAsia="Times New Roman" w:hAnsi="Arial Narrow" w:cs="Tahoma"/>
          <w:color w:val="000000"/>
          <w:sz w:val="18"/>
          <w:szCs w:val="18"/>
          <w:lang w:eastAsia="en-AU"/>
        </w:rPr>
        <w:t>Abbreviations: NE = not estimated; QALY = quality-adjusted life year</w:t>
      </w:r>
    </w:p>
    <w:p w14:paraId="1580948A" w14:textId="3850A6BE" w:rsidR="00DC2130" w:rsidRPr="00002DC2" w:rsidRDefault="00193115" w:rsidP="00002DC2">
      <w:r>
        <w:t xml:space="preserve">ESC </w:t>
      </w:r>
      <w:r w:rsidR="00FB0CF2">
        <w:t xml:space="preserve">also requested scenario analyses </w:t>
      </w:r>
      <w:r w:rsidR="0037612C">
        <w:t xml:space="preserve">testing for de-escalation in </w:t>
      </w:r>
      <w:r w:rsidR="00546630">
        <w:t xml:space="preserve">0% and 50% </w:t>
      </w:r>
      <w:r w:rsidR="0037612C">
        <w:t xml:space="preserve">of </w:t>
      </w:r>
      <w:r w:rsidR="00546630">
        <w:t xml:space="preserve">people with </w:t>
      </w:r>
      <w:r w:rsidR="00546630" w:rsidRPr="12F47456">
        <w:rPr>
          <w:i/>
          <w:iCs/>
        </w:rPr>
        <w:t>Stage III-IVA POLEmut</w:t>
      </w:r>
      <w:r w:rsidR="00546630">
        <w:t xml:space="preserve"> </w:t>
      </w:r>
      <w:r w:rsidR="0037612C">
        <w:t>using the respecified base case</w:t>
      </w:r>
      <w:r w:rsidR="00546630">
        <w:t>.</w:t>
      </w:r>
      <w:r w:rsidR="00863BBB">
        <w:t xml:space="preserve"> These are presented in </w:t>
      </w:r>
      <w:r>
        <w:fldChar w:fldCharType="begin"/>
      </w:r>
      <w:r>
        <w:instrText xml:space="preserve"> REF _Ref223620518 \h </w:instrText>
      </w:r>
      <w:r>
        <w:fldChar w:fldCharType="separate"/>
      </w:r>
      <w:r w:rsidR="000B42CB" w:rsidRPr="004B26E2">
        <w:t xml:space="preserve">Table </w:t>
      </w:r>
      <w:r w:rsidR="000B42CB">
        <w:rPr>
          <w:noProof/>
        </w:rPr>
        <w:t>26</w:t>
      </w:r>
      <w:r>
        <w:fldChar w:fldCharType="end"/>
      </w:r>
      <w:r w:rsidR="003858B1">
        <w:t xml:space="preserve"> and </w:t>
      </w:r>
      <w:r>
        <w:fldChar w:fldCharType="begin"/>
      </w:r>
      <w:r>
        <w:instrText xml:space="preserve"> REF _Ref223620523 \h </w:instrText>
      </w:r>
      <w:r>
        <w:fldChar w:fldCharType="separate"/>
      </w:r>
      <w:r w:rsidR="000B42CB" w:rsidRPr="00744F7E">
        <w:t xml:space="preserve">Table </w:t>
      </w:r>
      <w:r w:rsidR="000B42CB">
        <w:rPr>
          <w:noProof/>
        </w:rPr>
        <w:t>27</w:t>
      </w:r>
      <w:r>
        <w:fldChar w:fldCharType="end"/>
      </w:r>
      <w:r w:rsidR="003858B1">
        <w:t>.</w:t>
      </w:r>
    </w:p>
    <w:p w14:paraId="00CF3E6A" w14:textId="3B737683" w:rsidR="00DC2130" w:rsidRPr="00002DC2" w:rsidRDefault="004B26E2" w:rsidP="12F47456">
      <w:pPr>
        <w:pStyle w:val="Caption"/>
        <w:rPr>
          <w:rFonts w:eastAsia="Aptos" w:cs="Arial"/>
          <w:i/>
          <w:iCs/>
          <w:color w:val="000000"/>
          <w:kern w:val="2"/>
          <w:lang w:val="en-US"/>
          <w14:ligatures w14:val="standardContextual"/>
        </w:rPr>
      </w:pPr>
      <w:bookmarkStart w:id="95" w:name="_Ref223620518"/>
      <w:r w:rsidRPr="004B26E2">
        <w:t xml:space="preserve">Table </w:t>
      </w:r>
      <w:r>
        <w:fldChar w:fldCharType="begin"/>
      </w:r>
      <w:r>
        <w:instrText>SEQ Table \* ARABIC</w:instrText>
      </w:r>
      <w:r>
        <w:fldChar w:fldCharType="separate"/>
      </w:r>
      <w:r w:rsidR="00996E6E">
        <w:rPr>
          <w:noProof/>
        </w:rPr>
        <w:t>26</w:t>
      </w:r>
      <w:r>
        <w:fldChar w:fldCharType="end"/>
      </w:r>
      <w:bookmarkEnd w:id="95"/>
      <w:r w:rsidRPr="004B26E2">
        <w:t xml:space="preserve"> </w:t>
      </w:r>
      <w:r w:rsidR="00DC2130" w:rsidRPr="00A03972">
        <w:rPr>
          <w:rFonts w:eastAsia="Aptos" w:cs="Arial"/>
          <w:color w:val="000000"/>
          <w:kern w:val="2"/>
          <w:lang w:val="en-US"/>
          <w14:ligatures w14:val="standardContextual"/>
        </w:rPr>
        <w:t>Results of scenario analyses for the cost-effectiveness analysis</w:t>
      </w:r>
      <w:r w:rsidR="00CC489F" w:rsidRPr="00A03972">
        <w:rPr>
          <w:rFonts w:eastAsia="Aptos" w:cs="Arial"/>
          <w:color w:val="000000"/>
          <w:kern w:val="2"/>
          <w:lang w:val="en-US"/>
          <w14:ligatures w14:val="standardContextual"/>
        </w:rPr>
        <w:t xml:space="preserve"> using respecified base case</w:t>
      </w:r>
    </w:p>
    <w:tbl>
      <w:tblPr>
        <w:tblStyle w:val="HTATableshaded"/>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029"/>
        <w:gridCol w:w="1892"/>
        <w:gridCol w:w="2385"/>
      </w:tblGrid>
      <w:tr w:rsidR="00DC2130" w:rsidRPr="00DC2130" w14:paraId="243956A4" w14:textId="77777777" w:rsidTr="00DC2130">
        <w:trPr>
          <w:cnfStyle w:val="100000000000" w:firstRow="1" w:lastRow="0" w:firstColumn="0" w:lastColumn="0" w:oddVBand="0" w:evenVBand="0" w:oddHBand="0" w:evenHBand="0" w:firstRowFirstColumn="0" w:firstRowLastColumn="0" w:lastRowFirstColumn="0" w:lastRowLastColumn="0"/>
          <w:tblHeader/>
        </w:trPr>
        <w:tc>
          <w:tcPr>
            <w:tcW w:w="1507" w:type="pct"/>
            <w:shd w:val="clear" w:color="auto" w:fill="F2F2F2"/>
            <w:hideMark/>
          </w:tcPr>
          <w:p w14:paraId="299A188A" w14:textId="77777777" w:rsidR="00DC2130" w:rsidRPr="00DC2130" w:rsidRDefault="00DC2130" w:rsidP="00DC2130">
            <w:pPr>
              <w:spacing w:before="40" w:after="0" w:line="276" w:lineRule="auto"/>
              <w:jc w:val="both"/>
              <w:rPr>
                <w:rFonts w:ascii="Arial Narrow" w:hAnsi="Arial Narrow"/>
                <w:b/>
                <w:bCs/>
                <w:color w:val="000000"/>
                <w:sz w:val="20"/>
                <w:szCs w:val="20"/>
              </w:rPr>
            </w:pPr>
          </w:p>
        </w:tc>
        <w:tc>
          <w:tcPr>
            <w:tcW w:w="1124" w:type="pct"/>
            <w:shd w:val="clear" w:color="auto" w:fill="F2F2F2"/>
          </w:tcPr>
          <w:p w14:paraId="17AC2A2C" w14:textId="77777777" w:rsidR="00DC2130" w:rsidRPr="00DC2130" w:rsidRDefault="00DC2130" w:rsidP="00DC2130">
            <w:pPr>
              <w:spacing w:before="40" w:after="0" w:line="276" w:lineRule="auto"/>
              <w:jc w:val="both"/>
              <w:rPr>
                <w:rFonts w:ascii="Arial Narrow" w:hAnsi="Arial Narrow"/>
                <w:b/>
                <w:bCs/>
                <w:color w:val="000000"/>
                <w:sz w:val="20"/>
                <w:szCs w:val="20"/>
              </w:rPr>
            </w:pPr>
            <w:r w:rsidRPr="00DC2130">
              <w:rPr>
                <w:rFonts w:ascii="Arial Narrow" w:hAnsi="Arial Narrow"/>
                <w:b/>
                <w:bCs/>
                <w:i/>
                <w:color w:val="000000"/>
                <w:sz w:val="20"/>
                <w:szCs w:val="20"/>
              </w:rPr>
              <w:t>POLE</w:t>
            </w:r>
            <w:r w:rsidRPr="00DC2130">
              <w:rPr>
                <w:rFonts w:ascii="Arial Narrow" w:hAnsi="Arial Narrow"/>
                <w:b/>
                <w:bCs/>
                <w:color w:val="000000"/>
                <w:sz w:val="20"/>
                <w:szCs w:val="20"/>
              </w:rPr>
              <w:t xml:space="preserve"> genotyping</w:t>
            </w:r>
          </w:p>
        </w:tc>
        <w:tc>
          <w:tcPr>
            <w:tcW w:w="1048" w:type="pct"/>
            <w:shd w:val="clear" w:color="auto" w:fill="F2F2F2"/>
          </w:tcPr>
          <w:p w14:paraId="42DA9644" w14:textId="77777777" w:rsidR="00DC2130" w:rsidRPr="00DC2130" w:rsidRDefault="00DC2130" w:rsidP="00DC2130">
            <w:pPr>
              <w:spacing w:before="40" w:after="0" w:line="276" w:lineRule="auto"/>
              <w:jc w:val="both"/>
              <w:rPr>
                <w:rFonts w:ascii="Arial Narrow" w:hAnsi="Arial Narrow"/>
                <w:b/>
                <w:bCs/>
                <w:color w:val="000000"/>
                <w:sz w:val="20"/>
                <w:szCs w:val="20"/>
              </w:rPr>
            </w:pPr>
            <w:r w:rsidRPr="00DC2130">
              <w:rPr>
                <w:rFonts w:ascii="Arial Narrow" w:hAnsi="Arial Narrow"/>
                <w:b/>
                <w:bCs/>
                <w:color w:val="000000"/>
                <w:sz w:val="20"/>
                <w:szCs w:val="20"/>
              </w:rPr>
              <w:t xml:space="preserve">No </w:t>
            </w:r>
            <w:r w:rsidRPr="00DC2130">
              <w:rPr>
                <w:rFonts w:ascii="Arial Narrow" w:hAnsi="Arial Narrow"/>
                <w:b/>
                <w:bCs/>
                <w:i/>
                <w:color w:val="000000"/>
                <w:sz w:val="20"/>
                <w:szCs w:val="20"/>
              </w:rPr>
              <w:t>POLE</w:t>
            </w:r>
            <w:r w:rsidRPr="00DC2130">
              <w:rPr>
                <w:rFonts w:ascii="Arial Narrow" w:hAnsi="Arial Narrow"/>
                <w:b/>
                <w:bCs/>
                <w:color w:val="000000"/>
                <w:sz w:val="20"/>
                <w:szCs w:val="20"/>
              </w:rPr>
              <w:t xml:space="preserve"> genotyping</w:t>
            </w:r>
          </w:p>
        </w:tc>
        <w:tc>
          <w:tcPr>
            <w:tcW w:w="1321" w:type="pct"/>
            <w:shd w:val="clear" w:color="auto" w:fill="F2F2F2"/>
          </w:tcPr>
          <w:p w14:paraId="56C37A58" w14:textId="77777777" w:rsidR="00DC2130" w:rsidRPr="00DC2130" w:rsidRDefault="00DC2130" w:rsidP="00DC2130">
            <w:pPr>
              <w:spacing w:before="40" w:after="0" w:line="276" w:lineRule="auto"/>
              <w:rPr>
                <w:rFonts w:ascii="Arial Narrow" w:hAnsi="Arial Narrow"/>
                <w:b/>
                <w:bCs/>
                <w:color w:val="000000"/>
                <w:sz w:val="20"/>
                <w:szCs w:val="20"/>
              </w:rPr>
            </w:pPr>
            <w:r w:rsidRPr="00DC2130">
              <w:rPr>
                <w:rFonts w:ascii="Arial Narrow" w:hAnsi="Arial Narrow"/>
                <w:b/>
                <w:bCs/>
                <w:color w:val="000000"/>
                <w:sz w:val="20"/>
                <w:szCs w:val="20"/>
              </w:rPr>
              <w:t>Incremental costs/ effectiveness</w:t>
            </w:r>
          </w:p>
        </w:tc>
      </w:tr>
      <w:tr w:rsidR="00DC2130" w:rsidRPr="00DC2130" w14:paraId="79D7F34E" w14:textId="77777777">
        <w:tc>
          <w:tcPr>
            <w:tcW w:w="5000" w:type="pct"/>
            <w:gridSpan w:val="4"/>
          </w:tcPr>
          <w:p w14:paraId="4B5AEA36" w14:textId="61278643" w:rsidR="00DC2130" w:rsidRPr="00DC2130" w:rsidRDefault="00DC2130" w:rsidP="00DC2130">
            <w:pPr>
              <w:spacing w:before="40" w:after="0"/>
              <w:jc w:val="both"/>
              <w:rPr>
                <w:rFonts w:ascii="Arial Narrow" w:hAnsi="Arial Narrow" w:cs="Tahoma"/>
                <w:b/>
                <w:color w:val="000000"/>
                <w:sz w:val="20"/>
                <w:szCs w:val="20"/>
                <w:lang w:val="en-US"/>
              </w:rPr>
            </w:pPr>
            <w:r w:rsidRPr="00DC2130">
              <w:rPr>
                <w:rFonts w:ascii="Arial Narrow" w:hAnsi="Arial Narrow" w:cs="Tahoma"/>
                <w:b/>
                <w:color w:val="000000"/>
                <w:sz w:val="20"/>
                <w:szCs w:val="20"/>
                <w:lang w:val="en-US"/>
              </w:rPr>
              <w:t>FIGO stage III–IVA: 0% management change, 100% no change</w:t>
            </w:r>
          </w:p>
        </w:tc>
      </w:tr>
      <w:tr w:rsidR="00DC2130" w:rsidRPr="00DC2130" w14:paraId="4340D5E3" w14:textId="77777777">
        <w:trPr>
          <w:trHeight w:val="215"/>
        </w:trPr>
        <w:tc>
          <w:tcPr>
            <w:tcW w:w="1507" w:type="pct"/>
          </w:tcPr>
          <w:p w14:paraId="6C9DF86F"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Diagnostic costs</w:t>
            </w:r>
          </w:p>
        </w:tc>
        <w:tc>
          <w:tcPr>
            <w:tcW w:w="1124" w:type="pct"/>
          </w:tcPr>
          <w:p w14:paraId="0350B955"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$397.35</w:t>
            </w:r>
          </w:p>
        </w:tc>
        <w:tc>
          <w:tcPr>
            <w:tcW w:w="1048" w:type="pct"/>
          </w:tcPr>
          <w:p w14:paraId="4AE2A0DC"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w:t>
            </w:r>
          </w:p>
        </w:tc>
        <w:tc>
          <w:tcPr>
            <w:tcW w:w="1321" w:type="pct"/>
          </w:tcPr>
          <w:p w14:paraId="7341ED7D"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$397.35</w:t>
            </w:r>
          </w:p>
        </w:tc>
      </w:tr>
      <w:tr w:rsidR="00DC2130" w:rsidRPr="00DC2130" w14:paraId="6B0487C2" w14:textId="77777777">
        <w:trPr>
          <w:trHeight w:val="215"/>
        </w:trPr>
        <w:tc>
          <w:tcPr>
            <w:tcW w:w="1507" w:type="pct"/>
          </w:tcPr>
          <w:p w14:paraId="295A3A83"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Total costs</w:t>
            </w:r>
          </w:p>
        </w:tc>
        <w:tc>
          <w:tcPr>
            <w:tcW w:w="1124" w:type="pct"/>
          </w:tcPr>
          <w:p w14:paraId="05836D4A"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$11,396.35</w:t>
            </w:r>
          </w:p>
        </w:tc>
        <w:tc>
          <w:tcPr>
            <w:tcW w:w="1048" w:type="pct"/>
          </w:tcPr>
          <w:p w14:paraId="1E045E1E"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$11,190.77</w:t>
            </w:r>
          </w:p>
        </w:tc>
        <w:tc>
          <w:tcPr>
            <w:tcW w:w="1321" w:type="pct"/>
          </w:tcPr>
          <w:p w14:paraId="289B5B26"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$205.59</w:t>
            </w:r>
          </w:p>
        </w:tc>
      </w:tr>
      <w:tr w:rsidR="00DC2130" w:rsidRPr="00DC2130" w14:paraId="15450FD2" w14:textId="77777777">
        <w:trPr>
          <w:trHeight w:val="215"/>
        </w:trPr>
        <w:tc>
          <w:tcPr>
            <w:tcW w:w="1507" w:type="pct"/>
          </w:tcPr>
          <w:p w14:paraId="27D91E35"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Diagnosis</w:t>
            </w:r>
          </w:p>
        </w:tc>
        <w:tc>
          <w:tcPr>
            <w:tcW w:w="1124" w:type="pct"/>
          </w:tcPr>
          <w:p w14:paraId="4F688D20"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0.0974</w:t>
            </w:r>
          </w:p>
        </w:tc>
        <w:tc>
          <w:tcPr>
            <w:tcW w:w="1048" w:type="pct"/>
          </w:tcPr>
          <w:p w14:paraId="78FAF577"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w:t>
            </w:r>
          </w:p>
        </w:tc>
        <w:tc>
          <w:tcPr>
            <w:tcW w:w="1321" w:type="pct"/>
          </w:tcPr>
          <w:p w14:paraId="4EA7C533"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0.0974</w:t>
            </w:r>
          </w:p>
        </w:tc>
      </w:tr>
      <w:tr w:rsidR="00DC2130" w:rsidRPr="00DC2130" w14:paraId="47DDC877" w14:textId="77777777">
        <w:trPr>
          <w:trHeight w:val="215"/>
        </w:trPr>
        <w:tc>
          <w:tcPr>
            <w:tcW w:w="1507" w:type="pct"/>
          </w:tcPr>
          <w:p w14:paraId="157C9A0C"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Treatment de-escalation</w:t>
            </w:r>
          </w:p>
        </w:tc>
        <w:tc>
          <w:tcPr>
            <w:tcW w:w="1124" w:type="pct"/>
          </w:tcPr>
          <w:p w14:paraId="682E7F05"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0.0455</w:t>
            </w:r>
          </w:p>
        </w:tc>
        <w:tc>
          <w:tcPr>
            <w:tcW w:w="1048" w:type="pct"/>
          </w:tcPr>
          <w:p w14:paraId="5ACBD9A7"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w:t>
            </w:r>
          </w:p>
        </w:tc>
        <w:tc>
          <w:tcPr>
            <w:tcW w:w="1321" w:type="pct"/>
          </w:tcPr>
          <w:p w14:paraId="5969B8A7"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0.0455</w:t>
            </w:r>
          </w:p>
        </w:tc>
      </w:tr>
      <w:tr w:rsidR="00DC2130" w:rsidRPr="00DC2130" w14:paraId="5F4C2154" w14:textId="77777777">
        <w:trPr>
          <w:trHeight w:val="215"/>
        </w:trPr>
        <w:tc>
          <w:tcPr>
            <w:tcW w:w="3679" w:type="pct"/>
            <w:gridSpan w:val="3"/>
          </w:tcPr>
          <w:p w14:paraId="2260695B"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 xml:space="preserve">Incremental diagnostic cost per patient with </w:t>
            </w:r>
            <w:r w:rsidRPr="00DC2130">
              <w:rPr>
                <w:rFonts w:ascii="Arial Narrow" w:hAnsi="Arial Narrow" w:cs="Tahoma"/>
                <w:i/>
                <w:color w:val="000000"/>
                <w:sz w:val="20"/>
                <w:szCs w:val="20"/>
              </w:rPr>
              <w:t>POLE</w:t>
            </w:r>
            <w:r w:rsidRPr="00DC2130">
              <w:rPr>
                <w:rFonts w:ascii="Arial Narrow" w:hAnsi="Arial Narrow" w:cs="Tahoma"/>
                <w:color w:val="000000"/>
                <w:sz w:val="20"/>
                <w:szCs w:val="20"/>
              </w:rPr>
              <w:t>mut</w:t>
            </w:r>
          </w:p>
        </w:tc>
        <w:tc>
          <w:tcPr>
            <w:tcW w:w="1321" w:type="pct"/>
          </w:tcPr>
          <w:p w14:paraId="67B67FA7"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$4,080.42</w:t>
            </w:r>
          </w:p>
        </w:tc>
      </w:tr>
      <w:tr w:rsidR="00DC2130" w:rsidRPr="00DC2130" w14:paraId="32318DD7" w14:textId="77777777">
        <w:trPr>
          <w:trHeight w:val="215"/>
        </w:trPr>
        <w:tc>
          <w:tcPr>
            <w:tcW w:w="3679" w:type="pct"/>
            <w:gridSpan w:val="3"/>
          </w:tcPr>
          <w:p w14:paraId="06A7706E"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Incremental cost per patient undergoing adjuvant therapy de-escalation</w:t>
            </w:r>
          </w:p>
        </w:tc>
        <w:tc>
          <w:tcPr>
            <w:tcW w:w="1321" w:type="pct"/>
          </w:tcPr>
          <w:p w14:paraId="6090E86D"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$4,519.64</w:t>
            </w:r>
          </w:p>
        </w:tc>
      </w:tr>
      <w:tr w:rsidR="00DC2130" w:rsidRPr="00DC2130" w14:paraId="5CA6B11E" w14:textId="77777777">
        <w:tc>
          <w:tcPr>
            <w:tcW w:w="5000" w:type="pct"/>
            <w:gridSpan w:val="4"/>
          </w:tcPr>
          <w:p w14:paraId="321B4EB1" w14:textId="3E258C18" w:rsidR="00DC2130" w:rsidRPr="00DC2130" w:rsidRDefault="00DC2130" w:rsidP="00DC2130">
            <w:pPr>
              <w:keepNext/>
              <w:spacing w:before="40" w:after="0"/>
              <w:jc w:val="both"/>
              <w:rPr>
                <w:rFonts w:ascii="Arial Narrow" w:hAnsi="Arial Narrow" w:cs="Tahoma"/>
                <w:b/>
                <w:color w:val="000000"/>
                <w:sz w:val="20"/>
                <w:szCs w:val="20"/>
                <w:lang w:val="en-US"/>
              </w:rPr>
            </w:pPr>
            <w:r w:rsidRPr="00DC2130">
              <w:rPr>
                <w:rFonts w:ascii="Arial Narrow" w:hAnsi="Arial Narrow" w:cs="Tahoma"/>
                <w:b/>
                <w:color w:val="000000"/>
                <w:sz w:val="20"/>
                <w:szCs w:val="20"/>
                <w:lang w:val="en-US"/>
              </w:rPr>
              <w:t>FIGO stage III–IVA: 50% management change, 50% no change</w:t>
            </w:r>
          </w:p>
        </w:tc>
      </w:tr>
      <w:tr w:rsidR="00DC2130" w:rsidRPr="00DC2130" w14:paraId="129BF9E7" w14:textId="77777777">
        <w:trPr>
          <w:trHeight w:val="215"/>
        </w:trPr>
        <w:tc>
          <w:tcPr>
            <w:tcW w:w="1507" w:type="pct"/>
          </w:tcPr>
          <w:p w14:paraId="01E5BD6B"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Diagnostic costs</w:t>
            </w:r>
          </w:p>
        </w:tc>
        <w:tc>
          <w:tcPr>
            <w:tcW w:w="1124" w:type="pct"/>
          </w:tcPr>
          <w:p w14:paraId="65A06C77"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$397.35</w:t>
            </w:r>
          </w:p>
        </w:tc>
        <w:tc>
          <w:tcPr>
            <w:tcW w:w="1048" w:type="pct"/>
          </w:tcPr>
          <w:p w14:paraId="566DECB8"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w:t>
            </w:r>
          </w:p>
        </w:tc>
        <w:tc>
          <w:tcPr>
            <w:tcW w:w="1321" w:type="pct"/>
          </w:tcPr>
          <w:p w14:paraId="521F375E"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$397.35</w:t>
            </w:r>
          </w:p>
        </w:tc>
      </w:tr>
      <w:tr w:rsidR="00DC2130" w:rsidRPr="00DC2130" w14:paraId="54BA4F9C" w14:textId="77777777">
        <w:trPr>
          <w:trHeight w:val="215"/>
        </w:trPr>
        <w:tc>
          <w:tcPr>
            <w:tcW w:w="1507" w:type="pct"/>
          </w:tcPr>
          <w:p w14:paraId="04CEC3DA"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Total costs</w:t>
            </w:r>
          </w:p>
        </w:tc>
        <w:tc>
          <w:tcPr>
            <w:tcW w:w="1124" w:type="pct"/>
          </w:tcPr>
          <w:p w14:paraId="0B3C26C4"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$11,174.52</w:t>
            </w:r>
          </w:p>
        </w:tc>
        <w:tc>
          <w:tcPr>
            <w:tcW w:w="1048" w:type="pct"/>
          </w:tcPr>
          <w:p w14:paraId="1DA7D2E5"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$11,190.77</w:t>
            </w:r>
          </w:p>
        </w:tc>
        <w:tc>
          <w:tcPr>
            <w:tcW w:w="1321" w:type="pct"/>
          </w:tcPr>
          <w:p w14:paraId="4A525CAE"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−$16.25 (cost saving)</w:t>
            </w:r>
          </w:p>
        </w:tc>
      </w:tr>
      <w:tr w:rsidR="00DC2130" w:rsidRPr="00DC2130" w14:paraId="58C703E7" w14:textId="77777777">
        <w:trPr>
          <w:trHeight w:val="215"/>
        </w:trPr>
        <w:tc>
          <w:tcPr>
            <w:tcW w:w="1507" w:type="pct"/>
          </w:tcPr>
          <w:p w14:paraId="0A8CE9B1"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Diagnosis</w:t>
            </w:r>
          </w:p>
        </w:tc>
        <w:tc>
          <w:tcPr>
            <w:tcW w:w="1124" w:type="pct"/>
          </w:tcPr>
          <w:p w14:paraId="5AEDF2DB"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0.0974</w:t>
            </w:r>
          </w:p>
        </w:tc>
        <w:tc>
          <w:tcPr>
            <w:tcW w:w="1048" w:type="pct"/>
          </w:tcPr>
          <w:p w14:paraId="758AA74D"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w:t>
            </w:r>
          </w:p>
        </w:tc>
        <w:tc>
          <w:tcPr>
            <w:tcW w:w="1321" w:type="pct"/>
          </w:tcPr>
          <w:p w14:paraId="63413CD1"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0.0974</w:t>
            </w:r>
          </w:p>
        </w:tc>
      </w:tr>
      <w:tr w:rsidR="00DC2130" w:rsidRPr="00DC2130" w14:paraId="27719C4E" w14:textId="77777777">
        <w:trPr>
          <w:trHeight w:val="215"/>
        </w:trPr>
        <w:tc>
          <w:tcPr>
            <w:tcW w:w="1507" w:type="pct"/>
          </w:tcPr>
          <w:p w14:paraId="65ED96EC"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Treatment de-escalation</w:t>
            </w:r>
          </w:p>
        </w:tc>
        <w:tc>
          <w:tcPr>
            <w:tcW w:w="1124" w:type="pct"/>
          </w:tcPr>
          <w:p w14:paraId="66C3CC0D"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0.0539</w:t>
            </w:r>
          </w:p>
        </w:tc>
        <w:tc>
          <w:tcPr>
            <w:tcW w:w="1048" w:type="pct"/>
          </w:tcPr>
          <w:p w14:paraId="0077F348"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w:t>
            </w:r>
          </w:p>
        </w:tc>
        <w:tc>
          <w:tcPr>
            <w:tcW w:w="1321" w:type="pct"/>
          </w:tcPr>
          <w:p w14:paraId="14BCBB7E"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0.0539</w:t>
            </w:r>
          </w:p>
        </w:tc>
      </w:tr>
      <w:tr w:rsidR="00DC2130" w:rsidRPr="00DC2130" w14:paraId="0D5FE01F" w14:textId="77777777">
        <w:trPr>
          <w:trHeight w:val="215"/>
        </w:trPr>
        <w:tc>
          <w:tcPr>
            <w:tcW w:w="3679" w:type="pct"/>
            <w:gridSpan w:val="3"/>
          </w:tcPr>
          <w:p w14:paraId="4C861EE9"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 xml:space="preserve">Incremental diagnostic cost per patient with </w:t>
            </w:r>
            <w:r w:rsidRPr="00DC2130">
              <w:rPr>
                <w:rFonts w:ascii="Arial Narrow" w:hAnsi="Arial Narrow" w:cs="Tahoma"/>
                <w:i/>
                <w:color w:val="000000"/>
                <w:sz w:val="20"/>
                <w:szCs w:val="20"/>
              </w:rPr>
              <w:t>POLE</w:t>
            </w:r>
            <w:r w:rsidRPr="00DC2130">
              <w:rPr>
                <w:rFonts w:ascii="Arial Narrow" w:hAnsi="Arial Narrow" w:cs="Tahoma"/>
                <w:color w:val="000000"/>
                <w:sz w:val="20"/>
                <w:szCs w:val="20"/>
              </w:rPr>
              <w:t>mut</w:t>
            </w:r>
          </w:p>
        </w:tc>
        <w:tc>
          <w:tcPr>
            <w:tcW w:w="1321" w:type="pct"/>
          </w:tcPr>
          <w:p w14:paraId="505CA62D"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$4,080.42</w:t>
            </w:r>
          </w:p>
        </w:tc>
      </w:tr>
      <w:tr w:rsidR="00DC2130" w:rsidRPr="00DC2130" w14:paraId="734CDA1C" w14:textId="77777777">
        <w:trPr>
          <w:trHeight w:val="215"/>
        </w:trPr>
        <w:tc>
          <w:tcPr>
            <w:tcW w:w="3679" w:type="pct"/>
            <w:gridSpan w:val="3"/>
          </w:tcPr>
          <w:p w14:paraId="3225BB96"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Incremental cost per patient undergoing adjuvant therapy de-escalation</w:t>
            </w:r>
          </w:p>
        </w:tc>
        <w:tc>
          <w:tcPr>
            <w:tcW w:w="1321" w:type="pct"/>
          </w:tcPr>
          <w:p w14:paraId="6C9A376A" w14:textId="77777777" w:rsidR="00DC2130" w:rsidRPr="00DC2130" w:rsidRDefault="00DC2130" w:rsidP="00DC2130">
            <w:pPr>
              <w:spacing w:before="40" w:after="0"/>
              <w:jc w:val="both"/>
              <w:rPr>
                <w:rFonts w:ascii="Arial Narrow" w:hAnsi="Arial Narrow" w:cs="Tahoma"/>
                <w:color w:val="000000"/>
                <w:sz w:val="20"/>
                <w:szCs w:val="20"/>
              </w:rPr>
            </w:pPr>
            <w:r w:rsidRPr="00DC2130">
              <w:rPr>
                <w:rFonts w:ascii="Arial Narrow" w:hAnsi="Arial Narrow" w:cs="Tahoma"/>
                <w:color w:val="000000"/>
                <w:sz w:val="20"/>
                <w:szCs w:val="20"/>
              </w:rPr>
              <w:t>dominant (−$301.43)</w:t>
            </w:r>
          </w:p>
        </w:tc>
      </w:tr>
    </w:tbl>
    <w:p w14:paraId="687703F7" w14:textId="32645F55" w:rsidR="00DC2130" w:rsidRPr="007227F7" w:rsidRDefault="00DC2130" w:rsidP="007227F7">
      <w:pPr>
        <w:spacing w:before="0" w:after="0" w:line="276" w:lineRule="auto"/>
        <w:rPr>
          <w:rFonts w:ascii="Arial Narrow" w:eastAsia="Times New Roman" w:hAnsi="Arial Narrow" w:cs="Tahoma"/>
          <w:color w:val="000000"/>
          <w:sz w:val="18"/>
          <w:szCs w:val="18"/>
          <w:lang w:eastAsia="en-AU"/>
        </w:rPr>
      </w:pPr>
      <w:r w:rsidRPr="00DC2130">
        <w:rPr>
          <w:rFonts w:ascii="Arial Narrow" w:eastAsia="Times New Roman" w:hAnsi="Arial Narrow" w:cs="Tahoma"/>
          <w:color w:val="000000"/>
          <w:sz w:val="18"/>
          <w:szCs w:val="18"/>
          <w:lang w:eastAsia="en-AU"/>
        </w:rPr>
        <w:t xml:space="preserve">Abbreviations: FIGO = </w:t>
      </w:r>
      <w:r w:rsidR="00075761" w:rsidRPr="00002DC2">
        <w:rPr>
          <w:rFonts w:ascii="Arial Narrow" w:hAnsi="Arial Narrow"/>
          <w:sz w:val="18"/>
          <w:szCs w:val="18"/>
        </w:rPr>
        <w:t>International Federation of Gynecology and Obstetrics</w:t>
      </w:r>
      <w:r w:rsidR="00332A4C">
        <w:rPr>
          <w:rFonts w:ascii="Arial Narrow" w:eastAsia="Times New Roman" w:hAnsi="Arial Narrow" w:cs="Tahoma"/>
          <w:color w:val="000000"/>
          <w:sz w:val="18"/>
          <w:szCs w:val="18"/>
          <w:lang w:eastAsia="en-AU"/>
        </w:rPr>
        <w:t>;</w:t>
      </w:r>
      <w:r w:rsidRPr="00DC2130">
        <w:rPr>
          <w:rFonts w:ascii="Arial Narrow" w:eastAsia="Times New Roman" w:hAnsi="Arial Narrow" w:cs="Tahoma"/>
          <w:color w:val="000000"/>
          <w:sz w:val="18"/>
          <w:szCs w:val="18"/>
          <w:lang w:eastAsia="en-AU"/>
        </w:rPr>
        <w:t xml:space="preserve"> </w:t>
      </w:r>
      <w:r w:rsidRPr="00DC2130">
        <w:rPr>
          <w:rFonts w:ascii="Arial Narrow" w:eastAsia="Times New Roman" w:hAnsi="Arial Narrow" w:cs="Tahoma"/>
          <w:i/>
          <w:iCs/>
          <w:color w:val="000000"/>
          <w:sz w:val="18"/>
          <w:szCs w:val="18"/>
          <w:lang w:eastAsia="en-AU"/>
        </w:rPr>
        <w:t>POLE</w:t>
      </w:r>
      <w:r w:rsidRPr="00DC2130">
        <w:rPr>
          <w:rFonts w:ascii="Arial Narrow" w:eastAsia="Times New Roman" w:hAnsi="Arial Narrow" w:cs="Tahoma"/>
          <w:color w:val="000000"/>
          <w:sz w:val="18"/>
          <w:szCs w:val="18"/>
          <w:lang w:eastAsia="en-AU"/>
        </w:rPr>
        <w:t xml:space="preserve"> = DNA polymerase epsilon, catalytic subunit</w:t>
      </w:r>
    </w:p>
    <w:p w14:paraId="38E0002F" w14:textId="26584EBB" w:rsidR="00DC2130" w:rsidRPr="00002DC2" w:rsidRDefault="00744F7E" w:rsidP="12F47456">
      <w:pPr>
        <w:pStyle w:val="Caption"/>
        <w:rPr>
          <w:rFonts w:eastAsia="Aptos" w:cs="Arial"/>
          <w:i/>
          <w:iCs/>
          <w:color w:val="000000"/>
          <w:kern w:val="2"/>
          <w:lang w:val="en-US"/>
          <w14:ligatures w14:val="standardContextual"/>
        </w:rPr>
      </w:pPr>
      <w:bookmarkStart w:id="96" w:name="_Ref223620523"/>
      <w:r w:rsidRPr="00744F7E">
        <w:t xml:space="preserve">Table </w:t>
      </w:r>
      <w:r>
        <w:fldChar w:fldCharType="begin"/>
      </w:r>
      <w:r>
        <w:instrText>SEQ Table \* ARABIC</w:instrText>
      </w:r>
      <w:r>
        <w:fldChar w:fldCharType="separate"/>
      </w:r>
      <w:r w:rsidR="00996E6E">
        <w:rPr>
          <w:noProof/>
        </w:rPr>
        <w:t>27</w:t>
      </w:r>
      <w:r>
        <w:fldChar w:fldCharType="end"/>
      </w:r>
      <w:bookmarkEnd w:id="96"/>
      <w:r w:rsidRPr="00744F7E">
        <w:t xml:space="preserve"> </w:t>
      </w:r>
      <w:r w:rsidR="00DC2130" w:rsidRPr="00A03972">
        <w:rPr>
          <w:rFonts w:eastAsia="Aptos" w:cs="Arial"/>
          <w:color w:val="000000"/>
          <w:kern w:val="2"/>
          <w:lang w:val="en-US"/>
          <w14:ligatures w14:val="standardContextual"/>
        </w:rPr>
        <w:t>Results of scenario analyses for the cost-utility analysis</w:t>
      </w:r>
      <w:r w:rsidR="00627480" w:rsidRPr="00A03972">
        <w:rPr>
          <w:rFonts w:eastAsia="Aptos" w:cs="Arial"/>
          <w:color w:val="000000"/>
          <w:kern w:val="2"/>
          <w:lang w:val="en-US"/>
          <w14:ligatures w14:val="standardContextual"/>
        </w:rPr>
        <w:t xml:space="preserve"> using the respecified base case</w:t>
      </w:r>
    </w:p>
    <w:tbl>
      <w:tblPr>
        <w:tblStyle w:val="CMATableTemplate5"/>
        <w:tblW w:w="8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1901"/>
        <w:gridCol w:w="1803"/>
        <w:gridCol w:w="1802"/>
      </w:tblGrid>
      <w:tr w:rsidR="00B0757D" w:rsidRPr="00DC2130" w14:paraId="0C194C57" w14:textId="77777777" w:rsidTr="00857A43">
        <w:trPr>
          <w:trHeight w:val="300"/>
          <w:tblHeader/>
        </w:trPr>
        <w:tc>
          <w:tcPr>
            <w:tcW w:w="3090" w:type="dxa"/>
            <w:shd w:val="clear" w:color="auto" w:fill="F2F2F2" w:themeFill="background1" w:themeFillShade="F2"/>
          </w:tcPr>
          <w:p w14:paraId="6CCB7A8F" w14:textId="77777777" w:rsidR="00B0757D" w:rsidRPr="00DC2130" w:rsidRDefault="00B0757D" w:rsidP="00DC2130">
            <w:pPr>
              <w:spacing w:before="40"/>
              <w:jc w:val="both"/>
              <w:rPr>
                <w:rFonts w:ascii="Arial Narrow" w:eastAsia="Times New Roman" w:hAnsi="Arial Narrow" w:cs="Tahoma"/>
                <w:b/>
                <w:color w:val="000000"/>
                <w:sz w:val="20"/>
                <w:szCs w:val="20"/>
                <w:lang w:eastAsia="en-AU"/>
              </w:rPr>
            </w:pPr>
            <w:r w:rsidRPr="00DC2130">
              <w:rPr>
                <w:rFonts w:ascii="Arial Narrow" w:eastAsia="Times New Roman" w:hAnsi="Arial Narrow" w:cs="Tahoma"/>
                <w:b/>
                <w:color w:val="000000"/>
                <w:sz w:val="20"/>
                <w:szCs w:val="20"/>
                <w:lang w:eastAsia="en-AU"/>
              </w:rPr>
              <w:t>Scenario</w:t>
            </w:r>
          </w:p>
        </w:tc>
        <w:tc>
          <w:tcPr>
            <w:tcW w:w="1901" w:type="dxa"/>
            <w:shd w:val="clear" w:color="auto" w:fill="F2F2F2" w:themeFill="background1" w:themeFillShade="F2"/>
          </w:tcPr>
          <w:p w14:paraId="5529A1E1" w14:textId="77777777" w:rsidR="00B0757D" w:rsidRPr="00DC2130" w:rsidRDefault="00B0757D" w:rsidP="00DC2130">
            <w:pPr>
              <w:spacing w:before="40"/>
              <w:jc w:val="both"/>
              <w:rPr>
                <w:rFonts w:ascii="Arial Narrow" w:eastAsia="Times New Roman" w:hAnsi="Arial Narrow" w:cs="Tahoma"/>
                <w:b/>
                <w:color w:val="000000"/>
                <w:sz w:val="20"/>
                <w:szCs w:val="20"/>
                <w:lang w:eastAsia="en-AU"/>
              </w:rPr>
            </w:pPr>
            <w:r w:rsidRPr="00DC2130">
              <w:rPr>
                <w:rFonts w:ascii="Arial Narrow" w:eastAsia="Times New Roman" w:hAnsi="Arial Narrow" w:cs="Tahoma"/>
                <w:b/>
                <w:color w:val="000000"/>
                <w:sz w:val="20"/>
                <w:szCs w:val="20"/>
                <w:lang w:eastAsia="en-AU"/>
              </w:rPr>
              <w:t>Incremental cost ($)</w:t>
            </w:r>
          </w:p>
        </w:tc>
        <w:tc>
          <w:tcPr>
            <w:tcW w:w="1803" w:type="dxa"/>
            <w:shd w:val="clear" w:color="auto" w:fill="F2F2F2" w:themeFill="background1" w:themeFillShade="F2"/>
          </w:tcPr>
          <w:p w14:paraId="39341E2A" w14:textId="77777777" w:rsidR="00B0757D" w:rsidRPr="00DC2130" w:rsidRDefault="00B0757D" w:rsidP="00DC2130">
            <w:pPr>
              <w:spacing w:before="40"/>
              <w:jc w:val="both"/>
              <w:rPr>
                <w:rFonts w:ascii="Arial Narrow" w:eastAsia="Times New Roman" w:hAnsi="Arial Narrow" w:cs="Tahoma"/>
                <w:b/>
                <w:color w:val="000000"/>
                <w:sz w:val="20"/>
                <w:szCs w:val="20"/>
                <w:lang w:eastAsia="en-AU"/>
              </w:rPr>
            </w:pPr>
            <w:r w:rsidRPr="00DC2130">
              <w:rPr>
                <w:rFonts w:ascii="Arial Narrow" w:eastAsia="Times New Roman" w:hAnsi="Arial Narrow" w:cs="Tahoma"/>
                <w:b/>
                <w:color w:val="000000"/>
                <w:sz w:val="20"/>
                <w:szCs w:val="20"/>
                <w:lang w:eastAsia="en-AU"/>
              </w:rPr>
              <w:t>Incremental QALYs</w:t>
            </w:r>
          </w:p>
        </w:tc>
        <w:tc>
          <w:tcPr>
            <w:tcW w:w="1802" w:type="dxa"/>
            <w:shd w:val="clear" w:color="auto" w:fill="F2F2F2" w:themeFill="background1" w:themeFillShade="F2"/>
          </w:tcPr>
          <w:p w14:paraId="1F75FA8A" w14:textId="77777777" w:rsidR="00B0757D" w:rsidRPr="00DC2130" w:rsidRDefault="00B0757D" w:rsidP="00DC2130">
            <w:pPr>
              <w:spacing w:before="40"/>
              <w:rPr>
                <w:rFonts w:ascii="Arial Narrow" w:eastAsia="Times New Roman" w:hAnsi="Arial Narrow" w:cs="Tahoma"/>
                <w:b/>
                <w:color w:val="000000"/>
                <w:sz w:val="20"/>
                <w:szCs w:val="20"/>
                <w:lang w:eastAsia="en-AU"/>
              </w:rPr>
            </w:pPr>
            <w:r w:rsidRPr="00DC2130">
              <w:rPr>
                <w:rFonts w:ascii="Arial Narrow" w:eastAsia="Times New Roman" w:hAnsi="Arial Narrow" w:cs="Tahoma"/>
                <w:b/>
                <w:color w:val="000000"/>
                <w:sz w:val="20"/>
                <w:szCs w:val="20"/>
                <w:lang w:eastAsia="en-AU"/>
              </w:rPr>
              <w:t>ICER ($/QALY)</w:t>
            </w:r>
          </w:p>
        </w:tc>
      </w:tr>
      <w:tr w:rsidR="00B0757D" w:rsidRPr="00DC2130" w14:paraId="6F1ABCBB" w14:textId="77777777" w:rsidTr="00857A43">
        <w:trPr>
          <w:trHeight w:val="300"/>
        </w:trPr>
        <w:tc>
          <w:tcPr>
            <w:tcW w:w="8596" w:type="dxa"/>
            <w:gridSpan w:val="4"/>
          </w:tcPr>
          <w:p w14:paraId="0A6C12D2" w14:textId="77777777" w:rsidR="00B0757D" w:rsidRPr="00DC2130" w:rsidRDefault="00B0757D" w:rsidP="00DC2130">
            <w:pPr>
              <w:spacing w:before="40"/>
              <w:rPr>
                <w:rFonts w:ascii="Arial Narrow" w:eastAsia="Times New Roman" w:hAnsi="Arial Narrow" w:cs="Tahoma"/>
                <w:b/>
                <w:color w:val="000000"/>
                <w:sz w:val="20"/>
                <w:szCs w:val="20"/>
                <w:lang w:eastAsia="en-AU"/>
              </w:rPr>
            </w:pPr>
            <w:r w:rsidRPr="00DC2130">
              <w:rPr>
                <w:rFonts w:ascii="Arial Narrow" w:eastAsia="Times New Roman" w:hAnsi="Arial Narrow" w:cs="Tahoma"/>
                <w:b/>
                <w:color w:val="000000"/>
                <w:sz w:val="20"/>
                <w:szCs w:val="20"/>
                <w:lang w:eastAsia="en-AU"/>
              </w:rPr>
              <w:t>Test population (base case: all EC patients)</w:t>
            </w:r>
          </w:p>
        </w:tc>
      </w:tr>
      <w:tr w:rsidR="00B0757D" w:rsidRPr="00DC2130" w14:paraId="1868FE53" w14:textId="77777777" w:rsidTr="00857A43">
        <w:trPr>
          <w:trHeight w:val="300"/>
        </w:trPr>
        <w:tc>
          <w:tcPr>
            <w:tcW w:w="3090" w:type="dxa"/>
          </w:tcPr>
          <w:p w14:paraId="4ACF6FAC" w14:textId="77777777" w:rsidR="00B0757D" w:rsidRPr="00DC2130" w:rsidRDefault="00B0757D" w:rsidP="00DC2130">
            <w:pPr>
              <w:spacing w:before="40"/>
              <w:jc w:val="both"/>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Subgroups 1 and 7</w:t>
            </w:r>
          </w:p>
        </w:tc>
        <w:tc>
          <w:tcPr>
            <w:tcW w:w="1901" w:type="dxa"/>
          </w:tcPr>
          <w:p w14:paraId="12FBEB3C" w14:textId="77777777" w:rsidR="00B0757D" w:rsidRPr="00DC2130" w:rsidRDefault="00B0757D" w:rsidP="00DC2130">
            <w:pPr>
              <w:spacing w:before="40"/>
              <w:jc w:val="both"/>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397.35</w:t>
            </w:r>
          </w:p>
        </w:tc>
        <w:tc>
          <w:tcPr>
            <w:tcW w:w="1803" w:type="dxa"/>
          </w:tcPr>
          <w:p w14:paraId="657C16CA" w14:textId="77777777" w:rsidR="00B0757D" w:rsidRPr="00DC2130" w:rsidRDefault="00B0757D" w:rsidP="00DC2130">
            <w:pPr>
              <w:spacing w:before="40"/>
              <w:jc w:val="both"/>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w:t>
            </w:r>
          </w:p>
        </w:tc>
        <w:tc>
          <w:tcPr>
            <w:tcW w:w="1802" w:type="dxa"/>
          </w:tcPr>
          <w:p w14:paraId="648333D9"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NA</w:t>
            </w:r>
            <w:r w:rsidRPr="00DC2130">
              <w:rPr>
                <w:rFonts w:ascii="Arial Narrow" w:eastAsia="Times New Roman" w:hAnsi="Arial Narrow" w:cs="Tahoma"/>
                <w:color w:val="000000"/>
                <w:sz w:val="20"/>
                <w:szCs w:val="20"/>
                <w:vertAlign w:val="superscript"/>
                <w:lang w:eastAsia="en-AU"/>
              </w:rPr>
              <w:t>a</w:t>
            </w:r>
          </w:p>
        </w:tc>
      </w:tr>
      <w:tr w:rsidR="00B0757D" w:rsidRPr="00DC2130" w14:paraId="58B428EF" w14:textId="77777777" w:rsidTr="00857A43">
        <w:trPr>
          <w:trHeight w:val="300"/>
        </w:trPr>
        <w:tc>
          <w:tcPr>
            <w:tcW w:w="3090" w:type="dxa"/>
          </w:tcPr>
          <w:p w14:paraId="6192F2F2" w14:textId="77777777" w:rsidR="00B0757D" w:rsidRPr="00DC2130" w:rsidRDefault="00B0757D" w:rsidP="00DC2130">
            <w:pPr>
              <w:spacing w:before="40"/>
              <w:jc w:val="both"/>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Subgroups 2 and 7</w:t>
            </w:r>
          </w:p>
        </w:tc>
        <w:tc>
          <w:tcPr>
            <w:tcW w:w="1901" w:type="dxa"/>
          </w:tcPr>
          <w:p w14:paraId="5D7F2AAB" w14:textId="77777777" w:rsidR="00B0757D" w:rsidRPr="00DC2130" w:rsidRDefault="00B0757D" w:rsidP="00DC2130">
            <w:pPr>
              <w:spacing w:before="40"/>
              <w:jc w:val="both"/>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341.27</w:t>
            </w:r>
          </w:p>
        </w:tc>
        <w:tc>
          <w:tcPr>
            <w:tcW w:w="1803" w:type="dxa"/>
          </w:tcPr>
          <w:p w14:paraId="7294CC84" w14:textId="77777777" w:rsidR="00B0757D" w:rsidRPr="00DC2130" w:rsidRDefault="00B0757D" w:rsidP="00DC2130">
            <w:pPr>
              <w:spacing w:before="40"/>
              <w:jc w:val="both"/>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0.00005</w:t>
            </w:r>
          </w:p>
        </w:tc>
        <w:tc>
          <w:tcPr>
            <w:tcW w:w="1802" w:type="dxa"/>
          </w:tcPr>
          <w:p w14:paraId="5176E175"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6,625,545.96</w:t>
            </w:r>
          </w:p>
        </w:tc>
      </w:tr>
      <w:tr w:rsidR="00B0757D" w:rsidRPr="00DC2130" w14:paraId="65DEB245" w14:textId="77777777" w:rsidTr="00857A43">
        <w:trPr>
          <w:trHeight w:val="300"/>
        </w:trPr>
        <w:tc>
          <w:tcPr>
            <w:tcW w:w="8596" w:type="dxa"/>
            <w:gridSpan w:val="4"/>
          </w:tcPr>
          <w:p w14:paraId="344212F9" w14:textId="77777777" w:rsidR="00B0757D" w:rsidRPr="00DC2130" w:rsidRDefault="00B0757D" w:rsidP="00DC2130">
            <w:pPr>
              <w:spacing w:before="40"/>
              <w:rPr>
                <w:rFonts w:ascii="Arial Narrow" w:eastAsia="Times New Roman" w:hAnsi="Arial Narrow" w:cs="Tahoma"/>
                <w:b/>
                <w:color w:val="000000"/>
                <w:sz w:val="20"/>
                <w:szCs w:val="20"/>
                <w:lang w:eastAsia="en-AU"/>
              </w:rPr>
            </w:pPr>
            <w:r w:rsidRPr="00DC2130">
              <w:rPr>
                <w:rFonts w:ascii="Arial Narrow" w:eastAsia="Times New Roman" w:hAnsi="Arial Narrow" w:cs="Tahoma"/>
                <w:b/>
                <w:color w:val="000000"/>
                <w:sz w:val="20"/>
                <w:szCs w:val="20"/>
                <w:lang w:eastAsia="en-AU"/>
              </w:rPr>
              <w:t>Proportion with treatment de-escalation in stage III-IVA EC (base case: 100%)</w:t>
            </w:r>
          </w:p>
        </w:tc>
      </w:tr>
      <w:tr w:rsidR="00B0757D" w:rsidRPr="00DC2130" w14:paraId="515C1F80" w14:textId="77777777" w:rsidTr="00857A43">
        <w:trPr>
          <w:trHeight w:val="300"/>
        </w:trPr>
        <w:tc>
          <w:tcPr>
            <w:tcW w:w="3090" w:type="dxa"/>
          </w:tcPr>
          <w:p w14:paraId="1C130D80"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 xml:space="preserve">0% of patients with stage III-IVA </w:t>
            </w:r>
            <w:r w:rsidRPr="00DC2130">
              <w:rPr>
                <w:rFonts w:ascii="Arial Narrow" w:eastAsia="Times New Roman" w:hAnsi="Arial Narrow" w:cs="Tahoma"/>
                <w:i/>
                <w:iCs/>
                <w:color w:val="000000"/>
                <w:sz w:val="20"/>
                <w:szCs w:val="20"/>
                <w:lang w:eastAsia="en-AU"/>
              </w:rPr>
              <w:t>POLE</w:t>
            </w:r>
            <w:r w:rsidRPr="00DC2130">
              <w:rPr>
                <w:rFonts w:ascii="Arial Narrow" w:eastAsia="Times New Roman" w:hAnsi="Arial Narrow" w:cs="Tahoma"/>
                <w:color w:val="000000"/>
                <w:sz w:val="20"/>
                <w:szCs w:val="20"/>
                <w:lang w:eastAsia="en-AU"/>
              </w:rPr>
              <w:t>mut</w:t>
            </w:r>
          </w:p>
        </w:tc>
        <w:tc>
          <w:tcPr>
            <w:tcW w:w="1901" w:type="dxa"/>
          </w:tcPr>
          <w:p w14:paraId="21F9AB9D"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206.04</w:t>
            </w:r>
          </w:p>
        </w:tc>
        <w:tc>
          <w:tcPr>
            <w:tcW w:w="1803" w:type="dxa"/>
          </w:tcPr>
          <w:p w14:paraId="02395DC9"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0.002</w:t>
            </w:r>
          </w:p>
        </w:tc>
        <w:tc>
          <w:tcPr>
            <w:tcW w:w="1802" w:type="dxa"/>
          </w:tcPr>
          <w:p w14:paraId="6DCFA0E3"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129,002.02</w:t>
            </w:r>
          </w:p>
        </w:tc>
      </w:tr>
      <w:tr w:rsidR="00B0757D" w:rsidRPr="00DC2130" w14:paraId="3AEB0137" w14:textId="77777777" w:rsidTr="00857A43">
        <w:trPr>
          <w:trHeight w:val="300"/>
        </w:trPr>
        <w:tc>
          <w:tcPr>
            <w:tcW w:w="3090" w:type="dxa"/>
          </w:tcPr>
          <w:p w14:paraId="3B4F63D9"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 xml:space="preserve">50% of patients with stage III-IVA </w:t>
            </w:r>
            <w:r w:rsidRPr="00DC2130">
              <w:rPr>
                <w:rFonts w:ascii="Arial Narrow" w:eastAsia="Times New Roman" w:hAnsi="Arial Narrow" w:cs="Tahoma"/>
                <w:i/>
                <w:iCs/>
                <w:color w:val="000000"/>
                <w:sz w:val="20"/>
                <w:szCs w:val="20"/>
                <w:lang w:eastAsia="en-AU"/>
              </w:rPr>
              <w:t>POLE</w:t>
            </w:r>
            <w:r w:rsidRPr="00DC2130">
              <w:rPr>
                <w:rFonts w:ascii="Arial Narrow" w:eastAsia="Times New Roman" w:hAnsi="Arial Narrow" w:cs="Tahoma"/>
                <w:color w:val="000000"/>
                <w:sz w:val="20"/>
                <w:szCs w:val="20"/>
                <w:lang w:eastAsia="en-AU"/>
              </w:rPr>
              <w:t>mut</w:t>
            </w:r>
          </w:p>
        </w:tc>
        <w:tc>
          <w:tcPr>
            <w:tcW w:w="1901" w:type="dxa"/>
          </w:tcPr>
          <w:p w14:paraId="6FB65345"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–16.02</w:t>
            </w:r>
          </w:p>
        </w:tc>
        <w:tc>
          <w:tcPr>
            <w:tcW w:w="1803" w:type="dxa"/>
          </w:tcPr>
          <w:p w14:paraId="40A57D4C"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color w:val="000000"/>
                <w:sz w:val="20"/>
                <w:szCs w:val="20"/>
                <w:lang w:eastAsia="en-AU"/>
              </w:rPr>
              <w:t>0.002</w:t>
            </w:r>
          </w:p>
        </w:tc>
        <w:tc>
          <w:tcPr>
            <w:tcW w:w="1802" w:type="dxa"/>
          </w:tcPr>
          <w:p w14:paraId="27C49092" w14:textId="77777777" w:rsidR="00B0757D" w:rsidRPr="00DC2130" w:rsidRDefault="00B0757D" w:rsidP="00DC2130">
            <w:pPr>
              <w:spacing w:before="40"/>
              <w:rPr>
                <w:rFonts w:ascii="Arial Narrow" w:eastAsia="Times New Roman" w:hAnsi="Arial Narrow" w:cs="Tahoma"/>
                <w:color w:val="000000"/>
                <w:sz w:val="20"/>
                <w:szCs w:val="20"/>
                <w:lang w:eastAsia="en-AU"/>
              </w:rPr>
            </w:pPr>
            <w:r w:rsidRPr="00DC2130">
              <w:rPr>
                <w:rFonts w:ascii="Arial Narrow" w:eastAsia="Times New Roman" w:hAnsi="Arial Narrow" w:cs="Tahoma"/>
                <w:i/>
                <w:iCs/>
                <w:color w:val="000000"/>
                <w:sz w:val="20"/>
                <w:szCs w:val="20"/>
                <w:lang w:eastAsia="en-AU"/>
              </w:rPr>
              <w:t>POLE</w:t>
            </w:r>
            <w:r w:rsidRPr="00DC2130">
              <w:rPr>
                <w:rFonts w:ascii="Arial Narrow" w:eastAsia="Times New Roman" w:hAnsi="Arial Narrow" w:cs="Tahoma"/>
                <w:color w:val="000000"/>
                <w:sz w:val="20"/>
                <w:szCs w:val="20"/>
                <w:lang w:eastAsia="en-AU"/>
              </w:rPr>
              <w:t xml:space="preserve"> genotyping dominant</w:t>
            </w:r>
          </w:p>
        </w:tc>
      </w:tr>
    </w:tbl>
    <w:p w14:paraId="649A5C17" w14:textId="77777777" w:rsidR="00DC2130" w:rsidRPr="00DC2130" w:rsidRDefault="00DC2130" w:rsidP="00DC2130">
      <w:pPr>
        <w:spacing w:before="0" w:after="0" w:line="276" w:lineRule="auto"/>
        <w:rPr>
          <w:rFonts w:ascii="Arial Narrow" w:eastAsia="Times New Roman" w:hAnsi="Arial Narrow" w:cs="Tahoma"/>
          <w:color w:val="000000"/>
          <w:sz w:val="18"/>
          <w:szCs w:val="18"/>
          <w:lang w:eastAsia="en-AU"/>
        </w:rPr>
      </w:pPr>
      <w:r w:rsidRPr="00DC2130">
        <w:rPr>
          <w:rFonts w:ascii="Arial Narrow" w:eastAsia="Times New Roman" w:hAnsi="Arial Narrow" w:cs="Tahoma"/>
          <w:color w:val="000000"/>
          <w:sz w:val="18"/>
          <w:szCs w:val="18"/>
          <w:lang w:eastAsia="en-AU"/>
        </w:rPr>
        <w:t xml:space="preserve">Abbreviations: EC = endometrial cancer; ICER = incremental cost-effectiveness ratio; </w:t>
      </w:r>
      <w:r w:rsidRPr="00DC2130">
        <w:rPr>
          <w:rFonts w:ascii="Arial Narrow" w:eastAsia="Times New Roman" w:hAnsi="Arial Narrow" w:cs="Tahoma"/>
          <w:color w:val="000000"/>
          <w:sz w:val="18"/>
          <w:szCs w:val="18"/>
          <w:lang w:val="en-US" w:eastAsia="en-AU"/>
        </w:rPr>
        <w:t>NA = not applicable;</w:t>
      </w:r>
      <w:r w:rsidRPr="00DC2130">
        <w:rPr>
          <w:rFonts w:ascii="Arial Narrow" w:eastAsia="Times New Roman" w:hAnsi="Arial Narrow" w:cs="Tahoma"/>
          <w:i/>
          <w:color w:val="000000"/>
          <w:sz w:val="18"/>
          <w:szCs w:val="18"/>
          <w:lang w:val="en-US" w:eastAsia="en-AU"/>
        </w:rPr>
        <w:t xml:space="preserve"> </w:t>
      </w:r>
      <w:r w:rsidRPr="00DC2130">
        <w:rPr>
          <w:rFonts w:ascii="Arial Narrow" w:eastAsia="Times New Roman" w:hAnsi="Arial Narrow" w:cs="Tahoma"/>
          <w:i/>
          <w:iCs/>
          <w:color w:val="000000"/>
          <w:sz w:val="18"/>
          <w:szCs w:val="18"/>
          <w:lang w:eastAsia="en-AU"/>
        </w:rPr>
        <w:t>POLE</w:t>
      </w:r>
      <w:r w:rsidRPr="00DC2130">
        <w:rPr>
          <w:rFonts w:ascii="Arial Narrow" w:eastAsia="Times New Roman" w:hAnsi="Arial Narrow" w:cs="Tahoma"/>
          <w:color w:val="000000"/>
          <w:sz w:val="18"/>
          <w:szCs w:val="18"/>
          <w:lang w:eastAsia="en-AU"/>
        </w:rPr>
        <w:t xml:space="preserve"> = DNA polymerase epsilon, catalytic subunit; QALY = quality-adjusted life year</w:t>
      </w:r>
    </w:p>
    <w:p w14:paraId="10CBD8A4" w14:textId="77777777" w:rsidR="00DC2130" w:rsidRPr="00DC2130" w:rsidRDefault="00DC2130" w:rsidP="00DC2130">
      <w:pPr>
        <w:spacing w:before="0" w:after="0" w:line="276" w:lineRule="auto"/>
        <w:rPr>
          <w:rFonts w:ascii="Arial Narrow" w:eastAsia="Times New Roman" w:hAnsi="Arial Narrow" w:cs="Tahoma"/>
          <w:color w:val="000000"/>
          <w:sz w:val="18"/>
          <w:szCs w:val="18"/>
          <w:lang w:eastAsia="en-AU"/>
        </w:rPr>
      </w:pPr>
      <w:r w:rsidRPr="00DC2130">
        <w:rPr>
          <w:rFonts w:ascii="Arial Narrow" w:eastAsia="Times New Roman" w:hAnsi="Arial Narrow" w:cs="Tahoma"/>
          <w:color w:val="000000"/>
          <w:sz w:val="18"/>
          <w:szCs w:val="18"/>
          <w:lang w:eastAsia="en-AU"/>
        </w:rPr>
        <w:t xml:space="preserve">Note: </w:t>
      </w:r>
      <w:r w:rsidRPr="00DC2130">
        <w:rPr>
          <w:rFonts w:ascii="Arial Narrow" w:eastAsia="Times New Roman" w:hAnsi="Arial Narrow" w:cs="Tahoma"/>
          <w:color w:val="000000"/>
          <w:sz w:val="18"/>
          <w:szCs w:val="18"/>
          <w:vertAlign w:val="superscript"/>
          <w:lang w:eastAsia="en-AU"/>
        </w:rPr>
        <w:t>a</w:t>
      </w:r>
      <w:r w:rsidRPr="00DC2130">
        <w:rPr>
          <w:rFonts w:ascii="Arial Narrow" w:eastAsia="Times New Roman" w:hAnsi="Arial Narrow" w:cs="Tahoma"/>
          <w:color w:val="000000"/>
          <w:sz w:val="18"/>
          <w:szCs w:val="18"/>
          <w:lang w:eastAsia="en-AU"/>
        </w:rPr>
        <w:t xml:space="preserve"> Not calculated because there was no difference in effectiveness.</w:t>
      </w:r>
    </w:p>
    <w:p w14:paraId="25AE2BAC" w14:textId="2D2DCBE2" w:rsidR="00772829" w:rsidRPr="00CE28E3" w:rsidRDefault="00772829" w:rsidP="00DE034C">
      <w:pPr>
        <w:pStyle w:val="Heading2"/>
        <w:numPr>
          <w:ilvl w:val="0"/>
          <w:numId w:val="18"/>
        </w:numPr>
        <w:ind w:hanging="720"/>
      </w:pPr>
      <w:bookmarkStart w:id="97" w:name="_Toc220675611"/>
      <w:bookmarkStart w:id="98" w:name="_Toc220670380"/>
      <w:bookmarkStart w:id="99" w:name="_Ref223619461"/>
      <w:bookmarkEnd w:id="84"/>
      <w:r w:rsidRPr="00CE28E3">
        <w:t>Financial/budgetary impacts</w:t>
      </w:r>
      <w:bookmarkEnd w:id="97"/>
      <w:bookmarkEnd w:id="98"/>
      <w:bookmarkEnd w:id="99"/>
    </w:p>
    <w:p w14:paraId="7F8DF13E" w14:textId="6D7A36E4" w:rsidR="00290A5B" w:rsidRPr="00FD4CDF" w:rsidRDefault="002F5DFA" w:rsidP="007227F7">
      <w:r>
        <w:t xml:space="preserve">An </w:t>
      </w:r>
      <w:r w:rsidR="008E77BD">
        <w:t>epidemiological approach was used to</w:t>
      </w:r>
      <w:r w:rsidR="00D172B8" w:rsidRPr="00F834DD">
        <w:t xml:space="preserve"> evaluate the overall budget impact of listing </w:t>
      </w:r>
      <w:r w:rsidR="00572E78" w:rsidRPr="00572E78">
        <w:rPr>
          <w:i/>
        </w:rPr>
        <w:t>POLE</w:t>
      </w:r>
      <w:r w:rsidR="00D172B8" w:rsidRPr="00F834DD">
        <w:t xml:space="preserve"> genotyping on the MBS</w:t>
      </w:r>
      <w:r w:rsidR="00BC0A6E">
        <w:t xml:space="preserve"> by the DCAR</w:t>
      </w:r>
      <w:r w:rsidR="008E77BD">
        <w:t>.</w:t>
      </w:r>
      <w:r w:rsidR="00D172B8" w:rsidRPr="00F834DD">
        <w:t xml:space="preserve"> </w:t>
      </w:r>
      <w:r w:rsidR="00A83A25">
        <w:t>Commencing</w:t>
      </w:r>
      <w:r w:rsidR="00D172B8">
        <w:t xml:space="preserve"> in 2026, 1,743 patients are expected to receive </w:t>
      </w:r>
      <w:r w:rsidR="00572E78" w:rsidRPr="00572E78">
        <w:rPr>
          <w:i/>
        </w:rPr>
        <w:t>POLE</w:t>
      </w:r>
      <w:r w:rsidR="00D172B8" w:rsidRPr="00F834DD">
        <w:t xml:space="preserve"> </w:t>
      </w:r>
      <w:r w:rsidR="00B90289" w:rsidRPr="00F834DD">
        <w:t>genotyping</w:t>
      </w:r>
      <w:r w:rsidR="00D172B8">
        <w:t xml:space="preserve">. </w:t>
      </w:r>
      <w:r w:rsidR="00572E78" w:rsidRPr="00572E78">
        <w:rPr>
          <w:i/>
        </w:rPr>
        <w:t>POLE</w:t>
      </w:r>
      <w:r w:rsidR="00D172B8">
        <w:t xml:space="preserve"> testing is expected to be performed</w:t>
      </w:r>
      <w:r w:rsidR="00D172B8" w:rsidRPr="00F834DD">
        <w:t xml:space="preserve"> once per </w:t>
      </w:r>
      <w:r w:rsidR="002E4C15">
        <w:t xml:space="preserve">primary tumour </w:t>
      </w:r>
      <w:r w:rsidR="002E4C15">
        <w:lastRenderedPageBreak/>
        <w:t>diagnosis per</w:t>
      </w:r>
      <w:r w:rsidR="002E4C15" w:rsidRPr="00F834DD">
        <w:t xml:space="preserve"> </w:t>
      </w:r>
      <w:r w:rsidR="00D172B8" w:rsidRPr="00F834DD">
        <w:t>patient, at the time of initial diagnosis</w:t>
      </w:r>
      <w:r w:rsidR="00A83A25">
        <w:t>,</w:t>
      </w:r>
      <w:r w:rsidR="00D172B8" w:rsidRPr="00F834DD">
        <w:t xml:space="preserve"> to inform molecular subtype classification and guide decisions regarding adjuvant therapy. </w:t>
      </w:r>
      <w:r w:rsidR="00D172B8">
        <w:t xml:space="preserve">In the absence of </w:t>
      </w:r>
      <w:r w:rsidR="00544789">
        <w:t xml:space="preserve">a comparator test for which local </w:t>
      </w:r>
      <w:r w:rsidR="00D172B8">
        <w:t>utilisation dat</w:t>
      </w:r>
      <w:r w:rsidR="00D62AEF">
        <w:t>a</w:t>
      </w:r>
      <w:r w:rsidR="00544789">
        <w:t xml:space="preserve"> could be sourced</w:t>
      </w:r>
      <w:r w:rsidR="00D172B8">
        <w:t>, incidence-based estimates were used as the basis for modelling.</w:t>
      </w:r>
      <w:r w:rsidR="00EA006D">
        <w:t xml:space="preserve"> </w:t>
      </w:r>
      <w:r w:rsidR="00313E24">
        <w:t>A</w:t>
      </w:r>
      <w:r w:rsidR="00F64523">
        <w:t>s per the applicant</w:t>
      </w:r>
      <w:r w:rsidR="00F13A2C">
        <w:t>-</w:t>
      </w:r>
      <w:r w:rsidR="00F64523">
        <w:t xml:space="preserve">submitted PICO, all EC patients were eligible for </w:t>
      </w:r>
      <w:r w:rsidR="00836811" w:rsidRPr="00836811">
        <w:rPr>
          <w:i/>
        </w:rPr>
        <w:t>POLE</w:t>
      </w:r>
      <w:r w:rsidR="00313E24">
        <w:t xml:space="preserve"> genotyping. </w:t>
      </w:r>
      <w:r w:rsidR="00D20C3D">
        <w:t xml:space="preserve">However, </w:t>
      </w:r>
      <w:r w:rsidR="000C7B19">
        <w:t xml:space="preserve">in clinical practice, testing is unlikely to be clinically necessary for patients for low-stage, low-grade </w:t>
      </w:r>
      <w:r w:rsidR="00813BAF">
        <w:t>EC</w:t>
      </w:r>
      <w:r w:rsidR="000C7B19">
        <w:t xml:space="preserve"> </w:t>
      </w:r>
      <w:r w:rsidR="006D2EC3">
        <w:t xml:space="preserve">which does not influence the clinical management. </w:t>
      </w:r>
      <w:r w:rsidR="00D172B8">
        <w:t>T</w:t>
      </w:r>
      <w:r w:rsidR="00D172B8" w:rsidRPr="00F834DD">
        <w:t xml:space="preserve">here is no alternative MBS item available for </w:t>
      </w:r>
      <w:r w:rsidR="00572E78" w:rsidRPr="00572E78">
        <w:rPr>
          <w:i/>
        </w:rPr>
        <w:t>POLE</w:t>
      </w:r>
      <w:r w:rsidR="00D172B8" w:rsidRPr="00F834DD">
        <w:t xml:space="preserve"> </w:t>
      </w:r>
      <w:r w:rsidR="00CA6324" w:rsidRPr="00F834DD">
        <w:t xml:space="preserve">genotyping </w:t>
      </w:r>
      <w:r w:rsidR="00D172B8" w:rsidRPr="00F834DD">
        <w:t xml:space="preserve">for </w:t>
      </w:r>
      <w:r w:rsidR="000539B4">
        <w:t>EC</w:t>
      </w:r>
      <w:r w:rsidR="00D172B8" w:rsidRPr="00F834DD">
        <w:t xml:space="preserve">. </w:t>
      </w:r>
      <w:r w:rsidR="00BC0E1A">
        <w:t>Th</w:t>
      </w:r>
      <w:r w:rsidR="00C95032">
        <w:t>us</w:t>
      </w:r>
      <w:r w:rsidR="00BC0E1A">
        <w:t xml:space="preserve">, the cost of </w:t>
      </w:r>
      <w:r w:rsidR="00BC0E1A" w:rsidRPr="00470928">
        <w:rPr>
          <w:i/>
        </w:rPr>
        <w:t>POLE</w:t>
      </w:r>
      <w:r w:rsidR="00BC0E1A">
        <w:t xml:space="preserve"> </w:t>
      </w:r>
      <w:r w:rsidR="0070108E" w:rsidRPr="00F834DD">
        <w:t xml:space="preserve">genotyping </w:t>
      </w:r>
      <w:r w:rsidR="00551C3C">
        <w:t>must be considered as a new addition to the MBS schedule</w:t>
      </w:r>
      <w:r w:rsidR="0070108E">
        <w:t xml:space="preserve">; there </w:t>
      </w:r>
      <w:r w:rsidR="0070108E" w:rsidRPr="00FD4CDF">
        <w:t>would be no substitution of existing items</w:t>
      </w:r>
      <w:r w:rsidR="00551C3C" w:rsidRPr="00FD4CDF">
        <w:t xml:space="preserve">. </w:t>
      </w:r>
    </w:p>
    <w:p w14:paraId="3518F7C4" w14:textId="4AFB74DB" w:rsidR="00D172B8" w:rsidRPr="00FD4CDF" w:rsidRDefault="0069747E" w:rsidP="007227F7">
      <w:pPr>
        <w:rPr>
          <w:rFonts w:eastAsia="Times New Roman" w:cs="Arial"/>
          <w:snapToGrid w:val="0"/>
          <w:lang w:eastAsia="en-AU"/>
        </w:rPr>
      </w:pPr>
      <w:r>
        <w:rPr>
          <w:rFonts w:eastAsia="Times New Roman" w:cs="Arial"/>
          <w:snapToGrid w:val="0"/>
          <w:lang w:eastAsia="en-AU"/>
        </w:rPr>
        <w:t xml:space="preserve">The </w:t>
      </w:r>
      <w:r w:rsidR="00AA1546">
        <w:rPr>
          <w:rFonts w:eastAsia="Times New Roman" w:cs="Arial"/>
          <w:snapToGrid w:val="0"/>
          <w:lang w:eastAsia="en-AU"/>
        </w:rPr>
        <w:t>DCAR</w:t>
      </w:r>
      <w:r>
        <w:rPr>
          <w:rFonts w:eastAsia="Times New Roman" w:cs="Arial"/>
          <w:snapToGrid w:val="0"/>
          <w:lang w:eastAsia="en-AU"/>
        </w:rPr>
        <w:t xml:space="preserve"> </w:t>
      </w:r>
      <w:r w:rsidR="00113066">
        <w:rPr>
          <w:rFonts w:eastAsia="Times New Roman" w:cs="Arial"/>
          <w:snapToGrid w:val="0"/>
          <w:lang w:eastAsia="en-AU"/>
        </w:rPr>
        <w:t>estimated the t</w:t>
      </w:r>
      <w:r w:rsidR="00D172B8" w:rsidRPr="00FD4CDF">
        <w:rPr>
          <w:rFonts w:eastAsia="Times New Roman" w:cs="Arial"/>
          <w:snapToGrid w:val="0"/>
          <w:lang w:eastAsia="en-AU"/>
        </w:rPr>
        <w:t xml:space="preserve">otal cost to the MBS </w:t>
      </w:r>
      <w:r w:rsidR="00975396">
        <w:rPr>
          <w:rFonts w:eastAsia="Times New Roman" w:cs="Arial"/>
          <w:snapToGrid w:val="0"/>
          <w:lang w:eastAsia="en-AU"/>
        </w:rPr>
        <w:t>using</w:t>
      </w:r>
      <w:r w:rsidR="00975396" w:rsidRPr="00FD4CDF">
        <w:rPr>
          <w:rFonts w:eastAsia="Times New Roman" w:cs="Arial"/>
          <w:snapToGrid w:val="0"/>
          <w:lang w:eastAsia="en-AU"/>
        </w:rPr>
        <w:t xml:space="preserve"> </w:t>
      </w:r>
      <w:r w:rsidR="00290A5B" w:rsidRPr="00FD4CDF">
        <w:rPr>
          <w:rFonts w:eastAsia="Times New Roman" w:cs="Arial"/>
          <w:snapToGrid w:val="0"/>
          <w:lang w:eastAsia="en-AU"/>
        </w:rPr>
        <w:t xml:space="preserve">the </w:t>
      </w:r>
      <w:r w:rsidR="00AA1546">
        <w:rPr>
          <w:rFonts w:eastAsia="Times New Roman" w:cs="Arial"/>
          <w:snapToGrid w:val="0"/>
          <w:lang w:eastAsia="en-AU"/>
        </w:rPr>
        <w:t xml:space="preserve">higher </w:t>
      </w:r>
      <w:r w:rsidR="00290A5B" w:rsidRPr="00FD4CDF">
        <w:rPr>
          <w:rFonts w:eastAsia="Times New Roman" w:cs="Arial"/>
          <w:snapToGrid w:val="0"/>
          <w:lang w:eastAsia="en-AU"/>
        </w:rPr>
        <w:t xml:space="preserve">proposed </w:t>
      </w:r>
      <w:r w:rsidR="00AA1546">
        <w:rPr>
          <w:rFonts w:eastAsia="Times New Roman" w:cs="Arial"/>
          <w:snapToGrid w:val="0"/>
          <w:lang w:eastAsia="en-AU"/>
        </w:rPr>
        <w:t>fee</w:t>
      </w:r>
      <w:r w:rsidR="00AA1546" w:rsidRPr="00FD4CDF">
        <w:rPr>
          <w:rFonts w:eastAsia="Times New Roman" w:cs="Arial"/>
          <w:snapToGrid w:val="0"/>
          <w:lang w:eastAsia="en-AU"/>
        </w:rPr>
        <w:t xml:space="preserve"> </w:t>
      </w:r>
      <w:r w:rsidR="00D172B8" w:rsidRPr="00FD4CDF">
        <w:rPr>
          <w:rFonts w:eastAsia="Times New Roman" w:cs="Arial"/>
          <w:snapToGrid w:val="0"/>
          <w:lang w:eastAsia="en-AU"/>
        </w:rPr>
        <w:t xml:space="preserve">at 85% benefit </w:t>
      </w:r>
      <w:r w:rsidR="00AA1546">
        <w:rPr>
          <w:rFonts w:eastAsia="Times New Roman" w:cs="Arial"/>
          <w:snapToGrid w:val="0"/>
          <w:lang w:eastAsia="en-AU"/>
        </w:rPr>
        <w:t>(</w:t>
      </w:r>
      <w:r w:rsidR="00AA1546" w:rsidRPr="00FD4CDF">
        <w:rPr>
          <w:rFonts w:eastAsia="Times New Roman" w:cs="Times New Roman"/>
          <w:szCs w:val="20"/>
          <w:lang w:eastAsia="en-AU"/>
        </w:rPr>
        <w:t>$422.60</w:t>
      </w:r>
      <w:r w:rsidR="00AA1546">
        <w:rPr>
          <w:rFonts w:eastAsia="Times New Roman" w:cs="Times New Roman"/>
          <w:szCs w:val="20"/>
          <w:lang w:eastAsia="en-AU"/>
        </w:rPr>
        <w:t xml:space="preserve">) </w:t>
      </w:r>
      <w:r w:rsidR="00D172B8" w:rsidRPr="00FD4CDF">
        <w:rPr>
          <w:rFonts w:eastAsia="Times New Roman" w:cs="Arial"/>
          <w:snapToGrid w:val="0"/>
          <w:lang w:eastAsia="en-AU"/>
        </w:rPr>
        <w:t>is expected to be $736,</w:t>
      </w:r>
      <w:r w:rsidR="008A032F" w:rsidRPr="00FD4CDF">
        <w:rPr>
          <w:rFonts w:eastAsia="Times New Roman" w:cs="Arial"/>
          <w:snapToGrid w:val="0"/>
          <w:lang w:eastAsia="en-AU"/>
        </w:rPr>
        <w:t>425</w:t>
      </w:r>
      <w:r w:rsidR="00D172B8" w:rsidRPr="00FD4CDF">
        <w:rPr>
          <w:rFonts w:eastAsia="Times New Roman" w:cs="Arial"/>
          <w:snapToGrid w:val="0"/>
          <w:lang w:eastAsia="en-AU"/>
        </w:rPr>
        <w:t xml:space="preserve"> in </w:t>
      </w:r>
      <w:r w:rsidR="009A09E5" w:rsidRPr="00FD4CDF">
        <w:rPr>
          <w:rFonts w:eastAsia="Times New Roman" w:cs="Arial"/>
          <w:snapToGrid w:val="0"/>
          <w:lang w:eastAsia="en-AU"/>
        </w:rPr>
        <w:t>Y</w:t>
      </w:r>
      <w:r w:rsidR="00D172B8" w:rsidRPr="00FD4CDF">
        <w:rPr>
          <w:rFonts w:eastAsia="Times New Roman" w:cs="Arial"/>
          <w:snapToGrid w:val="0"/>
          <w:lang w:eastAsia="en-AU"/>
        </w:rPr>
        <w:t xml:space="preserve">ear 1 </w:t>
      </w:r>
      <w:r w:rsidR="00D172B8" w:rsidRPr="00FD4CDF">
        <w:t>(FY 2026</w:t>
      </w:r>
      <w:r w:rsidR="005A7435" w:rsidRPr="00FD4CDF">
        <w:t>−</w:t>
      </w:r>
      <w:r w:rsidR="00516481" w:rsidRPr="00FD4CDF">
        <w:t>20</w:t>
      </w:r>
      <w:r w:rsidR="00D172B8" w:rsidRPr="00FD4CDF">
        <w:t>27)</w:t>
      </w:r>
      <w:r w:rsidR="00D172B8" w:rsidRPr="00FD4CDF">
        <w:rPr>
          <w:rFonts w:eastAsia="Times New Roman" w:cs="Arial"/>
          <w:snapToGrid w:val="0"/>
          <w:lang w:eastAsia="en-AU"/>
        </w:rPr>
        <w:t>, growing to $1,437,</w:t>
      </w:r>
      <w:r w:rsidR="008A032F" w:rsidRPr="00FD4CDF">
        <w:rPr>
          <w:rFonts w:eastAsia="Times New Roman" w:cs="Arial"/>
          <w:snapToGrid w:val="0"/>
          <w:lang w:eastAsia="en-AU"/>
        </w:rPr>
        <w:t>703</w:t>
      </w:r>
      <w:r w:rsidR="00D172B8" w:rsidRPr="00FD4CDF">
        <w:rPr>
          <w:rFonts w:eastAsia="Times New Roman" w:cs="Arial"/>
          <w:snapToGrid w:val="0"/>
          <w:lang w:eastAsia="en-AU"/>
        </w:rPr>
        <w:t xml:space="preserve"> in </w:t>
      </w:r>
      <w:r w:rsidR="009A09E5" w:rsidRPr="00FD4CDF">
        <w:rPr>
          <w:rFonts w:eastAsia="Times New Roman" w:cs="Arial"/>
          <w:snapToGrid w:val="0"/>
          <w:lang w:eastAsia="en-AU"/>
        </w:rPr>
        <w:t>Y</w:t>
      </w:r>
      <w:r w:rsidR="00D172B8" w:rsidRPr="00FD4CDF">
        <w:rPr>
          <w:rFonts w:eastAsia="Times New Roman" w:cs="Arial"/>
          <w:snapToGrid w:val="0"/>
          <w:lang w:eastAsia="en-AU"/>
        </w:rPr>
        <w:t xml:space="preserve">ear 6 </w:t>
      </w:r>
      <w:r w:rsidR="00D172B8" w:rsidRPr="00FD4CDF">
        <w:t>(FY 2031</w:t>
      </w:r>
      <w:r w:rsidR="005A7435" w:rsidRPr="00FD4CDF">
        <w:t>−</w:t>
      </w:r>
      <w:r w:rsidR="00516481" w:rsidRPr="00FD4CDF">
        <w:t>20</w:t>
      </w:r>
      <w:r w:rsidR="00D172B8" w:rsidRPr="00FD4CDF">
        <w:t>32)</w:t>
      </w:r>
      <w:r w:rsidR="000B19DF" w:rsidRPr="00FD4CDF">
        <w:rPr>
          <w:rFonts w:eastAsia="Times New Roman" w:cs="Arial"/>
          <w:snapToGrid w:val="0"/>
          <w:lang w:eastAsia="en-AU"/>
        </w:rPr>
        <w:t xml:space="preserve"> with </w:t>
      </w:r>
      <w:r w:rsidR="00F13A2C" w:rsidRPr="00FD4CDF">
        <w:rPr>
          <w:rFonts w:eastAsia="Times New Roman" w:cs="Arial"/>
          <w:snapToGrid w:val="0"/>
          <w:lang w:eastAsia="en-AU"/>
        </w:rPr>
        <w:t>a</w:t>
      </w:r>
      <w:r w:rsidR="000B19DF" w:rsidRPr="00FD4CDF">
        <w:rPr>
          <w:rFonts w:eastAsia="Times New Roman" w:cs="Arial"/>
          <w:snapToGrid w:val="0"/>
          <w:lang w:eastAsia="en-AU"/>
        </w:rPr>
        <w:t xml:space="preserve"> total cost of </w:t>
      </w:r>
      <w:r w:rsidR="00435FE9" w:rsidRPr="00FD4CDF">
        <w:rPr>
          <w:rFonts w:eastAsia="Times New Roman" w:cs="Arial"/>
          <w:snapToGrid w:val="0"/>
          <w:lang w:eastAsia="en-AU"/>
        </w:rPr>
        <w:t>$6,62</w:t>
      </w:r>
      <w:r w:rsidR="008A032F" w:rsidRPr="00FD4CDF">
        <w:rPr>
          <w:rFonts w:eastAsia="Times New Roman" w:cs="Arial"/>
          <w:snapToGrid w:val="0"/>
          <w:lang w:eastAsia="en-AU"/>
        </w:rPr>
        <w:t>4,406</w:t>
      </w:r>
      <w:r w:rsidR="00435FE9" w:rsidRPr="00FD4CDF">
        <w:rPr>
          <w:rFonts w:eastAsia="Times New Roman" w:cs="Arial"/>
          <w:snapToGrid w:val="0"/>
          <w:lang w:eastAsia="en-AU"/>
        </w:rPr>
        <w:t xml:space="preserve"> over 6 years of listing</w:t>
      </w:r>
      <w:r w:rsidR="00FC3FB5" w:rsidRPr="00FD4CDF">
        <w:rPr>
          <w:rFonts w:eastAsia="Times New Roman" w:cs="Arial"/>
          <w:snapToGrid w:val="0"/>
          <w:lang w:eastAsia="en-AU"/>
        </w:rPr>
        <w:t>.</w:t>
      </w:r>
      <w:r w:rsidR="00D172B8" w:rsidRPr="00FD4CDF">
        <w:rPr>
          <w:rFonts w:eastAsia="Times New Roman" w:cs="Arial"/>
          <w:snapToGrid w:val="0"/>
          <w:lang w:eastAsia="en-AU"/>
        </w:rPr>
        <w:t xml:space="preserve"> </w:t>
      </w:r>
    </w:p>
    <w:p w14:paraId="4075BBB1" w14:textId="4B21ED58" w:rsidR="0078689D" w:rsidRPr="0038677F" w:rsidRDefault="00796965" w:rsidP="007227F7">
      <w:r w:rsidRPr="00FD4CDF">
        <w:t>Estimates of the n</w:t>
      </w:r>
      <w:r w:rsidR="00736BC7" w:rsidRPr="00FD4CDF">
        <w:t xml:space="preserve">et cost to the broader </w:t>
      </w:r>
      <w:r w:rsidR="00CA1AA8" w:rsidRPr="00FD4CDF">
        <w:t xml:space="preserve">Federal </w:t>
      </w:r>
      <w:r w:rsidR="0012779A" w:rsidRPr="00FD4CDF">
        <w:t>h</w:t>
      </w:r>
      <w:r w:rsidR="00CA1AA8" w:rsidRPr="00FD4CDF">
        <w:t xml:space="preserve">ealth </w:t>
      </w:r>
      <w:r w:rsidR="0012779A" w:rsidRPr="00FD4CDF">
        <w:t>b</w:t>
      </w:r>
      <w:r w:rsidR="00CA1AA8" w:rsidRPr="00FD4CDF">
        <w:t>udget (i.e. MBS and PBS)</w:t>
      </w:r>
      <w:r w:rsidR="00736BC7" w:rsidRPr="00FD4CDF">
        <w:t xml:space="preserve"> </w:t>
      </w:r>
      <w:r w:rsidR="00AA1546">
        <w:t xml:space="preserve">using the higher proposed fee of $497.13 </w:t>
      </w:r>
      <w:r w:rsidR="000905A8" w:rsidRPr="00FD4CDF">
        <w:t xml:space="preserve">considered </w:t>
      </w:r>
      <w:r w:rsidRPr="00FD4CDF">
        <w:t xml:space="preserve">cost offsets for </w:t>
      </w:r>
      <w:r w:rsidR="00CC243C" w:rsidRPr="00FD4CDF">
        <w:t xml:space="preserve">adjuvant therapy </w:t>
      </w:r>
      <w:r w:rsidRPr="00FD4CDF">
        <w:t xml:space="preserve">avoided. </w:t>
      </w:r>
      <w:r w:rsidR="003D7967" w:rsidRPr="00FD4CDF">
        <w:t>The</w:t>
      </w:r>
      <w:r w:rsidR="00BC0A6E">
        <w:t xml:space="preserve"> DCAR estimated the</w:t>
      </w:r>
      <w:r w:rsidR="003D7967" w:rsidRPr="00FD4CDF">
        <w:t>se cost offsets</w:t>
      </w:r>
      <w:r w:rsidR="0078689D" w:rsidRPr="00FD4CDF">
        <w:t xml:space="preserve"> based on downstream cost</w:t>
      </w:r>
      <w:r w:rsidR="003D7967" w:rsidRPr="00FD4CDF">
        <w:t>s</w:t>
      </w:r>
      <w:r w:rsidR="0078689D" w:rsidRPr="00FD4CDF">
        <w:t xml:space="preserve"> incurred among patients who de-escalated adjuvant therapy as a result of </w:t>
      </w:r>
      <w:r w:rsidR="0078689D" w:rsidRPr="00FD4CDF">
        <w:rPr>
          <w:i/>
        </w:rPr>
        <w:t xml:space="preserve">POLE </w:t>
      </w:r>
      <w:r w:rsidR="0078689D" w:rsidRPr="00FD4CDF">
        <w:t xml:space="preserve">genotyping. The economic model indicated that </w:t>
      </w:r>
      <w:r w:rsidR="00044263" w:rsidRPr="00FD4CDF">
        <w:t>6.23%</w:t>
      </w:r>
      <w:r w:rsidR="0078689D" w:rsidRPr="00FD4CDF">
        <w:t xml:space="preserve"> </w:t>
      </w:r>
      <w:r w:rsidR="00A7086A" w:rsidRPr="00FD4CDF">
        <w:t xml:space="preserve">of </w:t>
      </w:r>
      <w:r w:rsidR="00A00EA1" w:rsidRPr="00FD4CDF">
        <w:t xml:space="preserve">EC </w:t>
      </w:r>
      <w:r w:rsidR="0078689D" w:rsidRPr="00FD4CDF">
        <w:t>patients may avoid adjuvant therapy such as VBT, EBRT, chemotherapy or combined chemoradiation depending on the stage and grade</w:t>
      </w:r>
      <w:r w:rsidR="004A0528" w:rsidRPr="00FD4CDF">
        <w:t xml:space="preserve"> of disease</w:t>
      </w:r>
      <w:r w:rsidR="0078689D" w:rsidRPr="00FD4CDF">
        <w:t>. The cost of these therapies, plus administration costs</w:t>
      </w:r>
      <w:r w:rsidR="00A00EA1" w:rsidRPr="00FD4CDF">
        <w:t>,</w:t>
      </w:r>
      <w:r w:rsidR="0078689D" w:rsidRPr="00FD4CDF">
        <w:t xml:space="preserve"> </w:t>
      </w:r>
      <w:r w:rsidR="004D05D4" w:rsidRPr="00FD4CDF">
        <w:t>was</w:t>
      </w:r>
      <w:r w:rsidR="0078689D" w:rsidRPr="00FD4CDF">
        <w:t xml:space="preserve"> considered </w:t>
      </w:r>
      <w:r w:rsidR="004D05D4" w:rsidRPr="00FD4CDF">
        <w:t>to be the</w:t>
      </w:r>
      <w:r w:rsidR="0078689D" w:rsidRPr="00FD4CDF">
        <w:t xml:space="preserve"> downstream cost. </w:t>
      </w:r>
      <w:r w:rsidR="00F13A2C" w:rsidRPr="00FD4CDF">
        <w:t>F</w:t>
      </w:r>
      <w:r w:rsidR="00D44F12" w:rsidRPr="00FD4CDF">
        <w:t>ollow-up</w:t>
      </w:r>
      <w:r w:rsidR="00AE5FA4" w:rsidRPr="00FD4CDF">
        <w:t xml:space="preserve"> </w:t>
      </w:r>
      <w:r w:rsidR="00B02831" w:rsidRPr="00FD4CDF">
        <w:t xml:space="preserve">specialist consultations </w:t>
      </w:r>
      <w:r w:rsidR="00371157" w:rsidRPr="00FD4CDF">
        <w:t>depend</w:t>
      </w:r>
      <w:r w:rsidR="00B02831" w:rsidRPr="00FD4CDF">
        <w:t xml:space="preserve"> on the stage and grade </w:t>
      </w:r>
      <w:r w:rsidR="00813BAF" w:rsidRPr="00FD4CDF">
        <w:t xml:space="preserve">of EC </w:t>
      </w:r>
      <w:r w:rsidR="00B02831" w:rsidRPr="00FD4CDF">
        <w:t xml:space="preserve">rather than treatment </w:t>
      </w:r>
      <w:r w:rsidR="003A1ABD" w:rsidRPr="00FD4CDF">
        <w:t>type</w:t>
      </w:r>
      <w:r w:rsidR="00F13A2C" w:rsidRPr="00FD4CDF">
        <w:t>.</w:t>
      </w:r>
      <w:r w:rsidR="003A1ABD" w:rsidRPr="00FD4CDF">
        <w:t xml:space="preserve"> </w:t>
      </w:r>
      <w:r w:rsidR="00F13A2C" w:rsidRPr="00FD4CDF">
        <w:t>S</w:t>
      </w:r>
      <w:r w:rsidR="003A1ABD" w:rsidRPr="00FD4CDF">
        <w:t xml:space="preserve">ubsequent resource use was </w:t>
      </w:r>
      <w:r w:rsidR="00371157" w:rsidRPr="00FD4CDF">
        <w:t xml:space="preserve">assumed to be identical for patients who avoid adjuvant therapy and </w:t>
      </w:r>
      <w:r w:rsidR="00F13A2C" w:rsidRPr="00FD4CDF">
        <w:t xml:space="preserve">those </w:t>
      </w:r>
      <w:r w:rsidR="00371157" w:rsidRPr="00FD4CDF">
        <w:t>who receive it.</w:t>
      </w:r>
      <w:r w:rsidR="003A1ABD" w:rsidRPr="00FD4CDF">
        <w:t xml:space="preserve"> </w:t>
      </w:r>
      <w:r w:rsidR="00FE0721" w:rsidRPr="00FD4CDF">
        <w:t xml:space="preserve">However, a scenario </w:t>
      </w:r>
      <w:r w:rsidR="001C5D91" w:rsidRPr="00FD4CDF">
        <w:t xml:space="preserve">with the cost </w:t>
      </w:r>
      <w:r w:rsidR="002B5B1C" w:rsidRPr="00FD4CDF">
        <w:t xml:space="preserve">of specialist consultations was applied </w:t>
      </w:r>
      <w:r w:rsidR="00F13A2C" w:rsidRPr="00FD4CDF">
        <w:t>with</w:t>
      </w:r>
      <w:r w:rsidR="002B5B1C" w:rsidRPr="00FD4CDF">
        <w:t xml:space="preserve">in the </w:t>
      </w:r>
      <w:r w:rsidR="00CE5250" w:rsidRPr="00FD4CDF">
        <w:t xml:space="preserve">sensitivity analysis </w:t>
      </w:r>
      <w:r w:rsidR="00B842F0" w:rsidRPr="00FD4CDF">
        <w:t>to</w:t>
      </w:r>
      <w:r w:rsidR="00CE5250" w:rsidRPr="00FD4CDF">
        <w:t xml:space="preserve"> assess </w:t>
      </w:r>
      <w:r w:rsidR="00B842F0" w:rsidRPr="00FD4CDF">
        <w:t>its impact on the financial estimates.</w:t>
      </w:r>
      <w:r w:rsidR="002B5B1C" w:rsidRPr="00FD4CDF">
        <w:t xml:space="preserve"> </w:t>
      </w:r>
      <w:r w:rsidR="00346083" w:rsidRPr="00FD4CDF">
        <w:t>C</w:t>
      </w:r>
      <w:r w:rsidR="00CB196C" w:rsidRPr="00FD4CDF">
        <w:t>osts of individual item</w:t>
      </w:r>
      <w:r w:rsidR="00346083" w:rsidRPr="00FD4CDF">
        <w:t>s</w:t>
      </w:r>
      <w:r w:rsidR="00CB196C" w:rsidRPr="00FD4CDF">
        <w:t xml:space="preserve"> were informed by </w:t>
      </w:r>
      <w:r w:rsidR="00AB3870" w:rsidRPr="00FD4CDF">
        <w:t xml:space="preserve">the </w:t>
      </w:r>
      <w:r w:rsidR="00CB196C" w:rsidRPr="00FD4CDF">
        <w:t xml:space="preserve">MBS and </w:t>
      </w:r>
      <w:r w:rsidR="004A0528" w:rsidRPr="00FD4CDF">
        <w:t>PBS</w:t>
      </w:r>
      <w:r w:rsidR="00CB196C" w:rsidRPr="00FD4CDF">
        <w:t>. Treatment items listed on the MBS were costed at 85% of the schedule</w:t>
      </w:r>
      <w:r w:rsidR="00EA0501" w:rsidRPr="00FD4CDF">
        <w:t>d</w:t>
      </w:r>
      <w:r w:rsidR="00CB196C" w:rsidRPr="00FD4CDF">
        <w:t xml:space="preserve"> fee to reflect Medicare benefit</w:t>
      </w:r>
      <w:r w:rsidR="002D1C7E" w:rsidRPr="00FD4CDF">
        <w:t>;</w:t>
      </w:r>
      <w:r w:rsidR="00CB196C" w:rsidRPr="00FD4CDF">
        <w:t xml:space="preserve"> </w:t>
      </w:r>
      <w:r w:rsidR="0033460A" w:rsidRPr="00FD4CDF">
        <w:t>PBS drugs were cost</w:t>
      </w:r>
      <w:r w:rsidR="00F13A2C" w:rsidRPr="00FD4CDF">
        <w:t>ed</w:t>
      </w:r>
      <w:r w:rsidR="0033460A" w:rsidRPr="00FD4CDF">
        <w:t xml:space="preserve"> using their DPMQ price</w:t>
      </w:r>
      <w:r w:rsidR="00CB196C" w:rsidRPr="00FD4CDF">
        <w:t xml:space="preserve">. </w:t>
      </w:r>
      <w:r w:rsidR="00282DD0" w:rsidRPr="00FD4CDF">
        <w:t>Esti</w:t>
      </w:r>
      <w:r w:rsidR="00D172B8" w:rsidRPr="00FD4CDF">
        <w:t xml:space="preserve">mated cost offsets </w:t>
      </w:r>
      <w:r w:rsidR="00282DD0" w:rsidRPr="00FD4CDF">
        <w:t xml:space="preserve">were </w:t>
      </w:r>
      <w:r w:rsidR="00D172B8" w:rsidRPr="00FD4CDF">
        <w:t>$</w:t>
      </w:r>
      <w:r w:rsidR="00672BF4" w:rsidRPr="00FD4CDF">
        <w:t>701,051</w:t>
      </w:r>
      <w:r w:rsidR="00D172B8" w:rsidRPr="00FD4CDF">
        <w:t xml:space="preserve"> in </w:t>
      </w:r>
      <w:r w:rsidR="006A4E1C" w:rsidRPr="00FD4CDF">
        <w:t>Y</w:t>
      </w:r>
      <w:r w:rsidR="00D172B8" w:rsidRPr="00FD4CDF">
        <w:t>ear 1, increasing to $</w:t>
      </w:r>
      <w:r w:rsidR="002070AE" w:rsidRPr="00FD4CDF">
        <w:t>752,755</w:t>
      </w:r>
      <w:r w:rsidR="00D172B8" w:rsidRPr="00FD4CDF">
        <w:t xml:space="preserve"> in </w:t>
      </w:r>
      <w:r w:rsidR="006A4E1C" w:rsidRPr="00FD4CDF">
        <w:t xml:space="preserve">Year </w:t>
      </w:r>
      <w:r w:rsidR="00D172B8" w:rsidRPr="00FD4CDF">
        <w:t>6</w:t>
      </w:r>
      <w:r w:rsidR="00696F78" w:rsidRPr="00FD4CDF">
        <w:t>.</w:t>
      </w:r>
      <w:r w:rsidR="00D172B8" w:rsidRPr="00FD4CDF">
        <w:t xml:space="preserve"> </w:t>
      </w:r>
    </w:p>
    <w:p w14:paraId="52D268F4" w14:textId="18D82492" w:rsidR="00664399" w:rsidRPr="00FD4CDF" w:rsidRDefault="00845ACA" w:rsidP="007227F7">
      <w:pPr>
        <w:rPr>
          <w:rFonts w:eastAsia="Times New Roman" w:cs="Arial"/>
          <w:snapToGrid w:val="0"/>
          <w:lang w:eastAsia="en-AU"/>
        </w:rPr>
      </w:pPr>
      <w:r w:rsidRPr="00FD4CDF">
        <w:rPr>
          <w:rFonts w:eastAsia="Times New Roman" w:cs="Arial"/>
          <w:snapToGrid w:val="0"/>
          <w:lang w:eastAsia="en-AU"/>
        </w:rPr>
        <w:t>N</w:t>
      </w:r>
      <w:r w:rsidR="00D172B8" w:rsidRPr="00FD4CDF">
        <w:rPr>
          <w:rFonts w:eastAsia="Times New Roman" w:cs="Arial"/>
          <w:snapToGrid w:val="0"/>
          <w:lang w:eastAsia="en-AU"/>
        </w:rPr>
        <w:t xml:space="preserve">et cost to the </w:t>
      </w:r>
      <w:r w:rsidR="0012779A" w:rsidRPr="00FD4CDF">
        <w:rPr>
          <w:rFonts w:eastAsia="Times New Roman" w:cs="Arial"/>
          <w:snapToGrid w:val="0"/>
          <w:lang w:eastAsia="en-AU"/>
        </w:rPr>
        <w:t>Federal</w:t>
      </w:r>
      <w:r w:rsidR="00D172B8" w:rsidRPr="00FD4CDF">
        <w:rPr>
          <w:rFonts w:eastAsia="Times New Roman" w:cs="Arial"/>
          <w:snapToGrid w:val="0"/>
          <w:lang w:eastAsia="en-AU"/>
        </w:rPr>
        <w:t xml:space="preserve"> health budget is expected to be </w:t>
      </w:r>
      <w:r w:rsidR="00D172B8" w:rsidRPr="00FD4CDF">
        <w:t>$</w:t>
      </w:r>
      <w:r w:rsidR="002070AE" w:rsidRPr="00FD4CDF">
        <w:t>35,374</w:t>
      </w:r>
      <w:r w:rsidR="00D172B8" w:rsidRPr="00FD4CDF">
        <w:t xml:space="preserve"> </w:t>
      </w:r>
      <w:r w:rsidR="00D172B8" w:rsidRPr="00FD4CDF">
        <w:rPr>
          <w:rFonts w:eastAsia="Times New Roman" w:cs="Arial"/>
          <w:snapToGrid w:val="0"/>
          <w:lang w:eastAsia="en-AU"/>
        </w:rPr>
        <w:t xml:space="preserve">in </w:t>
      </w:r>
      <w:r w:rsidR="00B748BA" w:rsidRPr="00FD4CDF">
        <w:rPr>
          <w:rFonts w:eastAsia="Times New Roman" w:cs="Arial"/>
          <w:snapToGrid w:val="0"/>
          <w:lang w:eastAsia="en-AU"/>
        </w:rPr>
        <w:t xml:space="preserve">Year </w:t>
      </w:r>
      <w:r w:rsidR="00D172B8" w:rsidRPr="00FD4CDF">
        <w:rPr>
          <w:rFonts w:eastAsia="Times New Roman" w:cs="Arial"/>
          <w:snapToGrid w:val="0"/>
          <w:lang w:eastAsia="en-AU"/>
        </w:rPr>
        <w:t xml:space="preserve">1 growing to </w:t>
      </w:r>
      <w:r w:rsidR="00D172B8" w:rsidRPr="00FD4CDF">
        <w:t>$</w:t>
      </w:r>
      <w:r w:rsidR="001C1FC9" w:rsidRPr="00FD4CDF">
        <w:t>684,948</w:t>
      </w:r>
      <w:r w:rsidR="00D172B8" w:rsidRPr="00FD4CDF">
        <w:rPr>
          <w:rFonts w:eastAsia="Times New Roman" w:cs="Arial"/>
          <w:snapToGrid w:val="0"/>
          <w:lang w:eastAsia="en-AU"/>
        </w:rPr>
        <w:t xml:space="preserve"> in </w:t>
      </w:r>
      <w:r w:rsidR="00B748BA" w:rsidRPr="00FD4CDF">
        <w:rPr>
          <w:rFonts w:eastAsia="Times New Roman" w:cs="Arial"/>
          <w:snapToGrid w:val="0"/>
          <w:lang w:eastAsia="en-AU"/>
        </w:rPr>
        <w:t xml:space="preserve">Year </w:t>
      </w:r>
      <w:r w:rsidR="00D172B8" w:rsidRPr="00FD4CDF">
        <w:rPr>
          <w:rFonts w:eastAsia="Times New Roman" w:cs="Arial"/>
          <w:snapToGrid w:val="0"/>
          <w:lang w:eastAsia="en-AU"/>
        </w:rPr>
        <w:t xml:space="preserve">6. This cost reflects the total expenses of </w:t>
      </w:r>
      <w:r w:rsidRPr="00FD4CDF">
        <w:rPr>
          <w:rFonts w:eastAsia="Times New Roman" w:cs="Arial"/>
          <w:snapToGrid w:val="0"/>
          <w:lang w:eastAsia="en-AU"/>
        </w:rPr>
        <w:t xml:space="preserve">the </w:t>
      </w:r>
      <w:r w:rsidR="00D172B8" w:rsidRPr="00FD4CDF">
        <w:rPr>
          <w:rFonts w:eastAsia="Times New Roman" w:cs="Arial"/>
          <w:snapToGrid w:val="0"/>
          <w:lang w:eastAsia="en-AU"/>
        </w:rPr>
        <w:t>proposed technology, incorporating the difference in downstream costs for patients who avoid adjuvant therapy</w:t>
      </w:r>
      <w:r w:rsidR="5A37ECA8" w:rsidRPr="00FD4CDF">
        <w:rPr>
          <w:rFonts w:eastAsia="Times New Roman" w:cs="Arial"/>
          <w:snapToGrid w:val="0"/>
          <w:lang w:eastAsia="en-AU"/>
        </w:rPr>
        <w:t xml:space="preserve"> (excluding immunotherapy)</w:t>
      </w:r>
      <w:r w:rsidR="00D172B8" w:rsidRPr="00FD4CDF">
        <w:rPr>
          <w:rFonts w:eastAsia="Times New Roman" w:cs="Arial"/>
          <w:snapToGrid w:val="0"/>
          <w:lang w:eastAsia="en-AU"/>
        </w:rPr>
        <w:t>.</w:t>
      </w:r>
    </w:p>
    <w:p w14:paraId="784CF160" w14:textId="766573F2" w:rsidR="00E60467" w:rsidRDefault="00D172B8" w:rsidP="00E60467">
      <w:pPr>
        <w:rPr>
          <w:rFonts w:eastAsia="Times New Roman" w:cs="Arial"/>
          <w:snapToGrid w:val="0"/>
          <w:lang w:eastAsia="en-AU"/>
        </w:rPr>
      </w:pPr>
      <w:r w:rsidRPr="00FD4CDF">
        <w:rPr>
          <w:rFonts w:eastAsia="Times New Roman" w:cs="Arial"/>
          <w:snapToGrid w:val="0"/>
          <w:lang w:eastAsia="en-AU"/>
        </w:rPr>
        <w:t xml:space="preserve">The </w:t>
      </w:r>
      <w:r w:rsidR="00EA6F11" w:rsidRPr="00FD4CDF">
        <w:rPr>
          <w:rFonts w:eastAsia="Times New Roman" w:cs="Arial"/>
          <w:snapToGrid w:val="0"/>
          <w:lang w:eastAsia="en-AU"/>
        </w:rPr>
        <w:t xml:space="preserve">financial </w:t>
      </w:r>
      <w:r w:rsidR="002771EA" w:rsidRPr="00FD4CDF">
        <w:rPr>
          <w:rFonts w:eastAsia="Times New Roman" w:cs="Arial"/>
          <w:snapToGrid w:val="0"/>
          <w:lang w:eastAsia="en-AU"/>
        </w:rPr>
        <w:t xml:space="preserve">implications to the MBS resulting </w:t>
      </w:r>
      <w:r w:rsidR="00C37D32">
        <w:rPr>
          <w:rFonts w:eastAsia="Times New Roman" w:cs="Arial"/>
          <w:snapToGrid w:val="0"/>
          <w:lang w:eastAsia="en-AU"/>
        </w:rPr>
        <w:t>using</w:t>
      </w:r>
      <w:r w:rsidR="00C37D32" w:rsidRPr="00FD4CDF">
        <w:rPr>
          <w:rFonts w:eastAsia="Times New Roman" w:cs="Arial"/>
          <w:snapToGrid w:val="0"/>
          <w:lang w:eastAsia="en-AU"/>
        </w:rPr>
        <w:t xml:space="preserve"> </w:t>
      </w:r>
      <w:r w:rsidR="002771EA" w:rsidRPr="00FD4CDF">
        <w:rPr>
          <w:rFonts w:eastAsia="Times New Roman" w:cs="Arial"/>
          <w:snapToGrid w:val="0"/>
          <w:lang w:eastAsia="en-AU"/>
        </w:rPr>
        <w:t xml:space="preserve">the </w:t>
      </w:r>
      <w:r w:rsidR="00C37D32">
        <w:rPr>
          <w:rFonts w:eastAsia="Times New Roman" w:cs="Arial"/>
          <w:snapToGrid w:val="0"/>
          <w:lang w:eastAsia="en-AU"/>
        </w:rPr>
        <w:t xml:space="preserve">higher </w:t>
      </w:r>
      <w:r w:rsidR="00FC1C89" w:rsidRPr="00FD4CDF">
        <w:rPr>
          <w:rFonts w:eastAsia="Times New Roman" w:cs="Arial"/>
          <w:snapToGrid w:val="0"/>
          <w:lang w:eastAsia="en-AU"/>
        </w:rPr>
        <w:t xml:space="preserve">proposed </w:t>
      </w:r>
      <w:r w:rsidR="00C37D32">
        <w:rPr>
          <w:rFonts w:eastAsia="Times New Roman" w:cs="Arial"/>
          <w:snapToGrid w:val="0"/>
          <w:lang w:eastAsia="en-AU"/>
        </w:rPr>
        <w:t xml:space="preserve">fee of </w:t>
      </w:r>
      <w:r w:rsidR="00C37D32" w:rsidRPr="00FD4CDF">
        <w:rPr>
          <w:rFonts w:eastAsia="Times New Roman" w:cs="Times New Roman"/>
          <w:szCs w:val="20"/>
          <w:lang w:eastAsia="en-AU"/>
        </w:rPr>
        <w:t>$497.13</w:t>
      </w:r>
      <w:r w:rsidR="00C37D32">
        <w:rPr>
          <w:rFonts w:eastAsia="Times New Roman" w:cs="Times New Roman"/>
          <w:szCs w:val="20"/>
          <w:lang w:eastAsia="en-AU"/>
        </w:rPr>
        <w:t xml:space="preserve"> for </w:t>
      </w:r>
      <w:r w:rsidRPr="00FD4CDF">
        <w:rPr>
          <w:rFonts w:eastAsia="Times New Roman" w:cs="Arial"/>
          <w:snapToGrid w:val="0"/>
          <w:lang w:eastAsia="en-AU"/>
        </w:rPr>
        <w:t xml:space="preserve">listing </w:t>
      </w:r>
      <w:r w:rsidR="00FC1C89" w:rsidRPr="00FD4CDF">
        <w:rPr>
          <w:rFonts w:eastAsia="Times New Roman" w:cs="Arial"/>
          <w:snapToGrid w:val="0"/>
          <w:lang w:eastAsia="en-AU"/>
        </w:rPr>
        <w:t xml:space="preserve">of </w:t>
      </w:r>
      <w:r w:rsidR="00572E78" w:rsidRPr="00FD4CDF">
        <w:rPr>
          <w:rFonts w:eastAsia="Times New Roman" w:cs="Arial"/>
          <w:i/>
          <w:snapToGrid w:val="0"/>
          <w:lang w:eastAsia="en-AU"/>
        </w:rPr>
        <w:t>POLE</w:t>
      </w:r>
      <w:r w:rsidRPr="00FD4CDF">
        <w:rPr>
          <w:rFonts w:eastAsia="Times New Roman" w:cs="Arial"/>
          <w:snapToGrid w:val="0"/>
          <w:lang w:eastAsia="en-AU"/>
        </w:rPr>
        <w:t xml:space="preserve"> genotyping for </w:t>
      </w:r>
      <w:r w:rsidR="00B13755" w:rsidRPr="00FD4CDF">
        <w:rPr>
          <w:rFonts w:eastAsia="Times New Roman" w:cs="Arial"/>
          <w:snapToGrid w:val="0"/>
          <w:lang w:eastAsia="en-AU"/>
        </w:rPr>
        <w:t>EC</w:t>
      </w:r>
      <w:r w:rsidRPr="00FD4CDF">
        <w:rPr>
          <w:rFonts w:eastAsia="Times New Roman" w:cs="Arial"/>
          <w:snapToGrid w:val="0"/>
          <w:lang w:eastAsia="en-AU"/>
        </w:rPr>
        <w:t xml:space="preserve"> </w:t>
      </w:r>
      <w:r w:rsidR="00F316B4" w:rsidRPr="00FD4CDF">
        <w:rPr>
          <w:rFonts w:eastAsia="Times New Roman" w:cs="Arial"/>
          <w:snapToGrid w:val="0"/>
          <w:lang w:eastAsia="en-AU"/>
        </w:rPr>
        <w:t xml:space="preserve">are </w:t>
      </w:r>
      <w:r w:rsidRPr="00FD4CDF">
        <w:rPr>
          <w:rFonts w:eastAsia="Times New Roman" w:cs="Arial"/>
          <w:snapToGrid w:val="0"/>
          <w:lang w:eastAsia="en-AU"/>
        </w:rPr>
        <w:t xml:space="preserve">summarised in </w:t>
      </w:r>
      <w:r w:rsidR="00141D91" w:rsidRPr="00FD4CDF">
        <w:rPr>
          <w:rFonts w:eastAsia="Times New Roman" w:cs="Arial"/>
          <w:snapToGrid w:val="0"/>
          <w:lang w:eastAsia="en-AU"/>
        </w:rPr>
        <w:fldChar w:fldCharType="begin"/>
      </w:r>
      <w:r w:rsidR="00141D91" w:rsidRPr="00FD4CDF">
        <w:rPr>
          <w:rFonts w:eastAsia="Times New Roman" w:cs="Arial"/>
          <w:snapToGrid w:val="0"/>
          <w:lang w:eastAsia="en-AU"/>
        </w:rPr>
        <w:instrText xml:space="preserve"> REF _Ref213239437 \h </w:instrText>
      </w:r>
      <w:r w:rsidR="00FD4CDF">
        <w:rPr>
          <w:rFonts w:eastAsia="Times New Roman" w:cs="Arial"/>
          <w:snapToGrid w:val="0"/>
          <w:lang w:eastAsia="en-AU"/>
        </w:rPr>
        <w:instrText xml:space="preserve"> \* MERGEFORMAT </w:instrText>
      </w:r>
      <w:r w:rsidR="00141D91" w:rsidRPr="00FD4CDF">
        <w:rPr>
          <w:rFonts w:eastAsia="Times New Roman" w:cs="Arial"/>
          <w:snapToGrid w:val="0"/>
          <w:lang w:eastAsia="en-AU"/>
        </w:rPr>
      </w:r>
      <w:r w:rsidR="00141D91" w:rsidRPr="00FD4CDF">
        <w:rPr>
          <w:rFonts w:eastAsia="Times New Roman" w:cs="Arial"/>
          <w:snapToGrid w:val="0"/>
          <w:lang w:eastAsia="en-AU"/>
        </w:rPr>
        <w:fldChar w:fldCharType="separate"/>
      </w:r>
      <w:r w:rsidR="00996E6E">
        <w:t xml:space="preserve">Table </w:t>
      </w:r>
      <w:r w:rsidR="00996E6E">
        <w:rPr>
          <w:noProof/>
        </w:rPr>
        <w:t>28</w:t>
      </w:r>
      <w:r w:rsidR="00141D91" w:rsidRPr="00FD4CDF">
        <w:rPr>
          <w:rFonts w:eastAsia="Times New Roman" w:cs="Arial"/>
          <w:snapToGrid w:val="0"/>
          <w:lang w:eastAsia="en-AU"/>
        </w:rPr>
        <w:fldChar w:fldCharType="end"/>
      </w:r>
      <w:r w:rsidR="00410338" w:rsidRPr="00FD4CDF">
        <w:rPr>
          <w:rFonts w:eastAsia="Times New Roman" w:cs="Arial"/>
          <w:snapToGrid w:val="0"/>
          <w:lang w:eastAsia="en-AU"/>
        </w:rPr>
        <w:t>.</w:t>
      </w:r>
      <w:r w:rsidR="00063201" w:rsidRPr="00063201">
        <w:rPr>
          <w:rFonts w:eastAsia="Times New Roman" w:cs="Arial"/>
          <w:snapToGrid w:val="0"/>
          <w:lang w:eastAsia="en-AU"/>
        </w:rPr>
        <w:t xml:space="preserve"> </w:t>
      </w:r>
      <w:r w:rsidR="00E60467">
        <w:rPr>
          <w:rFonts w:eastAsia="Times New Roman" w:cs="Arial"/>
          <w:snapToGrid w:val="0"/>
          <w:lang w:eastAsia="en-AU"/>
        </w:rPr>
        <w:br w:type="page"/>
      </w:r>
    </w:p>
    <w:p w14:paraId="1CE4A5F0" w14:textId="60B4FA38" w:rsidR="00D172B8" w:rsidRPr="0012779A" w:rsidRDefault="00141D91" w:rsidP="00141D91">
      <w:pPr>
        <w:pStyle w:val="Caption"/>
        <w:rPr>
          <w:rFonts w:eastAsiaTheme="minorHAnsi"/>
          <w:b w:val="0"/>
          <w:szCs w:val="22"/>
          <w:lang w:eastAsia="en-AU"/>
        </w:rPr>
      </w:pPr>
      <w:bookmarkStart w:id="100" w:name="_Ref213239437"/>
      <w:bookmarkStart w:id="101" w:name="_Ref211506788"/>
      <w:r>
        <w:lastRenderedPageBreak/>
        <w:t xml:space="preserve">Table </w:t>
      </w:r>
      <w:r>
        <w:fldChar w:fldCharType="begin"/>
      </w:r>
      <w:r>
        <w:instrText>SEQ Table \* ARABIC</w:instrText>
      </w:r>
      <w:r>
        <w:fldChar w:fldCharType="separate"/>
      </w:r>
      <w:r w:rsidR="00996E6E">
        <w:rPr>
          <w:noProof/>
        </w:rPr>
        <w:t>28</w:t>
      </w:r>
      <w:r>
        <w:fldChar w:fldCharType="end"/>
      </w:r>
      <w:bookmarkEnd w:id="100"/>
      <w:r>
        <w:t xml:space="preserve"> </w:t>
      </w:r>
      <w:bookmarkEnd w:id="101"/>
      <w:r w:rsidR="00326BB3">
        <w:rPr>
          <w:lang w:eastAsia="en-AU"/>
        </w:rPr>
        <w:t>Financial implications</w:t>
      </w:r>
      <w:r w:rsidR="00D172B8" w:rsidRPr="0012779A">
        <w:rPr>
          <w:lang w:eastAsia="en-AU"/>
        </w:rPr>
        <w:t xml:space="preserve"> </w:t>
      </w:r>
      <w:r w:rsidR="004839D3">
        <w:rPr>
          <w:lang w:eastAsia="en-AU"/>
        </w:rPr>
        <w:t>to the MBS</w:t>
      </w:r>
      <w:r w:rsidR="004839D3" w:rsidRPr="0012779A">
        <w:rPr>
          <w:lang w:eastAsia="en-AU"/>
        </w:rPr>
        <w:t xml:space="preserve"> </w:t>
      </w:r>
      <w:r w:rsidR="00D172B8" w:rsidRPr="0012779A">
        <w:rPr>
          <w:lang w:eastAsia="en-AU"/>
        </w:rPr>
        <w:t xml:space="preserve">of </w:t>
      </w:r>
      <w:r w:rsidR="00572E78" w:rsidRPr="00076C3A">
        <w:rPr>
          <w:i/>
          <w:lang w:eastAsia="en-AU"/>
        </w:rPr>
        <w:t>POLE</w:t>
      </w:r>
      <w:r w:rsidR="00D172B8" w:rsidRPr="0012779A">
        <w:rPr>
          <w:lang w:eastAsia="en-AU"/>
        </w:rPr>
        <w:t xml:space="preserve"> genotyping for </w:t>
      </w:r>
      <w:r w:rsidR="00B13755" w:rsidRPr="0012779A">
        <w:rPr>
          <w:lang w:eastAsia="en-AU"/>
        </w:rPr>
        <w:t>EC</w:t>
      </w:r>
      <w:r w:rsidR="00880371">
        <w:rPr>
          <w:lang w:eastAsia="en-AU"/>
        </w:rPr>
        <w:t xml:space="preserve"> </w:t>
      </w:r>
      <w:r w:rsidR="00DC3DF7">
        <w:t>(using the applicant’s higher proposed</w:t>
      </w:r>
      <w:r w:rsidR="00DC3DF7" w:rsidRPr="00AD24FB">
        <w:t xml:space="preserve"> fee</w:t>
      </w:r>
      <w:r w:rsidR="00DC3DF7">
        <w:t xml:space="preserve"> of $497.13)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70"/>
        <w:gridCol w:w="1170"/>
        <w:gridCol w:w="1170"/>
        <w:gridCol w:w="1170"/>
        <w:gridCol w:w="1170"/>
        <w:gridCol w:w="1191"/>
      </w:tblGrid>
      <w:tr w:rsidR="00031EFC" w:rsidRPr="008523A4" w14:paraId="47866AD1" w14:textId="77777777" w:rsidTr="00B95965">
        <w:trPr>
          <w:cantSplit/>
          <w:tblHeader/>
        </w:trPr>
        <w:tc>
          <w:tcPr>
            <w:tcW w:w="1975" w:type="dxa"/>
            <w:shd w:val="clear" w:color="auto" w:fill="F2F2F2" w:themeFill="background1" w:themeFillShade="F2"/>
          </w:tcPr>
          <w:p w14:paraId="3B9F62CB" w14:textId="1D8EBF77" w:rsidR="0063762E" w:rsidRPr="00107928" w:rsidRDefault="0063762E" w:rsidP="00107928">
            <w:pPr>
              <w:pStyle w:val="TableText"/>
              <w:spacing w:before="0" w:after="0"/>
              <w:rPr>
                <w:b/>
                <w:szCs w:val="20"/>
              </w:rPr>
            </w:pPr>
            <w:r w:rsidRPr="00107928">
              <w:rPr>
                <w:rFonts w:eastAsia="Times New Roman" w:cs="Times New Roman"/>
                <w:b/>
                <w:lang w:eastAsia="en-AU"/>
              </w:rPr>
              <w:t>Parameter</w:t>
            </w:r>
            <w:r>
              <w:rPr>
                <w:rStyle w:val="eop"/>
                <w:rFonts w:cs="Segoe UI"/>
                <w:b/>
                <w:szCs w:val="20"/>
              </w:rPr>
              <w:t> </w:t>
            </w:r>
          </w:p>
        </w:tc>
        <w:tc>
          <w:tcPr>
            <w:tcW w:w="1170" w:type="dxa"/>
            <w:shd w:val="clear" w:color="auto" w:fill="F2F2F2" w:themeFill="background1" w:themeFillShade="F2"/>
          </w:tcPr>
          <w:p w14:paraId="6C9DD58B" w14:textId="4CB0B041" w:rsidR="0063762E" w:rsidRPr="00F834DD" w:rsidRDefault="0063762E" w:rsidP="00107928">
            <w:pPr>
              <w:pStyle w:val="TableText"/>
              <w:spacing w:before="0" w:after="0"/>
              <w:rPr>
                <w:szCs w:val="20"/>
              </w:rPr>
            </w:pPr>
            <w:r w:rsidRPr="00107928">
              <w:rPr>
                <w:rFonts w:eastAsia="Times New Roman" w:cs="Times New Roman"/>
                <w:b/>
                <w:szCs w:val="20"/>
                <w:lang w:eastAsia="en-AU"/>
              </w:rPr>
              <w:t>2026</w:t>
            </w:r>
            <w:r w:rsidR="005B48F3" w:rsidRPr="00494D11">
              <w:rPr>
                <w:b/>
                <w:szCs w:val="20"/>
              </w:rPr>
              <w:t>–2027</w:t>
            </w:r>
          </w:p>
        </w:tc>
        <w:tc>
          <w:tcPr>
            <w:tcW w:w="1170" w:type="dxa"/>
            <w:shd w:val="clear" w:color="auto" w:fill="F2F2F2" w:themeFill="background1" w:themeFillShade="F2"/>
          </w:tcPr>
          <w:p w14:paraId="7E16207D" w14:textId="3AE55D9E" w:rsidR="0063762E" w:rsidRPr="00F834DD" w:rsidRDefault="0063762E" w:rsidP="00107928">
            <w:pPr>
              <w:pStyle w:val="TableText"/>
              <w:spacing w:before="0" w:after="0"/>
              <w:rPr>
                <w:szCs w:val="20"/>
              </w:rPr>
            </w:pPr>
            <w:r w:rsidRPr="00107928">
              <w:rPr>
                <w:rFonts w:eastAsia="Times New Roman" w:cs="Times New Roman"/>
                <w:b/>
                <w:szCs w:val="20"/>
                <w:lang w:eastAsia="en-AU"/>
              </w:rPr>
              <w:t>2027</w:t>
            </w:r>
            <w:r w:rsidR="005B48F3" w:rsidRPr="00494D11">
              <w:rPr>
                <w:b/>
                <w:szCs w:val="20"/>
              </w:rPr>
              <w:t>–2028</w:t>
            </w:r>
          </w:p>
        </w:tc>
        <w:tc>
          <w:tcPr>
            <w:tcW w:w="1170" w:type="dxa"/>
            <w:shd w:val="clear" w:color="auto" w:fill="F2F2F2" w:themeFill="background1" w:themeFillShade="F2"/>
          </w:tcPr>
          <w:p w14:paraId="31E96A4D" w14:textId="76192613" w:rsidR="0063762E" w:rsidRPr="00F834DD" w:rsidRDefault="0063762E" w:rsidP="00107928">
            <w:pPr>
              <w:pStyle w:val="TableText"/>
              <w:spacing w:before="0" w:after="0"/>
              <w:rPr>
                <w:szCs w:val="20"/>
              </w:rPr>
            </w:pPr>
            <w:r w:rsidRPr="00107928">
              <w:rPr>
                <w:rFonts w:eastAsia="Times New Roman" w:cs="Times New Roman"/>
                <w:b/>
                <w:szCs w:val="20"/>
                <w:lang w:eastAsia="en-AU"/>
              </w:rPr>
              <w:t>2028</w:t>
            </w:r>
            <w:r w:rsidR="005B48F3" w:rsidRPr="00494D11">
              <w:rPr>
                <w:b/>
                <w:szCs w:val="20"/>
              </w:rPr>
              <w:t>–2029</w:t>
            </w:r>
          </w:p>
        </w:tc>
        <w:tc>
          <w:tcPr>
            <w:tcW w:w="1170" w:type="dxa"/>
            <w:shd w:val="clear" w:color="auto" w:fill="F2F2F2" w:themeFill="background1" w:themeFillShade="F2"/>
          </w:tcPr>
          <w:p w14:paraId="629FCE6F" w14:textId="288E2C97" w:rsidR="0063762E" w:rsidRPr="00F834DD" w:rsidRDefault="0063762E" w:rsidP="00107928">
            <w:pPr>
              <w:pStyle w:val="TableText"/>
              <w:spacing w:before="0" w:after="0"/>
              <w:rPr>
                <w:szCs w:val="20"/>
              </w:rPr>
            </w:pPr>
            <w:r w:rsidRPr="00107928">
              <w:rPr>
                <w:rFonts w:eastAsia="Times New Roman" w:cs="Times New Roman"/>
                <w:b/>
                <w:szCs w:val="20"/>
                <w:lang w:eastAsia="en-AU"/>
              </w:rPr>
              <w:t>2029</w:t>
            </w:r>
            <w:r w:rsidR="005B48F3" w:rsidRPr="00494D11">
              <w:rPr>
                <w:b/>
                <w:szCs w:val="20"/>
              </w:rPr>
              <w:t>–2030</w:t>
            </w:r>
          </w:p>
        </w:tc>
        <w:tc>
          <w:tcPr>
            <w:tcW w:w="1170" w:type="dxa"/>
            <w:shd w:val="clear" w:color="auto" w:fill="F2F2F2" w:themeFill="background1" w:themeFillShade="F2"/>
          </w:tcPr>
          <w:p w14:paraId="27BF5696" w14:textId="0A834E16" w:rsidR="0063762E" w:rsidRPr="00F834DD" w:rsidRDefault="0063762E" w:rsidP="00107928">
            <w:pPr>
              <w:pStyle w:val="TableText"/>
              <w:spacing w:before="0" w:after="0"/>
              <w:rPr>
                <w:szCs w:val="20"/>
              </w:rPr>
            </w:pPr>
            <w:r w:rsidRPr="00107928">
              <w:rPr>
                <w:rFonts w:eastAsia="Times New Roman" w:cs="Times New Roman"/>
                <w:b/>
                <w:szCs w:val="20"/>
                <w:lang w:eastAsia="en-AU"/>
              </w:rPr>
              <w:t>2030</w:t>
            </w:r>
            <w:r w:rsidR="005B48F3" w:rsidRPr="00494D11">
              <w:rPr>
                <w:b/>
                <w:szCs w:val="20"/>
              </w:rPr>
              <w:t>–2031</w:t>
            </w:r>
          </w:p>
        </w:tc>
        <w:tc>
          <w:tcPr>
            <w:tcW w:w="1191" w:type="dxa"/>
            <w:shd w:val="clear" w:color="auto" w:fill="F2F2F2" w:themeFill="background1" w:themeFillShade="F2"/>
          </w:tcPr>
          <w:p w14:paraId="72697F4C" w14:textId="33782546" w:rsidR="0063762E" w:rsidRPr="00F834DD" w:rsidRDefault="0063762E" w:rsidP="00107928">
            <w:pPr>
              <w:pStyle w:val="TableText"/>
              <w:spacing w:before="0" w:after="0"/>
              <w:rPr>
                <w:szCs w:val="20"/>
              </w:rPr>
            </w:pPr>
            <w:r w:rsidRPr="00107928">
              <w:rPr>
                <w:rFonts w:eastAsia="Times New Roman" w:cs="Times New Roman"/>
                <w:b/>
                <w:szCs w:val="20"/>
                <w:lang w:eastAsia="en-AU"/>
              </w:rPr>
              <w:t>2031</w:t>
            </w:r>
            <w:r w:rsidR="005B48F3" w:rsidRPr="00494D11">
              <w:rPr>
                <w:b/>
                <w:szCs w:val="20"/>
              </w:rPr>
              <w:t>–2032</w:t>
            </w:r>
          </w:p>
        </w:tc>
      </w:tr>
      <w:tr w:rsidR="009B45EC" w:rsidRPr="008523A4" w14:paraId="18D65FFB" w14:textId="77777777" w:rsidTr="005D2B05">
        <w:trPr>
          <w:cantSplit/>
        </w:trPr>
        <w:tc>
          <w:tcPr>
            <w:tcW w:w="9016" w:type="dxa"/>
            <w:gridSpan w:val="7"/>
            <w:shd w:val="clear" w:color="auto" w:fill="D9D9D9" w:themeFill="background1" w:themeFillShade="D9"/>
          </w:tcPr>
          <w:p w14:paraId="4EEDEE28" w14:textId="7627FB83" w:rsidR="009B45EC" w:rsidRPr="00F834DD" w:rsidRDefault="009B45EC" w:rsidP="00107928">
            <w:pPr>
              <w:pStyle w:val="TableText"/>
              <w:spacing w:before="0" w:after="0"/>
              <w:rPr>
                <w:szCs w:val="20"/>
              </w:rPr>
            </w:pPr>
            <w:r w:rsidRPr="00107928">
              <w:rPr>
                <w:rFonts w:eastAsia="Times New Roman" w:cs="Times New Roman"/>
                <w:b/>
                <w:szCs w:val="20"/>
                <w:lang w:eastAsia="en-AU"/>
              </w:rPr>
              <w:t>Estimated use of proposed technology</w:t>
            </w:r>
          </w:p>
        </w:tc>
      </w:tr>
      <w:tr w:rsidR="00031EFC" w:rsidRPr="008523A4" w14:paraId="0B3EF789" w14:textId="77777777" w:rsidTr="00A35B11">
        <w:trPr>
          <w:cantSplit/>
        </w:trPr>
        <w:tc>
          <w:tcPr>
            <w:tcW w:w="1975" w:type="dxa"/>
          </w:tcPr>
          <w:p w14:paraId="79969C38" w14:textId="067476A1" w:rsidR="00D172B8" w:rsidRPr="00F834DD" w:rsidRDefault="00D172B8" w:rsidP="00107928">
            <w:pPr>
              <w:pStyle w:val="TableText"/>
              <w:spacing w:before="0" w:after="0"/>
              <w:rPr>
                <w:szCs w:val="20"/>
              </w:rPr>
            </w:pPr>
            <w:r w:rsidRPr="00107928">
              <w:rPr>
                <w:rFonts w:eastAsia="Times New Roman" w:cs="Times New Roman"/>
                <w:szCs w:val="20"/>
                <w:lang w:eastAsia="en-AU"/>
              </w:rPr>
              <w:t>Number of</w:t>
            </w:r>
            <w:r w:rsidR="007557B8">
              <w:rPr>
                <w:rFonts w:eastAsia="Times New Roman" w:cs="Times New Roman"/>
                <w:szCs w:val="20"/>
                <w:lang w:eastAsia="en-AU"/>
              </w:rPr>
              <w:t xml:space="preserve"> </w:t>
            </w:r>
            <w:r w:rsidRPr="00107928">
              <w:rPr>
                <w:rFonts w:eastAsia="Times New Roman" w:cs="Times New Roman"/>
                <w:szCs w:val="20"/>
                <w:lang w:eastAsia="en-AU"/>
              </w:rPr>
              <w:t xml:space="preserve">patients </w:t>
            </w:r>
            <w:r w:rsidR="0010325C">
              <w:rPr>
                <w:rFonts w:eastAsia="Times New Roman" w:cs="Times New Roman"/>
                <w:szCs w:val="20"/>
                <w:lang w:eastAsia="en-AU"/>
              </w:rPr>
              <w:t xml:space="preserve">eligible </w:t>
            </w:r>
            <w:r w:rsidRPr="00107928">
              <w:rPr>
                <w:rFonts w:eastAsia="Times New Roman" w:cs="Times New Roman"/>
                <w:szCs w:val="20"/>
                <w:lang w:eastAsia="en-AU"/>
              </w:rPr>
              <w:t xml:space="preserve">for </w:t>
            </w:r>
            <w:r w:rsidR="002C65A7" w:rsidRPr="00836811">
              <w:rPr>
                <w:rFonts w:eastAsia="Times New Roman" w:cs="Times New Roman"/>
                <w:i/>
                <w:szCs w:val="20"/>
                <w:lang w:eastAsia="en-AU"/>
              </w:rPr>
              <w:t>PO</w:t>
            </w:r>
            <w:r w:rsidR="006F0C8F" w:rsidRPr="00836811">
              <w:rPr>
                <w:rFonts w:eastAsia="Times New Roman" w:cs="Times New Roman"/>
                <w:i/>
                <w:szCs w:val="20"/>
                <w:lang w:eastAsia="en-AU"/>
              </w:rPr>
              <w:t>LE</w:t>
            </w:r>
            <w:r w:rsidR="002C65A7">
              <w:rPr>
                <w:rFonts w:eastAsia="Times New Roman" w:cs="Times New Roman"/>
                <w:szCs w:val="20"/>
                <w:lang w:eastAsia="en-AU"/>
              </w:rPr>
              <w:t xml:space="preserve"> genotyping</w:t>
            </w:r>
          </w:p>
        </w:tc>
        <w:tc>
          <w:tcPr>
            <w:tcW w:w="1170" w:type="dxa"/>
          </w:tcPr>
          <w:p w14:paraId="21F4035C" w14:textId="230DACAD" w:rsidR="00D172B8" w:rsidRPr="00DC276A" w:rsidRDefault="004C57FC" w:rsidP="00107928">
            <w:pPr>
              <w:pStyle w:val="TableText"/>
              <w:spacing w:before="0" w:after="0"/>
              <w:rPr>
                <w:szCs w:val="20"/>
              </w:rPr>
            </w:pPr>
            <w:r>
              <w:rPr>
                <w:rFonts w:eastAsia="Times New Roman" w:cs="Times New Roman"/>
                <w:szCs w:val="20"/>
                <w:lang w:eastAsia="en-AU"/>
              </w:rPr>
              <w:t>3,168</w:t>
            </w:r>
          </w:p>
        </w:tc>
        <w:tc>
          <w:tcPr>
            <w:tcW w:w="1170" w:type="dxa"/>
          </w:tcPr>
          <w:p w14:paraId="2931B35F" w14:textId="5EA6325A" w:rsidR="00D172B8" w:rsidRPr="00DC276A" w:rsidRDefault="004C57FC" w:rsidP="00107928">
            <w:pPr>
              <w:pStyle w:val="TableText"/>
              <w:spacing w:before="0" w:after="0"/>
              <w:rPr>
                <w:szCs w:val="20"/>
              </w:rPr>
            </w:pPr>
            <w:r>
              <w:rPr>
                <w:rFonts w:eastAsia="Times New Roman" w:cs="Times New Roman"/>
                <w:szCs w:val="20"/>
                <w:lang w:eastAsia="en-AU"/>
              </w:rPr>
              <w:t>3,214</w:t>
            </w:r>
          </w:p>
        </w:tc>
        <w:tc>
          <w:tcPr>
            <w:tcW w:w="1170" w:type="dxa"/>
          </w:tcPr>
          <w:p w14:paraId="72BAF9E8" w14:textId="28E687CE" w:rsidR="00D172B8" w:rsidRPr="00DC276A" w:rsidRDefault="004C57FC" w:rsidP="00107928">
            <w:pPr>
              <w:pStyle w:val="TableText"/>
              <w:spacing w:before="0" w:after="0"/>
              <w:rPr>
                <w:szCs w:val="20"/>
              </w:rPr>
            </w:pPr>
            <w:r>
              <w:rPr>
                <w:rFonts w:eastAsia="Times New Roman" w:cs="Times New Roman"/>
                <w:szCs w:val="20"/>
                <w:lang w:eastAsia="en-AU"/>
              </w:rPr>
              <w:t>3,260</w:t>
            </w:r>
          </w:p>
        </w:tc>
        <w:tc>
          <w:tcPr>
            <w:tcW w:w="1170" w:type="dxa"/>
          </w:tcPr>
          <w:p w14:paraId="0A12348B" w14:textId="2EF4ACE6" w:rsidR="00D172B8" w:rsidRPr="00DC276A" w:rsidRDefault="004C57FC" w:rsidP="00107928">
            <w:pPr>
              <w:pStyle w:val="TableText"/>
              <w:spacing w:before="0" w:after="0"/>
              <w:rPr>
                <w:szCs w:val="20"/>
              </w:rPr>
            </w:pPr>
            <w:r>
              <w:rPr>
                <w:rFonts w:eastAsia="Times New Roman" w:cs="Times New Roman"/>
                <w:szCs w:val="20"/>
                <w:lang w:eastAsia="en-AU"/>
              </w:rPr>
              <w:t>3,307</w:t>
            </w:r>
          </w:p>
        </w:tc>
        <w:tc>
          <w:tcPr>
            <w:tcW w:w="1170" w:type="dxa"/>
          </w:tcPr>
          <w:p w14:paraId="77766453" w14:textId="7B99BCD5" w:rsidR="00D172B8" w:rsidRPr="00DC276A" w:rsidRDefault="005317BD" w:rsidP="00107928">
            <w:pPr>
              <w:pStyle w:val="TableText"/>
              <w:spacing w:before="0" w:after="0"/>
              <w:rPr>
                <w:szCs w:val="20"/>
              </w:rPr>
            </w:pPr>
            <w:r>
              <w:rPr>
                <w:rFonts w:eastAsia="Times New Roman" w:cs="Times New Roman"/>
                <w:szCs w:val="20"/>
                <w:lang w:eastAsia="en-AU"/>
              </w:rPr>
              <w:t>3,354</w:t>
            </w:r>
          </w:p>
        </w:tc>
        <w:tc>
          <w:tcPr>
            <w:tcW w:w="1191" w:type="dxa"/>
          </w:tcPr>
          <w:p w14:paraId="13F3CE53" w14:textId="53EE29F2" w:rsidR="00D172B8" w:rsidRPr="00DC276A" w:rsidRDefault="005317BD" w:rsidP="00107928">
            <w:pPr>
              <w:pStyle w:val="TableText"/>
              <w:spacing w:before="0" w:after="0"/>
              <w:rPr>
                <w:szCs w:val="20"/>
              </w:rPr>
            </w:pPr>
            <w:r>
              <w:rPr>
                <w:rFonts w:eastAsia="Times New Roman" w:cs="Times New Roman"/>
                <w:szCs w:val="20"/>
                <w:lang w:eastAsia="en-AU"/>
              </w:rPr>
              <w:t>3,402</w:t>
            </w:r>
          </w:p>
        </w:tc>
      </w:tr>
      <w:tr w:rsidR="00F25ECC" w:rsidRPr="008523A4" w14:paraId="57B6B32C" w14:textId="77777777" w:rsidTr="00A35B11">
        <w:trPr>
          <w:cantSplit/>
        </w:trPr>
        <w:tc>
          <w:tcPr>
            <w:tcW w:w="1975" w:type="dxa"/>
          </w:tcPr>
          <w:p w14:paraId="3D0D410A" w14:textId="2F330197" w:rsidR="00F25ECC" w:rsidRPr="00107928" w:rsidRDefault="00F25ECC" w:rsidP="00107928">
            <w:pPr>
              <w:pStyle w:val="TableText"/>
              <w:spacing w:before="0" w:after="0"/>
              <w:rPr>
                <w:rFonts w:eastAsia="Times New Roman" w:cs="Times New Roman"/>
                <w:szCs w:val="20"/>
                <w:lang w:eastAsia="en-AU"/>
              </w:rPr>
            </w:pPr>
            <w:r>
              <w:rPr>
                <w:rFonts w:eastAsia="Times New Roman" w:cs="Times New Roman"/>
                <w:szCs w:val="20"/>
                <w:lang w:eastAsia="en-AU"/>
              </w:rPr>
              <w:t>Uptake rate</w:t>
            </w:r>
          </w:p>
        </w:tc>
        <w:tc>
          <w:tcPr>
            <w:tcW w:w="1170" w:type="dxa"/>
          </w:tcPr>
          <w:p w14:paraId="4084FAE5" w14:textId="2103A711" w:rsidR="00F25ECC" w:rsidRPr="00107928" w:rsidDel="00B5525F" w:rsidRDefault="00F25ECC" w:rsidP="00107928">
            <w:pPr>
              <w:pStyle w:val="TableText"/>
              <w:spacing w:before="0" w:after="0"/>
              <w:rPr>
                <w:rFonts w:eastAsia="Times New Roman" w:cs="Times New Roman"/>
                <w:szCs w:val="20"/>
                <w:lang w:eastAsia="en-AU"/>
              </w:rPr>
            </w:pPr>
            <w:r>
              <w:rPr>
                <w:rFonts w:eastAsia="Times New Roman" w:cs="Times New Roman"/>
                <w:szCs w:val="20"/>
                <w:lang w:eastAsia="en-AU"/>
              </w:rPr>
              <w:t>55%</w:t>
            </w:r>
          </w:p>
        </w:tc>
        <w:tc>
          <w:tcPr>
            <w:tcW w:w="1170" w:type="dxa"/>
          </w:tcPr>
          <w:p w14:paraId="4899EA00" w14:textId="57229F67" w:rsidR="00F25ECC" w:rsidRPr="00107928" w:rsidDel="00B5525F" w:rsidRDefault="00F25ECC" w:rsidP="00107928">
            <w:pPr>
              <w:pStyle w:val="TableText"/>
              <w:spacing w:before="0" w:after="0"/>
              <w:rPr>
                <w:rFonts w:eastAsia="Times New Roman" w:cs="Times New Roman"/>
                <w:szCs w:val="20"/>
                <w:lang w:eastAsia="en-AU"/>
              </w:rPr>
            </w:pPr>
            <w:r>
              <w:rPr>
                <w:rFonts w:eastAsia="Times New Roman" w:cs="Times New Roman"/>
                <w:szCs w:val="20"/>
                <w:lang w:eastAsia="en-AU"/>
              </w:rPr>
              <w:t>65%</w:t>
            </w:r>
          </w:p>
        </w:tc>
        <w:tc>
          <w:tcPr>
            <w:tcW w:w="1170" w:type="dxa"/>
          </w:tcPr>
          <w:p w14:paraId="53B2CE6D" w14:textId="2B1E81B7" w:rsidR="00F25ECC" w:rsidRPr="00107928" w:rsidDel="00B5525F" w:rsidRDefault="004E46E6" w:rsidP="00107928">
            <w:pPr>
              <w:pStyle w:val="TableText"/>
              <w:spacing w:before="0" w:after="0"/>
              <w:rPr>
                <w:rFonts w:eastAsia="Times New Roman" w:cs="Times New Roman"/>
                <w:szCs w:val="20"/>
                <w:lang w:eastAsia="en-AU"/>
              </w:rPr>
            </w:pPr>
            <w:r>
              <w:rPr>
                <w:rFonts w:eastAsia="Times New Roman" w:cs="Times New Roman"/>
                <w:szCs w:val="20"/>
                <w:lang w:eastAsia="en-AU"/>
              </w:rPr>
              <w:t>75%</w:t>
            </w:r>
          </w:p>
        </w:tc>
        <w:tc>
          <w:tcPr>
            <w:tcW w:w="1170" w:type="dxa"/>
          </w:tcPr>
          <w:p w14:paraId="0DA60FEE" w14:textId="2B948611" w:rsidR="00F25ECC" w:rsidRPr="00107928" w:rsidDel="00B5525F" w:rsidRDefault="004E46E6" w:rsidP="00107928">
            <w:pPr>
              <w:pStyle w:val="TableText"/>
              <w:spacing w:before="0" w:after="0"/>
              <w:rPr>
                <w:rFonts w:eastAsia="Times New Roman" w:cs="Times New Roman"/>
                <w:szCs w:val="20"/>
                <w:lang w:eastAsia="en-AU"/>
              </w:rPr>
            </w:pPr>
            <w:r>
              <w:rPr>
                <w:rFonts w:eastAsia="Times New Roman" w:cs="Times New Roman"/>
                <w:szCs w:val="20"/>
                <w:lang w:eastAsia="en-AU"/>
              </w:rPr>
              <w:t>85%</w:t>
            </w:r>
          </w:p>
        </w:tc>
        <w:tc>
          <w:tcPr>
            <w:tcW w:w="1170" w:type="dxa"/>
          </w:tcPr>
          <w:p w14:paraId="36BDD941" w14:textId="45CCC1D5" w:rsidR="00F25ECC" w:rsidRPr="00107928" w:rsidDel="00B5525F" w:rsidRDefault="004E46E6" w:rsidP="00107928">
            <w:pPr>
              <w:pStyle w:val="TableText"/>
              <w:spacing w:before="0" w:after="0"/>
              <w:rPr>
                <w:rFonts w:eastAsia="Times New Roman" w:cs="Times New Roman"/>
                <w:szCs w:val="20"/>
                <w:lang w:eastAsia="en-AU"/>
              </w:rPr>
            </w:pPr>
            <w:r>
              <w:rPr>
                <w:rFonts w:eastAsia="Times New Roman" w:cs="Times New Roman"/>
                <w:szCs w:val="20"/>
                <w:lang w:eastAsia="en-AU"/>
              </w:rPr>
              <w:t>95%</w:t>
            </w:r>
          </w:p>
        </w:tc>
        <w:tc>
          <w:tcPr>
            <w:tcW w:w="1191" w:type="dxa"/>
          </w:tcPr>
          <w:p w14:paraId="2C446A81" w14:textId="2CBDF9C7" w:rsidR="00F25ECC" w:rsidRPr="00107928" w:rsidDel="00B5525F" w:rsidRDefault="004E46E6" w:rsidP="00107928">
            <w:pPr>
              <w:pStyle w:val="TableText"/>
              <w:spacing w:before="0" w:after="0"/>
              <w:rPr>
                <w:rFonts w:eastAsia="Times New Roman" w:cs="Times New Roman"/>
                <w:szCs w:val="20"/>
                <w:lang w:eastAsia="en-AU"/>
              </w:rPr>
            </w:pPr>
            <w:r>
              <w:rPr>
                <w:rFonts w:eastAsia="Times New Roman" w:cs="Times New Roman"/>
                <w:szCs w:val="20"/>
                <w:lang w:eastAsia="en-AU"/>
              </w:rPr>
              <w:t>100%</w:t>
            </w:r>
          </w:p>
        </w:tc>
      </w:tr>
      <w:tr w:rsidR="00B5525F" w:rsidRPr="008523A4" w14:paraId="0D942B3D" w14:textId="77777777" w:rsidTr="00A35B11">
        <w:trPr>
          <w:cantSplit/>
        </w:trPr>
        <w:tc>
          <w:tcPr>
            <w:tcW w:w="1975" w:type="dxa"/>
          </w:tcPr>
          <w:p w14:paraId="30EF3359" w14:textId="3D82F2E2" w:rsidR="00B5525F" w:rsidRPr="00107928" w:rsidRDefault="00B5525F" w:rsidP="00B5525F">
            <w:pPr>
              <w:pStyle w:val="TableText"/>
              <w:spacing w:before="0" w:after="0"/>
              <w:rPr>
                <w:rFonts w:eastAsia="Times New Roman" w:cs="Times New Roman"/>
                <w:szCs w:val="20"/>
                <w:lang w:eastAsia="en-AU"/>
              </w:rPr>
            </w:pPr>
            <w:r>
              <w:rPr>
                <w:rFonts w:eastAsia="Times New Roman" w:cs="Times New Roman"/>
                <w:szCs w:val="20"/>
                <w:lang w:eastAsia="en-AU"/>
              </w:rPr>
              <w:t>Number of p</w:t>
            </w:r>
            <w:r w:rsidR="007C4E69">
              <w:rPr>
                <w:rFonts w:eastAsia="Times New Roman" w:cs="Times New Roman"/>
                <w:szCs w:val="20"/>
                <w:lang w:eastAsia="en-AU"/>
              </w:rPr>
              <w:t>atients</w:t>
            </w:r>
            <w:r>
              <w:rPr>
                <w:rFonts w:eastAsia="Times New Roman" w:cs="Times New Roman"/>
                <w:szCs w:val="20"/>
                <w:lang w:eastAsia="en-AU"/>
              </w:rPr>
              <w:t xml:space="preserve"> who receive </w:t>
            </w:r>
            <w:r w:rsidRPr="00836811">
              <w:rPr>
                <w:rFonts w:eastAsia="Times New Roman" w:cs="Times New Roman"/>
                <w:i/>
                <w:szCs w:val="20"/>
                <w:lang w:eastAsia="en-AU"/>
              </w:rPr>
              <w:t>POLE</w:t>
            </w:r>
            <w:r>
              <w:rPr>
                <w:rFonts w:eastAsia="Times New Roman" w:cs="Times New Roman"/>
                <w:szCs w:val="20"/>
                <w:lang w:eastAsia="en-AU"/>
              </w:rPr>
              <w:t xml:space="preserve"> genotyping</w:t>
            </w:r>
          </w:p>
        </w:tc>
        <w:tc>
          <w:tcPr>
            <w:tcW w:w="1170" w:type="dxa"/>
          </w:tcPr>
          <w:p w14:paraId="6391B705" w14:textId="07F07FFD" w:rsidR="00B5525F" w:rsidRPr="00107928" w:rsidRDefault="00B5525F" w:rsidP="00B5525F">
            <w:pPr>
              <w:pStyle w:val="TableText"/>
              <w:spacing w:before="0" w:after="0"/>
              <w:rPr>
                <w:rFonts w:eastAsia="Times New Roman" w:cs="Times New Roman"/>
                <w:szCs w:val="20"/>
                <w:lang w:eastAsia="en-AU"/>
              </w:rPr>
            </w:pPr>
            <w:r w:rsidRPr="00107928">
              <w:rPr>
                <w:rFonts w:eastAsia="Times New Roman" w:cs="Times New Roman"/>
                <w:szCs w:val="20"/>
                <w:lang w:eastAsia="en-AU"/>
              </w:rPr>
              <w:t>1,743</w:t>
            </w:r>
          </w:p>
        </w:tc>
        <w:tc>
          <w:tcPr>
            <w:tcW w:w="1170" w:type="dxa"/>
          </w:tcPr>
          <w:p w14:paraId="682724EA" w14:textId="306AC854" w:rsidR="00B5525F" w:rsidRPr="00107928" w:rsidRDefault="00B5525F" w:rsidP="00B5525F">
            <w:pPr>
              <w:pStyle w:val="TableText"/>
              <w:spacing w:before="0" w:after="0"/>
              <w:rPr>
                <w:rFonts w:eastAsia="Times New Roman" w:cs="Times New Roman"/>
                <w:szCs w:val="20"/>
                <w:lang w:eastAsia="en-AU"/>
              </w:rPr>
            </w:pPr>
            <w:r w:rsidRPr="00107928">
              <w:rPr>
                <w:rFonts w:eastAsia="Times New Roman" w:cs="Times New Roman"/>
                <w:szCs w:val="20"/>
                <w:lang w:eastAsia="en-AU"/>
              </w:rPr>
              <w:t>2,089</w:t>
            </w:r>
          </w:p>
        </w:tc>
        <w:tc>
          <w:tcPr>
            <w:tcW w:w="1170" w:type="dxa"/>
          </w:tcPr>
          <w:p w14:paraId="40C006A4" w14:textId="0B9419EF" w:rsidR="00B5525F" w:rsidRPr="00107928" w:rsidRDefault="00B5525F" w:rsidP="00B5525F">
            <w:pPr>
              <w:pStyle w:val="TableText"/>
              <w:spacing w:before="0" w:after="0"/>
              <w:rPr>
                <w:rFonts w:eastAsia="Times New Roman" w:cs="Times New Roman"/>
                <w:szCs w:val="20"/>
                <w:lang w:eastAsia="en-AU"/>
              </w:rPr>
            </w:pPr>
            <w:r w:rsidRPr="00107928">
              <w:rPr>
                <w:rFonts w:eastAsia="Times New Roman" w:cs="Times New Roman"/>
                <w:szCs w:val="20"/>
                <w:lang w:eastAsia="en-AU"/>
              </w:rPr>
              <w:t>2,445</w:t>
            </w:r>
          </w:p>
        </w:tc>
        <w:tc>
          <w:tcPr>
            <w:tcW w:w="1170" w:type="dxa"/>
          </w:tcPr>
          <w:p w14:paraId="21CB8F0E" w14:textId="4BB38A04" w:rsidR="00B5525F" w:rsidRPr="00107928" w:rsidRDefault="00B5525F" w:rsidP="00B5525F">
            <w:pPr>
              <w:pStyle w:val="TableText"/>
              <w:spacing w:before="0" w:after="0"/>
              <w:rPr>
                <w:rFonts w:eastAsia="Times New Roman" w:cs="Times New Roman"/>
                <w:szCs w:val="20"/>
                <w:lang w:eastAsia="en-AU"/>
              </w:rPr>
            </w:pPr>
            <w:r w:rsidRPr="00107928">
              <w:rPr>
                <w:rFonts w:eastAsia="Times New Roman" w:cs="Times New Roman"/>
                <w:szCs w:val="20"/>
                <w:lang w:eastAsia="en-AU"/>
              </w:rPr>
              <w:t>2,811</w:t>
            </w:r>
          </w:p>
        </w:tc>
        <w:tc>
          <w:tcPr>
            <w:tcW w:w="1170" w:type="dxa"/>
          </w:tcPr>
          <w:p w14:paraId="193BDEE2" w14:textId="41C28B07" w:rsidR="00B5525F" w:rsidRPr="00107928" w:rsidRDefault="00B5525F" w:rsidP="00B5525F">
            <w:pPr>
              <w:pStyle w:val="TableText"/>
              <w:spacing w:before="0" w:after="0"/>
              <w:rPr>
                <w:rFonts w:eastAsia="Times New Roman" w:cs="Times New Roman"/>
                <w:szCs w:val="20"/>
                <w:lang w:eastAsia="en-AU"/>
              </w:rPr>
            </w:pPr>
            <w:r w:rsidRPr="00107928">
              <w:rPr>
                <w:rFonts w:eastAsia="Times New Roman" w:cs="Times New Roman"/>
                <w:szCs w:val="20"/>
                <w:lang w:eastAsia="en-AU"/>
              </w:rPr>
              <w:t>3,186</w:t>
            </w:r>
          </w:p>
        </w:tc>
        <w:tc>
          <w:tcPr>
            <w:tcW w:w="1191" w:type="dxa"/>
          </w:tcPr>
          <w:p w14:paraId="28E252EE" w14:textId="5F5C61A2" w:rsidR="00B5525F" w:rsidRPr="00107928" w:rsidRDefault="00B5525F" w:rsidP="00B5525F">
            <w:pPr>
              <w:pStyle w:val="TableText"/>
              <w:spacing w:before="0" w:after="0"/>
              <w:rPr>
                <w:rFonts w:eastAsia="Times New Roman" w:cs="Times New Roman"/>
                <w:szCs w:val="20"/>
                <w:lang w:eastAsia="en-AU"/>
              </w:rPr>
            </w:pPr>
            <w:r w:rsidRPr="00107928">
              <w:rPr>
                <w:rFonts w:eastAsia="Times New Roman" w:cs="Times New Roman"/>
                <w:szCs w:val="20"/>
                <w:lang w:eastAsia="en-AU"/>
              </w:rPr>
              <w:t>3,402</w:t>
            </w:r>
          </w:p>
        </w:tc>
      </w:tr>
      <w:tr w:rsidR="00B5525F" w:rsidRPr="008523A4" w14:paraId="41157857" w14:textId="77777777" w:rsidTr="00A35B11">
        <w:trPr>
          <w:cantSplit/>
        </w:trPr>
        <w:tc>
          <w:tcPr>
            <w:tcW w:w="1975" w:type="dxa"/>
          </w:tcPr>
          <w:p w14:paraId="09AAEAC9" w14:textId="348E1F57" w:rsidR="00B5525F" w:rsidRPr="00F834DD" w:rsidRDefault="00B5525F" w:rsidP="00B5525F">
            <w:pPr>
              <w:pStyle w:val="TableText"/>
              <w:spacing w:before="0" w:after="0"/>
              <w:rPr>
                <w:szCs w:val="20"/>
              </w:rPr>
            </w:pPr>
            <w:r w:rsidRPr="00107928">
              <w:rPr>
                <w:rFonts w:eastAsia="Times New Roman" w:cs="Times New Roman"/>
                <w:szCs w:val="20"/>
                <w:lang w:eastAsia="en-AU"/>
              </w:rPr>
              <w:t xml:space="preserve">Number of </w:t>
            </w:r>
            <w:r w:rsidRPr="00076C3A">
              <w:rPr>
                <w:rFonts w:eastAsia="Times New Roman" w:cs="Times New Roman"/>
                <w:i/>
                <w:szCs w:val="20"/>
                <w:lang w:eastAsia="en-AU"/>
              </w:rPr>
              <w:t>POLE</w:t>
            </w:r>
            <w:r w:rsidRPr="00107928">
              <w:rPr>
                <w:rFonts w:eastAsia="Times New Roman" w:cs="Times New Roman"/>
                <w:szCs w:val="20"/>
                <w:lang w:eastAsia="en-AU"/>
              </w:rPr>
              <w:t>mut</w:t>
            </w:r>
            <w:r w:rsidRPr="00F834DD">
              <w:rPr>
                <w:szCs w:val="20"/>
              </w:rPr>
              <w:t xml:space="preserve"> positive patients</w:t>
            </w:r>
          </w:p>
        </w:tc>
        <w:tc>
          <w:tcPr>
            <w:tcW w:w="1170" w:type="dxa"/>
          </w:tcPr>
          <w:p w14:paraId="7CFDD458" w14:textId="7EBF7B01" w:rsidR="00B5525F" w:rsidRPr="00F834DD" w:rsidRDefault="00C2607A" w:rsidP="00B5525F">
            <w:pPr>
              <w:pStyle w:val="TableText"/>
              <w:spacing w:before="0" w:after="0"/>
              <w:rPr>
                <w:szCs w:val="20"/>
              </w:rPr>
            </w:pPr>
            <w:r>
              <w:rPr>
                <w:rFonts w:eastAsia="Times New Roman" w:cs="Times New Roman"/>
                <w:lang w:eastAsia="en-AU"/>
              </w:rPr>
              <w:t>309</w:t>
            </w:r>
            <w:r w:rsidR="00B5525F" w:rsidRPr="00107928">
              <w:rPr>
                <w:rFonts w:eastAsia="Times New Roman" w:cs="Times New Roman"/>
                <w:lang w:eastAsia="en-AU"/>
              </w:rPr>
              <w:t> </w:t>
            </w:r>
          </w:p>
        </w:tc>
        <w:tc>
          <w:tcPr>
            <w:tcW w:w="1170" w:type="dxa"/>
          </w:tcPr>
          <w:p w14:paraId="30C81E12" w14:textId="12DEC1DD" w:rsidR="00B5525F" w:rsidRPr="00F834DD" w:rsidRDefault="00C2607A" w:rsidP="00B5525F">
            <w:pPr>
              <w:pStyle w:val="TableText"/>
              <w:spacing w:before="0" w:after="0"/>
              <w:rPr>
                <w:szCs w:val="20"/>
              </w:rPr>
            </w:pPr>
            <w:r>
              <w:rPr>
                <w:rFonts w:eastAsia="Times New Roman" w:cs="Times New Roman"/>
                <w:lang w:eastAsia="en-AU"/>
              </w:rPr>
              <w:t>313</w:t>
            </w:r>
          </w:p>
        </w:tc>
        <w:tc>
          <w:tcPr>
            <w:tcW w:w="1170" w:type="dxa"/>
          </w:tcPr>
          <w:p w14:paraId="083653D0" w14:textId="06BFEF5D" w:rsidR="00B5525F" w:rsidRPr="00F834DD" w:rsidRDefault="00C2607A" w:rsidP="00B5525F">
            <w:pPr>
              <w:pStyle w:val="TableText"/>
              <w:spacing w:before="0" w:after="0"/>
              <w:rPr>
                <w:szCs w:val="20"/>
              </w:rPr>
            </w:pPr>
            <w:r>
              <w:rPr>
                <w:rFonts w:eastAsia="Times New Roman" w:cs="Times New Roman"/>
                <w:lang w:eastAsia="en-AU"/>
              </w:rPr>
              <w:t>318</w:t>
            </w:r>
          </w:p>
        </w:tc>
        <w:tc>
          <w:tcPr>
            <w:tcW w:w="1170" w:type="dxa"/>
          </w:tcPr>
          <w:p w14:paraId="2739F9AD" w14:textId="0C4E7F7B" w:rsidR="00B5525F" w:rsidRPr="00F834DD" w:rsidRDefault="003707F3" w:rsidP="00B5525F">
            <w:pPr>
              <w:pStyle w:val="TableText"/>
              <w:spacing w:before="0" w:after="0"/>
              <w:rPr>
                <w:szCs w:val="20"/>
              </w:rPr>
            </w:pPr>
            <w:r>
              <w:rPr>
                <w:rFonts w:eastAsia="Times New Roman" w:cs="Times New Roman"/>
                <w:lang w:eastAsia="en-AU"/>
              </w:rPr>
              <w:t>322</w:t>
            </w:r>
          </w:p>
        </w:tc>
        <w:tc>
          <w:tcPr>
            <w:tcW w:w="1170" w:type="dxa"/>
          </w:tcPr>
          <w:p w14:paraId="762C34A4" w14:textId="3A7D4A1B" w:rsidR="00B5525F" w:rsidRPr="00F834DD" w:rsidRDefault="003707F3" w:rsidP="00B5525F">
            <w:pPr>
              <w:pStyle w:val="TableText"/>
              <w:spacing w:before="0" w:after="0"/>
              <w:rPr>
                <w:szCs w:val="20"/>
              </w:rPr>
            </w:pPr>
            <w:r>
              <w:rPr>
                <w:rFonts w:eastAsia="Times New Roman" w:cs="Times New Roman"/>
                <w:lang w:eastAsia="en-AU"/>
              </w:rPr>
              <w:t>327</w:t>
            </w:r>
          </w:p>
        </w:tc>
        <w:tc>
          <w:tcPr>
            <w:tcW w:w="1191" w:type="dxa"/>
          </w:tcPr>
          <w:p w14:paraId="18EC6CC5" w14:textId="7390BF07" w:rsidR="00B5525F" w:rsidRPr="00F834DD" w:rsidRDefault="003707F3" w:rsidP="00B5525F">
            <w:pPr>
              <w:pStyle w:val="TableText"/>
              <w:spacing w:before="0" w:after="0"/>
              <w:rPr>
                <w:szCs w:val="20"/>
              </w:rPr>
            </w:pPr>
            <w:r>
              <w:rPr>
                <w:rFonts w:eastAsia="Times New Roman" w:cs="Times New Roman"/>
                <w:lang w:eastAsia="en-AU"/>
              </w:rPr>
              <w:t>331</w:t>
            </w:r>
          </w:p>
        </w:tc>
      </w:tr>
      <w:tr w:rsidR="00B5525F" w:rsidRPr="008523A4" w14:paraId="757B6A5A" w14:textId="77777777" w:rsidTr="00A35B11">
        <w:trPr>
          <w:cantSplit/>
        </w:trPr>
        <w:tc>
          <w:tcPr>
            <w:tcW w:w="1975" w:type="dxa"/>
          </w:tcPr>
          <w:p w14:paraId="6FB672FA" w14:textId="72CBF869" w:rsidR="00B5525F" w:rsidRPr="00F834DD" w:rsidRDefault="00B5525F" w:rsidP="00B5525F">
            <w:pPr>
              <w:pStyle w:val="TableText"/>
              <w:spacing w:before="0" w:after="0"/>
              <w:rPr>
                <w:szCs w:val="20"/>
              </w:rPr>
            </w:pPr>
            <w:r w:rsidRPr="00107928">
              <w:rPr>
                <w:rFonts w:eastAsia="Times New Roman" w:cs="Times New Roman"/>
                <w:szCs w:val="20"/>
                <w:lang w:eastAsia="en-AU"/>
              </w:rPr>
              <w:t xml:space="preserve">Number of </w:t>
            </w:r>
            <w:r w:rsidR="005F2D3F" w:rsidRPr="00836811">
              <w:rPr>
                <w:rFonts w:eastAsia="Times New Roman" w:cs="Times New Roman"/>
                <w:i/>
                <w:szCs w:val="20"/>
                <w:lang w:eastAsia="en-AU"/>
              </w:rPr>
              <w:t>POLE</w:t>
            </w:r>
            <w:r w:rsidR="005F2D3F">
              <w:rPr>
                <w:rFonts w:eastAsia="Times New Roman" w:cs="Times New Roman"/>
                <w:szCs w:val="20"/>
                <w:lang w:eastAsia="en-AU"/>
              </w:rPr>
              <w:t xml:space="preserve">mut </w:t>
            </w:r>
            <w:r w:rsidRPr="00107928">
              <w:rPr>
                <w:rFonts w:eastAsia="Times New Roman" w:cs="Times New Roman"/>
                <w:szCs w:val="20"/>
                <w:lang w:eastAsia="en-AU"/>
              </w:rPr>
              <w:t xml:space="preserve">patients </w:t>
            </w:r>
            <w:r w:rsidR="00451175">
              <w:rPr>
                <w:rFonts w:eastAsia="Times New Roman" w:cs="Times New Roman"/>
                <w:szCs w:val="20"/>
                <w:lang w:eastAsia="en-AU"/>
              </w:rPr>
              <w:t xml:space="preserve">who avoid adjuvant therapy </w:t>
            </w:r>
          </w:p>
        </w:tc>
        <w:tc>
          <w:tcPr>
            <w:tcW w:w="1170" w:type="dxa"/>
          </w:tcPr>
          <w:p w14:paraId="4565C4B3" w14:textId="12FD6BDA" w:rsidR="00B5525F" w:rsidRPr="00DC276A" w:rsidRDefault="003707F3" w:rsidP="00B5525F">
            <w:pPr>
              <w:pStyle w:val="TableText"/>
              <w:spacing w:before="0" w:after="0"/>
              <w:rPr>
                <w:szCs w:val="20"/>
              </w:rPr>
            </w:pPr>
            <w:r>
              <w:rPr>
                <w:rFonts w:eastAsia="Times New Roman" w:cs="Times New Roman"/>
                <w:lang w:eastAsia="en-AU"/>
              </w:rPr>
              <w:t>197</w:t>
            </w:r>
          </w:p>
        </w:tc>
        <w:tc>
          <w:tcPr>
            <w:tcW w:w="1170" w:type="dxa"/>
          </w:tcPr>
          <w:p w14:paraId="6C37E5CF" w14:textId="1F1F4ADC" w:rsidR="00B5525F" w:rsidRPr="00DC276A" w:rsidRDefault="003707F3" w:rsidP="00B5525F">
            <w:pPr>
              <w:pStyle w:val="TableText"/>
              <w:spacing w:before="0" w:after="0"/>
              <w:rPr>
                <w:szCs w:val="20"/>
              </w:rPr>
            </w:pPr>
            <w:r>
              <w:rPr>
                <w:rFonts w:eastAsia="Times New Roman" w:cs="Times New Roman"/>
                <w:lang w:eastAsia="en-AU"/>
              </w:rPr>
              <w:t>200</w:t>
            </w:r>
          </w:p>
        </w:tc>
        <w:tc>
          <w:tcPr>
            <w:tcW w:w="1170" w:type="dxa"/>
          </w:tcPr>
          <w:p w14:paraId="37782DC9" w14:textId="0E87AA66" w:rsidR="00B5525F" w:rsidRPr="00DC276A" w:rsidRDefault="003707F3" w:rsidP="00B5525F">
            <w:pPr>
              <w:pStyle w:val="TableText"/>
              <w:spacing w:before="0" w:after="0"/>
              <w:rPr>
                <w:szCs w:val="20"/>
              </w:rPr>
            </w:pPr>
            <w:r>
              <w:rPr>
                <w:rFonts w:eastAsia="Times New Roman" w:cs="Times New Roman"/>
                <w:lang w:eastAsia="en-AU"/>
              </w:rPr>
              <w:t>203</w:t>
            </w:r>
          </w:p>
        </w:tc>
        <w:tc>
          <w:tcPr>
            <w:tcW w:w="1170" w:type="dxa"/>
          </w:tcPr>
          <w:p w14:paraId="18814DF7" w14:textId="05A0C1AE" w:rsidR="00B5525F" w:rsidRPr="00DC276A" w:rsidRDefault="003707F3" w:rsidP="00B5525F">
            <w:pPr>
              <w:pStyle w:val="TableText"/>
              <w:spacing w:before="0" w:after="0"/>
              <w:rPr>
                <w:szCs w:val="20"/>
              </w:rPr>
            </w:pPr>
            <w:r>
              <w:rPr>
                <w:rFonts w:eastAsia="Times New Roman" w:cs="Times New Roman"/>
                <w:lang w:eastAsia="en-AU"/>
              </w:rPr>
              <w:t>206</w:t>
            </w:r>
          </w:p>
        </w:tc>
        <w:tc>
          <w:tcPr>
            <w:tcW w:w="1170" w:type="dxa"/>
          </w:tcPr>
          <w:p w14:paraId="3398BD52" w14:textId="0332F3A7" w:rsidR="00B5525F" w:rsidRPr="00DC276A" w:rsidRDefault="008F03CD" w:rsidP="00B5525F">
            <w:pPr>
              <w:pStyle w:val="TableText"/>
              <w:spacing w:before="0" w:after="0"/>
              <w:rPr>
                <w:szCs w:val="20"/>
              </w:rPr>
            </w:pPr>
            <w:r>
              <w:rPr>
                <w:rFonts w:eastAsia="Times New Roman" w:cs="Times New Roman"/>
                <w:lang w:eastAsia="en-AU"/>
              </w:rPr>
              <w:t>209</w:t>
            </w:r>
          </w:p>
        </w:tc>
        <w:tc>
          <w:tcPr>
            <w:tcW w:w="1191" w:type="dxa"/>
          </w:tcPr>
          <w:p w14:paraId="05A3BC4C" w14:textId="54B9ED10" w:rsidR="00B5525F" w:rsidRPr="00DC276A" w:rsidRDefault="008F03CD" w:rsidP="00B5525F">
            <w:pPr>
              <w:pStyle w:val="TableText"/>
              <w:spacing w:before="0" w:after="0"/>
              <w:rPr>
                <w:szCs w:val="20"/>
              </w:rPr>
            </w:pPr>
            <w:r>
              <w:rPr>
                <w:rFonts w:eastAsia="Times New Roman" w:cs="Times New Roman"/>
                <w:lang w:eastAsia="en-AU"/>
              </w:rPr>
              <w:t>212</w:t>
            </w:r>
          </w:p>
        </w:tc>
      </w:tr>
      <w:tr w:rsidR="00B5525F" w:rsidRPr="008523A4" w14:paraId="4FF4B69E" w14:textId="77777777" w:rsidTr="005D2B05">
        <w:trPr>
          <w:cantSplit/>
        </w:trPr>
        <w:tc>
          <w:tcPr>
            <w:tcW w:w="9016" w:type="dxa"/>
            <w:gridSpan w:val="7"/>
            <w:shd w:val="clear" w:color="auto" w:fill="D9D9D9" w:themeFill="background1" w:themeFillShade="D9"/>
          </w:tcPr>
          <w:p w14:paraId="1AABE81F" w14:textId="117EC3FA" w:rsidR="00B5525F" w:rsidRPr="00252EE7" w:rsidRDefault="00B5525F" w:rsidP="00B5525F">
            <w:pPr>
              <w:pStyle w:val="TableText"/>
              <w:spacing w:before="0" w:after="0"/>
              <w:rPr>
                <w:b/>
                <w:szCs w:val="20"/>
              </w:rPr>
            </w:pPr>
            <w:r w:rsidRPr="00107928">
              <w:rPr>
                <w:rFonts w:eastAsia="Times New Roman" w:cs="Times New Roman"/>
                <w:b/>
                <w:szCs w:val="20"/>
                <w:lang w:eastAsia="en-AU"/>
              </w:rPr>
              <w:t>Estimated cost to MBS of proposed health technology</w:t>
            </w:r>
          </w:p>
        </w:tc>
      </w:tr>
      <w:tr w:rsidR="00B5525F" w:rsidRPr="00FD4CDF" w14:paraId="7594B328" w14:textId="77777777" w:rsidTr="00A35B11">
        <w:trPr>
          <w:cantSplit/>
        </w:trPr>
        <w:tc>
          <w:tcPr>
            <w:tcW w:w="1975" w:type="dxa"/>
          </w:tcPr>
          <w:p w14:paraId="7A0E9E91" w14:textId="152363E4" w:rsidR="00B5525F" w:rsidRPr="00FD4CDF" w:rsidRDefault="00B5525F" w:rsidP="00B5525F">
            <w:pPr>
              <w:pStyle w:val="TableText"/>
              <w:spacing w:before="0" w:after="0"/>
              <w:rPr>
                <w:szCs w:val="20"/>
              </w:rPr>
            </w:pPr>
            <w:r w:rsidRPr="00FD4CDF">
              <w:rPr>
                <w:rFonts w:eastAsia="Times New Roman" w:cs="Times New Roman"/>
                <w:szCs w:val="20"/>
                <w:lang w:eastAsia="en-AU"/>
              </w:rPr>
              <w:t xml:space="preserve">Total MBS cost at 100% </w:t>
            </w:r>
            <w:r w:rsidR="004C2C0C">
              <w:rPr>
                <w:rFonts w:eastAsia="Times New Roman" w:cs="Times New Roman"/>
                <w:szCs w:val="20"/>
                <w:lang w:eastAsia="en-AU"/>
              </w:rPr>
              <w:t xml:space="preserve">MBS </w:t>
            </w:r>
            <w:r w:rsidRPr="00FD4CDF">
              <w:rPr>
                <w:rFonts w:eastAsia="Times New Roman" w:cs="Times New Roman"/>
                <w:szCs w:val="20"/>
                <w:lang w:eastAsia="en-AU"/>
              </w:rPr>
              <w:t>benefit ($497.13)</w:t>
            </w:r>
            <w:r w:rsidR="000616EE">
              <w:rPr>
                <w:rFonts w:eastAsia="Times New Roman" w:cs="Times New Roman"/>
                <w:szCs w:val="20"/>
                <w:lang w:eastAsia="en-AU"/>
              </w:rPr>
              <w:t xml:space="preserve"> </w:t>
            </w:r>
          </w:p>
        </w:tc>
        <w:tc>
          <w:tcPr>
            <w:tcW w:w="1170" w:type="dxa"/>
          </w:tcPr>
          <w:p w14:paraId="1DE61258" w14:textId="77777777" w:rsidR="00B5525F" w:rsidRPr="00FD4CDF" w:rsidRDefault="00B5525F" w:rsidP="00B5525F">
            <w:pPr>
              <w:pStyle w:val="TableText"/>
              <w:spacing w:before="0" w:after="0"/>
              <w:rPr>
                <w:szCs w:val="20"/>
              </w:rPr>
            </w:pPr>
            <w:r w:rsidRPr="00FD4CDF">
              <w:rPr>
                <w:rFonts w:eastAsia="Times New Roman" w:cs="Times New Roman"/>
                <w:szCs w:val="20"/>
                <w:lang w:eastAsia="en-AU"/>
              </w:rPr>
              <w:t>$866,301</w:t>
            </w:r>
          </w:p>
        </w:tc>
        <w:tc>
          <w:tcPr>
            <w:tcW w:w="1170" w:type="dxa"/>
          </w:tcPr>
          <w:p w14:paraId="1E5A8294" w14:textId="77777777" w:rsidR="00B5525F" w:rsidRPr="00FD4CDF" w:rsidRDefault="00B5525F" w:rsidP="00B5525F">
            <w:pPr>
              <w:pStyle w:val="TableText"/>
              <w:spacing w:before="0" w:after="0"/>
              <w:rPr>
                <w:szCs w:val="20"/>
              </w:rPr>
            </w:pPr>
            <w:r w:rsidRPr="00FD4CDF">
              <w:rPr>
                <w:rFonts w:eastAsia="Times New Roman" w:cs="Times New Roman"/>
                <w:szCs w:val="20"/>
                <w:lang w:eastAsia="en-AU"/>
              </w:rPr>
              <w:t>$1,038,485</w:t>
            </w:r>
          </w:p>
        </w:tc>
        <w:tc>
          <w:tcPr>
            <w:tcW w:w="1170" w:type="dxa"/>
          </w:tcPr>
          <w:p w14:paraId="11501B9F" w14:textId="0301047B" w:rsidR="00B5525F" w:rsidRPr="00FD4CDF" w:rsidRDefault="00B5525F" w:rsidP="00B5525F">
            <w:pPr>
              <w:pStyle w:val="TableText"/>
              <w:spacing w:before="0" w:after="0"/>
              <w:rPr>
                <w:szCs w:val="20"/>
              </w:rPr>
            </w:pPr>
            <w:r w:rsidRPr="00FD4CDF">
              <w:rPr>
                <w:rFonts w:eastAsia="Times New Roman" w:cs="Times New Roman"/>
                <w:szCs w:val="20"/>
                <w:lang w:eastAsia="en-AU"/>
              </w:rPr>
              <w:t>$1,215,427</w:t>
            </w:r>
          </w:p>
        </w:tc>
        <w:tc>
          <w:tcPr>
            <w:tcW w:w="1170" w:type="dxa"/>
          </w:tcPr>
          <w:p w14:paraId="49404A8C" w14:textId="77777777" w:rsidR="00B5525F" w:rsidRPr="00FD4CDF" w:rsidRDefault="00B5525F" w:rsidP="00B5525F">
            <w:pPr>
              <w:pStyle w:val="TableText"/>
              <w:spacing w:before="0" w:after="0"/>
              <w:rPr>
                <w:szCs w:val="20"/>
              </w:rPr>
            </w:pPr>
            <w:r w:rsidRPr="00FD4CDF">
              <w:rPr>
                <w:rFonts w:eastAsia="Times New Roman" w:cs="Times New Roman"/>
                <w:szCs w:val="20"/>
                <w:lang w:eastAsia="en-AU"/>
              </w:rPr>
              <w:t>$1,397,228</w:t>
            </w:r>
          </w:p>
        </w:tc>
        <w:tc>
          <w:tcPr>
            <w:tcW w:w="1170" w:type="dxa"/>
          </w:tcPr>
          <w:p w14:paraId="4278C802" w14:textId="6628ED46" w:rsidR="00B5525F" w:rsidRPr="00FD4CDF" w:rsidRDefault="00B5525F" w:rsidP="00B5525F">
            <w:pPr>
              <w:pStyle w:val="TableText"/>
              <w:spacing w:before="0" w:after="0"/>
              <w:rPr>
                <w:szCs w:val="20"/>
              </w:rPr>
            </w:pPr>
            <w:r w:rsidRPr="00FD4CDF">
              <w:rPr>
                <w:rFonts w:eastAsia="Times New Roman" w:cs="Times New Roman"/>
                <w:szCs w:val="20"/>
                <w:lang w:eastAsia="en-AU"/>
              </w:rPr>
              <w:t>$1,583,991</w:t>
            </w:r>
          </w:p>
        </w:tc>
        <w:tc>
          <w:tcPr>
            <w:tcW w:w="1191" w:type="dxa"/>
          </w:tcPr>
          <w:p w14:paraId="2E9DC4D4" w14:textId="77777777" w:rsidR="00B5525F" w:rsidRPr="00FD4CDF" w:rsidRDefault="00B5525F" w:rsidP="00B5525F">
            <w:pPr>
              <w:pStyle w:val="TableText"/>
              <w:spacing w:before="0" w:after="0"/>
              <w:rPr>
                <w:szCs w:val="20"/>
              </w:rPr>
            </w:pPr>
            <w:r w:rsidRPr="00FD4CDF">
              <w:rPr>
                <w:rFonts w:eastAsia="Times New Roman" w:cs="Times New Roman"/>
                <w:szCs w:val="20"/>
                <w:lang w:eastAsia="en-AU"/>
              </w:rPr>
              <w:t>$1,691,258</w:t>
            </w:r>
          </w:p>
        </w:tc>
      </w:tr>
      <w:tr w:rsidR="00B5525F" w:rsidRPr="00FD4CDF" w14:paraId="3DB53043" w14:textId="77777777" w:rsidTr="00A35B11">
        <w:trPr>
          <w:cantSplit/>
        </w:trPr>
        <w:tc>
          <w:tcPr>
            <w:tcW w:w="1975" w:type="dxa"/>
          </w:tcPr>
          <w:p w14:paraId="64AA03EF" w14:textId="3A82647E" w:rsidR="00B5525F" w:rsidRPr="00FD4CDF" w:rsidRDefault="00B5525F" w:rsidP="00B5525F">
            <w:pPr>
              <w:pStyle w:val="TableText"/>
              <w:spacing w:before="0" w:after="0"/>
              <w:rPr>
                <w:szCs w:val="20"/>
              </w:rPr>
            </w:pPr>
            <w:r w:rsidRPr="00FD4CDF">
              <w:rPr>
                <w:rFonts w:eastAsia="Times New Roman" w:cs="Times New Roman"/>
                <w:szCs w:val="20"/>
                <w:lang w:eastAsia="en-AU"/>
              </w:rPr>
              <w:t xml:space="preserve">Total MBS cost at 85% </w:t>
            </w:r>
            <w:r w:rsidR="004C2C0C">
              <w:rPr>
                <w:rFonts w:eastAsia="Times New Roman" w:cs="Times New Roman"/>
                <w:szCs w:val="20"/>
                <w:lang w:eastAsia="en-AU"/>
              </w:rPr>
              <w:t xml:space="preserve">MBS </w:t>
            </w:r>
            <w:r w:rsidRPr="00FD4CDF">
              <w:rPr>
                <w:rFonts w:eastAsia="Times New Roman" w:cs="Times New Roman"/>
                <w:szCs w:val="20"/>
                <w:lang w:eastAsia="en-AU"/>
              </w:rPr>
              <w:t>benefit ($422.6</w:t>
            </w:r>
            <w:r w:rsidR="003D4769" w:rsidRPr="00FD4CDF">
              <w:rPr>
                <w:rFonts w:eastAsia="Times New Roman" w:cs="Times New Roman"/>
                <w:szCs w:val="20"/>
                <w:lang w:eastAsia="en-AU"/>
              </w:rPr>
              <w:t>0</w:t>
            </w:r>
            <w:r w:rsidRPr="00FD4CDF">
              <w:rPr>
                <w:rFonts w:eastAsia="Times New Roman" w:cs="Times New Roman"/>
                <w:szCs w:val="20"/>
                <w:lang w:eastAsia="en-AU"/>
              </w:rPr>
              <w:t>)</w:t>
            </w:r>
          </w:p>
        </w:tc>
        <w:tc>
          <w:tcPr>
            <w:tcW w:w="1170" w:type="dxa"/>
          </w:tcPr>
          <w:p w14:paraId="6965D225" w14:textId="509C003B" w:rsidR="00B5525F" w:rsidRPr="00FD4CDF" w:rsidRDefault="00B5525F" w:rsidP="00B5525F">
            <w:pPr>
              <w:pStyle w:val="TableText"/>
              <w:spacing w:before="0" w:after="0"/>
              <w:rPr>
                <w:szCs w:val="20"/>
              </w:rPr>
            </w:pPr>
            <w:r w:rsidRPr="00FD4CDF">
              <w:rPr>
                <w:rFonts w:eastAsia="Times New Roman" w:cs="Times New Roman"/>
                <w:szCs w:val="20"/>
                <w:lang w:eastAsia="en-AU"/>
              </w:rPr>
              <w:t>$736,</w:t>
            </w:r>
            <w:r w:rsidR="008A032F" w:rsidRPr="00FD4CDF">
              <w:rPr>
                <w:rFonts w:eastAsia="Times New Roman" w:cs="Times New Roman"/>
                <w:szCs w:val="20"/>
                <w:lang w:eastAsia="en-AU"/>
              </w:rPr>
              <w:t>425</w:t>
            </w:r>
          </w:p>
        </w:tc>
        <w:tc>
          <w:tcPr>
            <w:tcW w:w="1170" w:type="dxa"/>
          </w:tcPr>
          <w:p w14:paraId="023BCBFB" w14:textId="0BC1AB48" w:rsidR="00B5525F" w:rsidRPr="00FD4CDF" w:rsidRDefault="00B5525F" w:rsidP="00B5525F">
            <w:pPr>
              <w:pStyle w:val="TableText"/>
              <w:spacing w:before="0" w:after="0"/>
              <w:rPr>
                <w:szCs w:val="20"/>
              </w:rPr>
            </w:pPr>
            <w:r w:rsidRPr="00FD4CDF">
              <w:rPr>
                <w:rFonts w:eastAsia="Times New Roman" w:cs="Times New Roman"/>
                <w:szCs w:val="20"/>
                <w:lang w:eastAsia="en-AU"/>
              </w:rPr>
              <w:t>$882,7</w:t>
            </w:r>
            <w:r w:rsidR="008A032F" w:rsidRPr="00FD4CDF">
              <w:rPr>
                <w:rFonts w:eastAsia="Times New Roman" w:cs="Times New Roman"/>
                <w:szCs w:val="20"/>
                <w:lang w:eastAsia="en-AU"/>
              </w:rPr>
              <w:t>95</w:t>
            </w:r>
          </w:p>
        </w:tc>
        <w:tc>
          <w:tcPr>
            <w:tcW w:w="1170" w:type="dxa"/>
          </w:tcPr>
          <w:p w14:paraId="4B0D1D4C" w14:textId="1FD4A673" w:rsidR="00B5525F" w:rsidRPr="00FD4CDF" w:rsidRDefault="00B5525F" w:rsidP="00B5525F">
            <w:pPr>
              <w:pStyle w:val="TableText"/>
              <w:spacing w:before="0" w:after="0"/>
              <w:rPr>
                <w:szCs w:val="20"/>
              </w:rPr>
            </w:pPr>
            <w:r w:rsidRPr="00FD4CDF">
              <w:rPr>
                <w:rFonts w:eastAsia="Times New Roman" w:cs="Times New Roman"/>
                <w:szCs w:val="20"/>
                <w:lang w:eastAsia="en-AU"/>
              </w:rPr>
              <w:t>$1,033,</w:t>
            </w:r>
            <w:r w:rsidR="008A032F" w:rsidRPr="00FD4CDF">
              <w:rPr>
                <w:rFonts w:eastAsia="Times New Roman" w:cs="Times New Roman"/>
                <w:szCs w:val="20"/>
                <w:lang w:eastAsia="en-AU"/>
              </w:rPr>
              <w:t>210</w:t>
            </w:r>
          </w:p>
        </w:tc>
        <w:tc>
          <w:tcPr>
            <w:tcW w:w="1170" w:type="dxa"/>
          </w:tcPr>
          <w:p w14:paraId="5129C088" w14:textId="3C025395" w:rsidR="00B5525F" w:rsidRPr="00FD4CDF" w:rsidRDefault="00B5525F" w:rsidP="00B5525F">
            <w:pPr>
              <w:pStyle w:val="TableText"/>
              <w:spacing w:before="0" w:after="0"/>
              <w:rPr>
                <w:szCs w:val="20"/>
              </w:rPr>
            </w:pPr>
            <w:r w:rsidRPr="00FD4CDF">
              <w:rPr>
                <w:rFonts w:eastAsia="Times New Roman" w:cs="Times New Roman"/>
                <w:szCs w:val="20"/>
                <w:lang w:eastAsia="en-AU"/>
              </w:rPr>
              <w:t>$1,187,</w:t>
            </w:r>
            <w:r w:rsidR="008A032F" w:rsidRPr="00FD4CDF">
              <w:rPr>
                <w:rFonts w:eastAsia="Times New Roman" w:cs="Times New Roman"/>
                <w:szCs w:val="20"/>
                <w:lang w:eastAsia="en-AU"/>
              </w:rPr>
              <w:t>755</w:t>
            </w:r>
          </w:p>
        </w:tc>
        <w:tc>
          <w:tcPr>
            <w:tcW w:w="1170" w:type="dxa"/>
          </w:tcPr>
          <w:p w14:paraId="49CBFCAB" w14:textId="404D51BF" w:rsidR="00B5525F" w:rsidRPr="00FD4CDF" w:rsidRDefault="00B5525F" w:rsidP="00B5525F">
            <w:pPr>
              <w:pStyle w:val="TableText"/>
              <w:spacing w:before="0" w:after="0"/>
              <w:rPr>
                <w:szCs w:val="20"/>
              </w:rPr>
            </w:pPr>
            <w:r w:rsidRPr="00FD4CDF">
              <w:rPr>
                <w:rFonts w:eastAsia="Times New Roman" w:cs="Times New Roman"/>
                <w:szCs w:val="20"/>
                <w:lang w:eastAsia="en-AU"/>
              </w:rPr>
              <w:t>$1,346,</w:t>
            </w:r>
            <w:r w:rsidR="008A032F" w:rsidRPr="00FD4CDF">
              <w:rPr>
                <w:rFonts w:eastAsia="Times New Roman" w:cs="Times New Roman"/>
                <w:szCs w:val="20"/>
                <w:lang w:eastAsia="en-AU"/>
              </w:rPr>
              <w:t>518</w:t>
            </w:r>
          </w:p>
        </w:tc>
        <w:tc>
          <w:tcPr>
            <w:tcW w:w="1191" w:type="dxa"/>
          </w:tcPr>
          <w:p w14:paraId="31A90F1A" w14:textId="7145E553" w:rsidR="00B5525F" w:rsidRPr="00FD4CDF" w:rsidRDefault="00B5525F" w:rsidP="00B5525F">
            <w:pPr>
              <w:pStyle w:val="TableText"/>
              <w:spacing w:before="0" w:after="0"/>
              <w:rPr>
                <w:szCs w:val="20"/>
              </w:rPr>
            </w:pPr>
            <w:r w:rsidRPr="00FD4CDF">
              <w:rPr>
                <w:rFonts w:eastAsia="Times New Roman" w:cs="Times New Roman"/>
                <w:szCs w:val="20"/>
                <w:lang w:eastAsia="en-AU"/>
              </w:rPr>
              <w:t>$1,437,</w:t>
            </w:r>
            <w:r w:rsidR="008A032F" w:rsidRPr="00FD4CDF">
              <w:rPr>
                <w:rFonts w:eastAsia="Times New Roman" w:cs="Times New Roman"/>
                <w:szCs w:val="20"/>
                <w:lang w:eastAsia="en-AU"/>
              </w:rPr>
              <w:t>703</w:t>
            </w:r>
          </w:p>
        </w:tc>
      </w:tr>
      <w:tr w:rsidR="00B5525F" w:rsidRPr="00FD4CDF" w14:paraId="5F42C224" w14:textId="77777777" w:rsidTr="005D2B05">
        <w:trPr>
          <w:cantSplit/>
        </w:trPr>
        <w:tc>
          <w:tcPr>
            <w:tcW w:w="9016" w:type="dxa"/>
            <w:gridSpan w:val="7"/>
            <w:shd w:val="clear" w:color="auto" w:fill="D9D9D9" w:themeFill="background1" w:themeFillShade="D9"/>
          </w:tcPr>
          <w:p w14:paraId="6B094FAE" w14:textId="152E465F" w:rsidR="00B5525F" w:rsidRPr="00FD4CDF" w:rsidRDefault="00B5525F" w:rsidP="00B5525F">
            <w:pPr>
              <w:pStyle w:val="TableText"/>
              <w:spacing w:before="0" w:after="0"/>
              <w:rPr>
                <w:szCs w:val="20"/>
              </w:rPr>
            </w:pPr>
            <w:r w:rsidRPr="00FD4CDF">
              <w:rPr>
                <w:rFonts w:eastAsia="Times New Roman" w:cs="Times New Roman"/>
                <w:b/>
                <w:szCs w:val="20"/>
                <w:lang w:eastAsia="en-AU"/>
              </w:rPr>
              <w:t>Cost offset of proposed health technology</w:t>
            </w:r>
          </w:p>
        </w:tc>
      </w:tr>
      <w:tr w:rsidR="007D0E0C" w:rsidRPr="00FD4CDF" w14:paraId="32AA5408" w14:textId="77777777" w:rsidTr="00A35B11">
        <w:trPr>
          <w:cantSplit/>
        </w:trPr>
        <w:tc>
          <w:tcPr>
            <w:tcW w:w="1975" w:type="dxa"/>
          </w:tcPr>
          <w:p w14:paraId="1F1EC9B4" w14:textId="2FCD4423" w:rsidR="007D0E0C" w:rsidRPr="00FD4CDF" w:rsidRDefault="007D0E0C" w:rsidP="007D0E0C">
            <w:pPr>
              <w:pStyle w:val="TableText"/>
              <w:spacing w:before="0" w:after="0"/>
              <w:rPr>
                <w:b/>
                <w:szCs w:val="20"/>
              </w:rPr>
            </w:pPr>
            <w:r w:rsidRPr="00FD4CDF">
              <w:rPr>
                <w:rFonts w:eastAsia="Times New Roman" w:cs="Times New Roman"/>
                <w:szCs w:val="20"/>
                <w:lang w:eastAsia="en-AU"/>
              </w:rPr>
              <w:t xml:space="preserve">Cost offset </w:t>
            </w:r>
            <w:r w:rsidR="0016691C">
              <w:rPr>
                <w:rFonts w:eastAsia="Times New Roman" w:cs="Times New Roman"/>
                <w:szCs w:val="20"/>
                <w:lang w:eastAsia="en-AU"/>
              </w:rPr>
              <w:t xml:space="preserve">to the MBS and PBS </w:t>
            </w:r>
            <w:r w:rsidRPr="00FD4CDF">
              <w:rPr>
                <w:rFonts w:eastAsia="Times New Roman" w:cs="Times New Roman"/>
                <w:szCs w:val="20"/>
                <w:lang w:eastAsia="en-AU"/>
              </w:rPr>
              <w:t xml:space="preserve">at 100% </w:t>
            </w:r>
            <w:r w:rsidR="001E295F">
              <w:rPr>
                <w:rFonts w:eastAsia="Times New Roman" w:cs="Times New Roman"/>
                <w:szCs w:val="20"/>
                <w:lang w:eastAsia="en-AU"/>
              </w:rPr>
              <w:t xml:space="preserve">MBS </w:t>
            </w:r>
            <w:r w:rsidRPr="00FD4CDF">
              <w:rPr>
                <w:rFonts w:eastAsia="Times New Roman" w:cs="Times New Roman"/>
                <w:szCs w:val="20"/>
                <w:lang w:eastAsia="en-AU"/>
              </w:rPr>
              <w:t>benefit</w:t>
            </w:r>
          </w:p>
        </w:tc>
        <w:tc>
          <w:tcPr>
            <w:tcW w:w="1170" w:type="dxa"/>
          </w:tcPr>
          <w:p w14:paraId="7B2CC412" w14:textId="217B924C" w:rsidR="007D0E0C" w:rsidRPr="00FD4CDF" w:rsidRDefault="007D0E0C" w:rsidP="007D0E0C">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803,926</w:t>
            </w:r>
          </w:p>
        </w:tc>
        <w:tc>
          <w:tcPr>
            <w:tcW w:w="1170" w:type="dxa"/>
          </w:tcPr>
          <w:p w14:paraId="7F6AE3E4" w14:textId="1CA82BE1" w:rsidR="007D0E0C" w:rsidRPr="00FD4CDF" w:rsidRDefault="007D0E0C" w:rsidP="007D0E0C">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815,449</w:t>
            </w:r>
          </w:p>
        </w:tc>
        <w:tc>
          <w:tcPr>
            <w:tcW w:w="1170" w:type="dxa"/>
          </w:tcPr>
          <w:p w14:paraId="42B59DAF" w14:textId="7AA8080A" w:rsidR="007D0E0C" w:rsidRPr="00FD4CDF" w:rsidRDefault="007D0E0C" w:rsidP="007D0E0C">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827,137</w:t>
            </w:r>
          </w:p>
        </w:tc>
        <w:tc>
          <w:tcPr>
            <w:tcW w:w="1170" w:type="dxa"/>
          </w:tcPr>
          <w:p w14:paraId="4C6F2627" w14:textId="1B495568" w:rsidR="007D0E0C" w:rsidRPr="00FD4CDF" w:rsidRDefault="007D0E0C" w:rsidP="007D0E0C">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838,993</w:t>
            </w:r>
          </w:p>
        </w:tc>
        <w:tc>
          <w:tcPr>
            <w:tcW w:w="1170" w:type="dxa"/>
          </w:tcPr>
          <w:p w14:paraId="5F178F5E" w14:textId="675E2E4D" w:rsidR="007D0E0C" w:rsidRPr="00FD4CDF" w:rsidRDefault="007D0E0C" w:rsidP="007D0E0C">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851,018</w:t>
            </w:r>
          </w:p>
        </w:tc>
        <w:tc>
          <w:tcPr>
            <w:tcW w:w="1191" w:type="dxa"/>
          </w:tcPr>
          <w:p w14:paraId="25E3E3E3" w14:textId="232330AB" w:rsidR="007D0E0C" w:rsidRPr="00FD4CDF" w:rsidRDefault="007D0E0C" w:rsidP="007D0E0C">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863,216</w:t>
            </w:r>
          </w:p>
        </w:tc>
      </w:tr>
      <w:tr w:rsidR="00B53AAB" w:rsidRPr="00FD4CDF" w14:paraId="141C30D3" w14:textId="77777777" w:rsidTr="00A35B11">
        <w:trPr>
          <w:cantSplit/>
        </w:trPr>
        <w:tc>
          <w:tcPr>
            <w:tcW w:w="1975" w:type="dxa"/>
          </w:tcPr>
          <w:p w14:paraId="1061B995" w14:textId="5199005B" w:rsidR="00B53AAB" w:rsidRPr="00FD4CDF" w:rsidRDefault="00B53AAB" w:rsidP="00B53AAB">
            <w:pPr>
              <w:pStyle w:val="TableText"/>
              <w:spacing w:before="0" w:after="0"/>
              <w:rPr>
                <w:rFonts w:eastAsia="Times New Roman" w:cs="Times New Roman"/>
                <w:szCs w:val="20"/>
                <w:lang w:eastAsia="en-AU"/>
              </w:rPr>
            </w:pPr>
            <w:r w:rsidRPr="00FD4CDF">
              <w:rPr>
                <w:rFonts w:eastAsia="Times New Roman" w:cs="Times New Roman"/>
                <w:szCs w:val="20"/>
                <w:lang w:eastAsia="en-AU"/>
              </w:rPr>
              <w:t xml:space="preserve">Cost offset </w:t>
            </w:r>
            <w:r w:rsidR="0016691C">
              <w:rPr>
                <w:rFonts w:eastAsia="Times New Roman" w:cs="Times New Roman"/>
                <w:szCs w:val="20"/>
                <w:lang w:eastAsia="en-AU"/>
              </w:rPr>
              <w:t>to</w:t>
            </w:r>
            <w:r w:rsidR="00CF1182">
              <w:rPr>
                <w:rFonts w:eastAsia="Times New Roman" w:cs="Times New Roman"/>
                <w:szCs w:val="20"/>
                <w:lang w:eastAsia="en-AU"/>
              </w:rPr>
              <w:t xml:space="preserve"> the</w:t>
            </w:r>
            <w:r w:rsidR="0016691C" w:rsidRPr="00FD4CDF">
              <w:rPr>
                <w:rFonts w:eastAsia="Times New Roman" w:cs="Times New Roman"/>
                <w:szCs w:val="20"/>
                <w:lang w:eastAsia="en-AU"/>
              </w:rPr>
              <w:t xml:space="preserve"> </w:t>
            </w:r>
            <w:r w:rsidRPr="00FD4CDF">
              <w:rPr>
                <w:rFonts w:eastAsia="Times New Roman" w:cs="Times New Roman"/>
                <w:szCs w:val="20"/>
                <w:lang w:eastAsia="en-AU"/>
              </w:rPr>
              <w:t xml:space="preserve">MBS at </w:t>
            </w:r>
            <w:r w:rsidRPr="00FD4CDF">
              <w:rPr>
                <w:szCs w:val="20"/>
              </w:rPr>
              <w:t>100</w:t>
            </w:r>
            <w:r w:rsidRPr="00FD4CDF">
              <w:rPr>
                <w:rFonts w:eastAsia="Times New Roman" w:cs="Times New Roman"/>
                <w:szCs w:val="20"/>
                <w:lang w:eastAsia="en-AU"/>
              </w:rPr>
              <w:t xml:space="preserve">% </w:t>
            </w:r>
            <w:r w:rsidR="004F0036">
              <w:rPr>
                <w:rFonts w:eastAsia="Times New Roman" w:cs="Times New Roman"/>
                <w:szCs w:val="20"/>
                <w:lang w:eastAsia="en-AU"/>
              </w:rPr>
              <w:t xml:space="preserve">MBS </w:t>
            </w:r>
            <w:r w:rsidRPr="00FD4CDF">
              <w:rPr>
                <w:rFonts w:eastAsia="Times New Roman" w:cs="Times New Roman"/>
                <w:szCs w:val="20"/>
                <w:lang w:eastAsia="en-AU"/>
              </w:rPr>
              <w:t>benefit</w:t>
            </w:r>
          </w:p>
        </w:tc>
        <w:tc>
          <w:tcPr>
            <w:tcW w:w="1170" w:type="dxa"/>
          </w:tcPr>
          <w:p w14:paraId="10194320" w14:textId="180ECACB"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685,830</w:t>
            </w:r>
          </w:p>
        </w:tc>
        <w:tc>
          <w:tcPr>
            <w:tcW w:w="1170" w:type="dxa"/>
          </w:tcPr>
          <w:p w14:paraId="3430ECBB" w14:textId="0A8689D8"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695,661</w:t>
            </w:r>
          </w:p>
        </w:tc>
        <w:tc>
          <w:tcPr>
            <w:tcW w:w="1170" w:type="dxa"/>
          </w:tcPr>
          <w:p w14:paraId="53F68E0F" w14:textId="6662CA81"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705,632</w:t>
            </w:r>
          </w:p>
        </w:tc>
        <w:tc>
          <w:tcPr>
            <w:tcW w:w="1170" w:type="dxa"/>
          </w:tcPr>
          <w:p w14:paraId="34B4C445" w14:textId="76FFA90D"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760,742</w:t>
            </w:r>
          </w:p>
        </w:tc>
        <w:tc>
          <w:tcPr>
            <w:tcW w:w="1170" w:type="dxa"/>
          </w:tcPr>
          <w:p w14:paraId="15DA5759" w14:textId="49055108"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726,005</w:t>
            </w:r>
          </w:p>
        </w:tc>
        <w:tc>
          <w:tcPr>
            <w:tcW w:w="1191" w:type="dxa"/>
          </w:tcPr>
          <w:p w14:paraId="7455A15C" w14:textId="6C027CBD"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736,411</w:t>
            </w:r>
          </w:p>
        </w:tc>
      </w:tr>
      <w:tr w:rsidR="00B53AAB" w:rsidRPr="00FD4CDF" w14:paraId="4076573D" w14:textId="77777777" w:rsidTr="00A35B11">
        <w:trPr>
          <w:cantSplit/>
        </w:trPr>
        <w:tc>
          <w:tcPr>
            <w:tcW w:w="1975" w:type="dxa"/>
          </w:tcPr>
          <w:p w14:paraId="31BCCE21" w14:textId="1D99CB29" w:rsidR="00B53AAB" w:rsidRPr="00FD4CDF" w:rsidRDefault="00B53AAB" w:rsidP="00B53AAB">
            <w:pPr>
              <w:pStyle w:val="TableText"/>
              <w:spacing w:before="0" w:after="0"/>
              <w:rPr>
                <w:rFonts w:eastAsia="Times New Roman" w:cs="Times New Roman"/>
                <w:szCs w:val="20"/>
                <w:lang w:eastAsia="en-AU"/>
              </w:rPr>
            </w:pPr>
            <w:r w:rsidRPr="00FD4CDF">
              <w:rPr>
                <w:rFonts w:eastAsia="Times New Roman" w:cs="Times New Roman"/>
                <w:szCs w:val="20"/>
                <w:lang w:eastAsia="en-AU"/>
              </w:rPr>
              <w:t xml:space="preserve">Cost offset </w:t>
            </w:r>
            <w:r w:rsidR="0016691C">
              <w:rPr>
                <w:rFonts w:eastAsia="Times New Roman" w:cs="Times New Roman"/>
                <w:szCs w:val="20"/>
                <w:lang w:eastAsia="en-AU"/>
              </w:rPr>
              <w:t>to</w:t>
            </w:r>
            <w:r w:rsidR="005D2637">
              <w:rPr>
                <w:rFonts w:eastAsia="Times New Roman" w:cs="Times New Roman"/>
                <w:szCs w:val="20"/>
                <w:lang w:eastAsia="en-AU"/>
              </w:rPr>
              <w:t xml:space="preserve"> </w:t>
            </w:r>
            <w:r w:rsidR="00CF1182">
              <w:rPr>
                <w:rFonts w:eastAsia="Times New Roman" w:cs="Times New Roman"/>
                <w:szCs w:val="20"/>
                <w:lang w:eastAsia="en-AU"/>
              </w:rPr>
              <w:t xml:space="preserve">the </w:t>
            </w:r>
            <w:r w:rsidRPr="00FD4CDF">
              <w:rPr>
                <w:rFonts w:eastAsia="Times New Roman" w:cs="Times New Roman"/>
                <w:szCs w:val="20"/>
                <w:lang w:eastAsia="en-AU"/>
              </w:rPr>
              <w:t xml:space="preserve">PBS </w:t>
            </w:r>
          </w:p>
        </w:tc>
        <w:tc>
          <w:tcPr>
            <w:tcW w:w="1170" w:type="dxa"/>
          </w:tcPr>
          <w:p w14:paraId="333C8368" w14:textId="367860E3"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118,096</w:t>
            </w:r>
          </w:p>
        </w:tc>
        <w:tc>
          <w:tcPr>
            <w:tcW w:w="1170" w:type="dxa"/>
          </w:tcPr>
          <w:p w14:paraId="338A0832" w14:textId="4329B29D"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119,788</w:t>
            </w:r>
          </w:p>
        </w:tc>
        <w:tc>
          <w:tcPr>
            <w:tcW w:w="1170" w:type="dxa"/>
          </w:tcPr>
          <w:p w14:paraId="516930B8" w14:textId="31B61C2F"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121,505</w:t>
            </w:r>
          </w:p>
        </w:tc>
        <w:tc>
          <w:tcPr>
            <w:tcW w:w="1170" w:type="dxa"/>
          </w:tcPr>
          <w:p w14:paraId="4B7ED26B" w14:textId="3264072C"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123,247</w:t>
            </w:r>
          </w:p>
        </w:tc>
        <w:tc>
          <w:tcPr>
            <w:tcW w:w="1170" w:type="dxa"/>
          </w:tcPr>
          <w:p w14:paraId="5B5B28F6" w14:textId="4274037E"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125,013</w:t>
            </w:r>
          </w:p>
        </w:tc>
        <w:tc>
          <w:tcPr>
            <w:tcW w:w="1191" w:type="dxa"/>
          </w:tcPr>
          <w:p w14:paraId="533F5A41" w14:textId="77B6D0D0" w:rsidR="00B53AAB" w:rsidRPr="00FD4CDF" w:rsidRDefault="00B53AAB" w:rsidP="00B53AAB">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126,805</w:t>
            </w:r>
          </w:p>
        </w:tc>
      </w:tr>
      <w:tr w:rsidR="008E51D8" w:rsidRPr="00FD4CDF" w14:paraId="7F16F7EA" w14:textId="77777777" w:rsidTr="00A35B11">
        <w:trPr>
          <w:cantSplit/>
        </w:trPr>
        <w:tc>
          <w:tcPr>
            <w:tcW w:w="1975" w:type="dxa"/>
          </w:tcPr>
          <w:p w14:paraId="4B668535" w14:textId="3BFD749F" w:rsidR="008E51D8" w:rsidRPr="00FD4CDF" w:rsidRDefault="008E51D8" w:rsidP="008E51D8">
            <w:pPr>
              <w:pStyle w:val="TableText"/>
              <w:spacing w:before="0" w:after="0"/>
              <w:rPr>
                <w:b/>
                <w:szCs w:val="20"/>
              </w:rPr>
            </w:pPr>
            <w:r w:rsidRPr="00FD4CDF">
              <w:rPr>
                <w:rFonts w:eastAsia="Times New Roman" w:cs="Times New Roman"/>
                <w:szCs w:val="20"/>
                <w:lang w:eastAsia="en-AU"/>
              </w:rPr>
              <w:t xml:space="preserve">Cost offset </w:t>
            </w:r>
            <w:r w:rsidR="0016691C">
              <w:rPr>
                <w:rFonts w:eastAsia="Times New Roman" w:cs="Times New Roman"/>
                <w:szCs w:val="20"/>
                <w:lang w:eastAsia="en-AU"/>
              </w:rPr>
              <w:t xml:space="preserve">to </w:t>
            </w:r>
            <w:r w:rsidR="00CF1182">
              <w:rPr>
                <w:rFonts w:eastAsia="Times New Roman" w:cs="Times New Roman"/>
                <w:szCs w:val="20"/>
                <w:lang w:eastAsia="en-AU"/>
              </w:rPr>
              <w:t xml:space="preserve">the </w:t>
            </w:r>
            <w:r w:rsidR="0016691C">
              <w:rPr>
                <w:rFonts w:eastAsia="Times New Roman" w:cs="Times New Roman"/>
                <w:szCs w:val="20"/>
                <w:lang w:eastAsia="en-AU"/>
              </w:rPr>
              <w:t xml:space="preserve">MBS and PBS </w:t>
            </w:r>
            <w:r w:rsidRPr="00FD4CDF">
              <w:rPr>
                <w:rFonts w:eastAsia="Times New Roman" w:cs="Times New Roman"/>
                <w:szCs w:val="20"/>
                <w:lang w:eastAsia="en-AU"/>
              </w:rPr>
              <w:t>at 85%</w:t>
            </w:r>
            <w:r w:rsidR="001E295F">
              <w:rPr>
                <w:rFonts w:eastAsia="Times New Roman" w:cs="Times New Roman"/>
                <w:szCs w:val="20"/>
                <w:lang w:eastAsia="en-AU"/>
              </w:rPr>
              <w:t xml:space="preserve"> MBS</w:t>
            </w:r>
            <w:r w:rsidRPr="00FD4CDF">
              <w:rPr>
                <w:rFonts w:eastAsia="Times New Roman" w:cs="Times New Roman"/>
                <w:szCs w:val="20"/>
                <w:lang w:eastAsia="en-AU"/>
              </w:rPr>
              <w:t xml:space="preserve"> benefit</w:t>
            </w:r>
          </w:p>
        </w:tc>
        <w:tc>
          <w:tcPr>
            <w:tcW w:w="1170" w:type="dxa"/>
          </w:tcPr>
          <w:p w14:paraId="371114FA" w14:textId="3B75A5D0" w:rsidR="008E51D8" w:rsidRPr="00FD4CDF" w:rsidRDefault="008E51D8" w:rsidP="008E51D8">
            <w:pPr>
              <w:pStyle w:val="TableText"/>
              <w:spacing w:before="0" w:after="0"/>
              <w:rPr>
                <w:szCs w:val="20"/>
              </w:rPr>
            </w:pPr>
            <w:r w:rsidRPr="0038677F">
              <w:t>$</w:t>
            </w:r>
            <w:r w:rsidR="005566F2" w:rsidRPr="00FD4CDF">
              <w:rPr>
                <w:rFonts w:eastAsia="Times New Roman" w:cs="Times New Roman"/>
                <w:szCs w:val="20"/>
                <w:lang w:eastAsia="en-AU"/>
              </w:rPr>
              <w:t>701,051</w:t>
            </w:r>
          </w:p>
        </w:tc>
        <w:tc>
          <w:tcPr>
            <w:tcW w:w="1170" w:type="dxa"/>
          </w:tcPr>
          <w:p w14:paraId="255E82AE" w14:textId="2B66E5EB" w:rsidR="008E51D8" w:rsidRPr="00FD4CDF" w:rsidRDefault="008E51D8" w:rsidP="008E51D8">
            <w:pPr>
              <w:pStyle w:val="TableText"/>
              <w:spacing w:before="0" w:after="0"/>
              <w:rPr>
                <w:szCs w:val="20"/>
              </w:rPr>
            </w:pPr>
            <w:r w:rsidRPr="0038677F">
              <w:t>$</w:t>
            </w:r>
            <w:r w:rsidR="005566F2" w:rsidRPr="00FD4CDF">
              <w:rPr>
                <w:rFonts w:eastAsia="Times New Roman" w:cs="Times New Roman"/>
                <w:szCs w:val="20"/>
                <w:lang w:eastAsia="en-AU"/>
              </w:rPr>
              <w:t>711,100</w:t>
            </w:r>
          </w:p>
        </w:tc>
        <w:tc>
          <w:tcPr>
            <w:tcW w:w="1170" w:type="dxa"/>
          </w:tcPr>
          <w:p w14:paraId="35C8081B" w14:textId="258F3B8B" w:rsidR="008E51D8" w:rsidRPr="00FD4CDF" w:rsidRDefault="008E51D8" w:rsidP="008E51D8">
            <w:pPr>
              <w:pStyle w:val="TableText"/>
              <w:spacing w:before="0" w:after="0"/>
              <w:rPr>
                <w:szCs w:val="20"/>
              </w:rPr>
            </w:pPr>
            <w:r w:rsidRPr="0038677F">
              <w:t>$</w:t>
            </w:r>
            <w:r w:rsidR="005566F2" w:rsidRPr="00FD4CDF">
              <w:rPr>
                <w:rFonts w:eastAsia="Times New Roman" w:cs="Times New Roman"/>
                <w:szCs w:val="20"/>
                <w:lang w:eastAsia="en-AU"/>
              </w:rPr>
              <w:t>721,292</w:t>
            </w:r>
          </w:p>
        </w:tc>
        <w:tc>
          <w:tcPr>
            <w:tcW w:w="1170" w:type="dxa"/>
          </w:tcPr>
          <w:p w14:paraId="55EBC4CE" w14:textId="02EC0ECE" w:rsidR="008E51D8" w:rsidRPr="00FD4CDF" w:rsidRDefault="008E51D8" w:rsidP="008E51D8">
            <w:pPr>
              <w:pStyle w:val="TableText"/>
              <w:spacing w:before="0" w:after="0"/>
              <w:rPr>
                <w:szCs w:val="20"/>
              </w:rPr>
            </w:pPr>
            <w:r w:rsidRPr="0038677F">
              <w:t>$</w:t>
            </w:r>
            <w:r w:rsidR="005566F2" w:rsidRPr="00FD4CDF">
              <w:rPr>
                <w:rFonts w:eastAsia="Times New Roman" w:cs="Times New Roman"/>
                <w:szCs w:val="20"/>
                <w:lang w:eastAsia="en-AU"/>
              </w:rPr>
              <w:t>731,631</w:t>
            </w:r>
          </w:p>
        </w:tc>
        <w:tc>
          <w:tcPr>
            <w:tcW w:w="1170" w:type="dxa"/>
          </w:tcPr>
          <w:p w14:paraId="50E9FA3C" w14:textId="35009701" w:rsidR="008E51D8" w:rsidRPr="00FD4CDF" w:rsidRDefault="008E51D8" w:rsidP="008E51D8">
            <w:pPr>
              <w:pStyle w:val="TableText"/>
              <w:spacing w:before="0" w:after="0"/>
              <w:rPr>
                <w:szCs w:val="20"/>
              </w:rPr>
            </w:pPr>
            <w:r w:rsidRPr="0038677F">
              <w:t>$</w:t>
            </w:r>
            <w:r w:rsidR="005566F2" w:rsidRPr="00FD4CDF">
              <w:rPr>
                <w:rFonts w:eastAsia="Times New Roman" w:cs="Times New Roman"/>
                <w:szCs w:val="20"/>
                <w:lang w:eastAsia="en-AU"/>
              </w:rPr>
              <w:t>742,118</w:t>
            </w:r>
          </w:p>
        </w:tc>
        <w:tc>
          <w:tcPr>
            <w:tcW w:w="1191" w:type="dxa"/>
          </w:tcPr>
          <w:p w14:paraId="3B31C31D" w14:textId="72ADD49C" w:rsidR="008E51D8" w:rsidRPr="00FD4CDF" w:rsidRDefault="008E51D8" w:rsidP="008E51D8">
            <w:pPr>
              <w:pStyle w:val="TableText"/>
              <w:spacing w:before="0" w:after="0"/>
              <w:rPr>
                <w:szCs w:val="20"/>
              </w:rPr>
            </w:pPr>
            <w:r w:rsidRPr="0038677F">
              <w:t>$</w:t>
            </w:r>
            <w:r w:rsidR="005566F2" w:rsidRPr="00FD4CDF">
              <w:rPr>
                <w:rFonts w:eastAsia="Times New Roman" w:cs="Times New Roman"/>
                <w:szCs w:val="20"/>
                <w:lang w:eastAsia="en-AU"/>
              </w:rPr>
              <w:t>752,755</w:t>
            </w:r>
          </w:p>
        </w:tc>
      </w:tr>
      <w:tr w:rsidR="008E51D8" w:rsidRPr="00FD4CDF" w14:paraId="38F5DEA8" w14:textId="77777777" w:rsidTr="00A35B11">
        <w:trPr>
          <w:cantSplit/>
        </w:trPr>
        <w:tc>
          <w:tcPr>
            <w:tcW w:w="1975" w:type="dxa"/>
          </w:tcPr>
          <w:p w14:paraId="650052B1" w14:textId="30BF6794" w:rsidR="008E51D8" w:rsidRPr="00FD4CDF" w:rsidRDefault="008E51D8" w:rsidP="008E51D8">
            <w:pPr>
              <w:pStyle w:val="TableText"/>
              <w:spacing w:before="0" w:after="0"/>
              <w:rPr>
                <w:rFonts w:eastAsia="Times New Roman" w:cs="Times New Roman"/>
                <w:szCs w:val="20"/>
                <w:lang w:eastAsia="en-AU"/>
              </w:rPr>
            </w:pPr>
            <w:r w:rsidRPr="00FD4CDF">
              <w:rPr>
                <w:rFonts w:eastAsia="Times New Roman" w:cs="Times New Roman"/>
                <w:szCs w:val="20"/>
                <w:lang w:eastAsia="en-AU"/>
              </w:rPr>
              <w:t xml:space="preserve">Cost offset </w:t>
            </w:r>
            <w:r w:rsidR="0016691C">
              <w:rPr>
                <w:rFonts w:eastAsia="Times New Roman" w:cs="Times New Roman"/>
                <w:szCs w:val="20"/>
                <w:lang w:eastAsia="en-AU"/>
              </w:rPr>
              <w:t>to</w:t>
            </w:r>
            <w:r w:rsidR="0016691C" w:rsidRPr="00FD4CDF">
              <w:rPr>
                <w:rFonts w:eastAsia="Times New Roman" w:cs="Times New Roman"/>
                <w:szCs w:val="20"/>
                <w:lang w:eastAsia="en-AU"/>
              </w:rPr>
              <w:t xml:space="preserve"> </w:t>
            </w:r>
            <w:r w:rsidR="00CF1182">
              <w:rPr>
                <w:rFonts w:eastAsia="Times New Roman" w:cs="Times New Roman"/>
                <w:szCs w:val="20"/>
                <w:lang w:eastAsia="en-AU"/>
              </w:rPr>
              <w:t xml:space="preserve">the </w:t>
            </w:r>
            <w:r w:rsidRPr="00FD4CDF">
              <w:rPr>
                <w:rFonts w:eastAsia="Times New Roman" w:cs="Times New Roman"/>
                <w:szCs w:val="20"/>
                <w:lang w:eastAsia="en-AU"/>
              </w:rPr>
              <w:t xml:space="preserve">MBS at 85% </w:t>
            </w:r>
            <w:r w:rsidR="004F0036">
              <w:rPr>
                <w:rFonts w:eastAsia="Times New Roman" w:cs="Times New Roman"/>
                <w:szCs w:val="20"/>
                <w:lang w:eastAsia="en-AU"/>
              </w:rPr>
              <w:t xml:space="preserve">MBS </w:t>
            </w:r>
            <w:r w:rsidRPr="00FD4CDF">
              <w:rPr>
                <w:rFonts w:eastAsia="Times New Roman" w:cs="Times New Roman"/>
                <w:szCs w:val="20"/>
                <w:lang w:eastAsia="en-AU"/>
              </w:rPr>
              <w:t>benefit</w:t>
            </w:r>
          </w:p>
        </w:tc>
        <w:tc>
          <w:tcPr>
            <w:tcW w:w="1170" w:type="dxa"/>
          </w:tcPr>
          <w:p w14:paraId="58713647" w14:textId="11C24DF3" w:rsidR="008E51D8" w:rsidRPr="00FD4CDF" w:rsidRDefault="008E51D8" w:rsidP="008E51D8">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582,956</w:t>
            </w:r>
          </w:p>
        </w:tc>
        <w:tc>
          <w:tcPr>
            <w:tcW w:w="1170" w:type="dxa"/>
          </w:tcPr>
          <w:p w14:paraId="0A3C23CE" w14:textId="66351EB2" w:rsidR="008E51D8" w:rsidRPr="00FD4CDF" w:rsidRDefault="008E51D8" w:rsidP="008E51D8">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591,311</w:t>
            </w:r>
          </w:p>
        </w:tc>
        <w:tc>
          <w:tcPr>
            <w:tcW w:w="1170" w:type="dxa"/>
          </w:tcPr>
          <w:p w14:paraId="4036396D" w14:textId="1EE76E14" w:rsidR="008E51D8" w:rsidRPr="00FD4CDF" w:rsidRDefault="008E51D8" w:rsidP="008E51D8">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599,787</w:t>
            </w:r>
          </w:p>
        </w:tc>
        <w:tc>
          <w:tcPr>
            <w:tcW w:w="1170" w:type="dxa"/>
          </w:tcPr>
          <w:p w14:paraId="7B45EF26" w14:textId="2F76BFD2" w:rsidR="008E51D8" w:rsidRPr="00FD4CDF" w:rsidRDefault="008E51D8" w:rsidP="008E51D8">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608,384</w:t>
            </w:r>
          </w:p>
        </w:tc>
        <w:tc>
          <w:tcPr>
            <w:tcW w:w="1170" w:type="dxa"/>
          </w:tcPr>
          <w:p w14:paraId="44F47BDE" w14:textId="79A9AADC" w:rsidR="008E51D8" w:rsidRPr="00FD4CDF" w:rsidRDefault="008E51D8" w:rsidP="008E51D8">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617,104</w:t>
            </w:r>
          </w:p>
        </w:tc>
        <w:tc>
          <w:tcPr>
            <w:tcW w:w="1191" w:type="dxa"/>
          </w:tcPr>
          <w:p w14:paraId="7240BF40" w14:textId="7D0CB660" w:rsidR="008E51D8" w:rsidRPr="00FD4CDF" w:rsidRDefault="008E51D8" w:rsidP="008E51D8">
            <w:pPr>
              <w:pStyle w:val="TableText"/>
              <w:spacing w:before="0" w:after="0"/>
              <w:rPr>
                <w:rFonts w:eastAsia="Times New Roman" w:cs="Times New Roman"/>
                <w:szCs w:val="20"/>
                <w:lang w:eastAsia="en-AU"/>
              </w:rPr>
            </w:pPr>
            <w:r w:rsidRPr="0038677F">
              <w:t>$</w:t>
            </w:r>
            <w:r w:rsidR="005566F2" w:rsidRPr="00FD4CDF">
              <w:rPr>
                <w:rFonts w:eastAsia="Times New Roman" w:cs="Times New Roman"/>
                <w:szCs w:val="20"/>
                <w:lang w:eastAsia="en-AU"/>
              </w:rPr>
              <w:t>625,949</w:t>
            </w:r>
          </w:p>
        </w:tc>
      </w:tr>
      <w:tr w:rsidR="00B5525F" w:rsidRPr="00FD4CDF" w14:paraId="216068CD" w14:textId="77777777" w:rsidTr="005D2B05">
        <w:trPr>
          <w:cantSplit/>
        </w:trPr>
        <w:tc>
          <w:tcPr>
            <w:tcW w:w="9016" w:type="dxa"/>
            <w:gridSpan w:val="7"/>
            <w:shd w:val="clear" w:color="auto" w:fill="D9D9D9" w:themeFill="background1" w:themeFillShade="D9"/>
          </w:tcPr>
          <w:p w14:paraId="2F31B7AE" w14:textId="7DD45948" w:rsidR="00B5525F" w:rsidRPr="00FD4CDF" w:rsidRDefault="00B5525F" w:rsidP="00B5525F">
            <w:pPr>
              <w:pStyle w:val="TableText"/>
              <w:spacing w:before="0" w:after="0"/>
              <w:rPr>
                <w:b/>
                <w:szCs w:val="20"/>
              </w:rPr>
            </w:pPr>
            <w:r w:rsidRPr="00FD4CDF">
              <w:rPr>
                <w:rFonts w:eastAsia="Times New Roman" w:cs="Times New Roman"/>
                <w:b/>
                <w:szCs w:val="20"/>
                <w:lang w:eastAsia="en-AU"/>
              </w:rPr>
              <w:t xml:space="preserve">Estimated net financial impact to </w:t>
            </w:r>
            <w:r w:rsidR="00C157DC">
              <w:rPr>
                <w:rFonts w:eastAsia="Times New Roman" w:cs="Times New Roman"/>
                <w:b/>
                <w:szCs w:val="20"/>
                <w:lang w:eastAsia="en-AU"/>
              </w:rPr>
              <w:t xml:space="preserve">relevant </w:t>
            </w:r>
            <w:r w:rsidRPr="00FD4CDF">
              <w:rPr>
                <w:rFonts w:eastAsia="Times New Roman" w:cs="Times New Roman"/>
                <w:b/>
                <w:szCs w:val="20"/>
                <w:lang w:eastAsia="en-AU"/>
              </w:rPr>
              <w:t>health budget</w:t>
            </w:r>
            <w:r w:rsidR="004B0AE3">
              <w:rPr>
                <w:rFonts w:eastAsia="Times New Roman" w:cs="Times New Roman"/>
                <w:b/>
                <w:szCs w:val="20"/>
                <w:lang w:eastAsia="en-AU"/>
              </w:rPr>
              <w:t>s</w:t>
            </w:r>
          </w:p>
        </w:tc>
      </w:tr>
      <w:tr w:rsidR="00860CF6" w:rsidRPr="00FD4CDF" w14:paraId="769D26BA" w14:textId="77777777" w:rsidTr="00A35B11">
        <w:trPr>
          <w:cantSplit/>
        </w:trPr>
        <w:tc>
          <w:tcPr>
            <w:tcW w:w="1975" w:type="dxa"/>
          </w:tcPr>
          <w:p w14:paraId="0AA14B1B" w14:textId="4DEEE2FD" w:rsidR="00860CF6" w:rsidRPr="00FD4CDF" w:rsidRDefault="00860CF6" w:rsidP="00860CF6">
            <w:pPr>
              <w:pStyle w:val="TableText"/>
              <w:spacing w:before="0" w:after="0"/>
              <w:rPr>
                <w:szCs w:val="20"/>
              </w:rPr>
            </w:pPr>
            <w:r w:rsidRPr="00FD4CDF">
              <w:rPr>
                <w:rFonts w:eastAsia="Times New Roman" w:cs="Times New Roman"/>
                <w:szCs w:val="20"/>
                <w:lang w:eastAsia="en-AU"/>
              </w:rPr>
              <w:t>Net financial impact</w:t>
            </w:r>
            <w:r w:rsidR="009E6416">
              <w:rPr>
                <w:rFonts w:eastAsia="Times New Roman" w:cs="Times New Roman"/>
                <w:szCs w:val="20"/>
                <w:lang w:eastAsia="en-AU"/>
              </w:rPr>
              <w:t xml:space="preserve"> to the MBS and PBS</w:t>
            </w:r>
            <w:r w:rsidRPr="00FD4CDF">
              <w:rPr>
                <w:rFonts w:eastAsia="Times New Roman" w:cs="Times New Roman"/>
                <w:szCs w:val="20"/>
                <w:lang w:eastAsia="en-AU"/>
              </w:rPr>
              <w:t xml:space="preserve"> </w:t>
            </w:r>
            <w:r w:rsidR="00FB2775">
              <w:rPr>
                <w:rFonts w:eastAsia="Times New Roman" w:cs="Times New Roman"/>
                <w:szCs w:val="20"/>
                <w:lang w:eastAsia="en-AU"/>
              </w:rPr>
              <w:t xml:space="preserve">at </w:t>
            </w:r>
            <w:r w:rsidRPr="00FD4CDF">
              <w:rPr>
                <w:rFonts w:eastAsia="Times New Roman" w:cs="Times New Roman"/>
                <w:szCs w:val="20"/>
                <w:lang w:eastAsia="en-AU"/>
              </w:rPr>
              <w:t xml:space="preserve">100% </w:t>
            </w:r>
            <w:r w:rsidR="00AB1487">
              <w:rPr>
                <w:rFonts w:eastAsia="Times New Roman" w:cs="Times New Roman"/>
                <w:szCs w:val="20"/>
                <w:lang w:eastAsia="en-AU"/>
              </w:rPr>
              <w:t xml:space="preserve">MBS </w:t>
            </w:r>
            <w:r w:rsidRPr="00FD4CDF">
              <w:rPr>
                <w:rFonts w:eastAsia="Times New Roman" w:cs="Times New Roman"/>
                <w:szCs w:val="20"/>
                <w:lang w:eastAsia="en-AU"/>
              </w:rPr>
              <w:t>benefit</w:t>
            </w:r>
          </w:p>
        </w:tc>
        <w:tc>
          <w:tcPr>
            <w:tcW w:w="1170" w:type="dxa"/>
          </w:tcPr>
          <w:p w14:paraId="68CAFAFC" w14:textId="5A776674" w:rsidR="00860CF6" w:rsidRPr="00FD4CDF" w:rsidRDefault="00860CF6" w:rsidP="00860CF6">
            <w:pPr>
              <w:pStyle w:val="TableText"/>
              <w:spacing w:before="0" w:after="0"/>
              <w:rPr>
                <w:rFonts w:eastAsia="Times New Roman" w:cs="Times New Roman"/>
                <w:szCs w:val="20"/>
                <w:lang w:eastAsia="en-AU"/>
              </w:rPr>
            </w:pPr>
            <w:r w:rsidRPr="0038677F">
              <w:t>$</w:t>
            </w:r>
            <w:r w:rsidR="00683563" w:rsidRPr="00FD4CDF">
              <w:rPr>
                <w:szCs w:val="20"/>
              </w:rPr>
              <w:t>62,375</w:t>
            </w:r>
          </w:p>
        </w:tc>
        <w:tc>
          <w:tcPr>
            <w:tcW w:w="1170" w:type="dxa"/>
          </w:tcPr>
          <w:p w14:paraId="4E0B8DE2" w14:textId="31A26062" w:rsidR="00860CF6" w:rsidRPr="00FD4CDF" w:rsidRDefault="00860CF6" w:rsidP="00860CF6">
            <w:pPr>
              <w:pStyle w:val="TableText"/>
              <w:spacing w:before="0" w:after="0"/>
              <w:rPr>
                <w:rFonts w:eastAsia="Times New Roman" w:cs="Times New Roman"/>
                <w:szCs w:val="20"/>
                <w:lang w:eastAsia="en-AU"/>
              </w:rPr>
            </w:pPr>
            <w:r w:rsidRPr="0038677F">
              <w:t>$</w:t>
            </w:r>
            <w:r w:rsidR="00683563" w:rsidRPr="00FD4CDF">
              <w:rPr>
                <w:szCs w:val="20"/>
              </w:rPr>
              <w:t>223,036</w:t>
            </w:r>
          </w:p>
        </w:tc>
        <w:tc>
          <w:tcPr>
            <w:tcW w:w="1170" w:type="dxa"/>
          </w:tcPr>
          <w:p w14:paraId="2C4EE601" w14:textId="3D586D30" w:rsidR="00860CF6" w:rsidRPr="00FD4CDF" w:rsidRDefault="00860CF6" w:rsidP="00860CF6">
            <w:pPr>
              <w:pStyle w:val="TableText"/>
              <w:spacing w:before="0" w:after="0"/>
              <w:rPr>
                <w:rFonts w:eastAsia="Times New Roman" w:cs="Times New Roman"/>
                <w:szCs w:val="20"/>
                <w:lang w:eastAsia="en-AU"/>
              </w:rPr>
            </w:pPr>
            <w:r w:rsidRPr="0038677F">
              <w:t>$</w:t>
            </w:r>
            <w:r w:rsidR="00683563" w:rsidRPr="00FD4CDF">
              <w:rPr>
                <w:szCs w:val="20"/>
              </w:rPr>
              <w:t>388,290</w:t>
            </w:r>
          </w:p>
        </w:tc>
        <w:tc>
          <w:tcPr>
            <w:tcW w:w="1170" w:type="dxa"/>
          </w:tcPr>
          <w:p w14:paraId="69DA721A" w14:textId="04619F43" w:rsidR="00860CF6" w:rsidRPr="00FD4CDF" w:rsidRDefault="00860CF6" w:rsidP="00860CF6">
            <w:pPr>
              <w:pStyle w:val="TableText"/>
              <w:spacing w:before="0" w:after="0"/>
              <w:rPr>
                <w:rFonts w:eastAsia="Times New Roman" w:cs="Times New Roman"/>
                <w:szCs w:val="20"/>
                <w:lang w:eastAsia="en-AU"/>
              </w:rPr>
            </w:pPr>
            <w:r w:rsidRPr="0038677F">
              <w:t>$</w:t>
            </w:r>
            <w:r w:rsidR="00683563" w:rsidRPr="00FD4CDF">
              <w:rPr>
                <w:szCs w:val="20"/>
              </w:rPr>
              <w:t>558,235</w:t>
            </w:r>
          </w:p>
        </w:tc>
        <w:tc>
          <w:tcPr>
            <w:tcW w:w="1170" w:type="dxa"/>
          </w:tcPr>
          <w:p w14:paraId="7C58430E" w14:textId="30277222" w:rsidR="00860CF6" w:rsidRPr="00FD4CDF" w:rsidRDefault="00860CF6" w:rsidP="00860CF6">
            <w:pPr>
              <w:pStyle w:val="TableText"/>
              <w:spacing w:before="0" w:after="0"/>
              <w:rPr>
                <w:rFonts w:eastAsia="Times New Roman" w:cs="Times New Roman"/>
                <w:szCs w:val="20"/>
                <w:lang w:eastAsia="en-AU"/>
              </w:rPr>
            </w:pPr>
            <w:r w:rsidRPr="0038677F">
              <w:t>$</w:t>
            </w:r>
            <w:r w:rsidR="00683563" w:rsidRPr="00FD4CDF">
              <w:rPr>
                <w:szCs w:val="20"/>
              </w:rPr>
              <w:t>732,973</w:t>
            </w:r>
          </w:p>
        </w:tc>
        <w:tc>
          <w:tcPr>
            <w:tcW w:w="1191" w:type="dxa"/>
          </w:tcPr>
          <w:p w14:paraId="61117AB4" w14:textId="74523CF1" w:rsidR="00860CF6" w:rsidRPr="00FD4CDF" w:rsidRDefault="00860CF6" w:rsidP="00860CF6">
            <w:pPr>
              <w:pStyle w:val="TableText"/>
              <w:spacing w:before="0" w:after="0"/>
              <w:rPr>
                <w:rFonts w:eastAsia="Times New Roman" w:cs="Times New Roman"/>
                <w:szCs w:val="20"/>
                <w:lang w:eastAsia="en-AU"/>
              </w:rPr>
            </w:pPr>
            <w:r w:rsidRPr="0038677F">
              <w:t>$</w:t>
            </w:r>
            <w:r w:rsidR="00683563" w:rsidRPr="00FD4CDF">
              <w:rPr>
                <w:szCs w:val="20"/>
              </w:rPr>
              <w:t>828,042</w:t>
            </w:r>
          </w:p>
        </w:tc>
      </w:tr>
      <w:tr w:rsidR="004349DC" w:rsidRPr="00FD4CDF" w14:paraId="590AB476" w14:textId="77777777" w:rsidTr="00A35B11">
        <w:trPr>
          <w:cantSplit/>
        </w:trPr>
        <w:tc>
          <w:tcPr>
            <w:tcW w:w="1975" w:type="dxa"/>
          </w:tcPr>
          <w:p w14:paraId="11979308" w14:textId="069455D7" w:rsidR="004349DC" w:rsidRPr="00FD4CDF" w:rsidRDefault="004349DC" w:rsidP="004349DC">
            <w:pPr>
              <w:pStyle w:val="TableText"/>
              <w:spacing w:before="0" w:after="0"/>
              <w:rPr>
                <w:rFonts w:eastAsia="Times New Roman" w:cs="Times New Roman"/>
                <w:szCs w:val="20"/>
                <w:lang w:eastAsia="en-AU"/>
              </w:rPr>
            </w:pPr>
            <w:r w:rsidRPr="00FD4CDF">
              <w:rPr>
                <w:szCs w:val="20"/>
              </w:rPr>
              <w:t xml:space="preserve">Net financial impact </w:t>
            </w:r>
            <w:r w:rsidR="003457E9">
              <w:rPr>
                <w:szCs w:val="20"/>
              </w:rPr>
              <w:t>to the</w:t>
            </w:r>
            <w:r w:rsidR="003457E9" w:rsidRPr="00FD4CDF">
              <w:rPr>
                <w:szCs w:val="20"/>
              </w:rPr>
              <w:t xml:space="preserve"> </w:t>
            </w:r>
            <w:r w:rsidRPr="00FD4CDF">
              <w:rPr>
                <w:szCs w:val="20"/>
              </w:rPr>
              <w:t>MBS at 100%</w:t>
            </w:r>
            <w:r w:rsidR="00AB1487">
              <w:rPr>
                <w:szCs w:val="20"/>
              </w:rPr>
              <w:t xml:space="preserve"> MBS</w:t>
            </w:r>
            <w:r w:rsidRPr="00FD4CDF">
              <w:rPr>
                <w:szCs w:val="20"/>
              </w:rPr>
              <w:t xml:space="preserve"> benefit</w:t>
            </w:r>
          </w:p>
        </w:tc>
        <w:tc>
          <w:tcPr>
            <w:tcW w:w="1170" w:type="dxa"/>
          </w:tcPr>
          <w:p w14:paraId="7EF05073" w14:textId="11F8EB68" w:rsidR="004349DC" w:rsidRPr="00FD4CDF" w:rsidRDefault="004349DC" w:rsidP="004349DC">
            <w:pPr>
              <w:pStyle w:val="TableText"/>
              <w:spacing w:before="0" w:after="0"/>
              <w:rPr>
                <w:rFonts w:eastAsia="Times New Roman" w:cs="Times New Roman"/>
                <w:szCs w:val="20"/>
                <w:lang w:eastAsia="en-AU"/>
              </w:rPr>
            </w:pPr>
            <w:r w:rsidRPr="00FD4CDF">
              <w:rPr>
                <w:szCs w:val="20"/>
              </w:rPr>
              <w:t>$</w:t>
            </w:r>
            <w:r w:rsidR="00683563" w:rsidRPr="00FD4CDF">
              <w:rPr>
                <w:szCs w:val="20"/>
              </w:rPr>
              <w:t>180,471</w:t>
            </w:r>
          </w:p>
        </w:tc>
        <w:tc>
          <w:tcPr>
            <w:tcW w:w="1170" w:type="dxa"/>
          </w:tcPr>
          <w:p w14:paraId="644B54F8" w14:textId="156BA005" w:rsidR="004349DC" w:rsidRPr="00FD4CDF" w:rsidRDefault="004349DC" w:rsidP="004349DC">
            <w:pPr>
              <w:pStyle w:val="TableText"/>
              <w:spacing w:before="0" w:after="0"/>
              <w:rPr>
                <w:rFonts w:eastAsia="Times New Roman" w:cs="Times New Roman"/>
                <w:szCs w:val="20"/>
                <w:lang w:eastAsia="en-AU"/>
              </w:rPr>
            </w:pPr>
            <w:r w:rsidRPr="00FD4CDF">
              <w:rPr>
                <w:szCs w:val="20"/>
              </w:rPr>
              <w:t>$</w:t>
            </w:r>
            <w:r w:rsidR="00683563" w:rsidRPr="00FD4CDF">
              <w:rPr>
                <w:szCs w:val="20"/>
              </w:rPr>
              <w:t>342,825</w:t>
            </w:r>
          </w:p>
        </w:tc>
        <w:tc>
          <w:tcPr>
            <w:tcW w:w="1170" w:type="dxa"/>
          </w:tcPr>
          <w:p w14:paraId="39079E69" w14:textId="5CE68BDF" w:rsidR="004349DC" w:rsidRPr="00FD4CDF" w:rsidRDefault="004349DC" w:rsidP="004349DC">
            <w:pPr>
              <w:pStyle w:val="TableText"/>
              <w:spacing w:before="0" w:after="0"/>
              <w:rPr>
                <w:rFonts w:eastAsia="Times New Roman" w:cs="Times New Roman"/>
                <w:szCs w:val="20"/>
                <w:lang w:eastAsia="en-AU"/>
              </w:rPr>
            </w:pPr>
            <w:r w:rsidRPr="00FD4CDF">
              <w:rPr>
                <w:szCs w:val="20"/>
              </w:rPr>
              <w:t>$</w:t>
            </w:r>
            <w:r w:rsidR="00683563" w:rsidRPr="00FD4CDF">
              <w:rPr>
                <w:szCs w:val="20"/>
              </w:rPr>
              <w:t>509,796</w:t>
            </w:r>
          </w:p>
        </w:tc>
        <w:tc>
          <w:tcPr>
            <w:tcW w:w="1170" w:type="dxa"/>
          </w:tcPr>
          <w:p w14:paraId="745506B2" w14:textId="1390E2B9" w:rsidR="004349DC" w:rsidRPr="00FD4CDF" w:rsidRDefault="00683563" w:rsidP="004349DC">
            <w:pPr>
              <w:pStyle w:val="TableText"/>
              <w:spacing w:before="0" w:after="0"/>
              <w:rPr>
                <w:rFonts w:eastAsia="Times New Roman" w:cs="Times New Roman"/>
                <w:szCs w:val="20"/>
                <w:lang w:eastAsia="en-AU"/>
              </w:rPr>
            </w:pPr>
            <w:r w:rsidRPr="00FD4CDF">
              <w:rPr>
                <w:szCs w:val="20"/>
              </w:rPr>
              <w:t>$636,486</w:t>
            </w:r>
          </w:p>
        </w:tc>
        <w:tc>
          <w:tcPr>
            <w:tcW w:w="1170" w:type="dxa"/>
          </w:tcPr>
          <w:p w14:paraId="7CEED1B9" w14:textId="38569E96" w:rsidR="004349DC" w:rsidRPr="00FD4CDF" w:rsidRDefault="004349DC" w:rsidP="004349DC">
            <w:pPr>
              <w:pStyle w:val="TableText"/>
              <w:spacing w:before="0" w:after="0"/>
              <w:rPr>
                <w:rFonts w:eastAsia="Times New Roman" w:cs="Times New Roman"/>
                <w:szCs w:val="20"/>
                <w:lang w:eastAsia="en-AU"/>
              </w:rPr>
            </w:pPr>
            <w:r w:rsidRPr="00FD4CDF">
              <w:rPr>
                <w:szCs w:val="20"/>
              </w:rPr>
              <w:t>$</w:t>
            </w:r>
            <w:r w:rsidR="00683563" w:rsidRPr="00FD4CDF">
              <w:rPr>
                <w:szCs w:val="20"/>
              </w:rPr>
              <w:t>857,986</w:t>
            </w:r>
          </w:p>
        </w:tc>
        <w:tc>
          <w:tcPr>
            <w:tcW w:w="1191" w:type="dxa"/>
          </w:tcPr>
          <w:p w14:paraId="70F0982C" w14:textId="6E0EAFFD" w:rsidR="004349DC" w:rsidRPr="00FD4CDF" w:rsidRDefault="004349DC" w:rsidP="004349DC">
            <w:pPr>
              <w:pStyle w:val="TableText"/>
              <w:spacing w:before="0" w:after="0"/>
              <w:rPr>
                <w:rFonts w:eastAsia="Times New Roman" w:cs="Times New Roman"/>
                <w:szCs w:val="20"/>
                <w:lang w:eastAsia="en-AU"/>
              </w:rPr>
            </w:pPr>
            <w:r w:rsidRPr="00FD4CDF">
              <w:rPr>
                <w:szCs w:val="20"/>
              </w:rPr>
              <w:t>$</w:t>
            </w:r>
            <w:r w:rsidR="00683563" w:rsidRPr="00FD4CDF">
              <w:rPr>
                <w:szCs w:val="20"/>
              </w:rPr>
              <w:t>954,847</w:t>
            </w:r>
          </w:p>
        </w:tc>
      </w:tr>
      <w:tr w:rsidR="00FE0F61" w:rsidRPr="00FD4CDF" w14:paraId="12376AF3" w14:textId="77777777" w:rsidTr="00A35B11">
        <w:trPr>
          <w:cantSplit/>
        </w:trPr>
        <w:tc>
          <w:tcPr>
            <w:tcW w:w="1975" w:type="dxa"/>
          </w:tcPr>
          <w:p w14:paraId="05E39786" w14:textId="6CA83CFF" w:rsidR="00FE0F61" w:rsidRPr="00FD4CDF" w:rsidRDefault="00FE0F61" w:rsidP="00FE0F61">
            <w:pPr>
              <w:pStyle w:val="TableText"/>
              <w:spacing w:before="0" w:after="0"/>
              <w:rPr>
                <w:szCs w:val="20"/>
              </w:rPr>
            </w:pPr>
            <w:r w:rsidRPr="00FD4CDF">
              <w:rPr>
                <w:rFonts w:eastAsia="Times New Roman" w:cs="Times New Roman"/>
                <w:szCs w:val="20"/>
                <w:lang w:eastAsia="en-AU"/>
              </w:rPr>
              <w:t xml:space="preserve">Net financial impact </w:t>
            </w:r>
            <w:r w:rsidR="00DA7A9B">
              <w:rPr>
                <w:rFonts w:eastAsia="Times New Roman" w:cs="Times New Roman"/>
                <w:szCs w:val="20"/>
                <w:lang w:eastAsia="en-AU"/>
              </w:rPr>
              <w:t xml:space="preserve">to the MBS and PBS </w:t>
            </w:r>
            <w:r w:rsidR="00FB2775">
              <w:rPr>
                <w:rFonts w:eastAsia="Times New Roman" w:cs="Times New Roman"/>
                <w:szCs w:val="20"/>
                <w:lang w:eastAsia="en-AU"/>
              </w:rPr>
              <w:t xml:space="preserve">at </w:t>
            </w:r>
            <w:r w:rsidRPr="00FD4CDF">
              <w:rPr>
                <w:rFonts w:eastAsia="Times New Roman" w:cs="Times New Roman"/>
                <w:szCs w:val="20"/>
                <w:lang w:eastAsia="en-AU"/>
              </w:rPr>
              <w:t>85%</w:t>
            </w:r>
            <w:r w:rsidR="004F0036">
              <w:rPr>
                <w:rFonts w:eastAsia="Times New Roman" w:cs="Times New Roman"/>
                <w:szCs w:val="20"/>
                <w:lang w:eastAsia="en-AU"/>
              </w:rPr>
              <w:t xml:space="preserve"> MBS</w:t>
            </w:r>
            <w:r w:rsidRPr="00FD4CDF">
              <w:rPr>
                <w:rFonts w:eastAsia="Times New Roman" w:cs="Times New Roman"/>
                <w:szCs w:val="20"/>
                <w:lang w:eastAsia="en-AU"/>
              </w:rPr>
              <w:t xml:space="preserve"> benefit</w:t>
            </w:r>
          </w:p>
        </w:tc>
        <w:tc>
          <w:tcPr>
            <w:tcW w:w="1170" w:type="dxa"/>
          </w:tcPr>
          <w:p w14:paraId="07389D2A" w14:textId="3DB279FE" w:rsidR="00FE0F61" w:rsidRPr="00FD4CDF" w:rsidRDefault="00FE0F61" w:rsidP="00FE0F61">
            <w:pPr>
              <w:pStyle w:val="TableText"/>
              <w:spacing w:before="0" w:after="0"/>
              <w:rPr>
                <w:szCs w:val="20"/>
              </w:rPr>
            </w:pPr>
            <w:r w:rsidRPr="00FD4CDF">
              <w:rPr>
                <w:szCs w:val="20"/>
              </w:rPr>
              <w:t>$</w:t>
            </w:r>
            <w:r w:rsidR="00683563" w:rsidRPr="00FD4CDF">
              <w:rPr>
                <w:szCs w:val="20"/>
              </w:rPr>
              <w:t>35,374</w:t>
            </w:r>
          </w:p>
        </w:tc>
        <w:tc>
          <w:tcPr>
            <w:tcW w:w="1170" w:type="dxa"/>
          </w:tcPr>
          <w:p w14:paraId="21F2118D" w14:textId="02FECBC9" w:rsidR="00FE0F61" w:rsidRPr="00FD4CDF" w:rsidRDefault="00FE0F61" w:rsidP="00FE0F61">
            <w:pPr>
              <w:pStyle w:val="TableText"/>
              <w:spacing w:before="0" w:after="0"/>
              <w:rPr>
                <w:szCs w:val="20"/>
              </w:rPr>
            </w:pPr>
            <w:r w:rsidRPr="00FD4CDF">
              <w:rPr>
                <w:szCs w:val="20"/>
              </w:rPr>
              <w:t>$</w:t>
            </w:r>
            <w:r w:rsidR="00683563" w:rsidRPr="00FD4CDF">
              <w:rPr>
                <w:szCs w:val="20"/>
              </w:rPr>
              <w:t>171,695</w:t>
            </w:r>
          </w:p>
        </w:tc>
        <w:tc>
          <w:tcPr>
            <w:tcW w:w="1170" w:type="dxa"/>
          </w:tcPr>
          <w:p w14:paraId="5E981807" w14:textId="03DC8E94" w:rsidR="00FE0F61" w:rsidRPr="00FD4CDF" w:rsidRDefault="00FE0F61" w:rsidP="00FE0F61">
            <w:pPr>
              <w:pStyle w:val="TableText"/>
              <w:spacing w:before="0" w:after="0"/>
              <w:rPr>
                <w:szCs w:val="20"/>
              </w:rPr>
            </w:pPr>
            <w:r w:rsidRPr="00FD4CDF">
              <w:rPr>
                <w:szCs w:val="20"/>
              </w:rPr>
              <w:t>$</w:t>
            </w:r>
            <w:r w:rsidR="00683563" w:rsidRPr="00FD4CDF">
              <w:rPr>
                <w:szCs w:val="20"/>
              </w:rPr>
              <w:t>311,918</w:t>
            </w:r>
          </w:p>
        </w:tc>
        <w:tc>
          <w:tcPr>
            <w:tcW w:w="1170" w:type="dxa"/>
          </w:tcPr>
          <w:p w14:paraId="0BDE9B2A" w14:textId="3F566BDB" w:rsidR="00FE0F61" w:rsidRPr="00FD4CDF" w:rsidRDefault="00FE0F61" w:rsidP="00FE0F61">
            <w:pPr>
              <w:pStyle w:val="TableText"/>
              <w:spacing w:before="0" w:after="0"/>
              <w:rPr>
                <w:szCs w:val="20"/>
              </w:rPr>
            </w:pPr>
            <w:r w:rsidRPr="00FD4CDF">
              <w:rPr>
                <w:szCs w:val="20"/>
              </w:rPr>
              <w:t>$</w:t>
            </w:r>
            <w:r w:rsidR="00683563" w:rsidRPr="00FD4CDF">
              <w:rPr>
                <w:szCs w:val="20"/>
              </w:rPr>
              <w:t>456,124</w:t>
            </w:r>
          </w:p>
        </w:tc>
        <w:tc>
          <w:tcPr>
            <w:tcW w:w="1170" w:type="dxa"/>
          </w:tcPr>
          <w:p w14:paraId="75F34CD5" w14:textId="717481D8" w:rsidR="00FE0F61" w:rsidRPr="00FD4CDF" w:rsidRDefault="00FE0F61" w:rsidP="00FE0F61">
            <w:pPr>
              <w:pStyle w:val="TableText"/>
              <w:spacing w:before="0" w:after="0"/>
              <w:rPr>
                <w:szCs w:val="20"/>
              </w:rPr>
            </w:pPr>
            <w:r w:rsidRPr="00FD4CDF">
              <w:rPr>
                <w:szCs w:val="20"/>
              </w:rPr>
              <w:t>$</w:t>
            </w:r>
            <w:r w:rsidR="00683563" w:rsidRPr="00FD4CDF">
              <w:rPr>
                <w:szCs w:val="20"/>
              </w:rPr>
              <w:t>604,400</w:t>
            </w:r>
          </w:p>
        </w:tc>
        <w:tc>
          <w:tcPr>
            <w:tcW w:w="1191" w:type="dxa"/>
          </w:tcPr>
          <w:p w14:paraId="11D77886" w14:textId="1DA62F76" w:rsidR="00FE0F61" w:rsidRPr="00FD4CDF" w:rsidRDefault="00FE0F61" w:rsidP="00FE0F61">
            <w:pPr>
              <w:pStyle w:val="TableText"/>
              <w:spacing w:before="0" w:after="0"/>
              <w:rPr>
                <w:szCs w:val="20"/>
              </w:rPr>
            </w:pPr>
            <w:r w:rsidRPr="00FD4CDF">
              <w:rPr>
                <w:szCs w:val="20"/>
              </w:rPr>
              <w:t>$</w:t>
            </w:r>
            <w:r w:rsidR="00683563" w:rsidRPr="00FD4CDF">
              <w:rPr>
                <w:szCs w:val="20"/>
              </w:rPr>
              <w:t>684,948</w:t>
            </w:r>
          </w:p>
        </w:tc>
      </w:tr>
      <w:tr w:rsidR="00FE0F61" w:rsidRPr="00FD4CDF" w14:paraId="68988037" w14:textId="77777777" w:rsidTr="00A35B11">
        <w:trPr>
          <w:cantSplit/>
        </w:trPr>
        <w:tc>
          <w:tcPr>
            <w:tcW w:w="1975" w:type="dxa"/>
          </w:tcPr>
          <w:p w14:paraId="59101E91" w14:textId="381D82CA" w:rsidR="00FE0F61" w:rsidRPr="00FD4CDF" w:rsidRDefault="00FE0F61" w:rsidP="00FE0F61">
            <w:pPr>
              <w:pStyle w:val="TableText"/>
              <w:spacing w:before="0" w:after="0"/>
              <w:rPr>
                <w:rFonts w:eastAsia="Times New Roman" w:cs="Times New Roman"/>
                <w:szCs w:val="20"/>
                <w:lang w:eastAsia="en-AU"/>
              </w:rPr>
            </w:pPr>
            <w:r w:rsidRPr="00FD4CDF">
              <w:rPr>
                <w:szCs w:val="20"/>
              </w:rPr>
              <w:t xml:space="preserve">Net financial impact </w:t>
            </w:r>
            <w:r w:rsidR="003457E9">
              <w:rPr>
                <w:szCs w:val="20"/>
              </w:rPr>
              <w:t>to the</w:t>
            </w:r>
            <w:r w:rsidR="000F3035">
              <w:rPr>
                <w:szCs w:val="20"/>
              </w:rPr>
              <w:t xml:space="preserve"> </w:t>
            </w:r>
            <w:r w:rsidRPr="00FD4CDF">
              <w:rPr>
                <w:szCs w:val="20"/>
              </w:rPr>
              <w:t xml:space="preserve">MBS at 85% </w:t>
            </w:r>
            <w:r w:rsidR="004F0036">
              <w:rPr>
                <w:szCs w:val="20"/>
              </w:rPr>
              <w:t xml:space="preserve">MBS </w:t>
            </w:r>
            <w:r w:rsidRPr="00FD4CDF">
              <w:rPr>
                <w:szCs w:val="20"/>
              </w:rPr>
              <w:t>benefit</w:t>
            </w:r>
          </w:p>
        </w:tc>
        <w:tc>
          <w:tcPr>
            <w:tcW w:w="1170" w:type="dxa"/>
          </w:tcPr>
          <w:p w14:paraId="5A717B0A" w14:textId="0B777C3D" w:rsidR="00FE0F61" w:rsidRPr="00FD4CDF" w:rsidRDefault="00FE0F61" w:rsidP="00FE0F61">
            <w:pPr>
              <w:pStyle w:val="TableText"/>
              <w:spacing w:before="0" w:after="0"/>
              <w:rPr>
                <w:rFonts w:eastAsia="Times New Roman" w:cs="Times New Roman"/>
                <w:szCs w:val="20"/>
                <w:lang w:eastAsia="en-AU"/>
              </w:rPr>
            </w:pPr>
            <w:r w:rsidRPr="00FD4CDF">
              <w:rPr>
                <w:szCs w:val="20"/>
              </w:rPr>
              <w:t>$</w:t>
            </w:r>
            <w:r w:rsidR="00093E10" w:rsidRPr="00FD4CDF">
              <w:rPr>
                <w:szCs w:val="20"/>
              </w:rPr>
              <w:t>153,469</w:t>
            </w:r>
          </w:p>
        </w:tc>
        <w:tc>
          <w:tcPr>
            <w:tcW w:w="1170" w:type="dxa"/>
          </w:tcPr>
          <w:p w14:paraId="4E8A0AB8" w14:textId="01E5F6BF" w:rsidR="00FE0F61" w:rsidRPr="00FD4CDF" w:rsidRDefault="00FE0F61" w:rsidP="00FE0F61">
            <w:pPr>
              <w:pStyle w:val="TableText"/>
              <w:spacing w:before="0" w:after="0"/>
              <w:rPr>
                <w:rFonts w:eastAsia="Times New Roman" w:cs="Times New Roman"/>
                <w:szCs w:val="20"/>
                <w:lang w:eastAsia="en-AU"/>
              </w:rPr>
            </w:pPr>
            <w:r w:rsidRPr="00FD4CDF">
              <w:rPr>
                <w:szCs w:val="20"/>
              </w:rPr>
              <w:t>$</w:t>
            </w:r>
            <w:r w:rsidR="00093E10" w:rsidRPr="00FD4CDF">
              <w:rPr>
                <w:szCs w:val="20"/>
              </w:rPr>
              <w:t>291,484</w:t>
            </w:r>
          </w:p>
        </w:tc>
        <w:tc>
          <w:tcPr>
            <w:tcW w:w="1170" w:type="dxa"/>
          </w:tcPr>
          <w:p w14:paraId="20CA17C0" w14:textId="6E37B4E8" w:rsidR="00FE0F61" w:rsidRPr="00FD4CDF" w:rsidRDefault="00FE0F61" w:rsidP="00FE0F61">
            <w:pPr>
              <w:pStyle w:val="TableText"/>
              <w:spacing w:before="0" w:after="0"/>
              <w:rPr>
                <w:rFonts w:eastAsia="Times New Roman" w:cs="Times New Roman"/>
                <w:szCs w:val="20"/>
                <w:lang w:eastAsia="en-AU"/>
              </w:rPr>
            </w:pPr>
            <w:r w:rsidRPr="00FD4CDF">
              <w:rPr>
                <w:szCs w:val="20"/>
              </w:rPr>
              <w:t>$</w:t>
            </w:r>
            <w:r w:rsidR="00093E10" w:rsidRPr="00FD4CDF">
              <w:rPr>
                <w:szCs w:val="20"/>
              </w:rPr>
              <w:t>433,423</w:t>
            </w:r>
          </w:p>
        </w:tc>
        <w:tc>
          <w:tcPr>
            <w:tcW w:w="1170" w:type="dxa"/>
          </w:tcPr>
          <w:p w14:paraId="03FDF19A" w14:textId="6A2418F9" w:rsidR="00FE0F61" w:rsidRPr="00FD4CDF" w:rsidRDefault="00FE0F61" w:rsidP="00FE0F61">
            <w:pPr>
              <w:pStyle w:val="TableText"/>
              <w:spacing w:before="0" w:after="0"/>
              <w:rPr>
                <w:rFonts w:eastAsia="Times New Roman" w:cs="Times New Roman"/>
                <w:szCs w:val="20"/>
                <w:lang w:eastAsia="en-AU"/>
              </w:rPr>
            </w:pPr>
            <w:r w:rsidRPr="00FD4CDF">
              <w:rPr>
                <w:szCs w:val="20"/>
              </w:rPr>
              <w:t>$</w:t>
            </w:r>
            <w:r w:rsidR="00093E10" w:rsidRPr="00FD4CDF">
              <w:rPr>
                <w:szCs w:val="20"/>
              </w:rPr>
              <w:t>579,371</w:t>
            </w:r>
          </w:p>
        </w:tc>
        <w:tc>
          <w:tcPr>
            <w:tcW w:w="1170" w:type="dxa"/>
          </w:tcPr>
          <w:p w14:paraId="402A540C" w14:textId="05DF0092" w:rsidR="00FE0F61" w:rsidRPr="00FD4CDF" w:rsidRDefault="00FE0F61" w:rsidP="00FE0F61">
            <w:pPr>
              <w:pStyle w:val="TableText"/>
              <w:spacing w:before="0" w:after="0"/>
              <w:rPr>
                <w:rFonts w:eastAsia="Times New Roman" w:cs="Times New Roman"/>
                <w:szCs w:val="20"/>
                <w:lang w:eastAsia="en-AU"/>
              </w:rPr>
            </w:pPr>
            <w:r w:rsidRPr="00FD4CDF">
              <w:rPr>
                <w:szCs w:val="20"/>
              </w:rPr>
              <w:t>$</w:t>
            </w:r>
            <w:r w:rsidR="00093E10" w:rsidRPr="00FD4CDF">
              <w:rPr>
                <w:szCs w:val="20"/>
              </w:rPr>
              <w:t>729,414</w:t>
            </w:r>
          </w:p>
        </w:tc>
        <w:tc>
          <w:tcPr>
            <w:tcW w:w="1191" w:type="dxa"/>
          </w:tcPr>
          <w:p w14:paraId="32E7258E" w14:textId="57259B08" w:rsidR="00FE0F61" w:rsidRPr="00FD4CDF" w:rsidRDefault="00FE0F61" w:rsidP="00FE0F61">
            <w:pPr>
              <w:pStyle w:val="TableText"/>
              <w:spacing w:before="0" w:after="0"/>
              <w:rPr>
                <w:rFonts w:eastAsia="Times New Roman" w:cs="Times New Roman"/>
                <w:szCs w:val="20"/>
                <w:lang w:eastAsia="en-AU"/>
              </w:rPr>
            </w:pPr>
            <w:r w:rsidRPr="00FD4CDF">
              <w:rPr>
                <w:szCs w:val="20"/>
              </w:rPr>
              <w:t>$</w:t>
            </w:r>
            <w:r w:rsidR="00093E10" w:rsidRPr="00FD4CDF">
              <w:rPr>
                <w:szCs w:val="20"/>
              </w:rPr>
              <w:t>811,754</w:t>
            </w:r>
          </w:p>
        </w:tc>
      </w:tr>
    </w:tbl>
    <w:p w14:paraId="49F2F624" w14:textId="5B39E2F6" w:rsidR="00B1128A" w:rsidRPr="00FD4CDF" w:rsidRDefault="0098362A" w:rsidP="0038677F">
      <w:pPr>
        <w:pStyle w:val="Tablenotes0"/>
        <w:spacing w:before="0"/>
      </w:pPr>
      <w:r>
        <w:t xml:space="preserve">Abbreviations: </w:t>
      </w:r>
      <w:r w:rsidR="00FC03ED" w:rsidRPr="00FD4CDF">
        <w:t xml:space="preserve">EC = endometrial </w:t>
      </w:r>
      <w:r w:rsidR="001B76DB" w:rsidRPr="00FD4CDF">
        <w:t>cancer</w:t>
      </w:r>
      <w:r w:rsidR="00486BE5" w:rsidRPr="00FD4CDF">
        <w:t>;</w:t>
      </w:r>
      <w:r w:rsidR="00486BE5" w:rsidRPr="00FD4CDF">
        <w:rPr>
          <w:szCs w:val="18"/>
        </w:rPr>
        <w:t xml:space="preserve"> </w:t>
      </w:r>
      <w:r w:rsidR="00B1128A" w:rsidRPr="00FD4CDF">
        <w:t xml:space="preserve">MBS = Medicare </w:t>
      </w:r>
      <w:r w:rsidR="00FE53EA" w:rsidRPr="00FD4CDF">
        <w:t>B</w:t>
      </w:r>
      <w:r w:rsidR="00B1128A" w:rsidRPr="00FD4CDF">
        <w:t xml:space="preserve">enefits </w:t>
      </w:r>
      <w:r w:rsidR="00FE53EA" w:rsidRPr="00FD4CDF">
        <w:t>S</w:t>
      </w:r>
      <w:r w:rsidR="00B1128A" w:rsidRPr="00FD4CDF">
        <w:t xml:space="preserve">chedule; </w:t>
      </w:r>
      <w:r w:rsidR="00572E78" w:rsidRPr="00FD4CDF">
        <w:rPr>
          <w:i/>
          <w:szCs w:val="18"/>
        </w:rPr>
        <w:t>POLE</w:t>
      </w:r>
      <w:r w:rsidR="00486BE5" w:rsidRPr="00FD4CDF">
        <w:rPr>
          <w:szCs w:val="18"/>
        </w:rPr>
        <w:t xml:space="preserve"> = </w:t>
      </w:r>
      <w:r w:rsidR="00C80E2D" w:rsidRPr="00FD4CDF">
        <w:t>DNA</w:t>
      </w:r>
      <w:r w:rsidR="00C80E2D" w:rsidRPr="00FD4CDF">
        <w:rPr>
          <w:szCs w:val="18"/>
        </w:rPr>
        <w:t xml:space="preserve"> </w:t>
      </w:r>
      <w:r w:rsidR="00897A19" w:rsidRPr="00FD4CDF">
        <w:rPr>
          <w:szCs w:val="18"/>
        </w:rPr>
        <w:t>polymerase epsilon</w:t>
      </w:r>
      <w:r w:rsidR="007260AC" w:rsidRPr="00FD4CDF">
        <w:rPr>
          <w:szCs w:val="18"/>
        </w:rPr>
        <w:t>, catalytic subunit</w:t>
      </w:r>
    </w:p>
    <w:p w14:paraId="71E7BB93" w14:textId="546C7FDD" w:rsidR="00FE53EA" w:rsidRPr="0003785A" w:rsidRDefault="00FE53EA" w:rsidP="003A7304">
      <w:pPr>
        <w:pStyle w:val="Tablenotes0"/>
      </w:pPr>
      <w:r w:rsidRPr="00FD4CDF">
        <w:t>Source: 4.1</w:t>
      </w:r>
      <w:r w:rsidRPr="000568C9">
        <w:t xml:space="preserve"> </w:t>
      </w:r>
      <w:r w:rsidRPr="00572E78">
        <w:rPr>
          <w:i/>
        </w:rPr>
        <w:t>POLE</w:t>
      </w:r>
      <w:r>
        <w:t xml:space="preserve"> Genotyping </w:t>
      </w:r>
      <w:r w:rsidRPr="000568C9">
        <w:t>Budget Impact Model</w:t>
      </w:r>
    </w:p>
    <w:p w14:paraId="3018C768" w14:textId="1F14816C" w:rsidR="009F6FF3" w:rsidRDefault="009F6FF3" w:rsidP="00E60467">
      <w:r>
        <w:t>Sensitivity analyses were included</w:t>
      </w:r>
      <w:r w:rsidR="00C92778">
        <w:t xml:space="preserve"> by the assessment group</w:t>
      </w:r>
      <w:r>
        <w:t xml:space="preserve"> for assumption</w:t>
      </w:r>
      <w:r w:rsidR="003865CC">
        <w:t>s</w:t>
      </w:r>
      <w:r>
        <w:t xml:space="preserve"> </w:t>
      </w:r>
      <w:r w:rsidRPr="00F834DD">
        <w:t>relat</w:t>
      </w:r>
      <w:r>
        <w:t>ing</w:t>
      </w:r>
      <w:r w:rsidRPr="00F834DD">
        <w:t xml:space="preserve"> to the </w:t>
      </w:r>
      <w:r w:rsidR="00FD1414">
        <w:t xml:space="preserve">proposed </w:t>
      </w:r>
      <w:r w:rsidRPr="00F834DD">
        <w:t xml:space="preserve">MBS cost </w:t>
      </w:r>
      <w:r w:rsidR="003865CC">
        <w:t xml:space="preserve">(i.e. </w:t>
      </w:r>
      <w:r w:rsidRPr="00F834DD">
        <w:t>error margin</w:t>
      </w:r>
      <w:r w:rsidR="00E95023" w:rsidRPr="0085549A">
        <w:t xml:space="preserve"> and </w:t>
      </w:r>
      <w:r w:rsidRPr="00F834DD">
        <w:t>variation on uptake rate</w:t>
      </w:r>
      <w:r w:rsidR="00193022" w:rsidRPr="0085549A">
        <w:t>)</w:t>
      </w:r>
      <w:r w:rsidR="00E95023" w:rsidRPr="0085549A">
        <w:t xml:space="preserve">. Due to the lack of local </w:t>
      </w:r>
      <w:r w:rsidR="00E95023" w:rsidRPr="00A93390">
        <w:rPr>
          <w:i/>
          <w:iCs/>
        </w:rPr>
        <w:t>POLE</w:t>
      </w:r>
      <w:r w:rsidR="00E95023" w:rsidRPr="0085549A">
        <w:t xml:space="preserve"> testing</w:t>
      </w:r>
      <w:r w:rsidR="00193022" w:rsidRPr="0085549A">
        <w:t xml:space="preserve"> guidelines in Australia, international recommendations were applied to show the impact of testing order and population; as such, sensitivity analyses based on BAGP and ProMisE</w:t>
      </w:r>
      <w:r w:rsidRPr="00F834DD">
        <w:t xml:space="preserve"> </w:t>
      </w:r>
      <w:r>
        <w:t>classification of patient</w:t>
      </w:r>
      <w:r w:rsidR="003865CC">
        <w:t>s</w:t>
      </w:r>
      <w:r>
        <w:t xml:space="preserve"> </w:t>
      </w:r>
      <w:r w:rsidR="00193022" w:rsidRPr="0085549A">
        <w:t>were undertaken</w:t>
      </w:r>
      <w:r w:rsidRPr="0085549A">
        <w:t>.</w:t>
      </w:r>
      <w:r>
        <w:t xml:space="preserve"> </w:t>
      </w:r>
      <w:r w:rsidRPr="00F834DD">
        <w:t xml:space="preserve">As informed by MSAC (Agenda item 6.4: Application HPP200178 – </w:t>
      </w:r>
      <w:r w:rsidR="00572E78" w:rsidRPr="00572E78">
        <w:rPr>
          <w:i/>
        </w:rPr>
        <w:t>POLE</w:t>
      </w:r>
      <w:r w:rsidRPr="00F834DD">
        <w:t xml:space="preserve"> genotyping for the molecular classification of </w:t>
      </w:r>
      <w:r w:rsidR="0046211C">
        <w:t>EC</w:t>
      </w:r>
      <w:r w:rsidRPr="00F834DD">
        <w:t>),</w:t>
      </w:r>
      <w:r>
        <w:t xml:space="preserve"> testing of sub-populations as outlined in the BAGP guidelines (i.e. testing </w:t>
      </w:r>
      <w:r w:rsidR="00C91599">
        <w:t xml:space="preserve">only </w:t>
      </w:r>
      <w:r>
        <w:t xml:space="preserve">group 1, group 3 and group 4 patients) and ProMisE protocol (i.e. exclusion of very low risk patients) was conducted. </w:t>
      </w:r>
    </w:p>
    <w:p w14:paraId="2A23229D" w14:textId="0FFFA023" w:rsidR="00E410DB" w:rsidRPr="00FD4CDF" w:rsidRDefault="009F6FF3" w:rsidP="00E410DB">
      <w:pPr>
        <w:jc w:val="both"/>
      </w:pPr>
      <w:bookmarkStart w:id="102" w:name="_Ref211509643"/>
      <w:r>
        <w:lastRenderedPageBreak/>
        <w:t xml:space="preserve">Across the sensitivity analyses conducted, the </w:t>
      </w:r>
      <w:r w:rsidR="004B7866">
        <w:t>BAGP−</w:t>
      </w:r>
      <w:r>
        <w:t xml:space="preserve">based classification had the largest impact </w:t>
      </w:r>
      <w:r w:rsidRPr="00FD4CDF">
        <w:t xml:space="preserve">on anticipated </w:t>
      </w:r>
      <w:r w:rsidR="003E2CE3" w:rsidRPr="00FD4CDF">
        <w:t>total MBS cost</w:t>
      </w:r>
      <w:r w:rsidRPr="00FD4CDF">
        <w:t xml:space="preserve"> of the proposed listing</w:t>
      </w:r>
      <w:r w:rsidR="00610FF9" w:rsidRPr="00FD4CDF">
        <w:t xml:space="preserve"> compared </w:t>
      </w:r>
      <w:r w:rsidR="004839D3" w:rsidRPr="00FD4CDF">
        <w:t xml:space="preserve">to </w:t>
      </w:r>
      <w:r w:rsidR="00610FF9" w:rsidRPr="00FD4CDF">
        <w:t>base case (</w:t>
      </w:r>
      <w:r w:rsidR="00173EA9" w:rsidRPr="00FD4CDF">
        <w:t>i.e. FIGO staging)</w:t>
      </w:r>
      <w:r w:rsidRPr="00FD4CDF">
        <w:t xml:space="preserve">. </w:t>
      </w:r>
      <w:r w:rsidR="00CD3F90" w:rsidRPr="00FD4CDF">
        <w:t>U</w:t>
      </w:r>
      <w:r w:rsidR="00C42B24" w:rsidRPr="00FD4CDF">
        <w:t>sing the</w:t>
      </w:r>
      <w:r w:rsidR="00737662" w:rsidRPr="00FD4CDF">
        <w:t xml:space="preserve"> </w:t>
      </w:r>
      <w:r w:rsidR="004B7866" w:rsidRPr="00FD4CDF">
        <w:rPr>
          <w:rFonts w:eastAsia="Times New Roman" w:cs="Times New Roman"/>
          <w:szCs w:val="20"/>
          <w:lang w:eastAsia="en-AU"/>
        </w:rPr>
        <w:t>BAGP</w:t>
      </w:r>
      <w:r w:rsidR="000C1C8E" w:rsidRPr="00FD4CDF">
        <w:rPr>
          <w:rFonts w:eastAsia="Times New Roman" w:cs="Times New Roman"/>
          <w:szCs w:val="20"/>
          <w:lang w:eastAsia="en-AU"/>
        </w:rPr>
        <w:t xml:space="preserve"> classification</w:t>
      </w:r>
      <w:r w:rsidR="00934F24" w:rsidRPr="00FD4CDF">
        <w:rPr>
          <w:rFonts w:eastAsia="Times New Roman" w:cs="Times New Roman"/>
          <w:szCs w:val="20"/>
          <w:lang w:eastAsia="en-AU"/>
        </w:rPr>
        <w:t>,</w:t>
      </w:r>
      <w:r w:rsidRPr="00FD4CDF">
        <w:rPr>
          <w:rFonts w:eastAsia="Times New Roman" w:cs="Times New Roman"/>
          <w:szCs w:val="20"/>
          <w:lang w:eastAsia="en-AU"/>
        </w:rPr>
        <w:t xml:space="preserve"> </w:t>
      </w:r>
      <w:r w:rsidRPr="00FD4CDF">
        <w:t xml:space="preserve">the </w:t>
      </w:r>
      <w:r w:rsidR="003E2CE3" w:rsidRPr="00FD4CDF">
        <w:t>total MBS cost</w:t>
      </w:r>
      <w:r w:rsidRPr="00FD4CDF">
        <w:t xml:space="preserve"> </w:t>
      </w:r>
      <w:r w:rsidRPr="00FD4CDF">
        <w:rPr>
          <w:rFonts w:eastAsia="Times New Roman" w:cs="Times New Roman"/>
          <w:szCs w:val="20"/>
          <w:lang w:eastAsia="en-AU"/>
        </w:rPr>
        <w:t>was $</w:t>
      </w:r>
      <w:r w:rsidR="001941D6" w:rsidRPr="00FD4CDF">
        <w:rPr>
          <w:rFonts w:eastAsia="Times New Roman" w:cs="Times New Roman"/>
          <w:szCs w:val="20"/>
          <w:lang w:eastAsia="en-AU"/>
        </w:rPr>
        <w:t>484,6</w:t>
      </w:r>
      <w:r w:rsidR="008407DF" w:rsidRPr="00FD4CDF">
        <w:rPr>
          <w:rFonts w:eastAsia="Times New Roman" w:cs="Times New Roman"/>
          <w:szCs w:val="20"/>
          <w:lang w:eastAsia="en-AU"/>
        </w:rPr>
        <w:t>63</w:t>
      </w:r>
      <w:r w:rsidRPr="00FD4CDF">
        <w:rPr>
          <w:rFonts w:eastAsia="Times New Roman" w:cs="Times New Roman"/>
          <w:szCs w:val="20"/>
          <w:lang w:eastAsia="en-AU"/>
        </w:rPr>
        <w:t xml:space="preserve"> in </w:t>
      </w:r>
      <w:r w:rsidR="00742222" w:rsidRPr="00FD4CDF">
        <w:rPr>
          <w:rFonts w:eastAsia="Times New Roman" w:cs="Times New Roman"/>
          <w:szCs w:val="20"/>
          <w:lang w:eastAsia="en-AU"/>
        </w:rPr>
        <w:t xml:space="preserve">Year </w:t>
      </w:r>
      <w:r w:rsidRPr="00FD4CDF">
        <w:rPr>
          <w:rFonts w:eastAsia="Times New Roman" w:cs="Times New Roman"/>
          <w:szCs w:val="20"/>
          <w:lang w:eastAsia="en-AU"/>
        </w:rPr>
        <w:t xml:space="preserve">1 </w:t>
      </w:r>
      <w:r w:rsidR="00B340EF" w:rsidRPr="00FD4CDF">
        <w:rPr>
          <w:rFonts w:eastAsia="Times New Roman" w:cs="Times New Roman"/>
          <w:szCs w:val="20"/>
          <w:lang w:eastAsia="en-AU"/>
        </w:rPr>
        <w:t>(net financial impact: $</w:t>
      </w:r>
      <w:r w:rsidR="00427796" w:rsidRPr="00FD4CDF">
        <w:rPr>
          <w:rFonts w:eastAsia="Times New Roman" w:cs="Times New Roman"/>
          <w:szCs w:val="20"/>
          <w:lang w:eastAsia="en-AU"/>
        </w:rPr>
        <w:t>35,374</w:t>
      </w:r>
      <w:r w:rsidR="00B630F9" w:rsidRPr="00FD4CDF">
        <w:rPr>
          <w:rFonts w:eastAsia="Times New Roman" w:cs="Times New Roman"/>
          <w:szCs w:val="20"/>
          <w:lang w:eastAsia="en-AU"/>
        </w:rPr>
        <w:t>)</w:t>
      </w:r>
      <w:r w:rsidRPr="00FD4CDF">
        <w:rPr>
          <w:rFonts w:eastAsia="Times New Roman" w:cs="Times New Roman"/>
          <w:szCs w:val="20"/>
          <w:lang w:eastAsia="en-AU"/>
        </w:rPr>
        <w:t xml:space="preserve"> increasing to $</w:t>
      </w:r>
      <w:r w:rsidR="001941D6" w:rsidRPr="00FD4CDF">
        <w:rPr>
          <w:rFonts w:eastAsia="Times New Roman" w:cs="Times New Roman"/>
          <w:szCs w:val="20"/>
          <w:lang w:eastAsia="en-AU"/>
        </w:rPr>
        <w:t>946,1</w:t>
      </w:r>
      <w:r w:rsidR="00263194" w:rsidRPr="00FD4CDF">
        <w:rPr>
          <w:rFonts w:eastAsia="Times New Roman" w:cs="Times New Roman"/>
          <w:szCs w:val="20"/>
          <w:lang w:eastAsia="en-AU"/>
        </w:rPr>
        <w:t>94</w:t>
      </w:r>
      <w:r w:rsidRPr="00FD4CDF">
        <w:rPr>
          <w:rFonts w:eastAsia="Times New Roman" w:cs="Times New Roman"/>
          <w:szCs w:val="20"/>
          <w:lang w:eastAsia="en-AU"/>
        </w:rPr>
        <w:t xml:space="preserve"> in </w:t>
      </w:r>
      <w:r w:rsidR="00742222" w:rsidRPr="00FD4CDF">
        <w:rPr>
          <w:rFonts w:eastAsia="Times New Roman" w:cs="Times New Roman"/>
          <w:szCs w:val="20"/>
          <w:lang w:eastAsia="en-AU"/>
        </w:rPr>
        <w:t xml:space="preserve">Year </w:t>
      </w:r>
      <w:r w:rsidRPr="00FD4CDF">
        <w:rPr>
          <w:rFonts w:eastAsia="Times New Roman" w:cs="Times New Roman"/>
          <w:szCs w:val="20"/>
          <w:lang w:eastAsia="en-AU"/>
        </w:rPr>
        <w:t xml:space="preserve">6 </w:t>
      </w:r>
      <w:r w:rsidR="00B630F9" w:rsidRPr="00FD4CDF">
        <w:rPr>
          <w:rFonts w:eastAsia="Times New Roman" w:cs="Times New Roman"/>
          <w:szCs w:val="20"/>
          <w:lang w:eastAsia="en-AU"/>
        </w:rPr>
        <w:t>(net financial impact: $</w:t>
      </w:r>
      <w:r w:rsidR="00D50FBF" w:rsidRPr="00FD4CDF">
        <w:rPr>
          <w:rFonts w:eastAsia="Times New Roman" w:cs="Times New Roman"/>
          <w:szCs w:val="20"/>
          <w:lang w:eastAsia="en-AU"/>
        </w:rPr>
        <w:t>684,948</w:t>
      </w:r>
      <w:r w:rsidR="00F52CA5" w:rsidRPr="00FD4CDF">
        <w:rPr>
          <w:rFonts w:eastAsia="Times New Roman" w:cs="Times New Roman"/>
          <w:szCs w:val="20"/>
          <w:lang w:eastAsia="en-AU"/>
        </w:rPr>
        <w:t>)</w:t>
      </w:r>
      <w:r w:rsidRPr="00FD4CDF">
        <w:rPr>
          <w:rFonts w:eastAsia="Times New Roman" w:cs="Times New Roman"/>
          <w:szCs w:val="20"/>
          <w:lang w:eastAsia="en-AU"/>
        </w:rPr>
        <w:t xml:space="preserve"> at 85% MBS benefits </w:t>
      </w:r>
      <w:r w:rsidR="003C6B32" w:rsidRPr="00FD4CDF">
        <w:t>(</w:t>
      </w:r>
      <w:r w:rsidR="00402A94" w:rsidRPr="00FD4CDF">
        <w:fldChar w:fldCharType="begin"/>
      </w:r>
      <w:r w:rsidR="00402A94" w:rsidRPr="00FD4CDF">
        <w:instrText xml:space="preserve"> REF _Ref211509678 \h </w:instrText>
      </w:r>
      <w:r w:rsidR="00FD4CDF">
        <w:instrText xml:space="preserve"> \* MERGEFORMAT </w:instrText>
      </w:r>
      <w:r w:rsidR="00402A94" w:rsidRPr="00FD4CDF">
        <w:fldChar w:fldCharType="separate"/>
      </w:r>
      <w:r w:rsidR="000B42CB" w:rsidRPr="00FD4CDF">
        <w:t xml:space="preserve">Table </w:t>
      </w:r>
      <w:r w:rsidR="000B42CB">
        <w:rPr>
          <w:noProof/>
        </w:rPr>
        <w:t>29</w:t>
      </w:r>
      <w:r w:rsidR="00402A94" w:rsidRPr="00FD4CDF">
        <w:fldChar w:fldCharType="end"/>
      </w:r>
      <w:r w:rsidR="003C6B32" w:rsidRPr="00FD4CDF">
        <w:t>)</w:t>
      </w:r>
      <w:r w:rsidRPr="00FD4CDF">
        <w:t>.</w:t>
      </w:r>
    </w:p>
    <w:p w14:paraId="547F75C9" w14:textId="59EF5027" w:rsidR="00402A94" w:rsidRPr="00FD4CDF" w:rsidRDefault="009F6FF3" w:rsidP="00402A94">
      <w:pPr>
        <w:pStyle w:val="Caption"/>
        <w:rPr>
          <w:lang w:eastAsia="en-AU"/>
        </w:rPr>
      </w:pPr>
      <w:bookmarkStart w:id="103" w:name="_Ref211509678"/>
      <w:r w:rsidRPr="00FD4CDF">
        <w:t xml:space="preserve">Table </w:t>
      </w:r>
      <w:r>
        <w:fldChar w:fldCharType="begin"/>
      </w:r>
      <w:r>
        <w:instrText>SEQ Table \* ARABIC</w:instrText>
      </w:r>
      <w:r>
        <w:fldChar w:fldCharType="separate"/>
      </w:r>
      <w:r w:rsidR="00996E6E">
        <w:rPr>
          <w:noProof/>
        </w:rPr>
        <w:t>29</w:t>
      </w:r>
      <w:r>
        <w:fldChar w:fldCharType="end"/>
      </w:r>
      <w:bookmarkEnd w:id="102"/>
      <w:bookmarkEnd w:id="103"/>
      <w:r w:rsidRPr="00FD4CDF">
        <w:t xml:space="preserve"> </w:t>
      </w:r>
      <w:r w:rsidRPr="00FD4CDF">
        <w:rPr>
          <w:lang w:eastAsia="en-AU"/>
        </w:rPr>
        <w:t xml:space="preserve">Sensitivity analyses </w:t>
      </w:r>
      <w:r w:rsidRPr="00FD4CDF">
        <w:t>of 6-year budget impact</w:t>
      </w:r>
      <w:r w:rsidR="00B62C7D" w:rsidRPr="00FD4CDF">
        <w:t xml:space="preserve"> </w:t>
      </w:r>
      <w:r w:rsidR="004839D3" w:rsidRPr="00FD4CDF">
        <w:t xml:space="preserve">to the MBS </w:t>
      </w:r>
      <w:r w:rsidRPr="00FD4CDF">
        <w:t xml:space="preserve">of </w:t>
      </w:r>
      <w:r w:rsidR="00076C3A" w:rsidRPr="00FD4CDF">
        <w:rPr>
          <w:i/>
        </w:rPr>
        <w:t>POLE</w:t>
      </w:r>
      <w:r w:rsidRPr="00FD4CDF">
        <w:t xml:space="preserve"> genotyp</w:t>
      </w:r>
      <w:r w:rsidR="00930E0A" w:rsidRPr="00FD4CDF">
        <w:t>ing</w:t>
      </w:r>
      <w:r w:rsidR="002F5C59" w:rsidRPr="00FD4CDF">
        <w:t xml:space="preserve">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1171"/>
        <w:gridCol w:w="1170"/>
        <w:gridCol w:w="1168"/>
        <w:gridCol w:w="1170"/>
        <w:gridCol w:w="1168"/>
        <w:gridCol w:w="1102"/>
      </w:tblGrid>
      <w:tr w:rsidR="009F6FF3" w:rsidRPr="00FD4CDF" w14:paraId="775C32AC" w14:textId="77777777" w:rsidTr="00DB3DDA">
        <w:trPr>
          <w:tblHeader/>
        </w:trPr>
        <w:tc>
          <w:tcPr>
            <w:tcW w:w="1146" w:type="pct"/>
            <w:shd w:val="clear" w:color="auto" w:fill="F2F2F2" w:themeFill="background1" w:themeFillShade="F2"/>
          </w:tcPr>
          <w:p w14:paraId="41570441" w14:textId="59D37605" w:rsidR="009F6FF3" w:rsidRPr="00FD4CDF" w:rsidRDefault="009F6FF3" w:rsidP="002363C2">
            <w:pPr>
              <w:pStyle w:val="TableText"/>
              <w:spacing w:before="0" w:after="0"/>
              <w:rPr>
                <w:rFonts w:eastAsia="Times New Roman" w:cs="Times New Roman"/>
                <w:b/>
                <w:szCs w:val="20"/>
                <w:lang w:eastAsia="en-AU"/>
              </w:rPr>
            </w:pPr>
            <w:r w:rsidRPr="00FD4CDF">
              <w:rPr>
                <w:rFonts w:eastAsia="Times New Roman" w:cs="Times New Roman"/>
                <w:b/>
                <w:szCs w:val="20"/>
                <w:lang w:eastAsia="en-AU"/>
              </w:rPr>
              <w:t>Scenario</w:t>
            </w:r>
          </w:p>
        </w:tc>
        <w:tc>
          <w:tcPr>
            <w:tcW w:w="649" w:type="pct"/>
            <w:shd w:val="clear" w:color="auto" w:fill="F2F2F2" w:themeFill="background1" w:themeFillShade="F2"/>
          </w:tcPr>
          <w:p w14:paraId="424B01DD" w14:textId="18E9784C" w:rsidR="009F6FF3" w:rsidRPr="00FD4CDF" w:rsidRDefault="009F6FF3" w:rsidP="002363C2">
            <w:pPr>
              <w:pStyle w:val="TableText"/>
              <w:spacing w:before="0" w:after="0"/>
              <w:rPr>
                <w:rFonts w:eastAsia="Times New Roman" w:cs="Times New Roman"/>
                <w:b/>
                <w:szCs w:val="20"/>
                <w:lang w:eastAsia="en-AU"/>
              </w:rPr>
            </w:pPr>
            <w:r w:rsidRPr="00FD4CDF">
              <w:rPr>
                <w:b/>
                <w:szCs w:val="20"/>
              </w:rPr>
              <w:t>2026</w:t>
            </w:r>
            <w:r w:rsidR="005B48F3" w:rsidRPr="00FD4CDF">
              <w:rPr>
                <w:b/>
                <w:szCs w:val="20"/>
              </w:rPr>
              <w:t>–2027</w:t>
            </w:r>
          </w:p>
        </w:tc>
        <w:tc>
          <w:tcPr>
            <w:tcW w:w="649" w:type="pct"/>
            <w:shd w:val="clear" w:color="auto" w:fill="F2F2F2" w:themeFill="background1" w:themeFillShade="F2"/>
          </w:tcPr>
          <w:p w14:paraId="5293435E" w14:textId="4FB8A917" w:rsidR="009F6FF3" w:rsidRPr="00FD4CDF" w:rsidRDefault="009F6FF3" w:rsidP="002363C2">
            <w:pPr>
              <w:pStyle w:val="TableText"/>
              <w:spacing w:before="0" w:after="0"/>
              <w:rPr>
                <w:rFonts w:eastAsia="Times New Roman" w:cs="Times New Roman"/>
                <w:b/>
                <w:szCs w:val="20"/>
                <w:lang w:eastAsia="en-AU"/>
              </w:rPr>
            </w:pPr>
            <w:r w:rsidRPr="00FD4CDF">
              <w:rPr>
                <w:b/>
                <w:szCs w:val="20"/>
              </w:rPr>
              <w:t>2027</w:t>
            </w:r>
            <w:r w:rsidR="005B48F3" w:rsidRPr="00FD4CDF">
              <w:rPr>
                <w:b/>
                <w:szCs w:val="20"/>
              </w:rPr>
              <w:t>–2028</w:t>
            </w:r>
          </w:p>
        </w:tc>
        <w:tc>
          <w:tcPr>
            <w:tcW w:w="648" w:type="pct"/>
            <w:shd w:val="clear" w:color="auto" w:fill="F2F2F2" w:themeFill="background1" w:themeFillShade="F2"/>
          </w:tcPr>
          <w:p w14:paraId="768C3CF2" w14:textId="7A3BBB02" w:rsidR="009F6FF3" w:rsidRPr="00FD4CDF" w:rsidRDefault="009F6FF3" w:rsidP="002363C2">
            <w:pPr>
              <w:pStyle w:val="TableText"/>
              <w:spacing w:before="0" w:after="0"/>
              <w:rPr>
                <w:rFonts w:eastAsia="Times New Roman" w:cs="Times New Roman"/>
                <w:b/>
                <w:szCs w:val="20"/>
                <w:lang w:eastAsia="en-AU"/>
              </w:rPr>
            </w:pPr>
            <w:r w:rsidRPr="00FD4CDF">
              <w:rPr>
                <w:b/>
                <w:szCs w:val="20"/>
              </w:rPr>
              <w:t>2028</w:t>
            </w:r>
            <w:r w:rsidR="005B48F3" w:rsidRPr="00FD4CDF">
              <w:rPr>
                <w:b/>
                <w:szCs w:val="20"/>
              </w:rPr>
              <w:t>–2029</w:t>
            </w:r>
          </w:p>
        </w:tc>
        <w:tc>
          <w:tcPr>
            <w:tcW w:w="649" w:type="pct"/>
            <w:shd w:val="clear" w:color="auto" w:fill="F2F2F2" w:themeFill="background1" w:themeFillShade="F2"/>
          </w:tcPr>
          <w:p w14:paraId="7D0AFAE9" w14:textId="60822BE4" w:rsidR="009F6FF3" w:rsidRPr="00FD4CDF" w:rsidRDefault="009F6FF3" w:rsidP="002363C2">
            <w:pPr>
              <w:pStyle w:val="TableText"/>
              <w:spacing w:before="0" w:after="0"/>
              <w:rPr>
                <w:rFonts w:eastAsia="Times New Roman" w:cs="Times New Roman"/>
                <w:b/>
                <w:szCs w:val="20"/>
                <w:lang w:eastAsia="en-AU"/>
              </w:rPr>
            </w:pPr>
            <w:r w:rsidRPr="00FD4CDF">
              <w:rPr>
                <w:b/>
                <w:szCs w:val="20"/>
              </w:rPr>
              <w:t>2029</w:t>
            </w:r>
            <w:r w:rsidR="005B48F3" w:rsidRPr="00FD4CDF">
              <w:rPr>
                <w:b/>
                <w:szCs w:val="20"/>
              </w:rPr>
              <w:t>–2030</w:t>
            </w:r>
          </w:p>
        </w:tc>
        <w:tc>
          <w:tcPr>
            <w:tcW w:w="648" w:type="pct"/>
            <w:shd w:val="clear" w:color="auto" w:fill="F2F2F2" w:themeFill="background1" w:themeFillShade="F2"/>
          </w:tcPr>
          <w:p w14:paraId="2948A52C" w14:textId="7CDAC6E1" w:rsidR="009F6FF3" w:rsidRPr="00FD4CDF" w:rsidRDefault="009F6FF3" w:rsidP="002363C2">
            <w:pPr>
              <w:pStyle w:val="TableText"/>
              <w:spacing w:before="0" w:after="0"/>
              <w:rPr>
                <w:rFonts w:eastAsia="Times New Roman" w:cs="Times New Roman"/>
                <w:b/>
                <w:szCs w:val="20"/>
                <w:lang w:eastAsia="en-AU"/>
              </w:rPr>
            </w:pPr>
            <w:r w:rsidRPr="00FD4CDF">
              <w:rPr>
                <w:b/>
                <w:szCs w:val="20"/>
              </w:rPr>
              <w:t>2030</w:t>
            </w:r>
            <w:r w:rsidR="005B48F3" w:rsidRPr="00FD4CDF">
              <w:rPr>
                <w:b/>
                <w:szCs w:val="20"/>
              </w:rPr>
              <w:t>–2031</w:t>
            </w:r>
          </w:p>
        </w:tc>
        <w:tc>
          <w:tcPr>
            <w:tcW w:w="611" w:type="pct"/>
            <w:shd w:val="clear" w:color="auto" w:fill="F2F2F2" w:themeFill="background1" w:themeFillShade="F2"/>
          </w:tcPr>
          <w:p w14:paraId="62F54B72" w14:textId="700CAC02" w:rsidR="009F6FF3" w:rsidRPr="00FD4CDF" w:rsidRDefault="009F6FF3" w:rsidP="002363C2">
            <w:pPr>
              <w:pStyle w:val="TableText"/>
              <w:spacing w:before="0" w:after="0"/>
              <w:rPr>
                <w:rFonts w:eastAsia="Times New Roman" w:cs="Times New Roman"/>
                <w:b/>
                <w:szCs w:val="20"/>
                <w:lang w:eastAsia="en-AU"/>
              </w:rPr>
            </w:pPr>
            <w:r w:rsidRPr="00FD4CDF">
              <w:rPr>
                <w:b/>
                <w:szCs w:val="20"/>
              </w:rPr>
              <w:t>2031</w:t>
            </w:r>
            <w:r w:rsidR="005B48F3" w:rsidRPr="00FD4CDF">
              <w:rPr>
                <w:b/>
                <w:szCs w:val="20"/>
              </w:rPr>
              <w:t>–2032</w:t>
            </w:r>
          </w:p>
        </w:tc>
      </w:tr>
      <w:tr w:rsidR="009F6FF3" w:rsidRPr="00FD4CDF" w14:paraId="4D144288" w14:textId="77777777" w:rsidTr="00B95965">
        <w:tc>
          <w:tcPr>
            <w:tcW w:w="5000" w:type="pct"/>
            <w:gridSpan w:val="7"/>
            <w:shd w:val="clear" w:color="auto" w:fill="D9D9D9" w:themeFill="background1" w:themeFillShade="D9"/>
          </w:tcPr>
          <w:p w14:paraId="2710DDA8" w14:textId="312FB5C0" w:rsidR="009F6FF3" w:rsidRPr="00FD4CDF" w:rsidRDefault="009F6FF3">
            <w:pPr>
              <w:pStyle w:val="TableText"/>
              <w:spacing w:before="0" w:after="0"/>
              <w:rPr>
                <w:rFonts w:eastAsia="Times New Roman" w:cs="Times New Roman"/>
                <w:b/>
                <w:szCs w:val="20"/>
                <w:lang w:eastAsia="en-AU"/>
              </w:rPr>
            </w:pPr>
            <w:r w:rsidRPr="00FD4CDF">
              <w:rPr>
                <w:rFonts w:eastAsia="Times New Roman" w:cs="Times New Roman"/>
                <w:b/>
                <w:szCs w:val="20"/>
                <w:lang w:eastAsia="en-AU"/>
              </w:rPr>
              <w:t xml:space="preserve">Scenario analyses at </w:t>
            </w:r>
            <w:r w:rsidR="001317FC" w:rsidRPr="00FD4CDF">
              <w:rPr>
                <w:rFonts w:eastAsia="Times New Roman" w:cs="Times New Roman"/>
                <w:b/>
                <w:szCs w:val="20"/>
                <w:lang w:eastAsia="en-AU"/>
              </w:rPr>
              <w:t>85</w:t>
            </w:r>
            <w:r w:rsidRPr="00FD4CDF">
              <w:rPr>
                <w:rFonts w:eastAsia="Times New Roman" w:cs="Times New Roman"/>
                <w:b/>
                <w:szCs w:val="20"/>
                <w:lang w:eastAsia="en-AU"/>
              </w:rPr>
              <w:t>% benefits</w:t>
            </w:r>
          </w:p>
        </w:tc>
      </w:tr>
      <w:tr w:rsidR="009F6FF3" w:rsidRPr="00FD4CDF" w14:paraId="60245FA8" w14:textId="77777777" w:rsidTr="00DB3DDA">
        <w:tc>
          <w:tcPr>
            <w:tcW w:w="1146" w:type="pct"/>
          </w:tcPr>
          <w:p w14:paraId="1D4946B5" w14:textId="1427AE60" w:rsidR="009F6FF3" w:rsidRPr="00FD4CDF" w:rsidRDefault="009F6FF3">
            <w:pPr>
              <w:pStyle w:val="TableText"/>
              <w:spacing w:before="0" w:after="0"/>
              <w:rPr>
                <w:rFonts w:eastAsia="Times New Roman" w:cs="Times New Roman"/>
                <w:szCs w:val="20"/>
                <w:lang w:eastAsia="en-AU"/>
              </w:rPr>
            </w:pPr>
            <w:r w:rsidRPr="00FD4CDF">
              <w:rPr>
                <w:rFonts w:eastAsia="Times New Roman" w:cs="Times New Roman"/>
                <w:szCs w:val="20"/>
                <w:lang w:eastAsia="en-AU"/>
              </w:rPr>
              <w:t>Base case</w:t>
            </w:r>
          </w:p>
        </w:tc>
        <w:tc>
          <w:tcPr>
            <w:tcW w:w="649" w:type="pct"/>
          </w:tcPr>
          <w:p w14:paraId="1F2A456E" w14:textId="6B11FE05"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$736,</w:t>
            </w:r>
            <w:r w:rsidR="00AE4BD5" w:rsidRPr="00FD4CDF">
              <w:rPr>
                <w:rStyle w:val="normaltextrun"/>
                <w:rFonts w:cs="Segoe UI"/>
                <w:szCs w:val="20"/>
              </w:rPr>
              <w:t>4</w:t>
            </w:r>
            <w:r w:rsidR="00AE4BD5" w:rsidRPr="00FD4CDF">
              <w:rPr>
                <w:rStyle w:val="normaltextrun"/>
                <w:rFonts w:cs="Segoe UI"/>
              </w:rPr>
              <w:t>25</w:t>
            </w:r>
            <w:r w:rsidRPr="00FD4CDF">
              <w:rPr>
                <w:rStyle w:val="eop"/>
                <w:rFonts w:cs="Segoe UI"/>
                <w:szCs w:val="20"/>
              </w:rPr>
              <w:t> </w:t>
            </w:r>
          </w:p>
        </w:tc>
        <w:tc>
          <w:tcPr>
            <w:tcW w:w="649" w:type="pct"/>
          </w:tcPr>
          <w:p w14:paraId="33B63EDD" w14:textId="2C4AF529"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$882,7</w:t>
            </w:r>
            <w:r w:rsidR="00AE4BD5" w:rsidRPr="00FD4CDF">
              <w:rPr>
                <w:rStyle w:val="normaltextrun"/>
                <w:rFonts w:cs="Segoe UI"/>
                <w:szCs w:val="20"/>
              </w:rPr>
              <w:t>9</w:t>
            </w:r>
            <w:r w:rsidR="00AE4BD5" w:rsidRPr="00FD4CDF">
              <w:rPr>
                <w:rStyle w:val="normaltextrun"/>
                <w:rFonts w:cs="Segoe UI"/>
              </w:rPr>
              <w:t>5</w:t>
            </w:r>
            <w:r w:rsidRPr="00FD4CDF">
              <w:rPr>
                <w:rStyle w:val="eop"/>
                <w:rFonts w:cs="Segoe UI"/>
                <w:szCs w:val="20"/>
              </w:rPr>
              <w:t> </w:t>
            </w:r>
          </w:p>
        </w:tc>
        <w:tc>
          <w:tcPr>
            <w:tcW w:w="648" w:type="pct"/>
          </w:tcPr>
          <w:p w14:paraId="71967D13" w14:textId="52ABFCBC"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$1,033,</w:t>
            </w:r>
            <w:r w:rsidR="00AE4BD5" w:rsidRPr="00FD4CDF">
              <w:rPr>
                <w:rStyle w:val="normaltextrun"/>
                <w:rFonts w:cs="Segoe UI"/>
                <w:szCs w:val="20"/>
              </w:rPr>
              <w:t>2</w:t>
            </w:r>
            <w:r w:rsidR="00AE4BD5" w:rsidRPr="00FD4CDF">
              <w:rPr>
                <w:rStyle w:val="normaltextrun"/>
                <w:rFonts w:cs="Segoe UI"/>
              </w:rPr>
              <w:t>10</w:t>
            </w:r>
            <w:r w:rsidRPr="00FD4CDF">
              <w:rPr>
                <w:rStyle w:val="eop"/>
                <w:rFonts w:cs="Segoe UI"/>
                <w:szCs w:val="20"/>
              </w:rPr>
              <w:t> </w:t>
            </w:r>
          </w:p>
        </w:tc>
        <w:tc>
          <w:tcPr>
            <w:tcW w:w="649" w:type="pct"/>
          </w:tcPr>
          <w:p w14:paraId="3549251C" w14:textId="2B0BA625"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$1,187,</w:t>
            </w:r>
            <w:r w:rsidR="00AE4BD5" w:rsidRPr="00FD4CDF">
              <w:rPr>
                <w:rStyle w:val="normaltextrun"/>
                <w:rFonts w:cs="Segoe UI"/>
                <w:szCs w:val="20"/>
              </w:rPr>
              <w:t>7</w:t>
            </w:r>
            <w:r w:rsidR="00AE4BD5" w:rsidRPr="00FD4CDF">
              <w:rPr>
                <w:rStyle w:val="normaltextrun"/>
                <w:rFonts w:cs="Segoe UI"/>
              </w:rPr>
              <w:t>55</w:t>
            </w:r>
            <w:r w:rsidRPr="00FD4CDF">
              <w:rPr>
                <w:rStyle w:val="eop"/>
                <w:rFonts w:cs="Segoe UI"/>
                <w:szCs w:val="20"/>
              </w:rPr>
              <w:t> </w:t>
            </w:r>
          </w:p>
        </w:tc>
        <w:tc>
          <w:tcPr>
            <w:tcW w:w="648" w:type="pct"/>
          </w:tcPr>
          <w:p w14:paraId="52216987" w14:textId="78F197DB"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$1,346,</w:t>
            </w:r>
            <w:r w:rsidR="00AE4BD5" w:rsidRPr="00FD4CDF">
              <w:rPr>
                <w:rStyle w:val="normaltextrun"/>
                <w:rFonts w:cs="Segoe UI"/>
                <w:szCs w:val="20"/>
              </w:rPr>
              <w:t>5</w:t>
            </w:r>
            <w:r w:rsidR="00AE4BD5" w:rsidRPr="00FD4CDF">
              <w:rPr>
                <w:rStyle w:val="normaltextrun"/>
                <w:rFonts w:cs="Segoe UI"/>
              </w:rPr>
              <w:t>18</w:t>
            </w:r>
            <w:r w:rsidRPr="00FD4CDF">
              <w:rPr>
                <w:rStyle w:val="eop"/>
                <w:rFonts w:cs="Segoe UI"/>
                <w:szCs w:val="20"/>
              </w:rPr>
              <w:t> </w:t>
            </w:r>
          </w:p>
        </w:tc>
        <w:tc>
          <w:tcPr>
            <w:tcW w:w="611" w:type="pct"/>
          </w:tcPr>
          <w:p w14:paraId="66DA4F62" w14:textId="675B9229"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$1,437,</w:t>
            </w:r>
            <w:r w:rsidR="008407DF" w:rsidRPr="00FD4CDF">
              <w:rPr>
                <w:rStyle w:val="normaltextrun"/>
                <w:rFonts w:cs="Segoe UI"/>
                <w:szCs w:val="20"/>
              </w:rPr>
              <w:t>7</w:t>
            </w:r>
            <w:r w:rsidR="008407DF" w:rsidRPr="00FD4CDF">
              <w:rPr>
                <w:rStyle w:val="normaltextrun"/>
                <w:rFonts w:cs="Segoe UI"/>
              </w:rPr>
              <w:t>03</w:t>
            </w:r>
            <w:r w:rsidRPr="00FD4CDF">
              <w:rPr>
                <w:rStyle w:val="eop"/>
                <w:rFonts w:cs="Segoe UI"/>
                <w:szCs w:val="20"/>
              </w:rPr>
              <w:t> </w:t>
            </w:r>
          </w:p>
        </w:tc>
      </w:tr>
      <w:tr w:rsidR="009F6FF3" w:rsidRPr="00FD4CDF" w14:paraId="557CD735" w14:textId="77777777" w:rsidTr="00DC276A">
        <w:trPr>
          <w:trHeight w:val="278"/>
        </w:trPr>
        <w:tc>
          <w:tcPr>
            <w:tcW w:w="5000" w:type="pct"/>
            <w:gridSpan w:val="7"/>
          </w:tcPr>
          <w:p w14:paraId="6E768FF0" w14:textId="77777777" w:rsidR="009F6FF3" w:rsidRPr="00FD4CDF" w:rsidRDefault="009F6FF3">
            <w:pPr>
              <w:pStyle w:val="TableText"/>
              <w:spacing w:before="0" w:after="0"/>
              <w:rPr>
                <w:rFonts w:eastAsia="Times New Roman" w:cs="Times New Roman"/>
                <w:b/>
                <w:szCs w:val="20"/>
                <w:lang w:eastAsia="en-AU"/>
              </w:rPr>
            </w:pPr>
            <w:r w:rsidRPr="00FD4CDF">
              <w:rPr>
                <w:rFonts w:eastAsia="Times New Roman" w:cs="Times New Roman"/>
                <w:b/>
                <w:szCs w:val="20"/>
                <w:lang w:eastAsia="en-AU"/>
              </w:rPr>
              <w:t>One-way deterministic analyses</w:t>
            </w:r>
          </w:p>
        </w:tc>
      </w:tr>
      <w:tr w:rsidR="009F6FF3" w:rsidRPr="00FD4CDF" w14:paraId="0C92D7E3" w14:textId="77777777" w:rsidTr="00DB3DDA">
        <w:tc>
          <w:tcPr>
            <w:tcW w:w="1146" w:type="pct"/>
          </w:tcPr>
          <w:p w14:paraId="3158F12F" w14:textId="6E7C87F2"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Proposed MBS cost with error margin</w:t>
            </w:r>
            <w:r w:rsidR="006C3EA1" w:rsidRPr="00FD4CDF">
              <w:rPr>
                <w:rStyle w:val="normaltextrun"/>
                <w:rFonts w:cs="Segoe UI"/>
                <w:szCs w:val="20"/>
              </w:rPr>
              <w:t xml:space="preserve"> </w:t>
            </w:r>
            <w:r w:rsidR="006C3EA1" w:rsidRPr="00FD4CDF">
              <w:rPr>
                <w:rStyle w:val="normaltextrun"/>
                <w:rFonts w:cs="Segoe UI"/>
              </w:rPr>
              <w:t>($467.50)</w:t>
            </w:r>
          </w:p>
        </w:tc>
        <w:tc>
          <w:tcPr>
            <w:tcW w:w="649" w:type="pct"/>
          </w:tcPr>
          <w:p w14:paraId="3C296540" w14:textId="4988D2C8"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$814,668</w:t>
            </w:r>
            <w:r w:rsidRPr="00FD4CDF">
              <w:rPr>
                <w:rStyle w:val="eop"/>
                <w:rFonts w:cs="Segoe UI"/>
                <w:szCs w:val="20"/>
              </w:rPr>
              <w:t> </w:t>
            </w:r>
          </w:p>
        </w:tc>
        <w:tc>
          <w:tcPr>
            <w:tcW w:w="649" w:type="pct"/>
          </w:tcPr>
          <w:p w14:paraId="1B1E258A" w14:textId="210B2CFB"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$976,589</w:t>
            </w:r>
            <w:r w:rsidRPr="00FD4CDF">
              <w:rPr>
                <w:rStyle w:val="eop"/>
                <w:rFonts w:cs="Segoe UI"/>
                <w:szCs w:val="20"/>
              </w:rPr>
              <w:t> </w:t>
            </w:r>
          </w:p>
        </w:tc>
        <w:tc>
          <w:tcPr>
            <w:tcW w:w="648" w:type="pct"/>
          </w:tcPr>
          <w:p w14:paraId="6E92D813" w14:textId="44C9695B"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$1,142,985</w:t>
            </w:r>
            <w:r w:rsidRPr="00FD4CDF">
              <w:rPr>
                <w:rStyle w:val="eop"/>
                <w:rFonts w:cs="Segoe UI"/>
                <w:szCs w:val="20"/>
              </w:rPr>
              <w:t> </w:t>
            </w:r>
          </w:p>
        </w:tc>
        <w:tc>
          <w:tcPr>
            <w:tcW w:w="649" w:type="pct"/>
          </w:tcPr>
          <w:p w14:paraId="127852E8" w14:textId="7DDBAF88"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$1,313,950</w:t>
            </w:r>
            <w:r w:rsidRPr="00FD4CDF">
              <w:rPr>
                <w:rStyle w:val="eop"/>
                <w:rFonts w:cs="Segoe UI"/>
                <w:szCs w:val="20"/>
              </w:rPr>
              <w:t> </w:t>
            </w:r>
          </w:p>
        </w:tc>
        <w:tc>
          <w:tcPr>
            <w:tcW w:w="648" w:type="pct"/>
          </w:tcPr>
          <w:p w14:paraId="2D114774" w14:textId="6FE9EEB0"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$1,489,582</w:t>
            </w:r>
            <w:r w:rsidRPr="00FD4CDF">
              <w:rPr>
                <w:rStyle w:val="eop"/>
                <w:rFonts w:cs="Segoe UI"/>
                <w:szCs w:val="20"/>
              </w:rPr>
              <w:t> </w:t>
            </w:r>
          </w:p>
        </w:tc>
        <w:tc>
          <w:tcPr>
            <w:tcW w:w="611" w:type="pct"/>
          </w:tcPr>
          <w:p w14:paraId="0AEEF753" w14:textId="7C76C08F"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$1,590,455</w:t>
            </w:r>
            <w:r w:rsidRPr="00FD4CDF">
              <w:rPr>
                <w:rStyle w:val="eop"/>
                <w:rFonts w:cs="Segoe UI"/>
                <w:szCs w:val="20"/>
              </w:rPr>
              <w:t> </w:t>
            </w:r>
          </w:p>
        </w:tc>
      </w:tr>
      <w:tr w:rsidR="005B2FC0" w:rsidRPr="00FD4CDF" w14:paraId="4E764D6D" w14:textId="77777777" w:rsidTr="00C06765">
        <w:tc>
          <w:tcPr>
            <w:tcW w:w="1146" w:type="pct"/>
          </w:tcPr>
          <w:p w14:paraId="4E1D54E8" w14:textId="3F03146C" w:rsidR="005B2FC0" w:rsidRPr="00FD4CDF" w:rsidRDefault="005B2FC0" w:rsidP="005B2FC0">
            <w:pPr>
              <w:pStyle w:val="TableText"/>
              <w:spacing w:before="0" w:after="0"/>
              <w:rPr>
                <w:rStyle w:val="normaltextrun"/>
                <w:rFonts w:cs="Segoe UI"/>
                <w:szCs w:val="20"/>
              </w:rPr>
            </w:pPr>
            <w:r w:rsidRPr="00FD4CDF">
              <w:rPr>
                <w:rStyle w:val="normaltextrun"/>
                <w:rFonts w:cs="Segoe UI"/>
                <w:szCs w:val="20"/>
              </w:rPr>
              <w:t>Alternative MBS cost after duplication removed ($397.9</w:t>
            </w:r>
            <w:r w:rsidR="008407DF" w:rsidRPr="00FD4CDF">
              <w:rPr>
                <w:rStyle w:val="normaltextrun"/>
                <w:rFonts w:cs="Segoe UI"/>
                <w:szCs w:val="20"/>
              </w:rPr>
              <w:t>5</w:t>
            </w:r>
            <w:r w:rsidRPr="00FD4CDF">
              <w:rPr>
                <w:rStyle w:val="normaltextrun"/>
                <w:rFonts w:cs="Segoe UI"/>
                <w:szCs w:val="20"/>
              </w:rPr>
              <w:t>)</w:t>
            </w:r>
          </w:p>
        </w:tc>
        <w:tc>
          <w:tcPr>
            <w:tcW w:w="649" w:type="pct"/>
          </w:tcPr>
          <w:p w14:paraId="564F2232" w14:textId="743351CB" w:rsidR="005B2FC0" w:rsidRPr="00FD4CDF" w:rsidRDefault="00BA3C29" w:rsidP="005B2FC0">
            <w:pPr>
              <w:pStyle w:val="TableText"/>
              <w:spacing w:before="0" w:after="0"/>
              <w:rPr>
                <w:rStyle w:val="normaltextrun"/>
                <w:rFonts w:cs="Segoe UI"/>
                <w:szCs w:val="20"/>
              </w:rPr>
            </w:pPr>
            <w:r w:rsidRPr="00FD4CDF">
              <w:rPr>
                <w:rStyle w:val="normaltextrun"/>
                <w:rFonts w:cs="Segoe UI"/>
                <w:szCs w:val="20"/>
              </w:rPr>
              <w:t>$693,4</w:t>
            </w:r>
            <w:r w:rsidR="008407DF" w:rsidRPr="00FD4CDF">
              <w:rPr>
                <w:rStyle w:val="normaltextrun"/>
                <w:rFonts w:cs="Segoe UI"/>
                <w:szCs w:val="20"/>
              </w:rPr>
              <w:t>7</w:t>
            </w:r>
            <w:r w:rsidR="008407DF" w:rsidRPr="00FD4CDF">
              <w:rPr>
                <w:rStyle w:val="normaltextrun"/>
                <w:rFonts w:cs="Segoe UI"/>
              </w:rPr>
              <w:t>0</w:t>
            </w:r>
          </w:p>
        </w:tc>
        <w:tc>
          <w:tcPr>
            <w:tcW w:w="649" w:type="pct"/>
          </w:tcPr>
          <w:p w14:paraId="34DFB0CE" w14:textId="6FD5BB6D" w:rsidR="005B2FC0" w:rsidRPr="00FD4CDF" w:rsidRDefault="00BA3C29" w:rsidP="005B2FC0">
            <w:pPr>
              <w:pStyle w:val="TableText"/>
              <w:spacing w:before="0" w:after="0"/>
              <w:rPr>
                <w:rStyle w:val="normaltextrun"/>
                <w:rFonts w:cs="Segoe UI"/>
                <w:szCs w:val="20"/>
              </w:rPr>
            </w:pPr>
            <w:r w:rsidRPr="00FD4CDF">
              <w:rPr>
                <w:rStyle w:val="normaltextrun"/>
                <w:rFonts w:cs="Segoe UI"/>
                <w:szCs w:val="20"/>
              </w:rPr>
              <w:t>$</w:t>
            </w:r>
            <w:r w:rsidR="00FB1DAE" w:rsidRPr="00FD4CDF">
              <w:rPr>
                <w:rStyle w:val="normaltextrun"/>
                <w:rFonts w:cs="Segoe UI"/>
                <w:szCs w:val="20"/>
              </w:rPr>
              <w:t>831,</w:t>
            </w:r>
            <w:r w:rsidR="008407DF" w:rsidRPr="00FD4CDF">
              <w:rPr>
                <w:rStyle w:val="normaltextrun"/>
                <w:rFonts w:cs="Segoe UI"/>
                <w:szCs w:val="20"/>
              </w:rPr>
              <w:t>3</w:t>
            </w:r>
            <w:r w:rsidR="008407DF" w:rsidRPr="00FD4CDF">
              <w:rPr>
                <w:rStyle w:val="normaltextrun"/>
                <w:rFonts w:cs="Segoe UI"/>
              </w:rPr>
              <w:t>02</w:t>
            </w:r>
          </w:p>
        </w:tc>
        <w:tc>
          <w:tcPr>
            <w:tcW w:w="648" w:type="pct"/>
          </w:tcPr>
          <w:p w14:paraId="048EA41C" w14:textId="758426FA" w:rsidR="005B2FC0" w:rsidRPr="00FD4CDF" w:rsidRDefault="00FB1DAE" w:rsidP="005B2FC0">
            <w:pPr>
              <w:pStyle w:val="TableText"/>
              <w:spacing w:before="0" w:after="0"/>
              <w:rPr>
                <w:rStyle w:val="normaltextrun"/>
                <w:rFonts w:cs="Segoe UI"/>
                <w:szCs w:val="20"/>
              </w:rPr>
            </w:pPr>
            <w:r w:rsidRPr="00FD4CDF">
              <w:rPr>
                <w:rStyle w:val="normaltextrun"/>
                <w:rFonts w:cs="Segoe UI"/>
                <w:szCs w:val="20"/>
              </w:rPr>
              <w:t>$972,</w:t>
            </w:r>
            <w:r w:rsidR="008407DF" w:rsidRPr="00FD4CDF">
              <w:rPr>
                <w:rStyle w:val="normaltextrun"/>
                <w:rFonts w:cs="Segoe UI"/>
                <w:szCs w:val="20"/>
              </w:rPr>
              <w:t>9</w:t>
            </w:r>
            <w:r w:rsidR="008407DF" w:rsidRPr="00FD4CDF">
              <w:rPr>
                <w:rStyle w:val="normaltextrun"/>
                <w:rFonts w:cs="Segoe UI"/>
              </w:rPr>
              <w:t>43</w:t>
            </w:r>
          </w:p>
        </w:tc>
        <w:tc>
          <w:tcPr>
            <w:tcW w:w="649" w:type="pct"/>
          </w:tcPr>
          <w:p w14:paraId="6F3A6E68" w14:textId="69D831B0" w:rsidR="005B2FC0" w:rsidRPr="00FD4CDF" w:rsidRDefault="00FB1DAE" w:rsidP="005B2FC0">
            <w:pPr>
              <w:pStyle w:val="TableText"/>
              <w:spacing w:before="0" w:after="0"/>
              <w:rPr>
                <w:rStyle w:val="normaltextrun"/>
                <w:rFonts w:cs="Segoe UI"/>
                <w:szCs w:val="20"/>
              </w:rPr>
            </w:pPr>
            <w:r w:rsidRPr="00FD4CDF">
              <w:rPr>
                <w:rStyle w:val="normaltextrun"/>
                <w:rFonts w:cs="Segoe UI"/>
                <w:szCs w:val="20"/>
              </w:rPr>
              <w:t>$1,118,4</w:t>
            </w:r>
            <w:r w:rsidR="008407DF" w:rsidRPr="00FD4CDF">
              <w:rPr>
                <w:rStyle w:val="normaltextrun"/>
                <w:rFonts w:cs="Segoe UI"/>
                <w:szCs w:val="20"/>
              </w:rPr>
              <w:t>7</w:t>
            </w:r>
            <w:r w:rsidR="008407DF" w:rsidRPr="00FD4CDF">
              <w:rPr>
                <w:rStyle w:val="normaltextrun"/>
                <w:rFonts w:cs="Segoe UI"/>
              </w:rPr>
              <w:t>4</w:t>
            </w:r>
          </w:p>
        </w:tc>
        <w:tc>
          <w:tcPr>
            <w:tcW w:w="648" w:type="pct"/>
          </w:tcPr>
          <w:p w14:paraId="2FAA7A60" w14:textId="25F72A4B" w:rsidR="005B2FC0" w:rsidRPr="00FD4CDF" w:rsidRDefault="00FB1DAE" w:rsidP="005B2FC0">
            <w:pPr>
              <w:pStyle w:val="TableText"/>
              <w:spacing w:before="0" w:after="0"/>
              <w:rPr>
                <w:rStyle w:val="normaltextrun"/>
                <w:rFonts w:cs="Segoe UI"/>
                <w:szCs w:val="20"/>
              </w:rPr>
            </w:pPr>
            <w:r w:rsidRPr="00FD4CDF">
              <w:rPr>
                <w:rStyle w:val="normaltextrun"/>
                <w:rFonts w:cs="Segoe UI"/>
                <w:szCs w:val="20"/>
              </w:rPr>
              <w:t>$1,</w:t>
            </w:r>
            <w:r w:rsidR="00E93D28" w:rsidRPr="00FD4CDF">
              <w:rPr>
                <w:rStyle w:val="normaltextrun"/>
                <w:rFonts w:cs="Segoe UI"/>
                <w:szCs w:val="20"/>
              </w:rPr>
              <w:t>267,9</w:t>
            </w:r>
            <w:r w:rsidR="008407DF" w:rsidRPr="00FD4CDF">
              <w:rPr>
                <w:rStyle w:val="normaltextrun"/>
                <w:rFonts w:cs="Segoe UI"/>
                <w:szCs w:val="20"/>
              </w:rPr>
              <w:t>7</w:t>
            </w:r>
            <w:r w:rsidR="008407DF" w:rsidRPr="00FD4CDF">
              <w:rPr>
                <w:rStyle w:val="normaltextrun"/>
                <w:rFonts w:cs="Segoe UI"/>
              </w:rPr>
              <w:t>7</w:t>
            </w:r>
          </w:p>
        </w:tc>
        <w:tc>
          <w:tcPr>
            <w:tcW w:w="611" w:type="pct"/>
          </w:tcPr>
          <w:p w14:paraId="3A25929C" w14:textId="161E54AB" w:rsidR="005B2FC0" w:rsidRPr="00FD4CDF" w:rsidRDefault="00E93D28" w:rsidP="005B2FC0">
            <w:pPr>
              <w:pStyle w:val="TableText"/>
              <w:spacing w:before="0" w:after="0"/>
              <w:rPr>
                <w:rStyle w:val="normaltextrun"/>
                <w:rFonts w:cs="Segoe UI"/>
                <w:szCs w:val="20"/>
              </w:rPr>
            </w:pPr>
            <w:r w:rsidRPr="00FD4CDF">
              <w:rPr>
                <w:rStyle w:val="normaltextrun"/>
                <w:rFonts w:cs="Segoe UI"/>
                <w:szCs w:val="20"/>
              </w:rPr>
              <w:t>$1,353,</w:t>
            </w:r>
            <w:r w:rsidR="008407DF" w:rsidRPr="00FD4CDF">
              <w:rPr>
                <w:rStyle w:val="normaltextrun"/>
                <w:rFonts w:cs="Segoe UI"/>
                <w:szCs w:val="20"/>
              </w:rPr>
              <w:t>8</w:t>
            </w:r>
            <w:r w:rsidR="008407DF" w:rsidRPr="00FD4CDF">
              <w:rPr>
                <w:rStyle w:val="normaltextrun"/>
                <w:rFonts w:cs="Segoe UI"/>
              </w:rPr>
              <w:t>34</w:t>
            </w:r>
          </w:p>
        </w:tc>
      </w:tr>
      <w:tr w:rsidR="005B2FC0" w:rsidRPr="00FD4CDF" w14:paraId="5B05D735" w14:textId="77777777" w:rsidTr="00C06765">
        <w:tc>
          <w:tcPr>
            <w:tcW w:w="1146" w:type="pct"/>
          </w:tcPr>
          <w:p w14:paraId="355316F9" w14:textId="07EE06C9" w:rsidR="005B2FC0" w:rsidRPr="00FD4CDF" w:rsidRDefault="00FF61B5" w:rsidP="005B2FC0">
            <w:pPr>
              <w:pStyle w:val="TableText"/>
              <w:spacing w:before="0" w:after="0"/>
              <w:rPr>
                <w:rStyle w:val="normaltextrun"/>
                <w:rFonts w:cs="Segoe UI"/>
                <w:szCs w:val="20"/>
              </w:rPr>
            </w:pPr>
            <w:r w:rsidRPr="00FD4CDF">
              <w:rPr>
                <w:rStyle w:val="normaltextrun"/>
                <w:rFonts w:cs="Segoe UI"/>
                <w:szCs w:val="20"/>
              </w:rPr>
              <w:t>Existing cost of s</w:t>
            </w:r>
            <w:r w:rsidR="005B2FC0" w:rsidRPr="00FD4CDF">
              <w:rPr>
                <w:rStyle w:val="normaltextrun"/>
                <w:rFonts w:cs="Segoe UI"/>
                <w:szCs w:val="20"/>
              </w:rPr>
              <w:t>ingle gene testing ($3</w:t>
            </w:r>
            <w:r w:rsidR="00231122" w:rsidRPr="00FD4CDF">
              <w:rPr>
                <w:rStyle w:val="normaltextrun"/>
                <w:rFonts w:cs="Segoe UI"/>
                <w:szCs w:val="20"/>
              </w:rPr>
              <w:t>37.75</w:t>
            </w:r>
            <w:r w:rsidR="005B2FC0" w:rsidRPr="00FD4CDF">
              <w:rPr>
                <w:rStyle w:val="normaltextrun"/>
                <w:rFonts w:cs="Segoe UI"/>
                <w:szCs w:val="20"/>
              </w:rPr>
              <w:t>)</w:t>
            </w:r>
          </w:p>
        </w:tc>
        <w:tc>
          <w:tcPr>
            <w:tcW w:w="649" w:type="pct"/>
          </w:tcPr>
          <w:p w14:paraId="4FA52346" w14:textId="24A2DA4C" w:rsidR="005B2FC0" w:rsidRPr="00FD4CDF" w:rsidRDefault="00E93D28" w:rsidP="005B2FC0">
            <w:pPr>
              <w:pStyle w:val="TableText"/>
              <w:spacing w:before="0" w:after="0"/>
              <w:rPr>
                <w:rStyle w:val="normaltextrun"/>
                <w:rFonts w:cs="Segoe UI"/>
                <w:szCs w:val="20"/>
              </w:rPr>
            </w:pPr>
            <w:r w:rsidRPr="00FD4CDF">
              <w:rPr>
                <w:rStyle w:val="normaltextrun"/>
                <w:rFonts w:cs="Segoe UI"/>
                <w:szCs w:val="20"/>
              </w:rPr>
              <w:t>$588,56</w:t>
            </w:r>
            <w:r w:rsidR="008407DF" w:rsidRPr="00FD4CDF">
              <w:rPr>
                <w:rStyle w:val="normaltextrun"/>
                <w:rFonts w:cs="Segoe UI"/>
                <w:szCs w:val="20"/>
              </w:rPr>
              <w:t>5</w:t>
            </w:r>
          </w:p>
        </w:tc>
        <w:tc>
          <w:tcPr>
            <w:tcW w:w="649" w:type="pct"/>
          </w:tcPr>
          <w:p w14:paraId="0D4725F3" w14:textId="169D559A" w:rsidR="005B2FC0" w:rsidRPr="00FD4CDF" w:rsidRDefault="00E93D28" w:rsidP="005B2FC0">
            <w:pPr>
              <w:pStyle w:val="TableText"/>
              <w:spacing w:before="0" w:after="0"/>
              <w:rPr>
                <w:rStyle w:val="normaltextrun"/>
                <w:rFonts w:cs="Segoe UI"/>
                <w:szCs w:val="20"/>
              </w:rPr>
            </w:pPr>
            <w:r w:rsidRPr="00FD4CDF">
              <w:rPr>
                <w:rStyle w:val="normaltextrun"/>
                <w:rFonts w:cs="Segoe UI"/>
                <w:szCs w:val="20"/>
              </w:rPr>
              <w:t>$</w:t>
            </w:r>
            <w:r w:rsidR="009E7F58" w:rsidRPr="00FD4CDF">
              <w:rPr>
                <w:rStyle w:val="normaltextrun"/>
                <w:rFonts w:cs="Segoe UI"/>
                <w:szCs w:val="20"/>
              </w:rPr>
              <w:t>705,54</w:t>
            </w:r>
            <w:r w:rsidR="008407DF" w:rsidRPr="00FD4CDF">
              <w:rPr>
                <w:rStyle w:val="normaltextrun"/>
                <w:rFonts w:cs="Segoe UI"/>
                <w:szCs w:val="20"/>
              </w:rPr>
              <w:t>7</w:t>
            </w:r>
          </w:p>
        </w:tc>
        <w:tc>
          <w:tcPr>
            <w:tcW w:w="648" w:type="pct"/>
          </w:tcPr>
          <w:p w14:paraId="7D8795DE" w14:textId="2CE9AD11" w:rsidR="005B2FC0" w:rsidRPr="00FD4CDF" w:rsidRDefault="009E7F58" w:rsidP="005B2FC0">
            <w:pPr>
              <w:pStyle w:val="TableText"/>
              <w:spacing w:before="0" w:after="0"/>
              <w:rPr>
                <w:rStyle w:val="normaltextrun"/>
                <w:rFonts w:cs="Segoe UI"/>
                <w:szCs w:val="20"/>
              </w:rPr>
            </w:pPr>
            <w:r w:rsidRPr="00FD4CDF">
              <w:rPr>
                <w:rStyle w:val="normaltextrun"/>
                <w:rFonts w:cs="Segoe UI"/>
                <w:szCs w:val="20"/>
              </w:rPr>
              <w:t>$825,7</w:t>
            </w:r>
            <w:r w:rsidR="008407DF" w:rsidRPr="00FD4CDF">
              <w:rPr>
                <w:rStyle w:val="normaltextrun"/>
                <w:rFonts w:cs="Segoe UI"/>
                <w:szCs w:val="20"/>
              </w:rPr>
              <w:t>6</w:t>
            </w:r>
            <w:r w:rsidR="008407DF" w:rsidRPr="00FD4CDF">
              <w:rPr>
                <w:rStyle w:val="normaltextrun"/>
                <w:rFonts w:cs="Segoe UI"/>
              </w:rPr>
              <w:t>1</w:t>
            </w:r>
          </w:p>
        </w:tc>
        <w:tc>
          <w:tcPr>
            <w:tcW w:w="649" w:type="pct"/>
          </w:tcPr>
          <w:p w14:paraId="558D6780" w14:textId="1BA140E4" w:rsidR="005B2FC0" w:rsidRPr="00FD4CDF" w:rsidRDefault="009E7F58" w:rsidP="005B2FC0">
            <w:pPr>
              <w:pStyle w:val="TableText"/>
              <w:spacing w:before="0" w:after="0"/>
              <w:rPr>
                <w:rStyle w:val="normaltextrun"/>
                <w:rFonts w:cs="Segoe UI"/>
                <w:szCs w:val="20"/>
              </w:rPr>
            </w:pPr>
            <w:r w:rsidRPr="00FD4CDF">
              <w:rPr>
                <w:rStyle w:val="normaltextrun"/>
                <w:rFonts w:cs="Segoe UI"/>
                <w:szCs w:val="20"/>
              </w:rPr>
              <w:t>$949,2</w:t>
            </w:r>
            <w:r w:rsidR="008407DF" w:rsidRPr="00FD4CDF">
              <w:rPr>
                <w:rStyle w:val="normaltextrun"/>
                <w:rFonts w:cs="Segoe UI"/>
                <w:szCs w:val="20"/>
              </w:rPr>
              <w:t>7</w:t>
            </w:r>
            <w:r w:rsidR="008407DF" w:rsidRPr="00FD4CDF">
              <w:rPr>
                <w:rStyle w:val="normaltextrun"/>
                <w:rFonts w:cs="Segoe UI"/>
              </w:rPr>
              <w:t>6</w:t>
            </w:r>
          </w:p>
        </w:tc>
        <w:tc>
          <w:tcPr>
            <w:tcW w:w="648" w:type="pct"/>
          </w:tcPr>
          <w:p w14:paraId="2CC86B19" w14:textId="14432AE5" w:rsidR="005B2FC0" w:rsidRPr="00FD4CDF" w:rsidRDefault="009E7F58" w:rsidP="005B2FC0">
            <w:pPr>
              <w:pStyle w:val="TableText"/>
              <w:spacing w:before="0" w:after="0"/>
              <w:rPr>
                <w:rStyle w:val="normaltextrun"/>
                <w:rFonts w:cs="Segoe UI"/>
                <w:szCs w:val="20"/>
              </w:rPr>
            </w:pPr>
            <w:r w:rsidRPr="00FD4CDF">
              <w:rPr>
                <w:rStyle w:val="normaltextrun"/>
                <w:rFonts w:cs="Segoe UI"/>
                <w:szCs w:val="20"/>
              </w:rPr>
              <w:t>$1,</w:t>
            </w:r>
            <w:r w:rsidR="00071185" w:rsidRPr="00FD4CDF">
              <w:rPr>
                <w:rStyle w:val="normaltextrun"/>
                <w:rFonts w:cs="Segoe UI"/>
                <w:szCs w:val="20"/>
              </w:rPr>
              <w:t>076,1</w:t>
            </w:r>
            <w:r w:rsidR="008407DF" w:rsidRPr="00FD4CDF">
              <w:rPr>
                <w:rStyle w:val="normaltextrun"/>
                <w:rFonts w:cs="Segoe UI"/>
                <w:szCs w:val="20"/>
              </w:rPr>
              <w:t>6</w:t>
            </w:r>
            <w:r w:rsidR="008407DF" w:rsidRPr="00FD4CDF">
              <w:rPr>
                <w:rStyle w:val="normaltextrun"/>
                <w:rFonts w:cs="Segoe UI"/>
              </w:rPr>
              <w:t>3</w:t>
            </w:r>
          </w:p>
        </w:tc>
        <w:tc>
          <w:tcPr>
            <w:tcW w:w="611" w:type="pct"/>
          </w:tcPr>
          <w:p w14:paraId="1FC17081" w14:textId="6FD15247" w:rsidR="005B2FC0" w:rsidRPr="00FD4CDF" w:rsidRDefault="00071185" w:rsidP="005B2FC0">
            <w:pPr>
              <w:pStyle w:val="TableText"/>
              <w:spacing w:before="0" w:after="0"/>
              <w:rPr>
                <w:rStyle w:val="normaltextrun"/>
                <w:rFonts w:cs="Segoe UI"/>
                <w:szCs w:val="20"/>
              </w:rPr>
            </w:pPr>
            <w:r w:rsidRPr="00FD4CDF">
              <w:rPr>
                <w:rStyle w:val="normaltextrun"/>
                <w:rFonts w:cs="Segoe UI"/>
                <w:szCs w:val="20"/>
              </w:rPr>
              <w:t>$1,149,0</w:t>
            </w:r>
            <w:r w:rsidR="008407DF" w:rsidRPr="00FD4CDF">
              <w:rPr>
                <w:rStyle w:val="normaltextrun"/>
                <w:rFonts w:cs="Segoe UI"/>
                <w:szCs w:val="20"/>
              </w:rPr>
              <w:t>4</w:t>
            </w:r>
            <w:r w:rsidR="008407DF" w:rsidRPr="00FD4CDF">
              <w:rPr>
                <w:rStyle w:val="normaltextrun"/>
                <w:rFonts w:cs="Segoe UI"/>
              </w:rPr>
              <w:t>0</w:t>
            </w:r>
          </w:p>
        </w:tc>
      </w:tr>
      <w:tr w:rsidR="009F6FF3" w:rsidRPr="00FD4CDF" w14:paraId="26171A01" w14:textId="77777777" w:rsidTr="00DC276A">
        <w:tc>
          <w:tcPr>
            <w:tcW w:w="5000" w:type="pct"/>
            <w:gridSpan w:val="7"/>
          </w:tcPr>
          <w:p w14:paraId="48815E9A" w14:textId="77777777" w:rsidR="009F6FF3" w:rsidRPr="00FD4CDF" w:rsidRDefault="009F6FF3">
            <w:pPr>
              <w:pStyle w:val="TableText"/>
              <w:spacing w:before="0" w:after="0"/>
              <w:rPr>
                <w:rFonts w:eastAsia="Times New Roman" w:cs="Times New Roman"/>
                <w:b/>
                <w:szCs w:val="20"/>
                <w:lang w:eastAsia="en-AU"/>
              </w:rPr>
            </w:pPr>
            <w:r w:rsidRPr="00FD4CDF">
              <w:rPr>
                <w:rFonts w:eastAsia="Times New Roman" w:cs="Times New Roman"/>
                <w:b/>
                <w:szCs w:val="20"/>
                <w:lang w:eastAsia="en-AU"/>
              </w:rPr>
              <w:t>Scenario analyses</w:t>
            </w:r>
          </w:p>
        </w:tc>
      </w:tr>
      <w:tr w:rsidR="009F6FF3" w:rsidRPr="00FD4CDF" w14:paraId="793F4F20" w14:textId="77777777" w:rsidTr="00DB3DDA">
        <w:tc>
          <w:tcPr>
            <w:tcW w:w="1146" w:type="pct"/>
          </w:tcPr>
          <w:p w14:paraId="5F4D6CF5" w14:textId="77777777" w:rsidR="009F6FF3" w:rsidRPr="00FD4CDF" w:rsidRDefault="009F6FF3">
            <w:pPr>
              <w:pStyle w:val="TableText"/>
              <w:spacing w:before="0" w:after="0"/>
              <w:rPr>
                <w:rFonts w:eastAsia="Times New Roman" w:cs="Times New Roman"/>
                <w:szCs w:val="20"/>
                <w:lang w:eastAsia="en-AU"/>
              </w:rPr>
            </w:pPr>
            <w:r w:rsidRPr="00FD4CDF">
              <w:rPr>
                <w:rFonts w:eastAsia="Times New Roman" w:cs="Times New Roman"/>
                <w:szCs w:val="20"/>
                <w:lang w:eastAsia="en-AU"/>
              </w:rPr>
              <w:t>BAGP classification</w:t>
            </w:r>
          </w:p>
        </w:tc>
        <w:tc>
          <w:tcPr>
            <w:tcW w:w="649" w:type="pct"/>
          </w:tcPr>
          <w:p w14:paraId="3859CF9E" w14:textId="4C4E6BBF"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$484,6</w:t>
            </w:r>
            <w:r w:rsidR="008407DF" w:rsidRPr="00FD4CDF">
              <w:rPr>
                <w:rStyle w:val="normaltextrun"/>
                <w:rFonts w:cs="Segoe UI"/>
                <w:szCs w:val="20"/>
              </w:rPr>
              <w:t>6</w:t>
            </w:r>
            <w:r w:rsidR="008407DF" w:rsidRPr="00FD4CDF">
              <w:rPr>
                <w:rStyle w:val="normaltextrun"/>
                <w:rFonts w:cs="Segoe UI"/>
              </w:rPr>
              <w:t>3</w:t>
            </w:r>
            <w:r w:rsidRPr="00FD4CDF">
              <w:rPr>
                <w:rStyle w:val="eop"/>
                <w:rFonts w:cs="Segoe UI"/>
                <w:szCs w:val="20"/>
              </w:rPr>
              <w:t> </w:t>
            </w:r>
          </w:p>
        </w:tc>
        <w:tc>
          <w:tcPr>
            <w:tcW w:w="649" w:type="pct"/>
          </w:tcPr>
          <w:p w14:paraId="687EA75A" w14:textId="77886543"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$580,9</w:t>
            </w:r>
            <w:r w:rsidR="008407DF" w:rsidRPr="00FD4CDF">
              <w:rPr>
                <w:rStyle w:val="normaltextrun"/>
                <w:rFonts w:cs="Segoe UI"/>
                <w:szCs w:val="20"/>
              </w:rPr>
              <w:t>9</w:t>
            </w:r>
            <w:r w:rsidR="008407DF" w:rsidRPr="00FD4CDF">
              <w:rPr>
                <w:rStyle w:val="normaltextrun"/>
                <w:rFonts w:cs="Segoe UI"/>
              </w:rPr>
              <w:t>3</w:t>
            </w:r>
            <w:r w:rsidRPr="00FD4CDF">
              <w:rPr>
                <w:rStyle w:val="eop"/>
                <w:rFonts w:cs="Segoe UI"/>
                <w:szCs w:val="20"/>
              </w:rPr>
              <w:t> </w:t>
            </w:r>
          </w:p>
        </w:tc>
        <w:tc>
          <w:tcPr>
            <w:tcW w:w="648" w:type="pct"/>
          </w:tcPr>
          <w:p w14:paraId="5DE7286C" w14:textId="46A1A43D"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$679,9</w:t>
            </w:r>
            <w:r w:rsidR="008407DF" w:rsidRPr="00FD4CDF">
              <w:rPr>
                <w:rStyle w:val="normaltextrun"/>
                <w:rFonts w:cs="Segoe UI"/>
                <w:szCs w:val="20"/>
              </w:rPr>
              <w:t>8</w:t>
            </w:r>
            <w:r w:rsidR="008407DF" w:rsidRPr="00FD4CDF">
              <w:rPr>
                <w:rStyle w:val="normaltextrun"/>
                <w:rFonts w:cs="Segoe UI"/>
              </w:rPr>
              <w:t>5</w:t>
            </w:r>
            <w:r w:rsidRPr="00FD4CDF">
              <w:rPr>
                <w:rStyle w:val="eop"/>
                <w:rFonts w:cs="Segoe UI"/>
                <w:szCs w:val="20"/>
              </w:rPr>
              <w:t> </w:t>
            </w:r>
          </w:p>
        </w:tc>
        <w:tc>
          <w:tcPr>
            <w:tcW w:w="649" w:type="pct"/>
          </w:tcPr>
          <w:p w14:paraId="08069353" w14:textId="42269D63"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$781,6</w:t>
            </w:r>
            <w:r w:rsidR="008407DF" w:rsidRPr="00FD4CDF">
              <w:rPr>
                <w:rStyle w:val="normaltextrun"/>
                <w:rFonts w:cs="Segoe UI"/>
                <w:szCs w:val="20"/>
              </w:rPr>
              <w:t>9</w:t>
            </w:r>
            <w:r w:rsidR="008407DF" w:rsidRPr="00FD4CDF">
              <w:rPr>
                <w:rStyle w:val="normaltextrun"/>
                <w:rFonts w:cs="Segoe UI"/>
              </w:rPr>
              <w:t>6</w:t>
            </w:r>
            <w:r w:rsidRPr="00FD4CDF">
              <w:rPr>
                <w:rStyle w:val="eop"/>
                <w:rFonts w:cs="Segoe UI"/>
                <w:szCs w:val="20"/>
              </w:rPr>
              <w:t> </w:t>
            </w:r>
          </w:p>
        </w:tc>
        <w:tc>
          <w:tcPr>
            <w:tcW w:w="648" w:type="pct"/>
          </w:tcPr>
          <w:p w14:paraId="7F4E93B1" w14:textId="5E70C803"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$886,1</w:t>
            </w:r>
            <w:r w:rsidR="008407DF" w:rsidRPr="00FD4CDF">
              <w:rPr>
                <w:rStyle w:val="normaltextrun"/>
                <w:rFonts w:cs="Segoe UI"/>
                <w:szCs w:val="20"/>
              </w:rPr>
              <w:t>8</w:t>
            </w:r>
            <w:r w:rsidR="008407DF" w:rsidRPr="00FD4CDF">
              <w:rPr>
                <w:rStyle w:val="normaltextrun"/>
                <w:rFonts w:cs="Segoe UI"/>
              </w:rPr>
              <w:t>3</w:t>
            </w:r>
            <w:r w:rsidRPr="00FD4CDF">
              <w:rPr>
                <w:rStyle w:val="eop"/>
                <w:rFonts w:cs="Segoe UI"/>
                <w:szCs w:val="20"/>
              </w:rPr>
              <w:t> </w:t>
            </w:r>
          </w:p>
        </w:tc>
        <w:tc>
          <w:tcPr>
            <w:tcW w:w="611" w:type="pct"/>
          </w:tcPr>
          <w:p w14:paraId="0484E484" w14:textId="27B60E42"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$946,1</w:t>
            </w:r>
            <w:r w:rsidR="008407DF" w:rsidRPr="00FD4CDF">
              <w:rPr>
                <w:rStyle w:val="normaltextrun"/>
                <w:rFonts w:cs="Segoe UI"/>
                <w:szCs w:val="20"/>
              </w:rPr>
              <w:t>9</w:t>
            </w:r>
            <w:r w:rsidR="008407DF" w:rsidRPr="00FD4CDF">
              <w:rPr>
                <w:rStyle w:val="normaltextrun"/>
                <w:rFonts w:cs="Segoe UI"/>
              </w:rPr>
              <w:t>4</w:t>
            </w:r>
            <w:r w:rsidRPr="00FD4CDF">
              <w:rPr>
                <w:rStyle w:val="eop"/>
                <w:rFonts w:cs="Segoe UI"/>
                <w:szCs w:val="20"/>
              </w:rPr>
              <w:t> </w:t>
            </w:r>
          </w:p>
        </w:tc>
      </w:tr>
      <w:tr w:rsidR="009F6FF3" w:rsidRPr="00FD4CDF" w14:paraId="2B190055" w14:textId="77777777" w:rsidTr="00DB3DDA">
        <w:tc>
          <w:tcPr>
            <w:tcW w:w="1146" w:type="pct"/>
          </w:tcPr>
          <w:p w14:paraId="0CCB8127" w14:textId="77777777" w:rsidR="009F6FF3" w:rsidRPr="00FD4CDF" w:rsidRDefault="009F6FF3">
            <w:pPr>
              <w:pStyle w:val="TableText"/>
              <w:spacing w:before="0" w:after="0"/>
              <w:rPr>
                <w:rFonts w:eastAsia="Times New Roman" w:cs="Times New Roman"/>
                <w:szCs w:val="20"/>
                <w:lang w:eastAsia="en-AU"/>
              </w:rPr>
            </w:pPr>
            <w:r w:rsidRPr="00FD4CDF">
              <w:rPr>
                <w:rFonts w:eastAsia="Times New Roman" w:cs="Times New Roman"/>
                <w:szCs w:val="20"/>
                <w:lang w:eastAsia="en-AU"/>
              </w:rPr>
              <w:t>ProMisE classification</w:t>
            </w:r>
          </w:p>
        </w:tc>
        <w:tc>
          <w:tcPr>
            <w:tcW w:w="649" w:type="pct"/>
          </w:tcPr>
          <w:p w14:paraId="762678D3" w14:textId="0E4DB46D" w:rsidR="009F6FF3" w:rsidRPr="00FD4CDF" w:rsidRDefault="00F81491">
            <w:pPr>
              <w:pStyle w:val="TableText"/>
              <w:spacing w:before="0" w:after="0"/>
              <w:rPr>
                <w:rFonts w:eastAsia="Times New Roman" w:cs="Times New Roman"/>
                <w:szCs w:val="20"/>
                <w:lang w:eastAsia="en-AU"/>
              </w:rPr>
            </w:pPr>
            <w:r w:rsidRPr="00FD4CDF">
              <w:rPr>
                <w:rFonts w:eastAsia="Times New Roman" w:cs="Times New Roman"/>
                <w:szCs w:val="20"/>
                <w:lang w:eastAsia="en-AU"/>
              </w:rPr>
              <w:t>$636,2</w:t>
            </w:r>
            <w:r w:rsidR="008407DF" w:rsidRPr="00FD4CDF">
              <w:rPr>
                <w:rFonts w:eastAsia="Times New Roman" w:cs="Times New Roman"/>
                <w:szCs w:val="20"/>
                <w:lang w:eastAsia="en-AU"/>
              </w:rPr>
              <w:t>71</w:t>
            </w:r>
          </w:p>
        </w:tc>
        <w:tc>
          <w:tcPr>
            <w:tcW w:w="649" w:type="pct"/>
          </w:tcPr>
          <w:p w14:paraId="3CF637AE" w14:textId="560F60C9" w:rsidR="009F6FF3" w:rsidRPr="00FD4CDF" w:rsidRDefault="00F81491">
            <w:pPr>
              <w:pStyle w:val="TableText"/>
              <w:spacing w:before="0" w:after="0"/>
              <w:rPr>
                <w:rFonts w:eastAsia="Times New Roman" w:cs="Times New Roman"/>
                <w:szCs w:val="20"/>
                <w:lang w:eastAsia="en-AU"/>
              </w:rPr>
            </w:pPr>
            <w:r w:rsidRPr="00FD4CDF">
              <w:rPr>
                <w:rFonts w:eastAsia="Times New Roman" w:cs="Times New Roman"/>
                <w:szCs w:val="20"/>
                <w:lang w:eastAsia="en-AU"/>
              </w:rPr>
              <w:t>$762,</w:t>
            </w:r>
            <w:r w:rsidR="008407DF" w:rsidRPr="00FD4CDF">
              <w:rPr>
                <w:rFonts w:eastAsia="Times New Roman" w:cs="Times New Roman"/>
                <w:szCs w:val="20"/>
                <w:lang w:eastAsia="en-AU"/>
              </w:rPr>
              <w:t>735</w:t>
            </w:r>
          </w:p>
        </w:tc>
        <w:tc>
          <w:tcPr>
            <w:tcW w:w="648" w:type="pct"/>
          </w:tcPr>
          <w:p w14:paraId="4CC2DFF5" w14:textId="2700D8C9" w:rsidR="009F6FF3" w:rsidRPr="00FD4CDF" w:rsidRDefault="00F81491">
            <w:pPr>
              <w:pStyle w:val="TableText"/>
              <w:spacing w:before="0" w:after="0"/>
              <w:rPr>
                <w:rFonts w:eastAsia="Times New Roman" w:cs="Times New Roman"/>
                <w:szCs w:val="20"/>
                <w:lang w:eastAsia="en-AU"/>
              </w:rPr>
            </w:pPr>
            <w:r w:rsidRPr="00FD4CDF">
              <w:rPr>
                <w:rFonts w:eastAsia="Times New Roman" w:cs="Times New Roman"/>
                <w:szCs w:val="20"/>
                <w:lang w:eastAsia="en-AU"/>
              </w:rPr>
              <w:t>$892,6</w:t>
            </w:r>
            <w:r w:rsidR="008407DF" w:rsidRPr="00FD4CDF">
              <w:rPr>
                <w:rFonts w:eastAsia="Times New Roman" w:cs="Times New Roman"/>
                <w:szCs w:val="20"/>
                <w:lang w:eastAsia="en-AU"/>
              </w:rPr>
              <w:t>93</w:t>
            </w:r>
          </w:p>
        </w:tc>
        <w:tc>
          <w:tcPr>
            <w:tcW w:w="649" w:type="pct"/>
          </w:tcPr>
          <w:p w14:paraId="6B169A5C" w14:textId="668961B9" w:rsidR="009F6FF3" w:rsidRPr="00FD4CDF" w:rsidRDefault="00F81491">
            <w:pPr>
              <w:pStyle w:val="TableText"/>
              <w:spacing w:before="0" w:after="0"/>
              <w:rPr>
                <w:rFonts w:eastAsia="Times New Roman" w:cs="Times New Roman"/>
                <w:szCs w:val="20"/>
                <w:lang w:eastAsia="en-AU"/>
              </w:rPr>
            </w:pPr>
            <w:r w:rsidRPr="00FD4CDF">
              <w:rPr>
                <w:rFonts w:eastAsia="Times New Roman" w:cs="Times New Roman"/>
                <w:szCs w:val="20"/>
                <w:lang w:eastAsia="en-AU"/>
              </w:rPr>
              <w:t>$1,026,</w:t>
            </w:r>
            <w:r w:rsidR="008407DF" w:rsidRPr="00FD4CDF">
              <w:rPr>
                <w:rFonts w:eastAsia="Times New Roman" w:cs="Times New Roman"/>
                <w:szCs w:val="20"/>
                <w:lang w:eastAsia="en-AU"/>
              </w:rPr>
              <w:t>220</w:t>
            </w:r>
          </w:p>
        </w:tc>
        <w:tc>
          <w:tcPr>
            <w:tcW w:w="648" w:type="pct"/>
          </w:tcPr>
          <w:p w14:paraId="5D2CABE3" w14:textId="3F76D3B8" w:rsidR="009F6FF3" w:rsidRPr="00FD4CDF" w:rsidRDefault="00F81491">
            <w:pPr>
              <w:pStyle w:val="TableText"/>
              <w:spacing w:before="0" w:after="0"/>
              <w:rPr>
                <w:rFonts w:eastAsia="Times New Roman" w:cs="Times New Roman"/>
                <w:szCs w:val="20"/>
                <w:lang w:eastAsia="en-AU"/>
              </w:rPr>
            </w:pPr>
            <w:r w:rsidRPr="00FD4CDF">
              <w:rPr>
                <w:rFonts w:eastAsia="Times New Roman" w:cs="Times New Roman"/>
                <w:szCs w:val="20"/>
                <w:lang w:eastAsia="en-AU"/>
              </w:rPr>
              <w:t>$1,163,</w:t>
            </w:r>
            <w:r w:rsidR="008407DF" w:rsidRPr="00FD4CDF">
              <w:rPr>
                <w:rFonts w:eastAsia="Times New Roman" w:cs="Times New Roman"/>
                <w:szCs w:val="20"/>
                <w:lang w:eastAsia="en-AU"/>
              </w:rPr>
              <w:t>392</w:t>
            </w:r>
          </w:p>
        </w:tc>
        <w:tc>
          <w:tcPr>
            <w:tcW w:w="611" w:type="pct"/>
          </w:tcPr>
          <w:p w14:paraId="15CB1608" w14:textId="4CA507B2" w:rsidR="009F6FF3" w:rsidRPr="00FD4CDF" w:rsidRDefault="00F81491">
            <w:pPr>
              <w:pStyle w:val="TableText"/>
              <w:spacing w:before="0" w:after="0"/>
              <w:rPr>
                <w:rFonts w:eastAsia="Times New Roman" w:cs="Times New Roman"/>
                <w:szCs w:val="20"/>
                <w:lang w:eastAsia="en-AU"/>
              </w:rPr>
            </w:pPr>
            <w:r w:rsidRPr="00FD4CDF">
              <w:rPr>
                <w:rFonts w:eastAsia="Times New Roman" w:cs="Times New Roman"/>
                <w:szCs w:val="20"/>
                <w:lang w:eastAsia="en-AU"/>
              </w:rPr>
              <w:t>$1,242,</w:t>
            </w:r>
            <w:r w:rsidR="008407DF" w:rsidRPr="00FD4CDF">
              <w:rPr>
                <w:rFonts w:eastAsia="Times New Roman" w:cs="Times New Roman"/>
                <w:szCs w:val="20"/>
                <w:lang w:eastAsia="en-AU"/>
              </w:rPr>
              <w:t>176</w:t>
            </w:r>
          </w:p>
        </w:tc>
      </w:tr>
      <w:tr w:rsidR="009F6FF3" w:rsidRPr="00FD4CDF" w14:paraId="08B2810A" w14:textId="77777777" w:rsidTr="00B95965">
        <w:tc>
          <w:tcPr>
            <w:tcW w:w="5000" w:type="pct"/>
            <w:gridSpan w:val="7"/>
            <w:shd w:val="clear" w:color="auto" w:fill="D9D9D9" w:themeFill="background1" w:themeFillShade="D9"/>
          </w:tcPr>
          <w:p w14:paraId="792E8508" w14:textId="4DAE2D58" w:rsidR="009F6FF3" w:rsidRPr="00FD4CDF" w:rsidRDefault="009F6FF3">
            <w:pPr>
              <w:pStyle w:val="TableText"/>
              <w:spacing w:before="0" w:after="0"/>
              <w:rPr>
                <w:rFonts w:eastAsia="Times New Roman" w:cs="Times New Roman"/>
                <w:b/>
                <w:szCs w:val="20"/>
                <w:lang w:eastAsia="en-AU"/>
              </w:rPr>
            </w:pPr>
            <w:r w:rsidRPr="00FD4CDF">
              <w:rPr>
                <w:rFonts w:eastAsia="Times New Roman" w:cs="Times New Roman"/>
                <w:b/>
                <w:szCs w:val="20"/>
                <w:lang w:eastAsia="en-AU"/>
              </w:rPr>
              <w:t xml:space="preserve">Scenario analyses at </w:t>
            </w:r>
            <w:r w:rsidR="001317FC" w:rsidRPr="00FD4CDF">
              <w:rPr>
                <w:rFonts w:eastAsia="Times New Roman" w:cs="Times New Roman"/>
                <w:b/>
                <w:szCs w:val="20"/>
                <w:lang w:eastAsia="en-AU"/>
              </w:rPr>
              <w:t>100</w:t>
            </w:r>
            <w:r w:rsidRPr="00FD4CDF">
              <w:rPr>
                <w:rFonts w:eastAsia="Times New Roman" w:cs="Times New Roman"/>
                <w:b/>
                <w:szCs w:val="20"/>
                <w:lang w:eastAsia="en-AU"/>
              </w:rPr>
              <w:t>% benefits</w:t>
            </w:r>
          </w:p>
        </w:tc>
      </w:tr>
      <w:tr w:rsidR="009F6FF3" w:rsidRPr="00FD4CDF" w14:paraId="6ED74F70" w14:textId="77777777" w:rsidTr="00DB3DDA">
        <w:tc>
          <w:tcPr>
            <w:tcW w:w="1146" w:type="pct"/>
          </w:tcPr>
          <w:p w14:paraId="430D1D4C" w14:textId="77777777" w:rsidR="009F6FF3" w:rsidRPr="00FD4CDF" w:rsidRDefault="009F6FF3">
            <w:pPr>
              <w:pStyle w:val="TableText"/>
              <w:spacing w:before="0" w:after="0"/>
              <w:rPr>
                <w:rFonts w:eastAsia="Times New Roman" w:cs="Times New Roman"/>
                <w:szCs w:val="20"/>
                <w:lang w:eastAsia="en-AU"/>
              </w:rPr>
            </w:pPr>
            <w:r w:rsidRPr="00FD4CDF">
              <w:rPr>
                <w:rFonts w:eastAsia="Times New Roman" w:cs="Times New Roman"/>
                <w:szCs w:val="20"/>
                <w:lang w:eastAsia="en-AU"/>
              </w:rPr>
              <w:t>Base case</w:t>
            </w:r>
          </w:p>
        </w:tc>
        <w:tc>
          <w:tcPr>
            <w:tcW w:w="649" w:type="pct"/>
          </w:tcPr>
          <w:p w14:paraId="6929BD15" w14:textId="2E0E7A56"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$866,301</w:t>
            </w:r>
            <w:r w:rsidRPr="00FD4CDF">
              <w:rPr>
                <w:rStyle w:val="eop"/>
                <w:rFonts w:cs="Segoe UI"/>
                <w:szCs w:val="20"/>
              </w:rPr>
              <w:t> </w:t>
            </w:r>
          </w:p>
        </w:tc>
        <w:tc>
          <w:tcPr>
            <w:tcW w:w="649" w:type="pct"/>
          </w:tcPr>
          <w:p w14:paraId="0147AB9E" w14:textId="7C780842"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$1,038,485</w:t>
            </w:r>
            <w:r w:rsidRPr="00FD4CDF">
              <w:rPr>
                <w:rStyle w:val="eop"/>
                <w:rFonts w:cs="Segoe UI"/>
                <w:szCs w:val="20"/>
              </w:rPr>
              <w:t> </w:t>
            </w:r>
          </w:p>
        </w:tc>
        <w:tc>
          <w:tcPr>
            <w:tcW w:w="648" w:type="pct"/>
          </w:tcPr>
          <w:p w14:paraId="358F8FD6" w14:textId="23E1D612"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$1,215,427</w:t>
            </w:r>
            <w:r w:rsidRPr="00FD4CDF">
              <w:rPr>
                <w:rStyle w:val="eop"/>
                <w:rFonts w:cs="Segoe UI"/>
                <w:szCs w:val="20"/>
              </w:rPr>
              <w:t> </w:t>
            </w:r>
          </w:p>
        </w:tc>
        <w:tc>
          <w:tcPr>
            <w:tcW w:w="649" w:type="pct"/>
          </w:tcPr>
          <w:p w14:paraId="5F8DCA80" w14:textId="29DE4163"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$1,397,228</w:t>
            </w:r>
            <w:r w:rsidRPr="00FD4CDF">
              <w:rPr>
                <w:rStyle w:val="eop"/>
                <w:rFonts w:cs="Segoe UI"/>
                <w:szCs w:val="20"/>
              </w:rPr>
              <w:t> </w:t>
            </w:r>
          </w:p>
        </w:tc>
        <w:tc>
          <w:tcPr>
            <w:tcW w:w="648" w:type="pct"/>
          </w:tcPr>
          <w:p w14:paraId="5D9E79EC" w14:textId="4E7F4C6E"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$1,583,991</w:t>
            </w:r>
            <w:r w:rsidRPr="00FD4CDF">
              <w:rPr>
                <w:rStyle w:val="eop"/>
                <w:rFonts w:cs="Segoe UI"/>
                <w:szCs w:val="20"/>
              </w:rPr>
              <w:t> </w:t>
            </w:r>
          </w:p>
        </w:tc>
        <w:tc>
          <w:tcPr>
            <w:tcW w:w="611" w:type="pct"/>
          </w:tcPr>
          <w:p w14:paraId="23B84261" w14:textId="04A3ED29" w:rsidR="009F6FF3" w:rsidRPr="00FD4CDF" w:rsidRDefault="001317FC">
            <w:pPr>
              <w:pStyle w:val="TableText"/>
              <w:spacing w:before="0" w:after="0"/>
              <w:rPr>
                <w:rFonts w:eastAsia="Times New Roman" w:cs="Times New Roman"/>
                <w:szCs w:val="20"/>
                <w:lang w:eastAsia="en-AU"/>
              </w:rPr>
            </w:pPr>
            <w:r w:rsidRPr="00FD4CDF">
              <w:rPr>
                <w:rStyle w:val="normaltextrun"/>
                <w:rFonts w:cs="Segoe UI"/>
                <w:szCs w:val="20"/>
              </w:rPr>
              <w:t>$1,691,258</w:t>
            </w:r>
            <w:r w:rsidRPr="00FD4CDF">
              <w:rPr>
                <w:rStyle w:val="eop"/>
                <w:rFonts w:cs="Segoe UI"/>
                <w:szCs w:val="20"/>
              </w:rPr>
              <w:t> </w:t>
            </w:r>
          </w:p>
        </w:tc>
      </w:tr>
      <w:tr w:rsidR="009F6FF3" w:rsidRPr="00FD4CDF" w14:paraId="4C811D7A" w14:textId="77777777" w:rsidTr="00DC276A">
        <w:tc>
          <w:tcPr>
            <w:tcW w:w="5000" w:type="pct"/>
            <w:gridSpan w:val="7"/>
          </w:tcPr>
          <w:p w14:paraId="550F7179" w14:textId="77777777" w:rsidR="009F6FF3" w:rsidRPr="00FD4CDF" w:rsidRDefault="009F6FF3">
            <w:pPr>
              <w:pStyle w:val="TableText"/>
              <w:spacing w:before="0" w:after="0"/>
              <w:rPr>
                <w:rFonts w:eastAsia="Times New Roman" w:cs="Times New Roman"/>
                <w:b/>
                <w:szCs w:val="20"/>
                <w:lang w:eastAsia="en-AU"/>
              </w:rPr>
            </w:pPr>
            <w:r w:rsidRPr="00FD4CDF">
              <w:rPr>
                <w:rFonts w:eastAsia="Times New Roman" w:cs="Times New Roman"/>
                <w:b/>
                <w:szCs w:val="20"/>
                <w:lang w:eastAsia="en-AU"/>
              </w:rPr>
              <w:t>One-way deterministic analyses</w:t>
            </w:r>
          </w:p>
        </w:tc>
      </w:tr>
      <w:tr w:rsidR="009F6FF3" w:rsidRPr="00016314" w14:paraId="3022295B" w14:textId="77777777" w:rsidTr="00DB3DDA">
        <w:tc>
          <w:tcPr>
            <w:tcW w:w="1146" w:type="pct"/>
          </w:tcPr>
          <w:p w14:paraId="1054A817" w14:textId="0A135B8E" w:rsidR="009F6FF3" w:rsidRPr="00FD4CDF" w:rsidRDefault="00A35CF5">
            <w:pPr>
              <w:pStyle w:val="TableText"/>
              <w:spacing w:before="0" w:after="0"/>
              <w:rPr>
                <w:rFonts w:eastAsia="Times New Roman" w:cs="Times New Roman"/>
                <w:szCs w:val="20"/>
                <w:lang w:eastAsia="en-AU"/>
              </w:rPr>
            </w:pPr>
            <w:r w:rsidRPr="00FD4CDF">
              <w:rPr>
                <w:rStyle w:val="normaltextrun"/>
                <w:rFonts w:cs="Segoe UI"/>
                <w:szCs w:val="20"/>
              </w:rPr>
              <w:t>Proposed MBS cost with error margin</w:t>
            </w:r>
            <w:r w:rsidRPr="00FD4CDF">
              <w:rPr>
                <w:rStyle w:val="eop"/>
                <w:rFonts w:cs="Segoe UI"/>
                <w:szCs w:val="20"/>
              </w:rPr>
              <w:t> </w:t>
            </w:r>
            <w:r w:rsidR="006C3EA1" w:rsidRPr="00FD4CDF">
              <w:rPr>
                <w:rStyle w:val="eop"/>
                <w:rFonts w:cs="Segoe UI"/>
                <w:szCs w:val="20"/>
              </w:rPr>
              <w:t>(</w:t>
            </w:r>
            <w:r w:rsidR="006C3EA1" w:rsidRPr="00FD4CDF">
              <w:rPr>
                <w:rStyle w:val="eop"/>
                <w:rFonts w:cs="Segoe UI"/>
              </w:rPr>
              <w:t>$550.00)</w:t>
            </w:r>
          </w:p>
        </w:tc>
        <w:tc>
          <w:tcPr>
            <w:tcW w:w="649" w:type="pct"/>
          </w:tcPr>
          <w:p w14:paraId="1AC13ADF" w14:textId="37F71A9C" w:rsidR="009F6FF3" w:rsidRPr="00FD4CDF" w:rsidRDefault="00A35CF5">
            <w:pPr>
              <w:pStyle w:val="TableText"/>
              <w:spacing w:before="0" w:after="0"/>
              <w:rPr>
                <w:rFonts w:eastAsia="Times New Roman" w:cs="Times New Roman"/>
                <w:szCs w:val="20"/>
                <w:lang w:eastAsia="en-AU"/>
              </w:rPr>
            </w:pPr>
            <w:r w:rsidRPr="00FD4CDF">
              <w:rPr>
                <w:rStyle w:val="normaltextrun"/>
                <w:rFonts w:cs="Segoe UI"/>
                <w:szCs w:val="20"/>
              </w:rPr>
              <w:t>$958,433</w:t>
            </w:r>
            <w:r w:rsidRPr="00FD4CDF">
              <w:rPr>
                <w:rStyle w:val="eop"/>
                <w:rFonts w:cs="Segoe UI"/>
                <w:szCs w:val="20"/>
              </w:rPr>
              <w:t> </w:t>
            </w:r>
          </w:p>
        </w:tc>
        <w:tc>
          <w:tcPr>
            <w:tcW w:w="649" w:type="pct"/>
          </w:tcPr>
          <w:p w14:paraId="01FC3F8D" w14:textId="1DC4B009" w:rsidR="009F6FF3" w:rsidRPr="00FD4CDF" w:rsidRDefault="00A35CF5">
            <w:pPr>
              <w:pStyle w:val="TableText"/>
              <w:spacing w:before="0" w:after="0"/>
              <w:rPr>
                <w:rFonts w:eastAsia="Times New Roman" w:cs="Times New Roman"/>
                <w:szCs w:val="20"/>
                <w:lang w:eastAsia="en-AU"/>
              </w:rPr>
            </w:pPr>
            <w:r w:rsidRPr="00FD4CDF">
              <w:rPr>
                <w:rStyle w:val="normaltextrun"/>
                <w:rFonts w:cs="Segoe UI"/>
                <w:szCs w:val="20"/>
              </w:rPr>
              <w:t>$1,148,929</w:t>
            </w:r>
            <w:r w:rsidRPr="00FD4CDF">
              <w:rPr>
                <w:rStyle w:val="eop"/>
                <w:rFonts w:cs="Segoe UI"/>
                <w:szCs w:val="20"/>
              </w:rPr>
              <w:t> </w:t>
            </w:r>
          </w:p>
        </w:tc>
        <w:tc>
          <w:tcPr>
            <w:tcW w:w="648" w:type="pct"/>
          </w:tcPr>
          <w:p w14:paraId="451EC316" w14:textId="1DA20930" w:rsidR="009F6FF3" w:rsidRPr="00FD4CDF" w:rsidRDefault="00A35CF5">
            <w:pPr>
              <w:pStyle w:val="TableText"/>
              <w:spacing w:before="0" w:after="0"/>
              <w:rPr>
                <w:rFonts w:eastAsia="Times New Roman" w:cs="Times New Roman"/>
                <w:szCs w:val="20"/>
                <w:lang w:eastAsia="en-AU"/>
              </w:rPr>
            </w:pPr>
            <w:r w:rsidRPr="00FD4CDF">
              <w:rPr>
                <w:rStyle w:val="normaltextrun"/>
                <w:rFonts w:cs="Segoe UI"/>
                <w:szCs w:val="20"/>
              </w:rPr>
              <w:t>$1,344,688</w:t>
            </w:r>
            <w:r w:rsidRPr="00FD4CDF">
              <w:rPr>
                <w:rStyle w:val="eop"/>
                <w:rFonts w:cs="Segoe UI"/>
                <w:szCs w:val="20"/>
              </w:rPr>
              <w:t> </w:t>
            </w:r>
          </w:p>
        </w:tc>
        <w:tc>
          <w:tcPr>
            <w:tcW w:w="649" w:type="pct"/>
          </w:tcPr>
          <w:p w14:paraId="482F0C0B" w14:textId="6C472797" w:rsidR="009F6FF3" w:rsidRPr="00FD4CDF" w:rsidRDefault="00A35CF5">
            <w:pPr>
              <w:pStyle w:val="TableText"/>
              <w:spacing w:before="0" w:after="0"/>
              <w:rPr>
                <w:rFonts w:eastAsia="Times New Roman" w:cs="Times New Roman"/>
                <w:szCs w:val="20"/>
                <w:lang w:eastAsia="en-AU"/>
              </w:rPr>
            </w:pPr>
            <w:r w:rsidRPr="00FD4CDF">
              <w:rPr>
                <w:rStyle w:val="normaltextrun"/>
                <w:rFonts w:cs="Segoe UI"/>
                <w:szCs w:val="20"/>
              </w:rPr>
              <w:t>$1,545,824</w:t>
            </w:r>
            <w:r w:rsidRPr="00FD4CDF">
              <w:rPr>
                <w:rStyle w:val="eop"/>
                <w:rFonts w:cs="Segoe UI"/>
                <w:szCs w:val="20"/>
              </w:rPr>
              <w:t> </w:t>
            </w:r>
          </w:p>
        </w:tc>
        <w:tc>
          <w:tcPr>
            <w:tcW w:w="648" w:type="pct"/>
          </w:tcPr>
          <w:p w14:paraId="4FEDE5CD" w14:textId="00C6ABB1" w:rsidR="009F6FF3" w:rsidRPr="00FD4CDF" w:rsidRDefault="00A35CF5">
            <w:pPr>
              <w:pStyle w:val="TableText"/>
              <w:spacing w:before="0" w:after="0"/>
              <w:rPr>
                <w:rFonts w:eastAsia="Times New Roman" w:cs="Times New Roman"/>
                <w:szCs w:val="20"/>
                <w:lang w:eastAsia="en-AU"/>
              </w:rPr>
            </w:pPr>
            <w:r w:rsidRPr="00FD4CDF">
              <w:rPr>
                <w:rStyle w:val="normaltextrun"/>
                <w:rFonts w:cs="Segoe UI"/>
                <w:szCs w:val="20"/>
              </w:rPr>
              <w:t>$1,752,449</w:t>
            </w:r>
            <w:r w:rsidRPr="00FD4CDF">
              <w:rPr>
                <w:rStyle w:val="eop"/>
                <w:rFonts w:cs="Segoe UI"/>
                <w:szCs w:val="20"/>
              </w:rPr>
              <w:t> </w:t>
            </w:r>
          </w:p>
        </w:tc>
        <w:tc>
          <w:tcPr>
            <w:tcW w:w="611" w:type="pct"/>
          </w:tcPr>
          <w:p w14:paraId="7495C136" w14:textId="60B56510" w:rsidR="009F6FF3" w:rsidRPr="0057505F" w:rsidRDefault="00A35CF5">
            <w:pPr>
              <w:pStyle w:val="TableText"/>
              <w:spacing w:before="0" w:after="0"/>
              <w:rPr>
                <w:rFonts w:eastAsia="Times New Roman" w:cs="Times New Roman"/>
                <w:szCs w:val="20"/>
                <w:lang w:eastAsia="en-AU"/>
              </w:rPr>
            </w:pPr>
            <w:r w:rsidRPr="00FD4CDF">
              <w:rPr>
                <w:rStyle w:val="normaltextrun"/>
                <w:rFonts w:cs="Segoe UI"/>
                <w:szCs w:val="20"/>
              </w:rPr>
              <w:t>$1,871,124</w:t>
            </w:r>
            <w:r>
              <w:rPr>
                <w:rStyle w:val="eop"/>
                <w:rFonts w:cs="Segoe UI"/>
                <w:szCs w:val="20"/>
              </w:rPr>
              <w:t> </w:t>
            </w:r>
          </w:p>
        </w:tc>
      </w:tr>
      <w:tr w:rsidR="00C06765" w:rsidRPr="00016314" w14:paraId="4AE23303" w14:textId="77777777" w:rsidTr="00DB3DDA">
        <w:tc>
          <w:tcPr>
            <w:tcW w:w="1146" w:type="pct"/>
          </w:tcPr>
          <w:p w14:paraId="7E40CE46" w14:textId="1F63D3D6" w:rsidR="00C06765" w:rsidRDefault="00E85C9B">
            <w:pPr>
              <w:pStyle w:val="TableText"/>
              <w:spacing w:before="0" w:after="0"/>
              <w:rPr>
                <w:rStyle w:val="normaltextrun"/>
                <w:rFonts w:cs="Segoe UI"/>
                <w:szCs w:val="20"/>
              </w:rPr>
            </w:pPr>
            <w:r>
              <w:rPr>
                <w:rStyle w:val="normaltextrun"/>
                <w:rFonts w:cs="Segoe UI"/>
                <w:szCs w:val="20"/>
              </w:rPr>
              <w:t>Alternative MBS cost after duplication removed ($</w:t>
            </w:r>
            <w:r w:rsidR="00D41CA3">
              <w:rPr>
                <w:rStyle w:val="normaltextrun"/>
                <w:rFonts w:cs="Segoe UI"/>
                <w:szCs w:val="20"/>
              </w:rPr>
              <w:t>468.15)</w:t>
            </w:r>
          </w:p>
        </w:tc>
        <w:tc>
          <w:tcPr>
            <w:tcW w:w="649" w:type="pct"/>
          </w:tcPr>
          <w:p w14:paraId="173661B9" w14:textId="4C1C1A1D" w:rsidR="00C06765" w:rsidRDefault="00A00A30">
            <w:pPr>
              <w:pStyle w:val="TableText"/>
              <w:spacing w:before="0" w:after="0"/>
              <w:rPr>
                <w:rStyle w:val="normaltextrun"/>
                <w:rFonts w:cs="Segoe UI"/>
                <w:szCs w:val="20"/>
              </w:rPr>
            </w:pPr>
            <w:r>
              <w:rPr>
                <w:rStyle w:val="normaltextrun"/>
                <w:rFonts w:cs="Segoe UI"/>
                <w:szCs w:val="20"/>
              </w:rPr>
              <w:t>$815,</w:t>
            </w:r>
            <w:r w:rsidR="006B678E">
              <w:rPr>
                <w:rStyle w:val="normaltextrun"/>
                <w:rFonts w:cs="Segoe UI"/>
                <w:szCs w:val="20"/>
              </w:rPr>
              <w:t>801</w:t>
            </w:r>
          </w:p>
        </w:tc>
        <w:tc>
          <w:tcPr>
            <w:tcW w:w="649" w:type="pct"/>
          </w:tcPr>
          <w:p w14:paraId="1C4FA74A" w14:textId="1BA330F7" w:rsidR="00C06765" w:rsidRDefault="006B678E">
            <w:pPr>
              <w:pStyle w:val="TableText"/>
              <w:spacing w:before="0" w:after="0"/>
              <w:rPr>
                <w:rStyle w:val="normaltextrun"/>
                <w:rFonts w:cs="Segoe UI"/>
                <w:szCs w:val="20"/>
              </w:rPr>
            </w:pPr>
            <w:r>
              <w:rPr>
                <w:rStyle w:val="normaltextrun"/>
                <w:rFonts w:cs="Segoe UI"/>
                <w:szCs w:val="20"/>
              </w:rPr>
              <w:t>$977,947</w:t>
            </w:r>
          </w:p>
        </w:tc>
        <w:tc>
          <w:tcPr>
            <w:tcW w:w="648" w:type="pct"/>
          </w:tcPr>
          <w:p w14:paraId="36D17463" w14:textId="3C14D15B" w:rsidR="00C06765" w:rsidRDefault="006B678E">
            <w:pPr>
              <w:pStyle w:val="TableText"/>
              <w:spacing w:before="0" w:after="0"/>
              <w:rPr>
                <w:rStyle w:val="normaltextrun"/>
                <w:rFonts w:cs="Segoe UI"/>
                <w:szCs w:val="20"/>
              </w:rPr>
            </w:pPr>
            <w:r>
              <w:rPr>
                <w:rStyle w:val="normaltextrun"/>
                <w:rFonts w:cs="Segoe UI"/>
                <w:szCs w:val="20"/>
              </w:rPr>
              <w:t>$1,144,574</w:t>
            </w:r>
          </w:p>
        </w:tc>
        <w:tc>
          <w:tcPr>
            <w:tcW w:w="649" w:type="pct"/>
          </w:tcPr>
          <w:p w14:paraId="1C6ABDC7" w14:textId="2326A964" w:rsidR="00C06765" w:rsidRDefault="006B678E">
            <w:pPr>
              <w:pStyle w:val="TableText"/>
              <w:spacing w:before="0" w:after="0"/>
              <w:rPr>
                <w:rStyle w:val="normaltextrun"/>
                <w:rFonts w:cs="Segoe UI"/>
                <w:szCs w:val="20"/>
              </w:rPr>
            </w:pPr>
            <w:r>
              <w:rPr>
                <w:rStyle w:val="normaltextrun"/>
                <w:rFonts w:cs="Segoe UI"/>
                <w:szCs w:val="20"/>
              </w:rPr>
              <w:t>$1,315,777</w:t>
            </w:r>
          </w:p>
        </w:tc>
        <w:tc>
          <w:tcPr>
            <w:tcW w:w="648" w:type="pct"/>
          </w:tcPr>
          <w:p w14:paraId="45FF3D88" w14:textId="0DAFD3C5" w:rsidR="00C06765" w:rsidRDefault="006B678E">
            <w:pPr>
              <w:pStyle w:val="TableText"/>
              <w:spacing w:before="0" w:after="0"/>
              <w:rPr>
                <w:rStyle w:val="normaltextrun"/>
                <w:rFonts w:cs="Segoe UI"/>
                <w:szCs w:val="20"/>
              </w:rPr>
            </w:pPr>
            <w:r>
              <w:rPr>
                <w:rStyle w:val="normaltextrun"/>
                <w:rFonts w:cs="Segoe UI"/>
                <w:szCs w:val="20"/>
              </w:rPr>
              <w:t>$1,491,</w:t>
            </w:r>
            <w:r w:rsidR="001973C1">
              <w:rPr>
                <w:rStyle w:val="normaltextrun"/>
                <w:rFonts w:cs="Segoe UI"/>
                <w:szCs w:val="20"/>
              </w:rPr>
              <w:t>653</w:t>
            </w:r>
          </w:p>
        </w:tc>
        <w:tc>
          <w:tcPr>
            <w:tcW w:w="611" w:type="pct"/>
          </w:tcPr>
          <w:p w14:paraId="6BE853C2" w14:textId="20703A79" w:rsidR="00C06765" w:rsidRDefault="001973C1">
            <w:pPr>
              <w:pStyle w:val="TableText"/>
              <w:spacing w:before="0" w:after="0"/>
              <w:rPr>
                <w:rStyle w:val="normaltextrun"/>
                <w:rFonts w:cs="Segoe UI"/>
                <w:szCs w:val="20"/>
              </w:rPr>
            </w:pPr>
            <w:r>
              <w:rPr>
                <w:rStyle w:val="normaltextrun"/>
                <w:rFonts w:cs="Segoe UI"/>
                <w:szCs w:val="20"/>
              </w:rPr>
              <w:t>$1,592,666</w:t>
            </w:r>
          </w:p>
        </w:tc>
      </w:tr>
      <w:tr w:rsidR="00C06765" w:rsidRPr="00016314" w14:paraId="697D59EA" w14:textId="77777777" w:rsidTr="00DB3DDA">
        <w:tc>
          <w:tcPr>
            <w:tcW w:w="1146" w:type="pct"/>
          </w:tcPr>
          <w:p w14:paraId="34D3DAD7" w14:textId="59C7238F" w:rsidR="00C06765" w:rsidRDefault="00FF61B5">
            <w:pPr>
              <w:pStyle w:val="TableText"/>
              <w:spacing w:before="0" w:after="0"/>
              <w:rPr>
                <w:rStyle w:val="normaltextrun"/>
                <w:rFonts w:cs="Segoe UI"/>
                <w:szCs w:val="20"/>
              </w:rPr>
            </w:pPr>
            <w:r>
              <w:rPr>
                <w:rStyle w:val="normaltextrun"/>
                <w:rFonts w:cs="Segoe UI"/>
                <w:szCs w:val="20"/>
              </w:rPr>
              <w:t>Existing cost of s</w:t>
            </w:r>
            <w:r w:rsidR="005B2FC0">
              <w:rPr>
                <w:rStyle w:val="normaltextrun"/>
                <w:rFonts w:cs="Segoe UI"/>
                <w:szCs w:val="20"/>
              </w:rPr>
              <w:t>ingle gene testing ($397.35)</w:t>
            </w:r>
          </w:p>
        </w:tc>
        <w:tc>
          <w:tcPr>
            <w:tcW w:w="649" w:type="pct"/>
          </w:tcPr>
          <w:p w14:paraId="3E7F2C31" w14:textId="4EBB728C" w:rsidR="00C06765" w:rsidRDefault="001E4D9B">
            <w:pPr>
              <w:pStyle w:val="TableText"/>
              <w:spacing w:before="0" w:after="0"/>
              <w:rPr>
                <w:rStyle w:val="normaltextrun"/>
                <w:rFonts w:cs="Segoe UI"/>
                <w:szCs w:val="20"/>
              </w:rPr>
            </w:pPr>
            <w:r>
              <w:rPr>
                <w:rStyle w:val="normaltextrun"/>
                <w:rFonts w:cs="Segoe UI"/>
                <w:szCs w:val="20"/>
              </w:rPr>
              <w:t>$692,</w:t>
            </w:r>
            <w:r w:rsidR="00053338">
              <w:rPr>
                <w:rStyle w:val="normaltextrun"/>
                <w:rFonts w:cs="Segoe UI"/>
                <w:szCs w:val="20"/>
              </w:rPr>
              <w:t>424</w:t>
            </w:r>
          </w:p>
        </w:tc>
        <w:tc>
          <w:tcPr>
            <w:tcW w:w="649" w:type="pct"/>
          </w:tcPr>
          <w:p w14:paraId="2FCF3595" w14:textId="24DBFF83" w:rsidR="00C06765" w:rsidRDefault="00053338">
            <w:pPr>
              <w:pStyle w:val="TableText"/>
              <w:spacing w:before="0" w:after="0"/>
              <w:rPr>
                <w:rStyle w:val="normaltextrun"/>
                <w:rFonts w:cs="Segoe UI"/>
                <w:szCs w:val="20"/>
              </w:rPr>
            </w:pPr>
            <w:r>
              <w:rPr>
                <w:rStyle w:val="normaltextrun"/>
                <w:rFonts w:cs="Segoe UI"/>
                <w:szCs w:val="20"/>
              </w:rPr>
              <w:t>$830,049</w:t>
            </w:r>
          </w:p>
        </w:tc>
        <w:tc>
          <w:tcPr>
            <w:tcW w:w="648" w:type="pct"/>
          </w:tcPr>
          <w:p w14:paraId="3B47708B" w14:textId="4F1CCF9C" w:rsidR="00C06765" w:rsidRDefault="00053338">
            <w:pPr>
              <w:pStyle w:val="TableText"/>
              <w:spacing w:before="0" w:after="0"/>
              <w:rPr>
                <w:rStyle w:val="normaltextrun"/>
                <w:rFonts w:cs="Segoe UI"/>
                <w:szCs w:val="20"/>
              </w:rPr>
            </w:pPr>
            <w:r>
              <w:rPr>
                <w:rStyle w:val="normaltextrun"/>
                <w:rFonts w:cs="Segoe UI"/>
                <w:szCs w:val="20"/>
              </w:rPr>
              <w:t>$971,476</w:t>
            </w:r>
          </w:p>
        </w:tc>
        <w:tc>
          <w:tcPr>
            <w:tcW w:w="649" w:type="pct"/>
          </w:tcPr>
          <w:p w14:paraId="3EB54F0D" w14:textId="6A807709" w:rsidR="00C06765" w:rsidRDefault="00053338">
            <w:pPr>
              <w:pStyle w:val="TableText"/>
              <w:spacing w:before="0" w:after="0"/>
              <w:rPr>
                <w:rStyle w:val="normaltextrun"/>
                <w:rFonts w:cs="Segoe UI"/>
                <w:szCs w:val="20"/>
              </w:rPr>
            </w:pPr>
            <w:r>
              <w:rPr>
                <w:rStyle w:val="normaltextrun"/>
                <w:rFonts w:cs="Segoe UI"/>
                <w:szCs w:val="20"/>
              </w:rPr>
              <w:t>$1,116,788</w:t>
            </w:r>
          </w:p>
        </w:tc>
        <w:tc>
          <w:tcPr>
            <w:tcW w:w="648" w:type="pct"/>
          </w:tcPr>
          <w:p w14:paraId="4CA6754C" w14:textId="4457F0E3" w:rsidR="00C06765" w:rsidRDefault="00053338">
            <w:pPr>
              <w:pStyle w:val="TableText"/>
              <w:spacing w:before="0" w:after="0"/>
              <w:rPr>
                <w:rStyle w:val="normaltextrun"/>
                <w:rFonts w:cs="Segoe UI"/>
                <w:szCs w:val="20"/>
              </w:rPr>
            </w:pPr>
            <w:r>
              <w:rPr>
                <w:rStyle w:val="normaltextrun"/>
                <w:rFonts w:cs="Segoe UI"/>
                <w:szCs w:val="20"/>
              </w:rPr>
              <w:t>$</w:t>
            </w:r>
            <w:r w:rsidR="00A00A30">
              <w:rPr>
                <w:rStyle w:val="normaltextrun"/>
                <w:rFonts w:cs="Segoe UI"/>
                <w:szCs w:val="20"/>
              </w:rPr>
              <w:t>1,266,065</w:t>
            </w:r>
          </w:p>
        </w:tc>
        <w:tc>
          <w:tcPr>
            <w:tcW w:w="611" w:type="pct"/>
          </w:tcPr>
          <w:p w14:paraId="28EEBAB4" w14:textId="677E3F48" w:rsidR="00C06765" w:rsidRDefault="00A00A30">
            <w:pPr>
              <w:pStyle w:val="TableText"/>
              <w:spacing w:before="0" w:after="0"/>
              <w:rPr>
                <w:rStyle w:val="normaltextrun"/>
                <w:rFonts w:cs="Segoe UI"/>
                <w:szCs w:val="20"/>
              </w:rPr>
            </w:pPr>
            <w:r>
              <w:rPr>
                <w:rStyle w:val="normaltextrun"/>
                <w:rFonts w:cs="Segoe UI"/>
                <w:szCs w:val="20"/>
              </w:rPr>
              <w:t>$1,351,802</w:t>
            </w:r>
          </w:p>
        </w:tc>
      </w:tr>
      <w:tr w:rsidR="009F6FF3" w:rsidRPr="00CA488D" w14:paraId="0874E5E9" w14:textId="77777777" w:rsidTr="00DC276A">
        <w:tc>
          <w:tcPr>
            <w:tcW w:w="5000" w:type="pct"/>
            <w:gridSpan w:val="7"/>
          </w:tcPr>
          <w:p w14:paraId="2C13A385" w14:textId="77777777" w:rsidR="009F6FF3" w:rsidRPr="00CA488D" w:rsidRDefault="009F6FF3" w:rsidP="00806E0E">
            <w:pPr>
              <w:pStyle w:val="TableText"/>
              <w:keepNext/>
              <w:spacing w:before="0" w:after="0"/>
              <w:rPr>
                <w:rFonts w:eastAsia="Times New Roman" w:cs="Times New Roman"/>
                <w:b/>
                <w:szCs w:val="20"/>
                <w:lang w:eastAsia="en-AU"/>
              </w:rPr>
            </w:pPr>
            <w:r w:rsidRPr="00CA488D">
              <w:rPr>
                <w:rFonts w:eastAsia="Times New Roman" w:cs="Times New Roman"/>
                <w:b/>
                <w:szCs w:val="20"/>
                <w:lang w:eastAsia="en-AU"/>
              </w:rPr>
              <w:t>Scenario analyses</w:t>
            </w:r>
          </w:p>
        </w:tc>
      </w:tr>
      <w:tr w:rsidR="009F6FF3" w:rsidRPr="00016314" w14:paraId="789F2A4E" w14:textId="77777777" w:rsidTr="00DB3DDA">
        <w:tc>
          <w:tcPr>
            <w:tcW w:w="1146" w:type="pct"/>
          </w:tcPr>
          <w:p w14:paraId="07A4D5CB" w14:textId="77777777" w:rsidR="009F6FF3" w:rsidRPr="0057505F" w:rsidRDefault="009F6FF3">
            <w:pPr>
              <w:pStyle w:val="TableText"/>
              <w:spacing w:before="0" w:after="0"/>
              <w:rPr>
                <w:rFonts w:eastAsia="Times New Roman" w:cs="Times New Roman"/>
                <w:szCs w:val="20"/>
                <w:lang w:eastAsia="en-AU"/>
              </w:rPr>
            </w:pPr>
            <w:r w:rsidRPr="0057505F">
              <w:rPr>
                <w:rFonts w:eastAsia="Times New Roman" w:cs="Times New Roman"/>
                <w:szCs w:val="20"/>
                <w:lang w:eastAsia="en-AU"/>
              </w:rPr>
              <w:t>BAGP classification</w:t>
            </w:r>
          </w:p>
        </w:tc>
        <w:tc>
          <w:tcPr>
            <w:tcW w:w="649" w:type="pct"/>
          </w:tcPr>
          <w:p w14:paraId="59AA7E6C" w14:textId="29F306C2" w:rsidR="009F6FF3" w:rsidRPr="0057505F" w:rsidRDefault="006B1B37">
            <w:pPr>
              <w:pStyle w:val="TableText"/>
              <w:spacing w:before="0" w:after="0"/>
              <w:rPr>
                <w:rFonts w:eastAsia="Times New Roman" w:cs="Times New Roman"/>
                <w:szCs w:val="20"/>
                <w:lang w:eastAsia="en-AU"/>
              </w:rPr>
            </w:pPr>
            <w:r>
              <w:rPr>
                <w:rStyle w:val="normaltextrun"/>
                <w:rFonts w:cs="Segoe UI"/>
                <w:szCs w:val="20"/>
              </w:rPr>
              <w:t>$570,138</w:t>
            </w:r>
            <w:r>
              <w:rPr>
                <w:rStyle w:val="eop"/>
                <w:rFonts w:cs="Segoe UI"/>
                <w:szCs w:val="20"/>
              </w:rPr>
              <w:t> </w:t>
            </w:r>
          </w:p>
        </w:tc>
        <w:tc>
          <w:tcPr>
            <w:tcW w:w="649" w:type="pct"/>
          </w:tcPr>
          <w:p w14:paraId="7CC0DF7B" w14:textId="6B570DA6" w:rsidR="009F6FF3" w:rsidRPr="0057505F" w:rsidRDefault="006B1B37">
            <w:pPr>
              <w:pStyle w:val="TableText"/>
              <w:spacing w:before="0" w:after="0"/>
              <w:rPr>
                <w:rFonts w:eastAsia="Times New Roman" w:cs="Times New Roman"/>
                <w:szCs w:val="20"/>
                <w:lang w:eastAsia="en-AU"/>
              </w:rPr>
            </w:pPr>
            <w:r>
              <w:rPr>
                <w:rStyle w:val="normaltextrun"/>
                <w:rFonts w:cs="Segoe UI"/>
                <w:szCs w:val="20"/>
              </w:rPr>
              <w:t>$683,457</w:t>
            </w:r>
            <w:r>
              <w:rPr>
                <w:rStyle w:val="eop"/>
                <w:rFonts w:cs="Segoe UI"/>
                <w:szCs w:val="20"/>
              </w:rPr>
              <w:t> </w:t>
            </w:r>
          </w:p>
        </w:tc>
        <w:tc>
          <w:tcPr>
            <w:tcW w:w="648" w:type="pct"/>
          </w:tcPr>
          <w:p w14:paraId="0E4A6141" w14:textId="05B39CF5" w:rsidR="009F6FF3" w:rsidRPr="0057505F" w:rsidRDefault="006B1B37">
            <w:pPr>
              <w:pStyle w:val="TableText"/>
              <w:spacing w:before="0" w:after="0"/>
              <w:rPr>
                <w:rFonts w:eastAsia="Times New Roman" w:cs="Times New Roman"/>
                <w:szCs w:val="20"/>
                <w:lang w:eastAsia="en-AU"/>
              </w:rPr>
            </w:pPr>
            <w:r>
              <w:rPr>
                <w:rStyle w:val="normaltextrun"/>
                <w:rFonts w:cs="Segoe UI"/>
                <w:szCs w:val="20"/>
              </w:rPr>
              <w:t>$799,908</w:t>
            </w:r>
            <w:r>
              <w:rPr>
                <w:rStyle w:val="eop"/>
                <w:rFonts w:cs="Segoe UI"/>
                <w:szCs w:val="20"/>
              </w:rPr>
              <w:t> </w:t>
            </w:r>
          </w:p>
        </w:tc>
        <w:tc>
          <w:tcPr>
            <w:tcW w:w="649" w:type="pct"/>
          </w:tcPr>
          <w:p w14:paraId="5681BFEC" w14:textId="56991C06" w:rsidR="009F6FF3" w:rsidRPr="0057505F" w:rsidRDefault="006B1B37">
            <w:pPr>
              <w:pStyle w:val="TableText"/>
              <w:spacing w:before="0" w:after="0"/>
              <w:rPr>
                <w:rFonts w:eastAsia="Times New Roman" w:cs="Times New Roman"/>
                <w:szCs w:val="20"/>
                <w:lang w:eastAsia="en-AU"/>
              </w:rPr>
            </w:pPr>
            <w:r>
              <w:rPr>
                <w:rStyle w:val="normaltextrun"/>
                <w:rFonts w:cs="Segoe UI"/>
                <w:szCs w:val="20"/>
              </w:rPr>
              <w:t>$919,556</w:t>
            </w:r>
            <w:r>
              <w:rPr>
                <w:rStyle w:val="eop"/>
                <w:rFonts w:cs="Segoe UI"/>
                <w:szCs w:val="20"/>
              </w:rPr>
              <w:t> </w:t>
            </w:r>
          </w:p>
        </w:tc>
        <w:tc>
          <w:tcPr>
            <w:tcW w:w="648" w:type="pct"/>
          </w:tcPr>
          <w:p w14:paraId="4AAC9B3F" w14:textId="4AD4F4C9" w:rsidR="009F6FF3" w:rsidRPr="0057505F" w:rsidRDefault="006B1B37">
            <w:pPr>
              <w:pStyle w:val="TableText"/>
              <w:spacing w:before="0" w:after="0"/>
              <w:rPr>
                <w:rFonts w:eastAsia="Times New Roman" w:cs="Times New Roman"/>
                <w:szCs w:val="20"/>
                <w:lang w:eastAsia="en-AU"/>
              </w:rPr>
            </w:pPr>
            <w:r>
              <w:rPr>
                <w:rStyle w:val="normaltextrun"/>
                <w:rFonts w:cs="Segoe UI"/>
                <w:szCs w:val="20"/>
              </w:rPr>
              <w:t>$1,042,470</w:t>
            </w:r>
            <w:r>
              <w:rPr>
                <w:rStyle w:val="eop"/>
                <w:rFonts w:cs="Segoe UI"/>
                <w:szCs w:val="20"/>
              </w:rPr>
              <w:t> </w:t>
            </w:r>
          </w:p>
        </w:tc>
        <w:tc>
          <w:tcPr>
            <w:tcW w:w="611" w:type="pct"/>
          </w:tcPr>
          <w:p w14:paraId="5ACCA9E9" w14:textId="66BF9E5B" w:rsidR="009F6FF3" w:rsidRPr="0057505F" w:rsidRDefault="006B1B37">
            <w:pPr>
              <w:pStyle w:val="TableText"/>
              <w:spacing w:before="0" w:after="0"/>
              <w:rPr>
                <w:rFonts w:eastAsia="Times New Roman" w:cs="Times New Roman"/>
                <w:szCs w:val="20"/>
                <w:lang w:eastAsia="en-AU"/>
              </w:rPr>
            </w:pPr>
            <w:r>
              <w:rPr>
                <w:rStyle w:val="normaltextrun"/>
                <w:rFonts w:cs="Segoe UI"/>
                <w:szCs w:val="20"/>
              </w:rPr>
              <w:t>$1,113,066</w:t>
            </w:r>
            <w:r>
              <w:rPr>
                <w:rStyle w:val="eop"/>
                <w:rFonts w:cs="Segoe UI"/>
                <w:szCs w:val="20"/>
              </w:rPr>
              <w:t> </w:t>
            </w:r>
          </w:p>
        </w:tc>
      </w:tr>
      <w:tr w:rsidR="009F6FF3" w:rsidRPr="00016314" w14:paraId="0C531B58" w14:textId="77777777" w:rsidTr="00DB3DDA">
        <w:tc>
          <w:tcPr>
            <w:tcW w:w="1146" w:type="pct"/>
          </w:tcPr>
          <w:p w14:paraId="0D26EA4D" w14:textId="77777777" w:rsidR="009F6FF3" w:rsidRPr="0057505F" w:rsidRDefault="009F6FF3">
            <w:pPr>
              <w:pStyle w:val="TableText"/>
              <w:spacing w:before="0" w:after="0"/>
              <w:rPr>
                <w:rFonts w:eastAsia="Times New Roman" w:cs="Times New Roman"/>
                <w:szCs w:val="20"/>
                <w:lang w:eastAsia="en-AU"/>
              </w:rPr>
            </w:pPr>
            <w:r w:rsidRPr="0057505F">
              <w:rPr>
                <w:rFonts w:eastAsia="Times New Roman" w:cs="Times New Roman"/>
                <w:szCs w:val="20"/>
                <w:lang w:eastAsia="en-AU"/>
              </w:rPr>
              <w:t>ProMisE classification</w:t>
            </w:r>
          </w:p>
        </w:tc>
        <w:tc>
          <w:tcPr>
            <w:tcW w:w="649" w:type="pct"/>
          </w:tcPr>
          <w:p w14:paraId="28F7381B" w14:textId="28619709" w:rsidR="009F6FF3" w:rsidRPr="0057505F" w:rsidRDefault="00E827AF">
            <w:pPr>
              <w:pStyle w:val="TableText"/>
              <w:spacing w:before="0" w:after="0"/>
              <w:rPr>
                <w:rFonts w:eastAsia="Times New Roman" w:cs="Times New Roman"/>
                <w:szCs w:val="20"/>
                <w:lang w:eastAsia="en-AU"/>
              </w:rPr>
            </w:pPr>
            <w:r w:rsidRPr="00B60A33">
              <w:rPr>
                <w:rFonts w:eastAsia="Times New Roman" w:cs="Times New Roman"/>
                <w:szCs w:val="20"/>
                <w:lang w:eastAsia="en-AU"/>
              </w:rPr>
              <w:t>$748,484</w:t>
            </w:r>
          </w:p>
        </w:tc>
        <w:tc>
          <w:tcPr>
            <w:tcW w:w="649" w:type="pct"/>
          </w:tcPr>
          <w:p w14:paraId="2F303D20" w14:textId="139B08CD" w:rsidR="009F6FF3" w:rsidRPr="0057505F" w:rsidRDefault="00E827AF">
            <w:pPr>
              <w:pStyle w:val="TableText"/>
              <w:spacing w:before="0" w:after="0"/>
              <w:rPr>
                <w:rFonts w:eastAsia="Times New Roman" w:cs="Times New Roman"/>
                <w:szCs w:val="20"/>
                <w:lang w:eastAsia="en-AU"/>
              </w:rPr>
            </w:pPr>
            <w:r w:rsidRPr="00B60A33">
              <w:rPr>
                <w:rFonts w:eastAsia="Times New Roman" w:cs="Times New Roman"/>
                <w:szCs w:val="20"/>
                <w:lang w:eastAsia="en-AU"/>
              </w:rPr>
              <w:t>$897,251</w:t>
            </w:r>
          </w:p>
        </w:tc>
        <w:tc>
          <w:tcPr>
            <w:tcW w:w="648" w:type="pct"/>
          </w:tcPr>
          <w:p w14:paraId="68A5BBE1" w14:textId="5836B7F2" w:rsidR="009F6FF3" w:rsidRPr="0057505F" w:rsidRDefault="00E827AF">
            <w:pPr>
              <w:pStyle w:val="TableText"/>
              <w:spacing w:before="0" w:after="0"/>
              <w:rPr>
                <w:rFonts w:eastAsia="Times New Roman" w:cs="Times New Roman"/>
                <w:szCs w:val="20"/>
                <w:lang w:eastAsia="en-AU"/>
              </w:rPr>
            </w:pPr>
            <w:r w:rsidRPr="00B60A33">
              <w:rPr>
                <w:rFonts w:eastAsia="Times New Roman" w:cs="Times New Roman"/>
                <w:szCs w:val="20"/>
                <w:lang w:eastAsia="en-AU"/>
              </w:rPr>
              <w:t>$1,050,129</w:t>
            </w:r>
          </w:p>
        </w:tc>
        <w:tc>
          <w:tcPr>
            <w:tcW w:w="649" w:type="pct"/>
          </w:tcPr>
          <w:p w14:paraId="39259CFA" w14:textId="2CF95E9F" w:rsidR="009F6FF3" w:rsidRPr="0057505F" w:rsidRDefault="00E827AF">
            <w:pPr>
              <w:pStyle w:val="TableText"/>
              <w:spacing w:before="0" w:after="0"/>
              <w:rPr>
                <w:rFonts w:eastAsia="Times New Roman" w:cs="Times New Roman"/>
                <w:szCs w:val="20"/>
                <w:lang w:eastAsia="en-AU"/>
              </w:rPr>
            </w:pPr>
            <w:r w:rsidRPr="00B60A33">
              <w:rPr>
                <w:rFonts w:eastAsia="Times New Roman" w:cs="Times New Roman"/>
                <w:szCs w:val="20"/>
                <w:lang w:eastAsia="en-AU"/>
              </w:rPr>
              <w:t>$1,207,205</w:t>
            </w:r>
          </w:p>
        </w:tc>
        <w:tc>
          <w:tcPr>
            <w:tcW w:w="648" w:type="pct"/>
          </w:tcPr>
          <w:p w14:paraId="7303EE6C" w14:textId="75B976DA" w:rsidR="009F6FF3" w:rsidRPr="0057505F" w:rsidRDefault="00E827AF">
            <w:pPr>
              <w:pStyle w:val="TableText"/>
              <w:spacing w:before="0" w:after="0"/>
              <w:rPr>
                <w:rFonts w:eastAsia="Times New Roman" w:cs="Times New Roman"/>
                <w:szCs w:val="20"/>
                <w:lang w:eastAsia="en-AU"/>
              </w:rPr>
            </w:pPr>
            <w:r w:rsidRPr="00B60A33">
              <w:rPr>
                <w:rFonts w:eastAsia="Times New Roman" w:cs="Times New Roman"/>
                <w:szCs w:val="20"/>
                <w:lang w:eastAsia="en-AU"/>
              </w:rPr>
              <w:t>$1,368,568</w:t>
            </w:r>
          </w:p>
        </w:tc>
        <w:tc>
          <w:tcPr>
            <w:tcW w:w="611" w:type="pct"/>
          </w:tcPr>
          <w:p w14:paraId="78DE89A3" w14:textId="1CACD40A" w:rsidR="009F6FF3" w:rsidRPr="0057505F" w:rsidRDefault="00E827AF">
            <w:pPr>
              <w:pStyle w:val="TableText"/>
              <w:spacing w:before="0" w:after="0"/>
              <w:rPr>
                <w:rFonts w:eastAsia="Times New Roman" w:cs="Times New Roman"/>
                <w:szCs w:val="20"/>
                <w:lang w:eastAsia="en-AU"/>
              </w:rPr>
            </w:pPr>
            <w:r w:rsidRPr="00B60A33">
              <w:rPr>
                <w:rFonts w:eastAsia="Times New Roman" w:cs="Times New Roman"/>
                <w:szCs w:val="20"/>
                <w:lang w:eastAsia="en-AU"/>
              </w:rPr>
              <w:t>$1,461,247</w:t>
            </w:r>
          </w:p>
        </w:tc>
      </w:tr>
    </w:tbl>
    <w:p w14:paraId="77809B6E" w14:textId="2C7CE889" w:rsidR="009F6FF3" w:rsidRPr="00F834DD" w:rsidRDefault="0098362A" w:rsidP="0038677F">
      <w:pPr>
        <w:pStyle w:val="Tablenotes0"/>
        <w:spacing w:before="0"/>
        <w:rPr>
          <w:szCs w:val="18"/>
        </w:rPr>
      </w:pPr>
      <w:r>
        <w:rPr>
          <w:szCs w:val="18"/>
        </w:rPr>
        <w:t xml:space="preserve">Abbreviations: </w:t>
      </w:r>
      <w:r w:rsidR="009F6FF3" w:rsidRPr="00F834DD">
        <w:rPr>
          <w:szCs w:val="18"/>
        </w:rPr>
        <w:t xml:space="preserve">BAGP = The British Association of Gynaecological Pathologists; MBS = Medicare Benefits Schedule; </w:t>
      </w:r>
      <w:r w:rsidR="00572E78" w:rsidRPr="00572E78">
        <w:rPr>
          <w:i/>
          <w:szCs w:val="18"/>
        </w:rPr>
        <w:t>POLE</w:t>
      </w:r>
      <w:r w:rsidR="009F6FF3" w:rsidRPr="00F834DD">
        <w:rPr>
          <w:szCs w:val="18"/>
        </w:rPr>
        <w:t xml:space="preserve"> = </w:t>
      </w:r>
      <w:r w:rsidR="00C80E2D">
        <w:t>DNA</w:t>
      </w:r>
      <w:r w:rsidR="00C80E2D" w:rsidRPr="00F834DD">
        <w:rPr>
          <w:szCs w:val="18"/>
        </w:rPr>
        <w:t xml:space="preserve"> </w:t>
      </w:r>
      <w:r w:rsidR="009F6FF3" w:rsidRPr="00F834DD">
        <w:rPr>
          <w:szCs w:val="18"/>
        </w:rPr>
        <w:t>polymerase epsilon</w:t>
      </w:r>
      <w:r w:rsidR="007260AC">
        <w:rPr>
          <w:szCs w:val="18"/>
        </w:rPr>
        <w:t>, catalytic subunit</w:t>
      </w:r>
      <w:r w:rsidR="009F6FF3" w:rsidRPr="00F834DD">
        <w:rPr>
          <w:szCs w:val="18"/>
        </w:rPr>
        <w:t xml:space="preserve">; ProMisE = </w:t>
      </w:r>
      <w:r w:rsidR="00503D52">
        <w:rPr>
          <w:szCs w:val="18"/>
        </w:rPr>
        <w:t>p</w:t>
      </w:r>
      <w:r w:rsidR="009F6FF3" w:rsidRPr="00F834DD">
        <w:rPr>
          <w:szCs w:val="18"/>
        </w:rPr>
        <w:t>roactive molecular risk classifier for endometrial cancer</w:t>
      </w:r>
    </w:p>
    <w:p w14:paraId="65F82883" w14:textId="27F8A47B" w:rsidR="00FE53EA" w:rsidRPr="00F834DD" w:rsidRDefault="00FE53EA" w:rsidP="003A7304">
      <w:pPr>
        <w:pStyle w:val="Tablenotes0"/>
        <w:rPr>
          <w:szCs w:val="18"/>
        </w:rPr>
      </w:pPr>
      <w:r w:rsidRPr="00F834DD">
        <w:t xml:space="preserve">Source: 4.1 </w:t>
      </w:r>
      <w:r w:rsidRPr="00572E78">
        <w:rPr>
          <w:i/>
        </w:rPr>
        <w:t>POLE</w:t>
      </w:r>
      <w:r w:rsidRPr="00F834DD">
        <w:t xml:space="preserve"> Genotyping Budget Impact Model</w:t>
      </w:r>
      <w:r w:rsidR="00B515DD">
        <w:t xml:space="preserve">, </w:t>
      </w:r>
      <w:r w:rsidR="005C7239">
        <w:t>‘</w:t>
      </w:r>
      <w:r w:rsidR="00AA730B" w:rsidRPr="009F2748">
        <w:rPr>
          <w:i/>
        </w:rPr>
        <w:t>Introduction and results sheet’</w:t>
      </w:r>
    </w:p>
    <w:p w14:paraId="4B09E014" w14:textId="17078D7D" w:rsidR="003F1884" w:rsidRDefault="007E1E61" w:rsidP="00E60467">
      <w:pPr>
        <w:spacing w:after="0" w:line="240" w:lineRule="auto"/>
      </w:pPr>
      <w:r>
        <w:t>The assessment group considered s</w:t>
      </w:r>
      <w:r w:rsidR="003F1884">
        <w:t xml:space="preserve">everal uncertainties </w:t>
      </w:r>
      <w:r>
        <w:t>were</w:t>
      </w:r>
      <w:r w:rsidR="00C204B9">
        <w:t xml:space="preserve"> </w:t>
      </w:r>
      <w:r w:rsidR="009A60DC">
        <w:t>apparent</w:t>
      </w:r>
      <w:r w:rsidR="00C204B9">
        <w:t xml:space="preserve"> in the current financial estimates </w:t>
      </w:r>
      <w:r w:rsidR="003F1884">
        <w:t xml:space="preserve">due to the lack of trial-based data informing changes in management. </w:t>
      </w:r>
      <w:r w:rsidR="00E760D5">
        <w:t>The propo</w:t>
      </w:r>
      <w:r w:rsidR="00DC743A">
        <w:t xml:space="preserve">rtions </w:t>
      </w:r>
      <w:r w:rsidR="00041DBD">
        <w:t xml:space="preserve">showing </w:t>
      </w:r>
      <w:r w:rsidR="00896984">
        <w:t xml:space="preserve">changes in management </w:t>
      </w:r>
      <w:r w:rsidR="001D7F59">
        <w:t>(</w:t>
      </w:r>
      <w:r w:rsidR="001D7F59" w:rsidRPr="001B470B">
        <w:t>avoidance of adjuvant therapy</w:t>
      </w:r>
      <w:r w:rsidR="001D7F59">
        <w:t xml:space="preserve">) </w:t>
      </w:r>
      <w:r w:rsidR="00896984">
        <w:t>w</w:t>
      </w:r>
      <w:r w:rsidR="00FD64B4">
        <w:t>ere</w:t>
      </w:r>
      <w:r w:rsidR="00896984">
        <w:t xml:space="preserve"> entirely informed by </w:t>
      </w:r>
      <w:r w:rsidR="00041DBD">
        <w:t xml:space="preserve">the </w:t>
      </w:r>
      <w:r w:rsidR="00FD64B4">
        <w:t xml:space="preserve">economic </w:t>
      </w:r>
      <w:r w:rsidR="00896984">
        <w:t>model</w:t>
      </w:r>
      <w:r w:rsidR="00041DBD">
        <w:t xml:space="preserve"> (</w:t>
      </w:r>
      <w:r w:rsidR="003B0EAB">
        <w:t>based on treatment guidelines</w:t>
      </w:r>
      <w:r w:rsidR="00041DBD">
        <w:t>)</w:t>
      </w:r>
      <w:r w:rsidR="003B0EAB">
        <w:t xml:space="preserve"> rather than observed clinical data. </w:t>
      </w:r>
      <w:r w:rsidR="00A15452">
        <w:t>Results for possible</w:t>
      </w:r>
      <w:r w:rsidR="00311475" w:rsidRPr="001B470B">
        <w:t xml:space="preserve"> reductions </w:t>
      </w:r>
      <w:r w:rsidR="00A15452">
        <w:t>in</w:t>
      </w:r>
      <w:r w:rsidR="00311475" w:rsidRPr="001B470B">
        <w:t xml:space="preserve"> </w:t>
      </w:r>
      <w:r w:rsidR="00C7282F" w:rsidRPr="001B470B">
        <w:t xml:space="preserve">adjuvant </w:t>
      </w:r>
      <w:r w:rsidR="00311475" w:rsidRPr="001B470B">
        <w:t xml:space="preserve">treatment intensity across various stages of </w:t>
      </w:r>
      <w:r w:rsidR="00DE1F1C" w:rsidRPr="008801E3">
        <w:t>EC</w:t>
      </w:r>
      <w:r w:rsidR="00311475" w:rsidRPr="001B470B">
        <w:t xml:space="preserve"> </w:t>
      </w:r>
      <w:r w:rsidR="00C7282F">
        <w:t>are</w:t>
      </w:r>
      <w:r w:rsidR="00311475" w:rsidRPr="001B470B">
        <w:t xml:space="preserve"> lacking due to the unavailability of trial-based data. </w:t>
      </w:r>
      <w:r w:rsidR="003F1884" w:rsidRPr="00003AD7">
        <w:t xml:space="preserve">As such, </w:t>
      </w:r>
      <w:r w:rsidR="00434FE5">
        <w:t>costs applied for adjuvant therapy</w:t>
      </w:r>
      <w:r w:rsidR="00C76916">
        <w:t xml:space="preserve"> use </w:t>
      </w:r>
      <w:r w:rsidR="00E366F3">
        <w:t>may not fully capture real-wor</w:t>
      </w:r>
      <w:r w:rsidR="00280B52">
        <w:t>l</w:t>
      </w:r>
      <w:r w:rsidR="00E366F3">
        <w:t>d practice</w:t>
      </w:r>
      <w:r w:rsidR="00495A9B">
        <w:t xml:space="preserve">, </w:t>
      </w:r>
      <w:r w:rsidR="008801E3">
        <w:t xml:space="preserve">therefore the results should be interpreted with caution. </w:t>
      </w:r>
    </w:p>
    <w:p w14:paraId="03CACB72" w14:textId="7908D23E" w:rsidR="008D57A0" w:rsidRDefault="008D57A0" w:rsidP="00E60467">
      <w:pPr>
        <w:pStyle w:val="Guidelinescross-ref"/>
        <w:rPr>
          <w:b w:val="0"/>
          <w:color w:val="auto"/>
          <w:sz w:val="22"/>
        </w:rPr>
      </w:pPr>
      <w:r>
        <w:rPr>
          <w:b w:val="0"/>
          <w:color w:val="auto"/>
          <w:sz w:val="22"/>
        </w:rPr>
        <w:t>T</w:t>
      </w:r>
      <w:r w:rsidR="00B40C95">
        <w:rPr>
          <w:b w:val="0"/>
          <w:color w:val="auto"/>
          <w:sz w:val="22"/>
        </w:rPr>
        <w:t xml:space="preserve">otal cost to </w:t>
      </w:r>
      <w:r w:rsidR="00194A4B">
        <w:rPr>
          <w:b w:val="0"/>
          <w:color w:val="auto"/>
          <w:sz w:val="22"/>
        </w:rPr>
        <w:t xml:space="preserve">the </w:t>
      </w:r>
      <w:r w:rsidR="00B40C95">
        <w:rPr>
          <w:b w:val="0"/>
          <w:color w:val="auto"/>
          <w:sz w:val="22"/>
        </w:rPr>
        <w:t>MBS</w:t>
      </w:r>
      <w:r>
        <w:rPr>
          <w:b w:val="0"/>
          <w:color w:val="auto"/>
          <w:sz w:val="22"/>
        </w:rPr>
        <w:t xml:space="preserve"> of </w:t>
      </w:r>
      <w:r w:rsidR="00572E78" w:rsidRPr="00572E78">
        <w:rPr>
          <w:b w:val="0"/>
          <w:i/>
          <w:color w:val="auto"/>
          <w:sz w:val="22"/>
        </w:rPr>
        <w:t>POLE</w:t>
      </w:r>
      <w:r>
        <w:rPr>
          <w:b w:val="0"/>
          <w:color w:val="auto"/>
          <w:sz w:val="22"/>
        </w:rPr>
        <w:t xml:space="preserve"> </w:t>
      </w:r>
      <w:r w:rsidR="00C75630">
        <w:rPr>
          <w:b w:val="0"/>
          <w:color w:val="auto"/>
          <w:sz w:val="22"/>
        </w:rPr>
        <w:t>genotyping</w:t>
      </w:r>
      <w:r>
        <w:rPr>
          <w:b w:val="0"/>
          <w:color w:val="auto"/>
          <w:sz w:val="22"/>
        </w:rPr>
        <w:t xml:space="preserve"> w</w:t>
      </w:r>
      <w:r w:rsidR="00194A4B">
        <w:rPr>
          <w:b w:val="0"/>
          <w:color w:val="auto"/>
          <w:sz w:val="22"/>
        </w:rPr>
        <w:t>as</w:t>
      </w:r>
      <w:r>
        <w:rPr>
          <w:b w:val="0"/>
          <w:color w:val="auto"/>
          <w:sz w:val="22"/>
        </w:rPr>
        <w:t xml:space="preserve"> largely driven by </w:t>
      </w:r>
      <w:r w:rsidR="00334317">
        <w:rPr>
          <w:b w:val="0"/>
          <w:color w:val="auto"/>
          <w:sz w:val="22"/>
        </w:rPr>
        <w:t>the way</w:t>
      </w:r>
      <w:r>
        <w:rPr>
          <w:b w:val="0"/>
          <w:color w:val="auto"/>
          <w:sz w:val="22"/>
        </w:rPr>
        <w:t xml:space="preserve"> </w:t>
      </w:r>
      <w:r w:rsidR="00081008">
        <w:rPr>
          <w:b w:val="0"/>
          <w:color w:val="auto"/>
          <w:sz w:val="22"/>
        </w:rPr>
        <w:t xml:space="preserve">the </w:t>
      </w:r>
      <w:r w:rsidR="0064400F">
        <w:rPr>
          <w:b w:val="0"/>
          <w:color w:val="auto"/>
          <w:sz w:val="22"/>
        </w:rPr>
        <w:t xml:space="preserve">eligible </w:t>
      </w:r>
      <w:r w:rsidR="00081008">
        <w:rPr>
          <w:b w:val="0"/>
          <w:color w:val="auto"/>
          <w:sz w:val="22"/>
        </w:rPr>
        <w:t xml:space="preserve">population </w:t>
      </w:r>
      <w:r w:rsidR="00045C78">
        <w:rPr>
          <w:b w:val="0"/>
          <w:color w:val="auto"/>
          <w:sz w:val="22"/>
        </w:rPr>
        <w:t xml:space="preserve">is defined. In the base case, all </w:t>
      </w:r>
      <w:r w:rsidR="00035A59">
        <w:rPr>
          <w:b w:val="0"/>
          <w:color w:val="auto"/>
          <w:sz w:val="22"/>
        </w:rPr>
        <w:t xml:space="preserve">patients with </w:t>
      </w:r>
      <w:r w:rsidR="00045C78">
        <w:rPr>
          <w:b w:val="0"/>
          <w:color w:val="auto"/>
          <w:sz w:val="22"/>
        </w:rPr>
        <w:t>EC were assumed eligible for testing</w:t>
      </w:r>
      <w:r w:rsidR="008B56E3">
        <w:rPr>
          <w:b w:val="0"/>
          <w:color w:val="auto"/>
          <w:sz w:val="22"/>
        </w:rPr>
        <w:t>. H</w:t>
      </w:r>
      <w:r w:rsidR="00350514">
        <w:rPr>
          <w:b w:val="0"/>
          <w:color w:val="auto"/>
          <w:sz w:val="22"/>
        </w:rPr>
        <w:t>owever</w:t>
      </w:r>
      <w:r>
        <w:rPr>
          <w:b w:val="0"/>
          <w:color w:val="auto"/>
          <w:sz w:val="22"/>
        </w:rPr>
        <w:t xml:space="preserve">, adopting the ProMisE protocol reduced the </w:t>
      </w:r>
      <w:r w:rsidR="00B40C95">
        <w:rPr>
          <w:b w:val="0"/>
          <w:color w:val="auto"/>
          <w:sz w:val="22"/>
        </w:rPr>
        <w:t>total MBS cost</w:t>
      </w:r>
      <w:r>
        <w:rPr>
          <w:b w:val="0"/>
          <w:color w:val="auto"/>
          <w:sz w:val="22"/>
        </w:rPr>
        <w:t xml:space="preserve"> by </w:t>
      </w:r>
      <w:r w:rsidR="00D853C3">
        <w:rPr>
          <w:b w:val="0"/>
          <w:color w:val="auto"/>
          <w:sz w:val="22"/>
        </w:rPr>
        <w:t>14</w:t>
      </w:r>
      <w:r>
        <w:rPr>
          <w:b w:val="0"/>
          <w:color w:val="auto"/>
          <w:sz w:val="22"/>
        </w:rPr>
        <w:t xml:space="preserve">% compared to </w:t>
      </w:r>
      <w:r w:rsidR="00A222A5">
        <w:rPr>
          <w:b w:val="0"/>
          <w:color w:val="auto"/>
          <w:sz w:val="22"/>
        </w:rPr>
        <w:t xml:space="preserve">the </w:t>
      </w:r>
      <w:r>
        <w:rPr>
          <w:b w:val="0"/>
          <w:color w:val="auto"/>
          <w:sz w:val="22"/>
        </w:rPr>
        <w:t>base case</w:t>
      </w:r>
      <w:r w:rsidR="008B56E3">
        <w:rPr>
          <w:b w:val="0"/>
          <w:color w:val="auto"/>
          <w:sz w:val="22"/>
        </w:rPr>
        <w:t xml:space="preserve">; </w:t>
      </w:r>
      <w:r>
        <w:rPr>
          <w:b w:val="0"/>
          <w:color w:val="auto"/>
          <w:sz w:val="22"/>
        </w:rPr>
        <w:t xml:space="preserve">BAGP guidelines reduced </w:t>
      </w:r>
      <w:r w:rsidR="00A222A5">
        <w:rPr>
          <w:b w:val="0"/>
          <w:color w:val="auto"/>
          <w:sz w:val="22"/>
        </w:rPr>
        <w:t xml:space="preserve">the </w:t>
      </w:r>
      <w:r w:rsidR="00BC6926">
        <w:rPr>
          <w:b w:val="0"/>
          <w:color w:val="auto"/>
          <w:sz w:val="22"/>
        </w:rPr>
        <w:t xml:space="preserve">total MBS cost </w:t>
      </w:r>
      <w:r>
        <w:rPr>
          <w:b w:val="0"/>
          <w:color w:val="auto"/>
          <w:sz w:val="22"/>
        </w:rPr>
        <w:t xml:space="preserve">by 34%. </w:t>
      </w:r>
    </w:p>
    <w:p w14:paraId="3AF33D3E" w14:textId="2903B901" w:rsidR="006B685C" w:rsidRDefault="00C47ED8" w:rsidP="00E60467">
      <w:r>
        <w:t>ESC advi</w:t>
      </w:r>
      <w:r w:rsidR="005B5DBC">
        <w:t xml:space="preserve">sed </w:t>
      </w:r>
      <w:r w:rsidR="002224B1">
        <w:t>for the financials to be updated using the test fee of $397.35</w:t>
      </w:r>
      <w:r w:rsidR="00583AA2">
        <w:t xml:space="preserve">. This is presented in </w:t>
      </w:r>
      <w:r w:rsidR="00DF1192">
        <w:fldChar w:fldCharType="begin"/>
      </w:r>
      <w:r w:rsidR="00DF1192">
        <w:instrText xml:space="preserve"> REF _Ref223617714 \h </w:instrText>
      </w:r>
      <w:r w:rsidR="00DF1192">
        <w:fldChar w:fldCharType="separate"/>
      </w:r>
      <w:r w:rsidR="000B42CB" w:rsidRPr="001F745E">
        <w:t xml:space="preserve">Table </w:t>
      </w:r>
      <w:r w:rsidR="000B42CB">
        <w:rPr>
          <w:noProof/>
        </w:rPr>
        <w:t>30</w:t>
      </w:r>
      <w:r w:rsidR="00DF1192">
        <w:fldChar w:fldCharType="end"/>
      </w:r>
      <w:r w:rsidR="00DF1192">
        <w:t xml:space="preserve"> and </w:t>
      </w:r>
      <w:r w:rsidR="00DF1192">
        <w:fldChar w:fldCharType="begin"/>
      </w:r>
      <w:r w:rsidR="00DF1192">
        <w:instrText xml:space="preserve"> REF _Ref223617723 \h </w:instrText>
      </w:r>
      <w:r w:rsidR="00DF1192">
        <w:fldChar w:fldCharType="separate"/>
      </w:r>
      <w:r w:rsidR="000B42CB" w:rsidRPr="002A5040">
        <w:t xml:space="preserve">Table </w:t>
      </w:r>
      <w:r w:rsidR="000B42CB">
        <w:rPr>
          <w:noProof/>
        </w:rPr>
        <w:t>31</w:t>
      </w:r>
      <w:r w:rsidR="00DF1192">
        <w:fldChar w:fldCharType="end"/>
      </w:r>
      <w:r w:rsidR="00DF1192">
        <w:t>.</w:t>
      </w:r>
    </w:p>
    <w:p w14:paraId="20AC584C" w14:textId="10B1E3B8" w:rsidR="002B7665" w:rsidRPr="00002DC2" w:rsidRDefault="00F04C24" w:rsidP="00002DC2">
      <w:pPr>
        <w:pStyle w:val="Caption"/>
        <w:rPr>
          <w:rFonts w:eastAsia="Aptos" w:cs="Arial"/>
          <w:color w:val="000000"/>
          <w:kern w:val="2"/>
          <w:lang w:val="en-US"/>
          <w14:ligatures w14:val="standardContextual"/>
        </w:rPr>
      </w:pPr>
      <w:bookmarkStart w:id="104" w:name="_Ref223617714"/>
      <w:bookmarkStart w:id="105" w:name="_Ref223527017"/>
      <w:r w:rsidRPr="001F745E">
        <w:lastRenderedPageBreak/>
        <w:t xml:space="preserve">Table </w:t>
      </w:r>
      <w:r>
        <w:fldChar w:fldCharType="begin"/>
      </w:r>
      <w:r>
        <w:instrText>SEQ Table \* ARABIC</w:instrText>
      </w:r>
      <w:r>
        <w:fldChar w:fldCharType="separate"/>
      </w:r>
      <w:r w:rsidR="00996E6E">
        <w:rPr>
          <w:noProof/>
        </w:rPr>
        <w:t>30</w:t>
      </w:r>
      <w:r>
        <w:fldChar w:fldCharType="end"/>
      </w:r>
      <w:bookmarkEnd w:id="104"/>
      <w:r w:rsidRPr="001F745E">
        <w:t xml:space="preserve"> </w:t>
      </w:r>
      <w:r w:rsidR="002B7665" w:rsidRPr="00002DC2">
        <w:rPr>
          <w:rFonts w:eastAsia="Aptos" w:cs="Arial"/>
          <w:color w:val="000000"/>
          <w:kern w:val="2"/>
          <w:lang w:val="en-US"/>
          <w14:ligatures w14:val="standardContextual"/>
        </w:rPr>
        <w:t xml:space="preserve">Financial impact of </w:t>
      </w:r>
      <w:r w:rsidR="002B7665" w:rsidRPr="00B85EBC">
        <w:rPr>
          <w:rFonts w:eastAsia="Aptos" w:cs="Arial"/>
          <w:i/>
          <w:iCs/>
          <w:color w:val="000000"/>
          <w:kern w:val="2"/>
          <w:lang w:val="en-US"/>
          <w14:ligatures w14:val="standardContextual"/>
        </w:rPr>
        <w:t>POLE</w:t>
      </w:r>
      <w:r w:rsidR="002B7665" w:rsidRPr="00002DC2">
        <w:rPr>
          <w:rFonts w:eastAsia="Aptos" w:cs="Arial"/>
          <w:color w:val="000000"/>
          <w:kern w:val="2"/>
          <w:lang w:val="en-US"/>
          <w14:ligatures w14:val="standardContextual"/>
        </w:rPr>
        <w:t xml:space="preserve"> genotyp</w:t>
      </w:r>
      <w:r w:rsidR="0059485E" w:rsidRPr="001F745E">
        <w:rPr>
          <w:rFonts w:eastAsia="Aptos" w:cs="Arial"/>
          <w:color w:val="000000"/>
          <w:kern w:val="2"/>
          <w:lang w:val="en-US"/>
          <w14:ligatures w14:val="standardContextual"/>
        </w:rPr>
        <w:t>ing</w:t>
      </w:r>
      <w:r w:rsidR="001F745E">
        <w:rPr>
          <w:rFonts w:eastAsia="Aptos" w:cs="Arial"/>
          <w:color w:val="000000"/>
          <w:kern w:val="2"/>
          <w:lang w:val="en-US"/>
          <w14:ligatures w14:val="standardContextual"/>
        </w:rPr>
        <w:t xml:space="preserve"> with a test fee of $397.35</w:t>
      </w:r>
      <w:r w:rsidR="002B7665" w:rsidRPr="00002DC2">
        <w:rPr>
          <w:rFonts w:eastAsia="Aptos" w:cs="Arial"/>
          <w:color w:val="000000"/>
          <w:kern w:val="2"/>
          <w:lang w:val="en-US"/>
          <w14:ligatures w14:val="standardContextual"/>
        </w:rPr>
        <w:t xml:space="preserve"> at 85% MBS benefits</w:t>
      </w:r>
      <w:r w:rsidR="002A5040" w:rsidRPr="001F745E">
        <w:rPr>
          <w:rFonts w:eastAsia="Aptos" w:cs="Arial"/>
          <w:color w:val="000000"/>
          <w:kern w:val="2"/>
          <w:lang w:val="en-US"/>
          <w14:ligatures w14:val="standardContextual"/>
        </w:rPr>
        <w:t xml:space="preserve"> </w:t>
      </w:r>
      <w:r w:rsidR="0059485E" w:rsidRPr="001F745E">
        <w:rPr>
          <w:rFonts w:eastAsia="Aptos" w:cs="Arial"/>
          <w:color w:val="000000"/>
          <w:kern w:val="2"/>
          <w:lang w:val="en-US"/>
          <w14:ligatures w14:val="standardContextual"/>
        </w:rPr>
        <w:t>excluding</w:t>
      </w:r>
      <w:r w:rsidR="002B7665" w:rsidRPr="00002DC2">
        <w:rPr>
          <w:rFonts w:eastAsia="Aptos" w:cs="Arial"/>
          <w:color w:val="000000"/>
          <w:kern w:val="2"/>
          <w:lang w:val="en-US"/>
          <w14:ligatures w14:val="standardContextual"/>
        </w:rPr>
        <w:t xml:space="preserve"> immunotherapy cost</w:t>
      </w:r>
      <w:bookmarkEnd w:id="105"/>
      <w:r w:rsidR="0059485E" w:rsidRPr="001F745E">
        <w:rPr>
          <w:rFonts w:eastAsia="Aptos" w:cs="Arial"/>
          <w:color w:val="000000"/>
          <w:kern w:val="2"/>
          <w:lang w:val="en-US"/>
          <w14:ligatures w14:val="standardContextual"/>
        </w:rPr>
        <w:t>s</w:t>
      </w:r>
    </w:p>
    <w:tbl>
      <w:tblPr>
        <w:tblStyle w:val="CMATableTemplate2"/>
        <w:tblW w:w="5000" w:type="pct"/>
        <w:tblLook w:val="06A0" w:firstRow="1" w:lastRow="0" w:firstColumn="1" w:lastColumn="0" w:noHBand="1" w:noVBand="1"/>
      </w:tblPr>
      <w:tblGrid>
        <w:gridCol w:w="1734"/>
        <w:gridCol w:w="1214"/>
        <w:gridCol w:w="1214"/>
        <w:gridCol w:w="1214"/>
        <w:gridCol w:w="1214"/>
        <w:gridCol w:w="1214"/>
        <w:gridCol w:w="1212"/>
      </w:tblGrid>
      <w:tr w:rsidR="002B7665" w:rsidRPr="002B7665" w14:paraId="1B6EE0A0" w14:textId="77777777">
        <w:trPr>
          <w:trHeight w:val="300"/>
        </w:trPr>
        <w:tc>
          <w:tcPr>
            <w:tcW w:w="961" w:type="pct"/>
          </w:tcPr>
          <w:p w14:paraId="0EC427D1"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b/>
                <w:color w:val="000000"/>
                <w:sz w:val="20"/>
                <w:szCs w:val="20"/>
              </w:rPr>
              <w:t>Parameter</w:t>
            </w:r>
          </w:p>
        </w:tc>
        <w:tc>
          <w:tcPr>
            <w:tcW w:w="673" w:type="pct"/>
          </w:tcPr>
          <w:p w14:paraId="163825FD"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b/>
                <w:color w:val="000000"/>
                <w:sz w:val="20"/>
                <w:szCs w:val="20"/>
              </w:rPr>
              <w:t>2026–2027</w:t>
            </w:r>
          </w:p>
        </w:tc>
        <w:tc>
          <w:tcPr>
            <w:tcW w:w="673" w:type="pct"/>
          </w:tcPr>
          <w:p w14:paraId="03162312"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b/>
                <w:color w:val="000000"/>
                <w:sz w:val="20"/>
                <w:szCs w:val="20"/>
              </w:rPr>
              <w:t>2027–2028</w:t>
            </w:r>
          </w:p>
        </w:tc>
        <w:tc>
          <w:tcPr>
            <w:tcW w:w="673" w:type="pct"/>
          </w:tcPr>
          <w:p w14:paraId="034C19F2"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b/>
                <w:color w:val="000000"/>
                <w:sz w:val="20"/>
                <w:szCs w:val="20"/>
              </w:rPr>
              <w:t>2028–2029</w:t>
            </w:r>
          </w:p>
        </w:tc>
        <w:tc>
          <w:tcPr>
            <w:tcW w:w="673" w:type="pct"/>
          </w:tcPr>
          <w:p w14:paraId="198C196F"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b/>
                <w:color w:val="000000"/>
                <w:sz w:val="20"/>
                <w:szCs w:val="20"/>
              </w:rPr>
              <w:t>2029–2030</w:t>
            </w:r>
          </w:p>
        </w:tc>
        <w:tc>
          <w:tcPr>
            <w:tcW w:w="673" w:type="pct"/>
          </w:tcPr>
          <w:p w14:paraId="2EB86A7F"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b/>
                <w:color w:val="000000"/>
                <w:sz w:val="20"/>
                <w:szCs w:val="20"/>
              </w:rPr>
              <w:t>2030–2031</w:t>
            </w:r>
          </w:p>
        </w:tc>
        <w:tc>
          <w:tcPr>
            <w:tcW w:w="672" w:type="pct"/>
          </w:tcPr>
          <w:p w14:paraId="73DA5EAC"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b/>
                <w:color w:val="000000"/>
                <w:sz w:val="20"/>
                <w:szCs w:val="20"/>
              </w:rPr>
              <w:t>2031–2032</w:t>
            </w:r>
          </w:p>
        </w:tc>
      </w:tr>
      <w:tr w:rsidR="002B7665" w:rsidRPr="002B7665" w14:paraId="2A05CAE1" w14:textId="77777777">
        <w:trPr>
          <w:trHeight w:val="300"/>
        </w:trPr>
        <w:tc>
          <w:tcPr>
            <w:tcW w:w="961" w:type="pct"/>
          </w:tcPr>
          <w:p w14:paraId="07AC2296"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ptos"/>
                <w:color w:val="000000"/>
                <w:sz w:val="20"/>
                <w:szCs w:val="20"/>
              </w:rPr>
              <w:t>Total MBS cost at 85% MBS benefits</w:t>
            </w:r>
          </w:p>
        </w:tc>
        <w:tc>
          <w:tcPr>
            <w:tcW w:w="673" w:type="pct"/>
          </w:tcPr>
          <w:p w14:paraId="71B77A67"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$588,565</w:t>
            </w:r>
          </w:p>
        </w:tc>
        <w:tc>
          <w:tcPr>
            <w:tcW w:w="673" w:type="pct"/>
          </w:tcPr>
          <w:p w14:paraId="26DFBE2D"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$705,547</w:t>
            </w:r>
          </w:p>
        </w:tc>
        <w:tc>
          <w:tcPr>
            <w:tcW w:w="673" w:type="pct"/>
          </w:tcPr>
          <w:p w14:paraId="708F8874"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$825,761</w:t>
            </w:r>
          </w:p>
        </w:tc>
        <w:tc>
          <w:tcPr>
            <w:tcW w:w="673" w:type="pct"/>
          </w:tcPr>
          <w:p w14:paraId="4D72CE9D"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$949,276</w:t>
            </w:r>
          </w:p>
        </w:tc>
        <w:tc>
          <w:tcPr>
            <w:tcW w:w="673" w:type="pct"/>
          </w:tcPr>
          <w:p w14:paraId="486D3C45"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$1,076,163</w:t>
            </w:r>
          </w:p>
        </w:tc>
        <w:tc>
          <w:tcPr>
            <w:tcW w:w="672" w:type="pct"/>
          </w:tcPr>
          <w:p w14:paraId="21ADF7BD"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$1,149,040</w:t>
            </w:r>
          </w:p>
        </w:tc>
      </w:tr>
      <w:tr w:rsidR="002B7665" w:rsidRPr="002B7665" w14:paraId="77F95505" w14:textId="77777777">
        <w:trPr>
          <w:trHeight w:val="300"/>
        </w:trPr>
        <w:tc>
          <w:tcPr>
            <w:tcW w:w="961" w:type="pct"/>
          </w:tcPr>
          <w:p w14:paraId="3B44DC93"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ptos"/>
                <w:color w:val="000000"/>
                <w:sz w:val="20"/>
                <w:szCs w:val="20"/>
              </w:rPr>
              <w:t>Cost offsets for MBS at 85% MBS benefits</w:t>
            </w:r>
          </w:p>
        </w:tc>
        <w:tc>
          <w:tcPr>
            <w:tcW w:w="673" w:type="pct"/>
          </w:tcPr>
          <w:p w14:paraId="5BCECE24"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$582,956</w:t>
            </w:r>
          </w:p>
        </w:tc>
        <w:tc>
          <w:tcPr>
            <w:tcW w:w="673" w:type="pct"/>
          </w:tcPr>
          <w:p w14:paraId="27C713A5"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$591,311</w:t>
            </w:r>
          </w:p>
        </w:tc>
        <w:tc>
          <w:tcPr>
            <w:tcW w:w="673" w:type="pct"/>
          </w:tcPr>
          <w:p w14:paraId="1B496F3E"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$599,787</w:t>
            </w:r>
          </w:p>
        </w:tc>
        <w:tc>
          <w:tcPr>
            <w:tcW w:w="673" w:type="pct"/>
          </w:tcPr>
          <w:p w14:paraId="6B3D703E"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$608,384</w:t>
            </w:r>
          </w:p>
        </w:tc>
        <w:tc>
          <w:tcPr>
            <w:tcW w:w="673" w:type="pct"/>
          </w:tcPr>
          <w:p w14:paraId="2F07E8BF"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$617,104</w:t>
            </w:r>
          </w:p>
        </w:tc>
        <w:tc>
          <w:tcPr>
            <w:tcW w:w="672" w:type="pct"/>
          </w:tcPr>
          <w:p w14:paraId="5D78A25B"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$625,949</w:t>
            </w:r>
          </w:p>
        </w:tc>
      </w:tr>
      <w:tr w:rsidR="002B7665" w:rsidRPr="002B7665" w14:paraId="6D27AA26" w14:textId="77777777">
        <w:trPr>
          <w:trHeight w:val="300"/>
        </w:trPr>
        <w:tc>
          <w:tcPr>
            <w:tcW w:w="961" w:type="pct"/>
          </w:tcPr>
          <w:p w14:paraId="333FAA76"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ptos"/>
                <w:color w:val="000000"/>
                <w:sz w:val="20"/>
                <w:szCs w:val="20"/>
              </w:rPr>
              <w:t>Cost offsets for PBS at 85% MBS benefits</w:t>
            </w:r>
          </w:p>
        </w:tc>
        <w:tc>
          <w:tcPr>
            <w:tcW w:w="673" w:type="pct"/>
          </w:tcPr>
          <w:p w14:paraId="2C7B3E45"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$118,096</w:t>
            </w:r>
          </w:p>
        </w:tc>
        <w:tc>
          <w:tcPr>
            <w:tcW w:w="673" w:type="pct"/>
          </w:tcPr>
          <w:p w14:paraId="0F10A8E6"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$119,788</w:t>
            </w:r>
          </w:p>
        </w:tc>
        <w:tc>
          <w:tcPr>
            <w:tcW w:w="673" w:type="pct"/>
          </w:tcPr>
          <w:p w14:paraId="0D2C2C24"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$121,505</w:t>
            </w:r>
          </w:p>
        </w:tc>
        <w:tc>
          <w:tcPr>
            <w:tcW w:w="673" w:type="pct"/>
          </w:tcPr>
          <w:p w14:paraId="72A61779"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$123,247</w:t>
            </w:r>
          </w:p>
        </w:tc>
        <w:tc>
          <w:tcPr>
            <w:tcW w:w="673" w:type="pct"/>
          </w:tcPr>
          <w:p w14:paraId="68DF7836"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$125,013</w:t>
            </w:r>
          </w:p>
        </w:tc>
        <w:tc>
          <w:tcPr>
            <w:tcW w:w="672" w:type="pct"/>
          </w:tcPr>
          <w:p w14:paraId="6013A82D"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$126,805</w:t>
            </w:r>
          </w:p>
        </w:tc>
      </w:tr>
      <w:tr w:rsidR="002B7665" w:rsidRPr="002B7665" w14:paraId="2A737628" w14:textId="77777777">
        <w:trPr>
          <w:trHeight w:val="300"/>
        </w:trPr>
        <w:tc>
          <w:tcPr>
            <w:tcW w:w="961" w:type="pct"/>
          </w:tcPr>
          <w:p w14:paraId="25B771E9"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ptos"/>
                <w:color w:val="000000"/>
                <w:sz w:val="20"/>
                <w:szCs w:val="20"/>
              </w:rPr>
              <w:t>Net financial impact for MBS at 85% MBS benefits</w:t>
            </w:r>
          </w:p>
        </w:tc>
        <w:tc>
          <w:tcPr>
            <w:tcW w:w="673" w:type="pct"/>
          </w:tcPr>
          <w:p w14:paraId="0999C619"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$5,609</w:t>
            </w:r>
          </w:p>
        </w:tc>
        <w:tc>
          <w:tcPr>
            <w:tcW w:w="673" w:type="pct"/>
          </w:tcPr>
          <w:p w14:paraId="6B516760"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$114,235</w:t>
            </w:r>
          </w:p>
        </w:tc>
        <w:tc>
          <w:tcPr>
            <w:tcW w:w="673" w:type="pct"/>
          </w:tcPr>
          <w:p w14:paraId="2CF7B3DB"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$225,974</w:t>
            </w:r>
          </w:p>
        </w:tc>
        <w:tc>
          <w:tcPr>
            <w:tcW w:w="673" w:type="pct"/>
          </w:tcPr>
          <w:p w14:paraId="35BB9447"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$340,893</w:t>
            </w:r>
          </w:p>
        </w:tc>
        <w:tc>
          <w:tcPr>
            <w:tcW w:w="673" w:type="pct"/>
          </w:tcPr>
          <w:p w14:paraId="783438B6"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$459,059</w:t>
            </w:r>
          </w:p>
        </w:tc>
        <w:tc>
          <w:tcPr>
            <w:tcW w:w="672" w:type="pct"/>
          </w:tcPr>
          <w:p w14:paraId="0670A4EB"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$523,091</w:t>
            </w:r>
          </w:p>
        </w:tc>
      </w:tr>
      <w:tr w:rsidR="002B7665" w:rsidRPr="002B7665" w14:paraId="6A106238" w14:textId="77777777">
        <w:trPr>
          <w:trHeight w:val="300"/>
        </w:trPr>
        <w:tc>
          <w:tcPr>
            <w:tcW w:w="961" w:type="pct"/>
          </w:tcPr>
          <w:p w14:paraId="2A88AB82"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ptos"/>
                <w:color w:val="000000"/>
                <w:sz w:val="20"/>
                <w:szCs w:val="20"/>
              </w:rPr>
              <w:t>Net financial impact for PBS at 85% MBS benefits</w:t>
            </w:r>
          </w:p>
        </w:tc>
        <w:tc>
          <w:tcPr>
            <w:tcW w:w="673" w:type="pct"/>
          </w:tcPr>
          <w:p w14:paraId="58285EEF"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$470,469</w:t>
            </w:r>
          </w:p>
        </w:tc>
        <w:tc>
          <w:tcPr>
            <w:tcW w:w="673" w:type="pct"/>
          </w:tcPr>
          <w:p w14:paraId="1FCEE652"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$585,758</w:t>
            </w:r>
          </w:p>
        </w:tc>
        <w:tc>
          <w:tcPr>
            <w:tcW w:w="673" w:type="pct"/>
          </w:tcPr>
          <w:p w14:paraId="5F66960E"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$704,256</w:t>
            </w:r>
          </w:p>
        </w:tc>
        <w:tc>
          <w:tcPr>
            <w:tcW w:w="673" w:type="pct"/>
          </w:tcPr>
          <w:p w14:paraId="7D976EC0"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$826,029</w:t>
            </w:r>
          </w:p>
        </w:tc>
        <w:tc>
          <w:tcPr>
            <w:tcW w:w="673" w:type="pct"/>
          </w:tcPr>
          <w:p w14:paraId="3580A985"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$951,150</w:t>
            </w:r>
          </w:p>
        </w:tc>
        <w:tc>
          <w:tcPr>
            <w:tcW w:w="672" w:type="pct"/>
          </w:tcPr>
          <w:p w14:paraId="23F43134"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$1,022,235</w:t>
            </w:r>
          </w:p>
        </w:tc>
      </w:tr>
      <w:tr w:rsidR="002B7665" w:rsidRPr="002B7665" w14:paraId="7E3D42F3" w14:textId="77777777">
        <w:trPr>
          <w:trHeight w:val="300"/>
        </w:trPr>
        <w:tc>
          <w:tcPr>
            <w:tcW w:w="961" w:type="pct"/>
          </w:tcPr>
          <w:p w14:paraId="1194DF61"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ptos"/>
                <w:color w:val="000000"/>
                <w:sz w:val="20"/>
                <w:szCs w:val="20"/>
              </w:rPr>
              <w:t>Net financial impact at 85% MBS benefits</w:t>
            </w:r>
          </w:p>
        </w:tc>
        <w:tc>
          <w:tcPr>
            <w:tcW w:w="673" w:type="pct"/>
          </w:tcPr>
          <w:p w14:paraId="174A4855"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−$112,487</w:t>
            </w:r>
          </w:p>
        </w:tc>
        <w:tc>
          <w:tcPr>
            <w:tcW w:w="673" w:type="pct"/>
          </w:tcPr>
          <w:p w14:paraId="17C5B248"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−$5,553</w:t>
            </w:r>
          </w:p>
        </w:tc>
        <w:tc>
          <w:tcPr>
            <w:tcW w:w="673" w:type="pct"/>
          </w:tcPr>
          <w:p w14:paraId="16553FFD"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$104,469</w:t>
            </w:r>
          </w:p>
        </w:tc>
        <w:tc>
          <w:tcPr>
            <w:tcW w:w="673" w:type="pct"/>
          </w:tcPr>
          <w:p w14:paraId="5F84797E"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$217,646</w:t>
            </w:r>
          </w:p>
        </w:tc>
        <w:tc>
          <w:tcPr>
            <w:tcW w:w="673" w:type="pct"/>
          </w:tcPr>
          <w:p w14:paraId="7835B388"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$334,046</w:t>
            </w:r>
          </w:p>
        </w:tc>
        <w:tc>
          <w:tcPr>
            <w:tcW w:w="672" w:type="pct"/>
          </w:tcPr>
          <w:p w14:paraId="3F3563AA" w14:textId="77777777" w:rsidR="002B7665" w:rsidRPr="002B7665" w:rsidRDefault="002B7665" w:rsidP="002B7665">
            <w:pPr>
              <w:spacing w:before="0"/>
              <w:rPr>
                <w:rFonts w:ascii="Arial Narrow" w:eastAsia="Aptos" w:hAnsi="Arial Narrow" w:cs="Aptos"/>
                <w:color w:val="000000"/>
                <w:sz w:val="20"/>
                <w:szCs w:val="20"/>
              </w:rPr>
            </w:pPr>
            <w:r w:rsidRPr="002B7665">
              <w:rPr>
                <w:rFonts w:ascii="Arial Narrow" w:eastAsia="Aptos" w:hAnsi="Arial Narrow" w:cs="Arial"/>
                <w:color w:val="000000"/>
                <w:sz w:val="20"/>
                <w:szCs w:val="20"/>
              </w:rPr>
              <w:t>$396,286</w:t>
            </w:r>
          </w:p>
        </w:tc>
      </w:tr>
    </w:tbl>
    <w:p w14:paraId="41890D90" w14:textId="4FAA1AB1" w:rsidR="00F81E2B" w:rsidRPr="007227F7" w:rsidRDefault="002B7665" w:rsidP="007227F7">
      <w:pPr>
        <w:spacing w:before="0" w:after="0" w:line="276" w:lineRule="auto"/>
        <w:rPr>
          <w:rFonts w:ascii="Arial Narrow" w:eastAsia="Times New Roman" w:hAnsi="Arial Narrow" w:cs="Tahoma"/>
          <w:color w:val="000000"/>
          <w:sz w:val="18"/>
          <w:szCs w:val="18"/>
          <w:lang w:eastAsia="en-AU"/>
        </w:rPr>
      </w:pPr>
      <w:r w:rsidRPr="002B7665">
        <w:rPr>
          <w:rFonts w:ascii="Arial Narrow" w:eastAsia="Times New Roman" w:hAnsi="Arial Narrow" w:cs="Tahoma"/>
          <w:color w:val="000000"/>
          <w:sz w:val="18"/>
          <w:szCs w:val="18"/>
          <w:lang w:eastAsia="en-AU"/>
        </w:rPr>
        <w:t xml:space="preserve">Abbreviations: MBS = Medicare Benefits Schedule, </w:t>
      </w:r>
      <w:r w:rsidRPr="002B7665">
        <w:rPr>
          <w:rFonts w:ascii="Arial Narrow" w:eastAsia="Times New Roman" w:hAnsi="Arial Narrow" w:cs="Tahoma"/>
          <w:i/>
          <w:iCs/>
          <w:color w:val="000000"/>
          <w:sz w:val="18"/>
          <w:szCs w:val="18"/>
          <w:lang w:eastAsia="en-AU"/>
        </w:rPr>
        <w:t>POLE</w:t>
      </w:r>
      <w:r w:rsidRPr="002B7665">
        <w:rPr>
          <w:rFonts w:ascii="Arial Narrow" w:eastAsia="Times New Roman" w:hAnsi="Arial Narrow" w:cs="Tahoma"/>
          <w:color w:val="000000"/>
          <w:sz w:val="18"/>
          <w:szCs w:val="18"/>
          <w:lang w:eastAsia="en-AU"/>
        </w:rPr>
        <w:t xml:space="preserve"> = DNA polymerase epsilon, catalytic subunit</w:t>
      </w:r>
    </w:p>
    <w:p w14:paraId="41DA1C96" w14:textId="27A71572" w:rsidR="00F81E2B" w:rsidRPr="00002DC2" w:rsidRDefault="00F81E2B" w:rsidP="00002DC2">
      <w:pPr>
        <w:pStyle w:val="Caption"/>
        <w:rPr>
          <w:rFonts w:eastAsia="Aptos" w:cs="Aptos"/>
          <w:iCs/>
          <w:color w:val="000000"/>
          <w:kern w:val="2"/>
          <w:lang w:val="en-US"/>
          <w14:ligatures w14:val="standardContextual"/>
        </w:rPr>
      </w:pPr>
      <w:bookmarkStart w:id="106" w:name="_Ref223617723"/>
      <w:r w:rsidRPr="002A5040">
        <w:t xml:space="preserve">Table </w:t>
      </w:r>
      <w:r>
        <w:fldChar w:fldCharType="begin"/>
      </w:r>
      <w:r>
        <w:instrText>SEQ Table \* ARABIC</w:instrText>
      </w:r>
      <w:r>
        <w:fldChar w:fldCharType="separate"/>
      </w:r>
      <w:r w:rsidR="00996E6E">
        <w:rPr>
          <w:noProof/>
        </w:rPr>
        <w:t>31</w:t>
      </w:r>
      <w:r>
        <w:fldChar w:fldCharType="end"/>
      </w:r>
      <w:bookmarkEnd w:id="106"/>
      <w:r w:rsidRPr="002A5040">
        <w:t xml:space="preserve"> </w:t>
      </w:r>
      <w:r w:rsidRPr="00002DC2">
        <w:rPr>
          <w:rFonts w:eastAsia="Aptos" w:cs="Aptos"/>
          <w:color w:val="000000"/>
          <w:kern w:val="2"/>
          <w:lang w:val="en-US"/>
          <w14:ligatures w14:val="standardContextual"/>
        </w:rPr>
        <w:t xml:space="preserve">Financial impact of </w:t>
      </w:r>
      <w:r w:rsidRPr="00B85EBC">
        <w:rPr>
          <w:rFonts w:eastAsia="Aptos" w:cs="Aptos"/>
          <w:i/>
          <w:iCs/>
          <w:color w:val="000000"/>
          <w:kern w:val="2"/>
          <w:lang w:val="en-US"/>
          <w14:ligatures w14:val="standardContextual"/>
        </w:rPr>
        <w:t>POLE</w:t>
      </w:r>
      <w:r w:rsidRPr="00002DC2">
        <w:rPr>
          <w:rFonts w:eastAsia="Aptos" w:cs="Aptos"/>
          <w:color w:val="000000"/>
          <w:kern w:val="2"/>
          <w:lang w:val="en-US"/>
          <w14:ligatures w14:val="standardContextual"/>
        </w:rPr>
        <w:t xml:space="preserve"> genotyping</w:t>
      </w:r>
      <w:r w:rsidR="001F745E">
        <w:rPr>
          <w:rFonts w:eastAsia="Aptos" w:cs="Aptos"/>
          <w:color w:val="000000"/>
          <w:kern w:val="2"/>
          <w:lang w:val="en-US"/>
          <w14:ligatures w14:val="standardContextual"/>
        </w:rPr>
        <w:t xml:space="preserve"> with a test fee of $397.35</w:t>
      </w:r>
      <w:r w:rsidRPr="00002DC2">
        <w:rPr>
          <w:rFonts w:eastAsia="Aptos" w:cs="Aptos"/>
          <w:color w:val="000000"/>
          <w:kern w:val="2"/>
          <w:lang w:val="en-US"/>
          <w14:ligatures w14:val="standardContextual"/>
        </w:rPr>
        <w:t xml:space="preserve"> at 85% MBS benefits including immunotherapy costs</w:t>
      </w:r>
    </w:p>
    <w:tbl>
      <w:tblPr>
        <w:tblStyle w:val="CMATableTemplate3"/>
        <w:tblW w:w="5000" w:type="pct"/>
        <w:tblLook w:val="06A0" w:firstRow="1" w:lastRow="0" w:firstColumn="1" w:lastColumn="0" w:noHBand="1" w:noVBand="1"/>
      </w:tblPr>
      <w:tblGrid>
        <w:gridCol w:w="1734"/>
        <w:gridCol w:w="1214"/>
        <w:gridCol w:w="1214"/>
        <w:gridCol w:w="1214"/>
        <w:gridCol w:w="1214"/>
        <w:gridCol w:w="1214"/>
        <w:gridCol w:w="1212"/>
      </w:tblGrid>
      <w:tr w:rsidR="00F81E2B" w:rsidRPr="00F81E2B" w14:paraId="53AABA88" w14:textId="77777777">
        <w:trPr>
          <w:trHeight w:val="300"/>
        </w:trPr>
        <w:tc>
          <w:tcPr>
            <w:tcW w:w="961" w:type="pct"/>
          </w:tcPr>
          <w:p w14:paraId="67878713"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b/>
                <w:color w:val="000000"/>
                <w:sz w:val="20"/>
                <w:szCs w:val="20"/>
              </w:rPr>
              <w:t>Parameter</w:t>
            </w:r>
          </w:p>
        </w:tc>
        <w:tc>
          <w:tcPr>
            <w:tcW w:w="673" w:type="pct"/>
          </w:tcPr>
          <w:p w14:paraId="5555C2E9"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b/>
                <w:color w:val="000000"/>
                <w:sz w:val="20"/>
                <w:szCs w:val="20"/>
              </w:rPr>
              <w:t>2026–2027</w:t>
            </w:r>
          </w:p>
        </w:tc>
        <w:tc>
          <w:tcPr>
            <w:tcW w:w="673" w:type="pct"/>
          </w:tcPr>
          <w:p w14:paraId="56234AC5"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b/>
                <w:color w:val="000000"/>
                <w:sz w:val="20"/>
                <w:szCs w:val="20"/>
              </w:rPr>
              <w:t>2027–2028</w:t>
            </w:r>
          </w:p>
        </w:tc>
        <w:tc>
          <w:tcPr>
            <w:tcW w:w="673" w:type="pct"/>
          </w:tcPr>
          <w:p w14:paraId="22F85783"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b/>
                <w:color w:val="000000"/>
                <w:sz w:val="20"/>
                <w:szCs w:val="20"/>
              </w:rPr>
              <w:t>2028–2029</w:t>
            </w:r>
          </w:p>
        </w:tc>
        <w:tc>
          <w:tcPr>
            <w:tcW w:w="673" w:type="pct"/>
          </w:tcPr>
          <w:p w14:paraId="2C41FE4E"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b/>
                <w:color w:val="000000"/>
                <w:sz w:val="20"/>
                <w:szCs w:val="20"/>
              </w:rPr>
              <w:t>2029–2030</w:t>
            </w:r>
          </w:p>
        </w:tc>
        <w:tc>
          <w:tcPr>
            <w:tcW w:w="673" w:type="pct"/>
          </w:tcPr>
          <w:p w14:paraId="7AC5B546"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b/>
                <w:color w:val="000000"/>
                <w:sz w:val="20"/>
                <w:szCs w:val="20"/>
              </w:rPr>
              <w:t>2030–2031</w:t>
            </w:r>
          </w:p>
        </w:tc>
        <w:tc>
          <w:tcPr>
            <w:tcW w:w="672" w:type="pct"/>
          </w:tcPr>
          <w:p w14:paraId="0DC82E73"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b/>
                <w:color w:val="000000"/>
                <w:sz w:val="20"/>
                <w:szCs w:val="20"/>
              </w:rPr>
              <w:t>2031–2032</w:t>
            </w:r>
          </w:p>
        </w:tc>
      </w:tr>
      <w:tr w:rsidR="00F81E2B" w:rsidRPr="00F81E2B" w14:paraId="617378E3" w14:textId="77777777">
        <w:trPr>
          <w:trHeight w:val="300"/>
        </w:trPr>
        <w:tc>
          <w:tcPr>
            <w:tcW w:w="961" w:type="pct"/>
          </w:tcPr>
          <w:p w14:paraId="57C2DB8E"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ptos"/>
                <w:color w:val="000000"/>
                <w:sz w:val="20"/>
                <w:szCs w:val="20"/>
              </w:rPr>
              <w:t>Total MBS cost at 85% MBS benefits</w:t>
            </w:r>
          </w:p>
        </w:tc>
        <w:tc>
          <w:tcPr>
            <w:tcW w:w="673" w:type="pct"/>
          </w:tcPr>
          <w:p w14:paraId="696DC2DB"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$588,565</w:t>
            </w:r>
          </w:p>
        </w:tc>
        <w:tc>
          <w:tcPr>
            <w:tcW w:w="673" w:type="pct"/>
          </w:tcPr>
          <w:p w14:paraId="32D93775"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$705,547</w:t>
            </w:r>
          </w:p>
        </w:tc>
        <w:tc>
          <w:tcPr>
            <w:tcW w:w="673" w:type="pct"/>
          </w:tcPr>
          <w:p w14:paraId="52314C8F"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$825,761</w:t>
            </w:r>
          </w:p>
        </w:tc>
        <w:tc>
          <w:tcPr>
            <w:tcW w:w="673" w:type="pct"/>
          </w:tcPr>
          <w:p w14:paraId="4852E79C"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$949,276</w:t>
            </w:r>
          </w:p>
        </w:tc>
        <w:tc>
          <w:tcPr>
            <w:tcW w:w="673" w:type="pct"/>
          </w:tcPr>
          <w:p w14:paraId="2F8C2776"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$1,076,163</w:t>
            </w:r>
          </w:p>
        </w:tc>
        <w:tc>
          <w:tcPr>
            <w:tcW w:w="672" w:type="pct"/>
          </w:tcPr>
          <w:p w14:paraId="2ED2A0E7"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$1,149,040</w:t>
            </w:r>
          </w:p>
        </w:tc>
      </w:tr>
      <w:tr w:rsidR="00F81E2B" w:rsidRPr="00F81E2B" w14:paraId="4AB910BA" w14:textId="77777777">
        <w:trPr>
          <w:trHeight w:val="300"/>
        </w:trPr>
        <w:tc>
          <w:tcPr>
            <w:tcW w:w="961" w:type="pct"/>
          </w:tcPr>
          <w:p w14:paraId="25F1746F"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ptos"/>
                <w:color w:val="000000"/>
                <w:sz w:val="20"/>
                <w:szCs w:val="20"/>
              </w:rPr>
              <w:t>Cost offsets for MBS at 85% MBS benefits</w:t>
            </w:r>
          </w:p>
        </w:tc>
        <w:tc>
          <w:tcPr>
            <w:tcW w:w="673" w:type="pct"/>
          </w:tcPr>
          <w:p w14:paraId="3B0C833E"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$606,298</w:t>
            </w:r>
          </w:p>
        </w:tc>
        <w:tc>
          <w:tcPr>
            <w:tcW w:w="673" w:type="pct"/>
          </w:tcPr>
          <w:p w14:paraId="6A13AED9"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$614,988</w:t>
            </w:r>
          </w:p>
        </w:tc>
        <w:tc>
          <w:tcPr>
            <w:tcW w:w="673" w:type="pct"/>
          </w:tcPr>
          <w:p w14:paraId="1027A60F"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$623,803</w:t>
            </w:r>
          </w:p>
        </w:tc>
        <w:tc>
          <w:tcPr>
            <w:tcW w:w="673" w:type="pct"/>
          </w:tcPr>
          <w:p w14:paraId="5C1A3E27"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$632,744</w:t>
            </w:r>
          </w:p>
        </w:tc>
        <w:tc>
          <w:tcPr>
            <w:tcW w:w="673" w:type="pct"/>
          </w:tcPr>
          <w:p w14:paraId="75CF3A8D"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$641,814</w:t>
            </w:r>
          </w:p>
        </w:tc>
        <w:tc>
          <w:tcPr>
            <w:tcW w:w="672" w:type="pct"/>
          </w:tcPr>
          <w:p w14:paraId="2A063201"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$651,013</w:t>
            </w:r>
          </w:p>
        </w:tc>
      </w:tr>
      <w:tr w:rsidR="00F81E2B" w:rsidRPr="00F81E2B" w14:paraId="44CCFBDE" w14:textId="77777777">
        <w:trPr>
          <w:trHeight w:val="300"/>
        </w:trPr>
        <w:tc>
          <w:tcPr>
            <w:tcW w:w="961" w:type="pct"/>
          </w:tcPr>
          <w:p w14:paraId="38C38A89"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ptos"/>
                <w:color w:val="000000"/>
                <w:sz w:val="20"/>
                <w:szCs w:val="20"/>
              </w:rPr>
              <w:t>Cost offsets for PBS at 85% MBS benefits</w:t>
            </w:r>
          </w:p>
        </w:tc>
        <w:tc>
          <w:tcPr>
            <w:tcW w:w="673" w:type="pct"/>
          </w:tcPr>
          <w:p w14:paraId="40A670E0"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$2,428,240</w:t>
            </w:r>
          </w:p>
        </w:tc>
        <w:tc>
          <w:tcPr>
            <w:tcW w:w="673" w:type="pct"/>
          </w:tcPr>
          <w:p w14:paraId="4C4529AD"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$2,463,044</w:t>
            </w:r>
          </w:p>
        </w:tc>
        <w:tc>
          <w:tcPr>
            <w:tcW w:w="673" w:type="pct"/>
          </w:tcPr>
          <w:p w14:paraId="145CA5B2"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$2,498,348</w:t>
            </w:r>
          </w:p>
        </w:tc>
        <w:tc>
          <w:tcPr>
            <w:tcW w:w="673" w:type="pct"/>
          </w:tcPr>
          <w:p w14:paraId="414D5AF5"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$2,534,158</w:t>
            </w:r>
          </w:p>
        </w:tc>
        <w:tc>
          <w:tcPr>
            <w:tcW w:w="673" w:type="pct"/>
          </w:tcPr>
          <w:p w14:paraId="4FA732CF"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$2,570,481</w:t>
            </w:r>
          </w:p>
        </w:tc>
        <w:tc>
          <w:tcPr>
            <w:tcW w:w="672" w:type="pct"/>
          </w:tcPr>
          <w:p w14:paraId="5C5505D1"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$2,607,324</w:t>
            </w:r>
          </w:p>
        </w:tc>
      </w:tr>
      <w:tr w:rsidR="00F81E2B" w:rsidRPr="00F81E2B" w14:paraId="2004561E" w14:textId="77777777">
        <w:trPr>
          <w:trHeight w:val="300"/>
        </w:trPr>
        <w:tc>
          <w:tcPr>
            <w:tcW w:w="961" w:type="pct"/>
          </w:tcPr>
          <w:p w14:paraId="06E73E6E"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ptos"/>
                <w:color w:val="000000"/>
                <w:sz w:val="20"/>
                <w:szCs w:val="20"/>
              </w:rPr>
              <w:t>Net financial impact for MBS at 85% MBS benefits</w:t>
            </w:r>
          </w:p>
        </w:tc>
        <w:tc>
          <w:tcPr>
            <w:tcW w:w="673" w:type="pct"/>
          </w:tcPr>
          <w:p w14:paraId="7052C013"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−$17,733</w:t>
            </w:r>
          </w:p>
        </w:tc>
        <w:tc>
          <w:tcPr>
            <w:tcW w:w="673" w:type="pct"/>
          </w:tcPr>
          <w:p w14:paraId="319F88FF"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$90,558</w:t>
            </w:r>
          </w:p>
        </w:tc>
        <w:tc>
          <w:tcPr>
            <w:tcW w:w="673" w:type="pct"/>
          </w:tcPr>
          <w:p w14:paraId="50576E49"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$201,958</w:t>
            </w:r>
          </w:p>
        </w:tc>
        <w:tc>
          <w:tcPr>
            <w:tcW w:w="673" w:type="pct"/>
          </w:tcPr>
          <w:p w14:paraId="452EC395"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$316,532</w:t>
            </w:r>
          </w:p>
        </w:tc>
        <w:tc>
          <w:tcPr>
            <w:tcW w:w="673" w:type="pct"/>
          </w:tcPr>
          <w:p w14:paraId="2E11F589"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$434,349</w:t>
            </w:r>
          </w:p>
        </w:tc>
        <w:tc>
          <w:tcPr>
            <w:tcW w:w="672" w:type="pct"/>
          </w:tcPr>
          <w:p w14:paraId="02054A69"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$498,027</w:t>
            </w:r>
          </w:p>
        </w:tc>
      </w:tr>
      <w:tr w:rsidR="00F81E2B" w:rsidRPr="00F81E2B" w14:paraId="1B169AD5" w14:textId="77777777">
        <w:trPr>
          <w:trHeight w:val="300"/>
        </w:trPr>
        <w:tc>
          <w:tcPr>
            <w:tcW w:w="961" w:type="pct"/>
          </w:tcPr>
          <w:p w14:paraId="61688AAD"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ptos"/>
                <w:color w:val="000000"/>
                <w:sz w:val="20"/>
                <w:szCs w:val="20"/>
              </w:rPr>
              <w:t>Net financial impact for PBS at 85% MBS benefits</w:t>
            </w:r>
          </w:p>
        </w:tc>
        <w:tc>
          <w:tcPr>
            <w:tcW w:w="673" w:type="pct"/>
          </w:tcPr>
          <w:p w14:paraId="029CEE29"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−$1,839,675</w:t>
            </w:r>
          </w:p>
        </w:tc>
        <w:tc>
          <w:tcPr>
            <w:tcW w:w="673" w:type="pct"/>
          </w:tcPr>
          <w:p w14:paraId="5969502B"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−$1,757,498</w:t>
            </w:r>
          </w:p>
        </w:tc>
        <w:tc>
          <w:tcPr>
            <w:tcW w:w="673" w:type="pct"/>
          </w:tcPr>
          <w:p w14:paraId="38356115"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−$1,672,587</w:t>
            </w:r>
          </w:p>
        </w:tc>
        <w:tc>
          <w:tcPr>
            <w:tcW w:w="673" w:type="pct"/>
          </w:tcPr>
          <w:p w14:paraId="72DA3CD7"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−$1,584,881</w:t>
            </w:r>
          </w:p>
        </w:tc>
        <w:tc>
          <w:tcPr>
            <w:tcW w:w="673" w:type="pct"/>
          </w:tcPr>
          <w:p w14:paraId="395CF89F"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−$1,494,318</w:t>
            </w:r>
          </w:p>
        </w:tc>
        <w:tc>
          <w:tcPr>
            <w:tcW w:w="672" w:type="pct"/>
          </w:tcPr>
          <w:p w14:paraId="3EBAB09F"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−$1,458,284</w:t>
            </w:r>
          </w:p>
        </w:tc>
      </w:tr>
      <w:tr w:rsidR="00F81E2B" w:rsidRPr="00F81E2B" w14:paraId="7DFB731F" w14:textId="77777777">
        <w:trPr>
          <w:trHeight w:val="300"/>
        </w:trPr>
        <w:tc>
          <w:tcPr>
            <w:tcW w:w="961" w:type="pct"/>
          </w:tcPr>
          <w:p w14:paraId="4D3E9367"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ptos"/>
                <w:color w:val="000000"/>
                <w:sz w:val="20"/>
                <w:szCs w:val="20"/>
              </w:rPr>
              <w:t>Total net financial impact at 85% MBS benefits</w:t>
            </w:r>
          </w:p>
        </w:tc>
        <w:tc>
          <w:tcPr>
            <w:tcW w:w="673" w:type="pct"/>
          </w:tcPr>
          <w:p w14:paraId="74A9AED5"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−$2,445,973</w:t>
            </w:r>
          </w:p>
        </w:tc>
        <w:tc>
          <w:tcPr>
            <w:tcW w:w="673" w:type="pct"/>
          </w:tcPr>
          <w:p w14:paraId="2CA5081B"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−$2,372,486</w:t>
            </w:r>
          </w:p>
        </w:tc>
        <w:tc>
          <w:tcPr>
            <w:tcW w:w="673" w:type="pct"/>
          </w:tcPr>
          <w:p w14:paraId="5234CED8"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−$2,296,390</w:t>
            </w:r>
          </w:p>
        </w:tc>
        <w:tc>
          <w:tcPr>
            <w:tcW w:w="673" w:type="pct"/>
          </w:tcPr>
          <w:p w14:paraId="4EF028E8"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−$2,217,626</w:t>
            </w:r>
          </w:p>
        </w:tc>
        <w:tc>
          <w:tcPr>
            <w:tcW w:w="673" w:type="pct"/>
          </w:tcPr>
          <w:p w14:paraId="6E5E3075"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−$2,136,131</w:t>
            </w:r>
          </w:p>
        </w:tc>
        <w:tc>
          <w:tcPr>
            <w:tcW w:w="672" w:type="pct"/>
          </w:tcPr>
          <w:p w14:paraId="2E75F317" w14:textId="77777777" w:rsidR="00F81E2B" w:rsidRPr="00F81E2B" w:rsidRDefault="00F81E2B" w:rsidP="00F81E2B">
            <w:pPr>
              <w:spacing w:before="0"/>
              <w:rPr>
                <w:rFonts w:ascii="Arial Narrow" w:eastAsia="Aptos" w:hAnsi="Arial Narrow" w:cs="Aptos"/>
                <w:color w:val="000000"/>
                <w:sz w:val="20"/>
                <w:szCs w:val="20"/>
              </w:rPr>
            </w:pPr>
            <w:r w:rsidRPr="00F81E2B">
              <w:rPr>
                <w:rFonts w:ascii="Arial Narrow" w:eastAsia="Aptos" w:hAnsi="Arial Narrow" w:cs="Arial"/>
                <w:color w:val="000000"/>
                <w:sz w:val="20"/>
                <w:szCs w:val="20"/>
              </w:rPr>
              <w:t>−$2,109,297</w:t>
            </w:r>
          </w:p>
        </w:tc>
      </w:tr>
    </w:tbl>
    <w:p w14:paraId="327C6E30" w14:textId="77777777" w:rsidR="00F81E2B" w:rsidRPr="00F81E2B" w:rsidRDefault="00F81E2B" w:rsidP="00F81E2B">
      <w:pPr>
        <w:spacing w:before="0" w:after="0" w:line="276" w:lineRule="auto"/>
        <w:rPr>
          <w:rFonts w:ascii="Arial Narrow" w:eastAsia="Times New Roman" w:hAnsi="Arial Narrow" w:cs="Tahoma"/>
          <w:color w:val="000000"/>
          <w:sz w:val="18"/>
          <w:szCs w:val="18"/>
          <w:lang w:eastAsia="en-AU"/>
        </w:rPr>
      </w:pPr>
      <w:r w:rsidRPr="00F81E2B">
        <w:rPr>
          <w:rFonts w:ascii="Arial Narrow" w:eastAsia="Times New Roman" w:hAnsi="Arial Narrow" w:cs="Tahoma"/>
          <w:color w:val="000000"/>
          <w:sz w:val="18"/>
          <w:szCs w:val="18"/>
          <w:lang w:eastAsia="en-AU"/>
        </w:rPr>
        <w:t>Abbreviations: MBS = Medicare Benefits Schedule, POLE = DNA polymerase epsilon, catalytic subunit</w:t>
      </w:r>
    </w:p>
    <w:p w14:paraId="7838A9FF" w14:textId="1BCD628B" w:rsidR="00772829" w:rsidRPr="00CE28E3" w:rsidRDefault="00772829" w:rsidP="00DE034C">
      <w:pPr>
        <w:pStyle w:val="Heading2"/>
        <w:numPr>
          <w:ilvl w:val="0"/>
          <w:numId w:val="18"/>
        </w:numPr>
        <w:ind w:hanging="720"/>
      </w:pPr>
      <w:bookmarkStart w:id="107" w:name="_Toc220675612"/>
      <w:bookmarkStart w:id="108" w:name="_Toc220670381"/>
      <w:r w:rsidRPr="00CE28E3">
        <w:t xml:space="preserve">Other relevant </w:t>
      </w:r>
      <w:r w:rsidR="00FA5766">
        <w:t>information</w:t>
      </w:r>
      <w:bookmarkEnd w:id="107"/>
      <w:bookmarkEnd w:id="108"/>
    </w:p>
    <w:p w14:paraId="042032AE" w14:textId="1D82C408" w:rsidR="009F58A0" w:rsidRDefault="00303FC9" w:rsidP="00364800">
      <w:r>
        <w:t>The ESGO-ESHRE-ESGE</w:t>
      </w:r>
      <w:r w:rsidDel="00303FC9">
        <w:t xml:space="preserve"> </w:t>
      </w:r>
      <w:r>
        <w:t>g</w:t>
      </w:r>
      <w:r w:rsidR="009F58A0">
        <w:t>uidelines</w:t>
      </w:r>
      <w:r>
        <w:rPr>
          <w:rStyle w:val="FootnoteReference"/>
        </w:rPr>
        <w:footnoteReference w:id="38"/>
      </w:r>
      <w:r>
        <w:t xml:space="preserve"> </w:t>
      </w:r>
      <w:r w:rsidR="001D2D75">
        <w:t xml:space="preserve">indicate </w:t>
      </w:r>
      <w:r w:rsidR="00AF5EE2">
        <w:t>that the appropriateness of fertility</w:t>
      </w:r>
      <w:r w:rsidR="00825D07">
        <w:t>-</w:t>
      </w:r>
      <w:r w:rsidR="00AF5EE2">
        <w:t xml:space="preserve">sparing treatments in </w:t>
      </w:r>
      <w:r w:rsidR="00836811" w:rsidRPr="00836811">
        <w:rPr>
          <w:i/>
        </w:rPr>
        <w:t>POLE</w:t>
      </w:r>
      <w:r w:rsidR="00AF5EE2">
        <w:t>mut EC is unclear.</w:t>
      </w:r>
      <w:r w:rsidR="001D2D75">
        <w:t xml:space="preserve"> A systematic review</w:t>
      </w:r>
      <w:r w:rsidR="005C45D8">
        <w:rPr>
          <w:rStyle w:val="FootnoteReference"/>
        </w:rPr>
        <w:footnoteReference w:id="39"/>
      </w:r>
      <w:r w:rsidR="001D2D75">
        <w:t xml:space="preserve"> in patients with EC and atypical </w:t>
      </w:r>
      <w:r w:rsidR="001D2D75">
        <w:lastRenderedPageBreak/>
        <w:t xml:space="preserve">endometrial hyperplasia showed that the </w:t>
      </w:r>
      <w:r w:rsidR="00836811" w:rsidRPr="00836811">
        <w:rPr>
          <w:i/>
        </w:rPr>
        <w:t>POLE</w:t>
      </w:r>
      <w:r w:rsidR="001D2D75">
        <w:t xml:space="preserve">mut status </w:t>
      </w:r>
      <w:r w:rsidR="001D2D75" w:rsidRPr="00394DF0">
        <w:t>did not confer high</w:t>
      </w:r>
      <w:r>
        <w:t>er</w:t>
      </w:r>
      <w:r w:rsidR="001D2D75" w:rsidRPr="00394DF0">
        <w:t xml:space="preserve"> success rates in comparison</w:t>
      </w:r>
      <w:r w:rsidR="001D2D75">
        <w:t xml:space="preserve"> </w:t>
      </w:r>
      <w:r w:rsidR="001D2D75" w:rsidRPr="00394DF0">
        <w:t>with other molecular classes</w:t>
      </w:r>
      <w:r w:rsidR="001D2D75">
        <w:t xml:space="preserve"> for complete response</w:t>
      </w:r>
      <w:r w:rsidR="00DF0D32">
        <w:t xml:space="preserve"> </w:t>
      </w:r>
      <w:r w:rsidR="00496B27">
        <w:t xml:space="preserve">to </w:t>
      </w:r>
      <w:r w:rsidR="00E371BE">
        <w:t xml:space="preserve">fertility-sparing </w:t>
      </w:r>
      <w:r w:rsidR="00496B27">
        <w:t>treatment</w:t>
      </w:r>
      <w:r w:rsidR="00DF0D32">
        <w:t>, supporting the recommendations of the ESGO-ESHRE-ESGE guidelines</w:t>
      </w:r>
      <w:r w:rsidR="001D2D75">
        <w:t xml:space="preserve">. </w:t>
      </w:r>
    </w:p>
    <w:p w14:paraId="294B6428" w14:textId="0C1014E4" w:rsidR="004C7C12" w:rsidRPr="003251C2" w:rsidRDefault="004C7C12" w:rsidP="00364800">
      <w:r>
        <w:t xml:space="preserve">A scoping search found that patients with gynaecological cancers reported concerns relating to fear of cancer spread, worries about the impact on close relatives and need for clear information to support recovery. </w:t>
      </w:r>
      <w:r w:rsidRPr="00836811">
        <w:rPr>
          <w:i/>
        </w:rPr>
        <w:t>POLE</w:t>
      </w:r>
      <w:r>
        <w:t xml:space="preserve"> genotyping may still be advantageous for these patients. </w:t>
      </w:r>
    </w:p>
    <w:p w14:paraId="20A313B0" w14:textId="77777777" w:rsidR="007227F7" w:rsidRPr="005B6EFD" w:rsidRDefault="007227F7" w:rsidP="00DE034C">
      <w:pPr>
        <w:pStyle w:val="Heading2"/>
        <w:numPr>
          <w:ilvl w:val="0"/>
          <w:numId w:val="18"/>
        </w:numPr>
        <w:ind w:hanging="720"/>
      </w:pPr>
      <w:r w:rsidRPr="005B6EFD">
        <w:t xml:space="preserve">Key issues from ESC to MSAC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361D0" w:rsidRPr="00CE28E3" w14:paraId="23A51FB0" w14:textId="77777777">
        <w:tc>
          <w:tcPr>
            <w:tcW w:w="9016" w:type="dxa"/>
          </w:tcPr>
          <w:p w14:paraId="5EC5DAC3" w14:textId="77777777" w:rsidR="002361D0" w:rsidRPr="008967C4" w:rsidRDefault="002361D0">
            <w:pPr>
              <w:pStyle w:val="Normalbold"/>
              <w:rPr>
                <w:sz w:val="24"/>
                <w:szCs w:val="24"/>
              </w:rPr>
            </w:pPr>
            <w:bookmarkStart w:id="109" w:name="_Hlk69734340"/>
            <w:r w:rsidRPr="00F834DD">
              <w:t xml:space="preserve">Main issues for MSAC consideration </w:t>
            </w:r>
          </w:p>
          <w:p w14:paraId="67666618" w14:textId="77777777" w:rsidR="002361D0" w:rsidRDefault="002361D0">
            <w:pPr>
              <w:pStyle w:val="Normalbold"/>
            </w:pPr>
            <w:r w:rsidRPr="00F834DD">
              <w:t>Clinical issues:</w:t>
            </w:r>
          </w:p>
          <w:p w14:paraId="5E679F34" w14:textId="77777777" w:rsidR="002361D0" w:rsidRPr="007026C1" w:rsidRDefault="002361D0">
            <w:pPr>
              <w:pStyle w:val="ListParagraph"/>
              <w:numPr>
                <w:ilvl w:val="0"/>
                <w:numId w:val="12"/>
              </w:numPr>
              <w:spacing w:after="120"/>
              <w:ind w:left="448" w:hanging="425"/>
              <w:contextualSpacing w:val="0"/>
            </w:pPr>
            <w:r>
              <w:t xml:space="preserve">ESC considered that there are no significant clinical issues for this application. </w:t>
            </w:r>
            <w:r w:rsidRPr="2908E4A8">
              <w:rPr>
                <w:i/>
                <w:iCs/>
              </w:rPr>
              <w:t>POLE</w:t>
            </w:r>
            <w:r>
              <w:t xml:space="preserve"> testing for endometrial cancer patients is standard of care and testing is conducted by multiple laboratories in Australia. Evidence remains limited for its predictive utility in stage III and IV disease.</w:t>
            </w:r>
          </w:p>
          <w:p w14:paraId="48536ABA" w14:textId="77777777" w:rsidR="002361D0" w:rsidRPr="004F6113" w:rsidRDefault="002361D0">
            <w:pPr>
              <w:pStyle w:val="ListParagraph"/>
              <w:numPr>
                <w:ilvl w:val="0"/>
                <w:numId w:val="12"/>
              </w:numPr>
              <w:ind w:left="447" w:hanging="425"/>
            </w:pPr>
            <w:r>
              <w:t>ESC noted discrepancies between the various sources of clinical guidelines and expert opinion regarding targeted versus universal testing. ESC considered it appropriate to test all patients with newly diagnosed endometrial cancer to ensure each tumour is molecularly classified (i.e. universal testing, preferably at the time of diagnosis).</w:t>
            </w:r>
          </w:p>
          <w:p w14:paraId="43323D6F" w14:textId="77777777" w:rsidR="002361D0" w:rsidRDefault="002361D0">
            <w:pPr>
              <w:pStyle w:val="Normalbold"/>
              <w:keepNext w:val="0"/>
            </w:pPr>
            <w:r w:rsidRPr="00F834DD">
              <w:t>Economic issues:</w:t>
            </w:r>
          </w:p>
          <w:p w14:paraId="796B9952" w14:textId="77777777" w:rsidR="002361D0" w:rsidRPr="00B81DD2" w:rsidRDefault="002361D0">
            <w:pPr>
              <w:pStyle w:val="ListParagraph"/>
              <w:numPr>
                <w:ilvl w:val="0"/>
                <w:numId w:val="13"/>
              </w:numPr>
              <w:spacing w:after="120"/>
              <w:ind w:left="448" w:hanging="425"/>
              <w:contextualSpacing w:val="0"/>
              <w:rPr>
                <w:b/>
                <w:bCs/>
              </w:rPr>
            </w:pPr>
            <w:r>
              <w:t>ESC noted that t</w:t>
            </w:r>
            <w:r w:rsidRPr="00B81DD2">
              <w:t xml:space="preserve">he economic model is sensitive </w:t>
            </w:r>
            <w:r>
              <w:t xml:space="preserve">to the </w:t>
            </w:r>
            <w:r w:rsidRPr="00B81DD2">
              <w:t>immunotherapy de-escalation</w:t>
            </w:r>
            <w:r>
              <w:t xml:space="preserve"> rate</w:t>
            </w:r>
            <w:r w:rsidRPr="00B81DD2">
              <w:t xml:space="preserve">, which </w:t>
            </w:r>
            <w:r>
              <w:t xml:space="preserve">ESC considered </w:t>
            </w:r>
            <w:r w:rsidRPr="00B81DD2">
              <w:t>may be too optimistic for the base case</w:t>
            </w:r>
            <w:r>
              <w:t xml:space="preserve">; ESC considered that applying a de-escalation rate of ~46% as observed in the </w:t>
            </w:r>
            <w:r w:rsidRPr="00075A93">
              <w:t>PORTEC-4</w:t>
            </w:r>
            <w:r>
              <w:t>a trial would be more reasonable</w:t>
            </w:r>
            <w:r w:rsidRPr="00B81DD2">
              <w:t>.</w:t>
            </w:r>
            <w:r>
              <w:t xml:space="preserve"> </w:t>
            </w:r>
          </w:p>
          <w:p w14:paraId="2FE5E25D" w14:textId="77777777" w:rsidR="002361D0" w:rsidRPr="004F6113" w:rsidRDefault="002361D0">
            <w:pPr>
              <w:pStyle w:val="ListParagraph"/>
              <w:numPr>
                <w:ilvl w:val="0"/>
                <w:numId w:val="13"/>
              </w:numPr>
              <w:spacing w:after="120"/>
              <w:ind w:left="448" w:hanging="425"/>
              <w:contextualSpacing w:val="0"/>
            </w:pPr>
            <w:r w:rsidRPr="00B81DD2">
              <w:t xml:space="preserve">The exploratory cost-utility modelling provided uncertain QALY gains ranging from 0.0005 to 0.021 over 5 years, which dramatically changed </w:t>
            </w:r>
            <w:r>
              <w:t xml:space="preserve">the </w:t>
            </w:r>
            <w:r w:rsidRPr="00B81DD2">
              <w:t xml:space="preserve">results. ESC suggested that it may be more appropriate to use </w:t>
            </w:r>
            <w:r>
              <w:t>the relevant</w:t>
            </w:r>
            <w:r w:rsidRPr="00343AF0">
              <w:t xml:space="preserve"> scores </w:t>
            </w:r>
            <w:r>
              <w:t>from</w:t>
            </w:r>
            <w:r w:rsidRPr="00343AF0">
              <w:t xml:space="preserve"> the PORTEC 3 trial mapped onto the EQ-5D-5L utility index</w:t>
            </w:r>
            <w:r>
              <w:t xml:space="preserve"> as presented in the DCAR’s scenario analysis.</w:t>
            </w:r>
          </w:p>
          <w:p w14:paraId="2129E221" w14:textId="77777777" w:rsidR="002361D0" w:rsidRDefault="002361D0">
            <w:pPr>
              <w:pStyle w:val="Normalbold"/>
            </w:pPr>
            <w:r w:rsidRPr="00F834DD">
              <w:t>Financial issues:</w:t>
            </w:r>
          </w:p>
          <w:p w14:paraId="5ED4C562" w14:textId="77777777" w:rsidR="002361D0" w:rsidRPr="000D5410" w:rsidRDefault="002361D0">
            <w:pPr>
              <w:pStyle w:val="ListParagraph"/>
              <w:numPr>
                <w:ilvl w:val="0"/>
                <w:numId w:val="14"/>
              </w:numPr>
              <w:spacing w:after="120"/>
              <w:ind w:left="448" w:hanging="425"/>
              <w:contextualSpacing w:val="0"/>
            </w:pPr>
            <w:r>
              <w:t>ESC advised that t</w:t>
            </w:r>
            <w:r w:rsidRPr="000D5410">
              <w:t>he financial impacts with and without immunotherapy should be presented to MSAC, using more conservative estimates regarding the immunotherapy changes.</w:t>
            </w:r>
          </w:p>
        </w:tc>
      </w:tr>
    </w:tbl>
    <w:bookmarkEnd w:id="109"/>
    <w:p w14:paraId="10BD69AC" w14:textId="77777777" w:rsidR="002361D0" w:rsidRDefault="002361D0" w:rsidP="002361D0">
      <w:pPr>
        <w:spacing w:before="240"/>
      </w:pPr>
      <w:r w:rsidRPr="004F6113">
        <w:rPr>
          <w:b/>
          <w:bCs/>
        </w:rPr>
        <w:t>ESC Discussion</w:t>
      </w:r>
      <w:r>
        <w:t xml:space="preserve"> </w:t>
      </w:r>
    </w:p>
    <w:p w14:paraId="4D8BB0F1" w14:textId="77777777" w:rsidR="002361D0" w:rsidRDefault="002361D0" w:rsidP="002361D0">
      <w:r>
        <w:t xml:space="preserve">ESC noted that this application from the </w:t>
      </w:r>
      <w:r w:rsidRPr="009C5598">
        <w:t>Royal College of Pathologists of Australasia</w:t>
      </w:r>
      <w:r>
        <w:t xml:space="preserve"> (RCPA) requested Medicare Benefits Schedule (MBS) listing </w:t>
      </w:r>
      <w:r w:rsidRPr="001B42D0">
        <w:t xml:space="preserve">of </w:t>
      </w:r>
      <w:r w:rsidDel="008C02ED">
        <w:t>DNA polymerase epsilon</w:t>
      </w:r>
      <w:r>
        <w:t>, catalytic subunit (</w:t>
      </w:r>
      <w:r w:rsidRPr="00572E78">
        <w:rPr>
          <w:i/>
        </w:rPr>
        <w:t>POLE</w:t>
      </w:r>
      <w:r>
        <w:rPr>
          <w:i/>
        </w:rPr>
        <w:t>)</w:t>
      </w:r>
      <w:r w:rsidRPr="001B42D0">
        <w:t xml:space="preserve"> genotyping for the molecular classification</w:t>
      </w:r>
      <w:r w:rsidRPr="009A3778">
        <w:t xml:space="preserve"> </w:t>
      </w:r>
      <w:r>
        <w:t>in patients</w:t>
      </w:r>
      <w:r w:rsidRPr="009A3778">
        <w:t xml:space="preserve"> </w:t>
      </w:r>
      <w:r>
        <w:t xml:space="preserve">with </w:t>
      </w:r>
      <w:r w:rsidRPr="001B42D0">
        <w:t xml:space="preserve">endometrial </w:t>
      </w:r>
      <w:r>
        <w:t>cancer</w:t>
      </w:r>
      <w:r w:rsidRPr="009A3778">
        <w:t xml:space="preserve"> </w:t>
      </w:r>
      <w:r>
        <w:t xml:space="preserve">(EC).  </w:t>
      </w:r>
    </w:p>
    <w:p w14:paraId="030FF601" w14:textId="255536BB" w:rsidR="002361D0" w:rsidRDefault="002361D0" w:rsidP="002361D0">
      <w:r>
        <w:t>ESC noted that EC is increasingly common with an estimated 3,153 Australian cases diagnosed in 2025</w:t>
      </w:r>
      <w:r w:rsidR="001D3F21">
        <w:t xml:space="preserve"> (</w:t>
      </w:r>
      <w:r w:rsidR="00FD0EEE">
        <w:t>AIHW)</w:t>
      </w:r>
      <w:r>
        <w:t xml:space="preserve">. ESC also noted that EC has a favourable prognosis with a 5-year survival rate of 84.4%. As a result, adjuvant therapy is often unnecessary following surgical excision; however, accurately identifying which patients require additional treatment is difficult. </w:t>
      </w:r>
    </w:p>
    <w:p w14:paraId="165D3FC9" w14:textId="77777777" w:rsidR="002361D0" w:rsidRDefault="002361D0" w:rsidP="002361D0">
      <w:r>
        <w:t xml:space="preserve">ESC noted that there are several subtypes of EC. Endometrioid carcinoma is the most common type, comprising 80–90% of EC cases. Other subtypes include serous, clear cell, undifferentiated/dedifferentiated carcinoma, mixed carcinoma of the uterine corpus and carcinosarcoma of the uterine corpus. Endometrioid carcinoma has also been termed type I </w:t>
      </w:r>
      <w:r>
        <w:lastRenderedPageBreak/>
        <w:t xml:space="preserve">(indicating it usually has a better prognosis); whereas all other subtypes have been classified as type II (indicating a poorer prognosis). Type I tumours (endometrioid) are low grade, estrogen related and often relatively indolent. Type II subtypes (non-endometrioid) are usually not driven by estrogen stimulation and are clinically more aggressive than endometrioid carcinomas. </w:t>
      </w:r>
    </w:p>
    <w:p w14:paraId="1264B713" w14:textId="77777777" w:rsidR="002361D0" w:rsidRPr="001017C4" w:rsidRDefault="002361D0" w:rsidP="002361D0">
      <w:pPr>
        <w:spacing w:before="77" w:after="0"/>
        <w:rPr>
          <w:rFonts w:eastAsia="Arial" w:cs="Arial"/>
          <w:color w:val="000000" w:themeColor="text1"/>
        </w:rPr>
      </w:pPr>
      <w:r>
        <w:t xml:space="preserve">ESC noted that </w:t>
      </w:r>
      <w:r w:rsidRPr="00804FE6">
        <w:t>endometrioid carcinoma</w:t>
      </w:r>
      <w:r>
        <w:t>s are graded using the International Federation of Gynaecology and Obstetrics (FIGO)</w:t>
      </w:r>
      <w:r>
        <w:rPr>
          <w:rStyle w:val="FootnoteReference"/>
        </w:rPr>
        <w:footnoteReference w:id="40"/>
      </w:r>
      <w:r>
        <w:t xml:space="preserve"> system,</w:t>
      </w:r>
      <w:r w:rsidRPr="009F4D8F">
        <w:t xml:space="preserve"> </w:t>
      </w:r>
      <w:r w:rsidRPr="006435CD">
        <w:t xml:space="preserve">with Grade 1 defined as </w:t>
      </w:r>
      <w:r>
        <w:t xml:space="preserve">≤ </w:t>
      </w:r>
      <w:r w:rsidRPr="006435CD">
        <w:t xml:space="preserve">5% solid growth, Grade 2 as 6% to 50% solid growth, and Grade 3 as </w:t>
      </w:r>
      <w:r>
        <w:t>&gt;</w:t>
      </w:r>
      <w:r w:rsidRPr="006435CD">
        <w:t xml:space="preserve"> 50% solid growth. The presence of severe cytological atypia in the majority of cells (&gt;50%) increases the grade by one further level. </w:t>
      </w:r>
    </w:p>
    <w:p w14:paraId="3CD00F19" w14:textId="77777777" w:rsidR="002361D0" w:rsidRPr="00B456A1" w:rsidRDefault="002361D0" w:rsidP="007227F7">
      <w:pPr>
        <w:rPr>
          <w:color w:val="000000"/>
        </w:rPr>
      </w:pPr>
      <w:r w:rsidRPr="2908E4A8">
        <w:rPr>
          <w:color w:val="000000" w:themeColor="text1"/>
        </w:rPr>
        <w:t>ESC noted that grading is primarily applicable to the endometrioid subtype of endometrial carcinoma, because all other subtypes are considered high grade.</w:t>
      </w:r>
    </w:p>
    <w:p w14:paraId="14DFF898" w14:textId="77777777" w:rsidR="002361D0" w:rsidRDefault="002361D0" w:rsidP="007227F7">
      <w:pPr>
        <w:rPr>
          <w:color w:val="000000"/>
        </w:rPr>
      </w:pPr>
      <w:r>
        <w:t xml:space="preserve">ESC noted that new approaches have been developed for the molecular classification of endometrial carcinomas that are histological subtype independent. The molecular classification divides EC into 4 different classes which comprise: </w:t>
      </w:r>
      <w:r w:rsidRPr="6AD8CF05">
        <w:rPr>
          <w:i/>
          <w:iCs/>
        </w:rPr>
        <w:t>POLE-</w:t>
      </w:r>
      <w:r>
        <w:t>ultramutated (</w:t>
      </w:r>
      <w:r w:rsidRPr="6AD8CF05">
        <w:rPr>
          <w:i/>
          <w:iCs/>
        </w:rPr>
        <w:t>POLE</w:t>
      </w:r>
      <w:r>
        <w:t xml:space="preserve">mut) EC, mismatch repair-deficient (MMRd) EC, p53-mutant (p53mut) EC and no specific molecular profile (NSMP) EC. </w:t>
      </w:r>
      <w:r w:rsidRPr="6AD8CF05">
        <w:rPr>
          <w:color w:val="000000" w:themeColor="text1"/>
        </w:rPr>
        <w:t xml:space="preserve">ESC noted that </w:t>
      </w:r>
      <w:r w:rsidRPr="6AD8CF05">
        <w:rPr>
          <w:i/>
          <w:iCs/>
          <w:color w:val="000000" w:themeColor="text1"/>
        </w:rPr>
        <w:t>POLE</w:t>
      </w:r>
      <w:r w:rsidRPr="6AD8CF05">
        <w:rPr>
          <w:color w:val="000000" w:themeColor="text1"/>
        </w:rPr>
        <w:t>mut EC has an excellent prognosis, MMRd EC is associated with an intermediate prognosis, NSMP ranges from intermediate to good prognosis, and p53mut is linked to poor prognosis.</w:t>
      </w:r>
    </w:p>
    <w:p w14:paraId="6F508FC5" w14:textId="77777777" w:rsidR="002361D0" w:rsidRDefault="002361D0" w:rsidP="007227F7">
      <w:pPr>
        <w:rPr>
          <w:color w:val="000000" w:themeColor="text1"/>
        </w:rPr>
      </w:pPr>
      <w:r w:rsidRPr="1EE50F91">
        <w:rPr>
          <w:color w:val="000000" w:themeColor="text1"/>
        </w:rPr>
        <w:t xml:space="preserve">Although primarily designed to predict the outcome of endometrioid carcinoma, (that is to separate the more common clinically indolent endometroid carcinomas from the more unusual clinically aggressive endometrioid carcinomas) this molecular grading system can be applied to all carcinomas arising in the endometrium. For example, serous carcinomas are </w:t>
      </w:r>
      <w:r>
        <w:rPr>
          <w:color w:val="000000" w:themeColor="text1"/>
        </w:rPr>
        <w:t>consistently</w:t>
      </w:r>
      <w:r w:rsidRPr="1EE50F91">
        <w:rPr>
          <w:color w:val="000000" w:themeColor="text1"/>
        </w:rPr>
        <w:t xml:space="preserve"> aggressive and alway</w:t>
      </w:r>
      <w:r>
        <w:rPr>
          <w:color w:val="000000" w:themeColor="text1"/>
        </w:rPr>
        <w:t>s</w:t>
      </w:r>
      <w:r w:rsidRPr="1EE50F91">
        <w:rPr>
          <w:color w:val="000000" w:themeColor="text1"/>
        </w:rPr>
        <w:t xml:space="preserve"> harbour p53 </w:t>
      </w:r>
      <w:r>
        <w:rPr>
          <w:color w:val="000000" w:themeColor="text1"/>
        </w:rPr>
        <w:t>variant</w:t>
      </w:r>
      <w:r w:rsidRPr="1EE50F91">
        <w:rPr>
          <w:color w:val="000000" w:themeColor="text1"/>
        </w:rPr>
        <w:t xml:space="preserve">s, so they are always high grade by </w:t>
      </w:r>
      <w:r>
        <w:rPr>
          <w:color w:val="000000" w:themeColor="text1"/>
        </w:rPr>
        <w:t xml:space="preserve">both </w:t>
      </w:r>
      <w:r w:rsidRPr="1EE50F91">
        <w:rPr>
          <w:color w:val="000000" w:themeColor="text1"/>
        </w:rPr>
        <w:t>molecular classification and by histological classification.</w:t>
      </w:r>
    </w:p>
    <w:p w14:paraId="00A86D62" w14:textId="77777777" w:rsidR="002361D0" w:rsidRPr="007342CA" w:rsidRDefault="002361D0" w:rsidP="007227F7">
      <w:r>
        <w:t xml:space="preserve">ESC noted the premise of the application was that patients with </w:t>
      </w:r>
      <w:r w:rsidRPr="2908E4A8">
        <w:rPr>
          <w:i/>
          <w:iCs/>
        </w:rPr>
        <w:t>POLE</w:t>
      </w:r>
      <w:r>
        <w:t>mut EC have an excellent prognosis and, if they can be identified, clinicians may reduce or omit adjuvant therapy for some of these patients.</w:t>
      </w:r>
    </w:p>
    <w:p w14:paraId="587902F8" w14:textId="77777777" w:rsidR="002361D0" w:rsidRDefault="002361D0" w:rsidP="007227F7">
      <w:r>
        <w:t xml:space="preserve">ESC noted that immunohistochemistry (IHC) testing for MMR is undertaken as part of standard of care (SoC) for patients with endometrioid cancer (MBS items </w:t>
      </w:r>
      <w:r w:rsidRPr="00B456A1">
        <w:t>72846</w:t>
      </w:r>
      <w:r>
        <w:rPr>
          <w:rStyle w:val="FootnoteReference"/>
        </w:rPr>
        <w:footnoteReference w:id="41"/>
      </w:r>
      <w:r>
        <w:t xml:space="preserve"> and </w:t>
      </w:r>
      <w:r w:rsidRPr="00B456A1">
        <w:t>72847</w:t>
      </w:r>
      <w:r>
        <w:rPr>
          <w:rStyle w:val="FootnoteReference"/>
        </w:rPr>
        <w:footnoteReference w:id="42"/>
      </w:r>
      <w:r>
        <w:t>). These MMR test results are considered to be reliable. IHC testing for p53 is also part of SoC (under MBS items 72846 and 72847), but the test results are considered less reliable than molecular testing</w:t>
      </w:r>
      <w:r w:rsidRPr="007C3B1F">
        <w:t>.</w:t>
      </w:r>
    </w:p>
    <w:p w14:paraId="3573D10B" w14:textId="77777777" w:rsidR="002361D0" w:rsidRDefault="002361D0" w:rsidP="002361D0">
      <w:pPr>
        <w:spacing w:before="0" w:after="0"/>
      </w:pPr>
      <w:r>
        <w:t xml:space="preserve">ESC noted and welcomed consultation input received from 10 organisations and 5 individuals prior to the ESC meeting. ESC noted input from the National Gynae-Oncology Registry (NGOR) supported </w:t>
      </w:r>
      <w:r w:rsidRPr="2908E4A8">
        <w:rPr>
          <w:i/>
          <w:iCs/>
        </w:rPr>
        <w:t xml:space="preserve">POLE </w:t>
      </w:r>
      <w:r>
        <w:t xml:space="preserve">genotyping to be available to all patients with early-stage endometrial cancers irrespective of tumour grade and that, in some instances, </w:t>
      </w:r>
      <w:r w:rsidRPr="2908E4A8">
        <w:rPr>
          <w:i/>
          <w:iCs/>
        </w:rPr>
        <w:t xml:space="preserve">POLE </w:t>
      </w:r>
      <w:r>
        <w:t xml:space="preserve">genotyping may also be appropriate for patients with late-stage endometrial cancer, if recommended by the patient’s multi-disciplinary team. ESC noted </w:t>
      </w:r>
      <w:r w:rsidRPr="2908E4A8">
        <w:rPr>
          <w:color w:val="000000" w:themeColor="text1"/>
        </w:rPr>
        <w:t xml:space="preserve">NGOR stated that molecular testing in endometrial cancer, including </w:t>
      </w:r>
      <w:r w:rsidRPr="2908E4A8">
        <w:rPr>
          <w:i/>
          <w:iCs/>
          <w:color w:val="000000" w:themeColor="text1"/>
        </w:rPr>
        <w:t>POLE</w:t>
      </w:r>
      <w:r w:rsidRPr="2908E4A8">
        <w:rPr>
          <w:color w:val="000000" w:themeColor="text1"/>
        </w:rPr>
        <w:t xml:space="preserve"> genotyping, is recommended by the World Health Organisation and should be publicly funded, as its cost limits access and its availability could enhance quality of life of patients. ESC noted that the Human Genetics Society of Australasia (HGSA) argued that</w:t>
      </w:r>
      <w:r w:rsidRPr="2908E4A8">
        <w:rPr>
          <w:i/>
          <w:iCs/>
          <w:color w:val="000000" w:themeColor="text1"/>
        </w:rPr>
        <w:t xml:space="preserve"> POLE</w:t>
      </w:r>
      <w:r w:rsidRPr="2908E4A8">
        <w:rPr>
          <w:color w:val="000000" w:themeColor="text1"/>
        </w:rPr>
        <w:t xml:space="preserve"> genotyping should be publicly funded because only 7-10% of patients with EC will have a </w:t>
      </w:r>
      <w:r w:rsidRPr="2908E4A8">
        <w:rPr>
          <w:i/>
          <w:iCs/>
          <w:color w:val="000000" w:themeColor="text1"/>
        </w:rPr>
        <w:t>POLE</w:t>
      </w:r>
      <w:r w:rsidRPr="2908E4A8">
        <w:rPr>
          <w:color w:val="000000" w:themeColor="text1"/>
        </w:rPr>
        <w:t xml:space="preserve"> </w:t>
      </w:r>
      <w:r w:rsidRPr="2908E4A8">
        <w:rPr>
          <w:color w:val="000000" w:themeColor="text1"/>
        </w:rPr>
        <w:lastRenderedPageBreak/>
        <w:t>variant and having access to testing will increase access to life-improving treatment by avoiding the use of less effective therapies, and will decrease subsequent costs to the healthcare system.</w:t>
      </w:r>
    </w:p>
    <w:p w14:paraId="372755FC" w14:textId="77777777" w:rsidR="002361D0" w:rsidRDefault="002361D0" w:rsidP="002361D0">
      <w:r>
        <w:t>ESC noted the clinical management algorithm. ESC noted that SoC includes IHC testing for MMR and p53 at the time of primary diagnosis as a reflex test. ESC noted that 3–5% of patients will have more than one molecular event in addition to</w:t>
      </w:r>
      <w:r w:rsidRPr="2908E4A8">
        <w:rPr>
          <w:i/>
          <w:iCs/>
        </w:rPr>
        <w:t xml:space="preserve"> POLE</w:t>
      </w:r>
      <w:r>
        <w:t xml:space="preserve">mut – for example, </w:t>
      </w:r>
      <w:r w:rsidRPr="2908E4A8">
        <w:rPr>
          <w:i/>
          <w:iCs/>
        </w:rPr>
        <w:t>POLE</w:t>
      </w:r>
      <w:r>
        <w:t xml:space="preserve">mut and MMRd and/or p53 concurrently – but that these tumours behave in a similar manner to </w:t>
      </w:r>
      <w:r w:rsidRPr="2908E4A8">
        <w:rPr>
          <w:i/>
          <w:iCs/>
        </w:rPr>
        <w:t>POLE</w:t>
      </w:r>
      <w:r>
        <w:t xml:space="preserve">mut tumours. Therefore, ESC considered that all patients should undergo </w:t>
      </w:r>
      <w:r w:rsidRPr="2908E4A8">
        <w:rPr>
          <w:i/>
          <w:iCs/>
        </w:rPr>
        <w:t>POLE</w:t>
      </w:r>
      <w:r>
        <w:t xml:space="preserve"> genotyping in addition to IHC testing for MMR and p53 at the time of diagnosis.</w:t>
      </w:r>
    </w:p>
    <w:p w14:paraId="7B1A66DB" w14:textId="77777777" w:rsidR="002361D0" w:rsidRDefault="002361D0" w:rsidP="002361D0">
      <w:r>
        <w:t>ESC noted the FIGO staging of EC recommends molecular classification testing (</w:t>
      </w:r>
      <w:r w:rsidRPr="00DD30FD">
        <w:rPr>
          <w:i/>
          <w:iCs/>
        </w:rPr>
        <w:t>POLE</w:t>
      </w:r>
      <w:r>
        <w:t xml:space="preserve">, MMR and </w:t>
      </w:r>
      <w:r w:rsidRPr="00DD30FD">
        <w:rPr>
          <w:i/>
          <w:iCs/>
        </w:rPr>
        <w:t>p53</w:t>
      </w:r>
      <w:r>
        <w:t xml:space="preserve">) for all EC patients. </w:t>
      </w:r>
      <w:r w:rsidRPr="005D5B00">
        <w:t>In contrast,</w:t>
      </w:r>
      <w:r>
        <w:t xml:space="preserve"> the </w:t>
      </w:r>
      <w:r w:rsidRPr="00A65BD5">
        <w:t>British Association of Gynaecological Pathologists (BAGP</w:t>
      </w:r>
      <w:r w:rsidRPr="00D7352A">
        <w:rPr>
          <w:i/>
          <w:iCs/>
        </w:rPr>
        <w:t xml:space="preserve">) </w:t>
      </w:r>
      <w:r w:rsidRPr="00A65BD5">
        <w:rPr>
          <w:i/>
          <w:iCs/>
        </w:rPr>
        <w:t>POLE</w:t>
      </w:r>
      <w:r w:rsidRPr="00DD30FD">
        <w:rPr>
          <w:i/>
          <w:iCs/>
        </w:rPr>
        <w:t xml:space="preserve"> </w:t>
      </w:r>
      <w:r w:rsidRPr="00A65BD5">
        <w:t>testing guidelines</w:t>
      </w:r>
      <w:r w:rsidRPr="00DD30FD">
        <w:rPr>
          <w:i/>
          <w:iCs/>
        </w:rPr>
        <w:t xml:space="preserve"> </w:t>
      </w:r>
      <w:r>
        <w:t xml:space="preserve">recommend a selective approach - </w:t>
      </w:r>
      <w:r w:rsidRPr="00651256">
        <w:rPr>
          <w:i/>
          <w:iCs/>
        </w:rPr>
        <w:t>POLE</w:t>
      </w:r>
      <w:r w:rsidRPr="00DD30FD">
        <w:rPr>
          <w:i/>
          <w:iCs/>
        </w:rPr>
        <w:t xml:space="preserve"> </w:t>
      </w:r>
      <w:r w:rsidRPr="00A65BD5">
        <w:t>genotyping</w:t>
      </w:r>
      <w:r>
        <w:t xml:space="preserve"> should only be undertaken in patients in</w:t>
      </w:r>
      <w:r w:rsidRPr="00016BD5">
        <w:t xml:space="preserve"> Group 1 </w:t>
      </w:r>
      <w:r>
        <w:t>ECs</w:t>
      </w:r>
      <w:r w:rsidRPr="00016BD5">
        <w:t xml:space="preserve"> (MMR abnormal and/or p53 abnormal) and Group 3 </w:t>
      </w:r>
      <w:r>
        <w:t>ECs (</w:t>
      </w:r>
      <w:r w:rsidRPr="00016BD5">
        <w:t>selected higher</w:t>
      </w:r>
      <w:r w:rsidRPr="00016BD5">
        <w:rPr>
          <w:rFonts w:ascii="Cambria Math" w:hAnsi="Cambria Math" w:cs="Cambria Math"/>
        </w:rPr>
        <w:t>‑</w:t>
      </w:r>
      <w:r w:rsidRPr="00016BD5">
        <w:t>risk stage I/II tumours</w:t>
      </w:r>
      <w:r>
        <w:t>).</w:t>
      </w:r>
      <w:r>
        <w:rPr>
          <w:rStyle w:val="FootnoteReference"/>
        </w:rPr>
        <w:footnoteReference w:id="43"/>
      </w:r>
      <w:r w:rsidRPr="00016BD5">
        <w:t xml:space="preserve"> </w:t>
      </w:r>
      <w:r>
        <w:t xml:space="preserve">Patients in </w:t>
      </w:r>
      <w:r w:rsidRPr="00016BD5">
        <w:t xml:space="preserve">Group 4 </w:t>
      </w:r>
      <w:r>
        <w:t xml:space="preserve">ECs </w:t>
      </w:r>
      <w:r w:rsidRPr="00016BD5">
        <w:t xml:space="preserve">(stage III/IV/locally advanced) </w:t>
      </w:r>
      <w:r>
        <w:t xml:space="preserve">should have </w:t>
      </w:r>
      <w:r w:rsidRPr="00A65BD5">
        <w:rPr>
          <w:i/>
          <w:iCs/>
        </w:rPr>
        <w:t>POLE</w:t>
      </w:r>
      <w:r>
        <w:t xml:space="preserve"> genotyping </w:t>
      </w:r>
      <w:r w:rsidRPr="00016BD5">
        <w:t xml:space="preserve">only if recommended by the </w:t>
      </w:r>
      <w:r>
        <w:t>patient’s multi-disciplinary team</w:t>
      </w:r>
      <w:r w:rsidRPr="00016BD5">
        <w:t>.</w:t>
      </w:r>
    </w:p>
    <w:p w14:paraId="3EE8D63F" w14:textId="77777777" w:rsidR="002361D0" w:rsidRDefault="002361D0" w:rsidP="002361D0">
      <w:r>
        <w:t xml:space="preserve">ESC noted the advice from the applicant in their pre-subcommittee response that the European Society of Gynaecological Oncology (ESGO)-ESTRO-ESP 2025 guidelines are the most up to date international guidelines for EC, and that these guidelines recommend </w:t>
      </w:r>
      <w:r w:rsidRPr="008E3554">
        <w:rPr>
          <w:i/>
          <w:iCs/>
        </w:rPr>
        <w:t>POLE</w:t>
      </w:r>
      <w:r>
        <w:t xml:space="preserve"> genotyping in all EC patients. ESC therefore agreed with PASC that all patients with EC should have </w:t>
      </w:r>
      <w:r w:rsidRPr="00A65BD5">
        <w:rPr>
          <w:i/>
          <w:iCs/>
        </w:rPr>
        <w:t>POLE</w:t>
      </w:r>
      <w:r>
        <w:t xml:space="preserve"> genotyping, as grading and classification of tumours can be subjective and, therefore, universal testing will ensure all tumours will have the opportunity to undergo molecular classification. </w:t>
      </w:r>
    </w:p>
    <w:p w14:paraId="056FFDF1" w14:textId="77777777" w:rsidR="002361D0" w:rsidRDefault="002361D0" w:rsidP="002361D0">
      <w:r>
        <w:t xml:space="preserve">ESC noted that, while there was some evidence from a post hoc subgroup analysis of the PORTEC-3 RCT of favourable outcomes for </w:t>
      </w:r>
      <w:r w:rsidRPr="41D31CF3">
        <w:rPr>
          <w:i/>
          <w:iCs/>
        </w:rPr>
        <w:t>POLE</w:t>
      </w:r>
      <w:r>
        <w:t xml:space="preserve">mut EC (and therefore indirectly supporting de-escalation of adjuvant therapy), the majority of participants in PORTEC-3 were stage I-II </w:t>
      </w:r>
      <w:r w:rsidRPr="41D31CF3">
        <w:rPr>
          <w:i/>
          <w:iCs/>
        </w:rPr>
        <w:t>POLE</w:t>
      </w:r>
      <w:r>
        <w:t xml:space="preserve">mut EC (and so only a minority could possibly have supported the need for adjuvant therapy). ESC noted that there is very little evidence to support the other changes to the clinical management included in the economic model. ESC considered although there is sparsity of evidence for any change in management in patients with </w:t>
      </w:r>
      <w:r w:rsidRPr="41D31CF3">
        <w:rPr>
          <w:i/>
          <w:iCs/>
        </w:rPr>
        <w:t>POLE</w:t>
      </w:r>
      <w:r>
        <w:t xml:space="preserve">mut EC by reducing or omitting adjuvant therapy, it is plausible that a </w:t>
      </w:r>
      <w:r w:rsidRPr="41D31CF3">
        <w:rPr>
          <w:i/>
          <w:iCs/>
        </w:rPr>
        <w:t>POLE</w:t>
      </w:r>
      <w:r>
        <w:t xml:space="preserve">mut prognosis of favourable outcomes would persuade decisions not to escalate therapy as defined in the economic model. </w:t>
      </w:r>
    </w:p>
    <w:p w14:paraId="346DABDE" w14:textId="77777777" w:rsidR="002361D0" w:rsidRDefault="002361D0" w:rsidP="002361D0">
      <w:r>
        <w:t>ESC noted</w:t>
      </w:r>
      <w:r w:rsidRPr="3FC1FB68">
        <w:rPr>
          <w:i/>
          <w:iCs/>
        </w:rPr>
        <w:t xml:space="preserve"> POLE</w:t>
      </w:r>
      <w:r>
        <w:t xml:space="preserve"> testing for EC patients already occurs in clinical practice and that testing is conducted by multiple laboratories in Australia. ESC noted that most laboratories in Australia would use next-generation sequencing (NGS) for the proposed test as NGS integrates efficiently with existing laboratory workflows. Additionally, NGS offers the advantage of assessing multiple genes and molecular features, including p53 and microsatellite instability (MSI) status. However, ESC also considered it remains appropriate to use polymerase chain reaction (PCR) or single gene panels for </w:t>
      </w:r>
      <w:r w:rsidRPr="3FC1FB68">
        <w:rPr>
          <w:i/>
          <w:iCs/>
        </w:rPr>
        <w:t>POLE</w:t>
      </w:r>
      <w:r>
        <w:t xml:space="preserve"> testing as these methods yield similar accuracy of results. Thus, ESC agreed with PASC that the MBS descriptor be method agnostic.</w:t>
      </w:r>
    </w:p>
    <w:p w14:paraId="6E6728A8" w14:textId="0AB81F91" w:rsidR="002361D0" w:rsidRDefault="002361D0" w:rsidP="002361D0">
      <w:r>
        <w:t>ESC noted that the DCAR used an MBS fee of $497.13, while the department suggested benchmarking the fee against existing MBS single</w:t>
      </w:r>
      <w:r w:rsidRPr="5D8B8FC4">
        <w:rPr>
          <w:rFonts w:ascii="Cambria Math" w:hAnsi="Cambria Math" w:cs="Cambria Math"/>
        </w:rPr>
        <w:t>‑</w:t>
      </w:r>
      <w:r>
        <w:t xml:space="preserve">gene testing items with a fee of $397.35. ESC considered a fee of $397.35 to be appropriate and consistent with the fees for existing MBS items for single-gene testing. </w:t>
      </w:r>
    </w:p>
    <w:p w14:paraId="068F9A0A" w14:textId="77777777" w:rsidR="002361D0" w:rsidRDefault="002361D0" w:rsidP="002361D0">
      <w:r>
        <w:t xml:space="preserve">ESC agreed with PASC that the MBS item should be pathologist determinable, as there would be clear cost and workflow benefits. ESC further noted that the ‘requested by a specialist’ in the </w:t>
      </w:r>
      <w:r>
        <w:lastRenderedPageBreak/>
        <w:t xml:space="preserve">item descriptor may be redundant as all of the eligible patients will have been diagnosed following an invasive procedure by a specialist, who would then request the test. </w:t>
      </w:r>
    </w:p>
    <w:p w14:paraId="4E151F6A" w14:textId="77777777" w:rsidR="002361D0" w:rsidRDefault="002361D0" w:rsidP="002361D0">
      <w:r>
        <w:t>ESC considered it appropriate for the frequency of testing to be once per primary diagnosis given</w:t>
      </w:r>
      <w:r w:rsidRPr="0054411B">
        <w:t xml:space="preserve"> that endometrioid carcinoma may occur at </w:t>
      </w:r>
      <w:r>
        <w:t xml:space="preserve">a relatively </w:t>
      </w:r>
      <w:r w:rsidRPr="0054411B">
        <w:t>young age</w:t>
      </w:r>
      <w:r>
        <w:t xml:space="preserve">. ESC noted </w:t>
      </w:r>
      <w:r w:rsidRPr="0054411B">
        <w:t>endometrioid carcinoma may be synchronous/metachronous (i</w:t>
      </w:r>
      <w:r>
        <w:t>.</w:t>
      </w:r>
      <w:r w:rsidRPr="0054411B">
        <w:t>e</w:t>
      </w:r>
      <w:r>
        <w:t>.</w:t>
      </w:r>
      <w:r w:rsidRPr="0054411B">
        <w:t xml:space="preserve"> arise in ovary as well as endometrium)</w:t>
      </w:r>
      <w:r>
        <w:t xml:space="preserve"> and it may be challenging to clinically distinguish from where the primary tumour has arisen, resulting in some unavoidable use of testing outside of the intended population. </w:t>
      </w:r>
    </w:p>
    <w:p w14:paraId="1B62FEAD" w14:textId="28043648" w:rsidR="002361D0" w:rsidRDefault="002361D0" w:rsidP="002361D0">
      <w:pPr>
        <w:pStyle w:val="Caption"/>
      </w:pPr>
      <w:r>
        <w:t xml:space="preserve">Table </w:t>
      </w:r>
      <w:r>
        <w:fldChar w:fldCharType="begin"/>
      </w:r>
      <w:r>
        <w:instrText>SEQ Table \* ARABIC</w:instrText>
      </w:r>
      <w:r>
        <w:fldChar w:fldCharType="separate"/>
      </w:r>
      <w:r w:rsidR="00996E6E">
        <w:rPr>
          <w:noProof/>
        </w:rPr>
        <w:t>32</w:t>
      </w:r>
      <w:r>
        <w:fldChar w:fldCharType="end"/>
      </w:r>
      <w:r>
        <w:t xml:space="preserve"> ESC suggested item descriptor for </w:t>
      </w:r>
      <w:r w:rsidRPr="00A65BD5">
        <w:rPr>
          <w:i/>
          <w:iCs/>
        </w:rPr>
        <w:t>POLE</w:t>
      </w:r>
      <w:r>
        <w:t xml:space="preserve"> genotyping</w:t>
      </w:r>
    </w:p>
    <w:tbl>
      <w:tblPr>
        <w:tblStyle w:val="CMATableTemplate1"/>
        <w:tblW w:w="9067" w:type="dxa"/>
        <w:tblInd w:w="0" w:type="dxa"/>
        <w:tblLook w:val="04A0" w:firstRow="1" w:lastRow="0" w:firstColumn="1" w:lastColumn="0" w:noHBand="0" w:noVBand="1"/>
      </w:tblPr>
      <w:tblGrid>
        <w:gridCol w:w="9067"/>
      </w:tblGrid>
      <w:tr w:rsidR="002361D0" w:rsidRPr="007E721E" w14:paraId="3B45EE84" w14:textId="77777777">
        <w:tc>
          <w:tcPr>
            <w:tcW w:w="9067" w:type="dxa"/>
            <w:tcBorders>
              <w:top w:val="single" w:sz="4" w:space="0" w:color="auto"/>
              <w:left w:val="single" w:sz="4" w:space="0" w:color="auto"/>
              <w:bottom w:val="single" w:sz="4" w:space="0" w:color="auto"/>
              <w:right w:val="single" w:sz="4" w:space="0" w:color="auto"/>
            </w:tcBorders>
            <w:hideMark/>
          </w:tcPr>
          <w:p w14:paraId="3FD0EC2B" w14:textId="77777777" w:rsidR="002361D0" w:rsidRPr="007E721E" w:rsidRDefault="002361D0">
            <w:pPr>
              <w:snapToGrid w:val="0"/>
              <w:spacing w:before="40"/>
              <w:jc w:val="right"/>
              <w:rPr>
                <w:rFonts w:ascii="Arial Narrow" w:hAnsi="Arial Narrow"/>
                <w:sz w:val="18"/>
                <w:szCs w:val="18"/>
              </w:rPr>
            </w:pPr>
            <w:r w:rsidRPr="007E721E">
              <w:rPr>
                <w:rFonts w:ascii="Arial Narrow" w:hAnsi="Arial Narrow"/>
                <w:sz w:val="18"/>
                <w:szCs w:val="18"/>
              </w:rPr>
              <w:t>Category 6 – Pathology Services</w:t>
            </w:r>
          </w:p>
          <w:p w14:paraId="4D0105BC" w14:textId="77777777" w:rsidR="002361D0" w:rsidRPr="00A65BD5" w:rsidRDefault="002361D0">
            <w:pPr>
              <w:snapToGrid w:val="0"/>
              <w:spacing w:before="40"/>
              <w:jc w:val="right"/>
              <w:rPr>
                <w:rFonts w:ascii="Arial Narrow" w:hAnsi="Arial Narrow"/>
                <w:sz w:val="18"/>
                <w:szCs w:val="18"/>
              </w:rPr>
            </w:pPr>
            <w:r w:rsidRPr="007E721E">
              <w:rPr>
                <w:rFonts w:ascii="Arial Narrow" w:hAnsi="Arial Narrow"/>
                <w:sz w:val="18"/>
                <w:szCs w:val="18"/>
              </w:rPr>
              <w:t xml:space="preserve">Group P7 – Genetics </w:t>
            </w:r>
          </w:p>
        </w:tc>
      </w:tr>
      <w:tr w:rsidR="002361D0" w:rsidRPr="007E721E" w14:paraId="352FFD93" w14:textId="77777777">
        <w:tc>
          <w:tcPr>
            <w:tcW w:w="9067" w:type="dxa"/>
            <w:tcBorders>
              <w:top w:val="single" w:sz="4" w:space="0" w:color="auto"/>
              <w:left w:val="single" w:sz="4" w:space="0" w:color="auto"/>
              <w:bottom w:val="single" w:sz="4" w:space="0" w:color="auto"/>
              <w:right w:val="single" w:sz="4" w:space="0" w:color="auto"/>
            </w:tcBorders>
          </w:tcPr>
          <w:p w14:paraId="04DC030A" w14:textId="77777777" w:rsidR="002361D0" w:rsidRPr="007E721E" w:rsidRDefault="002361D0">
            <w:pPr>
              <w:snapToGrid w:val="0"/>
              <w:spacing w:before="40"/>
              <w:rPr>
                <w:rFonts w:ascii="Arial Narrow" w:hAnsi="Arial Narrow"/>
                <w:sz w:val="18"/>
                <w:szCs w:val="18"/>
              </w:rPr>
            </w:pPr>
            <w:r w:rsidRPr="007E721E">
              <w:rPr>
                <w:rFonts w:ascii="Arial Narrow" w:hAnsi="Arial Narrow"/>
                <w:sz w:val="18"/>
                <w:szCs w:val="18"/>
              </w:rPr>
              <w:t>MBS item AAAAA</w:t>
            </w:r>
          </w:p>
          <w:p w14:paraId="076D5C3F" w14:textId="77777777" w:rsidR="002361D0" w:rsidRPr="007E721E" w:rsidRDefault="002361D0">
            <w:pPr>
              <w:snapToGrid w:val="0"/>
              <w:spacing w:before="40"/>
              <w:rPr>
                <w:rFonts w:ascii="Arial Narrow" w:hAnsi="Arial Narrow"/>
                <w:sz w:val="18"/>
                <w:szCs w:val="18"/>
              </w:rPr>
            </w:pPr>
          </w:p>
          <w:p w14:paraId="0978868D" w14:textId="77777777" w:rsidR="002361D0" w:rsidRPr="007E721E" w:rsidRDefault="002361D0">
            <w:pPr>
              <w:snapToGrid w:val="0"/>
              <w:spacing w:before="40"/>
              <w:rPr>
                <w:rFonts w:ascii="Arial Narrow" w:hAnsi="Arial Narrow"/>
                <w:sz w:val="18"/>
                <w:szCs w:val="18"/>
              </w:rPr>
            </w:pPr>
            <w:r w:rsidRPr="007E721E">
              <w:rPr>
                <w:rFonts w:ascii="Arial Narrow" w:hAnsi="Arial Narrow"/>
                <w:sz w:val="18"/>
                <w:szCs w:val="18"/>
              </w:rPr>
              <w:t xml:space="preserve">Characterisation of variants in the exonuclease domain (targeting exons 9, 11, 13 and 14 as a minimum) of the </w:t>
            </w:r>
            <w:r w:rsidRPr="00A65BD5">
              <w:rPr>
                <w:rFonts w:ascii="Arial Narrow" w:hAnsi="Arial Narrow"/>
                <w:sz w:val="18"/>
                <w:szCs w:val="18"/>
              </w:rPr>
              <w:t>POLE</w:t>
            </w:r>
            <w:r w:rsidRPr="007E721E">
              <w:rPr>
                <w:rFonts w:ascii="Arial Narrow" w:hAnsi="Arial Narrow"/>
                <w:sz w:val="18"/>
                <w:szCs w:val="18"/>
              </w:rPr>
              <w:t xml:space="preserve"> gene,</w:t>
            </w:r>
            <w:r>
              <w:rPr>
                <w:rFonts w:asciiTheme="minorHAnsi" w:eastAsiaTheme="minorEastAsia" w:hAnsi="Arial" w:cstheme="minorBidi"/>
                <w:color w:val="000000" w:themeColor="text1"/>
                <w:kern w:val="24"/>
                <w:sz w:val="40"/>
                <w:szCs w:val="40"/>
                <w:lang w:eastAsia="en-US"/>
              </w:rPr>
              <w:t xml:space="preserve"> </w:t>
            </w:r>
            <w:r w:rsidRPr="004E160A">
              <w:rPr>
                <w:rFonts w:ascii="Arial Narrow" w:hAnsi="Arial Narrow"/>
                <w:sz w:val="18"/>
                <w:szCs w:val="18"/>
              </w:rPr>
              <w:t>requested by a specialist or consultant physician</w:t>
            </w:r>
            <w:r>
              <w:rPr>
                <w:rFonts w:ascii="Arial Narrow" w:hAnsi="Arial Narrow"/>
                <w:sz w:val="18"/>
                <w:szCs w:val="18"/>
              </w:rPr>
              <w:t>,</w:t>
            </w:r>
            <w:r w:rsidRPr="007E721E">
              <w:rPr>
                <w:rFonts w:ascii="Arial Narrow" w:hAnsi="Arial Narrow"/>
                <w:sz w:val="18"/>
                <w:szCs w:val="18"/>
              </w:rPr>
              <w:t xml:space="preserve"> in a patient diagnosed with endometrial carcinoma. </w:t>
            </w:r>
          </w:p>
          <w:p w14:paraId="6FCE8265" w14:textId="77777777" w:rsidR="002361D0" w:rsidRPr="007E721E" w:rsidRDefault="002361D0">
            <w:pPr>
              <w:snapToGrid w:val="0"/>
              <w:spacing w:before="40"/>
              <w:rPr>
                <w:rFonts w:ascii="Arial Narrow" w:hAnsi="Arial Narrow"/>
                <w:sz w:val="18"/>
                <w:szCs w:val="18"/>
              </w:rPr>
            </w:pPr>
          </w:p>
          <w:p w14:paraId="606D5F37" w14:textId="77777777" w:rsidR="002361D0" w:rsidRPr="007E721E" w:rsidRDefault="002361D0">
            <w:pPr>
              <w:snapToGrid w:val="0"/>
              <w:spacing w:before="40"/>
              <w:rPr>
                <w:rFonts w:ascii="Arial Narrow" w:hAnsi="Arial Narrow"/>
                <w:sz w:val="18"/>
                <w:szCs w:val="18"/>
              </w:rPr>
            </w:pPr>
            <w:r w:rsidRPr="007E721E">
              <w:rPr>
                <w:rFonts w:ascii="Arial Narrow" w:hAnsi="Arial Narrow"/>
                <w:sz w:val="18"/>
                <w:szCs w:val="18"/>
              </w:rPr>
              <w:t xml:space="preserve">Applicable once per primary tumour diagnosis. </w:t>
            </w:r>
          </w:p>
          <w:p w14:paraId="5EEAAB01" w14:textId="77777777" w:rsidR="002361D0" w:rsidRPr="007E721E" w:rsidRDefault="002361D0">
            <w:pPr>
              <w:snapToGrid w:val="0"/>
              <w:spacing w:before="40"/>
              <w:rPr>
                <w:rFonts w:ascii="Arial Narrow" w:hAnsi="Arial Narrow"/>
                <w:sz w:val="18"/>
                <w:szCs w:val="18"/>
              </w:rPr>
            </w:pPr>
          </w:p>
          <w:p w14:paraId="386C7E24" w14:textId="44D3415E" w:rsidR="002361D0" w:rsidRPr="007227F7" w:rsidRDefault="002361D0">
            <w:pPr>
              <w:snapToGrid w:val="0"/>
              <w:spacing w:before="40"/>
              <w:rPr>
                <w:rFonts w:ascii="Arial Narrow" w:hAnsi="Arial Narrow"/>
                <w:sz w:val="18"/>
                <w:szCs w:val="18"/>
              </w:rPr>
            </w:pPr>
            <w:r w:rsidRPr="007E721E">
              <w:rPr>
                <w:rFonts w:ascii="Arial Narrow" w:hAnsi="Arial Narrow"/>
                <w:sz w:val="18"/>
                <w:szCs w:val="18"/>
              </w:rPr>
              <w:t>Fee: $</w:t>
            </w:r>
            <w:r>
              <w:rPr>
                <w:rFonts w:ascii="Arial Narrow" w:hAnsi="Arial Narrow"/>
                <w:sz w:val="18"/>
                <w:szCs w:val="18"/>
              </w:rPr>
              <w:t>397.35</w:t>
            </w:r>
            <w:r w:rsidRPr="007E721E">
              <w:rPr>
                <w:rFonts w:ascii="Arial Narrow" w:hAnsi="Arial Narrow"/>
                <w:sz w:val="18"/>
                <w:szCs w:val="18"/>
              </w:rPr>
              <w:t xml:space="preserve"> Benefit: 75% =</w:t>
            </w:r>
            <w:r>
              <w:rPr>
                <w:rFonts w:ascii="Arial Narrow" w:hAnsi="Arial Narrow"/>
                <w:sz w:val="18"/>
                <w:szCs w:val="18"/>
              </w:rPr>
              <w:t xml:space="preserve"> $</w:t>
            </w:r>
            <w:r w:rsidRPr="0031450C">
              <w:rPr>
                <w:rFonts w:ascii="Arial Narrow" w:hAnsi="Arial Narrow"/>
                <w:sz w:val="18"/>
                <w:szCs w:val="18"/>
              </w:rPr>
              <w:t>298.05</w:t>
            </w:r>
            <w:r w:rsidRPr="007E721E">
              <w:rPr>
                <w:rFonts w:ascii="Arial Narrow" w:hAnsi="Arial Narrow"/>
                <w:sz w:val="18"/>
                <w:szCs w:val="18"/>
              </w:rPr>
              <w:t xml:space="preserve"> 85% = </w:t>
            </w:r>
            <w:r>
              <w:rPr>
                <w:rFonts w:ascii="Arial Narrow" w:hAnsi="Arial Narrow"/>
                <w:sz w:val="18"/>
                <w:szCs w:val="18"/>
              </w:rPr>
              <w:t>$</w:t>
            </w:r>
            <w:r w:rsidRPr="00F34AA8">
              <w:rPr>
                <w:rFonts w:ascii="Arial Narrow" w:hAnsi="Arial Narrow"/>
                <w:sz w:val="18"/>
                <w:szCs w:val="18"/>
              </w:rPr>
              <w:t>337.75</w:t>
            </w:r>
          </w:p>
        </w:tc>
      </w:tr>
    </w:tbl>
    <w:p w14:paraId="0D1FC9B8" w14:textId="77777777" w:rsidR="002361D0" w:rsidRDefault="002361D0" w:rsidP="002361D0">
      <w:r>
        <w:t xml:space="preserve">Although not supported by any direct evidence, ESC agreed with the plausibility of the clinical claim that </w:t>
      </w:r>
      <w:r w:rsidRPr="3FC1FB68">
        <w:rPr>
          <w:i/>
          <w:iCs/>
        </w:rPr>
        <w:t>POLE</w:t>
      </w:r>
      <w:r>
        <w:t xml:space="preserve"> genotyping leads to better outcomes in EC because </w:t>
      </w:r>
      <w:r w:rsidRPr="3FC1FB68">
        <w:rPr>
          <w:i/>
          <w:iCs/>
        </w:rPr>
        <w:t>POLE</w:t>
      </w:r>
      <w:r>
        <w:t>mut ECs are less aggressive and may not require adjuvant therapy, and so it may be appropriate to de-escalate treatment in some patients. ESC considered there are no safety issues associated with this testing, as it could also be performed on archived endometrial tissue that was used to diagnose EC on histopathology, as part of standard care.</w:t>
      </w:r>
    </w:p>
    <w:p w14:paraId="178A5F1A" w14:textId="77777777" w:rsidR="002361D0" w:rsidRDefault="002361D0" w:rsidP="002361D0">
      <w:r>
        <w:t xml:space="preserve">ESC noted the economic evaluation was a cost-effectiveness analysis with an exploratory cost-utility analysis. ESC noted the CEA used a decision tree to inform treatment allocation, with a 3-state Markov model extension. ESC considered the time horizon of </w:t>
      </w:r>
      <w:r w:rsidRPr="004C6F36">
        <w:t>5 years</w:t>
      </w:r>
      <w:r>
        <w:t xml:space="preserve"> was appropriate. ESC noted a probability of receiving or not receiving adjuvant therapy was used according to the classification based on the </w:t>
      </w:r>
      <w:r w:rsidRPr="00A65BD5">
        <w:t>ESGO-ESTRO-ESP guidelines</w:t>
      </w:r>
      <w:r>
        <w:rPr>
          <w:rStyle w:val="FootnoteReference"/>
        </w:rPr>
        <w:footnoteReference w:id="44"/>
      </w:r>
      <w:r>
        <w:t xml:space="preserve">, with some adjustments made to reflect routine practice and other guidelines. The adjuvant therapy recommendations were only applied to patients with FIGO stages I–IVa EC without any macroscopic residual disease. ESC noted the model assumed that all people identified as </w:t>
      </w:r>
      <w:r w:rsidRPr="00247C6B">
        <w:rPr>
          <w:i/>
          <w:iCs/>
        </w:rPr>
        <w:t>POLE</w:t>
      </w:r>
      <w:r>
        <w:t>mut became low risk and received a recommendation of treatment de-escalation.</w:t>
      </w:r>
    </w:p>
    <w:p w14:paraId="326F3852" w14:textId="77777777" w:rsidR="002361D0" w:rsidRDefault="002361D0" w:rsidP="002361D0">
      <w:r>
        <w:t>ESC noted that modelled treatment</w:t>
      </w:r>
      <w:r w:rsidRPr="00020CB9">
        <w:t xml:space="preserve"> de-escalation</w:t>
      </w:r>
      <w:r>
        <w:t xml:space="preserve"> varied, including from</w:t>
      </w:r>
      <w:r w:rsidRPr="00020CB9">
        <w:t xml:space="preserve"> any adjuvant therapy to no adjuvant therapy, from chemotherapy</w:t>
      </w:r>
      <w:r>
        <w:t xml:space="preserve"> (CT)</w:t>
      </w:r>
      <w:r w:rsidRPr="00020CB9">
        <w:t xml:space="preserve"> alone to </w:t>
      </w:r>
      <w:r>
        <w:t>external beam radiation therapy (</w:t>
      </w:r>
      <w:r w:rsidRPr="00020CB9">
        <w:t>EBRT</w:t>
      </w:r>
      <w:r>
        <w:t>)</w:t>
      </w:r>
      <w:r w:rsidRPr="00020CB9">
        <w:t xml:space="preserve">, from </w:t>
      </w:r>
      <w:r>
        <w:t>CT/radiotherapy (</w:t>
      </w:r>
      <w:r w:rsidRPr="00020CB9">
        <w:t>RT</w:t>
      </w:r>
      <w:r>
        <w:t>)</w:t>
      </w:r>
      <w:r w:rsidRPr="00020CB9">
        <w:t xml:space="preserve"> to EBRT, and from CTRT + immunotherapy to EBRT.</w:t>
      </w:r>
      <w:r>
        <w:t xml:space="preserve"> ESC considered that, g</w:t>
      </w:r>
      <w:r w:rsidRPr="00020CB9">
        <w:t xml:space="preserve">iven </w:t>
      </w:r>
      <w:r>
        <w:t xml:space="preserve">that </w:t>
      </w:r>
      <w:r w:rsidRPr="00020CB9">
        <w:t>no clear guideline recommendations or clinical conclusions exist for stage</w:t>
      </w:r>
      <w:r>
        <w:t> </w:t>
      </w:r>
      <w:r w:rsidRPr="00020CB9">
        <w:t>III–IV</w:t>
      </w:r>
      <w:r>
        <w:t>a</w:t>
      </w:r>
      <w:r w:rsidRPr="00020CB9">
        <w:t xml:space="preserve"> patients</w:t>
      </w:r>
      <w:r>
        <w:t xml:space="preserve">, </w:t>
      </w:r>
      <w:r w:rsidRPr="00020CB9">
        <w:t>th</w:t>
      </w:r>
      <w:r>
        <w:t>e model</w:t>
      </w:r>
      <w:r w:rsidRPr="00020CB9">
        <w:t xml:space="preserve"> reflect</w:t>
      </w:r>
      <w:r>
        <w:t>ed</w:t>
      </w:r>
      <w:r w:rsidRPr="00020CB9">
        <w:t xml:space="preserve"> the most optimistic scenario, with other less</w:t>
      </w:r>
      <w:r>
        <w:t>-</w:t>
      </w:r>
      <w:r w:rsidRPr="00020CB9">
        <w:t xml:space="preserve">optimistic assumptions explored using scenario analyses. </w:t>
      </w:r>
      <w:r>
        <w:t>ESC noted in the model p</w:t>
      </w:r>
      <w:r w:rsidRPr="00020CB9">
        <w:t>atients already receiving no adjuvant therapy (</w:t>
      </w:r>
      <w:r>
        <w:t>such as the</w:t>
      </w:r>
      <w:r w:rsidRPr="00020CB9">
        <w:t xml:space="preserve"> low-risk subgroup) were not considered to be de-escalated</w:t>
      </w:r>
      <w:r>
        <w:t xml:space="preserve">. Overall, the model used an assumption that </w:t>
      </w:r>
      <w:r w:rsidRPr="00FD0DD4">
        <w:t xml:space="preserve">64% of </w:t>
      </w:r>
      <w:r>
        <w:t xml:space="preserve">patients found to have a </w:t>
      </w:r>
      <w:r w:rsidRPr="00776E02">
        <w:rPr>
          <w:i/>
          <w:iCs/>
        </w:rPr>
        <w:t>POLE</w:t>
      </w:r>
      <w:r w:rsidRPr="00FD0DD4">
        <w:t xml:space="preserve">mut </w:t>
      </w:r>
      <w:r>
        <w:t xml:space="preserve">would be </w:t>
      </w:r>
      <w:r w:rsidRPr="00FD0DD4">
        <w:t>de-</w:t>
      </w:r>
      <w:r w:rsidRPr="00FD0DD4">
        <w:lastRenderedPageBreak/>
        <w:t>escalated</w:t>
      </w:r>
      <w:r>
        <w:t xml:space="preserve">, which ESC considered may be </w:t>
      </w:r>
      <w:r w:rsidRPr="00FD0DD4">
        <w:t>too high</w:t>
      </w:r>
      <w:r>
        <w:t xml:space="preserve">, as recent </w:t>
      </w:r>
      <w:r w:rsidRPr="003C0CE3">
        <w:t>P</w:t>
      </w:r>
      <w:r>
        <w:t>ORTEC-</w:t>
      </w:r>
      <w:r w:rsidRPr="003C0CE3">
        <w:t>4a</w:t>
      </w:r>
      <w:r>
        <w:t xml:space="preserve"> trial data suggested that ~46% may be more reasonable.</w:t>
      </w:r>
      <w:r>
        <w:rPr>
          <w:rStyle w:val="FootnoteReference"/>
        </w:rPr>
        <w:footnoteReference w:id="45"/>
      </w:r>
    </w:p>
    <w:p w14:paraId="6FD06D64" w14:textId="77777777" w:rsidR="002361D0" w:rsidRDefault="002361D0" w:rsidP="002361D0">
      <w:r>
        <w:t>ESC noted that the u</w:t>
      </w:r>
      <w:r w:rsidRPr="00927685">
        <w:t xml:space="preserve">se of immunotherapy </w:t>
      </w:r>
      <w:r>
        <w:t>in the model was a key driver, with reasonable changes</w:t>
      </w:r>
      <w:r w:rsidRPr="00927685">
        <w:t xml:space="preserve"> </w:t>
      </w:r>
      <w:r>
        <w:t xml:space="preserve">significantly impacting results (e.g., </w:t>
      </w:r>
      <w:r w:rsidRPr="00927685">
        <w:t>chang</w:t>
      </w:r>
      <w:r>
        <w:t>ing the results</w:t>
      </w:r>
      <w:r w:rsidRPr="00927685">
        <w:t xml:space="preserve"> from </w:t>
      </w:r>
      <w:r>
        <w:t>being</w:t>
      </w:r>
      <w:r w:rsidRPr="00927685">
        <w:t xml:space="preserve"> cost-saving/dominant to cost</w:t>
      </w:r>
      <w:r>
        <w:t>-</w:t>
      </w:r>
      <w:r w:rsidRPr="00927685">
        <w:t>incurring</w:t>
      </w:r>
      <w:r>
        <w:t xml:space="preserve">, </w:t>
      </w:r>
      <w:r w:rsidRPr="00927685">
        <w:t xml:space="preserve">with </w:t>
      </w:r>
      <w:r>
        <w:t>possible</w:t>
      </w:r>
      <w:r w:rsidRPr="00927685">
        <w:t xml:space="preserve"> </w:t>
      </w:r>
      <w:r>
        <w:t>implications to</w:t>
      </w:r>
      <w:r w:rsidRPr="00927685">
        <w:t xml:space="preserve"> </w:t>
      </w:r>
      <w:r>
        <w:t>the incremental cost-effectiveness ratio</w:t>
      </w:r>
      <w:r w:rsidRPr="00927685">
        <w:t xml:space="preserve"> </w:t>
      </w:r>
      <w:r>
        <w:t>(</w:t>
      </w:r>
      <w:r w:rsidRPr="00927685">
        <w:t>ICER</w:t>
      </w:r>
      <w:r>
        <w:t>))</w:t>
      </w:r>
      <w:r w:rsidRPr="00927685">
        <w:t>.</w:t>
      </w:r>
      <w:r>
        <w:t xml:space="preserve"> The </w:t>
      </w:r>
      <w:r w:rsidRPr="00332EA7">
        <w:t>DCAR state</w:t>
      </w:r>
      <w:r>
        <w:t>d</w:t>
      </w:r>
      <w:r w:rsidRPr="00332EA7">
        <w:t xml:space="preserve"> that </w:t>
      </w:r>
      <w:r>
        <w:t xml:space="preserve">the </w:t>
      </w:r>
      <w:r w:rsidRPr="00332EA7">
        <w:t>probability of receiving CT alone among high</w:t>
      </w:r>
      <w:r>
        <w:t>-</w:t>
      </w:r>
      <w:r w:rsidRPr="00332EA7">
        <w:t>risk patients was 45.36%</w:t>
      </w:r>
      <w:r>
        <w:t xml:space="preserve">. However, the DCAR </w:t>
      </w:r>
      <w:r w:rsidRPr="00332EA7">
        <w:t>also state</w:t>
      </w:r>
      <w:r>
        <w:t>d</w:t>
      </w:r>
      <w:r w:rsidRPr="00332EA7">
        <w:t xml:space="preserve"> that</w:t>
      </w:r>
      <w:r>
        <w:t>,</w:t>
      </w:r>
      <w:r w:rsidRPr="00332EA7">
        <w:t xml:space="preserve"> for high</w:t>
      </w:r>
      <w:r>
        <w:t>-</w:t>
      </w:r>
      <w:r w:rsidRPr="00332EA7">
        <w:t>risk patients with FIGO IIIM or IVAm MMRd</w:t>
      </w:r>
      <w:r>
        <w:t>,</w:t>
      </w:r>
      <w:r w:rsidRPr="00332EA7">
        <w:t xml:space="preserve"> the adjuvant therapy should be </w:t>
      </w:r>
      <w:r>
        <w:t>CT</w:t>
      </w:r>
      <w:r w:rsidRPr="00332EA7">
        <w:t xml:space="preserve"> plus immunotherapy +/</w:t>
      </w:r>
      <w:r>
        <w:t>–</w:t>
      </w:r>
      <w:r w:rsidRPr="00332EA7">
        <w:t xml:space="preserve"> EBRT (</w:t>
      </w:r>
      <w:r>
        <w:t xml:space="preserve">noting that </w:t>
      </w:r>
      <w:r w:rsidRPr="00332EA7">
        <w:t xml:space="preserve">these </w:t>
      </w:r>
      <w:r>
        <w:t>patients have at least some</w:t>
      </w:r>
      <w:r w:rsidRPr="00332EA7">
        <w:t xml:space="preserve"> adjuvant therapy)</w:t>
      </w:r>
      <w:r>
        <w:t xml:space="preserve">. The model also assumed that </w:t>
      </w:r>
      <w:r w:rsidRPr="00332EA7">
        <w:t>those on immunotherapy will de</w:t>
      </w:r>
      <w:r>
        <w:t>-</w:t>
      </w:r>
      <w:r w:rsidRPr="00332EA7">
        <w:t>escalate to EBRT</w:t>
      </w:r>
      <w:r>
        <w:t xml:space="preserve"> alone. ESC noted that this may not be a reasonable assumption, as immunotherapy may not be ceased in all patients.</w:t>
      </w:r>
    </w:p>
    <w:p w14:paraId="2A0179BC" w14:textId="77777777" w:rsidR="002361D0" w:rsidRDefault="002361D0" w:rsidP="002361D0">
      <w:r>
        <w:t>ESC noted that the model in the DCAR used a test failure rate (4.95%) that was higher than the applicant’s pre-ESC response which argued that a rate of 1% is seen in clinical practice. However, ESC considered that the published rate of 4.95% [</w:t>
      </w:r>
      <w:r w:rsidRPr="00E07AE1">
        <w:t>Chen et al. (202</w:t>
      </w:r>
      <w:r>
        <w:t>4</w:t>
      </w:r>
      <w:r w:rsidRPr="00E07AE1">
        <w:t>)</w:t>
      </w:r>
      <w:r>
        <w:rPr>
          <w:rStyle w:val="FootnoteReference"/>
        </w:rPr>
        <w:footnoteReference w:id="46"/>
      </w:r>
      <w:r>
        <w:t xml:space="preserve">] is appropriate to use in the economic model. </w:t>
      </w:r>
    </w:p>
    <w:p w14:paraId="15A7E410" w14:textId="77777777" w:rsidR="002361D0" w:rsidRDefault="002361D0" w:rsidP="002361D0">
      <w:pPr>
        <w:pStyle w:val="NormalBeforeBullet0"/>
      </w:pPr>
      <w:r>
        <w:t>ESC noted the economic evaluation explored several health outcomes:</w:t>
      </w:r>
    </w:p>
    <w:p w14:paraId="64E4E738" w14:textId="77777777" w:rsidR="002361D0" w:rsidRPr="006E4295" w:rsidRDefault="002361D0" w:rsidP="002361D0">
      <w:pPr>
        <w:pStyle w:val="Bullet"/>
        <w:spacing w:before="0"/>
        <w:rPr>
          <w:rFonts w:ascii="Franklin Gothic Book" w:hAnsi="Franklin Gothic Book"/>
        </w:rPr>
      </w:pPr>
      <w:r w:rsidRPr="2908E4A8">
        <w:rPr>
          <w:rFonts w:ascii="Franklin Gothic Book" w:hAnsi="Franklin Gothic Book"/>
        </w:rPr>
        <w:t>The cost-effectiveness analysis used final molecular classification and de-escalation of adjuvant treatment.</w:t>
      </w:r>
    </w:p>
    <w:p w14:paraId="3C872C08" w14:textId="77777777" w:rsidR="002361D0" w:rsidRPr="006E4295" w:rsidRDefault="002361D0" w:rsidP="002361D0">
      <w:pPr>
        <w:pStyle w:val="Bullet"/>
        <w:numPr>
          <w:ilvl w:val="0"/>
          <w:numId w:val="16"/>
        </w:numPr>
        <w:spacing w:before="0"/>
        <w:rPr>
          <w:rFonts w:ascii="Franklin Gothic Book" w:hAnsi="Franklin Gothic Book"/>
        </w:rPr>
      </w:pPr>
      <w:r w:rsidRPr="006E4295">
        <w:rPr>
          <w:rFonts w:ascii="Franklin Gothic Book" w:hAnsi="Franklin Gothic Book"/>
        </w:rPr>
        <w:t xml:space="preserve">The diagnostic cost per patient found to have a </w:t>
      </w:r>
      <w:r w:rsidRPr="006E4295">
        <w:rPr>
          <w:rFonts w:ascii="Franklin Gothic Book" w:hAnsi="Franklin Gothic Book"/>
          <w:i/>
          <w:iCs/>
        </w:rPr>
        <w:t>POLE</w:t>
      </w:r>
      <w:r w:rsidRPr="006E4295">
        <w:rPr>
          <w:rFonts w:ascii="Franklin Gothic Book" w:hAnsi="Franklin Gothic Book"/>
        </w:rPr>
        <w:t xml:space="preserve">mut was calculated as the diagnostic-related cost for all patients with EC divided by the number of patients identified with </w:t>
      </w:r>
      <w:r w:rsidRPr="006E4295">
        <w:rPr>
          <w:rFonts w:ascii="Franklin Gothic Book" w:hAnsi="Franklin Gothic Book"/>
          <w:i/>
          <w:iCs/>
        </w:rPr>
        <w:t>POLE</w:t>
      </w:r>
      <w:r w:rsidRPr="006E4295">
        <w:rPr>
          <w:rFonts w:ascii="Franklin Gothic Book" w:hAnsi="Franklin Gothic Book"/>
        </w:rPr>
        <w:t>mut.</w:t>
      </w:r>
    </w:p>
    <w:p w14:paraId="28B0FCD5" w14:textId="77777777" w:rsidR="002361D0" w:rsidRPr="006E4295" w:rsidRDefault="002361D0" w:rsidP="002361D0">
      <w:pPr>
        <w:pStyle w:val="Bullet"/>
        <w:numPr>
          <w:ilvl w:val="0"/>
          <w:numId w:val="16"/>
        </w:numPr>
        <w:spacing w:before="0"/>
        <w:rPr>
          <w:rFonts w:ascii="Franklin Gothic Book" w:hAnsi="Franklin Gothic Book"/>
        </w:rPr>
      </w:pPr>
      <w:r w:rsidRPr="006E4295">
        <w:rPr>
          <w:rFonts w:ascii="Franklin Gothic Book" w:hAnsi="Franklin Gothic Book"/>
        </w:rPr>
        <w:t xml:space="preserve">The cost per patient undergoing adjuvant therapy de-escalation was calculated as the sum of all costs accrued for the overall population, </w:t>
      </w:r>
      <w:r>
        <w:rPr>
          <w:rFonts w:ascii="Franklin Gothic Book" w:hAnsi="Franklin Gothic Book"/>
        </w:rPr>
        <w:t xml:space="preserve">including </w:t>
      </w:r>
      <w:r w:rsidRPr="006E4295">
        <w:rPr>
          <w:rFonts w:ascii="Franklin Gothic Book" w:hAnsi="Franklin Gothic Book"/>
        </w:rPr>
        <w:t xml:space="preserve">diagnosis </w:t>
      </w:r>
      <w:r>
        <w:rPr>
          <w:rFonts w:ascii="Franklin Gothic Book" w:hAnsi="Franklin Gothic Book"/>
        </w:rPr>
        <w:t>and</w:t>
      </w:r>
      <w:r w:rsidRPr="006E4295">
        <w:rPr>
          <w:rFonts w:ascii="Franklin Gothic Book" w:hAnsi="Franklin Gothic Book"/>
        </w:rPr>
        <w:t xml:space="preserve"> treatment costs, divided by the number of patients de-escalated.</w:t>
      </w:r>
    </w:p>
    <w:p w14:paraId="28E04DA0" w14:textId="77777777" w:rsidR="002361D0" w:rsidRPr="006E4295" w:rsidRDefault="002361D0" w:rsidP="002361D0">
      <w:pPr>
        <w:pStyle w:val="BulletLast"/>
        <w:numPr>
          <w:ilvl w:val="0"/>
          <w:numId w:val="16"/>
        </w:numPr>
      </w:pPr>
      <w:r w:rsidRPr="006E4295">
        <w:t>Quality-adjusted life-years (QALYs) associated with adjuvant therapy</w:t>
      </w:r>
      <w:r>
        <w:t xml:space="preserve"> were estimated</w:t>
      </w:r>
      <w:r w:rsidRPr="006E4295">
        <w:t>.</w:t>
      </w:r>
    </w:p>
    <w:p w14:paraId="400EA939" w14:textId="77777777" w:rsidR="002361D0" w:rsidRDefault="002361D0" w:rsidP="002361D0">
      <w:r>
        <w:t xml:space="preserve">ESC noted that the utilities used for different treatments in the CUA were inconsistently derived from different sources. ESC noted that the utilities used have overall reasonable face validity, but noted that the use of different sources for the utility weights made a significant difference to the results, making comparisons difficult. ESC noted that the DCAR had tested alternative health state utility values from EORTC-QLQ-C30 scores for the CTRT and RT arms of the PORTEC 3 trial which the DCAR mapped onto the EQ-5D-5L utility index. The overall magnitude of possible QALY gains varied considerably depending on the source of utilities, with the mapped utilities leading to substantively smaller QALY gains. ESC advised that using the consistently derived alternative mapped utilities informed by the PORTEC 3 trial for the base case would be more reliable. There were also no utilities applied to the use of immunotherapy, which ESC considered to be a gap in the model. ESC noted that the model excluded costs of managing adverse events due to adjuvant therapy. Overall, ESC considered that although the CUA was exploratory, it was informative. </w:t>
      </w:r>
    </w:p>
    <w:p w14:paraId="0D7ECF18" w14:textId="77777777" w:rsidR="002361D0" w:rsidRDefault="002361D0" w:rsidP="002361D0">
      <w:r>
        <w:lastRenderedPageBreak/>
        <w:t xml:space="preserve">Finally, ESC noted that the model used an MBS fee of $497.13, which is higher than the MBS fee recommended by ESC of $397.35. ESC advised that a revised economic analysis using the lower MBS fee would be required for MSAC. </w:t>
      </w:r>
    </w:p>
    <w:p w14:paraId="54DB87F6" w14:textId="77777777" w:rsidR="002361D0" w:rsidRDefault="002361D0" w:rsidP="002361D0">
      <w:r>
        <w:t xml:space="preserve">ESC noted that the base case was dominant (cost-saving) when a </w:t>
      </w:r>
      <w:r w:rsidRPr="000369DB">
        <w:rPr>
          <w:i/>
          <w:iCs/>
        </w:rPr>
        <w:t>POLE</w:t>
      </w:r>
      <w:r>
        <w:t>mut was identified, due to a change in clinical management, which was maintained when extrapolated out to 5 years and when translated to QALY outcomes. ESC noted that the c</w:t>
      </w:r>
      <w:r w:rsidRPr="0012497D">
        <w:t>ost</w:t>
      </w:r>
      <w:r>
        <w:t xml:space="preserve"> </w:t>
      </w:r>
      <w:r w:rsidRPr="0012497D">
        <w:t>savings</w:t>
      </w:r>
      <w:r>
        <w:t xml:space="preserve"> were</w:t>
      </w:r>
      <w:r w:rsidRPr="0012497D">
        <w:t xml:space="preserve"> largely driven by reductions in immunotherapy</w:t>
      </w:r>
      <w:r>
        <w:t>, but considered that the</w:t>
      </w:r>
      <w:r w:rsidRPr="0012497D">
        <w:t xml:space="preserve"> base case assumption </w:t>
      </w:r>
      <w:r>
        <w:t>wa</w:t>
      </w:r>
      <w:r w:rsidRPr="0012497D">
        <w:t>s too optimistic re</w:t>
      </w:r>
      <w:r>
        <w:t>garding this point. When reviewing the different patient subgroups, ICERs varied from being dominant up to $123,839 per QALY gained, depending on the nature of the treatment de-escalation.</w:t>
      </w:r>
    </w:p>
    <w:p w14:paraId="04FBC3B5" w14:textId="77777777" w:rsidR="002361D0" w:rsidRPr="00686039" w:rsidRDefault="002361D0" w:rsidP="002361D0">
      <w:r>
        <w:t>ESC noted that the presented sensitivity analyses, including multivariate analyses, showed a variety of results, with many no longer being dominant. ESC considered sensitivity analyses of (a) subgroups 1 (MMRd &amp; FIGO stage IA or IC) and 7 (</w:t>
      </w:r>
      <w:r w:rsidRPr="2908E4A8">
        <w:rPr>
          <w:lang w:val="en-US"/>
        </w:rPr>
        <w:t>MMRp &amp; p53wt &amp; low-grade disease &amp; ER+ &amp; FIGO stage IA)</w:t>
      </w:r>
      <w:r>
        <w:t xml:space="preserve"> and (b) subgroups 2 (MMRd &amp; FIGO stage IB or II) and 7 would be informative </w:t>
      </w:r>
      <w:r w:rsidRPr="00857A43">
        <w:t>to further explore conservative and possibly realistic scenarios</w:t>
      </w:r>
      <w:r w:rsidRPr="00686039">
        <w:t>.</w:t>
      </w:r>
    </w:p>
    <w:p w14:paraId="498FBA57" w14:textId="77777777" w:rsidR="002361D0" w:rsidRDefault="002361D0" w:rsidP="002361D0">
      <w:pPr>
        <w:pStyle w:val="NormalBeforeBullet0"/>
      </w:pPr>
      <w:r>
        <w:t>In summary, ESC noted key drivers of the model included:</w:t>
      </w:r>
    </w:p>
    <w:p w14:paraId="29EC6F4D" w14:textId="77777777" w:rsidR="002361D0" w:rsidRDefault="002361D0" w:rsidP="002361D0">
      <w:pPr>
        <w:pStyle w:val="Bullet"/>
        <w:spacing w:before="0"/>
        <w:rPr>
          <w:rFonts w:ascii="Franklin Gothic Book" w:hAnsi="Franklin Gothic Book"/>
        </w:rPr>
      </w:pPr>
      <w:r w:rsidRPr="2908E4A8">
        <w:rPr>
          <w:rFonts w:ascii="Franklin Gothic Book" w:hAnsi="Franklin Gothic Book"/>
        </w:rPr>
        <w:t>use of uncertain utility values for different sources – the variations in utilities applied in the DCAR have a large impact on the results</w:t>
      </w:r>
      <w:r>
        <w:rPr>
          <w:rFonts w:ascii="Franklin Gothic Book" w:hAnsi="Franklin Gothic Book"/>
        </w:rPr>
        <w:t>.</w:t>
      </w:r>
    </w:p>
    <w:p w14:paraId="6E76B2B0" w14:textId="77777777" w:rsidR="002361D0" w:rsidRDefault="002361D0" w:rsidP="002361D0">
      <w:pPr>
        <w:pStyle w:val="Bullet"/>
        <w:spacing w:before="0"/>
        <w:rPr>
          <w:rFonts w:ascii="Franklin Gothic Book" w:hAnsi="Franklin Gothic Book"/>
        </w:rPr>
      </w:pPr>
      <w:r w:rsidRPr="2908E4A8">
        <w:rPr>
          <w:rFonts w:ascii="Franklin Gothic Book" w:hAnsi="Franklin Gothic Book"/>
        </w:rPr>
        <w:t>the assumption that all eligible non-metastatic patients will be de-escalated. The PORTEC-4a trial suggests that proportions might be lower than those used in the DCAR</w:t>
      </w:r>
      <w:r>
        <w:rPr>
          <w:rFonts w:ascii="Franklin Gothic Book" w:hAnsi="Franklin Gothic Book"/>
        </w:rPr>
        <w:t>.</w:t>
      </w:r>
    </w:p>
    <w:p w14:paraId="5AB20259" w14:textId="77777777" w:rsidR="002361D0" w:rsidRDefault="002361D0" w:rsidP="002361D0">
      <w:pPr>
        <w:pStyle w:val="BulletLast"/>
        <w:numPr>
          <w:ilvl w:val="0"/>
          <w:numId w:val="17"/>
        </w:numPr>
      </w:pPr>
      <w:r w:rsidRPr="2908E4A8">
        <w:t xml:space="preserve">the use of immunotherapy, which highly favoured the intervention and may be optimistic because de-escalating immunotherapy treatment </w:t>
      </w:r>
      <w:r w:rsidRPr="00076854">
        <w:rPr>
          <w:lang w:val="en-US"/>
        </w:rPr>
        <w:t>in the MMRd stage III–IVA subgroup accounted for nearly all cost savings</w:t>
      </w:r>
      <w:r>
        <w:rPr>
          <w:lang w:val="en-US"/>
        </w:rPr>
        <w:t xml:space="preserve"> in the model</w:t>
      </w:r>
      <w:r w:rsidRPr="00076854">
        <w:rPr>
          <w:lang w:val="en-US"/>
        </w:rPr>
        <w:t xml:space="preserve">. The substantial cost of immunotherapy </w:t>
      </w:r>
      <w:r>
        <w:rPr>
          <w:lang w:val="en-US"/>
        </w:rPr>
        <w:t>determines</w:t>
      </w:r>
      <w:r w:rsidRPr="00076854">
        <w:rPr>
          <w:lang w:val="en-US"/>
        </w:rPr>
        <w:t xml:space="preserve"> that even small changes in use</w:t>
      </w:r>
      <w:r>
        <w:rPr>
          <w:lang w:val="en-US"/>
        </w:rPr>
        <w:t xml:space="preserve"> </w:t>
      </w:r>
      <w:r w:rsidRPr="00076854">
        <w:rPr>
          <w:lang w:val="en-US"/>
        </w:rPr>
        <w:t xml:space="preserve">have pronounced impact on total </w:t>
      </w:r>
      <w:r w:rsidRPr="000E64F9">
        <w:rPr>
          <w:lang w:val="en-US"/>
        </w:rPr>
        <w:t xml:space="preserve">incremental </w:t>
      </w:r>
      <w:r w:rsidRPr="00076854">
        <w:rPr>
          <w:lang w:val="en-US"/>
        </w:rPr>
        <w:t>costs</w:t>
      </w:r>
      <w:r w:rsidRPr="2908E4A8">
        <w:t>. In addition, a scenario using durvalumab in place of dostarlimab changed the base case results from dominant to cost incurring</w:t>
      </w:r>
      <w:r>
        <w:t>.</w:t>
      </w:r>
    </w:p>
    <w:p w14:paraId="7A10E646" w14:textId="77777777" w:rsidR="002361D0" w:rsidRPr="00CA7CCB" w:rsidRDefault="002361D0" w:rsidP="002361D0">
      <w:pPr>
        <w:pStyle w:val="Bullet"/>
        <w:spacing w:before="0"/>
        <w:rPr>
          <w:rFonts w:ascii="Franklin Gothic Book" w:hAnsi="Franklin Gothic Book"/>
        </w:rPr>
      </w:pPr>
      <w:r w:rsidRPr="2908E4A8">
        <w:rPr>
          <w:rFonts w:ascii="Franklin Gothic Book" w:hAnsi="Franklin Gothic Book"/>
        </w:rPr>
        <w:t xml:space="preserve">the assumption that all EC patients will undergo </w:t>
      </w:r>
      <w:r w:rsidRPr="2908E4A8">
        <w:rPr>
          <w:rFonts w:ascii="Franklin Gothic Book" w:hAnsi="Franklin Gothic Book"/>
          <w:i/>
          <w:iCs/>
        </w:rPr>
        <w:t>POLE</w:t>
      </w:r>
      <w:r w:rsidRPr="2908E4A8">
        <w:rPr>
          <w:rFonts w:ascii="Franklin Gothic Book" w:hAnsi="Franklin Gothic Book"/>
        </w:rPr>
        <w:t xml:space="preserve"> testing. Excluding patients </w:t>
      </w:r>
      <w:r>
        <w:rPr>
          <w:rFonts w:ascii="Franklin Gothic Book" w:hAnsi="Franklin Gothic Book"/>
        </w:rPr>
        <w:t xml:space="preserve">(e.g., sensitivity analysis for patients with </w:t>
      </w:r>
      <w:r w:rsidRPr="00D657F7">
        <w:rPr>
          <w:rFonts w:ascii="Franklin Gothic Book" w:hAnsi="Franklin Gothic Book"/>
          <w:i/>
          <w:iCs/>
        </w:rPr>
        <w:t>POLE</w:t>
      </w:r>
      <w:r>
        <w:rPr>
          <w:rFonts w:ascii="Franklin Gothic Book" w:hAnsi="Franklin Gothic Book"/>
        </w:rPr>
        <w:t xml:space="preserve">mut and </w:t>
      </w:r>
      <w:r w:rsidRPr="00370BB6">
        <w:rPr>
          <w:rFonts w:ascii="Franklin Gothic Book" w:hAnsi="Franklin Gothic Book"/>
        </w:rPr>
        <w:t xml:space="preserve">stage III–IVA </w:t>
      </w:r>
      <w:r>
        <w:rPr>
          <w:rFonts w:ascii="Franklin Gothic Book" w:hAnsi="Franklin Gothic Book"/>
        </w:rPr>
        <w:t xml:space="preserve">disease) </w:t>
      </w:r>
      <w:r w:rsidRPr="2908E4A8">
        <w:rPr>
          <w:rFonts w:ascii="Franklin Gothic Book" w:hAnsi="Franklin Gothic Book"/>
        </w:rPr>
        <w:t>for wh</w:t>
      </w:r>
      <w:r>
        <w:rPr>
          <w:rFonts w:ascii="Franklin Gothic Book" w:hAnsi="Franklin Gothic Book"/>
        </w:rPr>
        <w:t>om</w:t>
      </w:r>
      <w:r w:rsidRPr="2908E4A8">
        <w:rPr>
          <w:rFonts w:ascii="Franklin Gothic Book" w:hAnsi="Franklin Gothic Book"/>
        </w:rPr>
        <w:t xml:space="preserve"> de-escalation is not warranted</w:t>
      </w:r>
      <w:r>
        <w:rPr>
          <w:rFonts w:ascii="Franklin Gothic Book" w:hAnsi="Franklin Gothic Book"/>
        </w:rPr>
        <w:t xml:space="preserve"> due to </w:t>
      </w:r>
      <w:r w:rsidRPr="002B3CB5">
        <w:rPr>
          <w:rFonts w:ascii="Franklin Gothic Book" w:hAnsi="Franklin Gothic Book"/>
        </w:rPr>
        <w:t>the lack of clear guideline recommendations or clinical evidence</w:t>
      </w:r>
      <w:r w:rsidRPr="2908E4A8">
        <w:rPr>
          <w:rFonts w:ascii="Franklin Gothic Book" w:hAnsi="Franklin Gothic Book"/>
        </w:rPr>
        <w:t xml:space="preserve"> improved results.</w:t>
      </w:r>
    </w:p>
    <w:p w14:paraId="755EF261" w14:textId="77777777" w:rsidR="002361D0" w:rsidRDefault="002361D0" w:rsidP="002361D0">
      <w:r>
        <w:t xml:space="preserve">ESC requested for the base case to be respecified using a test fee of $397.35, mapped utilities informed by the PORTEC 3 trial, and treatment de-escalation of 46% as per the PORTEC 4a trial. ESC also requested sensitivity analyses testing for de-escalation in 0% and 50% of people with </w:t>
      </w:r>
      <w:r w:rsidRPr="2908E4A8">
        <w:rPr>
          <w:i/>
          <w:iCs/>
        </w:rPr>
        <w:t>Stage III-IVA POLEmut</w:t>
      </w:r>
      <w:r>
        <w:t xml:space="preserve"> using the respecified base case.</w:t>
      </w:r>
    </w:p>
    <w:p w14:paraId="56856341" w14:textId="42BAECC1" w:rsidR="002361D0" w:rsidRDefault="002361D0" w:rsidP="002361D0">
      <w:r>
        <w:t xml:space="preserve">ESC noted that the financial analysis used an epidemiological approach, which ESC considered to be appropriate. It assumed that all EC patients would be eligible for </w:t>
      </w:r>
      <w:r w:rsidRPr="12F47456">
        <w:rPr>
          <w:i/>
          <w:iCs/>
        </w:rPr>
        <w:t>POLE</w:t>
      </w:r>
      <w:r>
        <w:t xml:space="preserve"> genotyping, which is consistent with the earlier advice from PASC. The total cost to the MBS for the proposed item at 85% benefit is expected to be $736,425 in Year 1, increasing to $1,437,703 in Year 6, with a total cost of $6,624,406 over the first 6 years of listing. The net cost to the Federal health budget is expected to be $35,374 in Year 1, increasing to $684,948 in Year 6. This included the reduced adjuvant treatment costs but did not appear to include immunotherapy impacts. ESC noted including immunotherapy costs switched the overall financial impact from costing to a cost saving of more than $1 million each year (when the costs of dostarlimab were used). ESC requested that, consistent with the sensitivity analysis presented in the economic evaluation, the financial impacts with and without immunotherapy should be presented to MSAC. ESC also advised that all the financial estimates for MSAC need to be revised to use the lower MBS fee for </w:t>
      </w:r>
      <w:r w:rsidRPr="12F47456">
        <w:rPr>
          <w:i/>
          <w:iCs/>
        </w:rPr>
        <w:lastRenderedPageBreak/>
        <w:t xml:space="preserve">POLEmut </w:t>
      </w:r>
      <w:r>
        <w:t xml:space="preserve">testing of $397.35. Work requested by ESC is presented in the Post-ESC work section in </w:t>
      </w:r>
      <w:r>
        <w:fldChar w:fldCharType="begin"/>
      </w:r>
      <w:r>
        <w:instrText xml:space="preserve"> REF _Ref223619441 \h </w:instrText>
      </w:r>
      <w:r>
        <w:fldChar w:fldCharType="separate"/>
      </w:r>
      <w:r w:rsidR="00996E6E" w:rsidRPr="00CE28E3">
        <w:t>Economic evaluation</w:t>
      </w:r>
      <w:r>
        <w:fldChar w:fldCharType="end"/>
      </w:r>
      <w:r>
        <w:t xml:space="preserve"> and section </w:t>
      </w:r>
      <w:r>
        <w:fldChar w:fldCharType="begin"/>
      </w:r>
      <w:r>
        <w:instrText xml:space="preserve"> REF _Ref223619461 \h </w:instrText>
      </w:r>
      <w:r>
        <w:fldChar w:fldCharType="separate"/>
      </w:r>
      <w:r w:rsidR="00996E6E" w:rsidRPr="00CE28E3">
        <w:t>Financial/budgetary impacts</w:t>
      </w:r>
      <w:r>
        <w:fldChar w:fldCharType="end"/>
      </w:r>
      <w:r>
        <w:t>.</w:t>
      </w:r>
    </w:p>
    <w:p w14:paraId="0839C719" w14:textId="77777777" w:rsidR="007227F7" w:rsidRDefault="007227F7" w:rsidP="00DE034C">
      <w:pPr>
        <w:pStyle w:val="Heading2"/>
        <w:numPr>
          <w:ilvl w:val="0"/>
          <w:numId w:val="18"/>
        </w:numPr>
        <w:ind w:hanging="720"/>
      </w:pPr>
      <w:bookmarkStart w:id="110" w:name="_Hlk213745948"/>
      <w:r w:rsidRPr="005B6EFD">
        <w:t>Applicant comments on MSAC’s Public Summary Document</w:t>
      </w:r>
    </w:p>
    <w:p w14:paraId="6F8B46B0" w14:textId="5E5145F0" w:rsidR="00B5430D" w:rsidRPr="008D49E0" w:rsidRDefault="00B5430D" w:rsidP="008D49E0">
      <w:pPr>
        <w:keepLines/>
        <w:spacing w:before="0" w:line="269" w:lineRule="auto"/>
        <w:rPr>
          <w:rFonts w:eastAsia="Calibri" w:cs="Calibri"/>
          <w:bCs/>
          <w:iCs/>
        </w:rPr>
      </w:pPr>
      <w:r w:rsidRPr="008D49E0">
        <w:rPr>
          <w:rFonts w:eastAsia="Calibri" w:cs="Calibri"/>
          <w:bCs/>
          <w:iCs/>
        </w:rPr>
        <w:t xml:space="preserve">The RCPA welcomes MSAC’s support for public funding of </w:t>
      </w:r>
      <w:r w:rsidRPr="00BB04E6">
        <w:rPr>
          <w:rFonts w:eastAsia="Calibri" w:cs="Calibri"/>
          <w:bCs/>
          <w:i/>
        </w:rPr>
        <w:t>POLE</w:t>
      </w:r>
      <w:r w:rsidRPr="008D49E0">
        <w:rPr>
          <w:rFonts w:eastAsia="Calibri" w:cs="Calibri"/>
          <w:bCs/>
          <w:iCs/>
        </w:rPr>
        <w:t xml:space="preserve"> genotyping for the molecular classification of endometrial cancer. This decision will improve equitable access to a test that is recommended in international clinical practice guidelines and reduce the need for patients to privately fund testing out of pocket. Importantly, MBS listing will help ensure that all patients with newly diagnosed endometrial cancer can receive comprehensive molecular classification to inform prognosis and guide multidisciplinary treatment planning. For patients with </w:t>
      </w:r>
      <w:r w:rsidRPr="00BB04E6">
        <w:rPr>
          <w:rFonts w:eastAsia="Calibri" w:cs="Calibri"/>
          <w:bCs/>
          <w:i/>
        </w:rPr>
        <w:t>POLE</w:t>
      </w:r>
      <w:r w:rsidRPr="008D49E0">
        <w:rPr>
          <w:rFonts w:eastAsia="Calibri" w:cs="Calibri"/>
          <w:bCs/>
          <w:iCs/>
        </w:rPr>
        <w:t xml:space="preserve">-mutated endometrial cancer, testing can support decisions to safely avoid or reduce unnecessary adjuvant </w:t>
      </w:r>
      <w:r w:rsidR="000461B4">
        <w:rPr>
          <w:rFonts w:eastAsia="Calibri" w:cs="Calibri"/>
          <w:bCs/>
          <w:iCs/>
        </w:rPr>
        <w:t>therap</w:t>
      </w:r>
      <w:r w:rsidR="005133CD">
        <w:rPr>
          <w:rFonts w:eastAsia="Calibri" w:cs="Calibri"/>
          <w:bCs/>
          <w:iCs/>
        </w:rPr>
        <w:t>y</w:t>
      </w:r>
      <w:r w:rsidRPr="008D49E0">
        <w:rPr>
          <w:rFonts w:eastAsia="Calibri" w:cs="Calibri"/>
          <w:bCs/>
          <w:iCs/>
        </w:rPr>
        <w:t>, reducing treatment-related adverse effects without compromising clinical outcomes. This funding decision is an important step toward more precise, equitable and patient-centred cancer care in Australia.</w:t>
      </w:r>
    </w:p>
    <w:p w14:paraId="7652F400" w14:textId="77777777" w:rsidR="007227F7" w:rsidRPr="005B6EFD" w:rsidRDefault="007227F7" w:rsidP="00DE034C">
      <w:pPr>
        <w:pStyle w:val="Heading2"/>
        <w:numPr>
          <w:ilvl w:val="0"/>
          <w:numId w:val="18"/>
        </w:numPr>
        <w:ind w:hanging="720"/>
      </w:pPr>
      <w:r w:rsidRPr="005B6EFD">
        <w:t>Further information on MSAC</w:t>
      </w:r>
    </w:p>
    <w:p w14:paraId="72090305" w14:textId="268611ED" w:rsidR="002361D0" w:rsidRPr="007227F7" w:rsidRDefault="007227F7" w:rsidP="007227F7">
      <w:pPr>
        <w:keepLines/>
        <w:spacing w:before="0" w:line="269" w:lineRule="auto"/>
        <w:rPr>
          <w:rFonts w:eastAsia="Calibri" w:cs="Calibri"/>
        </w:rPr>
      </w:pPr>
      <w:r w:rsidRPr="005B6EFD">
        <w:rPr>
          <w:rFonts w:eastAsia="Calibri" w:cs="Calibri"/>
          <w:bCs/>
          <w:iCs/>
        </w:rPr>
        <w:t xml:space="preserve">MSAC Terms of Reference and other information are available on the MSAC Website: </w:t>
      </w:r>
      <w:hyperlink r:id="rId24" w:tooltip="Link to the MSAC website" w:history="1">
        <w:r w:rsidRPr="005B6EFD">
          <w:rPr>
            <w:rFonts w:eastAsia="Calibri" w:cs="Calibri"/>
            <w:iCs/>
            <w:color w:val="007BB8"/>
            <w:u w:val="single"/>
          </w:rPr>
          <w:t>visit the MSAC website</w:t>
        </w:r>
      </w:hyperlink>
      <w:bookmarkEnd w:id="110"/>
    </w:p>
    <w:sectPr w:rsidR="002361D0" w:rsidRPr="007227F7" w:rsidSect="00811E4A">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5BA3B" w14:textId="77777777" w:rsidR="00FA1B5C" w:rsidRDefault="00FA1B5C" w:rsidP="00B62DF2">
      <w:pPr>
        <w:spacing w:after="0" w:line="240" w:lineRule="auto"/>
      </w:pPr>
      <w:r>
        <w:separator/>
      </w:r>
    </w:p>
  </w:endnote>
  <w:endnote w:type="continuationSeparator" w:id="0">
    <w:p w14:paraId="1D070865" w14:textId="77777777" w:rsidR="00FA1B5C" w:rsidRDefault="00FA1B5C" w:rsidP="00B62DF2">
      <w:pPr>
        <w:spacing w:after="0" w:line="240" w:lineRule="auto"/>
      </w:pPr>
      <w:r>
        <w:continuationSeparator/>
      </w:r>
    </w:p>
  </w:endnote>
  <w:endnote w:type="continuationNotice" w:id="1">
    <w:p w14:paraId="0AB19A2A" w14:textId="77777777" w:rsidR="00FA1B5C" w:rsidRDefault="00FA1B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altName w:val="Calibri"/>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6D499" w14:textId="558447EC" w:rsidR="00AC1891" w:rsidRDefault="001B27C5" w:rsidP="006E4295">
    <w:pPr>
      <w:pStyle w:val="Footer"/>
      <w:ind w:left="4320" w:firstLine="4513"/>
      <w:jc w:val="right"/>
    </w:pPr>
    <w:r>
      <w:rPr>
        <w:noProof/>
      </w:rPr>
      <mc:AlternateContent>
        <mc:Choice Requires="wps">
          <w:drawing>
            <wp:anchor distT="0" distB="0" distL="0" distR="0" simplePos="0" relativeHeight="251658244" behindDoc="0" locked="0" layoutInCell="1" allowOverlap="1" wp14:anchorId="4EC7FCF4" wp14:editId="2B7AF6CD">
              <wp:simplePos x="635" y="635"/>
              <wp:positionH relativeFrom="page">
                <wp:align>center</wp:align>
              </wp:positionH>
              <wp:positionV relativeFrom="page">
                <wp:align>bottom</wp:align>
              </wp:positionV>
              <wp:extent cx="622300" cy="467360"/>
              <wp:effectExtent l="0" t="0" r="6350" b="0"/>
              <wp:wrapNone/>
              <wp:docPr id="145843692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56D1137E" w14:textId="2DE5A144"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C7FCF4" id="_x0000_t202" coordsize="21600,21600" o:spt="202" path="m,l,21600r21600,l21600,xe">
              <v:stroke joinstyle="miter"/>
              <v:path gradientshapeok="t" o:connecttype="rect"/>
            </v:shapetype>
            <v:shape id="Text Box 17" o:spid="_x0000_s1028" type="#_x0000_t202" alt="OFFICIAL" style="position:absolute;left:0;text-align:left;margin-left:0;margin-top:0;width:49pt;height:36.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8DdtUDgIAABwE&#10;AAAOAAAAAAAAAAAAAAAAAC4CAABkcnMvZTJvRG9jLnhtbFBLAQItABQABgAIAAAAIQCQpICC2gAA&#10;AAMBAAAPAAAAAAAAAAAAAAAAAGgEAABkcnMvZG93bnJldi54bWxQSwUGAAAAAAQABADzAAAAbwUA&#10;AAAA&#10;" filled="f" stroked="f">
              <v:textbox style="mso-fit-shape-to-text:t" inset="0,0,0,15pt">
                <w:txbxContent>
                  <w:p w14:paraId="56D1137E" w14:textId="2DE5A144"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v:textbox>
              <w10:wrap anchorx="page" anchory="page"/>
            </v:shape>
          </w:pict>
        </mc:Fallback>
      </mc:AlternateContent>
    </w:r>
    <w:sdt>
      <w:sdtPr>
        <w:id w:val="1925460831"/>
        <w:docPartObj>
          <w:docPartGallery w:val="Page Numbers (Bottom of Page)"/>
          <w:docPartUnique/>
        </w:docPartObj>
      </w:sdtPr>
      <w:sdtEndPr>
        <w:rPr>
          <w:noProof/>
        </w:rPr>
      </w:sdtEndPr>
      <w:sdtContent>
        <w:r w:rsidR="00AC1891">
          <w:fldChar w:fldCharType="begin"/>
        </w:r>
        <w:r w:rsidR="00AC1891">
          <w:instrText xml:space="preserve"> PAGE   \* MERGEFORMAT </w:instrText>
        </w:r>
        <w:r w:rsidR="00AC1891">
          <w:fldChar w:fldCharType="separate"/>
        </w:r>
        <w:r w:rsidR="00967549">
          <w:rPr>
            <w:noProof/>
          </w:rPr>
          <w:t>72</w:t>
        </w:r>
        <w:r w:rsidR="00AC189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385A" w14:textId="61B758CD" w:rsidR="00AC1891" w:rsidRDefault="001B27C5" w:rsidP="00D45AE3">
    <w:pPr>
      <w:pStyle w:val="Footer"/>
      <w:jc w:val="right"/>
    </w:pPr>
    <w:r>
      <w:rPr>
        <w:noProof/>
      </w:rPr>
      <mc:AlternateContent>
        <mc:Choice Requires="wps">
          <w:drawing>
            <wp:anchor distT="0" distB="0" distL="0" distR="0" simplePos="0" relativeHeight="251658245" behindDoc="0" locked="0" layoutInCell="1" allowOverlap="1" wp14:anchorId="51D692C7" wp14:editId="3401733E">
              <wp:simplePos x="635" y="635"/>
              <wp:positionH relativeFrom="page">
                <wp:align>center</wp:align>
              </wp:positionH>
              <wp:positionV relativeFrom="page">
                <wp:align>bottom</wp:align>
              </wp:positionV>
              <wp:extent cx="622300" cy="467360"/>
              <wp:effectExtent l="0" t="0" r="6350" b="0"/>
              <wp:wrapNone/>
              <wp:docPr id="189530369"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6A28F354" w14:textId="400BD613"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692C7" id="_x0000_t202" coordsize="21600,21600" o:spt="202" path="m,l,21600r21600,l21600,xe">
              <v:stroke joinstyle="miter"/>
              <v:path gradientshapeok="t" o:connecttype="rect"/>
            </v:shapetype>
            <v:shape id="Text Box 18" o:spid="_x0000_s1029" type="#_x0000_t202" alt="OFFICIAL" style="position:absolute;left:0;text-align:left;margin-left:0;margin-top:0;width:49pt;height:36.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BRsmlpDgIAABwE&#10;AAAOAAAAAAAAAAAAAAAAAC4CAABkcnMvZTJvRG9jLnhtbFBLAQItABQABgAIAAAAIQCQpICC2gAA&#10;AAMBAAAPAAAAAAAAAAAAAAAAAGgEAABkcnMvZG93bnJldi54bWxQSwUGAAAAAAQABADzAAAAbwUA&#10;AAAA&#10;" filled="f" stroked="f">
              <v:textbox style="mso-fit-shape-to-text:t" inset="0,0,0,15pt">
                <w:txbxContent>
                  <w:p w14:paraId="6A28F354" w14:textId="400BD613"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v:textbox>
              <w10:wrap anchorx="page" anchory="page"/>
            </v:shape>
          </w:pict>
        </mc:Fallback>
      </mc:AlternateContent>
    </w:r>
    <w:sdt>
      <w:sdtPr>
        <w:id w:val="-18244847"/>
        <w:docPartObj>
          <w:docPartGallery w:val="Page Numbers (Bottom of Page)"/>
          <w:docPartUnique/>
        </w:docPartObj>
      </w:sdtPr>
      <w:sdtEndPr>
        <w:rPr>
          <w:noProof/>
        </w:rPr>
      </w:sdtEndPr>
      <w:sdtContent>
        <w:r w:rsidR="00AC1891">
          <w:fldChar w:fldCharType="begin"/>
        </w:r>
        <w:r w:rsidR="00AC1891">
          <w:instrText xml:space="preserve"> PAGE   \* MERGEFORMAT </w:instrText>
        </w:r>
        <w:r w:rsidR="00AC1891">
          <w:fldChar w:fldCharType="separate"/>
        </w:r>
        <w:r w:rsidR="00967549">
          <w:rPr>
            <w:noProof/>
          </w:rPr>
          <w:t>73</w:t>
        </w:r>
        <w:r w:rsidR="00AC1891">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15BC" w14:textId="502E2FDF" w:rsidR="00A608F6" w:rsidRDefault="001B27C5">
    <w:pPr>
      <w:pStyle w:val="Footer"/>
    </w:pPr>
    <w:r>
      <w:rPr>
        <w:noProof/>
      </w:rPr>
      <mc:AlternateContent>
        <mc:Choice Requires="wps">
          <w:drawing>
            <wp:anchor distT="0" distB="0" distL="0" distR="0" simplePos="0" relativeHeight="251658243" behindDoc="0" locked="0" layoutInCell="1" allowOverlap="1" wp14:anchorId="16EF5FF2" wp14:editId="4CD2AD9F">
              <wp:simplePos x="635" y="635"/>
              <wp:positionH relativeFrom="page">
                <wp:align>center</wp:align>
              </wp:positionH>
              <wp:positionV relativeFrom="page">
                <wp:align>bottom</wp:align>
              </wp:positionV>
              <wp:extent cx="622300" cy="467360"/>
              <wp:effectExtent l="0" t="0" r="6350" b="0"/>
              <wp:wrapNone/>
              <wp:docPr id="427030431"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5EF7253A" w14:textId="4A5C18D5"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F5FF2" id="_x0000_t202" coordsize="21600,21600" o:spt="202" path="m,l,21600r21600,l21600,xe">
              <v:stroke joinstyle="miter"/>
              <v:path gradientshapeok="t" o:connecttype="rect"/>
            </v:shapetype>
            <v:shape id="Text Box 16" o:spid="_x0000_s1031" type="#_x0000_t202" alt="OFFICIAL" style="position:absolute;margin-left:0;margin-top:0;width:49pt;height:36.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McbkDgIAABwE&#10;AAAOAAAAAAAAAAAAAAAAAC4CAABkcnMvZTJvRG9jLnhtbFBLAQItABQABgAIAAAAIQCQpICC2gAA&#10;AAMBAAAPAAAAAAAAAAAAAAAAAGgEAABkcnMvZG93bnJldi54bWxQSwUGAAAAAAQABADzAAAAbwUA&#10;AAAA&#10;" filled="f" stroked="f">
              <v:textbox style="mso-fit-shape-to-text:t" inset="0,0,0,15pt">
                <w:txbxContent>
                  <w:p w14:paraId="5EF7253A" w14:textId="4A5C18D5"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582BE" w14:textId="77777777" w:rsidR="00FA1B5C" w:rsidRDefault="00FA1B5C" w:rsidP="00B62DF2">
      <w:pPr>
        <w:spacing w:after="0" w:line="240" w:lineRule="auto"/>
      </w:pPr>
      <w:r>
        <w:separator/>
      </w:r>
    </w:p>
  </w:footnote>
  <w:footnote w:type="continuationSeparator" w:id="0">
    <w:p w14:paraId="0470635A" w14:textId="77777777" w:rsidR="00FA1B5C" w:rsidRDefault="00FA1B5C" w:rsidP="00B62DF2">
      <w:pPr>
        <w:spacing w:after="0" w:line="240" w:lineRule="auto"/>
      </w:pPr>
      <w:r>
        <w:continuationSeparator/>
      </w:r>
    </w:p>
  </w:footnote>
  <w:footnote w:type="continuationNotice" w:id="1">
    <w:p w14:paraId="2A870396" w14:textId="77777777" w:rsidR="00FA1B5C" w:rsidRDefault="00FA1B5C">
      <w:pPr>
        <w:spacing w:before="0" w:after="0" w:line="240" w:lineRule="auto"/>
      </w:pPr>
    </w:p>
  </w:footnote>
  <w:footnote w:id="2">
    <w:p w14:paraId="1EADDD70" w14:textId="0F953279" w:rsidR="001D3F21" w:rsidRDefault="001D3F21">
      <w:pPr>
        <w:pStyle w:val="FootnoteText"/>
      </w:pPr>
      <w:r>
        <w:rPr>
          <w:rStyle w:val="FootnoteReference"/>
        </w:rPr>
        <w:footnoteRef/>
      </w:r>
      <w:r>
        <w:t xml:space="preserve"> </w:t>
      </w:r>
      <w:hyperlink r:id="rId1" w:history="1">
        <w:r w:rsidRPr="00931B6B">
          <w:rPr>
            <w:rStyle w:val="Hyperlink"/>
          </w:rPr>
          <w:t>https://www.aihw.gov.au/reports/cancer/cancer-data-in-australia/contents/cancer-incidence-by-age-visualisation</w:t>
        </w:r>
      </w:hyperlink>
    </w:p>
  </w:footnote>
  <w:footnote w:id="3">
    <w:p w14:paraId="74FCC5E2" w14:textId="3CBD2F70" w:rsidR="00A85F9A" w:rsidRDefault="00A85F9A">
      <w:pPr>
        <w:pStyle w:val="FootnoteText"/>
      </w:pPr>
      <w:r>
        <w:rPr>
          <w:rStyle w:val="FootnoteReference"/>
        </w:rPr>
        <w:footnoteRef/>
      </w:r>
      <w:r>
        <w:t xml:space="preserve"> </w:t>
      </w:r>
      <w:r w:rsidRPr="00A85F9A">
        <w:t>https://guidelines.esgo.org/media/2025/09/ESGO-ESTRO-ESP-Guidelines-for-EC_-LO-July-2025.pdf</w:t>
      </w:r>
    </w:p>
  </w:footnote>
  <w:footnote w:id="4">
    <w:p w14:paraId="7D032056" w14:textId="0CB1CFEC" w:rsidR="001374B4" w:rsidRDefault="001374B4">
      <w:pPr>
        <w:pStyle w:val="FootnoteText"/>
      </w:pPr>
      <w:r>
        <w:rPr>
          <w:rStyle w:val="FootnoteReference"/>
        </w:rPr>
        <w:footnoteRef/>
      </w:r>
      <w:r>
        <w:t xml:space="preserve"> </w:t>
      </w:r>
      <w:hyperlink r:id="rId2" w:history="1">
        <w:r w:rsidRPr="001374B4">
          <w:rPr>
            <w:rStyle w:val="Hyperlink"/>
          </w:rPr>
          <w:t>Study Details | NCT05640999 | Adjuvant Therapy in POLE-Mutated and p53-Wildtype/NSMP Early Stage Endometrial Cancer RAINBO BLUE &amp; TAPER | ClinicalTrials.gov</w:t>
        </w:r>
      </w:hyperlink>
    </w:p>
  </w:footnote>
  <w:footnote w:id="5">
    <w:p w14:paraId="4545D8D2" w14:textId="536E779B" w:rsidR="00B80C56" w:rsidRPr="004246E0" w:rsidRDefault="00B80C56" w:rsidP="00CD05D7">
      <w:pPr>
        <w:pStyle w:val="FootnoteText"/>
        <w:spacing w:before="0"/>
        <w:rPr>
          <w:rFonts w:cstheme="minorHAnsi"/>
        </w:rPr>
      </w:pPr>
      <w:r w:rsidRPr="004246E0">
        <w:rPr>
          <w:rStyle w:val="FootnoteReference"/>
          <w:rFonts w:cstheme="minorHAnsi"/>
        </w:rPr>
        <w:footnoteRef/>
      </w:r>
      <w:r w:rsidRPr="004246E0">
        <w:rPr>
          <w:rFonts w:cstheme="minorHAnsi"/>
        </w:rPr>
        <w:t xml:space="preserve"> </w:t>
      </w:r>
      <w:proofErr w:type="spellStart"/>
      <w:r w:rsidRPr="00872EFC">
        <w:rPr>
          <w:rFonts w:cstheme="minorHAnsi"/>
        </w:rPr>
        <w:t>Oaknin</w:t>
      </w:r>
      <w:proofErr w:type="spellEnd"/>
      <w:r w:rsidRPr="00872EFC">
        <w:rPr>
          <w:rFonts w:cstheme="minorHAnsi"/>
        </w:rPr>
        <w:t xml:space="preserve"> et al., 2022, 'Endometrial cancer: ESMO Clinical Practice Guideline for diagnosis, treatment and follow-up', </w:t>
      </w:r>
      <w:r w:rsidRPr="00872EFC">
        <w:rPr>
          <w:rFonts w:cstheme="minorHAnsi"/>
          <w:i/>
          <w:iCs/>
        </w:rPr>
        <w:t>Annals of Oncology</w:t>
      </w:r>
      <w:r w:rsidRPr="00872EFC">
        <w:rPr>
          <w:rFonts w:cstheme="minorHAnsi"/>
        </w:rPr>
        <w:t>, vol. 33, no. 9, pp. 860-77</w:t>
      </w:r>
    </w:p>
  </w:footnote>
  <w:footnote w:id="6">
    <w:p w14:paraId="79383941" w14:textId="43EAF993" w:rsidR="00CD05D7" w:rsidRPr="004246E0" w:rsidRDefault="00CD05D7" w:rsidP="00CD05D7">
      <w:pPr>
        <w:pStyle w:val="FootnoteText"/>
        <w:spacing w:before="0"/>
        <w:rPr>
          <w:rFonts w:cstheme="minorHAnsi"/>
        </w:rPr>
      </w:pPr>
      <w:r w:rsidRPr="004246E0">
        <w:rPr>
          <w:rStyle w:val="FootnoteReference"/>
          <w:rFonts w:cstheme="minorHAnsi"/>
        </w:rPr>
        <w:footnoteRef/>
      </w:r>
      <w:r w:rsidRPr="004246E0">
        <w:rPr>
          <w:rFonts w:cstheme="minorHAnsi"/>
        </w:rPr>
        <w:t xml:space="preserve"> </w:t>
      </w:r>
      <w:proofErr w:type="spellStart"/>
      <w:r w:rsidRPr="00872EFC">
        <w:rPr>
          <w:rFonts w:eastAsia="Times New Roman" w:cstheme="minorHAnsi"/>
          <w:szCs w:val="18"/>
          <w:lang w:val="en-US" w:eastAsia="en-AU"/>
        </w:rPr>
        <w:t>Concin</w:t>
      </w:r>
      <w:proofErr w:type="spellEnd"/>
      <w:r w:rsidRPr="00872EFC">
        <w:rPr>
          <w:rFonts w:eastAsia="Times New Roman" w:cstheme="minorHAnsi"/>
          <w:szCs w:val="18"/>
          <w:lang w:val="en-US" w:eastAsia="en-AU"/>
        </w:rPr>
        <w:t xml:space="preserve"> et al., 2025, 'ESGO&amp;#x2013;ESTRO&amp;#x2013;ESP guidelines for the management of patients with endometrial carcinoma: update 2025', </w:t>
      </w:r>
      <w:r w:rsidRPr="00872EFC">
        <w:rPr>
          <w:rFonts w:eastAsia="Times New Roman" w:cstheme="minorHAnsi"/>
          <w:i/>
          <w:iCs/>
          <w:szCs w:val="18"/>
          <w:lang w:val="en-US" w:eastAsia="en-AU"/>
        </w:rPr>
        <w:t>The Lancet Oncology</w:t>
      </w:r>
      <w:r w:rsidRPr="00872EFC">
        <w:rPr>
          <w:rFonts w:eastAsia="Times New Roman" w:cstheme="minorHAnsi"/>
          <w:szCs w:val="18"/>
          <w:lang w:val="en-US" w:eastAsia="en-AU"/>
        </w:rPr>
        <w:t>, vol. 26, no. 8, pp. e423-e35.</w:t>
      </w:r>
    </w:p>
  </w:footnote>
  <w:footnote w:id="7">
    <w:p w14:paraId="70751FD9" w14:textId="141B3684" w:rsidR="00973526" w:rsidRPr="004246E0" w:rsidRDefault="00973526" w:rsidP="008055B5">
      <w:pPr>
        <w:pStyle w:val="FootnoteText"/>
        <w:spacing w:before="0"/>
        <w:rPr>
          <w:rFonts w:cstheme="minorHAnsi"/>
        </w:rPr>
      </w:pPr>
      <w:r w:rsidRPr="004246E0">
        <w:rPr>
          <w:rStyle w:val="FootnoteReference"/>
          <w:rFonts w:cstheme="minorHAnsi"/>
        </w:rPr>
        <w:footnoteRef/>
      </w:r>
      <w:r w:rsidRPr="004246E0">
        <w:rPr>
          <w:rFonts w:cstheme="minorHAnsi"/>
        </w:rPr>
        <w:t xml:space="preserve"> </w:t>
      </w:r>
      <w:r w:rsidR="002B58CB" w:rsidRPr="00872EFC">
        <w:rPr>
          <w:rFonts w:cstheme="minorHAnsi"/>
        </w:rPr>
        <w:t xml:space="preserve">Chen et al., 2024, 'Evaluation of the Accuracy of a Polymerase Chain Reaction-Based Assay for Polymerase </w:t>
      </w:r>
      <w:proofErr w:type="spellStart"/>
      <w:r w:rsidR="002B58CB" w:rsidRPr="00872EFC">
        <w:rPr>
          <w:rFonts w:cstheme="minorHAnsi"/>
        </w:rPr>
        <w:t>Tifilon</w:t>
      </w:r>
      <w:proofErr w:type="spellEnd"/>
      <w:r w:rsidR="002B58CB" w:rsidRPr="00872EFC">
        <w:rPr>
          <w:rFonts w:cstheme="minorHAnsi"/>
        </w:rPr>
        <w:t xml:space="preserve"> Mutation Detection in Endometrial Carcinoma', </w:t>
      </w:r>
      <w:r w:rsidR="002B58CB" w:rsidRPr="00872EFC">
        <w:rPr>
          <w:rFonts w:cstheme="minorHAnsi"/>
          <w:i/>
        </w:rPr>
        <w:t xml:space="preserve">Arch </w:t>
      </w:r>
      <w:proofErr w:type="spellStart"/>
      <w:r w:rsidR="002B58CB" w:rsidRPr="00872EFC">
        <w:rPr>
          <w:rFonts w:cstheme="minorHAnsi"/>
          <w:i/>
        </w:rPr>
        <w:t>Pathol</w:t>
      </w:r>
      <w:proofErr w:type="spellEnd"/>
      <w:r w:rsidR="002B58CB" w:rsidRPr="00872EFC">
        <w:rPr>
          <w:rFonts w:cstheme="minorHAnsi"/>
          <w:i/>
        </w:rPr>
        <w:t xml:space="preserve"> Lab Med</w:t>
      </w:r>
      <w:r w:rsidR="002B58CB" w:rsidRPr="00872EFC">
        <w:rPr>
          <w:rFonts w:cstheme="minorHAnsi"/>
        </w:rPr>
        <w:t>, vol. 148, no. 8, pp. 945-51.</w:t>
      </w:r>
    </w:p>
  </w:footnote>
  <w:footnote w:id="8">
    <w:p w14:paraId="5748BF88" w14:textId="6B5DB31E" w:rsidR="00C2005F" w:rsidRPr="00872EFC" w:rsidRDefault="00C2005F" w:rsidP="008055B5">
      <w:pPr>
        <w:pStyle w:val="EndNoteBibliography"/>
        <w:spacing w:before="0" w:after="0"/>
        <w:rPr>
          <w:rFonts w:asciiTheme="minorHAnsi" w:hAnsiTheme="minorHAnsi" w:cstheme="minorHAnsi"/>
        </w:rPr>
      </w:pPr>
      <w:r w:rsidRPr="00872EFC">
        <w:rPr>
          <w:rStyle w:val="FootnoteReference"/>
          <w:rFonts w:asciiTheme="minorHAnsi" w:hAnsiTheme="minorHAnsi" w:cstheme="minorHAnsi"/>
        </w:rPr>
        <w:footnoteRef/>
      </w:r>
      <w:r w:rsidRPr="00872EFC">
        <w:rPr>
          <w:rFonts w:asciiTheme="minorHAnsi" w:hAnsiTheme="minorHAnsi" w:cstheme="minorHAnsi"/>
        </w:rPr>
        <w:t xml:space="preserve"> Van den Heerik</w:t>
      </w:r>
      <w:r w:rsidR="003F6996" w:rsidRPr="00872EFC">
        <w:rPr>
          <w:rFonts w:asciiTheme="minorHAnsi" w:hAnsiTheme="minorHAnsi" w:cstheme="minorHAnsi"/>
        </w:rPr>
        <w:t xml:space="preserve"> et al., </w:t>
      </w:r>
      <w:r w:rsidRPr="00872EFC">
        <w:rPr>
          <w:rFonts w:asciiTheme="minorHAnsi" w:hAnsiTheme="minorHAnsi" w:cstheme="minorHAnsi"/>
        </w:rPr>
        <w:t>2023, 'Q</w:t>
      </w:r>
      <w:r w:rsidRPr="00872EFC">
        <w:rPr>
          <w:rFonts w:asciiTheme="minorHAnsi" w:hAnsiTheme="minorHAnsi" w:cstheme="minorHAnsi"/>
          <w:i/>
        </w:rPr>
        <w:t>POLE</w:t>
      </w:r>
      <w:r w:rsidRPr="00872EFC">
        <w:rPr>
          <w:rFonts w:asciiTheme="minorHAnsi" w:hAnsiTheme="minorHAnsi" w:cstheme="minorHAnsi"/>
        </w:rPr>
        <w:t xml:space="preserve">: A Quick, Simple, and Cheap Alternative for </w:t>
      </w:r>
      <w:r w:rsidRPr="00872EFC">
        <w:rPr>
          <w:rFonts w:asciiTheme="minorHAnsi" w:hAnsiTheme="minorHAnsi" w:cstheme="minorHAnsi"/>
          <w:i/>
        </w:rPr>
        <w:t>POLE</w:t>
      </w:r>
      <w:r w:rsidRPr="00872EFC">
        <w:rPr>
          <w:rFonts w:asciiTheme="minorHAnsi" w:hAnsiTheme="minorHAnsi" w:cstheme="minorHAnsi"/>
        </w:rPr>
        <w:t xml:space="preserve"> Sequencing in Endometrial Cancer by Multiplex Genotyping Quantitative Polymerase Chain Reaction', </w:t>
      </w:r>
      <w:r w:rsidRPr="00872EFC">
        <w:rPr>
          <w:rFonts w:asciiTheme="minorHAnsi" w:hAnsiTheme="minorHAnsi" w:cstheme="minorHAnsi"/>
          <w:i/>
        </w:rPr>
        <w:t>JCO Glob Oncol</w:t>
      </w:r>
      <w:r w:rsidRPr="00872EFC">
        <w:rPr>
          <w:rFonts w:asciiTheme="minorHAnsi" w:hAnsiTheme="minorHAnsi" w:cstheme="minorHAnsi"/>
        </w:rPr>
        <w:t>, vol. 9, p. e2200384.</w:t>
      </w:r>
    </w:p>
  </w:footnote>
  <w:footnote w:id="9">
    <w:p w14:paraId="74BD0BD2" w14:textId="6B0E2F97" w:rsidR="00D868DE" w:rsidRPr="00872EFC" w:rsidRDefault="00C2005F" w:rsidP="008055B5">
      <w:pPr>
        <w:pStyle w:val="FootnoteText"/>
        <w:spacing w:before="0"/>
        <w:rPr>
          <w:rFonts w:cstheme="minorHAnsi"/>
          <w:lang w:val="en-US"/>
        </w:rPr>
      </w:pPr>
      <w:r w:rsidRPr="00872EFC">
        <w:rPr>
          <w:rStyle w:val="FootnoteReference"/>
          <w:rFonts w:cstheme="minorHAnsi"/>
        </w:rPr>
        <w:footnoteRef/>
      </w:r>
      <w:r w:rsidR="00C01A20" w:rsidRPr="00872EFC">
        <w:rPr>
          <w:rFonts w:cstheme="minorHAnsi"/>
        </w:rPr>
        <w:t xml:space="preserve"> Kim</w:t>
      </w:r>
      <w:r w:rsidR="0079674F" w:rsidRPr="00872EFC">
        <w:rPr>
          <w:rFonts w:cstheme="minorHAnsi"/>
        </w:rPr>
        <w:t xml:space="preserve"> et al., </w:t>
      </w:r>
      <w:r w:rsidR="00C01A20" w:rsidRPr="00872EFC">
        <w:rPr>
          <w:rFonts w:cstheme="minorHAnsi"/>
        </w:rPr>
        <w:t xml:space="preserve">2022, Clinical evaluation of a droplet digital PCR assay for detecting </w:t>
      </w:r>
      <w:r w:rsidR="00C01A20" w:rsidRPr="00872EFC">
        <w:rPr>
          <w:rFonts w:cstheme="minorHAnsi"/>
          <w:i/>
        </w:rPr>
        <w:t>POLE</w:t>
      </w:r>
      <w:r w:rsidR="00C01A20" w:rsidRPr="00872EFC">
        <w:rPr>
          <w:rFonts w:cstheme="minorHAnsi"/>
        </w:rPr>
        <w:t xml:space="preserve"> mutations and molecular classification of endometrial cancer, </w:t>
      </w:r>
      <w:r w:rsidR="00C01A20" w:rsidRPr="00872EFC">
        <w:rPr>
          <w:rFonts w:cstheme="minorHAnsi"/>
          <w:i/>
        </w:rPr>
        <w:t xml:space="preserve">J </w:t>
      </w:r>
      <w:proofErr w:type="spellStart"/>
      <w:r w:rsidR="00C01A20" w:rsidRPr="00872EFC">
        <w:rPr>
          <w:rFonts w:cstheme="minorHAnsi"/>
          <w:i/>
        </w:rPr>
        <w:t>Gynecol</w:t>
      </w:r>
      <w:proofErr w:type="spellEnd"/>
      <w:r w:rsidR="00C01A20" w:rsidRPr="00872EFC">
        <w:rPr>
          <w:rFonts w:cstheme="minorHAnsi"/>
          <w:i/>
        </w:rPr>
        <w:t xml:space="preserve"> Oncol</w:t>
      </w:r>
      <w:r w:rsidR="00C01A20" w:rsidRPr="00872EFC">
        <w:rPr>
          <w:rFonts w:cstheme="minorHAnsi"/>
        </w:rPr>
        <w:t>, vol. 33, no. 2, p. e15</w:t>
      </w:r>
    </w:p>
  </w:footnote>
  <w:footnote w:id="10">
    <w:p w14:paraId="112DB4C1" w14:textId="5222B0F5" w:rsidR="00536FE3" w:rsidRPr="004246E0" w:rsidRDefault="00536FE3" w:rsidP="008055B5">
      <w:pPr>
        <w:pStyle w:val="FootnoteText"/>
        <w:spacing w:before="0"/>
        <w:rPr>
          <w:rFonts w:cstheme="minorHAnsi"/>
        </w:rPr>
      </w:pPr>
      <w:r w:rsidRPr="004246E0">
        <w:rPr>
          <w:rStyle w:val="FootnoteReference"/>
          <w:rFonts w:cstheme="minorHAnsi"/>
        </w:rPr>
        <w:footnoteRef/>
      </w:r>
      <w:r w:rsidRPr="004246E0">
        <w:rPr>
          <w:rFonts w:cstheme="minorHAnsi"/>
        </w:rPr>
        <w:t xml:space="preserve"> </w:t>
      </w:r>
      <w:proofErr w:type="spellStart"/>
      <w:r w:rsidR="00DB05AB" w:rsidRPr="00872EFC">
        <w:rPr>
          <w:rFonts w:cstheme="minorHAnsi"/>
        </w:rPr>
        <w:t>Talhouk</w:t>
      </w:r>
      <w:proofErr w:type="spellEnd"/>
      <w:r w:rsidR="00DB05AB" w:rsidRPr="00872EFC">
        <w:rPr>
          <w:rFonts w:cstheme="minorHAnsi"/>
        </w:rPr>
        <w:t xml:space="preserve"> et al., 2016, 'Molecular classification of endometrial carcinoma on diagnostic specimens is highly concordant with final hysterectomy: Earlier prognostic information to guide treatment', </w:t>
      </w:r>
      <w:proofErr w:type="spellStart"/>
      <w:r w:rsidR="00DB05AB" w:rsidRPr="00872EFC">
        <w:rPr>
          <w:rFonts w:cstheme="minorHAnsi"/>
          <w:i/>
        </w:rPr>
        <w:t>Gynecol</w:t>
      </w:r>
      <w:proofErr w:type="spellEnd"/>
      <w:r w:rsidR="00DB05AB" w:rsidRPr="00872EFC">
        <w:rPr>
          <w:rFonts w:cstheme="minorHAnsi"/>
          <w:i/>
        </w:rPr>
        <w:t xml:space="preserve"> Oncol</w:t>
      </w:r>
      <w:r w:rsidR="00DB05AB" w:rsidRPr="00872EFC">
        <w:rPr>
          <w:rFonts w:cstheme="minorHAnsi"/>
        </w:rPr>
        <w:t>, vol. 143, no. 1, pp. 46-53.</w:t>
      </w:r>
    </w:p>
  </w:footnote>
  <w:footnote w:id="11">
    <w:p w14:paraId="7B65746D" w14:textId="317AC795" w:rsidR="00846CE0" w:rsidRPr="004246E0" w:rsidRDefault="00846CE0" w:rsidP="008055B5">
      <w:pPr>
        <w:pStyle w:val="FootnoteText"/>
        <w:spacing w:before="0"/>
        <w:rPr>
          <w:rFonts w:cstheme="minorHAnsi"/>
        </w:rPr>
      </w:pPr>
      <w:r w:rsidRPr="004246E0">
        <w:rPr>
          <w:rStyle w:val="FootnoteReference"/>
          <w:rFonts w:cstheme="minorHAnsi"/>
        </w:rPr>
        <w:footnoteRef/>
      </w:r>
      <w:r w:rsidRPr="004246E0">
        <w:rPr>
          <w:rFonts w:cstheme="minorHAnsi"/>
        </w:rPr>
        <w:t xml:space="preserve"> </w:t>
      </w:r>
      <w:r w:rsidRPr="00872EFC">
        <w:rPr>
          <w:rFonts w:cstheme="minorHAnsi"/>
          <w:szCs w:val="18"/>
          <w:lang w:val="en-US"/>
        </w:rPr>
        <w:t xml:space="preserve">León-Castillo et al., 2020, 'Molecular Classification of the PORTEC-3 Trial for High-Risk Endometrial Cancer: Impact on Prognosis and Benefit From Adjuvant Therapy', </w:t>
      </w:r>
      <w:r w:rsidRPr="00872EFC">
        <w:rPr>
          <w:rFonts w:cstheme="minorHAnsi"/>
          <w:i/>
          <w:iCs/>
          <w:szCs w:val="18"/>
          <w:lang w:val="en-US"/>
        </w:rPr>
        <w:t>J Clin Oncol</w:t>
      </w:r>
      <w:r w:rsidRPr="00872EFC">
        <w:rPr>
          <w:rFonts w:cstheme="minorHAnsi"/>
          <w:szCs w:val="18"/>
          <w:lang w:val="en-US"/>
        </w:rPr>
        <w:t>, vol. 38, no. 29, pp. 3388-97.</w:t>
      </w:r>
    </w:p>
  </w:footnote>
  <w:footnote w:id="12">
    <w:p w14:paraId="32826F0E" w14:textId="4C0BD45C" w:rsidR="00846CE0" w:rsidRPr="004246E0" w:rsidRDefault="00846CE0" w:rsidP="008055B5">
      <w:pPr>
        <w:pStyle w:val="FootnoteText"/>
        <w:spacing w:before="0"/>
        <w:rPr>
          <w:rFonts w:cstheme="minorHAnsi"/>
        </w:rPr>
      </w:pPr>
      <w:r w:rsidRPr="004246E0">
        <w:rPr>
          <w:rStyle w:val="FootnoteReference"/>
          <w:rFonts w:cstheme="minorHAnsi"/>
        </w:rPr>
        <w:footnoteRef/>
      </w:r>
      <w:r w:rsidRPr="004246E0">
        <w:rPr>
          <w:rFonts w:cstheme="minorHAnsi"/>
        </w:rPr>
        <w:t xml:space="preserve"> </w:t>
      </w:r>
      <w:r w:rsidR="0023661C" w:rsidRPr="00872EFC">
        <w:rPr>
          <w:rFonts w:cstheme="minorHAnsi"/>
          <w:szCs w:val="18"/>
          <w:lang w:val="en-US"/>
        </w:rPr>
        <w:t xml:space="preserve">Post et al., 2025, 'Adjuvant chemoradiotherapy versus radiotherapy alone in women with high-risk endometrial cancer (PORTEC-3): 10-year clinical outcomes and post-hoc analysis by molecular classification from a </w:t>
      </w:r>
      <w:proofErr w:type="spellStart"/>
      <w:r w:rsidR="0023661C" w:rsidRPr="00872EFC">
        <w:rPr>
          <w:rFonts w:cstheme="minorHAnsi"/>
          <w:szCs w:val="18"/>
          <w:lang w:val="en-US"/>
        </w:rPr>
        <w:t>randomised</w:t>
      </w:r>
      <w:proofErr w:type="spellEnd"/>
      <w:r w:rsidR="0023661C" w:rsidRPr="00872EFC">
        <w:rPr>
          <w:rFonts w:cstheme="minorHAnsi"/>
          <w:szCs w:val="18"/>
          <w:lang w:val="en-US"/>
        </w:rPr>
        <w:t xml:space="preserve"> phase 3 trial', </w:t>
      </w:r>
      <w:r w:rsidR="0023661C" w:rsidRPr="00872EFC">
        <w:rPr>
          <w:rFonts w:cstheme="minorHAnsi"/>
          <w:i/>
          <w:iCs/>
          <w:szCs w:val="18"/>
          <w:lang w:val="en-US"/>
        </w:rPr>
        <w:t>Lancet Oncol</w:t>
      </w:r>
      <w:r w:rsidR="0023661C" w:rsidRPr="00872EFC">
        <w:rPr>
          <w:rFonts w:cstheme="minorHAnsi"/>
          <w:szCs w:val="18"/>
          <w:lang w:val="en-US"/>
        </w:rPr>
        <w:t>.</w:t>
      </w:r>
    </w:p>
  </w:footnote>
  <w:footnote w:id="13">
    <w:p w14:paraId="16268784" w14:textId="13DBB25A" w:rsidR="008C25EC" w:rsidRPr="00872EFC" w:rsidRDefault="008C25EC" w:rsidP="008055B5">
      <w:pPr>
        <w:pStyle w:val="EndNoteBibliography"/>
        <w:spacing w:before="0" w:after="0"/>
        <w:rPr>
          <w:rFonts w:asciiTheme="minorHAnsi" w:hAnsiTheme="minorHAnsi" w:cstheme="minorHAnsi"/>
        </w:rPr>
      </w:pPr>
      <w:r w:rsidRPr="00872EFC">
        <w:rPr>
          <w:rStyle w:val="FootnoteReference"/>
          <w:rFonts w:asciiTheme="minorHAnsi" w:hAnsiTheme="minorHAnsi" w:cstheme="minorHAnsi"/>
        </w:rPr>
        <w:footnoteRef/>
      </w:r>
      <w:r w:rsidRPr="00872EFC">
        <w:rPr>
          <w:rFonts w:asciiTheme="minorHAnsi" w:hAnsiTheme="minorHAnsi" w:cstheme="minorHAnsi"/>
        </w:rPr>
        <w:t xml:space="preserve"> Church</w:t>
      </w:r>
      <w:r w:rsidR="000F7587" w:rsidRPr="00872EFC">
        <w:rPr>
          <w:rFonts w:asciiTheme="minorHAnsi" w:hAnsiTheme="minorHAnsi" w:cstheme="minorHAnsi"/>
        </w:rPr>
        <w:t xml:space="preserve"> et al., </w:t>
      </w:r>
      <w:r w:rsidRPr="00872EFC">
        <w:rPr>
          <w:rFonts w:asciiTheme="minorHAnsi" w:hAnsiTheme="minorHAnsi" w:cstheme="minorHAnsi"/>
        </w:rPr>
        <w:t xml:space="preserve">2015, Prognostic significance of </w:t>
      </w:r>
      <w:r w:rsidRPr="00872EFC">
        <w:rPr>
          <w:rFonts w:asciiTheme="minorHAnsi" w:hAnsiTheme="minorHAnsi" w:cstheme="minorHAnsi"/>
          <w:i/>
        </w:rPr>
        <w:t>POLE</w:t>
      </w:r>
      <w:r w:rsidRPr="00872EFC">
        <w:rPr>
          <w:rFonts w:asciiTheme="minorHAnsi" w:hAnsiTheme="minorHAnsi" w:cstheme="minorHAnsi"/>
        </w:rPr>
        <w:t xml:space="preserve"> proofreading mutations in endometrial cancer, </w:t>
      </w:r>
      <w:r w:rsidRPr="00872EFC">
        <w:rPr>
          <w:rFonts w:asciiTheme="minorHAnsi" w:hAnsiTheme="minorHAnsi" w:cstheme="minorHAnsi"/>
          <w:i/>
        </w:rPr>
        <w:t>J Natl Cancer Inst</w:t>
      </w:r>
      <w:r w:rsidRPr="00872EFC">
        <w:rPr>
          <w:rFonts w:asciiTheme="minorHAnsi" w:hAnsiTheme="minorHAnsi" w:cstheme="minorHAnsi"/>
        </w:rPr>
        <w:t>, vol. 107, no. 1, p. 402.</w:t>
      </w:r>
    </w:p>
  </w:footnote>
  <w:footnote w:id="14">
    <w:p w14:paraId="77F59FBD" w14:textId="6D899F11" w:rsidR="008C25EC" w:rsidRPr="00872EFC" w:rsidRDefault="008C25EC" w:rsidP="008055B5">
      <w:pPr>
        <w:pStyle w:val="FootnoteText"/>
        <w:spacing w:before="0"/>
        <w:rPr>
          <w:rFonts w:cstheme="minorHAnsi"/>
          <w:lang w:val="en-US"/>
        </w:rPr>
      </w:pPr>
      <w:r w:rsidRPr="00872EFC">
        <w:rPr>
          <w:rStyle w:val="FootnoteReference"/>
          <w:rFonts w:cstheme="minorHAnsi"/>
        </w:rPr>
        <w:footnoteRef/>
      </w:r>
      <w:r w:rsidRPr="00872EFC">
        <w:rPr>
          <w:rFonts w:cstheme="minorHAnsi"/>
        </w:rPr>
        <w:t xml:space="preserve"> </w:t>
      </w:r>
      <w:proofErr w:type="spellStart"/>
      <w:r w:rsidRPr="00872EFC">
        <w:rPr>
          <w:rFonts w:cstheme="minorHAnsi"/>
        </w:rPr>
        <w:t>Stelloo</w:t>
      </w:r>
      <w:proofErr w:type="spellEnd"/>
      <w:r w:rsidR="000F7587" w:rsidRPr="00872EFC">
        <w:rPr>
          <w:rFonts w:cstheme="minorHAnsi"/>
        </w:rPr>
        <w:t xml:space="preserve"> et al., </w:t>
      </w:r>
      <w:r w:rsidRPr="00872EFC">
        <w:rPr>
          <w:rFonts w:cstheme="minorHAnsi"/>
        </w:rPr>
        <w:t xml:space="preserve">2016, Improved Risk Assessment by Integrating Molecular and Clinicopathological Factors in Early-stage Endometrial Cancer-Combined Analysis of the PORTEC Cohorts, </w:t>
      </w:r>
      <w:r w:rsidRPr="00872EFC">
        <w:rPr>
          <w:rFonts w:cstheme="minorHAnsi"/>
          <w:i/>
        </w:rPr>
        <w:t>Clin Cancer Res</w:t>
      </w:r>
      <w:r w:rsidRPr="00872EFC">
        <w:rPr>
          <w:rFonts w:cstheme="minorHAnsi"/>
        </w:rPr>
        <w:t>, vol. 22, no. 16, pp. 4215-24</w:t>
      </w:r>
      <w:r w:rsidR="00CC4424" w:rsidRPr="00872EFC">
        <w:rPr>
          <w:rFonts w:cstheme="minorHAnsi"/>
        </w:rPr>
        <w:t>.</w:t>
      </w:r>
    </w:p>
  </w:footnote>
  <w:footnote w:id="15">
    <w:p w14:paraId="5295717D" w14:textId="017B56C5" w:rsidR="003E0793" w:rsidRPr="004246E0" w:rsidRDefault="003E0793" w:rsidP="008055B5">
      <w:pPr>
        <w:pStyle w:val="FootnoteText"/>
        <w:spacing w:before="0"/>
        <w:rPr>
          <w:rFonts w:cstheme="minorHAnsi"/>
        </w:rPr>
      </w:pPr>
      <w:r w:rsidRPr="004246E0">
        <w:rPr>
          <w:rStyle w:val="FootnoteReference"/>
          <w:rFonts w:cstheme="minorHAnsi"/>
        </w:rPr>
        <w:footnoteRef/>
      </w:r>
      <w:r w:rsidRPr="004246E0">
        <w:rPr>
          <w:rFonts w:cstheme="minorHAnsi"/>
        </w:rPr>
        <w:t xml:space="preserve"> </w:t>
      </w:r>
      <w:proofErr w:type="spellStart"/>
      <w:r w:rsidR="008B36D3" w:rsidRPr="00872EFC">
        <w:rPr>
          <w:rFonts w:cstheme="minorHAnsi"/>
          <w:szCs w:val="18"/>
          <w:lang w:val="en-US"/>
        </w:rPr>
        <w:t>Horeweg</w:t>
      </w:r>
      <w:proofErr w:type="spellEnd"/>
      <w:r w:rsidR="008B36D3" w:rsidRPr="00872EFC">
        <w:rPr>
          <w:rFonts w:cstheme="minorHAnsi"/>
          <w:szCs w:val="18"/>
          <w:lang w:val="en-US"/>
        </w:rPr>
        <w:t xml:space="preserve"> et al., 2023. Molecular Classification Predicts Response to Radiotherapy in the Randomized PORTEC-1 and PORTEC-2 Trials for Early-Stage Endometrioid Endometrial Cancer. </w:t>
      </w:r>
      <w:r w:rsidR="008B36D3" w:rsidRPr="00B97ACE">
        <w:rPr>
          <w:rFonts w:cstheme="minorHAnsi"/>
          <w:i/>
          <w:iCs/>
          <w:szCs w:val="18"/>
          <w:lang w:val="en-US"/>
        </w:rPr>
        <w:t>J Clin Oncol</w:t>
      </w:r>
      <w:r w:rsidR="008B36D3" w:rsidRPr="00872EFC">
        <w:rPr>
          <w:rFonts w:cstheme="minorHAnsi"/>
          <w:szCs w:val="18"/>
          <w:lang w:val="en-US"/>
        </w:rPr>
        <w:t>. 2023 Sep 20;41(27):4369-4380</w:t>
      </w:r>
    </w:p>
  </w:footnote>
  <w:footnote w:id="16">
    <w:p w14:paraId="0D828256" w14:textId="6A234262" w:rsidR="008055B5" w:rsidRPr="004246E0" w:rsidRDefault="008055B5" w:rsidP="008055B5">
      <w:pPr>
        <w:pStyle w:val="FootnoteText"/>
        <w:spacing w:before="0"/>
        <w:rPr>
          <w:rFonts w:cstheme="minorHAnsi"/>
        </w:rPr>
      </w:pPr>
      <w:r w:rsidRPr="004246E0">
        <w:rPr>
          <w:rStyle w:val="FootnoteReference"/>
          <w:rFonts w:cstheme="minorHAnsi"/>
        </w:rPr>
        <w:footnoteRef/>
      </w:r>
      <w:r w:rsidRPr="004246E0">
        <w:rPr>
          <w:rFonts w:cstheme="minorHAnsi"/>
        </w:rPr>
        <w:t xml:space="preserve"> </w:t>
      </w:r>
      <w:r w:rsidRPr="00872EFC">
        <w:rPr>
          <w:rFonts w:cstheme="minorHAnsi"/>
          <w:szCs w:val="18"/>
          <w:lang w:val="en-US"/>
        </w:rPr>
        <w:t xml:space="preserve">McAlpine et al., 2021, 'Evaluation of treatment effects in patients with endometrial cancer and </w:t>
      </w:r>
      <w:r w:rsidRPr="00872EFC">
        <w:rPr>
          <w:rFonts w:cstheme="minorHAnsi"/>
          <w:i/>
          <w:iCs/>
          <w:szCs w:val="18"/>
          <w:lang w:val="en-US"/>
        </w:rPr>
        <w:t>POLE</w:t>
      </w:r>
      <w:r w:rsidRPr="00872EFC">
        <w:rPr>
          <w:rFonts w:cstheme="minorHAnsi"/>
          <w:szCs w:val="18"/>
          <w:lang w:val="en-US"/>
        </w:rPr>
        <w:t xml:space="preserve"> mutations: An individual patient data meta-analysis', </w:t>
      </w:r>
      <w:r w:rsidRPr="00872EFC">
        <w:rPr>
          <w:rFonts w:cstheme="minorHAnsi"/>
          <w:i/>
          <w:iCs/>
          <w:szCs w:val="18"/>
          <w:lang w:val="en-US"/>
        </w:rPr>
        <w:t>Cancer</w:t>
      </w:r>
      <w:r w:rsidRPr="00872EFC">
        <w:rPr>
          <w:rFonts w:cstheme="minorHAnsi"/>
          <w:szCs w:val="18"/>
          <w:lang w:val="en-US"/>
        </w:rPr>
        <w:t>, vol. 127, no. 14, pp. 2409-22</w:t>
      </w:r>
    </w:p>
  </w:footnote>
  <w:footnote w:id="17">
    <w:p w14:paraId="184AEABF" w14:textId="0CF04902" w:rsidR="00FF6DA9" w:rsidRPr="00872EFC" w:rsidRDefault="00FF6DA9" w:rsidP="00E36073">
      <w:pPr>
        <w:pStyle w:val="FootnoteText"/>
        <w:spacing w:before="0"/>
        <w:rPr>
          <w:rFonts w:cstheme="minorHAnsi"/>
          <w:lang w:val="en-US"/>
        </w:rPr>
      </w:pPr>
      <w:r w:rsidRPr="00872EFC">
        <w:rPr>
          <w:rStyle w:val="FootnoteReference"/>
          <w:rFonts w:cstheme="minorHAnsi"/>
        </w:rPr>
        <w:footnoteRef/>
      </w:r>
      <w:r w:rsidRPr="00872EFC">
        <w:rPr>
          <w:rFonts w:cstheme="minorHAnsi"/>
        </w:rPr>
        <w:t xml:space="preserve"> Nout et al., 2010. Vaginal brachytherapy versus pelvic external beam radiotherapy for patients with endometrial cancer of high-intermediate risk (PORTEC-2): an open-label, non-inferiority, randomised trial. </w:t>
      </w:r>
      <w:r w:rsidRPr="00B97ACE">
        <w:rPr>
          <w:rFonts w:cstheme="minorHAnsi"/>
          <w:i/>
          <w:iCs/>
        </w:rPr>
        <w:t>Lancet</w:t>
      </w:r>
      <w:r w:rsidRPr="00872EFC">
        <w:rPr>
          <w:rFonts w:cstheme="minorHAnsi"/>
        </w:rPr>
        <w:t>. 2010 Mar 6;375(9717):816-23.</w:t>
      </w:r>
    </w:p>
  </w:footnote>
  <w:footnote w:id="18">
    <w:p w14:paraId="1CA63C01" w14:textId="634F8697" w:rsidR="001B2258" w:rsidRPr="00E36073" w:rsidRDefault="001B2258" w:rsidP="00E36073">
      <w:pPr>
        <w:pStyle w:val="FootnoteText"/>
        <w:spacing w:before="0"/>
        <w:rPr>
          <w:lang w:val="en-US"/>
        </w:rPr>
      </w:pPr>
      <w:r w:rsidRPr="00872EFC">
        <w:rPr>
          <w:rStyle w:val="FootnoteReference"/>
          <w:rFonts w:cstheme="minorHAnsi"/>
        </w:rPr>
        <w:footnoteRef/>
      </w:r>
      <w:r w:rsidRPr="00872EFC">
        <w:rPr>
          <w:rFonts w:cstheme="minorHAnsi"/>
        </w:rPr>
        <w:t xml:space="preserve"> </w:t>
      </w:r>
      <w:r w:rsidR="0082488A" w:rsidRPr="00872EFC">
        <w:rPr>
          <w:rFonts w:cstheme="minorHAnsi"/>
        </w:rPr>
        <w:t xml:space="preserve">Creutzberg </w:t>
      </w:r>
      <w:r w:rsidR="00FF6DA9" w:rsidRPr="00872EFC">
        <w:rPr>
          <w:rFonts w:cstheme="minorHAnsi"/>
        </w:rPr>
        <w:t>et al., 2000</w:t>
      </w:r>
      <w:r w:rsidR="0082488A" w:rsidRPr="00872EFC">
        <w:rPr>
          <w:rFonts w:cstheme="minorHAnsi"/>
        </w:rPr>
        <w:t xml:space="preserve">. Surgery and postoperative radiotherapy versus surgery alone for patients with stage-1 endometrial carcinoma: multicentre randomised trial. PORTEC Study Group. Post Operative Radiation Therapy in Endometrial Carcinoma. </w:t>
      </w:r>
      <w:r w:rsidR="0082488A" w:rsidRPr="00B97ACE">
        <w:rPr>
          <w:rFonts w:cstheme="minorHAnsi"/>
          <w:i/>
          <w:iCs/>
        </w:rPr>
        <w:t>Lancet.</w:t>
      </w:r>
      <w:r w:rsidR="0082488A" w:rsidRPr="00872EFC">
        <w:rPr>
          <w:rFonts w:cstheme="minorHAnsi"/>
        </w:rPr>
        <w:t xml:space="preserve"> 2000 Apr 22;355(9213):1404-11.</w:t>
      </w:r>
    </w:p>
  </w:footnote>
  <w:footnote w:id="19">
    <w:p w14:paraId="1AD47829" w14:textId="77777777" w:rsidR="00743502" w:rsidRPr="002F78D0" w:rsidRDefault="00743502" w:rsidP="00E36073">
      <w:pPr>
        <w:pStyle w:val="FootnoteText"/>
        <w:spacing w:before="0"/>
        <w:rPr>
          <w:rFonts w:ascii="Arial Narrow" w:hAnsi="Arial Narrow"/>
          <w:lang w:val="en-US"/>
        </w:rPr>
      </w:pPr>
      <w:r w:rsidRPr="00872EFC">
        <w:rPr>
          <w:rStyle w:val="FootnoteReference"/>
          <w:rFonts w:cstheme="minorHAnsi"/>
        </w:rPr>
        <w:footnoteRef/>
      </w:r>
      <w:r w:rsidRPr="00872EFC">
        <w:rPr>
          <w:rFonts w:cstheme="minorHAnsi"/>
        </w:rPr>
        <w:t xml:space="preserve"> </w:t>
      </w:r>
      <w:hyperlink r:id="rId3" w:history="1">
        <w:r w:rsidRPr="00872EFC">
          <w:rPr>
            <w:rStyle w:val="Hyperlink"/>
            <w:rFonts w:cstheme="minorHAnsi"/>
          </w:rPr>
          <w:t>https://user-swndwmf.cld.bz/ESTRO-2025-Abstract-Book/4431/</w:t>
        </w:r>
      </w:hyperlink>
      <w:r w:rsidRPr="00872EFC">
        <w:rPr>
          <w:rFonts w:cstheme="minorHAnsi"/>
        </w:rPr>
        <w:t xml:space="preserve"> (Accessed 24 November 2025).</w:t>
      </w:r>
    </w:p>
  </w:footnote>
  <w:footnote w:id="20">
    <w:p w14:paraId="1B211C8C" w14:textId="720A048A" w:rsidR="00E53F01" w:rsidRDefault="00E53F01">
      <w:pPr>
        <w:pStyle w:val="FootnoteText"/>
      </w:pPr>
      <w:r>
        <w:rPr>
          <w:rStyle w:val="FootnoteReference"/>
        </w:rPr>
        <w:footnoteRef/>
      </w:r>
      <w:r>
        <w:t xml:space="preserve"> </w:t>
      </w:r>
      <w:r w:rsidRPr="00872EFC">
        <w:rPr>
          <w:rFonts w:cstheme="minorHAnsi"/>
        </w:rPr>
        <w:t xml:space="preserve">NCCN 2025, 'NCCN Clinical Practice Guidelines in Oncology: Uterine Neoplasms, version 3.2025', </w:t>
      </w:r>
      <w:r w:rsidRPr="00872EFC">
        <w:rPr>
          <w:rFonts w:cstheme="minorHAnsi"/>
          <w:i/>
          <w:iCs/>
        </w:rPr>
        <w:t>National Comprehensive Cancer Network.</w:t>
      </w:r>
    </w:p>
  </w:footnote>
  <w:footnote w:id="21">
    <w:p w14:paraId="31CD225B" w14:textId="77777777" w:rsidR="006A370E" w:rsidRPr="000459E8" w:rsidRDefault="006A370E" w:rsidP="006A370E">
      <w:pPr>
        <w:pStyle w:val="FootnoteText"/>
        <w:rPr>
          <w:lang w:val="en-US"/>
        </w:rPr>
      </w:pPr>
      <w:r>
        <w:rPr>
          <w:rStyle w:val="FootnoteReference"/>
        </w:rPr>
        <w:footnoteRef/>
      </w:r>
      <w:r>
        <w:t xml:space="preserve"> </w:t>
      </w:r>
      <w:r w:rsidRPr="000459E8">
        <w:t xml:space="preserve">Ao </w:t>
      </w:r>
      <w:r>
        <w:t>et al</w:t>
      </w:r>
      <w:r w:rsidRPr="000459E8">
        <w:t xml:space="preserve">. Efficacy and Toxicity of Adjuvant Therapies for High-Risk Endometrial Cancer in Stage I-III: A Systematic Review and Network Meta-Analysis. </w:t>
      </w:r>
      <w:r w:rsidRPr="009C1B3E">
        <w:rPr>
          <w:i/>
          <w:iCs/>
        </w:rPr>
        <w:t>Med Sci Monit</w:t>
      </w:r>
      <w:r w:rsidRPr="000459E8">
        <w:t xml:space="preserve">. 2020 Sep 20;26:e925595. </w:t>
      </w:r>
      <w:proofErr w:type="spellStart"/>
      <w:r w:rsidRPr="000459E8">
        <w:t>doi</w:t>
      </w:r>
      <w:proofErr w:type="spellEnd"/>
      <w:r w:rsidRPr="000459E8">
        <w:t xml:space="preserve">: 10.12659/MSM.925595. Erratum in: </w:t>
      </w:r>
      <w:r w:rsidRPr="00B97ACE">
        <w:rPr>
          <w:i/>
          <w:iCs/>
        </w:rPr>
        <w:t>Med Sci Monit.</w:t>
      </w:r>
      <w:r w:rsidRPr="000459E8">
        <w:t xml:space="preserve"> 2022 Jun 08;28:e937457. </w:t>
      </w:r>
      <w:proofErr w:type="spellStart"/>
      <w:r w:rsidRPr="000459E8">
        <w:t>doi</w:t>
      </w:r>
      <w:proofErr w:type="spellEnd"/>
      <w:r w:rsidRPr="000459E8">
        <w:t>: 10.12659/MSM.937457.</w:t>
      </w:r>
    </w:p>
  </w:footnote>
  <w:footnote w:id="22">
    <w:p w14:paraId="777B31B0" w14:textId="57F956AD" w:rsidR="00805E5E" w:rsidRPr="00872EFC" w:rsidRDefault="00805E5E" w:rsidP="00E36073">
      <w:pPr>
        <w:pStyle w:val="FootnoteText"/>
        <w:spacing w:before="0"/>
        <w:rPr>
          <w:rFonts w:cstheme="minorHAnsi"/>
          <w:lang w:val="en-US"/>
        </w:rPr>
      </w:pPr>
      <w:r w:rsidRPr="00872EFC">
        <w:rPr>
          <w:rStyle w:val="FootnoteReference"/>
          <w:rFonts w:cstheme="minorHAnsi"/>
        </w:rPr>
        <w:footnoteRef/>
      </w:r>
      <w:r w:rsidRPr="00872EFC">
        <w:rPr>
          <w:rFonts w:cstheme="minorHAnsi"/>
        </w:rPr>
        <w:t xml:space="preserve"> </w:t>
      </w:r>
      <w:r w:rsidR="00CE5328" w:rsidRPr="00872EFC">
        <w:rPr>
          <w:rFonts w:cstheme="minorHAnsi"/>
        </w:rPr>
        <w:t xml:space="preserve">de Boer et al., 2016, 'Toxicity and quality of life after adjuvant chemoradiotherapy versus radiotherapy alone for women with high-risk endometrial cancer (PORTEC-3): an open-label, multicentre, randomised, phase 3 trial', </w:t>
      </w:r>
      <w:r w:rsidR="00CE5328" w:rsidRPr="00872EFC">
        <w:rPr>
          <w:rFonts w:cstheme="minorHAnsi"/>
          <w:i/>
        </w:rPr>
        <w:t>Lancet Oncol</w:t>
      </w:r>
      <w:r w:rsidR="00CE5328" w:rsidRPr="00872EFC">
        <w:rPr>
          <w:rFonts w:cstheme="minorHAnsi"/>
        </w:rPr>
        <w:t>, vol. 17, no. 8, pp. 1114-26</w:t>
      </w:r>
    </w:p>
  </w:footnote>
  <w:footnote w:id="23">
    <w:p w14:paraId="43AE16C9" w14:textId="7C7EDB06" w:rsidR="0088637F" w:rsidRPr="00872EFC" w:rsidRDefault="0088637F">
      <w:pPr>
        <w:pStyle w:val="FootnoteText"/>
        <w:rPr>
          <w:rFonts w:cstheme="minorHAnsi"/>
          <w:lang w:val="en-US"/>
        </w:rPr>
      </w:pPr>
      <w:r w:rsidRPr="00872EFC">
        <w:rPr>
          <w:rStyle w:val="FootnoteReference"/>
          <w:rFonts w:cstheme="minorHAnsi"/>
        </w:rPr>
        <w:footnoteRef/>
      </w:r>
      <w:r w:rsidRPr="00872EFC">
        <w:rPr>
          <w:rFonts w:cstheme="minorHAnsi"/>
        </w:rPr>
        <w:t xml:space="preserve"> de Boer, SM, </w:t>
      </w:r>
      <w:r w:rsidR="00426586" w:rsidRPr="00872EFC">
        <w:rPr>
          <w:rFonts w:cstheme="minorHAnsi"/>
        </w:rPr>
        <w:t>et al</w:t>
      </w:r>
      <w:r w:rsidRPr="00872EFC">
        <w:rPr>
          <w:rFonts w:cstheme="minorHAnsi"/>
        </w:rPr>
        <w:t xml:space="preserve"> 2015, 'Long-Term Impact of Endometrial Cancer Diagnosis and Treatment on Health-Related Quality of Life and Cancer Survivorship: Results From the Randomized PORTEC-2 Trial', </w:t>
      </w:r>
      <w:r w:rsidRPr="00B97ACE">
        <w:rPr>
          <w:rFonts w:cstheme="minorHAnsi"/>
          <w:i/>
          <w:iCs/>
        </w:rPr>
        <w:t xml:space="preserve">Int J </w:t>
      </w:r>
      <w:proofErr w:type="spellStart"/>
      <w:r w:rsidRPr="00B97ACE">
        <w:rPr>
          <w:rFonts w:cstheme="minorHAnsi"/>
          <w:i/>
          <w:iCs/>
        </w:rPr>
        <w:t>Radiat</w:t>
      </w:r>
      <w:proofErr w:type="spellEnd"/>
      <w:r w:rsidRPr="00B97ACE">
        <w:rPr>
          <w:rFonts w:cstheme="minorHAnsi"/>
          <w:i/>
          <w:iCs/>
        </w:rPr>
        <w:t xml:space="preserve"> Oncol Biol Phys</w:t>
      </w:r>
      <w:r w:rsidRPr="00872EFC">
        <w:rPr>
          <w:rFonts w:cstheme="minorHAnsi"/>
        </w:rPr>
        <w:t>, vol. 93, no. 4, pp. 797-809.</w:t>
      </w:r>
    </w:p>
  </w:footnote>
  <w:footnote w:id="24">
    <w:p w14:paraId="57A82707" w14:textId="4C6F7885" w:rsidR="008F6ED6" w:rsidRPr="00872EFC" w:rsidRDefault="008F6ED6">
      <w:pPr>
        <w:pStyle w:val="FootnoteText"/>
        <w:rPr>
          <w:rFonts w:cstheme="minorHAnsi"/>
          <w:lang w:val="en-US"/>
        </w:rPr>
      </w:pPr>
      <w:r w:rsidRPr="00872EFC">
        <w:rPr>
          <w:rStyle w:val="FootnoteReference"/>
          <w:rFonts w:cstheme="minorHAnsi"/>
        </w:rPr>
        <w:footnoteRef/>
      </w:r>
      <w:r w:rsidRPr="00872EFC">
        <w:rPr>
          <w:rFonts w:cstheme="minorHAnsi"/>
        </w:rPr>
        <w:t xml:space="preserve"> Nout, RA, </w:t>
      </w:r>
      <w:r w:rsidR="00426586" w:rsidRPr="00872EFC">
        <w:rPr>
          <w:rFonts w:cstheme="minorHAnsi"/>
        </w:rPr>
        <w:t>et al</w:t>
      </w:r>
      <w:r w:rsidRPr="00872EFC">
        <w:rPr>
          <w:rFonts w:cstheme="minorHAnsi"/>
        </w:rPr>
        <w:t xml:space="preserve"> 2011, 'Long-term outcome and quality of life of patients with endometrial carcinoma treated with or without pelvic radiotherapy in the post operative radiation therapy in endometrial carcinoma 1 (PORTEC-1) trial', </w:t>
      </w:r>
      <w:r w:rsidRPr="00B97ACE">
        <w:rPr>
          <w:rFonts w:cstheme="minorHAnsi"/>
          <w:i/>
          <w:iCs/>
        </w:rPr>
        <w:t>J Clin Oncol</w:t>
      </w:r>
      <w:r w:rsidRPr="00872EFC">
        <w:rPr>
          <w:rFonts w:cstheme="minorHAnsi"/>
        </w:rPr>
        <w:t>, vol. 29, no. 13, pp. 1692-700.</w:t>
      </w:r>
    </w:p>
  </w:footnote>
  <w:footnote w:id="25">
    <w:p w14:paraId="7944033F" w14:textId="6B6F6061" w:rsidR="008F6ED6" w:rsidRPr="00C10C68" w:rsidRDefault="008F6ED6">
      <w:pPr>
        <w:pStyle w:val="FootnoteText"/>
        <w:rPr>
          <w:lang w:val="en-US"/>
        </w:rPr>
      </w:pPr>
      <w:r w:rsidRPr="00872EFC">
        <w:rPr>
          <w:rStyle w:val="FootnoteReference"/>
          <w:rFonts w:cstheme="minorHAnsi"/>
        </w:rPr>
        <w:footnoteRef/>
      </w:r>
      <w:r w:rsidRPr="00872EFC">
        <w:rPr>
          <w:rFonts w:cstheme="minorHAnsi"/>
        </w:rPr>
        <w:t xml:space="preserve"> Post, CCB, </w:t>
      </w:r>
      <w:r w:rsidR="00426586" w:rsidRPr="00872EFC">
        <w:rPr>
          <w:rFonts w:cstheme="minorHAnsi"/>
        </w:rPr>
        <w:t xml:space="preserve">et al </w:t>
      </w:r>
      <w:r w:rsidRPr="00872EFC">
        <w:rPr>
          <w:rFonts w:cstheme="minorHAnsi"/>
        </w:rPr>
        <w:t xml:space="preserve">2021, 'Long-Term Toxicity and Health-Related Quality of Life After Adjuvant Chemoradiation Therapy or Radiation Therapy Alone for High-Risk Endometrial Cancer in the Randomized PORTEC-3 Trial', </w:t>
      </w:r>
      <w:r w:rsidRPr="00872EFC">
        <w:rPr>
          <w:rFonts w:cstheme="minorHAnsi"/>
          <w:i/>
          <w:iCs/>
        </w:rPr>
        <w:t xml:space="preserve">Int J </w:t>
      </w:r>
      <w:proofErr w:type="spellStart"/>
      <w:r w:rsidRPr="00872EFC">
        <w:rPr>
          <w:rFonts w:cstheme="minorHAnsi"/>
          <w:i/>
          <w:iCs/>
        </w:rPr>
        <w:t>Radiat</w:t>
      </w:r>
      <w:proofErr w:type="spellEnd"/>
      <w:r w:rsidRPr="00872EFC">
        <w:rPr>
          <w:rFonts w:cstheme="minorHAnsi"/>
          <w:i/>
          <w:iCs/>
        </w:rPr>
        <w:t xml:space="preserve"> Oncol Biol Phys</w:t>
      </w:r>
      <w:r w:rsidRPr="00872EFC">
        <w:rPr>
          <w:rFonts w:cstheme="minorHAnsi"/>
        </w:rPr>
        <w:t>, vol. 109, no. 4, pp. 975-86.</w:t>
      </w:r>
    </w:p>
  </w:footnote>
  <w:footnote w:id="26">
    <w:p w14:paraId="25420730" w14:textId="2AD14FD1" w:rsidR="00563C04" w:rsidRPr="00872EFC" w:rsidRDefault="00563C04" w:rsidP="009C1B3E">
      <w:pPr>
        <w:pStyle w:val="EndNoteBibliography"/>
        <w:rPr>
          <w:rFonts w:asciiTheme="minorHAnsi" w:hAnsiTheme="minorHAnsi" w:cstheme="minorHAnsi"/>
        </w:rPr>
      </w:pPr>
      <w:r w:rsidRPr="00872EFC">
        <w:rPr>
          <w:rStyle w:val="FootnoteReference"/>
          <w:rFonts w:asciiTheme="minorHAnsi" w:hAnsiTheme="minorHAnsi" w:cstheme="minorHAnsi"/>
        </w:rPr>
        <w:footnoteRef/>
      </w:r>
      <w:r w:rsidRPr="00872EFC">
        <w:rPr>
          <w:rFonts w:asciiTheme="minorHAnsi" w:hAnsiTheme="minorHAnsi" w:cstheme="minorHAnsi"/>
        </w:rPr>
        <w:t xml:space="preserve"> </w:t>
      </w:r>
      <w:r w:rsidR="00A35068" w:rsidRPr="00872EFC">
        <w:rPr>
          <w:rFonts w:asciiTheme="minorHAnsi" w:hAnsiTheme="minorHAnsi" w:cstheme="minorHAnsi"/>
        </w:rPr>
        <w:t xml:space="preserve">Orellana, TJ, </w:t>
      </w:r>
      <w:r w:rsidR="00426586" w:rsidRPr="00872EFC">
        <w:rPr>
          <w:rFonts w:asciiTheme="minorHAnsi" w:hAnsiTheme="minorHAnsi" w:cstheme="minorHAnsi"/>
        </w:rPr>
        <w:t xml:space="preserve">et al </w:t>
      </w:r>
      <w:r w:rsidR="00A35068" w:rsidRPr="00872EFC">
        <w:rPr>
          <w:rFonts w:asciiTheme="minorHAnsi" w:hAnsiTheme="minorHAnsi" w:cstheme="minorHAnsi"/>
        </w:rPr>
        <w:t xml:space="preserve">2022, 'Cost-effectiveness analysis of tumor molecular classification in high-risk early-stage endometrial cancer', </w:t>
      </w:r>
      <w:r w:rsidR="00A35068" w:rsidRPr="00872EFC">
        <w:rPr>
          <w:rFonts w:asciiTheme="minorHAnsi" w:hAnsiTheme="minorHAnsi" w:cstheme="minorHAnsi"/>
          <w:i/>
        </w:rPr>
        <w:t>Gynecol Oncol</w:t>
      </w:r>
      <w:r w:rsidR="00A35068" w:rsidRPr="00872EFC">
        <w:rPr>
          <w:rFonts w:asciiTheme="minorHAnsi" w:hAnsiTheme="minorHAnsi" w:cstheme="minorHAnsi"/>
        </w:rPr>
        <w:t>, vol. 164, no. 1, pp. 129-35.</w:t>
      </w:r>
    </w:p>
  </w:footnote>
  <w:footnote w:id="27">
    <w:p w14:paraId="44F4BCC3" w14:textId="3AEFD207" w:rsidR="00675E44" w:rsidRPr="00872EFC" w:rsidRDefault="00675E44" w:rsidP="00675E44">
      <w:pPr>
        <w:pStyle w:val="EndNoteBibliography"/>
        <w:rPr>
          <w:rFonts w:asciiTheme="minorHAnsi" w:hAnsiTheme="minorHAnsi" w:cstheme="minorHAnsi"/>
        </w:rPr>
      </w:pPr>
      <w:r w:rsidRPr="00872EFC">
        <w:rPr>
          <w:rStyle w:val="FootnoteReference"/>
          <w:rFonts w:asciiTheme="minorHAnsi" w:hAnsiTheme="minorHAnsi" w:cstheme="minorHAnsi"/>
        </w:rPr>
        <w:footnoteRef/>
      </w:r>
      <w:r w:rsidRPr="00872EFC">
        <w:rPr>
          <w:rFonts w:asciiTheme="minorHAnsi" w:hAnsiTheme="minorHAnsi" w:cstheme="minorHAnsi"/>
        </w:rPr>
        <w:t xml:space="preserve"> Orellana, TJ</w:t>
      </w:r>
      <w:r w:rsidR="00426586" w:rsidRPr="00872EFC">
        <w:rPr>
          <w:rFonts w:asciiTheme="minorHAnsi" w:hAnsiTheme="minorHAnsi" w:cstheme="minorHAnsi"/>
        </w:rPr>
        <w:t xml:space="preserve">et al </w:t>
      </w:r>
      <w:r w:rsidRPr="00872EFC">
        <w:rPr>
          <w:rFonts w:asciiTheme="minorHAnsi" w:hAnsiTheme="minorHAnsi" w:cstheme="minorHAnsi"/>
        </w:rPr>
        <w:t xml:space="preserve"> 2023, 'Cost-effectiveness analysis of tumor molecular testing in stage III endometrial cancer', </w:t>
      </w:r>
      <w:r w:rsidRPr="00872EFC">
        <w:rPr>
          <w:rFonts w:asciiTheme="minorHAnsi" w:hAnsiTheme="minorHAnsi" w:cstheme="minorHAnsi"/>
          <w:i/>
        </w:rPr>
        <w:t>Gynecol Oncol</w:t>
      </w:r>
      <w:r w:rsidRPr="00872EFC">
        <w:rPr>
          <w:rFonts w:asciiTheme="minorHAnsi" w:hAnsiTheme="minorHAnsi" w:cstheme="minorHAnsi"/>
        </w:rPr>
        <w:t>, vol. 173, pp. 81-7.</w:t>
      </w:r>
    </w:p>
    <w:p w14:paraId="43CF4D9D" w14:textId="7BFA52B0" w:rsidR="00675E44" w:rsidRDefault="00675E44">
      <w:pPr>
        <w:pStyle w:val="FootnoteText"/>
      </w:pPr>
    </w:p>
  </w:footnote>
  <w:footnote w:id="28">
    <w:p w14:paraId="061112EA" w14:textId="1D592CDD" w:rsidR="00563D04" w:rsidRPr="00872EFC" w:rsidRDefault="00563D04">
      <w:pPr>
        <w:pStyle w:val="FootnoteText"/>
        <w:rPr>
          <w:rFonts w:cstheme="minorHAnsi"/>
          <w:lang w:val="en-US"/>
        </w:rPr>
      </w:pPr>
      <w:r w:rsidRPr="00872EFC">
        <w:rPr>
          <w:rStyle w:val="FootnoteReference"/>
          <w:rFonts w:cstheme="minorHAnsi"/>
        </w:rPr>
        <w:footnoteRef/>
      </w:r>
      <w:r w:rsidRPr="00872EFC">
        <w:rPr>
          <w:rFonts w:cstheme="minorHAnsi"/>
        </w:rPr>
        <w:t xml:space="preserve"> </w:t>
      </w:r>
      <w:r w:rsidR="00377577" w:rsidRPr="00872EFC">
        <w:rPr>
          <w:rFonts w:cstheme="minorHAnsi"/>
        </w:rPr>
        <w:t xml:space="preserve">Tsolakidis, D, </w:t>
      </w:r>
      <w:r w:rsidR="00426586" w:rsidRPr="00872EFC">
        <w:rPr>
          <w:rFonts w:cstheme="minorHAnsi"/>
        </w:rPr>
        <w:t xml:space="preserve">et al </w:t>
      </w:r>
      <w:r w:rsidR="00377577" w:rsidRPr="00872EFC">
        <w:rPr>
          <w:rFonts w:cstheme="minorHAnsi"/>
        </w:rPr>
        <w:t xml:space="preserve">2024, 'External Validation of the New 2023 International Federation of </w:t>
      </w:r>
      <w:proofErr w:type="spellStart"/>
      <w:r w:rsidR="00377577" w:rsidRPr="00872EFC">
        <w:rPr>
          <w:rFonts w:cstheme="minorHAnsi"/>
        </w:rPr>
        <w:t>Gynecology</w:t>
      </w:r>
      <w:proofErr w:type="spellEnd"/>
      <w:r w:rsidR="00377577" w:rsidRPr="00872EFC">
        <w:rPr>
          <w:rFonts w:cstheme="minorHAnsi"/>
        </w:rPr>
        <w:t xml:space="preserve"> and Obstetrics Staging System in Endometrial Cancer Patients: 12-Year Experience from an European Society of </w:t>
      </w:r>
      <w:proofErr w:type="spellStart"/>
      <w:r w:rsidR="00377577" w:rsidRPr="00872EFC">
        <w:rPr>
          <w:rFonts w:cstheme="minorHAnsi"/>
        </w:rPr>
        <w:t>Gynecological</w:t>
      </w:r>
      <w:proofErr w:type="spellEnd"/>
      <w:r w:rsidR="00377577" w:rsidRPr="00872EFC">
        <w:rPr>
          <w:rFonts w:cstheme="minorHAnsi"/>
        </w:rPr>
        <w:t xml:space="preserve"> Oncology-Accredited </w:t>
      </w:r>
      <w:proofErr w:type="spellStart"/>
      <w:r w:rsidR="00377577" w:rsidRPr="00872EFC">
        <w:rPr>
          <w:rFonts w:cstheme="minorHAnsi"/>
        </w:rPr>
        <w:t>Center</w:t>
      </w:r>
      <w:proofErr w:type="spellEnd"/>
      <w:r w:rsidR="00377577" w:rsidRPr="00872EFC">
        <w:rPr>
          <w:rFonts w:cstheme="minorHAnsi"/>
        </w:rPr>
        <w:t xml:space="preserve">', </w:t>
      </w:r>
      <w:r w:rsidR="00377577" w:rsidRPr="00872EFC">
        <w:rPr>
          <w:rFonts w:cstheme="minorHAnsi"/>
          <w:i/>
          <w:iCs/>
        </w:rPr>
        <w:t>Medicina (Kaunas)</w:t>
      </w:r>
      <w:r w:rsidR="00377577" w:rsidRPr="00872EFC">
        <w:rPr>
          <w:rFonts w:cstheme="minorHAnsi"/>
        </w:rPr>
        <w:t>, vol. 60, no. 9.</w:t>
      </w:r>
    </w:p>
  </w:footnote>
  <w:footnote w:id="29">
    <w:p w14:paraId="08A29D17" w14:textId="011AD75B" w:rsidR="00377577" w:rsidRPr="00872EFC" w:rsidRDefault="00377577">
      <w:pPr>
        <w:pStyle w:val="FootnoteText"/>
        <w:rPr>
          <w:rFonts w:cstheme="minorHAnsi"/>
          <w:lang w:val="en-US"/>
        </w:rPr>
      </w:pPr>
      <w:r w:rsidRPr="00872EFC">
        <w:rPr>
          <w:rStyle w:val="FootnoteReference"/>
          <w:rFonts w:cstheme="minorHAnsi"/>
        </w:rPr>
        <w:footnoteRef/>
      </w:r>
      <w:r w:rsidRPr="00872EFC">
        <w:rPr>
          <w:rFonts w:cstheme="minorHAnsi"/>
        </w:rPr>
        <w:t xml:space="preserve"> Talhouk, A, </w:t>
      </w:r>
      <w:r w:rsidR="00426586" w:rsidRPr="00872EFC">
        <w:rPr>
          <w:rFonts w:cstheme="minorHAnsi"/>
        </w:rPr>
        <w:t>et al</w:t>
      </w:r>
      <w:r w:rsidRPr="00872EFC">
        <w:rPr>
          <w:rFonts w:cstheme="minorHAnsi"/>
        </w:rPr>
        <w:t xml:space="preserve"> 2017, 'Confirmation of </w:t>
      </w:r>
      <w:proofErr w:type="spellStart"/>
      <w:r w:rsidRPr="00872EFC">
        <w:rPr>
          <w:rFonts w:cstheme="minorHAnsi"/>
        </w:rPr>
        <w:t>ProMisE</w:t>
      </w:r>
      <w:proofErr w:type="spellEnd"/>
      <w:r w:rsidRPr="00872EFC">
        <w:rPr>
          <w:rFonts w:cstheme="minorHAnsi"/>
        </w:rPr>
        <w:t xml:space="preserve">: A simple, genomics-based clinical classifier for endometrial cancer', </w:t>
      </w:r>
      <w:r w:rsidRPr="00872EFC">
        <w:rPr>
          <w:rFonts w:cstheme="minorHAnsi"/>
          <w:i/>
          <w:iCs/>
        </w:rPr>
        <w:t>Cancer</w:t>
      </w:r>
      <w:r w:rsidRPr="00872EFC">
        <w:rPr>
          <w:rFonts w:cstheme="minorHAnsi"/>
        </w:rPr>
        <w:t>, vol. 123, no. 5, pp. 802-13.</w:t>
      </w:r>
    </w:p>
  </w:footnote>
  <w:footnote w:id="30">
    <w:p w14:paraId="5D8AE03E" w14:textId="7DC472F4" w:rsidR="009E7CFF" w:rsidRPr="00872EFC" w:rsidRDefault="009E7CFF">
      <w:pPr>
        <w:pStyle w:val="FootnoteText"/>
        <w:rPr>
          <w:rFonts w:cstheme="minorHAnsi"/>
        </w:rPr>
      </w:pPr>
      <w:r w:rsidRPr="00872EFC">
        <w:rPr>
          <w:rStyle w:val="FootnoteReference"/>
          <w:rFonts w:cstheme="minorHAnsi"/>
        </w:rPr>
        <w:footnoteRef/>
      </w:r>
      <w:r w:rsidRPr="00872EFC">
        <w:rPr>
          <w:rFonts w:cstheme="minorHAnsi"/>
        </w:rPr>
        <w:t xml:space="preserve"> León-Castillo, A, </w:t>
      </w:r>
      <w:r w:rsidR="00426586" w:rsidRPr="00872EFC">
        <w:rPr>
          <w:rFonts w:cstheme="minorHAnsi"/>
        </w:rPr>
        <w:t>et al</w:t>
      </w:r>
      <w:r w:rsidRPr="00872EFC">
        <w:rPr>
          <w:rFonts w:cstheme="minorHAnsi"/>
        </w:rPr>
        <w:t xml:space="preserve"> 2020, 'Clinicopathological and molecular characterisation of 'multiple-classifier' endometrial carcinomas', </w:t>
      </w:r>
      <w:r w:rsidRPr="00872EFC">
        <w:rPr>
          <w:rFonts w:cstheme="minorHAnsi"/>
          <w:i/>
          <w:iCs/>
        </w:rPr>
        <w:t>J Pathol</w:t>
      </w:r>
      <w:r w:rsidRPr="00872EFC">
        <w:rPr>
          <w:rFonts w:cstheme="minorHAnsi"/>
        </w:rPr>
        <w:t>, vol. 250, no. 3, pp. 312-22.</w:t>
      </w:r>
    </w:p>
  </w:footnote>
  <w:footnote w:id="31">
    <w:p w14:paraId="5F351C1C" w14:textId="35046846" w:rsidR="002A3C5F" w:rsidRPr="00872EFC" w:rsidRDefault="002A3C5F">
      <w:pPr>
        <w:pStyle w:val="FootnoteText"/>
        <w:rPr>
          <w:rFonts w:cstheme="minorHAnsi"/>
          <w:lang w:val="en-US"/>
        </w:rPr>
      </w:pPr>
      <w:r w:rsidRPr="00872EFC">
        <w:rPr>
          <w:rStyle w:val="FootnoteReference"/>
          <w:rFonts w:cstheme="minorHAnsi"/>
        </w:rPr>
        <w:footnoteRef/>
      </w:r>
      <w:r w:rsidRPr="00872EFC">
        <w:rPr>
          <w:rFonts w:cstheme="minorHAnsi"/>
        </w:rPr>
        <w:t xml:space="preserve"> </w:t>
      </w:r>
      <w:r w:rsidR="00691552" w:rsidRPr="00872EFC">
        <w:rPr>
          <w:rFonts w:cstheme="minorHAnsi"/>
        </w:rPr>
        <w:t xml:space="preserve">Australian Government Actuary 2024, </w:t>
      </w:r>
      <w:r w:rsidR="00691552" w:rsidRPr="00872EFC">
        <w:rPr>
          <w:rFonts w:cstheme="minorHAnsi"/>
          <w:i/>
          <w:iCs/>
        </w:rPr>
        <w:t>Australian Life Tables 2020-22</w:t>
      </w:r>
      <w:r w:rsidR="00691552" w:rsidRPr="00872EFC">
        <w:rPr>
          <w:rFonts w:cstheme="minorHAnsi"/>
        </w:rPr>
        <w:t>, viewed 9 Dec 2025, &lt;https://aga.gov.au/publications/life-tables/australian-life-tables-2020-22&gt;.</w:t>
      </w:r>
    </w:p>
  </w:footnote>
  <w:footnote w:id="32">
    <w:p w14:paraId="39C8032E" w14:textId="747B03FC" w:rsidR="00691552" w:rsidRPr="00872EFC" w:rsidRDefault="00691552">
      <w:pPr>
        <w:pStyle w:val="FootnoteText"/>
        <w:rPr>
          <w:rFonts w:cstheme="minorHAnsi"/>
        </w:rPr>
      </w:pPr>
      <w:r w:rsidRPr="00872EFC">
        <w:rPr>
          <w:rStyle w:val="FootnoteReference"/>
          <w:rFonts w:cstheme="minorHAnsi"/>
        </w:rPr>
        <w:footnoteRef/>
      </w:r>
      <w:r w:rsidRPr="00872EFC">
        <w:rPr>
          <w:rFonts w:cstheme="minorHAnsi"/>
        </w:rPr>
        <w:t xml:space="preserve"> Miller, DS, </w:t>
      </w:r>
      <w:r w:rsidR="00426586" w:rsidRPr="00872EFC">
        <w:rPr>
          <w:rFonts w:cstheme="minorHAnsi"/>
        </w:rPr>
        <w:t>et al</w:t>
      </w:r>
      <w:r w:rsidRPr="00872EFC">
        <w:rPr>
          <w:rFonts w:cstheme="minorHAnsi"/>
        </w:rPr>
        <w:t xml:space="preserve"> 2020, 'Carboplatin and Paclitaxel for Advanced Endometrial Cancer: Final Overall Survival and Adverse Event Analysis of a Phase III Trial (NRG Oncology/GOG0209)', </w:t>
      </w:r>
      <w:r w:rsidRPr="00872EFC">
        <w:rPr>
          <w:rFonts w:cstheme="minorHAnsi"/>
          <w:i/>
          <w:iCs/>
        </w:rPr>
        <w:t>J Clin Oncol</w:t>
      </w:r>
      <w:r w:rsidRPr="00872EFC">
        <w:rPr>
          <w:rFonts w:cstheme="minorHAnsi"/>
        </w:rPr>
        <w:t>, vol. 38, no. 33, pp. 3841-50.</w:t>
      </w:r>
    </w:p>
  </w:footnote>
  <w:footnote w:id="33">
    <w:p w14:paraId="4E7558C0" w14:textId="2E54BDFA" w:rsidR="00691552" w:rsidRPr="00872EFC" w:rsidRDefault="00691552">
      <w:pPr>
        <w:pStyle w:val="FootnoteText"/>
        <w:rPr>
          <w:rFonts w:cstheme="minorHAnsi"/>
          <w:lang w:val="en-US"/>
        </w:rPr>
      </w:pPr>
      <w:r w:rsidRPr="00872EFC">
        <w:rPr>
          <w:rStyle w:val="FootnoteReference"/>
          <w:rFonts w:cstheme="minorHAnsi"/>
        </w:rPr>
        <w:footnoteRef/>
      </w:r>
      <w:r w:rsidRPr="00872EFC">
        <w:rPr>
          <w:rFonts w:cstheme="minorHAnsi"/>
        </w:rPr>
        <w:t xml:space="preserve"> Jewell, EL, </w:t>
      </w:r>
      <w:r w:rsidR="00426586" w:rsidRPr="00872EFC">
        <w:rPr>
          <w:rFonts w:cstheme="minorHAnsi"/>
        </w:rPr>
        <w:t>et al</w:t>
      </w:r>
      <w:r w:rsidRPr="00872EFC">
        <w:rPr>
          <w:rFonts w:cstheme="minorHAnsi"/>
        </w:rPr>
        <w:t xml:space="preserve"> 2011, 'Utility scores and treatment preferences for clinical early-stage cervical cancer', </w:t>
      </w:r>
      <w:r w:rsidRPr="00872EFC">
        <w:rPr>
          <w:rFonts w:cstheme="minorHAnsi"/>
          <w:i/>
          <w:iCs/>
        </w:rPr>
        <w:t>Value Health</w:t>
      </w:r>
      <w:r w:rsidRPr="00872EFC">
        <w:rPr>
          <w:rFonts w:cstheme="minorHAnsi"/>
        </w:rPr>
        <w:t>, vol. 14, no. 4, pp. 582-6.</w:t>
      </w:r>
    </w:p>
  </w:footnote>
  <w:footnote w:id="34">
    <w:p w14:paraId="097E8B6C" w14:textId="0408FB29" w:rsidR="00691552" w:rsidRPr="00872EFC" w:rsidRDefault="00691552">
      <w:pPr>
        <w:pStyle w:val="FootnoteText"/>
        <w:rPr>
          <w:rFonts w:cstheme="minorHAnsi"/>
        </w:rPr>
      </w:pPr>
      <w:r w:rsidRPr="00872EFC">
        <w:rPr>
          <w:rStyle w:val="FootnoteReference"/>
          <w:rFonts w:cstheme="minorHAnsi"/>
        </w:rPr>
        <w:footnoteRef/>
      </w:r>
      <w:r w:rsidRPr="00872EFC">
        <w:rPr>
          <w:rFonts w:cstheme="minorHAnsi"/>
        </w:rPr>
        <w:t xml:space="preserve"> </w:t>
      </w:r>
      <w:r w:rsidR="00C65496" w:rsidRPr="00872EFC">
        <w:rPr>
          <w:rFonts w:cstheme="minorHAnsi"/>
        </w:rPr>
        <w:t xml:space="preserve">Kwon, JS, </w:t>
      </w:r>
      <w:r w:rsidR="00426586" w:rsidRPr="00872EFC">
        <w:rPr>
          <w:rFonts w:cstheme="minorHAnsi"/>
        </w:rPr>
        <w:t>et al</w:t>
      </w:r>
      <w:r w:rsidR="00C65496" w:rsidRPr="00872EFC">
        <w:rPr>
          <w:rFonts w:cstheme="minorHAnsi"/>
        </w:rPr>
        <w:t xml:space="preserve"> 2007, 'Cost-effectiveness analysis of treatment strategies for Stage I and II endometrial cancer', </w:t>
      </w:r>
      <w:r w:rsidR="00C65496" w:rsidRPr="00872EFC">
        <w:rPr>
          <w:rFonts w:cstheme="minorHAnsi"/>
          <w:i/>
          <w:iCs/>
        </w:rPr>
        <w:t xml:space="preserve">J Obstet </w:t>
      </w:r>
      <w:proofErr w:type="spellStart"/>
      <w:r w:rsidR="00C65496" w:rsidRPr="00872EFC">
        <w:rPr>
          <w:rFonts w:cstheme="minorHAnsi"/>
          <w:i/>
          <w:iCs/>
        </w:rPr>
        <w:t>Gynaecol</w:t>
      </w:r>
      <w:proofErr w:type="spellEnd"/>
      <w:r w:rsidR="00C65496" w:rsidRPr="00872EFC">
        <w:rPr>
          <w:rFonts w:cstheme="minorHAnsi"/>
          <w:i/>
          <w:iCs/>
        </w:rPr>
        <w:t xml:space="preserve"> Can</w:t>
      </w:r>
      <w:r w:rsidR="00C65496" w:rsidRPr="00872EFC">
        <w:rPr>
          <w:rFonts w:cstheme="minorHAnsi"/>
        </w:rPr>
        <w:t>, vol. 29, no. 2, pp. 131-9.</w:t>
      </w:r>
    </w:p>
  </w:footnote>
  <w:footnote w:id="35">
    <w:p w14:paraId="2490A6C4" w14:textId="6798177A" w:rsidR="00C65496" w:rsidRPr="00872EFC" w:rsidRDefault="00C65496">
      <w:pPr>
        <w:pStyle w:val="FootnoteText"/>
        <w:rPr>
          <w:rFonts w:cstheme="minorHAnsi"/>
          <w:lang w:val="en-US"/>
        </w:rPr>
      </w:pPr>
      <w:r w:rsidRPr="00872EFC">
        <w:rPr>
          <w:rStyle w:val="FootnoteReference"/>
          <w:rFonts w:cstheme="minorHAnsi"/>
        </w:rPr>
        <w:footnoteRef/>
      </w:r>
      <w:r w:rsidRPr="00872EFC">
        <w:rPr>
          <w:rFonts w:cstheme="minorHAnsi"/>
        </w:rPr>
        <w:t xml:space="preserve"> Park, J, Kim, </w:t>
      </w:r>
      <w:r w:rsidR="00426586" w:rsidRPr="00872EFC">
        <w:rPr>
          <w:rFonts w:cstheme="minorHAnsi"/>
        </w:rPr>
        <w:t>et al</w:t>
      </w:r>
      <w:r w:rsidRPr="00872EFC">
        <w:rPr>
          <w:rFonts w:cstheme="minorHAnsi"/>
        </w:rPr>
        <w:t xml:space="preserve"> 2022, 'Health-Related Quality of Life of Patients with Cervical Cancer According to the Duration of Treatment and Cancer Progression', </w:t>
      </w:r>
      <w:r w:rsidRPr="00872EFC">
        <w:rPr>
          <w:rFonts w:cstheme="minorHAnsi"/>
          <w:i/>
          <w:iCs/>
        </w:rPr>
        <w:t>Asian Pac J Cancer Prev</w:t>
      </w:r>
      <w:r w:rsidRPr="00872EFC">
        <w:rPr>
          <w:rFonts w:cstheme="minorHAnsi"/>
        </w:rPr>
        <w:t>, vol. 23, no. 6, pp. 1945-50.</w:t>
      </w:r>
    </w:p>
  </w:footnote>
  <w:footnote w:id="36">
    <w:p w14:paraId="67E37A69" w14:textId="50C99D61" w:rsidR="00C65496" w:rsidRPr="00872EFC" w:rsidRDefault="00C65496">
      <w:pPr>
        <w:pStyle w:val="FootnoteText"/>
        <w:rPr>
          <w:rFonts w:cstheme="minorHAnsi"/>
          <w:lang w:val="en-US"/>
        </w:rPr>
      </w:pPr>
      <w:r w:rsidRPr="00872EFC">
        <w:rPr>
          <w:rStyle w:val="FootnoteReference"/>
          <w:rFonts w:cstheme="minorHAnsi"/>
        </w:rPr>
        <w:footnoteRef/>
      </w:r>
      <w:r w:rsidRPr="00872EFC">
        <w:rPr>
          <w:rFonts w:cstheme="minorHAnsi"/>
        </w:rPr>
        <w:t xml:space="preserve"> </w:t>
      </w:r>
      <w:r w:rsidR="00D852DF" w:rsidRPr="00872EFC">
        <w:rPr>
          <w:rFonts w:cstheme="minorHAnsi"/>
        </w:rPr>
        <w:t xml:space="preserve">Redwood, L, </w:t>
      </w:r>
      <w:r w:rsidR="00426586" w:rsidRPr="00872EFC">
        <w:rPr>
          <w:rFonts w:cstheme="minorHAnsi"/>
        </w:rPr>
        <w:t xml:space="preserve">et al </w:t>
      </w:r>
      <w:r w:rsidR="00D852DF" w:rsidRPr="00872EFC">
        <w:rPr>
          <w:rFonts w:cstheme="minorHAnsi"/>
        </w:rPr>
        <w:t xml:space="preserve">2024, 'Australian population norms for health-related quality of life measured using the EQ-5D-5L, and relationships with sociodemographic characteristics', </w:t>
      </w:r>
      <w:r w:rsidR="00D852DF" w:rsidRPr="00872EFC">
        <w:rPr>
          <w:rFonts w:cstheme="minorHAnsi"/>
          <w:i/>
          <w:iCs/>
        </w:rPr>
        <w:t>Qual Life Res</w:t>
      </w:r>
      <w:r w:rsidR="00D852DF" w:rsidRPr="00872EFC">
        <w:rPr>
          <w:rFonts w:cstheme="minorHAnsi"/>
        </w:rPr>
        <w:t>, vol. 33, no. 3, pp. 721-33.</w:t>
      </w:r>
    </w:p>
  </w:footnote>
  <w:footnote w:id="37">
    <w:p w14:paraId="21BCA7F5" w14:textId="42E3260F" w:rsidR="000B7DC8" w:rsidRPr="00872EFC" w:rsidRDefault="000B7DC8">
      <w:pPr>
        <w:pStyle w:val="FootnoteText"/>
        <w:rPr>
          <w:rFonts w:cstheme="minorHAnsi"/>
        </w:rPr>
      </w:pPr>
      <w:r w:rsidRPr="00872EFC">
        <w:rPr>
          <w:rStyle w:val="FootnoteReference"/>
          <w:rFonts w:cstheme="minorHAnsi"/>
        </w:rPr>
        <w:footnoteRef/>
      </w:r>
      <w:r w:rsidRPr="00872EFC">
        <w:rPr>
          <w:rFonts w:cstheme="minorHAnsi"/>
        </w:rPr>
        <w:t xml:space="preserve"> Olearo, E, et al 2025, 'Beyond POLE: How NGS Impacts On Escalation/De-Escalation Of Adjuvant Therapy Of Endometrial Cancer In Real Life', </w:t>
      </w:r>
      <w:r w:rsidRPr="00872EFC">
        <w:rPr>
          <w:rFonts w:cstheme="minorHAnsi"/>
          <w:i/>
          <w:iCs/>
        </w:rPr>
        <w:t xml:space="preserve">International Journal of </w:t>
      </w:r>
      <w:proofErr w:type="spellStart"/>
      <w:r w:rsidRPr="00872EFC">
        <w:rPr>
          <w:rFonts w:cstheme="minorHAnsi"/>
          <w:i/>
          <w:iCs/>
        </w:rPr>
        <w:t>Gynecological</w:t>
      </w:r>
      <w:proofErr w:type="spellEnd"/>
      <w:r w:rsidRPr="00872EFC">
        <w:rPr>
          <w:rFonts w:cstheme="minorHAnsi"/>
          <w:i/>
          <w:iCs/>
        </w:rPr>
        <w:t xml:space="preserve"> Cancer</w:t>
      </w:r>
      <w:r w:rsidRPr="00872EFC">
        <w:rPr>
          <w:rFonts w:cstheme="minorHAnsi"/>
        </w:rPr>
        <w:t>, vol. 35, no. 2</w:t>
      </w:r>
    </w:p>
  </w:footnote>
  <w:footnote w:id="38">
    <w:p w14:paraId="5E306D64" w14:textId="77777777" w:rsidR="00303FC9" w:rsidRPr="00872EFC" w:rsidRDefault="00303FC9" w:rsidP="00303FC9">
      <w:pPr>
        <w:pStyle w:val="FootnoteText"/>
        <w:spacing w:before="0"/>
        <w:rPr>
          <w:rFonts w:cstheme="minorHAnsi"/>
          <w:lang w:val="en-US"/>
        </w:rPr>
      </w:pPr>
      <w:r w:rsidRPr="00872EFC">
        <w:rPr>
          <w:rStyle w:val="FootnoteReference"/>
          <w:rFonts w:cstheme="minorHAnsi"/>
        </w:rPr>
        <w:footnoteRef/>
      </w:r>
      <w:r w:rsidRPr="00872EFC">
        <w:rPr>
          <w:rFonts w:cstheme="minorHAnsi"/>
        </w:rPr>
        <w:t xml:space="preserve"> </w:t>
      </w:r>
      <w:proofErr w:type="spellStart"/>
      <w:r w:rsidRPr="00872EFC">
        <w:rPr>
          <w:rFonts w:cstheme="minorHAnsi"/>
        </w:rPr>
        <w:t>Rodolakis</w:t>
      </w:r>
      <w:proofErr w:type="spellEnd"/>
      <w:r w:rsidRPr="00872EFC">
        <w:rPr>
          <w:rFonts w:cstheme="minorHAnsi"/>
        </w:rPr>
        <w:t xml:space="preserve"> et al., 2023. ESGO/ESHRE/ESGE Guidelines for the fertility-sparing treatment of patients with endometrial carcinoma. </w:t>
      </w:r>
      <w:r w:rsidRPr="00B97ACE">
        <w:rPr>
          <w:rFonts w:cstheme="minorHAnsi"/>
          <w:i/>
          <w:iCs/>
        </w:rPr>
        <w:t xml:space="preserve">Facts Views Vis </w:t>
      </w:r>
      <w:proofErr w:type="spellStart"/>
      <w:r w:rsidRPr="00B97ACE">
        <w:rPr>
          <w:rFonts w:cstheme="minorHAnsi"/>
          <w:i/>
          <w:iCs/>
        </w:rPr>
        <w:t>Obgyn</w:t>
      </w:r>
      <w:proofErr w:type="spellEnd"/>
      <w:r w:rsidRPr="00872EFC">
        <w:rPr>
          <w:rFonts w:cstheme="minorHAnsi"/>
        </w:rPr>
        <w:t xml:space="preserve">. 2023 Mar;15(1):3-23. </w:t>
      </w:r>
      <w:proofErr w:type="spellStart"/>
      <w:r w:rsidRPr="00872EFC">
        <w:rPr>
          <w:rFonts w:cstheme="minorHAnsi"/>
        </w:rPr>
        <w:t>doi</w:t>
      </w:r>
      <w:proofErr w:type="spellEnd"/>
      <w:r w:rsidRPr="00872EFC">
        <w:rPr>
          <w:rFonts w:cstheme="minorHAnsi"/>
        </w:rPr>
        <w:t xml:space="preserve">: 10.52054/FVVO.15.1.065. </w:t>
      </w:r>
      <w:proofErr w:type="spellStart"/>
      <w:r w:rsidRPr="00872EFC">
        <w:rPr>
          <w:rFonts w:cstheme="minorHAnsi"/>
        </w:rPr>
        <w:t>Epub</w:t>
      </w:r>
      <w:proofErr w:type="spellEnd"/>
      <w:r w:rsidRPr="00872EFC">
        <w:rPr>
          <w:rFonts w:cstheme="minorHAnsi"/>
        </w:rPr>
        <w:t xml:space="preserve"> 2023 Feb 6. PMID: 37010330; PMCID: PMC10392114.</w:t>
      </w:r>
    </w:p>
  </w:footnote>
  <w:footnote w:id="39">
    <w:p w14:paraId="5587FF17" w14:textId="77BBD474" w:rsidR="005C45D8" w:rsidRPr="009F2748" w:rsidRDefault="005C45D8" w:rsidP="009F2748">
      <w:pPr>
        <w:pStyle w:val="FootnoteText"/>
        <w:spacing w:before="0"/>
        <w:rPr>
          <w:lang w:val="en-US"/>
        </w:rPr>
      </w:pPr>
      <w:r w:rsidRPr="00872EFC">
        <w:rPr>
          <w:rStyle w:val="FootnoteReference"/>
          <w:rFonts w:cstheme="minorHAnsi"/>
        </w:rPr>
        <w:footnoteRef/>
      </w:r>
      <w:r w:rsidRPr="00872EFC">
        <w:rPr>
          <w:rFonts w:cstheme="minorHAnsi"/>
        </w:rPr>
        <w:t xml:space="preserve"> Ferrari </w:t>
      </w:r>
      <w:r w:rsidR="00660DB6" w:rsidRPr="00872EFC">
        <w:rPr>
          <w:rFonts w:cstheme="minorHAnsi"/>
        </w:rPr>
        <w:t>et al., 2024</w:t>
      </w:r>
      <w:r w:rsidRPr="00872EFC">
        <w:rPr>
          <w:rFonts w:cstheme="minorHAnsi"/>
        </w:rPr>
        <w:t xml:space="preserve">. Performance of molecular classification in predicting oncologic outcomes of fertility-sparing treatment for atypical endometrial hyperplasia and endometrial cancer. </w:t>
      </w:r>
      <w:r w:rsidRPr="00B97ACE">
        <w:rPr>
          <w:rFonts w:cstheme="minorHAnsi"/>
          <w:i/>
          <w:iCs/>
        </w:rPr>
        <w:t xml:space="preserve">Int J </w:t>
      </w:r>
      <w:proofErr w:type="spellStart"/>
      <w:r w:rsidRPr="00B97ACE">
        <w:rPr>
          <w:rFonts w:cstheme="minorHAnsi"/>
          <w:i/>
          <w:iCs/>
        </w:rPr>
        <w:t>Gynecol</w:t>
      </w:r>
      <w:proofErr w:type="spellEnd"/>
      <w:r w:rsidRPr="00B97ACE">
        <w:rPr>
          <w:rFonts w:cstheme="minorHAnsi"/>
          <w:i/>
          <w:iCs/>
        </w:rPr>
        <w:t xml:space="preserve"> Cancer</w:t>
      </w:r>
      <w:r w:rsidRPr="00872EFC">
        <w:rPr>
          <w:rFonts w:cstheme="minorHAnsi"/>
        </w:rPr>
        <w:t xml:space="preserve">. 2025 Jan;35(1):100016. </w:t>
      </w:r>
      <w:proofErr w:type="spellStart"/>
      <w:r w:rsidRPr="00872EFC">
        <w:rPr>
          <w:rFonts w:cstheme="minorHAnsi"/>
        </w:rPr>
        <w:t>doi</w:t>
      </w:r>
      <w:proofErr w:type="spellEnd"/>
      <w:r w:rsidRPr="00872EFC">
        <w:rPr>
          <w:rFonts w:cstheme="minorHAnsi"/>
        </w:rPr>
        <w:t xml:space="preserve">: 10.1016/j.ijgc.2024.100016. </w:t>
      </w:r>
      <w:proofErr w:type="spellStart"/>
      <w:r w:rsidRPr="00872EFC">
        <w:rPr>
          <w:rFonts w:cstheme="minorHAnsi"/>
        </w:rPr>
        <w:t>Epub</w:t>
      </w:r>
      <w:proofErr w:type="spellEnd"/>
      <w:r w:rsidRPr="00872EFC">
        <w:rPr>
          <w:rFonts w:cstheme="minorHAnsi"/>
        </w:rPr>
        <w:t xml:space="preserve"> 2024 Dec 18. PMID: 39878274.</w:t>
      </w:r>
    </w:p>
  </w:footnote>
  <w:footnote w:id="40">
    <w:p w14:paraId="15BF2516" w14:textId="77777777" w:rsidR="002361D0" w:rsidRDefault="002361D0" w:rsidP="002361D0">
      <w:pPr>
        <w:pStyle w:val="FootnoteText"/>
      </w:pPr>
      <w:r>
        <w:rPr>
          <w:rStyle w:val="FootnoteReference"/>
        </w:rPr>
        <w:footnoteRef/>
      </w:r>
      <w:r>
        <w:t xml:space="preserve"> </w:t>
      </w:r>
      <w:r w:rsidRPr="00354422">
        <w:t xml:space="preserve">Berek, JS, </w:t>
      </w:r>
      <w:r>
        <w:t>et al</w:t>
      </w:r>
      <w:r w:rsidRPr="00354422">
        <w:t xml:space="preserve"> 2023, 'FIGO staging of endometrial cancer: 2023', </w:t>
      </w:r>
      <w:r w:rsidRPr="00354422">
        <w:rPr>
          <w:i/>
        </w:rPr>
        <w:t xml:space="preserve">International Journal of </w:t>
      </w:r>
      <w:proofErr w:type="spellStart"/>
      <w:r w:rsidRPr="00354422">
        <w:rPr>
          <w:i/>
        </w:rPr>
        <w:t>Gynecology</w:t>
      </w:r>
      <w:proofErr w:type="spellEnd"/>
      <w:r w:rsidRPr="00354422">
        <w:rPr>
          <w:i/>
        </w:rPr>
        <w:t xml:space="preserve"> &amp; Obstetrics</w:t>
      </w:r>
      <w:r w:rsidRPr="00354422">
        <w:t>, vol. 162, no. 2, pp. 383-94.</w:t>
      </w:r>
    </w:p>
  </w:footnote>
  <w:footnote w:id="41">
    <w:p w14:paraId="60FE82E6" w14:textId="77777777" w:rsidR="002361D0" w:rsidRDefault="002361D0" w:rsidP="002361D0">
      <w:pPr>
        <w:pStyle w:val="FootnoteText"/>
      </w:pPr>
      <w:r>
        <w:rPr>
          <w:rStyle w:val="FootnoteReference"/>
        </w:rPr>
        <w:footnoteRef/>
      </w:r>
      <w:r>
        <w:t xml:space="preserve"> </w:t>
      </w:r>
      <w:hyperlink r:id="rId4" w:history="1">
        <w:r w:rsidRPr="00CC061B">
          <w:rPr>
            <w:rStyle w:val="Hyperlink"/>
          </w:rPr>
          <w:t>Item 72846 | Medicare Benefits Schedule</w:t>
        </w:r>
      </w:hyperlink>
      <w:r>
        <w:t xml:space="preserve"> -accessed 18 February 2026</w:t>
      </w:r>
    </w:p>
  </w:footnote>
  <w:footnote w:id="42">
    <w:p w14:paraId="1EF09D74" w14:textId="77777777" w:rsidR="002361D0" w:rsidRDefault="002361D0" w:rsidP="002361D0">
      <w:pPr>
        <w:pStyle w:val="FootnoteText"/>
      </w:pPr>
      <w:r>
        <w:rPr>
          <w:rStyle w:val="FootnoteReference"/>
        </w:rPr>
        <w:footnoteRef/>
      </w:r>
      <w:r>
        <w:t xml:space="preserve"> </w:t>
      </w:r>
      <w:hyperlink r:id="rId5" w:history="1">
        <w:r w:rsidRPr="005E1C28">
          <w:rPr>
            <w:rStyle w:val="Hyperlink"/>
          </w:rPr>
          <w:t>Item 72847 | Medicare Benefits Schedule</w:t>
        </w:r>
      </w:hyperlink>
      <w:r>
        <w:t xml:space="preserve">- </w:t>
      </w:r>
      <w:r w:rsidRPr="005E1C28">
        <w:t>accessed 18 February 2026</w:t>
      </w:r>
    </w:p>
  </w:footnote>
  <w:footnote w:id="43">
    <w:p w14:paraId="0FD53433" w14:textId="77777777" w:rsidR="002361D0" w:rsidRPr="004246E0" w:rsidRDefault="002361D0" w:rsidP="002361D0">
      <w:pPr>
        <w:pStyle w:val="FootnoteText"/>
        <w:spacing w:before="0"/>
        <w:rPr>
          <w:rFonts w:cstheme="minorHAnsi"/>
        </w:rPr>
      </w:pPr>
      <w:r w:rsidRPr="004246E0">
        <w:rPr>
          <w:rStyle w:val="FootnoteReference"/>
          <w:rFonts w:cstheme="minorHAnsi"/>
        </w:rPr>
        <w:footnoteRef/>
      </w:r>
      <w:r w:rsidRPr="004246E0">
        <w:rPr>
          <w:rFonts w:cstheme="minorHAnsi"/>
        </w:rPr>
        <w:t xml:space="preserve"> </w:t>
      </w:r>
      <w:r w:rsidRPr="00872EFC">
        <w:rPr>
          <w:rFonts w:cstheme="minorHAnsi"/>
        </w:rPr>
        <w:t>Singh et al., 2022, BAGP guidance on POLE NGS testing in endometrial carcinoma</w:t>
      </w:r>
    </w:p>
  </w:footnote>
  <w:footnote w:id="44">
    <w:p w14:paraId="01403FD4" w14:textId="77777777" w:rsidR="002361D0" w:rsidRDefault="002361D0" w:rsidP="002361D0">
      <w:pPr>
        <w:pStyle w:val="FootnoteText"/>
      </w:pPr>
      <w:r>
        <w:rPr>
          <w:rStyle w:val="FootnoteReference"/>
        </w:rPr>
        <w:footnoteRef/>
      </w:r>
      <w:r>
        <w:t xml:space="preserve"> </w:t>
      </w:r>
      <w:hyperlink r:id="rId6" w:history="1">
        <w:r w:rsidRPr="00AE1D35">
          <w:rPr>
            <w:rStyle w:val="Hyperlink"/>
          </w:rPr>
          <w:t>ESGO-ESTRO-ESP-Guidelines-for-EC_-LO-July-2025.pdf</w:t>
        </w:r>
      </w:hyperlink>
    </w:p>
  </w:footnote>
  <w:footnote w:id="45">
    <w:p w14:paraId="18DD5D71" w14:textId="77777777" w:rsidR="002361D0" w:rsidRDefault="002361D0" w:rsidP="002361D0">
      <w:pPr>
        <w:pStyle w:val="FootnoteText"/>
      </w:pPr>
      <w:r>
        <w:rPr>
          <w:rStyle w:val="FootnoteReference"/>
        </w:rPr>
        <w:footnoteRef/>
      </w:r>
      <w:r>
        <w:t xml:space="preserve"> van den </w:t>
      </w:r>
      <w:proofErr w:type="spellStart"/>
      <w:r>
        <w:t>Heerik</w:t>
      </w:r>
      <w:proofErr w:type="spellEnd"/>
      <w:r>
        <w:t xml:space="preserve"> et al. (2026). </w:t>
      </w:r>
      <w:hyperlink r:id="rId7" w:history="1">
        <w:r w:rsidRPr="00A43712">
          <w:rPr>
            <w:rStyle w:val="Hyperlink"/>
          </w:rPr>
          <w:t>Molecular profile-based adjuvant treatment for women with high-intermediate risk endometrial cancer (PORTEC-4a): results of a randomised, open-label, phase 3, multicentre, non-inferiority trial</w:t>
        </w:r>
      </w:hyperlink>
      <w:r>
        <w:t xml:space="preserve">, </w:t>
      </w:r>
      <w:r w:rsidRPr="00F5239F">
        <w:rPr>
          <w:i/>
          <w:iCs/>
        </w:rPr>
        <w:t>The Lancet Oncology</w:t>
      </w:r>
      <w:r>
        <w:t xml:space="preserve">, </w:t>
      </w:r>
      <w:r w:rsidRPr="00F5239F">
        <w:t>27</w:t>
      </w:r>
      <w:r>
        <w:t>(</w:t>
      </w:r>
      <w:r w:rsidRPr="00F5239F">
        <w:t>1</w:t>
      </w:r>
      <w:r>
        <w:t>):</w:t>
      </w:r>
      <w:r w:rsidRPr="00F5239F">
        <w:t>23</w:t>
      </w:r>
      <w:r>
        <w:t>–</w:t>
      </w:r>
      <w:r w:rsidRPr="00F5239F">
        <w:t>35</w:t>
      </w:r>
      <w:r>
        <w:t>.</w:t>
      </w:r>
    </w:p>
  </w:footnote>
  <w:footnote w:id="46">
    <w:p w14:paraId="7F567F15" w14:textId="77777777" w:rsidR="002361D0" w:rsidRPr="004246E0" w:rsidRDefault="002361D0" w:rsidP="002361D0">
      <w:pPr>
        <w:pStyle w:val="FootnoteText"/>
        <w:rPr>
          <w:rFonts w:cstheme="minorHAnsi"/>
        </w:rPr>
      </w:pPr>
      <w:r w:rsidRPr="004246E0">
        <w:rPr>
          <w:rStyle w:val="FootnoteReference"/>
          <w:rFonts w:cstheme="minorHAnsi"/>
        </w:rPr>
        <w:footnoteRef/>
      </w:r>
      <w:r w:rsidRPr="004246E0">
        <w:rPr>
          <w:rFonts w:cstheme="minorHAnsi"/>
        </w:rPr>
        <w:t xml:space="preserve"> </w:t>
      </w:r>
      <w:r w:rsidRPr="00872EFC">
        <w:rPr>
          <w:rFonts w:cstheme="minorHAnsi"/>
        </w:rPr>
        <w:t xml:space="preserve">Chen et al., 2024, 'Evaluation of the Accuracy of a Polymerase Chain Reaction-Based Assay for Polymerase </w:t>
      </w:r>
      <w:proofErr w:type="spellStart"/>
      <w:r w:rsidRPr="00872EFC">
        <w:rPr>
          <w:rFonts w:cstheme="minorHAnsi"/>
        </w:rPr>
        <w:t>Tifilon</w:t>
      </w:r>
      <w:proofErr w:type="spellEnd"/>
      <w:r w:rsidRPr="00872EFC">
        <w:rPr>
          <w:rFonts w:cstheme="minorHAnsi"/>
        </w:rPr>
        <w:t xml:space="preserve"> Mutation Detection in Endometrial Carcinoma', </w:t>
      </w:r>
      <w:r w:rsidRPr="00872EFC">
        <w:rPr>
          <w:rFonts w:cstheme="minorHAnsi"/>
          <w:i/>
        </w:rPr>
        <w:t xml:space="preserve">Arch </w:t>
      </w:r>
      <w:proofErr w:type="spellStart"/>
      <w:r w:rsidRPr="00872EFC">
        <w:rPr>
          <w:rFonts w:cstheme="minorHAnsi"/>
          <w:i/>
        </w:rPr>
        <w:t>Pathol</w:t>
      </w:r>
      <w:proofErr w:type="spellEnd"/>
      <w:r w:rsidRPr="00872EFC">
        <w:rPr>
          <w:rFonts w:cstheme="minorHAnsi"/>
          <w:i/>
        </w:rPr>
        <w:t xml:space="preserve"> Lab Med</w:t>
      </w:r>
      <w:r w:rsidRPr="00872EFC">
        <w:rPr>
          <w:rFonts w:cstheme="minorHAnsi"/>
        </w:rPr>
        <w:t>, vol. 148, no. 8, pp. 945-51.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2AA6" w14:textId="4D09A3CE" w:rsidR="00A608F6" w:rsidRDefault="001B27C5" w:rsidP="009F2748">
    <w:pPr>
      <w:pStyle w:val="Header"/>
      <w:tabs>
        <w:tab w:val="clear" w:pos="4513"/>
        <w:tab w:val="clear" w:pos="9026"/>
        <w:tab w:val="left" w:pos="6277"/>
      </w:tabs>
    </w:pPr>
    <w:r>
      <w:rPr>
        <w:noProof/>
      </w:rPr>
      <mc:AlternateContent>
        <mc:Choice Requires="wps">
          <w:drawing>
            <wp:anchor distT="0" distB="0" distL="0" distR="0" simplePos="0" relativeHeight="251658241" behindDoc="0" locked="0" layoutInCell="1" allowOverlap="1" wp14:anchorId="05DDFCCB" wp14:editId="683ADB58">
              <wp:simplePos x="635" y="635"/>
              <wp:positionH relativeFrom="page">
                <wp:align>center</wp:align>
              </wp:positionH>
              <wp:positionV relativeFrom="page">
                <wp:align>top</wp:align>
              </wp:positionV>
              <wp:extent cx="622300" cy="467360"/>
              <wp:effectExtent l="0" t="0" r="6350" b="8890"/>
              <wp:wrapNone/>
              <wp:docPr id="1805554035"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603DD792" w14:textId="3F83E577"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DFCCB" id="_x0000_t202" coordsize="21600,21600" o:spt="202" path="m,l,21600r21600,l21600,xe">
              <v:stroke joinstyle="miter"/>
              <v:path gradientshapeok="t" o:connecttype="rect"/>
            </v:shapetype>
            <v:shape id="Text Box 14" o:spid="_x0000_s1026" type="#_x0000_t202" alt="OFFICIAL" style="position:absolute;margin-left:0;margin-top:0;width:49pt;height:36.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3KCQIAABU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" filled="f" stroked="f">
              <v:textbox style="mso-fit-shape-to-text:t" inset="0,15pt,0,0">
                <w:txbxContent>
                  <w:p w14:paraId="603DD792" w14:textId="3F83E577"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9735" w14:textId="021DD4E1" w:rsidR="00A608F6" w:rsidRDefault="001B27C5">
    <w:pPr>
      <w:pStyle w:val="Header"/>
    </w:pPr>
    <w:r>
      <w:rPr>
        <w:noProof/>
      </w:rPr>
      <mc:AlternateContent>
        <mc:Choice Requires="wps">
          <w:drawing>
            <wp:anchor distT="0" distB="0" distL="0" distR="0" simplePos="0" relativeHeight="251658242" behindDoc="0" locked="0" layoutInCell="1" allowOverlap="1" wp14:anchorId="4D7C7E6D" wp14:editId="4F4185AC">
              <wp:simplePos x="635" y="635"/>
              <wp:positionH relativeFrom="page">
                <wp:align>center</wp:align>
              </wp:positionH>
              <wp:positionV relativeFrom="page">
                <wp:align>top</wp:align>
              </wp:positionV>
              <wp:extent cx="622300" cy="467360"/>
              <wp:effectExtent l="0" t="0" r="6350" b="8890"/>
              <wp:wrapNone/>
              <wp:docPr id="109864660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098288DE" w14:textId="6FC97121"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7C7E6D" id="_x0000_t202" coordsize="21600,21600" o:spt="202" path="m,l,21600r21600,l21600,xe">
              <v:stroke joinstyle="miter"/>
              <v:path gradientshapeok="t" o:connecttype="rect"/>
            </v:shapetype>
            <v:shape id="Text Box 15" o:spid="_x0000_s1027" type="#_x0000_t202" alt="OFFICIAL" style="position:absolute;margin-left:0;margin-top:0;width:49pt;height:36.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" filled="f" stroked="f">
              <v:textbox style="mso-fit-shape-to-text:t" inset="0,15pt,0,0">
                <w:txbxContent>
                  <w:p w14:paraId="098288DE" w14:textId="6FC97121"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094E5" w14:textId="5CB00F73" w:rsidR="00A608F6" w:rsidRDefault="001B27C5">
    <w:pPr>
      <w:pStyle w:val="Header"/>
    </w:pPr>
    <w:r>
      <w:rPr>
        <w:noProof/>
      </w:rPr>
      <mc:AlternateContent>
        <mc:Choice Requires="wps">
          <w:drawing>
            <wp:anchor distT="0" distB="0" distL="0" distR="0" simplePos="0" relativeHeight="251658240" behindDoc="0" locked="0" layoutInCell="1" allowOverlap="1" wp14:anchorId="694D88C4" wp14:editId="6C91A7F8">
              <wp:simplePos x="635" y="635"/>
              <wp:positionH relativeFrom="page">
                <wp:align>center</wp:align>
              </wp:positionH>
              <wp:positionV relativeFrom="page">
                <wp:align>top</wp:align>
              </wp:positionV>
              <wp:extent cx="622300" cy="467360"/>
              <wp:effectExtent l="0" t="0" r="6350" b="8890"/>
              <wp:wrapNone/>
              <wp:docPr id="1608295875"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22004AB6" w14:textId="003EF719"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4D88C4" id="_x0000_t202" coordsize="21600,21600" o:spt="202" path="m,l,21600r21600,l21600,xe">
              <v:stroke joinstyle="miter"/>
              <v:path gradientshapeok="t" o:connecttype="rect"/>
            </v:shapetype>
            <v:shape id="Text Box 13" o:spid="_x0000_s1030" type="#_x0000_t202" alt="OFFICIAL" style="position:absolute;margin-left:0;margin-top:0;width:49pt;height:36.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VtDQIAABw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" filled="f" stroked="f">
              <v:textbox style="mso-fit-shape-to-text:t" inset="0,15pt,0,0">
                <w:txbxContent>
                  <w:p w14:paraId="22004AB6" w14:textId="003EF719" w:rsidR="001B27C5" w:rsidRPr="001B27C5" w:rsidRDefault="001B27C5" w:rsidP="001B27C5">
                    <w:pPr>
                      <w:spacing w:after="0"/>
                      <w:rPr>
                        <w:rFonts w:ascii="Aptos" w:eastAsia="Aptos" w:hAnsi="Aptos" w:cs="Aptos"/>
                        <w:noProof/>
                        <w:color w:val="FF0000"/>
                        <w:sz w:val="24"/>
                        <w:szCs w:val="24"/>
                      </w:rPr>
                    </w:pPr>
                    <w:r w:rsidRPr="001B27C5">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1770"/>
    <w:multiLevelType w:val="multilevel"/>
    <w:tmpl w:val="CFB2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77848"/>
    <w:multiLevelType w:val="hybridMultilevel"/>
    <w:tmpl w:val="56E28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02FC9"/>
    <w:multiLevelType w:val="multilevel"/>
    <w:tmpl w:val="0096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2166F"/>
    <w:multiLevelType w:val="multilevel"/>
    <w:tmpl w:val="C108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8199B"/>
    <w:multiLevelType w:val="multilevel"/>
    <w:tmpl w:val="ED22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C63AE8"/>
    <w:multiLevelType w:val="hybridMultilevel"/>
    <w:tmpl w:val="43C2E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866FC1"/>
    <w:multiLevelType w:val="hybridMultilevel"/>
    <w:tmpl w:val="3214A392"/>
    <w:lvl w:ilvl="0" w:tplc="A21CB802">
      <w:start w:val="1"/>
      <w:numFmt w:val="bullet"/>
      <w:pStyle w:val="Norm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45414F"/>
    <w:multiLevelType w:val="multilevel"/>
    <w:tmpl w:val="875C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FEF53A0"/>
    <w:multiLevelType w:val="multilevel"/>
    <w:tmpl w:val="CD0A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55140B"/>
    <w:multiLevelType w:val="hybridMultilevel"/>
    <w:tmpl w:val="4C0A7DA8"/>
    <w:lvl w:ilvl="0" w:tplc="3D58CA2A">
      <w:start w:val="1"/>
      <w:numFmt w:val="bullet"/>
      <w:pStyle w:val="Tablebullet1"/>
      <w:lvlText w:val=""/>
      <w:lvlJc w:val="left"/>
      <w:pPr>
        <w:ind w:left="720" w:hanging="360"/>
      </w:pPr>
      <w:rPr>
        <w:rFonts w:ascii="Wingdings" w:hAnsi="Wingdings" w:hint="default"/>
      </w:rPr>
    </w:lvl>
    <w:lvl w:ilvl="1" w:tplc="14764806">
      <w:start w:val="1"/>
      <w:numFmt w:val="bullet"/>
      <w:pStyle w:val="Table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2" w15:restartNumberingAfterBreak="0">
    <w:nsid w:val="25741439"/>
    <w:multiLevelType w:val="hybridMultilevel"/>
    <w:tmpl w:val="1DBAB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051F0C"/>
    <w:multiLevelType w:val="hybridMultilevel"/>
    <w:tmpl w:val="6BFC21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8DE0AF7"/>
    <w:multiLevelType w:val="hybridMultilevel"/>
    <w:tmpl w:val="A0E61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303ABC"/>
    <w:multiLevelType w:val="multilevel"/>
    <w:tmpl w:val="D792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5E246B"/>
    <w:multiLevelType w:val="hybridMultilevel"/>
    <w:tmpl w:val="C4F2253C"/>
    <w:lvl w:ilvl="0" w:tplc="B0E28340">
      <w:start w:val="1"/>
      <w:numFmt w:val="decimal"/>
      <w:pStyle w:val="ESHeading1"/>
      <w:lvlText w:val="%1."/>
      <w:lvlJc w:val="left"/>
      <w:pPr>
        <w:ind w:left="216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2D5E1913"/>
    <w:multiLevelType w:val="multilevel"/>
    <w:tmpl w:val="3262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053404"/>
    <w:multiLevelType w:val="multilevel"/>
    <w:tmpl w:val="98A0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272065"/>
    <w:multiLevelType w:val="multilevel"/>
    <w:tmpl w:val="D8BA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D76096"/>
    <w:multiLevelType w:val="multilevel"/>
    <w:tmpl w:val="61AA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D53095"/>
    <w:multiLevelType w:val="multilevel"/>
    <w:tmpl w:val="1976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E10A6C"/>
    <w:multiLevelType w:val="multilevel"/>
    <w:tmpl w:val="1C06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6A6A24"/>
    <w:multiLevelType w:val="multilevel"/>
    <w:tmpl w:val="4D1C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B37E6D"/>
    <w:multiLevelType w:val="hybridMultilevel"/>
    <w:tmpl w:val="BFB03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095746"/>
    <w:multiLevelType w:val="hybridMultilevel"/>
    <w:tmpl w:val="78106BC2"/>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85C284C"/>
    <w:multiLevelType w:val="multilevel"/>
    <w:tmpl w:val="649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572B83"/>
    <w:multiLevelType w:val="multilevel"/>
    <w:tmpl w:val="0E42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803755"/>
    <w:multiLevelType w:val="multilevel"/>
    <w:tmpl w:val="0A26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1B696A"/>
    <w:multiLevelType w:val="multilevel"/>
    <w:tmpl w:val="B652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341B62"/>
    <w:multiLevelType w:val="multilevel"/>
    <w:tmpl w:val="64DC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294950"/>
    <w:multiLevelType w:val="multilevel"/>
    <w:tmpl w:val="A84A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98273A"/>
    <w:multiLevelType w:val="multilevel"/>
    <w:tmpl w:val="2148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1B1ED6"/>
    <w:multiLevelType w:val="multilevel"/>
    <w:tmpl w:val="7CE6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4D7383"/>
    <w:multiLevelType w:val="multilevel"/>
    <w:tmpl w:val="5E08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B91C75"/>
    <w:multiLevelType w:val="multilevel"/>
    <w:tmpl w:val="BFF2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abstractNum w:abstractNumId="41" w15:restartNumberingAfterBreak="0">
    <w:nsid w:val="7F1C2B5F"/>
    <w:multiLevelType w:val="hybridMultilevel"/>
    <w:tmpl w:val="378A353A"/>
    <w:lvl w:ilvl="0" w:tplc="71F8DA4C">
      <w:start w:val="1"/>
      <w:numFmt w:val="decimal"/>
      <w:pStyle w:val="Normalnum1"/>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8787612">
    <w:abstractNumId w:val="40"/>
  </w:num>
  <w:num w:numId="2" w16cid:durableId="1516265520">
    <w:abstractNumId w:val="4"/>
  </w:num>
  <w:num w:numId="3" w16cid:durableId="1155292208">
    <w:abstractNumId w:val="11"/>
  </w:num>
  <w:num w:numId="4" w16cid:durableId="1256094052">
    <w:abstractNumId w:val="36"/>
  </w:num>
  <w:num w:numId="5" w16cid:durableId="1561407788">
    <w:abstractNumId w:val="14"/>
  </w:num>
  <w:num w:numId="6" w16cid:durableId="409885872">
    <w:abstractNumId w:val="17"/>
  </w:num>
  <w:num w:numId="7" w16cid:durableId="1846896007">
    <w:abstractNumId w:val="19"/>
  </w:num>
  <w:num w:numId="8" w16cid:durableId="244613118">
    <w:abstractNumId w:val="27"/>
  </w:num>
  <w:num w:numId="9" w16cid:durableId="570118871">
    <w:abstractNumId w:val="10"/>
  </w:num>
  <w:num w:numId="10" w16cid:durableId="18051606">
    <w:abstractNumId w:val="41"/>
  </w:num>
  <w:num w:numId="11" w16cid:durableId="533083807">
    <w:abstractNumId w:val="7"/>
  </w:num>
  <w:num w:numId="12" w16cid:durableId="76680156">
    <w:abstractNumId w:val="6"/>
  </w:num>
  <w:num w:numId="13" w16cid:durableId="938633966">
    <w:abstractNumId w:val="12"/>
  </w:num>
  <w:num w:numId="14" w16cid:durableId="421415917">
    <w:abstractNumId w:val="26"/>
  </w:num>
  <w:num w:numId="15" w16cid:durableId="2101179130">
    <w:abstractNumId w:val="37"/>
  </w:num>
  <w:num w:numId="16" w16cid:durableId="2036079107">
    <w:abstractNumId w:val="1"/>
  </w:num>
  <w:num w:numId="17" w16cid:durableId="1092043719">
    <w:abstractNumId w:val="15"/>
  </w:num>
  <w:num w:numId="18" w16cid:durableId="1792673979">
    <w:abstractNumId w:val="13"/>
  </w:num>
  <w:num w:numId="19" w16cid:durableId="468283805">
    <w:abstractNumId w:val="39"/>
  </w:num>
  <w:num w:numId="20" w16cid:durableId="1821848597">
    <w:abstractNumId w:val="34"/>
  </w:num>
  <w:num w:numId="21" w16cid:durableId="573006368">
    <w:abstractNumId w:val="29"/>
  </w:num>
  <w:num w:numId="22" w16cid:durableId="901524684">
    <w:abstractNumId w:val="23"/>
  </w:num>
  <w:num w:numId="23" w16cid:durableId="314794995">
    <w:abstractNumId w:val="32"/>
  </w:num>
  <w:num w:numId="24" w16cid:durableId="1432824134">
    <w:abstractNumId w:val="18"/>
  </w:num>
  <w:num w:numId="25" w16cid:durableId="534926197">
    <w:abstractNumId w:val="16"/>
  </w:num>
  <w:num w:numId="26" w16cid:durableId="2078353250">
    <w:abstractNumId w:val="0"/>
  </w:num>
  <w:num w:numId="27" w16cid:durableId="197739164">
    <w:abstractNumId w:val="2"/>
  </w:num>
  <w:num w:numId="28" w16cid:durableId="1741825436">
    <w:abstractNumId w:val="9"/>
  </w:num>
  <w:num w:numId="29" w16cid:durableId="1684473470">
    <w:abstractNumId w:val="3"/>
  </w:num>
  <w:num w:numId="30" w16cid:durableId="1061171150">
    <w:abstractNumId w:val="30"/>
  </w:num>
  <w:num w:numId="31" w16cid:durableId="1709262863">
    <w:abstractNumId w:val="8"/>
  </w:num>
  <w:num w:numId="32" w16cid:durableId="705251744">
    <w:abstractNumId w:val="24"/>
  </w:num>
  <w:num w:numId="33" w16cid:durableId="1834101571">
    <w:abstractNumId w:val="21"/>
  </w:num>
  <w:num w:numId="34" w16cid:durableId="1957178460">
    <w:abstractNumId w:val="35"/>
  </w:num>
  <w:num w:numId="35" w16cid:durableId="512769111">
    <w:abstractNumId w:val="38"/>
  </w:num>
  <w:num w:numId="36" w16cid:durableId="2090618649">
    <w:abstractNumId w:val="5"/>
  </w:num>
  <w:num w:numId="37" w16cid:durableId="2098791068">
    <w:abstractNumId w:val="25"/>
  </w:num>
  <w:num w:numId="38" w16cid:durableId="959607417">
    <w:abstractNumId w:val="28"/>
  </w:num>
  <w:num w:numId="39" w16cid:durableId="1124732075">
    <w:abstractNumId w:val="31"/>
  </w:num>
  <w:num w:numId="40" w16cid:durableId="1906836727">
    <w:abstractNumId w:val="20"/>
  </w:num>
  <w:num w:numId="41" w16cid:durableId="1331567319">
    <w:abstractNumId w:val="22"/>
  </w:num>
  <w:num w:numId="42" w16cid:durableId="1909457228">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4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DoH&lt;/Style&gt;&lt;LeftDelim&gt;{&lt;/LeftDelim&gt;&lt;RightDelim&gt;}&lt;/RightDelim&gt;&lt;FontName&gt;Arial Narrow&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a92a0099vraoeax5e5pxtbdw2xffawra2r&quot;&gt;POLE Genotyping Endnote Library&lt;record-ids&gt;&lt;item&gt;1&lt;/item&gt;&lt;item&gt;2&lt;/item&gt;&lt;item&gt;3&lt;/item&gt;&lt;item&gt;4&lt;/item&gt;&lt;item&gt;5&lt;/item&gt;&lt;item&gt;6&lt;/item&gt;&lt;item&gt;8&lt;/item&gt;&lt;item&gt;9&lt;/item&gt;&lt;item&gt;10&lt;/item&gt;&lt;item&gt;11&lt;/item&gt;&lt;item&gt;12&lt;/item&gt;&lt;item&gt;13&lt;/item&gt;&lt;item&gt;15&lt;/item&gt;&lt;item&gt;16&lt;/item&gt;&lt;item&gt;17&lt;/item&gt;&lt;item&gt;18&lt;/item&gt;&lt;item&gt;19&lt;/item&gt;&lt;item&gt;20&lt;/item&gt;&lt;item&gt;22&lt;/item&gt;&lt;item&gt;23&lt;/item&gt;&lt;item&gt;24&lt;/item&gt;&lt;item&gt;26&lt;/item&gt;&lt;item&gt;28&lt;/item&gt;&lt;item&gt;29&lt;/item&gt;&lt;item&gt;30&lt;/item&gt;&lt;item&gt;31&lt;/item&gt;&lt;item&gt;34&lt;/item&gt;&lt;item&gt;37&lt;/item&gt;&lt;item&gt;40&lt;/item&gt;&lt;item&gt;43&lt;/item&gt;&lt;item&gt;44&lt;/item&gt;&lt;item&gt;48&lt;/item&gt;&lt;item&gt;49&lt;/item&gt;&lt;item&gt;50&lt;/item&gt;&lt;item&gt;51&lt;/item&gt;&lt;item&gt;52&lt;/item&gt;&lt;item&gt;53&lt;/item&gt;&lt;item&gt;54&lt;/item&gt;&lt;item&gt;55&lt;/item&gt;&lt;item&gt;56&lt;/item&gt;&lt;item&gt;58&lt;/item&gt;&lt;item&gt;60&lt;/item&gt;&lt;item&gt;62&lt;/item&gt;&lt;item&gt;72&lt;/item&gt;&lt;item&gt;73&lt;/item&gt;&lt;item&gt;75&lt;/item&gt;&lt;item&gt;80&lt;/item&gt;&lt;item&gt;81&lt;/item&gt;&lt;item&gt;82&lt;/item&gt;&lt;item&gt;83&lt;/item&gt;&lt;item&gt;84&lt;/item&gt;&lt;item&gt;85&lt;/item&gt;&lt;item&gt;86&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1&lt;/item&gt;&lt;item&gt;127&lt;/item&gt;&lt;item&gt;128&lt;/item&gt;&lt;item&gt;129&lt;/item&gt;&lt;item&gt;130&lt;/item&gt;&lt;item&gt;131&lt;/item&gt;&lt;item&gt;133&lt;/item&gt;&lt;item&gt;137&lt;/item&gt;&lt;item&gt;138&lt;/item&gt;&lt;/record-ids&gt;&lt;/item&gt;&lt;/Libraries&gt;"/>
  </w:docVars>
  <w:rsids>
    <w:rsidRoot w:val="008157F1"/>
    <w:rsid w:val="00000201"/>
    <w:rsid w:val="000002A8"/>
    <w:rsid w:val="00000345"/>
    <w:rsid w:val="00000352"/>
    <w:rsid w:val="00000370"/>
    <w:rsid w:val="00000384"/>
    <w:rsid w:val="000003E4"/>
    <w:rsid w:val="000004E5"/>
    <w:rsid w:val="000005D5"/>
    <w:rsid w:val="00000607"/>
    <w:rsid w:val="00000612"/>
    <w:rsid w:val="00000763"/>
    <w:rsid w:val="000008AA"/>
    <w:rsid w:val="000008FB"/>
    <w:rsid w:val="0000090C"/>
    <w:rsid w:val="000009A5"/>
    <w:rsid w:val="000009AD"/>
    <w:rsid w:val="00000B40"/>
    <w:rsid w:val="00000B55"/>
    <w:rsid w:val="00000C03"/>
    <w:rsid w:val="00000C23"/>
    <w:rsid w:val="00000C29"/>
    <w:rsid w:val="00000E49"/>
    <w:rsid w:val="00000ECD"/>
    <w:rsid w:val="00000FAD"/>
    <w:rsid w:val="00000FC8"/>
    <w:rsid w:val="0000105A"/>
    <w:rsid w:val="0000109A"/>
    <w:rsid w:val="000012C9"/>
    <w:rsid w:val="000012CC"/>
    <w:rsid w:val="000013F6"/>
    <w:rsid w:val="000015A3"/>
    <w:rsid w:val="000015CE"/>
    <w:rsid w:val="00001618"/>
    <w:rsid w:val="00001651"/>
    <w:rsid w:val="000016F4"/>
    <w:rsid w:val="000017E5"/>
    <w:rsid w:val="0000184F"/>
    <w:rsid w:val="0000188E"/>
    <w:rsid w:val="000018C5"/>
    <w:rsid w:val="0000197F"/>
    <w:rsid w:val="00001AE6"/>
    <w:rsid w:val="00001B14"/>
    <w:rsid w:val="00001B7E"/>
    <w:rsid w:val="00001BD1"/>
    <w:rsid w:val="00001D56"/>
    <w:rsid w:val="00001D5B"/>
    <w:rsid w:val="00001D73"/>
    <w:rsid w:val="00001DB2"/>
    <w:rsid w:val="00001F10"/>
    <w:rsid w:val="00001F25"/>
    <w:rsid w:val="00001F8B"/>
    <w:rsid w:val="00001FDF"/>
    <w:rsid w:val="00002057"/>
    <w:rsid w:val="000020B7"/>
    <w:rsid w:val="00002155"/>
    <w:rsid w:val="00002157"/>
    <w:rsid w:val="00002283"/>
    <w:rsid w:val="000022E4"/>
    <w:rsid w:val="00002406"/>
    <w:rsid w:val="00002484"/>
    <w:rsid w:val="00002501"/>
    <w:rsid w:val="0000273C"/>
    <w:rsid w:val="000027D2"/>
    <w:rsid w:val="00002894"/>
    <w:rsid w:val="00002910"/>
    <w:rsid w:val="000029C7"/>
    <w:rsid w:val="00002A13"/>
    <w:rsid w:val="00002A17"/>
    <w:rsid w:val="00002A65"/>
    <w:rsid w:val="00002AE5"/>
    <w:rsid w:val="00002B55"/>
    <w:rsid w:val="00002BC3"/>
    <w:rsid w:val="00002C90"/>
    <w:rsid w:val="00002CA3"/>
    <w:rsid w:val="00002D12"/>
    <w:rsid w:val="00002D5D"/>
    <w:rsid w:val="00002DC2"/>
    <w:rsid w:val="00002EB6"/>
    <w:rsid w:val="00002EC9"/>
    <w:rsid w:val="00002F70"/>
    <w:rsid w:val="00002FF5"/>
    <w:rsid w:val="00003077"/>
    <w:rsid w:val="000031EC"/>
    <w:rsid w:val="00003207"/>
    <w:rsid w:val="000032A6"/>
    <w:rsid w:val="00003308"/>
    <w:rsid w:val="00003375"/>
    <w:rsid w:val="00003495"/>
    <w:rsid w:val="0000353E"/>
    <w:rsid w:val="00003550"/>
    <w:rsid w:val="000035A0"/>
    <w:rsid w:val="0000369C"/>
    <w:rsid w:val="00003766"/>
    <w:rsid w:val="0000377C"/>
    <w:rsid w:val="000038D4"/>
    <w:rsid w:val="00003919"/>
    <w:rsid w:val="00003980"/>
    <w:rsid w:val="000039C2"/>
    <w:rsid w:val="00003A9B"/>
    <w:rsid w:val="00003AD7"/>
    <w:rsid w:val="00003CA5"/>
    <w:rsid w:val="00003CFA"/>
    <w:rsid w:val="00003D15"/>
    <w:rsid w:val="00003D28"/>
    <w:rsid w:val="00003DF5"/>
    <w:rsid w:val="00003F47"/>
    <w:rsid w:val="00003FE9"/>
    <w:rsid w:val="000040F4"/>
    <w:rsid w:val="0000415A"/>
    <w:rsid w:val="0000416B"/>
    <w:rsid w:val="0000426C"/>
    <w:rsid w:val="00004342"/>
    <w:rsid w:val="00004486"/>
    <w:rsid w:val="0000462E"/>
    <w:rsid w:val="00004698"/>
    <w:rsid w:val="00004736"/>
    <w:rsid w:val="00004746"/>
    <w:rsid w:val="000047BF"/>
    <w:rsid w:val="0000480C"/>
    <w:rsid w:val="00004853"/>
    <w:rsid w:val="0000499E"/>
    <w:rsid w:val="00004A36"/>
    <w:rsid w:val="00004B56"/>
    <w:rsid w:val="00004BF3"/>
    <w:rsid w:val="00004D36"/>
    <w:rsid w:val="00004D69"/>
    <w:rsid w:val="00004DD7"/>
    <w:rsid w:val="00004E22"/>
    <w:rsid w:val="00004F7F"/>
    <w:rsid w:val="00004FDB"/>
    <w:rsid w:val="00004FE7"/>
    <w:rsid w:val="00005020"/>
    <w:rsid w:val="00005156"/>
    <w:rsid w:val="00005174"/>
    <w:rsid w:val="00005310"/>
    <w:rsid w:val="00005387"/>
    <w:rsid w:val="00005403"/>
    <w:rsid w:val="0000546C"/>
    <w:rsid w:val="0000549F"/>
    <w:rsid w:val="000054C9"/>
    <w:rsid w:val="0000554A"/>
    <w:rsid w:val="0000566B"/>
    <w:rsid w:val="000056B7"/>
    <w:rsid w:val="00005723"/>
    <w:rsid w:val="00005724"/>
    <w:rsid w:val="000057C1"/>
    <w:rsid w:val="000058F0"/>
    <w:rsid w:val="00005AE7"/>
    <w:rsid w:val="00005B0D"/>
    <w:rsid w:val="00005B11"/>
    <w:rsid w:val="00005B5F"/>
    <w:rsid w:val="00005BDD"/>
    <w:rsid w:val="00005DC3"/>
    <w:rsid w:val="00005F8F"/>
    <w:rsid w:val="00006030"/>
    <w:rsid w:val="00006156"/>
    <w:rsid w:val="00006198"/>
    <w:rsid w:val="0000622D"/>
    <w:rsid w:val="00006288"/>
    <w:rsid w:val="0000640F"/>
    <w:rsid w:val="000064A4"/>
    <w:rsid w:val="00006594"/>
    <w:rsid w:val="000065DA"/>
    <w:rsid w:val="000065DD"/>
    <w:rsid w:val="000065E7"/>
    <w:rsid w:val="000065FC"/>
    <w:rsid w:val="00006622"/>
    <w:rsid w:val="00006735"/>
    <w:rsid w:val="00006791"/>
    <w:rsid w:val="0000682B"/>
    <w:rsid w:val="00006883"/>
    <w:rsid w:val="00006965"/>
    <w:rsid w:val="00006A54"/>
    <w:rsid w:val="00006A5B"/>
    <w:rsid w:val="00006A6F"/>
    <w:rsid w:val="00006B18"/>
    <w:rsid w:val="00006B21"/>
    <w:rsid w:val="00006B2B"/>
    <w:rsid w:val="00006C28"/>
    <w:rsid w:val="00006C7C"/>
    <w:rsid w:val="00006E17"/>
    <w:rsid w:val="00006FAC"/>
    <w:rsid w:val="00007054"/>
    <w:rsid w:val="00007118"/>
    <w:rsid w:val="0000724A"/>
    <w:rsid w:val="00007264"/>
    <w:rsid w:val="000072D2"/>
    <w:rsid w:val="00007409"/>
    <w:rsid w:val="00007417"/>
    <w:rsid w:val="000074AE"/>
    <w:rsid w:val="000074C7"/>
    <w:rsid w:val="00007753"/>
    <w:rsid w:val="00007784"/>
    <w:rsid w:val="0000778F"/>
    <w:rsid w:val="00007882"/>
    <w:rsid w:val="000078A5"/>
    <w:rsid w:val="000078AF"/>
    <w:rsid w:val="00007939"/>
    <w:rsid w:val="00007A96"/>
    <w:rsid w:val="00007AEE"/>
    <w:rsid w:val="00007B85"/>
    <w:rsid w:val="00007B8B"/>
    <w:rsid w:val="00007E57"/>
    <w:rsid w:val="00007EBB"/>
    <w:rsid w:val="00007F57"/>
    <w:rsid w:val="00007F6E"/>
    <w:rsid w:val="00007FFD"/>
    <w:rsid w:val="00010067"/>
    <w:rsid w:val="000100F5"/>
    <w:rsid w:val="0001018D"/>
    <w:rsid w:val="000101AA"/>
    <w:rsid w:val="000101DE"/>
    <w:rsid w:val="00010228"/>
    <w:rsid w:val="000103FB"/>
    <w:rsid w:val="00010474"/>
    <w:rsid w:val="0001048C"/>
    <w:rsid w:val="000104EC"/>
    <w:rsid w:val="00010586"/>
    <w:rsid w:val="000106EF"/>
    <w:rsid w:val="00010771"/>
    <w:rsid w:val="000108B1"/>
    <w:rsid w:val="00010918"/>
    <w:rsid w:val="0001091E"/>
    <w:rsid w:val="00010983"/>
    <w:rsid w:val="000109EA"/>
    <w:rsid w:val="00010A3C"/>
    <w:rsid w:val="00010ACA"/>
    <w:rsid w:val="00010B22"/>
    <w:rsid w:val="00010B7B"/>
    <w:rsid w:val="00010BF3"/>
    <w:rsid w:val="00010C7A"/>
    <w:rsid w:val="00010D72"/>
    <w:rsid w:val="00010E80"/>
    <w:rsid w:val="00010E88"/>
    <w:rsid w:val="00010F84"/>
    <w:rsid w:val="00010FDE"/>
    <w:rsid w:val="00010FEA"/>
    <w:rsid w:val="00011003"/>
    <w:rsid w:val="0001101D"/>
    <w:rsid w:val="000110CC"/>
    <w:rsid w:val="00011127"/>
    <w:rsid w:val="00011293"/>
    <w:rsid w:val="00011302"/>
    <w:rsid w:val="00011355"/>
    <w:rsid w:val="0001142F"/>
    <w:rsid w:val="000114A6"/>
    <w:rsid w:val="0001152E"/>
    <w:rsid w:val="00011568"/>
    <w:rsid w:val="000115C2"/>
    <w:rsid w:val="000115E8"/>
    <w:rsid w:val="000116F6"/>
    <w:rsid w:val="000117AB"/>
    <w:rsid w:val="00011836"/>
    <w:rsid w:val="000118FE"/>
    <w:rsid w:val="00011961"/>
    <w:rsid w:val="00011A90"/>
    <w:rsid w:val="00011ABD"/>
    <w:rsid w:val="00011C8B"/>
    <w:rsid w:val="00011CA6"/>
    <w:rsid w:val="00011E59"/>
    <w:rsid w:val="00011F8F"/>
    <w:rsid w:val="00012023"/>
    <w:rsid w:val="00012027"/>
    <w:rsid w:val="00012074"/>
    <w:rsid w:val="00012075"/>
    <w:rsid w:val="00012082"/>
    <w:rsid w:val="0001209D"/>
    <w:rsid w:val="000120AD"/>
    <w:rsid w:val="00012160"/>
    <w:rsid w:val="0001218B"/>
    <w:rsid w:val="0001219D"/>
    <w:rsid w:val="0001229B"/>
    <w:rsid w:val="00012331"/>
    <w:rsid w:val="0001241D"/>
    <w:rsid w:val="000124BD"/>
    <w:rsid w:val="00012523"/>
    <w:rsid w:val="0001263F"/>
    <w:rsid w:val="00012660"/>
    <w:rsid w:val="00012663"/>
    <w:rsid w:val="0001280D"/>
    <w:rsid w:val="00012863"/>
    <w:rsid w:val="000128B1"/>
    <w:rsid w:val="0001296B"/>
    <w:rsid w:val="000129C6"/>
    <w:rsid w:val="00012AE1"/>
    <w:rsid w:val="00012BEC"/>
    <w:rsid w:val="00012C77"/>
    <w:rsid w:val="00012D1C"/>
    <w:rsid w:val="00012D8E"/>
    <w:rsid w:val="00012E25"/>
    <w:rsid w:val="00012E5B"/>
    <w:rsid w:val="00012EC5"/>
    <w:rsid w:val="00012F64"/>
    <w:rsid w:val="0001302F"/>
    <w:rsid w:val="00013089"/>
    <w:rsid w:val="00013143"/>
    <w:rsid w:val="00013152"/>
    <w:rsid w:val="000132C8"/>
    <w:rsid w:val="00013501"/>
    <w:rsid w:val="00013688"/>
    <w:rsid w:val="00013784"/>
    <w:rsid w:val="000137AE"/>
    <w:rsid w:val="000137DC"/>
    <w:rsid w:val="0001394C"/>
    <w:rsid w:val="00013986"/>
    <w:rsid w:val="00013A01"/>
    <w:rsid w:val="00013A37"/>
    <w:rsid w:val="00013A3C"/>
    <w:rsid w:val="00013B82"/>
    <w:rsid w:val="00013BAC"/>
    <w:rsid w:val="00013C23"/>
    <w:rsid w:val="00013C4C"/>
    <w:rsid w:val="00013D0A"/>
    <w:rsid w:val="00013D2B"/>
    <w:rsid w:val="00013D67"/>
    <w:rsid w:val="00013D97"/>
    <w:rsid w:val="00013DDD"/>
    <w:rsid w:val="00013DE7"/>
    <w:rsid w:val="00013E33"/>
    <w:rsid w:val="00013E55"/>
    <w:rsid w:val="00013EF6"/>
    <w:rsid w:val="0001402D"/>
    <w:rsid w:val="0001424C"/>
    <w:rsid w:val="000144A8"/>
    <w:rsid w:val="0001450D"/>
    <w:rsid w:val="00014525"/>
    <w:rsid w:val="0001452B"/>
    <w:rsid w:val="0001452E"/>
    <w:rsid w:val="00014555"/>
    <w:rsid w:val="00014560"/>
    <w:rsid w:val="0001457E"/>
    <w:rsid w:val="000145F6"/>
    <w:rsid w:val="00014615"/>
    <w:rsid w:val="00014616"/>
    <w:rsid w:val="0001470A"/>
    <w:rsid w:val="000147B6"/>
    <w:rsid w:val="00014857"/>
    <w:rsid w:val="00014945"/>
    <w:rsid w:val="00014974"/>
    <w:rsid w:val="00014AD0"/>
    <w:rsid w:val="00014BE4"/>
    <w:rsid w:val="00014CE5"/>
    <w:rsid w:val="00014DD7"/>
    <w:rsid w:val="00014E4B"/>
    <w:rsid w:val="00014EAC"/>
    <w:rsid w:val="00014F29"/>
    <w:rsid w:val="00015000"/>
    <w:rsid w:val="00015097"/>
    <w:rsid w:val="00015148"/>
    <w:rsid w:val="00015260"/>
    <w:rsid w:val="00015266"/>
    <w:rsid w:val="00015292"/>
    <w:rsid w:val="00015478"/>
    <w:rsid w:val="00015479"/>
    <w:rsid w:val="000154D8"/>
    <w:rsid w:val="0001562C"/>
    <w:rsid w:val="00015667"/>
    <w:rsid w:val="00015696"/>
    <w:rsid w:val="000156CB"/>
    <w:rsid w:val="00015849"/>
    <w:rsid w:val="000159B5"/>
    <w:rsid w:val="000159E9"/>
    <w:rsid w:val="00015AA9"/>
    <w:rsid w:val="00015BF6"/>
    <w:rsid w:val="00015C29"/>
    <w:rsid w:val="00015C91"/>
    <w:rsid w:val="00015CC4"/>
    <w:rsid w:val="00015CDC"/>
    <w:rsid w:val="00015CDF"/>
    <w:rsid w:val="00015D82"/>
    <w:rsid w:val="00015EE5"/>
    <w:rsid w:val="000160B6"/>
    <w:rsid w:val="00016314"/>
    <w:rsid w:val="00016384"/>
    <w:rsid w:val="0001638B"/>
    <w:rsid w:val="000163A6"/>
    <w:rsid w:val="00016481"/>
    <w:rsid w:val="00016528"/>
    <w:rsid w:val="00016560"/>
    <w:rsid w:val="000165DE"/>
    <w:rsid w:val="0001666C"/>
    <w:rsid w:val="00016722"/>
    <w:rsid w:val="00016730"/>
    <w:rsid w:val="00016797"/>
    <w:rsid w:val="0001681A"/>
    <w:rsid w:val="0001681D"/>
    <w:rsid w:val="00016874"/>
    <w:rsid w:val="00016922"/>
    <w:rsid w:val="00016970"/>
    <w:rsid w:val="00016A44"/>
    <w:rsid w:val="00016A52"/>
    <w:rsid w:val="00016BD5"/>
    <w:rsid w:val="00016C06"/>
    <w:rsid w:val="00016DAA"/>
    <w:rsid w:val="00016E5E"/>
    <w:rsid w:val="00016F94"/>
    <w:rsid w:val="00016FD7"/>
    <w:rsid w:val="00017029"/>
    <w:rsid w:val="00017059"/>
    <w:rsid w:val="00017063"/>
    <w:rsid w:val="0001723C"/>
    <w:rsid w:val="00017441"/>
    <w:rsid w:val="000174BD"/>
    <w:rsid w:val="00017581"/>
    <w:rsid w:val="00017635"/>
    <w:rsid w:val="000176A6"/>
    <w:rsid w:val="000177B2"/>
    <w:rsid w:val="000178CF"/>
    <w:rsid w:val="00017A10"/>
    <w:rsid w:val="00017BC7"/>
    <w:rsid w:val="00017C77"/>
    <w:rsid w:val="00017D3E"/>
    <w:rsid w:val="00017D64"/>
    <w:rsid w:val="00017E1F"/>
    <w:rsid w:val="00017E28"/>
    <w:rsid w:val="00017EFC"/>
    <w:rsid w:val="00017FCA"/>
    <w:rsid w:val="00020023"/>
    <w:rsid w:val="00020206"/>
    <w:rsid w:val="00020219"/>
    <w:rsid w:val="00020430"/>
    <w:rsid w:val="00020481"/>
    <w:rsid w:val="000204AF"/>
    <w:rsid w:val="000204F2"/>
    <w:rsid w:val="00020525"/>
    <w:rsid w:val="000205BE"/>
    <w:rsid w:val="00020622"/>
    <w:rsid w:val="00020631"/>
    <w:rsid w:val="00020671"/>
    <w:rsid w:val="00020766"/>
    <w:rsid w:val="00020796"/>
    <w:rsid w:val="00020844"/>
    <w:rsid w:val="000208F7"/>
    <w:rsid w:val="00020985"/>
    <w:rsid w:val="00020A2B"/>
    <w:rsid w:val="00020A8E"/>
    <w:rsid w:val="00020B1E"/>
    <w:rsid w:val="00020C2E"/>
    <w:rsid w:val="00020C7E"/>
    <w:rsid w:val="00020CA6"/>
    <w:rsid w:val="00020D42"/>
    <w:rsid w:val="00020DD1"/>
    <w:rsid w:val="00020E10"/>
    <w:rsid w:val="00020E63"/>
    <w:rsid w:val="00020EE2"/>
    <w:rsid w:val="00020F19"/>
    <w:rsid w:val="00020FC8"/>
    <w:rsid w:val="00021011"/>
    <w:rsid w:val="000211D5"/>
    <w:rsid w:val="000211E4"/>
    <w:rsid w:val="000212C9"/>
    <w:rsid w:val="00021378"/>
    <w:rsid w:val="00021484"/>
    <w:rsid w:val="000214F0"/>
    <w:rsid w:val="000214F3"/>
    <w:rsid w:val="0002153E"/>
    <w:rsid w:val="0002158F"/>
    <w:rsid w:val="00021780"/>
    <w:rsid w:val="000217AA"/>
    <w:rsid w:val="000217B0"/>
    <w:rsid w:val="00021813"/>
    <w:rsid w:val="00021819"/>
    <w:rsid w:val="0002198D"/>
    <w:rsid w:val="00021A4C"/>
    <w:rsid w:val="00021B0E"/>
    <w:rsid w:val="00021B78"/>
    <w:rsid w:val="00021BB9"/>
    <w:rsid w:val="00021BE8"/>
    <w:rsid w:val="00021C13"/>
    <w:rsid w:val="00021CBA"/>
    <w:rsid w:val="00021D4E"/>
    <w:rsid w:val="00021F3F"/>
    <w:rsid w:val="00021F55"/>
    <w:rsid w:val="00021F66"/>
    <w:rsid w:val="00021FDE"/>
    <w:rsid w:val="00022274"/>
    <w:rsid w:val="0002229C"/>
    <w:rsid w:val="000222E9"/>
    <w:rsid w:val="000223C0"/>
    <w:rsid w:val="000223EA"/>
    <w:rsid w:val="000223F5"/>
    <w:rsid w:val="000223FB"/>
    <w:rsid w:val="0002243E"/>
    <w:rsid w:val="0002264E"/>
    <w:rsid w:val="00022733"/>
    <w:rsid w:val="0002276D"/>
    <w:rsid w:val="000227FD"/>
    <w:rsid w:val="000228B8"/>
    <w:rsid w:val="000228DD"/>
    <w:rsid w:val="00022920"/>
    <w:rsid w:val="00022995"/>
    <w:rsid w:val="00022AD8"/>
    <w:rsid w:val="00022BAC"/>
    <w:rsid w:val="00022C3C"/>
    <w:rsid w:val="00022CDB"/>
    <w:rsid w:val="00022CE0"/>
    <w:rsid w:val="00022CFC"/>
    <w:rsid w:val="00022D31"/>
    <w:rsid w:val="00022D35"/>
    <w:rsid w:val="00022D3B"/>
    <w:rsid w:val="0002308B"/>
    <w:rsid w:val="000230EB"/>
    <w:rsid w:val="0002327C"/>
    <w:rsid w:val="00023287"/>
    <w:rsid w:val="000232C2"/>
    <w:rsid w:val="000233BC"/>
    <w:rsid w:val="000233DE"/>
    <w:rsid w:val="00023530"/>
    <w:rsid w:val="00023561"/>
    <w:rsid w:val="00023812"/>
    <w:rsid w:val="0002381B"/>
    <w:rsid w:val="00023998"/>
    <w:rsid w:val="000239AD"/>
    <w:rsid w:val="000239E1"/>
    <w:rsid w:val="00023BAC"/>
    <w:rsid w:val="00023F19"/>
    <w:rsid w:val="00023F42"/>
    <w:rsid w:val="000240B2"/>
    <w:rsid w:val="000241AF"/>
    <w:rsid w:val="0002423E"/>
    <w:rsid w:val="00024246"/>
    <w:rsid w:val="00024281"/>
    <w:rsid w:val="00024295"/>
    <w:rsid w:val="000242D6"/>
    <w:rsid w:val="0002440D"/>
    <w:rsid w:val="0002447E"/>
    <w:rsid w:val="0002451C"/>
    <w:rsid w:val="00024544"/>
    <w:rsid w:val="00024593"/>
    <w:rsid w:val="000245A4"/>
    <w:rsid w:val="0002465C"/>
    <w:rsid w:val="000246D1"/>
    <w:rsid w:val="000246DD"/>
    <w:rsid w:val="000246F1"/>
    <w:rsid w:val="00024773"/>
    <w:rsid w:val="0002478F"/>
    <w:rsid w:val="000248B4"/>
    <w:rsid w:val="00024962"/>
    <w:rsid w:val="00024981"/>
    <w:rsid w:val="00024998"/>
    <w:rsid w:val="00024A8D"/>
    <w:rsid w:val="00024ACC"/>
    <w:rsid w:val="00024B4F"/>
    <w:rsid w:val="00024BDB"/>
    <w:rsid w:val="00024CD8"/>
    <w:rsid w:val="00024D2A"/>
    <w:rsid w:val="00024DB7"/>
    <w:rsid w:val="00024DC1"/>
    <w:rsid w:val="00024EA5"/>
    <w:rsid w:val="00024F49"/>
    <w:rsid w:val="00024F8E"/>
    <w:rsid w:val="00025065"/>
    <w:rsid w:val="0002506C"/>
    <w:rsid w:val="000250B1"/>
    <w:rsid w:val="000250E8"/>
    <w:rsid w:val="0002510E"/>
    <w:rsid w:val="00025191"/>
    <w:rsid w:val="00025251"/>
    <w:rsid w:val="000252F6"/>
    <w:rsid w:val="00025380"/>
    <w:rsid w:val="000253E9"/>
    <w:rsid w:val="00025459"/>
    <w:rsid w:val="0002550A"/>
    <w:rsid w:val="00025686"/>
    <w:rsid w:val="00025709"/>
    <w:rsid w:val="000258A8"/>
    <w:rsid w:val="000259A6"/>
    <w:rsid w:val="00025A10"/>
    <w:rsid w:val="00025A18"/>
    <w:rsid w:val="00025AC5"/>
    <w:rsid w:val="00025B42"/>
    <w:rsid w:val="00025BE5"/>
    <w:rsid w:val="00025C22"/>
    <w:rsid w:val="00025D61"/>
    <w:rsid w:val="00025E42"/>
    <w:rsid w:val="00025F4C"/>
    <w:rsid w:val="00025FB0"/>
    <w:rsid w:val="00026050"/>
    <w:rsid w:val="00026120"/>
    <w:rsid w:val="00026127"/>
    <w:rsid w:val="0002613F"/>
    <w:rsid w:val="00026169"/>
    <w:rsid w:val="0002626F"/>
    <w:rsid w:val="000262F8"/>
    <w:rsid w:val="00026336"/>
    <w:rsid w:val="00026363"/>
    <w:rsid w:val="0002638D"/>
    <w:rsid w:val="000263F3"/>
    <w:rsid w:val="00026526"/>
    <w:rsid w:val="00026608"/>
    <w:rsid w:val="0002676C"/>
    <w:rsid w:val="000267B3"/>
    <w:rsid w:val="00026838"/>
    <w:rsid w:val="00026928"/>
    <w:rsid w:val="000269A4"/>
    <w:rsid w:val="000269C1"/>
    <w:rsid w:val="000269F9"/>
    <w:rsid w:val="00026A56"/>
    <w:rsid w:val="00026D26"/>
    <w:rsid w:val="00026D80"/>
    <w:rsid w:val="000270E2"/>
    <w:rsid w:val="0002723E"/>
    <w:rsid w:val="00027287"/>
    <w:rsid w:val="00027363"/>
    <w:rsid w:val="000273E3"/>
    <w:rsid w:val="00027407"/>
    <w:rsid w:val="00027453"/>
    <w:rsid w:val="000274A0"/>
    <w:rsid w:val="00027518"/>
    <w:rsid w:val="00027530"/>
    <w:rsid w:val="0002755F"/>
    <w:rsid w:val="0002762D"/>
    <w:rsid w:val="0002767D"/>
    <w:rsid w:val="00027694"/>
    <w:rsid w:val="0002773E"/>
    <w:rsid w:val="00027749"/>
    <w:rsid w:val="000278CF"/>
    <w:rsid w:val="0002792E"/>
    <w:rsid w:val="00027B6A"/>
    <w:rsid w:val="00027BA8"/>
    <w:rsid w:val="00027BC9"/>
    <w:rsid w:val="00027CDC"/>
    <w:rsid w:val="00027F70"/>
    <w:rsid w:val="00030113"/>
    <w:rsid w:val="000301FA"/>
    <w:rsid w:val="000302B6"/>
    <w:rsid w:val="000302BE"/>
    <w:rsid w:val="00030407"/>
    <w:rsid w:val="00030470"/>
    <w:rsid w:val="000304A5"/>
    <w:rsid w:val="000306C1"/>
    <w:rsid w:val="00030713"/>
    <w:rsid w:val="0003074B"/>
    <w:rsid w:val="000308DC"/>
    <w:rsid w:val="00030BDE"/>
    <w:rsid w:val="00030C7C"/>
    <w:rsid w:val="00030CA4"/>
    <w:rsid w:val="00030CB0"/>
    <w:rsid w:val="00030CFB"/>
    <w:rsid w:val="00030D32"/>
    <w:rsid w:val="00030DEF"/>
    <w:rsid w:val="00030FF3"/>
    <w:rsid w:val="0003103E"/>
    <w:rsid w:val="000310C0"/>
    <w:rsid w:val="000310C5"/>
    <w:rsid w:val="000310FB"/>
    <w:rsid w:val="00031121"/>
    <w:rsid w:val="00031297"/>
    <w:rsid w:val="0003147A"/>
    <w:rsid w:val="000315E3"/>
    <w:rsid w:val="0003164C"/>
    <w:rsid w:val="0003164F"/>
    <w:rsid w:val="000316AE"/>
    <w:rsid w:val="00031737"/>
    <w:rsid w:val="000318F3"/>
    <w:rsid w:val="000319C1"/>
    <w:rsid w:val="00031AF7"/>
    <w:rsid w:val="00031C99"/>
    <w:rsid w:val="00031D68"/>
    <w:rsid w:val="00031DD0"/>
    <w:rsid w:val="00031EFC"/>
    <w:rsid w:val="00031FE8"/>
    <w:rsid w:val="0003204E"/>
    <w:rsid w:val="00032100"/>
    <w:rsid w:val="0003220C"/>
    <w:rsid w:val="000322E5"/>
    <w:rsid w:val="000323C8"/>
    <w:rsid w:val="000323E0"/>
    <w:rsid w:val="00032417"/>
    <w:rsid w:val="00032583"/>
    <w:rsid w:val="0003261F"/>
    <w:rsid w:val="000326AD"/>
    <w:rsid w:val="00032746"/>
    <w:rsid w:val="00032805"/>
    <w:rsid w:val="000329D5"/>
    <w:rsid w:val="00032A4F"/>
    <w:rsid w:val="00032B6C"/>
    <w:rsid w:val="00032C08"/>
    <w:rsid w:val="00032D66"/>
    <w:rsid w:val="00032DF7"/>
    <w:rsid w:val="00032F63"/>
    <w:rsid w:val="000330F6"/>
    <w:rsid w:val="0003315E"/>
    <w:rsid w:val="0003321E"/>
    <w:rsid w:val="0003323E"/>
    <w:rsid w:val="000332A4"/>
    <w:rsid w:val="0003352B"/>
    <w:rsid w:val="0003360B"/>
    <w:rsid w:val="000339BE"/>
    <w:rsid w:val="000339E4"/>
    <w:rsid w:val="00033A6C"/>
    <w:rsid w:val="00033ADC"/>
    <w:rsid w:val="00033BE1"/>
    <w:rsid w:val="00033D99"/>
    <w:rsid w:val="00033DFC"/>
    <w:rsid w:val="00033E0F"/>
    <w:rsid w:val="00033F68"/>
    <w:rsid w:val="00034042"/>
    <w:rsid w:val="000341CC"/>
    <w:rsid w:val="000341DA"/>
    <w:rsid w:val="0003423A"/>
    <w:rsid w:val="0003441A"/>
    <w:rsid w:val="000345AF"/>
    <w:rsid w:val="000345C7"/>
    <w:rsid w:val="0003477F"/>
    <w:rsid w:val="0003478B"/>
    <w:rsid w:val="000347C2"/>
    <w:rsid w:val="0003485F"/>
    <w:rsid w:val="00034919"/>
    <w:rsid w:val="00034B35"/>
    <w:rsid w:val="00034B54"/>
    <w:rsid w:val="00034C09"/>
    <w:rsid w:val="00034C34"/>
    <w:rsid w:val="00034C60"/>
    <w:rsid w:val="00034CD5"/>
    <w:rsid w:val="00034D21"/>
    <w:rsid w:val="00034D52"/>
    <w:rsid w:val="00034E04"/>
    <w:rsid w:val="00034EFC"/>
    <w:rsid w:val="00034FA2"/>
    <w:rsid w:val="00035088"/>
    <w:rsid w:val="0003509B"/>
    <w:rsid w:val="000351DD"/>
    <w:rsid w:val="0003530F"/>
    <w:rsid w:val="0003531A"/>
    <w:rsid w:val="0003538D"/>
    <w:rsid w:val="000353D7"/>
    <w:rsid w:val="00035607"/>
    <w:rsid w:val="00035634"/>
    <w:rsid w:val="000356E7"/>
    <w:rsid w:val="0003572B"/>
    <w:rsid w:val="000357B8"/>
    <w:rsid w:val="000357F1"/>
    <w:rsid w:val="0003580B"/>
    <w:rsid w:val="0003586D"/>
    <w:rsid w:val="000358F0"/>
    <w:rsid w:val="00035A29"/>
    <w:rsid w:val="00035A4E"/>
    <w:rsid w:val="00035A59"/>
    <w:rsid w:val="00035A6E"/>
    <w:rsid w:val="00035B28"/>
    <w:rsid w:val="00035C25"/>
    <w:rsid w:val="00035D5E"/>
    <w:rsid w:val="00035DBC"/>
    <w:rsid w:val="00035E19"/>
    <w:rsid w:val="00035F8B"/>
    <w:rsid w:val="00035FC5"/>
    <w:rsid w:val="0003608C"/>
    <w:rsid w:val="00036104"/>
    <w:rsid w:val="000361F4"/>
    <w:rsid w:val="00036299"/>
    <w:rsid w:val="00036302"/>
    <w:rsid w:val="00036360"/>
    <w:rsid w:val="00036370"/>
    <w:rsid w:val="00036393"/>
    <w:rsid w:val="0003649A"/>
    <w:rsid w:val="00036637"/>
    <w:rsid w:val="0003665C"/>
    <w:rsid w:val="00036763"/>
    <w:rsid w:val="000367BF"/>
    <w:rsid w:val="000367C7"/>
    <w:rsid w:val="000367DE"/>
    <w:rsid w:val="000367E5"/>
    <w:rsid w:val="0003681A"/>
    <w:rsid w:val="000368B1"/>
    <w:rsid w:val="000368E6"/>
    <w:rsid w:val="00036969"/>
    <w:rsid w:val="00036AA1"/>
    <w:rsid w:val="00036AD8"/>
    <w:rsid w:val="00036B25"/>
    <w:rsid w:val="00036B26"/>
    <w:rsid w:val="00036B65"/>
    <w:rsid w:val="00036C23"/>
    <w:rsid w:val="00036C51"/>
    <w:rsid w:val="00036C6F"/>
    <w:rsid w:val="00036EA2"/>
    <w:rsid w:val="00036F6D"/>
    <w:rsid w:val="0003700E"/>
    <w:rsid w:val="0003702B"/>
    <w:rsid w:val="00037037"/>
    <w:rsid w:val="0003706B"/>
    <w:rsid w:val="000370B1"/>
    <w:rsid w:val="000371A6"/>
    <w:rsid w:val="000371F9"/>
    <w:rsid w:val="00037302"/>
    <w:rsid w:val="000374A3"/>
    <w:rsid w:val="00037528"/>
    <w:rsid w:val="00037690"/>
    <w:rsid w:val="000377D9"/>
    <w:rsid w:val="00037813"/>
    <w:rsid w:val="000378B7"/>
    <w:rsid w:val="0003794D"/>
    <w:rsid w:val="00037A04"/>
    <w:rsid w:val="00037A87"/>
    <w:rsid w:val="00037AA1"/>
    <w:rsid w:val="00037AC5"/>
    <w:rsid w:val="00037C22"/>
    <w:rsid w:val="00037E43"/>
    <w:rsid w:val="00040035"/>
    <w:rsid w:val="0004005D"/>
    <w:rsid w:val="000400AC"/>
    <w:rsid w:val="000401C3"/>
    <w:rsid w:val="0004023F"/>
    <w:rsid w:val="000402B4"/>
    <w:rsid w:val="00040315"/>
    <w:rsid w:val="00040333"/>
    <w:rsid w:val="00040347"/>
    <w:rsid w:val="000403D4"/>
    <w:rsid w:val="000403E6"/>
    <w:rsid w:val="00040419"/>
    <w:rsid w:val="00040447"/>
    <w:rsid w:val="000404E3"/>
    <w:rsid w:val="000405EE"/>
    <w:rsid w:val="000406D4"/>
    <w:rsid w:val="000406D8"/>
    <w:rsid w:val="000406F1"/>
    <w:rsid w:val="00040794"/>
    <w:rsid w:val="000407D8"/>
    <w:rsid w:val="00040820"/>
    <w:rsid w:val="00040852"/>
    <w:rsid w:val="0004088E"/>
    <w:rsid w:val="000408C9"/>
    <w:rsid w:val="000408F3"/>
    <w:rsid w:val="0004090A"/>
    <w:rsid w:val="0004091F"/>
    <w:rsid w:val="000409CA"/>
    <w:rsid w:val="00040ADF"/>
    <w:rsid w:val="00040AF5"/>
    <w:rsid w:val="00040B00"/>
    <w:rsid w:val="00040B55"/>
    <w:rsid w:val="00040D58"/>
    <w:rsid w:val="00040D9C"/>
    <w:rsid w:val="00040DE9"/>
    <w:rsid w:val="00040E0C"/>
    <w:rsid w:val="00040E44"/>
    <w:rsid w:val="00040EFD"/>
    <w:rsid w:val="00040FB4"/>
    <w:rsid w:val="00040FD6"/>
    <w:rsid w:val="00041089"/>
    <w:rsid w:val="000410DB"/>
    <w:rsid w:val="000410DC"/>
    <w:rsid w:val="00041157"/>
    <w:rsid w:val="000411DA"/>
    <w:rsid w:val="00041365"/>
    <w:rsid w:val="000413EE"/>
    <w:rsid w:val="000414C9"/>
    <w:rsid w:val="000414F3"/>
    <w:rsid w:val="00041623"/>
    <w:rsid w:val="00041722"/>
    <w:rsid w:val="00041736"/>
    <w:rsid w:val="0004177D"/>
    <w:rsid w:val="0004178C"/>
    <w:rsid w:val="00041824"/>
    <w:rsid w:val="00041895"/>
    <w:rsid w:val="00041902"/>
    <w:rsid w:val="000419D1"/>
    <w:rsid w:val="00041AE1"/>
    <w:rsid w:val="00041B2B"/>
    <w:rsid w:val="00041B8F"/>
    <w:rsid w:val="00041BA4"/>
    <w:rsid w:val="00041C3E"/>
    <w:rsid w:val="00041D80"/>
    <w:rsid w:val="00041DBD"/>
    <w:rsid w:val="00041E4A"/>
    <w:rsid w:val="00041E52"/>
    <w:rsid w:val="00041E68"/>
    <w:rsid w:val="00041EA8"/>
    <w:rsid w:val="00041ECB"/>
    <w:rsid w:val="00041EFD"/>
    <w:rsid w:val="00041F5D"/>
    <w:rsid w:val="00041FCC"/>
    <w:rsid w:val="00042156"/>
    <w:rsid w:val="000421CB"/>
    <w:rsid w:val="000422DE"/>
    <w:rsid w:val="00042324"/>
    <w:rsid w:val="000423C3"/>
    <w:rsid w:val="00042543"/>
    <w:rsid w:val="00042571"/>
    <w:rsid w:val="00042640"/>
    <w:rsid w:val="0004284E"/>
    <w:rsid w:val="00042890"/>
    <w:rsid w:val="000428A9"/>
    <w:rsid w:val="00042904"/>
    <w:rsid w:val="0004295B"/>
    <w:rsid w:val="00042A27"/>
    <w:rsid w:val="00042B8D"/>
    <w:rsid w:val="00042BB3"/>
    <w:rsid w:val="00042BBF"/>
    <w:rsid w:val="00042C56"/>
    <w:rsid w:val="00042C73"/>
    <w:rsid w:val="00042D20"/>
    <w:rsid w:val="00042EC1"/>
    <w:rsid w:val="00042F1E"/>
    <w:rsid w:val="00042FD4"/>
    <w:rsid w:val="000430B2"/>
    <w:rsid w:val="000430B5"/>
    <w:rsid w:val="000430FF"/>
    <w:rsid w:val="00043110"/>
    <w:rsid w:val="000431A6"/>
    <w:rsid w:val="00043270"/>
    <w:rsid w:val="00043491"/>
    <w:rsid w:val="000434E9"/>
    <w:rsid w:val="000435DC"/>
    <w:rsid w:val="00043626"/>
    <w:rsid w:val="00043660"/>
    <w:rsid w:val="000436CD"/>
    <w:rsid w:val="0004374B"/>
    <w:rsid w:val="00043799"/>
    <w:rsid w:val="0004379A"/>
    <w:rsid w:val="000438DD"/>
    <w:rsid w:val="000438E4"/>
    <w:rsid w:val="00043984"/>
    <w:rsid w:val="00043987"/>
    <w:rsid w:val="00043A00"/>
    <w:rsid w:val="00043A05"/>
    <w:rsid w:val="00043A61"/>
    <w:rsid w:val="00043B79"/>
    <w:rsid w:val="00043C3D"/>
    <w:rsid w:val="00043E00"/>
    <w:rsid w:val="00043E54"/>
    <w:rsid w:val="00043E9B"/>
    <w:rsid w:val="00043F00"/>
    <w:rsid w:val="0004404D"/>
    <w:rsid w:val="000440E8"/>
    <w:rsid w:val="000441AD"/>
    <w:rsid w:val="0004425B"/>
    <w:rsid w:val="00044263"/>
    <w:rsid w:val="000443A6"/>
    <w:rsid w:val="00044412"/>
    <w:rsid w:val="00044439"/>
    <w:rsid w:val="000444B3"/>
    <w:rsid w:val="00044504"/>
    <w:rsid w:val="00044615"/>
    <w:rsid w:val="0004462C"/>
    <w:rsid w:val="00044671"/>
    <w:rsid w:val="00044823"/>
    <w:rsid w:val="00044846"/>
    <w:rsid w:val="000448D5"/>
    <w:rsid w:val="000448FD"/>
    <w:rsid w:val="0004498D"/>
    <w:rsid w:val="0004499D"/>
    <w:rsid w:val="000449D1"/>
    <w:rsid w:val="00044A67"/>
    <w:rsid w:val="00044ACE"/>
    <w:rsid w:val="00044B67"/>
    <w:rsid w:val="00044C6A"/>
    <w:rsid w:val="00044CBB"/>
    <w:rsid w:val="00044D59"/>
    <w:rsid w:val="00044D98"/>
    <w:rsid w:val="00044E21"/>
    <w:rsid w:val="00044E82"/>
    <w:rsid w:val="00044FD7"/>
    <w:rsid w:val="00044FEC"/>
    <w:rsid w:val="000451A2"/>
    <w:rsid w:val="000451E3"/>
    <w:rsid w:val="0004524F"/>
    <w:rsid w:val="00045416"/>
    <w:rsid w:val="00045434"/>
    <w:rsid w:val="00045489"/>
    <w:rsid w:val="0004555F"/>
    <w:rsid w:val="000455A3"/>
    <w:rsid w:val="000455D5"/>
    <w:rsid w:val="000456BC"/>
    <w:rsid w:val="0004578A"/>
    <w:rsid w:val="000457F7"/>
    <w:rsid w:val="000458F2"/>
    <w:rsid w:val="00045923"/>
    <w:rsid w:val="00045AD7"/>
    <w:rsid w:val="00045B5D"/>
    <w:rsid w:val="00045B8D"/>
    <w:rsid w:val="00045C0C"/>
    <w:rsid w:val="00045C2C"/>
    <w:rsid w:val="00045C44"/>
    <w:rsid w:val="00045C60"/>
    <w:rsid w:val="00045C78"/>
    <w:rsid w:val="00045CC5"/>
    <w:rsid w:val="00045E79"/>
    <w:rsid w:val="00045F73"/>
    <w:rsid w:val="00046102"/>
    <w:rsid w:val="000461B4"/>
    <w:rsid w:val="000461E8"/>
    <w:rsid w:val="00046295"/>
    <w:rsid w:val="000462A2"/>
    <w:rsid w:val="000462B8"/>
    <w:rsid w:val="00046330"/>
    <w:rsid w:val="000463C0"/>
    <w:rsid w:val="00046430"/>
    <w:rsid w:val="00046581"/>
    <w:rsid w:val="00046585"/>
    <w:rsid w:val="000465BB"/>
    <w:rsid w:val="000465ED"/>
    <w:rsid w:val="0004674B"/>
    <w:rsid w:val="000467D0"/>
    <w:rsid w:val="00046889"/>
    <w:rsid w:val="00046890"/>
    <w:rsid w:val="000468F1"/>
    <w:rsid w:val="00046955"/>
    <w:rsid w:val="00046A0C"/>
    <w:rsid w:val="00046B6A"/>
    <w:rsid w:val="00046C0E"/>
    <w:rsid w:val="00046C89"/>
    <w:rsid w:val="00046D59"/>
    <w:rsid w:val="00046E41"/>
    <w:rsid w:val="00046EA2"/>
    <w:rsid w:val="00046EB7"/>
    <w:rsid w:val="00046FA6"/>
    <w:rsid w:val="00046FC7"/>
    <w:rsid w:val="0004703C"/>
    <w:rsid w:val="0004705A"/>
    <w:rsid w:val="000470FA"/>
    <w:rsid w:val="00047109"/>
    <w:rsid w:val="00047155"/>
    <w:rsid w:val="0004728C"/>
    <w:rsid w:val="000472CA"/>
    <w:rsid w:val="000472D4"/>
    <w:rsid w:val="000472EB"/>
    <w:rsid w:val="00047418"/>
    <w:rsid w:val="00047419"/>
    <w:rsid w:val="00047481"/>
    <w:rsid w:val="00047555"/>
    <w:rsid w:val="00047656"/>
    <w:rsid w:val="0004778E"/>
    <w:rsid w:val="000478BA"/>
    <w:rsid w:val="00047914"/>
    <w:rsid w:val="00047994"/>
    <w:rsid w:val="00047A36"/>
    <w:rsid w:val="00047BD1"/>
    <w:rsid w:val="00047D54"/>
    <w:rsid w:val="00047D7D"/>
    <w:rsid w:val="00047DF3"/>
    <w:rsid w:val="00047F68"/>
    <w:rsid w:val="000500C7"/>
    <w:rsid w:val="0005010D"/>
    <w:rsid w:val="00050110"/>
    <w:rsid w:val="00050188"/>
    <w:rsid w:val="0005028B"/>
    <w:rsid w:val="0005052F"/>
    <w:rsid w:val="00050547"/>
    <w:rsid w:val="0005061E"/>
    <w:rsid w:val="00050634"/>
    <w:rsid w:val="000507AC"/>
    <w:rsid w:val="0005089E"/>
    <w:rsid w:val="00050921"/>
    <w:rsid w:val="000509AE"/>
    <w:rsid w:val="00050BB6"/>
    <w:rsid w:val="00050C2F"/>
    <w:rsid w:val="00050E55"/>
    <w:rsid w:val="00050EC0"/>
    <w:rsid w:val="00050F62"/>
    <w:rsid w:val="00051221"/>
    <w:rsid w:val="000512A3"/>
    <w:rsid w:val="00051329"/>
    <w:rsid w:val="00051438"/>
    <w:rsid w:val="00051468"/>
    <w:rsid w:val="00051510"/>
    <w:rsid w:val="000515B9"/>
    <w:rsid w:val="000515E8"/>
    <w:rsid w:val="000517D1"/>
    <w:rsid w:val="0005190A"/>
    <w:rsid w:val="00051922"/>
    <w:rsid w:val="000519A0"/>
    <w:rsid w:val="00051A39"/>
    <w:rsid w:val="00051AF2"/>
    <w:rsid w:val="00051AF9"/>
    <w:rsid w:val="00051B04"/>
    <w:rsid w:val="00051C88"/>
    <w:rsid w:val="00051DBE"/>
    <w:rsid w:val="00051F17"/>
    <w:rsid w:val="00052043"/>
    <w:rsid w:val="00052054"/>
    <w:rsid w:val="0005217A"/>
    <w:rsid w:val="0005218D"/>
    <w:rsid w:val="0005219C"/>
    <w:rsid w:val="000521FE"/>
    <w:rsid w:val="0005229E"/>
    <w:rsid w:val="0005235E"/>
    <w:rsid w:val="00052530"/>
    <w:rsid w:val="00052532"/>
    <w:rsid w:val="000525C8"/>
    <w:rsid w:val="000525D8"/>
    <w:rsid w:val="0005263F"/>
    <w:rsid w:val="000526AF"/>
    <w:rsid w:val="00052880"/>
    <w:rsid w:val="0005288B"/>
    <w:rsid w:val="00052975"/>
    <w:rsid w:val="00052A43"/>
    <w:rsid w:val="00052BF7"/>
    <w:rsid w:val="00052D7D"/>
    <w:rsid w:val="00052DD3"/>
    <w:rsid w:val="00052F1D"/>
    <w:rsid w:val="00052F6C"/>
    <w:rsid w:val="00052F70"/>
    <w:rsid w:val="000530B3"/>
    <w:rsid w:val="000530E6"/>
    <w:rsid w:val="000531B0"/>
    <w:rsid w:val="0005326D"/>
    <w:rsid w:val="00053300"/>
    <w:rsid w:val="00053338"/>
    <w:rsid w:val="00053390"/>
    <w:rsid w:val="000533A9"/>
    <w:rsid w:val="000533B1"/>
    <w:rsid w:val="000533E4"/>
    <w:rsid w:val="000533F9"/>
    <w:rsid w:val="00053471"/>
    <w:rsid w:val="000535DE"/>
    <w:rsid w:val="000535E0"/>
    <w:rsid w:val="00053608"/>
    <w:rsid w:val="00053647"/>
    <w:rsid w:val="0005364A"/>
    <w:rsid w:val="000536D6"/>
    <w:rsid w:val="00053727"/>
    <w:rsid w:val="00053851"/>
    <w:rsid w:val="00053906"/>
    <w:rsid w:val="00053909"/>
    <w:rsid w:val="000539B4"/>
    <w:rsid w:val="00053BB9"/>
    <w:rsid w:val="00053BD9"/>
    <w:rsid w:val="00053C92"/>
    <w:rsid w:val="00053E01"/>
    <w:rsid w:val="00053EAC"/>
    <w:rsid w:val="00053F6C"/>
    <w:rsid w:val="00053F8F"/>
    <w:rsid w:val="00053FA7"/>
    <w:rsid w:val="00054029"/>
    <w:rsid w:val="000542EB"/>
    <w:rsid w:val="00054307"/>
    <w:rsid w:val="000543BA"/>
    <w:rsid w:val="000543E9"/>
    <w:rsid w:val="000544B2"/>
    <w:rsid w:val="000544CF"/>
    <w:rsid w:val="0005454C"/>
    <w:rsid w:val="000545EB"/>
    <w:rsid w:val="00054620"/>
    <w:rsid w:val="0005462E"/>
    <w:rsid w:val="00054699"/>
    <w:rsid w:val="000546F6"/>
    <w:rsid w:val="000547AA"/>
    <w:rsid w:val="000548F8"/>
    <w:rsid w:val="0005494F"/>
    <w:rsid w:val="00054A25"/>
    <w:rsid w:val="00054A43"/>
    <w:rsid w:val="00054BAD"/>
    <w:rsid w:val="00054C39"/>
    <w:rsid w:val="00054C7A"/>
    <w:rsid w:val="00054CD1"/>
    <w:rsid w:val="00054DEB"/>
    <w:rsid w:val="00054E01"/>
    <w:rsid w:val="00054E15"/>
    <w:rsid w:val="00054EB6"/>
    <w:rsid w:val="00054EEE"/>
    <w:rsid w:val="00054F0D"/>
    <w:rsid w:val="0005501D"/>
    <w:rsid w:val="000551CD"/>
    <w:rsid w:val="000551FB"/>
    <w:rsid w:val="00055405"/>
    <w:rsid w:val="00055445"/>
    <w:rsid w:val="00055617"/>
    <w:rsid w:val="00055629"/>
    <w:rsid w:val="000556BB"/>
    <w:rsid w:val="0005573B"/>
    <w:rsid w:val="000557BB"/>
    <w:rsid w:val="0005581B"/>
    <w:rsid w:val="00055A2A"/>
    <w:rsid w:val="00055A32"/>
    <w:rsid w:val="00055BBC"/>
    <w:rsid w:val="00055D3B"/>
    <w:rsid w:val="00055D86"/>
    <w:rsid w:val="00055D87"/>
    <w:rsid w:val="00055F76"/>
    <w:rsid w:val="00055F9D"/>
    <w:rsid w:val="00055FB5"/>
    <w:rsid w:val="00055FC2"/>
    <w:rsid w:val="000560E4"/>
    <w:rsid w:val="0005619B"/>
    <w:rsid w:val="000561A3"/>
    <w:rsid w:val="000561D7"/>
    <w:rsid w:val="0005633B"/>
    <w:rsid w:val="00056340"/>
    <w:rsid w:val="00056343"/>
    <w:rsid w:val="0005637C"/>
    <w:rsid w:val="000563BC"/>
    <w:rsid w:val="00056463"/>
    <w:rsid w:val="00056477"/>
    <w:rsid w:val="00056782"/>
    <w:rsid w:val="0005698A"/>
    <w:rsid w:val="00056A1B"/>
    <w:rsid w:val="00056B76"/>
    <w:rsid w:val="00056C5E"/>
    <w:rsid w:val="00056DC1"/>
    <w:rsid w:val="00056DC6"/>
    <w:rsid w:val="00056DFC"/>
    <w:rsid w:val="00056E43"/>
    <w:rsid w:val="00056E4F"/>
    <w:rsid w:val="00056EE4"/>
    <w:rsid w:val="00057061"/>
    <w:rsid w:val="000570A2"/>
    <w:rsid w:val="0005716D"/>
    <w:rsid w:val="00057269"/>
    <w:rsid w:val="0005726E"/>
    <w:rsid w:val="000572D9"/>
    <w:rsid w:val="00057334"/>
    <w:rsid w:val="000574A1"/>
    <w:rsid w:val="00057508"/>
    <w:rsid w:val="0005757D"/>
    <w:rsid w:val="00057688"/>
    <w:rsid w:val="00057691"/>
    <w:rsid w:val="00057694"/>
    <w:rsid w:val="000576A5"/>
    <w:rsid w:val="0005774F"/>
    <w:rsid w:val="0005775A"/>
    <w:rsid w:val="0005775E"/>
    <w:rsid w:val="000579E2"/>
    <w:rsid w:val="00057AB4"/>
    <w:rsid w:val="00057B47"/>
    <w:rsid w:val="00057C12"/>
    <w:rsid w:val="00057D13"/>
    <w:rsid w:val="00057D9B"/>
    <w:rsid w:val="00057DB9"/>
    <w:rsid w:val="00057E95"/>
    <w:rsid w:val="0006006E"/>
    <w:rsid w:val="000601D5"/>
    <w:rsid w:val="00060282"/>
    <w:rsid w:val="0006029A"/>
    <w:rsid w:val="00060320"/>
    <w:rsid w:val="00060364"/>
    <w:rsid w:val="000603A9"/>
    <w:rsid w:val="0006042E"/>
    <w:rsid w:val="00060457"/>
    <w:rsid w:val="0006051E"/>
    <w:rsid w:val="0006061F"/>
    <w:rsid w:val="00060629"/>
    <w:rsid w:val="00060769"/>
    <w:rsid w:val="0006076D"/>
    <w:rsid w:val="000608FF"/>
    <w:rsid w:val="0006092D"/>
    <w:rsid w:val="00060BBF"/>
    <w:rsid w:val="00060C40"/>
    <w:rsid w:val="00060C51"/>
    <w:rsid w:val="00060CD5"/>
    <w:rsid w:val="00060D18"/>
    <w:rsid w:val="00060D99"/>
    <w:rsid w:val="00060E21"/>
    <w:rsid w:val="00060E91"/>
    <w:rsid w:val="00060EB5"/>
    <w:rsid w:val="00060FA2"/>
    <w:rsid w:val="00061024"/>
    <w:rsid w:val="00061049"/>
    <w:rsid w:val="0006108A"/>
    <w:rsid w:val="000611C6"/>
    <w:rsid w:val="000612A0"/>
    <w:rsid w:val="0006146B"/>
    <w:rsid w:val="000614DB"/>
    <w:rsid w:val="00061522"/>
    <w:rsid w:val="0006162A"/>
    <w:rsid w:val="00061663"/>
    <w:rsid w:val="000616EE"/>
    <w:rsid w:val="000616FA"/>
    <w:rsid w:val="00061727"/>
    <w:rsid w:val="0006178F"/>
    <w:rsid w:val="000617C8"/>
    <w:rsid w:val="000617E1"/>
    <w:rsid w:val="000619DB"/>
    <w:rsid w:val="00061A18"/>
    <w:rsid w:val="00061A1E"/>
    <w:rsid w:val="00061A7F"/>
    <w:rsid w:val="00061AE3"/>
    <w:rsid w:val="00061B1C"/>
    <w:rsid w:val="00061B9D"/>
    <w:rsid w:val="00061BC7"/>
    <w:rsid w:val="00061C71"/>
    <w:rsid w:val="00061E9A"/>
    <w:rsid w:val="00061F1E"/>
    <w:rsid w:val="00061F70"/>
    <w:rsid w:val="0006214B"/>
    <w:rsid w:val="0006219D"/>
    <w:rsid w:val="000621CC"/>
    <w:rsid w:val="000622E3"/>
    <w:rsid w:val="000622E8"/>
    <w:rsid w:val="000623FA"/>
    <w:rsid w:val="00062448"/>
    <w:rsid w:val="00062579"/>
    <w:rsid w:val="000626BD"/>
    <w:rsid w:val="00062850"/>
    <w:rsid w:val="000628A8"/>
    <w:rsid w:val="00062957"/>
    <w:rsid w:val="000629BF"/>
    <w:rsid w:val="000629C4"/>
    <w:rsid w:val="000629E7"/>
    <w:rsid w:val="00062A15"/>
    <w:rsid w:val="00062AFB"/>
    <w:rsid w:val="00062B14"/>
    <w:rsid w:val="00062BF6"/>
    <w:rsid w:val="00062C59"/>
    <w:rsid w:val="00062DB1"/>
    <w:rsid w:val="00062F39"/>
    <w:rsid w:val="00062F80"/>
    <w:rsid w:val="00062FCB"/>
    <w:rsid w:val="0006316B"/>
    <w:rsid w:val="000631E1"/>
    <w:rsid w:val="00063201"/>
    <w:rsid w:val="000632D6"/>
    <w:rsid w:val="000632F0"/>
    <w:rsid w:val="0006339C"/>
    <w:rsid w:val="0006341C"/>
    <w:rsid w:val="00063457"/>
    <w:rsid w:val="00063462"/>
    <w:rsid w:val="00063464"/>
    <w:rsid w:val="000635E0"/>
    <w:rsid w:val="000636A7"/>
    <w:rsid w:val="0006371D"/>
    <w:rsid w:val="0006381C"/>
    <w:rsid w:val="0006385E"/>
    <w:rsid w:val="000638C8"/>
    <w:rsid w:val="00063980"/>
    <w:rsid w:val="00063986"/>
    <w:rsid w:val="000639C9"/>
    <w:rsid w:val="00063A37"/>
    <w:rsid w:val="00063AC5"/>
    <w:rsid w:val="00063AD6"/>
    <w:rsid w:val="00063BCD"/>
    <w:rsid w:val="00063C7C"/>
    <w:rsid w:val="00063D26"/>
    <w:rsid w:val="00063D34"/>
    <w:rsid w:val="00063E4E"/>
    <w:rsid w:val="00063E51"/>
    <w:rsid w:val="00063EDC"/>
    <w:rsid w:val="00063F28"/>
    <w:rsid w:val="00063F45"/>
    <w:rsid w:val="00063F92"/>
    <w:rsid w:val="00063FAC"/>
    <w:rsid w:val="00064137"/>
    <w:rsid w:val="00064153"/>
    <w:rsid w:val="00064185"/>
    <w:rsid w:val="00064188"/>
    <w:rsid w:val="000641A7"/>
    <w:rsid w:val="000641B5"/>
    <w:rsid w:val="0006422F"/>
    <w:rsid w:val="000643D7"/>
    <w:rsid w:val="00064423"/>
    <w:rsid w:val="0006446B"/>
    <w:rsid w:val="00064494"/>
    <w:rsid w:val="000644F0"/>
    <w:rsid w:val="0006454F"/>
    <w:rsid w:val="0006468B"/>
    <w:rsid w:val="00064751"/>
    <w:rsid w:val="00064783"/>
    <w:rsid w:val="000647C2"/>
    <w:rsid w:val="00064807"/>
    <w:rsid w:val="00064878"/>
    <w:rsid w:val="000648EE"/>
    <w:rsid w:val="00064A93"/>
    <w:rsid w:val="00064BBA"/>
    <w:rsid w:val="00064BD6"/>
    <w:rsid w:val="00064DB2"/>
    <w:rsid w:val="00064DD3"/>
    <w:rsid w:val="00064EBA"/>
    <w:rsid w:val="00064F0F"/>
    <w:rsid w:val="00064F42"/>
    <w:rsid w:val="00064FC9"/>
    <w:rsid w:val="000650E1"/>
    <w:rsid w:val="000652F1"/>
    <w:rsid w:val="00065321"/>
    <w:rsid w:val="00065339"/>
    <w:rsid w:val="000653D7"/>
    <w:rsid w:val="0006552B"/>
    <w:rsid w:val="000656EF"/>
    <w:rsid w:val="00065723"/>
    <w:rsid w:val="000658A2"/>
    <w:rsid w:val="000658E3"/>
    <w:rsid w:val="00065996"/>
    <w:rsid w:val="00065A55"/>
    <w:rsid w:val="00065B1B"/>
    <w:rsid w:val="00065B2B"/>
    <w:rsid w:val="00065BD7"/>
    <w:rsid w:val="00065C3E"/>
    <w:rsid w:val="00065C72"/>
    <w:rsid w:val="00065CEE"/>
    <w:rsid w:val="00065EEC"/>
    <w:rsid w:val="00065F53"/>
    <w:rsid w:val="0006602C"/>
    <w:rsid w:val="00066060"/>
    <w:rsid w:val="000660E1"/>
    <w:rsid w:val="000660F3"/>
    <w:rsid w:val="0006618A"/>
    <w:rsid w:val="0006625F"/>
    <w:rsid w:val="00066336"/>
    <w:rsid w:val="00066462"/>
    <w:rsid w:val="00066576"/>
    <w:rsid w:val="0006658A"/>
    <w:rsid w:val="000666F7"/>
    <w:rsid w:val="00066701"/>
    <w:rsid w:val="0006674C"/>
    <w:rsid w:val="000667EF"/>
    <w:rsid w:val="00066820"/>
    <w:rsid w:val="000668F3"/>
    <w:rsid w:val="0006692C"/>
    <w:rsid w:val="00066955"/>
    <w:rsid w:val="000669AD"/>
    <w:rsid w:val="00066A19"/>
    <w:rsid w:val="00066AE6"/>
    <w:rsid w:val="00066B59"/>
    <w:rsid w:val="00066BF2"/>
    <w:rsid w:val="00066C01"/>
    <w:rsid w:val="00066C1E"/>
    <w:rsid w:val="00066CB6"/>
    <w:rsid w:val="00066D17"/>
    <w:rsid w:val="00066E0B"/>
    <w:rsid w:val="00066EF4"/>
    <w:rsid w:val="000670CB"/>
    <w:rsid w:val="00067212"/>
    <w:rsid w:val="0006733F"/>
    <w:rsid w:val="0006741A"/>
    <w:rsid w:val="000674C3"/>
    <w:rsid w:val="00067513"/>
    <w:rsid w:val="00067549"/>
    <w:rsid w:val="000675A0"/>
    <w:rsid w:val="00067646"/>
    <w:rsid w:val="00067821"/>
    <w:rsid w:val="000678C1"/>
    <w:rsid w:val="000678CC"/>
    <w:rsid w:val="00067935"/>
    <w:rsid w:val="0006798A"/>
    <w:rsid w:val="000679DD"/>
    <w:rsid w:val="00067A78"/>
    <w:rsid w:val="00067B5B"/>
    <w:rsid w:val="00067C79"/>
    <w:rsid w:val="00067CA2"/>
    <w:rsid w:val="00067CD5"/>
    <w:rsid w:val="00067CE4"/>
    <w:rsid w:val="00067D5E"/>
    <w:rsid w:val="00067DA9"/>
    <w:rsid w:val="00067F02"/>
    <w:rsid w:val="00067F64"/>
    <w:rsid w:val="00070020"/>
    <w:rsid w:val="00070077"/>
    <w:rsid w:val="00070094"/>
    <w:rsid w:val="0007017F"/>
    <w:rsid w:val="0007021F"/>
    <w:rsid w:val="00070305"/>
    <w:rsid w:val="000703B2"/>
    <w:rsid w:val="00070460"/>
    <w:rsid w:val="00070536"/>
    <w:rsid w:val="0007058C"/>
    <w:rsid w:val="000705E8"/>
    <w:rsid w:val="00070649"/>
    <w:rsid w:val="000706A8"/>
    <w:rsid w:val="0007080B"/>
    <w:rsid w:val="0007092D"/>
    <w:rsid w:val="000709A0"/>
    <w:rsid w:val="00070C1F"/>
    <w:rsid w:val="00070CF9"/>
    <w:rsid w:val="00070D07"/>
    <w:rsid w:val="00070D8B"/>
    <w:rsid w:val="00070FDA"/>
    <w:rsid w:val="00070FF8"/>
    <w:rsid w:val="00071019"/>
    <w:rsid w:val="00071035"/>
    <w:rsid w:val="00071085"/>
    <w:rsid w:val="00071185"/>
    <w:rsid w:val="0007125F"/>
    <w:rsid w:val="0007127E"/>
    <w:rsid w:val="0007130C"/>
    <w:rsid w:val="0007138C"/>
    <w:rsid w:val="00071453"/>
    <w:rsid w:val="00071467"/>
    <w:rsid w:val="00071491"/>
    <w:rsid w:val="00071518"/>
    <w:rsid w:val="00071573"/>
    <w:rsid w:val="000715F5"/>
    <w:rsid w:val="0007165A"/>
    <w:rsid w:val="00071860"/>
    <w:rsid w:val="00071933"/>
    <w:rsid w:val="000719B9"/>
    <w:rsid w:val="00071A10"/>
    <w:rsid w:val="00071B21"/>
    <w:rsid w:val="00071B35"/>
    <w:rsid w:val="00071B51"/>
    <w:rsid w:val="00071E59"/>
    <w:rsid w:val="00071FF8"/>
    <w:rsid w:val="00072042"/>
    <w:rsid w:val="00072086"/>
    <w:rsid w:val="000720E2"/>
    <w:rsid w:val="000721F3"/>
    <w:rsid w:val="000723D9"/>
    <w:rsid w:val="0007242D"/>
    <w:rsid w:val="000725FB"/>
    <w:rsid w:val="0007265A"/>
    <w:rsid w:val="00072665"/>
    <w:rsid w:val="00072687"/>
    <w:rsid w:val="00072696"/>
    <w:rsid w:val="00072768"/>
    <w:rsid w:val="00072805"/>
    <w:rsid w:val="0007283E"/>
    <w:rsid w:val="0007292E"/>
    <w:rsid w:val="00072A04"/>
    <w:rsid w:val="00072A32"/>
    <w:rsid w:val="00072A37"/>
    <w:rsid w:val="00072AB1"/>
    <w:rsid w:val="00072C13"/>
    <w:rsid w:val="00072DDA"/>
    <w:rsid w:val="00072DFA"/>
    <w:rsid w:val="00072F79"/>
    <w:rsid w:val="00072F8E"/>
    <w:rsid w:val="0007321D"/>
    <w:rsid w:val="00073222"/>
    <w:rsid w:val="0007323F"/>
    <w:rsid w:val="00073282"/>
    <w:rsid w:val="00073469"/>
    <w:rsid w:val="00073557"/>
    <w:rsid w:val="000735CE"/>
    <w:rsid w:val="00073679"/>
    <w:rsid w:val="00073739"/>
    <w:rsid w:val="00073837"/>
    <w:rsid w:val="00073890"/>
    <w:rsid w:val="000738CF"/>
    <w:rsid w:val="00073904"/>
    <w:rsid w:val="0007390E"/>
    <w:rsid w:val="00073938"/>
    <w:rsid w:val="00073950"/>
    <w:rsid w:val="000739A2"/>
    <w:rsid w:val="000739D9"/>
    <w:rsid w:val="000739DA"/>
    <w:rsid w:val="00073BA7"/>
    <w:rsid w:val="00073D80"/>
    <w:rsid w:val="00073E42"/>
    <w:rsid w:val="00073EEA"/>
    <w:rsid w:val="00073FBE"/>
    <w:rsid w:val="00074151"/>
    <w:rsid w:val="00074153"/>
    <w:rsid w:val="0007417B"/>
    <w:rsid w:val="00074199"/>
    <w:rsid w:val="00074280"/>
    <w:rsid w:val="000742ED"/>
    <w:rsid w:val="00074317"/>
    <w:rsid w:val="0007433C"/>
    <w:rsid w:val="00074399"/>
    <w:rsid w:val="000743B4"/>
    <w:rsid w:val="0007441E"/>
    <w:rsid w:val="000744CF"/>
    <w:rsid w:val="000745E2"/>
    <w:rsid w:val="00074625"/>
    <w:rsid w:val="00074667"/>
    <w:rsid w:val="00074685"/>
    <w:rsid w:val="0007482A"/>
    <w:rsid w:val="00074938"/>
    <w:rsid w:val="000749AA"/>
    <w:rsid w:val="00074B60"/>
    <w:rsid w:val="00074B6F"/>
    <w:rsid w:val="00074E76"/>
    <w:rsid w:val="00074EC3"/>
    <w:rsid w:val="00074EC6"/>
    <w:rsid w:val="00074F39"/>
    <w:rsid w:val="00074F90"/>
    <w:rsid w:val="00075024"/>
    <w:rsid w:val="00075073"/>
    <w:rsid w:val="000750A9"/>
    <w:rsid w:val="0007511F"/>
    <w:rsid w:val="000751D5"/>
    <w:rsid w:val="000751DF"/>
    <w:rsid w:val="000752BE"/>
    <w:rsid w:val="0007531C"/>
    <w:rsid w:val="00075387"/>
    <w:rsid w:val="000754C1"/>
    <w:rsid w:val="00075546"/>
    <w:rsid w:val="0007557F"/>
    <w:rsid w:val="00075756"/>
    <w:rsid w:val="00075761"/>
    <w:rsid w:val="00075976"/>
    <w:rsid w:val="00075980"/>
    <w:rsid w:val="000759DD"/>
    <w:rsid w:val="00075A93"/>
    <w:rsid w:val="00075BBC"/>
    <w:rsid w:val="00075BF1"/>
    <w:rsid w:val="00075C17"/>
    <w:rsid w:val="00075D5D"/>
    <w:rsid w:val="00075D99"/>
    <w:rsid w:val="00075DF6"/>
    <w:rsid w:val="00075EA9"/>
    <w:rsid w:val="00075F30"/>
    <w:rsid w:val="00075F7A"/>
    <w:rsid w:val="00075F9D"/>
    <w:rsid w:val="00075FE3"/>
    <w:rsid w:val="0007605B"/>
    <w:rsid w:val="000760EB"/>
    <w:rsid w:val="000763CE"/>
    <w:rsid w:val="0007646A"/>
    <w:rsid w:val="000764A1"/>
    <w:rsid w:val="000764CF"/>
    <w:rsid w:val="00076727"/>
    <w:rsid w:val="0007672D"/>
    <w:rsid w:val="0007673E"/>
    <w:rsid w:val="0007678C"/>
    <w:rsid w:val="000767A6"/>
    <w:rsid w:val="000767AF"/>
    <w:rsid w:val="000767F6"/>
    <w:rsid w:val="0007682C"/>
    <w:rsid w:val="00076854"/>
    <w:rsid w:val="00076870"/>
    <w:rsid w:val="0007687E"/>
    <w:rsid w:val="00076899"/>
    <w:rsid w:val="00076940"/>
    <w:rsid w:val="00076953"/>
    <w:rsid w:val="00076A1C"/>
    <w:rsid w:val="00076A47"/>
    <w:rsid w:val="00076BC8"/>
    <w:rsid w:val="00076C12"/>
    <w:rsid w:val="00076C3A"/>
    <w:rsid w:val="00076DEA"/>
    <w:rsid w:val="00076E8F"/>
    <w:rsid w:val="00076ED3"/>
    <w:rsid w:val="00076F41"/>
    <w:rsid w:val="00077010"/>
    <w:rsid w:val="000770B3"/>
    <w:rsid w:val="000770B7"/>
    <w:rsid w:val="000771BC"/>
    <w:rsid w:val="0007720E"/>
    <w:rsid w:val="000772AA"/>
    <w:rsid w:val="000772DD"/>
    <w:rsid w:val="000772F3"/>
    <w:rsid w:val="00077335"/>
    <w:rsid w:val="000773F1"/>
    <w:rsid w:val="00077471"/>
    <w:rsid w:val="000774DE"/>
    <w:rsid w:val="000775DD"/>
    <w:rsid w:val="00077632"/>
    <w:rsid w:val="00077683"/>
    <w:rsid w:val="000776DE"/>
    <w:rsid w:val="0007776E"/>
    <w:rsid w:val="0007783C"/>
    <w:rsid w:val="00077974"/>
    <w:rsid w:val="00077A00"/>
    <w:rsid w:val="00077AD1"/>
    <w:rsid w:val="00077AD9"/>
    <w:rsid w:val="00077BD5"/>
    <w:rsid w:val="00077C43"/>
    <w:rsid w:val="00077C8E"/>
    <w:rsid w:val="00077E33"/>
    <w:rsid w:val="00077E72"/>
    <w:rsid w:val="00077E9E"/>
    <w:rsid w:val="00077F03"/>
    <w:rsid w:val="00077F75"/>
    <w:rsid w:val="0008021E"/>
    <w:rsid w:val="00080222"/>
    <w:rsid w:val="00080241"/>
    <w:rsid w:val="000802A1"/>
    <w:rsid w:val="000803B6"/>
    <w:rsid w:val="00080569"/>
    <w:rsid w:val="00080580"/>
    <w:rsid w:val="00080785"/>
    <w:rsid w:val="00080862"/>
    <w:rsid w:val="00080886"/>
    <w:rsid w:val="000809AE"/>
    <w:rsid w:val="000809F7"/>
    <w:rsid w:val="00080B0D"/>
    <w:rsid w:val="00080CEF"/>
    <w:rsid w:val="00080F2B"/>
    <w:rsid w:val="00080F50"/>
    <w:rsid w:val="00081008"/>
    <w:rsid w:val="0008101A"/>
    <w:rsid w:val="00081182"/>
    <w:rsid w:val="000812AF"/>
    <w:rsid w:val="0008135C"/>
    <w:rsid w:val="00081388"/>
    <w:rsid w:val="0008139A"/>
    <w:rsid w:val="000813AF"/>
    <w:rsid w:val="000813E1"/>
    <w:rsid w:val="0008141F"/>
    <w:rsid w:val="000814E3"/>
    <w:rsid w:val="00081563"/>
    <w:rsid w:val="00081744"/>
    <w:rsid w:val="00081778"/>
    <w:rsid w:val="00081864"/>
    <w:rsid w:val="00081895"/>
    <w:rsid w:val="00081961"/>
    <w:rsid w:val="00081975"/>
    <w:rsid w:val="00081A3A"/>
    <w:rsid w:val="00081A54"/>
    <w:rsid w:val="00081B57"/>
    <w:rsid w:val="00081C6C"/>
    <w:rsid w:val="00081CC5"/>
    <w:rsid w:val="00081D07"/>
    <w:rsid w:val="00081D82"/>
    <w:rsid w:val="00081E2E"/>
    <w:rsid w:val="00081E3F"/>
    <w:rsid w:val="00081EA7"/>
    <w:rsid w:val="00081F92"/>
    <w:rsid w:val="00082057"/>
    <w:rsid w:val="0008213A"/>
    <w:rsid w:val="00082234"/>
    <w:rsid w:val="0008227E"/>
    <w:rsid w:val="00082292"/>
    <w:rsid w:val="00082395"/>
    <w:rsid w:val="000823E7"/>
    <w:rsid w:val="000823E9"/>
    <w:rsid w:val="000824DD"/>
    <w:rsid w:val="000825C9"/>
    <w:rsid w:val="00082624"/>
    <w:rsid w:val="00082687"/>
    <w:rsid w:val="00082873"/>
    <w:rsid w:val="000828B1"/>
    <w:rsid w:val="00082924"/>
    <w:rsid w:val="00082ABE"/>
    <w:rsid w:val="00082BC3"/>
    <w:rsid w:val="00082BD9"/>
    <w:rsid w:val="00082BEA"/>
    <w:rsid w:val="00082BF2"/>
    <w:rsid w:val="00082BF4"/>
    <w:rsid w:val="00082DD2"/>
    <w:rsid w:val="00082FA3"/>
    <w:rsid w:val="0008302C"/>
    <w:rsid w:val="00083059"/>
    <w:rsid w:val="000830CF"/>
    <w:rsid w:val="000830D0"/>
    <w:rsid w:val="0008315D"/>
    <w:rsid w:val="00083251"/>
    <w:rsid w:val="0008329E"/>
    <w:rsid w:val="0008337C"/>
    <w:rsid w:val="0008351C"/>
    <w:rsid w:val="0008354B"/>
    <w:rsid w:val="000835C2"/>
    <w:rsid w:val="00083678"/>
    <w:rsid w:val="000836F6"/>
    <w:rsid w:val="000839C6"/>
    <w:rsid w:val="00083A3A"/>
    <w:rsid w:val="00083B09"/>
    <w:rsid w:val="00083B70"/>
    <w:rsid w:val="00083B94"/>
    <w:rsid w:val="00083BC1"/>
    <w:rsid w:val="00083D06"/>
    <w:rsid w:val="00083DEA"/>
    <w:rsid w:val="00083DF0"/>
    <w:rsid w:val="00083E36"/>
    <w:rsid w:val="00083ECB"/>
    <w:rsid w:val="00083F92"/>
    <w:rsid w:val="00084066"/>
    <w:rsid w:val="000840A3"/>
    <w:rsid w:val="0008411F"/>
    <w:rsid w:val="00084158"/>
    <w:rsid w:val="0008417B"/>
    <w:rsid w:val="00084180"/>
    <w:rsid w:val="000842B5"/>
    <w:rsid w:val="00084423"/>
    <w:rsid w:val="00084463"/>
    <w:rsid w:val="0008449F"/>
    <w:rsid w:val="000844B7"/>
    <w:rsid w:val="000844D0"/>
    <w:rsid w:val="0008459E"/>
    <w:rsid w:val="000846CC"/>
    <w:rsid w:val="0008485E"/>
    <w:rsid w:val="00084A14"/>
    <w:rsid w:val="00084A72"/>
    <w:rsid w:val="00084AF3"/>
    <w:rsid w:val="00084B12"/>
    <w:rsid w:val="00084BC7"/>
    <w:rsid w:val="00084BD8"/>
    <w:rsid w:val="00084BD9"/>
    <w:rsid w:val="00084C10"/>
    <w:rsid w:val="00084D87"/>
    <w:rsid w:val="00084DA6"/>
    <w:rsid w:val="00084ED5"/>
    <w:rsid w:val="00084F4C"/>
    <w:rsid w:val="00084F98"/>
    <w:rsid w:val="00084FF8"/>
    <w:rsid w:val="0008500A"/>
    <w:rsid w:val="000850DD"/>
    <w:rsid w:val="00085146"/>
    <w:rsid w:val="00085158"/>
    <w:rsid w:val="000851B8"/>
    <w:rsid w:val="0008542E"/>
    <w:rsid w:val="000854D3"/>
    <w:rsid w:val="000854E9"/>
    <w:rsid w:val="0008567E"/>
    <w:rsid w:val="000856D8"/>
    <w:rsid w:val="000856E1"/>
    <w:rsid w:val="00085752"/>
    <w:rsid w:val="00085776"/>
    <w:rsid w:val="0008580B"/>
    <w:rsid w:val="0008582C"/>
    <w:rsid w:val="000859D5"/>
    <w:rsid w:val="00085A7D"/>
    <w:rsid w:val="00085A9F"/>
    <w:rsid w:val="00085ADF"/>
    <w:rsid w:val="00085B04"/>
    <w:rsid w:val="00085B23"/>
    <w:rsid w:val="00085B40"/>
    <w:rsid w:val="00085B6B"/>
    <w:rsid w:val="00085C57"/>
    <w:rsid w:val="00085C5F"/>
    <w:rsid w:val="00085D0F"/>
    <w:rsid w:val="00085D90"/>
    <w:rsid w:val="00085DE3"/>
    <w:rsid w:val="00085F53"/>
    <w:rsid w:val="00085FBE"/>
    <w:rsid w:val="0008607F"/>
    <w:rsid w:val="0008608D"/>
    <w:rsid w:val="00086109"/>
    <w:rsid w:val="0008614D"/>
    <w:rsid w:val="00086159"/>
    <w:rsid w:val="00086163"/>
    <w:rsid w:val="000861E8"/>
    <w:rsid w:val="0008624E"/>
    <w:rsid w:val="0008625C"/>
    <w:rsid w:val="00086271"/>
    <w:rsid w:val="00086396"/>
    <w:rsid w:val="00086485"/>
    <w:rsid w:val="00086491"/>
    <w:rsid w:val="000864DA"/>
    <w:rsid w:val="0008654B"/>
    <w:rsid w:val="000866BB"/>
    <w:rsid w:val="00086750"/>
    <w:rsid w:val="0008680B"/>
    <w:rsid w:val="00086875"/>
    <w:rsid w:val="00086914"/>
    <w:rsid w:val="00086968"/>
    <w:rsid w:val="00086A79"/>
    <w:rsid w:val="00086B5D"/>
    <w:rsid w:val="00086B68"/>
    <w:rsid w:val="00086C72"/>
    <w:rsid w:val="00086D93"/>
    <w:rsid w:val="00086DDA"/>
    <w:rsid w:val="00086E45"/>
    <w:rsid w:val="00086E79"/>
    <w:rsid w:val="00086EE3"/>
    <w:rsid w:val="00086F67"/>
    <w:rsid w:val="00086F76"/>
    <w:rsid w:val="00086FB9"/>
    <w:rsid w:val="00086FF6"/>
    <w:rsid w:val="0008708A"/>
    <w:rsid w:val="000870B6"/>
    <w:rsid w:val="000871CA"/>
    <w:rsid w:val="00087221"/>
    <w:rsid w:val="00087255"/>
    <w:rsid w:val="000872F5"/>
    <w:rsid w:val="0008732F"/>
    <w:rsid w:val="000873DE"/>
    <w:rsid w:val="000874CD"/>
    <w:rsid w:val="0008750D"/>
    <w:rsid w:val="00087562"/>
    <w:rsid w:val="0008758B"/>
    <w:rsid w:val="000876E9"/>
    <w:rsid w:val="00087723"/>
    <w:rsid w:val="0008778B"/>
    <w:rsid w:val="00087A5D"/>
    <w:rsid w:val="00087B50"/>
    <w:rsid w:val="00087B7B"/>
    <w:rsid w:val="00087BFA"/>
    <w:rsid w:val="00087CCC"/>
    <w:rsid w:val="00087CF0"/>
    <w:rsid w:val="00087D07"/>
    <w:rsid w:val="00087D68"/>
    <w:rsid w:val="00087DE8"/>
    <w:rsid w:val="00087E4E"/>
    <w:rsid w:val="00087F3C"/>
    <w:rsid w:val="00090006"/>
    <w:rsid w:val="00090071"/>
    <w:rsid w:val="000900B0"/>
    <w:rsid w:val="000901F6"/>
    <w:rsid w:val="00090394"/>
    <w:rsid w:val="00090469"/>
    <w:rsid w:val="000904B3"/>
    <w:rsid w:val="000905A8"/>
    <w:rsid w:val="000905BE"/>
    <w:rsid w:val="00090613"/>
    <w:rsid w:val="0009072A"/>
    <w:rsid w:val="000907C7"/>
    <w:rsid w:val="00090820"/>
    <w:rsid w:val="000908BF"/>
    <w:rsid w:val="00090936"/>
    <w:rsid w:val="000909D4"/>
    <w:rsid w:val="00090B72"/>
    <w:rsid w:val="00090BD1"/>
    <w:rsid w:val="00090C74"/>
    <w:rsid w:val="00090DE6"/>
    <w:rsid w:val="00090E31"/>
    <w:rsid w:val="00090E52"/>
    <w:rsid w:val="00090EB9"/>
    <w:rsid w:val="00091295"/>
    <w:rsid w:val="0009137A"/>
    <w:rsid w:val="000913C4"/>
    <w:rsid w:val="00091419"/>
    <w:rsid w:val="0009169B"/>
    <w:rsid w:val="0009182B"/>
    <w:rsid w:val="00091857"/>
    <w:rsid w:val="000919A2"/>
    <w:rsid w:val="000919FD"/>
    <w:rsid w:val="00091B35"/>
    <w:rsid w:val="00091C59"/>
    <w:rsid w:val="00091C95"/>
    <w:rsid w:val="00091D44"/>
    <w:rsid w:val="00091D64"/>
    <w:rsid w:val="00091D68"/>
    <w:rsid w:val="00091DA0"/>
    <w:rsid w:val="00091EC2"/>
    <w:rsid w:val="00091F1C"/>
    <w:rsid w:val="0009203C"/>
    <w:rsid w:val="0009212D"/>
    <w:rsid w:val="00092258"/>
    <w:rsid w:val="00092267"/>
    <w:rsid w:val="00092370"/>
    <w:rsid w:val="0009245E"/>
    <w:rsid w:val="00092470"/>
    <w:rsid w:val="00092529"/>
    <w:rsid w:val="0009256C"/>
    <w:rsid w:val="0009256D"/>
    <w:rsid w:val="000925BE"/>
    <w:rsid w:val="0009266C"/>
    <w:rsid w:val="0009283A"/>
    <w:rsid w:val="00092971"/>
    <w:rsid w:val="00092A21"/>
    <w:rsid w:val="00092B1F"/>
    <w:rsid w:val="00092B41"/>
    <w:rsid w:val="00092BC8"/>
    <w:rsid w:val="00092BED"/>
    <w:rsid w:val="00092CFD"/>
    <w:rsid w:val="00092E16"/>
    <w:rsid w:val="00092FAD"/>
    <w:rsid w:val="00092FDB"/>
    <w:rsid w:val="0009301F"/>
    <w:rsid w:val="00093089"/>
    <w:rsid w:val="000930E5"/>
    <w:rsid w:val="000930F7"/>
    <w:rsid w:val="00093117"/>
    <w:rsid w:val="0009311C"/>
    <w:rsid w:val="00093144"/>
    <w:rsid w:val="00093158"/>
    <w:rsid w:val="0009328A"/>
    <w:rsid w:val="00093363"/>
    <w:rsid w:val="00093486"/>
    <w:rsid w:val="000934F4"/>
    <w:rsid w:val="00093510"/>
    <w:rsid w:val="00093524"/>
    <w:rsid w:val="00093547"/>
    <w:rsid w:val="00093549"/>
    <w:rsid w:val="00093550"/>
    <w:rsid w:val="000937E6"/>
    <w:rsid w:val="00093936"/>
    <w:rsid w:val="000939A0"/>
    <w:rsid w:val="00093A3C"/>
    <w:rsid w:val="00093AC5"/>
    <w:rsid w:val="00093B40"/>
    <w:rsid w:val="00093C08"/>
    <w:rsid w:val="00093C35"/>
    <w:rsid w:val="00093C3D"/>
    <w:rsid w:val="00093D38"/>
    <w:rsid w:val="00093D5D"/>
    <w:rsid w:val="00093D9A"/>
    <w:rsid w:val="00093DF9"/>
    <w:rsid w:val="00093E10"/>
    <w:rsid w:val="00093E44"/>
    <w:rsid w:val="00093F09"/>
    <w:rsid w:val="00094084"/>
    <w:rsid w:val="000940F0"/>
    <w:rsid w:val="000941D8"/>
    <w:rsid w:val="000941F7"/>
    <w:rsid w:val="00094384"/>
    <w:rsid w:val="000943C2"/>
    <w:rsid w:val="00094523"/>
    <w:rsid w:val="0009456D"/>
    <w:rsid w:val="000945D6"/>
    <w:rsid w:val="00094656"/>
    <w:rsid w:val="0009468F"/>
    <w:rsid w:val="000946D6"/>
    <w:rsid w:val="00094735"/>
    <w:rsid w:val="000947D8"/>
    <w:rsid w:val="000947E7"/>
    <w:rsid w:val="00094B6F"/>
    <w:rsid w:val="00094BB3"/>
    <w:rsid w:val="00094CA5"/>
    <w:rsid w:val="00094D24"/>
    <w:rsid w:val="00094DE4"/>
    <w:rsid w:val="00094EB5"/>
    <w:rsid w:val="00094EC9"/>
    <w:rsid w:val="00094FE0"/>
    <w:rsid w:val="0009506D"/>
    <w:rsid w:val="00095087"/>
    <w:rsid w:val="00095144"/>
    <w:rsid w:val="000951CE"/>
    <w:rsid w:val="000951D7"/>
    <w:rsid w:val="000952B9"/>
    <w:rsid w:val="000953AB"/>
    <w:rsid w:val="0009544C"/>
    <w:rsid w:val="000954A4"/>
    <w:rsid w:val="00095561"/>
    <w:rsid w:val="00095579"/>
    <w:rsid w:val="000955A3"/>
    <w:rsid w:val="000956FC"/>
    <w:rsid w:val="000957DA"/>
    <w:rsid w:val="000957EE"/>
    <w:rsid w:val="000958EA"/>
    <w:rsid w:val="00095909"/>
    <w:rsid w:val="00095916"/>
    <w:rsid w:val="00095A16"/>
    <w:rsid w:val="00095ADA"/>
    <w:rsid w:val="00095AF3"/>
    <w:rsid w:val="00095C54"/>
    <w:rsid w:val="00095E7C"/>
    <w:rsid w:val="00095ED2"/>
    <w:rsid w:val="00095F9D"/>
    <w:rsid w:val="00096088"/>
    <w:rsid w:val="000960BB"/>
    <w:rsid w:val="00096179"/>
    <w:rsid w:val="00096268"/>
    <w:rsid w:val="000962B5"/>
    <w:rsid w:val="0009630B"/>
    <w:rsid w:val="00096330"/>
    <w:rsid w:val="0009646D"/>
    <w:rsid w:val="000965E0"/>
    <w:rsid w:val="0009664A"/>
    <w:rsid w:val="00096686"/>
    <w:rsid w:val="00096793"/>
    <w:rsid w:val="000968B4"/>
    <w:rsid w:val="000968DA"/>
    <w:rsid w:val="00096970"/>
    <w:rsid w:val="000969EA"/>
    <w:rsid w:val="00096B3D"/>
    <w:rsid w:val="00096B48"/>
    <w:rsid w:val="00096B52"/>
    <w:rsid w:val="00096B7C"/>
    <w:rsid w:val="00096C1D"/>
    <w:rsid w:val="00096DA1"/>
    <w:rsid w:val="00096DE0"/>
    <w:rsid w:val="00096DE3"/>
    <w:rsid w:val="00096EAF"/>
    <w:rsid w:val="00096F1A"/>
    <w:rsid w:val="00096F52"/>
    <w:rsid w:val="00096F5B"/>
    <w:rsid w:val="00096FF0"/>
    <w:rsid w:val="0009710E"/>
    <w:rsid w:val="000971B8"/>
    <w:rsid w:val="00097473"/>
    <w:rsid w:val="000974A1"/>
    <w:rsid w:val="000974DC"/>
    <w:rsid w:val="0009750B"/>
    <w:rsid w:val="0009755B"/>
    <w:rsid w:val="0009760F"/>
    <w:rsid w:val="00097612"/>
    <w:rsid w:val="0009768A"/>
    <w:rsid w:val="00097697"/>
    <w:rsid w:val="000976A2"/>
    <w:rsid w:val="000976F2"/>
    <w:rsid w:val="000978A6"/>
    <w:rsid w:val="000979EE"/>
    <w:rsid w:val="00097ABE"/>
    <w:rsid w:val="00097B77"/>
    <w:rsid w:val="00097C27"/>
    <w:rsid w:val="00097C67"/>
    <w:rsid w:val="00097DA4"/>
    <w:rsid w:val="00097E24"/>
    <w:rsid w:val="00097FB8"/>
    <w:rsid w:val="000A009A"/>
    <w:rsid w:val="000A00B7"/>
    <w:rsid w:val="000A0106"/>
    <w:rsid w:val="000A013B"/>
    <w:rsid w:val="000A013D"/>
    <w:rsid w:val="000A01C6"/>
    <w:rsid w:val="000A022A"/>
    <w:rsid w:val="000A02F7"/>
    <w:rsid w:val="000A0354"/>
    <w:rsid w:val="000A0445"/>
    <w:rsid w:val="000A04A8"/>
    <w:rsid w:val="000A04C5"/>
    <w:rsid w:val="000A05EC"/>
    <w:rsid w:val="000A0743"/>
    <w:rsid w:val="000A0829"/>
    <w:rsid w:val="000A0856"/>
    <w:rsid w:val="000A0911"/>
    <w:rsid w:val="000A09B5"/>
    <w:rsid w:val="000A0A33"/>
    <w:rsid w:val="000A0B69"/>
    <w:rsid w:val="000A0C0B"/>
    <w:rsid w:val="000A0C40"/>
    <w:rsid w:val="000A0C73"/>
    <w:rsid w:val="000A0C8A"/>
    <w:rsid w:val="000A0DB1"/>
    <w:rsid w:val="000A0E45"/>
    <w:rsid w:val="000A0E62"/>
    <w:rsid w:val="000A0E83"/>
    <w:rsid w:val="000A0EB5"/>
    <w:rsid w:val="000A1006"/>
    <w:rsid w:val="000A104D"/>
    <w:rsid w:val="000A10BE"/>
    <w:rsid w:val="000A10BF"/>
    <w:rsid w:val="000A10CE"/>
    <w:rsid w:val="000A114C"/>
    <w:rsid w:val="000A1163"/>
    <w:rsid w:val="000A125C"/>
    <w:rsid w:val="000A1305"/>
    <w:rsid w:val="000A13C0"/>
    <w:rsid w:val="000A1503"/>
    <w:rsid w:val="000A1506"/>
    <w:rsid w:val="000A1610"/>
    <w:rsid w:val="000A165C"/>
    <w:rsid w:val="000A1694"/>
    <w:rsid w:val="000A17CA"/>
    <w:rsid w:val="000A1817"/>
    <w:rsid w:val="000A1964"/>
    <w:rsid w:val="000A1BE2"/>
    <w:rsid w:val="000A1CA3"/>
    <w:rsid w:val="000A1CB0"/>
    <w:rsid w:val="000A1CC7"/>
    <w:rsid w:val="000A1CEC"/>
    <w:rsid w:val="000A1DB8"/>
    <w:rsid w:val="000A1EFD"/>
    <w:rsid w:val="000A1F6D"/>
    <w:rsid w:val="000A201C"/>
    <w:rsid w:val="000A2146"/>
    <w:rsid w:val="000A2153"/>
    <w:rsid w:val="000A21A5"/>
    <w:rsid w:val="000A21A8"/>
    <w:rsid w:val="000A224D"/>
    <w:rsid w:val="000A22FC"/>
    <w:rsid w:val="000A2358"/>
    <w:rsid w:val="000A241F"/>
    <w:rsid w:val="000A2455"/>
    <w:rsid w:val="000A251E"/>
    <w:rsid w:val="000A2558"/>
    <w:rsid w:val="000A25DA"/>
    <w:rsid w:val="000A2619"/>
    <w:rsid w:val="000A267B"/>
    <w:rsid w:val="000A2711"/>
    <w:rsid w:val="000A2785"/>
    <w:rsid w:val="000A27E6"/>
    <w:rsid w:val="000A2911"/>
    <w:rsid w:val="000A2915"/>
    <w:rsid w:val="000A29CB"/>
    <w:rsid w:val="000A2A47"/>
    <w:rsid w:val="000A2A72"/>
    <w:rsid w:val="000A2ACD"/>
    <w:rsid w:val="000A2AE6"/>
    <w:rsid w:val="000A2B12"/>
    <w:rsid w:val="000A2B65"/>
    <w:rsid w:val="000A2C46"/>
    <w:rsid w:val="000A2C59"/>
    <w:rsid w:val="000A2D6F"/>
    <w:rsid w:val="000A2DA8"/>
    <w:rsid w:val="000A2DD4"/>
    <w:rsid w:val="000A2E2E"/>
    <w:rsid w:val="000A2E66"/>
    <w:rsid w:val="000A2E68"/>
    <w:rsid w:val="000A2F98"/>
    <w:rsid w:val="000A32E1"/>
    <w:rsid w:val="000A336A"/>
    <w:rsid w:val="000A33D3"/>
    <w:rsid w:val="000A33D7"/>
    <w:rsid w:val="000A340D"/>
    <w:rsid w:val="000A3436"/>
    <w:rsid w:val="000A343F"/>
    <w:rsid w:val="000A3474"/>
    <w:rsid w:val="000A35E7"/>
    <w:rsid w:val="000A35F5"/>
    <w:rsid w:val="000A3680"/>
    <w:rsid w:val="000A375D"/>
    <w:rsid w:val="000A376F"/>
    <w:rsid w:val="000A37CB"/>
    <w:rsid w:val="000A387C"/>
    <w:rsid w:val="000A38B7"/>
    <w:rsid w:val="000A39AD"/>
    <w:rsid w:val="000A3A9A"/>
    <w:rsid w:val="000A3ABB"/>
    <w:rsid w:val="000A3BA5"/>
    <w:rsid w:val="000A3CFF"/>
    <w:rsid w:val="000A3D1F"/>
    <w:rsid w:val="000A3D29"/>
    <w:rsid w:val="000A3D6E"/>
    <w:rsid w:val="000A3E08"/>
    <w:rsid w:val="000A3E15"/>
    <w:rsid w:val="000A3F5E"/>
    <w:rsid w:val="000A3F73"/>
    <w:rsid w:val="000A3FA5"/>
    <w:rsid w:val="000A4050"/>
    <w:rsid w:val="000A4213"/>
    <w:rsid w:val="000A42B6"/>
    <w:rsid w:val="000A432A"/>
    <w:rsid w:val="000A4347"/>
    <w:rsid w:val="000A4367"/>
    <w:rsid w:val="000A4484"/>
    <w:rsid w:val="000A4693"/>
    <w:rsid w:val="000A4798"/>
    <w:rsid w:val="000A4828"/>
    <w:rsid w:val="000A49B2"/>
    <w:rsid w:val="000A49E7"/>
    <w:rsid w:val="000A4A9F"/>
    <w:rsid w:val="000A4B82"/>
    <w:rsid w:val="000A4CA3"/>
    <w:rsid w:val="000A4CD2"/>
    <w:rsid w:val="000A4D1F"/>
    <w:rsid w:val="000A4D43"/>
    <w:rsid w:val="000A4DCE"/>
    <w:rsid w:val="000A4E21"/>
    <w:rsid w:val="000A4F20"/>
    <w:rsid w:val="000A4F47"/>
    <w:rsid w:val="000A5047"/>
    <w:rsid w:val="000A50A1"/>
    <w:rsid w:val="000A50B6"/>
    <w:rsid w:val="000A50EA"/>
    <w:rsid w:val="000A5105"/>
    <w:rsid w:val="000A5124"/>
    <w:rsid w:val="000A5166"/>
    <w:rsid w:val="000A516A"/>
    <w:rsid w:val="000A51E2"/>
    <w:rsid w:val="000A51EE"/>
    <w:rsid w:val="000A5240"/>
    <w:rsid w:val="000A524A"/>
    <w:rsid w:val="000A53E4"/>
    <w:rsid w:val="000A5417"/>
    <w:rsid w:val="000A5475"/>
    <w:rsid w:val="000A55F1"/>
    <w:rsid w:val="000A56D4"/>
    <w:rsid w:val="000A5705"/>
    <w:rsid w:val="000A574C"/>
    <w:rsid w:val="000A58AF"/>
    <w:rsid w:val="000A58E1"/>
    <w:rsid w:val="000A5974"/>
    <w:rsid w:val="000A5A9C"/>
    <w:rsid w:val="000A5B51"/>
    <w:rsid w:val="000A5B84"/>
    <w:rsid w:val="000A5BA4"/>
    <w:rsid w:val="000A5C47"/>
    <w:rsid w:val="000A5C6A"/>
    <w:rsid w:val="000A5D6B"/>
    <w:rsid w:val="000A5DF5"/>
    <w:rsid w:val="000A5E63"/>
    <w:rsid w:val="000A5EB7"/>
    <w:rsid w:val="000A610C"/>
    <w:rsid w:val="000A616F"/>
    <w:rsid w:val="000A61FE"/>
    <w:rsid w:val="000A629E"/>
    <w:rsid w:val="000A63DB"/>
    <w:rsid w:val="000A63F3"/>
    <w:rsid w:val="000A63F8"/>
    <w:rsid w:val="000A6650"/>
    <w:rsid w:val="000A670E"/>
    <w:rsid w:val="000A676C"/>
    <w:rsid w:val="000A6802"/>
    <w:rsid w:val="000A6835"/>
    <w:rsid w:val="000A6865"/>
    <w:rsid w:val="000A6883"/>
    <w:rsid w:val="000A6938"/>
    <w:rsid w:val="000A6970"/>
    <w:rsid w:val="000A69D3"/>
    <w:rsid w:val="000A6AF0"/>
    <w:rsid w:val="000A6B16"/>
    <w:rsid w:val="000A6B30"/>
    <w:rsid w:val="000A6B8F"/>
    <w:rsid w:val="000A6BCD"/>
    <w:rsid w:val="000A6C0A"/>
    <w:rsid w:val="000A6C4D"/>
    <w:rsid w:val="000A6C8F"/>
    <w:rsid w:val="000A6C96"/>
    <w:rsid w:val="000A6D0E"/>
    <w:rsid w:val="000A6E4C"/>
    <w:rsid w:val="000A71DA"/>
    <w:rsid w:val="000A7283"/>
    <w:rsid w:val="000A7341"/>
    <w:rsid w:val="000A740D"/>
    <w:rsid w:val="000A7429"/>
    <w:rsid w:val="000A7431"/>
    <w:rsid w:val="000A748A"/>
    <w:rsid w:val="000A74F9"/>
    <w:rsid w:val="000A78F8"/>
    <w:rsid w:val="000A7912"/>
    <w:rsid w:val="000A793D"/>
    <w:rsid w:val="000A7942"/>
    <w:rsid w:val="000A7961"/>
    <w:rsid w:val="000A79F5"/>
    <w:rsid w:val="000A7A53"/>
    <w:rsid w:val="000A7A5F"/>
    <w:rsid w:val="000A7AFE"/>
    <w:rsid w:val="000A7CEF"/>
    <w:rsid w:val="000A7EF6"/>
    <w:rsid w:val="000A7EF9"/>
    <w:rsid w:val="000A7F90"/>
    <w:rsid w:val="000A7FE0"/>
    <w:rsid w:val="000B00CC"/>
    <w:rsid w:val="000B01AE"/>
    <w:rsid w:val="000B0334"/>
    <w:rsid w:val="000B0359"/>
    <w:rsid w:val="000B0398"/>
    <w:rsid w:val="000B0414"/>
    <w:rsid w:val="000B044B"/>
    <w:rsid w:val="000B046C"/>
    <w:rsid w:val="000B0478"/>
    <w:rsid w:val="000B0491"/>
    <w:rsid w:val="000B0585"/>
    <w:rsid w:val="000B06B5"/>
    <w:rsid w:val="000B06C9"/>
    <w:rsid w:val="000B07A7"/>
    <w:rsid w:val="000B07FF"/>
    <w:rsid w:val="000B0804"/>
    <w:rsid w:val="000B0855"/>
    <w:rsid w:val="000B093F"/>
    <w:rsid w:val="000B0957"/>
    <w:rsid w:val="000B095C"/>
    <w:rsid w:val="000B09B5"/>
    <w:rsid w:val="000B09E3"/>
    <w:rsid w:val="000B0A6A"/>
    <w:rsid w:val="000B0A90"/>
    <w:rsid w:val="000B0BC5"/>
    <w:rsid w:val="000B0BE8"/>
    <w:rsid w:val="000B0C45"/>
    <w:rsid w:val="000B0E78"/>
    <w:rsid w:val="000B0F88"/>
    <w:rsid w:val="000B1086"/>
    <w:rsid w:val="000B1115"/>
    <w:rsid w:val="000B119D"/>
    <w:rsid w:val="000B13F0"/>
    <w:rsid w:val="000B148E"/>
    <w:rsid w:val="000B14A7"/>
    <w:rsid w:val="000B14FE"/>
    <w:rsid w:val="000B1501"/>
    <w:rsid w:val="000B15F8"/>
    <w:rsid w:val="000B1608"/>
    <w:rsid w:val="000B17F3"/>
    <w:rsid w:val="000B181F"/>
    <w:rsid w:val="000B19DE"/>
    <w:rsid w:val="000B19DF"/>
    <w:rsid w:val="000B1A77"/>
    <w:rsid w:val="000B1B3C"/>
    <w:rsid w:val="000B1B63"/>
    <w:rsid w:val="000B1B67"/>
    <w:rsid w:val="000B1BC3"/>
    <w:rsid w:val="000B1BCE"/>
    <w:rsid w:val="000B1C88"/>
    <w:rsid w:val="000B1C90"/>
    <w:rsid w:val="000B1D3A"/>
    <w:rsid w:val="000B1D41"/>
    <w:rsid w:val="000B1DA8"/>
    <w:rsid w:val="000B1DDA"/>
    <w:rsid w:val="000B1DED"/>
    <w:rsid w:val="000B1DF2"/>
    <w:rsid w:val="000B1EB0"/>
    <w:rsid w:val="000B1F5A"/>
    <w:rsid w:val="000B1F6E"/>
    <w:rsid w:val="000B1F99"/>
    <w:rsid w:val="000B215A"/>
    <w:rsid w:val="000B21D7"/>
    <w:rsid w:val="000B22EC"/>
    <w:rsid w:val="000B2302"/>
    <w:rsid w:val="000B23A0"/>
    <w:rsid w:val="000B24A9"/>
    <w:rsid w:val="000B253F"/>
    <w:rsid w:val="000B2616"/>
    <w:rsid w:val="000B271D"/>
    <w:rsid w:val="000B27C0"/>
    <w:rsid w:val="000B29C3"/>
    <w:rsid w:val="000B29C4"/>
    <w:rsid w:val="000B29D8"/>
    <w:rsid w:val="000B2A5B"/>
    <w:rsid w:val="000B2AC3"/>
    <w:rsid w:val="000B2CBD"/>
    <w:rsid w:val="000B2E7B"/>
    <w:rsid w:val="000B2FCB"/>
    <w:rsid w:val="000B309D"/>
    <w:rsid w:val="000B3141"/>
    <w:rsid w:val="000B325A"/>
    <w:rsid w:val="000B329F"/>
    <w:rsid w:val="000B32C0"/>
    <w:rsid w:val="000B32FF"/>
    <w:rsid w:val="000B3330"/>
    <w:rsid w:val="000B33F1"/>
    <w:rsid w:val="000B347E"/>
    <w:rsid w:val="000B3573"/>
    <w:rsid w:val="000B35BB"/>
    <w:rsid w:val="000B3630"/>
    <w:rsid w:val="000B3783"/>
    <w:rsid w:val="000B37E3"/>
    <w:rsid w:val="000B39FB"/>
    <w:rsid w:val="000B3A1A"/>
    <w:rsid w:val="000B3A83"/>
    <w:rsid w:val="000B3B35"/>
    <w:rsid w:val="000B3B7A"/>
    <w:rsid w:val="000B3BF3"/>
    <w:rsid w:val="000B3C3F"/>
    <w:rsid w:val="000B3C60"/>
    <w:rsid w:val="000B3CFC"/>
    <w:rsid w:val="000B3E4A"/>
    <w:rsid w:val="000B3EB1"/>
    <w:rsid w:val="000B42CB"/>
    <w:rsid w:val="000B4384"/>
    <w:rsid w:val="000B438C"/>
    <w:rsid w:val="000B452E"/>
    <w:rsid w:val="000B45E7"/>
    <w:rsid w:val="000B46BA"/>
    <w:rsid w:val="000B4795"/>
    <w:rsid w:val="000B48A9"/>
    <w:rsid w:val="000B48E8"/>
    <w:rsid w:val="000B493A"/>
    <w:rsid w:val="000B493E"/>
    <w:rsid w:val="000B4943"/>
    <w:rsid w:val="000B4A1E"/>
    <w:rsid w:val="000B4ADF"/>
    <w:rsid w:val="000B4AE3"/>
    <w:rsid w:val="000B4B6C"/>
    <w:rsid w:val="000B4B90"/>
    <w:rsid w:val="000B4DEA"/>
    <w:rsid w:val="000B4E0D"/>
    <w:rsid w:val="000B4E15"/>
    <w:rsid w:val="000B4E23"/>
    <w:rsid w:val="000B4E41"/>
    <w:rsid w:val="000B4EBA"/>
    <w:rsid w:val="000B4F0C"/>
    <w:rsid w:val="000B4F68"/>
    <w:rsid w:val="000B4FCA"/>
    <w:rsid w:val="000B4FFB"/>
    <w:rsid w:val="000B5087"/>
    <w:rsid w:val="000B5177"/>
    <w:rsid w:val="000B51CF"/>
    <w:rsid w:val="000B53A3"/>
    <w:rsid w:val="000B53BC"/>
    <w:rsid w:val="000B540F"/>
    <w:rsid w:val="000B550A"/>
    <w:rsid w:val="000B5571"/>
    <w:rsid w:val="000B5680"/>
    <w:rsid w:val="000B5779"/>
    <w:rsid w:val="000B57F1"/>
    <w:rsid w:val="000B57F5"/>
    <w:rsid w:val="000B5838"/>
    <w:rsid w:val="000B5849"/>
    <w:rsid w:val="000B5C16"/>
    <w:rsid w:val="000B5C8D"/>
    <w:rsid w:val="000B5E51"/>
    <w:rsid w:val="000B5F0E"/>
    <w:rsid w:val="000B5F19"/>
    <w:rsid w:val="000B5FB3"/>
    <w:rsid w:val="000B61FD"/>
    <w:rsid w:val="000B6343"/>
    <w:rsid w:val="000B6361"/>
    <w:rsid w:val="000B63DB"/>
    <w:rsid w:val="000B642D"/>
    <w:rsid w:val="000B64B9"/>
    <w:rsid w:val="000B6680"/>
    <w:rsid w:val="000B66B5"/>
    <w:rsid w:val="000B6793"/>
    <w:rsid w:val="000B67AF"/>
    <w:rsid w:val="000B67C8"/>
    <w:rsid w:val="000B685A"/>
    <w:rsid w:val="000B6973"/>
    <w:rsid w:val="000B6ACD"/>
    <w:rsid w:val="000B6B7A"/>
    <w:rsid w:val="000B6BAB"/>
    <w:rsid w:val="000B6CA5"/>
    <w:rsid w:val="000B6CF0"/>
    <w:rsid w:val="000B6E7B"/>
    <w:rsid w:val="000B6FF1"/>
    <w:rsid w:val="000B6FFC"/>
    <w:rsid w:val="000B7016"/>
    <w:rsid w:val="000B702C"/>
    <w:rsid w:val="000B71AD"/>
    <w:rsid w:val="000B720C"/>
    <w:rsid w:val="000B72C1"/>
    <w:rsid w:val="000B7328"/>
    <w:rsid w:val="000B7373"/>
    <w:rsid w:val="000B737E"/>
    <w:rsid w:val="000B7451"/>
    <w:rsid w:val="000B746C"/>
    <w:rsid w:val="000B74F0"/>
    <w:rsid w:val="000B75C4"/>
    <w:rsid w:val="000B75E4"/>
    <w:rsid w:val="000B7665"/>
    <w:rsid w:val="000B775C"/>
    <w:rsid w:val="000B77BD"/>
    <w:rsid w:val="000B7849"/>
    <w:rsid w:val="000B78BD"/>
    <w:rsid w:val="000B79B6"/>
    <w:rsid w:val="000B7A23"/>
    <w:rsid w:val="000B7A3E"/>
    <w:rsid w:val="000B7A60"/>
    <w:rsid w:val="000B7B94"/>
    <w:rsid w:val="000B7C29"/>
    <w:rsid w:val="000B7D06"/>
    <w:rsid w:val="000B7DC8"/>
    <w:rsid w:val="000B7DCB"/>
    <w:rsid w:val="000B7E38"/>
    <w:rsid w:val="000B7E7A"/>
    <w:rsid w:val="000B7EDD"/>
    <w:rsid w:val="000B7F45"/>
    <w:rsid w:val="000B7F92"/>
    <w:rsid w:val="000B7FEB"/>
    <w:rsid w:val="000B7FED"/>
    <w:rsid w:val="000C00F1"/>
    <w:rsid w:val="000C024A"/>
    <w:rsid w:val="000C0273"/>
    <w:rsid w:val="000C02D6"/>
    <w:rsid w:val="000C02EB"/>
    <w:rsid w:val="000C043D"/>
    <w:rsid w:val="000C0470"/>
    <w:rsid w:val="000C048C"/>
    <w:rsid w:val="000C04C4"/>
    <w:rsid w:val="000C04C8"/>
    <w:rsid w:val="000C059A"/>
    <w:rsid w:val="000C05BE"/>
    <w:rsid w:val="000C05D6"/>
    <w:rsid w:val="000C05D9"/>
    <w:rsid w:val="000C0625"/>
    <w:rsid w:val="000C062E"/>
    <w:rsid w:val="000C06E4"/>
    <w:rsid w:val="000C0760"/>
    <w:rsid w:val="000C07A1"/>
    <w:rsid w:val="000C081F"/>
    <w:rsid w:val="000C082E"/>
    <w:rsid w:val="000C0927"/>
    <w:rsid w:val="000C09DF"/>
    <w:rsid w:val="000C0A0B"/>
    <w:rsid w:val="000C0ACA"/>
    <w:rsid w:val="000C0BAB"/>
    <w:rsid w:val="000C0C4B"/>
    <w:rsid w:val="000C0C5C"/>
    <w:rsid w:val="000C0CA1"/>
    <w:rsid w:val="000C0D24"/>
    <w:rsid w:val="000C0DBE"/>
    <w:rsid w:val="000C0DE5"/>
    <w:rsid w:val="000C0E75"/>
    <w:rsid w:val="000C0F15"/>
    <w:rsid w:val="000C0F25"/>
    <w:rsid w:val="000C0F3E"/>
    <w:rsid w:val="000C0F85"/>
    <w:rsid w:val="000C0FE7"/>
    <w:rsid w:val="000C1084"/>
    <w:rsid w:val="000C12A1"/>
    <w:rsid w:val="000C12F1"/>
    <w:rsid w:val="000C1308"/>
    <w:rsid w:val="000C1547"/>
    <w:rsid w:val="000C15A4"/>
    <w:rsid w:val="000C163D"/>
    <w:rsid w:val="000C16CC"/>
    <w:rsid w:val="000C1761"/>
    <w:rsid w:val="000C17A2"/>
    <w:rsid w:val="000C1ADC"/>
    <w:rsid w:val="000C1AE9"/>
    <w:rsid w:val="000C1BA8"/>
    <w:rsid w:val="000C1BEE"/>
    <w:rsid w:val="000C1C8E"/>
    <w:rsid w:val="000C1D6D"/>
    <w:rsid w:val="000C2058"/>
    <w:rsid w:val="000C2126"/>
    <w:rsid w:val="000C21AB"/>
    <w:rsid w:val="000C22D7"/>
    <w:rsid w:val="000C2410"/>
    <w:rsid w:val="000C2418"/>
    <w:rsid w:val="000C24E2"/>
    <w:rsid w:val="000C2514"/>
    <w:rsid w:val="000C251F"/>
    <w:rsid w:val="000C2694"/>
    <w:rsid w:val="000C27D8"/>
    <w:rsid w:val="000C283D"/>
    <w:rsid w:val="000C2867"/>
    <w:rsid w:val="000C2886"/>
    <w:rsid w:val="000C2988"/>
    <w:rsid w:val="000C2A0E"/>
    <w:rsid w:val="000C2A2B"/>
    <w:rsid w:val="000C2A9F"/>
    <w:rsid w:val="000C2AE5"/>
    <w:rsid w:val="000C2BD9"/>
    <w:rsid w:val="000C2C1F"/>
    <w:rsid w:val="000C2CAC"/>
    <w:rsid w:val="000C2D04"/>
    <w:rsid w:val="000C2D6D"/>
    <w:rsid w:val="000C2EC8"/>
    <w:rsid w:val="000C307A"/>
    <w:rsid w:val="000C32B4"/>
    <w:rsid w:val="000C3392"/>
    <w:rsid w:val="000C351E"/>
    <w:rsid w:val="000C35AA"/>
    <w:rsid w:val="000C35D6"/>
    <w:rsid w:val="000C3608"/>
    <w:rsid w:val="000C3641"/>
    <w:rsid w:val="000C36E7"/>
    <w:rsid w:val="000C3902"/>
    <w:rsid w:val="000C39F4"/>
    <w:rsid w:val="000C3A12"/>
    <w:rsid w:val="000C3A1F"/>
    <w:rsid w:val="000C3A8D"/>
    <w:rsid w:val="000C3B41"/>
    <w:rsid w:val="000C3C54"/>
    <w:rsid w:val="000C3D32"/>
    <w:rsid w:val="000C3D5E"/>
    <w:rsid w:val="000C3E25"/>
    <w:rsid w:val="000C3F59"/>
    <w:rsid w:val="000C4175"/>
    <w:rsid w:val="000C442D"/>
    <w:rsid w:val="000C44AE"/>
    <w:rsid w:val="000C45B5"/>
    <w:rsid w:val="000C4634"/>
    <w:rsid w:val="000C4811"/>
    <w:rsid w:val="000C48DF"/>
    <w:rsid w:val="000C4926"/>
    <w:rsid w:val="000C4982"/>
    <w:rsid w:val="000C49CA"/>
    <w:rsid w:val="000C4A24"/>
    <w:rsid w:val="000C4AA7"/>
    <w:rsid w:val="000C4B2D"/>
    <w:rsid w:val="000C4BD4"/>
    <w:rsid w:val="000C4BE7"/>
    <w:rsid w:val="000C4BF9"/>
    <w:rsid w:val="000C4C74"/>
    <w:rsid w:val="000C4C97"/>
    <w:rsid w:val="000C4F15"/>
    <w:rsid w:val="000C4F2F"/>
    <w:rsid w:val="000C4F4E"/>
    <w:rsid w:val="000C4FA7"/>
    <w:rsid w:val="000C4FC4"/>
    <w:rsid w:val="000C5008"/>
    <w:rsid w:val="000C507A"/>
    <w:rsid w:val="000C5101"/>
    <w:rsid w:val="000C512D"/>
    <w:rsid w:val="000C5138"/>
    <w:rsid w:val="000C5266"/>
    <w:rsid w:val="000C52F0"/>
    <w:rsid w:val="000C5329"/>
    <w:rsid w:val="000C5347"/>
    <w:rsid w:val="000C5469"/>
    <w:rsid w:val="000C54C2"/>
    <w:rsid w:val="000C5571"/>
    <w:rsid w:val="000C5632"/>
    <w:rsid w:val="000C56EB"/>
    <w:rsid w:val="000C58E0"/>
    <w:rsid w:val="000C5A48"/>
    <w:rsid w:val="000C5B7E"/>
    <w:rsid w:val="000C5B90"/>
    <w:rsid w:val="000C5C98"/>
    <w:rsid w:val="000C5DB4"/>
    <w:rsid w:val="000C5DED"/>
    <w:rsid w:val="000C60C0"/>
    <w:rsid w:val="000C6233"/>
    <w:rsid w:val="000C6263"/>
    <w:rsid w:val="000C626D"/>
    <w:rsid w:val="000C63C6"/>
    <w:rsid w:val="000C63F1"/>
    <w:rsid w:val="000C65C0"/>
    <w:rsid w:val="000C65C4"/>
    <w:rsid w:val="000C65D8"/>
    <w:rsid w:val="000C65E4"/>
    <w:rsid w:val="000C6639"/>
    <w:rsid w:val="000C665F"/>
    <w:rsid w:val="000C679B"/>
    <w:rsid w:val="000C69FC"/>
    <w:rsid w:val="000C6A36"/>
    <w:rsid w:val="000C6B5A"/>
    <w:rsid w:val="000C6BB9"/>
    <w:rsid w:val="000C6E39"/>
    <w:rsid w:val="000C6EB1"/>
    <w:rsid w:val="000C6FF2"/>
    <w:rsid w:val="000C707F"/>
    <w:rsid w:val="000C71A8"/>
    <w:rsid w:val="000C74DE"/>
    <w:rsid w:val="000C75D1"/>
    <w:rsid w:val="000C75E6"/>
    <w:rsid w:val="000C7690"/>
    <w:rsid w:val="000C76C9"/>
    <w:rsid w:val="000C76DD"/>
    <w:rsid w:val="000C7808"/>
    <w:rsid w:val="000C78D2"/>
    <w:rsid w:val="000C78D5"/>
    <w:rsid w:val="000C79EE"/>
    <w:rsid w:val="000C7B19"/>
    <w:rsid w:val="000C7B3A"/>
    <w:rsid w:val="000C7C46"/>
    <w:rsid w:val="000C7DC4"/>
    <w:rsid w:val="000C7E23"/>
    <w:rsid w:val="000C7FD0"/>
    <w:rsid w:val="000D0074"/>
    <w:rsid w:val="000D007A"/>
    <w:rsid w:val="000D017D"/>
    <w:rsid w:val="000D0310"/>
    <w:rsid w:val="000D034A"/>
    <w:rsid w:val="000D03FF"/>
    <w:rsid w:val="000D043A"/>
    <w:rsid w:val="000D04C6"/>
    <w:rsid w:val="000D0635"/>
    <w:rsid w:val="000D0695"/>
    <w:rsid w:val="000D06CE"/>
    <w:rsid w:val="000D0794"/>
    <w:rsid w:val="000D08FA"/>
    <w:rsid w:val="000D0A1B"/>
    <w:rsid w:val="000D0A26"/>
    <w:rsid w:val="000D0A5B"/>
    <w:rsid w:val="000D0AB4"/>
    <w:rsid w:val="000D0C72"/>
    <w:rsid w:val="000D104A"/>
    <w:rsid w:val="000D10A6"/>
    <w:rsid w:val="000D11B6"/>
    <w:rsid w:val="000D11E5"/>
    <w:rsid w:val="000D1221"/>
    <w:rsid w:val="000D12B5"/>
    <w:rsid w:val="000D1320"/>
    <w:rsid w:val="000D136B"/>
    <w:rsid w:val="000D137E"/>
    <w:rsid w:val="000D13A7"/>
    <w:rsid w:val="000D149D"/>
    <w:rsid w:val="000D15FE"/>
    <w:rsid w:val="000D16E4"/>
    <w:rsid w:val="000D16EC"/>
    <w:rsid w:val="000D1872"/>
    <w:rsid w:val="000D1902"/>
    <w:rsid w:val="000D193C"/>
    <w:rsid w:val="000D1AA8"/>
    <w:rsid w:val="000D1AE1"/>
    <w:rsid w:val="000D1B2B"/>
    <w:rsid w:val="000D1B52"/>
    <w:rsid w:val="000D1B81"/>
    <w:rsid w:val="000D1BDC"/>
    <w:rsid w:val="000D1C01"/>
    <w:rsid w:val="000D1C19"/>
    <w:rsid w:val="000D1C65"/>
    <w:rsid w:val="000D1CBE"/>
    <w:rsid w:val="000D1E77"/>
    <w:rsid w:val="000D1F1D"/>
    <w:rsid w:val="000D1F3D"/>
    <w:rsid w:val="000D1F7B"/>
    <w:rsid w:val="000D2080"/>
    <w:rsid w:val="000D2123"/>
    <w:rsid w:val="000D212B"/>
    <w:rsid w:val="000D233F"/>
    <w:rsid w:val="000D241B"/>
    <w:rsid w:val="000D242E"/>
    <w:rsid w:val="000D2464"/>
    <w:rsid w:val="000D26BD"/>
    <w:rsid w:val="000D2710"/>
    <w:rsid w:val="000D2724"/>
    <w:rsid w:val="000D2908"/>
    <w:rsid w:val="000D290B"/>
    <w:rsid w:val="000D2970"/>
    <w:rsid w:val="000D2BD8"/>
    <w:rsid w:val="000D2BE7"/>
    <w:rsid w:val="000D2C73"/>
    <w:rsid w:val="000D2F0E"/>
    <w:rsid w:val="000D2F10"/>
    <w:rsid w:val="000D3057"/>
    <w:rsid w:val="000D30EE"/>
    <w:rsid w:val="000D31D1"/>
    <w:rsid w:val="000D3277"/>
    <w:rsid w:val="000D3335"/>
    <w:rsid w:val="000D3467"/>
    <w:rsid w:val="000D38BD"/>
    <w:rsid w:val="000D3909"/>
    <w:rsid w:val="000D3933"/>
    <w:rsid w:val="000D397D"/>
    <w:rsid w:val="000D398B"/>
    <w:rsid w:val="000D39BB"/>
    <w:rsid w:val="000D3A16"/>
    <w:rsid w:val="000D3A20"/>
    <w:rsid w:val="000D3A27"/>
    <w:rsid w:val="000D3C0C"/>
    <w:rsid w:val="000D3C58"/>
    <w:rsid w:val="000D3C84"/>
    <w:rsid w:val="000D3D95"/>
    <w:rsid w:val="000D3DA1"/>
    <w:rsid w:val="000D3DD4"/>
    <w:rsid w:val="000D3E2A"/>
    <w:rsid w:val="000D3F0E"/>
    <w:rsid w:val="000D424E"/>
    <w:rsid w:val="000D4294"/>
    <w:rsid w:val="000D42FD"/>
    <w:rsid w:val="000D434F"/>
    <w:rsid w:val="000D4410"/>
    <w:rsid w:val="000D4434"/>
    <w:rsid w:val="000D4554"/>
    <w:rsid w:val="000D4566"/>
    <w:rsid w:val="000D45C0"/>
    <w:rsid w:val="000D45E7"/>
    <w:rsid w:val="000D45EC"/>
    <w:rsid w:val="000D4675"/>
    <w:rsid w:val="000D4721"/>
    <w:rsid w:val="000D472B"/>
    <w:rsid w:val="000D47F9"/>
    <w:rsid w:val="000D4811"/>
    <w:rsid w:val="000D491D"/>
    <w:rsid w:val="000D497E"/>
    <w:rsid w:val="000D49B6"/>
    <w:rsid w:val="000D49C6"/>
    <w:rsid w:val="000D4BA0"/>
    <w:rsid w:val="000D4BF1"/>
    <w:rsid w:val="000D4BFA"/>
    <w:rsid w:val="000D4C1B"/>
    <w:rsid w:val="000D4C84"/>
    <w:rsid w:val="000D4C8D"/>
    <w:rsid w:val="000D4D30"/>
    <w:rsid w:val="000D4D4F"/>
    <w:rsid w:val="000D4DD2"/>
    <w:rsid w:val="000D4E58"/>
    <w:rsid w:val="000D4EE9"/>
    <w:rsid w:val="000D4F2E"/>
    <w:rsid w:val="000D4F61"/>
    <w:rsid w:val="000D5054"/>
    <w:rsid w:val="000D50A3"/>
    <w:rsid w:val="000D50CA"/>
    <w:rsid w:val="000D512F"/>
    <w:rsid w:val="000D5259"/>
    <w:rsid w:val="000D529A"/>
    <w:rsid w:val="000D537D"/>
    <w:rsid w:val="000D5410"/>
    <w:rsid w:val="000D5434"/>
    <w:rsid w:val="000D5438"/>
    <w:rsid w:val="000D544A"/>
    <w:rsid w:val="000D5486"/>
    <w:rsid w:val="000D5489"/>
    <w:rsid w:val="000D5523"/>
    <w:rsid w:val="000D55F2"/>
    <w:rsid w:val="000D562C"/>
    <w:rsid w:val="000D563E"/>
    <w:rsid w:val="000D569A"/>
    <w:rsid w:val="000D597B"/>
    <w:rsid w:val="000D5B19"/>
    <w:rsid w:val="000D5C7A"/>
    <w:rsid w:val="000D5C83"/>
    <w:rsid w:val="000D5D56"/>
    <w:rsid w:val="000D5DFE"/>
    <w:rsid w:val="000D5E7F"/>
    <w:rsid w:val="000D5F22"/>
    <w:rsid w:val="000D6140"/>
    <w:rsid w:val="000D61BC"/>
    <w:rsid w:val="000D62B8"/>
    <w:rsid w:val="000D637E"/>
    <w:rsid w:val="000D651C"/>
    <w:rsid w:val="000D65BF"/>
    <w:rsid w:val="000D65FF"/>
    <w:rsid w:val="000D6722"/>
    <w:rsid w:val="000D67D5"/>
    <w:rsid w:val="000D6827"/>
    <w:rsid w:val="000D685B"/>
    <w:rsid w:val="000D690B"/>
    <w:rsid w:val="000D6954"/>
    <w:rsid w:val="000D69DB"/>
    <w:rsid w:val="000D6A35"/>
    <w:rsid w:val="000D6B36"/>
    <w:rsid w:val="000D6B8C"/>
    <w:rsid w:val="000D6BDE"/>
    <w:rsid w:val="000D6D90"/>
    <w:rsid w:val="000D6DD5"/>
    <w:rsid w:val="000D6F3C"/>
    <w:rsid w:val="000D70CB"/>
    <w:rsid w:val="000D70DA"/>
    <w:rsid w:val="000D70E8"/>
    <w:rsid w:val="000D719A"/>
    <w:rsid w:val="000D725C"/>
    <w:rsid w:val="000D7271"/>
    <w:rsid w:val="000D72C8"/>
    <w:rsid w:val="000D7354"/>
    <w:rsid w:val="000D73F3"/>
    <w:rsid w:val="000D7476"/>
    <w:rsid w:val="000D7499"/>
    <w:rsid w:val="000D7603"/>
    <w:rsid w:val="000D76EC"/>
    <w:rsid w:val="000D7840"/>
    <w:rsid w:val="000D79AD"/>
    <w:rsid w:val="000D79C3"/>
    <w:rsid w:val="000D79E3"/>
    <w:rsid w:val="000D7A3E"/>
    <w:rsid w:val="000D7AFB"/>
    <w:rsid w:val="000D7B92"/>
    <w:rsid w:val="000D7BBD"/>
    <w:rsid w:val="000D7C35"/>
    <w:rsid w:val="000D7CB0"/>
    <w:rsid w:val="000D7D4A"/>
    <w:rsid w:val="000D7D60"/>
    <w:rsid w:val="000D7D7C"/>
    <w:rsid w:val="000D7E1A"/>
    <w:rsid w:val="000D7E5E"/>
    <w:rsid w:val="000D7E7E"/>
    <w:rsid w:val="000E0016"/>
    <w:rsid w:val="000E0027"/>
    <w:rsid w:val="000E0031"/>
    <w:rsid w:val="000E00F3"/>
    <w:rsid w:val="000E0315"/>
    <w:rsid w:val="000E0333"/>
    <w:rsid w:val="000E03DC"/>
    <w:rsid w:val="000E03EE"/>
    <w:rsid w:val="000E040A"/>
    <w:rsid w:val="000E048C"/>
    <w:rsid w:val="000E05F0"/>
    <w:rsid w:val="000E0625"/>
    <w:rsid w:val="000E064B"/>
    <w:rsid w:val="000E07D9"/>
    <w:rsid w:val="000E084C"/>
    <w:rsid w:val="000E0851"/>
    <w:rsid w:val="000E0984"/>
    <w:rsid w:val="000E09DC"/>
    <w:rsid w:val="000E0A17"/>
    <w:rsid w:val="000E0A31"/>
    <w:rsid w:val="000E0A9E"/>
    <w:rsid w:val="000E0A9F"/>
    <w:rsid w:val="000E0AB4"/>
    <w:rsid w:val="000E0BB6"/>
    <w:rsid w:val="000E0C5C"/>
    <w:rsid w:val="000E0D32"/>
    <w:rsid w:val="000E0D88"/>
    <w:rsid w:val="000E0DAD"/>
    <w:rsid w:val="000E0DFA"/>
    <w:rsid w:val="000E0E1D"/>
    <w:rsid w:val="000E0EA7"/>
    <w:rsid w:val="000E107B"/>
    <w:rsid w:val="000E10A3"/>
    <w:rsid w:val="000E1100"/>
    <w:rsid w:val="000E1105"/>
    <w:rsid w:val="000E1124"/>
    <w:rsid w:val="000E1129"/>
    <w:rsid w:val="000E1134"/>
    <w:rsid w:val="000E116C"/>
    <w:rsid w:val="000E1184"/>
    <w:rsid w:val="000E119E"/>
    <w:rsid w:val="000E1218"/>
    <w:rsid w:val="000E12B2"/>
    <w:rsid w:val="000E12D3"/>
    <w:rsid w:val="000E12F8"/>
    <w:rsid w:val="000E1407"/>
    <w:rsid w:val="000E153E"/>
    <w:rsid w:val="000E15DA"/>
    <w:rsid w:val="000E15DB"/>
    <w:rsid w:val="000E15E9"/>
    <w:rsid w:val="000E167A"/>
    <w:rsid w:val="000E1692"/>
    <w:rsid w:val="000E18DA"/>
    <w:rsid w:val="000E1984"/>
    <w:rsid w:val="000E1A99"/>
    <w:rsid w:val="000E1B96"/>
    <w:rsid w:val="000E1C6A"/>
    <w:rsid w:val="000E1DEA"/>
    <w:rsid w:val="000E1F27"/>
    <w:rsid w:val="000E1F68"/>
    <w:rsid w:val="000E207D"/>
    <w:rsid w:val="000E20B1"/>
    <w:rsid w:val="000E2251"/>
    <w:rsid w:val="000E227B"/>
    <w:rsid w:val="000E2302"/>
    <w:rsid w:val="000E244E"/>
    <w:rsid w:val="000E24DB"/>
    <w:rsid w:val="000E2563"/>
    <w:rsid w:val="000E25A4"/>
    <w:rsid w:val="000E2607"/>
    <w:rsid w:val="000E2682"/>
    <w:rsid w:val="000E26C6"/>
    <w:rsid w:val="000E27E2"/>
    <w:rsid w:val="000E27EA"/>
    <w:rsid w:val="000E27FC"/>
    <w:rsid w:val="000E2832"/>
    <w:rsid w:val="000E2889"/>
    <w:rsid w:val="000E2966"/>
    <w:rsid w:val="000E29E9"/>
    <w:rsid w:val="000E2A0E"/>
    <w:rsid w:val="000E2ACC"/>
    <w:rsid w:val="000E2AD6"/>
    <w:rsid w:val="000E2AF9"/>
    <w:rsid w:val="000E2B59"/>
    <w:rsid w:val="000E2BEC"/>
    <w:rsid w:val="000E2CD1"/>
    <w:rsid w:val="000E2EC9"/>
    <w:rsid w:val="000E2F41"/>
    <w:rsid w:val="000E2FA0"/>
    <w:rsid w:val="000E301F"/>
    <w:rsid w:val="000E3066"/>
    <w:rsid w:val="000E30BC"/>
    <w:rsid w:val="000E3190"/>
    <w:rsid w:val="000E331A"/>
    <w:rsid w:val="000E341D"/>
    <w:rsid w:val="000E346A"/>
    <w:rsid w:val="000E3485"/>
    <w:rsid w:val="000E3489"/>
    <w:rsid w:val="000E34CA"/>
    <w:rsid w:val="000E3521"/>
    <w:rsid w:val="000E36AD"/>
    <w:rsid w:val="000E3760"/>
    <w:rsid w:val="000E380D"/>
    <w:rsid w:val="000E393C"/>
    <w:rsid w:val="000E39A4"/>
    <w:rsid w:val="000E3A00"/>
    <w:rsid w:val="000E3A09"/>
    <w:rsid w:val="000E3ABE"/>
    <w:rsid w:val="000E3B78"/>
    <w:rsid w:val="000E3C12"/>
    <w:rsid w:val="000E3C2D"/>
    <w:rsid w:val="000E3C6E"/>
    <w:rsid w:val="000E3CFD"/>
    <w:rsid w:val="000E3DC1"/>
    <w:rsid w:val="000E3DF4"/>
    <w:rsid w:val="000E3EDA"/>
    <w:rsid w:val="000E3F66"/>
    <w:rsid w:val="000E40A1"/>
    <w:rsid w:val="000E4123"/>
    <w:rsid w:val="000E427A"/>
    <w:rsid w:val="000E4318"/>
    <w:rsid w:val="000E4386"/>
    <w:rsid w:val="000E4438"/>
    <w:rsid w:val="000E4470"/>
    <w:rsid w:val="000E44FE"/>
    <w:rsid w:val="000E4507"/>
    <w:rsid w:val="000E4511"/>
    <w:rsid w:val="000E45CA"/>
    <w:rsid w:val="000E46B3"/>
    <w:rsid w:val="000E46DC"/>
    <w:rsid w:val="000E4756"/>
    <w:rsid w:val="000E480E"/>
    <w:rsid w:val="000E48BF"/>
    <w:rsid w:val="000E48DC"/>
    <w:rsid w:val="000E49BB"/>
    <w:rsid w:val="000E49C0"/>
    <w:rsid w:val="000E49E6"/>
    <w:rsid w:val="000E4AE2"/>
    <w:rsid w:val="000E4B0F"/>
    <w:rsid w:val="000E4BE5"/>
    <w:rsid w:val="000E4CCB"/>
    <w:rsid w:val="000E4D33"/>
    <w:rsid w:val="000E4D6A"/>
    <w:rsid w:val="000E4E20"/>
    <w:rsid w:val="000E4EB2"/>
    <w:rsid w:val="000E4F59"/>
    <w:rsid w:val="000E4F85"/>
    <w:rsid w:val="000E4FAB"/>
    <w:rsid w:val="000E5074"/>
    <w:rsid w:val="000E5083"/>
    <w:rsid w:val="000E50DD"/>
    <w:rsid w:val="000E51E7"/>
    <w:rsid w:val="000E5281"/>
    <w:rsid w:val="000E52A3"/>
    <w:rsid w:val="000E5313"/>
    <w:rsid w:val="000E54EB"/>
    <w:rsid w:val="000E5531"/>
    <w:rsid w:val="000E5722"/>
    <w:rsid w:val="000E5727"/>
    <w:rsid w:val="000E5729"/>
    <w:rsid w:val="000E5840"/>
    <w:rsid w:val="000E594A"/>
    <w:rsid w:val="000E59E0"/>
    <w:rsid w:val="000E5AD7"/>
    <w:rsid w:val="000E5AE9"/>
    <w:rsid w:val="000E5B8B"/>
    <w:rsid w:val="000E5C69"/>
    <w:rsid w:val="000E5DBA"/>
    <w:rsid w:val="000E5DEB"/>
    <w:rsid w:val="000E5E0C"/>
    <w:rsid w:val="000E5E31"/>
    <w:rsid w:val="000E5F14"/>
    <w:rsid w:val="000E608A"/>
    <w:rsid w:val="000E60FD"/>
    <w:rsid w:val="000E61C0"/>
    <w:rsid w:val="000E61CB"/>
    <w:rsid w:val="000E6297"/>
    <w:rsid w:val="000E62A0"/>
    <w:rsid w:val="000E6352"/>
    <w:rsid w:val="000E639E"/>
    <w:rsid w:val="000E6410"/>
    <w:rsid w:val="000E64F9"/>
    <w:rsid w:val="000E6576"/>
    <w:rsid w:val="000E6601"/>
    <w:rsid w:val="000E6662"/>
    <w:rsid w:val="000E667E"/>
    <w:rsid w:val="000E6691"/>
    <w:rsid w:val="000E6743"/>
    <w:rsid w:val="000E678B"/>
    <w:rsid w:val="000E67C8"/>
    <w:rsid w:val="000E67CE"/>
    <w:rsid w:val="000E6886"/>
    <w:rsid w:val="000E68AD"/>
    <w:rsid w:val="000E6A4F"/>
    <w:rsid w:val="000E6AA0"/>
    <w:rsid w:val="000E6ACD"/>
    <w:rsid w:val="000E6C1C"/>
    <w:rsid w:val="000E6D84"/>
    <w:rsid w:val="000E6D91"/>
    <w:rsid w:val="000E6DCD"/>
    <w:rsid w:val="000E6DE4"/>
    <w:rsid w:val="000E6E44"/>
    <w:rsid w:val="000E6FA5"/>
    <w:rsid w:val="000E6FA6"/>
    <w:rsid w:val="000E70A3"/>
    <w:rsid w:val="000E71F0"/>
    <w:rsid w:val="000E7203"/>
    <w:rsid w:val="000E7268"/>
    <w:rsid w:val="000E7292"/>
    <w:rsid w:val="000E72C9"/>
    <w:rsid w:val="000E731E"/>
    <w:rsid w:val="000E73AF"/>
    <w:rsid w:val="000E7406"/>
    <w:rsid w:val="000E74FB"/>
    <w:rsid w:val="000E7580"/>
    <w:rsid w:val="000E759C"/>
    <w:rsid w:val="000E77A7"/>
    <w:rsid w:val="000E77FB"/>
    <w:rsid w:val="000E7806"/>
    <w:rsid w:val="000E781D"/>
    <w:rsid w:val="000E788F"/>
    <w:rsid w:val="000E7928"/>
    <w:rsid w:val="000E7A2F"/>
    <w:rsid w:val="000E7AED"/>
    <w:rsid w:val="000E7B63"/>
    <w:rsid w:val="000E7B7D"/>
    <w:rsid w:val="000E7C04"/>
    <w:rsid w:val="000E7C3B"/>
    <w:rsid w:val="000E7CD9"/>
    <w:rsid w:val="000E7D0C"/>
    <w:rsid w:val="000E7D3F"/>
    <w:rsid w:val="000E7D7A"/>
    <w:rsid w:val="000E7E17"/>
    <w:rsid w:val="000E7EBD"/>
    <w:rsid w:val="000E7EDC"/>
    <w:rsid w:val="000E7FDE"/>
    <w:rsid w:val="000F0020"/>
    <w:rsid w:val="000F002A"/>
    <w:rsid w:val="000F008A"/>
    <w:rsid w:val="000F00C3"/>
    <w:rsid w:val="000F01F1"/>
    <w:rsid w:val="000F0227"/>
    <w:rsid w:val="000F02C4"/>
    <w:rsid w:val="000F0300"/>
    <w:rsid w:val="000F03FA"/>
    <w:rsid w:val="000F04A8"/>
    <w:rsid w:val="000F053F"/>
    <w:rsid w:val="000F062A"/>
    <w:rsid w:val="000F06AC"/>
    <w:rsid w:val="000F0757"/>
    <w:rsid w:val="000F0828"/>
    <w:rsid w:val="000F09D3"/>
    <w:rsid w:val="000F0A96"/>
    <w:rsid w:val="000F0B36"/>
    <w:rsid w:val="000F0B62"/>
    <w:rsid w:val="000F0B6F"/>
    <w:rsid w:val="000F0BE6"/>
    <w:rsid w:val="000F0E60"/>
    <w:rsid w:val="000F0E64"/>
    <w:rsid w:val="000F0EF8"/>
    <w:rsid w:val="000F0FCE"/>
    <w:rsid w:val="000F1055"/>
    <w:rsid w:val="000F1098"/>
    <w:rsid w:val="000F112F"/>
    <w:rsid w:val="000F11D4"/>
    <w:rsid w:val="000F1204"/>
    <w:rsid w:val="000F1244"/>
    <w:rsid w:val="000F1261"/>
    <w:rsid w:val="000F12D7"/>
    <w:rsid w:val="000F135D"/>
    <w:rsid w:val="000F1429"/>
    <w:rsid w:val="000F14EC"/>
    <w:rsid w:val="000F150D"/>
    <w:rsid w:val="000F16D1"/>
    <w:rsid w:val="000F170F"/>
    <w:rsid w:val="000F17B6"/>
    <w:rsid w:val="000F17D9"/>
    <w:rsid w:val="000F17E7"/>
    <w:rsid w:val="000F1831"/>
    <w:rsid w:val="000F186E"/>
    <w:rsid w:val="000F188E"/>
    <w:rsid w:val="000F1A5E"/>
    <w:rsid w:val="000F1A8B"/>
    <w:rsid w:val="000F1AC2"/>
    <w:rsid w:val="000F1B15"/>
    <w:rsid w:val="000F1B2E"/>
    <w:rsid w:val="000F1B55"/>
    <w:rsid w:val="000F1D86"/>
    <w:rsid w:val="000F1E17"/>
    <w:rsid w:val="000F1E77"/>
    <w:rsid w:val="000F1F44"/>
    <w:rsid w:val="000F1FF8"/>
    <w:rsid w:val="000F20CB"/>
    <w:rsid w:val="000F2132"/>
    <w:rsid w:val="000F253F"/>
    <w:rsid w:val="000F2670"/>
    <w:rsid w:val="000F26B9"/>
    <w:rsid w:val="000F26F4"/>
    <w:rsid w:val="000F2877"/>
    <w:rsid w:val="000F2980"/>
    <w:rsid w:val="000F2A4E"/>
    <w:rsid w:val="000F2A96"/>
    <w:rsid w:val="000F2AFF"/>
    <w:rsid w:val="000F2BB4"/>
    <w:rsid w:val="000F2C75"/>
    <w:rsid w:val="000F2D91"/>
    <w:rsid w:val="000F2DDA"/>
    <w:rsid w:val="000F2E01"/>
    <w:rsid w:val="000F2E05"/>
    <w:rsid w:val="000F2EED"/>
    <w:rsid w:val="000F2F3A"/>
    <w:rsid w:val="000F2F7A"/>
    <w:rsid w:val="000F2FB4"/>
    <w:rsid w:val="000F2FD1"/>
    <w:rsid w:val="000F3035"/>
    <w:rsid w:val="000F310E"/>
    <w:rsid w:val="000F31B2"/>
    <w:rsid w:val="000F32FA"/>
    <w:rsid w:val="000F332E"/>
    <w:rsid w:val="000F3424"/>
    <w:rsid w:val="000F36D0"/>
    <w:rsid w:val="000F36FF"/>
    <w:rsid w:val="000F37B7"/>
    <w:rsid w:val="000F394E"/>
    <w:rsid w:val="000F39D7"/>
    <w:rsid w:val="000F3A1C"/>
    <w:rsid w:val="000F3B0C"/>
    <w:rsid w:val="000F3B3A"/>
    <w:rsid w:val="000F3E33"/>
    <w:rsid w:val="000F3E59"/>
    <w:rsid w:val="000F3FB7"/>
    <w:rsid w:val="000F3FC7"/>
    <w:rsid w:val="000F4142"/>
    <w:rsid w:val="000F41F0"/>
    <w:rsid w:val="000F420D"/>
    <w:rsid w:val="000F4283"/>
    <w:rsid w:val="000F43FE"/>
    <w:rsid w:val="000F442A"/>
    <w:rsid w:val="000F445F"/>
    <w:rsid w:val="000F4557"/>
    <w:rsid w:val="000F462E"/>
    <w:rsid w:val="000F463C"/>
    <w:rsid w:val="000F4679"/>
    <w:rsid w:val="000F46D6"/>
    <w:rsid w:val="000F4819"/>
    <w:rsid w:val="000F4867"/>
    <w:rsid w:val="000F48B9"/>
    <w:rsid w:val="000F48CE"/>
    <w:rsid w:val="000F48D8"/>
    <w:rsid w:val="000F48DF"/>
    <w:rsid w:val="000F490C"/>
    <w:rsid w:val="000F497A"/>
    <w:rsid w:val="000F49B5"/>
    <w:rsid w:val="000F4A35"/>
    <w:rsid w:val="000F4B41"/>
    <w:rsid w:val="000F4B6D"/>
    <w:rsid w:val="000F4C72"/>
    <w:rsid w:val="000F4C92"/>
    <w:rsid w:val="000F4CC0"/>
    <w:rsid w:val="000F4D2D"/>
    <w:rsid w:val="000F4E5B"/>
    <w:rsid w:val="000F4EBD"/>
    <w:rsid w:val="000F4F36"/>
    <w:rsid w:val="000F4F8A"/>
    <w:rsid w:val="000F5060"/>
    <w:rsid w:val="000F509A"/>
    <w:rsid w:val="000F51AC"/>
    <w:rsid w:val="000F51AE"/>
    <w:rsid w:val="000F52BB"/>
    <w:rsid w:val="000F52DC"/>
    <w:rsid w:val="000F534E"/>
    <w:rsid w:val="000F53CE"/>
    <w:rsid w:val="000F5498"/>
    <w:rsid w:val="000F54C0"/>
    <w:rsid w:val="000F5547"/>
    <w:rsid w:val="000F557E"/>
    <w:rsid w:val="000F56CA"/>
    <w:rsid w:val="000F577A"/>
    <w:rsid w:val="000F57DE"/>
    <w:rsid w:val="000F583A"/>
    <w:rsid w:val="000F5987"/>
    <w:rsid w:val="000F598B"/>
    <w:rsid w:val="000F59BE"/>
    <w:rsid w:val="000F5A3B"/>
    <w:rsid w:val="000F5A4C"/>
    <w:rsid w:val="000F5A54"/>
    <w:rsid w:val="000F5A6C"/>
    <w:rsid w:val="000F5CDE"/>
    <w:rsid w:val="000F5DAA"/>
    <w:rsid w:val="000F5E23"/>
    <w:rsid w:val="000F5E30"/>
    <w:rsid w:val="000F5EB7"/>
    <w:rsid w:val="000F5ED8"/>
    <w:rsid w:val="000F5F4E"/>
    <w:rsid w:val="000F5F6F"/>
    <w:rsid w:val="000F5FC0"/>
    <w:rsid w:val="000F6021"/>
    <w:rsid w:val="000F6071"/>
    <w:rsid w:val="000F60BC"/>
    <w:rsid w:val="000F60C3"/>
    <w:rsid w:val="000F622D"/>
    <w:rsid w:val="000F626B"/>
    <w:rsid w:val="000F6497"/>
    <w:rsid w:val="000F64BD"/>
    <w:rsid w:val="000F64C3"/>
    <w:rsid w:val="000F65D5"/>
    <w:rsid w:val="000F6640"/>
    <w:rsid w:val="000F6669"/>
    <w:rsid w:val="000F6710"/>
    <w:rsid w:val="000F67D1"/>
    <w:rsid w:val="000F67D4"/>
    <w:rsid w:val="000F684E"/>
    <w:rsid w:val="000F69D6"/>
    <w:rsid w:val="000F6A0B"/>
    <w:rsid w:val="000F6A3A"/>
    <w:rsid w:val="000F6AB2"/>
    <w:rsid w:val="000F6B32"/>
    <w:rsid w:val="000F6B36"/>
    <w:rsid w:val="000F6C7A"/>
    <w:rsid w:val="000F6C86"/>
    <w:rsid w:val="000F6CC6"/>
    <w:rsid w:val="000F6CFB"/>
    <w:rsid w:val="000F6DBB"/>
    <w:rsid w:val="000F6DEF"/>
    <w:rsid w:val="000F6E47"/>
    <w:rsid w:val="000F6F05"/>
    <w:rsid w:val="000F6FA8"/>
    <w:rsid w:val="000F6FC0"/>
    <w:rsid w:val="000F708B"/>
    <w:rsid w:val="000F7158"/>
    <w:rsid w:val="000F71E7"/>
    <w:rsid w:val="000F7210"/>
    <w:rsid w:val="000F722F"/>
    <w:rsid w:val="000F7332"/>
    <w:rsid w:val="000F742E"/>
    <w:rsid w:val="000F74AF"/>
    <w:rsid w:val="000F74CF"/>
    <w:rsid w:val="000F74D9"/>
    <w:rsid w:val="000F7516"/>
    <w:rsid w:val="000F7575"/>
    <w:rsid w:val="000F7587"/>
    <w:rsid w:val="000F7641"/>
    <w:rsid w:val="000F7646"/>
    <w:rsid w:val="000F7710"/>
    <w:rsid w:val="000F775C"/>
    <w:rsid w:val="000F7880"/>
    <w:rsid w:val="000F7883"/>
    <w:rsid w:val="000F788C"/>
    <w:rsid w:val="000F7987"/>
    <w:rsid w:val="000F7A71"/>
    <w:rsid w:val="000F7AA4"/>
    <w:rsid w:val="000F7AAC"/>
    <w:rsid w:val="000F7ABA"/>
    <w:rsid w:val="000F7C09"/>
    <w:rsid w:val="000F7C3F"/>
    <w:rsid w:val="000F7CCA"/>
    <w:rsid w:val="000F7D21"/>
    <w:rsid w:val="000F7DAC"/>
    <w:rsid w:val="000F7EC0"/>
    <w:rsid w:val="000F7ECA"/>
    <w:rsid w:val="000F7FE8"/>
    <w:rsid w:val="00100002"/>
    <w:rsid w:val="00100144"/>
    <w:rsid w:val="00100155"/>
    <w:rsid w:val="0010018F"/>
    <w:rsid w:val="001001D8"/>
    <w:rsid w:val="001001EC"/>
    <w:rsid w:val="001001FE"/>
    <w:rsid w:val="00100252"/>
    <w:rsid w:val="001002FA"/>
    <w:rsid w:val="0010049D"/>
    <w:rsid w:val="001004D2"/>
    <w:rsid w:val="001004FB"/>
    <w:rsid w:val="0010051C"/>
    <w:rsid w:val="00100547"/>
    <w:rsid w:val="00100550"/>
    <w:rsid w:val="00100564"/>
    <w:rsid w:val="00100590"/>
    <w:rsid w:val="001005CD"/>
    <w:rsid w:val="001005FD"/>
    <w:rsid w:val="00100696"/>
    <w:rsid w:val="001006EE"/>
    <w:rsid w:val="0010072C"/>
    <w:rsid w:val="00100851"/>
    <w:rsid w:val="001008F9"/>
    <w:rsid w:val="00100938"/>
    <w:rsid w:val="001009AA"/>
    <w:rsid w:val="00100B23"/>
    <w:rsid w:val="00100C03"/>
    <w:rsid w:val="00100CAD"/>
    <w:rsid w:val="00100D8F"/>
    <w:rsid w:val="00100DE7"/>
    <w:rsid w:val="001010C8"/>
    <w:rsid w:val="0010115C"/>
    <w:rsid w:val="00101229"/>
    <w:rsid w:val="00101322"/>
    <w:rsid w:val="00101325"/>
    <w:rsid w:val="0010133D"/>
    <w:rsid w:val="00101415"/>
    <w:rsid w:val="0010147D"/>
    <w:rsid w:val="00101555"/>
    <w:rsid w:val="00101601"/>
    <w:rsid w:val="001017C4"/>
    <w:rsid w:val="00101969"/>
    <w:rsid w:val="00101A6C"/>
    <w:rsid w:val="00101AB5"/>
    <w:rsid w:val="00101B4C"/>
    <w:rsid w:val="00101CBC"/>
    <w:rsid w:val="00101CCA"/>
    <w:rsid w:val="00101D69"/>
    <w:rsid w:val="00101DD6"/>
    <w:rsid w:val="00101E2E"/>
    <w:rsid w:val="00101E5A"/>
    <w:rsid w:val="00101EC8"/>
    <w:rsid w:val="00101F2E"/>
    <w:rsid w:val="00101FD0"/>
    <w:rsid w:val="00102068"/>
    <w:rsid w:val="001020C7"/>
    <w:rsid w:val="0010213F"/>
    <w:rsid w:val="001021FB"/>
    <w:rsid w:val="001022DE"/>
    <w:rsid w:val="00102311"/>
    <w:rsid w:val="0010232D"/>
    <w:rsid w:val="00102369"/>
    <w:rsid w:val="0010257B"/>
    <w:rsid w:val="001025BC"/>
    <w:rsid w:val="00102657"/>
    <w:rsid w:val="0010270F"/>
    <w:rsid w:val="001027FF"/>
    <w:rsid w:val="0010285B"/>
    <w:rsid w:val="001028AA"/>
    <w:rsid w:val="0010290F"/>
    <w:rsid w:val="00102979"/>
    <w:rsid w:val="0010298A"/>
    <w:rsid w:val="00102B5F"/>
    <w:rsid w:val="00102C22"/>
    <w:rsid w:val="00102D48"/>
    <w:rsid w:val="00102E03"/>
    <w:rsid w:val="00102E25"/>
    <w:rsid w:val="00102E2C"/>
    <w:rsid w:val="00102E3A"/>
    <w:rsid w:val="00102EAA"/>
    <w:rsid w:val="00102EE2"/>
    <w:rsid w:val="00103064"/>
    <w:rsid w:val="001030F7"/>
    <w:rsid w:val="001030FC"/>
    <w:rsid w:val="001031C6"/>
    <w:rsid w:val="0010325C"/>
    <w:rsid w:val="001032A4"/>
    <w:rsid w:val="001032C7"/>
    <w:rsid w:val="00103344"/>
    <w:rsid w:val="00103352"/>
    <w:rsid w:val="0010348B"/>
    <w:rsid w:val="0010352A"/>
    <w:rsid w:val="00103586"/>
    <w:rsid w:val="001035C9"/>
    <w:rsid w:val="0010363E"/>
    <w:rsid w:val="0010367C"/>
    <w:rsid w:val="00103683"/>
    <w:rsid w:val="00103759"/>
    <w:rsid w:val="001037AF"/>
    <w:rsid w:val="00103A36"/>
    <w:rsid w:val="00103A46"/>
    <w:rsid w:val="00103B36"/>
    <w:rsid w:val="00103B48"/>
    <w:rsid w:val="00103B4C"/>
    <w:rsid w:val="00103C33"/>
    <w:rsid w:val="00103C84"/>
    <w:rsid w:val="00103CF0"/>
    <w:rsid w:val="00103FD6"/>
    <w:rsid w:val="00104168"/>
    <w:rsid w:val="00104184"/>
    <w:rsid w:val="00104288"/>
    <w:rsid w:val="001042AE"/>
    <w:rsid w:val="0010438E"/>
    <w:rsid w:val="001043A0"/>
    <w:rsid w:val="0010448B"/>
    <w:rsid w:val="001044A7"/>
    <w:rsid w:val="00104593"/>
    <w:rsid w:val="00104676"/>
    <w:rsid w:val="0010475E"/>
    <w:rsid w:val="00104887"/>
    <w:rsid w:val="001048FF"/>
    <w:rsid w:val="00104912"/>
    <w:rsid w:val="0010496D"/>
    <w:rsid w:val="00104A09"/>
    <w:rsid w:val="00104A1D"/>
    <w:rsid w:val="00104A60"/>
    <w:rsid w:val="00104ACB"/>
    <w:rsid w:val="00104C1C"/>
    <w:rsid w:val="00104C28"/>
    <w:rsid w:val="00104C33"/>
    <w:rsid w:val="00104C67"/>
    <w:rsid w:val="00104C83"/>
    <w:rsid w:val="00104CD7"/>
    <w:rsid w:val="00104D1B"/>
    <w:rsid w:val="00104D50"/>
    <w:rsid w:val="00104D6B"/>
    <w:rsid w:val="00104DA7"/>
    <w:rsid w:val="00104EFC"/>
    <w:rsid w:val="00104F4B"/>
    <w:rsid w:val="00104F6F"/>
    <w:rsid w:val="00104FF4"/>
    <w:rsid w:val="001050EF"/>
    <w:rsid w:val="0010521F"/>
    <w:rsid w:val="001053D6"/>
    <w:rsid w:val="001053E4"/>
    <w:rsid w:val="0010541F"/>
    <w:rsid w:val="00105471"/>
    <w:rsid w:val="001054D7"/>
    <w:rsid w:val="00105501"/>
    <w:rsid w:val="001056FC"/>
    <w:rsid w:val="00105796"/>
    <w:rsid w:val="001057DB"/>
    <w:rsid w:val="001058D9"/>
    <w:rsid w:val="00105908"/>
    <w:rsid w:val="0010598D"/>
    <w:rsid w:val="00105AE6"/>
    <w:rsid w:val="00105BBA"/>
    <w:rsid w:val="00105C97"/>
    <w:rsid w:val="00105CA2"/>
    <w:rsid w:val="00105CF7"/>
    <w:rsid w:val="00105D70"/>
    <w:rsid w:val="00105D94"/>
    <w:rsid w:val="00105DAA"/>
    <w:rsid w:val="00105DD7"/>
    <w:rsid w:val="00105E1E"/>
    <w:rsid w:val="00105E26"/>
    <w:rsid w:val="00105E3D"/>
    <w:rsid w:val="00105E87"/>
    <w:rsid w:val="00105EA3"/>
    <w:rsid w:val="00105EDA"/>
    <w:rsid w:val="00105F5B"/>
    <w:rsid w:val="00105F6A"/>
    <w:rsid w:val="0010603E"/>
    <w:rsid w:val="00106106"/>
    <w:rsid w:val="001061B7"/>
    <w:rsid w:val="0010625A"/>
    <w:rsid w:val="00106289"/>
    <w:rsid w:val="001063BE"/>
    <w:rsid w:val="0010640E"/>
    <w:rsid w:val="001065D6"/>
    <w:rsid w:val="00106803"/>
    <w:rsid w:val="00106894"/>
    <w:rsid w:val="001068BB"/>
    <w:rsid w:val="00106B98"/>
    <w:rsid w:val="00106C4F"/>
    <w:rsid w:val="00106D84"/>
    <w:rsid w:val="00106E18"/>
    <w:rsid w:val="00106E83"/>
    <w:rsid w:val="00106ECF"/>
    <w:rsid w:val="0010701B"/>
    <w:rsid w:val="0010706B"/>
    <w:rsid w:val="001070DD"/>
    <w:rsid w:val="00107248"/>
    <w:rsid w:val="001072D9"/>
    <w:rsid w:val="00107376"/>
    <w:rsid w:val="0010738A"/>
    <w:rsid w:val="001073FA"/>
    <w:rsid w:val="00107449"/>
    <w:rsid w:val="00107465"/>
    <w:rsid w:val="00107483"/>
    <w:rsid w:val="001074F5"/>
    <w:rsid w:val="001074F8"/>
    <w:rsid w:val="00107524"/>
    <w:rsid w:val="001075AF"/>
    <w:rsid w:val="0010768F"/>
    <w:rsid w:val="001076B7"/>
    <w:rsid w:val="001076E8"/>
    <w:rsid w:val="001076F4"/>
    <w:rsid w:val="0010770C"/>
    <w:rsid w:val="00107725"/>
    <w:rsid w:val="00107766"/>
    <w:rsid w:val="001077B1"/>
    <w:rsid w:val="00107804"/>
    <w:rsid w:val="00107928"/>
    <w:rsid w:val="00107963"/>
    <w:rsid w:val="0010799D"/>
    <w:rsid w:val="00107B2A"/>
    <w:rsid w:val="00107B40"/>
    <w:rsid w:val="00107B4A"/>
    <w:rsid w:val="00107B71"/>
    <w:rsid w:val="00107D34"/>
    <w:rsid w:val="00107D3F"/>
    <w:rsid w:val="00107DCD"/>
    <w:rsid w:val="00107E31"/>
    <w:rsid w:val="00107E73"/>
    <w:rsid w:val="00107EF0"/>
    <w:rsid w:val="00107F87"/>
    <w:rsid w:val="001100C2"/>
    <w:rsid w:val="001101A9"/>
    <w:rsid w:val="0011036C"/>
    <w:rsid w:val="001103C9"/>
    <w:rsid w:val="00110442"/>
    <w:rsid w:val="00110555"/>
    <w:rsid w:val="0011057E"/>
    <w:rsid w:val="0011063C"/>
    <w:rsid w:val="001106F7"/>
    <w:rsid w:val="0011075F"/>
    <w:rsid w:val="001108B5"/>
    <w:rsid w:val="001108FB"/>
    <w:rsid w:val="0011092A"/>
    <w:rsid w:val="00110CD3"/>
    <w:rsid w:val="00110CFF"/>
    <w:rsid w:val="00110D18"/>
    <w:rsid w:val="00110D1E"/>
    <w:rsid w:val="00110EED"/>
    <w:rsid w:val="0011102A"/>
    <w:rsid w:val="00111071"/>
    <w:rsid w:val="0011112C"/>
    <w:rsid w:val="00111173"/>
    <w:rsid w:val="0011118D"/>
    <w:rsid w:val="001111F3"/>
    <w:rsid w:val="001112E6"/>
    <w:rsid w:val="00111417"/>
    <w:rsid w:val="001114AF"/>
    <w:rsid w:val="001114D4"/>
    <w:rsid w:val="00111507"/>
    <w:rsid w:val="0011160D"/>
    <w:rsid w:val="0011175A"/>
    <w:rsid w:val="001117BB"/>
    <w:rsid w:val="001117EE"/>
    <w:rsid w:val="00111B85"/>
    <w:rsid w:val="00111C38"/>
    <w:rsid w:val="00111D1C"/>
    <w:rsid w:val="00111D39"/>
    <w:rsid w:val="00111DB7"/>
    <w:rsid w:val="00111DEA"/>
    <w:rsid w:val="00111E21"/>
    <w:rsid w:val="00111F56"/>
    <w:rsid w:val="00111FF9"/>
    <w:rsid w:val="00112049"/>
    <w:rsid w:val="00112078"/>
    <w:rsid w:val="00112121"/>
    <w:rsid w:val="00112139"/>
    <w:rsid w:val="0011218F"/>
    <w:rsid w:val="00112197"/>
    <w:rsid w:val="00112261"/>
    <w:rsid w:val="001122D7"/>
    <w:rsid w:val="0011245C"/>
    <w:rsid w:val="00112498"/>
    <w:rsid w:val="001124BB"/>
    <w:rsid w:val="00112541"/>
    <w:rsid w:val="00112551"/>
    <w:rsid w:val="00112584"/>
    <w:rsid w:val="00112590"/>
    <w:rsid w:val="001125ED"/>
    <w:rsid w:val="00112606"/>
    <w:rsid w:val="001127E1"/>
    <w:rsid w:val="0011285E"/>
    <w:rsid w:val="001128CE"/>
    <w:rsid w:val="001128D3"/>
    <w:rsid w:val="00112945"/>
    <w:rsid w:val="001129A3"/>
    <w:rsid w:val="00112A25"/>
    <w:rsid w:val="00112A47"/>
    <w:rsid w:val="00112A7D"/>
    <w:rsid w:val="00112B86"/>
    <w:rsid w:val="00112C4F"/>
    <w:rsid w:val="00112CC7"/>
    <w:rsid w:val="00112F04"/>
    <w:rsid w:val="00112FFF"/>
    <w:rsid w:val="00113066"/>
    <w:rsid w:val="00113119"/>
    <w:rsid w:val="0011318F"/>
    <w:rsid w:val="001131E0"/>
    <w:rsid w:val="0011326A"/>
    <w:rsid w:val="001132F6"/>
    <w:rsid w:val="00113321"/>
    <w:rsid w:val="001133EE"/>
    <w:rsid w:val="0011340E"/>
    <w:rsid w:val="0011345C"/>
    <w:rsid w:val="001134F9"/>
    <w:rsid w:val="0011352B"/>
    <w:rsid w:val="00113552"/>
    <w:rsid w:val="001135DA"/>
    <w:rsid w:val="00113620"/>
    <w:rsid w:val="0011370D"/>
    <w:rsid w:val="001138D8"/>
    <w:rsid w:val="00113986"/>
    <w:rsid w:val="001139E4"/>
    <w:rsid w:val="00113AA6"/>
    <w:rsid w:val="00113ADF"/>
    <w:rsid w:val="00113B09"/>
    <w:rsid w:val="00113BF4"/>
    <w:rsid w:val="00113C60"/>
    <w:rsid w:val="00113D99"/>
    <w:rsid w:val="00113DAE"/>
    <w:rsid w:val="00113E09"/>
    <w:rsid w:val="00113EA8"/>
    <w:rsid w:val="00113F3D"/>
    <w:rsid w:val="00113F4E"/>
    <w:rsid w:val="00114013"/>
    <w:rsid w:val="00114127"/>
    <w:rsid w:val="001141A5"/>
    <w:rsid w:val="001141CC"/>
    <w:rsid w:val="001144C0"/>
    <w:rsid w:val="001145CB"/>
    <w:rsid w:val="0011465F"/>
    <w:rsid w:val="0011467B"/>
    <w:rsid w:val="001146C7"/>
    <w:rsid w:val="0011473A"/>
    <w:rsid w:val="00114754"/>
    <w:rsid w:val="001147F8"/>
    <w:rsid w:val="001149AE"/>
    <w:rsid w:val="001149DB"/>
    <w:rsid w:val="00114A44"/>
    <w:rsid w:val="00114A57"/>
    <w:rsid w:val="00114B88"/>
    <w:rsid w:val="00114C3B"/>
    <w:rsid w:val="00114D79"/>
    <w:rsid w:val="00114E2A"/>
    <w:rsid w:val="00114E60"/>
    <w:rsid w:val="00114F2C"/>
    <w:rsid w:val="00114F8C"/>
    <w:rsid w:val="00115067"/>
    <w:rsid w:val="0011510C"/>
    <w:rsid w:val="001151B0"/>
    <w:rsid w:val="001151F4"/>
    <w:rsid w:val="001152BD"/>
    <w:rsid w:val="001153F5"/>
    <w:rsid w:val="0011540E"/>
    <w:rsid w:val="001154C6"/>
    <w:rsid w:val="00115502"/>
    <w:rsid w:val="00115660"/>
    <w:rsid w:val="0011567B"/>
    <w:rsid w:val="00115691"/>
    <w:rsid w:val="001156D1"/>
    <w:rsid w:val="00115759"/>
    <w:rsid w:val="0011584F"/>
    <w:rsid w:val="00115864"/>
    <w:rsid w:val="0011589D"/>
    <w:rsid w:val="00115908"/>
    <w:rsid w:val="0011594D"/>
    <w:rsid w:val="00115C4A"/>
    <w:rsid w:val="00115C6B"/>
    <w:rsid w:val="00115E26"/>
    <w:rsid w:val="00115E9F"/>
    <w:rsid w:val="0011603E"/>
    <w:rsid w:val="0011604E"/>
    <w:rsid w:val="00116081"/>
    <w:rsid w:val="00116086"/>
    <w:rsid w:val="0011611F"/>
    <w:rsid w:val="00116126"/>
    <w:rsid w:val="00116165"/>
    <w:rsid w:val="0011618E"/>
    <w:rsid w:val="00116263"/>
    <w:rsid w:val="00116346"/>
    <w:rsid w:val="0011649E"/>
    <w:rsid w:val="001166B2"/>
    <w:rsid w:val="0011693A"/>
    <w:rsid w:val="001169FC"/>
    <w:rsid w:val="00116B05"/>
    <w:rsid w:val="00116B9C"/>
    <w:rsid w:val="00116BBD"/>
    <w:rsid w:val="00116BFC"/>
    <w:rsid w:val="00116D0C"/>
    <w:rsid w:val="00116D5E"/>
    <w:rsid w:val="00116D97"/>
    <w:rsid w:val="00116DCF"/>
    <w:rsid w:val="00116DED"/>
    <w:rsid w:val="00117039"/>
    <w:rsid w:val="001170F0"/>
    <w:rsid w:val="00117172"/>
    <w:rsid w:val="00117177"/>
    <w:rsid w:val="001171AF"/>
    <w:rsid w:val="001171BA"/>
    <w:rsid w:val="001171BF"/>
    <w:rsid w:val="001172D1"/>
    <w:rsid w:val="0011732A"/>
    <w:rsid w:val="00117402"/>
    <w:rsid w:val="00117437"/>
    <w:rsid w:val="001174C1"/>
    <w:rsid w:val="0011769E"/>
    <w:rsid w:val="001176B8"/>
    <w:rsid w:val="001177B3"/>
    <w:rsid w:val="001179F4"/>
    <w:rsid w:val="00117C88"/>
    <w:rsid w:val="00117CAE"/>
    <w:rsid w:val="00117DCF"/>
    <w:rsid w:val="00117E3E"/>
    <w:rsid w:val="00117EEF"/>
    <w:rsid w:val="00117F04"/>
    <w:rsid w:val="00117F1D"/>
    <w:rsid w:val="00117FDE"/>
    <w:rsid w:val="00117FE9"/>
    <w:rsid w:val="00120066"/>
    <w:rsid w:val="001201E0"/>
    <w:rsid w:val="00120235"/>
    <w:rsid w:val="001202A7"/>
    <w:rsid w:val="001202DF"/>
    <w:rsid w:val="001202FC"/>
    <w:rsid w:val="00120480"/>
    <w:rsid w:val="001204C7"/>
    <w:rsid w:val="001205BB"/>
    <w:rsid w:val="00120644"/>
    <w:rsid w:val="00120686"/>
    <w:rsid w:val="001206A1"/>
    <w:rsid w:val="001207AD"/>
    <w:rsid w:val="001207FC"/>
    <w:rsid w:val="00120B11"/>
    <w:rsid w:val="00120B60"/>
    <w:rsid w:val="00120BEF"/>
    <w:rsid w:val="00120CEB"/>
    <w:rsid w:val="00120E22"/>
    <w:rsid w:val="00120F13"/>
    <w:rsid w:val="001211EB"/>
    <w:rsid w:val="00121201"/>
    <w:rsid w:val="0012127C"/>
    <w:rsid w:val="00121286"/>
    <w:rsid w:val="001212A9"/>
    <w:rsid w:val="00121370"/>
    <w:rsid w:val="001213FC"/>
    <w:rsid w:val="001214A7"/>
    <w:rsid w:val="0012154D"/>
    <w:rsid w:val="001215B7"/>
    <w:rsid w:val="001215BC"/>
    <w:rsid w:val="00121708"/>
    <w:rsid w:val="00121759"/>
    <w:rsid w:val="0012198C"/>
    <w:rsid w:val="001219F9"/>
    <w:rsid w:val="00121ADF"/>
    <w:rsid w:val="00121B04"/>
    <w:rsid w:val="00121BED"/>
    <w:rsid w:val="00121C85"/>
    <w:rsid w:val="00121D39"/>
    <w:rsid w:val="00121D53"/>
    <w:rsid w:val="00121D99"/>
    <w:rsid w:val="00121ED8"/>
    <w:rsid w:val="00121F14"/>
    <w:rsid w:val="00122134"/>
    <w:rsid w:val="00122157"/>
    <w:rsid w:val="0012220F"/>
    <w:rsid w:val="00122271"/>
    <w:rsid w:val="00122471"/>
    <w:rsid w:val="001224A5"/>
    <w:rsid w:val="0012256E"/>
    <w:rsid w:val="00122636"/>
    <w:rsid w:val="001226FC"/>
    <w:rsid w:val="001227D0"/>
    <w:rsid w:val="0012289D"/>
    <w:rsid w:val="001228A3"/>
    <w:rsid w:val="0012293F"/>
    <w:rsid w:val="0012296F"/>
    <w:rsid w:val="00122A5A"/>
    <w:rsid w:val="00122AE3"/>
    <w:rsid w:val="00122B8B"/>
    <w:rsid w:val="00122BB6"/>
    <w:rsid w:val="00122BE9"/>
    <w:rsid w:val="00122BFF"/>
    <w:rsid w:val="00122E5A"/>
    <w:rsid w:val="00122E73"/>
    <w:rsid w:val="00122EE1"/>
    <w:rsid w:val="00123002"/>
    <w:rsid w:val="0012302C"/>
    <w:rsid w:val="0012309E"/>
    <w:rsid w:val="001230C9"/>
    <w:rsid w:val="00123129"/>
    <w:rsid w:val="00123223"/>
    <w:rsid w:val="00123298"/>
    <w:rsid w:val="001232B9"/>
    <w:rsid w:val="0012342B"/>
    <w:rsid w:val="00123443"/>
    <w:rsid w:val="0012346A"/>
    <w:rsid w:val="0012348E"/>
    <w:rsid w:val="0012349D"/>
    <w:rsid w:val="00123589"/>
    <w:rsid w:val="001235A5"/>
    <w:rsid w:val="00123658"/>
    <w:rsid w:val="001236F1"/>
    <w:rsid w:val="001237AF"/>
    <w:rsid w:val="00123895"/>
    <w:rsid w:val="001238FD"/>
    <w:rsid w:val="00123973"/>
    <w:rsid w:val="00123C63"/>
    <w:rsid w:val="00123E9D"/>
    <w:rsid w:val="00123F39"/>
    <w:rsid w:val="00123F71"/>
    <w:rsid w:val="00123FB6"/>
    <w:rsid w:val="0012403A"/>
    <w:rsid w:val="0012408F"/>
    <w:rsid w:val="001240C6"/>
    <w:rsid w:val="0012421B"/>
    <w:rsid w:val="00124352"/>
    <w:rsid w:val="001243CC"/>
    <w:rsid w:val="0012455D"/>
    <w:rsid w:val="001245B8"/>
    <w:rsid w:val="001245DB"/>
    <w:rsid w:val="00124644"/>
    <w:rsid w:val="0012469E"/>
    <w:rsid w:val="0012477C"/>
    <w:rsid w:val="001247B6"/>
    <w:rsid w:val="001247EB"/>
    <w:rsid w:val="0012494E"/>
    <w:rsid w:val="00124B2B"/>
    <w:rsid w:val="00124BF3"/>
    <w:rsid w:val="00124C32"/>
    <w:rsid w:val="00124C8B"/>
    <w:rsid w:val="00124D63"/>
    <w:rsid w:val="00124D6D"/>
    <w:rsid w:val="00124DBC"/>
    <w:rsid w:val="00124E60"/>
    <w:rsid w:val="00124E64"/>
    <w:rsid w:val="00124F3C"/>
    <w:rsid w:val="00124FA2"/>
    <w:rsid w:val="00125069"/>
    <w:rsid w:val="001250AE"/>
    <w:rsid w:val="00125120"/>
    <w:rsid w:val="00125177"/>
    <w:rsid w:val="001251E7"/>
    <w:rsid w:val="001252A6"/>
    <w:rsid w:val="00125496"/>
    <w:rsid w:val="001255F8"/>
    <w:rsid w:val="0012562C"/>
    <w:rsid w:val="00125637"/>
    <w:rsid w:val="00125681"/>
    <w:rsid w:val="001256EE"/>
    <w:rsid w:val="00125702"/>
    <w:rsid w:val="00125778"/>
    <w:rsid w:val="0012587B"/>
    <w:rsid w:val="001258BE"/>
    <w:rsid w:val="0012591F"/>
    <w:rsid w:val="0012592C"/>
    <w:rsid w:val="001259C2"/>
    <w:rsid w:val="00125A01"/>
    <w:rsid w:val="00125A97"/>
    <w:rsid w:val="00125B61"/>
    <w:rsid w:val="00125B6E"/>
    <w:rsid w:val="00125BD0"/>
    <w:rsid w:val="00125C6F"/>
    <w:rsid w:val="00125C7E"/>
    <w:rsid w:val="00125DED"/>
    <w:rsid w:val="00125E08"/>
    <w:rsid w:val="00125E6D"/>
    <w:rsid w:val="00125F2D"/>
    <w:rsid w:val="00125F6B"/>
    <w:rsid w:val="00125F9E"/>
    <w:rsid w:val="00126098"/>
    <w:rsid w:val="00126122"/>
    <w:rsid w:val="00126202"/>
    <w:rsid w:val="0012621A"/>
    <w:rsid w:val="0012630B"/>
    <w:rsid w:val="0012652E"/>
    <w:rsid w:val="00126558"/>
    <w:rsid w:val="0012668A"/>
    <w:rsid w:val="0012669A"/>
    <w:rsid w:val="001266E5"/>
    <w:rsid w:val="00126863"/>
    <w:rsid w:val="0012697D"/>
    <w:rsid w:val="001269CC"/>
    <w:rsid w:val="00126AD7"/>
    <w:rsid w:val="00126C1D"/>
    <w:rsid w:val="00126C37"/>
    <w:rsid w:val="00126D17"/>
    <w:rsid w:val="00126FEF"/>
    <w:rsid w:val="00127208"/>
    <w:rsid w:val="001272B5"/>
    <w:rsid w:val="00127390"/>
    <w:rsid w:val="00127407"/>
    <w:rsid w:val="00127448"/>
    <w:rsid w:val="00127500"/>
    <w:rsid w:val="00127550"/>
    <w:rsid w:val="0012765B"/>
    <w:rsid w:val="0012769B"/>
    <w:rsid w:val="00127773"/>
    <w:rsid w:val="0012779A"/>
    <w:rsid w:val="001277A3"/>
    <w:rsid w:val="001277AF"/>
    <w:rsid w:val="00127843"/>
    <w:rsid w:val="0012787C"/>
    <w:rsid w:val="00127897"/>
    <w:rsid w:val="0012798A"/>
    <w:rsid w:val="00127A0B"/>
    <w:rsid w:val="00127BB0"/>
    <w:rsid w:val="00127CBD"/>
    <w:rsid w:val="00127DF4"/>
    <w:rsid w:val="00127E0E"/>
    <w:rsid w:val="00127F5D"/>
    <w:rsid w:val="00130009"/>
    <w:rsid w:val="00130025"/>
    <w:rsid w:val="001300CD"/>
    <w:rsid w:val="001300ED"/>
    <w:rsid w:val="0013010D"/>
    <w:rsid w:val="00130249"/>
    <w:rsid w:val="0013027D"/>
    <w:rsid w:val="001302A4"/>
    <w:rsid w:val="0013033C"/>
    <w:rsid w:val="00130377"/>
    <w:rsid w:val="001303C1"/>
    <w:rsid w:val="001303F6"/>
    <w:rsid w:val="0013047E"/>
    <w:rsid w:val="00130535"/>
    <w:rsid w:val="00130552"/>
    <w:rsid w:val="001305F3"/>
    <w:rsid w:val="001307DA"/>
    <w:rsid w:val="00130879"/>
    <w:rsid w:val="001308AA"/>
    <w:rsid w:val="001309F2"/>
    <w:rsid w:val="00130B23"/>
    <w:rsid w:val="00130B36"/>
    <w:rsid w:val="00130B75"/>
    <w:rsid w:val="00130BE4"/>
    <w:rsid w:val="00130C4C"/>
    <w:rsid w:val="00130C65"/>
    <w:rsid w:val="00130C91"/>
    <w:rsid w:val="00130CF5"/>
    <w:rsid w:val="00130DC9"/>
    <w:rsid w:val="00130DEA"/>
    <w:rsid w:val="00130EA0"/>
    <w:rsid w:val="00130F1E"/>
    <w:rsid w:val="00130F3B"/>
    <w:rsid w:val="0013103B"/>
    <w:rsid w:val="001310D7"/>
    <w:rsid w:val="00131112"/>
    <w:rsid w:val="00131129"/>
    <w:rsid w:val="001311A9"/>
    <w:rsid w:val="0013132B"/>
    <w:rsid w:val="001313D3"/>
    <w:rsid w:val="00131417"/>
    <w:rsid w:val="0013144D"/>
    <w:rsid w:val="00131556"/>
    <w:rsid w:val="001315B2"/>
    <w:rsid w:val="001317B3"/>
    <w:rsid w:val="001317CD"/>
    <w:rsid w:val="001317FC"/>
    <w:rsid w:val="00131852"/>
    <w:rsid w:val="001318B4"/>
    <w:rsid w:val="001319A6"/>
    <w:rsid w:val="001319BD"/>
    <w:rsid w:val="001319D9"/>
    <w:rsid w:val="00131A91"/>
    <w:rsid w:val="00131AFC"/>
    <w:rsid w:val="00131BBD"/>
    <w:rsid w:val="00131BCA"/>
    <w:rsid w:val="00131CA1"/>
    <w:rsid w:val="00131CEC"/>
    <w:rsid w:val="00131D45"/>
    <w:rsid w:val="00131DDE"/>
    <w:rsid w:val="00131DE2"/>
    <w:rsid w:val="00131DFF"/>
    <w:rsid w:val="00131EC8"/>
    <w:rsid w:val="00131ED6"/>
    <w:rsid w:val="00131FC7"/>
    <w:rsid w:val="001320E8"/>
    <w:rsid w:val="001320F0"/>
    <w:rsid w:val="00132156"/>
    <w:rsid w:val="00132202"/>
    <w:rsid w:val="0013248D"/>
    <w:rsid w:val="00132675"/>
    <w:rsid w:val="001326F6"/>
    <w:rsid w:val="00132721"/>
    <w:rsid w:val="0013277C"/>
    <w:rsid w:val="001327BD"/>
    <w:rsid w:val="001327CE"/>
    <w:rsid w:val="0013291F"/>
    <w:rsid w:val="00132948"/>
    <w:rsid w:val="00132967"/>
    <w:rsid w:val="001329B7"/>
    <w:rsid w:val="00132AD2"/>
    <w:rsid w:val="00132AFE"/>
    <w:rsid w:val="00132CA5"/>
    <w:rsid w:val="00132CBA"/>
    <w:rsid w:val="00132D76"/>
    <w:rsid w:val="00132EDE"/>
    <w:rsid w:val="00132F9E"/>
    <w:rsid w:val="00132FD6"/>
    <w:rsid w:val="0013318B"/>
    <w:rsid w:val="00133193"/>
    <w:rsid w:val="00133195"/>
    <w:rsid w:val="001331C8"/>
    <w:rsid w:val="00133280"/>
    <w:rsid w:val="001332D8"/>
    <w:rsid w:val="0013341E"/>
    <w:rsid w:val="001334BF"/>
    <w:rsid w:val="001335F4"/>
    <w:rsid w:val="00133687"/>
    <w:rsid w:val="001336B9"/>
    <w:rsid w:val="001336E0"/>
    <w:rsid w:val="00133798"/>
    <w:rsid w:val="001338CF"/>
    <w:rsid w:val="001338ED"/>
    <w:rsid w:val="0013390B"/>
    <w:rsid w:val="00133977"/>
    <w:rsid w:val="00133998"/>
    <w:rsid w:val="001339AF"/>
    <w:rsid w:val="001339DA"/>
    <w:rsid w:val="00133B61"/>
    <w:rsid w:val="00133C12"/>
    <w:rsid w:val="00133C35"/>
    <w:rsid w:val="00133DB8"/>
    <w:rsid w:val="00133E20"/>
    <w:rsid w:val="00133E2B"/>
    <w:rsid w:val="00133E4E"/>
    <w:rsid w:val="00133E90"/>
    <w:rsid w:val="00133EA6"/>
    <w:rsid w:val="00133EAF"/>
    <w:rsid w:val="00133F14"/>
    <w:rsid w:val="00133F34"/>
    <w:rsid w:val="00133FD0"/>
    <w:rsid w:val="001340A4"/>
    <w:rsid w:val="00134182"/>
    <w:rsid w:val="00134221"/>
    <w:rsid w:val="00134302"/>
    <w:rsid w:val="0013433A"/>
    <w:rsid w:val="00134516"/>
    <w:rsid w:val="001345A0"/>
    <w:rsid w:val="00134601"/>
    <w:rsid w:val="0013469E"/>
    <w:rsid w:val="001346E3"/>
    <w:rsid w:val="00134770"/>
    <w:rsid w:val="00134A68"/>
    <w:rsid w:val="00134AD3"/>
    <w:rsid w:val="00134BA5"/>
    <w:rsid w:val="00134C19"/>
    <w:rsid w:val="00134CF4"/>
    <w:rsid w:val="00134DD6"/>
    <w:rsid w:val="00134E29"/>
    <w:rsid w:val="00134E4D"/>
    <w:rsid w:val="00135063"/>
    <w:rsid w:val="00135173"/>
    <w:rsid w:val="0013517A"/>
    <w:rsid w:val="0013524F"/>
    <w:rsid w:val="00135273"/>
    <w:rsid w:val="00135357"/>
    <w:rsid w:val="00135370"/>
    <w:rsid w:val="001353BD"/>
    <w:rsid w:val="00135434"/>
    <w:rsid w:val="00135553"/>
    <w:rsid w:val="00135597"/>
    <w:rsid w:val="001355C0"/>
    <w:rsid w:val="00135600"/>
    <w:rsid w:val="0013567A"/>
    <w:rsid w:val="00135685"/>
    <w:rsid w:val="001356B8"/>
    <w:rsid w:val="001356DD"/>
    <w:rsid w:val="001357CD"/>
    <w:rsid w:val="0013586F"/>
    <w:rsid w:val="001358DE"/>
    <w:rsid w:val="001359ED"/>
    <w:rsid w:val="00135A34"/>
    <w:rsid w:val="00135A96"/>
    <w:rsid w:val="00135AD1"/>
    <w:rsid w:val="00135B82"/>
    <w:rsid w:val="00135C62"/>
    <w:rsid w:val="00135CE6"/>
    <w:rsid w:val="00135CF1"/>
    <w:rsid w:val="00135EAA"/>
    <w:rsid w:val="00135FC9"/>
    <w:rsid w:val="0013605A"/>
    <w:rsid w:val="00136107"/>
    <w:rsid w:val="00136113"/>
    <w:rsid w:val="0013619A"/>
    <w:rsid w:val="001362CE"/>
    <w:rsid w:val="0013630C"/>
    <w:rsid w:val="0013636E"/>
    <w:rsid w:val="0013640B"/>
    <w:rsid w:val="00136495"/>
    <w:rsid w:val="0013649A"/>
    <w:rsid w:val="001365AD"/>
    <w:rsid w:val="001365D9"/>
    <w:rsid w:val="001365EE"/>
    <w:rsid w:val="001366A4"/>
    <w:rsid w:val="001368EE"/>
    <w:rsid w:val="00136A14"/>
    <w:rsid w:val="00136A19"/>
    <w:rsid w:val="00136AF6"/>
    <w:rsid w:val="00136BB7"/>
    <w:rsid w:val="00136BC3"/>
    <w:rsid w:val="00136BDA"/>
    <w:rsid w:val="00136BDE"/>
    <w:rsid w:val="00136C1E"/>
    <w:rsid w:val="00136C32"/>
    <w:rsid w:val="00136C55"/>
    <w:rsid w:val="00136C57"/>
    <w:rsid w:val="00136CC2"/>
    <w:rsid w:val="00136E13"/>
    <w:rsid w:val="00136F4E"/>
    <w:rsid w:val="00136F75"/>
    <w:rsid w:val="00136FB6"/>
    <w:rsid w:val="00136FC9"/>
    <w:rsid w:val="00136FE5"/>
    <w:rsid w:val="00137035"/>
    <w:rsid w:val="0013704B"/>
    <w:rsid w:val="0013708A"/>
    <w:rsid w:val="001372E6"/>
    <w:rsid w:val="001372F6"/>
    <w:rsid w:val="00137368"/>
    <w:rsid w:val="001373C2"/>
    <w:rsid w:val="00137426"/>
    <w:rsid w:val="0013748A"/>
    <w:rsid w:val="001374B4"/>
    <w:rsid w:val="00137522"/>
    <w:rsid w:val="0013757A"/>
    <w:rsid w:val="00137598"/>
    <w:rsid w:val="00137699"/>
    <w:rsid w:val="001376AC"/>
    <w:rsid w:val="001377F0"/>
    <w:rsid w:val="0013780F"/>
    <w:rsid w:val="00137886"/>
    <w:rsid w:val="00137992"/>
    <w:rsid w:val="00137A56"/>
    <w:rsid w:val="00137A9B"/>
    <w:rsid w:val="00137B12"/>
    <w:rsid w:val="00137B8C"/>
    <w:rsid w:val="00137B8D"/>
    <w:rsid w:val="00137BF6"/>
    <w:rsid w:val="00137D57"/>
    <w:rsid w:val="00137DF6"/>
    <w:rsid w:val="00137EBD"/>
    <w:rsid w:val="00137EEB"/>
    <w:rsid w:val="00137F7B"/>
    <w:rsid w:val="0014000D"/>
    <w:rsid w:val="00140041"/>
    <w:rsid w:val="00140071"/>
    <w:rsid w:val="00140124"/>
    <w:rsid w:val="001401EE"/>
    <w:rsid w:val="001401F2"/>
    <w:rsid w:val="00140214"/>
    <w:rsid w:val="001402BD"/>
    <w:rsid w:val="0014041C"/>
    <w:rsid w:val="00140479"/>
    <w:rsid w:val="001404F9"/>
    <w:rsid w:val="001405FF"/>
    <w:rsid w:val="00140707"/>
    <w:rsid w:val="00140749"/>
    <w:rsid w:val="00140774"/>
    <w:rsid w:val="00140782"/>
    <w:rsid w:val="0014078B"/>
    <w:rsid w:val="0014079F"/>
    <w:rsid w:val="00140856"/>
    <w:rsid w:val="00140938"/>
    <w:rsid w:val="00140998"/>
    <w:rsid w:val="001409B5"/>
    <w:rsid w:val="001409B7"/>
    <w:rsid w:val="00140AE8"/>
    <w:rsid w:val="00140B4A"/>
    <w:rsid w:val="00140B57"/>
    <w:rsid w:val="00140BC6"/>
    <w:rsid w:val="00140F7E"/>
    <w:rsid w:val="00140FD6"/>
    <w:rsid w:val="00141104"/>
    <w:rsid w:val="00141138"/>
    <w:rsid w:val="0014115F"/>
    <w:rsid w:val="00141232"/>
    <w:rsid w:val="00141237"/>
    <w:rsid w:val="001412B6"/>
    <w:rsid w:val="0014137A"/>
    <w:rsid w:val="001414AB"/>
    <w:rsid w:val="00141566"/>
    <w:rsid w:val="00141595"/>
    <w:rsid w:val="001416E0"/>
    <w:rsid w:val="00141762"/>
    <w:rsid w:val="00141800"/>
    <w:rsid w:val="001419DF"/>
    <w:rsid w:val="00141B19"/>
    <w:rsid w:val="00141BBE"/>
    <w:rsid w:val="00141D91"/>
    <w:rsid w:val="00141E89"/>
    <w:rsid w:val="00141E97"/>
    <w:rsid w:val="00141EE1"/>
    <w:rsid w:val="00141FDA"/>
    <w:rsid w:val="00141FEF"/>
    <w:rsid w:val="00142159"/>
    <w:rsid w:val="00142196"/>
    <w:rsid w:val="0014222F"/>
    <w:rsid w:val="0014230B"/>
    <w:rsid w:val="00142338"/>
    <w:rsid w:val="001423EF"/>
    <w:rsid w:val="00142433"/>
    <w:rsid w:val="0014246F"/>
    <w:rsid w:val="001424B4"/>
    <w:rsid w:val="001424F9"/>
    <w:rsid w:val="00142536"/>
    <w:rsid w:val="001425AF"/>
    <w:rsid w:val="001425F4"/>
    <w:rsid w:val="00142661"/>
    <w:rsid w:val="00142742"/>
    <w:rsid w:val="001427C1"/>
    <w:rsid w:val="001427E2"/>
    <w:rsid w:val="001428E4"/>
    <w:rsid w:val="001428FC"/>
    <w:rsid w:val="00142945"/>
    <w:rsid w:val="00142A91"/>
    <w:rsid w:val="00142AA5"/>
    <w:rsid w:val="00142AD1"/>
    <w:rsid w:val="00142B33"/>
    <w:rsid w:val="00142B5B"/>
    <w:rsid w:val="00142CBC"/>
    <w:rsid w:val="00142D6C"/>
    <w:rsid w:val="00142DF5"/>
    <w:rsid w:val="00142E2D"/>
    <w:rsid w:val="001430C6"/>
    <w:rsid w:val="0014312A"/>
    <w:rsid w:val="0014317A"/>
    <w:rsid w:val="001431B8"/>
    <w:rsid w:val="001431FA"/>
    <w:rsid w:val="00143216"/>
    <w:rsid w:val="0014322A"/>
    <w:rsid w:val="0014340C"/>
    <w:rsid w:val="00143478"/>
    <w:rsid w:val="00143498"/>
    <w:rsid w:val="00143574"/>
    <w:rsid w:val="00143580"/>
    <w:rsid w:val="001437A5"/>
    <w:rsid w:val="001438FD"/>
    <w:rsid w:val="0014392D"/>
    <w:rsid w:val="0014397D"/>
    <w:rsid w:val="00143989"/>
    <w:rsid w:val="00143A17"/>
    <w:rsid w:val="00143A31"/>
    <w:rsid w:val="00143AD3"/>
    <w:rsid w:val="00143AF8"/>
    <w:rsid w:val="00143B65"/>
    <w:rsid w:val="00143CCE"/>
    <w:rsid w:val="00143D3E"/>
    <w:rsid w:val="00143DBA"/>
    <w:rsid w:val="00143E56"/>
    <w:rsid w:val="00143E9F"/>
    <w:rsid w:val="00143F2F"/>
    <w:rsid w:val="00143F85"/>
    <w:rsid w:val="00143F9D"/>
    <w:rsid w:val="00144019"/>
    <w:rsid w:val="001440A5"/>
    <w:rsid w:val="00144229"/>
    <w:rsid w:val="00144329"/>
    <w:rsid w:val="0014448B"/>
    <w:rsid w:val="0014477C"/>
    <w:rsid w:val="00144788"/>
    <w:rsid w:val="00144811"/>
    <w:rsid w:val="00144828"/>
    <w:rsid w:val="0014484D"/>
    <w:rsid w:val="00144884"/>
    <w:rsid w:val="0014493E"/>
    <w:rsid w:val="0014499D"/>
    <w:rsid w:val="00144A15"/>
    <w:rsid w:val="00144B69"/>
    <w:rsid w:val="00144B99"/>
    <w:rsid w:val="00144C2B"/>
    <w:rsid w:val="00144C8A"/>
    <w:rsid w:val="00144D01"/>
    <w:rsid w:val="00144D81"/>
    <w:rsid w:val="00144E03"/>
    <w:rsid w:val="00144E45"/>
    <w:rsid w:val="001450D2"/>
    <w:rsid w:val="0014512B"/>
    <w:rsid w:val="0014514D"/>
    <w:rsid w:val="0014515C"/>
    <w:rsid w:val="00145172"/>
    <w:rsid w:val="00145280"/>
    <w:rsid w:val="001452A4"/>
    <w:rsid w:val="001452B9"/>
    <w:rsid w:val="001452EA"/>
    <w:rsid w:val="001453B9"/>
    <w:rsid w:val="001453D1"/>
    <w:rsid w:val="0014546F"/>
    <w:rsid w:val="001454A3"/>
    <w:rsid w:val="001454E9"/>
    <w:rsid w:val="001455DA"/>
    <w:rsid w:val="001455FF"/>
    <w:rsid w:val="00145705"/>
    <w:rsid w:val="00145805"/>
    <w:rsid w:val="00145814"/>
    <w:rsid w:val="0014591C"/>
    <w:rsid w:val="00145967"/>
    <w:rsid w:val="0014599C"/>
    <w:rsid w:val="001459EE"/>
    <w:rsid w:val="00145A7C"/>
    <w:rsid w:val="00145D98"/>
    <w:rsid w:val="00145DC1"/>
    <w:rsid w:val="00145DE7"/>
    <w:rsid w:val="00145DEB"/>
    <w:rsid w:val="00145EA6"/>
    <w:rsid w:val="00145F9B"/>
    <w:rsid w:val="0014601E"/>
    <w:rsid w:val="001460C8"/>
    <w:rsid w:val="0014611A"/>
    <w:rsid w:val="00146147"/>
    <w:rsid w:val="001461DE"/>
    <w:rsid w:val="00146280"/>
    <w:rsid w:val="001462E0"/>
    <w:rsid w:val="0014635C"/>
    <w:rsid w:val="001463E6"/>
    <w:rsid w:val="001463F8"/>
    <w:rsid w:val="00146483"/>
    <w:rsid w:val="001465A3"/>
    <w:rsid w:val="001465CC"/>
    <w:rsid w:val="00146614"/>
    <w:rsid w:val="00146624"/>
    <w:rsid w:val="0014663B"/>
    <w:rsid w:val="001466B9"/>
    <w:rsid w:val="001466E2"/>
    <w:rsid w:val="0014676F"/>
    <w:rsid w:val="00146777"/>
    <w:rsid w:val="00146897"/>
    <w:rsid w:val="001469D6"/>
    <w:rsid w:val="001469ED"/>
    <w:rsid w:val="00146AA8"/>
    <w:rsid w:val="00146B51"/>
    <w:rsid w:val="00146CBB"/>
    <w:rsid w:val="00146D0E"/>
    <w:rsid w:val="00146D91"/>
    <w:rsid w:val="00146DFF"/>
    <w:rsid w:val="00146EE5"/>
    <w:rsid w:val="00146F7E"/>
    <w:rsid w:val="00147094"/>
    <w:rsid w:val="00147198"/>
    <w:rsid w:val="00147321"/>
    <w:rsid w:val="00147371"/>
    <w:rsid w:val="00147390"/>
    <w:rsid w:val="00147652"/>
    <w:rsid w:val="001476FC"/>
    <w:rsid w:val="00147708"/>
    <w:rsid w:val="0014776C"/>
    <w:rsid w:val="00147874"/>
    <w:rsid w:val="00147945"/>
    <w:rsid w:val="00147A50"/>
    <w:rsid w:val="00147B35"/>
    <w:rsid w:val="00147C15"/>
    <w:rsid w:val="00147C99"/>
    <w:rsid w:val="00147CD0"/>
    <w:rsid w:val="00147CE9"/>
    <w:rsid w:val="00147E12"/>
    <w:rsid w:val="00147EE0"/>
    <w:rsid w:val="00147FB1"/>
    <w:rsid w:val="00147FD8"/>
    <w:rsid w:val="00150097"/>
    <w:rsid w:val="001500C0"/>
    <w:rsid w:val="00150166"/>
    <w:rsid w:val="00150376"/>
    <w:rsid w:val="00150388"/>
    <w:rsid w:val="00150485"/>
    <w:rsid w:val="001504D8"/>
    <w:rsid w:val="00150695"/>
    <w:rsid w:val="001506B8"/>
    <w:rsid w:val="001506EA"/>
    <w:rsid w:val="001507E7"/>
    <w:rsid w:val="00150815"/>
    <w:rsid w:val="0015094A"/>
    <w:rsid w:val="00150960"/>
    <w:rsid w:val="00150B5D"/>
    <w:rsid w:val="00150BD1"/>
    <w:rsid w:val="00150C8C"/>
    <w:rsid w:val="00150C92"/>
    <w:rsid w:val="00150EF9"/>
    <w:rsid w:val="0015100C"/>
    <w:rsid w:val="0015101D"/>
    <w:rsid w:val="001510A9"/>
    <w:rsid w:val="00151102"/>
    <w:rsid w:val="001511FE"/>
    <w:rsid w:val="00151321"/>
    <w:rsid w:val="00151330"/>
    <w:rsid w:val="00151364"/>
    <w:rsid w:val="001513B7"/>
    <w:rsid w:val="001513C6"/>
    <w:rsid w:val="001513FC"/>
    <w:rsid w:val="001514F7"/>
    <w:rsid w:val="00151572"/>
    <w:rsid w:val="00151588"/>
    <w:rsid w:val="00151685"/>
    <w:rsid w:val="001516D9"/>
    <w:rsid w:val="001516E9"/>
    <w:rsid w:val="001519A3"/>
    <w:rsid w:val="00151A45"/>
    <w:rsid w:val="00151A8E"/>
    <w:rsid w:val="00151B75"/>
    <w:rsid w:val="00151CE3"/>
    <w:rsid w:val="00151D04"/>
    <w:rsid w:val="00151D09"/>
    <w:rsid w:val="00151DBD"/>
    <w:rsid w:val="00151DC5"/>
    <w:rsid w:val="00151F3F"/>
    <w:rsid w:val="00151F74"/>
    <w:rsid w:val="0015204D"/>
    <w:rsid w:val="001520D7"/>
    <w:rsid w:val="001520FD"/>
    <w:rsid w:val="00152138"/>
    <w:rsid w:val="001521B1"/>
    <w:rsid w:val="0015224F"/>
    <w:rsid w:val="001523AA"/>
    <w:rsid w:val="001523D3"/>
    <w:rsid w:val="001524D4"/>
    <w:rsid w:val="001524FE"/>
    <w:rsid w:val="0015256C"/>
    <w:rsid w:val="00152596"/>
    <w:rsid w:val="001526C6"/>
    <w:rsid w:val="00152702"/>
    <w:rsid w:val="00152833"/>
    <w:rsid w:val="001528B5"/>
    <w:rsid w:val="00152A0F"/>
    <w:rsid w:val="00152A16"/>
    <w:rsid w:val="00152B36"/>
    <w:rsid w:val="00152BC8"/>
    <w:rsid w:val="00152C0A"/>
    <w:rsid w:val="00152C2B"/>
    <w:rsid w:val="00152C82"/>
    <w:rsid w:val="00152CF0"/>
    <w:rsid w:val="00152D7F"/>
    <w:rsid w:val="00152E4B"/>
    <w:rsid w:val="00152ED4"/>
    <w:rsid w:val="00152F10"/>
    <w:rsid w:val="00152F78"/>
    <w:rsid w:val="0015311E"/>
    <w:rsid w:val="001531D6"/>
    <w:rsid w:val="001532AA"/>
    <w:rsid w:val="001532DE"/>
    <w:rsid w:val="0015363F"/>
    <w:rsid w:val="0015375F"/>
    <w:rsid w:val="00153762"/>
    <w:rsid w:val="00153885"/>
    <w:rsid w:val="001538D5"/>
    <w:rsid w:val="001539F4"/>
    <w:rsid w:val="00153B67"/>
    <w:rsid w:val="00153BB8"/>
    <w:rsid w:val="00153DE7"/>
    <w:rsid w:val="00153DF3"/>
    <w:rsid w:val="00153EB9"/>
    <w:rsid w:val="0015408D"/>
    <w:rsid w:val="001540C5"/>
    <w:rsid w:val="00154103"/>
    <w:rsid w:val="0015412B"/>
    <w:rsid w:val="001541B4"/>
    <w:rsid w:val="00154332"/>
    <w:rsid w:val="00154347"/>
    <w:rsid w:val="001543CE"/>
    <w:rsid w:val="0015441E"/>
    <w:rsid w:val="00154459"/>
    <w:rsid w:val="0015451B"/>
    <w:rsid w:val="00154581"/>
    <w:rsid w:val="0015464A"/>
    <w:rsid w:val="00154657"/>
    <w:rsid w:val="00154791"/>
    <w:rsid w:val="001548A8"/>
    <w:rsid w:val="00154900"/>
    <w:rsid w:val="0015497B"/>
    <w:rsid w:val="001549F5"/>
    <w:rsid w:val="00154A9B"/>
    <w:rsid w:val="00154AE7"/>
    <w:rsid w:val="00154B38"/>
    <w:rsid w:val="00154D3A"/>
    <w:rsid w:val="00154E8D"/>
    <w:rsid w:val="00154EB3"/>
    <w:rsid w:val="00154FA3"/>
    <w:rsid w:val="00155017"/>
    <w:rsid w:val="001550A3"/>
    <w:rsid w:val="001550FE"/>
    <w:rsid w:val="00155107"/>
    <w:rsid w:val="0015512B"/>
    <w:rsid w:val="00155174"/>
    <w:rsid w:val="001551E3"/>
    <w:rsid w:val="001552C0"/>
    <w:rsid w:val="0015530A"/>
    <w:rsid w:val="00155310"/>
    <w:rsid w:val="00155434"/>
    <w:rsid w:val="00155465"/>
    <w:rsid w:val="001554BF"/>
    <w:rsid w:val="00155579"/>
    <w:rsid w:val="00155714"/>
    <w:rsid w:val="00155725"/>
    <w:rsid w:val="00155751"/>
    <w:rsid w:val="00155795"/>
    <w:rsid w:val="001557C5"/>
    <w:rsid w:val="001557CF"/>
    <w:rsid w:val="00155847"/>
    <w:rsid w:val="001558A9"/>
    <w:rsid w:val="00155ACE"/>
    <w:rsid w:val="00155B2E"/>
    <w:rsid w:val="00155B9A"/>
    <w:rsid w:val="00155BDA"/>
    <w:rsid w:val="00155C9A"/>
    <w:rsid w:val="00155CD7"/>
    <w:rsid w:val="00155DC4"/>
    <w:rsid w:val="00155F48"/>
    <w:rsid w:val="00156149"/>
    <w:rsid w:val="00156171"/>
    <w:rsid w:val="001561FD"/>
    <w:rsid w:val="00156219"/>
    <w:rsid w:val="00156288"/>
    <w:rsid w:val="001562BE"/>
    <w:rsid w:val="00156326"/>
    <w:rsid w:val="0015632F"/>
    <w:rsid w:val="00156332"/>
    <w:rsid w:val="00156415"/>
    <w:rsid w:val="00156463"/>
    <w:rsid w:val="001564C6"/>
    <w:rsid w:val="0015652E"/>
    <w:rsid w:val="00156552"/>
    <w:rsid w:val="00156601"/>
    <w:rsid w:val="0015663B"/>
    <w:rsid w:val="001566F2"/>
    <w:rsid w:val="00156774"/>
    <w:rsid w:val="001567A1"/>
    <w:rsid w:val="001567A4"/>
    <w:rsid w:val="001567C2"/>
    <w:rsid w:val="00156921"/>
    <w:rsid w:val="00156935"/>
    <w:rsid w:val="0015697A"/>
    <w:rsid w:val="001569BC"/>
    <w:rsid w:val="00156AC4"/>
    <w:rsid w:val="00156B0A"/>
    <w:rsid w:val="00156C66"/>
    <w:rsid w:val="00156C9D"/>
    <w:rsid w:val="00156CA4"/>
    <w:rsid w:val="00156D20"/>
    <w:rsid w:val="00156D59"/>
    <w:rsid w:val="00156F14"/>
    <w:rsid w:val="00156FA7"/>
    <w:rsid w:val="00157022"/>
    <w:rsid w:val="00157094"/>
    <w:rsid w:val="001572AA"/>
    <w:rsid w:val="0015730E"/>
    <w:rsid w:val="001573F1"/>
    <w:rsid w:val="001576A0"/>
    <w:rsid w:val="001576A9"/>
    <w:rsid w:val="001576D3"/>
    <w:rsid w:val="001577CC"/>
    <w:rsid w:val="0015781E"/>
    <w:rsid w:val="001579F1"/>
    <w:rsid w:val="00157A36"/>
    <w:rsid w:val="00157B39"/>
    <w:rsid w:val="00157B51"/>
    <w:rsid w:val="00157B60"/>
    <w:rsid w:val="00157B99"/>
    <w:rsid w:val="00157C4A"/>
    <w:rsid w:val="00157C80"/>
    <w:rsid w:val="00157CAC"/>
    <w:rsid w:val="00157CDD"/>
    <w:rsid w:val="00157DA9"/>
    <w:rsid w:val="00157E70"/>
    <w:rsid w:val="00157ED5"/>
    <w:rsid w:val="00157F7E"/>
    <w:rsid w:val="00157F94"/>
    <w:rsid w:val="0016000D"/>
    <w:rsid w:val="0016023A"/>
    <w:rsid w:val="0016028A"/>
    <w:rsid w:val="001602F3"/>
    <w:rsid w:val="0016035C"/>
    <w:rsid w:val="00160426"/>
    <w:rsid w:val="00160506"/>
    <w:rsid w:val="0016058B"/>
    <w:rsid w:val="00160615"/>
    <w:rsid w:val="00160633"/>
    <w:rsid w:val="00160671"/>
    <w:rsid w:val="001606CC"/>
    <w:rsid w:val="00160794"/>
    <w:rsid w:val="001607FB"/>
    <w:rsid w:val="001608FE"/>
    <w:rsid w:val="00160A2D"/>
    <w:rsid w:val="00160A47"/>
    <w:rsid w:val="00160A8B"/>
    <w:rsid w:val="00160A90"/>
    <w:rsid w:val="00160AC7"/>
    <w:rsid w:val="00160D1A"/>
    <w:rsid w:val="00160D2B"/>
    <w:rsid w:val="00160D66"/>
    <w:rsid w:val="00160E1D"/>
    <w:rsid w:val="00160EA4"/>
    <w:rsid w:val="00160FDC"/>
    <w:rsid w:val="0016108F"/>
    <w:rsid w:val="0016130B"/>
    <w:rsid w:val="001614A8"/>
    <w:rsid w:val="00161573"/>
    <w:rsid w:val="001616CE"/>
    <w:rsid w:val="00161719"/>
    <w:rsid w:val="00161815"/>
    <w:rsid w:val="001618D6"/>
    <w:rsid w:val="00161941"/>
    <w:rsid w:val="001619DA"/>
    <w:rsid w:val="00161A99"/>
    <w:rsid w:val="00161B36"/>
    <w:rsid w:val="00161CBB"/>
    <w:rsid w:val="00161FA4"/>
    <w:rsid w:val="00161FC7"/>
    <w:rsid w:val="00162032"/>
    <w:rsid w:val="0016218E"/>
    <w:rsid w:val="00162209"/>
    <w:rsid w:val="001622EA"/>
    <w:rsid w:val="0016239D"/>
    <w:rsid w:val="001623D1"/>
    <w:rsid w:val="001623F2"/>
    <w:rsid w:val="00162439"/>
    <w:rsid w:val="0016246C"/>
    <w:rsid w:val="001624C8"/>
    <w:rsid w:val="001624E7"/>
    <w:rsid w:val="001625C4"/>
    <w:rsid w:val="001625DE"/>
    <w:rsid w:val="00162643"/>
    <w:rsid w:val="00162688"/>
    <w:rsid w:val="0016282B"/>
    <w:rsid w:val="001628DD"/>
    <w:rsid w:val="00162A7F"/>
    <w:rsid w:val="00162C57"/>
    <w:rsid w:val="00162C5E"/>
    <w:rsid w:val="00162DBF"/>
    <w:rsid w:val="00162EF9"/>
    <w:rsid w:val="00162F79"/>
    <w:rsid w:val="00162F7B"/>
    <w:rsid w:val="0016301B"/>
    <w:rsid w:val="0016328F"/>
    <w:rsid w:val="00163330"/>
    <w:rsid w:val="001633F4"/>
    <w:rsid w:val="001633FF"/>
    <w:rsid w:val="001634D7"/>
    <w:rsid w:val="00163548"/>
    <w:rsid w:val="001635A6"/>
    <w:rsid w:val="0016361C"/>
    <w:rsid w:val="00163670"/>
    <w:rsid w:val="001636B0"/>
    <w:rsid w:val="00163784"/>
    <w:rsid w:val="00163825"/>
    <w:rsid w:val="00163960"/>
    <w:rsid w:val="00163A50"/>
    <w:rsid w:val="00163A92"/>
    <w:rsid w:val="00163AA1"/>
    <w:rsid w:val="00163BF8"/>
    <w:rsid w:val="00163C0F"/>
    <w:rsid w:val="00163C28"/>
    <w:rsid w:val="00163CFF"/>
    <w:rsid w:val="00163D15"/>
    <w:rsid w:val="00163D4B"/>
    <w:rsid w:val="00163D5A"/>
    <w:rsid w:val="00163EE5"/>
    <w:rsid w:val="00163F3E"/>
    <w:rsid w:val="00163FF6"/>
    <w:rsid w:val="00164084"/>
    <w:rsid w:val="0016422B"/>
    <w:rsid w:val="001642DE"/>
    <w:rsid w:val="001643C8"/>
    <w:rsid w:val="001643E3"/>
    <w:rsid w:val="00164650"/>
    <w:rsid w:val="0016470E"/>
    <w:rsid w:val="0016475B"/>
    <w:rsid w:val="00164785"/>
    <w:rsid w:val="0016480A"/>
    <w:rsid w:val="00164838"/>
    <w:rsid w:val="0016485F"/>
    <w:rsid w:val="00164878"/>
    <w:rsid w:val="00164942"/>
    <w:rsid w:val="001649DA"/>
    <w:rsid w:val="00164B54"/>
    <w:rsid w:val="00164B5D"/>
    <w:rsid w:val="00164B8C"/>
    <w:rsid w:val="00164BAC"/>
    <w:rsid w:val="00164C7F"/>
    <w:rsid w:val="00164CF8"/>
    <w:rsid w:val="00164D38"/>
    <w:rsid w:val="00164E0B"/>
    <w:rsid w:val="00164E62"/>
    <w:rsid w:val="0016506E"/>
    <w:rsid w:val="00165087"/>
    <w:rsid w:val="001652C4"/>
    <w:rsid w:val="001652E9"/>
    <w:rsid w:val="00165347"/>
    <w:rsid w:val="001653AE"/>
    <w:rsid w:val="0016541C"/>
    <w:rsid w:val="001654E8"/>
    <w:rsid w:val="00165567"/>
    <w:rsid w:val="0016558C"/>
    <w:rsid w:val="001655DE"/>
    <w:rsid w:val="00165621"/>
    <w:rsid w:val="00165643"/>
    <w:rsid w:val="00165696"/>
    <w:rsid w:val="001656CB"/>
    <w:rsid w:val="0016571F"/>
    <w:rsid w:val="00165768"/>
    <w:rsid w:val="00165774"/>
    <w:rsid w:val="00165826"/>
    <w:rsid w:val="001658BC"/>
    <w:rsid w:val="00165928"/>
    <w:rsid w:val="0016598A"/>
    <w:rsid w:val="00165A3E"/>
    <w:rsid w:val="00165A6B"/>
    <w:rsid w:val="00165B41"/>
    <w:rsid w:val="00165C77"/>
    <w:rsid w:val="00165D45"/>
    <w:rsid w:val="00165D65"/>
    <w:rsid w:val="00165D8B"/>
    <w:rsid w:val="00165E19"/>
    <w:rsid w:val="00165F82"/>
    <w:rsid w:val="0016613A"/>
    <w:rsid w:val="00166284"/>
    <w:rsid w:val="001663A3"/>
    <w:rsid w:val="001663EB"/>
    <w:rsid w:val="0016646A"/>
    <w:rsid w:val="00166602"/>
    <w:rsid w:val="00166603"/>
    <w:rsid w:val="0016665F"/>
    <w:rsid w:val="001666B2"/>
    <w:rsid w:val="001666F4"/>
    <w:rsid w:val="00166708"/>
    <w:rsid w:val="00166746"/>
    <w:rsid w:val="0016679E"/>
    <w:rsid w:val="001668E5"/>
    <w:rsid w:val="0016691C"/>
    <w:rsid w:val="0016698A"/>
    <w:rsid w:val="00166A35"/>
    <w:rsid w:val="00166A60"/>
    <w:rsid w:val="00166A63"/>
    <w:rsid w:val="00166B61"/>
    <w:rsid w:val="00166DE3"/>
    <w:rsid w:val="00166F92"/>
    <w:rsid w:val="00167134"/>
    <w:rsid w:val="0016714D"/>
    <w:rsid w:val="001671AE"/>
    <w:rsid w:val="00167238"/>
    <w:rsid w:val="001672D9"/>
    <w:rsid w:val="0016730B"/>
    <w:rsid w:val="001674F4"/>
    <w:rsid w:val="00167553"/>
    <w:rsid w:val="001675B7"/>
    <w:rsid w:val="001675EA"/>
    <w:rsid w:val="00167653"/>
    <w:rsid w:val="001676D4"/>
    <w:rsid w:val="00167755"/>
    <w:rsid w:val="00167781"/>
    <w:rsid w:val="0016781A"/>
    <w:rsid w:val="0016781F"/>
    <w:rsid w:val="00167A51"/>
    <w:rsid w:val="00167AF2"/>
    <w:rsid w:val="00167AF3"/>
    <w:rsid w:val="00167BBE"/>
    <w:rsid w:val="00167C04"/>
    <w:rsid w:val="00167CD5"/>
    <w:rsid w:val="00167D67"/>
    <w:rsid w:val="00167D7C"/>
    <w:rsid w:val="00167DAE"/>
    <w:rsid w:val="00167DE5"/>
    <w:rsid w:val="00167EAF"/>
    <w:rsid w:val="00167F18"/>
    <w:rsid w:val="00167FF9"/>
    <w:rsid w:val="00170028"/>
    <w:rsid w:val="00170031"/>
    <w:rsid w:val="00170095"/>
    <w:rsid w:val="001700A0"/>
    <w:rsid w:val="00170108"/>
    <w:rsid w:val="001702AA"/>
    <w:rsid w:val="001702D1"/>
    <w:rsid w:val="00170307"/>
    <w:rsid w:val="0017031E"/>
    <w:rsid w:val="001703A6"/>
    <w:rsid w:val="00170518"/>
    <w:rsid w:val="001705CE"/>
    <w:rsid w:val="001705E1"/>
    <w:rsid w:val="001706A9"/>
    <w:rsid w:val="0017073F"/>
    <w:rsid w:val="0017081A"/>
    <w:rsid w:val="001708F7"/>
    <w:rsid w:val="00170A32"/>
    <w:rsid w:val="00170A7D"/>
    <w:rsid w:val="00170AB3"/>
    <w:rsid w:val="00170C1F"/>
    <w:rsid w:val="00170D5B"/>
    <w:rsid w:val="00170D6C"/>
    <w:rsid w:val="00170DC3"/>
    <w:rsid w:val="00170E94"/>
    <w:rsid w:val="00170F30"/>
    <w:rsid w:val="00170FA6"/>
    <w:rsid w:val="00170FA7"/>
    <w:rsid w:val="00171112"/>
    <w:rsid w:val="00171162"/>
    <w:rsid w:val="0017127D"/>
    <w:rsid w:val="001712AC"/>
    <w:rsid w:val="00171362"/>
    <w:rsid w:val="001713EA"/>
    <w:rsid w:val="00171427"/>
    <w:rsid w:val="00171548"/>
    <w:rsid w:val="00171560"/>
    <w:rsid w:val="001715F1"/>
    <w:rsid w:val="001715F8"/>
    <w:rsid w:val="0017185E"/>
    <w:rsid w:val="0017186F"/>
    <w:rsid w:val="0017194D"/>
    <w:rsid w:val="00171C07"/>
    <w:rsid w:val="00171C5D"/>
    <w:rsid w:val="00171CB5"/>
    <w:rsid w:val="00171CD5"/>
    <w:rsid w:val="00171F1C"/>
    <w:rsid w:val="00171F94"/>
    <w:rsid w:val="00171F9A"/>
    <w:rsid w:val="0017217A"/>
    <w:rsid w:val="00172468"/>
    <w:rsid w:val="00172475"/>
    <w:rsid w:val="00172586"/>
    <w:rsid w:val="001726CB"/>
    <w:rsid w:val="001726E2"/>
    <w:rsid w:val="00172713"/>
    <w:rsid w:val="001727F3"/>
    <w:rsid w:val="0017286A"/>
    <w:rsid w:val="001728E0"/>
    <w:rsid w:val="00172A3F"/>
    <w:rsid w:val="00172B43"/>
    <w:rsid w:val="00172B53"/>
    <w:rsid w:val="00172B8F"/>
    <w:rsid w:val="00172BBC"/>
    <w:rsid w:val="00172C9E"/>
    <w:rsid w:val="00172D09"/>
    <w:rsid w:val="00172D60"/>
    <w:rsid w:val="00172E1C"/>
    <w:rsid w:val="00172EA9"/>
    <w:rsid w:val="00172F07"/>
    <w:rsid w:val="00172F0B"/>
    <w:rsid w:val="00172F2D"/>
    <w:rsid w:val="00172F38"/>
    <w:rsid w:val="00172F93"/>
    <w:rsid w:val="00173060"/>
    <w:rsid w:val="00173095"/>
    <w:rsid w:val="001730EB"/>
    <w:rsid w:val="0017319A"/>
    <w:rsid w:val="00173401"/>
    <w:rsid w:val="00173571"/>
    <w:rsid w:val="00173637"/>
    <w:rsid w:val="00173675"/>
    <w:rsid w:val="001736CA"/>
    <w:rsid w:val="001736F8"/>
    <w:rsid w:val="001737EC"/>
    <w:rsid w:val="00173869"/>
    <w:rsid w:val="00173875"/>
    <w:rsid w:val="00173880"/>
    <w:rsid w:val="00173889"/>
    <w:rsid w:val="001738BA"/>
    <w:rsid w:val="001738DA"/>
    <w:rsid w:val="0017391B"/>
    <w:rsid w:val="0017392C"/>
    <w:rsid w:val="00173993"/>
    <w:rsid w:val="001739FA"/>
    <w:rsid w:val="00173A1F"/>
    <w:rsid w:val="00173A7E"/>
    <w:rsid w:val="00173A8E"/>
    <w:rsid w:val="00173AC8"/>
    <w:rsid w:val="00173C59"/>
    <w:rsid w:val="00173CAC"/>
    <w:rsid w:val="00173CB6"/>
    <w:rsid w:val="00173D85"/>
    <w:rsid w:val="00173DF6"/>
    <w:rsid w:val="00173E73"/>
    <w:rsid w:val="00173EA3"/>
    <w:rsid w:val="00173EA9"/>
    <w:rsid w:val="00173F76"/>
    <w:rsid w:val="00173FBD"/>
    <w:rsid w:val="00173FD7"/>
    <w:rsid w:val="001741DD"/>
    <w:rsid w:val="001741F3"/>
    <w:rsid w:val="001742D4"/>
    <w:rsid w:val="0017436E"/>
    <w:rsid w:val="001743ED"/>
    <w:rsid w:val="0017448D"/>
    <w:rsid w:val="00174512"/>
    <w:rsid w:val="0017455A"/>
    <w:rsid w:val="00174595"/>
    <w:rsid w:val="00174608"/>
    <w:rsid w:val="0017483C"/>
    <w:rsid w:val="00174889"/>
    <w:rsid w:val="0017495B"/>
    <w:rsid w:val="00174997"/>
    <w:rsid w:val="0017499A"/>
    <w:rsid w:val="001749A7"/>
    <w:rsid w:val="001749B7"/>
    <w:rsid w:val="00174A83"/>
    <w:rsid w:val="00174ACF"/>
    <w:rsid w:val="00174BC7"/>
    <w:rsid w:val="00174BF1"/>
    <w:rsid w:val="00174DCC"/>
    <w:rsid w:val="00174FD4"/>
    <w:rsid w:val="00174FE1"/>
    <w:rsid w:val="001750E9"/>
    <w:rsid w:val="0017519A"/>
    <w:rsid w:val="001752E7"/>
    <w:rsid w:val="0017532F"/>
    <w:rsid w:val="00175448"/>
    <w:rsid w:val="00175487"/>
    <w:rsid w:val="00175488"/>
    <w:rsid w:val="00175497"/>
    <w:rsid w:val="001755A1"/>
    <w:rsid w:val="001755A7"/>
    <w:rsid w:val="00175676"/>
    <w:rsid w:val="001756B2"/>
    <w:rsid w:val="0017579F"/>
    <w:rsid w:val="001757C0"/>
    <w:rsid w:val="001757D2"/>
    <w:rsid w:val="00175870"/>
    <w:rsid w:val="00175991"/>
    <w:rsid w:val="001759BF"/>
    <w:rsid w:val="001759D0"/>
    <w:rsid w:val="00175A25"/>
    <w:rsid w:val="00175AF4"/>
    <w:rsid w:val="00175B65"/>
    <w:rsid w:val="00175B69"/>
    <w:rsid w:val="00175C37"/>
    <w:rsid w:val="00175D30"/>
    <w:rsid w:val="00175D5B"/>
    <w:rsid w:val="00175F43"/>
    <w:rsid w:val="00175F51"/>
    <w:rsid w:val="00175F59"/>
    <w:rsid w:val="00176190"/>
    <w:rsid w:val="0017626A"/>
    <w:rsid w:val="00176293"/>
    <w:rsid w:val="001763A3"/>
    <w:rsid w:val="00176758"/>
    <w:rsid w:val="0017675B"/>
    <w:rsid w:val="001767CB"/>
    <w:rsid w:val="00176A0C"/>
    <w:rsid w:val="00176A2A"/>
    <w:rsid w:val="00176AD5"/>
    <w:rsid w:val="00176C20"/>
    <w:rsid w:val="00176C24"/>
    <w:rsid w:val="00176CFC"/>
    <w:rsid w:val="00176E77"/>
    <w:rsid w:val="00176E99"/>
    <w:rsid w:val="00176F31"/>
    <w:rsid w:val="00176FD5"/>
    <w:rsid w:val="001771E5"/>
    <w:rsid w:val="00177241"/>
    <w:rsid w:val="00177496"/>
    <w:rsid w:val="001774A5"/>
    <w:rsid w:val="001774CC"/>
    <w:rsid w:val="00177828"/>
    <w:rsid w:val="001778C4"/>
    <w:rsid w:val="00177984"/>
    <w:rsid w:val="00177AB5"/>
    <w:rsid w:val="00177B29"/>
    <w:rsid w:val="00177B2C"/>
    <w:rsid w:val="00177B3B"/>
    <w:rsid w:val="00177BA7"/>
    <w:rsid w:val="00177BDC"/>
    <w:rsid w:val="00177C1C"/>
    <w:rsid w:val="00177C32"/>
    <w:rsid w:val="00177FA7"/>
    <w:rsid w:val="00177FE7"/>
    <w:rsid w:val="00177FF8"/>
    <w:rsid w:val="00180007"/>
    <w:rsid w:val="00180042"/>
    <w:rsid w:val="0018011A"/>
    <w:rsid w:val="001801F6"/>
    <w:rsid w:val="00180246"/>
    <w:rsid w:val="001803E4"/>
    <w:rsid w:val="0018041A"/>
    <w:rsid w:val="001804E9"/>
    <w:rsid w:val="00180560"/>
    <w:rsid w:val="0018057E"/>
    <w:rsid w:val="00180678"/>
    <w:rsid w:val="001806AD"/>
    <w:rsid w:val="00180719"/>
    <w:rsid w:val="00180960"/>
    <w:rsid w:val="00180AE1"/>
    <w:rsid w:val="00180BC9"/>
    <w:rsid w:val="00180C68"/>
    <w:rsid w:val="00180C81"/>
    <w:rsid w:val="00180CA1"/>
    <w:rsid w:val="00180D30"/>
    <w:rsid w:val="00180EB3"/>
    <w:rsid w:val="001812BC"/>
    <w:rsid w:val="0018131F"/>
    <w:rsid w:val="001813A2"/>
    <w:rsid w:val="0018144C"/>
    <w:rsid w:val="00181797"/>
    <w:rsid w:val="001817AB"/>
    <w:rsid w:val="001817F2"/>
    <w:rsid w:val="0018190D"/>
    <w:rsid w:val="001819AF"/>
    <w:rsid w:val="00181A03"/>
    <w:rsid w:val="00181AA1"/>
    <w:rsid w:val="00181CC0"/>
    <w:rsid w:val="00181E96"/>
    <w:rsid w:val="00181EC8"/>
    <w:rsid w:val="00181F62"/>
    <w:rsid w:val="00181FA5"/>
    <w:rsid w:val="00181FE1"/>
    <w:rsid w:val="00182002"/>
    <w:rsid w:val="00182082"/>
    <w:rsid w:val="0018217A"/>
    <w:rsid w:val="0018233B"/>
    <w:rsid w:val="0018244A"/>
    <w:rsid w:val="00182563"/>
    <w:rsid w:val="00182574"/>
    <w:rsid w:val="0018259C"/>
    <w:rsid w:val="00182665"/>
    <w:rsid w:val="00182849"/>
    <w:rsid w:val="0018284A"/>
    <w:rsid w:val="0018294A"/>
    <w:rsid w:val="00182964"/>
    <w:rsid w:val="00182A72"/>
    <w:rsid w:val="00182A88"/>
    <w:rsid w:val="00182B12"/>
    <w:rsid w:val="00182B59"/>
    <w:rsid w:val="00182D5F"/>
    <w:rsid w:val="00182D62"/>
    <w:rsid w:val="00182F19"/>
    <w:rsid w:val="00182FCB"/>
    <w:rsid w:val="00183047"/>
    <w:rsid w:val="00183099"/>
    <w:rsid w:val="001830D0"/>
    <w:rsid w:val="001832E8"/>
    <w:rsid w:val="00183323"/>
    <w:rsid w:val="00183394"/>
    <w:rsid w:val="00183428"/>
    <w:rsid w:val="00183519"/>
    <w:rsid w:val="0018353B"/>
    <w:rsid w:val="0018361F"/>
    <w:rsid w:val="00183694"/>
    <w:rsid w:val="001836A7"/>
    <w:rsid w:val="0018382B"/>
    <w:rsid w:val="00183867"/>
    <w:rsid w:val="0018391C"/>
    <w:rsid w:val="0018398B"/>
    <w:rsid w:val="00183A74"/>
    <w:rsid w:val="00183C54"/>
    <w:rsid w:val="00183C96"/>
    <w:rsid w:val="00183CBA"/>
    <w:rsid w:val="00183CC5"/>
    <w:rsid w:val="00183E02"/>
    <w:rsid w:val="00183E31"/>
    <w:rsid w:val="00183EBF"/>
    <w:rsid w:val="00183F9E"/>
    <w:rsid w:val="00183FC0"/>
    <w:rsid w:val="00183FF8"/>
    <w:rsid w:val="0018400C"/>
    <w:rsid w:val="001840C5"/>
    <w:rsid w:val="001840FE"/>
    <w:rsid w:val="00184112"/>
    <w:rsid w:val="00184129"/>
    <w:rsid w:val="0018412A"/>
    <w:rsid w:val="00184156"/>
    <w:rsid w:val="001841C2"/>
    <w:rsid w:val="0018421F"/>
    <w:rsid w:val="00184338"/>
    <w:rsid w:val="001843A0"/>
    <w:rsid w:val="0018446E"/>
    <w:rsid w:val="001844FC"/>
    <w:rsid w:val="00184521"/>
    <w:rsid w:val="001845F7"/>
    <w:rsid w:val="0018460C"/>
    <w:rsid w:val="001846E0"/>
    <w:rsid w:val="00184793"/>
    <w:rsid w:val="001847B4"/>
    <w:rsid w:val="00184891"/>
    <w:rsid w:val="00184893"/>
    <w:rsid w:val="001848E7"/>
    <w:rsid w:val="00184B16"/>
    <w:rsid w:val="00184BAE"/>
    <w:rsid w:val="00184BBC"/>
    <w:rsid w:val="00184BD3"/>
    <w:rsid w:val="00184E22"/>
    <w:rsid w:val="00184E66"/>
    <w:rsid w:val="00184FCF"/>
    <w:rsid w:val="0018501F"/>
    <w:rsid w:val="001850DC"/>
    <w:rsid w:val="00185148"/>
    <w:rsid w:val="0018514F"/>
    <w:rsid w:val="001851D6"/>
    <w:rsid w:val="001851E3"/>
    <w:rsid w:val="0018525D"/>
    <w:rsid w:val="0018529E"/>
    <w:rsid w:val="00185540"/>
    <w:rsid w:val="0018564E"/>
    <w:rsid w:val="001857CD"/>
    <w:rsid w:val="001857E0"/>
    <w:rsid w:val="0018581B"/>
    <w:rsid w:val="00185856"/>
    <w:rsid w:val="001858F7"/>
    <w:rsid w:val="0018594F"/>
    <w:rsid w:val="00185A92"/>
    <w:rsid w:val="00185BE3"/>
    <w:rsid w:val="00185CF5"/>
    <w:rsid w:val="00185D03"/>
    <w:rsid w:val="00185D2B"/>
    <w:rsid w:val="00185E31"/>
    <w:rsid w:val="00185E52"/>
    <w:rsid w:val="00185F18"/>
    <w:rsid w:val="00186050"/>
    <w:rsid w:val="001860F4"/>
    <w:rsid w:val="00186101"/>
    <w:rsid w:val="00186175"/>
    <w:rsid w:val="001861B9"/>
    <w:rsid w:val="001861C3"/>
    <w:rsid w:val="00186236"/>
    <w:rsid w:val="00186249"/>
    <w:rsid w:val="00186255"/>
    <w:rsid w:val="001862C5"/>
    <w:rsid w:val="00186344"/>
    <w:rsid w:val="0018638E"/>
    <w:rsid w:val="001863FE"/>
    <w:rsid w:val="00186413"/>
    <w:rsid w:val="00186420"/>
    <w:rsid w:val="001864A2"/>
    <w:rsid w:val="0018666E"/>
    <w:rsid w:val="001866CF"/>
    <w:rsid w:val="001867CE"/>
    <w:rsid w:val="00186815"/>
    <w:rsid w:val="00186968"/>
    <w:rsid w:val="00186A02"/>
    <w:rsid w:val="00186C58"/>
    <w:rsid w:val="00186DA4"/>
    <w:rsid w:val="00186E2D"/>
    <w:rsid w:val="00186E69"/>
    <w:rsid w:val="00186EB1"/>
    <w:rsid w:val="00186EBF"/>
    <w:rsid w:val="00186FA2"/>
    <w:rsid w:val="00187081"/>
    <w:rsid w:val="001870B2"/>
    <w:rsid w:val="001872B4"/>
    <w:rsid w:val="001872D4"/>
    <w:rsid w:val="001872D7"/>
    <w:rsid w:val="001872F7"/>
    <w:rsid w:val="001873CC"/>
    <w:rsid w:val="0018744E"/>
    <w:rsid w:val="00187490"/>
    <w:rsid w:val="0018749A"/>
    <w:rsid w:val="00187537"/>
    <w:rsid w:val="00187539"/>
    <w:rsid w:val="00187615"/>
    <w:rsid w:val="00187762"/>
    <w:rsid w:val="001878BA"/>
    <w:rsid w:val="00187D94"/>
    <w:rsid w:val="00187E30"/>
    <w:rsid w:val="00187E5F"/>
    <w:rsid w:val="00187F56"/>
    <w:rsid w:val="00187F61"/>
    <w:rsid w:val="00190074"/>
    <w:rsid w:val="001901A1"/>
    <w:rsid w:val="001901CC"/>
    <w:rsid w:val="001901E7"/>
    <w:rsid w:val="00190336"/>
    <w:rsid w:val="001903A8"/>
    <w:rsid w:val="001904AB"/>
    <w:rsid w:val="001904BA"/>
    <w:rsid w:val="001904C5"/>
    <w:rsid w:val="00190695"/>
    <w:rsid w:val="001906BC"/>
    <w:rsid w:val="001907C8"/>
    <w:rsid w:val="001909B0"/>
    <w:rsid w:val="00190ACB"/>
    <w:rsid w:val="00190C27"/>
    <w:rsid w:val="00190C42"/>
    <w:rsid w:val="00190CB8"/>
    <w:rsid w:val="00190D4A"/>
    <w:rsid w:val="00190E1C"/>
    <w:rsid w:val="00190E31"/>
    <w:rsid w:val="00190E9E"/>
    <w:rsid w:val="00190EB4"/>
    <w:rsid w:val="00190F70"/>
    <w:rsid w:val="001910F1"/>
    <w:rsid w:val="0019112B"/>
    <w:rsid w:val="00191136"/>
    <w:rsid w:val="0019134E"/>
    <w:rsid w:val="0019135B"/>
    <w:rsid w:val="001915AF"/>
    <w:rsid w:val="001915BA"/>
    <w:rsid w:val="001915D6"/>
    <w:rsid w:val="001916AF"/>
    <w:rsid w:val="00191798"/>
    <w:rsid w:val="00191872"/>
    <w:rsid w:val="0019195B"/>
    <w:rsid w:val="00191A9B"/>
    <w:rsid w:val="00191C03"/>
    <w:rsid w:val="00191C42"/>
    <w:rsid w:val="00191D25"/>
    <w:rsid w:val="00191E67"/>
    <w:rsid w:val="00191EE2"/>
    <w:rsid w:val="00191EF6"/>
    <w:rsid w:val="00191F7E"/>
    <w:rsid w:val="0019200F"/>
    <w:rsid w:val="00192017"/>
    <w:rsid w:val="001920AB"/>
    <w:rsid w:val="001920C6"/>
    <w:rsid w:val="001920C7"/>
    <w:rsid w:val="0019210C"/>
    <w:rsid w:val="0019211C"/>
    <w:rsid w:val="0019213E"/>
    <w:rsid w:val="0019216F"/>
    <w:rsid w:val="00192272"/>
    <w:rsid w:val="001922D3"/>
    <w:rsid w:val="001922FC"/>
    <w:rsid w:val="0019232B"/>
    <w:rsid w:val="001924BF"/>
    <w:rsid w:val="001924D0"/>
    <w:rsid w:val="00192558"/>
    <w:rsid w:val="001926E3"/>
    <w:rsid w:val="00192757"/>
    <w:rsid w:val="001929CD"/>
    <w:rsid w:val="00192A70"/>
    <w:rsid w:val="00192C93"/>
    <w:rsid w:val="00192D0A"/>
    <w:rsid w:val="00192D29"/>
    <w:rsid w:val="00192E05"/>
    <w:rsid w:val="00192E9F"/>
    <w:rsid w:val="00192EDD"/>
    <w:rsid w:val="00192FC3"/>
    <w:rsid w:val="00193022"/>
    <w:rsid w:val="00193115"/>
    <w:rsid w:val="001931DF"/>
    <w:rsid w:val="00193354"/>
    <w:rsid w:val="0019346C"/>
    <w:rsid w:val="00193474"/>
    <w:rsid w:val="0019362A"/>
    <w:rsid w:val="0019367D"/>
    <w:rsid w:val="001936BE"/>
    <w:rsid w:val="00193739"/>
    <w:rsid w:val="0019381E"/>
    <w:rsid w:val="0019390E"/>
    <w:rsid w:val="00193933"/>
    <w:rsid w:val="00193969"/>
    <w:rsid w:val="001939A5"/>
    <w:rsid w:val="001939C0"/>
    <w:rsid w:val="00193A05"/>
    <w:rsid w:val="00193A35"/>
    <w:rsid w:val="00193BAB"/>
    <w:rsid w:val="00193C57"/>
    <w:rsid w:val="00193CC3"/>
    <w:rsid w:val="00193D0C"/>
    <w:rsid w:val="00193D13"/>
    <w:rsid w:val="00193DD1"/>
    <w:rsid w:val="00193E7C"/>
    <w:rsid w:val="00193EAE"/>
    <w:rsid w:val="001940BF"/>
    <w:rsid w:val="001941D6"/>
    <w:rsid w:val="00194209"/>
    <w:rsid w:val="00194320"/>
    <w:rsid w:val="00194519"/>
    <w:rsid w:val="001946A2"/>
    <w:rsid w:val="0019474E"/>
    <w:rsid w:val="0019476B"/>
    <w:rsid w:val="0019485B"/>
    <w:rsid w:val="00194866"/>
    <w:rsid w:val="001948B5"/>
    <w:rsid w:val="001948FA"/>
    <w:rsid w:val="00194A2E"/>
    <w:rsid w:val="00194A4B"/>
    <w:rsid w:val="00194AA5"/>
    <w:rsid w:val="00194D17"/>
    <w:rsid w:val="00194D1A"/>
    <w:rsid w:val="00194D9D"/>
    <w:rsid w:val="00194DD4"/>
    <w:rsid w:val="00194F1D"/>
    <w:rsid w:val="001950BB"/>
    <w:rsid w:val="00195135"/>
    <w:rsid w:val="001951EF"/>
    <w:rsid w:val="00195246"/>
    <w:rsid w:val="001952B5"/>
    <w:rsid w:val="00195437"/>
    <w:rsid w:val="0019547F"/>
    <w:rsid w:val="00195490"/>
    <w:rsid w:val="0019549F"/>
    <w:rsid w:val="00195534"/>
    <w:rsid w:val="001955F3"/>
    <w:rsid w:val="0019560A"/>
    <w:rsid w:val="00195683"/>
    <w:rsid w:val="001956AC"/>
    <w:rsid w:val="001956C9"/>
    <w:rsid w:val="00195728"/>
    <w:rsid w:val="0019574D"/>
    <w:rsid w:val="0019581F"/>
    <w:rsid w:val="001958A2"/>
    <w:rsid w:val="001958C4"/>
    <w:rsid w:val="00195931"/>
    <w:rsid w:val="00195A55"/>
    <w:rsid w:val="00195AFC"/>
    <w:rsid w:val="00195BBC"/>
    <w:rsid w:val="00195BCA"/>
    <w:rsid w:val="00195D9C"/>
    <w:rsid w:val="00195E4F"/>
    <w:rsid w:val="00195E97"/>
    <w:rsid w:val="00196303"/>
    <w:rsid w:val="00196379"/>
    <w:rsid w:val="00196542"/>
    <w:rsid w:val="00196639"/>
    <w:rsid w:val="00196665"/>
    <w:rsid w:val="001966BA"/>
    <w:rsid w:val="001966C1"/>
    <w:rsid w:val="001966F0"/>
    <w:rsid w:val="0019694D"/>
    <w:rsid w:val="00196A04"/>
    <w:rsid w:val="00196A0E"/>
    <w:rsid w:val="00196A86"/>
    <w:rsid w:val="00196AE8"/>
    <w:rsid w:val="00196AF9"/>
    <w:rsid w:val="00196BAD"/>
    <w:rsid w:val="00196BBB"/>
    <w:rsid w:val="00196EFD"/>
    <w:rsid w:val="0019700F"/>
    <w:rsid w:val="00197033"/>
    <w:rsid w:val="001970AF"/>
    <w:rsid w:val="001970C0"/>
    <w:rsid w:val="00197145"/>
    <w:rsid w:val="001971DF"/>
    <w:rsid w:val="00197254"/>
    <w:rsid w:val="001972B6"/>
    <w:rsid w:val="00197398"/>
    <w:rsid w:val="001973A6"/>
    <w:rsid w:val="001973C1"/>
    <w:rsid w:val="001973FA"/>
    <w:rsid w:val="00197454"/>
    <w:rsid w:val="00197538"/>
    <w:rsid w:val="001975B6"/>
    <w:rsid w:val="00197632"/>
    <w:rsid w:val="001976BD"/>
    <w:rsid w:val="00197A39"/>
    <w:rsid w:val="00197AA9"/>
    <w:rsid w:val="00197B0E"/>
    <w:rsid w:val="00197C0A"/>
    <w:rsid w:val="00197C4B"/>
    <w:rsid w:val="00197CAA"/>
    <w:rsid w:val="00197DEB"/>
    <w:rsid w:val="00197E5C"/>
    <w:rsid w:val="00197FC6"/>
    <w:rsid w:val="001A0006"/>
    <w:rsid w:val="001A0037"/>
    <w:rsid w:val="001A0105"/>
    <w:rsid w:val="001A02D8"/>
    <w:rsid w:val="001A0309"/>
    <w:rsid w:val="001A035D"/>
    <w:rsid w:val="001A03A4"/>
    <w:rsid w:val="001A0482"/>
    <w:rsid w:val="001A059A"/>
    <w:rsid w:val="001A0655"/>
    <w:rsid w:val="001A0696"/>
    <w:rsid w:val="001A06B8"/>
    <w:rsid w:val="001A07EB"/>
    <w:rsid w:val="001A08A0"/>
    <w:rsid w:val="001A0A15"/>
    <w:rsid w:val="001A0B73"/>
    <w:rsid w:val="001A0BE7"/>
    <w:rsid w:val="001A0BF9"/>
    <w:rsid w:val="001A0C0E"/>
    <w:rsid w:val="001A0C59"/>
    <w:rsid w:val="001A0DB5"/>
    <w:rsid w:val="001A0DC9"/>
    <w:rsid w:val="001A1021"/>
    <w:rsid w:val="001A1042"/>
    <w:rsid w:val="001A107A"/>
    <w:rsid w:val="001A1172"/>
    <w:rsid w:val="001A1176"/>
    <w:rsid w:val="001A1214"/>
    <w:rsid w:val="001A163A"/>
    <w:rsid w:val="001A169E"/>
    <w:rsid w:val="001A1704"/>
    <w:rsid w:val="001A1730"/>
    <w:rsid w:val="001A17F6"/>
    <w:rsid w:val="001A182B"/>
    <w:rsid w:val="001A1896"/>
    <w:rsid w:val="001A1943"/>
    <w:rsid w:val="001A1B16"/>
    <w:rsid w:val="001A1B2C"/>
    <w:rsid w:val="001A1B62"/>
    <w:rsid w:val="001A1C54"/>
    <w:rsid w:val="001A1C5F"/>
    <w:rsid w:val="001A1CB7"/>
    <w:rsid w:val="001A1CDA"/>
    <w:rsid w:val="001A1FCA"/>
    <w:rsid w:val="001A1FEF"/>
    <w:rsid w:val="001A2183"/>
    <w:rsid w:val="001A22CB"/>
    <w:rsid w:val="001A2328"/>
    <w:rsid w:val="001A2345"/>
    <w:rsid w:val="001A235B"/>
    <w:rsid w:val="001A23F3"/>
    <w:rsid w:val="001A26AF"/>
    <w:rsid w:val="001A271C"/>
    <w:rsid w:val="001A285C"/>
    <w:rsid w:val="001A2878"/>
    <w:rsid w:val="001A299A"/>
    <w:rsid w:val="001A29C1"/>
    <w:rsid w:val="001A2A24"/>
    <w:rsid w:val="001A2A32"/>
    <w:rsid w:val="001A2A35"/>
    <w:rsid w:val="001A2A78"/>
    <w:rsid w:val="001A2B45"/>
    <w:rsid w:val="001A2BA3"/>
    <w:rsid w:val="001A2DE5"/>
    <w:rsid w:val="001A2E02"/>
    <w:rsid w:val="001A2E6F"/>
    <w:rsid w:val="001A2EB7"/>
    <w:rsid w:val="001A2F9C"/>
    <w:rsid w:val="001A3042"/>
    <w:rsid w:val="001A30CC"/>
    <w:rsid w:val="001A31E1"/>
    <w:rsid w:val="001A3291"/>
    <w:rsid w:val="001A32A2"/>
    <w:rsid w:val="001A32D0"/>
    <w:rsid w:val="001A331E"/>
    <w:rsid w:val="001A336A"/>
    <w:rsid w:val="001A3389"/>
    <w:rsid w:val="001A3614"/>
    <w:rsid w:val="001A367F"/>
    <w:rsid w:val="001A368E"/>
    <w:rsid w:val="001A3699"/>
    <w:rsid w:val="001A3747"/>
    <w:rsid w:val="001A379E"/>
    <w:rsid w:val="001A37D5"/>
    <w:rsid w:val="001A37F8"/>
    <w:rsid w:val="001A396A"/>
    <w:rsid w:val="001A3A65"/>
    <w:rsid w:val="001A3AAB"/>
    <w:rsid w:val="001A3B0E"/>
    <w:rsid w:val="001A3C8C"/>
    <w:rsid w:val="001A3CCF"/>
    <w:rsid w:val="001A3D71"/>
    <w:rsid w:val="001A3E07"/>
    <w:rsid w:val="001A3E0B"/>
    <w:rsid w:val="001A3E22"/>
    <w:rsid w:val="001A3E90"/>
    <w:rsid w:val="001A4064"/>
    <w:rsid w:val="001A411A"/>
    <w:rsid w:val="001A4204"/>
    <w:rsid w:val="001A420B"/>
    <w:rsid w:val="001A43B9"/>
    <w:rsid w:val="001A4583"/>
    <w:rsid w:val="001A4649"/>
    <w:rsid w:val="001A466C"/>
    <w:rsid w:val="001A46C3"/>
    <w:rsid w:val="001A46FC"/>
    <w:rsid w:val="001A4749"/>
    <w:rsid w:val="001A47E4"/>
    <w:rsid w:val="001A4888"/>
    <w:rsid w:val="001A4991"/>
    <w:rsid w:val="001A49E9"/>
    <w:rsid w:val="001A4B13"/>
    <w:rsid w:val="001A4B39"/>
    <w:rsid w:val="001A4B97"/>
    <w:rsid w:val="001A4BC8"/>
    <w:rsid w:val="001A4BF6"/>
    <w:rsid w:val="001A4C51"/>
    <w:rsid w:val="001A4C86"/>
    <w:rsid w:val="001A4CA5"/>
    <w:rsid w:val="001A4CB5"/>
    <w:rsid w:val="001A4D9E"/>
    <w:rsid w:val="001A4E12"/>
    <w:rsid w:val="001A4E93"/>
    <w:rsid w:val="001A4F7D"/>
    <w:rsid w:val="001A5037"/>
    <w:rsid w:val="001A5169"/>
    <w:rsid w:val="001A5186"/>
    <w:rsid w:val="001A534D"/>
    <w:rsid w:val="001A5358"/>
    <w:rsid w:val="001A540B"/>
    <w:rsid w:val="001A5430"/>
    <w:rsid w:val="001A543A"/>
    <w:rsid w:val="001A5492"/>
    <w:rsid w:val="001A5558"/>
    <w:rsid w:val="001A5565"/>
    <w:rsid w:val="001A557E"/>
    <w:rsid w:val="001A55EF"/>
    <w:rsid w:val="001A55FE"/>
    <w:rsid w:val="001A5700"/>
    <w:rsid w:val="001A58AE"/>
    <w:rsid w:val="001A58F3"/>
    <w:rsid w:val="001A5905"/>
    <w:rsid w:val="001A5949"/>
    <w:rsid w:val="001A5976"/>
    <w:rsid w:val="001A5A3B"/>
    <w:rsid w:val="001A5BB4"/>
    <w:rsid w:val="001A5BBC"/>
    <w:rsid w:val="001A5DA5"/>
    <w:rsid w:val="001A5F7F"/>
    <w:rsid w:val="001A6068"/>
    <w:rsid w:val="001A622E"/>
    <w:rsid w:val="001A6311"/>
    <w:rsid w:val="001A6367"/>
    <w:rsid w:val="001A63B1"/>
    <w:rsid w:val="001A6451"/>
    <w:rsid w:val="001A64B3"/>
    <w:rsid w:val="001A6504"/>
    <w:rsid w:val="001A6515"/>
    <w:rsid w:val="001A65B8"/>
    <w:rsid w:val="001A6660"/>
    <w:rsid w:val="001A668E"/>
    <w:rsid w:val="001A678E"/>
    <w:rsid w:val="001A6996"/>
    <w:rsid w:val="001A69CA"/>
    <w:rsid w:val="001A69FD"/>
    <w:rsid w:val="001A6AF5"/>
    <w:rsid w:val="001A6B50"/>
    <w:rsid w:val="001A6BB5"/>
    <w:rsid w:val="001A6BF1"/>
    <w:rsid w:val="001A6CEA"/>
    <w:rsid w:val="001A6D18"/>
    <w:rsid w:val="001A6E3F"/>
    <w:rsid w:val="001A6F0C"/>
    <w:rsid w:val="001A6F1D"/>
    <w:rsid w:val="001A6F98"/>
    <w:rsid w:val="001A7228"/>
    <w:rsid w:val="001A722E"/>
    <w:rsid w:val="001A7235"/>
    <w:rsid w:val="001A726F"/>
    <w:rsid w:val="001A72EC"/>
    <w:rsid w:val="001A7445"/>
    <w:rsid w:val="001A744C"/>
    <w:rsid w:val="001A746C"/>
    <w:rsid w:val="001A7614"/>
    <w:rsid w:val="001A76B7"/>
    <w:rsid w:val="001A76F8"/>
    <w:rsid w:val="001A77B6"/>
    <w:rsid w:val="001A781E"/>
    <w:rsid w:val="001A7877"/>
    <w:rsid w:val="001A79AA"/>
    <w:rsid w:val="001A79E6"/>
    <w:rsid w:val="001A7A9F"/>
    <w:rsid w:val="001A7B42"/>
    <w:rsid w:val="001A7BEE"/>
    <w:rsid w:val="001A7C92"/>
    <w:rsid w:val="001A7CDE"/>
    <w:rsid w:val="001A7D8F"/>
    <w:rsid w:val="001A7E07"/>
    <w:rsid w:val="001A7FB9"/>
    <w:rsid w:val="001A7FEE"/>
    <w:rsid w:val="001B0068"/>
    <w:rsid w:val="001B007D"/>
    <w:rsid w:val="001B00AA"/>
    <w:rsid w:val="001B0101"/>
    <w:rsid w:val="001B01EC"/>
    <w:rsid w:val="001B028C"/>
    <w:rsid w:val="001B0298"/>
    <w:rsid w:val="001B02A5"/>
    <w:rsid w:val="001B02C6"/>
    <w:rsid w:val="001B030A"/>
    <w:rsid w:val="001B0338"/>
    <w:rsid w:val="001B0390"/>
    <w:rsid w:val="001B03BE"/>
    <w:rsid w:val="001B04B8"/>
    <w:rsid w:val="001B04BE"/>
    <w:rsid w:val="001B0596"/>
    <w:rsid w:val="001B0712"/>
    <w:rsid w:val="001B0745"/>
    <w:rsid w:val="001B0790"/>
    <w:rsid w:val="001B0797"/>
    <w:rsid w:val="001B07C7"/>
    <w:rsid w:val="001B09F4"/>
    <w:rsid w:val="001B0AEC"/>
    <w:rsid w:val="001B0BA1"/>
    <w:rsid w:val="001B0BCA"/>
    <w:rsid w:val="001B0BDC"/>
    <w:rsid w:val="001B0C27"/>
    <w:rsid w:val="001B0D32"/>
    <w:rsid w:val="001B0D87"/>
    <w:rsid w:val="001B1048"/>
    <w:rsid w:val="001B105C"/>
    <w:rsid w:val="001B108C"/>
    <w:rsid w:val="001B10DF"/>
    <w:rsid w:val="001B10E1"/>
    <w:rsid w:val="001B10F9"/>
    <w:rsid w:val="001B1115"/>
    <w:rsid w:val="001B129B"/>
    <w:rsid w:val="001B12DC"/>
    <w:rsid w:val="001B12F5"/>
    <w:rsid w:val="001B145D"/>
    <w:rsid w:val="001B15B9"/>
    <w:rsid w:val="001B15EF"/>
    <w:rsid w:val="001B166B"/>
    <w:rsid w:val="001B1677"/>
    <w:rsid w:val="001B16F4"/>
    <w:rsid w:val="001B18ED"/>
    <w:rsid w:val="001B1920"/>
    <w:rsid w:val="001B1AB4"/>
    <w:rsid w:val="001B1B27"/>
    <w:rsid w:val="001B1D3D"/>
    <w:rsid w:val="001B1E5F"/>
    <w:rsid w:val="001B1E6A"/>
    <w:rsid w:val="001B1E84"/>
    <w:rsid w:val="001B1F1B"/>
    <w:rsid w:val="001B20C1"/>
    <w:rsid w:val="001B21CF"/>
    <w:rsid w:val="001B21DC"/>
    <w:rsid w:val="001B21FB"/>
    <w:rsid w:val="001B2258"/>
    <w:rsid w:val="001B2323"/>
    <w:rsid w:val="001B235E"/>
    <w:rsid w:val="001B240A"/>
    <w:rsid w:val="001B245D"/>
    <w:rsid w:val="001B251E"/>
    <w:rsid w:val="001B26FD"/>
    <w:rsid w:val="001B272E"/>
    <w:rsid w:val="001B2792"/>
    <w:rsid w:val="001B27C5"/>
    <w:rsid w:val="001B289D"/>
    <w:rsid w:val="001B28B8"/>
    <w:rsid w:val="001B28C8"/>
    <w:rsid w:val="001B2929"/>
    <w:rsid w:val="001B2A97"/>
    <w:rsid w:val="001B2AB9"/>
    <w:rsid w:val="001B2CCB"/>
    <w:rsid w:val="001B2CD4"/>
    <w:rsid w:val="001B2D5D"/>
    <w:rsid w:val="001B2D75"/>
    <w:rsid w:val="001B2E89"/>
    <w:rsid w:val="001B2EDA"/>
    <w:rsid w:val="001B2EF0"/>
    <w:rsid w:val="001B31FD"/>
    <w:rsid w:val="001B35B9"/>
    <w:rsid w:val="001B35C5"/>
    <w:rsid w:val="001B3664"/>
    <w:rsid w:val="001B36C2"/>
    <w:rsid w:val="001B37CE"/>
    <w:rsid w:val="001B3A5D"/>
    <w:rsid w:val="001B3AAC"/>
    <w:rsid w:val="001B3BE9"/>
    <w:rsid w:val="001B3C42"/>
    <w:rsid w:val="001B3C87"/>
    <w:rsid w:val="001B3CC7"/>
    <w:rsid w:val="001B3DD9"/>
    <w:rsid w:val="001B3E92"/>
    <w:rsid w:val="001B3FE4"/>
    <w:rsid w:val="001B4216"/>
    <w:rsid w:val="001B42D0"/>
    <w:rsid w:val="001B4381"/>
    <w:rsid w:val="001B43D6"/>
    <w:rsid w:val="001B4529"/>
    <w:rsid w:val="001B4647"/>
    <w:rsid w:val="001B4934"/>
    <w:rsid w:val="001B4B4B"/>
    <w:rsid w:val="001B4BC0"/>
    <w:rsid w:val="001B4CB8"/>
    <w:rsid w:val="001B4D05"/>
    <w:rsid w:val="001B4D16"/>
    <w:rsid w:val="001B4D8F"/>
    <w:rsid w:val="001B4E09"/>
    <w:rsid w:val="001B4E2B"/>
    <w:rsid w:val="001B4F07"/>
    <w:rsid w:val="001B4F80"/>
    <w:rsid w:val="001B5081"/>
    <w:rsid w:val="001B5287"/>
    <w:rsid w:val="001B53E6"/>
    <w:rsid w:val="001B544D"/>
    <w:rsid w:val="001B5461"/>
    <w:rsid w:val="001B548C"/>
    <w:rsid w:val="001B54CD"/>
    <w:rsid w:val="001B551A"/>
    <w:rsid w:val="001B561A"/>
    <w:rsid w:val="001B561C"/>
    <w:rsid w:val="001B564F"/>
    <w:rsid w:val="001B5650"/>
    <w:rsid w:val="001B57B6"/>
    <w:rsid w:val="001B57E6"/>
    <w:rsid w:val="001B583D"/>
    <w:rsid w:val="001B589C"/>
    <w:rsid w:val="001B58AA"/>
    <w:rsid w:val="001B5921"/>
    <w:rsid w:val="001B59C3"/>
    <w:rsid w:val="001B5A36"/>
    <w:rsid w:val="001B5C54"/>
    <w:rsid w:val="001B5C58"/>
    <w:rsid w:val="001B5CFF"/>
    <w:rsid w:val="001B5D23"/>
    <w:rsid w:val="001B5E06"/>
    <w:rsid w:val="001B5E59"/>
    <w:rsid w:val="001B5F11"/>
    <w:rsid w:val="001B5FD3"/>
    <w:rsid w:val="001B6050"/>
    <w:rsid w:val="001B607D"/>
    <w:rsid w:val="001B6149"/>
    <w:rsid w:val="001B61BD"/>
    <w:rsid w:val="001B621A"/>
    <w:rsid w:val="001B6292"/>
    <w:rsid w:val="001B62AB"/>
    <w:rsid w:val="001B6322"/>
    <w:rsid w:val="001B6421"/>
    <w:rsid w:val="001B6444"/>
    <w:rsid w:val="001B646A"/>
    <w:rsid w:val="001B6494"/>
    <w:rsid w:val="001B6607"/>
    <w:rsid w:val="001B6767"/>
    <w:rsid w:val="001B67D3"/>
    <w:rsid w:val="001B6864"/>
    <w:rsid w:val="001B6878"/>
    <w:rsid w:val="001B688A"/>
    <w:rsid w:val="001B68CF"/>
    <w:rsid w:val="001B68D6"/>
    <w:rsid w:val="001B6938"/>
    <w:rsid w:val="001B6977"/>
    <w:rsid w:val="001B69AA"/>
    <w:rsid w:val="001B69B1"/>
    <w:rsid w:val="001B6A07"/>
    <w:rsid w:val="001B6B0D"/>
    <w:rsid w:val="001B6B30"/>
    <w:rsid w:val="001B6B63"/>
    <w:rsid w:val="001B6C2B"/>
    <w:rsid w:val="001B6C76"/>
    <w:rsid w:val="001B6C9A"/>
    <w:rsid w:val="001B6D10"/>
    <w:rsid w:val="001B6E1B"/>
    <w:rsid w:val="001B6E46"/>
    <w:rsid w:val="001B6F5B"/>
    <w:rsid w:val="001B6FAF"/>
    <w:rsid w:val="001B6FDA"/>
    <w:rsid w:val="001B702D"/>
    <w:rsid w:val="001B7192"/>
    <w:rsid w:val="001B71CD"/>
    <w:rsid w:val="001B71F4"/>
    <w:rsid w:val="001B7329"/>
    <w:rsid w:val="001B732A"/>
    <w:rsid w:val="001B73DC"/>
    <w:rsid w:val="001B7462"/>
    <w:rsid w:val="001B76BA"/>
    <w:rsid w:val="001B76DB"/>
    <w:rsid w:val="001B777F"/>
    <w:rsid w:val="001B77B5"/>
    <w:rsid w:val="001B790F"/>
    <w:rsid w:val="001B79C1"/>
    <w:rsid w:val="001B7AC1"/>
    <w:rsid w:val="001B7B1C"/>
    <w:rsid w:val="001B7B34"/>
    <w:rsid w:val="001B7C7E"/>
    <w:rsid w:val="001B7CBF"/>
    <w:rsid w:val="001B7D70"/>
    <w:rsid w:val="001B7DC7"/>
    <w:rsid w:val="001B7DF3"/>
    <w:rsid w:val="001B7E1E"/>
    <w:rsid w:val="001B7EE1"/>
    <w:rsid w:val="001B7F72"/>
    <w:rsid w:val="001B7F8F"/>
    <w:rsid w:val="001C001E"/>
    <w:rsid w:val="001C008B"/>
    <w:rsid w:val="001C009C"/>
    <w:rsid w:val="001C0183"/>
    <w:rsid w:val="001C0233"/>
    <w:rsid w:val="001C025D"/>
    <w:rsid w:val="001C02E3"/>
    <w:rsid w:val="001C033F"/>
    <w:rsid w:val="001C0420"/>
    <w:rsid w:val="001C04C7"/>
    <w:rsid w:val="001C0542"/>
    <w:rsid w:val="001C0575"/>
    <w:rsid w:val="001C05F4"/>
    <w:rsid w:val="001C0640"/>
    <w:rsid w:val="001C0682"/>
    <w:rsid w:val="001C06D2"/>
    <w:rsid w:val="001C070C"/>
    <w:rsid w:val="001C073A"/>
    <w:rsid w:val="001C086A"/>
    <w:rsid w:val="001C08B7"/>
    <w:rsid w:val="001C08C3"/>
    <w:rsid w:val="001C093F"/>
    <w:rsid w:val="001C095E"/>
    <w:rsid w:val="001C09D8"/>
    <w:rsid w:val="001C0A95"/>
    <w:rsid w:val="001C0ABE"/>
    <w:rsid w:val="001C0AC9"/>
    <w:rsid w:val="001C0B8F"/>
    <w:rsid w:val="001C0CA8"/>
    <w:rsid w:val="001C0CC7"/>
    <w:rsid w:val="001C0DEB"/>
    <w:rsid w:val="001C0DEE"/>
    <w:rsid w:val="001C0E44"/>
    <w:rsid w:val="001C0ED0"/>
    <w:rsid w:val="001C0F95"/>
    <w:rsid w:val="001C0FFB"/>
    <w:rsid w:val="001C1091"/>
    <w:rsid w:val="001C113F"/>
    <w:rsid w:val="001C1190"/>
    <w:rsid w:val="001C11D7"/>
    <w:rsid w:val="001C1224"/>
    <w:rsid w:val="001C12AD"/>
    <w:rsid w:val="001C13DA"/>
    <w:rsid w:val="001C1422"/>
    <w:rsid w:val="001C143B"/>
    <w:rsid w:val="001C1535"/>
    <w:rsid w:val="001C166B"/>
    <w:rsid w:val="001C174A"/>
    <w:rsid w:val="001C18C1"/>
    <w:rsid w:val="001C1980"/>
    <w:rsid w:val="001C1A8E"/>
    <w:rsid w:val="001C1AE6"/>
    <w:rsid w:val="001C1BE5"/>
    <w:rsid w:val="001C1CA8"/>
    <w:rsid w:val="001C1D05"/>
    <w:rsid w:val="001C1D79"/>
    <w:rsid w:val="001C1F56"/>
    <w:rsid w:val="001C1F84"/>
    <w:rsid w:val="001C1FC9"/>
    <w:rsid w:val="001C1FD4"/>
    <w:rsid w:val="001C2006"/>
    <w:rsid w:val="001C2068"/>
    <w:rsid w:val="001C2078"/>
    <w:rsid w:val="001C22CA"/>
    <w:rsid w:val="001C234E"/>
    <w:rsid w:val="001C252C"/>
    <w:rsid w:val="001C25CF"/>
    <w:rsid w:val="001C28E6"/>
    <w:rsid w:val="001C28EF"/>
    <w:rsid w:val="001C2909"/>
    <w:rsid w:val="001C2931"/>
    <w:rsid w:val="001C2A48"/>
    <w:rsid w:val="001C2AA7"/>
    <w:rsid w:val="001C2AC1"/>
    <w:rsid w:val="001C2AE8"/>
    <w:rsid w:val="001C2BEA"/>
    <w:rsid w:val="001C2CAB"/>
    <w:rsid w:val="001C2CF7"/>
    <w:rsid w:val="001C2DD9"/>
    <w:rsid w:val="001C2E51"/>
    <w:rsid w:val="001C2EEC"/>
    <w:rsid w:val="001C2F62"/>
    <w:rsid w:val="001C301F"/>
    <w:rsid w:val="001C304D"/>
    <w:rsid w:val="001C3078"/>
    <w:rsid w:val="001C307A"/>
    <w:rsid w:val="001C32A2"/>
    <w:rsid w:val="001C3319"/>
    <w:rsid w:val="001C336D"/>
    <w:rsid w:val="001C337A"/>
    <w:rsid w:val="001C3396"/>
    <w:rsid w:val="001C35D8"/>
    <w:rsid w:val="001C367E"/>
    <w:rsid w:val="001C36ED"/>
    <w:rsid w:val="001C370D"/>
    <w:rsid w:val="001C378D"/>
    <w:rsid w:val="001C389F"/>
    <w:rsid w:val="001C3B79"/>
    <w:rsid w:val="001C3C0B"/>
    <w:rsid w:val="001C3D7F"/>
    <w:rsid w:val="001C3D9F"/>
    <w:rsid w:val="001C3E04"/>
    <w:rsid w:val="001C3E27"/>
    <w:rsid w:val="001C3E3A"/>
    <w:rsid w:val="001C3E69"/>
    <w:rsid w:val="001C3EB4"/>
    <w:rsid w:val="001C4138"/>
    <w:rsid w:val="001C4177"/>
    <w:rsid w:val="001C429F"/>
    <w:rsid w:val="001C42ED"/>
    <w:rsid w:val="001C433E"/>
    <w:rsid w:val="001C439E"/>
    <w:rsid w:val="001C43A7"/>
    <w:rsid w:val="001C45D3"/>
    <w:rsid w:val="001C472E"/>
    <w:rsid w:val="001C4771"/>
    <w:rsid w:val="001C4859"/>
    <w:rsid w:val="001C497C"/>
    <w:rsid w:val="001C4A5F"/>
    <w:rsid w:val="001C4B69"/>
    <w:rsid w:val="001C4B83"/>
    <w:rsid w:val="001C4BCF"/>
    <w:rsid w:val="001C4BD5"/>
    <w:rsid w:val="001C4C30"/>
    <w:rsid w:val="001C4C65"/>
    <w:rsid w:val="001C4E15"/>
    <w:rsid w:val="001C4E7E"/>
    <w:rsid w:val="001C4EC0"/>
    <w:rsid w:val="001C4F8F"/>
    <w:rsid w:val="001C4F9B"/>
    <w:rsid w:val="001C4FB7"/>
    <w:rsid w:val="001C4FDC"/>
    <w:rsid w:val="001C5015"/>
    <w:rsid w:val="001C5057"/>
    <w:rsid w:val="001C5060"/>
    <w:rsid w:val="001C52A6"/>
    <w:rsid w:val="001C52F8"/>
    <w:rsid w:val="001C52FA"/>
    <w:rsid w:val="001C54BA"/>
    <w:rsid w:val="001C5550"/>
    <w:rsid w:val="001C559E"/>
    <w:rsid w:val="001C55DF"/>
    <w:rsid w:val="001C566C"/>
    <w:rsid w:val="001C56C5"/>
    <w:rsid w:val="001C56D9"/>
    <w:rsid w:val="001C57AD"/>
    <w:rsid w:val="001C57D6"/>
    <w:rsid w:val="001C5879"/>
    <w:rsid w:val="001C5962"/>
    <w:rsid w:val="001C59B0"/>
    <w:rsid w:val="001C5A40"/>
    <w:rsid w:val="001C5AC5"/>
    <w:rsid w:val="001C5B7F"/>
    <w:rsid w:val="001C5C35"/>
    <w:rsid w:val="001C5D91"/>
    <w:rsid w:val="001C5E3E"/>
    <w:rsid w:val="001C5F25"/>
    <w:rsid w:val="001C5F49"/>
    <w:rsid w:val="001C5FFE"/>
    <w:rsid w:val="001C606A"/>
    <w:rsid w:val="001C60C4"/>
    <w:rsid w:val="001C624C"/>
    <w:rsid w:val="001C6259"/>
    <w:rsid w:val="001C62B9"/>
    <w:rsid w:val="001C62EC"/>
    <w:rsid w:val="001C6396"/>
    <w:rsid w:val="001C639B"/>
    <w:rsid w:val="001C64CF"/>
    <w:rsid w:val="001C6616"/>
    <w:rsid w:val="001C6641"/>
    <w:rsid w:val="001C6709"/>
    <w:rsid w:val="001C6824"/>
    <w:rsid w:val="001C682E"/>
    <w:rsid w:val="001C693D"/>
    <w:rsid w:val="001C697F"/>
    <w:rsid w:val="001C69E3"/>
    <w:rsid w:val="001C6A47"/>
    <w:rsid w:val="001C6B1E"/>
    <w:rsid w:val="001C6B31"/>
    <w:rsid w:val="001C6B62"/>
    <w:rsid w:val="001C6C64"/>
    <w:rsid w:val="001C6D15"/>
    <w:rsid w:val="001C6D74"/>
    <w:rsid w:val="001C6D7B"/>
    <w:rsid w:val="001C6DD6"/>
    <w:rsid w:val="001C6DE7"/>
    <w:rsid w:val="001C6DFD"/>
    <w:rsid w:val="001C702D"/>
    <w:rsid w:val="001C70BF"/>
    <w:rsid w:val="001C70D7"/>
    <w:rsid w:val="001C7119"/>
    <w:rsid w:val="001C7195"/>
    <w:rsid w:val="001C7283"/>
    <w:rsid w:val="001C72A6"/>
    <w:rsid w:val="001C754E"/>
    <w:rsid w:val="001C7693"/>
    <w:rsid w:val="001C76D8"/>
    <w:rsid w:val="001C7725"/>
    <w:rsid w:val="001C77AA"/>
    <w:rsid w:val="001C7847"/>
    <w:rsid w:val="001C7918"/>
    <w:rsid w:val="001C793A"/>
    <w:rsid w:val="001C7A82"/>
    <w:rsid w:val="001C7C14"/>
    <w:rsid w:val="001C7E41"/>
    <w:rsid w:val="001C7E66"/>
    <w:rsid w:val="001C7E82"/>
    <w:rsid w:val="001C7EE4"/>
    <w:rsid w:val="001C7EE7"/>
    <w:rsid w:val="001D000B"/>
    <w:rsid w:val="001D000C"/>
    <w:rsid w:val="001D0107"/>
    <w:rsid w:val="001D01B2"/>
    <w:rsid w:val="001D023F"/>
    <w:rsid w:val="001D0282"/>
    <w:rsid w:val="001D02D7"/>
    <w:rsid w:val="001D0338"/>
    <w:rsid w:val="001D03F5"/>
    <w:rsid w:val="001D04B9"/>
    <w:rsid w:val="001D05C4"/>
    <w:rsid w:val="001D05CC"/>
    <w:rsid w:val="001D05D4"/>
    <w:rsid w:val="001D0889"/>
    <w:rsid w:val="001D0B50"/>
    <w:rsid w:val="001D0B56"/>
    <w:rsid w:val="001D0C02"/>
    <w:rsid w:val="001D0C5F"/>
    <w:rsid w:val="001D0CD9"/>
    <w:rsid w:val="001D0D25"/>
    <w:rsid w:val="001D0D49"/>
    <w:rsid w:val="001D0DAF"/>
    <w:rsid w:val="001D0DBE"/>
    <w:rsid w:val="001D0E68"/>
    <w:rsid w:val="001D10CD"/>
    <w:rsid w:val="001D1238"/>
    <w:rsid w:val="001D12A1"/>
    <w:rsid w:val="001D1425"/>
    <w:rsid w:val="001D14B9"/>
    <w:rsid w:val="001D15C0"/>
    <w:rsid w:val="001D15F3"/>
    <w:rsid w:val="001D1601"/>
    <w:rsid w:val="001D16FF"/>
    <w:rsid w:val="001D1820"/>
    <w:rsid w:val="001D1829"/>
    <w:rsid w:val="001D1851"/>
    <w:rsid w:val="001D19E2"/>
    <w:rsid w:val="001D19E8"/>
    <w:rsid w:val="001D1A38"/>
    <w:rsid w:val="001D1A74"/>
    <w:rsid w:val="001D1AA8"/>
    <w:rsid w:val="001D1AFE"/>
    <w:rsid w:val="001D1C16"/>
    <w:rsid w:val="001D1C32"/>
    <w:rsid w:val="001D1C52"/>
    <w:rsid w:val="001D1D62"/>
    <w:rsid w:val="001D1F37"/>
    <w:rsid w:val="001D1FC5"/>
    <w:rsid w:val="001D203E"/>
    <w:rsid w:val="001D20B3"/>
    <w:rsid w:val="001D212A"/>
    <w:rsid w:val="001D213C"/>
    <w:rsid w:val="001D2209"/>
    <w:rsid w:val="001D2297"/>
    <w:rsid w:val="001D22D4"/>
    <w:rsid w:val="001D23F9"/>
    <w:rsid w:val="001D2430"/>
    <w:rsid w:val="001D243D"/>
    <w:rsid w:val="001D243F"/>
    <w:rsid w:val="001D2483"/>
    <w:rsid w:val="001D2548"/>
    <w:rsid w:val="001D25ED"/>
    <w:rsid w:val="001D25FE"/>
    <w:rsid w:val="001D2631"/>
    <w:rsid w:val="001D26CC"/>
    <w:rsid w:val="001D2749"/>
    <w:rsid w:val="001D281D"/>
    <w:rsid w:val="001D2831"/>
    <w:rsid w:val="001D28C2"/>
    <w:rsid w:val="001D2907"/>
    <w:rsid w:val="001D2941"/>
    <w:rsid w:val="001D2961"/>
    <w:rsid w:val="001D298C"/>
    <w:rsid w:val="001D2A1A"/>
    <w:rsid w:val="001D2A70"/>
    <w:rsid w:val="001D2C21"/>
    <w:rsid w:val="001D2D75"/>
    <w:rsid w:val="001D2DCF"/>
    <w:rsid w:val="001D2DD7"/>
    <w:rsid w:val="001D2F50"/>
    <w:rsid w:val="001D30FE"/>
    <w:rsid w:val="001D3117"/>
    <w:rsid w:val="001D313F"/>
    <w:rsid w:val="001D3144"/>
    <w:rsid w:val="001D3157"/>
    <w:rsid w:val="001D315C"/>
    <w:rsid w:val="001D31AE"/>
    <w:rsid w:val="001D31EF"/>
    <w:rsid w:val="001D31FA"/>
    <w:rsid w:val="001D31FB"/>
    <w:rsid w:val="001D329F"/>
    <w:rsid w:val="001D32BE"/>
    <w:rsid w:val="001D32C0"/>
    <w:rsid w:val="001D333E"/>
    <w:rsid w:val="001D3483"/>
    <w:rsid w:val="001D34A9"/>
    <w:rsid w:val="001D34E0"/>
    <w:rsid w:val="001D3529"/>
    <w:rsid w:val="001D35C3"/>
    <w:rsid w:val="001D3615"/>
    <w:rsid w:val="001D372E"/>
    <w:rsid w:val="001D376C"/>
    <w:rsid w:val="001D385C"/>
    <w:rsid w:val="001D3928"/>
    <w:rsid w:val="001D3953"/>
    <w:rsid w:val="001D39A5"/>
    <w:rsid w:val="001D3A16"/>
    <w:rsid w:val="001D3A64"/>
    <w:rsid w:val="001D3C33"/>
    <w:rsid w:val="001D3C7D"/>
    <w:rsid w:val="001D3D83"/>
    <w:rsid w:val="001D3E09"/>
    <w:rsid w:val="001D3E4D"/>
    <w:rsid w:val="001D3F21"/>
    <w:rsid w:val="001D3F69"/>
    <w:rsid w:val="001D3F88"/>
    <w:rsid w:val="001D3FCE"/>
    <w:rsid w:val="001D4173"/>
    <w:rsid w:val="001D4186"/>
    <w:rsid w:val="001D41A7"/>
    <w:rsid w:val="001D4366"/>
    <w:rsid w:val="001D4383"/>
    <w:rsid w:val="001D43D2"/>
    <w:rsid w:val="001D4415"/>
    <w:rsid w:val="001D447B"/>
    <w:rsid w:val="001D4542"/>
    <w:rsid w:val="001D45DA"/>
    <w:rsid w:val="001D4667"/>
    <w:rsid w:val="001D46C7"/>
    <w:rsid w:val="001D474B"/>
    <w:rsid w:val="001D47B9"/>
    <w:rsid w:val="001D489B"/>
    <w:rsid w:val="001D48CA"/>
    <w:rsid w:val="001D4946"/>
    <w:rsid w:val="001D499A"/>
    <w:rsid w:val="001D4AB1"/>
    <w:rsid w:val="001D4ADA"/>
    <w:rsid w:val="001D4AF0"/>
    <w:rsid w:val="001D4B74"/>
    <w:rsid w:val="001D4C68"/>
    <w:rsid w:val="001D4DAF"/>
    <w:rsid w:val="001D4F0A"/>
    <w:rsid w:val="001D4F6C"/>
    <w:rsid w:val="001D506C"/>
    <w:rsid w:val="001D50FA"/>
    <w:rsid w:val="001D51A7"/>
    <w:rsid w:val="001D525E"/>
    <w:rsid w:val="001D52D2"/>
    <w:rsid w:val="001D52D9"/>
    <w:rsid w:val="001D5409"/>
    <w:rsid w:val="001D5581"/>
    <w:rsid w:val="001D56D8"/>
    <w:rsid w:val="001D56DA"/>
    <w:rsid w:val="001D5733"/>
    <w:rsid w:val="001D5793"/>
    <w:rsid w:val="001D57AC"/>
    <w:rsid w:val="001D58C3"/>
    <w:rsid w:val="001D58DC"/>
    <w:rsid w:val="001D598F"/>
    <w:rsid w:val="001D5A53"/>
    <w:rsid w:val="001D5B00"/>
    <w:rsid w:val="001D5B1E"/>
    <w:rsid w:val="001D5B52"/>
    <w:rsid w:val="001D5B58"/>
    <w:rsid w:val="001D5BBF"/>
    <w:rsid w:val="001D5C38"/>
    <w:rsid w:val="001D5C88"/>
    <w:rsid w:val="001D5D64"/>
    <w:rsid w:val="001D5D7A"/>
    <w:rsid w:val="001D5E5D"/>
    <w:rsid w:val="001D5EC8"/>
    <w:rsid w:val="001D6086"/>
    <w:rsid w:val="001D6174"/>
    <w:rsid w:val="001D61A0"/>
    <w:rsid w:val="001D6209"/>
    <w:rsid w:val="001D622E"/>
    <w:rsid w:val="001D6404"/>
    <w:rsid w:val="001D64C7"/>
    <w:rsid w:val="001D64ED"/>
    <w:rsid w:val="001D6560"/>
    <w:rsid w:val="001D6782"/>
    <w:rsid w:val="001D68CA"/>
    <w:rsid w:val="001D69CB"/>
    <w:rsid w:val="001D6B20"/>
    <w:rsid w:val="001D6B57"/>
    <w:rsid w:val="001D6D11"/>
    <w:rsid w:val="001D6D88"/>
    <w:rsid w:val="001D6E82"/>
    <w:rsid w:val="001D6EBF"/>
    <w:rsid w:val="001D6EF0"/>
    <w:rsid w:val="001D6FA5"/>
    <w:rsid w:val="001D7022"/>
    <w:rsid w:val="001D705F"/>
    <w:rsid w:val="001D70CF"/>
    <w:rsid w:val="001D719D"/>
    <w:rsid w:val="001D731D"/>
    <w:rsid w:val="001D7357"/>
    <w:rsid w:val="001D73A0"/>
    <w:rsid w:val="001D7449"/>
    <w:rsid w:val="001D74A7"/>
    <w:rsid w:val="001D74E2"/>
    <w:rsid w:val="001D7501"/>
    <w:rsid w:val="001D7547"/>
    <w:rsid w:val="001D75B3"/>
    <w:rsid w:val="001D761E"/>
    <w:rsid w:val="001D764A"/>
    <w:rsid w:val="001D76E1"/>
    <w:rsid w:val="001D7800"/>
    <w:rsid w:val="001D7824"/>
    <w:rsid w:val="001D7832"/>
    <w:rsid w:val="001D7899"/>
    <w:rsid w:val="001D78E7"/>
    <w:rsid w:val="001D78E9"/>
    <w:rsid w:val="001D79F5"/>
    <w:rsid w:val="001D7C45"/>
    <w:rsid w:val="001D7E9C"/>
    <w:rsid w:val="001D7F59"/>
    <w:rsid w:val="001D7F85"/>
    <w:rsid w:val="001D7FB9"/>
    <w:rsid w:val="001D7FF3"/>
    <w:rsid w:val="001E005C"/>
    <w:rsid w:val="001E00E2"/>
    <w:rsid w:val="001E0116"/>
    <w:rsid w:val="001E01CE"/>
    <w:rsid w:val="001E02E0"/>
    <w:rsid w:val="001E0464"/>
    <w:rsid w:val="001E0496"/>
    <w:rsid w:val="001E04F0"/>
    <w:rsid w:val="001E05C6"/>
    <w:rsid w:val="001E06FF"/>
    <w:rsid w:val="001E0740"/>
    <w:rsid w:val="001E07AF"/>
    <w:rsid w:val="001E07CB"/>
    <w:rsid w:val="001E080C"/>
    <w:rsid w:val="001E0883"/>
    <w:rsid w:val="001E09AE"/>
    <w:rsid w:val="001E0A2C"/>
    <w:rsid w:val="001E0B64"/>
    <w:rsid w:val="001E0BEB"/>
    <w:rsid w:val="001E0C0B"/>
    <w:rsid w:val="001E0CFF"/>
    <w:rsid w:val="001E0DA5"/>
    <w:rsid w:val="001E0DAA"/>
    <w:rsid w:val="001E0E04"/>
    <w:rsid w:val="001E0E18"/>
    <w:rsid w:val="001E0E2D"/>
    <w:rsid w:val="001E0E44"/>
    <w:rsid w:val="001E0E7C"/>
    <w:rsid w:val="001E0EB3"/>
    <w:rsid w:val="001E109F"/>
    <w:rsid w:val="001E11A5"/>
    <w:rsid w:val="001E120C"/>
    <w:rsid w:val="001E1244"/>
    <w:rsid w:val="001E127B"/>
    <w:rsid w:val="001E13DD"/>
    <w:rsid w:val="001E13F0"/>
    <w:rsid w:val="001E15D5"/>
    <w:rsid w:val="001E15F2"/>
    <w:rsid w:val="001E1959"/>
    <w:rsid w:val="001E19D9"/>
    <w:rsid w:val="001E1A31"/>
    <w:rsid w:val="001E1AB3"/>
    <w:rsid w:val="001E1AEA"/>
    <w:rsid w:val="001E1B3E"/>
    <w:rsid w:val="001E1B65"/>
    <w:rsid w:val="001E1BD6"/>
    <w:rsid w:val="001E1BE7"/>
    <w:rsid w:val="001E1E2E"/>
    <w:rsid w:val="001E1E35"/>
    <w:rsid w:val="001E1E81"/>
    <w:rsid w:val="001E2148"/>
    <w:rsid w:val="001E215C"/>
    <w:rsid w:val="001E2241"/>
    <w:rsid w:val="001E226C"/>
    <w:rsid w:val="001E22A5"/>
    <w:rsid w:val="001E22F7"/>
    <w:rsid w:val="001E243C"/>
    <w:rsid w:val="001E2440"/>
    <w:rsid w:val="001E244E"/>
    <w:rsid w:val="001E2549"/>
    <w:rsid w:val="001E25A8"/>
    <w:rsid w:val="001E264C"/>
    <w:rsid w:val="001E265B"/>
    <w:rsid w:val="001E267D"/>
    <w:rsid w:val="001E26C6"/>
    <w:rsid w:val="001E2738"/>
    <w:rsid w:val="001E2812"/>
    <w:rsid w:val="001E2830"/>
    <w:rsid w:val="001E28B8"/>
    <w:rsid w:val="001E2934"/>
    <w:rsid w:val="001E2954"/>
    <w:rsid w:val="001E295F"/>
    <w:rsid w:val="001E29F6"/>
    <w:rsid w:val="001E2B50"/>
    <w:rsid w:val="001E2C18"/>
    <w:rsid w:val="001E2E1E"/>
    <w:rsid w:val="001E2E85"/>
    <w:rsid w:val="001E30D4"/>
    <w:rsid w:val="001E3144"/>
    <w:rsid w:val="001E31EA"/>
    <w:rsid w:val="001E339C"/>
    <w:rsid w:val="001E34E0"/>
    <w:rsid w:val="001E36E5"/>
    <w:rsid w:val="001E36E7"/>
    <w:rsid w:val="001E3744"/>
    <w:rsid w:val="001E382E"/>
    <w:rsid w:val="001E387F"/>
    <w:rsid w:val="001E38FF"/>
    <w:rsid w:val="001E3960"/>
    <w:rsid w:val="001E3A04"/>
    <w:rsid w:val="001E3A72"/>
    <w:rsid w:val="001E3B01"/>
    <w:rsid w:val="001E3BB5"/>
    <w:rsid w:val="001E3D5D"/>
    <w:rsid w:val="001E3D7D"/>
    <w:rsid w:val="001E3D9A"/>
    <w:rsid w:val="001E3DB8"/>
    <w:rsid w:val="001E3E47"/>
    <w:rsid w:val="001E3F19"/>
    <w:rsid w:val="001E40C2"/>
    <w:rsid w:val="001E4149"/>
    <w:rsid w:val="001E414A"/>
    <w:rsid w:val="001E415F"/>
    <w:rsid w:val="001E432E"/>
    <w:rsid w:val="001E44DE"/>
    <w:rsid w:val="001E4538"/>
    <w:rsid w:val="001E4548"/>
    <w:rsid w:val="001E465F"/>
    <w:rsid w:val="001E4691"/>
    <w:rsid w:val="001E48E1"/>
    <w:rsid w:val="001E4B95"/>
    <w:rsid w:val="001E4BA3"/>
    <w:rsid w:val="001E4D9B"/>
    <w:rsid w:val="001E4F06"/>
    <w:rsid w:val="001E507E"/>
    <w:rsid w:val="001E5099"/>
    <w:rsid w:val="001E52DD"/>
    <w:rsid w:val="001E53EB"/>
    <w:rsid w:val="001E544F"/>
    <w:rsid w:val="001E545A"/>
    <w:rsid w:val="001E5550"/>
    <w:rsid w:val="001E55A8"/>
    <w:rsid w:val="001E561C"/>
    <w:rsid w:val="001E5671"/>
    <w:rsid w:val="001E587F"/>
    <w:rsid w:val="001E5932"/>
    <w:rsid w:val="001E5988"/>
    <w:rsid w:val="001E5A75"/>
    <w:rsid w:val="001E5AD9"/>
    <w:rsid w:val="001E5C0D"/>
    <w:rsid w:val="001E5C75"/>
    <w:rsid w:val="001E5D0A"/>
    <w:rsid w:val="001E5D2E"/>
    <w:rsid w:val="001E5E44"/>
    <w:rsid w:val="001E5E6B"/>
    <w:rsid w:val="001E5ED1"/>
    <w:rsid w:val="001E5F21"/>
    <w:rsid w:val="001E612A"/>
    <w:rsid w:val="001E615D"/>
    <w:rsid w:val="001E6280"/>
    <w:rsid w:val="001E62C0"/>
    <w:rsid w:val="001E631A"/>
    <w:rsid w:val="001E644C"/>
    <w:rsid w:val="001E64A4"/>
    <w:rsid w:val="001E64BB"/>
    <w:rsid w:val="001E651D"/>
    <w:rsid w:val="001E6522"/>
    <w:rsid w:val="001E6565"/>
    <w:rsid w:val="001E6588"/>
    <w:rsid w:val="001E666B"/>
    <w:rsid w:val="001E66E3"/>
    <w:rsid w:val="001E683E"/>
    <w:rsid w:val="001E68EF"/>
    <w:rsid w:val="001E6B44"/>
    <w:rsid w:val="001E6BF8"/>
    <w:rsid w:val="001E6D10"/>
    <w:rsid w:val="001E6F69"/>
    <w:rsid w:val="001E6F77"/>
    <w:rsid w:val="001E6FD4"/>
    <w:rsid w:val="001E6FFC"/>
    <w:rsid w:val="001E703B"/>
    <w:rsid w:val="001E70B5"/>
    <w:rsid w:val="001E7224"/>
    <w:rsid w:val="001E723B"/>
    <w:rsid w:val="001E7268"/>
    <w:rsid w:val="001E727A"/>
    <w:rsid w:val="001E728C"/>
    <w:rsid w:val="001E7321"/>
    <w:rsid w:val="001E7363"/>
    <w:rsid w:val="001E7405"/>
    <w:rsid w:val="001E7617"/>
    <w:rsid w:val="001E762A"/>
    <w:rsid w:val="001E764F"/>
    <w:rsid w:val="001E765C"/>
    <w:rsid w:val="001E769A"/>
    <w:rsid w:val="001E77A3"/>
    <w:rsid w:val="001E77FC"/>
    <w:rsid w:val="001E7914"/>
    <w:rsid w:val="001E795B"/>
    <w:rsid w:val="001E7A09"/>
    <w:rsid w:val="001E7C96"/>
    <w:rsid w:val="001E7CC0"/>
    <w:rsid w:val="001E7D8D"/>
    <w:rsid w:val="001E7E03"/>
    <w:rsid w:val="001F0005"/>
    <w:rsid w:val="001F013A"/>
    <w:rsid w:val="001F0161"/>
    <w:rsid w:val="001F0182"/>
    <w:rsid w:val="001F036F"/>
    <w:rsid w:val="001F03BE"/>
    <w:rsid w:val="001F03F9"/>
    <w:rsid w:val="001F0413"/>
    <w:rsid w:val="001F0461"/>
    <w:rsid w:val="001F0497"/>
    <w:rsid w:val="001F071D"/>
    <w:rsid w:val="001F07E8"/>
    <w:rsid w:val="001F080B"/>
    <w:rsid w:val="001F083E"/>
    <w:rsid w:val="001F09F4"/>
    <w:rsid w:val="001F0D7D"/>
    <w:rsid w:val="001F0E50"/>
    <w:rsid w:val="001F0E9C"/>
    <w:rsid w:val="001F0EEF"/>
    <w:rsid w:val="001F10A0"/>
    <w:rsid w:val="001F1113"/>
    <w:rsid w:val="001F1122"/>
    <w:rsid w:val="001F1159"/>
    <w:rsid w:val="001F1238"/>
    <w:rsid w:val="001F1278"/>
    <w:rsid w:val="001F131C"/>
    <w:rsid w:val="001F1384"/>
    <w:rsid w:val="001F13AE"/>
    <w:rsid w:val="001F147E"/>
    <w:rsid w:val="001F15A1"/>
    <w:rsid w:val="001F15C3"/>
    <w:rsid w:val="001F167E"/>
    <w:rsid w:val="001F16C5"/>
    <w:rsid w:val="001F16FB"/>
    <w:rsid w:val="001F1722"/>
    <w:rsid w:val="001F17D2"/>
    <w:rsid w:val="001F1856"/>
    <w:rsid w:val="001F192A"/>
    <w:rsid w:val="001F1CBE"/>
    <w:rsid w:val="001F1E64"/>
    <w:rsid w:val="001F1F80"/>
    <w:rsid w:val="001F2141"/>
    <w:rsid w:val="001F2188"/>
    <w:rsid w:val="001F222B"/>
    <w:rsid w:val="001F2242"/>
    <w:rsid w:val="001F227D"/>
    <w:rsid w:val="001F24BC"/>
    <w:rsid w:val="001F2531"/>
    <w:rsid w:val="001F2670"/>
    <w:rsid w:val="001F272E"/>
    <w:rsid w:val="001F278B"/>
    <w:rsid w:val="001F27AF"/>
    <w:rsid w:val="001F2849"/>
    <w:rsid w:val="001F2898"/>
    <w:rsid w:val="001F2902"/>
    <w:rsid w:val="001F2957"/>
    <w:rsid w:val="001F2AA1"/>
    <w:rsid w:val="001F2B0C"/>
    <w:rsid w:val="001F2B24"/>
    <w:rsid w:val="001F2BA9"/>
    <w:rsid w:val="001F2CC3"/>
    <w:rsid w:val="001F2E04"/>
    <w:rsid w:val="001F2E80"/>
    <w:rsid w:val="001F2EE2"/>
    <w:rsid w:val="001F2F0B"/>
    <w:rsid w:val="001F2F11"/>
    <w:rsid w:val="001F2F66"/>
    <w:rsid w:val="001F2FAC"/>
    <w:rsid w:val="001F3128"/>
    <w:rsid w:val="001F313B"/>
    <w:rsid w:val="001F31A8"/>
    <w:rsid w:val="001F327E"/>
    <w:rsid w:val="001F3311"/>
    <w:rsid w:val="001F335A"/>
    <w:rsid w:val="001F34DF"/>
    <w:rsid w:val="001F354B"/>
    <w:rsid w:val="001F35CC"/>
    <w:rsid w:val="001F366F"/>
    <w:rsid w:val="001F36A2"/>
    <w:rsid w:val="001F36DB"/>
    <w:rsid w:val="001F372E"/>
    <w:rsid w:val="001F389F"/>
    <w:rsid w:val="001F3997"/>
    <w:rsid w:val="001F39AC"/>
    <w:rsid w:val="001F3A20"/>
    <w:rsid w:val="001F3A29"/>
    <w:rsid w:val="001F3AE1"/>
    <w:rsid w:val="001F3D3D"/>
    <w:rsid w:val="001F3DC8"/>
    <w:rsid w:val="001F3E62"/>
    <w:rsid w:val="001F3F36"/>
    <w:rsid w:val="001F3FFA"/>
    <w:rsid w:val="001F40F7"/>
    <w:rsid w:val="001F43D6"/>
    <w:rsid w:val="001F44DD"/>
    <w:rsid w:val="001F4550"/>
    <w:rsid w:val="001F460A"/>
    <w:rsid w:val="001F4742"/>
    <w:rsid w:val="001F4907"/>
    <w:rsid w:val="001F49AF"/>
    <w:rsid w:val="001F4A94"/>
    <w:rsid w:val="001F4B37"/>
    <w:rsid w:val="001F4B49"/>
    <w:rsid w:val="001F4BE7"/>
    <w:rsid w:val="001F4C21"/>
    <w:rsid w:val="001F4C23"/>
    <w:rsid w:val="001F4C27"/>
    <w:rsid w:val="001F4C60"/>
    <w:rsid w:val="001F4D73"/>
    <w:rsid w:val="001F4D81"/>
    <w:rsid w:val="001F4E8A"/>
    <w:rsid w:val="001F4FCF"/>
    <w:rsid w:val="001F4FD0"/>
    <w:rsid w:val="001F4FE0"/>
    <w:rsid w:val="001F50F1"/>
    <w:rsid w:val="001F511C"/>
    <w:rsid w:val="001F51B0"/>
    <w:rsid w:val="001F52FC"/>
    <w:rsid w:val="001F531D"/>
    <w:rsid w:val="001F5430"/>
    <w:rsid w:val="001F5481"/>
    <w:rsid w:val="001F5579"/>
    <w:rsid w:val="001F57DA"/>
    <w:rsid w:val="001F5829"/>
    <w:rsid w:val="001F588F"/>
    <w:rsid w:val="001F5A36"/>
    <w:rsid w:val="001F5A89"/>
    <w:rsid w:val="001F5C7D"/>
    <w:rsid w:val="001F5CD3"/>
    <w:rsid w:val="001F5FEE"/>
    <w:rsid w:val="001F602F"/>
    <w:rsid w:val="001F60B9"/>
    <w:rsid w:val="001F6153"/>
    <w:rsid w:val="001F61CE"/>
    <w:rsid w:val="001F62B8"/>
    <w:rsid w:val="001F64B9"/>
    <w:rsid w:val="001F64BA"/>
    <w:rsid w:val="001F658C"/>
    <w:rsid w:val="001F65BF"/>
    <w:rsid w:val="001F675C"/>
    <w:rsid w:val="001F679C"/>
    <w:rsid w:val="001F67F0"/>
    <w:rsid w:val="001F6929"/>
    <w:rsid w:val="001F69E9"/>
    <w:rsid w:val="001F6CC7"/>
    <w:rsid w:val="001F6D42"/>
    <w:rsid w:val="001F6D75"/>
    <w:rsid w:val="001F6DD5"/>
    <w:rsid w:val="001F6DFE"/>
    <w:rsid w:val="001F6E6F"/>
    <w:rsid w:val="001F6EBC"/>
    <w:rsid w:val="001F6ECF"/>
    <w:rsid w:val="001F6F44"/>
    <w:rsid w:val="001F6F4F"/>
    <w:rsid w:val="001F6FA2"/>
    <w:rsid w:val="001F6FB2"/>
    <w:rsid w:val="001F701D"/>
    <w:rsid w:val="001F7031"/>
    <w:rsid w:val="001F70B5"/>
    <w:rsid w:val="001F70BF"/>
    <w:rsid w:val="001F70C9"/>
    <w:rsid w:val="001F71A5"/>
    <w:rsid w:val="001F728C"/>
    <w:rsid w:val="001F73B6"/>
    <w:rsid w:val="001F7415"/>
    <w:rsid w:val="001F745C"/>
    <w:rsid w:val="001F745E"/>
    <w:rsid w:val="001F74A0"/>
    <w:rsid w:val="001F7563"/>
    <w:rsid w:val="001F767E"/>
    <w:rsid w:val="001F76BA"/>
    <w:rsid w:val="001F7786"/>
    <w:rsid w:val="001F78D5"/>
    <w:rsid w:val="001F7998"/>
    <w:rsid w:val="001F79CE"/>
    <w:rsid w:val="001F7A68"/>
    <w:rsid w:val="001F7A75"/>
    <w:rsid w:val="001F7B5B"/>
    <w:rsid w:val="001F7B92"/>
    <w:rsid w:val="001F7CBC"/>
    <w:rsid w:val="001F7D04"/>
    <w:rsid w:val="001F7E3A"/>
    <w:rsid w:val="00200089"/>
    <w:rsid w:val="0020009B"/>
    <w:rsid w:val="002000F5"/>
    <w:rsid w:val="0020013E"/>
    <w:rsid w:val="00200150"/>
    <w:rsid w:val="0020017B"/>
    <w:rsid w:val="00200244"/>
    <w:rsid w:val="0020028F"/>
    <w:rsid w:val="002002E6"/>
    <w:rsid w:val="00200308"/>
    <w:rsid w:val="00200329"/>
    <w:rsid w:val="00200493"/>
    <w:rsid w:val="00200642"/>
    <w:rsid w:val="0020075C"/>
    <w:rsid w:val="002007A3"/>
    <w:rsid w:val="0020086C"/>
    <w:rsid w:val="002008BF"/>
    <w:rsid w:val="002009AE"/>
    <w:rsid w:val="00200A36"/>
    <w:rsid w:val="00200A49"/>
    <w:rsid w:val="00200AB9"/>
    <w:rsid w:val="00200AC0"/>
    <w:rsid w:val="00200B9C"/>
    <w:rsid w:val="00200CF7"/>
    <w:rsid w:val="00200DAC"/>
    <w:rsid w:val="00200DF2"/>
    <w:rsid w:val="00200DF4"/>
    <w:rsid w:val="00200E87"/>
    <w:rsid w:val="00200F74"/>
    <w:rsid w:val="00201156"/>
    <w:rsid w:val="0020133A"/>
    <w:rsid w:val="002014D4"/>
    <w:rsid w:val="002014DE"/>
    <w:rsid w:val="00201578"/>
    <w:rsid w:val="002015EE"/>
    <w:rsid w:val="002016AE"/>
    <w:rsid w:val="002017F4"/>
    <w:rsid w:val="00201889"/>
    <w:rsid w:val="002019AF"/>
    <w:rsid w:val="00201AD2"/>
    <w:rsid w:val="00201AD6"/>
    <w:rsid w:val="00201C75"/>
    <w:rsid w:val="00201CAE"/>
    <w:rsid w:val="00201CEC"/>
    <w:rsid w:val="00201D39"/>
    <w:rsid w:val="00201D3E"/>
    <w:rsid w:val="00201DFD"/>
    <w:rsid w:val="00201EAF"/>
    <w:rsid w:val="00201FEE"/>
    <w:rsid w:val="002020E9"/>
    <w:rsid w:val="00202108"/>
    <w:rsid w:val="002021DA"/>
    <w:rsid w:val="002021E8"/>
    <w:rsid w:val="00202224"/>
    <w:rsid w:val="002022DB"/>
    <w:rsid w:val="002024A4"/>
    <w:rsid w:val="00202646"/>
    <w:rsid w:val="0020268F"/>
    <w:rsid w:val="002026E3"/>
    <w:rsid w:val="00202796"/>
    <w:rsid w:val="0020279B"/>
    <w:rsid w:val="002027E2"/>
    <w:rsid w:val="002027E8"/>
    <w:rsid w:val="0020281E"/>
    <w:rsid w:val="00202931"/>
    <w:rsid w:val="002029A0"/>
    <w:rsid w:val="00202A3B"/>
    <w:rsid w:val="00202A5F"/>
    <w:rsid w:val="00202AB7"/>
    <w:rsid w:val="00202C4B"/>
    <w:rsid w:val="00202CB0"/>
    <w:rsid w:val="00202CCE"/>
    <w:rsid w:val="00202D67"/>
    <w:rsid w:val="00202EC6"/>
    <w:rsid w:val="002030A5"/>
    <w:rsid w:val="002030FE"/>
    <w:rsid w:val="0020310F"/>
    <w:rsid w:val="00203139"/>
    <w:rsid w:val="0020316B"/>
    <w:rsid w:val="002031B1"/>
    <w:rsid w:val="0020329C"/>
    <w:rsid w:val="00203449"/>
    <w:rsid w:val="0020352E"/>
    <w:rsid w:val="00203586"/>
    <w:rsid w:val="002035D6"/>
    <w:rsid w:val="00203625"/>
    <w:rsid w:val="00203809"/>
    <w:rsid w:val="00203845"/>
    <w:rsid w:val="002038E2"/>
    <w:rsid w:val="0020392F"/>
    <w:rsid w:val="002039E9"/>
    <w:rsid w:val="00203A4D"/>
    <w:rsid w:val="00203BBE"/>
    <w:rsid w:val="00203C69"/>
    <w:rsid w:val="00203D68"/>
    <w:rsid w:val="00203DBC"/>
    <w:rsid w:val="00203DF8"/>
    <w:rsid w:val="00203E22"/>
    <w:rsid w:val="00203E45"/>
    <w:rsid w:val="00203E78"/>
    <w:rsid w:val="00203EBD"/>
    <w:rsid w:val="00203FB5"/>
    <w:rsid w:val="00204030"/>
    <w:rsid w:val="002041E3"/>
    <w:rsid w:val="002042E7"/>
    <w:rsid w:val="00204329"/>
    <w:rsid w:val="00204387"/>
    <w:rsid w:val="00204608"/>
    <w:rsid w:val="00204674"/>
    <w:rsid w:val="0020468D"/>
    <w:rsid w:val="002049B3"/>
    <w:rsid w:val="00204A88"/>
    <w:rsid w:val="00204B57"/>
    <w:rsid w:val="00204B95"/>
    <w:rsid w:val="00204BB2"/>
    <w:rsid w:val="00204C7B"/>
    <w:rsid w:val="00204CE1"/>
    <w:rsid w:val="00204CF4"/>
    <w:rsid w:val="00204DA0"/>
    <w:rsid w:val="00204DBD"/>
    <w:rsid w:val="00204EA0"/>
    <w:rsid w:val="00204FDF"/>
    <w:rsid w:val="002050E6"/>
    <w:rsid w:val="002050FE"/>
    <w:rsid w:val="00205187"/>
    <w:rsid w:val="00205189"/>
    <w:rsid w:val="002051B8"/>
    <w:rsid w:val="0020522D"/>
    <w:rsid w:val="002052F2"/>
    <w:rsid w:val="00205335"/>
    <w:rsid w:val="00205428"/>
    <w:rsid w:val="002054D6"/>
    <w:rsid w:val="002055CC"/>
    <w:rsid w:val="002055F6"/>
    <w:rsid w:val="00205781"/>
    <w:rsid w:val="002057D0"/>
    <w:rsid w:val="002057E0"/>
    <w:rsid w:val="00205812"/>
    <w:rsid w:val="00205869"/>
    <w:rsid w:val="0020587D"/>
    <w:rsid w:val="00205899"/>
    <w:rsid w:val="00205907"/>
    <w:rsid w:val="00205A9C"/>
    <w:rsid w:val="00205AFF"/>
    <w:rsid w:val="00205B2B"/>
    <w:rsid w:val="00205B43"/>
    <w:rsid w:val="00205C61"/>
    <w:rsid w:val="00205C91"/>
    <w:rsid w:val="00205E78"/>
    <w:rsid w:val="00206107"/>
    <w:rsid w:val="0020625F"/>
    <w:rsid w:val="002063AD"/>
    <w:rsid w:val="002063B5"/>
    <w:rsid w:val="002063D9"/>
    <w:rsid w:val="0020640B"/>
    <w:rsid w:val="0020651B"/>
    <w:rsid w:val="0020654C"/>
    <w:rsid w:val="00206566"/>
    <w:rsid w:val="002065FF"/>
    <w:rsid w:val="002066E9"/>
    <w:rsid w:val="002067F5"/>
    <w:rsid w:val="00206863"/>
    <w:rsid w:val="0020686E"/>
    <w:rsid w:val="0020688D"/>
    <w:rsid w:val="002069A9"/>
    <w:rsid w:val="00206AA1"/>
    <w:rsid w:val="00206BE4"/>
    <w:rsid w:val="00206C05"/>
    <w:rsid w:val="00206D6F"/>
    <w:rsid w:val="00206D85"/>
    <w:rsid w:val="00206DBF"/>
    <w:rsid w:val="00206E00"/>
    <w:rsid w:val="00206E32"/>
    <w:rsid w:val="00206E38"/>
    <w:rsid w:val="00206E4F"/>
    <w:rsid w:val="00206E6E"/>
    <w:rsid w:val="00206EC4"/>
    <w:rsid w:val="00206F31"/>
    <w:rsid w:val="00206FE8"/>
    <w:rsid w:val="002070AE"/>
    <w:rsid w:val="0020713A"/>
    <w:rsid w:val="00207205"/>
    <w:rsid w:val="00207256"/>
    <w:rsid w:val="0020738E"/>
    <w:rsid w:val="0020738F"/>
    <w:rsid w:val="00207448"/>
    <w:rsid w:val="002075D6"/>
    <w:rsid w:val="00207662"/>
    <w:rsid w:val="002076A3"/>
    <w:rsid w:val="002076B8"/>
    <w:rsid w:val="002076C0"/>
    <w:rsid w:val="002077E3"/>
    <w:rsid w:val="0020783E"/>
    <w:rsid w:val="002079A8"/>
    <w:rsid w:val="002079FA"/>
    <w:rsid w:val="00207A4D"/>
    <w:rsid w:val="00207B5C"/>
    <w:rsid w:val="00207BDA"/>
    <w:rsid w:val="00207CA4"/>
    <w:rsid w:val="00207CAF"/>
    <w:rsid w:val="00207D75"/>
    <w:rsid w:val="00207EC6"/>
    <w:rsid w:val="00207EE6"/>
    <w:rsid w:val="00207F59"/>
    <w:rsid w:val="00207FB3"/>
    <w:rsid w:val="00207FEB"/>
    <w:rsid w:val="00210055"/>
    <w:rsid w:val="00210210"/>
    <w:rsid w:val="00210348"/>
    <w:rsid w:val="002103BE"/>
    <w:rsid w:val="00210429"/>
    <w:rsid w:val="0021055D"/>
    <w:rsid w:val="00210592"/>
    <w:rsid w:val="002107B7"/>
    <w:rsid w:val="002107FC"/>
    <w:rsid w:val="00210915"/>
    <w:rsid w:val="00210ABB"/>
    <w:rsid w:val="00210AC5"/>
    <w:rsid w:val="00210B0D"/>
    <w:rsid w:val="00210BA5"/>
    <w:rsid w:val="00210C25"/>
    <w:rsid w:val="00210C8B"/>
    <w:rsid w:val="00210D41"/>
    <w:rsid w:val="00210D44"/>
    <w:rsid w:val="00210DC4"/>
    <w:rsid w:val="00210F53"/>
    <w:rsid w:val="00210F98"/>
    <w:rsid w:val="00210FE4"/>
    <w:rsid w:val="0021100E"/>
    <w:rsid w:val="00211064"/>
    <w:rsid w:val="0021106D"/>
    <w:rsid w:val="002110D5"/>
    <w:rsid w:val="00211125"/>
    <w:rsid w:val="00211163"/>
    <w:rsid w:val="00211220"/>
    <w:rsid w:val="0021129F"/>
    <w:rsid w:val="00211331"/>
    <w:rsid w:val="002113D2"/>
    <w:rsid w:val="0021143A"/>
    <w:rsid w:val="00211528"/>
    <w:rsid w:val="00211570"/>
    <w:rsid w:val="002115DE"/>
    <w:rsid w:val="0021166C"/>
    <w:rsid w:val="0021169F"/>
    <w:rsid w:val="00211746"/>
    <w:rsid w:val="00211764"/>
    <w:rsid w:val="002117E5"/>
    <w:rsid w:val="00211ABC"/>
    <w:rsid w:val="00211ADA"/>
    <w:rsid w:val="00211BAE"/>
    <w:rsid w:val="00211BFC"/>
    <w:rsid w:val="00211C14"/>
    <w:rsid w:val="00211C3F"/>
    <w:rsid w:val="00211C8E"/>
    <w:rsid w:val="00211D2D"/>
    <w:rsid w:val="00211D5B"/>
    <w:rsid w:val="00211DA1"/>
    <w:rsid w:val="00211DC3"/>
    <w:rsid w:val="00211E3F"/>
    <w:rsid w:val="00211E6E"/>
    <w:rsid w:val="00211FEC"/>
    <w:rsid w:val="00212054"/>
    <w:rsid w:val="002120B8"/>
    <w:rsid w:val="002120D3"/>
    <w:rsid w:val="002120FF"/>
    <w:rsid w:val="00212114"/>
    <w:rsid w:val="002121B6"/>
    <w:rsid w:val="002121C0"/>
    <w:rsid w:val="00212207"/>
    <w:rsid w:val="00212256"/>
    <w:rsid w:val="0021231B"/>
    <w:rsid w:val="00212434"/>
    <w:rsid w:val="00212507"/>
    <w:rsid w:val="00212566"/>
    <w:rsid w:val="002125AC"/>
    <w:rsid w:val="002125C9"/>
    <w:rsid w:val="002126E1"/>
    <w:rsid w:val="002128CF"/>
    <w:rsid w:val="002129C2"/>
    <w:rsid w:val="00212AB0"/>
    <w:rsid w:val="00212B20"/>
    <w:rsid w:val="00212B27"/>
    <w:rsid w:val="00212C14"/>
    <w:rsid w:val="00212DC3"/>
    <w:rsid w:val="00213167"/>
    <w:rsid w:val="0021324C"/>
    <w:rsid w:val="00213377"/>
    <w:rsid w:val="00213395"/>
    <w:rsid w:val="002133C0"/>
    <w:rsid w:val="002133DA"/>
    <w:rsid w:val="00213544"/>
    <w:rsid w:val="00213545"/>
    <w:rsid w:val="0021356E"/>
    <w:rsid w:val="0021359A"/>
    <w:rsid w:val="002135A2"/>
    <w:rsid w:val="00213654"/>
    <w:rsid w:val="0021365C"/>
    <w:rsid w:val="00213665"/>
    <w:rsid w:val="0021378F"/>
    <w:rsid w:val="002137A4"/>
    <w:rsid w:val="00213833"/>
    <w:rsid w:val="0021385B"/>
    <w:rsid w:val="0021387B"/>
    <w:rsid w:val="00213923"/>
    <w:rsid w:val="0021393D"/>
    <w:rsid w:val="00213984"/>
    <w:rsid w:val="002139A8"/>
    <w:rsid w:val="00213A19"/>
    <w:rsid w:val="00213BBE"/>
    <w:rsid w:val="00213CEE"/>
    <w:rsid w:val="00213D5B"/>
    <w:rsid w:val="00213DB9"/>
    <w:rsid w:val="00213F01"/>
    <w:rsid w:val="00213F83"/>
    <w:rsid w:val="00214119"/>
    <w:rsid w:val="00214159"/>
    <w:rsid w:val="00214238"/>
    <w:rsid w:val="00214272"/>
    <w:rsid w:val="0021435D"/>
    <w:rsid w:val="0021452A"/>
    <w:rsid w:val="00214546"/>
    <w:rsid w:val="0021470E"/>
    <w:rsid w:val="00214723"/>
    <w:rsid w:val="0021472D"/>
    <w:rsid w:val="0021473E"/>
    <w:rsid w:val="002147B7"/>
    <w:rsid w:val="00214AC9"/>
    <w:rsid w:val="00214C17"/>
    <w:rsid w:val="00214DB7"/>
    <w:rsid w:val="00214F19"/>
    <w:rsid w:val="00214F2E"/>
    <w:rsid w:val="00214FC4"/>
    <w:rsid w:val="002150C0"/>
    <w:rsid w:val="002151A2"/>
    <w:rsid w:val="002151E4"/>
    <w:rsid w:val="002152ED"/>
    <w:rsid w:val="00215313"/>
    <w:rsid w:val="002153E7"/>
    <w:rsid w:val="00215407"/>
    <w:rsid w:val="00215541"/>
    <w:rsid w:val="0021554D"/>
    <w:rsid w:val="002155B6"/>
    <w:rsid w:val="002157E4"/>
    <w:rsid w:val="002157EC"/>
    <w:rsid w:val="002157F6"/>
    <w:rsid w:val="0021581F"/>
    <w:rsid w:val="0021586B"/>
    <w:rsid w:val="0021589B"/>
    <w:rsid w:val="002158EB"/>
    <w:rsid w:val="0021597A"/>
    <w:rsid w:val="00215AFB"/>
    <w:rsid w:val="00215B01"/>
    <w:rsid w:val="00215B23"/>
    <w:rsid w:val="00215B7D"/>
    <w:rsid w:val="00215B92"/>
    <w:rsid w:val="00215BBA"/>
    <w:rsid w:val="00215C24"/>
    <w:rsid w:val="00215C26"/>
    <w:rsid w:val="00215CFA"/>
    <w:rsid w:val="00215CFE"/>
    <w:rsid w:val="00215DDF"/>
    <w:rsid w:val="00215DEA"/>
    <w:rsid w:val="00215E47"/>
    <w:rsid w:val="00215EFB"/>
    <w:rsid w:val="00215F08"/>
    <w:rsid w:val="00215F73"/>
    <w:rsid w:val="002160BF"/>
    <w:rsid w:val="0021629E"/>
    <w:rsid w:val="002162F2"/>
    <w:rsid w:val="0021630B"/>
    <w:rsid w:val="0021647F"/>
    <w:rsid w:val="002164A1"/>
    <w:rsid w:val="00216584"/>
    <w:rsid w:val="002166E5"/>
    <w:rsid w:val="00216720"/>
    <w:rsid w:val="00216798"/>
    <w:rsid w:val="002167C6"/>
    <w:rsid w:val="0021681A"/>
    <w:rsid w:val="0021687B"/>
    <w:rsid w:val="00216942"/>
    <w:rsid w:val="00216AA6"/>
    <w:rsid w:val="00216B1A"/>
    <w:rsid w:val="00216BA2"/>
    <w:rsid w:val="00216BCC"/>
    <w:rsid w:val="00216BE1"/>
    <w:rsid w:val="00216E12"/>
    <w:rsid w:val="00216E86"/>
    <w:rsid w:val="00216ECE"/>
    <w:rsid w:val="00216F19"/>
    <w:rsid w:val="00216F2C"/>
    <w:rsid w:val="00216FBC"/>
    <w:rsid w:val="002170AC"/>
    <w:rsid w:val="00217339"/>
    <w:rsid w:val="0021735D"/>
    <w:rsid w:val="00217393"/>
    <w:rsid w:val="002173D2"/>
    <w:rsid w:val="0021748C"/>
    <w:rsid w:val="00217513"/>
    <w:rsid w:val="00217586"/>
    <w:rsid w:val="002175B1"/>
    <w:rsid w:val="002176AC"/>
    <w:rsid w:val="002176D9"/>
    <w:rsid w:val="0021772B"/>
    <w:rsid w:val="002177D9"/>
    <w:rsid w:val="002179E7"/>
    <w:rsid w:val="00217B39"/>
    <w:rsid w:val="00217B8E"/>
    <w:rsid w:val="00217D59"/>
    <w:rsid w:val="00217F0B"/>
    <w:rsid w:val="00217FB5"/>
    <w:rsid w:val="00217FC4"/>
    <w:rsid w:val="00220094"/>
    <w:rsid w:val="002200D8"/>
    <w:rsid w:val="002201B2"/>
    <w:rsid w:val="0022021E"/>
    <w:rsid w:val="00220358"/>
    <w:rsid w:val="0022037F"/>
    <w:rsid w:val="0022050C"/>
    <w:rsid w:val="00220571"/>
    <w:rsid w:val="002205F2"/>
    <w:rsid w:val="002205F5"/>
    <w:rsid w:val="00220684"/>
    <w:rsid w:val="002207E7"/>
    <w:rsid w:val="00220847"/>
    <w:rsid w:val="00220868"/>
    <w:rsid w:val="00220926"/>
    <w:rsid w:val="0022093E"/>
    <w:rsid w:val="00220A7D"/>
    <w:rsid w:val="00220B0A"/>
    <w:rsid w:val="00220B1C"/>
    <w:rsid w:val="00220B70"/>
    <w:rsid w:val="00220BC5"/>
    <w:rsid w:val="00220BDF"/>
    <w:rsid w:val="00220C66"/>
    <w:rsid w:val="00220CAE"/>
    <w:rsid w:val="00220D7D"/>
    <w:rsid w:val="00220DAE"/>
    <w:rsid w:val="00220DB4"/>
    <w:rsid w:val="00220E86"/>
    <w:rsid w:val="00220F97"/>
    <w:rsid w:val="00220FCF"/>
    <w:rsid w:val="00221293"/>
    <w:rsid w:val="002212CB"/>
    <w:rsid w:val="002212DB"/>
    <w:rsid w:val="00221344"/>
    <w:rsid w:val="002213B0"/>
    <w:rsid w:val="002214C9"/>
    <w:rsid w:val="0022180A"/>
    <w:rsid w:val="0022183F"/>
    <w:rsid w:val="002218C0"/>
    <w:rsid w:val="002218CD"/>
    <w:rsid w:val="00221913"/>
    <w:rsid w:val="0022191D"/>
    <w:rsid w:val="00221970"/>
    <w:rsid w:val="00221A1A"/>
    <w:rsid w:val="00221AAB"/>
    <w:rsid w:val="00221ABE"/>
    <w:rsid w:val="00221B25"/>
    <w:rsid w:val="00221B95"/>
    <w:rsid w:val="00221BBE"/>
    <w:rsid w:val="00221BC8"/>
    <w:rsid w:val="00221BDF"/>
    <w:rsid w:val="00221C40"/>
    <w:rsid w:val="00221CE6"/>
    <w:rsid w:val="00221E10"/>
    <w:rsid w:val="00221F73"/>
    <w:rsid w:val="00221F7B"/>
    <w:rsid w:val="0022202F"/>
    <w:rsid w:val="002220AF"/>
    <w:rsid w:val="002220F6"/>
    <w:rsid w:val="00222191"/>
    <w:rsid w:val="0022224B"/>
    <w:rsid w:val="00222284"/>
    <w:rsid w:val="00222336"/>
    <w:rsid w:val="00222396"/>
    <w:rsid w:val="00222416"/>
    <w:rsid w:val="0022242A"/>
    <w:rsid w:val="002224B1"/>
    <w:rsid w:val="00222695"/>
    <w:rsid w:val="002226BD"/>
    <w:rsid w:val="002226CB"/>
    <w:rsid w:val="002227FD"/>
    <w:rsid w:val="002228D1"/>
    <w:rsid w:val="002228DE"/>
    <w:rsid w:val="00222933"/>
    <w:rsid w:val="00222A1C"/>
    <w:rsid w:val="00222A70"/>
    <w:rsid w:val="00222AAF"/>
    <w:rsid w:val="00222BED"/>
    <w:rsid w:val="00222C33"/>
    <w:rsid w:val="00222E9E"/>
    <w:rsid w:val="00222ECD"/>
    <w:rsid w:val="00222F03"/>
    <w:rsid w:val="0022315C"/>
    <w:rsid w:val="0022327E"/>
    <w:rsid w:val="0022336E"/>
    <w:rsid w:val="002234E7"/>
    <w:rsid w:val="002234E9"/>
    <w:rsid w:val="002234F0"/>
    <w:rsid w:val="00223510"/>
    <w:rsid w:val="0022352C"/>
    <w:rsid w:val="00223555"/>
    <w:rsid w:val="002235F1"/>
    <w:rsid w:val="00223664"/>
    <w:rsid w:val="00223688"/>
    <w:rsid w:val="00223713"/>
    <w:rsid w:val="002237B5"/>
    <w:rsid w:val="002237C8"/>
    <w:rsid w:val="0022394C"/>
    <w:rsid w:val="00223A56"/>
    <w:rsid w:val="00223B51"/>
    <w:rsid w:val="00223C49"/>
    <w:rsid w:val="00223E9D"/>
    <w:rsid w:val="00223F5B"/>
    <w:rsid w:val="00223FCF"/>
    <w:rsid w:val="00223FD4"/>
    <w:rsid w:val="00223FF3"/>
    <w:rsid w:val="002241FF"/>
    <w:rsid w:val="00224295"/>
    <w:rsid w:val="002243EB"/>
    <w:rsid w:val="0022448A"/>
    <w:rsid w:val="0022450F"/>
    <w:rsid w:val="002245DB"/>
    <w:rsid w:val="002246BF"/>
    <w:rsid w:val="002246D9"/>
    <w:rsid w:val="0022478C"/>
    <w:rsid w:val="0022479A"/>
    <w:rsid w:val="0022481A"/>
    <w:rsid w:val="0022482E"/>
    <w:rsid w:val="002248B9"/>
    <w:rsid w:val="00224B52"/>
    <w:rsid w:val="00224BCA"/>
    <w:rsid w:val="00224BE4"/>
    <w:rsid w:val="00224C6D"/>
    <w:rsid w:val="00224E7C"/>
    <w:rsid w:val="00224E9B"/>
    <w:rsid w:val="00224FF0"/>
    <w:rsid w:val="002250BC"/>
    <w:rsid w:val="002250CD"/>
    <w:rsid w:val="002251B7"/>
    <w:rsid w:val="00225220"/>
    <w:rsid w:val="0022529E"/>
    <w:rsid w:val="002252F5"/>
    <w:rsid w:val="00225409"/>
    <w:rsid w:val="002254A6"/>
    <w:rsid w:val="002254D1"/>
    <w:rsid w:val="00225648"/>
    <w:rsid w:val="00225833"/>
    <w:rsid w:val="00225847"/>
    <w:rsid w:val="0022584D"/>
    <w:rsid w:val="00225916"/>
    <w:rsid w:val="00225920"/>
    <w:rsid w:val="00225A66"/>
    <w:rsid w:val="00225B20"/>
    <w:rsid w:val="00225B63"/>
    <w:rsid w:val="00225BCE"/>
    <w:rsid w:val="00225C5C"/>
    <w:rsid w:val="00225CBF"/>
    <w:rsid w:val="00225E52"/>
    <w:rsid w:val="00225F3E"/>
    <w:rsid w:val="00225F42"/>
    <w:rsid w:val="00225F5B"/>
    <w:rsid w:val="00225FE5"/>
    <w:rsid w:val="0022602C"/>
    <w:rsid w:val="00226064"/>
    <w:rsid w:val="00226095"/>
    <w:rsid w:val="00226099"/>
    <w:rsid w:val="002260E0"/>
    <w:rsid w:val="0022615A"/>
    <w:rsid w:val="002262C8"/>
    <w:rsid w:val="0022636E"/>
    <w:rsid w:val="002263AB"/>
    <w:rsid w:val="00226443"/>
    <w:rsid w:val="00226514"/>
    <w:rsid w:val="00226526"/>
    <w:rsid w:val="0022656A"/>
    <w:rsid w:val="00226801"/>
    <w:rsid w:val="00226948"/>
    <w:rsid w:val="00226A68"/>
    <w:rsid w:val="00226A6E"/>
    <w:rsid w:val="00226AD4"/>
    <w:rsid w:val="00226B9A"/>
    <w:rsid w:val="00226BD0"/>
    <w:rsid w:val="00226C38"/>
    <w:rsid w:val="00226CB6"/>
    <w:rsid w:val="00226CEC"/>
    <w:rsid w:val="00226DDE"/>
    <w:rsid w:val="00226E70"/>
    <w:rsid w:val="00226EB7"/>
    <w:rsid w:val="00226F70"/>
    <w:rsid w:val="00226F96"/>
    <w:rsid w:val="00226FF4"/>
    <w:rsid w:val="0022717C"/>
    <w:rsid w:val="0022723F"/>
    <w:rsid w:val="00227244"/>
    <w:rsid w:val="002274AE"/>
    <w:rsid w:val="00227646"/>
    <w:rsid w:val="002276F4"/>
    <w:rsid w:val="002276FF"/>
    <w:rsid w:val="00227791"/>
    <w:rsid w:val="00227794"/>
    <w:rsid w:val="002277B6"/>
    <w:rsid w:val="002277BA"/>
    <w:rsid w:val="002278BE"/>
    <w:rsid w:val="00227A04"/>
    <w:rsid w:val="00227B26"/>
    <w:rsid w:val="00227B89"/>
    <w:rsid w:val="00227C0F"/>
    <w:rsid w:val="00227C6B"/>
    <w:rsid w:val="00227E10"/>
    <w:rsid w:val="00227F43"/>
    <w:rsid w:val="0023008F"/>
    <w:rsid w:val="0023013F"/>
    <w:rsid w:val="0023020D"/>
    <w:rsid w:val="00230258"/>
    <w:rsid w:val="0023027E"/>
    <w:rsid w:val="00230330"/>
    <w:rsid w:val="002303AD"/>
    <w:rsid w:val="002303EC"/>
    <w:rsid w:val="00230591"/>
    <w:rsid w:val="0023063E"/>
    <w:rsid w:val="00230720"/>
    <w:rsid w:val="00230722"/>
    <w:rsid w:val="00230774"/>
    <w:rsid w:val="00230790"/>
    <w:rsid w:val="002307AE"/>
    <w:rsid w:val="002307D1"/>
    <w:rsid w:val="0023084D"/>
    <w:rsid w:val="002308BB"/>
    <w:rsid w:val="0023091F"/>
    <w:rsid w:val="002309C1"/>
    <w:rsid w:val="00230A66"/>
    <w:rsid w:val="00230BA8"/>
    <w:rsid w:val="00230C9A"/>
    <w:rsid w:val="00230EEE"/>
    <w:rsid w:val="00230EF6"/>
    <w:rsid w:val="00231029"/>
    <w:rsid w:val="002310D2"/>
    <w:rsid w:val="00231122"/>
    <w:rsid w:val="0023124A"/>
    <w:rsid w:val="002312FB"/>
    <w:rsid w:val="002315DA"/>
    <w:rsid w:val="00231652"/>
    <w:rsid w:val="0023179D"/>
    <w:rsid w:val="002317F8"/>
    <w:rsid w:val="00231821"/>
    <w:rsid w:val="002318DC"/>
    <w:rsid w:val="00231AF2"/>
    <w:rsid w:val="00231BEA"/>
    <w:rsid w:val="00231C5F"/>
    <w:rsid w:val="00231D2B"/>
    <w:rsid w:val="00231D56"/>
    <w:rsid w:val="00231DF4"/>
    <w:rsid w:val="00231E56"/>
    <w:rsid w:val="00231EB1"/>
    <w:rsid w:val="00231EF9"/>
    <w:rsid w:val="00231F7C"/>
    <w:rsid w:val="00232099"/>
    <w:rsid w:val="00232143"/>
    <w:rsid w:val="002321F5"/>
    <w:rsid w:val="0023222A"/>
    <w:rsid w:val="002322DC"/>
    <w:rsid w:val="00232344"/>
    <w:rsid w:val="002323D2"/>
    <w:rsid w:val="002323DE"/>
    <w:rsid w:val="0023259D"/>
    <w:rsid w:val="002325D4"/>
    <w:rsid w:val="00232785"/>
    <w:rsid w:val="00232885"/>
    <w:rsid w:val="00232898"/>
    <w:rsid w:val="0023297E"/>
    <w:rsid w:val="002329DA"/>
    <w:rsid w:val="002329FD"/>
    <w:rsid w:val="00232AF6"/>
    <w:rsid w:val="00232BDB"/>
    <w:rsid w:val="00232E08"/>
    <w:rsid w:val="00232FC4"/>
    <w:rsid w:val="00232FCE"/>
    <w:rsid w:val="00232FED"/>
    <w:rsid w:val="00232FFA"/>
    <w:rsid w:val="00233065"/>
    <w:rsid w:val="002330E7"/>
    <w:rsid w:val="00233182"/>
    <w:rsid w:val="00233259"/>
    <w:rsid w:val="00233309"/>
    <w:rsid w:val="0023333C"/>
    <w:rsid w:val="0023337D"/>
    <w:rsid w:val="002333B4"/>
    <w:rsid w:val="002333D2"/>
    <w:rsid w:val="002334EA"/>
    <w:rsid w:val="00233751"/>
    <w:rsid w:val="00233786"/>
    <w:rsid w:val="002337AB"/>
    <w:rsid w:val="00233AEB"/>
    <w:rsid w:val="00233AFA"/>
    <w:rsid w:val="00233B8B"/>
    <w:rsid w:val="00233CBC"/>
    <w:rsid w:val="00233CC9"/>
    <w:rsid w:val="00233D23"/>
    <w:rsid w:val="00233E03"/>
    <w:rsid w:val="00233E07"/>
    <w:rsid w:val="00233E38"/>
    <w:rsid w:val="00233EC0"/>
    <w:rsid w:val="00233EE2"/>
    <w:rsid w:val="00233F06"/>
    <w:rsid w:val="00233F8F"/>
    <w:rsid w:val="00234020"/>
    <w:rsid w:val="0023404D"/>
    <w:rsid w:val="002341C4"/>
    <w:rsid w:val="00234206"/>
    <w:rsid w:val="002343EA"/>
    <w:rsid w:val="002344A1"/>
    <w:rsid w:val="002344C8"/>
    <w:rsid w:val="0023458C"/>
    <w:rsid w:val="002345A8"/>
    <w:rsid w:val="00234640"/>
    <w:rsid w:val="00234646"/>
    <w:rsid w:val="00234651"/>
    <w:rsid w:val="0023468E"/>
    <w:rsid w:val="002346B1"/>
    <w:rsid w:val="002346EB"/>
    <w:rsid w:val="002346EC"/>
    <w:rsid w:val="002346F2"/>
    <w:rsid w:val="002348D3"/>
    <w:rsid w:val="002348DA"/>
    <w:rsid w:val="00234A43"/>
    <w:rsid w:val="00234C0D"/>
    <w:rsid w:val="00234D71"/>
    <w:rsid w:val="00234DAB"/>
    <w:rsid w:val="00234DFD"/>
    <w:rsid w:val="00234ED0"/>
    <w:rsid w:val="00234EE3"/>
    <w:rsid w:val="00234EEE"/>
    <w:rsid w:val="00234F9A"/>
    <w:rsid w:val="00234FA1"/>
    <w:rsid w:val="00235117"/>
    <w:rsid w:val="0023516F"/>
    <w:rsid w:val="0023526D"/>
    <w:rsid w:val="002352D1"/>
    <w:rsid w:val="00235354"/>
    <w:rsid w:val="0023535E"/>
    <w:rsid w:val="00235517"/>
    <w:rsid w:val="0023569E"/>
    <w:rsid w:val="00235710"/>
    <w:rsid w:val="0023575C"/>
    <w:rsid w:val="00235784"/>
    <w:rsid w:val="002357FD"/>
    <w:rsid w:val="0023595F"/>
    <w:rsid w:val="00235A03"/>
    <w:rsid w:val="00235A0F"/>
    <w:rsid w:val="00235AD2"/>
    <w:rsid w:val="00235C6D"/>
    <w:rsid w:val="00235C82"/>
    <w:rsid w:val="00235E4E"/>
    <w:rsid w:val="00235EAA"/>
    <w:rsid w:val="00235F2B"/>
    <w:rsid w:val="00235F41"/>
    <w:rsid w:val="002361D0"/>
    <w:rsid w:val="0023632C"/>
    <w:rsid w:val="002363C2"/>
    <w:rsid w:val="002363E0"/>
    <w:rsid w:val="002364C4"/>
    <w:rsid w:val="002364CF"/>
    <w:rsid w:val="0023661C"/>
    <w:rsid w:val="00236707"/>
    <w:rsid w:val="00236710"/>
    <w:rsid w:val="00236778"/>
    <w:rsid w:val="00236868"/>
    <w:rsid w:val="002368A6"/>
    <w:rsid w:val="0023695A"/>
    <w:rsid w:val="00236AE1"/>
    <w:rsid w:val="00236D35"/>
    <w:rsid w:val="00236E28"/>
    <w:rsid w:val="00236E60"/>
    <w:rsid w:val="00236F92"/>
    <w:rsid w:val="00236FCC"/>
    <w:rsid w:val="00237044"/>
    <w:rsid w:val="002370C0"/>
    <w:rsid w:val="002372BF"/>
    <w:rsid w:val="00237517"/>
    <w:rsid w:val="00237661"/>
    <w:rsid w:val="0023768A"/>
    <w:rsid w:val="002376D3"/>
    <w:rsid w:val="002376E9"/>
    <w:rsid w:val="00237720"/>
    <w:rsid w:val="00237779"/>
    <w:rsid w:val="00237796"/>
    <w:rsid w:val="002378EE"/>
    <w:rsid w:val="002379D8"/>
    <w:rsid w:val="00237AA9"/>
    <w:rsid w:val="00237B17"/>
    <w:rsid w:val="00237B98"/>
    <w:rsid w:val="00237C75"/>
    <w:rsid w:val="00237DE2"/>
    <w:rsid w:val="00237DEE"/>
    <w:rsid w:val="00237E3F"/>
    <w:rsid w:val="0024003E"/>
    <w:rsid w:val="0024005D"/>
    <w:rsid w:val="002400B8"/>
    <w:rsid w:val="002400FD"/>
    <w:rsid w:val="00240106"/>
    <w:rsid w:val="002401DE"/>
    <w:rsid w:val="0024025C"/>
    <w:rsid w:val="00240312"/>
    <w:rsid w:val="00240344"/>
    <w:rsid w:val="0024038A"/>
    <w:rsid w:val="002403DF"/>
    <w:rsid w:val="002405D2"/>
    <w:rsid w:val="0024061D"/>
    <w:rsid w:val="00240768"/>
    <w:rsid w:val="00240799"/>
    <w:rsid w:val="002408FC"/>
    <w:rsid w:val="002409F8"/>
    <w:rsid w:val="00240A6C"/>
    <w:rsid w:val="00240AC2"/>
    <w:rsid w:val="00240ACC"/>
    <w:rsid w:val="00240B70"/>
    <w:rsid w:val="00240BCB"/>
    <w:rsid w:val="00240BE8"/>
    <w:rsid w:val="00240E55"/>
    <w:rsid w:val="00240ED2"/>
    <w:rsid w:val="00240FC7"/>
    <w:rsid w:val="0024101F"/>
    <w:rsid w:val="00241063"/>
    <w:rsid w:val="002410B1"/>
    <w:rsid w:val="002410D6"/>
    <w:rsid w:val="00241124"/>
    <w:rsid w:val="0024119D"/>
    <w:rsid w:val="002411C7"/>
    <w:rsid w:val="002411E1"/>
    <w:rsid w:val="00241227"/>
    <w:rsid w:val="002412CE"/>
    <w:rsid w:val="00241381"/>
    <w:rsid w:val="002413F5"/>
    <w:rsid w:val="0024152B"/>
    <w:rsid w:val="002415A4"/>
    <w:rsid w:val="00241655"/>
    <w:rsid w:val="00241682"/>
    <w:rsid w:val="002416DC"/>
    <w:rsid w:val="0024174F"/>
    <w:rsid w:val="00241751"/>
    <w:rsid w:val="002417EC"/>
    <w:rsid w:val="002417FF"/>
    <w:rsid w:val="0024182F"/>
    <w:rsid w:val="0024186F"/>
    <w:rsid w:val="00241A86"/>
    <w:rsid w:val="00241B6B"/>
    <w:rsid w:val="00241B9D"/>
    <w:rsid w:val="00241BA6"/>
    <w:rsid w:val="00241D8C"/>
    <w:rsid w:val="00241DAF"/>
    <w:rsid w:val="00241DDC"/>
    <w:rsid w:val="0024208F"/>
    <w:rsid w:val="00242111"/>
    <w:rsid w:val="0024215E"/>
    <w:rsid w:val="0024220C"/>
    <w:rsid w:val="00242251"/>
    <w:rsid w:val="002422AE"/>
    <w:rsid w:val="002423A6"/>
    <w:rsid w:val="002423FF"/>
    <w:rsid w:val="00242501"/>
    <w:rsid w:val="00242502"/>
    <w:rsid w:val="0024251E"/>
    <w:rsid w:val="002425C5"/>
    <w:rsid w:val="00242794"/>
    <w:rsid w:val="002427B5"/>
    <w:rsid w:val="00242835"/>
    <w:rsid w:val="00242A0C"/>
    <w:rsid w:val="00242C57"/>
    <w:rsid w:val="00242D2B"/>
    <w:rsid w:val="00242DBC"/>
    <w:rsid w:val="00242E14"/>
    <w:rsid w:val="00242E1E"/>
    <w:rsid w:val="00242F4E"/>
    <w:rsid w:val="0024314A"/>
    <w:rsid w:val="00243334"/>
    <w:rsid w:val="002433B5"/>
    <w:rsid w:val="002434CC"/>
    <w:rsid w:val="002436D2"/>
    <w:rsid w:val="002436E5"/>
    <w:rsid w:val="00243961"/>
    <w:rsid w:val="00243A47"/>
    <w:rsid w:val="00243AB7"/>
    <w:rsid w:val="00243BA0"/>
    <w:rsid w:val="00243C62"/>
    <w:rsid w:val="00243E54"/>
    <w:rsid w:val="00243F0B"/>
    <w:rsid w:val="00243F17"/>
    <w:rsid w:val="00243FDE"/>
    <w:rsid w:val="00244220"/>
    <w:rsid w:val="0024423E"/>
    <w:rsid w:val="00244275"/>
    <w:rsid w:val="002442B9"/>
    <w:rsid w:val="0024434A"/>
    <w:rsid w:val="00244366"/>
    <w:rsid w:val="00244385"/>
    <w:rsid w:val="002443D6"/>
    <w:rsid w:val="00244424"/>
    <w:rsid w:val="00244522"/>
    <w:rsid w:val="0024457D"/>
    <w:rsid w:val="00244740"/>
    <w:rsid w:val="002447DF"/>
    <w:rsid w:val="002449B0"/>
    <w:rsid w:val="00244B94"/>
    <w:rsid w:val="00244D85"/>
    <w:rsid w:val="00244DA8"/>
    <w:rsid w:val="00244DBA"/>
    <w:rsid w:val="00244DE4"/>
    <w:rsid w:val="00244EB1"/>
    <w:rsid w:val="00244F2E"/>
    <w:rsid w:val="00244F86"/>
    <w:rsid w:val="00244FA5"/>
    <w:rsid w:val="00245006"/>
    <w:rsid w:val="002450F2"/>
    <w:rsid w:val="00245113"/>
    <w:rsid w:val="002452A0"/>
    <w:rsid w:val="00245330"/>
    <w:rsid w:val="002453ED"/>
    <w:rsid w:val="00245404"/>
    <w:rsid w:val="00245468"/>
    <w:rsid w:val="0024552E"/>
    <w:rsid w:val="00245538"/>
    <w:rsid w:val="002456BA"/>
    <w:rsid w:val="0024586A"/>
    <w:rsid w:val="00245AC2"/>
    <w:rsid w:val="00245C58"/>
    <w:rsid w:val="00245CBE"/>
    <w:rsid w:val="00245D1C"/>
    <w:rsid w:val="00245E40"/>
    <w:rsid w:val="00245E7D"/>
    <w:rsid w:val="00245E87"/>
    <w:rsid w:val="00245EE3"/>
    <w:rsid w:val="00245EF9"/>
    <w:rsid w:val="00245F54"/>
    <w:rsid w:val="00245F6C"/>
    <w:rsid w:val="00245F7B"/>
    <w:rsid w:val="00245FC8"/>
    <w:rsid w:val="002460EA"/>
    <w:rsid w:val="00246182"/>
    <w:rsid w:val="002461CE"/>
    <w:rsid w:val="00246205"/>
    <w:rsid w:val="002462A6"/>
    <w:rsid w:val="002463A6"/>
    <w:rsid w:val="002463A9"/>
    <w:rsid w:val="00246418"/>
    <w:rsid w:val="0024679F"/>
    <w:rsid w:val="00246A74"/>
    <w:rsid w:val="00246ADB"/>
    <w:rsid w:val="00246B06"/>
    <w:rsid w:val="00246D20"/>
    <w:rsid w:val="00246D8B"/>
    <w:rsid w:val="00246E12"/>
    <w:rsid w:val="00246E32"/>
    <w:rsid w:val="00246E41"/>
    <w:rsid w:val="00246E5A"/>
    <w:rsid w:val="00246EDF"/>
    <w:rsid w:val="00246F11"/>
    <w:rsid w:val="00247051"/>
    <w:rsid w:val="0024705F"/>
    <w:rsid w:val="002471FA"/>
    <w:rsid w:val="00247319"/>
    <w:rsid w:val="0024737C"/>
    <w:rsid w:val="002474E5"/>
    <w:rsid w:val="00247647"/>
    <w:rsid w:val="002476BD"/>
    <w:rsid w:val="0024770F"/>
    <w:rsid w:val="002477D7"/>
    <w:rsid w:val="00247807"/>
    <w:rsid w:val="00247816"/>
    <w:rsid w:val="00247828"/>
    <w:rsid w:val="00247851"/>
    <w:rsid w:val="0024786E"/>
    <w:rsid w:val="00247942"/>
    <w:rsid w:val="00247957"/>
    <w:rsid w:val="0024798E"/>
    <w:rsid w:val="00247A63"/>
    <w:rsid w:val="00247A90"/>
    <w:rsid w:val="00247BBE"/>
    <w:rsid w:val="00247C63"/>
    <w:rsid w:val="00247CF3"/>
    <w:rsid w:val="00247D52"/>
    <w:rsid w:val="00247D95"/>
    <w:rsid w:val="00247E70"/>
    <w:rsid w:val="00247EB4"/>
    <w:rsid w:val="00247F7A"/>
    <w:rsid w:val="00247F8A"/>
    <w:rsid w:val="00247FFC"/>
    <w:rsid w:val="00250061"/>
    <w:rsid w:val="00250076"/>
    <w:rsid w:val="002500A2"/>
    <w:rsid w:val="00250120"/>
    <w:rsid w:val="002502C2"/>
    <w:rsid w:val="00250345"/>
    <w:rsid w:val="002503C4"/>
    <w:rsid w:val="002503CA"/>
    <w:rsid w:val="002503EF"/>
    <w:rsid w:val="00250589"/>
    <w:rsid w:val="002505CB"/>
    <w:rsid w:val="00250608"/>
    <w:rsid w:val="00250625"/>
    <w:rsid w:val="00250775"/>
    <w:rsid w:val="00250790"/>
    <w:rsid w:val="002507FC"/>
    <w:rsid w:val="002508FD"/>
    <w:rsid w:val="00250926"/>
    <w:rsid w:val="0025096B"/>
    <w:rsid w:val="00250992"/>
    <w:rsid w:val="00250A27"/>
    <w:rsid w:val="00250BC5"/>
    <w:rsid w:val="00250CA0"/>
    <w:rsid w:val="00250CE6"/>
    <w:rsid w:val="00250D16"/>
    <w:rsid w:val="00250D30"/>
    <w:rsid w:val="00250D37"/>
    <w:rsid w:val="00251039"/>
    <w:rsid w:val="0025108D"/>
    <w:rsid w:val="002511B5"/>
    <w:rsid w:val="0025132C"/>
    <w:rsid w:val="0025139B"/>
    <w:rsid w:val="00251528"/>
    <w:rsid w:val="0025154A"/>
    <w:rsid w:val="0025158F"/>
    <w:rsid w:val="00251618"/>
    <w:rsid w:val="0025165D"/>
    <w:rsid w:val="002517A5"/>
    <w:rsid w:val="002518CE"/>
    <w:rsid w:val="002518F4"/>
    <w:rsid w:val="00251998"/>
    <w:rsid w:val="00251AF4"/>
    <w:rsid w:val="00251B11"/>
    <w:rsid w:val="00251B94"/>
    <w:rsid w:val="00251C72"/>
    <w:rsid w:val="00251E3B"/>
    <w:rsid w:val="00251EA4"/>
    <w:rsid w:val="00251F6C"/>
    <w:rsid w:val="0025200F"/>
    <w:rsid w:val="00252011"/>
    <w:rsid w:val="00252094"/>
    <w:rsid w:val="002521A7"/>
    <w:rsid w:val="00252224"/>
    <w:rsid w:val="00252416"/>
    <w:rsid w:val="0025243D"/>
    <w:rsid w:val="0025249C"/>
    <w:rsid w:val="00252516"/>
    <w:rsid w:val="00252663"/>
    <w:rsid w:val="00252832"/>
    <w:rsid w:val="002528C2"/>
    <w:rsid w:val="002528DB"/>
    <w:rsid w:val="00252921"/>
    <w:rsid w:val="002529F8"/>
    <w:rsid w:val="00252AAA"/>
    <w:rsid w:val="00252B32"/>
    <w:rsid w:val="00252BEA"/>
    <w:rsid w:val="00252D4A"/>
    <w:rsid w:val="00252E5C"/>
    <w:rsid w:val="002530B3"/>
    <w:rsid w:val="00253151"/>
    <w:rsid w:val="0025327E"/>
    <w:rsid w:val="002534C6"/>
    <w:rsid w:val="002534DD"/>
    <w:rsid w:val="0025351E"/>
    <w:rsid w:val="00253629"/>
    <w:rsid w:val="002536F7"/>
    <w:rsid w:val="002537C3"/>
    <w:rsid w:val="002538F1"/>
    <w:rsid w:val="002539ED"/>
    <w:rsid w:val="00253A79"/>
    <w:rsid w:val="00253AD7"/>
    <w:rsid w:val="00253BE4"/>
    <w:rsid w:val="00253BEF"/>
    <w:rsid w:val="00253C88"/>
    <w:rsid w:val="00253D70"/>
    <w:rsid w:val="00253E78"/>
    <w:rsid w:val="00253F69"/>
    <w:rsid w:val="00253F97"/>
    <w:rsid w:val="0025408E"/>
    <w:rsid w:val="002540B5"/>
    <w:rsid w:val="00254136"/>
    <w:rsid w:val="00254158"/>
    <w:rsid w:val="002541BD"/>
    <w:rsid w:val="00254205"/>
    <w:rsid w:val="00254207"/>
    <w:rsid w:val="00254234"/>
    <w:rsid w:val="002542D1"/>
    <w:rsid w:val="0025440D"/>
    <w:rsid w:val="00254490"/>
    <w:rsid w:val="0025450E"/>
    <w:rsid w:val="0025459E"/>
    <w:rsid w:val="00254636"/>
    <w:rsid w:val="0025473E"/>
    <w:rsid w:val="002547A4"/>
    <w:rsid w:val="002547A6"/>
    <w:rsid w:val="0025485A"/>
    <w:rsid w:val="002548E7"/>
    <w:rsid w:val="002549D6"/>
    <w:rsid w:val="00254A66"/>
    <w:rsid w:val="00254AA6"/>
    <w:rsid w:val="00254B26"/>
    <w:rsid w:val="00254CDD"/>
    <w:rsid w:val="00254D1D"/>
    <w:rsid w:val="00254D37"/>
    <w:rsid w:val="00254DAE"/>
    <w:rsid w:val="00254F07"/>
    <w:rsid w:val="00254F20"/>
    <w:rsid w:val="00255070"/>
    <w:rsid w:val="0025507C"/>
    <w:rsid w:val="00255152"/>
    <w:rsid w:val="0025517C"/>
    <w:rsid w:val="00255340"/>
    <w:rsid w:val="002553A1"/>
    <w:rsid w:val="0025554E"/>
    <w:rsid w:val="00255619"/>
    <w:rsid w:val="00255657"/>
    <w:rsid w:val="00255666"/>
    <w:rsid w:val="0025568A"/>
    <w:rsid w:val="0025576D"/>
    <w:rsid w:val="00255866"/>
    <w:rsid w:val="0025595F"/>
    <w:rsid w:val="0025598B"/>
    <w:rsid w:val="00255A2A"/>
    <w:rsid w:val="00255A60"/>
    <w:rsid w:val="00255B19"/>
    <w:rsid w:val="00255BCC"/>
    <w:rsid w:val="00255BE5"/>
    <w:rsid w:val="00255C1D"/>
    <w:rsid w:val="00255C76"/>
    <w:rsid w:val="00255CAD"/>
    <w:rsid w:val="00255D03"/>
    <w:rsid w:val="00255DA7"/>
    <w:rsid w:val="00255E09"/>
    <w:rsid w:val="00255E5C"/>
    <w:rsid w:val="00255E75"/>
    <w:rsid w:val="00255E8E"/>
    <w:rsid w:val="00255F22"/>
    <w:rsid w:val="00255FD2"/>
    <w:rsid w:val="00256038"/>
    <w:rsid w:val="0025609B"/>
    <w:rsid w:val="002560E8"/>
    <w:rsid w:val="002560FC"/>
    <w:rsid w:val="00256111"/>
    <w:rsid w:val="00256157"/>
    <w:rsid w:val="00256164"/>
    <w:rsid w:val="00256307"/>
    <w:rsid w:val="00256378"/>
    <w:rsid w:val="002563D2"/>
    <w:rsid w:val="002564A3"/>
    <w:rsid w:val="0025650B"/>
    <w:rsid w:val="002565B1"/>
    <w:rsid w:val="0025661A"/>
    <w:rsid w:val="00256703"/>
    <w:rsid w:val="0025678E"/>
    <w:rsid w:val="002567E0"/>
    <w:rsid w:val="0025681E"/>
    <w:rsid w:val="0025681F"/>
    <w:rsid w:val="00256901"/>
    <w:rsid w:val="0025691E"/>
    <w:rsid w:val="00256941"/>
    <w:rsid w:val="00256943"/>
    <w:rsid w:val="00256A5D"/>
    <w:rsid w:val="00256AC7"/>
    <w:rsid w:val="00256BE1"/>
    <w:rsid w:val="00256BE5"/>
    <w:rsid w:val="00256C9A"/>
    <w:rsid w:val="00256E7B"/>
    <w:rsid w:val="00256FD9"/>
    <w:rsid w:val="00257073"/>
    <w:rsid w:val="00257119"/>
    <w:rsid w:val="00257157"/>
    <w:rsid w:val="00257374"/>
    <w:rsid w:val="00257380"/>
    <w:rsid w:val="002574FF"/>
    <w:rsid w:val="0025755C"/>
    <w:rsid w:val="002575C5"/>
    <w:rsid w:val="002575F8"/>
    <w:rsid w:val="00257618"/>
    <w:rsid w:val="00257630"/>
    <w:rsid w:val="00257749"/>
    <w:rsid w:val="002577C6"/>
    <w:rsid w:val="0025798D"/>
    <w:rsid w:val="002579AF"/>
    <w:rsid w:val="00257A5A"/>
    <w:rsid w:val="00257B05"/>
    <w:rsid w:val="00257B4D"/>
    <w:rsid w:val="00257B78"/>
    <w:rsid w:val="00257B7B"/>
    <w:rsid w:val="00257B84"/>
    <w:rsid w:val="00257B90"/>
    <w:rsid w:val="00257BFA"/>
    <w:rsid w:val="00257C0D"/>
    <w:rsid w:val="00257C6F"/>
    <w:rsid w:val="00257D68"/>
    <w:rsid w:val="00257F1E"/>
    <w:rsid w:val="00257FEC"/>
    <w:rsid w:val="00260047"/>
    <w:rsid w:val="002600BD"/>
    <w:rsid w:val="002600EF"/>
    <w:rsid w:val="002601E3"/>
    <w:rsid w:val="0026021E"/>
    <w:rsid w:val="00260250"/>
    <w:rsid w:val="002602F7"/>
    <w:rsid w:val="0026041D"/>
    <w:rsid w:val="0026051F"/>
    <w:rsid w:val="0026066F"/>
    <w:rsid w:val="002606F7"/>
    <w:rsid w:val="002606F8"/>
    <w:rsid w:val="002607BF"/>
    <w:rsid w:val="002607F5"/>
    <w:rsid w:val="00260981"/>
    <w:rsid w:val="00260A82"/>
    <w:rsid w:val="00260D24"/>
    <w:rsid w:val="00260FD4"/>
    <w:rsid w:val="0026104E"/>
    <w:rsid w:val="0026105B"/>
    <w:rsid w:val="00261091"/>
    <w:rsid w:val="0026112C"/>
    <w:rsid w:val="00261245"/>
    <w:rsid w:val="00261324"/>
    <w:rsid w:val="00261374"/>
    <w:rsid w:val="0026147F"/>
    <w:rsid w:val="002614C1"/>
    <w:rsid w:val="00261606"/>
    <w:rsid w:val="00261667"/>
    <w:rsid w:val="002616F0"/>
    <w:rsid w:val="002617A1"/>
    <w:rsid w:val="002617C0"/>
    <w:rsid w:val="002618D1"/>
    <w:rsid w:val="0026193A"/>
    <w:rsid w:val="00261A1F"/>
    <w:rsid w:val="00261AC4"/>
    <w:rsid w:val="00261B78"/>
    <w:rsid w:val="00261BDE"/>
    <w:rsid w:val="00261D79"/>
    <w:rsid w:val="00261EBE"/>
    <w:rsid w:val="00261F03"/>
    <w:rsid w:val="00261F21"/>
    <w:rsid w:val="00261F38"/>
    <w:rsid w:val="00261FDC"/>
    <w:rsid w:val="00261FDF"/>
    <w:rsid w:val="00261FE7"/>
    <w:rsid w:val="0026206D"/>
    <w:rsid w:val="00262148"/>
    <w:rsid w:val="002621FB"/>
    <w:rsid w:val="002623B8"/>
    <w:rsid w:val="0026244A"/>
    <w:rsid w:val="00262499"/>
    <w:rsid w:val="00262619"/>
    <w:rsid w:val="00262651"/>
    <w:rsid w:val="0026276E"/>
    <w:rsid w:val="0026278C"/>
    <w:rsid w:val="0026285D"/>
    <w:rsid w:val="002628BB"/>
    <w:rsid w:val="002629B6"/>
    <w:rsid w:val="002629B8"/>
    <w:rsid w:val="00262B75"/>
    <w:rsid w:val="00262B90"/>
    <w:rsid w:val="00262BBC"/>
    <w:rsid w:val="00262C7A"/>
    <w:rsid w:val="00262C84"/>
    <w:rsid w:val="00262FE3"/>
    <w:rsid w:val="00263020"/>
    <w:rsid w:val="002630CA"/>
    <w:rsid w:val="002630E4"/>
    <w:rsid w:val="00263133"/>
    <w:rsid w:val="00263194"/>
    <w:rsid w:val="00263222"/>
    <w:rsid w:val="002632AD"/>
    <w:rsid w:val="002633CB"/>
    <w:rsid w:val="00263488"/>
    <w:rsid w:val="00263707"/>
    <w:rsid w:val="00263708"/>
    <w:rsid w:val="00263725"/>
    <w:rsid w:val="00263893"/>
    <w:rsid w:val="0026389B"/>
    <w:rsid w:val="002638F4"/>
    <w:rsid w:val="00263A22"/>
    <w:rsid w:val="00263A9C"/>
    <w:rsid w:val="00263B6E"/>
    <w:rsid w:val="00263C7B"/>
    <w:rsid w:val="00263D18"/>
    <w:rsid w:val="00263E00"/>
    <w:rsid w:val="00263E75"/>
    <w:rsid w:val="00263F45"/>
    <w:rsid w:val="00263FB7"/>
    <w:rsid w:val="00264020"/>
    <w:rsid w:val="00264035"/>
    <w:rsid w:val="002641C2"/>
    <w:rsid w:val="00264262"/>
    <w:rsid w:val="002642C8"/>
    <w:rsid w:val="00264461"/>
    <w:rsid w:val="002644B1"/>
    <w:rsid w:val="0026452F"/>
    <w:rsid w:val="0026457A"/>
    <w:rsid w:val="0026462B"/>
    <w:rsid w:val="00264752"/>
    <w:rsid w:val="002647A6"/>
    <w:rsid w:val="002647C4"/>
    <w:rsid w:val="00264879"/>
    <w:rsid w:val="002649D4"/>
    <w:rsid w:val="00264AC8"/>
    <w:rsid w:val="00264AD7"/>
    <w:rsid w:val="00264B48"/>
    <w:rsid w:val="00264BB4"/>
    <w:rsid w:val="00264D29"/>
    <w:rsid w:val="00264D2D"/>
    <w:rsid w:val="00264E1D"/>
    <w:rsid w:val="00265188"/>
    <w:rsid w:val="00265398"/>
    <w:rsid w:val="002653B5"/>
    <w:rsid w:val="0026547F"/>
    <w:rsid w:val="00265539"/>
    <w:rsid w:val="0026560D"/>
    <w:rsid w:val="0026567C"/>
    <w:rsid w:val="002656B2"/>
    <w:rsid w:val="0026573D"/>
    <w:rsid w:val="0026575F"/>
    <w:rsid w:val="00265762"/>
    <w:rsid w:val="00265775"/>
    <w:rsid w:val="00265930"/>
    <w:rsid w:val="00265A45"/>
    <w:rsid w:val="00265AED"/>
    <w:rsid w:val="00265AF5"/>
    <w:rsid w:val="00265BCE"/>
    <w:rsid w:val="00265CBC"/>
    <w:rsid w:val="00265D3B"/>
    <w:rsid w:val="00265DAB"/>
    <w:rsid w:val="00265E36"/>
    <w:rsid w:val="00265F30"/>
    <w:rsid w:val="00265FD9"/>
    <w:rsid w:val="002660C7"/>
    <w:rsid w:val="0026617D"/>
    <w:rsid w:val="002661E7"/>
    <w:rsid w:val="00266234"/>
    <w:rsid w:val="00266267"/>
    <w:rsid w:val="002662F2"/>
    <w:rsid w:val="00266366"/>
    <w:rsid w:val="00266418"/>
    <w:rsid w:val="00266590"/>
    <w:rsid w:val="002665EE"/>
    <w:rsid w:val="00266674"/>
    <w:rsid w:val="00266781"/>
    <w:rsid w:val="0026696E"/>
    <w:rsid w:val="0026697E"/>
    <w:rsid w:val="002669D1"/>
    <w:rsid w:val="002669FB"/>
    <w:rsid w:val="00266A8F"/>
    <w:rsid w:val="00266AB9"/>
    <w:rsid w:val="00266B78"/>
    <w:rsid w:val="00266C33"/>
    <w:rsid w:val="00266C79"/>
    <w:rsid w:val="00266CA7"/>
    <w:rsid w:val="00266D0C"/>
    <w:rsid w:val="00266D4A"/>
    <w:rsid w:val="00266D72"/>
    <w:rsid w:val="00266D9B"/>
    <w:rsid w:val="00266DF9"/>
    <w:rsid w:val="00266EB3"/>
    <w:rsid w:val="00266FAE"/>
    <w:rsid w:val="00266FD7"/>
    <w:rsid w:val="00267073"/>
    <w:rsid w:val="00267279"/>
    <w:rsid w:val="0026727D"/>
    <w:rsid w:val="002672FB"/>
    <w:rsid w:val="00267331"/>
    <w:rsid w:val="002673A7"/>
    <w:rsid w:val="00267417"/>
    <w:rsid w:val="0026762C"/>
    <w:rsid w:val="00267635"/>
    <w:rsid w:val="002676F0"/>
    <w:rsid w:val="0026770B"/>
    <w:rsid w:val="00267723"/>
    <w:rsid w:val="0026773B"/>
    <w:rsid w:val="0026780B"/>
    <w:rsid w:val="002678B6"/>
    <w:rsid w:val="00267976"/>
    <w:rsid w:val="00267979"/>
    <w:rsid w:val="00267B4F"/>
    <w:rsid w:val="00267B94"/>
    <w:rsid w:val="00267C49"/>
    <w:rsid w:val="00267D81"/>
    <w:rsid w:val="00267DD9"/>
    <w:rsid w:val="00267E3A"/>
    <w:rsid w:val="00267F04"/>
    <w:rsid w:val="00270041"/>
    <w:rsid w:val="002700AD"/>
    <w:rsid w:val="002700FD"/>
    <w:rsid w:val="00270107"/>
    <w:rsid w:val="00270241"/>
    <w:rsid w:val="002702EB"/>
    <w:rsid w:val="002703BB"/>
    <w:rsid w:val="00270416"/>
    <w:rsid w:val="0027056D"/>
    <w:rsid w:val="002705C3"/>
    <w:rsid w:val="002705EB"/>
    <w:rsid w:val="0027063B"/>
    <w:rsid w:val="00270646"/>
    <w:rsid w:val="002706EC"/>
    <w:rsid w:val="00270792"/>
    <w:rsid w:val="002707A4"/>
    <w:rsid w:val="002707AB"/>
    <w:rsid w:val="00270836"/>
    <w:rsid w:val="002708FD"/>
    <w:rsid w:val="00270945"/>
    <w:rsid w:val="00270A8C"/>
    <w:rsid w:val="00270AB0"/>
    <w:rsid w:val="00270B63"/>
    <w:rsid w:val="00270C0E"/>
    <w:rsid w:val="00270C4B"/>
    <w:rsid w:val="00270C68"/>
    <w:rsid w:val="00270CBA"/>
    <w:rsid w:val="00270CD9"/>
    <w:rsid w:val="00270D4E"/>
    <w:rsid w:val="00270DAE"/>
    <w:rsid w:val="00270E01"/>
    <w:rsid w:val="00270EFC"/>
    <w:rsid w:val="0027100F"/>
    <w:rsid w:val="0027107E"/>
    <w:rsid w:val="0027115F"/>
    <w:rsid w:val="00271200"/>
    <w:rsid w:val="002713D4"/>
    <w:rsid w:val="0027141A"/>
    <w:rsid w:val="00271451"/>
    <w:rsid w:val="00271525"/>
    <w:rsid w:val="00271528"/>
    <w:rsid w:val="00271545"/>
    <w:rsid w:val="002715D8"/>
    <w:rsid w:val="0027160C"/>
    <w:rsid w:val="00271648"/>
    <w:rsid w:val="002717C0"/>
    <w:rsid w:val="00271849"/>
    <w:rsid w:val="00271868"/>
    <w:rsid w:val="00271879"/>
    <w:rsid w:val="0027191A"/>
    <w:rsid w:val="002719D4"/>
    <w:rsid w:val="00271B3C"/>
    <w:rsid w:val="00271B6E"/>
    <w:rsid w:val="00271C14"/>
    <w:rsid w:val="00271C99"/>
    <w:rsid w:val="00271CF9"/>
    <w:rsid w:val="00271DA4"/>
    <w:rsid w:val="00271DBA"/>
    <w:rsid w:val="00271F5A"/>
    <w:rsid w:val="00271FD2"/>
    <w:rsid w:val="00271FDB"/>
    <w:rsid w:val="00272065"/>
    <w:rsid w:val="00272147"/>
    <w:rsid w:val="002721A3"/>
    <w:rsid w:val="002721BE"/>
    <w:rsid w:val="0027231F"/>
    <w:rsid w:val="00272481"/>
    <w:rsid w:val="002725A4"/>
    <w:rsid w:val="0027260C"/>
    <w:rsid w:val="00272668"/>
    <w:rsid w:val="00272813"/>
    <w:rsid w:val="00272823"/>
    <w:rsid w:val="0027297F"/>
    <w:rsid w:val="00272B69"/>
    <w:rsid w:val="00272B8A"/>
    <w:rsid w:val="00272C5C"/>
    <w:rsid w:val="00272CFA"/>
    <w:rsid w:val="00272E0B"/>
    <w:rsid w:val="00272E1F"/>
    <w:rsid w:val="00272E6F"/>
    <w:rsid w:val="00272E9B"/>
    <w:rsid w:val="00272ED0"/>
    <w:rsid w:val="00272EF6"/>
    <w:rsid w:val="002730F0"/>
    <w:rsid w:val="00273116"/>
    <w:rsid w:val="0027314A"/>
    <w:rsid w:val="00273180"/>
    <w:rsid w:val="002732C9"/>
    <w:rsid w:val="002732EB"/>
    <w:rsid w:val="002733EA"/>
    <w:rsid w:val="00273425"/>
    <w:rsid w:val="0027357F"/>
    <w:rsid w:val="00273599"/>
    <w:rsid w:val="002735FC"/>
    <w:rsid w:val="00273606"/>
    <w:rsid w:val="00273608"/>
    <w:rsid w:val="002737B2"/>
    <w:rsid w:val="002737F8"/>
    <w:rsid w:val="002738AB"/>
    <w:rsid w:val="002739EA"/>
    <w:rsid w:val="00273AD1"/>
    <w:rsid w:val="00273AD9"/>
    <w:rsid w:val="00273AF7"/>
    <w:rsid w:val="00273B9C"/>
    <w:rsid w:val="00273BAB"/>
    <w:rsid w:val="00273C08"/>
    <w:rsid w:val="00273C40"/>
    <w:rsid w:val="00273CFD"/>
    <w:rsid w:val="00273D0F"/>
    <w:rsid w:val="00273E2E"/>
    <w:rsid w:val="00273F47"/>
    <w:rsid w:val="00273FBC"/>
    <w:rsid w:val="00273FF0"/>
    <w:rsid w:val="002740A5"/>
    <w:rsid w:val="0027411E"/>
    <w:rsid w:val="002742CD"/>
    <w:rsid w:val="00274379"/>
    <w:rsid w:val="00274399"/>
    <w:rsid w:val="002743C6"/>
    <w:rsid w:val="002743F4"/>
    <w:rsid w:val="00274430"/>
    <w:rsid w:val="00274490"/>
    <w:rsid w:val="002744B6"/>
    <w:rsid w:val="00274512"/>
    <w:rsid w:val="002745CE"/>
    <w:rsid w:val="00274625"/>
    <w:rsid w:val="002746ED"/>
    <w:rsid w:val="0027470E"/>
    <w:rsid w:val="0027482D"/>
    <w:rsid w:val="0027484D"/>
    <w:rsid w:val="002748F4"/>
    <w:rsid w:val="002748FF"/>
    <w:rsid w:val="0027492A"/>
    <w:rsid w:val="00274959"/>
    <w:rsid w:val="0027497E"/>
    <w:rsid w:val="00274998"/>
    <w:rsid w:val="0027499C"/>
    <w:rsid w:val="002749BD"/>
    <w:rsid w:val="002749D6"/>
    <w:rsid w:val="002749FE"/>
    <w:rsid w:val="00274A81"/>
    <w:rsid w:val="00274B96"/>
    <w:rsid w:val="00274B9E"/>
    <w:rsid w:val="00274C37"/>
    <w:rsid w:val="00274DB8"/>
    <w:rsid w:val="0027500D"/>
    <w:rsid w:val="0027506C"/>
    <w:rsid w:val="002750BF"/>
    <w:rsid w:val="002751C0"/>
    <w:rsid w:val="002751D1"/>
    <w:rsid w:val="00275209"/>
    <w:rsid w:val="002752A3"/>
    <w:rsid w:val="002752AA"/>
    <w:rsid w:val="0027531E"/>
    <w:rsid w:val="00275400"/>
    <w:rsid w:val="0027543D"/>
    <w:rsid w:val="002755BD"/>
    <w:rsid w:val="002756A3"/>
    <w:rsid w:val="002758BF"/>
    <w:rsid w:val="00275949"/>
    <w:rsid w:val="00275A26"/>
    <w:rsid w:val="00275A94"/>
    <w:rsid w:val="00275B03"/>
    <w:rsid w:val="00275B1C"/>
    <w:rsid w:val="00275D57"/>
    <w:rsid w:val="00275D79"/>
    <w:rsid w:val="00275DBD"/>
    <w:rsid w:val="00275DC9"/>
    <w:rsid w:val="00275E2A"/>
    <w:rsid w:val="00275F1F"/>
    <w:rsid w:val="00275F34"/>
    <w:rsid w:val="00275F79"/>
    <w:rsid w:val="0027611C"/>
    <w:rsid w:val="0027623E"/>
    <w:rsid w:val="0027638A"/>
    <w:rsid w:val="0027640F"/>
    <w:rsid w:val="0027647C"/>
    <w:rsid w:val="00276497"/>
    <w:rsid w:val="002764E0"/>
    <w:rsid w:val="00276532"/>
    <w:rsid w:val="002765C7"/>
    <w:rsid w:val="0027662C"/>
    <w:rsid w:val="00276686"/>
    <w:rsid w:val="0027674E"/>
    <w:rsid w:val="00276797"/>
    <w:rsid w:val="002767E6"/>
    <w:rsid w:val="0027681A"/>
    <w:rsid w:val="002768A8"/>
    <w:rsid w:val="00276922"/>
    <w:rsid w:val="00276A75"/>
    <w:rsid w:val="00276BA0"/>
    <w:rsid w:val="00276BFA"/>
    <w:rsid w:val="00276D2C"/>
    <w:rsid w:val="00276D97"/>
    <w:rsid w:val="00276DC9"/>
    <w:rsid w:val="00276E48"/>
    <w:rsid w:val="00276E9A"/>
    <w:rsid w:val="00276F1D"/>
    <w:rsid w:val="00276F86"/>
    <w:rsid w:val="00276F9E"/>
    <w:rsid w:val="00276FC1"/>
    <w:rsid w:val="00276FF1"/>
    <w:rsid w:val="002770DD"/>
    <w:rsid w:val="00277123"/>
    <w:rsid w:val="002771EA"/>
    <w:rsid w:val="00277228"/>
    <w:rsid w:val="0027725D"/>
    <w:rsid w:val="002773BD"/>
    <w:rsid w:val="00277503"/>
    <w:rsid w:val="0027754A"/>
    <w:rsid w:val="00277591"/>
    <w:rsid w:val="00277650"/>
    <w:rsid w:val="002776F8"/>
    <w:rsid w:val="00277795"/>
    <w:rsid w:val="002777FB"/>
    <w:rsid w:val="0027782E"/>
    <w:rsid w:val="002779C3"/>
    <w:rsid w:val="00277A37"/>
    <w:rsid w:val="00277A81"/>
    <w:rsid w:val="00277BEC"/>
    <w:rsid w:val="00277BF7"/>
    <w:rsid w:val="00277C5C"/>
    <w:rsid w:val="00277D2E"/>
    <w:rsid w:val="00277D7D"/>
    <w:rsid w:val="00277F21"/>
    <w:rsid w:val="00277F83"/>
    <w:rsid w:val="00277FD2"/>
    <w:rsid w:val="0027F60C"/>
    <w:rsid w:val="00280068"/>
    <w:rsid w:val="002801FF"/>
    <w:rsid w:val="0028031C"/>
    <w:rsid w:val="0028032F"/>
    <w:rsid w:val="00280365"/>
    <w:rsid w:val="002803A9"/>
    <w:rsid w:val="002803C9"/>
    <w:rsid w:val="0028050E"/>
    <w:rsid w:val="002805AB"/>
    <w:rsid w:val="002805AE"/>
    <w:rsid w:val="002805E6"/>
    <w:rsid w:val="00280670"/>
    <w:rsid w:val="002807CC"/>
    <w:rsid w:val="00280975"/>
    <w:rsid w:val="002809C5"/>
    <w:rsid w:val="00280B0A"/>
    <w:rsid w:val="00280B52"/>
    <w:rsid w:val="00280B68"/>
    <w:rsid w:val="00280B9C"/>
    <w:rsid w:val="00280BC2"/>
    <w:rsid w:val="00280C8A"/>
    <w:rsid w:val="00280E8F"/>
    <w:rsid w:val="0028115E"/>
    <w:rsid w:val="002811E1"/>
    <w:rsid w:val="00281461"/>
    <w:rsid w:val="002814B9"/>
    <w:rsid w:val="0028150E"/>
    <w:rsid w:val="00281577"/>
    <w:rsid w:val="00281646"/>
    <w:rsid w:val="002816A5"/>
    <w:rsid w:val="002816B3"/>
    <w:rsid w:val="002816EB"/>
    <w:rsid w:val="00281724"/>
    <w:rsid w:val="002817F7"/>
    <w:rsid w:val="002819C9"/>
    <w:rsid w:val="00281C72"/>
    <w:rsid w:val="00281CD2"/>
    <w:rsid w:val="00281E85"/>
    <w:rsid w:val="00281F01"/>
    <w:rsid w:val="002820A0"/>
    <w:rsid w:val="0028210C"/>
    <w:rsid w:val="002821DC"/>
    <w:rsid w:val="002821DD"/>
    <w:rsid w:val="002821EB"/>
    <w:rsid w:val="00282228"/>
    <w:rsid w:val="002822DD"/>
    <w:rsid w:val="00282327"/>
    <w:rsid w:val="0028233B"/>
    <w:rsid w:val="0028238A"/>
    <w:rsid w:val="0028257A"/>
    <w:rsid w:val="00282702"/>
    <w:rsid w:val="00282793"/>
    <w:rsid w:val="002827F7"/>
    <w:rsid w:val="00282A7D"/>
    <w:rsid w:val="00282B3E"/>
    <w:rsid w:val="00282D13"/>
    <w:rsid w:val="00282DD0"/>
    <w:rsid w:val="00282F6B"/>
    <w:rsid w:val="00283029"/>
    <w:rsid w:val="002830D2"/>
    <w:rsid w:val="00283113"/>
    <w:rsid w:val="00283211"/>
    <w:rsid w:val="00283379"/>
    <w:rsid w:val="00283384"/>
    <w:rsid w:val="0028342B"/>
    <w:rsid w:val="002834F4"/>
    <w:rsid w:val="002835DD"/>
    <w:rsid w:val="00283657"/>
    <w:rsid w:val="002836F4"/>
    <w:rsid w:val="002837DE"/>
    <w:rsid w:val="002838B4"/>
    <w:rsid w:val="002839AA"/>
    <w:rsid w:val="00283BC2"/>
    <w:rsid w:val="00283C10"/>
    <w:rsid w:val="00283C90"/>
    <w:rsid w:val="00283D65"/>
    <w:rsid w:val="00283E8E"/>
    <w:rsid w:val="00283F72"/>
    <w:rsid w:val="00283F9A"/>
    <w:rsid w:val="00283FC2"/>
    <w:rsid w:val="00284114"/>
    <w:rsid w:val="002841D0"/>
    <w:rsid w:val="00284207"/>
    <w:rsid w:val="0028424E"/>
    <w:rsid w:val="002842AB"/>
    <w:rsid w:val="002842DB"/>
    <w:rsid w:val="002842EE"/>
    <w:rsid w:val="002842FD"/>
    <w:rsid w:val="00284340"/>
    <w:rsid w:val="0028438D"/>
    <w:rsid w:val="002843CF"/>
    <w:rsid w:val="002843FB"/>
    <w:rsid w:val="00284413"/>
    <w:rsid w:val="0028447A"/>
    <w:rsid w:val="0028450F"/>
    <w:rsid w:val="00284637"/>
    <w:rsid w:val="002846BA"/>
    <w:rsid w:val="0028472F"/>
    <w:rsid w:val="002847F4"/>
    <w:rsid w:val="00284846"/>
    <w:rsid w:val="002849D4"/>
    <w:rsid w:val="002849F1"/>
    <w:rsid w:val="00284A57"/>
    <w:rsid w:val="00284BBD"/>
    <w:rsid w:val="00284CCE"/>
    <w:rsid w:val="00284CF8"/>
    <w:rsid w:val="00284D22"/>
    <w:rsid w:val="00284E11"/>
    <w:rsid w:val="00284FAF"/>
    <w:rsid w:val="0028518A"/>
    <w:rsid w:val="002851A5"/>
    <w:rsid w:val="0028523E"/>
    <w:rsid w:val="00285246"/>
    <w:rsid w:val="0028532D"/>
    <w:rsid w:val="002853BA"/>
    <w:rsid w:val="002853E4"/>
    <w:rsid w:val="0028552A"/>
    <w:rsid w:val="00285573"/>
    <w:rsid w:val="0028564C"/>
    <w:rsid w:val="0028573F"/>
    <w:rsid w:val="002858DE"/>
    <w:rsid w:val="00285A3F"/>
    <w:rsid w:val="00285BAC"/>
    <w:rsid w:val="00285BB0"/>
    <w:rsid w:val="00285D54"/>
    <w:rsid w:val="00285E66"/>
    <w:rsid w:val="00285E89"/>
    <w:rsid w:val="00285EDB"/>
    <w:rsid w:val="00285EE1"/>
    <w:rsid w:val="00285F55"/>
    <w:rsid w:val="0028615F"/>
    <w:rsid w:val="00286193"/>
    <w:rsid w:val="00286278"/>
    <w:rsid w:val="00286449"/>
    <w:rsid w:val="00286479"/>
    <w:rsid w:val="002864A0"/>
    <w:rsid w:val="00286592"/>
    <w:rsid w:val="0028662A"/>
    <w:rsid w:val="0028672C"/>
    <w:rsid w:val="00286A50"/>
    <w:rsid w:val="00286B40"/>
    <w:rsid w:val="00286B71"/>
    <w:rsid w:val="00286D01"/>
    <w:rsid w:val="00286D36"/>
    <w:rsid w:val="00286DCB"/>
    <w:rsid w:val="00286E8E"/>
    <w:rsid w:val="00286ECB"/>
    <w:rsid w:val="00286FAB"/>
    <w:rsid w:val="002870E2"/>
    <w:rsid w:val="0028732A"/>
    <w:rsid w:val="00287416"/>
    <w:rsid w:val="0028746B"/>
    <w:rsid w:val="002874B6"/>
    <w:rsid w:val="002874F4"/>
    <w:rsid w:val="00287A8F"/>
    <w:rsid w:val="00287BB7"/>
    <w:rsid w:val="00287C01"/>
    <w:rsid w:val="00287C37"/>
    <w:rsid w:val="00287CDB"/>
    <w:rsid w:val="00287CDD"/>
    <w:rsid w:val="00287DA3"/>
    <w:rsid w:val="00287DEA"/>
    <w:rsid w:val="00287E13"/>
    <w:rsid w:val="00287E69"/>
    <w:rsid w:val="00287E78"/>
    <w:rsid w:val="00287EE1"/>
    <w:rsid w:val="00287EEA"/>
    <w:rsid w:val="00287F6A"/>
    <w:rsid w:val="0029010D"/>
    <w:rsid w:val="00290147"/>
    <w:rsid w:val="00290165"/>
    <w:rsid w:val="002902A3"/>
    <w:rsid w:val="002902AB"/>
    <w:rsid w:val="00290365"/>
    <w:rsid w:val="00290445"/>
    <w:rsid w:val="00290507"/>
    <w:rsid w:val="002905C4"/>
    <w:rsid w:val="00290676"/>
    <w:rsid w:val="002906D4"/>
    <w:rsid w:val="0029071C"/>
    <w:rsid w:val="0029072A"/>
    <w:rsid w:val="00290776"/>
    <w:rsid w:val="00290847"/>
    <w:rsid w:val="002908FF"/>
    <w:rsid w:val="0029092E"/>
    <w:rsid w:val="00290A3A"/>
    <w:rsid w:val="00290A5B"/>
    <w:rsid w:val="00290BC2"/>
    <w:rsid w:val="00290BC6"/>
    <w:rsid w:val="00290C4D"/>
    <w:rsid w:val="00290C78"/>
    <w:rsid w:val="00290C9B"/>
    <w:rsid w:val="00290D75"/>
    <w:rsid w:val="00290E1A"/>
    <w:rsid w:val="00290E4E"/>
    <w:rsid w:val="00290E69"/>
    <w:rsid w:val="00290EF7"/>
    <w:rsid w:val="00290F82"/>
    <w:rsid w:val="00290F8B"/>
    <w:rsid w:val="00291030"/>
    <w:rsid w:val="002911DD"/>
    <w:rsid w:val="00291208"/>
    <w:rsid w:val="00291213"/>
    <w:rsid w:val="00291225"/>
    <w:rsid w:val="00291243"/>
    <w:rsid w:val="002913B2"/>
    <w:rsid w:val="00291419"/>
    <w:rsid w:val="00291462"/>
    <w:rsid w:val="0029150D"/>
    <w:rsid w:val="00291572"/>
    <w:rsid w:val="002915B0"/>
    <w:rsid w:val="00291767"/>
    <w:rsid w:val="002917B7"/>
    <w:rsid w:val="00291B4D"/>
    <w:rsid w:val="00291B83"/>
    <w:rsid w:val="00291CB4"/>
    <w:rsid w:val="00291D7D"/>
    <w:rsid w:val="00291DD7"/>
    <w:rsid w:val="002920A1"/>
    <w:rsid w:val="00292352"/>
    <w:rsid w:val="00292372"/>
    <w:rsid w:val="002923FB"/>
    <w:rsid w:val="0029248E"/>
    <w:rsid w:val="00292523"/>
    <w:rsid w:val="0029252C"/>
    <w:rsid w:val="0029262C"/>
    <w:rsid w:val="002927C6"/>
    <w:rsid w:val="0029285B"/>
    <w:rsid w:val="00292918"/>
    <w:rsid w:val="0029292F"/>
    <w:rsid w:val="00292A27"/>
    <w:rsid w:val="00292A7B"/>
    <w:rsid w:val="00292BF7"/>
    <w:rsid w:val="00292C67"/>
    <w:rsid w:val="00292CCD"/>
    <w:rsid w:val="00292DFF"/>
    <w:rsid w:val="00292EE4"/>
    <w:rsid w:val="00293019"/>
    <w:rsid w:val="00293048"/>
    <w:rsid w:val="0029304E"/>
    <w:rsid w:val="0029320A"/>
    <w:rsid w:val="00293459"/>
    <w:rsid w:val="00293507"/>
    <w:rsid w:val="0029354B"/>
    <w:rsid w:val="002935D3"/>
    <w:rsid w:val="002935FD"/>
    <w:rsid w:val="00293668"/>
    <w:rsid w:val="00293783"/>
    <w:rsid w:val="002937AE"/>
    <w:rsid w:val="002937B7"/>
    <w:rsid w:val="002937BC"/>
    <w:rsid w:val="00293804"/>
    <w:rsid w:val="0029389E"/>
    <w:rsid w:val="0029391A"/>
    <w:rsid w:val="0029394E"/>
    <w:rsid w:val="0029395E"/>
    <w:rsid w:val="0029398C"/>
    <w:rsid w:val="002939A5"/>
    <w:rsid w:val="00293A55"/>
    <w:rsid w:val="00293A98"/>
    <w:rsid w:val="00293ACF"/>
    <w:rsid w:val="00293AFA"/>
    <w:rsid w:val="00293B95"/>
    <w:rsid w:val="00293BF8"/>
    <w:rsid w:val="00293D04"/>
    <w:rsid w:val="00293ED9"/>
    <w:rsid w:val="00293F33"/>
    <w:rsid w:val="00293FB0"/>
    <w:rsid w:val="002940C7"/>
    <w:rsid w:val="00294140"/>
    <w:rsid w:val="0029422C"/>
    <w:rsid w:val="00294311"/>
    <w:rsid w:val="0029450B"/>
    <w:rsid w:val="00294524"/>
    <w:rsid w:val="0029458E"/>
    <w:rsid w:val="002945C0"/>
    <w:rsid w:val="002945CC"/>
    <w:rsid w:val="002946BB"/>
    <w:rsid w:val="0029476B"/>
    <w:rsid w:val="002947C8"/>
    <w:rsid w:val="00294898"/>
    <w:rsid w:val="0029499A"/>
    <w:rsid w:val="00294B25"/>
    <w:rsid w:val="00294B61"/>
    <w:rsid w:val="00294B9C"/>
    <w:rsid w:val="00294C29"/>
    <w:rsid w:val="00294D05"/>
    <w:rsid w:val="00294D18"/>
    <w:rsid w:val="00294E7E"/>
    <w:rsid w:val="00294EA7"/>
    <w:rsid w:val="00294EAF"/>
    <w:rsid w:val="00294EC9"/>
    <w:rsid w:val="00294EFB"/>
    <w:rsid w:val="00294F32"/>
    <w:rsid w:val="00294FAA"/>
    <w:rsid w:val="00294FF5"/>
    <w:rsid w:val="00295054"/>
    <w:rsid w:val="00295091"/>
    <w:rsid w:val="002952E2"/>
    <w:rsid w:val="002954F5"/>
    <w:rsid w:val="002955F8"/>
    <w:rsid w:val="00295601"/>
    <w:rsid w:val="00295605"/>
    <w:rsid w:val="002957FB"/>
    <w:rsid w:val="002958B4"/>
    <w:rsid w:val="00295903"/>
    <w:rsid w:val="00295A31"/>
    <w:rsid w:val="00295ABE"/>
    <w:rsid w:val="00295B4A"/>
    <w:rsid w:val="00295BFA"/>
    <w:rsid w:val="00295C58"/>
    <w:rsid w:val="00295E3C"/>
    <w:rsid w:val="00295EE1"/>
    <w:rsid w:val="0029600C"/>
    <w:rsid w:val="0029603E"/>
    <w:rsid w:val="00296077"/>
    <w:rsid w:val="002960AA"/>
    <w:rsid w:val="002960C8"/>
    <w:rsid w:val="00296221"/>
    <w:rsid w:val="002962AD"/>
    <w:rsid w:val="002963B6"/>
    <w:rsid w:val="0029641B"/>
    <w:rsid w:val="00296505"/>
    <w:rsid w:val="002965F0"/>
    <w:rsid w:val="002967FB"/>
    <w:rsid w:val="00296820"/>
    <w:rsid w:val="002969E2"/>
    <w:rsid w:val="00296B5D"/>
    <w:rsid w:val="00296B89"/>
    <w:rsid w:val="00296CE3"/>
    <w:rsid w:val="00296D68"/>
    <w:rsid w:val="00296DCD"/>
    <w:rsid w:val="00296EA7"/>
    <w:rsid w:val="00296EC2"/>
    <w:rsid w:val="002970C9"/>
    <w:rsid w:val="00297237"/>
    <w:rsid w:val="00297308"/>
    <w:rsid w:val="00297441"/>
    <w:rsid w:val="002974F4"/>
    <w:rsid w:val="002975A6"/>
    <w:rsid w:val="002975B8"/>
    <w:rsid w:val="002975B9"/>
    <w:rsid w:val="00297745"/>
    <w:rsid w:val="002977AC"/>
    <w:rsid w:val="00297897"/>
    <w:rsid w:val="002978EE"/>
    <w:rsid w:val="002979BF"/>
    <w:rsid w:val="002979C1"/>
    <w:rsid w:val="00297B9E"/>
    <w:rsid w:val="00297C07"/>
    <w:rsid w:val="00297CF7"/>
    <w:rsid w:val="00297D03"/>
    <w:rsid w:val="00297D21"/>
    <w:rsid w:val="00297D74"/>
    <w:rsid w:val="00297D82"/>
    <w:rsid w:val="00297E72"/>
    <w:rsid w:val="00297F67"/>
    <w:rsid w:val="002A0005"/>
    <w:rsid w:val="002A005B"/>
    <w:rsid w:val="002A012E"/>
    <w:rsid w:val="002A0206"/>
    <w:rsid w:val="002A036F"/>
    <w:rsid w:val="002A04B4"/>
    <w:rsid w:val="002A0507"/>
    <w:rsid w:val="002A0547"/>
    <w:rsid w:val="002A066A"/>
    <w:rsid w:val="002A06A1"/>
    <w:rsid w:val="002A07B8"/>
    <w:rsid w:val="002A0842"/>
    <w:rsid w:val="002A0844"/>
    <w:rsid w:val="002A086A"/>
    <w:rsid w:val="002A0906"/>
    <w:rsid w:val="002A0946"/>
    <w:rsid w:val="002A09FC"/>
    <w:rsid w:val="002A0B66"/>
    <w:rsid w:val="002A0BF5"/>
    <w:rsid w:val="002A0C97"/>
    <w:rsid w:val="002A0CB1"/>
    <w:rsid w:val="002A0E1C"/>
    <w:rsid w:val="002A0E47"/>
    <w:rsid w:val="002A11E2"/>
    <w:rsid w:val="002A124D"/>
    <w:rsid w:val="002A127F"/>
    <w:rsid w:val="002A129C"/>
    <w:rsid w:val="002A12FB"/>
    <w:rsid w:val="002A1417"/>
    <w:rsid w:val="002A145B"/>
    <w:rsid w:val="002A1478"/>
    <w:rsid w:val="002A14F1"/>
    <w:rsid w:val="002A151A"/>
    <w:rsid w:val="002A1644"/>
    <w:rsid w:val="002A170E"/>
    <w:rsid w:val="002A17C9"/>
    <w:rsid w:val="002A1806"/>
    <w:rsid w:val="002A18BE"/>
    <w:rsid w:val="002A18F1"/>
    <w:rsid w:val="002A1950"/>
    <w:rsid w:val="002A1A7C"/>
    <w:rsid w:val="002A1B64"/>
    <w:rsid w:val="002A1F36"/>
    <w:rsid w:val="002A1FA9"/>
    <w:rsid w:val="002A2027"/>
    <w:rsid w:val="002A2048"/>
    <w:rsid w:val="002A2154"/>
    <w:rsid w:val="002A2379"/>
    <w:rsid w:val="002A2389"/>
    <w:rsid w:val="002A24CB"/>
    <w:rsid w:val="002A24E0"/>
    <w:rsid w:val="002A2531"/>
    <w:rsid w:val="002A25B2"/>
    <w:rsid w:val="002A25F5"/>
    <w:rsid w:val="002A260A"/>
    <w:rsid w:val="002A261E"/>
    <w:rsid w:val="002A262A"/>
    <w:rsid w:val="002A266A"/>
    <w:rsid w:val="002A270E"/>
    <w:rsid w:val="002A2764"/>
    <w:rsid w:val="002A27DB"/>
    <w:rsid w:val="002A284F"/>
    <w:rsid w:val="002A28B5"/>
    <w:rsid w:val="002A28DF"/>
    <w:rsid w:val="002A29BF"/>
    <w:rsid w:val="002A2A58"/>
    <w:rsid w:val="002A2A91"/>
    <w:rsid w:val="002A2B93"/>
    <w:rsid w:val="002A2BA4"/>
    <w:rsid w:val="002A2F25"/>
    <w:rsid w:val="002A2F74"/>
    <w:rsid w:val="002A3101"/>
    <w:rsid w:val="002A318B"/>
    <w:rsid w:val="002A32DE"/>
    <w:rsid w:val="002A33AB"/>
    <w:rsid w:val="002A3460"/>
    <w:rsid w:val="002A34AC"/>
    <w:rsid w:val="002A34E8"/>
    <w:rsid w:val="002A35E0"/>
    <w:rsid w:val="002A3604"/>
    <w:rsid w:val="002A3636"/>
    <w:rsid w:val="002A365B"/>
    <w:rsid w:val="002A36F6"/>
    <w:rsid w:val="002A3757"/>
    <w:rsid w:val="002A375C"/>
    <w:rsid w:val="002A37DE"/>
    <w:rsid w:val="002A380C"/>
    <w:rsid w:val="002A383A"/>
    <w:rsid w:val="002A3848"/>
    <w:rsid w:val="002A38BE"/>
    <w:rsid w:val="002A38CF"/>
    <w:rsid w:val="002A3B1E"/>
    <w:rsid w:val="002A3C09"/>
    <w:rsid w:val="002A3C34"/>
    <w:rsid w:val="002A3C59"/>
    <w:rsid w:val="002A3C5F"/>
    <w:rsid w:val="002A3CCE"/>
    <w:rsid w:val="002A3DA3"/>
    <w:rsid w:val="002A3E6E"/>
    <w:rsid w:val="002A3ECE"/>
    <w:rsid w:val="002A3EE1"/>
    <w:rsid w:val="002A4084"/>
    <w:rsid w:val="002A40BC"/>
    <w:rsid w:val="002A40FB"/>
    <w:rsid w:val="002A413A"/>
    <w:rsid w:val="002A4252"/>
    <w:rsid w:val="002A4261"/>
    <w:rsid w:val="002A428C"/>
    <w:rsid w:val="002A4492"/>
    <w:rsid w:val="002A44C9"/>
    <w:rsid w:val="002A4559"/>
    <w:rsid w:val="002A455E"/>
    <w:rsid w:val="002A4632"/>
    <w:rsid w:val="002A4641"/>
    <w:rsid w:val="002A4765"/>
    <w:rsid w:val="002A479D"/>
    <w:rsid w:val="002A4858"/>
    <w:rsid w:val="002A48D3"/>
    <w:rsid w:val="002A490A"/>
    <w:rsid w:val="002A49B3"/>
    <w:rsid w:val="002A49F0"/>
    <w:rsid w:val="002A4AB0"/>
    <w:rsid w:val="002A4AD6"/>
    <w:rsid w:val="002A4B1A"/>
    <w:rsid w:val="002A4BCB"/>
    <w:rsid w:val="002A4CCF"/>
    <w:rsid w:val="002A4D99"/>
    <w:rsid w:val="002A4DFD"/>
    <w:rsid w:val="002A4E23"/>
    <w:rsid w:val="002A4ECF"/>
    <w:rsid w:val="002A4FB0"/>
    <w:rsid w:val="002A5040"/>
    <w:rsid w:val="002A509B"/>
    <w:rsid w:val="002A51B2"/>
    <w:rsid w:val="002A520D"/>
    <w:rsid w:val="002A52A7"/>
    <w:rsid w:val="002A52AD"/>
    <w:rsid w:val="002A5300"/>
    <w:rsid w:val="002A5315"/>
    <w:rsid w:val="002A5593"/>
    <w:rsid w:val="002A580A"/>
    <w:rsid w:val="002A582E"/>
    <w:rsid w:val="002A58FC"/>
    <w:rsid w:val="002A5942"/>
    <w:rsid w:val="002A5AC7"/>
    <w:rsid w:val="002A5AF5"/>
    <w:rsid w:val="002A5B89"/>
    <w:rsid w:val="002A5DBD"/>
    <w:rsid w:val="002A5F49"/>
    <w:rsid w:val="002A5F7A"/>
    <w:rsid w:val="002A5F7F"/>
    <w:rsid w:val="002A60B8"/>
    <w:rsid w:val="002A610F"/>
    <w:rsid w:val="002A6125"/>
    <w:rsid w:val="002A614E"/>
    <w:rsid w:val="002A6203"/>
    <w:rsid w:val="002A6234"/>
    <w:rsid w:val="002A62D0"/>
    <w:rsid w:val="002A637C"/>
    <w:rsid w:val="002A64CE"/>
    <w:rsid w:val="002A64FF"/>
    <w:rsid w:val="002A653D"/>
    <w:rsid w:val="002A6578"/>
    <w:rsid w:val="002A66A8"/>
    <w:rsid w:val="002A66D0"/>
    <w:rsid w:val="002A6732"/>
    <w:rsid w:val="002A68C6"/>
    <w:rsid w:val="002A695D"/>
    <w:rsid w:val="002A6A62"/>
    <w:rsid w:val="002A6D31"/>
    <w:rsid w:val="002A6DAC"/>
    <w:rsid w:val="002A6DD7"/>
    <w:rsid w:val="002A6F11"/>
    <w:rsid w:val="002A6FD7"/>
    <w:rsid w:val="002A6FF2"/>
    <w:rsid w:val="002A7137"/>
    <w:rsid w:val="002A714B"/>
    <w:rsid w:val="002A7196"/>
    <w:rsid w:val="002A71A6"/>
    <w:rsid w:val="002A720F"/>
    <w:rsid w:val="002A7269"/>
    <w:rsid w:val="002A728F"/>
    <w:rsid w:val="002A7438"/>
    <w:rsid w:val="002A76AE"/>
    <w:rsid w:val="002A7753"/>
    <w:rsid w:val="002A7982"/>
    <w:rsid w:val="002A7992"/>
    <w:rsid w:val="002A7A4F"/>
    <w:rsid w:val="002A7B3C"/>
    <w:rsid w:val="002A7B99"/>
    <w:rsid w:val="002A7CB5"/>
    <w:rsid w:val="002A7D0E"/>
    <w:rsid w:val="002A7D23"/>
    <w:rsid w:val="002A7DBF"/>
    <w:rsid w:val="002A7E20"/>
    <w:rsid w:val="002A7F64"/>
    <w:rsid w:val="002A7F7F"/>
    <w:rsid w:val="002A7FB6"/>
    <w:rsid w:val="002B00C4"/>
    <w:rsid w:val="002B00EF"/>
    <w:rsid w:val="002B020D"/>
    <w:rsid w:val="002B0237"/>
    <w:rsid w:val="002B0309"/>
    <w:rsid w:val="002B0395"/>
    <w:rsid w:val="002B04C1"/>
    <w:rsid w:val="002B0594"/>
    <w:rsid w:val="002B05DF"/>
    <w:rsid w:val="002B068C"/>
    <w:rsid w:val="002B06BA"/>
    <w:rsid w:val="002B076D"/>
    <w:rsid w:val="002B079E"/>
    <w:rsid w:val="002B07E0"/>
    <w:rsid w:val="002B0830"/>
    <w:rsid w:val="002B097C"/>
    <w:rsid w:val="002B0991"/>
    <w:rsid w:val="002B09F6"/>
    <w:rsid w:val="002B0A90"/>
    <w:rsid w:val="002B0B70"/>
    <w:rsid w:val="002B0BB7"/>
    <w:rsid w:val="002B0DF3"/>
    <w:rsid w:val="002B0ED9"/>
    <w:rsid w:val="002B0FE8"/>
    <w:rsid w:val="002B1014"/>
    <w:rsid w:val="002B101F"/>
    <w:rsid w:val="002B10FD"/>
    <w:rsid w:val="002B1135"/>
    <w:rsid w:val="002B1170"/>
    <w:rsid w:val="002B11F8"/>
    <w:rsid w:val="002B1207"/>
    <w:rsid w:val="002B12EF"/>
    <w:rsid w:val="002B136F"/>
    <w:rsid w:val="002B1384"/>
    <w:rsid w:val="002B13A6"/>
    <w:rsid w:val="002B13DD"/>
    <w:rsid w:val="002B1722"/>
    <w:rsid w:val="002B173B"/>
    <w:rsid w:val="002B185A"/>
    <w:rsid w:val="002B18FA"/>
    <w:rsid w:val="002B1946"/>
    <w:rsid w:val="002B195C"/>
    <w:rsid w:val="002B19C1"/>
    <w:rsid w:val="002B1C26"/>
    <w:rsid w:val="002B1C82"/>
    <w:rsid w:val="002B1CA2"/>
    <w:rsid w:val="002B1F08"/>
    <w:rsid w:val="002B1F4B"/>
    <w:rsid w:val="002B1F69"/>
    <w:rsid w:val="002B2213"/>
    <w:rsid w:val="002B2246"/>
    <w:rsid w:val="002B2302"/>
    <w:rsid w:val="002B23C1"/>
    <w:rsid w:val="002B2517"/>
    <w:rsid w:val="002B2562"/>
    <w:rsid w:val="002B25C9"/>
    <w:rsid w:val="002B2618"/>
    <w:rsid w:val="002B268E"/>
    <w:rsid w:val="002B26E0"/>
    <w:rsid w:val="002B2763"/>
    <w:rsid w:val="002B2899"/>
    <w:rsid w:val="002B28E4"/>
    <w:rsid w:val="002B299D"/>
    <w:rsid w:val="002B2A3B"/>
    <w:rsid w:val="002B2CF3"/>
    <w:rsid w:val="002B2D0C"/>
    <w:rsid w:val="002B2D1E"/>
    <w:rsid w:val="002B2D2F"/>
    <w:rsid w:val="002B2DDE"/>
    <w:rsid w:val="002B2E1D"/>
    <w:rsid w:val="002B2E49"/>
    <w:rsid w:val="002B2E67"/>
    <w:rsid w:val="002B2E7B"/>
    <w:rsid w:val="002B2F27"/>
    <w:rsid w:val="002B301A"/>
    <w:rsid w:val="002B304F"/>
    <w:rsid w:val="002B312A"/>
    <w:rsid w:val="002B3131"/>
    <w:rsid w:val="002B3246"/>
    <w:rsid w:val="002B328A"/>
    <w:rsid w:val="002B32E2"/>
    <w:rsid w:val="002B3331"/>
    <w:rsid w:val="002B3346"/>
    <w:rsid w:val="002B34D1"/>
    <w:rsid w:val="002B34D4"/>
    <w:rsid w:val="002B352F"/>
    <w:rsid w:val="002B3681"/>
    <w:rsid w:val="002B37CA"/>
    <w:rsid w:val="002B3874"/>
    <w:rsid w:val="002B3C28"/>
    <w:rsid w:val="002B3C82"/>
    <w:rsid w:val="002B3CA9"/>
    <w:rsid w:val="002B3CB5"/>
    <w:rsid w:val="002B3DE0"/>
    <w:rsid w:val="002B3EAA"/>
    <w:rsid w:val="002B3F48"/>
    <w:rsid w:val="002B3FD0"/>
    <w:rsid w:val="002B41A3"/>
    <w:rsid w:val="002B41E5"/>
    <w:rsid w:val="002B4207"/>
    <w:rsid w:val="002B4214"/>
    <w:rsid w:val="002B422A"/>
    <w:rsid w:val="002B4299"/>
    <w:rsid w:val="002B42D1"/>
    <w:rsid w:val="002B42F7"/>
    <w:rsid w:val="002B4429"/>
    <w:rsid w:val="002B44F0"/>
    <w:rsid w:val="002B4721"/>
    <w:rsid w:val="002B4758"/>
    <w:rsid w:val="002B47C6"/>
    <w:rsid w:val="002B491A"/>
    <w:rsid w:val="002B4A35"/>
    <w:rsid w:val="002B4B8C"/>
    <w:rsid w:val="002B4BEB"/>
    <w:rsid w:val="002B4D14"/>
    <w:rsid w:val="002B4D2D"/>
    <w:rsid w:val="002B4DFD"/>
    <w:rsid w:val="002B4E09"/>
    <w:rsid w:val="002B4E39"/>
    <w:rsid w:val="002B4E51"/>
    <w:rsid w:val="002B4E5A"/>
    <w:rsid w:val="002B4F3B"/>
    <w:rsid w:val="002B4FF2"/>
    <w:rsid w:val="002B5054"/>
    <w:rsid w:val="002B516B"/>
    <w:rsid w:val="002B5242"/>
    <w:rsid w:val="002B5265"/>
    <w:rsid w:val="002B53BD"/>
    <w:rsid w:val="002B53C1"/>
    <w:rsid w:val="002B54C7"/>
    <w:rsid w:val="002B55C8"/>
    <w:rsid w:val="002B5608"/>
    <w:rsid w:val="002B56A9"/>
    <w:rsid w:val="002B5741"/>
    <w:rsid w:val="002B57EC"/>
    <w:rsid w:val="002B5845"/>
    <w:rsid w:val="002B5890"/>
    <w:rsid w:val="002B58CB"/>
    <w:rsid w:val="002B599E"/>
    <w:rsid w:val="002B5B1C"/>
    <w:rsid w:val="002B5B58"/>
    <w:rsid w:val="002B5BFF"/>
    <w:rsid w:val="002B5DD8"/>
    <w:rsid w:val="002B5E15"/>
    <w:rsid w:val="002B611B"/>
    <w:rsid w:val="002B6358"/>
    <w:rsid w:val="002B6370"/>
    <w:rsid w:val="002B637D"/>
    <w:rsid w:val="002B6523"/>
    <w:rsid w:val="002B6672"/>
    <w:rsid w:val="002B667C"/>
    <w:rsid w:val="002B66AC"/>
    <w:rsid w:val="002B66D9"/>
    <w:rsid w:val="002B684B"/>
    <w:rsid w:val="002B6920"/>
    <w:rsid w:val="002B6A2F"/>
    <w:rsid w:val="002B6B17"/>
    <w:rsid w:val="002B6C51"/>
    <w:rsid w:val="002B6D04"/>
    <w:rsid w:val="002B6DAC"/>
    <w:rsid w:val="002B6DBF"/>
    <w:rsid w:val="002B6DD2"/>
    <w:rsid w:val="002B6DF9"/>
    <w:rsid w:val="002B712D"/>
    <w:rsid w:val="002B7232"/>
    <w:rsid w:val="002B725A"/>
    <w:rsid w:val="002B729F"/>
    <w:rsid w:val="002B733C"/>
    <w:rsid w:val="002B735C"/>
    <w:rsid w:val="002B73FD"/>
    <w:rsid w:val="002B741F"/>
    <w:rsid w:val="002B7434"/>
    <w:rsid w:val="002B75EA"/>
    <w:rsid w:val="002B7665"/>
    <w:rsid w:val="002B76CB"/>
    <w:rsid w:val="002B77EE"/>
    <w:rsid w:val="002B783B"/>
    <w:rsid w:val="002B78CD"/>
    <w:rsid w:val="002B78F4"/>
    <w:rsid w:val="002B78F6"/>
    <w:rsid w:val="002B79DC"/>
    <w:rsid w:val="002B7A39"/>
    <w:rsid w:val="002B7AFC"/>
    <w:rsid w:val="002B7B03"/>
    <w:rsid w:val="002B7C37"/>
    <w:rsid w:val="002B7C6B"/>
    <w:rsid w:val="002B7D30"/>
    <w:rsid w:val="002B7D6D"/>
    <w:rsid w:val="002C00D5"/>
    <w:rsid w:val="002C00D9"/>
    <w:rsid w:val="002C018C"/>
    <w:rsid w:val="002C0213"/>
    <w:rsid w:val="002C02D0"/>
    <w:rsid w:val="002C0367"/>
    <w:rsid w:val="002C037D"/>
    <w:rsid w:val="002C05F9"/>
    <w:rsid w:val="002C0786"/>
    <w:rsid w:val="002C0874"/>
    <w:rsid w:val="002C0892"/>
    <w:rsid w:val="002C0A26"/>
    <w:rsid w:val="002C0A51"/>
    <w:rsid w:val="002C0A7D"/>
    <w:rsid w:val="002C0A8E"/>
    <w:rsid w:val="002C0AF7"/>
    <w:rsid w:val="002C0BC8"/>
    <w:rsid w:val="002C0C0B"/>
    <w:rsid w:val="002C0CA0"/>
    <w:rsid w:val="002C0CBD"/>
    <w:rsid w:val="002C0D27"/>
    <w:rsid w:val="002C0D3B"/>
    <w:rsid w:val="002C0D93"/>
    <w:rsid w:val="002C0DD8"/>
    <w:rsid w:val="002C0F16"/>
    <w:rsid w:val="002C0F9F"/>
    <w:rsid w:val="002C10A4"/>
    <w:rsid w:val="002C10A9"/>
    <w:rsid w:val="002C1106"/>
    <w:rsid w:val="002C11CA"/>
    <w:rsid w:val="002C1223"/>
    <w:rsid w:val="002C1329"/>
    <w:rsid w:val="002C140D"/>
    <w:rsid w:val="002C1469"/>
    <w:rsid w:val="002C15AB"/>
    <w:rsid w:val="002C15E3"/>
    <w:rsid w:val="002C165C"/>
    <w:rsid w:val="002C1699"/>
    <w:rsid w:val="002C16AA"/>
    <w:rsid w:val="002C16E5"/>
    <w:rsid w:val="002C16F0"/>
    <w:rsid w:val="002C1705"/>
    <w:rsid w:val="002C1707"/>
    <w:rsid w:val="002C1716"/>
    <w:rsid w:val="002C1770"/>
    <w:rsid w:val="002C17F9"/>
    <w:rsid w:val="002C1864"/>
    <w:rsid w:val="002C18C9"/>
    <w:rsid w:val="002C1A1E"/>
    <w:rsid w:val="002C1BAF"/>
    <w:rsid w:val="002C1C3B"/>
    <w:rsid w:val="002C1C44"/>
    <w:rsid w:val="002C1C8E"/>
    <w:rsid w:val="002C1C96"/>
    <w:rsid w:val="002C1DD5"/>
    <w:rsid w:val="002C1F2C"/>
    <w:rsid w:val="002C1F83"/>
    <w:rsid w:val="002C2150"/>
    <w:rsid w:val="002C234A"/>
    <w:rsid w:val="002C240E"/>
    <w:rsid w:val="002C24D3"/>
    <w:rsid w:val="002C257C"/>
    <w:rsid w:val="002C267B"/>
    <w:rsid w:val="002C26F0"/>
    <w:rsid w:val="002C2923"/>
    <w:rsid w:val="002C29B7"/>
    <w:rsid w:val="002C2A0D"/>
    <w:rsid w:val="002C2A8B"/>
    <w:rsid w:val="002C2B2C"/>
    <w:rsid w:val="002C2B74"/>
    <w:rsid w:val="002C2BA7"/>
    <w:rsid w:val="002C2BC6"/>
    <w:rsid w:val="002C2BCC"/>
    <w:rsid w:val="002C2CF2"/>
    <w:rsid w:val="002C2D0E"/>
    <w:rsid w:val="002C2F17"/>
    <w:rsid w:val="002C2F87"/>
    <w:rsid w:val="002C2FD1"/>
    <w:rsid w:val="002C3057"/>
    <w:rsid w:val="002C3155"/>
    <w:rsid w:val="002C31BC"/>
    <w:rsid w:val="002C322F"/>
    <w:rsid w:val="002C3337"/>
    <w:rsid w:val="002C3339"/>
    <w:rsid w:val="002C3360"/>
    <w:rsid w:val="002C3378"/>
    <w:rsid w:val="002C344B"/>
    <w:rsid w:val="002C347A"/>
    <w:rsid w:val="002C354D"/>
    <w:rsid w:val="002C3562"/>
    <w:rsid w:val="002C3595"/>
    <w:rsid w:val="002C3650"/>
    <w:rsid w:val="002C3669"/>
    <w:rsid w:val="002C369A"/>
    <w:rsid w:val="002C3734"/>
    <w:rsid w:val="002C38C1"/>
    <w:rsid w:val="002C3922"/>
    <w:rsid w:val="002C3A0B"/>
    <w:rsid w:val="002C3A2E"/>
    <w:rsid w:val="002C3ADC"/>
    <w:rsid w:val="002C3AE5"/>
    <w:rsid w:val="002C3B36"/>
    <w:rsid w:val="002C3B40"/>
    <w:rsid w:val="002C3C0B"/>
    <w:rsid w:val="002C3C83"/>
    <w:rsid w:val="002C3CEA"/>
    <w:rsid w:val="002C3E35"/>
    <w:rsid w:val="002C3F75"/>
    <w:rsid w:val="002C404C"/>
    <w:rsid w:val="002C40AE"/>
    <w:rsid w:val="002C40C2"/>
    <w:rsid w:val="002C40EE"/>
    <w:rsid w:val="002C4154"/>
    <w:rsid w:val="002C4237"/>
    <w:rsid w:val="002C4256"/>
    <w:rsid w:val="002C443F"/>
    <w:rsid w:val="002C45E8"/>
    <w:rsid w:val="002C463D"/>
    <w:rsid w:val="002C46AA"/>
    <w:rsid w:val="002C47E5"/>
    <w:rsid w:val="002C4882"/>
    <w:rsid w:val="002C4A16"/>
    <w:rsid w:val="002C4ACE"/>
    <w:rsid w:val="002C4AE3"/>
    <w:rsid w:val="002C4B31"/>
    <w:rsid w:val="002C4BBD"/>
    <w:rsid w:val="002C4BD0"/>
    <w:rsid w:val="002C4CC5"/>
    <w:rsid w:val="002C4DC3"/>
    <w:rsid w:val="002C4FDD"/>
    <w:rsid w:val="002C5034"/>
    <w:rsid w:val="002C5038"/>
    <w:rsid w:val="002C50C2"/>
    <w:rsid w:val="002C511C"/>
    <w:rsid w:val="002C5151"/>
    <w:rsid w:val="002C516C"/>
    <w:rsid w:val="002C5280"/>
    <w:rsid w:val="002C52D5"/>
    <w:rsid w:val="002C52DF"/>
    <w:rsid w:val="002C531E"/>
    <w:rsid w:val="002C53BA"/>
    <w:rsid w:val="002C54A0"/>
    <w:rsid w:val="002C54B2"/>
    <w:rsid w:val="002C580A"/>
    <w:rsid w:val="002C58E3"/>
    <w:rsid w:val="002C595B"/>
    <w:rsid w:val="002C5963"/>
    <w:rsid w:val="002C599C"/>
    <w:rsid w:val="002C59A9"/>
    <w:rsid w:val="002C59DF"/>
    <w:rsid w:val="002C5A5E"/>
    <w:rsid w:val="002C5AE9"/>
    <w:rsid w:val="002C5B4D"/>
    <w:rsid w:val="002C5B52"/>
    <w:rsid w:val="002C5C0B"/>
    <w:rsid w:val="002C5CA4"/>
    <w:rsid w:val="002C5E56"/>
    <w:rsid w:val="002C5EAF"/>
    <w:rsid w:val="002C5F2D"/>
    <w:rsid w:val="002C5F3A"/>
    <w:rsid w:val="002C6057"/>
    <w:rsid w:val="002C606C"/>
    <w:rsid w:val="002C60D7"/>
    <w:rsid w:val="002C612C"/>
    <w:rsid w:val="002C6153"/>
    <w:rsid w:val="002C617E"/>
    <w:rsid w:val="002C62D6"/>
    <w:rsid w:val="002C6353"/>
    <w:rsid w:val="002C6489"/>
    <w:rsid w:val="002C6534"/>
    <w:rsid w:val="002C65A7"/>
    <w:rsid w:val="002C65BB"/>
    <w:rsid w:val="002C65E4"/>
    <w:rsid w:val="002C662F"/>
    <w:rsid w:val="002C6679"/>
    <w:rsid w:val="002C66AC"/>
    <w:rsid w:val="002C66CF"/>
    <w:rsid w:val="002C67B0"/>
    <w:rsid w:val="002C6AFE"/>
    <w:rsid w:val="002C6B44"/>
    <w:rsid w:val="002C6BD4"/>
    <w:rsid w:val="002C6D57"/>
    <w:rsid w:val="002C6F5F"/>
    <w:rsid w:val="002C6F92"/>
    <w:rsid w:val="002C70CE"/>
    <w:rsid w:val="002C7202"/>
    <w:rsid w:val="002C7239"/>
    <w:rsid w:val="002C7256"/>
    <w:rsid w:val="002C72DE"/>
    <w:rsid w:val="002C72E7"/>
    <w:rsid w:val="002C730F"/>
    <w:rsid w:val="002C735B"/>
    <w:rsid w:val="002C736C"/>
    <w:rsid w:val="002C73A7"/>
    <w:rsid w:val="002C743F"/>
    <w:rsid w:val="002C74E5"/>
    <w:rsid w:val="002C74F8"/>
    <w:rsid w:val="002C74FE"/>
    <w:rsid w:val="002C752E"/>
    <w:rsid w:val="002C75D3"/>
    <w:rsid w:val="002C76CB"/>
    <w:rsid w:val="002C77DE"/>
    <w:rsid w:val="002C7823"/>
    <w:rsid w:val="002C7888"/>
    <w:rsid w:val="002C7890"/>
    <w:rsid w:val="002C78BE"/>
    <w:rsid w:val="002C7917"/>
    <w:rsid w:val="002C79FA"/>
    <w:rsid w:val="002C7B51"/>
    <w:rsid w:val="002C7BA6"/>
    <w:rsid w:val="002C7BC3"/>
    <w:rsid w:val="002C7CEB"/>
    <w:rsid w:val="002C7F47"/>
    <w:rsid w:val="002C7F8F"/>
    <w:rsid w:val="002D009E"/>
    <w:rsid w:val="002D01F6"/>
    <w:rsid w:val="002D0207"/>
    <w:rsid w:val="002D022C"/>
    <w:rsid w:val="002D02B0"/>
    <w:rsid w:val="002D03FD"/>
    <w:rsid w:val="002D0450"/>
    <w:rsid w:val="002D04C9"/>
    <w:rsid w:val="002D0572"/>
    <w:rsid w:val="002D07CB"/>
    <w:rsid w:val="002D07D8"/>
    <w:rsid w:val="002D0879"/>
    <w:rsid w:val="002D0895"/>
    <w:rsid w:val="002D09A6"/>
    <w:rsid w:val="002D09F2"/>
    <w:rsid w:val="002D0A9A"/>
    <w:rsid w:val="002D0B85"/>
    <w:rsid w:val="002D0C21"/>
    <w:rsid w:val="002D0CE9"/>
    <w:rsid w:val="002D0DA9"/>
    <w:rsid w:val="002D0DD2"/>
    <w:rsid w:val="002D0F1E"/>
    <w:rsid w:val="002D0FFB"/>
    <w:rsid w:val="002D1115"/>
    <w:rsid w:val="002D11EF"/>
    <w:rsid w:val="002D1289"/>
    <w:rsid w:val="002D12C6"/>
    <w:rsid w:val="002D14A3"/>
    <w:rsid w:val="002D14D9"/>
    <w:rsid w:val="002D14FA"/>
    <w:rsid w:val="002D15F7"/>
    <w:rsid w:val="002D1659"/>
    <w:rsid w:val="002D1675"/>
    <w:rsid w:val="002D16C7"/>
    <w:rsid w:val="002D1730"/>
    <w:rsid w:val="002D1774"/>
    <w:rsid w:val="002D1845"/>
    <w:rsid w:val="002D185C"/>
    <w:rsid w:val="002D1909"/>
    <w:rsid w:val="002D19C9"/>
    <w:rsid w:val="002D1A44"/>
    <w:rsid w:val="002D1ACA"/>
    <w:rsid w:val="002D1B6A"/>
    <w:rsid w:val="002D1B8B"/>
    <w:rsid w:val="002D1C7E"/>
    <w:rsid w:val="002D1CB6"/>
    <w:rsid w:val="002D1D8C"/>
    <w:rsid w:val="002D1D91"/>
    <w:rsid w:val="002D1DAA"/>
    <w:rsid w:val="002D1E18"/>
    <w:rsid w:val="002D1E28"/>
    <w:rsid w:val="002D2076"/>
    <w:rsid w:val="002D214A"/>
    <w:rsid w:val="002D2180"/>
    <w:rsid w:val="002D2223"/>
    <w:rsid w:val="002D22B5"/>
    <w:rsid w:val="002D241F"/>
    <w:rsid w:val="002D2470"/>
    <w:rsid w:val="002D24D9"/>
    <w:rsid w:val="002D25B7"/>
    <w:rsid w:val="002D267F"/>
    <w:rsid w:val="002D2689"/>
    <w:rsid w:val="002D26CE"/>
    <w:rsid w:val="002D274B"/>
    <w:rsid w:val="002D278F"/>
    <w:rsid w:val="002D2944"/>
    <w:rsid w:val="002D294E"/>
    <w:rsid w:val="002D29BF"/>
    <w:rsid w:val="002D2B3B"/>
    <w:rsid w:val="002D2B78"/>
    <w:rsid w:val="002D2B98"/>
    <w:rsid w:val="002D2C68"/>
    <w:rsid w:val="002D2C70"/>
    <w:rsid w:val="002D2D3F"/>
    <w:rsid w:val="002D2D59"/>
    <w:rsid w:val="002D2DC3"/>
    <w:rsid w:val="002D2E8F"/>
    <w:rsid w:val="002D2F16"/>
    <w:rsid w:val="002D2FAF"/>
    <w:rsid w:val="002D2FDC"/>
    <w:rsid w:val="002D3072"/>
    <w:rsid w:val="002D307D"/>
    <w:rsid w:val="002D311C"/>
    <w:rsid w:val="002D31D5"/>
    <w:rsid w:val="002D323F"/>
    <w:rsid w:val="002D3265"/>
    <w:rsid w:val="002D32FD"/>
    <w:rsid w:val="002D3370"/>
    <w:rsid w:val="002D33CE"/>
    <w:rsid w:val="002D33D8"/>
    <w:rsid w:val="002D3453"/>
    <w:rsid w:val="002D349D"/>
    <w:rsid w:val="002D34E8"/>
    <w:rsid w:val="002D3610"/>
    <w:rsid w:val="002D38A5"/>
    <w:rsid w:val="002D393A"/>
    <w:rsid w:val="002D3946"/>
    <w:rsid w:val="002D39F6"/>
    <w:rsid w:val="002D3A34"/>
    <w:rsid w:val="002D3B33"/>
    <w:rsid w:val="002D3B72"/>
    <w:rsid w:val="002D3C54"/>
    <w:rsid w:val="002D3CDD"/>
    <w:rsid w:val="002D3E8B"/>
    <w:rsid w:val="002D3E9D"/>
    <w:rsid w:val="002D3F1F"/>
    <w:rsid w:val="002D3F8A"/>
    <w:rsid w:val="002D3FC9"/>
    <w:rsid w:val="002D4018"/>
    <w:rsid w:val="002D4092"/>
    <w:rsid w:val="002D40B4"/>
    <w:rsid w:val="002D410E"/>
    <w:rsid w:val="002D41A0"/>
    <w:rsid w:val="002D4208"/>
    <w:rsid w:val="002D420B"/>
    <w:rsid w:val="002D420F"/>
    <w:rsid w:val="002D4308"/>
    <w:rsid w:val="002D4388"/>
    <w:rsid w:val="002D451F"/>
    <w:rsid w:val="002D4581"/>
    <w:rsid w:val="002D45BA"/>
    <w:rsid w:val="002D4695"/>
    <w:rsid w:val="002D4806"/>
    <w:rsid w:val="002D4872"/>
    <w:rsid w:val="002D4886"/>
    <w:rsid w:val="002D48AF"/>
    <w:rsid w:val="002D4B8D"/>
    <w:rsid w:val="002D4C09"/>
    <w:rsid w:val="002D4C33"/>
    <w:rsid w:val="002D4CCE"/>
    <w:rsid w:val="002D4DEA"/>
    <w:rsid w:val="002D4E29"/>
    <w:rsid w:val="002D4F8F"/>
    <w:rsid w:val="002D508C"/>
    <w:rsid w:val="002D5097"/>
    <w:rsid w:val="002D50A8"/>
    <w:rsid w:val="002D5110"/>
    <w:rsid w:val="002D521B"/>
    <w:rsid w:val="002D525C"/>
    <w:rsid w:val="002D5289"/>
    <w:rsid w:val="002D5309"/>
    <w:rsid w:val="002D541C"/>
    <w:rsid w:val="002D55E4"/>
    <w:rsid w:val="002D5612"/>
    <w:rsid w:val="002D569C"/>
    <w:rsid w:val="002D572D"/>
    <w:rsid w:val="002D57C8"/>
    <w:rsid w:val="002D5984"/>
    <w:rsid w:val="002D59B6"/>
    <w:rsid w:val="002D5AB4"/>
    <w:rsid w:val="002D5B84"/>
    <w:rsid w:val="002D5B8D"/>
    <w:rsid w:val="002D5B8F"/>
    <w:rsid w:val="002D5BC0"/>
    <w:rsid w:val="002D5BE1"/>
    <w:rsid w:val="002D5C0F"/>
    <w:rsid w:val="002D5C1F"/>
    <w:rsid w:val="002D5C89"/>
    <w:rsid w:val="002D5E69"/>
    <w:rsid w:val="002D5EB7"/>
    <w:rsid w:val="002D5F0F"/>
    <w:rsid w:val="002D601C"/>
    <w:rsid w:val="002D602E"/>
    <w:rsid w:val="002D6042"/>
    <w:rsid w:val="002D612E"/>
    <w:rsid w:val="002D6283"/>
    <w:rsid w:val="002D634B"/>
    <w:rsid w:val="002D6494"/>
    <w:rsid w:val="002D64D3"/>
    <w:rsid w:val="002D64F5"/>
    <w:rsid w:val="002D651B"/>
    <w:rsid w:val="002D6581"/>
    <w:rsid w:val="002D6648"/>
    <w:rsid w:val="002D6691"/>
    <w:rsid w:val="002D67E8"/>
    <w:rsid w:val="002D682B"/>
    <w:rsid w:val="002D690D"/>
    <w:rsid w:val="002D6988"/>
    <w:rsid w:val="002D6AE2"/>
    <w:rsid w:val="002D6C0B"/>
    <w:rsid w:val="002D6CBD"/>
    <w:rsid w:val="002D6DF1"/>
    <w:rsid w:val="002D6DF4"/>
    <w:rsid w:val="002D6E5A"/>
    <w:rsid w:val="002D6E94"/>
    <w:rsid w:val="002D6EED"/>
    <w:rsid w:val="002D6F5D"/>
    <w:rsid w:val="002D6F9A"/>
    <w:rsid w:val="002D6FD2"/>
    <w:rsid w:val="002D7008"/>
    <w:rsid w:val="002D709F"/>
    <w:rsid w:val="002D70C2"/>
    <w:rsid w:val="002D7131"/>
    <w:rsid w:val="002D7141"/>
    <w:rsid w:val="002D74C1"/>
    <w:rsid w:val="002D74F3"/>
    <w:rsid w:val="002D74FB"/>
    <w:rsid w:val="002D7584"/>
    <w:rsid w:val="002D793F"/>
    <w:rsid w:val="002D7A8C"/>
    <w:rsid w:val="002D7B4C"/>
    <w:rsid w:val="002D7D02"/>
    <w:rsid w:val="002D7D3E"/>
    <w:rsid w:val="002D7D5B"/>
    <w:rsid w:val="002D7D6E"/>
    <w:rsid w:val="002D7DBE"/>
    <w:rsid w:val="002D7EC2"/>
    <w:rsid w:val="002E0030"/>
    <w:rsid w:val="002E00BF"/>
    <w:rsid w:val="002E0165"/>
    <w:rsid w:val="002E0167"/>
    <w:rsid w:val="002E017A"/>
    <w:rsid w:val="002E0355"/>
    <w:rsid w:val="002E03DC"/>
    <w:rsid w:val="002E0657"/>
    <w:rsid w:val="002E074D"/>
    <w:rsid w:val="002E0809"/>
    <w:rsid w:val="002E084B"/>
    <w:rsid w:val="002E084E"/>
    <w:rsid w:val="002E08C1"/>
    <w:rsid w:val="002E09B7"/>
    <w:rsid w:val="002E0C6D"/>
    <w:rsid w:val="002E0E46"/>
    <w:rsid w:val="002E0EDD"/>
    <w:rsid w:val="002E0F18"/>
    <w:rsid w:val="002E0F4E"/>
    <w:rsid w:val="002E0F5D"/>
    <w:rsid w:val="002E115C"/>
    <w:rsid w:val="002E11DF"/>
    <w:rsid w:val="002E1307"/>
    <w:rsid w:val="002E13C1"/>
    <w:rsid w:val="002E14DB"/>
    <w:rsid w:val="002E1549"/>
    <w:rsid w:val="002E1581"/>
    <w:rsid w:val="002E161E"/>
    <w:rsid w:val="002E16C9"/>
    <w:rsid w:val="002E16DA"/>
    <w:rsid w:val="002E175B"/>
    <w:rsid w:val="002E1797"/>
    <w:rsid w:val="002E17A3"/>
    <w:rsid w:val="002E17D2"/>
    <w:rsid w:val="002E19E1"/>
    <w:rsid w:val="002E19EC"/>
    <w:rsid w:val="002E1A7C"/>
    <w:rsid w:val="002E1AE8"/>
    <w:rsid w:val="002E1B0A"/>
    <w:rsid w:val="002E1C6B"/>
    <w:rsid w:val="002E1CB9"/>
    <w:rsid w:val="002E1D61"/>
    <w:rsid w:val="002E1DDB"/>
    <w:rsid w:val="002E1DE8"/>
    <w:rsid w:val="002E1EFF"/>
    <w:rsid w:val="002E205B"/>
    <w:rsid w:val="002E2074"/>
    <w:rsid w:val="002E20DA"/>
    <w:rsid w:val="002E2169"/>
    <w:rsid w:val="002E22D5"/>
    <w:rsid w:val="002E232A"/>
    <w:rsid w:val="002E2383"/>
    <w:rsid w:val="002E23BB"/>
    <w:rsid w:val="002E2486"/>
    <w:rsid w:val="002E253A"/>
    <w:rsid w:val="002E26EE"/>
    <w:rsid w:val="002E2838"/>
    <w:rsid w:val="002E2897"/>
    <w:rsid w:val="002E2A04"/>
    <w:rsid w:val="002E2A41"/>
    <w:rsid w:val="002E2B80"/>
    <w:rsid w:val="002E2C2B"/>
    <w:rsid w:val="002E2D23"/>
    <w:rsid w:val="002E2DAE"/>
    <w:rsid w:val="002E2DCD"/>
    <w:rsid w:val="002E2E13"/>
    <w:rsid w:val="002E2F0D"/>
    <w:rsid w:val="002E2FA0"/>
    <w:rsid w:val="002E303A"/>
    <w:rsid w:val="002E30B6"/>
    <w:rsid w:val="002E30BC"/>
    <w:rsid w:val="002E31E7"/>
    <w:rsid w:val="002E322F"/>
    <w:rsid w:val="002E32B3"/>
    <w:rsid w:val="002E33AA"/>
    <w:rsid w:val="002E3553"/>
    <w:rsid w:val="002E3751"/>
    <w:rsid w:val="002E381A"/>
    <w:rsid w:val="002E387B"/>
    <w:rsid w:val="002E3958"/>
    <w:rsid w:val="002E3A0F"/>
    <w:rsid w:val="002E3C03"/>
    <w:rsid w:val="002E3E18"/>
    <w:rsid w:val="002E3FB8"/>
    <w:rsid w:val="002E4083"/>
    <w:rsid w:val="002E40CD"/>
    <w:rsid w:val="002E41ED"/>
    <w:rsid w:val="002E422B"/>
    <w:rsid w:val="002E4275"/>
    <w:rsid w:val="002E4303"/>
    <w:rsid w:val="002E4323"/>
    <w:rsid w:val="002E460B"/>
    <w:rsid w:val="002E468C"/>
    <w:rsid w:val="002E46B1"/>
    <w:rsid w:val="002E46F5"/>
    <w:rsid w:val="002E4735"/>
    <w:rsid w:val="002E475D"/>
    <w:rsid w:val="002E477C"/>
    <w:rsid w:val="002E4884"/>
    <w:rsid w:val="002E4AD7"/>
    <w:rsid w:val="002E4AEE"/>
    <w:rsid w:val="002E4B48"/>
    <w:rsid w:val="002E4C15"/>
    <w:rsid w:val="002E4CBF"/>
    <w:rsid w:val="002E4D6A"/>
    <w:rsid w:val="002E4D99"/>
    <w:rsid w:val="002E4E22"/>
    <w:rsid w:val="002E5053"/>
    <w:rsid w:val="002E5130"/>
    <w:rsid w:val="002E5148"/>
    <w:rsid w:val="002E52C8"/>
    <w:rsid w:val="002E53E7"/>
    <w:rsid w:val="002E5624"/>
    <w:rsid w:val="002E5626"/>
    <w:rsid w:val="002E56E1"/>
    <w:rsid w:val="002E597D"/>
    <w:rsid w:val="002E5ADF"/>
    <w:rsid w:val="002E5B3A"/>
    <w:rsid w:val="002E5B52"/>
    <w:rsid w:val="002E5BA4"/>
    <w:rsid w:val="002E5BAF"/>
    <w:rsid w:val="002E5C55"/>
    <w:rsid w:val="002E5CA2"/>
    <w:rsid w:val="002E5CC0"/>
    <w:rsid w:val="002E5D6A"/>
    <w:rsid w:val="002E5E6C"/>
    <w:rsid w:val="002E5EB8"/>
    <w:rsid w:val="002E5EE3"/>
    <w:rsid w:val="002E5FEC"/>
    <w:rsid w:val="002E6145"/>
    <w:rsid w:val="002E6187"/>
    <w:rsid w:val="002E61A0"/>
    <w:rsid w:val="002E626F"/>
    <w:rsid w:val="002E6296"/>
    <w:rsid w:val="002E63A5"/>
    <w:rsid w:val="002E63C6"/>
    <w:rsid w:val="002E63C9"/>
    <w:rsid w:val="002E6498"/>
    <w:rsid w:val="002E64D3"/>
    <w:rsid w:val="002E6659"/>
    <w:rsid w:val="002E67EA"/>
    <w:rsid w:val="002E67FF"/>
    <w:rsid w:val="002E689F"/>
    <w:rsid w:val="002E6A72"/>
    <w:rsid w:val="002E6B0A"/>
    <w:rsid w:val="002E6B7D"/>
    <w:rsid w:val="002E6B8E"/>
    <w:rsid w:val="002E6BEC"/>
    <w:rsid w:val="002E6C2F"/>
    <w:rsid w:val="002E6CA2"/>
    <w:rsid w:val="002E6CAB"/>
    <w:rsid w:val="002E6EC8"/>
    <w:rsid w:val="002E7016"/>
    <w:rsid w:val="002E7067"/>
    <w:rsid w:val="002E71BC"/>
    <w:rsid w:val="002E71FC"/>
    <w:rsid w:val="002E726E"/>
    <w:rsid w:val="002E72A1"/>
    <w:rsid w:val="002E7351"/>
    <w:rsid w:val="002E741E"/>
    <w:rsid w:val="002E74BB"/>
    <w:rsid w:val="002E7540"/>
    <w:rsid w:val="002E75DD"/>
    <w:rsid w:val="002E7602"/>
    <w:rsid w:val="002E7775"/>
    <w:rsid w:val="002E77C7"/>
    <w:rsid w:val="002E77D8"/>
    <w:rsid w:val="002E77E2"/>
    <w:rsid w:val="002E77F1"/>
    <w:rsid w:val="002E784A"/>
    <w:rsid w:val="002E789D"/>
    <w:rsid w:val="002E7930"/>
    <w:rsid w:val="002E7943"/>
    <w:rsid w:val="002E7A91"/>
    <w:rsid w:val="002E7AD2"/>
    <w:rsid w:val="002E7AFF"/>
    <w:rsid w:val="002E7B4C"/>
    <w:rsid w:val="002E7BBC"/>
    <w:rsid w:val="002E7CDF"/>
    <w:rsid w:val="002E7D0E"/>
    <w:rsid w:val="002E7D0F"/>
    <w:rsid w:val="002E7D6B"/>
    <w:rsid w:val="002E7D76"/>
    <w:rsid w:val="002E7D8D"/>
    <w:rsid w:val="002E7E0F"/>
    <w:rsid w:val="002E7E27"/>
    <w:rsid w:val="002E7EB0"/>
    <w:rsid w:val="002E7F32"/>
    <w:rsid w:val="002F0016"/>
    <w:rsid w:val="002F0095"/>
    <w:rsid w:val="002F014B"/>
    <w:rsid w:val="002F02BF"/>
    <w:rsid w:val="002F0350"/>
    <w:rsid w:val="002F03BD"/>
    <w:rsid w:val="002F0437"/>
    <w:rsid w:val="002F0441"/>
    <w:rsid w:val="002F04CE"/>
    <w:rsid w:val="002F04EA"/>
    <w:rsid w:val="002F0514"/>
    <w:rsid w:val="002F053D"/>
    <w:rsid w:val="002F05CB"/>
    <w:rsid w:val="002F0648"/>
    <w:rsid w:val="002F07CA"/>
    <w:rsid w:val="002F0859"/>
    <w:rsid w:val="002F0A84"/>
    <w:rsid w:val="002F0BE7"/>
    <w:rsid w:val="002F0BF7"/>
    <w:rsid w:val="002F0D95"/>
    <w:rsid w:val="002F0F29"/>
    <w:rsid w:val="002F0F8F"/>
    <w:rsid w:val="002F10D1"/>
    <w:rsid w:val="002F10D3"/>
    <w:rsid w:val="002F10F5"/>
    <w:rsid w:val="002F1183"/>
    <w:rsid w:val="002F11C6"/>
    <w:rsid w:val="002F121D"/>
    <w:rsid w:val="002F1399"/>
    <w:rsid w:val="002F14F1"/>
    <w:rsid w:val="002F1579"/>
    <w:rsid w:val="002F189C"/>
    <w:rsid w:val="002F1909"/>
    <w:rsid w:val="002F1913"/>
    <w:rsid w:val="002F1962"/>
    <w:rsid w:val="002F1A0D"/>
    <w:rsid w:val="002F1B04"/>
    <w:rsid w:val="002F1C18"/>
    <w:rsid w:val="002F1C68"/>
    <w:rsid w:val="002F1C70"/>
    <w:rsid w:val="002F1CB8"/>
    <w:rsid w:val="002F1CBC"/>
    <w:rsid w:val="002F1D1A"/>
    <w:rsid w:val="002F1E49"/>
    <w:rsid w:val="002F1ED6"/>
    <w:rsid w:val="002F1EEF"/>
    <w:rsid w:val="002F1EF0"/>
    <w:rsid w:val="002F20D0"/>
    <w:rsid w:val="002F2197"/>
    <w:rsid w:val="002F21DF"/>
    <w:rsid w:val="002F2231"/>
    <w:rsid w:val="002F2232"/>
    <w:rsid w:val="002F224E"/>
    <w:rsid w:val="002F2300"/>
    <w:rsid w:val="002F239F"/>
    <w:rsid w:val="002F2435"/>
    <w:rsid w:val="002F264E"/>
    <w:rsid w:val="002F2704"/>
    <w:rsid w:val="002F2831"/>
    <w:rsid w:val="002F297B"/>
    <w:rsid w:val="002F29C5"/>
    <w:rsid w:val="002F2A10"/>
    <w:rsid w:val="002F2A93"/>
    <w:rsid w:val="002F2C60"/>
    <w:rsid w:val="002F2D1C"/>
    <w:rsid w:val="002F2D62"/>
    <w:rsid w:val="002F2D66"/>
    <w:rsid w:val="002F2FA7"/>
    <w:rsid w:val="002F304A"/>
    <w:rsid w:val="002F3171"/>
    <w:rsid w:val="002F32DE"/>
    <w:rsid w:val="002F32FB"/>
    <w:rsid w:val="002F335D"/>
    <w:rsid w:val="002F33C7"/>
    <w:rsid w:val="002F347B"/>
    <w:rsid w:val="002F3513"/>
    <w:rsid w:val="002F3561"/>
    <w:rsid w:val="002F3631"/>
    <w:rsid w:val="002F37B7"/>
    <w:rsid w:val="002F380A"/>
    <w:rsid w:val="002F384B"/>
    <w:rsid w:val="002F38E2"/>
    <w:rsid w:val="002F38E3"/>
    <w:rsid w:val="002F3937"/>
    <w:rsid w:val="002F3958"/>
    <w:rsid w:val="002F39F0"/>
    <w:rsid w:val="002F3A06"/>
    <w:rsid w:val="002F3AAB"/>
    <w:rsid w:val="002F3B0E"/>
    <w:rsid w:val="002F3B1F"/>
    <w:rsid w:val="002F3C25"/>
    <w:rsid w:val="002F3CBB"/>
    <w:rsid w:val="002F3CE8"/>
    <w:rsid w:val="002F3D1D"/>
    <w:rsid w:val="002F3D3E"/>
    <w:rsid w:val="002F3D76"/>
    <w:rsid w:val="002F3D8B"/>
    <w:rsid w:val="002F3DCE"/>
    <w:rsid w:val="002F3E45"/>
    <w:rsid w:val="002F3E68"/>
    <w:rsid w:val="002F3F2F"/>
    <w:rsid w:val="002F4064"/>
    <w:rsid w:val="002F414C"/>
    <w:rsid w:val="002F4267"/>
    <w:rsid w:val="002F429A"/>
    <w:rsid w:val="002F42B0"/>
    <w:rsid w:val="002F42D1"/>
    <w:rsid w:val="002F42E2"/>
    <w:rsid w:val="002F433C"/>
    <w:rsid w:val="002F4388"/>
    <w:rsid w:val="002F442F"/>
    <w:rsid w:val="002F44F7"/>
    <w:rsid w:val="002F4504"/>
    <w:rsid w:val="002F450F"/>
    <w:rsid w:val="002F45A2"/>
    <w:rsid w:val="002F45D5"/>
    <w:rsid w:val="002F474B"/>
    <w:rsid w:val="002F47B5"/>
    <w:rsid w:val="002F47CC"/>
    <w:rsid w:val="002F47D0"/>
    <w:rsid w:val="002F483C"/>
    <w:rsid w:val="002F488A"/>
    <w:rsid w:val="002F48F6"/>
    <w:rsid w:val="002F4914"/>
    <w:rsid w:val="002F4BE2"/>
    <w:rsid w:val="002F4C49"/>
    <w:rsid w:val="002F4C6A"/>
    <w:rsid w:val="002F4CDE"/>
    <w:rsid w:val="002F4D39"/>
    <w:rsid w:val="002F4DED"/>
    <w:rsid w:val="002F4E07"/>
    <w:rsid w:val="002F5068"/>
    <w:rsid w:val="002F50FC"/>
    <w:rsid w:val="002F5108"/>
    <w:rsid w:val="002F510D"/>
    <w:rsid w:val="002F5201"/>
    <w:rsid w:val="002F52A7"/>
    <w:rsid w:val="002F5345"/>
    <w:rsid w:val="002F5375"/>
    <w:rsid w:val="002F540A"/>
    <w:rsid w:val="002F545D"/>
    <w:rsid w:val="002F5472"/>
    <w:rsid w:val="002F54DB"/>
    <w:rsid w:val="002F5508"/>
    <w:rsid w:val="002F554F"/>
    <w:rsid w:val="002F556A"/>
    <w:rsid w:val="002F5570"/>
    <w:rsid w:val="002F5611"/>
    <w:rsid w:val="002F565D"/>
    <w:rsid w:val="002F573D"/>
    <w:rsid w:val="002F57C1"/>
    <w:rsid w:val="002F57D5"/>
    <w:rsid w:val="002F5946"/>
    <w:rsid w:val="002F59F9"/>
    <w:rsid w:val="002F5A9A"/>
    <w:rsid w:val="002F5AC8"/>
    <w:rsid w:val="002F5AF0"/>
    <w:rsid w:val="002F5C54"/>
    <w:rsid w:val="002F5C59"/>
    <w:rsid w:val="002F5C9C"/>
    <w:rsid w:val="002F5DFA"/>
    <w:rsid w:val="002F5E68"/>
    <w:rsid w:val="002F5E99"/>
    <w:rsid w:val="002F5EC1"/>
    <w:rsid w:val="002F5EE0"/>
    <w:rsid w:val="002F5F5E"/>
    <w:rsid w:val="002F5F81"/>
    <w:rsid w:val="002F5F85"/>
    <w:rsid w:val="002F5FE9"/>
    <w:rsid w:val="002F613A"/>
    <w:rsid w:val="002F625B"/>
    <w:rsid w:val="002F6371"/>
    <w:rsid w:val="002F63F4"/>
    <w:rsid w:val="002F6495"/>
    <w:rsid w:val="002F64A9"/>
    <w:rsid w:val="002F65BD"/>
    <w:rsid w:val="002F6620"/>
    <w:rsid w:val="002F67C6"/>
    <w:rsid w:val="002F6829"/>
    <w:rsid w:val="002F691C"/>
    <w:rsid w:val="002F693F"/>
    <w:rsid w:val="002F6A11"/>
    <w:rsid w:val="002F6A39"/>
    <w:rsid w:val="002F6A96"/>
    <w:rsid w:val="002F6B53"/>
    <w:rsid w:val="002F6B98"/>
    <w:rsid w:val="002F6BA9"/>
    <w:rsid w:val="002F6BE2"/>
    <w:rsid w:val="002F6C45"/>
    <w:rsid w:val="002F6CFA"/>
    <w:rsid w:val="002F6E84"/>
    <w:rsid w:val="002F6F4C"/>
    <w:rsid w:val="002F6FEC"/>
    <w:rsid w:val="002F710A"/>
    <w:rsid w:val="002F7283"/>
    <w:rsid w:val="002F7448"/>
    <w:rsid w:val="002F7517"/>
    <w:rsid w:val="002F7719"/>
    <w:rsid w:val="002F77A6"/>
    <w:rsid w:val="002F77C8"/>
    <w:rsid w:val="002F781B"/>
    <w:rsid w:val="002F78D0"/>
    <w:rsid w:val="002F78F7"/>
    <w:rsid w:val="002F7921"/>
    <w:rsid w:val="002F7945"/>
    <w:rsid w:val="002F79ED"/>
    <w:rsid w:val="002F7AC3"/>
    <w:rsid w:val="002F7B64"/>
    <w:rsid w:val="002F7BD1"/>
    <w:rsid w:val="002F7C35"/>
    <w:rsid w:val="002F7C7E"/>
    <w:rsid w:val="002F7C86"/>
    <w:rsid w:val="002F7C8B"/>
    <w:rsid w:val="002F7D2E"/>
    <w:rsid w:val="002F7F49"/>
    <w:rsid w:val="002F7FA5"/>
    <w:rsid w:val="003000A0"/>
    <w:rsid w:val="00300107"/>
    <w:rsid w:val="0030019E"/>
    <w:rsid w:val="003001C5"/>
    <w:rsid w:val="00300302"/>
    <w:rsid w:val="00300368"/>
    <w:rsid w:val="003003B8"/>
    <w:rsid w:val="0030044B"/>
    <w:rsid w:val="0030064F"/>
    <w:rsid w:val="00300883"/>
    <w:rsid w:val="003008BF"/>
    <w:rsid w:val="003008CC"/>
    <w:rsid w:val="003008F4"/>
    <w:rsid w:val="003009DC"/>
    <w:rsid w:val="00300A1A"/>
    <w:rsid w:val="00300AD5"/>
    <w:rsid w:val="00300B38"/>
    <w:rsid w:val="00300BF4"/>
    <w:rsid w:val="00300D51"/>
    <w:rsid w:val="00300D5F"/>
    <w:rsid w:val="00300DFD"/>
    <w:rsid w:val="00300F67"/>
    <w:rsid w:val="00300FD8"/>
    <w:rsid w:val="00300FF7"/>
    <w:rsid w:val="003010B3"/>
    <w:rsid w:val="003010E6"/>
    <w:rsid w:val="00301101"/>
    <w:rsid w:val="00301309"/>
    <w:rsid w:val="00301312"/>
    <w:rsid w:val="00301351"/>
    <w:rsid w:val="0030140A"/>
    <w:rsid w:val="00301461"/>
    <w:rsid w:val="003014D6"/>
    <w:rsid w:val="0030159C"/>
    <w:rsid w:val="00301763"/>
    <w:rsid w:val="0030194A"/>
    <w:rsid w:val="00301965"/>
    <w:rsid w:val="00301BC7"/>
    <w:rsid w:val="00301D64"/>
    <w:rsid w:val="00301F34"/>
    <w:rsid w:val="00301F44"/>
    <w:rsid w:val="00301F60"/>
    <w:rsid w:val="00302065"/>
    <w:rsid w:val="00302126"/>
    <w:rsid w:val="00302252"/>
    <w:rsid w:val="003022CC"/>
    <w:rsid w:val="003022DF"/>
    <w:rsid w:val="00302373"/>
    <w:rsid w:val="003024A5"/>
    <w:rsid w:val="003024C5"/>
    <w:rsid w:val="00302569"/>
    <w:rsid w:val="00302685"/>
    <w:rsid w:val="00302690"/>
    <w:rsid w:val="0030277B"/>
    <w:rsid w:val="003027A2"/>
    <w:rsid w:val="00302808"/>
    <w:rsid w:val="003028C1"/>
    <w:rsid w:val="00302926"/>
    <w:rsid w:val="0030294E"/>
    <w:rsid w:val="00302B5D"/>
    <w:rsid w:val="00302CD6"/>
    <w:rsid w:val="00302D95"/>
    <w:rsid w:val="00302EC8"/>
    <w:rsid w:val="00302F37"/>
    <w:rsid w:val="00302FE2"/>
    <w:rsid w:val="00302FEB"/>
    <w:rsid w:val="00303029"/>
    <w:rsid w:val="003030CE"/>
    <w:rsid w:val="00303238"/>
    <w:rsid w:val="0030337A"/>
    <w:rsid w:val="00303499"/>
    <w:rsid w:val="00303554"/>
    <w:rsid w:val="00303708"/>
    <w:rsid w:val="0030373D"/>
    <w:rsid w:val="003038B6"/>
    <w:rsid w:val="003039F8"/>
    <w:rsid w:val="00303AE4"/>
    <w:rsid w:val="00303C06"/>
    <w:rsid w:val="00303C60"/>
    <w:rsid w:val="00303E06"/>
    <w:rsid w:val="00303F5B"/>
    <w:rsid w:val="00303F95"/>
    <w:rsid w:val="00303FC9"/>
    <w:rsid w:val="00304144"/>
    <w:rsid w:val="003042E2"/>
    <w:rsid w:val="0030440F"/>
    <w:rsid w:val="00304540"/>
    <w:rsid w:val="00304693"/>
    <w:rsid w:val="003047B7"/>
    <w:rsid w:val="00304897"/>
    <w:rsid w:val="00304906"/>
    <w:rsid w:val="00304A08"/>
    <w:rsid w:val="00304ABB"/>
    <w:rsid w:val="00304B23"/>
    <w:rsid w:val="00304B69"/>
    <w:rsid w:val="00304D25"/>
    <w:rsid w:val="00304E48"/>
    <w:rsid w:val="00304E66"/>
    <w:rsid w:val="00304EAD"/>
    <w:rsid w:val="00304FB8"/>
    <w:rsid w:val="0030505C"/>
    <w:rsid w:val="00305061"/>
    <w:rsid w:val="00305301"/>
    <w:rsid w:val="00305322"/>
    <w:rsid w:val="003053ED"/>
    <w:rsid w:val="00305462"/>
    <w:rsid w:val="003054CB"/>
    <w:rsid w:val="00305524"/>
    <w:rsid w:val="003056F8"/>
    <w:rsid w:val="003057E7"/>
    <w:rsid w:val="00305801"/>
    <w:rsid w:val="00305876"/>
    <w:rsid w:val="0030588C"/>
    <w:rsid w:val="003059A4"/>
    <w:rsid w:val="003059D5"/>
    <w:rsid w:val="00305B99"/>
    <w:rsid w:val="00305C25"/>
    <w:rsid w:val="00305C45"/>
    <w:rsid w:val="00305C73"/>
    <w:rsid w:val="00305D93"/>
    <w:rsid w:val="00305DAC"/>
    <w:rsid w:val="00305E0B"/>
    <w:rsid w:val="00305EB0"/>
    <w:rsid w:val="00305FC4"/>
    <w:rsid w:val="00306236"/>
    <w:rsid w:val="003062DE"/>
    <w:rsid w:val="00306312"/>
    <w:rsid w:val="0030643C"/>
    <w:rsid w:val="003064B6"/>
    <w:rsid w:val="003064DE"/>
    <w:rsid w:val="003065E1"/>
    <w:rsid w:val="003065EC"/>
    <w:rsid w:val="00306627"/>
    <w:rsid w:val="00306730"/>
    <w:rsid w:val="003067A5"/>
    <w:rsid w:val="003067DE"/>
    <w:rsid w:val="00306802"/>
    <w:rsid w:val="003068BF"/>
    <w:rsid w:val="003068F1"/>
    <w:rsid w:val="0030690E"/>
    <w:rsid w:val="00306958"/>
    <w:rsid w:val="003069D4"/>
    <w:rsid w:val="003069EF"/>
    <w:rsid w:val="00306A34"/>
    <w:rsid w:val="00306A6B"/>
    <w:rsid w:val="00306B38"/>
    <w:rsid w:val="00306B5C"/>
    <w:rsid w:val="00306D13"/>
    <w:rsid w:val="00306D32"/>
    <w:rsid w:val="00306DB7"/>
    <w:rsid w:val="00306DC5"/>
    <w:rsid w:val="00306DE2"/>
    <w:rsid w:val="00306E0C"/>
    <w:rsid w:val="00306E13"/>
    <w:rsid w:val="00306E51"/>
    <w:rsid w:val="00306E81"/>
    <w:rsid w:val="00306E91"/>
    <w:rsid w:val="003071EC"/>
    <w:rsid w:val="00307243"/>
    <w:rsid w:val="0030725A"/>
    <w:rsid w:val="00307269"/>
    <w:rsid w:val="00307292"/>
    <w:rsid w:val="00307299"/>
    <w:rsid w:val="003072F0"/>
    <w:rsid w:val="00307353"/>
    <w:rsid w:val="0030754B"/>
    <w:rsid w:val="0030755A"/>
    <w:rsid w:val="003075B5"/>
    <w:rsid w:val="003075F1"/>
    <w:rsid w:val="00307687"/>
    <w:rsid w:val="0030773A"/>
    <w:rsid w:val="00307763"/>
    <w:rsid w:val="003078FC"/>
    <w:rsid w:val="003079A3"/>
    <w:rsid w:val="003079C1"/>
    <w:rsid w:val="00307BAD"/>
    <w:rsid w:val="00307C06"/>
    <w:rsid w:val="00307CF9"/>
    <w:rsid w:val="00307D57"/>
    <w:rsid w:val="00307DE3"/>
    <w:rsid w:val="00307DF5"/>
    <w:rsid w:val="00307E91"/>
    <w:rsid w:val="00307EC4"/>
    <w:rsid w:val="00307F3C"/>
    <w:rsid w:val="00307F66"/>
    <w:rsid w:val="00307F7F"/>
    <w:rsid w:val="0031013F"/>
    <w:rsid w:val="0031024B"/>
    <w:rsid w:val="003102B1"/>
    <w:rsid w:val="003102C8"/>
    <w:rsid w:val="003102F4"/>
    <w:rsid w:val="0031042A"/>
    <w:rsid w:val="003106C9"/>
    <w:rsid w:val="003106CC"/>
    <w:rsid w:val="0031075C"/>
    <w:rsid w:val="0031075D"/>
    <w:rsid w:val="00310952"/>
    <w:rsid w:val="00310B9B"/>
    <w:rsid w:val="00310C3F"/>
    <w:rsid w:val="00310C47"/>
    <w:rsid w:val="00310CA0"/>
    <w:rsid w:val="00310CD4"/>
    <w:rsid w:val="00310E27"/>
    <w:rsid w:val="00310E44"/>
    <w:rsid w:val="00310E6B"/>
    <w:rsid w:val="00310FB1"/>
    <w:rsid w:val="00310FB6"/>
    <w:rsid w:val="00311001"/>
    <w:rsid w:val="0031103B"/>
    <w:rsid w:val="003111A8"/>
    <w:rsid w:val="00311267"/>
    <w:rsid w:val="00311281"/>
    <w:rsid w:val="0031128E"/>
    <w:rsid w:val="003112D4"/>
    <w:rsid w:val="003113AF"/>
    <w:rsid w:val="00311400"/>
    <w:rsid w:val="0031143F"/>
    <w:rsid w:val="00311475"/>
    <w:rsid w:val="003114F8"/>
    <w:rsid w:val="0031153F"/>
    <w:rsid w:val="00311570"/>
    <w:rsid w:val="003116C1"/>
    <w:rsid w:val="003116C6"/>
    <w:rsid w:val="003118A6"/>
    <w:rsid w:val="00311AEA"/>
    <w:rsid w:val="00311B54"/>
    <w:rsid w:val="00311CB2"/>
    <w:rsid w:val="00311CF6"/>
    <w:rsid w:val="00311F23"/>
    <w:rsid w:val="00312019"/>
    <w:rsid w:val="0031205B"/>
    <w:rsid w:val="00312077"/>
    <w:rsid w:val="0031215E"/>
    <w:rsid w:val="00312219"/>
    <w:rsid w:val="003122A9"/>
    <w:rsid w:val="003122E1"/>
    <w:rsid w:val="00312382"/>
    <w:rsid w:val="003123F3"/>
    <w:rsid w:val="003124BC"/>
    <w:rsid w:val="003125A7"/>
    <w:rsid w:val="003126FD"/>
    <w:rsid w:val="00312718"/>
    <w:rsid w:val="00312769"/>
    <w:rsid w:val="00312780"/>
    <w:rsid w:val="00312808"/>
    <w:rsid w:val="00312854"/>
    <w:rsid w:val="00312908"/>
    <w:rsid w:val="00312955"/>
    <w:rsid w:val="00312A1F"/>
    <w:rsid w:val="00312A8F"/>
    <w:rsid w:val="00312B26"/>
    <w:rsid w:val="00312B8B"/>
    <w:rsid w:val="00312BD8"/>
    <w:rsid w:val="00312C5F"/>
    <w:rsid w:val="00312D07"/>
    <w:rsid w:val="00312D95"/>
    <w:rsid w:val="00312DBA"/>
    <w:rsid w:val="00312F33"/>
    <w:rsid w:val="00312F51"/>
    <w:rsid w:val="00312F56"/>
    <w:rsid w:val="00312FB4"/>
    <w:rsid w:val="00313009"/>
    <w:rsid w:val="003130E6"/>
    <w:rsid w:val="00313119"/>
    <w:rsid w:val="003131B2"/>
    <w:rsid w:val="003132AB"/>
    <w:rsid w:val="003132E5"/>
    <w:rsid w:val="0031331E"/>
    <w:rsid w:val="00313396"/>
    <w:rsid w:val="003133E1"/>
    <w:rsid w:val="00313444"/>
    <w:rsid w:val="003134CE"/>
    <w:rsid w:val="00313572"/>
    <w:rsid w:val="00313601"/>
    <w:rsid w:val="0031360E"/>
    <w:rsid w:val="003136F2"/>
    <w:rsid w:val="003137BD"/>
    <w:rsid w:val="003137D3"/>
    <w:rsid w:val="00313898"/>
    <w:rsid w:val="003138F0"/>
    <w:rsid w:val="00313ADE"/>
    <w:rsid w:val="00313B3B"/>
    <w:rsid w:val="00313B54"/>
    <w:rsid w:val="00313B59"/>
    <w:rsid w:val="00313B90"/>
    <w:rsid w:val="00313C89"/>
    <w:rsid w:val="00313DD5"/>
    <w:rsid w:val="00313DE5"/>
    <w:rsid w:val="00313E24"/>
    <w:rsid w:val="00313FC8"/>
    <w:rsid w:val="00314051"/>
    <w:rsid w:val="003140D2"/>
    <w:rsid w:val="003140E3"/>
    <w:rsid w:val="00314190"/>
    <w:rsid w:val="003141C7"/>
    <w:rsid w:val="0031430E"/>
    <w:rsid w:val="00314349"/>
    <w:rsid w:val="00314432"/>
    <w:rsid w:val="00314454"/>
    <w:rsid w:val="0031446F"/>
    <w:rsid w:val="0031450C"/>
    <w:rsid w:val="00314734"/>
    <w:rsid w:val="0031477C"/>
    <w:rsid w:val="003147EE"/>
    <w:rsid w:val="00314881"/>
    <w:rsid w:val="003148EA"/>
    <w:rsid w:val="00314A27"/>
    <w:rsid w:val="00314B21"/>
    <w:rsid w:val="00314C17"/>
    <w:rsid w:val="00314C18"/>
    <w:rsid w:val="00314D5D"/>
    <w:rsid w:val="00314DBB"/>
    <w:rsid w:val="00314EB3"/>
    <w:rsid w:val="00314ED8"/>
    <w:rsid w:val="00314F09"/>
    <w:rsid w:val="00314FC1"/>
    <w:rsid w:val="00314FD6"/>
    <w:rsid w:val="0031500A"/>
    <w:rsid w:val="00315093"/>
    <w:rsid w:val="003151C2"/>
    <w:rsid w:val="003151C5"/>
    <w:rsid w:val="00315209"/>
    <w:rsid w:val="00315398"/>
    <w:rsid w:val="00315533"/>
    <w:rsid w:val="003155A6"/>
    <w:rsid w:val="003156AC"/>
    <w:rsid w:val="00315857"/>
    <w:rsid w:val="00315932"/>
    <w:rsid w:val="0031599D"/>
    <w:rsid w:val="003159FC"/>
    <w:rsid w:val="00315A7A"/>
    <w:rsid w:val="00315C68"/>
    <w:rsid w:val="00315CAD"/>
    <w:rsid w:val="00315D0B"/>
    <w:rsid w:val="00315D8C"/>
    <w:rsid w:val="00315E22"/>
    <w:rsid w:val="00315E3A"/>
    <w:rsid w:val="00315E69"/>
    <w:rsid w:val="00315ECD"/>
    <w:rsid w:val="003160A7"/>
    <w:rsid w:val="003160E0"/>
    <w:rsid w:val="003160E4"/>
    <w:rsid w:val="0031614F"/>
    <w:rsid w:val="00316182"/>
    <w:rsid w:val="003161D0"/>
    <w:rsid w:val="00316268"/>
    <w:rsid w:val="003162AB"/>
    <w:rsid w:val="00316343"/>
    <w:rsid w:val="0031636D"/>
    <w:rsid w:val="003163D7"/>
    <w:rsid w:val="00316463"/>
    <w:rsid w:val="00316584"/>
    <w:rsid w:val="0031669F"/>
    <w:rsid w:val="0031672F"/>
    <w:rsid w:val="00316934"/>
    <w:rsid w:val="00316974"/>
    <w:rsid w:val="0031698F"/>
    <w:rsid w:val="003169AD"/>
    <w:rsid w:val="00316A21"/>
    <w:rsid w:val="00316A4A"/>
    <w:rsid w:val="00316ABD"/>
    <w:rsid w:val="00316C80"/>
    <w:rsid w:val="00316CA0"/>
    <w:rsid w:val="00316E22"/>
    <w:rsid w:val="00316F4E"/>
    <w:rsid w:val="00316F9A"/>
    <w:rsid w:val="00317096"/>
    <w:rsid w:val="003170AD"/>
    <w:rsid w:val="00317212"/>
    <w:rsid w:val="00317368"/>
    <w:rsid w:val="003173E6"/>
    <w:rsid w:val="0031742D"/>
    <w:rsid w:val="00317522"/>
    <w:rsid w:val="0031767E"/>
    <w:rsid w:val="003176B9"/>
    <w:rsid w:val="00317714"/>
    <w:rsid w:val="00317745"/>
    <w:rsid w:val="00317871"/>
    <w:rsid w:val="00317A65"/>
    <w:rsid w:val="00317B38"/>
    <w:rsid w:val="00317CE3"/>
    <w:rsid w:val="00317D1A"/>
    <w:rsid w:val="00317D33"/>
    <w:rsid w:val="00317E34"/>
    <w:rsid w:val="00317F19"/>
    <w:rsid w:val="00317F4A"/>
    <w:rsid w:val="00317F7B"/>
    <w:rsid w:val="00320055"/>
    <w:rsid w:val="003202DA"/>
    <w:rsid w:val="00320358"/>
    <w:rsid w:val="003204B3"/>
    <w:rsid w:val="003204D7"/>
    <w:rsid w:val="0032050B"/>
    <w:rsid w:val="00320528"/>
    <w:rsid w:val="0032060C"/>
    <w:rsid w:val="0032071F"/>
    <w:rsid w:val="003207D8"/>
    <w:rsid w:val="0032081C"/>
    <w:rsid w:val="00320852"/>
    <w:rsid w:val="00320891"/>
    <w:rsid w:val="00320981"/>
    <w:rsid w:val="003209D0"/>
    <w:rsid w:val="003209E5"/>
    <w:rsid w:val="003209E8"/>
    <w:rsid w:val="00320A17"/>
    <w:rsid w:val="00320A35"/>
    <w:rsid w:val="00320ADA"/>
    <w:rsid w:val="00320ADF"/>
    <w:rsid w:val="00320C1B"/>
    <w:rsid w:val="00320CDE"/>
    <w:rsid w:val="00320D02"/>
    <w:rsid w:val="00320DC2"/>
    <w:rsid w:val="00320F60"/>
    <w:rsid w:val="00320FBD"/>
    <w:rsid w:val="0032105A"/>
    <w:rsid w:val="0032105D"/>
    <w:rsid w:val="00321068"/>
    <w:rsid w:val="003211A0"/>
    <w:rsid w:val="003211B7"/>
    <w:rsid w:val="00321347"/>
    <w:rsid w:val="00321376"/>
    <w:rsid w:val="003213F8"/>
    <w:rsid w:val="0032144E"/>
    <w:rsid w:val="00321554"/>
    <w:rsid w:val="00321611"/>
    <w:rsid w:val="0032161B"/>
    <w:rsid w:val="00321690"/>
    <w:rsid w:val="003216A0"/>
    <w:rsid w:val="003216DB"/>
    <w:rsid w:val="0032175E"/>
    <w:rsid w:val="0032181F"/>
    <w:rsid w:val="003218B0"/>
    <w:rsid w:val="003218E1"/>
    <w:rsid w:val="003218EF"/>
    <w:rsid w:val="00321956"/>
    <w:rsid w:val="003219AC"/>
    <w:rsid w:val="00321A98"/>
    <w:rsid w:val="00321AD8"/>
    <w:rsid w:val="00321ADD"/>
    <w:rsid w:val="00321B65"/>
    <w:rsid w:val="00321B79"/>
    <w:rsid w:val="00321BA4"/>
    <w:rsid w:val="00321BA7"/>
    <w:rsid w:val="00321D53"/>
    <w:rsid w:val="003220A2"/>
    <w:rsid w:val="00322182"/>
    <w:rsid w:val="003221D7"/>
    <w:rsid w:val="0032224C"/>
    <w:rsid w:val="00322260"/>
    <w:rsid w:val="003223CD"/>
    <w:rsid w:val="0032241D"/>
    <w:rsid w:val="0032245C"/>
    <w:rsid w:val="00322499"/>
    <w:rsid w:val="003224CB"/>
    <w:rsid w:val="0032256C"/>
    <w:rsid w:val="0032257F"/>
    <w:rsid w:val="003225D4"/>
    <w:rsid w:val="003227D3"/>
    <w:rsid w:val="003228A8"/>
    <w:rsid w:val="003228BB"/>
    <w:rsid w:val="00322934"/>
    <w:rsid w:val="0032293A"/>
    <w:rsid w:val="003229A6"/>
    <w:rsid w:val="00322C44"/>
    <w:rsid w:val="00322CBC"/>
    <w:rsid w:val="00322CC6"/>
    <w:rsid w:val="00322DA9"/>
    <w:rsid w:val="00322DE2"/>
    <w:rsid w:val="00322E8D"/>
    <w:rsid w:val="00322E93"/>
    <w:rsid w:val="00322EBA"/>
    <w:rsid w:val="00322EE3"/>
    <w:rsid w:val="00322F50"/>
    <w:rsid w:val="003230B4"/>
    <w:rsid w:val="0032324A"/>
    <w:rsid w:val="0032342B"/>
    <w:rsid w:val="00323531"/>
    <w:rsid w:val="00323616"/>
    <w:rsid w:val="003236EA"/>
    <w:rsid w:val="003236FD"/>
    <w:rsid w:val="0032373D"/>
    <w:rsid w:val="0032385B"/>
    <w:rsid w:val="00323897"/>
    <w:rsid w:val="003238EE"/>
    <w:rsid w:val="00323A4E"/>
    <w:rsid w:val="00323AC0"/>
    <w:rsid w:val="00323AF6"/>
    <w:rsid w:val="00323B30"/>
    <w:rsid w:val="00323C8E"/>
    <w:rsid w:val="00323E41"/>
    <w:rsid w:val="00323E57"/>
    <w:rsid w:val="00323E62"/>
    <w:rsid w:val="00323E6A"/>
    <w:rsid w:val="00323E92"/>
    <w:rsid w:val="00323EB2"/>
    <w:rsid w:val="00324012"/>
    <w:rsid w:val="0032404E"/>
    <w:rsid w:val="00324086"/>
    <w:rsid w:val="003240A0"/>
    <w:rsid w:val="003242CC"/>
    <w:rsid w:val="003242E4"/>
    <w:rsid w:val="00324386"/>
    <w:rsid w:val="00324394"/>
    <w:rsid w:val="003243F8"/>
    <w:rsid w:val="003244BF"/>
    <w:rsid w:val="0032456B"/>
    <w:rsid w:val="0032465E"/>
    <w:rsid w:val="00324673"/>
    <w:rsid w:val="00324791"/>
    <w:rsid w:val="00324849"/>
    <w:rsid w:val="003248AD"/>
    <w:rsid w:val="00324A04"/>
    <w:rsid w:val="00324A0D"/>
    <w:rsid w:val="00324AD6"/>
    <w:rsid w:val="00324AE9"/>
    <w:rsid w:val="00324BE1"/>
    <w:rsid w:val="00324C2D"/>
    <w:rsid w:val="00324C68"/>
    <w:rsid w:val="00324C9D"/>
    <w:rsid w:val="00324CD2"/>
    <w:rsid w:val="00324D62"/>
    <w:rsid w:val="00324E54"/>
    <w:rsid w:val="00324EA5"/>
    <w:rsid w:val="00324F2F"/>
    <w:rsid w:val="00324F67"/>
    <w:rsid w:val="00325096"/>
    <w:rsid w:val="003250E4"/>
    <w:rsid w:val="0032514D"/>
    <w:rsid w:val="003251C2"/>
    <w:rsid w:val="003251C9"/>
    <w:rsid w:val="0032520D"/>
    <w:rsid w:val="003252C7"/>
    <w:rsid w:val="0032535C"/>
    <w:rsid w:val="003253AF"/>
    <w:rsid w:val="003253EB"/>
    <w:rsid w:val="003254C1"/>
    <w:rsid w:val="003255D6"/>
    <w:rsid w:val="00325650"/>
    <w:rsid w:val="003259CF"/>
    <w:rsid w:val="00325A91"/>
    <w:rsid w:val="00325AA1"/>
    <w:rsid w:val="00325ACE"/>
    <w:rsid w:val="00325AE5"/>
    <w:rsid w:val="00325B23"/>
    <w:rsid w:val="00325B7E"/>
    <w:rsid w:val="00325B83"/>
    <w:rsid w:val="00325BC1"/>
    <w:rsid w:val="00325BEA"/>
    <w:rsid w:val="00325C6A"/>
    <w:rsid w:val="00325C81"/>
    <w:rsid w:val="00325DE1"/>
    <w:rsid w:val="00325FA0"/>
    <w:rsid w:val="00326136"/>
    <w:rsid w:val="0032616C"/>
    <w:rsid w:val="00326172"/>
    <w:rsid w:val="0032623F"/>
    <w:rsid w:val="00326248"/>
    <w:rsid w:val="003262FE"/>
    <w:rsid w:val="003263FE"/>
    <w:rsid w:val="003264DD"/>
    <w:rsid w:val="00326509"/>
    <w:rsid w:val="00326654"/>
    <w:rsid w:val="00326815"/>
    <w:rsid w:val="00326867"/>
    <w:rsid w:val="0032686A"/>
    <w:rsid w:val="00326885"/>
    <w:rsid w:val="0032697B"/>
    <w:rsid w:val="00326A11"/>
    <w:rsid w:val="00326A69"/>
    <w:rsid w:val="00326A74"/>
    <w:rsid w:val="00326A8B"/>
    <w:rsid w:val="00326B02"/>
    <w:rsid w:val="00326B29"/>
    <w:rsid w:val="00326BB3"/>
    <w:rsid w:val="00326C01"/>
    <w:rsid w:val="00326F1C"/>
    <w:rsid w:val="00326F69"/>
    <w:rsid w:val="0032707A"/>
    <w:rsid w:val="00327080"/>
    <w:rsid w:val="0032710F"/>
    <w:rsid w:val="0032711B"/>
    <w:rsid w:val="00327162"/>
    <w:rsid w:val="003273F7"/>
    <w:rsid w:val="0032742A"/>
    <w:rsid w:val="0032743B"/>
    <w:rsid w:val="0032754A"/>
    <w:rsid w:val="003275CE"/>
    <w:rsid w:val="003275D5"/>
    <w:rsid w:val="0032765D"/>
    <w:rsid w:val="00327817"/>
    <w:rsid w:val="0032793A"/>
    <w:rsid w:val="003279A9"/>
    <w:rsid w:val="003279BC"/>
    <w:rsid w:val="003279CA"/>
    <w:rsid w:val="00327A74"/>
    <w:rsid w:val="00327B0F"/>
    <w:rsid w:val="00327B73"/>
    <w:rsid w:val="00327B9D"/>
    <w:rsid w:val="00327BF5"/>
    <w:rsid w:val="00327C0D"/>
    <w:rsid w:val="00327C2C"/>
    <w:rsid w:val="00327C2E"/>
    <w:rsid w:val="00327D0D"/>
    <w:rsid w:val="00327D12"/>
    <w:rsid w:val="00327D1E"/>
    <w:rsid w:val="00327F14"/>
    <w:rsid w:val="00327F28"/>
    <w:rsid w:val="00327FB7"/>
    <w:rsid w:val="00327FB8"/>
    <w:rsid w:val="00327FE5"/>
    <w:rsid w:val="00330054"/>
    <w:rsid w:val="003300AD"/>
    <w:rsid w:val="00330181"/>
    <w:rsid w:val="0033025E"/>
    <w:rsid w:val="003305E3"/>
    <w:rsid w:val="003306A5"/>
    <w:rsid w:val="003306E3"/>
    <w:rsid w:val="00330720"/>
    <w:rsid w:val="0033081E"/>
    <w:rsid w:val="003308A9"/>
    <w:rsid w:val="00330916"/>
    <w:rsid w:val="003309DE"/>
    <w:rsid w:val="00330A0A"/>
    <w:rsid w:val="00330A64"/>
    <w:rsid w:val="00330A6E"/>
    <w:rsid w:val="00330A8E"/>
    <w:rsid w:val="00330B39"/>
    <w:rsid w:val="00330B8E"/>
    <w:rsid w:val="00330D33"/>
    <w:rsid w:val="00330DB7"/>
    <w:rsid w:val="00330E03"/>
    <w:rsid w:val="00330EC0"/>
    <w:rsid w:val="00330EC1"/>
    <w:rsid w:val="00330F86"/>
    <w:rsid w:val="003310D1"/>
    <w:rsid w:val="0033111C"/>
    <w:rsid w:val="00331207"/>
    <w:rsid w:val="0033121B"/>
    <w:rsid w:val="003312CB"/>
    <w:rsid w:val="003312F5"/>
    <w:rsid w:val="00331305"/>
    <w:rsid w:val="00331314"/>
    <w:rsid w:val="003313B8"/>
    <w:rsid w:val="00331464"/>
    <w:rsid w:val="003314C1"/>
    <w:rsid w:val="003315AF"/>
    <w:rsid w:val="0033167B"/>
    <w:rsid w:val="003317A5"/>
    <w:rsid w:val="003317C2"/>
    <w:rsid w:val="00331846"/>
    <w:rsid w:val="003319D1"/>
    <w:rsid w:val="00331A44"/>
    <w:rsid w:val="00331A5F"/>
    <w:rsid w:val="00331C0F"/>
    <w:rsid w:val="00331D8B"/>
    <w:rsid w:val="00331DAF"/>
    <w:rsid w:val="00331DE4"/>
    <w:rsid w:val="00331DF3"/>
    <w:rsid w:val="00331E23"/>
    <w:rsid w:val="00331E51"/>
    <w:rsid w:val="00331E77"/>
    <w:rsid w:val="00331EBC"/>
    <w:rsid w:val="00331ECD"/>
    <w:rsid w:val="00331F37"/>
    <w:rsid w:val="00331F8B"/>
    <w:rsid w:val="003320AB"/>
    <w:rsid w:val="003321DE"/>
    <w:rsid w:val="003321EF"/>
    <w:rsid w:val="003322E6"/>
    <w:rsid w:val="0033231B"/>
    <w:rsid w:val="00332350"/>
    <w:rsid w:val="003323B3"/>
    <w:rsid w:val="003324A5"/>
    <w:rsid w:val="0033257A"/>
    <w:rsid w:val="003327E7"/>
    <w:rsid w:val="003328A9"/>
    <w:rsid w:val="00332920"/>
    <w:rsid w:val="00332927"/>
    <w:rsid w:val="0033293F"/>
    <w:rsid w:val="00332983"/>
    <w:rsid w:val="00332A1C"/>
    <w:rsid w:val="00332A4C"/>
    <w:rsid w:val="00332AC7"/>
    <w:rsid w:val="00332AE2"/>
    <w:rsid w:val="00332BB1"/>
    <w:rsid w:val="00332C00"/>
    <w:rsid w:val="00332DA8"/>
    <w:rsid w:val="00332FE4"/>
    <w:rsid w:val="00333016"/>
    <w:rsid w:val="003330E7"/>
    <w:rsid w:val="003331DC"/>
    <w:rsid w:val="003331E9"/>
    <w:rsid w:val="0033335F"/>
    <w:rsid w:val="00333389"/>
    <w:rsid w:val="003333BC"/>
    <w:rsid w:val="003333C9"/>
    <w:rsid w:val="003335B0"/>
    <w:rsid w:val="0033370C"/>
    <w:rsid w:val="003337EA"/>
    <w:rsid w:val="00333861"/>
    <w:rsid w:val="00333977"/>
    <w:rsid w:val="003339FC"/>
    <w:rsid w:val="00333A0F"/>
    <w:rsid w:val="00333A28"/>
    <w:rsid w:val="00333A4C"/>
    <w:rsid w:val="00333C16"/>
    <w:rsid w:val="00333C33"/>
    <w:rsid w:val="00333CB3"/>
    <w:rsid w:val="00333D04"/>
    <w:rsid w:val="00333D80"/>
    <w:rsid w:val="00333E9A"/>
    <w:rsid w:val="00333F61"/>
    <w:rsid w:val="00334003"/>
    <w:rsid w:val="00334022"/>
    <w:rsid w:val="0033405F"/>
    <w:rsid w:val="003340D9"/>
    <w:rsid w:val="00334112"/>
    <w:rsid w:val="00334129"/>
    <w:rsid w:val="0033417E"/>
    <w:rsid w:val="0033422B"/>
    <w:rsid w:val="0033423D"/>
    <w:rsid w:val="00334255"/>
    <w:rsid w:val="00334317"/>
    <w:rsid w:val="0033438E"/>
    <w:rsid w:val="003344EE"/>
    <w:rsid w:val="0033454E"/>
    <w:rsid w:val="0033460A"/>
    <w:rsid w:val="003346CF"/>
    <w:rsid w:val="003348B9"/>
    <w:rsid w:val="0033494D"/>
    <w:rsid w:val="0033495F"/>
    <w:rsid w:val="0033497B"/>
    <w:rsid w:val="00334A13"/>
    <w:rsid w:val="00334A1E"/>
    <w:rsid w:val="00334A25"/>
    <w:rsid w:val="00334ACB"/>
    <w:rsid w:val="00334B0B"/>
    <w:rsid w:val="00334B3D"/>
    <w:rsid w:val="00334B71"/>
    <w:rsid w:val="00334B7F"/>
    <w:rsid w:val="00334BCD"/>
    <w:rsid w:val="00334C59"/>
    <w:rsid w:val="00334F17"/>
    <w:rsid w:val="00335159"/>
    <w:rsid w:val="003351AE"/>
    <w:rsid w:val="003351E1"/>
    <w:rsid w:val="0033520F"/>
    <w:rsid w:val="00335384"/>
    <w:rsid w:val="003354C1"/>
    <w:rsid w:val="0033550B"/>
    <w:rsid w:val="00335681"/>
    <w:rsid w:val="00335802"/>
    <w:rsid w:val="0033587C"/>
    <w:rsid w:val="00335B46"/>
    <w:rsid w:val="00335B55"/>
    <w:rsid w:val="00335BB7"/>
    <w:rsid w:val="00335C76"/>
    <w:rsid w:val="00335C7E"/>
    <w:rsid w:val="00335C84"/>
    <w:rsid w:val="00335CA5"/>
    <w:rsid w:val="00335E94"/>
    <w:rsid w:val="00335EB5"/>
    <w:rsid w:val="00335EE1"/>
    <w:rsid w:val="00335EFF"/>
    <w:rsid w:val="00335FF7"/>
    <w:rsid w:val="00336044"/>
    <w:rsid w:val="00336158"/>
    <w:rsid w:val="00336172"/>
    <w:rsid w:val="0033619D"/>
    <w:rsid w:val="0033628E"/>
    <w:rsid w:val="00336301"/>
    <w:rsid w:val="0033630F"/>
    <w:rsid w:val="00336325"/>
    <w:rsid w:val="00336365"/>
    <w:rsid w:val="0033669E"/>
    <w:rsid w:val="003366F3"/>
    <w:rsid w:val="00336774"/>
    <w:rsid w:val="003368AA"/>
    <w:rsid w:val="00336979"/>
    <w:rsid w:val="003369F2"/>
    <w:rsid w:val="003369FC"/>
    <w:rsid w:val="00336A0B"/>
    <w:rsid w:val="00336A6A"/>
    <w:rsid w:val="00336C50"/>
    <w:rsid w:val="00336C7F"/>
    <w:rsid w:val="00336CF4"/>
    <w:rsid w:val="00336EB5"/>
    <w:rsid w:val="003370DD"/>
    <w:rsid w:val="00337146"/>
    <w:rsid w:val="003371B5"/>
    <w:rsid w:val="00337239"/>
    <w:rsid w:val="00337255"/>
    <w:rsid w:val="003372A8"/>
    <w:rsid w:val="00337338"/>
    <w:rsid w:val="003373C2"/>
    <w:rsid w:val="003374A6"/>
    <w:rsid w:val="003374ED"/>
    <w:rsid w:val="0033750B"/>
    <w:rsid w:val="0033762A"/>
    <w:rsid w:val="0033770E"/>
    <w:rsid w:val="00337773"/>
    <w:rsid w:val="003377EC"/>
    <w:rsid w:val="0033781E"/>
    <w:rsid w:val="00337871"/>
    <w:rsid w:val="00337940"/>
    <w:rsid w:val="003379EA"/>
    <w:rsid w:val="00337A60"/>
    <w:rsid w:val="00337BAF"/>
    <w:rsid w:val="00337CAB"/>
    <w:rsid w:val="00337D9E"/>
    <w:rsid w:val="00337E82"/>
    <w:rsid w:val="00337FD9"/>
    <w:rsid w:val="00337FEA"/>
    <w:rsid w:val="003401B9"/>
    <w:rsid w:val="00340341"/>
    <w:rsid w:val="00340357"/>
    <w:rsid w:val="003403C5"/>
    <w:rsid w:val="0034041A"/>
    <w:rsid w:val="0034044E"/>
    <w:rsid w:val="00340479"/>
    <w:rsid w:val="0034048A"/>
    <w:rsid w:val="003404B6"/>
    <w:rsid w:val="00340560"/>
    <w:rsid w:val="003405D2"/>
    <w:rsid w:val="0034064C"/>
    <w:rsid w:val="0034074F"/>
    <w:rsid w:val="00340767"/>
    <w:rsid w:val="003407DF"/>
    <w:rsid w:val="00340863"/>
    <w:rsid w:val="0034090F"/>
    <w:rsid w:val="00340968"/>
    <w:rsid w:val="003409AF"/>
    <w:rsid w:val="003409F1"/>
    <w:rsid w:val="00340A47"/>
    <w:rsid w:val="00340B9D"/>
    <w:rsid w:val="00340DA8"/>
    <w:rsid w:val="00340E1C"/>
    <w:rsid w:val="00340E6F"/>
    <w:rsid w:val="00340FA8"/>
    <w:rsid w:val="0034100D"/>
    <w:rsid w:val="00341063"/>
    <w:rsid w:val="0034106C"/>
    <w:rsid w:val="0034111B"/>
    <w:rsid w:val="0034116F"/>
    <w:rsid w:val="0034124F"/>
    <w:rsid w:val="00341482"/>
    <w:rsid w:val="0034162B"/>
    <w:rsid w:val="0034166C"/>
    <w:rsid w:val="00341766"/>
    <w:rsid w:val="003417CB"/>
    <w:rsid w:val="003417DC"/>
    <w:rsid w:val="0034191C"/>
    <w:rsid w:val="00341942"/>
    <w:rsid w:val="00341966"/>
    <w:rsid w:val="003419CA"/>
    <w:rsid w:val="00341A48"/>
    <w:rsid w:val="00341A57"/>
    <w:rsid w:val="00341C57"/>
    <w:rsid w:val="00341D22"/>
    <w:rsid w:val="00341EB4"/>
    <w:rsid w:val="00341ED0"/>
    <w:rsid w:val="00341F4A"/>
    <w:rsid w:val="00341FEC"/>
    <w:rsid w:val="00342060"/>
    <w:rsid w:val="003420DC"/>
    <w:rsid w:val="00342235"/>
    <w:rsid w:val="00342400"/>
    <w:rsid w:val="00342477"/>
    <w:rsid w:val="003424F8"/>
    <w:rsid w:val="00342512"/>
    <w:rsid w:val="00342551"/>
    <w:rsid w:val="003425EC"/>
    <w:rsid w:val="00342665"/>
    <w:rsid w:val="003426B5"/>
    <w:rsid w:val="003426C9"/>
    <w:rsid w:val="0034270B"/>
    <w:rsid w:val="00342720"/>
    <w:rsid w:val="00342881"/>
    <w:rsid w:val="00342913"/>
    <w:rsid w:val="00342A1B"/>
    <w:rsid w:val="00342A2C"/>
    <w:rsid w:val="00342AC5"/>
    <w:rsid w:val="00342B2C"/>
    <w:rsid w:val="00342B64"/>
    <w:rsid w:val="00342C34"/>
    <w:rsid w:val="00342CC6"/>
    <w:rsid w:val="00342E00"/>
    <w:rsid w:val="00342E20"/>
    <w:rsid w:val="00342EC4"/>
    <w:rsid w:val="00342EFA"/>
    <w:rsid w:val="003430A2"/>
    <w:rsid w:val="00343103"/>
    <w:rsid w:val="003431F0"/>
    <w:rsid w:val="003432D7"/>
    <w:rsid w:val="00343491"/>
    <w:rsid w:val="00343522"/>
    <w:rsid w:val="0034356B"/>
    <w:rsid w:val="003435A9"/>
    <w:rsid w:val="0034360F"/>
    <w:rsid w:val="00343803"/>
    <w:rsid w:val="003438CA"/>
    <w:rsid w:val="00343927"/>
    <w:rsid w:val="00343A23"/>
    <w:rsid w:val="00343A2F"/>
    <w:rsid w:val="00343AD8"/>
    <w:rsid w:val="00343AF0"/>
    <w:rsid w:val="00343B03"/>
    <w:rsid w:val="00343BAC"/>
    <w:rsid w:val="00343C30"/>
    <w:rsid w:val="00343C5E"/>
    <w:rsid w:val="00343CBF"/>
    <w:rsid w:val="00343CDD"/>
    <w:rsid w:val="00343D1C"/>
    <w:rsid w:val="00343D7B"/>
    <w:rsid w:val="00343DD8"/>
    <w:rsid w:val="00343DDB"/>
    <w:rsid w:val="00343E05"/>
    <w:rsid w:val="00344028"/>
    <w:rsid w:val="0034406F"/>
    <w:rsid w:val="0034417D"/>
    <w:rsid w:val="003441D7"/>
    <w:rsid w:val="003441DC"/>
    <w:rsid w:val="00344379"/>
    <w:rsid w:val="003444C7"/>
    <w:rsid w:val="003444E2"/>
    <w:rsid w:val="0034463F"/>
    <w:rsid w:val="00344649"/>
    <w:rsid w:val="003446EC"/>
    <w:rsid w:val="0034488A"/>
    <w:rsid w:val="003448B6"/>
    <w:rsid w:val="003448DB"/>
    <w:rsid w:val="0034496E"/>
    <w:rsid w:val="00344B8B"/>
    <w:rsid w:val="00344CF2"/>
    <w:rsid w:val="00344D81"/>
    <w:rsid w:val="00344DCC"/>
    <w:rsid w:val="00344EC2"/>
    <w:rsid w:val="00344EE4"/>
    <w:rsid w:val="00344FFF"/>
    <w:rsid w:val="003451CE"/>
    <w:rsid w:val="0034529E"/>
    <w:rsid w:val="003452C3"/>
    <w:rsid w:val="003452F5"/>
    <w:rsid w:val="003452FB"/>
    <w:rsid w:val="0034539C"/>
    <w:rsid w:val="003453AF"/>
    <w:rsid w:val="00345437"/>
    <w:rsid w:val="0034544F"/>
    <w:rsid w:val="0034547A"/>
    <w:rsid w:val="00345482"/>
    <w:rsid w:val="00345496"/>
    <w:rsid w:val="003454E2"/>
    <w:rsid w:val="003455B7"/>
    <w:rsid w:val="003455F9"/>
    <w:rsid w:val="00345609"/>
    <w:rsid w:val="0034571B"/>
    <w:rsid w:val="0034574B"/>
    <w:rsid w:val="0034578B"/>
    <w:rsid w:val="003457E9"/>
    <w:rsid w:val="003458A2"/>
    <w:rsid w:val="003458F7"/>
    <w:rsid w:val="0034596F"/>
    <w:rsid w:val="00345A3C"/>
    <w:rsid w:val="00345AB7"/>
    <w:rsid w:val="00345B3B"/>
    <w:rsid w:val="00345BCF"/>
    <w:rsid w:val="00345BDF"/>
    <w:rsid w:val="00345C00"/>
    <w:rsid w:val="00345C1E"/>
    <w:rsid w:val="00345C99"/>
    <w:rsid w:val="00345D6E"/>
    <w:rsid w:val="00345E8E"/>
    <w:rsid w:val="00345FA0"/>
    <w:rsid w:val="00345FBA"/>
    <w:rsid w:val="00346083"/>
    <w:rsid w:val="00346154"/>
    <w:rsid w:val="00346252"/>
    <w:rsid w:val="003462BF"/>
    <w:rsid w:val="00346375"/>
    <w:rsid w:val="003463BB"/>
    <w:rsid w:val="003464E0"/>
    <w:rsid w:val="0034656B"/>
    <w:rsid w:val="003465AA"/>
    <w:rsid w:val="003465C6"/>
    <w:rsid w:val="003466F9"/>
    <w:rsid w:val="0034671C"/>
    <w:rsid w:val="00346766"/>
    <w:rsid w:val="0034678F"/>
    <w:rsid w:val="003468A0"/>
    <w:rsid w:val="00346949"/>
    <w:rsid w:val="00346988"/>
    <w:rsid w:val="00346A2C"/>
    <w:rsid w:val="00346A47"/>
    <w:rsid w:val="00346A85"/>
    <w:rsid w:val="00346AC2"/>
    <w:rsid w:val="00346C28"/>
    <w:rsid w:val="00346C6B"/>
    <w:rsid w:val="00346E24"/>
    <w:rsid w:val="00346F3B"/>
    <w:rsid w:val="00347034"/>
    <w:rsid w:val="003470B9"/>
    <w:rsid w:val="00347147"/>
    <w:rsid w:val="003472FC"/>
    <w:rsid w:val="0034752B"/>
    <w:rsid w:val="00347535"/>
    <w:rsid w:val="003475C7"/>
    <w:rsid w:val="00347656"/>
    <w:rsid w:val="003476B4"/>
    <w:rsid w:val="003476E6"/>
    <w:rsid w:val="00347759"/>
    <w:rsid w:val="003478CF"/>
    <w:rsid w:val="003479C0"/>
    <w:rsid w:val="00347A18"/>
    <w:rsid w:val="00347A39"/>
    <w:rsid w:val="00347A67"/>
    <w:rsid w:val="00347AF0"/>
    <w:rsid w:val="00347B0A"/>
    <w:rsid w:val="00347BA6"/>
    <w:rsid w:val="00347BA7"/>
    <w:rsid w:val="00347C33"/>
    <w:rsid w:val="00347DF7"/>
    <w:rsid w:val="00347EFA"/>
    <w:rsid w:val="00347F45"/>
    <w:rsid w:val="00350092"/>
    <w:rsid w:val="003500D5"/>
    <w:rsid w:val="003501D4"/>
    <w:rsid w:val="003501DE"/>
    <w:rsid w:val="0035020A"/>
    <w:rsid w:val="00350210"/>
    <w:rsid w:val="0035021F"/>
    <w:rsid w:val="0035038A"/>
    <w:rsid w:val="00350478"/>
    <w:rsid w:val="003504DA"/>
    <w:rsid w:val="00350514"/>
    <w:rsid w:val="003505D6"/>
    <w:rsid w:val="003505FB"/>
    <w:rsid w:val="003507CD"/>
    <w:rsid w:val="00350866"/>
    <w:rsid w:val="003508F0"/>
    <w:rsid w:val="00350B20"/>
    <w:rsid w:val="00350B83"/>
    <w:rsid w:val="00350CD6"/>
    <w:rsid w:val="00350CE3"/>
    <w:rsid w:val="00350CEB"/>
    <w:rsid w:val="00350D96"/>
    <w:rsid w:val="00350DBF"/>
    <w:rsid w:val="00350E78"/>
    <w:rsid w:val="00350EE4"/>
    <w:rsid w:val="00350EF1"/>
    <w:rsid w:val="00350EF9"/>
    <w:rsid w:val="00350FA4"/>
    <w:rsid w:val="00351061"/>
    <w:rsid w:val="00351135"/>
    <w:rsid w:val="0035117B"/>
    <w:rsid w:val="003511AD"/>
    <w:rsid w:val="0035123F"/>
    <w:rsid w:val="00351266"/>
    <w:rsid w:val="003512BC"/>
    <w:rsid w:val="0035132F"/>
    <w:rsid w:val="003513E5"/>
    <w:rsid w:val="0035154C"/>
    <w:rsid w:val="00351556"/>
    <w:rsid w:val="0035166B"/>
    <w:rsid w:val="00351736"/>
    <w:rsid w:val="003517F1"/>
    <w:rsid w:val="003518E8"/>
    <w:rsid w:val="0035193F"/>
    <w:rsid w:val="00351960"/>
    <w:rsid w:val="0035197D"/>
    <w:rsid w:val="003519AD"/>
    <w:rsid w:val="00351A11"/>
    <w:rsid w:val="00351B50"/>
    <w:rsid w:val="00351CEC"/>
    <w:rsid w:val="00351DFF"/>
    <w:rsid w:val="00351E0E"/>
    <w:rsid w:val="00351E13"/>
    <w:rsid w:val="00351ED7"/>
    <w:rsid w:val="00351F8D"/>
    <w:rsid w:val="0035221A"/>
    <w:rsid w:val="00352249"/>
    <w:rsid w:val="003522A5"/>
    <w:rsid w:val="00352344"/>
    <w:rsid w:val="003523F0"/>
    <w:rsid w:val="00352402"/>
    <w:rsid w:val="00352426"/>
    <w:rsid w:val="0035245A"/>
    <w:rsid w:val="0035247B"/>
    <w:rsid w:val="00352579"/>
    <w:rsid w:val="003525C8"/>
    <w:rsid w:val="00352776"/>
    <w:rsid w:val="0035283F"/>
    <w:rsid w:val="0035284A"/>
    <w:rsid w:val="00352964"/>
    <w:rsid w:val="003529CC"/>
    <w:rsid w:val="003529F9"/>
    <w:rsid w:val="00352A1E"/>
    <w:rsid w:val="00352AAB"/>
    <w:rsid w:val="00352BBB"/>
    <w:rsid w:val="00352C61"/>
    <w:rsid w:val="00352DB7"/>
    <w:rsid w:val="00352DF0"/>
    <w:rsid w:val="00352E67"/>
    <w:rsid w:val="00352E95"/>
    <w:rsid w:val="00352EC8"/>
    <w:rsid w:val="00352ED4"/>
    <w:rsid w:val="00352F13"/>
    <w:rsid w:val="00352F27"/>
    <w:rsid w:val="003530FC"/>
    <w:rsid w:val="00353161"/>
    <w:rsid w:val="0035317F"/>
    <w:rsid w:val="003532FC"/>
    <w:rsid w:val="0035334F"/>
    <w:rsid w:val="003533B0"/>
    <w:rsid w:val="003533B6"/>
    <w:rsid w:val="0035350F"/>
    <w:rsid w:val="00353516"/>
    <w:rsid w:val="00353565"/>
    <w:rsid w:val="003537DA"/>
    <w:rsid w:val="003538FB"/>
    <w:rsid w:val="00353B24"/>
    <w:rsid w:val="00353B6B"/>
    <w:rsid w:val="00353DA5"/>
    <w:rsid w:val="00353DF0"/>
    <w:rsid w:val="00353F97"/>
    <w:rsid w:val="00353FF1"/>
    <w:rsid w:val="003540D4"/>
    <w:rsid w:val="00354137"/>
    <w:rsid w:val="003541B5"/>
    <w:rsid w:val="00354245"/>
    <w:rsid w:val="00354260"/>
    <w:rsid w:val="003542A4"/>
    <w:rsid w:val="00354319"/>
    <w:rsid w:val="00354422"/>
    <w:rsid w:val="0035449F"/>
    <w:rsid w:val="0035451E"/>
    <w:rsid w:val="00354592"/>
    <w:rsid w:val="00354613"/>
    <w:rsid w:val="00354658"/>
    <w:rsid w:val="00354663"/>
    <w:rsid w:val="003546B2"/>
    <w:rsid w:val="0035478C"/>
    <w:rsid w:val="00354818"/>
    <w:rsid w:val="0035481C"/>
    <w:rsid w:val="0035483F"/>
    <w:rsid w:val="00354B8D"/>
    <w:rsid w:val="00354DF3"/>
    <w:rsid w:val="00354E4E"/>
    <w:rsid w:val="00354EB4"/>
    <w:rsid w:val="00354F81"/>
    <w:rsid w:val="00354FE1"/>
    <w:rsid w:val="0035505E"/>
    <w:rsid w:val="00355090"/>
    <w:rsid w:val="00355110"/>
    <w:rsid w:val="003551CF"/>
    <w:rsid w:val="0035521B"/>
    <w:rsid w:val="003552CE"/>
    <w:rsid w:val="003552DF"/>
    <w:rsid w:val="00355332"/>
    <w:rsid w:val="0035553E"/>
    <w:rsid w:val="0035557F"/>
    <w:rsid w:val="0035559B"/>
    <w:rsid w:val="003555E4"/>
    <w:rsid w:val="0035570A"/>
    <w:rsid w:val="00355804"/>
    <w:rsid w:val="00355929"/>
    <w:rsid w:val="0035598F"/>
    <w:rsid w:val="00355A73"/>
    <w:rsid w:val="00355B6E"/>
    <w:rsid w:val="00355B8C"/>
    <w:rsid w:val="00355C48"/>
    <w:rsid w:val="00355D59"/>
    <w:rsid w:val="00355E4C"/>
    <w:rsid w:val="00355EC5"/>
    <w:rsid w:val="00355F25"/>
    <w:rsid w:val="00355F69"/>
    <w:rsid w:val="00355F6D"/>
    <w:rsid w:val="00355F96"/>
    <w:rsid w:val="00355FEC"/>
    <w:rsid w:val="0035604E"/>
    <w:rsid w:val="003560D8"/>
    <w:rsid w:val="00356102"/>
    <w:rsid w:val="0035615F"/>
    <w:rsid w:val="0035631A"/>
    <w:rsid w:val="003563C2"/>
    <w:rsid w:val="003564C6"/>
    <w:rsid w:val="003564F5"/>
    <w:rsid w:val="0035651F"/>
    <w:rsid w:val="00356632"/>
    <w:rsid w:val="00356705"/>
    <w:rsid w:val="00356740"/>
    <w:rsid w:val="003567B0"/>
    <w:rsid w:val="00356884"/>
    <w:rsid w:val="003568EA"/>
    <w:rsid w:val="0035690C"/>
    <w:rsid w:val="00356A04"/>
    <w:rsid w:val="00356ABE"/>
    <w:rsid w:val="00356CD1"/>
    <w:rsid w:val="00356D29"/>
    <w:rsid w:val="00356D2B"/>
    <w:rsid w:val="00356E29"/>
    <w:rsid w:val="00356F3E"/>
    <w:rsid w:val="00356F43"/>
    <w:rsid w:val="00356F9A"/>
    <w:rsid w:val="00356FFA"/>
    <w:rsid w:val="00357054"/>
    <w:rsid w:val="003570C8"/>
    <w:rsid w:val="003570C9"/>
    <w:rsid w:val="003570F0"/>
    <w:rsid w:val="003570F9"/>
    <w:rsid w:val="00357103"/>
    <w:rsid w:val="00357117"/>
    <w:rsid w:val="00357121"/>
    <w:rsid w:val="00357181"/>
    <w:rsid w:val="003571C2"/>
    <w:rsid w:val="003572AC"/>
    <w:rsid w:val="0035732A"/>
    <w:rsid w:val="0035745A"/>
    <w:rsid w:val="0035747F"/>
    <w:rsid w:val="003574F5"/>
    <w:rsid w:val="00357534"/>
    <w:rsid w:val="0035759A"/>
    <w:rsid w:val="003575F6"/>
    <w:rsid w:val="003575F9"/>
    <w:rsid w:val="00357686"/>
    <w:rsid w:val="00357701"/>
    <w:rsid w:val="00357773"/>
    <w:rsid w:val="003577D9"/>
    <w:rsid w:val="00357811"/>
    <w:rsid w:val="00357882"/>
    <w:rsid w:val="003578AD"/>
    <w:rsid w:val="00357A04"/>
    <w:rsid w:val="00357AB1"/>
    <w:rsid w:val="00357B2B"/>
    <w:rsid w:val="00357BA0"/>
    <w:rsid w:val="00357C07"/>
    <w:rsid w:val="00357D1B"/>
    <w:rsid w:val="00357D23"/>
    <w:rsid w:val="00357D71"/>
    <w:rsid w:val="00357E04"/>
    <w:rsid w:val="00357F23"/>
    <w:rsid w:val="00357F45"/>
    <w:rsid w:val="00357FDE"/>
    <w:rsid w:val="00360036"/>
    <w:rsid w:val="0036016E"/>
    <w:rsid w:val="0036029F"/>
    <w:rsid w:val="0036036D"/>
    <w:rsid w:val="00360438"/>
    <w:rsid w:val="003604B1"/>
    <w:rsid w:val="003604B7"/>
    <w:rsid w:val="00360515"/>
    <w:rsid w:val="00360583"/>
    <w:rsid w:val="003605AE"/>
    <w:rsid w:val="0036064B"/>
    <w:rsid w:val="00360791"/>
    <w:rsid w:val="00360805"/>
    <w:rsid w:val="0036086B"/>
    <w:rsid w:val="003608FB"/>
    <w:rsid w:val="00360A22"/>
    <w:rsid w:val="00360A2D"/>
    <w:rsid w:val="00360A8F"/>
    <w:rsid w:val="00360AE6"/>
    <w:rsid w:val="00360B40"/>
    <w:rsid w:val="00360BA4"/>
    <w:rsid w:val="00360C48"/>
    <w:rsid w:val="00360C5B"/>
    <w:rsid w:val="00360CC1"/>
    <w:rsid w:val="00360CCB"/>
    <w:rsid w:val="00360D0C"/>
    <w:rsid w:val="00360E5D"/>
    <w:rsid w:val="00360EED"/>
    <w:rsid w:val="00360EF2"/>
    <w:rsid w:val="00360FBC"/>
    <w:rsid w:val="0036102C"/>
    <w:rsid w:val="003610CE"/>
    <w:rsid w:val="003610D8"/>
    <w:rsid w:val="00361154"/>
    <w:rsid w:val="0036116E"/>
    <w:rsid w:val="00361225"/>
    <w:rsid w:val="00361393"/>
    <w:rsid w:val="003613E3"/>
    <w:rsid w:val="003614E8"/>
    <w:rsid w:val="003614F0"/>
    <w:rsid w:val="003616C2"/>
    <w:rsid w:val="003616F5"/>
    <w:rsid w:val="0036171F"/>
    <w:rsid w:val="0036197E"/>
    <w:rsid w:val="003619F6"/>
    <w:rsid w:val="00361A6E"/>
    <w:rsid w:val="00361AE6"/>
    <w:rsid w:val="00361B14"/>
    <w:rsid w:val="00361B7C"/>
    <w:rsid w:val="00361C38"/>
    <w:rsid w:val="00361D54"/>
    <w:rsid w:val="00361F64"/>
    <w:rsid w:val="003621AC"/>
    <w:rsid w:val="003621E2"/>
    <w:rsid w:val="003621E8"/>
    <w:rsid w:val="003621EB"/>
    <w:rsid w:val="003622B3"/>
    <w:rsid w:val="00362371"/>
    <w:rsid w:val="00362487"/>
    <w:rsid w:val="003624C8"/>
    <w:rsid w:val="003624D9"/>
    <w:rsid w:val="00362509"/>
    <w:rsid w:val="003627CF"/>
    <w:rsid w:val="003627E8"/>
    <w:rsid w:val="003627FE"/>
    <w:rsid w:val="003628FE"/>
    <w:rsid w:val="003629CE"/>
    <w:rsid w:val="00362A16"/>
    <w:rsid w:val="00362A92"/>
    <w:rsid w:val="00362BEB"/>
    <w:rsid w:val="00362C08"/>
    <w:rsid w:val="00362CEA"/>
    <w:rsid w:val="00362D0D"/>
    <w:rsid w:val="00362D99"/>
    <w:rsid w:val="00362E68"/>
    <w:rsid w:val="00362E74"/>
    <w:rsid w:val="00362EAE"/>
    <w:rsid w:val="00362ECC"/>
    <w:rsid w:val="00362F38"/>
    <w:rsid w:val="00362F3C"/>
    <w:rsid w:val="00362FB5"/>
    <w:rsid w:val="003630AA"/>
    <w:rsid w:val="0036319B"/>
    <w:rsid w:val="003631C3"/>
    <w:rsid w:val="0036324E"/>
    <w:rsid w:val="003632A2"/>
    <w:rsid w:val="00363376"/>
    <w:rsid w:val="003633CB"/>
    <w:rsid w:val="00363441"/>
    <w:rsid w:val="00363465"/>
    <w:rsid w:val="00363480"/>
    <w:rsid w:val="00363525"/>
    <w:rsid w:val="003635A5"/>
    <w:rsid w:val="003635A7"/>
    <w:rsid w:val="00363685"/>
    <w:rsid w:val="0036383A"/>
    <w:rsid w:val="003638DE"/>
    <w:rsid w:val="00363AA7"/>
    <w:rsid w:val="00363B64"/>
    <w:rsid w:val="00363BBC"/>
    <w:rsid w:val="00363BC3"/>
    <w:rsid w:val="00363C25"/>
    <w:rsid w:val="00363CA4"/>
    <w:rsid w:val="00363DD9"/>
    <w:rsid w:val="00363E27"/>
    <w:rsid w:val="00363E29"/>
    <w:rsid w:val="00363E3E"/>
    <w:rsid w:val="00363F18"/>
    <w:rsid w:val="00363F86"/>
    <w:rsid w:val="00363F89"/>
    <w:rsid w:val="003640A7"/>
    <w:rsid w:val="003641CC"/>
    <w:rsid w:val="0036427E"/>
    <w:rsid w:val="003642AA"/>
    <w:rsid w:val="003642B3"/>
    <w:rsid w:val="00364460"/>
    <w:rsid w:val="003644FF"/>
    <w:rsid w:val="00364568"/>
    <w:rsid w:val="003645C0"/>
    <w:rsid w:val="003645CE"/>
    <w:rsid w:val="0036461D"/>
    <w:rsid w:val="0036467B"/>
    <w:rsid w:val="00364800"/>
    <w:rsid w:val="0036491C"/>
    <w:rsid w:val="0036499C"/>
    <w:rsid w:val="003649D3"/>
    <w:rsid w:val="00364A33"/>
    <w:rsid w:val="00364A50"/>
    <w:rsid w:val="00364A9D"/>
    <w:rsid w:val="00364AE6"/>
    <w:rsid w:val="00364AE8"/>
    <w:rsid w:val="00364B73"/>
    <w:rsid w:val="00364BCE"/>
    <w:rsid w:val="00364C14"/>
    <w:rsid w:val="00364C31"/>
    <w:rsid w:val="00364C45"/>
    <w:rsid w:val="00364C53"/>
    <w:rsid w:val="00364CE6"/>
    <w:rsid w:val="00364D95"/>
    <w:rsid w:val="00364E84"/>
    <w:rsid w:val="00364EA1"/>
    <w:rsid w:val="00364EA7"/>
    <w:rsid w:val="00364EBF"/>
    <w:rsid w:val="00364ECE"/>
    <w:rsid w:val="0036500F"/>
    <w:rsid w:val="0036505B"/>
    <w:rsid w:val="0036506E"/>
    <w:rsid w:val="003650A1"/>
    <w:rsid w:val="00365199"/>
    <w:rsid w:val="003651A6"/>
    <w:rsid w:val="0036524D"/>
    <w:rsid w:val="003652BE"/>
    <w:rsid w:val="003652D0"/>
    <w:rsid w:val="003652E4"/>
    <w:rsid w:val="00365387"/>
    <w:rsid w:val="003653A5"/>
    <w:rsid w:val="00365447"/>
    <w:rsid w:val="00365469"/>
    <w:rsid w:val="003655BA"/>
    <w:rsid w:val="003655C1"/>
    <w:rsid w:val="00365610"/>
    <w:rsid w:val="003658EB"/>
    <w:rsid w:val="00365A64"/>
    <w:rsid w:val="00365AC4"/>
    <w:rsid w:val="00365C77"/>
    <w:rsid w:val="00365CA3"/>
    <w:rsid w:val="00365CAB"/>
    <w:rsid w:val="00365CDB"/>
    <w:rsid w:val="00365D16"/>
    <w:rsid w:val="00365D4E"/>
    <w:rsid w:val="00365D91"/>
    <w:rsid w:val="00365DDB"/>
    <w:rsid w:val="00365DE5"/>
    <w:rsid w:val="00365FB1"/>
    <w:rsid w:val="00366051"/>
    <w:rsid w:val="0036607F"/>
    <w:rsid w:val="00366108"/>
    <w:rsid w:val="00366276"/>
    <w:rsid w:val="00366326"/>
    <w:rsid w:val="00366489"/>
    <w:rsid w:val="003664B0"/>
    <w:rsid w:val="00366549"/>
    <w:rsid w:val="003665B7"/>
    <w:rsid w:val="00366624"/>
    <w:rsid w:val="0036663A"/>
    <w:rsid w:val="003666BA"/>
    <w:rsid w:val="003667A6"/>
    <w:rsid w:val="00366896"/>
    <w:rsid w:val="003668CC"/>
    <w:rsid w:val="00366912"/>
    <w:rsid w:val="00366A10"/>
    <w:rsid w:val="00366AF9"/>
    <w:rsid w:val="00366B32"/>
    <w:rsid w:val="00366C25"/>
    <w:rsid w:val="00366E4A"/>
    <w:rsid w:val="00366E6F"/>
    <w:rsid w:val="00366EC3"/>
    <w:rsid w:val="00366FE8"/>
    <w:rsid w:val="00367143"/>
    <w:rsid w:val="0036715C"/>
    <w:rsid w:val="00367233"/>
    <w:rsid w:val="0036725C"/>
    <w:rsid w:val="00367283"/>
    <w:rsid w:val="00367359"/>
    <w:rsid w:val="00367365"/>
    <w:rsid w:val="003673A6"/>
    <w:rsid w:val="00367403"/>
    <w:rsid w:val="0036745C"/>
    <w:rsid w:val="003674CF"/>
    <w:rsid w:val="00367609"/>
    <w:rsid w:val="00367718"/>
    <w:rsid w:val="00367730"/>
    <w:rsid w:val="00367807"/>
    <w:rsid w:val="00367938"/>
    <w:rsid w:val="0036794E"/>
    <w:rsid w:val="00367976"/>
    <w:rsid w:val="00367A3E"/>
    <w:rsid w:val="00367A65"/>
    <w:rsid w:val="00367A69"/>
    <w:rsid w:val="00367A7C"/>
    <w:rsid w:val="00367AB6"/>
    <w:rsid w:val="00367AF5"/>
    <w:rsid w:val="00367B3D"/>
    <w:rsid w:val="00367BEE"/>
    <w:rsid w:val="00367C82"/>
    <w:rsid w:val="00367D94"/>
    <w:rsid w:val="00367E16"/>
    <w:rsid w:val="00367F95"/>
    <w:rsid w:val="00367FFC"/>
    <w:rsid w:val="0037024B"/>
    <w:rsid w:val="00370251"/>
    <w:rsid w:val="003703B7"/>
    <w:rsid w:val="003703C7"/>
    <w:rsid w:val="00370460"/>
    <w:rsid w:val="0037047E"/>
    <w:rsid w:val="0037059C"/>
    <w:rsid w:val="00370633"/>
    <w:rsid w:val="00370744"/>
    <w:rsid w:val="003707F3"/>
    <w:rsid w:val="003708BF"/>
    <w:rsid w:val="00370912"/>
    <w:rsid w:val="003709B1"/>
    <w:rsid w:val="003709D5"/>
    <w:rsid w:val="00370AC4"/>
    <w:rsid w:val="00370ADE"/>
    <w:rsid w:val="00370BB6"/>
    <w:rsid w:val="00370C77"/>
    <w:rsid w:val="00370C8C"/>
    <w:rsid w:val="00370D71"/>
    <w:rsid w:val="00370DC7"/>
    <w:rsid w:val="00370DD0"/>
    <w:rsid w:val="00370E54"/>
    <w:rsid w:val="00370E8E"/>
    <w:rsid w:val="00371012"/>
    <w:rsid w:val="0037105E"/>
    <w:rsid w:val="0037110C"/>
    <w:rsid w:val="00371157"/>
    <w:rsid w:val="003713E0"/>
    <w:rsid w:val="0037146C"/>
    <w:rsid w:val="00371497"/>
    <w:rsid w:val="003714AC"/>
    <w:rsid w:val="003714CD"/>
    <w:rsid w:val="0037152A"/>
    <w:rsid w:val="0037154B"/>
    <w:rsid w:val="00371572"/>
    <w:rsid w:val="003715AB"/>
    <w:rsid w:val="003715D6"/>
    <w:rsid w:val="003716E8"/>
    <w:rsid w:val="00371726"/>
    <w:rsid w:val="0037180F"/>
    <w:rsid w:val="00371823"/>
    <w:rsid w:val="00371933"/>
    <w:rsid w:val="0037197E"/>
    <w:rsid w:val="00371C29"/>
    <w:rsid w:val="00371C5C"/>
    <w:rsid w:val="00371C97"/>
    <w:rsid w:val="00371D72"/>
    <w:rsid w:val="00371DA6"/>
    <w:rsid w:val="00371E1A"/>
    <w:rsid w:val="0037226F"/>
    <w:rsid w:val="00372314"/>
    <w:rsid w:val="00372341"/>
    <w:rsid w:val="003723A2"/>
    <w:rsid w:val="003723AA"/>
    <w:rsid w:val="003724E1"/>
    <w:rsid w:val="00372806"/>
    <w:rsid w:val="0037283E"/>
    <w:rsid w:val="00372967"/>
    <w:rsid w:val="003729C4"/>
    <w:rsid w:val="003729E6"/>
    <w:rsid w:val="00372BDE"/>
    <w:rsid w:val="00372C32"/>
    <w:rsid w:val="00372D7C"/>
    <w:rsid w:val="00372DD1"/>
    <w:rsid w:val="00372DE4"/>
    <w:rsid w:val="00372F0C"/>
    <w:rsid w:val="00372F84"/>
    <w:rsid w:val="00373165"/>
    <w:rsid w:val="0037316F"/>
    <w:rsid w:val="003731F3"/>
    <w:rsid w:val="0037324A"/>
    <w:rsid w:val="0037333A"/>
    <w:rsid w:val="00373349"/>
    <w:rsid w:val="00373386"/>
    <w:rsid w:val="003733C8"/>
    <w:rsid w:val="0037346E"/>
    <w:rsid w:val="003734EC"/>
    <w:rsid w:val="0037350C"/>
    <w:rsid w:val="00373635"/>
    <w:rsid w:val="003736DC"/>
    <w:rsid w:val="0037378C"/>
    <w:rsid w:val="003737B8"/>
    <w:rsid w:val="003737ED"/>
    <w:rsid w:val="00373800"/>
    <w:rsid w:val="00373835"/>
    <w:rsid w:val="003738A7"/>
    <w:rsid w:val="00373A5F"/>
    <w:rsid w:val="00373A80"/>
    <w:rsid w:val="00373A9C"/>
    <w:rsid w:val="00373B01"/>
    <w:rsid w:val="00373B77"/>
    <w:rsid w:val="00373BFF"/>
    <w:rsid w:val="00373CE2"/>
    <w:rsid w:val="00373DD7"/>
    <w:rsid w:val="00373E9C"/>
    <w:rsid w:val="00373FD5"/>
    <w:rsid w:val="00373FDA"/>
    <w:rsid w:val="00373FFF"/>
    <w:rsid w:val="003741D8"/>
    <w:rsid w:val="003741F7"/>
    <w:rsid w:val="00374200"/>
    <w:rsid w:val="00374257"/>
    <w:rsid w:val="003742A6"/>
    <w:rsid w:val="00374324"/>
    <w:rsid w:val="00374330"/>
    <w:rsid w:val="0037457E"/>
    <w:rsid w:val="00374790"/>
    <w:rsid w:val="003747B6"/>
    <w:rsid w:val="00374940"/>
    <w:rsid w:val="00374B3A"/>
    <w:rsid w:val="00374BCD"/>
    <w:rsid w:val="00374BEF"/>
    <w:rsid w:val="00374BF3"/>
    <w:rsid w:val="00374C34"/>
    <w:rsid w:val="00374C6C"/>
    <w:rsid w:val="00374D6F"/>
    <w:rsid w:val="00374E70"/>
    <w:rsid w:val="00374F2D"/>
    <w:rsid w:val="00375091"/>
    <w:rsid w:val="003751AD"/>
    <w:rsid w:val="00375229"/>
    <w:rsid w:val="0037526B"/>
    <w:rsid w:val="003752BA"/>
    <w:rsid w:val="0037530E"/>
    <w:rsid w:val="0037532D"/>
    <w:rsid w:val="0037537A"/>
    <w:rsid w:val="0037551F"/>
    <w:rsid w:val="0037569F"/>
    <w:rsid w:val="003756E1"/>
    <w:rsid w:val="003757A2"/>
    <w:rsid w:val="003757C1"/>
    <w:rsid w:val="00375882"/>
    <w:rsid w:val="00375995"/>
    <w:rsid w:val="00375A1E"/>
    <w:rsid w:val="00375A82"/>
    <w:rsid w:val="00375AB0"/>
    <w:rsid w:val="00375AE8"/>
    <w:rsid w:val="00375B52"/>
    <w:rsid w:val="00375B65"/>
    <w:rsid w:val="00375E90"/>
    <w:rsid w:val="00375EE7"/>
    <w:rsid w:val="003760B0"/>
    <w:rsid w:val="0037612C"/>
    <w:rsid w:val="00376153"/>
    <w:rsid w:val="0037615E"/>
    <w:rsid w:val="00376176"/>
    <w:rsid w:val="0037625D"/>
    <w:rsid w:val="003762C7"/>
    <w:rsid w:val="00376363"/>
    <w:rsid w:val="00376397"/>
    <w:rsid w:val="003765FB"/>
    <w:rsid w:val="003768E1"/>
    <w:rsid w:val="00376947"/>
    <w:rsid w:val="003769CA"/>
    <w:rsid w:val="00376B0D"/>
    <w:rsid w:val="00376B4C"/>
    <w:rsid w:val="00376C1F"/>
    <w:rsid w:val="00376C47"/>
    <w:rsid w:val="00376CDA"/>
    <w:rsid w:val="00376CF6"/>
    <w:rsid w:val="00376D6D"/>
    <w:rsid w:val="00376DC7"/>
    <w:rsid w:val="00376DD6"/>
    <w:rsid w:val="00376DDC"/>
    <w:rsid w:val="00376E03"/>
    <w:rsid w:val="00376E7F"/>
    <w:rsid w:val="00376EB4"/>
    <w:rsid w:val="00376EF4"/>
    <w:rsid w:val="00376F2F"/>
    <w:rsid w:val="00376F88"/>
    <w:rsid w:val="00376F95"/>
    <w:rsid w:val="003770E2"/>
    <w:rsid w:val="00377184"/>
    <w:rsid w:val="00377221"/>
    <w:rsid w:val="0037723B"/>
    <w:rsid w:val="00377260"/>
    <w:rsid w:val="003772AC"/>
    <w:rsid w:val="003772E1"/>
    <w:rsid w:val="0037731C"/>
    <w:rsid w:val="0037736B"/>
    <w:rsid w:val="0037741D"/>
    <w:rsid w:val="00377564"/>
    <w:rsid w:val="00377577"/>
    <w:rsid w:val="00377646"/>
    <w:rsid w:val="003777D1"/>
    <w:rsid w:val="003778DB"/>
    <w:rsid w:val="003779A9"/>
    <w:rsid w:val="00377A2F"/>
    <w:rsid w:val="00377BA3"/>
    <w:rsid w:val="00377BEF"/>
    <w:rsid w:val="00377C4D"/>
    <w:rsid w:val="00377C6E"/>
    <w:rsid w:val="00377CB5"/>
    <w:rsid w:val="00377D7C"/>
    <w:rsid w:val="00377DA5"/>
    <w:rsid w:val="00377E63"/>
    <w:rsid w:val="00377F65"/>
    <w:rsid w:val="003800B2"/>
    <w:rsid w:val="0038024E"/>
    <w:rsid w:val="00380287"/>
    <w:rsid w:val="00380398"/>
    <w:rsid w:val="003803EF"/>
    <w:rsid w:val="003803F1"/>
    <w:rsid w:val="003803FB"/>
    <w:rsid w:val="00380438"/>
    <w:rsid w:val="003804DA"/>
    <w:rsid w:val="003805DC"/>
    <w:rsid w:val="0038073F"/>
    <w:rsid w:val="0038079E"/>
    <w:rsid w:val="00380830"/>
    <w:rsid w:val="00380AA7"/>
    <w:rsid w:val="00380AC2"/>
    <w:rsid w:val="00380B33"/>
    <w:rsid w:val="00380BE9"/>
    <w:rsid w:val="00380CBD"/>
    <w:rsid w:val="00380CF0"/>
    <w:rsid w:val="00380D0F"/>
    <w:rsid w:val="00380D8A"/>
    <w:rsid w:val="00380DBC"/>
    <w:rsid w:val="00380DE5"/>
    <w:rsid w:val="00380E06"/>
    <w:rsid w:val="00380E08"/>
    <w:rsid w:val="00380E18"/>
    <w:rsid w:val="00380E2F"/>
    <w:rsid w:val="00380EDA"/>
    <w:rsid w:val="00380F9C"/>
    <w:rsid w:val="00381010"/>
    <w:rsid w:val="00381074"/>
    <w:rsid w:val="003810AD"/>
    <w:rsid w:val="0038112E"/>
    <w:rsid w:val="003811D0"/>
    <w:rsid w:val="00381263"/>
    <w:rsid w:val="003812A1"/>
    <w:rsid w:val="003812F5"/>
    <w:rsid w:val="0038135E"/>
    <w:rsid w:val="003813B0"/>
    <w:rsid w:val="003813B4"/>
    <w:rsid w:val="003813E9"/>
    <w:rsid w:val="00381432"/>
    <w:rsid w:val="0038144F"/>
    <w:rsid w:val="0038146C"/>
    <w:rsid w:val="00381499"/>
    <w:rsid w:val="00381559"/>
    <w:rsid w:val="00381700"/>
    <w:rsid w:val="00381748"/>
    <w:rsid w:val="003817DB"/>
    <w:rsid w:val="00381840"/>
    <w:rsid w:val="0038184D"/>
    <w:rsid w:val="003819F6"/>
    <w:rsid w:val="00381A09"/>
    <w:rsid w:val="00381CBF"/>
    <w:rsid w:val="00381D13"/>
    <w:rsid w:val="00381D83"/>
    <w:rsid w:val="00381D9E"/>
    <w:rsid w:val="00381E1E"/>
    <w:rsid w:val="00381E80"/>
    <w:rsid w:val="00381EF1"/>
    <w:rsid w:val="00381F33"/>
    <w:rsid w:val="0038202C"/>
    <w:rsid w:val="00382058"/>
    <w:rsid w:val="003820A4"/>
    <w:rsid w:val="0038228A"/>
    <w:rsid w:val="003823ED"/>
    <w:rsid w:val="00382549"/>
    <w:rsid w:val="00382565"/>
    <w:rsid w:val="00382604"/>
    <w:rsid w:val="00382609"/>
    <w:rsid w:val="003826AB"/>
    <w:rsid w:val="003826F7"/>
    <w:rsid w:val="003829D4"/>
    <w:rsid w:val="003829EE"/>
    <w:rsid w:val="00382A52"/>
    <w:rsid w:val="00382B13"/>
    <w:rsid w:val="00382B85"/>
    <w:rsid w:val="00382CA9"/>
    <w:rsid w:val="00382D56"/>
    <w:rsid w:val="00382E59"/>
    <w:rsid w:val="00382EC2"/>
    <w:rsid w:val="00382FCD"/>
    <w:rsid w:val="00382FD9"/>
    <w:rsid w:val="00383092"/>
    <w:rsid w:val="0038317C"/>
    <w:rsid w:val="00383232"/>
    <w:rsid w:val="00383234"/>
    <w:rsid w:val="003832E0"/>
    <w:rsid w:val="00383371"/>
    <w:rsid w:val="003833CE"/>
    <w:rsid w:val="00383404"/>
    <w:rsid w:val="0038344A"/>
    <w:rsid w:val="0038352E"/>
    <w:rsid w:val="00383647"/>
    <w:rsid w:val="00383683"/>
    <w:rsid w:val="00383712"/>
    <w:rsid w:val="00383778"/>
    <w:rsid w:val="003837C9"/>
    <w:rsid w:val="003837DB"/>
    <w:rsid w:val="00383876"/>
    <w:rsid w:val="0038387B"/>
    <w:rsid w:val="00383988"/>
    <w:rsid w:val="00383998"/>
    <w:rsid w:val="00383C51"/>
    <w:rsid w:val="00383C5D"/>
    <w:rsid w:val="00383CCF"/>
    <w:rsid w:val="00383CD2"/>
    <w:rsid w:val="00383D96"/>
    <w:rsid w:val="00383E5C"/>
    <w:rsid w:val="00383E9C"/>
    <w:rsid w:val="00384002"/>
    <w:rsid w:val="00384012"/>
    <w:rsid w:val="00384052"/>
    <w:rsid w:val="003841FF"/>
    <w:rsid w:val="0038420A"/>
    <w:rsid w:val="00384355"/>
    <w:rsid w:val="00384357"/>
    <w:rsid w:val="00384522"/>
    <w:rsid w:val="00384984"/>
    <w:rsid w:val="003849F0"/>
    <w:rsid w:val="00384A34"/>
    <w:rsid w:val="00384A7A"/>
    <w:rsid w:val="00384A90"/>
    <w:rsid w:val="00384C52"/>
    <w:rsid w:val="00384C53"/>
    <w:rsid w:val="00384D5A"/>
    <w:rsid w:val="00384DBB"/>
    <w:rsid w:val="00384DD1"/>
    <w:rsid w:val="00384FDA"/>
    <w:rsid w:val="0038504B"/>
    <w:rsid w:val="0038513C"/>
    <w:rsid w:val="00385140"/>
    <w:rsid w:val="00385178"/>
    <w:rsid w:val="003851A7"/>
    <w:rsid w:val="003851B1"/>
    <w:rsid w:val="003851B8"/>
    <w:rsid w:val="00385294"/>
    <w:rsid w:val="00385491"/>
    <w:rsid w:val="00385494"/>
    <w:rsid w:val="003854AE"/>
    <w:rsid w:val="0038554F"/>
    <w:rsid w:val="003855C3"/>
    <w:rsid w:val="003855EE"/>
    <w:rsid w:val="0038560C"/>
    <w:rsid w:val="003857ED"/>
    <w:rsid w:val="0038581A"/>
    <w:rsid w:val="0038585E"/>
    <w:rsid w:val="003858B1"/>
    <w:rsid w:val="00385960"/>
    <w:rsid w:val="00385990"/>
    <w:rsid w:val="003859B1"/>
    <w:rsid w:val="003859BA"/>
    <w:rsid w:val="003859CC"/>
    <w:rsid w:val="003859D9"/>
    <w:rsid w:val="00385AA6"/>
    <w:rsid w:val="00385B1E"/>
    <w:rsid w:val="00385BA9"/>
    <w:rsid w:val="00385CCB"/>
    <w:rsid w:val="00385CF1"/>
    <w:rsid w:val="00385CF3"/>
    <w:rsid w:val="00385DBB"/>
    <w:rsid w:val="00385E5F"/>
    <w:rsid w:val="00385EC6"/>
    <w:rsid w:val="003860E0"/>
    <w:rsid w:val="00386124"/>
    <w:rsid w:val="00386133"/>
    <w:rsid w:val="0038634A"/>
    <w:rsid w:val="0038643C"/>
    <w:rsid w:val="003864CF"/>
    <w:rsid w:val="003864D5"/>
    <w:rsid w:val="00386504"/>
    <w:rsid w:val="0038656A"/>
    <w:rsid w:val="003865B7"/>
    <w:rsid w:val="003865CC"/>
    <w:rsid w:val="003866BA"/>
    <w:rsid w:val="0038673C"/>
    <w:rsid w:val="0038677F"/>
    <w:rsid w:val="0038689A"/>
    <w:rsid w:val="0038691E"/>
    <w:rsid w:val="00386944"/>
    <w:rsid w:val="00386A88"/>
    <w:rsid w:val="00386B16"/>
    <w:rsid w:val="00386BC9"/>
    <w:rsid w:val="00386BEB"/>
    <w:rsid w:val="00386C60"/>
    <w:rsid w:val="00386CB0"/>
    <w:rsid w:val="00386D7A"/>
    <w:rsid w:val="00386E33"/>
    <w:rsid w:val="00386F1F"/>
    <w:rsid w:val="00386F82"/>
    <w:rsid w:val="00386F8A"/>
    <w:rsid w:val="00386F92"/>
    <w:rsid w:val="00387246"/>
    <w:rsid w:val="003872FA"/>
    <w:rsid w:val="003873D3"/>
    <w:rsid w:val="0038752B"/>
    <w:rsid w:val="0038761B"/>
    <w:rsid w:val="003876DB"/>
    <w:rsid w:val="0038774A"/>
    <w:rsid w:val="0038775D"/>
    <w:rsid w:val="0038780E"/>
    <w:rsid w:val="00387898"/>
    <w:rsid w:val="0038791E"/>
    <w:rsid w:val="00387CB1"/>
    <w:rsid w:val="00387ED9"/>
    <w:rsid w:val="003901BF"/>
    <w:rsid w:val="003901F8"/>
    <w:rsid w:val="00390262"/>
    <w:rsid w:val="0039036C"/>
    <w:rsid w:val="003903C1"/>
    <w:rsid w:val="00390410"/>
    <w:rsid w:val="003904B7"/>
    <w:rsid w:val="00390567"/>
    <w:rsid w:val="003906A1"/>
    <w:rsid w:val="003906E6"/>
    <w:rsid w:val="003906ED"/>
    <w:rsid w:val="0039076A"/>
    <w:rsid w:val="0039077C"/>
    <w:rsid w:val="00390790"/>
    <w:rsid w:val="00390970"/>
    <w:rsid w:val="003909ED"/>
    <w:rsid w:val="00390AD8"/>
    <w:rsid w:val="00390C4E"/>
    <w:rsid w:val="00390D0B"/>
    <w:rsid w:val="00390D9E"/>
    <w:rsid w:val="00390E07"/>
    <w:rsid w:val="00390E51"/>
    <w:rsid w:val="00390E72"/>
    <w:rsid w:val="00390EF6"/>
    <w:rsid w:val="00390F0A"/>
    <w:rsid w:val="00390F0C"/>
    <w:rsid w:val="00390F1D"/>
    <w:rsid w:val="00391123"/>
    <w:rsid w:val="00391125"/>
    <w:rsid w:val="0039117A"/>
    <w:rsid w:val="0039121C"/>
    <w:rsid w:val="00391233"/>
    <w:rsid w:val="0039126C"/>
    <w:rsid w:val="003912E5"/>
    <w:rsid w:val="00391529"/>
    <w:rsid w:val="00391668"/>
    <w:rsid w:val="00391741"/>
    <w:rsid w:val="00391758"/>
    <w:rsid w:val="00391780"/>
    <w:rsid w:val="003917EB"/>
    <w:rsid w:val="00391803"/>
    <w:rsid w:val="00391958"/>
    <w:rsid w:val="00391C5F"/>
    <w:rsid w:val="00391CB1"/>
    <w:rsid w:val="00391E40"/>
    <w:rsid w:val="00391E99"/>
    <w:rsid w:val="00391E9A"/>
    <w:rsid w:val="00391ED3"/>
    <w:rsid w:val="0039218E"/>
    <w:rsid w:val="00392235"/>
    <w:rsid w:val="00392254"/>
    <w:rsid w:val="003923C4"/>
    <w:rsid w:val="00392419"/>
    <w:rsid w:val="00392461"/>
    <w:rsid w:val="00392562"/>
    <w:rsid w:val="003925A6"/>
    <w:rsid w:val="003925A8"/>
    <w:rsid w:val="003925BE"/>
    <w:rsid w:val="003925FC"/>
    <w:rsid w:val="00392645"/>
    <w:rsid w:val="0039275E"/>
    <w:rsid w:val="0039282E"/>
    <w:rsid w:val="0039288F"/>
    <w:rsid w:val="00392AE2"/>
    <w:rsid w:val="00392C18"/>
    <w:rsid w:val="00392C6B"/>
    <w:rsid w:val="00392C8E"/>
    <w:rsid w:val="00392DB7"/>
    <w:rsid w:val="00392DDC"/>
    <w:rsid w:val="00393055"/>
    <w:rsid w:val="003930A0"/>
    <w:rsid w:val="003930AD"/>
    <w:rsid w:val="003931B4"/>
    <w:rsid w:val="003931C2"/>
    <w:rsid w:val="0039320B"/>
    <w:rsid w:val="0039322E"/>
    <w:rsid w:val="00393279"/>
    <w:rsid w:val="00393321"/>
    <w:rsid w:val="00393407"/>
    <w:rsid w:val="0039348B"/>
    <w:rsid w:val="0039348F"/>
    <w:rsid w:val="003934B6"/>
    <w:rsid w:val="00393542"/>
    <w:rsid w:val="00393580"/>
    <w:rsid w:val="00393584"/>
    <w:rsid w:val="00393593"/>
    <w:rsid w:val="00393627"/>
    <w:rsid w:val="00393643"/>
    <w:rsid w:val="003937B5"/>
    <w:rsid w:val="0039392F"/>
    <w:rsid w:val="003939EE"/>
    <w:rsid w:val="003939F1"/>
    <w:rsid w:val="00393A2C"/>
    <w:rsid w:val="00393A33"/>
    <w:rsid w:val="00393A43"/>
    <w:rsid w:val="00393AD9"/>
    <w:rsid w:val="00393C3E"/>
    <w:rsid w:val="00393C4C"/>
    <w:rsid w:val="00393C66"/>
    <w:rsid w:val="00393D1A"/>
    <w:rsid w:val="00393D35"/>
    <w:rsid w:val="00394144"/>
    <w:rsid w:val="00394193"/>
    <w:rsid w:val="0039429A"/>
    <w:rsid w:val="0039433E"/>
    <w:rsid w:val="0039436C"/>
    <w:rsid w:val="003943A0"/>
    <w:rsid w:val="003944AF"/>
    <w:rsid w:val="003944BB"/>
    <w:rsid w:val="003944DB"/>
    <w:rsid w:val="0039457C"/>
    <w:rsid w:val="00394622"/>
    <w:rsid w:val="003946D8"/>
    <w:rsid w:val="0039482D"/>
    <w:rsid w:val="00394AB7"/>
    <w:rsid w:val="00394B58"/>
    <w:rsid w:val="00394BD6"/>
    <w:rsid w:val="00394BDE"/>
    <w:rsid w:val="00394D60"/>
    <w:rsid w:val="00394DF0"/>
    <w:rsid w:val="00394E41"/>
    <w:rsid w:val="00394E6F"/>
    <w:rsid w:val="00394EDA"/>
    <w:rsid w:val="00394F33"/>
    <w:rsid w:val="00394F98"/>
    <w:rsid w:val="00395003"/>
    <w:rsid w:val="00395044"/>
    <w:rsid w:val="003951F7"/>
    <w:rsid w:val="00395223"/>
    <w:rsid w:val="00395242"/>
    <w:rsid w:val="003952F6"/>
    <w:rsid w:val="0039530D"/>
    <w:rsid w:val="00395348"/>
    <w:rsid w:val="0039538C"/>
    <w:rsid w:val="00395469"/>
    <w:rsid w:val="003955AF"/>
    <w:rsid w:val="00395609"/>
    <w:rsid w:val="0039561F"/>
    <w:rsid w:val="00395745"/>
    <w:rsid w:val="00395763"/>
    <w:rsid w:val="003957CF"/>
    <w:rsid w:val="003957F8"/>
    <w:rsid w:val="0039588B"/>
    <w:rsid w:val="0039597E"/>
    <w:rsid w:val="00395AD0"/>
    <w:rsid w:val="00395B1D"/>
    <w:rsid w:val="00395B28"/>
    <w:rsid w:val="00395CC6"/>
    <w:rsid w:val="00395D88"/>
    <w:rsid w:val="00395E36"/>
    <w:rsid w:val="00395E51"/>
    <w:rsid w:val="00395E5C"/>
    <w:rsid w:val="00395E7D"/>
    <w:rsid w:val="003960E9"/>
    <w:rsid w:val="0039613E"/>
    <w:rsid w:val="003961A6"/>
    <w:rsid w:val="00396222"/>
    <w:rsid w:val="00396411"/>
    <w:rsid w:val="0039644A"/>
    <w:rsid w:val="003965A3"/>
    <w:rsid w:val="00396692"/>
    <w:rsid w:val="003966D3"/>
    <w:rsid w:val="003966F6"/>
    <w:rsid w:val="0039672D"/>
    <w:rsid w:val="0039677D"/>
    <w:rsid w:val="00396887"/>
    <w:rsid w:val="00396A02"/>
    <w:rsid w:val="00396AA6"/>
    <w:rsid w:val="00396B95"/>
    <w:rsid w:val="00396BB3"/>
    <w:rsid w:val="00396C4C"/>
    <w:rsid w:val="00396E20"/>
    <w:rsid w:val="00396F86"/>
    <w:rsid w:val="00397021"/>
    <w:rsid w:val="0039717F"/>
    <w:rsid w:val="003971C4"/>
    <w:rsid w:val="0039720C"/>
    <w:rsid w:val="003972D7"/>
    <w:rsid w:val="00397315"/>
    <w:rsid w:val="00397347"/>
    <w:rsid w:val="003973E8"/>
    <w:rsid w:val="00397456"/>
    <w:rsid w:val="0039745F"/>
    <w:rsid w:val="003974AB"/>
    <w:rsid w:val="00397555"/>
    <w:rsid w:val="00397597"/>
    <w:rsid w:val="0039761A"/>
    <w:rsid w:val="00397668"/>
    <w:rsid w:val="003976DF"/>
    <w:rsid w:val="0039771C"/>
    <w:rsid w:val="003977DC"/>
    <w:rsid w:val="0039785D"/>
    <w:rsid w:val="00397872"/>
    <w:rsid w:val="0039788E"/>
    <w:rsid w:val="00397932"/>
    <w:rsid w:val="00397947"/>
    <w:rsid w:val="00397978"/>
    <w:rsid w:val="00397A27"/>
    <w:rsid w:val="00397BFB"/>
    <w:rsid w:val="00397DDB"/>
    <w:rsid w:val="00397E64"/>
    <w:rsid w:val="00397E75"/>
    <w:rsid w:val="00397FA1"/>
    <w:rsid w:val="00397FCB"/>
    <w:rsid w:val="00397FF3"/>
    <w:rsid w:val="003A0065"/>
    <w:rsid w:val="003A011C"/>
    <w:rsid w:val="003A011D"/>
    <w:rsid w:val="003A0193"/>
    <w:rsid w:val="003A01D9"/>
    <w:rsid w:val="003A0282"/>
    <w:rsid w:val="003A02A1"/>
    <w:rsid w:val="003A03AB"/>
    <w:rsid w:val="003A0433"/>
    <w:rsid w:val="003A04EB"/>
    <w:rsid w:val="003A0660"/>
    <w:rsid w:val="003A081A"/>
    <w:rsid w:val="003A0833"/>
    <w:rsid w:val="003A09E9"/>
    <w:rsid w:val="003A0B1F"/>
    <w:rsid w:val="003A0B7C"/>
    <w:rsid w:val="003A0C11"/>
    <w:rsid w:val="003A0C94"/>
    <w:rsid w:val="003A0C9A"/>
    <w:rsid w:val="003A0CB8"/>
    <w:rsid w:val="003A0D13"/>
    <w:rsid w:val="003A0D52"/>
    <w:rsid w:val="003A0D5C"/>
    <w:rsid w:val="003A0E45"/>
    <w:rsid w:val="003A0EAE"/>
    <w:rsid w:val="003A0EDC"/>
    <w:rsid w:val="003A0F4D"/>
    <w:rsid w:val="003A0FDD"/>
    <w:rsid w:val="003A121D"/>
    <w:rsid w:val="003A1229"/>
    <w:rsid w:val="003A1354"/>
    <w:rsid w:val="003A13EE"/>
    <w:rsid w:val="003A1463"/>
    <w:rsid w:val="003A151B"/>
    <w:rsid w:val="003A155C"/>
    <w:rsid w:val="003A15B8"/>
    <w:rsid w:val="003A1681"/>
    <w:rsid w:val="003A177E"/>
    <w:rsid w:val="003A1824"/>
    <w:rsid w:val="003A1883"/>
    <w:rsid w:val="003A189B"/>
    <w:rsid w:val="003A19F9"/>
    <w:rsid w:val="003A1ABD"/>
    <w:rsid w:val="003A1B8F"/>
    <w:rsid w:val="003A1B97"/>
    <w:rsid w:val="003A1C96"/>
    <w:rsid w:val="003A1DB4"/>
    <w:rsid w:val="003A1DF0"/>
    <w:rsid w:val="003A1E32"/>
    <w:rsid w:val="003A1E7E"/>
    <w:rsid w:val="003A1EEC"/>
    <w:rsid w:val="003A2017"/>
    <w:rsid w:val="003A207B"/>
    <w:rsid w:val="003A210E"/>
    <w:rsid w:val="003A2146"/>
    <w:rsid w:val="003A214A"/>
    <w:rsid w:val="003A22F0"/>
    <w:rsid w:val="003A231E"/>
    <w:rsid w:val="003A2403"/>
    <w:rsid w:val="003A24F5"/>
    <w:rsid w:val="003A2552"/>
    <w:rsid w:val="003A259D"/>
    <w:rsid w:val="003A264E"/>
    <w:rsid w:val="003A2693"/>
    <w:rsid w:val="003A2697"/>
    <w:rsid w:val="003A26A5"/>
    <w:rsid w:val="003A2727"/>
    <w:rsid w:val="003A27ED"/>
    <w:rsid w:val="003A28F5"/>
    <w:rsid w:val="003A29AF"/>
    <w:rsid w:val="003A2A6E"/>
    <w:rsid w:val="003A2AB8"/>
    <w:rsid w:val="003A2AFC"/>
    <w:rsid w:val="003A2BF4"/>
    <w:rsid w:val="003A2C26"/>
    <w:rsid w:val="003A2C8F"/>
    <w:rsid w:val="003A2D18"/>
    <w:rsid w:val="003A2DE8"/>
    <w:rsid w:val="003A2E0D"/>
    <w:rsid w:val="003A2ED1"/>
    <w:rsid w:val="003A2F23"/>
    <w:rsid w:val="003A2F9C"/>
    <w:rsid w:val="003A31BC"/>
    <w:rsid w:val="003A31E4"/>
    <w:rsid w:val="003A33BE"/>
    <w:rsid w:val="003A34A2"/>
    <w:rsid w:val="003A34C0"/>
    <w:rsid w:val="003A35CC"/>
    <w:rsid w:val="003A35FF"/>
    <w:rsid w:val="003A3740"/>
    <w:rsid w:val="003A3836"/>
    <w:rsid w:val="003A3882"/>
    <w:rsid w:val="003A38BF"/>
    <w:rsid w:val="003A391E"/>
    <w:rsid w:val="003A3A11"/>
    <w:rsid w:val="003A3A75"/>
    <w:rsid w:val="003A3AAC"/>
    <w:rsid w:val="003A3B8C"/>
    <w:rsid w:val="003A3BE0"/>
    <w:rsid w:val="003A3CBD"/>
    <w:rsid w:val="003A3D02"/>
    <w:rsid w:val="003A3D46"/>
    <w:rsid w:val="003A3F34"/>
    <w:rsid w:val="003A3F5F"/>
    <w:rsid w:val="003A405F"/>
    <w:rsid w:val="003A411B"/>
    <w:rsid w:val="003A4125"/>
    <w:rsid w:val="003A41B4"/>
    <w:rsid w:val="003A4302"/>
    <w:rsid w:val="003A4335"/>
    <w:rsid w:val="003A443D"/>
    <w:rsid w:val="003A44AC"/>
    <w:rsid w:val="003A4522"/>
    <w:rsid w:val="003A461D"/>
    <w:rsid w:val="003A469C"/>
    <w:rsid w:val="003A46CA"/>
    <w:rsid w:val="003A47A0"/>
    <w:rsid w:val="003A47CF"/>
    <w:rsid w:val="003A47E1"/>
    <w:rsid w:val="003A48B3"/>
    <w:rsid w:val="003A48DB"/>
    <w:rsid w:val="003A48E5"/>
    <w:rsid w:val="003A494A"/>
    <w:rsid w:val="003A49F7"/>
    <w:rsid w:val="003A4A3F"/>
    <w:rsid w:val="003A4A99"/>
    <w:rsid w:val="003A4B9F"/>
    <w:rsid w:val="003A4C32"/>
    <w:rsid w:val="003A4C3A"/>
    <w:rsid w:val="003A4C3C"/>
    <w:rsid w:val="003A4C47"/>
    <w:rsid w:val="003A4CD3"/>
    <w:rsid w:val="003A4E74"/>
    <w:rsid w:val="003A4E9B"/>
    <w:rsid w:val="003A4EFF"/>
    <w:rsid w:val="003A4F39"/>
    <w:rsid w:val="003A4F9F"/>
    <w:rsid w:val="003A500F"/>
    <w:rsid w:val="003A50CE"/>
    <w:rsid w:val="003A50D6"/>
    <w:rsid w:val="003A51FF"/>
    <w:rsid w:val="003A52F0"/>
    <w:rsid w:val="003A54C6"/>
    <w:rsid w:val="003A567F"/>
    <w:rsid w:val="003A5943"/>
    <w:rsid w:val="003A596A"/>
    <w:rsid w:val="003A5A37"/>
    <w:rsid w:val="003A5A40"/>
    <w:rsid w:val="003A5A97"/>
    <w:rsid w:val="003A5AFF"/>
    <w:rsid w:val="003A5B67"/>
    <w:rsid w:val="003A5BF9"/>
    <w:rsid w:val="003A5C47"/>
    <w:rsid w:val="003A5CA8"/>
    <w:rsid w:val="003A5DED"/>
    <w:rsid w:val="003A5DEF"/>
    <w:rsid w:val="003A5E10"/>
    <w:rsid w:val="003A5F24"/>
    <w:rsid w:val="003A5F6D"/>
    <w:rsid w:val="003A5FDC"/>
    <w:rsid w:val="003A604F"/>
    <w:rsid w:val="003A6074"/>
    <w:rsid w:val="003A61C4"/>
    <w:rsid w:val="003A6228"/>
    <w:rsid w:val="003A62D3"/>
    <w:rsid w:val="003A63C6"/>
    <w:rsid w:val="003A6432"/>
    <w:rsid w:val="003A6554"/>
    <w:rsid w:val="003A657F"/>
    <w:rsid w:val="003A66E1"/>
    <w:rsid w:val="003A6724"/>
    <w:rsid w:val="003A6903"/>
    <w:rsid w:val="003A6A5B"/>
    <w:rsid w:val="003A6ADC"/>
    <w:rsid w:val="003A6B6A"/>
    <w:rsid w:val="003A6E1A"/>
    <w:rsid w:val="003A6E81"/>
    <w:rsid w:val="003A6F55"/>
    <w:rsid w:val="003A6F70"/>
    <w:rsid w:val="003A6FA0"/>
    <w:rsid w:val="003A70E2"/>
    <w:rsid w:val="003A7104"/>
    <w:rsid w:val="003A7271"/>
    <w:rsid w:val="003A72BE"/>
    <w:rsid w:val="003A7304"/>
    <w:rsid w:val="003A73FB"/>
    <w:rsid w:val="003A74BA"/>
    <w:rsid w:val="003A75AD"/>
    <w:rsid w:val="003A75F3"/>
    <w:rsid w:val="003A7619"/>
    <w:rsid w:val="003A7621"/>
    <w:rsid w:val="003A7651"/>
    <w:rsid w:val="003A7720"/>
    <w:rsid w:val="003A7722"/>
    <w:rsid w:val="003A774D"/>
    <w:rsid w:val="003A775F"/>
    <w:rsid w:val="003A7838"/>
    <w:rsid w:val="003A7882"/>
    <w:rsid w:val="003A789D"/>
    <w:rsid w:val="003A791B"/>
    <w:rsid w:val="003A7B61"/>
    <w:rsid w:val="003A7B70"/>
    <w:rsid w:val="003A7C4F"/>
    <w:rsid w:val="003A7D91"/>
    <w:rsid w:val="003A7F2B"/>
    <w:rsid w:val="003A7F71"/>
    <w:rsid w:val="003A7FE7"/>
    <w:rsid w:val="003B0114"/>
    <w:rsid w:val="003B0271"/>
    <w:rsid w:val="003B02D6"/>
    <w:rsid w:val="003B0322"/>
    <w:rsid w:val="003B038B"/>
    <w:rsid w:val="003B038E"/>
    <w:rsid w:val="003B0396"/>
    <w:rsid w:val="003B0469"/>
    <w:rsid w:val="003B0471"/>
    <w:rsid w:val="003B05B6"/>
    <w:rsid w:val="003B05DD"/>
    <w:rsid w:val="003B0654"/>
    <w:rsid w:val="003B0717"/>
    <w:rsid w:val="003B0734"/>
    <w:rsid w:val="003B0761"/>
    <w:rsid w:val="003B07D8"/>
    <w:rsid w:val="003B0833"/>
    <w:rsid w:val="003B0913"/>
    <w:rsid w:val="003B098E"/>
    <w:rsid w:val="003B09BD"/>
    <w:rsid w:val="003B0B33"/>
    <w:rsid w:val="003B0BA1"/>
    <w:rsid w:val="003B0C0E"/>
    <w:rsid w:val="003B0C29"/>
    <w:rsid w:val="003B0CDD"/>
    <w:rsid w:val="003B0DCC"/>
    <w:rsid w:val="003B0EA8"/>
    <w:rsid w:val="003B0EAB"/>
    <w:rsid w:val="003B0EBD"/>
    <w:rsid w:val="003B1136"/>
    <w:rsid w:val="003B12AF"/>
    <w:rsid w:val="003B1350"/>
    <w:rsid w:val="003B1373"/>
    <w:rsid w:val="003B13B7"/>
    <w:rsid w:val="003B1423"/>
    <w:rsid w:val="003B14F9"/>
    <w:rsid w:val="003B1583"/>
    <w:rsid w:val="003B15D1"/>
    <w:rsid w:val="003B1618"/>
    <w:rsid w:val="003B1644"/>
    <w:rsid w:val="003B172E"/>
    <w:rsid w:val="003B174A"/>
    <w:rsid w:val="003B186F"/>
    <w:rsid w:val="003B18DE"/>
    <w:rsid w:val="003B18F7"/>
    <w:rsid w:val="003B1947"/>
    <w:rsid w:val="003B19F2"/>
    <w:rsid w:val="003B1A85"/>
    <w:rsid w:val="003B1DA9"/>
    <w:rsid w:val="003B1F59"/>
    <w:rsid w:val="003B205C"/>
    <w:rsid w:val="003B20AA"/>
    <w:rsid w:val="003B212E"/>
    <w:rsid w:val="003B2151"/>
    <w:rsid w:val="003B21D2"/>
    <w:rsid w:val="003B2244"/>
    <w:rsid w:val="003B22B5"/>
    <w:rsid w:val="003B22FA"/>
    <w:rsid w:val="003B2326"/>
    <w:rsid w:val="003B23CB"/>
    <w:rsid w:val="003B2402"/>
    <w:rsid w:val="003B245B"/>
    <w:rsid w:val="003B24FC"/>
    <w:rsid w:val="003B2512"/>
    <w:rsid w:val="003B257F"/>
    <w:rsid w:val="003B25D2"/>
    <w:rsid w:val="003B25FD"/>
    <w:rsid w:val="003B2635"/>
    <w:rsid w:val="003B27A9"/>
    <w:rsid w:val="003B286B"/>
    <w:rsid w:val="003B2950"/>
    <w:rsid w:val="003B2977"/>
    <w:rsid w:val="003B297C"/>
    <w:rsid w:val="003B29EC"/>
    <w:rsid w:val="003B2AB7"/>
    <w:rsid w:val="003B2B40"/>
    <w:rsid w:val="003B2B4D"/>
    <w:rsid w:val="003B2B78"/>
    <w:rsid w:val="003B2DF5"/>
    <w:rsid w:val="003B2E71"/>
    <w:rsid w:val="003B2EAC"/>
    <w:rsid w:val="003B2F1E"/>
    <w:rsid w:val="003B2FBF"/>
    <w:rsid w:val="003B2FDC"/>
    <w:rsid w:val="003B312F"/>
    <w:rsid w:val="003B3173"/>
    <w:rsid w:val="003B31A3"/>
    <w:rsid w:val="003B31C1"/>
    <w:rsid w:val="003B31DE"/>
    <w:rsid w:val="003B32B2"/>
    <w:rsid w:val="003B336A"/>
    <w:rsid w:val="003B33B3"/>
    <w:rsid w:val="003B3489"/>
    <w:rsid w:val="003B3547"/>
    <w:rsid w:val="003B35BA"/>
    <w:rsid w:val="003B3627"/>
    <w:rsid w:val="003B36BE"/>
    <w:rsid w:val="003B36ED"/>
    <w:rsid w:val="003B38C0"/>
    <w:rsid w:val="003B392D"/>
    <w:rsid w:val="003B3AC4"/>
    <w:rsid w:val="003B3C2D"/>
    <w:rsid w:val="003B3CC8"/>
    <w:rsid w:val="003B3E8E"/>
    <w:rsid w:val="003B400B"/>
    <w:rsid w:val="003B40B2"/>
    <w:rsid w:val="003B431C"/>
    <w:rsid w:val="003B43CF"/>
    <w:rsid w:val="003B4495"/>
    <w:rsid w:val="003B451B"/>
    <w:rsid w:val="003B451E"/>
    <w:rsid w:val="003B455C"/>
    <w:rsid w:val="003B4599"/>
    <w:rsid w:val="003B4677"/>
    <w:rsid w:val="003B46FC"/>
    <w:rsid w:val="003B4858"/>
    <w:rsid w:val="003B48D3"/>
    <w:rsid w:val="003B48D8"/>
    <w:rsid w:val="003B49F0"/>
    <w:rsid w:val="003B4A15"/>
    <w:rsid w:val="003B4B53"/>
    <w:rsid w:val="003B4CFC"/>
    <w:rsid w:val="003B4D17"/>
    <w:rsid w:val="003B4DA9"/>
    <w:rsid w:val="003B4E66"/>
    <w:rsid w:val="003B4EFB"/>
    <w:rsid w:val="003B5030"/>
    <w:rsid w:val="003B53EA"/>
    <w:rsid w:val="003B5465"/>
    <w:rsid w:val="003B5587"/>
    <w:rsid w:val="003B5612"/>
    <w:rsid w:val="003B5736"/>
    <w:rsid w:val="003B5823"/>
    <w:rsid w:val="003B594A"/>
    <w:rsid w:val="003B5982"/>
    <w:rsid w:val="003B5B63"/>
    <w:rsid w:val="003B5B90"/>
    <w:rsid w:val="003B5BDF"/>
    <w:rsid w:val="003B5D57"/>
    <w:rsid w:val="003B5DC8"/>
    <w:rsid w:val="003B5DF4"/>
    <w:rsid w:val="003B5FF4"/>
    <w:rsid w:val="003B6159"/>
    <w:rsid w:val="003B6198"/>
    <w:rsid w:val="003B61B7"/>
    <w:rsid w:val="003B6266"/>
    <w:rsid w:val="003B635B"/>
    <w:rsid w:val="003B6527"/>
    <w:rsid w:val="003B6637"/>
    <w:rsid w:val="003B66D1"/>
    <w:rsid w:val="003B66E1"/>
    <w:rsid w:val="003B6753"/>
    <w:rsid w:val="003B678F"/>
    <w:rsid w:val="003B6799"/>
    <w:rsid w:val="003B67BF"/>
    <w:rsid w:val="003B6872"/>
    <w:rsid w:val="003B6905"/>
    <w:rsid w:val="003B69CF"/>
    <w:rsid w:val="003B6B06"/>
    <w:rsid w:val="003B6B22"/>
    <w:rsid w:val="003B6B40"/>
    <w:rsid w:val="003B6CD0"/>
    <w:rsid w:val="003B6DFF"/>
    <w:rsid w:val="003B6EE0"/>
    <w:rsid w:val="003B6EE3"/>
    <w:rsid w:val="003B6EF1"/>
    <w:rsid w:val="003B6F75"/>
    <w:rsid w:val="003B6FF8"/>
    <w:rsid w:val="003B703B"/>
    <w:rsid w:val="003B7244"/>
    <w:rsid w:val="003B73F6"/>
    <w:rsid w:val="003B7406"/>
    <w:rsid w:val="003B7407"/>
    <w:rsid w:val="003B7467"/>
    <w:rsid w:val="003B7491"/>
    <w:rsid w:val="003B7495"/>
    <w:rsid w:val="003B756A"/>
    <w:rsid w:val="003B7785"/>
    <w:rsid w:val="003B77B8"/>
    <w:rsid w:val="003B77C0"/>
    <w:rsid w:val="003B77F4"/>
    <w:rsid w:val="003B780B"/>
    <w:rsid w:val="003B786E"/>
    <w:rsid w:val="003B7887"/>
    <w:rsid w:val="003B78F2"/>
    <w:rsid w:val="003B78F8"/>
    <w:rsid w:val="003B79B3"/>
    <w:rsid w:val="003B7A97"/>
    <w:rsid w:val="003B7AA0"/>
    <w:rsid w:val="003B7B20"/>
    <w:rsid w:val="003B7B67"/>
    <w:rsid w:val="003B7B92"/>
    <w:rsid w:val="003B7BDA"/>
    <w:rsid w:val="003B7BDC"/>
    <w:rsid w:val="003B7CCE"/>
    <w:rsid w:val="003B7D59"/>
    <w:rsid w:val="003B7EF8"/>
    <w:rsid w:val="003B7FF4"/>
    <w:rsid w:val="003C00B6"/>
    <w:rsid w:val="003C011C"/>
    <w:rsid w:val="003C0216"/>
    <w:rsid w:val="003C037A"/>
    <w:rsid w:val="003C041C"/>
    <w:rsid w:val="003C042A"/>
    <w:rsid w:val="003C047C"/>
    <w:rsid w:val="003C0493"/>
    <w:rsid w:val="003C059C"/>
    <w:rsid w:val="003C064B"/>
    <w:rsid w:val="003C070D"/>
    <w:rsid w:val="003C0733"/>
    <w:rsid w:val="003C07F4"/>
    <w:rsid w:val="003C0800"/>
    <w:rsid w:val="003C0841"/>
    <w:rsid w:val="003C08B2"/>
    <w:rsid w:val="003C09CF"/>
    <w:rsid w:val="003C0A03"/>
    <w:rsid w:val="003C0A32"/>
    <w:rsid w:val="003C0A62"/>
    <w:rsid w:val="003C0A8D"/>
    <w:rsid w:val="003C0AFA"/>
    <w:rsid w:val="003C0AFB"/>
    <w:rsid w:val="003C0BD6"/>
    <w:rsid w:val="003C0CA1"/>
    <w:rsid w:val="003C0CDC"/>
    <w:rsid w:val="003C0EEB"/>
    <w:rsid w:val="003C0EF9"/>
    <w:rsid w:val="003C1145"/>
    <w:rsid w:val="003C119C"/>
    <w:rsid w:val="003C11EC"/>
    <w:rsid w:val="003C120F"/>
    <w:rsid w:val="003C13ED"/>
    <w:rsid w:val="003C1492"/>
    <w:rsid w:val="003C14E7"/>
    <w:rsid w:val="003C1719"/>
    <w:rsid w:val="003C17D6"/>
    <w:rsid w:val="003C19AE"/>
    <w:rsid w:val="003C19EC"/>
    <w:rsid w:val="003C1A77"/>
    <w:rsid w:val="003C1AE2"/>
    <w:rsid w:val="003C1C1F"/>
    <w:rsid w:val="003C1C29"/>
    <w:rsid w:val="003C1CCA"/>
    <w:rsid w:val="003C1CE1"/>
    <w:rsid w:val="003C1D07"/>
    <w:rsid w:val="003C1E7D"/>
    <w:rsid w:val="003C2081"/>
    <w:rsid w:val="003C20B4"/>
    <w:rsid w:val="003C20F9"/>
    <w:rsid w:val="003C214E"/>
    <w:rsid w:val="003C2197"/>
    <w:rsid w:val="003C227B"/>
    <w:rsid w:val="003C22DA"/>
    <w:rsid w:val="003C239D"/>
    <w:rsid w:val="003C242E"/>
    <w:rsid w:val="003C25F5"/>
    <w:rsid w:val="003C26BF"/>
    <w:rsid w:val="003C2791"/>
    <w:rsid w:val="003C2990"/>
    <w:rsid w:val="003C2AA8"/>
    <w:rsid w:val="003C2ADA"/>
    <w:rsid w:val="003C2BB1"/>
    <w:rsid w:val="003C2DE5"/>
    <w:rsid w:val="003C2E0B"/>
    <w:rsid w:val="003C2F0E"/>
    <w:rsid w:val="003C2F3C"/>
    <w:rsid w:val="003C3024"/>
    <w:rsid w:val="003C313D"/>
    <w:rsid w:val="003C319F"/>
    <w:rsid w:val="003C321B"/>
    <w:rsid w:val="003C32AA"/>
    <w:rsid w:val="003C3327"/>
    <w:rsid w:val="003C335A"/>
    <w:rsid w:val="003C344C"/>
    <w:rsid w:val="003C3551"/>
    <w:rsid w:val="003C35C3"/>
    <w:rsid w:val="003C3660"/>
    <w:rsid w:val="003C3665"/>
    <w:rsid w:val="003C3713"/>
    <w:rsid w:val="003C3719"/>
    <w:rsid w:val="003C3738"/>
    <w:rsid w:val="003C3899"/>
    <w:rsid w:val="003C38FF"/>
    <w:rsid w:val="003C3928"/>
    <w:rsid w:val="003C3A7E"/>
    <w:rsid w:val="003C3C83"/>
    <w:rsid w:val="003C3CAE"/>
    <w:rsid w:val="003C3E3C"/>
    <w:rsid w:val="003C3ED5"/>
    <w:rsid w:val="003C3EE5"/>
    <w:rsid w:val="003C3EFF"/>
    <w:rsid w:val="003C3F7C"/>
    <w:rsid w:val="003C3FE6"/>
    <w:rsid w:val="003C416B"/>
    <w:rsid w:val="003C427D"/>
    <w:rsid w:val="003C42AE"/>
    <w:rsid w:val="003C42F6"/>
    <w:rsid w:val="003C4395"/>
    <w:rsid w:val="003C4483"/>
    <w:rsid w:val="003C4528"/>
    <w:rsid w:val="003C4627"/>
    <w:rsid w:val="003C4664"/>
    <w:rsid w:val="003C478D"/>
    <w:rsid w:val="003C47F8"/>
    <w:rsid w:val="003C4841"/>
    <w:rsid w:val="003C4908"/>
    <w:rsid w:val="003C4927"/>
    <w:rsid w:val="003C4AD2"/>
    <w:rsid w:val="003C4AE9"/>
    <w:rsid w:val="003C4B67"/>
    <w:rsid w:val="003C4BEB"/>
    <w:rsid w:val="003C4C0C"/>
    <w:rsid w:val="003C4DB3"/>
    <w:rsid w:val="003C4DFB"/>
    <w:rsid w:val="003C4E7D"/>
    <w:rsid w:val="003C4F8F"/>
    <w:rsid w:val="003C50EB"/>
    <w:rsid w:val="003C5104"/>
    <w:rsid w:val="003C528A"/>
    <w:rsid w:val="003C5300"/>
    <w:rsid w:val="003C5312"/>
    <w:rsid w:val="003C5392"/>
    <w:rsid w:val="003C54D8"/>
    <w:rsid w:val="003C55CF"/>
    <w:rsid w:val="003C5647"/>
    <w:rsid w:val="003C57D7"/>
    <w:rsid w:val="003C5825"/>
    <w:rsid w:val="003C598D"/>
    <w:rsid w:val="003C59EB"/>
    <w:rsid w:val="003C5A62"/>
    <w:rsid w:val="003C5ACA"/>
    <w:rsid w:val="003C5B99"/>
    <w:rsid w:val="003C5C3A"/>
    <w:rsid w:val="003C5C65"/>
    <w:rsid w:val="003C5D0A"/>
    <w:rsid w:val="003C5E27"/>
    <w:rsid w:val="003C5E2A"/>
    <w:rsid w:val="003C5FBF"/>
    <w:rsid w:val="003C60CC"/>
    <w:rsid w:val="003C6106"/>
    <w:rsid w:val="003C61F7"/>
    <w:rsid w:val="003C6208"/>
    <w:rsid w:val="003C621A"/>
    <w:rsid w:val="003C6296"/>
    <w:rsid w:val="003C6372"/>
    <w:rsid w:val="003C642C"/>
    <w:rsid w:val="003C6447"/>
    <w:rsid w:val="003C6490"/>
    <w:rsid w:val="003C6587"/>
    <w:rsid w:val="003C65FF"/>
    <w:rsid w:val="003C66F7"/>
    <w:rsid w:val="003C68DF"/>
    <w:rsid w:val="003C696C"/>
    <w:rsid w:val="003C6A6C"/>
    <w:rsid w:val="003C6ACC"/>
    <w:rsid w:val="003C6AFF"/>
    <w:rsid w:val="003C6B02"/>
    <w:rsid w:val="003C6B30"/>
    <w:rsid w:val="003C6B32"/>
    <w:rsid w:val="003C6B59"/>
    <w:rsid w:val="003C6B86"/>
    <w:rsid w:val="003C6B90"/>
    <w:rsid w:val="003C6C1B"/>
    <w:rsid w:val="003C6CA0"/>
    <w:rsid w:val="003C6CB9"/>
    <w:rsid w:val="003C7189"/>
    <w:rsid w:val="003C71E0"/>
    <w:rsid w:val="003C72C1"/>
    <w:rsid w:val="003C7309"/>
    <w:rsid w:val="003C7394"/>
    <w:rsid w:val="003C739B"/>
    <w:rsid w:val="003C73E9"/>
    <w:rsid w:val="003C7433"/>
    <w:rsid w:val="003C7508"/>
    <w:rsid w:val="003C7538"/>
    <w:rsid w:val="003C754C"/>
    <w:rsid w:val="003C7575"/>
    <w:rsid w:val="003C75FA"/>
    <w:rsid w:val="003C761C"/>
    <w:rsid w:val="003C76D8"/>
    <w:rsid w:val="003C7735"/>
    <w:rsid w:val="003C7789"/>
    <w:rsid w:val="003C78AA"/>
    <w:rsid w:val="003C78D3"/>
    <w:rsid w:val="003C790C"/>
    <w:rsid w:val="003C7A5E"/>
    <w:rsid w:val="003C7ADC"/>
    <w:rsid w:val="003C7B5F"/>
    <w:rsid w:val="003C7B8B"/>
    <w:rsid w:val="003C7B98"/>
    <w:rsid w:val="003C7D09"/>
    <w:rsid w:val="003C7D19"/>
    <w:rsid w:val="003C7D36"/>
    <w:rsid w:val="003C7D3B"/>
    <w:rsid w:val="003C7DB0"/>
    <w:rsid w:val="003C7DBA"/>
    <w:rsid w:val="003C7DC0"/>
    <w:rsid w:val="003C7F2C"/>
    <w:rsid w:val="003C7F9E"/>
    <w:rsid w:val="003C7F9F"/>
    <w:rsid w:val="003D0002"/>
    <w:rsid w:val="003D0025"/>
    <w:rsid w:val="003D0335"/>
    <w:rsid w:val="003D0391"/>
    <w:rsid w:val="003D0442"/>
    <w:rsid w:val="003D05E6"/>
    <w:rsid w:val="003D0774"/>
    <w:rsid w:val="003D084D"/>
    <w:rsid w:val="003D08EF"/>
    <w:rsid w:val="003D08F9"/>
    <w:rsid w:val="003D095B"/>
    <w:rsid w:val="003D09B5"/>
    <w:rsid w:val="003D0AC4"/>
    <w:rsid w:val="003D0BFC"/>
    <w:rsid w:val="003D0CCB"/>
    <w:rsid w:val="003D0FE7"/>
    <w:rsid w:val="003D12BF"/>
    <w:rsid w:val="003D12CB"/>
    <w:rsid w:val="003D13F7"/>
    <w:rsid w:val="003D15DD"/>
    <w:rsid w:val="003D166A"/>
    <w:rsid w:val="003D1677"/>
    <w:rsid w:val="003D16B2"/>
    <w:rsid w:val="003D1758"/>
    <w:rsid w:val="003D1805"/>
    <w:rsid w:val="003D189E"/>
    <w:rsid w:val="003D18A7"/>
    <w:rsid w:val="003D1B6A"/>
    <w:rsid w:val="003D1C2F"/>
    <w:rsid w:val="003D1C46"/>
    <w:rsid w:val="003D1C5B"/>
    <w:rsid w:val="003D1C7C"/>
    <w:rsid w:val="003D1DB5"/>
    <w:rsid w:val="003D1E3F"/>
    <w:rsid w:val="003D1EB8"/>
    <w:rsid w:val="003D1ECF"/>
    <w:rsid w:val="003D1EDE"/>
    <w:rsid w:val="003D1F4D"/>
    <w:rsid w:val="003D1FA9"/>
    <w:rsid w:val="003D1FF9"/>
    <w:rsid w:val="003D2061"/>
    <w:rsid w:val="003D2089"/>
    <w:rsid w:val="003D21BF"/>
    <w:rsid w:val="003D21F8"/>
    <w:rsid w:val="003D2336"/>
    <w:rsid w:val="003D2368"/>
    <w:rsid w:val="003D25EB"/>
    <w:rsid w:val="003D266B"/>
    <w:rsid w:val="003D26E9"/>
    <w:rsid w:val="003D27A5"/>
    <w:rsid w:val="003D27F2"/>
    <w:rsid w:val="003D2861"/>
    <w:rsid w:val="003D28E3"/>
    <w:rsid w:val="003D2933"/>
    <w:rsid w:val="003D299E"/>
    <w:rsid w:val="003D2A76"/>
    <w:rsid w:val="003D2AD3"/>
    <w:rsid w:val="003D2AF7"/>
    <w:rsid w:val="003D2B36"/>
    <w:rsid w:val="003D2B61"/>
    <w:rsid w:val="003D2B67"/>
    <w:rsid w:val="003D2BE6"/>
    <w:rsid w:val="003D2C24"/>
    <w:rsid w:val="003D2D02"/>
    <w:rsid w:val="003D2D2A"/>
    <w:rsid w:val="003D2D65"/>
    <w:rsid w:val="003D2D75"/>
    <w:rsid w:val="003D2F39"/>
    <w:rsid w:val="003D31B3"/>
    <w:rsid w:val="003D3400"/>
    <w:rsid w:val="003D3533"/>
    <w:rsid w:val="003D353E"/>
    <w:rsid w:val="003D3570"/>
    <w:rsid w:val="003D3596"/>
    <w:rsid w:val="003D359C"/>
    <w:rsid w:val="003D35E0"/>
    <w:rsid w:val="003D35E3"/>
    <w:rsid w:val="003D3647"/>
    <w:rsid w:val="003D3689"/>
    <w:rsid w:val="003D368D"/>
    <w:rsid w:val="003D386E"/>
    <w:rsid w:val="003D38E5"/>
    <w:rsid w:val="003D399F"/>
    <w:rsid w:val="003D39CB"/>
    <w:rsid w:val="003D3A71"/>
    <w:rsid w:val="003D3A8A"/>
    <w:rsid w:val="003D3AB4"/>
    <w:rsid w:val="003D3B8C"/>
    <w:rsid w:val="003D3BB1"/>
    <w:rsid w:val="003D3C22"/>
    <w:rsid w:val="003D3DAB"/>
    <w:rsid w:val="003D3DE8"/>
    <w:rsid w:val="003D3F56"/>
    <w:rsid w:val="003D3F5C"/>
    <w:rsid w:val="003D411C"/>
    <w:rsid w:val="003D4256"/>
    <w:rsid w:val="003D450C"/>
    <w:rsid w:val="003D451E"/>
    <w:rsid w:val="003D4547"/>
    <w:rsid w:val="003D4554"/>
    <w:rsid w:val="003D4695"/>
    <w:rsid w:val="003D473F"/>
    <w:rsid w:val="003D4769"/>
    <w:rsid w:val="003D4854"/>
    <w:rsid w:val="003D48D0"/>
    <w:rsid w:val="003D48DA"/>
    <w:rsid w:val="003D48FD"/>
    <w:rsid w:val="003D4A30"/>
    <w:rsid w:val="003D4A39"/>
    <w:rsid w:val="003D4BCF"/>
    <w:rsid w:val="003D4D9B"/>
    <w:rsid w:val="003D4F22"/>
    <w:rsid w:val="003D4F3C"/>
    <w:rsid w:val="003D4F3D"/>
    <w:rsid w:val="003D4FBC"/>
    <w:rsid w:val="003D5015"/>
    <w:rsid w:val="003D50A5"/>
    <w:rsid w:val="003D5194"/>
    <w:rsid w:val="003D54A3"/>
    <w:rsid w:val="003D5560"/>
    <w:rsid w:val="003D55BA"/>
    <w:rsid w:val="003D55E1"/>
    <w:rsid w:val="003D5617"/>
    <w:rsid w:val="003D565C"/>
    <w:rsid w:val="003D56DC"/>
    <w:rsid w:val="003D5775"/>
    <w:rsid w:val="003D57C0"/>
    <w:rsid w:val="003D589E"/>
    <w:rsid w:val="003D597F"/>
    <w:rsid w:val="003D59C3"/>
    <w:rsid w:val="003D5A32"/>
    <w:rsid w:val="003D5B1D"/>
    <w:rsid w:val="003D5BAF"/>
    <w:rsid w:val="003D5BD6"/>
    <w:rsid w:val="003D5C30"/>
    <w:rsid w:val="003D5C3D"/>
    <w:rsid w:val="003D5C83"/>
    <w:rsid w:val="003D5CB6"/>
    <w:rsid w:val="003D5D03"/>
    <w:rsid w:val="003D5DAC"/>
    <w:rsid w:val="003D5DCC"/>
    <w:rsid w:val="003D5DF4"/>
    <w:rsid w:val="003D5E26"/>
    <w:rsid w:val="003D5E58"/>
    <w:rsid w:val="003D5EE7"/>
    <w:rsid w:val="003D5FE5"/>
    <w:rsid w:val="003D6004"/>
    <w:rsid w:val="003D6050"/>
    <w:rsid w:val="003D622A"/>
    <w:rsid w:val="003D6267"/>
    <w:rsid w:val="003D6329"/>
    <w:rsid w:val="003D637A"/>
    <w:rsid w:val="003D63E8"/>
    <w:rsid w:val="003D641A"/>
    <w:rsid w:val="003D65BF"/>
    <w:rsid w:val="003D6697"/>
    <w:rsid w:val="003D67F4"/>
    <w:rsid w:val="003D6828"/>
    <w:rsid w:val="003D68DD"/>
    <w:rsid w:val="003D6930"/>
    <w:rsid w:val="003D69B0"/>
    <w:rsid w:val="003D6A25"/>
    <w:rsid w:val="003D6A4E"/>
    <w:rsid w:val="003D6A53"/>
    <w:rsid w:val="003D6ACB"/>
    <w:rsid w:val="003D6AF1"/>
    <w:rsid w:val="003D6C2C"/>
    <w:rsid w:val="003D6CF2"/>
    <w:rsid w:val="003D6E28"/>
    <w:rsid w:val="003D6ED0"/>
    <w:rsid w:val="003D6F3F"/>
    <w:rsid w:val="003D6FE0"/>
    <w:rsid w:val="003D7056"/>
    <w:rsid w:val="003D707B"/>
    <w:rsid w:val="003D71EB"/>
    <w:rsid w:val="003D7238"/>
    <w:rsid w:val="003D729F"/>
    <w:rsid w:val="003D72A7"/>
    <w:rsid w:val="003D7369"/>
    <w:rsid w:val="003D736A"/>
    <w:rsid w:val="003D73B2"/>
    <w:rsid w:val="003D740C"/>
    <w:rsid w:val="003D742B"/>
    <w:rsid w:val="003D745E"/>
    <w:rsid w:val="003D7461"/>
    <w:rsid w:val="003D749A"/>
    <w:rsid w:val="003D74F2"/>
    <w:rsid w:val="003D7551"/>
    <w:rsid w:val="003D75A5"/>
    <w:rsid w:val="003D7753"/>
    <w:rsid w:val="003D7794"/>
    <w:rsid w:val="003D7798"/>
    <w:rsid w:val="003D77F8"/>
    <w:rsid w:val="003D78B1"/>
    <w:rsid w:val="003D78B7"/>
    <w:rsid w:val="003D7967"/>
    <w:rsid w:val="003D7B02"/>
    <w:rsid w:val="003D7B0D"/>
    <w:rsid w:val="003D7B22"/>
    <w:rsid w:val="003D7B97"/>
    <w:rsid w:val="003D7BFC"/>
    <w:rsid w:val="003D7D5D"/>
    <w:rsid w:val="003D7D8C"/>
    <w:rsid w:val="003D7D91"/>
    <w:rsid w:val="003D7DB8"/>
    <w:rsid w:val="003D7DC8"/>
    <w:rsid w:val="003D7E75"/>
    <w:rsid w:val="003D7F56"/>
    <w:rsid w:val="003D7FB6"/>
    <w:rsid w:val="003E0023"/>
    <w:rsid w:val="003E0129"/>
    <w:rsid w:val="003E0190"/>
    <w:rsid w:val="003E0208"/>
    <w:rsid w:val="003E02C7"/>
    <w:rsid w:val="003E0348"/>
    <w:rsid w:val="003E03E7"/>
    <w:rsid w:val="003E0429"/>
    <w:rsid w:val="003E0491"/>
    <w:rsid w:val="003E04B6"/>
    <w:rsid w:val="003E04EA"/>
    <w:rsid w:val="003E0502"/>
    <w:rsid w:val="003E05DF"/>
    <w:rsid w:val="003E0646"/>
    <w:rsid w:val="003E06C7"/>
    <w:rsid w:val="003E0793"/>
    <w:rsid w:val="003E07B1"/>
    <w:rsid w:val="003E07C5"/>
    <w:rsid w:val="003E07CF"/>
    <w:rsid w:val="003E07D4"/>
    <w:rsid w:val="003E07DE"/>
    <w:rsid w:val="003E092A"/>
    <w:rsid w:val="003E0943"/>
    <w:rsid w:val="003E0B08"/>
    <w:rsid w:val="003E0C31"/>
    <w:rsid w:val="003E0CF5"/>
    <w:rsid w:val="003E0E8D"/>
    <w:rsid w:val="003E0ED5"/>
    <w:rsid w:val="003E0EDA"/>
    <w:rsid w:val="003E0F79"/>
    <w:rsid w:val="003E1197"/>
    <w:rsid w:val="003E1342"/>
    <w:rsid w:val="003E13F2"/>
    <w:rsid w:val="003E14B4"/>
    <w:rsid w:val="003E14F9"/>
    <w:rsid w:val="003E15B4"/>
    <w:rsid w:val="003E15BA"/>
    <w:rsid w:val="003E15E1"/>
    <w:rsid w:val="003E16C7"/>
    <w:rsid w:val="003E17AD"/>
    <w:rsid w:val="003E18B8"/>
    <w:rsid w:val="003E1AEF"/>
    <w:rsid w:val="003E1CD6"/>
    <w:rsid w:val="003E1D2F"/>
    <w:rsid w:val="003E1EB5"/>
    <w:rsid w:val="003E1F5D"/>
    <w:rsid w:val="003E2073"/>
    <w:rsid w:val="003E2085"/>
    <w:rsid w:val="003E20C9"/>
    <w:rsid w:val="003E2140"/>
    <w:rsid w:val="003E21DF"/>
    <w:rsid w:val="003E22CB"/>
    <w:rsid w:val="003E2343"/>
    <w:rsid w:val="003E238F"/>
    <w:rsid w:val="003E23B8"/>
    <w:rsid w:val="003E23C7"/>
    <w:rsid w:val="003E23D5"/>
    <w:rsid w:val="003E2455"/>
    <w:rsid w:val="003E2476"/>
    <w:rsid w:val="003E2688"/>
    <w:rsid w:val="003E2792"/>
    <w:rsid w:val="003E27B9"/>
    <w:rsid w:val="003E280E"/>
    <w:rsid w:val="003E28AC"/>
    <w:rsid w:val="003E28CB"/>
    <w:rsid w:val="003E29CC"/>
    <w:rsid w:val="003E2A1F"/>
    <w:rsid w:val="003E2AB3"/>
    <w:rsid w:val="003E2B30"/>
    <w:rsid w:val="003E2B61"/>
    <w:rsid w:val="003E2CE3"/>
    <w:rsid w:val="003E3111"/>
    <w:rsid w:val="003E311E"/>
    <w:rsid w:val="003E3121"/>
    <w:rsid w:val="003E3235"/>
    <w:rsid w:val="003E3274"/>
    <w:rsid w:val="003E327B"/>
    <w:rsid w:val="003E3367"/>
    <w:rsid w:val="003E3431"/>
    <w:rsid w:val="003E348F"/>
    <w:rsid w:val="003E35EC"/>
    <w:rsid w:val="003E3715"/>
    <w:rsid w:val="003E373C"/>
    <w:rsid w:val="003E37B1"/>
    <w:rsid w:val="003E3911"/>
    <w:rsid w:val="003E3C5F"/>
    <w:rsid w:val="003E3CA2"/>
    <w:rsid w:val="003E3CED"/>
    <w:rsid w:val="003E3DBA"/>
    <w:rsid w:val="003E3DEB"/>
    <w:rsid w:val="003E3E5A"/>
    <w:rsid w:val="003E3E6B"/>
    <w:rsid w:val="003E3EE1"/>
    <w:rsid w:val="003E3F66"/>
    <w:rsid w:val="003E406B"/>
    <w:rsid w:val="003E40BD"/>
    <w:rsid w:val="003E40D2"/>
    <w:rsid w:val="003E42A7"/>
    <w:rsid w:val="003E42C5"/>
    <w:rsid w:val="003E44C2"/>
    <w:rsid w:val="003E459C"/>
    <w:rsid w:val="003E45E8"/>
    <w:rsid w:val="003E4823"/>
    <w:rsid w:val="003E4878"/>
    <w:rsid w:val="003E4899"/>
    <w:rsid w:val="003E4ADF"/>
    <w:rsid w:val="003E4C8B"/>
    <w:rsid w:val="003E4C8C"/>
    <w:rsid w:val="003E4DBD"/>
    <w:rsid w:val="003E4DF4"/>
    <w:rsid w:val="003E4E39"/>
    <w:rsid w:val="003E4EA3"/>
    <w:rsid w:val="003E4EF6"/>
    <w:rsid w:val="003E4F96"/>
    <w:rsid w:val="003E4FE6"/>
    <w:rsid w:val="003E5054"/>
    <w:rsid w:val="003E5055"/>
    <w:rsid w:val="003E50F7"/>
    <w:rsid w:val="003E532C"/>
    <w:rsid w:val="003E53FB"/>
    <w:rsid w:val="003E55DC"/>
    <w:rsid w:val="003E5622"/>
    <w:rsid w:val="003E5686"/>
    <w:rsid w:val="003E578D"/>
    <w:rsid w:val="003E583E"/>
    <w:rsid w:val="003E5ABF"/>
    <w:rsid w:val="003E5AF6"/>
    <w:rsid w:val="003E5B8C"/>
    <w:rsid w:val="003E5BA9"/>
    <w:rsid w:val="003E5BDA"/>
    <w:rsid w:val="003E5C3B"/>
    <w:rsid w:val="003E5CCA"/>
    <w:rsid w:val="003E5D36"/>
    <w:rsid w:val="003E5DE5"/>
    <w:rsid w:val="003E5F1D"/>
    <w:rsid w:val="003E6027"/>
    <w:rsid w:val="003E60CC"/>
    <w:rsid w:val="003E6119"/>
    <w:rsid w:val="003E62A5"/>
    <w:rsid w:val="003E63FF"/>
    <w:rsid w:val="003E6433"/>
    <w:rsid w:val="003E644A"/>
    <w:rsid w:val="003E6489"/>
    <w:rsid w:val="003E65D6"/>
    <w:rsid w:val="003E65E3"/>
    <w:rsid w:val="003E662D"/>
    <w:rsid w:val="003E6707"/>
    <w:rsid w:val="003E6797"/>
    <w:rsid w:val="003E67BF"/>
    <w:rsid w:val="003E67E9"/>
    <w:rsid w:val="003E67ED"/>
    <w:rsid w:val="003E6831"/>
    <w:rsid w:val="003E6A76"/>
    <w:rsid w:val="003E6C9D"/>
    <w:rsid w:val="003E6CE4"/>
    <w:rsid w:val="003E6D6C"/>
    <w:rsid w:val="003E6E44"/>
    <w:rsid w:val="003E6EBF"/>
    <w:rsid w:val="003E6F26"/>
    <w:rsid w:val="003E6FA7"/>
    <w:rsid w:val="003E7040"/>
    <w:rsid w:val="003E7057"/>
    <w:rsid w:val="003E711C"/>
    <w:rsid w:val="003E723F"/>
    <w:rsid w:val="003E7266"/>
    <w:rsid w:val="003E7310"/>
    <w:rsid w:val="003E740B"/>
    <w:rsid w:val="003E7416"/>
    <w:rsid w:val="003E74A5"/>
    <w:rsid w:val="003E74DE"/>
    <w:rsid w:val="003E7544"/>
    <w:rsid w:val="003E7548"/>
    <w:rsid w:val="003E760B"/>
    <w:rsid w:val="003E7620"/>
    <w:rsid w:val="003E76EB"/>
    <w:rsid w:val="003E7757"/>
    <w:rsid w:val="003E7773"/>
    <w:rsid w:val="003E77E3"/>
    <w:rsid w:val="003E7948"/>
    <w:rsid w:val="003E7A4F"/>
    <w:rsid w:val="003E7B3E"/>
    <w:rsid w:val="003E7C4A"/>
    <w:rsid w:val="003E7CA5"/>
    <w:rsid w:val="003E7D7F"/>
    <w:rsid w:val="003E7E35"/>
    <w:rsid w:val="003E7E6B"/>
    <w:rsid w:val="003E7EEB"/>
    <w:rsid w:val="003F003E"/>
    <w:rsid w:val="003F008F"/>
    <w:rsid w:val="003F0252"/>
    <w:rsid w:val="003F02FB"/>
    <w:rsid w:val="003F06F1"/>
    <w:rsid w:val="003F06FE"/>
    <w:rsid w:val="003F0709"/>
    <w:rsid w:val="003F078B"/>
    <w:rsid w:val="003F07EB"/>
    <w:rsid w:val="003F0AD7"/>
    <w:rsid w:val="003F0BBD"/>
    <w:rsid w:val="003F0C12"/>
    <w:rsid w:val="003F0D7C"/>
    <w:rsid w:val="003F0D8C"/>
    <w:rsid w:val="003F0DAD"/>
    <w:rsid w:val="003F0DCC"/>
    <w:rsid w:val="003F0DED"/>
    <w:rsid w:val="003F0E12"/>
    <w:rsid w:val="003F0E42"/>
    <w:rsid w:val="003F1003"/>
    <w:rsid w:val="003F10E2"/>
    <w:rsid w:val="003F115E"/>
    <w:rsid w:val="003F119D"/>
    <w:rsid w:val="003F139D"/>
    <w:rsid w:val="003F13E3"/>
    <w:rsid w:val="003F1441"/>
    <w:rsid w:val="003F14C2"/>
    <w:rsid w:val="003F14E4"/>
    <w:rsid w:val="003F179D"/>
    <w:rsid w:val="003F17B6"/>
    <w:rsid w:val="003F17C1"/>
    <w:rsid w:val="003F187A"/>
    <w:rsid w:val="003F1884"/>
    <w:rsid w:val="003F1933"/>
    <w:rsid w:val="003F195D"/>
    <w:rsid w:val="003F1A79"/>
    <w:rsid w:val="003F1D93"/>
    <w:rsid w:val="003F1D9B"/>
    <w:rsid w:val="003F1E51"/>
    <w:rsid w:val="003F1E59"/>
    <w:rsid w:val="003F1E8C"/>
    <w:rsid w:val="003F1ED8"/>
    <w:rsid w:val="003F1F12"/>
    <w:rsid w:val="003F1F19"/>
    <w:rsid w:val="003F1FA5"/>
    <w:rsid w:val="003F1FCD"/>
    <w:rsid w:val="003F2129"/>
    <w:rsid w:val="003F2183"/>
    <w:rsid w:val="003F2210"/>
    <w:rsid w:val="003F23EB"/>
    <w:rsid w:val="003F2455"/>
    <w:rsid w:val="003F24B4"/>
    <w:rsid w:val="003F2506"/>
    <w:rsid w:val="003F251D"/>
    <w:rsid w:val="003F2550"/>
    <w:rsid w:val="003F26AD"/>
    <w:rsid w:val="003F277A"/>
    <w:rsid w:val="003F278E"/>
    <w:rsid w:val="003F27EF"/>
    <w:rsid w:val="003F28BE"/>
    <w:rsid w:val="003F2AA8"/>
    <w:rsid w:val="003F2AC3"/>
    <w:rsid w:val="003F2B2C"/>
    <w:rsid w:val="003F2B7E"/>
    <w:rsid w:val="003F2C83"/>
    <w:rsid w:val="003F2D6C"/>
    <w:rsid w:val="003F2DC6"/>
    <w:rsid w:val="003F2E7A"/>
    <w:rsid w:val="003F3178"/>
    <w:rsid w:val="003F31D1"/>
    <w:rsid w:val="003F3221"/>
    <w:rsid w:val="003F3341"/>
    <w:rsid w:val="003F3492"/>
    <w:rsid w:val="003F3585"/>
    <w:rsid w:val="003F3675"/>
    <w:rsid w:val="003F36AA"/>
    <w:rsid w:val="003F36E5"/>
    <w:rsid w:val="003F374A"/>
    <w:rsid w:val="003F37C4"/>
    <w:rsid w:val="003F381B"/>
    <w:rsid w:val="003F38A3"/>
    <w:rsid w:val="003F3B01"/>
    <w:rsid w:val="003F3C0D"/>
    <w:rsid w:val="003F3CA7"/>
    <w:rsid w:val="003F3E1C"/>
    <w:rsid w:val="003F3E63"/>
    <w:rsid w:val="003F41D6"/>
    <w:rsid w:val="003F4310"/>
    <w:rsid w:val="003F4321"/>
    <w:rsid w:val="003F4344"/>
    <w:rsid w:val="003F4359"/>
    <w:rsid w:val="003F437C"/>
    <w:rsid w:val="003F4393"/>
    <w:rsid w:val="003F4398"/>
    <w:rsid w:val="003F43C1"/>
    <w:rsid w:val="003F448A"/>
    <w:rsid w:val="003F4538"/>
    <w:rsid w:val="003F47E5"/>
    <w:rsid w:val="003F484B"/>
    <w:rsid w:val="003F4899"/>
    <w:rsid w:val="003F491D"/>
    <w:rsid w:val="003F4946"/>
    <w:rsid w:val="003F4A00"/>
    <w:rsid w:val="003F4B3D"/>
    <w:rsid w:val="003F4C27"/>
    <w:rsid w:val="003F4CF1"/>
    <w:rsid w:val="003F4D27"/>
    <w:rsid w:val="003F4D44"/>
    <w:rsid w:val="003F4E71"/>
    <w:rsid w:val="003F4FCD"/>
    <w:rsid w:val="003F501B"/>
    <w:rsid w:val="003F502C"/>
    <w:rsid w:val="003F5051"/>
    <w:rsid w:val="003F512F"/>
    <w:rsid w:val="003F51CF"/>
    <w:rsid w:val="003F52FE"/>
    <w:rsid w:val="003F535C"/>
    <w:rsid w:val="003F5370"/>
    <w:rsid w:val="003F5373"/>
    <w:rsid w:val="003F537F"/>
    <w:rsid w:val="003F53BB"/>
    <w:rsid w:val="003F55D4"/>
    <w:rsid w:val="003F57CC"/>
    <w:rsid w:val="003F57F6"/>
    <w:rsid w:val="003F59B3"/>
    <w:rsid w:val="003F59D5"/>
    <w:rsid w:val="003F5A02"/>
    <w:rsid w:val="003F5AB0"/>
    <w:rsid w:val="003F5AD1"/>
    <w:rsid w:val="003F5AEC"/>
    <w:rsid w:val="003F5AFD"/>
    <w:rsid w:val="003F5C40"/>
    <w:rsid w:val="003F5CAA"/>
    <w:rsid w:val="003F5CC1"/>
    <w:rsid w:val="003F5CED"/>
    <w:rsid w:val="003F5D11"/>
    <w:rsid w:val="003F5DEF"/>
    <w:rsid w:val="003F5DF3"/>
    <w:rsid w:val="003F5E1B"/>
    <w:rsid w:val="003F5E8C"/>
    <w:rsid w:val="003F5F78"/>
    <w:rsid w:val="003F5F85"/>
    <w:rsid w:val="003F5FB9"/>
    <w:rsid w:val="003F6005"/>
    <w:rsid w:val="003F605A"/>
    <w:rsid w:val="003F6066"/>
    <w:rsid w:val="003F6123"/>
    <w:rsid w:val="003F646F"/>
    <w:rsid w:val="003F64D5"/>
    <w:rsid w:val="003F65A2"/>
    <w:rsid w:val="003F65CD"/>
    <w:rsid w:val="003F6677"/>
    <w:rsid w:val="003F6696"/>
    <w:rsid w:val="003F66A2"/>
    <w:rsid w:val="003F66F5"/>
    <w:rsid w:val="003F688A"/>
    <w:rsid w:val="003F688B"/>
    <w:rsid w:val="003F6995"/>
    <w:rsid w:val="003F6996"/>
    <w:rsid w:val="003F6B4A"/>
    <w:rsid w:val="003F6BFD"/>
    <w:rsid w:val="003F6C81"/>
    <w:rsid w:val="003F6D0B"/>
    <w:rsid w:val="003F6D64"/>
    <w:rsid w:val="003F6D8A"/>
    <w:rsid w:val="003F6E18"/>
    <w:rsid w:val="003F6F96"/>
    <w:rsid w:val="003F6FEA"/>
    <w:rsid w:val="003F7064"/>
    <w:rsid w:val="003F7095"/>
    <w:rsid w:val="003F7160"/>
    <w:rsid w:val="003F7187"/>
    <w:rsid w:val="003F7196"/>
    <w:rsid w:val="003F724D"/>
    <w:rsid w:val="003F7265"/>
    <w:rsid w:val="003F72D8"/>
    <w:rsid w:val="003F73FE"/>
    <w:rsid w:val="003F7770"/>
    <w:rsid w:val="003F789C"/>
    <w:rsid w:val="003F79D2"/>
    <w:rsid w:val="003F7A46"/>
    <w:rsid w:val="003F7A9A"/>
    <w:rsid w:val="003F7B2A"/>
    <w:rsid w:val="003F7B9B"/>
    <w:rsid w:val="003F7DCC"/>
    <w:rsid w:val="003F7E72"/>
    <w:rsid w:val="003F7E89"/>
    <w:rsid w:val="003F7E9E"/>
    <w:rsid w:val="003F7F5C"/>
    <w:rsid w:val="003F7FD4"/>
    <w:rsid w:val="003F7FD5"/>
    <w:rsid w:val="00400042"/>
    <w:rsid w:val="00400109"/>
    <w:rsid w:val="00400133"/>
    <w:rsid w:val="004001EB"/>
    <w:rsid w:val="00400260"/>
    <w:rsid w:val="00400338"/>
    <w:rsid w:val="00400364"/>
    <w:rsid w:val="004003E1"/>
    <w:rsid w:val="0040040E"/>
    <w:rsid w:val="00400440"/>
    <w:rsid w:val="004005CE"/>
    <w:rsid w:val="004005F3"/>
    <w:rsid w:val="00400615"/>
    <w:rsid w:val="00400627"/>
    <w:rsid w:val="004006E8"/>
    <w:rsid w:val="00400702"/>
    <w:rsid w:val="0040084A"/>
    <w:rsid w:val="00400880"/>
    <w:rsid w:val="004008AF"/>
    <w:rsid w:val="004009C9"/>
    <w:rsid w:val="004009F2"/>
    <w:rsid w:val="00400A12"/>
    <w:rsid w:val="00400A4E"/>
    <w:rsid w:val="00400AEF"/>
    <w:rsid w:val="00400B56"/>
    <w:rsid w:val="00400B5F"/>
    <w:rsid w:val="00400C40"/>
    <w:rsid w:val="00400C41"/>
    <w:rsid w:val="00400C87"/>
    <w:rsid w:val="00400CE8"/>
    <w:rsid w:val="00400D14"/>
    <w:rsid w:val="00400D5A"/>
    <w:rsid w:val="00400DD8"/>
    <w:rsid w:val="00400E1F"/>
    <w:rsid w:val="00400E3A"/>
    <w:rsid w:val="00400F32"/>
    <w:rsid w:val="00400FE9"/>
    <w:rsid w:val="00401098"/>
    <w:rsid w:val="00401147"/>
    <w:rsid w:val="00401267"/>
    <w:rsid w:val="004012DE"/>
    <w:rsid w:val="00401344"/>
    <w:rsid w:val="00401356"/>
    <w:rsid w:val="00401387"/>
    <w:rsid w:val="00401497"/>
    <w:rsid w:val="004015A6"/>
    <w:rsid w:val="004015BF"/>
    <w:rsid w:val="00401798"/>
    <w:rsid w:val="004017B4"/>
    <w:rsid w:val="004017F0"/>
    <w:rsid w:val="0040182E"/>
    <w:rsid w:val="00401866"/>
    <w:rsid w:val="004018DE"/>
    <w:rsid w:val="00401907"/>
    <w:rsid w:val="00401ADF"/>
    <w:rsid w:val="00401B2F"/>
    <w:rsid w:val="00401B32"/>
    <w:rsid w:val="00401B7F"/>
    <w:rsid w:val="00401BA8"/>
    <w:rsid w:val="00401C9B"/>
    <w:rsid w:val="00401DBF"/>
    <w:rsid w:val="00401DEA"/>
    <w:rsid w:val="00401E32"/>
    <w:rsid w:val="00401E4F"/>
    <w:rsid w:val="00401E8A"/>
    <w:rsid w:val="004020D8"/>
    <w:rsid w:val="004020DF"/>
    <w:rsid w:val="0040225F"/>
    <w:rsid w:val="004023A5"/>
    <w:rsid w:val="0040249F"/>
    <w:rsid w:val="00402519"/>
    <w:rsid w:val="00402535"/>
    <w:rsid w:val="00402552"/>
    <w:rsid w:val="00402562"/>
    <w:rsid w:val="00402593"/>
    <w:rsid w:val="004025D9"/>
    <w:rsid w:val="004025E0"/>
    <w:rsid w:val="00402620"/>
    <w:rsid w:val="0040268A"/>
    <w:rsid w:val="00402A3F"/>
    <w:rsid w:val="00402A94"/>
    <w:rsid w:val="00402B50"/>
    <w:rsid w:val="00402BD4"/>
    <w:rsid w:val="00402BFD"/>
    <w:rsid w:val="00402CA2"/>
    <w:rsid w:val="00402CBA"/>
    <w:rsid w:val="00402CC0"/>
    <w:rsid w:val="00402FBD"/>
    <w:rsid w:val="00402FFD"/>
    <w:rsid w:val="0040306E"/>
    <w:rsid w:val="004030FD"/>
    <w:rsid w:val="00403105"/>
    <w:rsid w:val="004033D9"/>
    <w:rsid w:val="0040342B"/>
    <w:rsid w:val="00403597"/>
    <w:rsid w:val="004035F0"/>
    <w:rsid w:val="004036AD"/>
    <w:rsid w:val="00403797"/>
    <w:rsid w:val="004039B2"/>
    <w:rsid w:val="004039E0"/>
    <w:rsid w:val="00403AFD"/>
    <w:rsid w:val="00403B6D"/>
    <w:rsid w:val="00403E26"/>
    <w:rsid w:val="00403EF6"/>
    <w:rsid w:val="00403F65"/>
    <w:rsid w:val="00404136"/>
    <w:rsid w:val="00404193"/>
    <w:rsid w:val="004041E8"/>
    <w:rsid w:val="0040422E"/>
    <w:rsid w:val="00404364"/>
    <w:rsid w:val="004043C4"/>
    <w:rsid w:val="004044DD"/>
    <w:rsid w:val="00404516"/>
    <w:rsid w:val="0040452D"/>
    <w:rsid w:val="00404689"/>
    <w:rsid w:val="004046D6"/>
    <w:rsid w:val="0040474F"/>
    <w:rsid w:val="00404753"/>
    <w:rsid w:val="0040475A"/>
    <w:rsid w:val="0040493F"/>
    <w:rsid w:val="00404959"/>
    <w:rsid w:val="00404976"/>
    <w:rsid w:val="00404A33"/>
    <w:rsid w:val="00404A94"/>
    <w:rsid w:val="00404CB1"/>
    <w:rsid w:val="00404E68"/>
    <w:rsid w:val="00404F2A"/>
    <w:rsid w:val="00405057"/>
    <w:rsid w:val="004050C8"/>
    <w:rsid w:val="004050EC"/>
    <w:rsid w:val="00405119"/>
    <w:rsid w:val="004051A0"/>
    <w:rsid w:val="004051CC"/>
    <w:rsid w:val="004053AA"/>
    <w:rsid w:val="0040548F"/>
    <w:rsid w:val="004054EC"/>
    <w:rsid w:val="0040551F"/>
    <w:rsid w:val="00405534"/>
    <w:rsid w:val="00405613"/>
    <w:rsid w:val="0040569A"/>
    <w:rsid w:val="004056C1"/>
    <w:rsid w:val="004056EE"/>
    <w:rsid w:val="004057C8"/>
    <w:rsid w:val="00405876"/>
    <w:rsid w:val="004058AD"/>
    <w:rsid w:val="00405960"/>
    <w:rsid w:val="00405AD3"/>
    <w:rsid w:val="00405C44"/>
    <w:rsid w:val="00405D35"/>
    <w:rsid w:val="00405D56"/>
    <w:rsid w:val="00405F26"/>
    <w:rsid w:val="00405F29"/>
    <w:rsid w:val="00406146"/>
    <w:rsid w:val="004061C3"/>
    <w:rsid w:val="00406255"/>
    <w:rsid w:val="00406352"/>
    <w:rsid w:val="00406462"/>
    <w:rsid w:val="00406715"/>
    <w:rsid w:val="00406716"/>
    <w:rsid w:val="0040690D"/>
    <w:rsid w:val="0040697F"/>
    <w:rsid w:val="00406A03"/>
    <w:rsid w:val="00406A8E"/>
    <w:rsid w:val="00406B08"/>
    <w:rsid w:val="00406B58"/>
    <w:rsid w:val="00406BAE"/>
    <w:rsid w:val="00406BCE"/>
    <w:rsid w:val="00406C38"/>
    <w:rsid w:val="00406CB7"/>
    <w:rsid w:val="00406CB9"/>
    <w:rsid w:val="00406D32"/>
    <w:rsid w:val="00406E3E"/>
    <w:rsid w:val="00406EAD"/>
    <w:rsid w:val="00406FA2"/>
    <w:rsid w:val="00407003"/>
    <w:rsid w:val="0040700D"/>
    <w:rsid w:val="004070EC"/>
    <w:rsid w:val="0040711B"/>
    <w:rsid w:val="0040726C"/>
    <w:rsid w:val="004072E1"/>
    <w:rsid w:val="004072E6"/>
    <w:rsid w:val="00407307"/>
    <w:rsid w:val="004073BC"/>
    <w:rsid w:val="0040743A"/>
    <w:rsid w:val="004074BE"/>
    <w:rsid w:val="004074DE"/>
    <w:rsid w:val="00407555"/>
    <w:rsid w:val="0040771F"/>
    <w:rsid w:val="004078D8"/>
    <w:rsid w:val="00407A20"/>
    <w:rsid w:val="00407A47"/>
    <w:rsid w:val="00407AC7"/>
    <w:rsid w:val="00407B2D"/>
    <w:rsid w:val="00407D1E"/>
    <w:rsid w:val="00407D29"/>
    <w:rsid w:val="00407DDA"/>
    <w:rsid w:val="00407ED0"/>
    <w:rsid w:val="00410016"/>
    <w:rsid w:val="00410017"/>
    <w:rsid w:val="0041015F"/>
    <w:rsid w:val="004101A6"/>
    <w:rsid w:val="004101B5"/>
    <w:rsid w:val="004101F1"/>
    <w:rsid w:val="004101F2"/>
    <w:rsid w:val="004102AB"/>
    <w:rsid w:val="00410338"/>
    <w:rsid w:val="004104A6"/>
    <w:rsid w:val="004104CE"/>
    <w:rsid w:val="00410502"/>
    <w:rsid w:val="0041050A"/>
    <w:rsid w:val="004105DA"/>
    <w:rsid w:val="004105EF"/>
    <w:rsid w:val="00410667"/>
    <w:rsid w:val="00410687"/>
    <w:rsid w:val="0041086F"/>
    <w:rsid w:val="00410908"/>
    <w:rsid w:val="00410938"/>
    <w:rsid w:val="00410A6C"/>
    <w:rsid w:val="00410CBA"/>
    <w:rsid w:val="00410CEA"/>
    <w:rsid w:val="00410D20"/>
    <w:rsid w:val="00410E67"/>
    <w:rsid w:val="00410F0E"/>
    <w:rsid w:val="00410F12"/>
    <w:rsid w:val="0041101C"/>
    <w:rsid w:val="0041102E"/>
    <w:rsid w:val="00411141"/>
    <w:rsid w:val="0041118B"/>
    <w:rsid w:val="00411197"/>
    <w:rsid w:val="004111F7"/>
    <w:rsid w:val="004111FB"/>
    <w:rsid w:val="0041129A"/>
    <w:rsid w:val="0041130B"/>
    <w:rsid w:val="004113CA"/>
    <w:rsid w:val="0041142B"/>
    <w:rsid w:val="00411778"/>
    <w:rsid w:val="0041182E"/>
    <w:rsid w:val="0041186F"/>
    <w:rsid w:val="004118ED"/>
    <w:rsid w:val="004118F9"/>
    <w:rsid w:val="00411967"/>
    <w:rsid w:val="004119CB"/>
    <w:rsid w:val="00411ACA"/>
    <w:rsid w:val="00411ADD"/>
    <w:rsid w:val="00411AE4"/>
    <w:rsid w:val="00411B88"/>
    <w:rsid w:val="00411C7E"/>
    <w:rsid w:val="00411D85"/>
    <w:rsid w:val="00411DA6"/>
    <w:rsid w:val="00411F18"/>
    <w:rsid w:val="00411FFD"/>
    <w:rsid w:val="0041202D"/>
    <w:rsid w:val="004120E6"/>
    <w:rsid w:val="00412154"/>
    <w:rsid w:val="0041217D"/>
    <w:rsid w:val="004121AA"/>
    <w:rsid w:val="00412246"/>
    <w:rsid w:val="004122C6"/>
    <w:rsid w:val="004122E0"/>
    <w:rsid w:val="00412306"/>
    <w:rsid w:val="0041237D"/>
    <w:rsid w:val="004125BF"/>
    <w:rsid w:val="004125C6"/>
    <w:rsid w:val="00412719"/>
    <w:rsid w:val="0041275F"/>
    <w:rsid w:val="004128A9"/>
    <w:rsid w:val="00412BB8"/>
    <w:rsid w:val="00412C13"/>
    <w:rsid w:val="00412C66"/>
    <w:rsid w:val="00412C80"/>
    <w:rsid w:val="00412CBC"/>
    <w:rsid w:val="00412CF9"/>
    <w:rsid w:val="00412D6F"/>
    <w:rsid w:val="00412DE8"/>
    <w:rsid w:val="00412E92"/>
    <w:rsid w:val="00412EC3"/>
    <w:rsid w:val="00413019"/>
    <w:rsid w:val="00413070"/>
    <w:rsid w:val="004130AC"/>
    <w:rsid w:val="004131D5"/>
    <w:rsid w:val="00413479"/>
    <w:rsid w:val="0041349D"/>
    <w:rsid w:val="004134D8"/>
    <w:rsid w:val="004134E2"/>
    <w:rsid w:val="004135FC"/>
    <w:rsid w:val="0041365A"/>
    <w:rsid w:val="0041378F"/>
    <w:rsid w:val="004137A2"/>
    <w:rsid w:val="00413860"/>
    <w:rsid w:val="00413A18"/>
    <w:rsid w:val="00413A41"/>
    <w:rsid w:val="00413A59"/>
    <w:rsid w:val="00413AFE"/>
    <w:rsid w:val="00413CBF"/>
    <w:rsid w:val="00413F90"/>
    <w:rsid w:val="0041409D"/>
    <w:rsid w:val="00414155"/>
    <w:rsid w:val="004142E3"/>
    <w:rsid w:val="00414364"/>
    <w:rsid w:val="004143C7"/>
    <w:rsid w:val="004144A6"/>
    <w:rsid w:val="004144DC"/>
    <w:rsid w:val="004144E7"/>
    <w:rsid w:val="0041466B"/>
    <w:rsid w:val="00414690"/>
    <w:rsid w:val="004146C2"/>
    <w:rsid w:val="0041482B"/>
    <w:rsid w:val="0041494D"/>
    <w:rsid w:val="00414A95"/>
    <w:rsid w:val="00414AB8"/>
    <w:rsid w:val="00414B22"/>
    <w:rsid w:val="00414B67"/>
    <w:rsid w:val="00414C1E"/>
    <w:rsid w:val="00414C6F"/>
    <w:rsid w:val="00414C70"/>
    <w:rsid w:val="00414E3E"/>
    <w:rsid w:val="00414FAF"/>
    <w:rsid w:val="00414FD7"/>
    <w:rsid w:val="00414FF2"/>
    <w:rsid w:val="004150A2"/>
    <w:rsid w:val="004151D6"/>
    <w:rsid w:val="00415279"/>
    <w:rsid w:val="004154F2"/>
    <w:rsid w:val="00415539"/>
    <w:rsid w:val="00415635"/>
    <w:rsid w:val="00415815"/>
    <w:rsid w:val="004159DF"/>
    <w:rsid w:val="00415B00"/>
    <w:rsid w:val="00415B06"/>
    <w:rsid w:val="00415B4A"/>
    <w:rsid w:val="00415BA4"/>
    <w:rsid w:val="00415C1B"/>
    <w:rsid w:val="00415C73"/>
    <w:rsid w:val="00415E48"/>
    <w:rsid w:val="00415F20"/>
    <w:rsid w:val="00415FB3"/>
    <w:rsid w:val="0041603A"/>
    <w:rsid w:val="00416145"/>
    <w:rsid w:val="00416175"/>
    <w:rsid w:val="004161BB"/>
    <w:rsid w:val="00416227"/>
    <w:rsid w:val="004163F4"/>
    <w:rsid w:val="0041644E"/>
    <w:rsid w:val="00416458"/>
    <w:rsid w:val="004164D4"/>
    <w:rsid w:val="004164FD"/>
    <w:rsid w:val="00416532"/>
    <w:rsid w:val="00416631"/>
    <w:rsid w:val="00416647"/>
    <w:rsid w:val="00416657"/>
    <w:rsid w:val="004166C0"/>
    <w:rsid w:val="004166EA"/>
    <w:rsid w:val="004167E7"/>
    <w:rsid w:val="00416898"/>
    <w:rsid w:val="0041694C"/>
    <w:rsid w:val="00416972"/>
    <w:rsid w:val="00416AB1"/>
    <w:rsid w:val="00416C11"/>
    <w:rsid w:val="00416CE4"/>
    <w:rsid w:val="00416CF7"/>
    <w:rsid w:val="00416D20"/>
    <w:rsid w:val="00416EC1"/>
    <w:rsid w:val="00416F26"/>
    <w:rsid w:val="00416F84"/>
    <w:rsid w:val="00416FB0"/>
    <w:rsid w:val="00416FD9"/>
    <w:rsid w:val="0041702B"/>
    <w:rsid w:val="00417067"/>
    <w:rsid w:val="00417141"/>
    <w:rsid w:val="00417178"/>
    <w:rsid w:val="004171E9"/>
    <w:rsid w:val="00417227"/>
    <w:rsid w:val="0041729E"/>
    <w:rsid w:val="00417334"/>
    <w:rsid w:val="00417576"/>
    <w:rsid w:val="004176B9"/>
    <w:rsid w:val="004177BD"/>
    <w:rsid w:val="00417869"/>
    <w:rsid w:val="004178E8"/>
    <w:rsid w:val="00417920"/>
    <w:rsid w:val="004179C8"/>
    <w:rsid w:val="004179E2"/>
    <w:rsid w:val="00417ABC"/>
    <w:rsid w:val="00417BB8"/>
    <w:rsid w:val="00417C1E"/>
    <w:rsid w:val="00417C43"/>
    <w:rsid w:val="00417DD9"/>
    <w:rsid w:val="00417ED8"/>
    <w:rsid w:val="00417FA3"/>
    <w:rsid w:val="0042013D"/>
    <w:rsid w:val="004201CC"/>
    <w:rsid w:val="00420546"/>
    <w:rsid w:val="00420555"/>
    <w:rsid w:val="00420656"/>
    <w:rsid w:val="00420670"/>
    <w:rsid w:val="004207CC"/>
    <w:rsid w:val="004207F5"/>
    <w:rsid w:val="0042093C"/>
    <w:rsid w:val="00420963"/>
    <w:rsid w:val="00420BEC"/>
    <w:rsid w:val="00420D45"/>
    <w:rsid w:val="00420D85"/>
    <w:rsid w:val="00420DC0"/>
    <w:rsid w:val="00420E8D"/>
    <w:rsid w:val="00420FE5"/>
    <w:rsid w:val="00420FE6"/>
    <w:rsid w:val="00421117"/>
    <w:rsid w:val="00421141"/>
    <w:rsid w:val="004211FE"/>
    <w:rsid w:val="004212CA"/>
    <w:rsid w:val="004215C0"/>
    <w:rsid w:val="004216C3"/>
    <w:rsid w:val="00421713"/>
    <w:rsid w:val="0042177E"/>
    <w:rsid w:val="0042186C"/>
    <w:rsid w:val="00421889"/>
    <w:rsid w:val="00421901"/>
    <w:rsid w:val="00421989"/>
    <w:rsid w:val="00421A5C"/>
    <w:rsid w:val="00421A89"/>
    <w:rsid w:val="00421A9B"/>
    <w:rsid w:val="00421AB3"/>
    <w:rsid w:val="00421D4C"/>
    <w:rsid w:val="00421D68"/>
    <w:rsid w:val="00421E70"/>
    <w:rsid w:val="00421E75"/>
    <w:rsid w:val="00421EBC"/>
    <w:rsid w:val="00421F48"/>
    <w:rsid w:val="00421F8D"/>
    <w:rsid w:val="0042204B"/>
    <w:rsid w:val="0042206D"/>
    <w:rsid w:val="004220AA"/>
    <w:rsid w:val="0042217F"/>
    <w:rsid w:val="004221DF"/>
    <w:rsid w:val="00422270"/>
    <w:rsid w:val="004222B2"/>
    <w:rsid w:val="004223DE"/>
    <w:rsid w:val="004223FD"/>
    <w:rsid w:val="00422449"/>
    <w:rsid w:val="00422480"/>
    <w:rsid w:val="0042253C"/>
    <w:rsid w:val="004225E9"/>
    <w:rsid w:val="00422611"/>
    <w:rsid w:val="0042281B"/>
    <w:rsid w:val="004228D0"/>
    <w:rsid w:val="00422AA5"/>
    <w:rsid w:val="00422C13"/>
    <w:rsid w:val="00422CA1"/>
    <w:rsid w:val="00422D23"/>
    <w:rsid w:val="00422DBC"/>
    <w:rsid w:val="00422EE7"/>
    <w:rsid w:val="00422EED"/>
    <w:rsid w:val="00422F0D"/>
    <w:rsid w:val="0042301A"/>
    <w:rsid w:val="0042304B"/>
    <w:rsid w:val="0042313A"/>
    <w:rsid w:val="004231F3"/>
    <w:rsid w:val="00423206"/>
    <w:rsid w:val="0042320C"/>
    <w:rsid w:val="00423211"/>
    <w:rsid w:val="0042323D"/>
    <w:rsid w:val="0042344C"/>
    <w:rsid w:val="00423521"/>
    <w:rsid w:val="00423598"/>
    <w:rsid w:val="004235F3"/>
    <w:rsid w:val="004235F7"/>
    <w:rsid w:val="004235FC"/>
    <w:rsid w:val="00423610"/>
    <w:rsid w:val="004237C1"/>
    <w:rsid w:val="0042381C"/>
    <w:rsid w:val="004238A7"/>
    <w:rsid w:val="004238BF"/>
    <w:rsid w:val="004238EC"/>
    <w:rsid w:val="00423BF6"/>
    <w:rsid w:val="00423C1F"/>
    <w:rsid w:val="00423C2F"/>
    <w:rsid w:val="00423D40"/>
    <w:rsid w:val="00423E67"/>
    <w:rsid w:val="00423E76"/>
    <w:rsid w:val="00423FDB"/>
    <w:rsid w:val="00424084"/>
    <w:rsid w:val="004240D6"/>
    <w:rsid w:val="004240E3"/>
    <w:rsid w:val="00424184"/>
    <w:rsid w:val="00424261"/>
    <w:rsid w:val="0042439A"/>
    <w:rsid w:val="0042453B"/>
    <w:rsid w:val="00424567"/>
    <w:rsid w:val="00424576"/>
    <w:rsid w:val="0042461D"/>
    <w:rsid w:val="0042466D"/>
    <w:rsid w:val="00424689"/>
    <w:rsid w:val="004246E0"/>
    <w:rsid w:val="0042470D"/>
    <w:rsid w:val="0042491C"/>
    <w:rsid w:val="00424A47"/>
    <w:rsid w:val="00424B1B"/>
    <w:rsid w:val="00424B2E"/>
    <w:rsid w:val="00424C0E"/>
    <w:rsid w:val="00424C69"/>
    <w:rsid w:val="00424CDA"/>
    <w:rsid w:val="00424DE2"/>
    <w:rsid w:val="00424F32"/>
    <w:rsid w:val="00424FAD"/>
    <w:rsid w:val="00424FC6"/>
    <w:rsid w:val="00424FE1"/>
    <w:rsid w:val="00425004"/>
    <w:rsid w:val="00425005"/>
    <w:rsid w:val="0042510D"/>
    <w:rsid w:val="00425128"/>
    <w:rsid w:val="004251C9"/>
    <w:rsid w:val="004251E8"/>
    <w:rsid w:val="00425298"/>
    <w:rsid w:val="004254B4"/>
    <w:rsid w:val="004254CB"/>
    <w:rsid w:val="004254F8"/>
    <w:rsid w:val="004256D0"/>
    <w:rsid w:val="00425781"/>
    <w:rsid w:val="004258F4"/>
    <w:rsid w:val="0042598F"/>
    <w:rsid w:val="00425B83"/>
    <w:rsid w:val="00425C5B"/>
    <w:rsid w:val="00425CEF"/>
    <w:rsid w:val="00425DF2"/>
    <w:rsid w:val="00425E9A"/>
    <w:rsid w:val="00425F9A"/>
    <w:rsid w:val="00425F9B"/>
    <w:rsid w:val="00426122"/>
    <w:rsid w:val="0042612F"/>
    <w:rsid w:val="00426205"/>
    <w:rsid w:val="00426208"/>
    <w:rsid w:val="004263E2"/>
    <w:rsid w:val="00426448"/>
    <w:rsid w:val="004264E4"/>
    <w:rsid w:val="00426586"/>
    <w:rsid w:val="004265CF"/>
    <w:rsid w:val="00426621"/>
    <w:rsid w:val="0042667A"/>
    <w:rsid w:val="00426744"/>
    <w:rsid w:val="00426796"/>
    <w:rsid w:val="004267EC"/>
    <w:rsid w:val="004268C8"/>
    <w:rsid w:val="0042699A"/>
    <w:rsid w:val="00426A1C"/>
    <w:rsid w:val="00426A4E"/>
    <w:rsid w:val="00426B86"/>
    <w:rsid w:val="00426C09"/>
    <w:rsid w:val="00426C93"/>
    <w:rsid w:val="00426C9B"/>
    <w:rsid w:val="00426CB3"/>
    <w:rsid w:val="00426CD0"/>
    <w:rsid w:val="00426D94"/>
    <w:rsid w:val="00426E71"/>
    <w:rsid w:val="00426E79"/>
    <w:rsid w:val="00427062"/>
    <w:rsid w:val="004271F1"/>
    <w:rsid w:val="0042722D"/>
    <w:rsid w:val="00427346"/>
    <w:rsid w:val="004273AD"/>
    <w:rsid w:val="004273D6"/>
    <w:rsid w:val="00427435"/>
    <w:rsid w:val="00427519"/>
    <w:rsid w:val="00427586"/>
    <w:rsid w:val="004275AB"/>
    <w:rsid w:val="00427655"/>
    <w:rsid w:val="004276E4"/>
    <w:rsid w:val="00427756"/>
    <w:rsid w:val="00427796"/>
    <w:rsid w:val="0042783D"/>
    <w:rsid w:val="00427B2A"/>
    <w:rsid w:val="00427B42"/>
    <w:rsid w:val="00427B5A"/>
    <w:rsid w:val="00427B9B"/>
    <w:rsid w:val="00427C0C"/>
    <w:rsid w:val="00427D2B"/>
    <w:rsid w:val="00427E56"/>
    <w:rsid w:val="00427ECE"/>
    <w:rsid w:val="004300DC"/>
    <w:rsid w:val="00430155"/>
    <w:rsid w:val="00430174"/>
    <w:rsid w:val="004303D7"/>
    <w:rsid w:val="004303E4"/>
    <w:rsid w:val="00430448"/>
    <w:rsid w:val="004304B4"/>
    <w:rsid w:val="004304B7"/>
    <w:rsid w:val="00430545"/>
    <w:rsid w:val="004305AE"/>
    <w:rsid w:val="004305E3"/>
    <w:rsid w:val="00430683"/>
    <w:rsid w:val="00430775"/>
    <w:rsid w:val="004307CB"/>
    <w:rsid w:val="0043080E"/>
    <w:rsid w:val="0043084B"/>
    <w:rsid w:val="00430878"/>
    <w:rsid w:val="00430926"/>
    <w:rsid w:val="00430AE8"/>
    <w:rsid w:val="00430CED"/>
    <w:rsid w:val="00430D04"/>
    <w:rsid w:val="00430D1D"/>
    <w:rsid w:val="00430D79"/>
    <w:rsid w:val="00430DB5"/>
    <w:rsid w:val="00430DC3"/>
    <w:rsid w:val="00431034"/>
    <w:rsid w:val="004310C1"/>
    <w:rsid w:val="004310F9"/>
    <w:rsid w:val="00431137"/>
    <w:rsid w:val="00431138"/>
    <w:rsid w:val="004311EC"/>
    <w:rsid w:val="004311EF"/>
    <w:rsid w:val="00431217"/>
    <w:rsid w:val="00431329"/>
    <w:rsid w:val="0043148F"/>
    <w:rsid w:val="004315CD"/>
    <w:rsid w:val="00431797"/>
    <w:rsid w:val="004317A2"/>
    <w:rsid w:val="004317AF"/>
    <w:rsid w:val="00431800"/>
    <w:rsid w:val="00431902"/>
    <w:rsid w:val="004319E3"/>
    <w:rsid w:val="004319EC"/>
    <w:rsid w:val="00431B38"/>
    <w:rsid w:val="00431BD6"/>
    <w:rsid w:val="00431CD9"/>
    <w:rsid w:val="00431CFF"/>
    <w:rsid w:val="00431D27"/>
    <w:rsid w:val="00431DC7"/>
    <w:rsid w:val="00431DDC"/>
    <w:rsid w:val="00431F73"/>
    <w:rsid w:val="00431FD5"/>
    <w:rsid w:val="0043206C"/>
    <w:rsid w:val="0043208A"/>
    <w:rsid w:val="0043208E"/>
    <w:rsid w:val="00432098"/>
    <w:rsid w:val="00432159"/>
    <w:rsid w:val="0043219E"/>
    <w:rsid w:val="0043224A"/>
    <w:rsid w:val="0043229B"/>
    <w:rsid w:val="004323F1"/>
    <w:rsid w:val="0043240A"/>
    <w:rsid w:val="0043240C"/>
    <w:rsid w:val="00432561"/>
    <w:rsid w:val="00432679"/>
    <w:rsid w:val="00432716"/>
    <w:rsid w:val="00432737"/>
    <w:rsid w:val="0043277E"/>
    <w:rsid w:val="004327E9"/>
    <w:rsid w:val="0043291B"/>
    <w:rsid w:val="004329DC"/>
    <w:rsid w:val="00432A27"/>
    <w:rsid w:val="00432A47"/>
    <w:rsid w:val="00432A54"/>
    <w:rsid w:val="00432A62"/>
    <w:rsid w:val="00432A66"/>
    <w:rsid w:val="00432BB4"/>
    <w:rsid w:val="00432CAA"/>
    <w:rsid w:val="00432CFE"/>
    <w:rsid w:val="00432DA7"/>
    <w:rsid w:val="00432E03"/>
    <w:rsid w:val="00432E9D"/>
    <w:rsid w:val="00432ECC"/>
    <w:rsid w:val="00433030"/>
    <w:rsid w:val="00433054"/>
    <w:rsid w:val="004331B2"/>
    <w:rsid w:val="00433217"/>
    <w:rsid w:val="004332BE"/>
    <w:rsid w:val="0043333F"/>
    <w:rsid w:val="00433374"/>
    <w:rsid w:val="00433406"/>
    <w:rsid w:val="00433409"/>
    <w:rsid w:val="00433443"/>
    <w:rsid w:val="00433466"/>
    <w:rsid w:val="00433541"/>
    <w:rsid w:val="004335A1"/>
    <w:rsid w:val="00433639"/>
    <w:rsid w:val="004336A0"/>
    <w:rsid w:val="004336C2"/>
    <w:rsid w:val="004336D1"/>
    <w:rsid w:val="00433989"/>
    <w:rsid w:val="00433C31"/>
    <w:rsid w:val="00433CA0"/>
    <w:rsid w:val="00433DA1"/>
    <w:rsid w:val="00433E3B"/>
    <w:rsid w:val="00433E80"/>
    <w:rsid w:val="00434057"/>
    <w:rsid w:val="00434097"/>
    <w:rsid w:val="0043416B"/>
    <w:rsid w:val="004341A0"/>
    <w:rsid w:val="004341D5"/>
    <w:rsid w:val="004341E1"/>
    <w:rsid w:val="00434581"/>
    <w:rsid w:val="004345F4"/>
    <w:rsid w:val="00434746"/>
    <w:rsid w:val="00434801"/>
    <w:rsid w:val="00434824"/>
    <w:rsid w:val="00434834"/>
    <w:rsid w:val="004348B5"/>
    <w:rsid w:val="004349DC"/>
    <w:rsid w:val="004349E9"/>
    <w:rsid w:val="00434AEB"/>
    <w:rsid w:val="00434BA6"/>
    <w:rsid w:val="00434C6F"/>
    <w:rsid w:val="00434ECD"/>
    <w:rsid w:val="00434FB1"/>
    <w:rsid w:val="00434FE5"/>
    <w:rsid w:val="00435028"/>
    <w:rsid w:val="00435074"/>
    <w:rsid w:val="00435088"/>
    <w:rsid w:val="00435092"/>
    <w:rsid w:val="004350F2"/>
    <w:rsid w:val="004351C5"/>
    <w:rsid w:val="004351E9"/>
    <w:rsid w:val="00435229"/>
    <w:rsid w:val="004352F3"/>
    <w:rsid w:val="004352F5"/>
    <w:rsid w:val="0043538B"/>
    <w:rsid w:val="004353BB"/>
    <w:rsid w:val="00435570"/>
    <w:rsid w:val="004355C9"/>
    <w:rsid w:val="004357F3"/>
    <w:rsid w:val="004358C8"/>
    <w:rsid w:val="00435A7B"/>
    <w:rsid w:val="00435A83"/>
    <w:rsid w:val="00435B17"/>
    <w:rsid w:val="00435CBC"/>
    <w:rsid w:val="00435D1C"/>
    <w:rsid w:val="00435DD0"/>
    <w:rsid w:val="00435E14"/>
    <w:rsid w:val="00435E32"/>
    <w:rsid w:val="00435F69"/>
    <w:rsid w:val="00435FE9"/>
    <w:rsid w:val="004360DB"/>
    <w:rsid w:val="0043615C"/>
    <w:rsid w:val="0043625D"/>
    <w:rsid w:val="0043637E"/>
    <w:rsid w:val="0043647F"/>
    <w:rsid w:val="00436514"/>
    <w:rsid w:val="00436547"/>
    <w:rsid w:val="0043660A"/>
    <w:rsid w:val="00436714"/>
    <w:rsid w:val="0043672B"/>
    <w:rsid w:val="004367C5"/>
    <w:rsid w:val="0043685C"/>
    <w:rsid w:val="00436941"/>
    <w:rsid w:val="00436A0F"/>
    <w:rsid w:val="00436A24"/>
    <w:rsid w:val="00436BC9"/>
    <w:rsid w:val="00436C21"/>
    <w:rsid w:val="00436EC7"/>
    <w:rsid w:val="00436F69"/>
    <w:rsid w:val="00437013"/>
    <w:rsid w:val="00437060"/>
    <w:rsid w:val="004370BD"/>
    <w:rsid w:val="00437108"/>
    <w:rsid w:val="00437117"/>
    <w:rsid w:val="00437247"/>
    <w:rsid w:val="00437336"/>
    <w:rsid w:val="004375AD"/>
    <w:rsid w:val="004375BE"/>
    <w:rsid w:val="00437604"/>
    <w:rsid w:val="004377A1"/>
    <w:rsid w:val="004377FF"/>
    <w:rsid w:val="00437825"/>
    <w:rsid w:val="00437857"/>
    <w:rsid w:val="004378DD"/>
    <w:rsid w:val="00437980"/>
    <w:rsid w:val="0043799E"/>
    <w:rsid w:val="004379B0"/>
    <w:rsid w:val="00437E85"/>
    <w:rsid w:val="00437F05"/>
    <w:rsid w:val="00437F6F"/>
    <w:rsid w:val="00437F8F"/>
    <w:rsid w:val="00440028"/>
    <w:rsid w:val="0044019A"/>
    <w:rsid w:val="0044020B"/>
    <w:rsid w:val="0044033F"/>
    <w:rsid w:val="0044038F"/>
    <w:rsid w:val="00440414"/>
    <w:rsid w:val="004404BB"/>
    <w:rsid w:val="00440524"/>
    <w:rsid w:val="0044063D"/>
    <w:rsid w:val="004406D9"/>
    <w:rsid w:val="004406FC"/>
    <w:rsid w:val="0044071D"/>
    <w:rsid w:val="004407BF"/>
    <w:rsid w:val="004407CC"/>
    <w:rsid w:val="00440897"/>
    <w:rsid w:val="004408C3"/>
    <w:rsid w:val="0044095E"/>
    <w:rsid w:val="0044099B"/>
    <w:rsid w:val="00440B82"/>
    <w:rsid w:val="00440D1A"/>
    <w:rsid w:val="00440D85"/>
    <w:rsid w:val="00440E8F"/>
    <w:rsid w:val="00440EA7"/>
    <w:rsid w:val="00440F74"/>
    <w:rsid w:val="00440FB1"/>
    <w:rsid w:val="00440FD9"/>
    <w:rsid w:val="00441026"/>
    <w:rsid w:val="0044119F"/>
    <w:rsid w:val="0044124F"/>
    <w:rsid w:val="004413D2"/>
    <w:rsid w:val="004415DB"/>
    <w:rsid w:val="004416BA"/>
    <w:rsid w:val="004416C4"/>
    <w:rsid w:val="00441707"/>
    <w:rsid w:val="004417F6"/>
    <w:rsid w:val="00441855"/>
    <w:rsid w:val="004418B6"/>
    <w:rsid w:val="004418CF"/>
    <w:rsid w:val="00441910"/>
    <w:rsid w:val="004419B4"/>
    <w:rsid w:val="00441B33"/>
    <w:rsid w:val="00441B46"/>
    <w:rsid w:val="00441C10"/>
    <w:rsid w:val="00441CC8"/>
    <w:rsid w:val="00441D1A"/>
    <w:rsid w:val="00441DA4"/>
    <w:rsid w:val="00441E4C"/>
    <w:rsid w:val="00441E92"/>
    <w:rsid w:val="00441E98"/>
    <w:rsid w:val="0044201F"/>
    <w:rsid w:val="00442029"/>
    <w:rsid w:val="00442390"/>
    <w:rsid w:val="004423EF"/>
    <w:rsid w:val="004423F7"/>
    <w:rsid w:val="00442644"/>
    <w:rsid w:val="00442744"/>
    <w:rsid w:val="004427AC"/>
    <w:rsid w:val="0044287D"/>
    <w:rsid w:val="004429C9"/>
    <w:rsid w:val="00442A11"/>
    <w:rsid w:val="00442A49"/>
    <w:rsid w:val="00442B5F"/>
    <w:rsid w:val="00442B77"/>
    <w:rsid w:val="00442CD3"/>
    <w:rsid w:val="00442DA7"/>
    <w:rsid w:val="00442DB6"/>
    <w:rsid w:val="00442DBC"/>
    <w:rsid w:val="00442F09"/>
    <w:rsid w:val="00442F5E"/>
    <w:rsid w:val="00442FD4"/>
    <w:rsid w:val="0044310F"/>
    <w:rsid w:val="004431B3"/>
    <w:rsid w:val="004431CD"/>
    <w:rsid w:val="004431F5"/>
    <w:rsid w:val="004432D0"/>
    <w:rsid w:val="00443398"/>
    <w:rsid w:val="00443450"/>
    <w:rsid w:val="00443478"/>
    <w:rsid w:val="0044355D"/>
    <w:rsid w:val="004435A0"/>
    <w:rsid w:val="00443679"/>
    <w:rsid w:val="004436BA"/>
    <w:rsid w:val="004436C8"/>
    <w:rsid w:val="004437B4"/>
    <w:rsid w:val="00443828"/>
    <w:rsid w:val="0044386D"/>
    <w:rsid w:val="00443B59"/>
    <w:rsid w:val="00443BC3"/>
    <w:rsid w:val="00443C03"/>
    <w:rsid w:val="00443C6E"/>
    <w:rsid w:val="00443D28"/>
    <w:rsid w:val="00443D59"/>
    <w:rsid w:val="00443E16"/>
    <w:rsid w:val="00443E51"/>
    <w:rsid w:val="00443E6B"/>
    <w:rsid w:val="00443E6D"/>
    <w:rsid w:val="00443F3C"/>
    <w:rsid w:val="00443FFC"/>
    <w:rsid w:val="0044411F"/>
    <w:rsid w:val="0044428A"/>
    <w:rsid w:val="004442BF"/>
    <w:rsid w:val="004442F8"/>
    <w:rsid w:val="00444313"/>
    <w:rsid w:val="00444431"/>
    <w:rsid w:val="00444484"/>
    <w:rsid w:val="004444D1"/>
    <w:rsid w:val="00444521"/>
    <w:rsid w:val="004445D6"/>
    <w:rsid w:val="004445EE"/>
    <w:rsid w:val="0044463F"/>
    <w:rsid w:val="004446D7"/>
    <w:rsid w:val="0044471E"/>
    <w:rsid w:val="00444721"/>
    <w:rsid w:val="00444845"/>
    <w:rsid w:val="00444882"/>
    <w:rsid w:val="0044490E"/>
    <w:rsid w:val="00444979"/>
    <w:rsid w:val="00444A7B"/>
    <w:rsid w:val="00444B08"/>
    <w:rsid w:val="00444B66"/>
    <w:rsid w:val="00444CB7"/>
    <w:rsid w:val="00444DA7"/>
    <w:rsid w:val="00444DB2"/>
    <w:rsid w:val="00444ED1"/>
    <w:rsid w:val="004450BE"/>
    <w:rsid w:val="0044516C"/>
    <w:rsid w:val="00445281"/>
    <w:rsid w:val="004452B0"/>
    <w:rsid w:val="00445322"/>
    <w:rsid w:val="0044532A"/>
    <w:rsid w:val="0044550B"/>
    <w:rsid w:val="0044556D"/>
    <w:rsid w:val="004455DB"/>
    <w:rsid w:val="004455F8"/>
    <w:rsid w:val="004456E1"/>
    <w:rsid w:val="0044576E"/>
    <w:rsid w:val="00445781"/>
    <w:rsid w:val="00445794"/>
    <w:rsid w:val="0044579A"/>
    <w:rsid w:val="00445867"/>
    <w:rsid w:val="00445891"/>
    <w:rsid w:val="004458E3"/>
    <w:rsid w:val="00445A37"/>
    <w:rsid w:val="00445AC8"/>
    <w:rsid w:val="00445BC7"/>
    <w:rsid w:val="00445C2F"/>
    <w:rsid w:val="00445C58"/>
    <w:rsid w:val="00445D1F"/>
    <w:rsid w:val="00445E5C"/>
    <w:rsid w:val="00445FC3"/>
    <w:rsid w:val="00446305"/>
    <w:rsid w:val="0044634A"/>
    <w:rsid w:val="00446404"/>
    <w:rsid w:val="00446447"/>
    <w:rsid w:val="00446453"/>
    <w:rsid w:val="004464A2"/>
    <w:rsid w:val="004464EB"/>
    <w:rsid w:val="004464F5"/>
    <w:rsid w:val="004465BC"/>
    <w:rsid w:val="00446608"/>
    <w:rsid w:val="0044660D"/>
    <w:rsid w:val="00446622"/>
    <w:rsid w:val="004466AE"/>
    <w:rsid w:val="0044671C"/>
    <w:rsid w:val="0044674E"/>
    <w:rsid w:val="0044682C"/>
    <w:rsid w:val="00446876"/>
    <w:rsid w:val="0044690B"/>
    <w:rsid w:val="004469F5"/>
    <w:rsid w:val="00446B16"/>
    <w:rsid w:val="00446BB5"/>
    <w:rsid w:val="00446BBE"/>
    <w:rsid w:val="00446C42"/>
    <w:rsid w:val="00446DAF"/>
    <w:rsid w:val="00446E03"/>
    <w:rsid w:val="00446E17"/>
    <w:rsid w:val="00446F1F"/>
    <w:rsid w:val="00446F30"/>
    <w:rsid w:val="004470B8"/>
    <w:rsid w:val="004470E2"/>
    <w:rsid w:val="004471A3"/>
    <w:rsid w:val="004472DA"/>
    <w:rsid w:val="00447566"/>
    <w:rsid w:val="00447611"/>
    <w:rsid w:val="0044782C"/>
    <w:rsid w:val="0044795A"/>
    <w:rsid w:val="00447985"/>
    <w:rsid w:val="00447AF7"/>
    <w:rsid w:val="00447AFD"/>
    <w:rsid w:val="00447C33"/>
    <w:rsid w:val="00447E9D"/>
    <w:rsid w:val="00447F03"/>
    <w:rsid w:val="00447FD6"/>
    <w:rsid w:val="00447FDB"/>
    <w:rsid w:val="0045004C"/>
    <w:rsid w:val="00450125"/>
    <w:rsid w:val="0045019B"/>
    <w:rsid w:val="004502E9"/>
    <w:rsid w:val="00450373"/>
    <w:rsid w:val="004503E3"/>
    <w:rsid w:val="0045042A"/>
    <w:rsid w:val="004504DF"/>
    <w:rsid w:val="004505E8"/>
    <w:rsid w:val="00450690"/>
    <w:rsid w:val="0045088B"/>
    <w:rsid w:val="0045093D"/>
    <w:rsid w:val="00450976"/>
    <w:rsid w:val="00450A27"/>
    <w:rsid w:val="00450A53"/>
    <w:rsid w:val="00450BB1"/>
    <w:rsid w:val="00450C31"/>
    <w:rsid w:val="00450C98"/>
    <w:rsid w:val="00450DC1"/>
    <w:rsid w:val="00450DCC"/>
    <w:rsid w:val="00450F1F"/>
    <w:rsid w:val="00450F52"/>
    <w:rsid w:val="00450F5B"/>
    <w:rsid w:val="00450FB6"/>
    <w:rsid w:val="00451175"/>
    <w:rsid w:val="004511C3"/>
    <w:rsid w:val="00451239"/>
    <w:rsid w:val="0045133D"/>
    <w:rsid w:val="004514AC"/>
    <w:rsid w:val="004514D6"/>
    <w:rsid w:val="00451645"/>
    <w:rsid w:val="0045165E"/>
    <w:rsid w:val="0045171C"/>
    <w:rsid w:val="00451750"/>
    <w:rsid w:val="0045178A"/>
    <w:rsid w:val="00451834"/>
    <w:rsid w:val="00451846"/>
    <w:rsid w:val="0045184F"/>
    <w:rsid w:val="0045192F"/>
    <w:rsid w:val="0045195E"/>
    <w:rsid w:val="004519B1"/>
    <w:rsid w:val="00451A04"/>
    <w:rsid w:val="00451A21"/>
    <w:rsid w:val="00451A3F"/>
    <w:rsid w:val="00451AB7"/>
    <w:rsid w:val="00451AE7"/>
    <w:rsid w:val="00451B22"/>
    <w:rsid w:val="00451B71"/>
    <w:rsid w:val="00451C41"/>
    <w:rsid w:val="00451D04"/>
    <w:rsid w:val="00451D36"/>
    <w:rsid w:val="00451D5E"/>
    <w:rsid w:val="00451D6F"/>
    <w:rsid w:val="00451D9B"/>
    <w:rsid w:val="00451E08"/>
    <w:rsid w:val="00451ED1"/>
    <w:rsid w:val="00451F0E"/>
    <w:rsid w:val="00451F53"/>
    <w:rsid w:val="00451FCE"/>
    <w:rsid w:val="00451FDA"/>
    <w:rsid w:val="004520A4"/>
    <w:rsid w:val="00452121"/>
    <w:rsid w:val="004522F5"/>
    <w:rsid w:val="00452395"/>
    <w:rsid w:val="004523A5"/>
    <w:rsid w:val="004523C3"/>
    <w:rsid w:val="00452400"/>
    <w:rsid w:val="004525EF"/>
    <w:rsid w:val="004525FF"/>
    <w:rsid w:val="00452651"/>
    <w:rsid w:val="004526B8"/>
    <w:rsid w:val="004526CB"/>
    <w:rsid w:val="00452A67"/>
    <w:rsid w:val="00452A76"/>
    <w:rsid w:val="00452A87"/>
    <w:rsid w:val="00452ACF"/>
    <w:rsid w:val="00452B72"/>
    <w:rsid w:val="00452B99"/>
    <w:rsid w:val="00452BAE"/>
    <w:rsid w:val="00452BFD"/>
    <w:rsid w:val="00452C64"/>
    <w:rsid w:val="00452CAC"/>
    <w:rsid w:val="00452D37"/>
    <w:rsid w:val="00452D65"/>
    <w:rsid w:val="00452D8E"/>
    <w:rsid w:val="00452E11"/>
    <w:rsid w:val="00452E3F"/>
    <w:rsid w:val="00452E77"/>
    <w:rsid w:val="00452E7C"/>
    <w:rsid w:val="00452F3A"/>
    <w:rsid w:val="00452F7C"/>
    <w:rsid w:val="00453025"/>
    <w:rsid w:val="0045306A"/>
    <w:rsid w:val="00453136"/>
    <w:rsid w:val="004532A4"/>
    <w:rsid w:val="004532C8"/>
    <w:rsid w:val="004533F6"/>
    <w:rsid w:val="0045341B"/>
    <w:rsid w:val="00453526"/>
    <w:rsid w:val="004536C9"/>
    <w:rsid w:val="00453700"/>
    <w:rsid w:val="0045384B"/>
    <w:rsid w:val="00453863"/>
    <w:rsid w:val="00453873"/>
    <w:rsid w:val="0045391B"/>
    <w:rsid w:val="00453924"/>
    <w:rsid w:val="0045395F"/>
    <w:rsid w:val="00453970"/>
    <w:rsid w:val="004539A3"/>
    <w:rsid w:val="00453A0F"/>
    <w:rsid w:val="00453A80"/>
    <w:rsid w:val="00453AE4"/>
    <w:rsid w:val="00453AED"/>
    <w:rsid w:val="00453B9D"/>
    <w:rsid w:val="00453C83"/>
    <w:rsid w:val="00453CB9"/>
    <w:rsid w:val="00453E3C"/>
    <w:rsid w:val="00453F0F"/>
    <w:rsid w:val="00453FFF"/>
    <w:rsid w:val="0045405B"/>
    <w:rsid w:val="004540AE"/>
    <w:rsid w:val="0045417B"/>
    <w:rsid w:val="004541D9"/>
    <w:rsid w:val="004541FE"/>
    <w:rsid w:val="00454219"/>
    <w:rsid w:val="00454256"/>
    <w:rsid w:val="00454392"/>
    <w:rsid w:val="004543C4"/>
    <w:rsid w:val="004545DF"/>
    <w:rsid w:val="00454622"/>
    <w:rsid w:val="0045462D"/>
    <w:rsid w:val="0045478E"/>
    <w:rsid w:val="00454999"/>
    <w:rsid w:val="00454C30"/>
    <w:rsid w:val="00454C49"/>
    <w:rsid w:val="00454D5F"/>
    <w:rsid w:val="00454DF7"/>
    <w:rsid w:val="00454E40"/>
    <w:rsid w:val="00454E7F"/>
    <w:rsid w:val="00454F28"/>
    <w:rsid w:val="00454F8E"/>
    <w:rsid w:val="00454FF1"/>
    <w:rsid w:val="00455173"/>
    <w:rsid w:val="00455197"/>
    <w:rsid w:val="0045520C"/>
    <w:rsid w:val="004552CA"/>
    <w:rsid w:val="004552DD"/>
    <w:rsid w:val="004553C8"/>
    <w:rsid w:val="00455457"/>
    <w:rsid w:val="004554EC"/>
    <w:rsid w:val="0045562E"/>
    <w:rsid w:val="0045566D"/>
    <w:rsid w:val="004556AA"/>
    <w:rsid w:val="00455729"/>
    <w:rsid w:val="00455B1E"/>
    <w:rsid w:val="00455BAC"/>
    <w:rsid w:val="00455D6A"/>
    <w:rsid w:val="00455EFA"/>
    <w:rsid w:val="00455F4F"/>
    <w:rsid w:val="00456131"/>
    <w:rsid w:val="00456161"/>
    <w:rsid w:val="004561C9"/>
    <w:rsid w:val="00456270"/>
    <w:rsid w:val="00456439"/>
    <w:rsid w:val="0045643A"/>
    <w:rsid w:val="00456442"/>
    <w:rsid w:val="0045656D"/>
    <w:rsid w:val="00456604"/>
    <w:rsid w:val="0045663D"/>
    <w:rsid w:val="004566BE"/>
    <w:rsid w:val="00456910"/>
    <w:rsid w:val="004569AC"/>
    <w:rsid w:val="004569BB"/>
    <w:rsid w:val="004569CF"/>
    <w:rsid w:val="00456A44"/>
    <w:rsid w:val="00456ACE"/>
    <w:rsid w:val="00456B42"/>
    <w:rsid w:val="00456B53"/>
    <w:rsid w:val="00456BC3"/>
    <w:rsid w:val="00456FCF"/>
    <w:rsid w:val="0045700E"/>
    <w:rsid w:val="004571F4"/>
    <w:rsid w:val="004572E5"/>
    <w:rsid w:val="004572F1"/>
    <w:rsid w:val="00457308"/>
    <w:rsid w:val="00457353"/>
    <w:rsid w:val="0045737B"/>
    <w:rsid w:val="004573D4"/>
    <w:rsid w:val="004573E3"/>
    <w:rsid w:val="00457499"/>
    <w:rsid w:val="004574C3"/>
    <w:rsid w:val="004574E6"/>
    <w:rsid w:val="004574E9"/>
    <w:rsid w:val="004574F3"/>
    <w:rsid w:val="0045756B"/>
    <w:rsid w:val="00457757"/>
    <w:rsid w:val="00457864"/>
    <w:rsid w:val="004578B5"/>
    <w:rsid w:val="00457974"/>
    <w:rsid w:val="00457A14"/>
    <w:rsid w:val="00457A96"/>
    <w:rsid w:val="00457AFD"/>
    <w:rsid w:val="00457B9B"/>
    <w:rsid w:val="00457BDD"/>
    <w:rsid w:val="00457C27"/>
    <w:rsid w:val="00457C33"/>
    <w:rsid w:val="00457D49"/>
    <w:rsid w:val="00457E77"/>
    <w:rsid w:val="004600AF"/>
    <w:rsid w:val="004600D7"/>
    <w:rsid w:val="00460177"/>
    <w:rsid w:val="00460266"/>
    <w:rsid w:val="00460292"/>
    <w:rsid w:val="004602A9"/>
    <w:rsid w:val="00460410"/>
    <w:rsid w:val="0046041A"/>
    <w:rsid w:val="00460440"/>
    <w:rsid w:val="00460485"/>
    <w:rsid w:val="00460601"/>
    <w:rsid w:val="0046067A"/>
    <w:rsid w:val="004606F2"/>
    <w:rsid w:val="004607A4"/>
    <w:rsid w:val="0046088D"/>
    <w:rsid w:val="004608A2"/>
    <w:rsid w:val="0046090B"/>
    <w:rsid w:val="0046090F"/>
    <w:rsid w:val="00460940"/>
    <w:rsid w:val="00460A9A"/>
    <w:rsid w:val="00460BC5"/>
    <w:rsid w:val="00460CC5"/>
    <w:rsid w:val="00460DC4"/>
    <w:rsid w:val="00460E08"/>
    <w:rsid w:val="00460E1D"/>
    <w:rsid w:val="00460EC0"/>
    <w:rsid w:val="00460F1F"/>
    <w:rsid w:val="00460F2E"/>
    <w:rsid w:val="00460F43"/>
    <w:rsid w:val="00460FA3"/>
    <w:rsid w:val="00460FC2"/>
    <w:rsid w:val="0046116D"/>
    <w:rsid w:val="004611C9"/>
    <w:rsid w:val="00461291"/>
    <w:rsid w:val="004612D8"/>
    <w:rsid w:val="00461354"/>
    <w:rsid w:val="004613F1"/>
    <w:rsid w:val="00461422"/>
    <w:rsid w:val="004614CF"/>
    <w:rsid w:val="004614DA"/>
    <w:rsid w:val="00461511"/>
    <w:rsid w:val="0046152B"/>
    <w:rsid w:val="004615C6"/>
    <w:rsid w:val="004615F2"/>
    <w:rsid w:val="004616D0"/>
    <w:rsid w:val="00461700"/>
    <w:rsid w:val="00461725"/>
    <w:rsid w:val="004618EC"/>
    <w:rsid w:val="004619C0"/>
    <w:rsid w:val="00461A83"/>
    <w:rsid w:val="00461A85"/>
    <w:rsid w:val="00461AE3"/>
    <w:rsid w:val="00461D2B"/>
    <w:rsid w:val="00461D41"/>
    <w:rsid w:val="00461D84"/>
    <w:rsid w:val="00461DDB"/>
    <w:rsid w:val="00461DE0"/>
    <w:rsid w:val="00461E18"/>
    <w:rsid w:val="00461E20"/>
    <w:rsid w:val="00461E6A"/>
    <w:rsid w:val="00461E6D"/>
    <w:rsid w:val="00461E7F"/>
    <w:rsid w:val="00461FF1"/>
    <w:rsid w:val="00461FFC"/>
    <w:rsid w:val="00462070"/>
    <w:rsid w:val="00462118"/>
    <w:rsid w:val="0046211C"/>
    <w:rsid w:val="00462172"/>
    <w:rsid w:val="0046223F"/>
    <w:rsid w:val="00462306"/>
    <w:rsid w:val="00462407"/>
    <w:rsid w:val="00462413"/>
    <w:rsid w:val="004624FF"/>
    <w:rsid w:val="0046251E"/>
    <w:rsid w:val="00462581"/>
    <w:rsid w:val="004626B7"/>
    <w:rsid w:val="00462710"/>
    <w:rsid w:val="00462751"/>
    <w:rsid w:val="00462778"/>
    <w:rsid w:val="004627B1"/>
    <w:rsid w:val="0046289B"/>
    <w:rsid w:val="004628AA"/>
    <w:rsid w:val="004629B5"/>
    <w:rsid w:val="00462CA4"/>
    <w:rsid w:val="00462CC2"/>
    <w:rsid w:val="00462DE6"/>
    <w:rsid w:val="00462E02"/>
    <w:rsid w:val="00462F1B"/>
    <w:rsid w:val="00462FC0"/>
    <w:rsid w:val="00463035"/>
    <w:rsid w:val="00463161"/>
    <w:rsid w:val="00463204"/>
    <w:rsid w:val="004632BA"/>
    <w:rsid w:val="004632D0"/>
    <w:rsid w:val="00463429"/>
    <w:rsid w:val="00463439"/>
    <w:rsid w:val="004634AC"/>
    <w:rsid w:val="00463551"/>
    <w:rsid w:val="0046355B"/>
    <w:rsid w:val="004635E9"/>
    <w:rsid w:val="0046385D"/>
    <w:rsid w:val="00463A3E"/>
    <w:rsid w:val="00463A56"/>
    <w:rsid w:val="00463AC2"/>
    <w:rsid w:val="00463BAD"/>
    <w:rsid w:val="00463BEC"/>
    <w:rsid w:val="00463D22"/>
    <w:rsid w:val="00463D69"/>
    <w:rsid w:val="00463E2D"/>
    <w:rsid w:val="0046413D"/>
    <w:rsid w:val="00464167"/>
    <w:rsid w:val="004643EC"/>
    <w:rsid w:val="0046446C"/>
    <w:rsid w:val="004645AB"/>
    <w:rsid w:val="004645DD"/>
    <w:rsid w:val="00464817"/>
    <w:rsid w:val="00464826"/>
    <w:rsid w:val="0046484F"/>
    <w:rsid w:val="00464980"/>
    <w:rsid w:val="00464A26"/>
    <w:rsid w:val="00464AE2"/>
    <w:rsid w:val="00464B03"/>
    <w:rsid w:val="00464B26"/>
    <w:rsid w:val="00464BE6"/>
    <w:rsid w:val="00464C74"/>
    <w:rsid w:val="00464C78"/>
    <w:rsid w:val="00464CE3"/>
    <w:rsid w:val="00464D19"/>
    <w:rsid w:val="00464D62"/>
    <w:rsid w:val="00464D95"/>
    <w:rsid w:val="00464E00"/>
    <w:rsid w:val="00464F6C"/>
    <w:rsid w:val="00464F72"/>
    <w:rsid w:val="00465015"/>
    <w:rsid w:val="004652A1"/>
    <w:rsid w:val="004652F2"/>
    <w:rsid w:val="004653F9"/>
    <w:rsid w:val="004654F7"/>
    <w:rsid w:val="004655B8"/>
    <w:rsid w:val="004655BB"/>
    <w:rsid w:val="004655D2"/>
    <w:rsid w:val="00465640"/>
    <w:rsid w:val="00465646"/>
    <w:rsid w:val="004656DF"/>
    <w:rsid w:val="00465703"/>
    <w:rsid w:val="0046578A"/>
    <w:rsid w:val="004657A3"/>
    <w:rsid w:val="004659F4"/>
    <w:rsid w:val="004659FA"/>
    <w:rsid w:val="00465A7B"/>
    <w:rsid w:val="00465B57"/>
    <w:rsid w:val="00465D81"/>
    <w:rsid w:val="00465E64"/>
    <w:rsid w:val="00465F9A"/>
    <w:rsid w:val="00465FD6"/>
    <w:rsid w:val="00465FE5"/>
    <w:rsid w:val="0046609E"/>
    <w:rsid w:val="004660CB"/>
    <w:rsid w:val="004660D9"/>
    <w:rsid w:val="00466176"/>
    <w:rsid w:val="004661CE"/>
    <w:rsid w:val="0046628C"/>
    <w:rsid w:val="004663B9"/>
    <w:rsid w:val="004663D6"/>
    <w:rsid w:val="00466440"/>
    <w:rsid w:val="00466739"/>
    <w:rsid w:val="00466773"/>
    <w:rsid w:val="00466816"/>
    <w:rsid w:val="004668EF"/>
    <w:rsid w:val="00466913"/>
    <w:rsid w:val="00466A9A"/>
    <w:rsid w:val="00466B64"/>
    <w:rsid w:val="00466BCC"/>
    <w:rsid w:val="00466C63"/>
    <w:rsid w:val="00466D25"/>
    <w:rsid w:val="00466DE3"/>
    <w:rsid w:val="00466E7A"/>
    <w:rsid w:val="00466ED2"/>
    <w:rsid w:val="00466F5E"/>
    <w:rsid w:val="00466F90"/>
    <w:rsid w:val="0046706F"/>
    <w:rsid w:val="0046707B"/>
    <w:rsid w:val="0046707F"/>
    <w:rsid w:val="004670AC"/>
    <w:rsid w:val="00467174"/>
    <w:rsid w:val="00467335"/>
    <w:rsid w:val="0046733A"/>
    <w:rsid w:val="004674A2"/>
    <w:rsid w:val="004674A8"/>
    <w:rsid w:val="00467538"/>
    <w:rsid w:val="00467605"/>
    <w:rsid w:val="00467AC1"/>
    <w:rsid w:val="00467B90"/>
    <w:rsid w:val="00467D0C"/>
    <w:rsid w:val="00467E04"/>
    <w:rsid w:val="00467E3A"/>
    <w:rsid w:val="00467F33"/>
    <w:rsid w:val="00467FDF"/>
    <w:rsid w:val="00470077"/>
    <w:rsid w:val="004700C4"/>
    <w:rsid w:val="00470101"/>
    <w:rsid w:val="00470108"/>
    <w:rsid w:val="0047011E"/>
    <w:rsid w:val="0047015E"/>
    <w:rsid w:val="00470161"/>
    <w:rsid w:val="004701CD"/>
    <w:rsid w:val="004704D4"/>
    <w:rsid w:val="004706A5"/>
    <w:rsid w:val="00470797"/>
    <w:rsid w:val="004707F0"/>
    <w:rsid w:val="00470801"/>
    <w:rsid w:val="0047083B"/>
    <w:rsid w:val="00470878"/>
    <w:rsid w:val="004708FC"/>
    <w:rsid w:val="00470928"/>
    <w:rsid w:val="00470A88"/>
    <w:rsid w:val="00470BAF"/>
    <w:rsid w:val="00470C46"/>
    <w:rsid w:val="00470DA9"/>
    <w:rsid w:val="00470EE7"/>
    <w:rsid w:val="00471018"/>
    <w:rsid w:val="00471038"/>
    <w:rsid w:val="004710D2"/>
    <w:rsid w:val="004710F1"/>
    <w:rsid w:val="00471411"/>
    <w:rsid w:val="004714BA"/>
    <w:rsid w:val="00471550"/>
    <w:rsid w:val="004715DE"/>
    <w:rsid w:val="0047171E"/>
    <w:rsid w:val="004717D5"/>
    <w:rsid w:val="00471870"/>
    <w:rsid w:val="004718B0"/>
    <w:rsid w:val="004718B1"/>
    <w:rsid w:val="0047199B"/>
    <w:rsid w:val="004719AA"/>
    <w:rsid w:val="00471A28"/>
    <w:rsid w:val="00471AC4"/>
    <w:rsid w:val="00471AD0"/>
    <w:rsid w:val="00471B60"/>
    <w:rsid w:val="00471BE6"/>
    <w:rsid w:val="00471BF8"/>
    <w:rsid w:val="00471CF9"/>
    <w:rsid w:val="00471D07"/>
    <w:rsid w:val="00471D0D"/>
    <w:rsid w:val="00471D75"/>
    <w:rsid w:val="00471DA7"/>
    <w:rsid w:val="00471E70"/>
    <w:rsid w:val="00471E72"/>
    <w:rsid w:val="00471F42"/>
    <w:rsid w:val="00471F4E"/>
    <w:rsid w:val="00471F6B"/>
    <w:rsid w:val="0047203A"/>
    <w:rsid w:val="00472140"/>
    <w:rsid w:val="004721BF"/>
    <w:rsid w:val="0047233E"/>
    <w:rsid w:val="0047241A"/>
    <w:rsid w:val="00472437"/>
    <w:rsid w:val="004724A7"/>
    <w:rsid w:val="00472535"/>
    <w:rsid w:val="004725C7"/>
    <w:rsid w:val="004725FA"/>
    <w:rsid w:val="004726AD"/>
    <w:rsid w:val="0047275E"/>
    <w:rsid w:val="00472806"/>
    <w:rsid w:val="00472953"/>
    <w:rsid w:val="00472A04"/>
    <w:rsid w:val="00472A46"/>
    <w:rsid w:val="00472B8C"/>
    <w:rsid w:val="00472BF7"/>
    <w:rsid w:val="00472C7C"/>
    <w:rsid w:val="00472D2A"/>
    <w:rsid w:val="00472E22"/>
    <w:rsid w:val="00472E6E"/>
    <w:rsid w:val="00472F78"/>
    <w:rsid w:val="00472F87"/>
    <w:rsid w:val="00472FBB"/>
    <w:rsid w:val="00473092"/>
    <w:rsid w:val="004730F2"/>
    <w:rsid w:val="00473252"/>
    <w:rsid w:val="00473254"/>
    <w:rsid w:val="0047331C"/>
    <w:rsid w:val="0047336E"/>
    <w:rsid w:val="0047336F"/>
    <w:rsid w:val="004733FE"/>
    <w:rsid w:val="00473530"/>
    <w:rsid w:val="0047362F"/>
    <w:rsid w:val="00473947"/>
    <w:rsid w:val="004739F2"/>
    <w:rsid w:val="004739F8"/>
    <w:rsid w:val="00473A41"/>
    <w:rsid w:val="00473BF2"/>
    <w:rsid w:val="00473C19"/>
    <w:rsid w:val="00473C3E"/>
    <w:rsid w:val="00473C77"/>
    <w:rsid w:val="00473DC7"/>
    <w:rsid w:val="00473E5B"/>
    <w:rsid w:val="00473EC9"/>
    <w:rsid w:val="00473F04"/>
    <w:rsid w:val="0047417B"/>
    <w:rsid w:val="00474187"/>
    <w:rsid w:val="00474196"/>
    <w:rsid w:val="00474261"/>
    <w:rsid w:val="00474276"/>
    <w:rsid w:val="004742AF"/>
    <w:rsid w:val="004742B0"/>
    <w:rsid w:val="00474321"/>
    <w:rsid w:val="004743B4"/>
    <w:rsid w:val="00474422"/>
    <w:rsid w:val="004745D6"/>
    <w:rsid w:val="00474627"/>
    <w:rsid w:val="0047463E"/>
    <w:rsid w:val="0047469B"/>
    <w:rsid w:val="0047476E"/>
    <w:rsid w:val="0047478B"/>
    <w:rsid w:val="00474873"/>
    <w:rsid w:val="0047493D"/>
    <w:rsid w:val="004749F4"/>
    <w:rsid w:val="00474A24"/>
    <w:rsid w:val="00474A8B"/>
    <w:rsid w:val="00474AB8"/>
    <w:rsid w:val="00474BCB"/>
    <w:rsid w:val="00474BE2"/>
    <w:rsid w:val="00474CE5"/>
    <w:rsid w:val="00474E01"/>
    <w:rsid w:val="004750C7"/>
    <w:rsid w:val="0047523B"/>
    <w:rsid w:val="00475351"/>
    <w:rsid w:val="00475425"/>
    <w:rsid w:val="00475438"/>
    <w:rsid w:val="00475488"/>
    <w:rsid w:val="004754FE"/>
    <w:rsid w:val="00475552"/>
    <w:rsid w:val="0047557D"/>
    <w:rsid w:val="00475626"/>
    <w:rsid w:val="00475646"/>
    <w:rsid w:val="00475756"/>
    <w:rsid w:val="00475783"/>
    <w:rsid w:val="004757EB"/>
    <w:rsid w:val="004757ED"/>
    <w:rsid w:val="0047588C"/>
    <w:rsid w:val="004758BC"/>
    <w:rsid w:val="00475905"/>
    <w:rsid w:val="00475B38"/>
    <w:rsid w:val="00475B52"/>
    <w:rsid w:val="00475C03"/>
    <w:rsid w:val="00475CBE"/>
    <w:rsid w:val="00475EA3"/>
    <w:rsid w:val="00475EE0"/>
    <w:rsid w:val="00476084"/>
    <w:rsid w:val="0047615F"/>
    <w:rsid w:val="004761DB"/>
    <w:rsid w:val="004762B7"/>
    <w:rsid w:val="00476356"/>
    <w:rsid w:val="004764AC"/>
    <w:rsid w:val="004764D7"/>
    <w:rsid w:val="004765BF"/>
    <w:rsid w:val="004765E0"/>
    <w:rsid w:val="004765FB"/>
    <w:rsid w:val="0047662B"/>
    <w:rsid w:val="0047668B"/>
    <w:rsid w:val="004766D8"/>
    <w:rsid w:val="00476888"/>
    <w:rsid w:val="00476B21"/>
    <w:rsid w:val="00476BA9"/>
    <w:rsid w:val="00476CDE"/>
    <w:rsid w:val="00476D72"/>
    <w:rsid w:val="00476E1A"/>
    <w:rsid w:val="00476E20"/>
    <w:rsid w:val="00476E2E"/>
    <w:rsid w:val="00476E9F"/>
    <w:rsid w:val="00476EA1"/>
    <w:rsid w:val="00476F25"/>
    <w:rsid w:val="0047702E"/>
    <w:rsid w:val="004770B9"/>
    <w:rsid w:val="0047726A"/>
    <w:rsid w:val="00477289"/>
    <w:rsid w:val="00477327"/>
    <w:rsid w:val="0047741A"/>
    <w:rsid w:val="00477605"/>
    <w:rsid w:val="0047760C"/>
    <w:rsid w:val="00477801"/>
    <w:rsid w:val="004778AF"/>
    <w:rsid w:val="0047798B"/>
    <w:rsid w:val="004779D7"/>
    <w:rsid w:val="00477A9B"/>
    <w:rsid w:val="00477AD4"/>
    <w:rsid w:val="00477B08"/>
    <w:rsid w:val="00477B30"/>
    <w:rsid w:val="00477C34"/>
    <w:rsid w:val="00477C75"/>
    <w:rsid w:val="00477DCA"/>
    <w:rsid w:val="00477E03"/>
    <w:rsid w:val="00477E07"/>
    <w:rsid w:val="00477EA7"/>
    <w:rsid w:val="00477F19"/>
    <w:rsid w:val="00477F5C"/>
    <w:rsid w:val="004800AD"/>
    <w:rsid w:val="004800FC"/>
    <w:rsid w:val="00480274"/>
    <w:rsid w:val="004802B2"/>
    <w:rsid w:val="004803D6"/>
    <w:rsid w:val="00480462"/>
    <w:rsid w:val="00480523"/>
    <w:rsid w:val="00480553"/>
    <w:rsid w:val="004805DA"/>
    <w:rsid w:val="004805E0"/>
    <w:rsid w:val="004805EE"/>
    <w:rsid w:val="00480774"/>
    <w:rsid w:val="00480840"/>
    <w:rsid w:val="004809EA"/>
    <w:rsid w:val="00480AC2"/>
    <w:rsid w:val="00480B5A"/>
    <w:rsid w:val="00480B5F"/>
    <w:rsid w:val="00480B6B"/>
    <w:rsid w:val="00480BB5"/>
    <w:rsid w:val="00480BD6"/>
    <w:rsid w:val="00480CAD"/>
    <w:rsid w:val="00480D8C"/>
    <w:rsid w:val="00480DDB"/>
    <w:rsid w:val="00480E13"/>
    <w:rsid w:val="00480E41"/>
    <w:rsid w:val="00480F4C"/>
    <w:rsid w:val="00480F52"/>
    <w:rsid w:val="00481024"/>
    <w:rsid w:val="004810E8"/>
    <w:rsid w:val="004811BA"/>
    <w:rsid w:val="0048121C"/>
    <w:rsid w:val="00481248"/>
    <w:rsid w:val="0048134F"/>
    <w:rsid w:val="00481491"/>
    <w:rsid w:val="0048149B"/>
    <w:rsid w:val="00481574"/>
    <w:rsid w:val="004815CE"/>
    <w:rsid w:val="004816BF"/>
    <w:rsid w:val="004816C8"/>
    <w:rsid w:val="004816DC"/>
    <w:rsid w:val="00481773"/>
    <w:rsid w:val="004818C4"/>
    <w:rsid w:val="00481908"/>
    <w:rsid w:val="00481950"/>
    <w:rsid w:val="0048199E"/>
    <w:rsid w:val="004819A5"/>
    <w:rsid w:val="00481A40"/>
    <w:rsid w:val="00481A4A"/>
    <w:rsid w:val="00481A74"/>
    <w:rsid w:val="00481A77"/>
    <w:rsid w:val="00481AC6"/>
    <w:rsid w:val="00481B0A"/>
    <w:rsid w:val="00481B53"/>
    <w:rsid w:val="00481DCF"/>
    <w:rsid w:val="00481DE3"/>
    <w:rsid w:val="00481E79"/>
    <w:rsid w:val="00481EE2"/>
    <w:rsid w:val="00481F4F"/>
    <w:rsid w:val="004820A7"/>
    <w:rsid w:val="004820B1"/>
    <w:rsid w:val="00482200"/>
    <w:rsid w:val="00482293"/>
    <w:rsid w:val="004823AF"/>
    <w:rsid w:val="004824A4"/>
    <w:rsid w:val="004824B3"/>
    <w:rsid w:val="004824B8"/>
    <w:rsid w:val="004824C1"/>
    <w:rsid w:val="00482667"/>
    <w:rsid w:val="004826C5"/>
    <w:rsid w:val="004827A2"/>
    <w:rsid w:val="00482804"/>
    <w:rsid w:val="0048282D"/>
    <w:rsid w:val="0048284D"/>
    <w:rsid w:val="00482892"/>
    <w:rsid w:val="004828CE"/>
    <w:rsid w:val="00482A36"/>
    <w:rsid w:val="00482A8A"/>
    <w:rsid w:val="00482A91"/>
    <w:rsid w:val="00482B39"/>
    <w:rsid w:val="00482B47"/>
    <w:rsid w:val="00482B83"/>
    <w:rsid w:val="00482D65"/>
    <w:rsid w:val="00482DAF"/>
    <w:rsid w:val="00482DD5"/>
    <w:rsid w:val="00482DD8"/>
    <w:rsid w:val="00482E4B"/>
    <w:rsid w:val="00482E61"/>
    <w:rsid w:val="00482EBB"/>
    <w:rsid w:val="00482FB5"/>
    <w:rsid w:val="0048304A"/>
    <w:rsid w:val="00483095"/>
    <w:rsid w:val="00483153"/>
    <w:rsid w:val="0048323E"/>
    <w:rsid w:val="004832E4"/>
    <w:rsid w:val="00483366"/>
    <w:rsid w:val="0048339A"/>
    <w:rsid w:val="004833D8"/>
    <w:rsid w:val="00483538"/>
    <w:rsid w:val="00483573"/>
    <w:rsid w:val="00483614"/>
    <w:rsid w:val="0048363D"/>
    <w:rsid w:val="004836E8"/>
    <w:rsid w:val="00483724"/>
    <w:rsid w:val="0048382F"/>
    <w:rsid w:val="00483965"/>
    <w:rsid w:val="004839D3"/>
    <w:rsid w:val="00483A45"/>
    <w:rsid w:val="00483B1E"/>
    <w:rsid w:val="00483C55"/>
    <w:rsid w:val="00483C8F"/>
    <w:rsid w:val="00483CBE"/>
    <w:rsid w:val="00483CBF"/>
    <w:rsid w:val="00483CCB"/>
    <w:rsid w:val="00483CEB"/>
    <w:rsid w:val="00483D2D"/>
    <w:rsid w:val="00483DAA"/>
    <w:rsid w:val="00483DBF"/>
    <w:rsid w:val="00483DE5"/>
    <w:rsid w:val="00483E44"/>
    <w:rsid w:val="00483EB1"/>
    <w:rsid w:val="00483EDA"/>
    <w:rsid w:val="00484044"/>
    <w:rsid w:val="0048406E"/>
    <w:rsid w:val="00484094"/>
    <w:rsid w:val="004841AA"/>
    <w:rsid w:val="004841D5"/>
    <w:rsid w:val="00484260"/>
    <w:rsid w:val="004842CE"/>
    <w:rsid w:val="00484300"/>
    <w:rsid w:val="00484330"/>
    <w:rsid w:val="0048439B"/>
    <w:rsid w:val="004843C1"/>
    <w:rsid w:val="004843D4"/>
    <w:rsid w:val="00484460"/>
    <w:rsid w:val="004844E8"/>
    <w:rsid w:val="004845A6"/>
    <w:rsid w:val="00484686"/>
    <w:rsid w:val="00484703"/>
    <w:rsid w:val="0048474E"/>
    <w:rsid w:val="004847E3"/>
    <w:rsid w:val="004847F6"/>
    <w:rsid w:val="00484865"/>
    <w:rsid w:val="004848A2"/>
    <w:rsid w:val="00484A2E"/>
    <w:rsid w:val="00484B4E"/>
    <w:rsid w:val="00484B4F"/>
    <w:rsid w:val="00484C44"/>
    <w:rsid w:val="00484DC5"/>
    <w:rsid w:val="00484E2D"/>
    <w:rsid w:val="00484E67"/>
    <w:rsid w:val="00484EAE"/>
    <w:rsid w:val="00484F00"/>
    <w:rsid w:val="00484F86"/>
    <w:rsid w:val="0048504A"/>
    <w:rsid w:val="004850B1"/>
    <w:rsid w:val="00485239"/>
    <w:rsid w:val="004855F6"/>
    <w:rsid w:val="00485600"/>
    <w:rsid w:val="00485675"/>
    <w:rsid w:val="004856BE"/>
    <w:rsid w:val="00485703"/>
    <w:rsid w:val="00485755"/>
    <w:rsid w:val="004857A5"/>
    <w:rsid w:val="004857C7"/>
    <w:rsid w:val="004859AE"/>
    <w:rsid w:val="004859C8"/>
    <w:rsid w:val="004859F0"/>
    <w:rsid w:val="00485A68"/>
    <w:rsid w:val="00485B51"/>
    <w:rsid w:val="00485C29"/>
    <w:rsid w:val="00485CA1"/>
    <w:rsid w:val="00485CB4"/>
    <w:rsid w:val="00485CFD"/>
    <w:rsid w:val="00485D62"/>
    <w:rsid w:val="00485D98"/>
    <w:rsid w:val="00485DCA"/>
    <w:rsid w:val="00485EE1"/>
    <w:rsid w:val="00485F43"/>
    <w:rsid w:val="00485F6B"/>
    <w:rsid w:val="00485FA2"/>
    <w:rsid w:val="00486095"/>
    <w:rsid w:val="004860F3"/>
    <w:rsid w:val="004861A6"/>
    <w:rsid w:val="0048623F"/>
    <w:rsid w:val="00486267"/>
    <w:rsid w:val="004862A3"/>
    <w:rsid w:val="00486410"/>
    <w:rsid w:val="0048641D"/>
    <w:rsid w:val="00486437"/>
    <w:rsid w:val="00486575"/>
    <w:rsid w:val="004865C6"/>
    <w:rsid w:val="00486669"/>
    <w:rsid w:val="0048666A"/>
    <w:rsid w:val="00486696"/>
    <w:rsid w:val="004867E7"/>
    <w:rsid w:val="004868CE"/>
    <w:rsid w:val="00486956"/>
    <w:rsid w:val="004869D9"/>
    <w:rsid w:val="00486B60"/>
    <w:rsid w:val="00486B71"/>
    <w:rsid w:val="00486BA0"/>
    <w:rsid w:val="00486BE5"/>
    <w:rsid w:val="00486C41"/>
    <w:rsid w:val="00486C64"/>
    <w:rsid w:val="00486DD0"/>
    <w:rsid w:val="00486DDC"/>
    <w:rsid w:val="00486E68"/>
    <w:rsid w:val="00486E88"/>
    <w:rsid w:val="00486FBD"/>
    <w:rsid w:val="0048702D"/>
    <w:rsid w:val="0048709D"/>
    <w:rsid w:val="0048714C"/>
    <w:rsid w:val="004871ED"/>
    <w:rsid w:val="00487308"/>
    <w:rsid w:val="00487466"/>
    <w:rsid w:val="004874C9"/>
    <w:rsid w:val="00487536"/>
    <w:rsid w:val="00487579"/>
    <w:rsid w:val="0048758E"/>
    <w:rsid w:val="0048759F"/>
    <w:rsid w:val="004875FB"/>
    <w:rsid w:val="0048769B"/>
    <w:rsid w:val="004876F4"/>
    <w:rsid w:val="00487871"/>
    <w:rsid w:val="00487C32"/>
    <w:rsid w:val="00487C5B"/>
    <w:rsid w:val="00487C85"/>
    <w:rsid w:val="00487CAA"/>
    <w:rsid w:val="00487E92"/>
    <w:rsid w:val="00487EC2"/>
    <w:rsid w:val="00487F76"/>
    <w:rsid w:val="00490008"/>
    <w:rsid w:val="004901D1"/>
    <w:rsid w:val="00490380"/>
    <w:rsid w:val="004904C9"/>
    <w:rsid w:val="00490502"/>
    <w:rsid w:val="00490537"/>
    <w:rsid w:val="0049062E"/>
    <w:rsid w:val="00490642"/>
    <w:rsid w:val="004906A0"/>
    <w:rsid w:val="00490807"/>
    <w:rsid w:val="00490867"/>
    <w:rsid w:val="0049088D"/>
    <w:rsid w:val="0049090A"/>
    <w:rsid w:val="00490917"/>
    <w:rsid w:val="00490976"/>
    <w:rsid w:val="00490B3A"/>
    <w:rsid w:val="00490C18"/>
    <w:rsid w:val="00490C7D"/>
    <w:rsid w:val="00490C89"/>
    <w:rsid w:val="00490D3A"/>
    <w:rsid w:val="00490DB0"/>
    <w:rsid w:val="00490DB9"/>
    <w:rsid w:val="00490DC4"/>
    <w:rsid w:val="00490E65"/>
    <w:rsid w:val="00490FF5"/>
    <w:rsid w:val="004911B8"/>
    <w:rsid w:val="004911F6"/>
    <w:rsid w:val="0049120A"/>
    <w:rsid w:val="0049121B"/>
    <w:rsid w:val="0049135B"/>
    <w:rsid w:val="00491394"/>
    <w:rsid w:val="00491443"/>
    <w:rsid w:val="00491456"/>
    <w:rsid w:val="0049146B"/>
    <w:rsid w:val="00491496"/>
    <w:rsid w:val="004914BF"/>
    <w:rsid w:val="00491523"/>
    <w:rsid w:val="00491561"/>
    <w:rsid w:val="0049156C"/>
    <w:rsid w:val="00491731"/>
    <w:rsid w:val="0049178C"/>
    <w:rsid w:val="00491910"/>
    <w:rsid w:val="0049194B"/>
    <w:rsid w:val="004919CC"/>
    <w:rsid w:val="00491A75"/>
    <w:rsid w:val="00491B1C"/>
    <w:rsid w:val="00491DA6"/>
    <w:rsid w:val="00491DA7"/>
    <w:rsid w:val="00491EBC"/>
    <w:rsid w:val="00491FC9"/>
    <w:rsid w:val="00492003"/>
    <w:rsid w:val="004920AC"/>
    <w:rsid w:val="004920CA"/>
    <w:rsid w:val="004920D0"/>
    <w:rsid w:val="0049213D"/>
    <w:rsid w:val="00492176"/>
    <w:rsid w:val="0049218F"/>
    <w:rsid w:val="004921D8"/>
    <w:rsid w:val="00492224"/>
    <w:rsid w:val="0049226D"/>
    <w:rsid w:val="00492301"/>
    <w:rsid w:val="0049231C"/>
    <w:rsid w:val="00492395"/>
    <w:rsid w:val="004923F4"/>
    <w:rsid w:val="00492526"/>
    <w:rsid w:val="00492576"/>
    <w:rsid w:val="004925E1"/>
    <w:rsid w:val="0049265B"/>
    <w:rsid w:val="004927EB"/>
    <w:rsid w:val="0049289D"/>
    <w:rsid w:val="004928E3"/>
    <w:rsid w:val="004928F2"/>
    <w:rsid w:val="004929A3"/>
    <w:rsid w:val="004929CA"/>
    <w:rsid w:val="00492A21"/>
    <w:rsid w:val="00492A55"/>
    <w:rsid w:val="00492C44"/>
    <w:rsid w:val="00492F2E"/>
    <w:rsid w:val="00492F6D"/>
    <w:rsid w:val="00492F72"/>
    <w:rsid w:val="00493004"/>
    <w:rsid w:val="00493038"/>
    <w:rsid w:val="00493318"/>
    <w:rsid w:val="004933E0"/>
    <w:rsid w:val="00493416"/>
    <w:rsid w:val="004934E2"/>
    <w:rsid w:val="00493571"/>
    <w:rsid w:val="00493574"/>
    <w:rsid w:val="00493635"/>
    <w:rsid w:val="0049366A"/>
    <w:rsid w:val="00493693"/>
    <w:rsid w:val="004936DB"/>
    <w:rsid w:val="0049378C"/>
    <w:rsid w:val="0049392A"/>
    <w:rsid w:val="004939F0"/>
    <w:rsid w:val="00493A6F"/>
    <w:rsid w:val="00493AA6"/>
    <w:rsid w:val="00493AEF"/>
    <w:rsid w:val="00493BC1"/>
    <w:rsid w:val="00493C04"/>
    <w:rsid w:val="00493C09"/>
    <w:rsid w:val="00493C42"/>
    <w:rsid w:val="00493C6F"/>
    <w:rsid w:val="00493C94"/>
    <w:rsid w:val="00493D73"/>
    <w:rsid w:val="00493E79"/>
    <w:rsid w:val="00493F32"/>
    <w:rsid w:val="00493F80"/>
    <w:rsid w:val="00494089"/>
    <w:rsid w:val="00494198"/>
    <w:rsid w:val="004941C6"/>
    <w:rsid w:val="004941D4"/>
    <w:rsid w:val="004941DE"/>
    <w:rsid w:val="004941F8"/>
    <w:rsid w:val="0049438B"/>
    <w:rsid w:val="004943E6"/>
    <w:rsid w:val="004943FB"/>
    <w:rsid w:val="00494400"/>
    <w:rsid w:val="00494421"/>
    <w:rsid w:val="0049446F"/>
    <w:rsid w:val="004944C2"/>
    <w:rsid w:val="004946F2"/>
    <w:rsid w:val="00494702"/>
    <w:rsid w:val="00494781"/>
    <w:rsid w:val="004947AA"/>
    <w:rsid w:val="004947C5"/>
    <w:rsid w:val="004947CF"/>
    <w:rsid w:val="004947DA"/>
    <w:rsid w:val="004947EA"/>
    <w:rsid w:val="004948D8"/>
    <w:rsid w:val="0049490F"/>
    <w:rsid w:val="004949A5"/>
    <w:rsid w:val="004949C6"/>
    <w:rsid w:val="00494A6A"/>
    <w:rsid w:val="00494B31"/>
    <w:rsid w:val="00494B42"/>
    <w:rsid w:val="00494B6B"/>
    <w:rsid w:val="00494D01"/>
    <w:rsid w:val="00494DC9"/>
    <w:rsid w:val="00494DD9"/>
    <w:rsid w:val="00494F29"/>
    <w:rsid w:val="00494F64"/>
    <w:rsid w:val="00494F97"/>
    <w:rsid w:val="00494FB0"/>
    <w:rsid w:val="00494FB2"/>
    <w:rsid w:val="00494FD0"/>
    <w:rsid w:val="0049500C"/>
    <w:rsid w:val="00495025"/>
    <w:rsid w:val="004950B5"/>
    <w:rsid w:val="004950FE"/>
    <w:rsid w:val="0049525E"/>
    <w:rsid w:val="0049526E"/>
    <w:rsid w:val="00495282"/>
    <w:rsid w:val="0049529F"/>
    <w:rsid w:val="0049544D"/>
    <w:rsid w:val="0049551F"/>
    <w:rsid w:val="004955EF"/>
    <w:rsid w:val="00495792"/>
    <w:rsid w:val="004957DC"/>
    <w:rsid w:val="00495858"/>
    <w:rsid w:val="0049585A"/>
    <w:rsid w:val="004958CA"/>
    <w:rsid w:val="00495A68"/>
    <w:rsid w:val="00495A8B"/>
    <w:rsid w:val="00495A9B"/>
    <w:rsid w:val="00495ACA"/>
    <w:rsid w:val="00495BFA"/>
    <w:rsid w:val="00495C0F"/>
    <w:rsid w:val="00495CA8"/>
    <w:rsid w:val="00495E6C"/>
    <w:rsid w:val="00495EAC"/>
    <w:rsid w:val="00495FBB"/>
    <w:rsid w:val="00495FC1"/>
    <w:rsid w:val="004960EE"/>
    <w:rsid w:val="00496104"/>
    <w:rsid w:val="0049627F"/>
    <w:rsid w:val="004962C8"/>
    <w:rsid w:val="004962F6"/>
    <w:rsid w:val="004962FE"/>
    <w:rsid w:val="00496330"/>
    <w:rsid w:val="00496333"/>
    <w:rsid w:val="00496398"/>
    <w:rsid w:val="00496566"/>
    <w:rsid w:val="00496617"/>
    <w:rsid w:val="0049677E"/>
    <w:rsid w:val="004968B0"/>
    <w:rsid w:val="00496998"/>
    <w:rsid w:val="004969BA"/>
    <w:rsid w:val="00496B27"/>
    <w:rsid w:val="00496B65"/>
    <w:rsid w:val="00496BF7"/>
    <w:rsid w:val="00496C0D"/>
    <w:rsid w:val="00496D15"/>
    <w:rsid w:val="00496E83"/>
    <w:rsid w:val="00496EAA"/>
    <w:rsid w:val="00496EAF"/>
    <w:rsid w:val="00496F0D"/>
    <w:rsid w:val="00497093"/>
    <w:rsid w:val="0049709E"/>
    <w:rsid w:val="00497204"/>
    <w:rsid w:val="00497277"/>
    <w:rsid w:val="00497306"/>
    <w:rsid w:val="00497376"/>
    <w:rsid w:val="00497414"/>
    <w:rsid w:val="00497477"/>
    <w:rsid w:val="004974B7"/>
    <w:rsid w:val="004975D1"/>
    <w:rsid w:val="00497683"/>
    <w:rsid w:val="004976B9"/>
    <w:rsid w:val="004977CE"/>
    <w:rsid w:val="00497841"/>
    <w:rsid w:val="0049784F"/>
    <w:rsid w:val="00497943"/>
    <w:rsid w:val="00497B23"/>
    <w:rsid w:val="00497B9F"/>
    <w:rsid w:val="00497E41"/>
    <w:rsid w:val="00497EB2"/>
    <w:rsid w:val="00497F6A"/>
    <w:rsid w:val="00497F7F"/>
    <w:rsid w:val="004A0014"/>
    <w:rsid w:val="004A0076"/>
    <w:rsid w:val="004A0194"/>
    <w:rsid w:val="004A023A"/>
    <w:rsid w:val="004A0290"/>
    <w:rsid w:val="004A02C5"/>
    <w:rsid w:val="004A0384"/>
    <w:rsid w:val="004A04FD"/>
    <w:rsid w:val="004A0528"/>
    <w:rsid w:val="004A0611"/>
    <w:rsid w:val="004A0649"/>
    <w:rsid w:val="004A068F"/>
    <w:rsid w:val="004A0741"/>
    <w:rsid w:val="004A0791"/>
    <w:rsid w:val="004A0931"/>
    <w:rsid w:val="004A0946"/>
    <w:rsid w:val="004A09E5"/>
    <w:rsid w:val="004A09F6"/>
    <w:rsid w:val="004A0AB8"/>
    <w:rsid w:val="004A0B85"/>
    <w:rsid w:val="004A0CBB"/>
    <w:rsid w:val="004A0D14"/>
    <w:rsid w:val="004A0D45"/>
    <w:rsid w:val="004A0E5C"/>
    <w:rsid w:val="004A0E61"/>
    <w:rsid w:val="004A0E7A"/>
    <w:rsid w:val="004A0F09"/>
    <w:rsid w:val="004A0F36"/>
    <w:rsid w:val="004A0F9C"/>
    <w:rsid w:val="004A1135"/>
    <w:rsid w:val="004A113C"/>
    <w:rsid w:val="004A11C4"/>
    <w:rsid w:val="004A128B"/>
    <w:rsid w:val="004A13D6"/>
    <w:rsid w:val="004A1502"/>
    <w:rsid w:val="004A150C"/>
    <w:rsid w:val="004A16C4"/>
    <w:rsid w:val="004A16CC"/>
    <w:rsid w:val="004A16E2"/>
    <w:rsid w:val="004A17FD"/>
    <w:rsid w:val="004A1883"/>
    <w:rsid w:val="004A191E"/>
    <w:rsid w:val="004A1A32"/>
    <w:rsid w:val="004A1AB2"/>
    <w:rsid w:val="004A1B01"/>
    <w:rsid w:val="004A1C48"/>
    <w:rsid w:val="004A1C81"/>
    <w:rsid w:val="004A1C9C"/>
    <w:rsid w:val="004A1D64"/>
    <w:rsid w:val="004A1D88"/>
    <w:rsid w:val="004A1E69"/>
    <w:rsid w:val="004A1E8E"/>
    <w:rsid w:val="004A1EAD"/>
    <w:rsid w:val="004A1EC6"/>
    <w:rsid w:val="004A2071"/>
    <w:rsid w:val="004A2084"/>
    <w:rsid w:val="004A22AC"/>
    <w:rsid w:val="004A22C2"/>
    <w:rsid w:val="004A22CB"/>
    <w:rsid w:val="004A23AA"/>
    <w:rsid w:val="004A23C0"/>
    <w:rsid w:val="004A2505"/>
    <w:rsid w:val="004A26AD"/>
    <w:rsid w:val="004A26AF"/>
    <w:rsid w:val="004A2740"/>
    <w:rsid w:val="004A27CD"/>
    <w:rsid w:val="004A2871"/>
    <w:rsid w:val="004A2897"/>
    <w:rsid w:val="004A29E9"/>
    <w:rsid w:val="004A2A48"/>
    <w:rsid w:val="004A2B23"/>
    <w:rsid w:val="004A2B76"/>
    <w:rsid w:val="004A2BB6"/>
    <w:rsid w:val="004A2BE6"/>
    <w:rsid w:val="004A2C18"/>
    <w:rsid w:val="004A2EC6"/>
    <w:rsid w:val="004A3026"/>
    <w:rsid w:val="004A3069"/>
    <w:rsid w:val="004A3132"/>
    <w:rsid w:val="004A31E3"/>
    <w:rsid w:val="004A32A7"/>
    <w:rsid w:val="004A32AB"/>
    <w:rsid w:val="004A32DA"/>
    <w:rsid w:val="004A330B"/>
    <w:rsid w:val="004A330C"/>
    <w:rsid w:val="004A3340"/>
    <w:rsid w:val="004A3406"/>
    <w:rsid w:val="004A3447"/>
    <w:rsid w:val="004A3548"/>
    <w:rsid w:val="004A3565"/>
    <w:rsid w:val="004A35F2"/>
    <w:rsid w:val="004A37E3"/>
    <w:rsid w:val="004A380E"/>
    <w:rsid w:val="004A3942"/>
    <w:rsid w:val="004A39CC"/>
    <w:rsid w:val="004A3B34"/>
    <w:rsid w:val="004A3B9D"/>
    <w:rsid w:val="004A3BD7"/>
    <w:rsid w:val="004A3BE2"/>
    <w:rsid w:val="004A3C32"/>
    <w:rsid w:val="004A3C78"/>
    <w:rsid w:val="004A3CCF"/>
    <w:rsid w:val="004A3D1E"/>
    <w:rsid w:val="004A3D37"/>
    <w:rsid w:val="004A3D43"/>
    <w:rsid w:val="004A3E57"/>
    <w:rsid w:val="004A3FCA"/>
    <w:rsid w:val="004A4018"/>
    <w:rsid w:val="004A4047"/>
    <w:rsid w:val="004A407A"/>
    <w:rsid w:val="004A40FE"/>
    <w:rsid w:val="004A42D7"/>
    <w:rsid w:val="004A433D"/>
    <w:rsid w:val="004A4368"/>
    <w:rsid w:val="004A4383"/>
    <w:rsid w:val="004A43A3"/>
    <w:rsid w:val="004A4430"/>
    <w:rsid w:val="004A44F6"/>
    <w:rsid w:val="004A465C"/>
    <w:rsid w:val="004A4718"/>
    <w:rsid w:val="004A4725"/>
    <w:rsid w:val="004A476C"/>
    <w:rsid w:val="004A4B84"/>
    <w:rsid w:val="004A4BAF"/>
    <w:rsid w:val="004A4C50"/>
    <w:rsid w:val="004A4D57"/>
    <w:rsid w:val="004A4D90"/>
    <w:rsid w:val="004A4D96"/>
    <w:rsid w:val="004A4E1A"/>
    <w:rsid w:val="004A4E30"/>
    <w:rsid w:val="004A4E9B"/>
    <w:rsid w:val="004A4ED5"/>
    <w:rsid w:val="004A4F03"/>
    <w:rsid w:val="004A4F4D"/>
    <w:rsid w:val="004A4F8E"/>
    <w:rsid w:val="004A4FDF"/>
    <w:rsid w:val="004A503F"/>
    <w:rsid w:val="004A50D8"/>
    <w:rsid w:val="004A51DA"/>
    <w:rsid w:val="004A5241"/>
    <w:rsid w:val="004A5254"/>
    <w:rsid w:val="004A530B"/>
    <w:rsid w:val="004A5489"/>
    <w:rsid w:val="004A5495"/>
    <w:rsid w:val="004A551A"/>
    <w:rsid w:val="004A5549"/>
    <w:rsid w:val="004A575B"/>
    <w:rsid w:val="004A5766"/>
    <w:rsid w:val="004A579B"/>
    <w:rsid w:val="004A57AD"/>
    <w:rsid w:val="004A58BF"/>
    <w:rsid w:val="004A594E"/>
    <w:rsid w:val="004A59BC"/>
    <w:rsid w:val="004A59FE"/>
    <w:rsid w:val="004A5A1D"/>
    <w:rsid w:val="004A5A22"/>
    <w:rsid w:val="004A5B29"/>
    <w:rsid w:val="004A5B46"/>
    <w:rsid w:val="004A5B50"/>
    <w:rsid w:val="004A5B65"/>
    <w:rsid w:val="004A5CF9"/>
    <w:rsid w:val="004A5DA8"/>
    <w:rsid w:val="004A5E08"/>
    <w:rsid w:val="004A5E73"/>
    <w:rsid w:val="004A5ECD"/>
    <w:rsid w:val="004A6014"/>
    <w:rsid w:val="004A6060"/>
    <w:rsid w:val="004A6094"/>
    <w:rsid w:val="004A6114"/>
    <w:rsid w:val="004A620D"/>
    <w:rsid w:val="004A630F"/>
    <w:rsid w:val="004A633B"/>
    <w:rsid w:val="004A6361"/>
    <w:rsid w:val="004A642A"/>
    <w:rsid w:val="004A644A"/>
    <w:rsid w:val="004A64AD"/>
    <w:rsid w:val="004A64E9"/>
    <w:rsid w:val="004A656B"/>
    <w:rsid w:val="004A66A2"/>
    <w:rsid w:val="004A692E"/>
    <w:rsid w:val="004A6939"/>
    <w:rsid w:val="004A6973"/>
    <w:rsid w:val="004A6A12"/>
    <w:rsid w:val="004A6A46"/>
    <w:rsid w:val="004A6BEE"/>
    <w:rsid w:val="004A6C27"/>
    <w:rsid w:val="004A6E27"/>
    <w:rsid w:val="004A6E5F"/>
    <w:rsid w:val="004A6E97"/>
    <w:rsid w:val="004A6F8C"/>
    <w:rsid w:val="004A7021"/>
    <w:rsid w:val="004A7024"/>
    <w:rsid w:val="004A706F"/>
    <w:rsid w:val="004A71A4"/>
    <w:rsid w:val="004A7202"/>
    <w:rsid w:val="004A728C"/>
    <w:rsid w:val="004A7297"/>
    <w:rsid w:val="004A729F"/>
    <w:rsid w:val="004A754A"/>
    <w:rsid w:val="004A7596"/>
    <w:rsid w:val="004A766D"/>
    <w:rsid w:val="004A76BB"/>
    <w:rsid w:val="004A77BF"/>
    <w:rsid w:val="004A780B"/>
    <w:rsid w:val="004A7852"/>
    <w:rsid w:val="004A7874"/>
    <w:rsid w:val="004A792F"/>
    <w:rsid w:val="004A7A52"/>
    <w:rsid w:val="004A7A91"/>
    <w:rsid w:val="004A7B5B"/>
    <w:rsid w:val="004A7B83"/>
    <w:rsid w:val="004A7C35"/>
    <w:rsid w:val="004A7C55"/>
    <w:rsid w:val="004A7C58"/>
    <w:rsid w:val="004A7CA0"/>
    <w:rsid w:val="004A7D88"/>
    <w:rsid w:val="004A7DDA"/>
    <w:rsid w:val="004A7DE9"/>
    <w:rsid w:val="004A7DFD"/>
    <w:rsid w:val="004A7E3E"/>
    <w:rsid w:val="004A7F43"/>
    <w:rsid w:val="004A7F5D"/>
    <w:rsid w:val="004A7FC4"/>
    <w:rsid w:val="004B011D"/>
    <w:rsid w:val="004B024B"/>
    <w:rsid w:val="004B028F"/>
    <w:rsid w:val="004B02E5"/>
    <w:rsid w:val="004B02F0"/>
    <w:rsid w:val="004B039B"/>
    <w:rsid w:val="004B03B7"/>
    <w:rsid w:val="004B0460"/>
    <w:rsid w:val="004B04F7"/>
    <w:rsid w:val="004B06AF"/>
    <w:rsid w:val="004B07E0"/>
    <w:rsid w:val="004B08BE"/>
    <w:rsid w:val="004B08C6"/>
    <w:rsid w:val="004B09B3"/>
    <w:rsid w:val="004B0A80"/>
    <w:rsid w:val="004B0AE3"/>
    <w:rsid w:val="004B0BA6"/>
    <w:rsid w:val="004B0C26"/>
    <w:rsid w:val="004B0C63"/>
    <w:rsid w:val="004B0C6D"/>
    <w:rsid w:val="004B0CDC"/>
    <w:rsid w:val="004B0D21"/>
    <w:rsid w:val="004B0DA8"/>
    <w:rsid w:val="004B0F79"/>
    <w:rsid w:val="004B101E"/>
    <w:rsid w:val="004B1084"/>
    <w:rsid w:val="004B126B"/>
    <w:rsid w:val="004B1281"/>
    <w:rsid w:val="004B147B"/>
    <w:rsid w:val="004B14B5"/>
    <w:rsid w:val="004B1652"/>
    <w:rsid w:val="004B1692"/>
    <w:rsid w:val="004B1747"/>
    <w:rsid w:val="004B1780"/>
    <w:rsid w:val="004B17F0"/>
    <w:rsid w:val="004B1851"/>
    <w:rsid w:val="004B1950"/>
    <w:rsid w:val="004B1992"/>
    <w:rsid w:val="004B19FE"/>
    <w:rsid w:val="004B1A3E"/>
    <w:rsid w:val="004B1A76"/>
    <w:rsid w:val="004B1BBD"/>
    <w:rsid w:val="004B1BFD"/>
    <w:rsid w:val="004B1C8C"/>
    <w:rsid w:val="004B1D37"/>
    <w:rsid w:val="004B1D77"/>
    <w:rsid w:val="004B1EBD"/>
    <w:rsid w:val="004B1F26"/>
    <w:rsid w:val="004B1F40"/>
    <w:rsid w:val="004B2068"/>
    <w:rsid w:val="004B20EE"/>
    <w:rsid w:val="004B2340"/>
    <w:rsid w:val="004B23C4"/>
    <w:rsid w:val="004B23FD"/>
    <w:rsid w:val="004B24D9"/>
    <w:rsid w:val="004B24E3"/>
    <w:rsid w:val="004B2507"/>
    <w:rsid w:val="004B251C"/>
    <w:rsid w:val="004B262D"/>
    <w:rsid w:val="004B26E2"/>
    <w:rsid w:val="004B2769"/>
    <w:rsid w:val="004B27E0"/>
    <w:rsid w:val="004B280E"/>
    <w:rsid w:val="004B28E2"/>
    <w:rsid w:val="004B2A00"/>
    <w:rsid w:val="004B2A3A"/>
    <w:rsid w:val="004B2A4D"/>
    <w:rsid w:val="004B2A84"/>
    <w:rsid w:val="004B2C06"/>
    <w:rsid w:val="004B2CD8"/>
    <w:rsid w:val="004B2E26"/>
    <w:rsid w:val="004B2F45"/>
    <w:rsid w:val="004B2FC9"/>
    <w:rsid w:val="004B3089"/>
    <w:rsid w:val="004B3112"/>
    <w:rsid w:val="004B3369"/>
    <w:rsid w:val="004B33C2"/>
    <w:rsid w:val="004B3517"/>
    <w:rsid w:val="004B355F"/>
    <w:rsid w:val="004B35E6"/>
    <w:rsid w:val="004B3637"/>
    <w:rsid w:val="004B369B"/>
    <w:rsid w:val="004B36A8"/>
    <w:rsid w:val="004B3709"/>
    <w:rsid w:val="004B3790"/>
    <w:rsid w:val="004B37C0"/>
    <w:rsid w:val="004B37F9"/>
    <w:rsid w:val="004B3874"/>
    <w:rsid w:val="004B3B24"/>
    <w:rsid w:val="004B3BD4"/>
    <w:rsid w:val="004B3C04"/>
    <w:rsid w:val="004B3C4F"/>
    <w:rsid w:val="004B3C6D"/>
    <w:rsid w:val="004B3C73"/>
    <w:rsid w:val="004B3D90"/>
    <w:rsid w:val="004B3DEB"/>
    <w:rsid w:val="004B3E13"/>
    <w:rsid w:val="004B3E5A"/>
    <w:rsid w:val="004B3EB9"/>
    <w:rsid w:val="004B3F01"/>
    <w:rsid w:val="004B40FD"/>
    <w:rsid w:val="004B4163"/>
    <w:rsid w:val="004B4192"/>
    <w:rsid w:val="004B4214"/>
    <w:rsid w:val="004B4231"/>
    <w:rsid w:val="004B428E"/>
    <w:rsid w:val="004B4317"/>
    <w:rsid w:val="004B450B"/>
    <w:rsid w:val="004B4549"/>
    <w:rsid w:val="004B454E"/>
    <w:rsid w:val="004B45E6"/>
    <w:rsid w:val="004B460F"/>
    <w:rsid w:val="004B4690"/>
    <w:rsid w:val="004B46AB"/>
    <w:rsid w:val="004B46B0"/>
    <w:rsid w:val="004B471C"/>
    <w:rsid w:val="004B47B8"/>
    <w:rsid w:val="004B482A"/>
    <w:rsid w:val="004B48D5"/>
    <w:rsid w:val="004B4991"/>
    <w:rsid w:val="004B49EE"/>
    <w:rsid w:val="004B4B31"/>
    <w:rsid w:val="004B4B7F"/>
    <w:rsid w:val="004B4BA3"/>
    <w:rsid w:val="004B4C4F"/>
    <w:rsid w:val="004B4E07"/>
    <w:rsid w:val="004B4EAD"/>
    <w:rsid w:val="004B4FAF"/>
    <w:rsid w:val="004B5019"/>
    <w:rsid w:val="004B50CF"/>
    <w:rsid w:val="004B50F3"/>
    <w:rsid w:val="004B5257"/>
    <w:rsid w:val="004B52FC"/>
    <w:rsid w:val="004B539F"/>
    <w:rsid w:val="004B53AB"/>
    <w:rsid w:val="004B53FA"/>
    <w:rsid w:val="004B5413"/>
    <w:rsid w:val="004B5432"/>
    <w:rsid w:val="004B54FB"/>
    <w:rsid w:val="004B5532"/>
    <w:rsid w:val="004B557E"/>
    <w:rsid w:val="004B56A8"/>
    <w:rsid w:val="004B578B"/>
    <w:rsid w:val="004B57E7"/>
    <w:rsid w:val="004B582C"/>
    <w:rsid w:val="004B59E2"/>
    <w:rsid w:val="004B5C8B"/>
    <w:rsid w:val="004B5D62"/>
    <w:rsid w:val="004B5E10"/>
    <w:rsid w:val="004B5F62"/>
    <w:rsid w:val="004B607A"/>
    <w:rsid w:val="004B60E6"/>
    <w:rsid w:val="004B61B0"/>
    <w:rsid w:val="004B61D6"/>
    <w:rsid w:val="004B62A1"/>
    <w:rsid w:val="004B648E"/>
    <w:rsid w:val="004B6498"/>
    <w:rsid w:val="004B689D"/>
    <w:rsid w:val="004B68B4"/>
    <w:rsid w:val="004B68F3"/>
    <w:rsid w:val="004B6961"/>
    <w:rsid w:val="004B69BE"/>
    <w:rsid w:val="004B69DD"/>
    <w:rsid w:val="004B6B3C"/>
    <w:rsid w:val="004B6B44"/>
    <w:rsid w:val="004B6BFE"/>
    <w:rsid w:val="004B6CD3"/>
    <w:rsid w:val="004B6D31"/>
    <w:rsid w:val="004B6DEB"/>
    <w:rsid w:val="004B6EDF"/>
    <w:rsid w:val="004B6F41"/>
    <w:rsid w:val="004B6F5D"/>
    <w:rsid w:val="004B6F5E"/>
    <w:rsid w:val="004B6FA5"/>
    <w:rsid w:val="004B7013"/>
    <w:rsid w:val="004B709D"/>
    <w:rsid w:val="004B736D"/>
    <w:rsid w:val="004B7561"/>
    <w:rsid w:val="004B7595"/>
    <w:rsid w:val="004B7617"/>
    <w:rsid w:val="004B76EE"/>
    <w:rsid w:val="004B7761"/>
    <w:rsid w:val="004B7829"/>
    <w:rsid w:val="004B7854"/>
    <w:rsid w:val="004B7866"/>
    <w:rsid w:val="004B7887"/>
    <w:rsid w:val="004B7901"/>
    <w:rsid w:val="004B7981"/>
    <w:rsid w:val="004B7A8A"/>
    <w:rsid w:val="004B7B3B"/>
    <w:rsid w:val="004B7BF3"/>
    <w:rsid w:val="004B7CB4"/>
    <w:rsid w:val="004B7D0D"/>
    <w:rsid w:val="004B7D84"/>
    <w:rsid w:val="004B7DD7"/>
    <w:rsid w:val="004B7E01"/>
    <w:rsid w:val="004B7E60"/>
    <w:rsid w:val="004B7EB4"/>
    <w:rsid w:val="004B7F48"/>
    <w:rsid w:val="004C0048"/>
    <w:rsid w:val="004C007C"/>
    <w:rsid w:val="004C01F9"/>
    <w:rsid w:val="004C033F"/>
    <w:rsid w:val="004C059A"/>
    <w:rsid w:val="004C05D3"/>
    <w:rsid w:val="004C060C"/>
    <w:rsid w:val="004C0698"/>
    <w:rsid w:val="004C0704"/>
    <w:rsid w:val="004C0748"/>
    <w:rsid w:val="004C0794"/>
    <w:rsid w:val="004C0A9A"/>
    <w:rsid w:val="004C0BEA"/>
    <w:rsid w:val="004C0C28"/>
    <w:rsid w:val="004C0D46"/>
    <w:rsid w:val="004C0D7F"/>
    <w:rsid w:val="004C0DB5"/>
    <w:rsid w:val="004C0E0E"/>
    <w:rsid w:val="004C0E52"/>
    <w:rsid w:val="004C0E97"/>
    <w:rsid w:val="004C0F4F"/>
    <w:rsid w:val="004C0F70"/>
    <w:rsid w:val="004C1128"/>
    <w:rsid w:val="004C112B"/>
    <w:rsid w:val="004C11D6"/>
    <w:rsid w:val="004C12F1"/>
    <w:rsid w:val="004C1483"/>
    <w:rsid w:val="004C148B"/>
    <w:rsid w:val="004C1647"/>
    <w:rsid w:val="004C16CA"/>
    <w:rsid w:val="004C1784"/>
    <w:rsid w:val="004C17EC"/>
    <w:rsid w:val="004C17FE"/>
    <w:rsid w:val="004C18ED"/>
    <w:rsid w:val="004C1989"/>
    <w:rsid w:val="004C1A4F"/>
    <w:rsid w:val="004C1B93"/>
    <w:rsid w:val="004C1CC4"/>
    <w:rsid w:val="004C1D96"/>
    <w:rsid w:val="004C1E03"/>
    <w:rsid w:val="004C1E8D"/>
    <w:rsid w:val="004C1FCE"/>
    <w:rsid w:val="004C1FF1"/>
    <w:rsid w:val="004C204F"/>
    <w:rsid w:val="004C224F"/>
    <w:rsid w:val="004C22A7"/>
    <w:rsid w:val="004C2362"/>
    <w:rsid w:val="004C236A"/>
    <w:rsid w:val="004C24F4"/>
    <w:rsid w:val="004C25A8"/>
    <w:rsid w:val="004C2664"/>
    <w:rsid w:val="004C26C4"/>
    <w:rsid w:val="004C26EF"/>
    <w:rsid w:val="004C27FD"/>
    <w:rsid w:val="004C290F"/>
    <w:rsid w:val="004C2978"/>
    <w:rsid w:val="004C2ADB"/>
    <w:rsid w:val="004C2AE8"/>
    <w:rsid w:val="004C2B8D"/>
    <w:rsid w:val="004C2BD0"/>
    <w:rsid w:val="004C2C0C"/>
    <w:rsid w:val="004C2C58"/>
    <w:rsid w:val="004C2C8B"/>
    <w:rsid w:val="004C2CF8"/>
    <w:rsid w:val="004C2DEC"/>
    <w:rsid w:val="004C2E3E"/>
    <w:rsid w:val="004C2EAB"/>
    <w:rsid w:val="004C2EF0"/>
    <w:rsid w:val="004C2F83"/>
    <w:rsid w:val="004C2FB7"/>
    <w:rsid w:val="004C2FD6"/>
    <w:rsid w:val="004C2FD9"/>
    <w:rsid w:val="004C2FE1"/>
    <w:rsid w:val="004C3024"/>
    <w:rsid w:val="004C306A"/>
    <w:rsid w:val="004C331F"/>
    <w:rsid w:val="004C33BE"/>
    <w:rsid w:val="004C33BF"/>
    <w:rsid w:val="004C3429"/>
    <w:rsid w:val="004C3472"/>
    <w:rsid w:val="004C356B"/>
    <w:rsid w:val="004C35AE"/>
    <w:rsid w:val="004C360F"/>
    <w:rsid w:val="004C3625"/>
    <w:rsid w:val="004C3628"/>
    <w:rsid w:val="004C36FA"/>
    <w:rsid w:val="004C3701"/>
    <w:rsid w:val="004C37C2"/>
    <w:rsid w:val="004C37DC"/>
    <w:rsid w:val="004C3832"/>
    <w:rsid w:val="004C38E1"/>
    <w:rsid w:val="004C3954"/>
    <w:rsid w:val="004C39DE"/>
    <w:rsid w:val="004C39F1"/>
    <w:rsid w:val="004C3A26"/>
    <w:rsid w:val="004C3C2F"/>
    <w:rsid w:val="004C3D34"/>
    <w:rsid w:val="004C3D6B"/>
    <w:rsid w:val="004C3D83"/>
    <w:rsid w:val="004C3F60"/>
    <w:rsid w:val="004C4011"/>
    <w:rsid w:val="004C403D"/>
    <w:rsid w:val="004C40B4"/>
    <w:rsid w:val="004C41C1"/>
    <w:rsid w:val="004C4321"/>
    <w:rsid w:val="004C455A"/>
    <w:rsid w:val="004C46E2"/>
    <w:rsid w:val="004C4789"/>
    <w:rsid w:val="004C47CB"/>
    <w:rsid w:val="004C48C8"/>
    <w:rsid w:val="004C48D1"/>
    <w:rsid w:val="004C4943"/>
    <w:rsid w:val="004C4A62"/>
    <w:rsid w:val="004C4AF8"/>
    <w:rsid w:val="004C4B1F"/>
    <w:rsid w:val="004C4B56"/>
    <w:rsid w:val="004C4BBB"/>
    <w:rsid w:val="004C4C92"/>
    <w:rsid w:val="004C4DAE"/>
    <w:rsid w:val="004C4EFB"/>
    <w:rsid w:val="004C4FB4"/>
    <w:rsid w:val="004C511E"/>
    <w:rsid w:val="004C5192"/>
    <w:rsid w:val="004C51DD"/>
    <w:rsid w:val="004C5362"/>
    <w:rsid w:val="004C5367"/>
    <w:rsid w:val="004C5431"/>
    <w:rsid w:val="004C543A"/>
    <w:rsid w:val="004C5446"/>
    <w:rsid w:val="004C5489"/>
    <w:rsid w:val="004C54BC"/>
    <w:rsid w:val="004C54E7"/>
    <w:rsid w:val="004C5542"/>
    <w:rsid w:val="004C5592"/>
    <w:rsid w:val="004C5600"/>
    <w:rsid w:val="004C5610"/>
    <w:rsid w:val="004C563E"/>
    <w:rsid w:val="004C564C"/>
    <w:rsid w:val="004C56EA"/>
    <w:rsid w:val="004C56EE"/>
    <w:rsid w:val="004C5781"/>
    <w:rsid w:val="004C57AB"/>
    <w:rsid w:val="004C57FC"/>
    <w:rsid w:val="004C587C"/>
    <w:rsid w:val="004C58C5"/>
    <w:rsid w:val="004C5917"/>
    <w:rsid w:val="004C598D"/>
    <w:rsid w:val="004C5A04"/>
    <w:rsid w:val="004C5AE6"/>
    <w:rsid w:val="004C5BD2"/>
    <w:rsid w:val="004C5BE7"/>
    <w:rsid w:val="004C5CB7"/>
    <w:rsid w:val="004C5D25"/>
    <w:rsid w:val="004C5F9A"/>
    <w:rsid w:val="004C5FBD"/>
    <w:rsid w:val="004C60C0"/>
    <w:rsid w:val="004C6243"/>
    <w:rsid w:val="004C62F1"/>
    <w:rsid w:val="004C6310"/>
    <w:rsid w:val="004C63C8"/>
    <w:rsid w:val="004C63F2"/>
    <w:rsid w:val="004C6496"/>
    <w:rsid w:val="004C65EA"/>
    <w:rsid w:val="004C6688"/>
    <w:rsid w:val="004C681B"/>
    <w:rsid w:val="004C6886"/>
    <w:rsid w:val="004C6950"/>
    <w:rsid w:val="004C69F7"/>
    <w:rsid w:val="004C6DA3"/>
    <w:rsid w:val="004C6F15"/>
    <w:rsid w:val="004C6F36"/>
    <w:rsid w:val="004C6F6F"/>
    <w:rsid w:val="004C704E"/>
    <w:rsid w:val="004C7173"/>
    <w:rsid w:val="004C7225"/>
    <w:rsid w:val="004C72B1"/>
    <w:rsid w:val="004C72B3"/>
    <w:rsid w:val="004C74CB"/>
    <w:rsid w:val="004C7518"/>
    <w:rsid w:val="004C751A"/>
    <w:rsid w:val="004C7571"/>
    <w:rsid w:val="004C761D"/>
    <w:rsid w:val="004C77F0"/>
    <w:rsid w:val="004C77F4"/>
    <w:rsid w:val="004C7929"/>
    <w:rsid w:val="004C79A6"/>
    <w:rsid w:val="004C7A48"/>
    <w:rsid w:val="004C7AC3"/>
    <w:rsid w:val="004C7C12"/>
    <w:rsid w:val="004C7C9A"/>
    <w:rsid w:val="004C7CD5"/>
    <w:rsid w:val="004C7D2C"/>
    <w:rsid w:val="004C7DF7"/>
    <w:rsid w:val="004C7E16"/>
    <w:rsid w:val="004C7F14"/>
    <w:rsid w:val="004C7F2A"/>
    <w:rsid w:val="004D0029"/>
    <w:rsid w:val="004D00D8"/>
    <w:rsid w:val="004D00FF"/>
    <w:rsid w:val="004D018E"/>
    <w:rsid w:val="004D025D"/>
    <w:rsid w:val="004D027E"/>
    <w:rsid w:val="004D02EE"/>
    <w:rsid w:val="004D02F9"/>
    <w:rsid w:val="004D0300"/>
    <w:rsid w:val="004D036F"/>
    <w:rsid w:val="004D04B6"/>
    <w:rsid w:val="004D0506"/>
    <w:rsid w:val="004D0514"/>
    <w:rsid w:val="004D0537"/>
    <w:rsid w:val="004D05D4"/>
    <w:rsid w:val="004D0623"/>
    <w:rsid w:val="004D0657"/>
    <w:rsid w:val="004D0666"/>
    <w:rsid w:val="004D067B"/>
    <w:rsid w:val="004D07A3"/>
    <w:rsid w:val="004D081D"/>
    <w:rsid w:val="004D08B1"/>
    <w:rsid w:val="004D08CB"/>
    <w:rsid w:val="004D08EB"/>
    <w:rsid w:val="004D0A13"/>
    <w:rsid w:val="004D0B25"/>
    <w:rsid w:val="004D0CAB"/>
    <w:rsid w:val="004D0D67"/>
    <w:rsid w:val="004D0D6D"/>
    <w:rsid w:val="004D0EA9"/>
    <w:rsid w:val="004D0EBB"/>
    <w:rsid w:val="004D0EC1"/>
    <w:rsid w:val="004D0EFB"/>
    <w:rsid w:val="004D0FFF"/>
    <w:rsid w:val="004D127C"/>
    <w:rsid w:val="004D12AA"/>
    <w:rsid w:val="004D12F6"/>
    <w:rsid w:val="004D134F"/>
    <w:rsid w:val="004D1395"/>
    <w:rsid w:val="004D13FE"/>
    <w:rsid w:val="004D164F"/>
    <w:rsid w:val="004D1686"/>
    <w:rsid w:val="004D1723"/>
    <w:rsid w:val="004D17A5"/>
    <w:rsid w:val="004D187A"/>
    <w:rsid w:val="004D1973"/>
    <w:rsid w:val="004D19FF"/>
    <w:rsid w:val="004D1AA5"/>
    <w:rsid w:val="004D1AEE"/>
    <w:rsid w:val="004D1B31"/>
    <w:rsid w:val="004D1C37"/>
    <w:rsid w:val="004D1CA3"/>
    <w:rsid w:val="004D1CDA"/>
    <w:rsid w:val="004D1D48"/>
    <w:rsid w:val="004D1D86"/>
    <w:rsid w:val="004D1E16"/>
    <w:rsid w:val="004D1EB0"/>
    <w:rsid w:val="004D1EBE"/>
    <w:rsid w:val="004D1EC7"/>
    <w:rsid w:val="004D1EFA"/>
    <w:rsid w:val="004D1FC2"/>
    <w:rsid w:val="004D205E"/>
    <w:rsid w:val="004D213B"/>
    <w:rsid w:val="004D2517"/>
    <w:rsid w:val="004D2527"/>
    <w:rsid w:val="004D254F"/>
    <w:rsid w:val="004D2590"/>
    <w:rsid w:val="004D2592"/>
    <w:rsid w:val="004D25FE"/>
    <w:rsid w:val="004D268B"/>
    <w:rsid w:val="004D26D3"/>
    <w:rsid w:val="004D2797"/>
    <w:rsid w:val="004D27FA"/>
    <w:rsid w:val="004D2830"/>
    <w:rsid w:val="004D28D2"/>
    <w:rsid w:val="004D2946"/>
    <w:rsid w:val="004D2A9C"/>
    <w:rsid w:val="004D2A9F"/>
    <w:rsid w:val="004D2AB0"/>
    <w:rsid w:val="004D2B1C"/>
    <w:rsid w:val="004D2B45"/>
    <w:rsid w:val="004D2BB2"/>
    <w:rsid w:val="004D2C23"/>
    <w:rsid w:val="004D2C33"/>
    <w:rsid w:val="004D2C9A"/>
    <w:rsid w:val="004D2CE0"/>
    <w:rsid w:val="004D2CF0"/>
    <w:rsid w:val="004D2D71"/>
    <w:rsid w:val="004D2F9B"/>
    <w:rsid w:val="004D309E"/>
    <w:rsid w:val="004D3240"/>
    <w:rsid w:val="004D3322"/>
    <w:rsid w:val="004D3349"/>
    <w:rsid w:val="004D3362"/>
    <w:rsid w:val="004D3376"/>
    <w:rsid w:val="004D351A"/>
    <w:rsid w:val="004D358D"/>
    <w:rsid w:val="004D35CA"/>
    <w:rsid w:val="004D361D"/>
    <w:rsid w:val="004D3624"/>
    <w:rsid w:val="004D369A"/>
    <w:rsid w:val="004D3795"/>
    <w:rsid w:val="004D384D"/>
    <w:rsid w:val="004D3897"/>
    <w:rsid w:val="004D3999"/>
    <w:rsid w:val="004D3AFD"/>
    <w:rsid w:val="004D3BAB"/>
    <w:rsid w:val="004D3BE2"/>
    <w:rsid w:val="004D3BF6"/>
    <w:rsid w:val="004D3C06"/>
    <w:rsid w:val="004D3C95"/>
    <w:rsid w:val="004D3DEF"/>
    <w:rsid w:val="004D3ECD"/>
    <w:rsid w:val="004D3F34"/>
    <w:rsid w:val="004D3FA5"/>
    <w:rsid w:val="004D403F"/>
    <w:rsid w:val="004D4059"/>
    <w:rsid w:val="004D411A"/>
    <w:rsid w:val="004D4192"/>
    <w:rsid w:val="004D41AE"/>
    <w:rsid w:val="004D4263"/>
    <w:rsid w:val="004D42C5"/>
    <w:rsid w:val="004D43CF"/>
    <w:rsid w:val="004D4425"/>
    <w:rsid w:val="004D4474"/>
    <w:rsid w:val="004D44CA"/>
    <w:rsid w:val="004D45DF"/>
    <w:rsid w:val="004D4692"/>
    <w:rsid w:val="004D46EA"/>
    <w:rsid w:val="004D4744"/>
    <w:rsid w:val="004D4B11"/>
    <w:rsid w:val="004D4B17"/>
    <w:rsid w:val="004D4C37"/>
    <w:rsid w:val="004D4E2E"/>
    <w:rsid w:val="004D4EF8"/>
    <w:rsid w:val="004D5029"/>
    <w:rsid w:val="004D502A"/>
    <w:rsid w:val="004D5286"/>
    <w:rsid w:val="004D52F3"/>
    <w:rsid w:val="004D54D3"/>
    <w:rsid w:val="004D5524"/>
    <w:rsid w:val="004D55A5"/>
    <w:rsid w:val="004D5610"/>
    <w:rsid w:val="004D567B"/>
    <w:rsid w:val="004D56C5"/>
    <w:rsid w:val="004D579F"/>
    <w:rsid w:val="004D589C"/>
    <w:rsid w:val="004D5965"/>
    <w:rsid w:val="004D59D7"/>
    <w:rsid w:val="004D5B0D"/>
    <w:rsid w:val="004D5B23"/>
    <w:rsid w:val="004D5CD1"/>
    <w:rsid w:val="004D5F2A"/>
    <w:rsid w:val="004D5F6C"/>
    <w:rsid w:val="004D5FBA"/>
    <w:rsid w:val="004D606E"/>
    <w:rsid w:val="004D61E6"/>
    <w:rsid w:val="004D62A3"/>
    <w:rsid w:val="004D62A7"/>
    <w:rsid w:val="004D62E0"/>
    <w:rsid w:val="004D650D"/>
    <w:rsid w:val="004D6557"/>
    <w:rsid w:val="004D6578"/>
    <w:rsid w:val="004D6657"/>
    <w:rsid w:val="004D6737"/>
    <w:rsid w:val="004D6778"/>
    <w:rsid w:val="004D67E8"/>
    <w:rsid w:val="004D6825"/>
    <w:rsid w:val="004D6949"/>
    <w:rsid w:val="004D6B1E"/>
    <w:rsid w:val="004D6B61"/>
    <w:rsid w:val="004D6BBD"/>
    <w:rsid w:val="004D6CB5"/>
    <w:rsid w:val="004D6D35"/>
    <w:rsid w:val="004D6D62"/>
    <w:rsid w:val="004D6E14"/>
    <w:rsid w:val="004D6E9D"/>
    <w:rsid w:val="004D710D"/>
    <w:rsid w:val="004D7123"/>
    <w:rsid w:val="004D7175"/>
    <w:rsid w:val="004D726E"/>
    <w:rsid w:val="004D7320"/>
    <w:rsid w:val="004D7364"/>
    <w:rsid w:val="004D7443"/>
    <w:rsid w:val="004D7560"/>
    <w:rsid w:val="004D75C4"/>
    <w:rsid w:val="004D764F"/>
    <w:rsid w:val="004D7658"/>
    <w:rsid w:val="004D766B"/>
    <w:rsid w:val="004D77AD"/>
    <w:rsid w:val="004D780D"/>
    <w:rsid w:val="004D78E9"/>
    <w:rsid w:val="004D79DA"/>
    <w:rsid w:val="004D7A19"/>
    <w:rsid w:val="004D7A38"/>
    <w:rsid w:val="004D7A5A"/>
    <w:rsid w:val="004D7AD4"/>
    <w:rsid w:val="004D7AE8"/>
    <w:rsid w:val="004D7AF0"/>
    <w:rsid w:val="004D7B05"/>
    <w:rsid w:val="004D7B0E"/>
    <w:rsid w:val="004D7B17"/>
    <w:rsid w:val="004D7B25"/>
    <w:rsid w:val="004D7B82"/>
    <w:rsid w:val="004D7CB2"/>
    <w:rsid w:val="004D7ECB"/>
    <w:rsid w:val="004E0146"/>
    <w:rsid w:val="004E0174"/>
    <w:rsid w:val="004E01A6"/>
    <w:rsid w:val="004E01B3"/>
    <w:rsid w:val="004E02AE"/>
    <w:rsid w:val="004E02F9"/>
    <w:rsid w:val="004E030D"/>
    <w:rsid w:val="004E03F9"/>
    <w:rsid w:val="004E0448"/>
    <w:rsid w:val="004E05CC"/>
    <w:rsid w:val="004E0688"/>
    <w:rsid w:val="004E0692"/>
    <w:rsid w:val="004E06F4"/>
    <w:rsid w:val="004E089A"/>
    <w:rsid w:val="004E089D"/>
    <w:rsid w:val="004E08E4"/>
    <w:rsid w:val="004E0989"/>
    <w:rsid w:val="004E099E"/>
    <w:rsid w:val="004E0A52"/>
    <w:rsid w:val="004E0B4E"/>
    <w:rsid w:val="004E0B8E"/>
    <w:rsid w:val="004E0E14"/>
    <w:rsid w:val="004E102E"/>
    <w:rsid w:val="004E1086"/>
    <w:rsid w:val="004E11A4"/>
    <w:rsid w:val="004E11BE"/>
    <w:rsid w:val="004E11E4"/>
    <w:rsid w:val="004E1205"/>
    <w:rsid w:val="004E125C"/>
    <w:rsid w:val="004E132D"/>
    <w:rsid w:val="004E1352"/>
    <w:rsid w:val="004E1368"/>
    <w:rsid w:val="004E138A"/>
    <w:rsid w:val="004E160A"/>
    <w:rsid w:val="004E1683"/>
    <w:rsid w:val="004E1687"/>
    <w:rsid w:val="004E1863"/>
    <w:rsid w:val="004E1980"/>
    <w:rsid w:val="004E19A7"/>
    <w:rsid w:val="004E1A42"/>
    <w:rsid w:val="004E1AA6"/>
    <w:rsid w:val="004E1BB9"/>
    <w:rsid w:val="004E1C81"/>
    <w:rsid w:val="004E1C95"/>
    <w:rsid w:val="004E1CA6"/>
    <w:rsid w:val="004E1D02"/>
    <w:rsid w:val="004E1D4F"/>
    <w:rsid w:val="004E1E0D"/>
    <w:rsid w:val="004E1E7D"/>
    <w:rsid w:val="004E1E99"/>
    <w:rsid w:val="004E1FD4"/>
    <w:rsid w:val="004E2040"/>
    <w:rsid w:val="004E2135"/>
    <w:rsid w:val="004E21A4"/>
    <w:rsid w:val="004E225D"/>
    <w:rsid w:val="004E2324"/>
    <w:rsid w:val="004E23EC"/>
    <w:rsid w:val="004E241F"/>
    <w:rsid w:val="004E242B"/>
    <w:rsid w:val="004E2430"/>
    <w:rsid w:val="004E24C8"/>
    <w:rsid w:val="004E2542"/>
    <w:rsid w:val="004E256B"/>
    <w:rsid w:val="004E25E9"/>
    <w:rsid w:val="004E2798"/>
    <w:rsid w:val="004E27E0"/>
    <w:rsid w:val="004E27EA"/>
    <w:rsid w:val="004E27FC"/>
    <w:rsid w:val="004E280A"/>
    <w:rsid w:val="004E2917"/>
    <w:rsid w:val="004E2925"/>
    <w:rsid w:val="004E2984"/>
    <w:rsid w:val="004E2A3D"/>
    <w:rsid w:val="004E2A82"/>
    <w:rsid w:val="004E2B10"/>
    <w:rsid w:val="004E2B74"/>
    <w:rsid w:val="004E2BBF"/>
    <w:rsid w:val="004E2BD6"/>
    <w:rsid w:val="004E2C1B"/>
    <w:rsid w:val="004E2C26"/>
    <w:rsid w:val="004E2C2A"/>
    <w:rsid w:val="004E2C66"/>
    <w:rsid w:val="004E2C69"/>
    <w:rsid w:val="004E2C8C"/>
    <w:rsid w:val="004E2CD0"/>
    <w:rsid w:val="004E2CE1"/>
    <w:rsid w:val="004E2FBD"/>
    <w:rsid w:val="004E30AF"/>
    <w:rsid w:val="004E319E"/>
    <w:rsid w:val="004E31DA"/>
    <w:rsid w:val="004E340E"/>
    <w:rsid w:val="004E344B"/>
    <w:rsid w:val="004E34DB"/>
    <w:rsid w:val="004E378D"/>
    <w:rsid w:val="004E37BA"/>
    <w:rsid w:val="004E3801"/>
    <w:rsid w:val="004E38E3"/>
    <w:rsid w:val="004E399A"/>
    <w:rsid w:val="004E39C8"/>
    <w:rsid w:val="004E3A3B"/>
    <w:rsid w:val="004E3AAA"/>
    <w:rsid w:val="004E3B19"/>
    <w:rsid w:val="004E3BE2"/>
    <w:rsid w:val="004E3C51"/>
    <w:rsid w:val="004E3C66"/>
    <w:rsid w:val="004E3C6C"/>
    <w:rsid w:val="004E3CAD"/>
    <w:rsid w:val="004E3D1D"/>
    <w:rsid w:val="004E3D7A"/>
    <w:rsid w:val="004E3E95"/>
    <w:rsid w:val="004E3EB1"/>
    <w:rsid w:val="004E3F63"/>
    <w:rsid w:val="004E4003"/>
    <w:rsid w:val="004E418B"/>
    <w:rsid w:val="004E41DB"/>
    <w:rsid w:val="004E42B1"/>
    <w:rsid w:val="004E445A"/>
    <w:rsid w:val="004E4565"/>
    <w:rsid w:val="004E4598"/>
    <w:rsid w:val="004E469B"/>
    <w:rsid w:val="004E46E6"/>
    <w:rsid w:val="004E46EE"/>
    <w:rsid w:val="004E473D"/>
    <w:rsid w:val="004E483C"/>
    <w:rsid w:val="004E487B"/>
    <w:rsid w:val="004E48AA"/>
    <w:rsid w:val="004E48ED"/>
    <w:rsid w:val="004E4A2D"/>
    <w:rsid w:val="004E4B2C"/>
    <w:rsid w:val="004E4BAF"/>
    <w:rsid w:val="004E4BEB"/>
    <w:rsid w:val="004E4C5F"/>
    <w:rsid w:val="004E4D01"/>
    <w:rsid w:val="004E4D8B"/>
    <w:rsid w:val="004E4EF0"/>
    <w:rsid w:val="004E4F4F"/>
    <w:rsid w:val="004E4F70"/>
    <w:rsid w:val="004E5026"/>
    <w:rsid w:val="004E5150"/>
    <w:rsid w:val="004E5213"/>
    <w:rsid w:val="004E53C1"/>
    <w:rsid w:val="004E5411"/>
    <w:rsid w:val="004E5473"/>
    <w:rsid w:val="004E54DA"/>
    <w:rsid w:val="004E55C9"/>
    <w:rsid w:val="004E561A"/>
    <w:rsid w:val="004E57CF"/>
    <w:rsid w:val="004E5837"/>
    <w:rsid w:val="004E585D"/>
    <w:rsid w:val="004E58AD"/>
    <w:rsid w:val="004E5954"/>
    <w:rsid w:val="004E5972"/>
    <w:rsid w:val="004E598E"/>
    <w:rsid w:val="004E599C"/>
    <w:rsid w:val="004E5A22"/>
    <w:rsid w:val="004E5A28"/>
    <w:rsid w:val="004E5A97"/>
    <w:rsid w:val="004E5BA2"/>
    <w:rsid w:val="004E5BD9"/>
    <w:rsid w:val="004E5D32"/>
    <w:rsid w:val="004E5DBA"/>
    <w:rsid w:val="004E5DCE"/>
    <w:rsid w:val="004E5E77"/>
    <w:rsid w:val="004E5E9B"/>
    <w:rsid w:val="004E5F70"/>
    <w:rsid w:val="004E6078"/>
    <w:rsid w:val="004E6086"/>
    <w:rsid w:val="004E6108"/>
    <w:rsid w:val="004E6115"/>
    <w:rsid w:val="004E613E"/>
    <w:rsid w:val="004E61A7"/>
    <w:rsid w:val="004E62E6"/>
    <w:rsid w:val="004E6391"/>
    <w:rsid w:val="004E644B"/>
    <w:rsid w:val="004E64EA"/>
    <w:rsid w:val="004E65BD"/>
    <w:rsid w:val="004E6661"/>
    <w:rsid w:val="004E66DB"/>
    <w:rsid w:val="004E6B22"/>
    <w:rsid w:val="004E6B5C"/>
    <w:rsid w:val="004E6CB4"/>
    <w:rsid w:val="004E6CD0"/>
    <w:rsid w:val="004E6D3E"/>
    <w:rsid w:val="004E6D6A"/>
    <w:rsid w:val="004E6D91"/>
    <w:rsid w:val="004E6EA5"/>
    <w:rsid w:val="004E6ED0"/>
    <w:rsid w:val="004E70BB"/>
    <w:rsid w:val="004E70EE"/>
    <w:rsid w:val="004E714E"/>
    <w:rsid w:val="004E7163"/>
    <w:rsid w:val="004E71E9"/>
    <w:rsid w:val="004E74E5"/>
    <w:rsid w:val="004E75F4"/>
    <w:rsid w:val="004E7610"/>
    <w:rsid w:val="004E76C8"/>
    <w:rsid w:val="004E76DA"/>
    <w:rsid w:val="004E76DD"/>
    <w:rsid w:val="004E7752"/>
    <w:rsid w:val="004E7877"/>
    <w:rsid w:val="004E7895"/>
    <w:rsid w:val="004E78AF"/>
    <w:rsid w:val="004E7933"/>
    <w:rsid w:val="004E7B0B"/>
    <w:rsid w:val="004E7B65"/>
    <w:rsid w:val="004E7B74"/>
    <w:rsid w:val="004E7BA6"/>
    <w:rsid w:val="004E7BCB"/>
    <w:rsid w:val="004E7D28"/>
    <w:rsid w:val="004E7DF6"/>
    <w:rsid w:val="004E7E73"/>
    <w:rsid w:val="004E7E7E"/>
    <w:rsid w:val="004E7F52"/>
    <w:rsid w:val="004E7F77"/>
    <w:rsid w:val="004E7FEF"/>
    <w:rsid w:val="004F0036"/>
    <w:rsid w:val="004F0170"/>
    <w:rsid w:val="004F0195"/>
    <w:rsid w:val="004F01EB"/>
    <w:rsid w:val="004F0264"/>
    <w:rsid w:val="004F0294"/>
    <w:rsid w:val="004F0398"/>
    <w:rsid w:val="004F03F7"/>
    <w:rsid w:val="004F04B2"/>
    <w:rsid w:val="004F062C"/>
    <w:rsid w:val="004F0702"/>
    <w:rsid w:val="004F072B"/>
    <w:rsid w:val="004F07B0"/>
    <w:rsid w:val="004F07D9"/>
    <w:rsid w:val="004F086A"/>
    <w:rsid w:val="004F0881"/>
    <w:rsid w:val="004F08D0"/>
    <w:rsid w:val="004F0A4B"/>
    <w:rsid w:val="004F0A95"/>
    <w:rsid w:val="004F0B4D"/>
    <w:rsid w:val="004F0B90"/>
    <w:rsid w:val="004F0F12"/>
    <w:rsid w:val="004F1040"/>
    <w:rsid w:val="004F10C7"/>
    <w:rsid w:val="004F1142"/>
    <w:rsid w:val="004F1154"/>
    <w:rsid w:val="004F122C"/>
    <w:rsid w:val="004F1252"/>
    <w:rsid w:val="004F138C"/>
    <w:rsid w:val="004F139A"/>
    <w:rsid w:val="004F1599"/>
    <w:rsid w:val="004F15B8"/>
    <w:rsid w:val="004F15F4"/>
    <w:rsid w:val="004F1698"/>
    <w:rsid w:val="004F170D"/>
    <w:rsid w:val="004F17B4"/>
    <w:rsid w:val="004F189C"/>
    <w:rsid w:val="004F193D"/>
    <w:rsid w:val="004F1BBC"/>
    <w:rsid w:val="004F1C08"/>
    <w:rsid w:val="004F1C4B"/>
    <w:rsid w:val="004F1C52"/>
    <w:rsid w:val="004F1F1B"/>
    <w:rsid w:val="004F2086"/>
    <w:rsid w:val="004F20E9"/>
    <w:rsid w:val="004F20F2"/>
    <w:rsid w:val="004F2108"/>
    <w:rsid w:val="004F2141"/>
    <w:rsid w:val="004F2171"/>
    <w:rsid w:val="004F22B8"/>
    <w:rsid w:val="004F2343"/>
    <w:rsid w:val="004F23A9"/>
    <w:rsid w:val="004F23BA"/>
    <w:rsid w:val="004F23FC"/>
    <w:rsid w:val="004F246C"/>
    <w:rsid w:val="004F2476"/>
    <w:rsid w:val="004F2496"/>
    <w:rsid w:val="004F24F9"/>
    <w:rsid w:val="004F25C0"/>
    <w:rsid w:val="004F2680"/>
    <w:rsid w:val="004F282E"/>
    <w:rsid w:val="004F28B1"/>
    <w:rsid w:val="004F28B5"/>
    <w:rsid w:val="004F29AC"/>
    <w:rsid w:val="004F2A9F"/>
    <w:rsid w:val="004F2B3D"/>
    <w:rsid w:val="004F2BD8"/>
    <w:rsid w:val="004F2C11"/>
    <w:rsid w:val="004F2E22"/>
    <w:rsid w:val="004F2E76"/>
    <w:rsid w:val="004F2F61"/>
    <w:rsid w:val="004F2FA5"/>
    <w:rsid w:val="004F30B6"/>
    <w:rsid w:val="004F30CD"/>
    <w:rsid w:val="004F3164"/>
    <w:rsid w:val="004F31AF"/>
    <w:rsid w:val="004F334F"/>
    <w:rsid w:val="004F3381"/>
    <w:rsid w:val="004F3403"/>
    <w:rsid w:val="004F344A"/>
    <w:rsid w:val="004F3475"/>
    <w:rsid w:val="004F34DD"/>
    <w:rsid w:val="004F3629"/>
    <w:rsid w:val="004F36BD"/>
    <w:rsid w:val="004F3798"/>
    <w:rsid w:val="004F37DB"/>
    <w:rsid w:val="004F38C6"/>
    <w:rsid w:val="004F391C"/>
    <w:rsid w:val="004F3933"/>
    <w:rsid w:val="004F3A22"/>
    <w:rsid w:val="004F3A6D"/>
    <w:rsid w:val="004F3A7F"/>
    <w:rsid w:val="004F3AAA"/>
    <w:rsid w:val="004F3B2F"/>
    <w:rsid w:val="004F3BB8"/>
    <w:rsid w:val="004F3D56"/>
    <w:rsid w:val="004F3DAE"/>
    <w:rsid w:val="004F3DE0"/>
    <w:rsid w:val="004F3E34"/>
    <w:rsid w:val="004F3EAD"/>
    <w:rsid w:val="004F3F3E"/>
    <w:rsid w:val="004F3F42"/>
    <w:rsid w:val="004F3F8D"/>
    <w:rsid w:val="004F401A"/>
    <w:rsid w:val="004F4066"/>
    <w:rsid w:val="004F411A"/>
    <w:rsid w:val="004F4198"/>
    <w:rsid w:val="004F42D2"/>
    <w:rsid w:val="004F4356"/>
    <w:rsid w:val="004F4392"/>
    <w:rsid w:val="004F43A6"/>
    <w:rsid w:val="004F43AC"/>
    <w:rsid w:val="004F4446"/>
    <w:rsid w:val="004F45B4"/>
    <w:rsid w:val="004F45F9"/>
    <w:rsid w:val="004F4679"/>
    <w:rsid w:val="004F472A"/>
    <w:rsid w:val="004F47BE"/>
    <w:rsid w:val="004F4866"/>
    <w:rsid w:val="004F48AB"/>
    <w:rsid w:val="004F4926"/>
    <w:rsid w:val="004F49F3"/>
    <w:rsid w:val="004F4A80"/>
    <w:rsid w:val="004F4AA1"/>
    <w:rsid w:val="004F4C94"/>
    <w:rsid w:val="004F4CAF"/>
    <w:rsid w:val="004F4CD4"/>
    <w:rsid w:val="004F4E35"/>
    <w:rsid w:val="004F4E54"/>
    <w:rsid w:val="004F4F08"/>
    <w:rsid w:val="004F5151"/>
    <w:rsid w:val="004F520F"/>
    <w:rsid w:val="004F53CC"/>
    <w:rsid w:val="004F54E9"/>
    <w:rsid w:val="004F55A8"/>
    <w:rsid w:val="004F5661"/>
    <w:rsid w:val="004F57D1"/>
    <w:rsid w:val="004F584D"/>
    <w:rsid w:val="004F58C0"/>
    <w:rsid w:val="004F590B"/>
    <w:rsid w:val="004F5989"/>
    <w:rsid w:val="004F5A9C"/>
    <w:rsid w:val="004F5B5B"/>
    <w:rsid w:val="004F5CAB"/>
    <w:rsid w:val="004F5D15"/>
    <w:rsid w:val="004F5D4C"/>
    <w:rsid w:val="004F5D5A"/>
    <w:rsid w:val="004F5E26"/>
    <w:rsid w:val="004F5E97"/>
    <w:rsid w:val="004F5FE8"/>
    <w:rsid w:val="004F601B"/>
    <w:rsid w:val="004F603D"/>
    <w:rsid w:val="004F608B"/>
    <w:rsid w:val="004F61D1"/>
    <w:rsid w:val="004F62F2"/>
    <w:rsid w:val="004F6360"/>
    <w:rsid w:val="004F65DB"/>
    <w:rsid w:val="004F6659"/>
    <w:rsid w:val="004F6795"/>
    <w:rsid w:val="004F67AF"/>
    <w:rsid w:val="004F6823"/>
    <w:rsid w:val="004F68E0"/>
    <w:rsid w:val="004F6A6F"/>
    <w:rsid w:val="004F6AD3"/>
    <w:rsid w:val="004F6AD6"/>
    <w:rsid w:val="004F6B85"/>
    <w:rsid w:val="004F6BBB"/>
    <w:rsid w:val="004F6D34"/>
    <w:rsid w:val="004F6E9A"/>
    <w:rsid w:val="004F6F63"/>
    <w:rsid w:val="004F6F87"/>
    <w:rsid w:val="004F6FB2"/>
    <w:rsid w:val="004F701E"/>
    <w:rsid w:val="004F706B"/>
    <w:rsid w:val="004F70B6"/>
    <w:rsid w:val="004F70EE"/>
    <w:rsid w:val="004F7157"/>
    <w:rsid w:val="004F7226"/>
    <w:rsid w:val="004F7285"/>
    <w:rsid w:val="004F729E"/>
    <w:rsid w:val="004F72E8"/>
    <w:rsid w:val="004F7458"/>
    <w:rsid w:val="004F74EF"/>
    <w:rsid w:val="004F75CC"/>
    <w:rsid w:val="004F7617"/>
    <w:rsid w:val="004F76CD"/>
    <w:rsid w:val="004F77A7"/>
    <w:rsid w:val="004F77F8"/>
    <w:rsid w:val="004F7AA3"/>
    <w:rsid w:val="004F7B48"/>
    <w:rsid w:val="004F7BC7"/>
    <w:rsid w:val="004F7CEF"/>
    <w:rsid w:val="004F7CF0"/>
    <w:rsid w:val="004F7D52"/>
    <w:rsid w:val="004F7DD4"/>
    <w:rsid w:val="004F7FA4"/>
    <w:rsid w:val="004F7FF3"/>
    <w:rsid w:val="004F7FFD"/>
    <w:rsid w:val="0050010D"/>
    <w:rsid w:val="005001D8"/>
    <w:rsid w:val="005002CF"/>
    <w:rsid w:val="005002E4"/>
    <w:rsid w:val="0050041B"/>
    <w:rsid w:val="005005B6"/>
    <w:rsid w:val="0050069D"/>
    <w:rsid w:val="00500746"/>
    <w:rsid w:val="00500757"/>
    <w:rsid w:val="00500998"/>
    <w:rsid w:val="0050099E"/>
    <w:rsid w:val="00500A22"/>
    <w:rsid w:val="00500AA8"/>
    <w:rsid w:val="00500BD1"/>
    <w:rsid w:val="00500C28"/>
    <w:rsid w:val="00500CF8"/>
    <w:rsid w:val="00500D3C"/>
    <w:rsid w:val="00500D5C"/>
    <w:rsid w:val="00500D6E"/>
    <w:rsid w:val="00501171"/>
    <w:rsid w:val="005011E7"/>
    <w:rsid w:val="00501273"/>
    <w:rsid w:val="00501386"/>
    <w:rsid w:val="00501393"/>
    <w:rsid w:val="005013BF"/>
    <w:rsid w:val="0050150C"/>
    <w:rsid w:val="00501594"/>
    <w:rsid w:val="0050185D"/>
    <w:rsid w:val="00501937"/>
    <w:rsid w:val="00501965"/>
    <w:rsid w:val="00501982"/>
    <w:rsid w:val="00501B0F"/>
    <w:rsid w:val="00501B15"/>
    <w:rsid w:val="00501BD9"/>
    <w:rsid w:val="00501BFF"/>
    <w:rsid w:val="00501C25"/>
    <w:rsid w:val="00501C48"/>
    <w:rsid w:val="00501CD9"/>
    <w:rsid w:val="00501D0A"/>
    <w:rsid w:val="00501D3D"/>
    <w:rsid w:val="00501DB1"/>
    <w:rsid w:val="00502015"/>
    <w:rsid w:val="0050206B"/>
    <w:rsid w:val="005021A0"/>
    <w:rsid w:val="00502233"/>
    <w:rsid w:val="005022D1"/>
    <w:rsid w:val="0050233D"/>
    <w:rsid w:val="0050235E"/>
    <w:rsid w:val="00502385"/>
    <w:rsid w:val="00502391"/>
    <w:rsid w:val="005024AB"/>
    <w:rsid w:val="005025BD"/>
    <w:rsid w:val="005025C5"/>
    <w:rsid w:val="005025DF"/>
    <w:rsid w:val="0050264C"/>
    <w:rsid w:val="00502666"/>
    <w:rsid w:val="00502691"/>
    <w:rsid w:val="005026A9"/>
    <w:rsid w:val="00502742"/>
    <w:rsid w:val="005027A6"/>
    <w:rsid w:val="00502955"/>
    <w:rsid w:val="00502C19"/>
    <w:rsid w:val="00502D7F"/>
    <w:rsid w:val="00502DAE"/>
    <w:rsid w:val="00502EC7"/>
    <w:rsid w:val="00502ED6"/>
    <w:rsid w:val="00502FFB"/>
    <w:rsid w:val="005030BE"/>
    <w:rsid w:val="0050317C"/>
    <w:rsid w:val="005031C8"/>
    <w:rsid w:val="005031DE"/>
    <w:rsid w:val="0050330C"/>
    <w:rsid w:val="00503364"/>
    <w:rsid w:val="005034EB"/>
    <w:rsid w:val="00503553"/>
    <w:rsid w:val="005035D1"/>
    <w:rsid w:val="005037F0"/>
    <w:rsid w:val="00503858"/>
    <w:rsid w:val="00503861"/>
    <w:rsid w:val="005038A0"/>
    <w:rsid w:val="005039A5"/>
    <w:rsid w:val="00503BE8"/>
    <w:rsid w:val="00503CA3"/>
    <w:rsid w:val="00503D17"/>
    <w:rsid w:val="00503D52"/>
    <w:rsid w:val="00503D69"/>
    <w:rsid w:val="00503D6B"/>
    <w:rsid w:val="00503D74"/>
    <w:rsid w:val="00503E25"/>
    <w:rsid w:val="00503EE3"/>
    <w:rsid w:val="00503F21"/>
    <w:rsid w:val="00503F6A"/>
    <w:rsid w:val="00503FBD"/>
    <w:rsid w:val="005040EC"/>
    <w:rsid w:val="00504140"/>
    <w:rsid w:val="005041AD"/>
    <w:rsid w:val="00504394"/>
    <w:rsid w:val="0050447B"/>
    <w:rsid w:val="005046BB"/>
    <w:rsid w:val="00504830"/>
    <w:rsid w:val="005048DF"/>
    <w:rsid w:val="00504976"/>
    <w:rsid w:val="00504A20"/>
    <w:rsid w:val="00504A2F"/>
    <w:rsid w:val="00504A82"/>
    <w:rsid w:val="00504AF0"/>
    <w:rsid w:val="00504B66"/>
    <w:rsid w:val="00504CD1"/>
    <w:rsid w:val="00504CDE"/>
    <w:rsid w:val="00504CE3"/>
    <w:rsid w:val="00504E22"/>
    <w:rsid w:val="00504EF2"/>
    <w:rsid w:val="00504F17"/>
    <w:rsid w:val="00504F94"/>
    <w:rsid w:val="00504FB3"/>
    <w:rsid w:val="00505032"/>
    <w:rsid w:val="00505065"/>
    <w:rsid w:val="0050509D"/>
    <w:rsid w:val="00505103"/>
    <w:rsid w:val="0050514F"/>
    <w:rsid w:val="00505252"/>
    <w:rsid w:val="005052A1"/>
    <w:rsid w:val="00505333"/>
    <w:rsid w:val="00505399"/>
    <w:rsid w:val="0050548B"/>
    <w:rsid w:val="0050564D"/>
    <w:rsid w:val="0050570B"/>
    <w:rsid w:val="005057D8"/>
    <w:rsid w:val="0050591A"/>
    <w:rsid w:val="005059AE"/>
    <w:rsid w:val="00505B30"/>
    <w:rsid w:val="00505BCF"/>
    <w:rsid w:val="00505C1C"/>
    <w:rsid w:val="00505D3D"/>
    <w:rsid w:val="00505D47"/>
    <w:rsid w:val="00505E19"/>
    <w:rsid w:val="00505EAF"/>
    <w:rsid w:val="00505FA7"/>
    <w:rsid w:val="0050601B"/>
    <w:rsid w:val="0050608F"/>
    <w:rsid w:val="005060A8"/>
    <w:rsid w:val="005061A7"/>
    <w:rsid w:val="00506204"/>
    <w:rsid w:val="0050625A"/>
    <w:rsid w:val="00506454"/>
    <w:rsid w:val="00506579"/>
    <w:rsid w:val="005065F4"/>
    <w:rsid w:val="00506627"/>
    <w:rsid w:val="0050670C"/>
    <w:rsid w:val="005067E7"/>
    <w:rsid w:val="00506801"/>
    <w:rsid w:val="00506A1B"/>
    <w:rsid w:val="00506A5F"/>
    <w:rsid w:val="00506A66"/>
    <w:rsid w:val="00506C3C"/>
    <w:rsid w:val="00506C8E"/>
    <w:rsid w:val="00506D2E"/>
    <w:rsid w:val="00506E26"/>
    <w:rsid w:val="00506E97"/>
    <w:rsid w:val="00506EC3"/>
    <w:rsid w:val="00506F0F"/>
    <w:rsid w:val="00506FAD"/>
    <w:rsid w:val="00507028"/>
    <w:rsid w:val="00507059"/>
    <w:rsid w:val="00507073"/>
    <w:rsid w:val="005072D8"/>
    <w:rsid w:val="00507368"/>
    <w:rsid w:val="005073C6"/>
    <w:rsid w:val="00507412"/>
    <w:rsid w:val="0050744D"/>
    <w:rsid w:val="005074F0"/>
    <w:rsid w:val="0050752B"/>
    <w:rsid w:val="00507537"/>
    <w:rsid w:val="005076D8"/>
    <w:rsid w:val="0050771C"/>
    <w:rsid w:val="0050775B"/>
    <w:rsid w:val="00507776"/>
    <w:rsid w:val="00507814"/>
    <w:rsid w:val="0050790C"/>
    <w:rsid w:val="005079D2"/>
    <w:rsid w:val="00507A70"/>
    <w:rsid w:val="00507AA2"/>
    <w:rsid w:val="00507C15"/>
    <w:rsid w:val="00507CBD"/>
    <w:rsid w:val="00507CD1"/>
    <w:rsid w:val="00507CDF"/>
    <w:rsid w:val="00507D3A"/>
    <w:rsid w:val="00507DE4"/>
    <w:rsid w:val="00507E50"/>
    <w:rsid w:val="00507F80"/>
    <w:rsid w:val="00510033"/>
    <w:rsid w:val="005100C2"/>
    <w:rsid w:val="0051020D"/>
    <w:rsid w:val="00510227"/>
    <w:rsid w:val="005102A7"/>
    <w:rsid w:val="005103C5"/>
    <w:rsid w:val="00510533"/>
    <w:rsid w:val="00510562"/>
    <w:rsid w:val="005105E1"/>
    <w:rsid w:val="00510633"/>
    <w:rsid w:val="00510680"/>
    <w:rsid w:val="00510740"/>
    <w:rsid w:val="00510785"/>
    <w:rsid w:val="0051093E"/>
    <w:rsid w:val="00510A91"/>
    <w:rsid w:val="00510B9B"/>
    <w:rsid w:val="00510BCC"/>
    <w:rsid w:val="00510C86"/>
    <w:rsid w:val="00510FA7"/>
    <w:rsid w:val="00510FFD"/>
    <w:rsid w:val="005110D1"/>
    <w:rsid w:val="00511102"/>
    <w:rsid w:val="0051110E"/>
    <w:rsid w:val="00511132"/>
    <w:rsid w:val="00511180"/>
    <w:rsid w:val="005111B7"/>
    <w:rsid w:val="005112BB"/>
    <w:rsid w:val="00511325"/>
    <w:rsid w:val="005113AE"/>
    <w:rsid w:val="00511461"/>
    <w:rsid w:val="005114C2"/>
    <w:rsid w:val="00511524"/>
    <w:rsid w:val="00511591"/>
    <w:rsid w:val="0051163A"/>
    <w:rsid w:val="00511703"/>
    <w:rsid w:val="00511969"/>
    <w:rsid w:val="00511A17"/>
    <w:rsid w:val="00511AEF"/>
    <w:rsid w:val="00511BB0"/>
    <w:rsid w:val="00511C0A"/>
    <w:rsid w:val="00511CBF"/>
    <w:rsid w:val="00511CE3"/>
    <w:rsid w:val="00511D5A"/>
    <w:rsid w:val="00511D5E"/>
    <w:rsid w:val="00511E07"/>
    <w:rsid w:val="00511EA4"/>
    <w:rsid w:val="00512288"/>
    <w:rsid w:val="00512412"/>
    <w:rsid w:val="005124AA"/>
    <w:rsid w:val="005125C1"/>
    <w:rsid w:val="005126A9"/>
    <w:rsid w:val="00512722"/>
    <w:rsid w:val="005127A5"/>
    <w:rsid w:val="005127BF"/>
    <w:rsid w:val="00512821"/>
    <w:rsid w:val="00512829"/>
    <w:rsid w:val="005128B6"/>
    <w:rsid w:val="00512BFF"/>
    <w:rsid w:val="00512D3E"/>
    <w:rsid w:val="00512D74"/>
    <w:rsid w:val="00512D8B"/>
    <w:rsid w:val="00512DAA"/>
    <w:rsid w:val="00512DBB"/>
    <w:rsid w:val="00512DD7"/>
    <w:rsid w:val="00512E8E"/>
    <w:rsid w:val="00513044"/>
    <w:rsid w:val="005130BD"/>
    <w:rsid w:val="00513143"/>
    <w:rsid w:val="00513192"/>
    <w:rsid w:val="005131D3"/>
    <w:rsid w:val="005131F7"/>
    <w:rsid w:val="00513230"/>
    <w:rsid w:val="00513377"/>
    <w:rsid w:val="005133A1"/>
    <w:rsid w:val="005133CD"/>
    <w:rsid w:val="005134B1"/>
    <w:rsid w:val="005134B8"/>
    <w:rsid w:val="0051352C"/>
    <w:rsid w:val="00513591"/>
    <w:rsid w:val="00513732"/>
    <w:rsid w:val="00513741"/>
    <w:rsid w:val="005137F5"/>
    <w:rsid w:val="00513808"/>
    <w:rsid w:val="0051380F"/>
    <w:rsid w:val="005138B7"/>
    <w:rsid w:val="005138C8"/>
    <w:rsid w:val="005138CC"/>
    <w:rsid w:val="00513A68"/>
    <w:rsid w:val="00513A9E"/>
    <w:rsid w:val="00513B5B"/>
    <w:rsid w:val="00513B6B"/>
    <w:rsid w:val="00513C9A"/>
    <w:rsid w:val="00513CED"/>
    <w:rsid w:val="00513DAD"/>
    <w:rsid w:val="00513E5C"/>
    <w:rsid w:val="00513E77"/>
    <w:rsid w:val="005141AA"/>
    <w:rsid w:val="0051420F"/>
    <w:rsid w:val="005142CC"/>
    <w:rsid w:val="00514324"/>
    <w:rsid w:val="005143AD"/>
    <w:rsid w:val="00514406"/>
    <w:rsid w:val="00514486"/>
    <w:rsid w:val="005145A2"/>
    <w:rsid w:val="00514757"/>
    <w:rsid w:val="005148A3"/>
    <w:rsid w:val="005148AB"/>
    <w:rsid w:val="005148E0"/>
    <w:rsid w:val="00514949"/>
    <w:rsid w:val="0051498A"/>
    <w:rsid w:val="00514A23"/>
    <w:rsid w:val="00514A82"/>
    <w:rsid w:val="00514B17"/>
    <w:rsid w:val="00514B1C"/>
    <w:rsid w:val="00514B63"/>
    <w:rsid w:val="00514B85"/>
    <w:rsid w:val="00514C39"/>
    <w:rsid w:val="00514D33"/>
    <w:rsid w:val="00514F6F"/>
    <w:rsid w:val="00514FC2"/>
    <w:rsid w:val="00514FD0"/>
    <w:rsid w:val="00514FE5"/>
    <w:rsid w:val="0051500B"/>
    <w:rsid w:val="0051503F"/>
    <w:rsid w:val="005150DE"/>
    <w:rsid w:val="00515112"/>
    <w:rsid w:val="0051513D"/>
    <w:rsid w:val="0051519B"/>
    <w:rsid w:val="0051528A"/>
    <w:rsid w:val="00515298"/>
    <w:rsid w:val="0051538C"/>
    <w:rsid w:val="0051539D"/>
    <w:rsid w:val="0051549A"/>
    <w:rsid w:val="0051555E"/>
    <w:rsid w:val="00515693"/>
    <w:rsid w:val="005156F9"/>
    <w:rsid w:val="0051572A"/>
    <w:rsid w:val="0051578E"/>
    <w:rsid w:val="005158D3"/>
    <w:rsid w:val="005158DA"/>
    <w:rsid w:val="00515935"/>
    <w:rsid w:val="00515AE1"/>
    <w:rsid w:val="00515B36"/>
    <w:rsid w:val="00515B85"/>
    <w:rsid w:val="00515B93"/>
    <w:rsid w:val="00515BFA"/>
    <w:rsid w:val="00515C73"/>
    <w:rsid w:val="00515D2A"/>
    <w:rsid w:val="00515D58"/>
    <w:rsid w:val="005160D6"/>
    <w:rsid w:val="00516138"/>
    <w:rsid w:val="0051621F"/>
    <w:rsid w:val="00516236"/>
    <w:rsid w:val="005162C5"/>
    <w:rsid w:val="005162ED"/>
    <w:rsid w:val="00516481"/>
    <w:rsid w:val="00516482"/>
    <w:rsid w:val="005165F0"/>
    <w:rsid w:val="00516622"/>
    <w:rsid w:val="005166AC"/>
    <w:rsid w:val="005166AE"/>
    <w:rsid w:val="005166FD"/>
    <w:rsid w:val="00516824"/>
    <w:rsid w:val="0051692D"/>
    <w:rsid w:val="0051697D"/>
    <w:rsid w:val="00516A4B"/>
    <w:rsid w:val="00516A7B"/>
    <w:rsid w:val="00516AB3"/>
    <w:rsid w:val="00516B22"/>
    <w:rsid w:val="00516B9F"/>
    <w:rsid w:val="00516BA5"/>
    <w:rsid w:val="00516BA8"/>
    <w:rsid w:val="00516BD3"/>
    <w:rsid w:val="00516D45"/>
    <w:rsid w:val="00516DDE"/>
    <w:rsid w:val="00516DE4"/>
    <w:rsid w:val="00516E70"/>
    <w:rsid w:val="00516E8B"/>
    <w:rsid w:val="00516ED4"/>
    <w:rsid w:val="00516F27"/>
    <w:rsid w:val="00516F6D"/>
    <w:rsid w:val="0051711E"/>
    <w:rsid w:val="005171F1"/>
    <w:rsid w:val="00517242"/>
    <w:rsid w:val="0051727E"/>
    <w:rsid w:val="005172DE"/>
    <w:rsid w:val="0051759E"/>
    <w:rsid w:val="005175FD"/>
    <w:rsid w:val="005176A8"/>
    <w:rsid w:val="00517970"/>
    <w:rsid w:val="005179AC"/>
    <w:rsid w:val="00517A86"/>
    <w:rsid w:val="00517A96"/>
    <w:rsid w:val="00517AD0"/>
    <w:rsid w:val="00517BA2"/>
    <w:rsid w:val="00517BD3"/>
    <w:rsid w:val="00517C10"/>
    <w:rsid w:val="00517C36"/>
    <w:rsid w:val="00517C8C"/>
    <w:rsid w:val="00517D0F"/>
    <w:rsid w:val="00517D11"/>
    <w:rsid w:val="00517D3F"/>
    <w:rsid w:val="00517DC2"/>
    <w:rsid w:val="00517F2C"/>
    <w:rsid w:val="00517FAA"/>
    <w:rsid w:val="0052013B"/>
    <w:rsid w:val="005202AE"/>
    <w:rsid w:val="005202D7"/>
    <w:rsid w:val="00520332"/>
    <w:rsid w:val="005203DD"/>
    <w:rsid w:val="005203ED"/>
    <w:rsid w:val="005204DC"/>
    <w:rsid w:val="00520545"/>
    <w:rsid w:val="005205FD"/>
    <w:rsid w:val="00520786"/>
    <w:rsid w:val="00520801"/>
    <w:rsid w:val="00520975"/>
    <w:rsid w:val="00520993"/>
    <w:rsid w:val="005209DC"/>
    <w:rsid w:val="00520A2A"/>
    <w:rsid w:val="00520A75"/>
    <w:rsid w:val="00520A91"/>
    <w:rsid w:val="00520B24"/>
    <w:rsid w:val="00520B3E"/>
    <w:rsid w:val="00520B79"/>
    <w:rsid w:val="00520BA4"/>
    <w:rsid w:val="00520C11"/>
    <w:rsid w:val="00520D12"/>
    <w:rsid w:val="00520DE3"/>
    <w:rsid w:val="00520F6D"/>
    <w:rsid w:val="00520F87"/>
    <w:rsid w:val="005211F2"/>
    <w:rsid w:val="00521321"/>
    <w:rsid w:val="0052135B"/>
    <w:rsid w:val="005213D9"/>
    <w:rsid w:val="0052146D"/>
    <w:rsid w:val="00521499"/>
    <w:rsid w:val="005214A0"/>
    <w:rsid w:val="00521557"/>
    <w:rsid w:val="0052156F"/>
    <w:rsid w:val="00521623"/>
    <w:rsid w:val="00521633"/>
    <w:rsid w:val="00521647"/>
    <w:rsid w:val="005217BE"/>
    <w:rsid w:val="005217DA"/>
    <w:rsid w:val="00521847"/>
    <w:rsid w:val="00521925"/>
    <w:rsid w:val="00521A03"/>
    <w:rsid w:val="00521A10"/>
    <w:rsid w:val="00521A23"/>
    <w:rsid w:val="00521A93"/>
    <w:rsid w:val="00521B04"/>
    <w:rsid w:val="00521B63"/>
    <w:rsid w:val="00521BF8"/>
    <w:rsid w:val="00521D8B"/>
    <w:rsid w:val="00521E0F"/>
    <w:rsid w:val="00521F45"/>
    <w:rsid w:val="00521F4C"/>
    <w:rsid w:val="00521FA9"/>
    <w:rsid w:val="00521FDA"/>
    <w:rsid w:val="00521FF2"/>
    <w:rsid w:val="0052201A"/>
    <w:rsid w:val="00522032"/>
    <w:rsid w:val="0052208C"/>
    <w:rsid w:val="00522094"/>
    <w:rsid w:val="00522125"/>
    <w:rsid w:val="00522179"/>
    <w:rsid w:val="005221CB"/>
    <w:rsid w:val="005222C7"/>
    <w:rsid w:val="005222DB"/>
    <w:rsid w:val="00522357"/>
    <w:rsid w:val="005224CA"/>
    <w:rsid w:val="0052259A"/>
    <w:rsid w:val="005225A6"/>
    <w:rsid w:val="00522751"/>
    <w:rsid w:val="00522842"/>
    <w:rsid w:val="005228C1"/>
    <w:rsid w:val="00522913"/>
    <w:rsid w:val="00522928"/>
    <w:rsid w:val="0052298A"/>
    <w:rsid w:val="00522A16"/>
    <w:rsid w:val="00522B9B"/>
    <w:rsid w:val="00522C5F"/>
    <w:rsid w:val="00522C7C"/>
    <w:rsid w:val="00522D6A"/>
    <w:rsid w:val="00522E3E"/>
    <w:rsid w:val="00522E74"/>
    <w:rsid w:val="00522F07"/>
    <w:rsid w:val="00522FE4"/>
    <w:rsid w:val="00523010"/>
    <w:rsid w:val="005230D1"/>
    <w:rsid w:val="00523138"/>
    <w:rsid w:val="0052315C"/>
    <w:rsid w:val="005231DC"/>
    <w:rsid w:val="0052333D"/>
    <w:rsid w:val="0052336A"/>
    <w:rsid w:val="005233BF"/>
    <w:rsid w:val="0052349D"/>
    <w:rsid w:val="005235A0"/>
    <w:rsid w:val="005235E8"/>
    <w:rsid w:val="005235EC"/>
    <w:rsid w:val="00523636"/>
    <w:rsid w:val="00523650"/>
    <w:rsid w:val="00523674"/>
    <w:rsid w:val="00523730"/>
    <w:rsid w:val="0052373E"/>
    <w:rsid w:val="005238CF"/>
    <w:rsid w:val="005238D7"/>
    <w:rsid w:val="005239C8"/>
    <w:rsid w:val="005239EE"/>
    <w:rsid w:val="00523B42"/>
    <w:rsid w:val="00523B6D"/>
    <w:rsid w:val="00523CA7"/>
    <w:rsid w:val="00523CB2"/>
    <w:rsid w:val="00523D0D"/>
    <w:rsid w:val="00523DED"/>
    <w:rsid w:val="00523E20"/>
    <w:rsid w:val="00523E23"/>
    <w:rsid w:val="00523FAD"/>
    <w:rsid w:val="00523FD3"/>
    <w:rsid w:val="00523FE7"/>
    <w:rsid w:val="00523FFD"/>
    <w:rsid w:val="005242D6"/>
    <w:rsid w:val="00524324"/>
    <w:rsid w:val="0052449B"/>
    <w:rsid w:val="00524592"/>
    <w:rsid w:val="0052459F"/>
    <w:rsid w:val="005245FA"/>
    <w:rsid w:val="00524643"/>
    <w:rsid w:val="00524686"/>
    <w:rsid w:val="00524688"/>
    <w:rsid w:val="005246E7"/>
    <w:rsid w:val="005246EA"/>
    <w:rsid w:val="00524756"/>
    <w:rsid w:val="005247A3"/>
    <w:rsid w:val="005247CA"/>
    <w:rsid w:val="005247DD"/>
    <w:rsid w:val="00524874"/>
    <w:rsid w:val="005248F1"/>
    <w:rsid w:val="005248FD"/>
    <w:rsid w:val="00524919"/>
    <w:rsid w:val="0052496E"/>
    <w:rsid w:val="0052499E"/>
    <w:rsid w:val="005249DC"/>
    <w:rsid w:val="00524B42"/>
    <w:rsid w:val="00524BE8"/>
    <w:rsid w:val="00524C30"/>
    <w:rsid w:val="00524CFF"/>
    <w:rsid w:val="00524D19"/>
    <w:rsid w:val="00524D22"/>
    <w:rsid w:val="00524DAB"/>
    <w:rsid w:val="00524E14"/>
    <w:rsid w:val="00524E3C"/>
    <w:rsid w:val="00524FF4"/>
    <w:rsid w:val="00525152"/>
    <w:rsid w:val="005251FD"/>
    <w:rsid w:val="00525203"/>
    <w:rsid w:val="0052524B"/>
    <w:rsid w:val="005253A4"/>
    <w:rsid w:val="00525449"/>
    <w:rsid w:val="00525621"/>
    <w:rsid w:val="0052575D"/>
    <w:rsid w:val="00525839"/>
    <w:rsid w:val="0052586F"/>
    <w:rsid w:val="005258E0"/>
    <w:rsid w:val="005259B7"/>
    <w:rsid w:val="005259CB"/>
    <w:rsid w:val="005259ED"/>
    <w:rsid w:val="00525ADA"/>
    <w:rsid w:val="00525B1E"/>
    <w:rsid w:val="00525C0C"/>
    <w:rsid w:val="00525C25"/>
    <w:rsid w:val="00525C57"/>
    <w:rsid w:val="00525CE1"/>
    <w:rsid w:val="00525CFF"/>
    <w:rsid w:val="00525D26"/>
    <w:rsid w:val="00525D4C"/>
    <w:rsid w:val="00525E0C"/>
    <w:rsid w:val="00525E4F"/>
    <w:rsid w:val="00525F43"/>
    <w:rsid w:val="00526035"/>
    <w:rsid w:val="005260C3"/>
    <w:rsid w:val="00526423"/>
    <w:rsid w:val="00526469"/>
    <w:rsid w:val="005265CD"/>
    <w:rsid w:val="0052681B"/>
    <w:rsid w:val="00526852"/>
    <w:rsid w:val="00526868"/>
    <w:rsid w:val="005268DA"/>
    <w:rsid w:val="00526970"/>
    <w:rsid w:val="00526AD8"/>
    <w:rsid w:val="00526AED"/>
    <w:rsid w:val="00526B3B"/>
    <w:rsid w:val="00526C1E"/>
    <w:rsid w:val="00526C92"/>
    <w:rsid w:val="00526C94"/>
    <w:rsid w:val="00526D5E"/>
    <w:rsid w:val="00526DCB"/>
    <w:rsid w:val="00526E31"/>
    <w:rsid w:val="00526F22"/>
    <w:rsid w:val="0052707C"/>
    <w:rsid w:val="005270E1"/>
    <w:rsid w:val="0052716A"/>
    <w:rsid w:val="0052719F"/>
    <w:rsid w:val="0052721B"/>
    <w:rsid w:val="00527220"/>
    <w:rsid w:val="0052724C"/>
    <w:rsid w:val="00527340"/>
    <w:rsid w:val="00527362"/>
    <w:rsid w:val="00527454"/>
    <w:rsid w:val="0052756D"/>
    <w:rsid w:val="005275FC"/>
    <w:rsid w:val="005275FE"/>
    <w:rsid w:val="00527635"/>
    <w:rsid w:val="00527689"/>
    <w:rsid w:val="0052768C"/>
    <w:rsid w:val="00527823"/>
    <w:rsid w:val="00527877"/>
    <w:rsid w:val="005278C8"/>
    <w:rsid w:val="005278CC"/>
    <w:rsid w:val="005278D2"/>
    <w:rsid w:val="0052791B"/>
    <w:rsid w:val="00527941"/>
    <w:rsid w:val="005279D6"/>
    <w:rsid w:val="00527B2B"/>
    <w:rsid w:val="00527C08"/>
    <w:rsid w:val="00527C31"/>
    <w:rsid w:val="00527D4B"/>
    <w:rsid w:val="00527E14"/>
    <w:rsid w:val="00527EBF"/>
    <w:rsid w:val="00527F4C"/>
    <w:rsid w:val="00527F68"/>
    <w:rsid w:val="005300B6"/>
    <w:rsid w:val="0053016D"/>
    <w:rsid w:val="005301E7"/>
    <w:rsid w:val="0053021C"/>
    <w:rsid w:val="005302E8"/>
    <w:rsid w:val="005303B6"/>
    <w:rsid w:val="005303BC"/>
    <w:rsid w:val="00530650"/>
    <w:rsid w:val="005306E3"/>
    <w:rsid w:val="005307AA"/>
    <w:rsid w:val="00530834"/>
    <w:rsid w:val="00530896"/>
    <w:rsid w:val="00530956"/>
    <w:rsid w:val="005309FB"/>
    <w:rsid w:val="005309FE"/>
    <w:rsid w:val="00530A1C"/>
    <w:rsid w:val="00530A84"/>
    <w:rsid w:val="00530A8C"/>
    <w:rsid w:val="00530C8C"/>
    <w:rsid w:val="00530D0D"/>
    <w:rsid w:val="00530DF6"/>
    <w:rsid w:val="00530F89"/>
    <w:rsid w:val="00530FA4"/>
    <w:rsid w:val="00530FCD"/>
    <w:rsid w:val="00530FE9"/>
    <w:rsid w:val="00530FEF"/>
    <w:rsid w:val="00531010"/>
    <w:rsid w:val="005310AF"/>
    <w:rsid w:val="00531140"/>
    <w:rsid w:val="005312C5"/>
    <w:rsid w:val="0053135C"/>
    <w:rsid w:val="005313A8"/>
    <w:rsid w:val="005315AD"/>
    <w:rsid w:val="0053160A"/>
    <w:rsid w:val="005316EC"/>
    <w:rsid w:val="005316F9"/>
    <w:rsid w:val="00531726"/>
    <w:rsid w:val="00531740"/>
    <w:rsid w:val="00531750"/>
    <w:rsid w:val="005317BD"/>
    <w:rsid w:val="0053183A"/>
    <w:rsid w:val="0053189F"/>
    <w:rsid w:val="005318E4"/>
    <w:rsid w:val="00531AAB"/>
    <w:rsid w:val="00531B02"/>
    <w:rsid w:val="00531C27"/>
    <w:rsid w:val="00531C8B"/>
    <w:rsid w:val="00531D76"/>
    <w:rsid w:val="00531DD7"/>
    <w:rsid w:val="00531DE9"/>
    <w:rsid w:val="00531DFB"/>
    <w:rsid w:val="00531F6D"/>
    <w:rsid w:val="00531FC2"/>
    <w:rsid w:val="00531FD6"/>
    <w:rsid w:val="00532131"/>
    <w:rsid w:val="005321EA"/>
    <w:rsid w:val="005322D3"/>
    <w:rsid w:val="0053234E"/>
    <w:rsid w:val="0053256E"/>
    <w:rsid w:val="0053258B"/>
    <w:rsid w:val="005325BB"/>
    <w:rsid w:val="0053263B"/>
    <w:rsid w:val="0053267A"/>
    <w:rsid w:val="005326BF"/>
    <w:rsid w:val="005327FD"/>
    <w:rsid w:val="00532906"/>
    <w:rsid w:val="00532B34"/>
    <w:rsid w:val="00532B57"/>
    <w:rsid w:val="00532BC0"/>
    <w:rsid w:val="00532BF7"/>
    <w:rsid w:val="00532D13"/>
    <w:rsid w:val="00532F0B"/>
    <w:rsid w:val="00532F62"/>
    <w:rsid w:val="005330C0"/>
    <w:rsid w:val="0053311D"/>
    <w:rsid w:val="00533120"/>
    <w:rsid w:val="00533187"/>
    <w:rsid w:val="005331DA"/>
    <w:rsid w:val="005332A8"/>
    <w:rsid w:val="005332EE"/>
    <w:rsid w:val="005333B4"/>
    <w:rsid w:val="00533592"/>
    <w:rsid w:val="00533604"/>
    <w:rsid w:val="00533606"/>
    <w:rsid w:val="00533637"/>
    <w:rsid w:val="005336BA"/>
    <w:rsid w:val="005336DA"/>
    <w:rsid w:val="0053381A"/>
    <w:rsid w:val="00533829"/>
    <w:rsid w:val="005338FE"/>
    <w:rsid w:val="005339C8"/>
    <w:rsid w:val="005339CE"/>
    <w:rsid w:val="00533B18"/>
    <w:rsid w:val="00533B84"/>
    <w:rsid w:val="00533CD8"/>
    <w:rsid w:val="00533D1C"/>
    <w:rsid w:val="00533D76"/>
    <w:rsid w:val="00533E98"/>
    <w:rsid w:val="00533EA6"/>
    <w:rsid w:val="00533EE4"/>
    <w:rsid w:val="00533EE6"/>
    <w:rsid w:val="00533EEC"/>
    <w:rsid w:val="00533F03"/>
    <w:rsid w:val="00533FA8"/>
    <w:rsid w:val="00534062"/>
    <w:rsid w:val="00534139"/>
    <w:rsid w:val="005341B4"/>
    <w:rsid w:val="005341EA"/>
    <w:rsid w:val="005342C3"/>
    <w:rsid w:val="0053431E"/>
    <w:rsid w:val="00534328"/>
    <w:rsid w:val="005343B1"/>
    <w:rsid w:val="00534413"/>
    <w:rsid w:val="005344B3"/>
    <w:rsid w:val="00534507"/>
    <w:rsid w:val="00534539"/>
    <w:rsid w:val="005345AF"/>
    <w:rsid w:val="00534662"/>
    <w:rsid w:val="00534664"/>
    <w:rsid w:val="0053469F"/>
    <w:rsid w:val="00534751"/>
    <w:rsid w:val="0053475E"/>
    <w:rsid w:val="00534852"/>
    <w:rsid w:val="00534898"/>
    <w:rsid w:val="0053497C"/>
    <w:rsid w:val="005349E1"/>
    <w:rsid w:val="005349EC"/>
    <w:rsid w:val="00534A55"/>
    <w:rsid w:val="00534B2F"/>
    <w:rsid w:val="00534BBD"/>
    <w:rsid w:val="00534BD3"/>
    <w:rsid w:val="00534C17"/>
    <w:rsid w:val="00534CAA"/>
    <w:rsid w:val="00534CE8"/>
    <w:rsid w:val="00534E67"/>
    <w:rsid w:val="00534ED4"/>
    <w:rsid w:val="00534F53"/>
    <w:rsid w:val="00534FDC"/>
    <w:rsid w:val="00534FFD"/>
    <w:rsid w:val="005350D7"/>
    <w:rsid w:val="005350E2"/>
    <w:rsid w:val="0053525A"/>
    <w:rsid w:val="0053527A"/>
    <w:rsid w:val="00535323"/>
    <w:rsid w:val="00535370"/>
    <w:rsid w:val="0053538A"/>
    <w:rsid w:val="005353BB"/>
    <w:rsid w:val="005354F1"/>
    <w:rsid w:val="00535548"/>
    <w:rsid w:val="00535561"/>
    <w:rsid w:val="00535680"/>
    <w:rsid w:val="005356D7"/>
    <w:rsid w:val="00535730"/>
    <w:rsid w:val="005357E2"/>
    <w:rsid w:val="005357EE"/>
    <w:rsid w:val="0053580E"/>
    <w:rsid w:val="0053588F"/>
    <w:rsid w:val="00535AD4"/>
    <w:rsid w:val="00535CC4"/>
    <w:rsid w:val="00535D36"/>
    <w:rsid w:val="00535E28"/>
    <w:rsid w:val="00535ED3"/>
    <w:rsid w:val="00535F4A"/>
    <w:rsid w:val="0053602A"/>
    <w:rsid w:val="00536190"/>
    <w:rsid w:val="005361B6"/>
    <w:rsid w:val="005361BD"/>
    <w:rsid w:val="00536213"/>
    <w:rsid w:val="005362F5"/>
    <w:rsid w:val="005363BD"/>
    <w:rsid w:val="005365A0"/>
    <w:rsid w:val="005365D1"/>
    <w:rsid w:val="00536753"/>
    <w:rsid w:val="00536761"/>
    <w:rsid w:val="005367DA"/>
    <w:rsid w:val="005367E9"/>
    <w:rsid w:val="00536ABF"/>
    <w:rsid w:val="00536BED"/>
    <w:rsid w:val="00536C57"/>
    <w:rsid w:val="00536DF6"/>
    <w:rsid w:val="00536E40"/>
    <w:rsid w:val="00536E5E"/>
    <w:rsid w:val="00536FE3"/>
    <w:rsid w:val="0053700E"/>
    <w:rsid w:val="0053706B"/>
    <w:rsid w:val="00537087"/>
    <w:rsid w:val="005370A3"/>
    <w:rsid w:val="00537241"/>
    <w:rsid w:val="0053725B"/>
    <w:rsid w:val="005372A3"/>
    <w:rsid w:val="005372F4"/>
    <w:rsid w:val="00537383"/>
    <w:rsid w:val="0053742D"/>
    <w:rsid w:val="00537475"/>
    <w:rsid w:val="00537485"/>
    <w:rsid w:val="00537494"/>
    <w:rsid w:val="0053749B"/>
    <w:rsid w:val="00537724"/>
    <w:rsid w:val="0053774A"/>
    <w:rsid w:val="005377DA"/>
    <w:rsid w:val="005377DE"/>
    <w:rsid w:val="005378DF"/>
    <w:rsid w:val="00537964"/>
    <w:rsid w:val="005379E3"/>
    <w:rsid w:val="00537AF1"/>
    <w:rsid w:val="00537B33"/>
    <w:rsid w:val="00537CA1"/>
    <w:rsid w:val="00537D0B"/>
    <w:rsid w:val="00537DB9"/>
    <w:rsid w:val="00537E8C"/>
    <w:rsid w:val="00537F1D"/>
    <w:rsid w:val="00537F9E"/>
    <w:rsid w:val="00537FA9"/>
    <w:rsid w:val="00537FE9"/>
    <w:rsid w:val="0054001C"/>
    <w:rsid w:val="005400CE"/>
    <w:rsid w:val="00540131"/>
    <w:rsid w:val="005401DD"/>
    <w:rsid w:val="005402B8"/>
    <w:rsid w:val="005402C6"/>
    <w:rsid w:val="00540503"/>
    <w:rsid w:val="00540539"/>
    <w:rsid w:val="00540560"/>
    <w:rsid w:val="00540642"/>
    <w:rsid w:val="00540671"/>
    <w:rsid w:val="0054071A"/>
    <w:rsid w:val="005407A5"/>
    <w:rsid w:val="00540878"/>
    <w:rsid w:val="005409FC"/>
    <w:rsid w:val="00540B46"/>
    <w:rsid w:val="00540BA2"/>
    <w:rsid w:val="00540BD1"/>
    <w:rsid w:val="00540C1E"/>
    <w:rsid w:val="00540C57"/>
    <w:rsid w:val="00540D80"/>
    <w:rsid w:val="005411A6"/>
    <w:rsid w:val="00541240"/>
    <w:rsid w:val="00541243"/>
    <w:rsid w:val="005413B2"/>
    <w:rsid w:val="005413C1"/>
    <w:rsid w:val="00541404"/>
    <w:rsid w:val="005414B6"/>
    <w:rsid w:val="0054160D"/>
    <w:rsid w:val="0054168A"/>
    <w:rsid w:val="00541716"/>
    <w:rsid w:val="0054177E"/>
    <w:rsid w:val="005417BC"/>
    <w:rsid w:val="0054189B"/>
    <w:rsid w:val="005418A9"/>
    <w:rsid w:val="0054190C"/>
    <w:rsid w:val="00541961"/>
    <w:rsid w:val="005419A5"/>
    <w:rsid w:val="005419CC"/>
    <w:rsid w:val="005419E0"/>
    <w:rsid w:val="005419EC"/>
    <w:rsid w:val="00541A56"/>
    <w:rsid w:val="00541AF0"/>
    <w:rsid w:val="00541C9F"/>
    <w:rsid w:val="00541D04"/>
    <w:rsid w:val="00541D6F"/>
    <w:rsid w:val="00541DBB"/>
    <w:rsid w:val="00541E02"/>
    <w:rsid w:val="00541E0E"/>
    <w:rsid w:val="00541E48"/>
    <w:rsid w:val="00541E58"/>
    <w:rsid w:val="00541ED0"/>
    <w:rsid w:val="00541FB8"/>
    <w:rsid w:val="00541FED"/>
    <w:rsid w:val="0054204E"/>
    <w:rsid w:val="005420C5"/>
    <w:rsid w:val="005422AC"/>
    <w:rsid w:val="00542359"/>
    <w:rsid w:val="005423B4"/>
    <w:rsid w:val="005423FD"/>
    <w:rsid w:val="00542415"/>
    <w:rsid w:val="005425B4"/>
    <w:rsid w:val="00542649"/>
    <w:rsid w:val="0054277F"/>
    <w:rsid w:val="005427D3"/>
    <w:rsid w:val="00542927"/>
    <w:rsid w:val="00542A79"/>
    <w:rsid w:val="00542AB8"/>
    <w:rsid w:val="00542ABB"/>
    <w:rsid w:val="00542DA6"/>
    <w:rsid w:val="00542E50"/>
    <w:rsid w:val="00542E74"/>
    <w:rsid w:val="00542ED1"/>
    <w:rsid w:val="00543177"/>
    <w:rsid w:val="0054317E"/>
    <w:rsid w:val="00543234"/>
    <w:rsid w:val="0054328C"/>
    <w:rsid w:val="005432A5"/>
    <w:rsid w:val="00543428"/>
    <w:rsid w:val="00543435"/>
    <w:rsid w:val="00543543"/>
    <w:rsid w:val="005436C8"/>
    <w:rsid w:val="00543814"/>
    <w:rsid w:val="0054382B"/>
    <w:rsid w:val="0054389E"/>
    <w:rsid w:val="00543996"/>
    <w:rsid w:val="005439CD"/>
    <w:rsid w:val="00543A34"/>
    <w:rsid w:val="00543B47"/>
    <w:rsid w:val="00543D0C"/>
    <w:rsid w:val="00543E4E"/>
    <w:rsid w:val="00543E5B"/>
    <w:rsid w:val="00543FEA"/>
    <w:rsid w:val="00544029"/>
    <w:rsid w:val="0054404C"/>
    <w:rsid w:val="0054409D"/>
    <w:rsid w:val="005440B8"/>
    <w:rsid w:val="005440BF"/>
    <w:rsid w:val="0054411B"/>
    <w:rsid w:val="00544332"/>
    <w:rsid w:val="00544392"/>
    <w:rsid w:val="0054446C"/>
    <w:rsid w:val="00544517"/>
    <w:rsid w:val="00544558"/>
    <w:rsid w:val="00544603"/>
    <w:rsid w:val="00544715"/>
    <w:rsid w:val="00544789"/>
    <w:rsid w:val="0054478C"/>
    <w:rsid w:val="005447B4"/>
    <w:rsid w:val="005447CC"/>
    <w:rsid w:val="0054489F"/>
    <w:rsid w:val="0054493B"/>
    <w:rsid w:val="0054497A"/>
    <w:rsid w:val="005449DE"/>
    <w:rsid w:val="00544AE5"/>
    <w:rsid w:val="00544B3A"/>
    <w:rsid w:val="00544BFF"/>
    <w:rsid w:val="00544CE2"/>
    <w:rsid w:val="00544D42"/>
    <w:rsid w:val="00544DAF"/>
    <w:rsid w:val="00544E29"/>
    <w:rsid w:val="00544E46"/>
    <w:rsid w:val="00544EA3"/>
    <w:rsid w:val="00544FAB"/>
    <w:rsid w:val="005450A8"/>
    <w:rsid w:val="00545164"/>
    <w:rsid w:val="00545203"/>
    <w:rsid w:val="0054537D"/>
    <w:rsid w:val="005453A7"/>
    <w:rsid w:val="005453E2"/>
    <w:rsid w:val="0054552D"/>
    <w:rsid w:val="00545570"/>
    <w:rsid w:val="005455A5"/>
    <w:rsid w:val="005455A7"/>
    <w:rsid w:val="005455F3"/>
    <w:rsid w:val="00545634"/>
    <w:rsid w:val="00545689"/>
    <w:rsid w:val="005456BE"/>
    <w:rsid w:val="005456E7"/>
    <w:rsid w:val="00545809"/>
    <w:rsid w:val="0054582B"/>
    <w:rsid w:val="0054584D"/>
    <w:rsid w:val="005458BF"/>
    <w:rsid w:val="005458F7"/>
    <w:rsid w:val="005459B6"/>
    <w:rsid w:val="00545A1A"/>
    <w:rsid w:val="00545AA5"/>
    <w:rsid w:val="00545AC0"/>
    <w:rsid w:val="00545ADB"/>
    <w:rsid w:val="00545C01"/>
    <w:rsid w:val="00545D38"/>
    <w:rsid w:val="00545DCC"/>
    <w:rsid w:val="00545DD8"/>
    <w:rsid w:val="00545F4B"/>
    <w:rsid w:val="00545FEF"/>
    <w:rsid w:val="005460B3"/>
    <w:rsid w:val="0054613F"/>
    <w:rsid w:val="0054618B"/>
    <w:rsid w:val="005461FA"/>
    <w:rsid w:val="005463A1"/>
    <w:rsid w:val="005463B9"/>
    <w:rsid w:val="005464AF"/>
    <w:rsid w:val="0054654E"/>
    <w:rsid w:val="00546630"/>
    <w:rsid w:val="005466BE"/>
    <w:rsid w:val="005467A2"/>
    <w:rsid w:val="005468AC"/>
    <w:rsid w:val="00546BF7"/>
    <w:rsid w:val="00546E8C"/>
    <w:rsid w:val="00546F10"/>
    <w:rsid w:val="00546F68"/>
    <w:rsid w:val="0054703A"/>
    <w:rsid w:val="00547116"/>
    <w:rsid w:val="00547164"/>
    <w:rsid w:val="00547274"/>
    <w:rsid w:val="00547299"/>
    <w:rsid w:val="005473C5"/>
    <w:rsid w:val="0054761A"/>
    <w:rsid w:val="00547627"/>
    <w:rsid w:val="005476B3"/>
    <w:rsid w:val="005476E1"/>
    <w:rsid w:val="0054776A"/>
    <w:rsid w:val="005477DF"/>
    <w:rsid w:val="005477EC"/>
    <w:rsid w:val="00547814"/>
    <w:rsid w:val="0054796A"/>
    <w:rsid w:val="0054798A"/>
    <w:rsid w:val="0054799C"/>
    <w:rsid w:val="005479D9"/>
    <w:rsid w:val="00547BA7"/>
    <w:rsid w:val="00547F11"/>
    <w:rsid w:val="00547FD4"/>
    <w:rsid w:val="00550056"/>
    <w:rsid w:val="00550071"/>
    <w:rsid w:val="00550077"/>
    <w:rsid w:val="005500C1"/>
    <w:rsid w:val="00550287"/>
    <w:rsid w:val="00550433"/>
    <w:rsid w:val="005504D9"/>
    <w:rsid w:val="005504E8"/>
    <w:rsid w:val="0055059D"/>
    <w:rsid w:val="0055060B"/>
    <w:rsid w:val="0055063F"/>
    <w:rsid w:val="005506E1"/>
    <w:rsid w:val="0055072D"/>
    <w:rsid w:val="00550810"/>
    <w:rsid w:val="00550887"/>
    <w:rsid w:val="00550974"/>
    <w:rsid w:val="00550C2A"/>
    <w:rsid w:val="00550C94"/>
    <w:rsid w:val="00550D80"/>
    <w:rsid w:val="00550F3D"/>
    <w:rsid w:val="005512AE"/>
    <w:rsid w:val="0055132E"/>
    <w:rsid w:val="00551362"/>
    <w:rsid w:val="0055138D"/>
    <w:rsid w:val="005517D3"/>
    <w:rsid w:val="005518A7"/>
    <w:rsid w:val="00551927"/>
    <w:rsid w:val="0055193D"/>
    <w:rsid w:val="00551973"/>
    <w:rsid w:val="005519AE"/>
    <w:rsid w:val="00551A08"/>
    <w:rsid w:val="00551A8D"/>
    <w:rsid w:val="00551ADC"/>
    <w:rsid w:val="00551B51"/>
    <w:rsid w:val="00551B88"/>
    <w:rsid w:val="00551BC2"/>
    <w:rsid w:val="00551BD3"/>
    <w:rsid w:val="00551C1A"/>
    <w:rsid w:val="00551C1D"/>
    <w:rsid w:val="00551C3C"/>
    <w:rsid w:val="00551C9D"/>
    <w:rsid w:val="00551CE3"/>
    <w:rsid w:val="00551D86"/>
    <w:rsid w:val="00551DC6"/>
    <w:rsid w:val="00551DD4"/>
    <w:rsid w:val="00551FC3"/>
    <w:rsid w:val="0055200D"/>
    <w:rsid w:val="00552022"/>
    <w:rsid w:val="00552221"/>
    <w:rsid w:val="00552241"/>
    <w:rsid w:val="005522F6"/>
    <w:rsid w:val="00552359"/>
    <w:rsid w:val="00552404"/>
    <w:rsid w:val="00552445"/>
    <w:rsid w:val="005524BD"/>
    <w:rsid w:val="00552536"/>
    <w:rsid w:val="005525D3"/>
    <w:rsid w:val="005526F2"/>
    <w:rsid w:val="005528A3"/>
    <w:rsid w:val="005528BE"/>
    <w:rsid w:val="005528EF"/>
    <w:rsid w:val="00552945"/>
    <w:rsid w:val="00552987"/>
    <w:rsid w:val="00552A0F"/>
    <w:rsid w:val="00552A62"/>
    <w:rsid w:val="00552AB0"/>
    <w:rsid w:val="00552AFF"/>
    <w:rsid w:val="00552B39"/>
    <w:rsid w:val="00552B77"/>
    <w:rsid w:val="00552CA9"/>
    <w:rsid w:val="00552D41"/>
    <w:rsid w:val="00552D8B"/>
    <w:rsid w:val="00552DB2"/>
    <w:rsid w:val="00552F79"/>
    <w:rsid w:val="00552F8B"/>
    <w:rsid w:val="00553003"/>
    <w:rsid w:val="00553019"/>
    <w:rsid w:val="005530F1"/>
    <w:rsid w:val="00553192"/>
    <w:rsid w:val="005531BD"/>
    <w:rsid w:val="00553285"/>
    <w:rsid w:val="0055328F"/>
    <w:rsid w:val="00553298"/>
    <w:rsid w:val="005534DC"/>
    <w:rsid w:val="0055377C"/>
    <w:rsid w:val="005537C9"/>
    <w:rsid w:val="00553874"/>
    <w:rsid w:val="005539B5"/>
    <w:rsid w:val="00553A0C"/>
    <w:rsid w:val="00553C79"/>
    <w:rsid w:val="00553CB5"/>
    <w:rsid w:val="00553CC7"/>
    <w:rsid w:val="00553CEF"/>
    <w:rsid w:val="00553DA5"/>
    <w:rsid w:val="00553DEC"/>
    <w:rsid w:val="00553E39"/>
    <w:rsid w:val="00553F59"/>
    <w:rsid w:val="00554134"/>
    <w:rsid w:val="005541C9"/>
    <w:rsid w:val="005541FD"/>
    <w:rsid w:val="00554294"/>
    <w:rsid w:val="0055438F"/>
    <w:rsid w:val="005545EE"/>
    <w:rsid w:val="00554605"/>
    <w:rsid w:val="00554831"/>
    <w:rsid w:val="00554843"/>
    <w:rsid w:val="0055484A"/>
    <w:rsid w:val="0055487C"/>
    <w:rsid w:val="005548B7"/>
    <w:rsid w:val="005548D4"/>
    <w:rsid w:val="005548FA"/>
    <w:rsid w:val="00554AC0"/>
    <w:rsid w:val="00554C37"/>
    <w:rsid w:val="00554C9D"/>
    <w:rsid w:val="00554CCC"/>
    <w:rsid w:val="00554D28"/>
    <w:rsid w:val="00554DDC"/>
    <w:rsid w:val="00554DEC"/>
    <w:rsid w:val="00554E7F"/>
    <w:rsid w:val="00554EEE"/>
    <w:rsid w:val="00554EF0"/>
    <w:rsid w:val="00554FCC"/>
    <w:rsid w:val="00555003"/>
    <w:rsid w:val="0055503E"/>
    <w:rsid w:val="00555042"/>
    <w:rsid w:val="0055507E"/>
    <w:rsid w:val="005550D5"/>
    <w:rsid w:val="005550E3"/>
    <w:rsid w:val="005550F5"/>
    <w:rsid w:val="005552C5"/>
    <w:rsid w:val="005554CC"/>
    <w:rsid w:val="005554DB"/>
    <w:rsid w:val="005554F8"/>
    <w:rsid w:val="00555548"/>
    <w:rsid w:val="0055555B"/>
    <w:rsid w:val="0055568F"/>
    <w:rsid w:val="0055574A"/>
    <w:rsid w:val="00555834"/>
    <w:rsid w:val="00555AD4"/>
    <w:rsid w:val="00555B8C"/>
    <w:rsid w:val="00555CC9"/>
    <w:rsid w:val="00555DE3"/>
    <w:rsid w:val="00555FF1"/>
    <w:rsid w:val="00556027"/>
    <w:rsid w:val="00556049"/>
    <w:rsid w:val="00556079"/>
    <w:rsid w:val="00556189"/>
    <w:rsid w:val="005561E3"/>
    <w:rsid w:val="00556251"/>
    <w:rsid w:val="005562CA"/>
    <w:rsid w:val="00556306"/>
    <w:rsid w:val="00556369"/>
    <w:rsid w:val="00556386"/>
    <w:rsid w:val="0055644D"/>
    <w:rsid w:val="0055645E"/>
    <w:rsid w:val="005564BC"/>
    <w:rsid w:val="005564BE"/>
    <w:rsid w:val="00556521"/>
    <w:rsid w:val="00556582"/>
    <w:rsid w:val="00556584"/>
    <w:rsid w:val="005565AD"/>
    <w:rsid w:val="00556674"/>
    <w:rsid w:val="00556681"/>
    <w:rsid w:val="005566F2"/>
    <w:rsid w:val="005567B2"/>
    <w:rsid w:val="00556904"/>
    <w:rsid w:val="0055698B"/>
    <w:rsid w:val="00556C3D"/>
    <w:rsid w:val="00556DB0"/>
    <w:rsid w:val="00556E30"/>
    <w:rsid w:val="00556E3B"/>
    <w:rsid w:val="00556E58"/>
    <w:rsid w:val="00556EAE"/>
    <w:rsid w:val="00556EB0"/>
    <w:rsid w:val="005570B7"/>
    <w:rsid w:val="00557180"/>
    <w:rsid w:val="005571AE"/>
    <w:rsid w:val="005571E6"/>
    <w:rsid w:val="0055736D"/>
    <w:rsid w:val="005574AF"/>
    <w:rsid w:val="00557532"/>
    <w:rsid w:val="005575A1"/>
    <w:rsid w:val="00557656"/>
    <w:rsid w:val="005576FE"/>
    <w:rsid w:val="00557870"/>
    <w:rsid w:val="005578C4"/>
    <w:rsid w:val="0055794E"/>
    <w:rsid w:val="00557C19"/>
    <w:rsid w:val="00557D69"/>
    <w:rsid w:val="00557FE0"/>
    <w:rsid w:val="0056003D"/>
    <w:rsid w:val="00560277"/>
    <w:rsid w:val="00560475"/>
    <w:rsid w:val="005605E7"/>
    <w:rsid w:val="005606A5"/>
    <w:rsid w:val="00560750"/>
    <w:rsid w:val="00560780"/>
    <w:rsid w:val="00560808"/>
    <w:rsid w:val="00560840"/>
    <w:rsid w:val="005608BE"/>
    <w:rsid w:val="00560929"/>
    <w:rsid w:val="00560933"/>
    <w:rsid w:val="00560938"/>
    <w:rsid w:val="00560955"/>
    <w:rsid w:val="0056096D"/>
    <w:rsid w:val="00560A13"/>
    <w:rsid w:val="00560A33"/>
    <w:rsid w:val="00560A71"/>
    <w:rsid w:val="00560AF1"/>
    <w:rsid w:val="00560C3A"/>
    <w:rsid w:val="00560C40"/>
    <w:rsid w:val="00560C51"/>
    <w:rsid w:val="00560D46"/>
    <w:rsid w:val="00560D59"/>
    <w:rsid w:val="00560DF0"/>
    <w:rsid w:val="00560DFD"/>
    <w:rsid w:val="00560E7C"/>
    <w:rsid w:val="00560F0A"/>
    <w:rsid w:val="00560F16"/>
    <w:rsid w:val="00560FB7"/>
    <w:rsid w:val="00560FC6"/>
    <w:rsid w:val="00561040"/>
    <w:rsid w:val="005610E7"/>
    <w:rsid w:val="005611B9"/>
    <w:rsid w:val="00561219"/>
    <w:rsid w:val="00561376"/>
    <w:rsid w:val="005613DA"/>
    <w:rsid w:val="005614A0"/>
    <w:rsid w:val="00561512"/>
    <w:rsid w:val="00561562"/>
    <w:rsid w:val="0056159F"/>
    <w:rsid w:val="00561741"/>
    <w:rsid w:val="005617C5"/>
    <w:rsid w:val="00561915"/>
    <w:rsid w:val="0056192A"/>
    <w:rsid w:val="0056192D"/>
    <w:rsid w:val="00561952"/>
    <w:rsid w:val="0056199A"/>
    <w:rsid w:val="00561A63"/>
    <w:rsid w:val="00561B1F"/>
    <w:rsid w:val="00561B28"/>
    <w:rsid w:val="00561BD3"/>
    <w:rsid w:val="00561BDF"/>
    <w:rsid w:val="00561C4D"/>
    <w:rsid w:val="00561C77"/>
    <w:rsid w:val="00561CDA"/>
    <w:rsid w:val="00561E7B"/>
    <w:rsid w:val="00561EBC"/>
    <w:rsid w:val="00561F1F"/>
    <w:rsid w:val="00561F98"/>
    <w:rsid w:val="00562027"/>
    <w:rsid w:val="005622D6"/>
    <w:rsid w:val="00562334"/>
    <w:rsid w:val="005623D1"/>
    <w:rsid w:val="005624BC"/>
    <w:rsid w:val="005625DB"/>
    <w:rsid w:val="0056263C"/>
    <w:rsid w:val="0056270F"/>
    <w:rsid w:val="00562754"/>
    <w:rsid w:val="005627B5"/>
    <w:rsid w:val="0056284F"/>
    <w:rsid w:val="005628A7"/>
    <w:rsid w:val="005628C5"/>
    <w:rsid w:val="005628D0"/>
    <w:rsid w:val="00562948"/>
    <w:rsid w:val="00562987"/>
    <w:rsid w:val="005629A0"/>
    <w:rsid w:val="005629C2"/>
    <w:rsid w:val="005629ED"/>
    <w:rsid w:val="00562ADE"/>
    <w:rsid w:val="00562C5E"/>
    <w:rsid w:val="00562D51"/>
    <w:rsid w:val="00562D9C"/>
    <w:rsid w:val="00562DC7"/>
    <w:rsid w:val="00562E9E"/>
    <w:rsid w:val="00562EB9"/>
    <w:rsid w:val="00562F69"/>
    <w:rsid w:val="00562FB6"/>
    <w:rsid w:val="00562FC9"/>
    <w:rsid w:val="0056307A"/>
    <w:rsid w:val="00563127"/>
    <w:rsid w:val="00563311"/>
    <w:rsid w:val="0056333A"/>
    <w:rsid w:val="00563458"/>
    <w:rsid w:val="00563484"/>
    <w:rsid w:val="005634BE"/>
    <w:rsid w:val="005634D8"/>
    <w:rsid w:val="005635CE"/>
    <w:rsid w:val="00563600"/>
    <w:rsid w:val="00563604"/>
    <w:rsid w:val="0056373F"/>
    <w:rsid w:val="00563774"/>
    <w:rsid w:val="005638B4"/>
    <w:rsid w:val="005638C5"/>
    <w:rsid w:val="0056395F"/>
    <w:rsid w:val="00563BC6"/>
    <w:rsid w:val="00563C03"/>
    <w:rsid w:val="00563C04"/>
    <w:rsid w:val="00563D04"/>
    <w:rsid w:val="00563D51"/>
    <w:rsid w:val="00563D6F"/>
    <w:rsid w:val="00563DE5"/>
    <w:rsid w:val="00563DE6"/>
    <w:rsid w:val="00563E77"/>
    <w:rsid w:val="00563EA8"/>
    <w:rsid w:val="00563F32"/>
    <w:rsid w:val="00564078"/>
    <w:rsid w:val="00564096"/>
    <w:rsid w:val="0056409A"/>
    <w:rsid w:val="005641AB"/>
    <w:rsid w:val="00564430"/>
    <w:rsid w:val="005644BF"/>
    <w:rsid w:val="005644C7"/>
    <w:rsid w:val="00564601"/>
    <w:rsid w:val="00564656"/>
    <w:rsid w:val="0056466F"/>
    <w:rsid w:val="00564972"/>
    <w:rsid w:val="005649FF"/>
    <w:rsid w:val="00564AB3"/>
    <w:rsid w:val="00564AEF"/>
    <w:rsid w:val="00564B81"/>
    <w:rsid w:val="00564C03"/>
    <w:rsid w:val="00564C0C"/>
    <w:rsid w:val="00564CE2"/>
    <w:rsid w:val="00564D57"/>
    <w:rsid w:val="00564DC9"/>
    <w:rsid w:val="00564DF0"/>
    <w:rsid w:val="00564F26"/>
    <w:rsid w:val="00564FAE"/>
    <w:rsid w:val="0056514D"/>
    <w:rsid w:val="0056528D"/>
    <w:rsid w:val="005652A3"/>
    <w:rsid w:val="005654C9"/>
    <w:rsid w:val="005655DD"/>
    <w:rsid w:val="00565626"/>
    <w:rsid w:val="00565665"/>
    <w:rsid w:val="005656EF"/>
    <w:rsid w:val="00565764"/>
    <w:rsid w:val="005657EF"/>
    <w:rsid w:val="0056587A"/>
    <w:rsid w:val="005658C5"/>
    <w:rsid w:val="00565921"/>
    <w:rsid w:val="00565993"/>
    <w:rsid w:val="005659F4"/>
    <w:rsid w:val="00565A47"/>
    <w:rsid w:val="00565A9A"/>
    <w:rsid w:val="00565C43"/>
    <w:rsid w:val="00565C81"/>
    <w:rsid w:val="00565CDB"/>
    <w:rsid w:val="00565DAB"/>
    <w:rsid w:val="00565E12"/>
    <w:rsid w:val="00565EC3"/>
    <w:rsid w:val="00565FDA"/>
    <w:rsid w:val="0056604F"/>
    <w:rsid w:val="005660DA"/>
    <w:rsid w:val="0056616B"/>
    <w:rsid w:val="0056623F"/>
    <w:rsid w:val="0056628B"/>
    <w:rsid w:val="00566298"/>
    <w:rsid w:val="0056642C"/>
    <w:rsid w:val="00566487"/>
    <w:rsid w:val="0056657D"/>
    <w:rsid w:val="005666D5"/>
    <w:rsid w:val="00566705"/>
    <w:rsid w:val="00566898"/>
    <w:rsid w:val="005669B5"/>
    <w:rsid w:val="005669FE"/>
    <w:rsid w:val="00566B6B"/>
    <w:rsid w:val="00566C2A"/>
    <w:rsid w:val="00566C31"/>
    <w:rsid w:val="00566C7B"/>
    <w:rsid w:val="00566C9F"/>
    <w:rsid w:val="00566D1E"/>
    <w:rsid w:val="00566DE9"/>
    <w:rsid w:val="00566E11"/>
    <w:rsid w:val="00567131"/>
    <w:rsid w:val="00567140"/>
    <w:rsid w:val="005671D0"/>
    <w:rsid w:val="005672F4"/>
    <w:rsid w:val="0056738C"/>
    <w:rsid w:val="0056738E"/>
    <w:rsid w:val="0056755D"/>
    <w:rsid w:val="005675BA"/>
    <w:rsid w:val="005675E4"/>
    <w:rsid w:val="0056762E"/>
    <w:rsid w:val="005676DF"/>
    <w:rsid w:val="005678B0"/>
    <w:rsid w:val="0056793B"/>
    <w:rsid w:val="005679EF"/>
    <w:rsid w:val="00567A07"/>
    <w:rsid w:val="00567B2E"/>
    <w:rsid w:val="00567BC0"/>
    <w:rsid w:val="00567BC4"/>
    <w:rsid w:val="00567C48"/>
    <w:rsid w:val="00567CBA"/>
    <w:rsid w:val="00567E04"/>
    <w:rsid w:val="00567E11"/>
    <w:rsid w:val="00567EB3"/>
    <w:rsid w:val="005700AB"/>
    <w:rsid w:val="005700F7"/>
    <w:rsid w:val="00570196"/>
    <w:rsid w:val="005701A6"/>
    <w:rsid w:val="005702A5"/>
    <w:rsid w:val="005702E7"/>
    <w:rsid w:val="00570347"/>
    <w:rsid w:val="005704DE"/>
    <w:rsid w:val="005705E7"/>
    <w:rsid w:val="00570743"/>
    <w:rsid w:val="00570760"/>
    <w:rsid w:val="0057084E"/>
    <w:rsid w:val="005708D4"/>
    <w:rsid w:val="0057091E"/>
    <w:rsid w:val="00570993"/>
    <w:rsid w:val="005709F5"/>
    <w:rsid w:val="00570A48"/>
    <w:rsid w:val="00570C5C"/>
    <w:rsid w:val="00570DA6"/>
    <w:rsid w:val="00570FE8"/>
    <w:rsid w:val="00571079"/>
    <w:rsid w:val="00571170"/>
    <w:rsid w:val="00571172"/>
    <w:rsid w:val="00571181"/>
    <w:rsid w:val="005712BF"/>
    <w:rsid w:val="0057136D"/>
    <w:rsid w:val="005713FF"/>
    <w:rsid w:val="005714E9"/>
    <w:rsid w:val="00571577"/>
    <w:rsid w:val="005715DA"/>
    <w:rsid w:val="005715F3"/>
    <w:rsid w:val="00571623"/>
    <w:rsid w:val="0057167D"/>
    <w:rsid w:val="005716B6"/>
    <w:rsid w:val="005717B6"/>
    <w:rsid w:val="00571800"/>
    <w:rsid w:val="00571904"/>
    <w:rsid w:val="00571942"/>
    <w:rsid w:val="0057199F"/>
    <w:rsid w:val="00571A55"/>
    <w:rsid w:val="00571B42"/>
    <w:rsid w:val="00571DC5"/>
    <w:rsid w:val="00571E8D"/>
    <w:rsid w:val="00571F7A"/>
    <w:rsid w:val="00571FFA"/>
    <w:rsid w:val="00572028"/>
    <w:rsid w:val="00572053"/>
    <w:rsid w:val="005720E4"/>
    <w:rsid w:val="005720F0"/>
    <w:rsid w:val="00572123"/>
    <w:rsid w:val="0057216B"/>
    <w:rsid w:val="005721D0"/>
    <w:rsid w:val="005721E9"/>
    <w:rsid w:val="00572336"/>
    <w:rsid w:val="00572386"/>
    <w:rsid w:val="005723C6"/>
    <w:rsid w:val="005723D6"/>
    <w:rsid w:val="005723F5"/>
    <w:rsid w:val="005724C7"/>
    <w:rsid w:val="005724D7"/>
    <w:rsid w:val="00572517"/>
    <w:rsid w:val="00572541"/>
    <w:rsid w:val="005725F9"/>
    <w:rsid w:val="00572621"/>
    <w:rsid w:val="0057264F"/>
    <w:rsid w:val="00572685"/>
    <w:rsid w:val="00572759"/>
    <w:rsid w:val="00572792"/>
    <w:rsid w:val="005728DC"/>
    <w:rsid w:val="00572A1A"/>
    <w:rsid w:val="00572A2E"/>
    <w:rsid w:val="00572A5E"/>
    <w:rsid w:val="00572CA7"/>
    <w:rsid w:val="00572DC3"/>
    <w:rsid w:val="00572E75"/>
    <w:rsid w:val="00572E78"/>
    <w:rsid w:val="00572E93"/>
    <w:rsid w:val="00572F0F"/>
    <w:rsid w:val="005730BB"/>
    <w:rsid w:val="005730F5"/>
    <w:rsid w:val="00573108"/>
    <w:rsid w:val="00573114"/>
    <w:rsid w:val="00573168"/>
    <w:rsid w:val="005731FD"/>
    <w:rsid w:val="00573231"/>
    <w:rsid w:val="00573317"/>
    <w:rsid w:val="005734B6"/>
    <w:rsid w:val="00573754"/>
    <w:rsid w:val="00573790"/>
    <w:rsid w:val="00573820"/>
    <w:rsid w:val="00573A3D"/>
    <w:rsid w:val="00573BFC"/>
    <w:rsid w:val="00573D34"/>
    <w:rsid w:val="00573D61"/>
    <w:rsid w:val="00573D87"/>
    <w:rsid w:val="00573E8A"/>
    <w:rsid w:val="00573F57"/>
    <w:rsid w:val="00573FA9"/>
    <w:rsid w:val="005741A2"/>
    <w:rsid w:val="00574239"/>
    <w:rsid w:val="005743F1"/>
    <w:rsid w:val="00574471"/>
    <w:rsid w:val="00574592"/>
    <w:rsid w:val="005745A1"/>
    <w:rsid w:val="005746C8"/>
    <w:rsid w:val="005746F7"/>
    <w:rsid w:val="00574852"/>
    <w:rsid w:val="00574858"/>
    <w:rsid w:val="00574913"/>
    <w:rsid w:val="00574931"/>
    <w:rsid w:val="00574944"/>
    <w:rsid w:val="005749AB"/>
    <w:rsid w:val="005749C7"/>
    <w:rsid w:val="005749E8"/>
    <w:rsid w:val="00574A41"/>
    <w:rsid w:val="00574A50"/>
    <w:rsid w:val="00574A62"/>
    <w:rsid w:val="00574A6E"/>
    <w:rsid w:val="00574BFD"/>
    <w:rsid w:val="00574C0E"/>
    <w:rsid w:val="00574C14"/>
    <w:rsid w:val="00574C16"/>
    <w:rsid w:val="00574CBB"/>
    <w:rsid w:val="00574D38"/>
    <w:rsid w:val="00574DAE"/>
    <w:rsid w:val="00574E01"/>
    <w:rsid w:val="00574E02"/>
    <w:rsid w:val="00574F9A"/>
    <w:rsid w:val="00574FFE"/>
    <w:rsid w:val="0057503E"/>
    <w:rsid w:val="0057507D"/>
    <w:rsid w:val="005750AD"/>
    <w:rsid w:val="005751AF"/>
    <w:rsid w:val="005753D6"/>
    <w:rsid w:val="0057549A"/>
    <w:rsid w:val="005754A4"/>
    <w:rsid w:val="005754BD"/>
    <w:rsid w:val="005755F0"/>
    <w:rsid w:val="00575687"/>
    <w:rsid w:val="005756B6"/>
    <w:rsid w:val="005756C5"/>
    <w:rsid w:val="005757FB"/>
    <w:rsid w:val="00575813"/>
    <w:rsid w:val="00575928"/>
    <w:rsid w:val="00575AD0"/>
    <w:rsid w:val="00575AE9"/>
    <w:rsid w:val="00575B62"/>
    <w:rsid w:val="00575B7E"/>
    <w:rsid w:val="00575BAF"/>
    <w:rsid w:val="00575CA5"/>
    <w:rsid w:val="00575CE3"/>
    <w:rsid w:val="00575D12"/>
    <w:rsid w:val="00575D87"/>
    <w:rsid w:val="00575DD8"/>
    <w:rsid w:val="00575F6B"/>
    <w:rsid w:val="00575F9F"/>
    <w:rsid w:val="00575FEB"/>
    <w:rsid w:val="00576006"/>
    <w:rsid w:val="0057603E"/>
    <w:rsid w:val="00576069"/>
    <w:rsid w:val="00576070"/>
    <w:rsid w:val="005760BF"/>
    <w:rsid w:val="005760E2"/>
    <w:rsid w:val="005762AA"/>
    <w:rsid w:val="005762C1"/>
    <w:rsid w:val="005762D7"/>
    <w:rsid w:val="0057630A"/>
    <w:rsid w:val="0057644F"/>
    <w:rsid w:val="005764A1"/>
    <w:rsid w:val="005764D8"/>
    <w:rsid w:val="00576542"/>
    <w:rsid w:val="0057654C"/>
    <w:rsid w:val="00576557"/>
    <w:rsid w:val="00576675"/>
    <w:rsid w:val="0057669F"/>
    <w:rsid w:val="00576745"/>
    <w:rsid w:val="00576758"/>
    <w:rsid w:val="00576847"/>
    <w:rsid w:val="005768F5"/>
    <w:rsid w:val="00576920"/>
    <w:rsid w:val="00576954"/>
    <w:rsid w:val="00576A1B"/>
    <w:rsid w:val="00576AA2"/>
    <w:rsid w:val="00576B5A"/>
    <w:rsid w:val="00576BCE"/>
    <w:rsid w:val="00576C2D"/>
    <w:rsid w:val="00576D87"/>
    <w:rsid w:val="00576EA8"/>
    <w:rsid w:val="00576FA7"/>
    <w:rsid w:val="00576FE6"/>
    <w:rsid w:val="0057707D"/>
    <w:rsid w:val="005770B5"/>
    <w:rsid w:val="00577145"/>
    <w:rsid w:val="005771E4"/>
    <w:rsid w:val="00577233"/>
    <w:rsid w:val="005772B6"/>
    <w:rsid w:val="0057731D"/>
    <w:rsid w:val="005773BE"/>
    <w:rsid w:val="0057743C"/>
    <w:rsid w:val="00577616"/>
    <w:rsid w:val="00577625"/>
    <w:rsid w:val="005776A1"/>
    <w:rsid w:val="005776DC"/>
    <w:rsid w:val="0057772B"/>
    <w:rsid w:val="00577737"/>
    <w:rsid w:val="00577803"/>
    <w:rsid w:val="0057786B"/>
    <w:rsid w:val="005779BE"/>
    <w:rsid w:val="00577AA5"/>
    <w:rsid w:val="00577AD6"/>
    <w:rsid w:val="00577CFC"/>
    <w:rsid w:val="00577D52"/>
    <w:rsid w:val="00577DCD"/>
    <w:rsid w:val="00577E66"/>
    <w:rsid w:val="00580039"/>
    <w:rsid w:val="00580043"/>
    <w:rsid w:val="0058005F"/>
    <w:rsid w:val="005800B4"/>
    <w:rsid w:val="005803C4"/>
    <w:rsid w:val="005803D8"/>
    <w:rsid w:val="00580430"/>
    <w:rsid w:val="005804A3"/>
    <w:rsid w:val="005804A4"/>
    <w:rsid w:val="005806A0"/>
    <w:rsid w:val="005806A7"/>
    <w:rsid w:val="0058077F"/>
    <w:rsid w:val="00580987"/>
    <w:rsid w:val="005809FC"/>
    <w:rsid w:val="00580E53"/>
    <w:rsid w:val="00580EA7"/>
    <w:rsid w:val="00580FFB"/>
    <w:rsid w:val="00581038"/>
    <w:rsid w:val="005810B8"/>
    <w:rsid w:val="005810CB"/>
    <w:rsid w:val="00581136"/>
    <w:rsid w:val="0058125D"/>
    <w:rsid w:val="005812E4"/>
    <w:rsid w:val="0058135B"/>
    <w:rsid w:val="005813A9"/>
    <w:rsid w:val="005815A2"/>
    <w:rsid w:val="00581614"/>
    <w:rsid w:val="0058162E"/>
    <w:rsid w:val="00581630"/>
    <w:rsid w:val="0058170D"/>
    <w:rsid w:val="005817B2"/>
    <w:rsid w:val="005817ED"/>
    <w:rsid w:val="0058184D"/>
    <w:rsid w:val="00581900"/>
    <w:rsid w:val="00581B17"/>
    <w:rsid w:val="00581C6B"/>
    <w:rsid w:val="00581CA7"/>
    <w:rsid w:val="00581D1D"/>
    <w:rsid w:val="00581DA3"/>
    <w:rsid w:val="00581FFA"/>
    <w:rsid w:val="005820C2"/>
    <w:rsid w:val="00582122"/>
    <w:rsid w:val="0058219A"/>
    <w:rsid w:val="005821FF"/>
    <w:rsid w:val="00582243"/>
    <w:rsid w:val="00582276"/>
    <w:rsid w:val="00582365"/>
    <w:rsid w:val="005823B6"/>
    <w:rsid w:val="005823C1"/>
    <w:rsid w:val="0058243A"/>
    <w:rsid w:val="00582481"/>
    <w:rsid w:val="0058278A"/>
    <w:rsid w:val="005828F0"/>
    <w:rsid w:val="0058297A"/>
    <w:rsid w:val="00582B61"/>
    <w:rsid w:val="00582BCA"/>
    <w:rsid w:val="00582C6D"/>
    <w:rsid w:val="00582CF1"/>
    <w:rsid w:val="00582EEF"/>
    <w:rsid w:val="00583015"/>
    <w:rsid w:val="00583019"/>
    <w:rsid w:val="0058303B"/>
    <w:rsid w:val="005830CA"/>
    <w:rsid w:val="005830E4"/>
    <w:rsid w:val="005831A7"/>
    <w:rsid w:val="005831AF"/>
    <w:rsid w:val="0058325F"/>
    <w:rsid w:val="00583274"/>
    <w:rsid w:val="00583279"/>
    <w:rsid w:val="00583349"/>
    <w:rsid w:val="00583458"/>
    <w:rsid w:val="005834AC"/>
    <w:rsid w:val="005834D9"/>
    <w:rsid w:val="00583700"/>
    <w:rsid w:val="00583879"/>
    <w:rsid w:val="0058388B"/>
    <w:rsid w:val="00583898"/>
    <w:rsid w:val="00583935"/>
    <w:rsid w:val="0058393F"/>
    <w:rsid w:val="0058395D"/>
    <w:rsid w:val="00583963"/>
    <w:rsid w:val="005839A8"/>
    <w:rsid w:val="00583A17"/>
    <w:rsid w:val="00583A24"/>
    <w:rsid w:val="00583A3B"/>
    <w:rsid w:val="00583AA2"/>
    <w:rsid w:val="00583BDF"/>
    <w:rsid w:val="00583CC6"/>
    <w:rsid w:val="00583E6B"/>
    <w:rsid w:val="005840C1"/>
    <w:rsid w:val="005840D5"/>
    <w:rsid w:val="00584117"/>
    <w:rsid w:val="0058439D"/>
    <w:rsid w:val="0058449D"/>
    <w:rsid w:val="005844D9"/>
    <w:rsid w:val="0058452D"/>
    <w:rsid w:val="0058453F"/>
    <w:rsid w:val="005847C4"/>
    <w:rsid w:val="00584824"/>
    <w:rsid w:val="0058489C"/>
    <w:rsid w:val="005848C5"/>
    <w:rsid w:val="0058491F"/>
    <w:rsid w:val="0058494C"/>
    <w:rsid w:val="00584A55"/>
    <w:rsid w:val="00584AB9"/>
    <w:rsid w:val="00584B82"/>
    <w:rsid w:val="00584CE0"/>
    <w:rsid w:val="00584D1B"/>
    <w:rsid w:val="00584DFC"/>
    <w:rsid w:val="00584E58"/>
    <w:rsid w:val="00584ECB"/>
    <w:rsid w:val="00585026"/>
    <w:rsid w:val="005851BD"/>
    <w:rsid w:val="00585261"/>
    <w:rsid w:val="00585297"/>
    <w:rsid w:val="00585520"/>
    <w:rsid w:val="00585539"/>
    <w:rsid w:val="0058557F"/>
    <w:rsid w:val="005855B0"/>
    <w:rsid w:val="005855DD"/>
    <w:rsid w:val="0058560A"/>
    <w:rsid w:val="0058567E"/>
    <w:rsid w:val="005856CF"/>
    <w:rsid w:val="0058576C"/>
    <w:rsid w:val="00585797"/>
    <w:rsid w:val="005857EB"/>
    <w:rsid w:val="0058588E"/>
    <w:rsid w:val="00585897"/>
    <w:rsid w:val="00585B1E"/>
    <w:rsid w:val="00585B99"/>
    <w:rsid w:val="00585BBF"/>
    <w:rsid w:val="00585BDF"/>
    <w:rsid w:val="00585BE4"/>
    <w:rsid w:val="00585C1B"/>
    <w:rsid w:val="00585E22"/>
    <w:rsid w:val="00585E83"/>
    <w:rsid w:val="00585E91"/>
    <w:rsid w:val="00585F20"/>
    <w:rsid w:val="00586014"/>
    <w:rsid w:val="00586029"/>
    <w:rsid w:val="0058614C"/>
    <w:rsid w:val="0058625F"/>
    <w:rsid w:val="005862E4"/>
    <w:rsid w:val="005865AF"/>
    <w:rsid w:val="00586747"/>
    <w:rsid w:val="00586927"/>
    <w:rsid w:val="005869C6"/>
    <w:rsid w:val="005869F0"/>
    <w:rsid w:val="00586A1A"/>
    <w:rsid w:val="00586AF9"/>
    <w:rsid w:val="00586AFE"/>
    <w:rsid w:val="00586B41"/>
    <w:rsid w:val="00586B93"/>
    <w:rsid w:val="00586C0A"/>
    <w:rsid w:val="00586C2D"/>
    <w:rsid w:val="00586CE5"/>
    <w:rsid w:val="00586D29"/>
    <w:rsid w:val="00586D9F"/>
    <w:rsid w:val="00586DDA"/>
    <w:rsid w:val="00586E5E"/>
    <w:rsid w:val="00586ECD"/>
    <w:rsid w:val="00586EDA"/>
    <w:rsid w:val="00586F8A"/>
    <w:rsid w:val="00587019"/>
    <w:rsid w:val="005870E5"/>
    <w:rsid w:val="00587118"/>
    <w:rsid w:val="005871B9"/>
    <w:rsid w:val="0058726C"/>
    <w:rsid w:val="00587271"/>
    <w:rsid w:val="005872A8"/>
    <w:rsid w:val="005874CC"/>
    <w:rsid w:val="0058753A"/>
    <w:rsid w:val="005875BE"/>
    <w:rsid w:val="00587639"/>
    <w:rsid w:val="00587679"/>
    <w:rsid w:val="00587817"/>
    <w:rsid w:val="005878F3"/>
    <w:rsid w:val="0058790C"/>
    <w:rsid w:val="005879D6"/>
    <w:rsid w:val="00587A23"/>
    <w:rsid w:val="00587A32"/>
    <w:rsid w:val="00587B5B"/>
    <w:rsid w:val="00587D9F"/>
    <w:rsid w:val="00587DC3"/>
    <w:rsid w:val="00590006"/>
    <w:rsid w:val="005901F5"/>
    <w:rsid w:val="0059037D"/>
    <w:rsid w:val="005903F5"/>
    <w:rsid w:val="00590415"/>
    <w:rsid w:val="005904BC"/>
    <w:rsid w:val="005904CD"/>
    <w:rsid w:val="005904D6"/>
    <w:rsid w:val="0059060F"/>
    <w:rsid w:val="00590627"/>
    <w:rsid w:val="0059066D"/>
    <w:rsid w:val="005906C5"/>
    <w:rsid w:val="005907E4"/>
    <w:rsid w:val="005907F2"/>
    <w:rsid w:val="00590817"/>
    <w:rsid w:val="0059082E"/>
    <w:rsid w:val="00590875"/>
    <w:rsid w:val="0059089B"/>
    <w:rsid w:val="005908E5"/>
    <w:rsid w:val="00590979"/>
    <w:rsid w:val="005909B0"/>
    <w:rsid w:val="00590A3E"/>
    <w:rsid w:val="00590A41"/>
    <w:rsid w:val="00590AD2"/>
    <w:rsid w:val="00590B68"/>
    <w:rsid w:val="00590C02"/>
    <w:rsid w:val="00590C45"/>
    <w:rsid w:val="00590D46"/>
    <w:rsid w:val="00590D5C"/>
    <w:rsid w:val="00590D94"/>
    <w:rsid w:val="00590ED5"/>
    <w:rsid w:val="00590F07"/>
    <w:rsid w:val="00590F4B"/>
    <w:rsid w:val="00590F8E"/>
    <w:rsid w:val="00590F94"/>
    <w:rsid w:val="00590FF1"/>
    <w:rsid w:val="00591124"/>
    <w:rsid w:val="0059112C"/>
    <w:rsid w:val="00591205"/>
    <w:rsid w:val="00591248"/>
    <w:rsid w:val="0059124C"/>
    <w:rsid w:val="005912B9"/>
    <w:rsid w:val="0059130A"/>
    <w:rsid w:val="005914C1"/>
    <w:rsid w:val="0059153F"/>
    <w:rsid w:val="005915BB"/>
    <w:rsid w:val="005915FD"/>
    <w:rsid w:val="0059161F"/>
    <w:rsid w:val="00591759"/>
    <w:rsid w:val="00591814"/>
    <w:rsid w:val="0059189A"/>
    <w:rsid w:val="0059199F"/>
    <w:rsid w:val="00591A74"/>
    <w:rsid w:val="00591AFC"/>
    <w:rsid w:val="00591BE0"/>
    <w:rsid w:val="00591CEF"/>
    <w:rsid w:val="00591E65"/>
    <w:rsid w:val="00592093"/>
    <w:rsid w:val="005920B6"/>
    <w:rsid w:val="00592125"/>
    <w:rsid w:val="00592201"/>
    <w:rsid w:val="00592208"/>
    <w:rsid w:val="005922A7"/>
    <w:rsid w:val="005923DC"/>
    <w:rsid w:val="0059250A"/>
    <w:rsid w:val="00592638"/>
    <w:rsid w:val="005926E7"/>
    <w:rsid w:val="00592732"/>
    <w:rsid w:val="00592835"/>
    <w:rsid w:val="005928E0"/>
    <w:rsid w:val="00592999"/>
    <w:rsid w:val="00592A7D"/>
    <w:rsid w:val="00592AA6"/>
    <w:rsid w:val="00592AB2"/>
    <w:rsid w:val="00592B32"/>
    <w:rsid w:val="00592BAB"/>
    <w:rsid w:val="00592C80"/>
    <w:rsid w:val="00592C8B"/>
    <w:rsid w:val="00592CC0"/>
    <w:rsid w:val="00592CD8"/>
    <w:rsid w:val="00592D70"/>
    <w:rsid w:val="00592DBD"/>
    <w:rsid w:val="00592E2F"/>
    <w:rsid w:val="00592E97"/>
    <w:rsid w:val="00592FA7"/>
    <w:rsid w:val="00593138"/>
    <w:rsid w:val="005931AB"/>
    <w:rsid w:val="00593293"/>
    <w:rsid w:val="005933D7"/>
    <w:rsid w:val="005934AE"/>
    <w:rsid w:val="005934C2"/>
    <w:rsid w:val="00593849"/>
    <w:rsid w:val="00593868"/>
    <w:rsid w:val="00593934"/>
    <w:rsid w:val="00593981"/>
    <w:rsid w:val="005939A5"/>
    <w:rsid w:val="00593A33"/>
    <w:rsid w:val="00593A8B"/>
    <w:rsid w:val="00593C19"/>
    <w:rsid w:val="00593C58"/>
    <w:rsid w:val="00593D0E"/>
    <w:rsid w:val="00593D1E"/>
    <w:rsid w:val="00593D29"/>
    <w:rsid w:val="00593D8A"/>
    <w:rsid w:val="00593E1D"/>
    <w:rsid w:val="00593E5D"/>
    <w:rsid w:val="00593EDB"/>
    <w:rsid w:val="005940C7"/>
    <w:rsid w:val="00594137"/>
    <w:rsid w:val="00594155"/>
    <w:rsid w:val="005942E1"/>
    <w:rsid w:val="00594410"/>
    <w:rsid w:val="0059442F"/>
    <w:rsid w:val="00594570"/>
    <w:rsid w:val="00594572"/>
    <w:rsid w:val="0059460B"/>
    <w:rsid w:val="005946BB"/>
    <w:rsid w:val="00594740"/>
    <w:rsid w:val="005947B5"/>
    <w:rsid w:val="0059485E"/>
    <w:rsid w:val="00594879"/>
    <w:rsid w:val="00594886"/>
    <w:rsid w:val="005948EB"/>
    <w:rsid w:val="005948F6"/>
    <w:rsid w:val="00594A4A"/>
    <w:rsid w:val="00594ABB"/>
    <w:rsid w:val="00594AE6"/>
    <w:rsid w:val="00594B52"/>
    <w:rsid w:val="00594CAC"/>
    <w:rsid w:val="00594E9F"/>
    <w:rsid w:val="00594F78"/>
    <w:rsid w:val="00595004"/>
    <w:rsid w:val="00595061"/>
    <w:rsid w:val="005950D5"/>
    <w:rsid w:val="00595122"/>
    <w:rsid w:val="00595184"/>
    <w:rsid w:val="00595278"/>
    <w:rsid w:val="00595350"/>
    <w:rsid w:val="005953A3"/>
    <w:rsid w:val="005953C9"/>
    <w:rsid w:val="00595442"/>
    <w:rsid w:val="005954B7"/>
    <w:rsid w:val="00595614"/>
    <w:rsid w:val="0059561A"/>
    <w:rsid w:val="00595894"/>
    <w:rsid w:val="00595925"/>
    <w:rsid w:val="005959E8"/>
    <w:rsid w:val="00595AFF"/>
    <w:rsid w:val="00595B61"/>
    <w:rsid w:val="00595B83"/>
    <w:rsid w:val="00595C51"/>
    <w:rsid w:val="00595D16"/>
    <w:rsid w:val="00595D47"/>
    <w:rsid w:val="00595D80"/>
    <w:rsid w:val="00595E12"/>
    <w:rsid w:val="00595E14"/>
    <w:rsid w:val="00595E1E"/>
    <w:rsid w:val="00595E25"/>
    <w:rsid w:val="00595EF3"/>
    <w:rsid w:val="00595F44"/>
    <w:rsid w:val="00595FE6"/>
    <w:rsid w:val="0059602F"/>
    <w:rsid w:val="00596060"/>
    <w:rsid w:val="005960BB"/>
    <w:rsid w:val="0059610F"/>
    <w:rsid w:val="00596229"/>
    <w:rsid w:val="00596265"/>
    <w:rsid w:val="00596367"/>
    <w:rsid w:val="005963FD"/>
    <w:rsid w:val="00596434"/>
    <w:rsid w:val="00596489"/>
    <w:rsid w:val="005964C2"/>
    <w:rsid w:val="00596572"/>
    <w:rsid w:val="005965EA"/>
    <w:rsid w:val="00596601"/>
    <w:rsid w:val="0059669B"/>
    <w:rsid w:val="005966F1"/>
    <w:rsid w:val="005967E9"/>
    <w:rsid w:val="005968C3"/>
    <w:rsid w:val="005968D5"/>
    <w:rsid w:val="005969AA"/>
    <w:rsid w:val="00596C9E"/>
    <w:rsid w:val="00596CBD"/>
    <w:rsid w:val="00596D65"/>
    <w:rsid w:val="00597037"/>
    <w:rsid w:val="0059706C"/>
    <w:rsid w:val="00597122"/>
    <w:rsid w:val="00597192"/>
    <w:rsid w:val="0059724C"/>
    <w:rsid w:val="005972BD"/>
    <w:rsid w:val="005972BF"/>
    <w:rsid w:val="00597304"/>
    <w:rsid w:val="00597407"/>
    <w:rsid w:val="005974FA"/>
    <w:rsid w:val="00597523"/>
    <w:rsid w:val="0059757F"/>
    <w:rsid w:val="005975B9"/>
    <w:rsid w:val="005975BB"/>
    <w:rsid w:val="0059761B"/>
    <w:rsid w:val="00597638"/>
    <w:rsid w:val="005976F6"/>
    <w:rsid w:val="00597717"/>
    <w:rsid w:val="00597796"/>
    <w:rsid w:val="00597814"/>
    <w:rsid w:val="005979FB"/>
    <w:rsid w:val="00597A07"/>
    <w:rsid w:val="00597ADD"/>
    <w:rsid w:val="00597B36"/>
    <w:rsid w:val="00597B63"/>
    <w:rsid w:val="00597C3B"/>
    <w:rsid w:val="00597C46"/>
    <w:rsid w:val="00597D94"/>
    <w:rsid w:val="00597EA2"/>
    <w:rsid w:val="00597F54"/>
    <w:rsid w:val="00597F84"/>
    <w:rsid w:val="00597F95"/>
    <w:rsid w:val="00597FDF"/>
    <w:rsid w:val="005A0003"/>
    <w:rsid w:val="005A00B0"/>
    <w:rsid w:val="005A025A"/>
    <w:rsid w:val="005A027B"/>
    <w:rsid w:val="005A0384"/>
    <w:rsid w:val="005A0412"/>
    <w:rsid w:val="005A0423"/>
    <w:rsid w:val="005A0496"/>
    <w:rsid w:val="005A0548"/>
    <w:rsid w:val="005A061A"/>
    <w:rsid w:val="005A0688"/>
    <w:rsid w:val="005A0736"/>
    <w:rsid w:val="005A0862"/>
    <w:rsid w:val="005A096D"/>
    <w:rsid w:val="005A0A0C"/>
    <w:rsid w:val="005A0A3E"/>
    <w:rsid w:val="005A0AEE"/>
    <w:rsid w:val="005A0BA1"/>
    <w:rsid w:val="005A0BC9"/>
    <w:rsid w:val="005A0D9D"/>
    <w:rsid w:val="005A0E7D"/>
    <w:rsid w:val="005A0ED1"/>
    <w:rsid w:val="005A0EDB"/>
    <w:rsid w:val="005A0FEC"/>
    <w:rsid w:val="005A1082"/>
    <w:rsid w:val="005A108C"/>
    <w:rsid w:val="005A108F"/>
    <w:rsid w:val="005A1170"/>
    <w:rsid w:val="005A1184"/>
    <w:rsid w:val="005A119B"/>
    <w:rsid w:val="005A11CA"/>
    <w:rsid w:val="005A11F1"/>
    <w:rsid w:val="005A130E"/>
    <w:rsid w:val="005A143A"/>
    <w:rsid w:val="005A1472"/>
    <w:rsid w:val="005A150B"/>
    <w:rsid w:val="005A155C"/>
    <w:rsid w:val="005A1574"/>
    <w:rsid w:val="005A15AE"/>
    <w:rsid w:val="005A164B"/>
    <w:rsid w:val="005A168B"/>
    <w:rsid w:val="005A17C0"/>
    <w:rsid w:val="005A1A02"/>
    <w:rsid w:val="005A1A8F"/>
    <w:rsid w:val="005A1C8E"/>
    <w:rsid w:val="005A1D42"/>
    <w:rsid w:val="005A1D68"/>
    <w:rsid w:val="005A1D85"/>
    <w:rsid w:val="005A1DC3"/>
    <w:rsid w:val="005A1E1A"/>
    <w:rsid w:val="005A1E1F"/>
    <w:rsid w:val="005A1E87"/>
    <w:rsid w:val="005A1F9C"/>
    <w:rsid w:val="005A1FC7"/>
    <w:rsid w:val="005A2174"/>
    <w:rsid w:val="005A223C"/>
    <w:rsid w:val="005A22A9"/>
    <w:rsid w:val="005A2309"/>
    <w:rsid w:val="005A2363"/>
    <w:rsid w:val="005A23D4"/>
    <w:rsid w:val="005A24A8"/>
    <w:rsid w:val="005A250C"/>
    <w:rsid w:val="005A251B"/>
    <w:rsid w:val="005A2597"/>
    <w:rsid w:val="005A25E2"/>
    <w:rsid w:val="005A2615"/>
    <w:rsid w:val="005A2684"/>
    <w:rsid w:val="005A27F7"/>
    <w:rsid w:val="005A282A"/>
    <w:rsid w:val="005A283F"/>
    <w:rsid w:val="005A2A3B"/>
    <w:rsid w:val="005A2A45"/>
    <w:rsid w:val="005A2AE9"/>
    <w:rsid w:val="005A2BCE"/>
    <w:rsid w:val="005A2EBB"/>
    <w:rsid w:val="005A2FA1"/>
    <w:rsid w:val="005A3111"/>
    <w:rsid w:val="005A31AA"/>
    <w:rsid w:val="005A32E6"/>
    <w:rsid w:val="005A338C"/>
    <w:rsid w:val="005A33D4"/>
    <w:rsid w:val="005A3494"/>
    <w:rsid w:val="005A3592"/>
    <w:rsid w:val="005A36A3"/>
    <w:rsid w:val="005A375D"/>
    <w:rsid w:val="005A3813"/>
    <w:rsid w:val="005A381C"/>
    <w:rsid w:val="005A3883"/>
    <w:rsid w:val="005A3A15"/>
    <w:rsid w:val="005A3A40"/>
    <w:rsid w:val="005A3AA6"/>
    <w:rsid w:val="005A3C45"/>
    <w:rsid w:val="005A3C71"/>
    <w:rsid w:val="005A3D33"/>
    <w:rsid w:val="005A3D71"/>
    <w:rsid w:val="005A3DB9"/>
    <w:rsid w:val="005A3DC2"/>
    <w:rsid w:val="005A3E54"/>
    <w:rsid w:val="005A3F23"/>
    <w:rsid w:val="005A3F2D"/>
    <w:rsid w:val="005A3F3A"/>
    <w:rsid w:val="005A3F4B"/>
    <w:rsid w:val="005A3F7E"/>
    <w:rsid w:val="005A3FE6"/>
    <w:rsid w:val="005A3FFC"/>
    <w:rsid w:val="005A4047"/>
    <w:rsid w:val="005A4061"/>
    <w:rsid w:val="005A40BB"/>
    <w:rsid w:val="005A40D9"/>
    <w:rsid w:val="005A41E9"/>
    <w:rsid w:val="005A4384"/>
    <w:rsid w:val="005A43F8"/>
    <w:rsid w:val="005A4559"/>
    <w:rsid w:val="005A45C1"/>
    <w:rsid w:val="005A4605"/>
    <w:rsid w:val="005A4625"/>
    <w:rsid w:val="005A4770"/>
    <w:rsid w:val="005A4824"/>
    <w:rsid w:val="005A494F"/>
    <w:rsid w:val="005A4955"/>
    <w:rsid w:val="005A49CB"/>
    <w:rsid w:val="005A4A23"/>
    <w:rsid w:val="005A4AEB"/>
    <w:rsid w:val="005A4C1A"/>
    <w:rsid w:val="005A4C20"/>
    <w:rsid w:val="005A4C7F"/>
    <w:rsid w:val="005A4CFA"/>
    <w:rsid w:val="005A4D66"/>
    <w:rsid w:val="005A4D88"/>
    <w:rsid w:val="005A4FFD"/>
    <w:rsid w:val="005A5101"/>
    <w:rsid w:val="005A51BC"/>
    <w:rsid w:val="005A51C0"/>
    <w:rsid w:val="005A5275"/>
    <w:rsid w:val="005A52A8"/>
    <w:rsid w:val="005A52C4"/>
    <w:rsid w:val="005A53C0"/>
    <w:rsid w:val="005A5403"/>
    <w:rsid w:val="005A5554"/>
    <w:rsid w:val="005A55A8"/>
    <w:rsid w:val="005A5619"/>
    <w:rsid w:val="005A56D3"/>
    <w:rsid w:val="005A570F"/>
    <w:rsid w:val="005A57F3"/>
    <w:rsid w:val="005A57F7"/>
    <w:rsid w:val="005A57F9"/>
    <w:rsid w:val="005A584F"/>
    <w:rsid w:val="005A588E"/>
    <w:rsid w:val="005A58A3"/>
    <w:rsid w:val="005A5939"/>
    <w:rsid w:val="005A5951"/>
    <w:rsid w:val="005A5AEC"/>
    <w:rsid w:val="005A5B0C"/>
    <w:rsid w:val="005A5B1A"/>
    <w:rsid w:val="005A5B9A"/>
    <w:rsid w:val="005A5C5B"/>
    <w:rsid w:val="005A5C6C"/>
    <w:rsid w:val="005A5D92"/>
    <w:rsid w:val="005A5E5A"/>
    <w:rsid w:val="005A5F0B"/>
    <w:rsid w:val="005A5F1E"/>
    <w:rsid w:val="005A5FC7"/>
    <w:rsid w:val="005A6076"/>
    <w:rsid w:val="005A6144"/>
    <w:rsid w:val="005A6175"/>
    <w:rsid w:val="005A61AF"/>
    <w:rsid w:val="005A62E3"/>
    <w:rsid w:val="005A62EA"/>
    <w:rsid w:val="005A6387"/>
    <w:rsid w:val="005A6521"/>
    <w:rsid w:val="005A67E5"/>
    <w:rsid w:val="005A6841"/>
    <w:rsid w:val="005A68E6"/>
    <w:rsid w:val="005A693B"/>
    <w:rsid w:val="005A696F"/>
    <w:rsid w:val="005A69C5"/>
    <w:rsid w:val="005A6B1D"/>
    <w:rsid w:val="005A6C44"/>
    <w:rsid w:val="005A6C5B"/>
    <w:rsid w:val="005A6C7B"/>
    <w:rsid w:val="005A6CC3"/>
    <w:rsid w:val="005A6CCF"/>
    <w:rsid w:val="005A6D20"/>
    <w:rsid w:val="005A6D4F"/>
    <w:rsid w:val="005A6D5C"/>
    <w:rsid w:val="005A6D60"/>
    <w:rsid w:val="005A6D83"/>
    <w:rsid w:val="005A6D93"/>
    <w:rsid w:val="005A6E62"/>
    <w:rsid w:val="005A7012"/>
    <w:rsid w:val="005A70FB"/>
    <w:rsid w:val="005A7119"/>
    <w:rsid w:val="005A718C"/>
    <w:rsid w:val="005A7348"/>
    <w:rsid w:val="005A7376"/>
    <w:rsid w:val="005A73AB"/>
    <w:rsid w:val="005A73C2"/>
    <w:rsid w:val="005A742E"/>
    <w:rsid w:val="005A7435"/>
    <w:rsid w:val="005A75EA"/>
    <w:rsid w:val="005A7728"/>
    <w:rsid w:val="005A77D0"/>
    <w:rsid w:val="005A798B"/>
    <w:rsid w:val="005A79D9"/>
    <w:rsid w:val="005A79FB"/>
    <w:rsid w:val="005A7A5E"/>
    <w:rsid w:val="005A7B1A"/>
    <w:rsid w:val="005A7BB5"/>
    <w:rsid w:val="005A7CED"/>
    <w:rsid w:val="005A7CFD"/>
    <w:rsid w:val="005A7DAC"/>
    <w:rsid w:val="005A7DCD"/>
    <w:rsid w:val="005A7E37"/>
    <w:rsid w:val="005B0143"/>
    <w:rsid w:val="005B0160"/>
    <w:rsid w:val="005B028D"/>
    <w:rsid w:val="005B02B8"/>
    <w:rsid w:val="005B0318"/>
    <w:rsid w:val="005B03DB"/>
    <w:rsid w:val="005B041C"/>
    <w:rsid w:val="005B0498"/>
    <w:rsid w:val="005B05AA"/>
    <w:rsid w:val="005B06A0"/>
    <w:rsid w:val="005B082F"/>
    <w:rsid w:val="005B09C7"/>
    <w:rsid w:val="005B0AED"/>
    <w:rsid w:val="005B0BCD"/>
    <w:rsid w:val="005B0BF6"/>
    <w:rsid w:val="005B0C15"/>
    <w:rsid w:val="005B0CA7"/>
    <w:rsid w:val="005B0CDC"/>
    <w:rsid w:val="005B0CE7"/>
    <w:rsid w:val="005B0D20"/>
    <w:rsid w:val="005B0E23"/>
    <w:rsid w:val="005B0EA8"/>
    <w:rsid w:val="005B0F9A"/>
    <w:rsid w:val="005B1148"/>
    <w:rsid w:val="005B1338"/>
    <w:rsid w:val="005B13F7"/>
    <w:rsid w:val="005B14E8"/>
    <w:rsid w:val="005B1684"/>
    <w:rsid w:val="005B168B"/>
    <w:rsid w:val="005B169E"/>
    <w:rsid w:val="005B16BB"/>
    <w:rsid w:val="005B1768"/>
    <w:rsid w:val="005B17CF"/>
    <w:rsid w:val="005B17F9"/>
    <w:rsid w:val="005B187B"/>
    <w:rsid w:val="005B18CD"/>
    <w:rsid w:val="005B190F"/>
    <w:rsid w:val="005B1979"/>
    <w:rsid w:val="005B1A05"/>
    <w:rsid w:val="005B1ABC"/>
    <w:rsid w:val="005B1AD8"/>
    <w:rsid w:val="005B1BD8"/>
    <w:rsid w:val="005B1BF6"/>
    <w:rsid w:val="005B1C07"/>
    <w:rsid w:val="005B1CC2"/>
    <w:rsid w:val="005B1CDB"/>
    <w:rsid w:val="005B1DAE"/>
    <w:rsid w:val="005B1EC6"/>
    <w:rsid w:val="005B1F43"/>
    <w:rsid w:val="005B1F75"/>
    <w:rsid w:val="005B1F8C"/>
    <w:rsid w:val="005B1FB9"/>
    <w:rsid w:val="005B1FBD"/>
    <w:rsid w:val="005B1FD7"/>
    <w:rsid w:val="005B1FE4"/>
    <w:rsid w:val="005B200E"/>
    <w:rsid w:val="005B20E5"/>
    <w:rsid w:val="005B218F"/>
    <w:rsid w:val="005B21CE"/>
    <w:rsid w:val="005B2376"/>
    <w:rsid w:val="005B239B"/>
    <w:rsid w:val="005B23A8"/>
    <w:rsid w:val="005B23CC"/>
    <w:rsid w:val="005B2418"/>
    <w:rsid w:val="005B2454"/>
    <w:rsid w:val="005B2471"/>
    <w:rsid w:val="005B2481"/>
    <w:rsid w:val="005B2631"/>
    <w:rsid w:val="005B268D"/>
    <w:rsid w:val="005B26B1"/>
    <w:rsid w:val="005B273F"/>
    <w:rsid w:val="005B2929"/>
    <w:rsid w:val="005B294E"/>
    <w:rsid w:val="005B2A5A"/>
    <w:rsid w:val="005B2A7D"/>
    <w:rsid w:val="005B2AFB"/>
    <w:rsid w:val="005B2AFE"/>
    <w:rsid w:val="005B2B0D"/>
    <w:rsid w:val="005B2B2A"/>
    <w:rsid w:val="005B2C26"/>
    <w:rsid w:val="005B2D2A"/>
    <w:rsid w:val="005B2D93"/>
    <w:rsid w:val="005B2D9A"/>
    <w:rsid w:val="005B2E18"/>
    <w:rsid w:val="005B2E4A"/>
    <w:rsid w:val="005B2E4E"/>
    <w:rsid w:val="005B2F3E"/>
    <w:rsid w:val="005B2F86"/>
    <w:rsid w:val="005B2FC0"/>
    <w:rsid w:val="005B3038"/>
    <w:rsid w:val="005B3059"/>
    <w:rsid w:val="005B30B0"/>
    <w:rsid w:val="005B30BD"/>
    <w:rsid w:val="005B3102"/>
    <w:rsid w:val="005B3166"/>
    <w:rsid w:val="005B32A3"/>
    <w:rsid w:val="005B332E"/>
    <w:rsid w:val="005B3432"/>
    <w:rsid w:val="005B34BD"/>
    <w:rsid w:val="005B3630"/>
    <w:rsid w:val="005B3640"/>
    <w:rsid w:val="005B3675"/>
    <w:rsid w:val="005B36DE"/>
    <w:rsid w:val="005B372D"/>
    <w:rsid w:val="005B37C2"/>
    <w:rsid w:val="005B38F4"/>
    <w:rsid w:val="005B3B62"/>
    <w:rsid w:val="005B3B8E"/>
    <w:rsid w:val="005B3BBE"/>
    <w:rsid w:val="005B3BD6"/>
    <w:rsid w:val="005B3CA1"/>
    <w:rsid w:val="005B3CAB"/>
    <w:rsid w:val="005B3DE8"/>
    <w:rsid w:val="005B3F90"/>
    <w:rsid w:val="005B3FC0"/>
    <w:rsid w:val="005B3FD8"/>
    <w:rsid w:val="005B402D"/>
    <w:rsid w:val="005B4056"/>
    <w:rsid w:val="005B408E"/>
    <w:rsid w:val="005B4103"/>
    <w:rsid w:val="005B41A0"/>
    <w:rsid w:val="005B4321"/>
    <w:rsid w:val="005B439F"/>
    <w:rsid w:val="005B43A9"/>
    <w:rsid w:val="005B44E1"/>
    <w:rsid w:val="005B46DE"/>
    <w:rsid w:val="005B47AB"/>
    <w:rsid w:val="005B47BC"/>
    <w:rsid w:val="005B486E"/>
    <w:rsid w:val="005B4886"/>
    <w:rsid w:val="005B48EB"/>
    <w:rsid w:val="005B48F3"/>
    <w:rsid w:val="005B496F"/>
    <w:rsid w:val="005B49CF"/>
    <w:rsid w:val="005B4A4E"/>
    <w:rsid w:val="005B4A75"/>
    <w:rsid w:val="005B4B5E"/>
    <w:rsid w:val="005B4B97"/>
    <w:rsid w:val="005B4C39"/>
    <w:rsid w:val="005B4CA3"/>
    <w:rsid w:val="005B4D33"/>
    <w:rsid w:val="005B4DE1"/>
    <w:rsid w:val="005B4E9B"/>
    <w:rsid w:val="005B5046"/>
    <w:rsid w:val="005B50FF"/>
    <w:rsid w:val="005B5117"/>
    <w:rsid w:val="005B522D"/>
    <w:rsid w:val="005B52B9"/>
    <w:rsid w:val="005B534C"/>
    <w:rsid w:val="005B53A3"/>
    <w:rsid w:val="005B5446"/>
    <w:rsid w:val="005B5479"/>
    <w:rsid w:val="005B55D7"/>
    <w:rsid w:val="005B55E5"/>
    <w:rsid w:val="005B56F0"/>
    <w:rsid w:val="005B5899"/>
    <w:rsid w:val="005B590B"/>
    <w:rsid w:val="005B59E4"/>
    <w:rsid w:val="005B5AE6"/>
    <w:rsid w:val="005B5B1D"/>
    <w:rsid w:val="005B5B48"/>
    <w:rsid w:val="005B5CBC"/>
    <w:rsid w:val="005B5D40"/>
    <w:rsid w:val="005B5D50"/>
    <w:rsid w:val="005B5D5F"/>
    <w:rsid w:val="005B5DBC"/>
    <w:rsid w:val="005B5E0A"/>
    <w:rsid w:val="005B5E3C"/>
    <w:rsid w:val="005B5E43"/>
    <w:rsid w:val="005B5EDF"/>
    <w:rsid w:val="005B5F40"/>
    <w:rsid w:val="005B6042"/>
    <w:rsid w:val="005B6074"/>
    <w:rsid w:val="005B60A7"/>
    <w:rsid w:val="005B617A"/>
    <w:rsid w:val="005B62A3"/>
    <w:rsid w:val="005B62FC"/>
    <w:rsid w:val="005B6573"/>
    <w:rsid w:val="005B660E"/>
    <w:rsid w:val="005B6656"/>
    <w:rsid w:val="005B66DB"/>
    <w:rsid w:val="005B681A"/>
    <w:rsid w:val="005B68C1"/>
    <w:rsid w:val="005B69F2"/>
    <w:rsid w:val="005B6A69"/>
    <w:rsid w:val="005B6AEC"/>
    <w:rsid w:val="005B6C84"/>
    <w:rsid w:val="005B6CC9"/>
    <w:rsid w:val="005B6DC3"/>
    <w:rsid w:val="005B6EA7"/>
    <w:rsid w:val="005B6F05"/>
    <w:rsid w:val="005B6FE4"/>
    <w:rsid w:val="005B700A"/>
    <w:rsid w:val="005B706B"/>
    <w:rsid w:val="005B707B"/>
    <w:rsid w:val="005B70B5"/>
    <w:rsid w:val="005B70C7"/>
    <w:rsid w:val="005B7216"/>
    <w:rsid w:val="005B732B"/>
    <w:rsid w:val="005B7368"/>
    <w:rsid w:val="005B73AE"/>
    <w:rsid w:val="005B73D9"/>
    <w:rsid w:val="005B741A"/>
    <w:rsid w:val="005B7431"/>
    <w:rsid w:val="005B7485"/>
    <w:rsid w:val="005B7527"/>
    <w:rsid w:val="005B7613"/>
    <w:rsid w:val="005B7841"/>
    <w:rsid w:val="005B784A"/>
    <w:rsid w:val="005B7865"/>
    <w:rsid w:val="005B7941"/>
    <w:rsid w:val="005B79A3"/>
    <w:rsid w:val="005B7ACB"/>
    <w:rsid w:val="005B7AFA"/>
    <w:rsid w:val="005B7B3D"/>
    <w:rsid w:val="005B7B47"/>
    <w:rsid w:val="005B7BB6"/>
    <w:rsid w:val="005B7C08"/>
    <w:rsid w:val="005B7C3D"/>
    <w:rsid w:val="005B7D16"/>
    <w:rsid w:val="005B7D6C"/>
    <w:rsid w:val="005B7DB1"/>
    <w:rsid w:val="005B7EED"/>
    <w:rsid w:val="005B7F92"/>
    <w:rsid w:val="005B7FC0"/>
    <w:rsid w:val="005B7FDB"/>
    <w:rsid w:val="005C00CD"/>
    <w:rsid w:val="005C031F"/>
    <w:rsid w:val="005C036D"/>
    <w:rsid w:val="005C038E"/>
    <w:rsid w:val="005C03F2"/>
    <w:rsid w:val="005C058B"/>
    <w:rsid w:val="005C05E8"/>
    <w:rsid w:val="005C063F"/>
    <w:rsid w:val="005C0877"/>
    <w:rsid w:val="005C0A4E"/>
    <w:rsid w:val="005C0A68"/>
    <w:rsid w:val="005C0AD6"/>
    <w:rsid w:val="005C0BB7"/>
    <w:rsid w:val="005C0C20"/>
    <w:rsid w:val="005C0CF4"/>
    <w:rsid w:val="005C0D64"/>
    <w:rsid w:val="005C0D7B"/>
    <w:rsid w:val="005C0E3E"/>
    <w:rsid w:val="005C0E75"/>
    <w:rsid w:val="005C0F2B"/>
    <w:rsid w:val="005C0F91"/>
    <w:rsid w:val="005C10F1"/>
    <w:rsid w:val="005C111F"/>
    <w:rsid w:val="005C12E1"/>
    <w:rsid w:val="005C1349"/>
    <w:rsid w:val="005C13D3"/>
    <w:rsid w:val="005C140C"/>
    <w:rsid w:val="005C144B"/>
    <w:rsid w:val="005C14AD"/>
    <w:rsid w:val="005C14FD"/>
    <w:rsid w:val="005C1573"/>
    <w:rsid w:val="005C17EA"/>
    <w:rsid w:val="005C1A60"/>
    <w:rsid w:val="005C1ADA"/>
    <w:rsid w:val="005C1BBF"/>
    <w:rsid w:val="005C1C73"/>
    <w:rsid w:val="005C1E5E"/>
    <w:rsid w:val="005C1E7F"/>
    <w:rsid w:val="005C1F7F"/>
    <w:rsid w:val="005C1F99"/>
    <w:rsid w:val="005C2011"/>
    <w:rsid w:val="005C2096"/>
    <w:rsid w:val="005C2103"/>
    <w:rsid w:val="005C2354"/>
    <w:rsid w:val="005C23C5"/>
    <w:rsid w:val="005C247B"/>
    <w:rsid w:val="005C248F"/>
    <w:rsid w:val="005C24CA"/>
    <w:rsid w:val="005C2578"/>
    <w:rsid w:val="005C25FF"/>
    <w:rsid w:val="005C26F5"/>
    <w:rsid w:val="005C272B"/>
    <w:rsid w:val="005C2733"/>
    <w:rsid w:val="005C2741"/>
    <w:rsid w:val="005C27AE"/>
    <w:rsid w:val="005C27D1"/>
    <w:rsid w:val="005C27D5"/>
    <w:rsid w:val="005C27DE"/>
    <w:rsid w:val="005C27EB"/>
    <w:rsid w:val="005C2843"/>
    <w:rsid w:val="005C28CC"/>
    <w:rsid w:val="005C2936"/>
    <w:rsid w:val="005C2942"/>
    <w:rsid w:val="005C297A"/>
    <w:rsid w:val="005C2A6C"/>
    <w:rsid w:val="005C2B5A"/>
    <w:rsid w:val="005C2D84"/>
    <w:rsid w:val="005C2E24"/>
    <w:rsid w:val="005C2EBB"/>
    <w:rsid w:val="005C2F0F"/>
    <w:rsid w:val="005C2F52"/>
    <w:rsid w:val="005C30E6"/>
    <w:rsid w:val="005C314D"/>
    <w:rsid w:val="005C3247"/>
    <w:rsid w:val="005C32C9"/>
    <w:rsid w:val="005C32D9"/>
    <w:rsid w:val="005C341E"/>
    <w:rsid w:val="005C35DD"/>
    <w:rsid w:val="005C3604"/>
    <w:rsid w:val="005C364F"/>
    <w:rsid w:val="005C377E"/>
    <w:rsid w:val="005C3809"/>
    <w:rsid w:val="005C381B"/>
    <w:rsid w:val="005C3BB2"/>
    <w:rsid w:val="005C3BB5"/>
    <w:rsid w:val="005C3BF7"/>
    <w:rsid w:val="005C3C02"/>
    <w:rsid w:val="005C3D1A"/>
    <w:rsid w:val="005C3D1F"/>
    <w:rsid w:val="005C3E4F"/>
    <w:rsid w:val="005C3E52"/>
    <w:rsid w:val="005C3E80"/>
    <w:rsid w:val="005C3EAD"/>
    <w:rsid w:val="005C3F1D"/>
    <w:rsid w:val="005C3F27"/>
    <w:rsid w:val="005C3FB9"/>
    <w:rsid w:val="005C40D5"/>
    <w:rsid w:val="005C414A"/>
    <w:rsid w:val="005C4158"/>
    <w:rsid w:val="005C41E0"/>
    <w:rsid w:val="005C42EE"/>
    <w:rsid w:val="005C43DE"/>
    <w:rsid w:val="005C4409"/>
    <w:rsid w:val="005C4414"/>
    <w:rsid w:val="005C45D8"/>
    <w:rsid w:val="005C4637"/>
    <w:rsid w:val="005C466C"/>
    <w:rsid w:val="005C47B9"/>
    <w:rsid w:val="005C47FB"/>
    <w:rsid w:val="005C4828"/>
    <w:rsid w:val="005C48D8"/>
    <w:rsid w:val="005C48D9"/>
    <w:rsid w:val="005C48E7"/>
    <w:rsid w:val="005C49E0"/>
    <w:rsid w:val="005C4A38"/>
    <w:rsid w:val="005C4A50"/>
    <w:rsid w:val="005C4A63"/>
    <w:rsid w:val="005C4A9F"/>
    <w:rsid w:val="005C4B22"/>
    <w:rsid w:val="005C4C0C"/>
    <w:rsid w:val="005C4C35"/>
    <w:rsid w:val="005C4F20"/>
    <w:rsid w:val="005C506D"/>
    <w:rsid w:val="005C5195"/>
    <w:rsid w:val="005C5439"/>
    <w:rsid w:val="005C54AF"/>
    <w:rsid w:val="005C54C3"/>
    <w:rsid w:val="005C558E"/>
    <w:rsid w:val="005C55E5"/>
    <w:rsid w:val="005C578D"/>
    <w:rsid w:val="005C57D9"/>
    <w:rsid w:val="005C58B8"/>
    <w:rsid w:val="005C5933"/>
    <w:rsid w:val="005C59C2"/>
    <w:rsid w:val="005C5AA1"/>
    <w:rsid w:val="005C5B29"/>
    <w:rsid w:val="005C5C37"/>
    <w:rsid w:val="005C5C55"/>
    <w:rsid w:val="005C5CC5"/>
    <w:rsid w:val="005C5D71"/>
    <w:rsid w:val="005C5D95"/>
    <w:rsid w:val="005C5E59"/>
    <w:rsid w:val="005C5EFE"/>
    <w:rsid w:val="005C5F3F"/>
    <w:rsid w:val="005C5F51"/>
    <w:rsid w:val="005C6013"/>
    <w:rsid w:val="005C60AE"/>
    <w:rsid w:val="005C6157"/>
    <w:rsid w:val="005C6197"/>
    <w:rsid w:val="005C6262"/>
    <w:rsid w:val="005C62BF"/>
    <w:rsid w:val="005C643C"/>
    <w:rsid w:val="005C6450"/>
    <w:rsid w:val="005C64E1"/>
    <w:rsid w:val="005C65A2"/>
    <w:rsid w:val="005C6667"/>
    <w:rsid w:val="005C66C9"/>
    <w:rsid w:val="005C66EA"/>
    <w:rsid w:val="005C6803"/>
    <w:rsid w:val="005C6A25"/>
    <w:rsid w:val="005C6AD6"/>
    <w:rsid w:val="005C6BD3"/>
    <w:rsid w:val="005C6BF5"/>
    <w:rsid w:val="005C6CD3"/>
    <w:rsid w:val="005C6CF1"/>
    <w:rsid w:val="005C6F9C"/>
    <w:rsid w:val="005C6FC9"/>
    <w:rsid w:val="005C7032"/>
    <w:rsid w:val="005C706B"/>
    <w:rsid w:val="005C7170"/>
    <w:rsid w:val="005C720D"/>
    <w:rsid w:val="005C7215"/>
    <w:rsid w:val="005C7239"/>
    <w:rsid w:val="005C73C4"/>
    <w:rsid w:val="005C740B"/>
    <w:rsid w:val="005C7419"/>
    <w:rsid w:val="005C7494"/>
    <w:rsid w:val="005C7527"/>
    <w:rsid w:val="005C767D"/>
    <w:rsid w:val="005C773D"/>
    <w:rsid w:val="005C77F3"/>
    <w:rsid w:val="005C78B7"/>
    <w:rsid w:val="005C792B"/>
    <w:rsid w:val="005C7A81"/>
    <w:rsid w:val="005C7B7B"/>
    <w:rsid w:val="005C7BBE"/>
    <w:rsid w:val="005C7C46"/>
    <w:rsid w:val="005C7C66"/>
    <w:rsid w:val="005C7D12"/>
    <w:rsid w:val="005C7D52"/>
    <w:rsid w:val="005C7D5D"/>
    <w:rsid w:val="005C7D7A"/>
    <w:rsid w:val="005C7E3B"/>
    <w:rsid w:val="005C7E4A"/>
    <w:rsid w:val="005C7E89"/>
    <w:rsid w:val="005C7E99"/>
    <w:rsid w:val="005C7FF0"/>
    <w:rsid w:val="005D0039"/>
    <w:rsid w:val="005D00EA"/>
    <w:rsid w:val="005D0108"/>
    <w:rsid w:val="005D0132"/>
    <w:rsid w:val="005D0232"/>
    <w:rsid w:val="005D023B"/>
    <w:rsid w:val="005D0269"/>
    <w:rsid w:val="005D0389"/>
    <w:rsid w:val="005D03BE"/>
    <w:rsid w:val="005D0404"/>
    <w:rsid w:val="005D0445"/>
    <w:rsid w:val="005D04C4"/>
    <w:rsid w:val="005D0584"/>
    <w:rsid w:val="005D0592"/>
    <w:rsid w:val="005D059B"/>
    <w:rsid w:val="005D062B"/>
    <w:rsid w:val="005D06F7"/>
    <w:rsid w:val="005D0740"/>
    <w:rsid w:val="005D0754"/>
    <w:rsid w:val="005D079F"/>
    <w:rsid w:val="005D0A2E"/>
    <w:rsid w:val="005D0AB3"/>
    <w:rsid w:val="005D0BD1"/>
    <w:rsid w:val="005D0C6A"/>
    <w:rsid w:val="005D0C99"/>
    <w:rsid w:val="005D0CDD"/>
    <w:rsid w:val="005D0CE0"/>
    <w:rsid w:val="005D0D22"/>
    <w:rsid w:val="005D0D69"/>
    <w:rsid w:val="005D0DA3"/>
    <w:rsid w:val="005D0E17"/>
    <w:rsid w:val="005D0EC0"/>
    <w:rsid w:val="005D0FBC"/>
    <w:rsid w:val="005D1063"/>
    <w:rsid w:val="005D1359"/>
    <w:rsid w:val="005D149A"/>
    <w:rsid w:val="005D1626"/>
    <w:rsid w:val="005D164F"/>
    <w:rsid w:val="005D172A"/>
    <w:rsid w:val="005D1811"/>
    <w:rsid w:val="005D1883"/>
    <w:rsid w:val="005D18BF"/>
    <w:rsid w:val="005D191E"/>
    <w:rsid w:val="005D1960"/>
    <w:rsid w:val="005D1969"/>
    <w:rsid w:val="005D1B4D"/>
    <w:rsid w:val="005D1B79"/>
    <w:rsid w:val="005D1B8E"/>
    <w:rsid w:val="005D1BA8"/>
    <w:rsid w:val="005D1BE7"/>
    <w:rsid w:val="005D1D69"/>
    <w:rsid w:val="005D1E0C"/>
    <w:rsid w:val="005D1E4E"/>
    <w:rsid w:val="005D1EE5"/>
    <w:rsid w:val="005D1F5B"/>
    <w:rsid w:val="005D1FC7"/>
    <w:rsid w:val="005D2003"/>
    <w:rsid w:val="005D2063"/>
    <w:rsid w:val="005D2270"/>
    <w:rsid w:val="005D227D"/>
    <w:rsid w:val="005D22B6"/>
    <w:rsid w:val="005D22D0"/>
    <w:rsid w:val="005D2304"/>
    <w:rsid w:val="005D2307"/>
    <w:rsid w:val="005D237F"/>
    <w:rsid w:val="005D23AB"/>
    <w:rsid w:val="005D23ED"/>
    <w:rsid w:val="005D244F"/>
    <w:rsid w:val="005D2472"/>
    <w:rsid w:val="005D248D"/>
    <w:rsid w:val="005D256C"/>
    <w:rsid w:val="005D2636"/>
    <w:rsid w:val="005D2637"/>
    <w:rsid w:val="005D268A"/>
    <w:rsid w:val="005D2697"/>
    <w:rsid w:val="005D274B"/>
    <w:rsid w:val="005D27F5"/>
    <w:rsid w:val="005D2802"/>
    <w:rsid w:val="005D28FD"/>
    <w:rsid w:val="005D2906"/>
    <w:rsid w:val="005D2965"/>
    <w:rsid w:val="005D2B05"/>
    <w:rsid w:val="005D2B44"/>
    <w:rsid w:val="005D2C8D"/>
    <w:rsid w:val="005D2DC8"/>
    <w:rsid w:val="005D2E10"/>
    <w:rsid w:val="005D301F"/>
    <w:rsid w:val="005D3108"/>
    <w:rsid w:val="005D3142"/>
    <w:rsid w:val="005D3155"/>
    <w:rsid w:val="005D31A8"/>
    <w:rsid w:val="005D31CA"/>
    <w:rsid w:val="005D3322"/>
    <w:rsid w:val="005D33F1"/>
    <w:rsid w:val="005D33F5"/>
    <w:rsid w:val="005D3497"/>
    <w:rsid w:val="005D34B8"/>
    <w:rsid w:val="005D360C"/>
    <w:rsid w:val="005D363C"/>
    <w:rsid w:val="005D3679"/>
    <w:rsid w:val="005D36AC"/>
    <w:rsid w:val="005D36CF"/>
    <w:rsid w:val="005D377E"/>
    <w:rsid w:val="005D37B5"/>
    <w:rsid w:val="005D37BF"/>
    <w:rsid w:val="005D38E4"/>
    <w:rsid w:val="005D38E9"/>
    <w:rsid w:val="005D38F5"/>
    <w:rsid w:val="005D39B4"/>
    <w:rsid w:val="005D3A04"/>
    <w:rsid w:val="005D3BEB"/>
    <w:rsid w:val="005D3DA2"/>
    <w:rsid w:val="005D3FDB"/>
    <w:rsid w:val="005D3FF2"/>
    <w:rsid w:val="005D3FF9"/>
    <w:rsid w:val="005D404A"/>
    <w:rsid w:val="005D438F"/>
    <w:rsid w:val="005D4483"/>
    <w:rsid w:val="005D4529"/>
    <w:rsid w:val="005D45AE"/>
    <w:rsid w:val="005D45CD"/>
    <w:rsid w:val="005D4616"/>
    <w:rsid w:val="005D469F"/>
    <w:rsid w:val="005D46FF"/>
    <w:rsid w:val="005D471A"/>
    <w:rsid w:val="005D48FE"/>
    <w:rsid w:val="005D4948"/>
    <w:rsid w:val="005D498D"/>
    <w:rsid w:val="005D49DB"/>
    <w:rsid w:val="005D4A1C"/>
    <w:rsid w:val="005D4A4F"/>
    <w:rsid w:val="005D4A75"/>
    <w:rsid w:val="005D4AA3"/>
    <w:rsid w:val="005D4AD4"/>
    <w:rsid w:val="005D4B0D"/>
    <w:rsid w:val="005D4D03"/>
    <w:rsid w:val="005D4D9E"/>
    <w:rsid w:val="005D4F90"/>
    <w:rsid w:val="005D518C"/>
    <w:rsid w:val="005D525C"/>
    <w:rsid w:val="005D5334"/>
    <w:rsid w:val="005D5337"/>
    <w:rsid w:val="005D54EE"/>
    <w:rsid w:val="005D556C"/>
    <w:rsid w:val="005D55B7"/>
    <w:rsid w:val="005D55CF"/>
    <w:rsid w:val="005D58DE"/>
    <w:rsid w:val="005D58F7"/>
    <w:rsid w:val="005D5965"/>
    <w:rsid w:val="005D5A60"/>
    <w:rsid w:val="005D5A69"/>
    <w:rsid w:val="005D5B00"/>
    <w:rsid w:val="005D5B2E"/>
    <w:rsid w:val="005D5B3A"/>
    <w:rsid w:val="005D5DE3"/>
    <w:rsid w:val="005D5DFB"/>
    <w:rsid w:val="005D5E17"/>
    <w:rsid w:val="005D5EE2"/>
    <w:rsid w:val="005D5F15"/>
    <w:rsid w:val="005D5FCD"/>
    <w:rsid w:val="005D6060"/>
    <w:rsid w:val="005D615F"/>
    <w:rsid w:val="005D61C8"/>
    <w:rsid w:val="005D61F1"/>
    <w:rsid w:val="005D6263"/>
    <w:rsid w:val="005D6370"/>
    <w:rsid w:val="005D63B2"/>
    <w:rsid w:val="005D64B7"/>
    <w:rsid w:val="005D64B8"/>
    <w:rsid w:val="005D6560"/>
    <w:rsid w:val="005D65F1"/>
    <w:rsid w:val="005D66D8"/>
    <w:rsid w:val="005D6700"/>
    <w:rsid w:val="005D67FA"/>
    <w:rsid w:val="005D6895"/>
    <w:rsid w:val="005D694C"/>
    <w:rsid w:val="005D6AFB"/>
    <w:rsid w:val="005D6B20"/>
    <w:rsid w:val="005D6B7C"/>
    <w:rsid w:val="005D6C80"/>
    <w:rsid w:val="005D6CE2"/>
    <w:rsid w:val="005D6D58"/>
    <w:rsid w:val="005D6F89"/>
    <w:rsid w:val="005D6FBB"/>
    <w:rsid w:val="005D6FDA"/>
    <w:rsid w:val="005D7037"/>
    <w:rsid w:val="005D7281"/>
    <w:rsid w:val="005D7450"/>
    <w:rsid w:val="005D7471"/>
    <w:rsid w:val="005D7473"/>
    <w:rsid w:val="005D749D"/>
    <w:rsid w:val="005D7591"/>
    <w:rsid w:val="005D7593"/>
    <w:rsid w:val="005D7679"/>
    <w:rsid w:val="005D76D8"/>
    <w:rsid w:val="005D7876"/>
    <w:rsid w:val="005D78C3"/>
    <w:rsid w:val="005D7927"/>
    <w:rsid w:val="005D7975"/>
    <w:rsid w:val="005D797F"/>
    <w:rsid w:val="005D7AA3"/>
    <w:rsid w:val="005D7B69"/>
    <w:rsid w:val="005D7BAB"/>
    <w:rsid w:val="005D7C3B"/>
    <w:rsid w:val="005D7CAB"/>
    <w:rsid w:val="005D7D53"/>
    <w:rsid w:val="005E0255"/>
    <w:rsid w:val="005E02B2"/>
    <w:rsid w:val="005E038C"/>
    <w:rsid w:val="005E0390"/>
    <w:rsid w:val="005E0582"/>
    <w:rsid w:val="005E05F3"/>
    <w:rsid w:val="005E06FA"/>
    <w:rsid w:val="005E0709"/>
    <w:rsid w:val="005E0887"/>
    <w:rsid w:val="005E08B3"/>
    <w:rsid w:val="005E092A"/>
    <w:rsid w:val="005E095E"/>
    <w:rsid w:val="005E0B6B"/>
    <w:rsid w:val="005E0B6D"/>
    <w:rsid w:val="005E0BF6"/>
    <w:rsid w:val="005E0C44"/>
    <w:rsid w:val="005E0C49"/>
    <w:rsid w:val="005E0CDC"/>
    <w:rsid w:val="005E0CFF"/>
    <w:rsid w:val="005E0D21"/>
    <w:rsid w:val="005E0D46"/>
    <w:rsid w:val="005E0D8E"/>
    <w:rsid w:val="005E0DB3"/>
    <w:rsid w:val="005E0DF7"/>
    <w:rsid w:val="005E0DFD"/>
    <w:rsid w:val="005E0E6E"/>
    <w:rsid w:val="005E0E76"/>
    <w:rsid w:val="005E0F01"/>
    <w:rsid w:val="005E0F47"/>
    <w:rsid w:val="005E0FF2"/>
    <w:rsid w:val="005E1039"/>
    <w:rsid w:val="005E1045"/>
    <w:rsid w:val="005E1048"/>
    <w:rsid w:val="005E11C7"/>
    <w:rsid w:val="005E12C4"/>
    <w:rsid w:val="005E1332"/>
    <w:rsid w:val="005E13B1"/>
    <w:rsid w:val="005E13C7"/>
    <w:rsid w:val="005E143F"/>
    <w:rsid w:val="005E149E"/>
    <w:rsid w:val="005E15C2"/>
    <w:rsid w:val="005E15FA"/>
    <w:rsid w:val="005E1680"/>
    <w:rsid w:val="005E17C3"/>
    <w:rsid w:val="005E17D7"/>
    <w:rsid w:val="005E18D4"/>
    <w:rsid w:val="005E192C"/>
    <w:rsid w:val="005E1A35"/>
    <w:rsid w:val="005E1A4F"/>
    <w:rsid w:val="005E1A88"/>
    <w:rsid w:val="005E1B07"/>
    <w:rsid w:val="005E1C28"/>
    <w:rsid w:val="005E1C62"/>
    <w:rsid w:val="005E1CB8"/>
    <w:rsid w:val="005E1E0E"/>
    <w:rsid w:val="005E1EE7"/>
    <w:rsid w:val="005E1F1E"/>
    <w:rsid w:val="005E1F2A"/>
    <w:rsid w:val="005E1F4B"/>
    <w:rsid w:val="005E1FB9"/>
    <w:rsid w:val="005E2253"/>
    <w:rsid w:val="005E225A"/>
    <w:rsid w:val="005E23FC"/>
    <w:rsid w:val="005E2634"/>
    <w:rsid w:val="005E2662"/>
    <w:rsid w:val="005E266A"/>
    <w:rsid w:val="005E268E"/>
    <w:rsid w:val="005E2702"/>
    <w:rsid w:val="005E27CA"/>
    <w:rsid w:val="005E27CD"/>
    <w:rsid w:val="005E2889"/>
    <w:rsid w:val="005E2907"/>
    <w:rsid w:val="005E2A01"/>
    <w:rsid w:val="005E2A1D"/>
    <w:rsid w:val="005E2A70"/>
    <w:rsid w:val="005E2ACE"/>
    <w:rsid w:val="005E2AD8"/>
    <w:rsid w:val="005E2AE6"/>
    <w:rsid w:val="005E2AF9"/>
    <w:rsid w:val="005E2B33"/>
    <w:rsid w:val="005E2B75"/>
    <w:rsid w:val="005E2C38"/>
    <w:rsid w:val="005E2D15"/>
    <w:rsid w:val="005E2D18"/>
    <w:rsid w:val="005E2E47"/>
    <w:rsid w:val="005E30D1"/>
    <w:rsid w:val="005E30E8"/>
    <w:rsid w:val="005E312B"/>
    <w:rsid w:val="005E3162"/>
    <w:rsid w:val="005E3187"/>
    <w:rsid w:val="005E327A"/>
    <w:rsid w:val="005E3285"/>
    <w:rsid w:val="005E3297"/>
    <w:rsid w:val="005E32F4"/>
    <w:rsid w:val="005E3313"/>
    <w:rsid w:val="005E33B3"/>
    <w:rsid w:val="005E35D2"/>
    <w:rsid w:val="005E3688"/>
    <w:rsid w:val="005E3693"/>
    <w:rsid w:val="005E3755"/>
    <w:rsid w:val="005E3A77"/>
    <w:rsid w:val="005E3A7C"/>
    <w:rsid w:val="005E3AA4"/>
    <w:rsid w:val="005E3AFB"/>
    <w:rsid w:val="005E3B3A"/>
    <w:rsid w:val="005E3D05"/>
    <w:rsid w:val="005E3D4D"/>
    <w:rsid w:val="005E3D5B"/>
    <w:rsid w:val="005E3E5D"/>
    <w:rsid w:val="005E3E92"/>
    <w:rsid w:val="005E3EDA"/>
    <w:rsid w:val="005E3EDB"/>
    <w:rsid w:val="005E4020"/>
    <w:rsid w:val="005E4064"/>
    <w:rsid w:val="005E4089"/>
    <w:rsid w:val="005E40C5"/>
    <w:rsid w:val="005E418F"/>
    <w:rsid w:val="005E4257"/>
    <w:rsid w:val="005E4265"/>
    <w:rsid w:val="005E42D2"/>
    <w:rsid w:val="005E4315"/>
    <w:rsid w:val="005E4328"/>
    <w:rsid w:val="005E4387"/>
    <w:rsid w:val="005E438A"/>
    <w:rsid w:val="005E43AE"/>
    <w:rsid w:val="005E43B3"/>
    <w:rsid w:val="005E442D"/>
    <w:rsid w:val="005E4456"/>
    <w:rsid w:val="005E4551"/>
    <w:rsid w:val="005E4597"/>
    <w:rsid w:val="005E4639"/>
    <w:rsid w:val="005E46AF"/>
    <w:rsid w:val="005E46BA"/>
    <w:rsid w:val="005E46E8"/>
    <w:rsid w:val="005E4703"/>
    <w:rsid w:val="005E4805"/>
    <w:rsid w:val="005E48C7"/>
    <w:rsid w:val="005E49ED"/>
    <w:rsid w:val="005E4A4A"/>
    <w:rsid w:val="005E4A5B"/>
    <w:rsid w:val="005E4B1B"/>
    <w:rsid w:val="005E4B8C"/>
    <w:rsid w:val="005E4C40"/>
    <w:rsid w:val="005E4C51"/>
    <w:rsid w:val="005E4C9A"/>
    <w:rsid w:val="005E4CC8"/>
    <w:rsid w:val="005E4D08"/>
    <w:rsid w:val="005E4D42"/>
    <w:rsid w:val="005E4DBB"/>
    <w:rsid w:val="005E4F4D"/>
    <w:rsid w:val="005E5050"/>
    <w:rsid w:val="005E5079"/>
    <w:rsid w:val="005E5100"/>
    <w:rsid w:val="005E5151"/>
    <w:rsid w:val="005E51AF"/>
    <w:rsid w:val="005E523D"/>
    <w:rsid w:val="005E52C0"/>
    <w:rsid w:val="005E537F"/>
    <w:rsid w:val="005E5390"/>
    <w:rsid w:val="005E53D2"/>
    <w:rsid w:val="005E5401"/>
    <w:rsid w:val="005E54DC"/>
    <w:rsid w:val="005E551E"/>
    <w:rsid w:val="005E5606"/>
    <w:rsid w:val="005E584F"/>
    <w:rsid w:val="005E5874"/>
    <w:rsid w:val="005E58E3"/>
    <w:rsid w:val="005E5B63"/>
    <w:rsid w:val="005E5CFB"/>
    <w:rsid w:val="005E5D13"/>
    <w:rsid w:val="005E5D79"/>
    <w:rsid w:val="005E5E50"/>
    <w:rsid w:val="005E5EDA"/>
    <w:rsid w:val="005E5EE6"/>
    <w:rsid w:val="005E5F2B"/>
    <w:rsid w:val="005E5F5F"/>
    <w:rsid w:val="005E6060"/>
    <w:rsid w:val="005E61D9"/>
    <w:rsid w:val="005E6234"/>
    <w:rsid w:val="005E6258"/>
    <w:rsid w:val="005E6367"/>
    <w:rsid w:val="005E6432"/>
    <w:rsid w:val="005E644A"/>
    <w:rsid w:val="005E648F"/>
    <w:rsid w:val="005E64A0"/>
    <w:rsid w:val="005E64FB"/>
    <w:rsid w:val="005E65AE"/>
    <w:rsid w:val="005E661F"/>
    <w:rsid w:val="005E6622"/>
    <w:rsid w:val="005E6693"/>
    <w:rsid w:val="005E67E7"/>
    <w:rsid w:val="005E6898"/>
    <w:rsid w:val="005E68D3"/>
    <w:rsid w:val="005E68E6"/>
    <w:rsid w:val="005E6950"/>
    <w:rsid w:val="005E6AA5"/>
    <w:rsid w:val="005E6C14"/>
    <w:rsid w:val="005E6C33"/>
    <w:rsid w:val="005E6E26"/>
    <w:rsid w:val="005E6FE4"/>
    <w:rsid w:val="005E711A"/>
    <w:rsid w:val="005E7266"/>
    <w:rsid w:val="005E7288"/>
    <w:rsid w:val="005E72EF"/>
    <w:rsid w:val="005E7408"/>
    <w:rsid w:val="005E7581"/>
    <w:rsid w:val="005E75D5"/>
    <w:rsid w:val="005E7696"/>
    <w:rsid w:val="005E785A"/>
    <w:rsid w:val="005E78BE"/>
    <w:rsid w:val="005E78E6"/>
    <w:rsid w:val="005E791F"/>
    <w:rsid w:val="005E7969"/>
    <w:rsid w:val="005E7A01"/>
    <w:rsid w:val="005E7A39"/>
    <w:rsid w:val="005E7AFD"/>
    <w:rsid w:val="005E7C7F"/>
    <w:rsid w:val="005E7CB0"/>
    <w:rsid w:val="005E7CBE"/>
    <w:rsid w:val="005E7D60"/>
    <w:rsid w:val="005E7DBC"/>
    <w:rsid w:val="005E7DDE"/>
    <w:rsid w:val="005E7EA1"/>
    <w:rsid w:val="005E7EB1"/>
    <w:rsid w:val="005E7FA7"/>
    <w:rsid w:val="005F00FD"/>
    <w:rsid w:val="005F0125"/>
    <w:rsid w:val="005F014A"/>
    <w:rsid w:val="005F016B"/>
    <w:rsid w:val="005F01CC"/>
    <w:rsid w:val="005F04C0"/>
    <w:rsid w:val="005F04EC"/>
    <w:rsid w:val="005F0500"/>
    <w:rsid w:val="005F0575"/>
    <w:rsid w:val="005F05E8"/>
    <w:rsid w:val="005F0614"/>
    <w:rsid w:val="005F083B"/>
    <w:rsid w:val="005F08D2"/>
    <w:rsid w:val="005F093B"/>
    <w:rsid w:val="005F09AB"/>
    <w:rsid w:val="005F0AA5"/>
    <w:rsid w:val="005F0B59"/>
    <w:rsid w:val="005F0B78"/>
    <w:rsid w:val="005F0B82"/>
    <w:rsid w:val="005F0BC9"/>
    <w:rsid w:val="005F0C5C"/>
    <w:rsid w:val="005F0CA1"/>
    <w:rsid w:val="005F0CAC"/>
    <w:rsid w:val="005F0DB1"/>
    <w:rsid w:val="005F0E3B"/>
    <w:rsid w:val="005F0E54"/>
    <w:rsid w:val="005F0F80"/>
    <w:rsid w:val="005F10E8"/>
    <w:rsid w:val="005F11CE"/>
    <w:rsid w:val="005F11EA"/>
    <w:rsid w:val="005F1245"/>
    <w:rsid w:val="005F126A"/>
    <w:rsid w:val="005F1334"/>
    <w:rsid w:val="005F13FB"/>
    <w:rsid w:val="005F1500"/>
    <w:rsid w:val="005F1527"/>
    <w:rsid w:val="005F1555"/>
    <w:rsid w:val="005F159B"/>
    <w:rsid w:val="005F1691"/>
    <w:rsid w:val="005F16A1"/>
    <w:rsid w:val="005F16A4"/>
    <w:rsid w:val="005F16F7"/>
    <w:rsid w:val="005F16FE"/>
    <w:rsid w:val="005F1802"/>
    <w:rsid w:val="005F1882"/>
    <w:rsid w:val="005F1890"/>
    <w:rsid w:val="005F198D"/>
    <w:rsid w:val="005F1A0E"/>
    <w:rsid w:val="005F1A82"/>
    <w:rsid w:val="005F1B3C"/>
    <w:rsid w:val="005F1CAE"/>
    <w:rsid w:val="005F1DB9"/>
    <w:rsid w:val="005F1DBF"/>
    <w:rsid w:val="005F1E0F"/>
    <w:rsid w:val="005F1E8E"/>
    <w:rsid w:val="005F1EA5"/>
    <w:rsid w:val="005F1EE2"/>
    <w:rsid w:val="005F1F00"/>
    <w:rsid w:val="005F1F0B"/>
    <w:rsid w:val="005F1F30"/>
    <w:rsid w:val="005F1F45"/>
    <w:rsid w:val="005F1F84"/>
    <w:rsid w:val="005F1FCF"/>
    <w:rsid w:val="005F1FD7"/>
    <w:rsid w:val="005F2235"/>
    <w:rsid w:val="005F257D"/>
    <w:rsid w:val="005F2611"/>
    <w:rsid w:val="005F2644"/>
    <w:rsid w:val="005F26A4"/>
    <w:rsid w:val="005F2978"/>
    <w:rsid w:val="005F2A83"/>
    <w:rsid w:val="005F2B63"/>
    <w:rsid w:val="005F2C2A"/>
    <w:rsid w:val="005F2C9A"/>
    <w:rsid w:val="005F2D3F"/>
    <w:rsid w:val="005F2DAC"/>
    <w:rsid w:val="005F2E47"/>
    <w:rsid w:val="005F2E78"/>
    <w:rsid w:val="005F2ED6"/>
    <w:rsid w:val="005F2F02"/>
    <w:rsid w:val="005F2F7D"/>
    <w:rsid w:val="005F305F"/>
    <w:rsid w:val="005F3150"/>
    <w:rsid w:val="005F31FE"/>
    <w:rsid w:val="005F330F"/>
    <w:rsid w:val="005F33AC"/>
    <w:rsid w:val="005F343F"/>
    <w:rsid w:val="005F34FF"/>
    <w:rsid w:val="005F3629"/>
    <w:rsid w:val="005F3633"/>
    <w:rsid w:val="005F368E"/>
    <w:rsid w:val="005F37E4"/>
    <w:rsid w:val="005F37F3"/>
    <w:rsid w:val="005F3837"/>
    <w:rsid w:val="005F3944"/>
    <w:rsid w:val="005F3958"/>
    <w:rsid w:val="005F3987"/>
    <w:rsid w:val="005F3C48"/>
    <w:rsid w:val="005F3C9A"/>
    <w:rsid w:val="005F3C9D"/>
    <w:rsid w:val="005F3E19"/>
    <w:rsid w:val="005F3ECB"/>
    <w:rsid w:val="005F3F5B"/>
    <w:rsid w:val="005F3FA5"/>
    <w:rsid w:val="005F4043"/>
    <w:rsid w:val="005F4062"/>
    <w:rsid w:val="005F412B"/>
    <w:rsid w:val="005F4173"/>
    <w:rsid w:val="005F419C"/>
    <w:rsid w:val="005F4223"/>
    <w:rsid w:val="005F4228"/>
    <w:rsid w:val="005F441C"/>
    <w:rsid w:val="005F4482"/>
    <w:rsid w:val="005F44C8"/>
    <w:rsid w:val="005F45BD"/>
    <w:rsid w:val="005F462A"/>
    <w:rsid w:val="005F4721"/>
    <w:rsid w:val="005F4735"/>
    <w:rsid w:val="005F4740"/>
    <w:rsid w:val="005F48AA"/>
    <w:rsid w:val="005F48D3"/>
    <w:rsid w:val="005F4ACA"/>
    <w:rsid w:val="005F4BB3"/>
    <w:rsid w:val="005F4D25"/>
    <w:rsid w:val="005F4DAF"/>
    <w:rsid w:val="005F4F5C"/>
    <w:rsid w:val="005F4FDA"/>
    <w:rsid w:val="005F4FF8"/>
    <w:rsid w:val="005F5044"/>
    <w:rsid w:val="005F5051"/>
    <w:rsid w:val="005F51C9"/>
    <w:rsid w:val="005F5230"/>
    <w:rsid w:val="005F5244"/>
    <w:rsid w:val="005F52CA"/>
    <w:rsid w:val="005F5329"/>
    <w:rsid w:val="005F538B"/>
    <w:rsid w:val="005F53B6"/>
    <w:rsid w:val="005F5424"/>
    <w:rsid w:val="005F56D3"/>
    <w:rsid w:val="005F5731"/>
    <w:rsid w:val="005F57EB"/>
    <w:rsid w:val="005F5852"/>
    <w:rsid w:val="005F59BB"/>
    <w:rsid w:val="005F59EC"/>
    <w:rsid w:val="005F5A5B"/>
    <w:rsid w:val="005F5AE1"/>
    <w:rsid w:val="005F5B9D"/>
    <w:rsid w:val="005F5BB8"/>
    <w:rsid w:val="005F5BE6"/>
    <w:rsid w:val="005F5C19"/>
    <w:rsid w:val="005F5CC0"/>
    <w:rsid w:val="005F5D18"/>
    <w:rsid w:val="005F5E2C"/>
    <w:rsid w:val="005F5E4B"/>
    <w:rsid w:val="005F5F87"/>
    <w:rsid w:val="005F5FAD"/>
    <w:rsid w:val="005F60CF"/>
    <w:rsid w:val="005F60D8"/>
    <w:rsid w:val="005F6179"/>
    <w:rsid w:val="005F618E"/>
    <w:rsid w:val="005F61C7"/>
    <w:rsid w:val="005F6217"/>
    <w:rsid w:val="005F625A"/>
    <w:rsid w:val="005F62DF"/>
    <w:rsid w:val="005F63AE"/>
    <w:rsid w:val="005F6486"/>
    <w:rsid w:val="005F6502"/>
    <w:rsid w:val="005F65A0"/>
    <w:rsid w:val="005F668C"/>
    <w:rsid w:val="005F670E"/>
    <w:rsid w:val="005F67EE"/>
    <w:rsid w:val="005F6A60"/>
    <w:rsid w:val="005F6B99"/>
    <w:rsid w:val="005F6D40"/>
    <w:rsid w:val="005F6E80"/>
    <w:rsid w:val="005F6FE0"/>
    <w:rsid w:val="005F6FED"/>
    <w:rsid w:val="005F707E"/>
    <w:rsid w:val="005F7131"/>
    <w:rsid w:val="005F71CB"/>
    <w:rsid w:val="005F720A"/>
    <w:rsid w:val="005F72D3"/>
    <w:rsid w:val="005F741D"/>
    <w:rsid w:val="005F743E"/>
    <w:rsid w:val="005F756E"/>
    <w:rsid w:val="005F75B8"/>
    <w:rsid w:val="005F75FF"/>
    <w:rsid w:val="005F766E"/>
    <w:rsid w:val="005F7858"/>
    <w:rsid w:val="005F7868"/>
    <w:rsid w:val="005F79E2"/>
    <w:rsid w:val="005F7B17"/>
    <w:rsid w:val="005F7B64"/>
    <w:rsid w:val="005F7C1F"/>
    <w:rsid w:val="005F7C62"/>
    <w:rsid w:val="005F7CB8"/>
    <w:rsid w:val="005F7D8F"/>
    <w:rsid w:val="005F7DD5"/>
    <w:rsid w:val="005F7DE3"/>
    <w:rsid w:val="005F7DEE"/>
    <w:rsid w:val="005F7E06"/>
    <w:rsid w:val="005F7E7C"/>
    <w:rsid w:val="005F7EEA"/>
    <w:rsid w:val="005F7F86"/>
    <w:rsid w:val="005F7FB2"/>
    <w:rsid w:val="0060002B"/>
    <w:rsid w:val="0060003E"/>
    <w:rsid w:val="0060007E"/>
    <w:rsid w:val="0060012F"/>
    <w:rsid w:val="00600177"/>
    <w:rsid w:val="006001D8"/>
    <w:rsid w:val="006002D9"/>
    <w:rsid w:val="00600368"/>
    <w:rsid w:val="006004A1"/>
    <w:rsid w:val="00600551"/>
    <w:rsid w:val="00600660"/>
    <w:rsid w:val="00600691"/>
    <w:rsid w:val="006006B1"/>
    <w:rsid w:val="0060077E"/>
    <w:rsid w:val="00600823"/>
    <w:rsid w:val="00600828"/>
    <w:rsid w:val="00600860"/>
    <w:rsid w:val="0060092A"/>
    <w:rsid w:val="006009D9"/>
    <w:rsid w:val="00600A88"/>
    <w:rsid w:val="00600AD6"/>
    <w:rsid w:val="00600B3C"/>
    <w:rsid w:val="00600CB4"/>
    <w:rsid w:val="00600D1B"/>
    <w:rsid w:val="00600D89"/>
    <w:rsid w:val="00600E3C"/>
    <w:rsid w:val="00600E73"/>
    <w:rsid w:val="00600E80"/>
    <w:rsid w:val="00600F35"/>
    <w:rsid w:val="00600F9A"/>
    <w:rsid w:val="0060109F"/>
    <w:rsid w:val="00601301"/>
    <w:rsid w:val="006013A2"/>
    <w:rsid w:val="006013B1"/>
    <w:rsid w:val="00601507"/>
    <w:rsid w:val="00601572"/>
    <w:rsid w:val="006015CE"/>
    <w:rsid w:val="006015D3"/>
    <w:rsid w:val="006015E8"/>
    <w:rsid w:val="0060166F"/>
    <w:rsid w:val="0060181D"/>
    <w:rsid w:val="006019E8"/>
    <w:rsid w:val="00601A46"/>
    <w:rsid w:val="00601C26"/>
    <w:rsid w:val="00601C38"/>
    <w:rsid w:val="00601CBB"/>
    <w:rsid w:val="00601D88"/>
    <w:rsid w:val="00601E36"/>
    <w:rsid w:val="00601EC2"/>
    <w:rsid w:val="0060205D"/>
    <w:rsid w:val="0060212B"/>
    <w:rsid w:val="00602133"/>
    <w:rsid w:val="0060217D"/>
    <w:rsid w:val="0060227B"/>
    <w:rsid w:val="006022C3"/>
    <w:rsid w:val="006022C9"/>
    <w:rsid w:val="00602364"/>
    <w:rsid w:val="0060259A"/>
    <w:rsid w:val="0060259C"/>
    <w:rsid w:val="0060264E"/>
    <w:rsid w:val="006026EF"/>
    <w:rsid w:val="006028C1"/>
    <w:rsid w:val="00602AB3"/>
    <w:rsid w:val="00602D27"/>
    <w:rsid w:val="00602D6E"/>
    <w:rsid w:val="00602D94"/>
    <w:rsid w:val="00602E81"/>
    <w:rsid w:val="00602ED5"/>
    <w:rsid w:val="00602ED7"/>
    <w:rsid w:val="00602F3D"/>
    <w:rsid w:val="00602F43"/>
    <w:rsid w:val="00603081"/>
    <w:rsid w:val="006032D3"/>
    <w:rsid w:val="0060333F"/>
    <w:rsid w:val="006033AB"/>
    <w:rsid w:val="00603688"/>
    <w:rsid w:val="006036C2"/>
    <w:rsid w:val="006036F8"/>
    <w:rsid w:val="00603743"/>
    <w:rsid w:val="006039A3"/>
    <w:rsid w:val="00603ADB"/>
    <w:rsid w:val="00603B08"/>
    <w:rsid w:val="00603B8B"/>
    <w:rsid w:val="00603B9A"/>
    <w:rsid w:val="00603BC3"/>
    <w:rsid w:val="00603D86"/>
    <w:rsid w:val="00603D8D"/>
    <w:rsid w:val="00603D91"/>
    <w:rsid w:val="00603E03"/>
    <w:rsid w:val="00603E08"/>
    <w:rsid w:val="00603F37"/>
    <w:rsid w:val="00603FB5"/>
    <w:rsid w:val="00604016"/>
    <w:rsid w:val="006041F1"/>
    <w:rsid w:val="0060422C"/>
    <w:rsid w:val="00604242"/>
    <w:rsid w:val="0060426D"/>
    <w:rsid w:val="00604303"/>
    <w:rsid w:val="006045A7"/>
    <w:rsid w:val="006045EE"/>
    <w:rsid w:val="00604678"/>
    <w:rsid w:val="00604747"/>
    <w:rsid w:val="00604749"/>
    <w:rsid w:val="00604762"/>
    <w:rsid w:val="00604841"/>
    <w:rsid w:val="0060491F"/>
    <w:rsid w:val="00604924"/>
    <w:rsid w:val="00604B48"/>
    <w:rsid w:val="00604B61"/>
    <w:rsid w:val="00604BF8"/>
    <w:rsid w:val="00604C2F"/>
    <w:rsid w:val="00604CCF"/>
    <w:rsid w:val="00604D3A"/>
    <w:rsid w:val="00604DA4"/>
    <w:rsid w:val="00604DAE"/>
    <w:rsid w:val="00604DD0"/>
    <w:rsid w:val="00604E7F"/>
    <w:rsid w:val="00604EE0"/>
    <w:rsid w:val="00604EE2"/>
    <w:rsid w:val="00604F3C"/>
    <w:rsid w:val="00604FB7"/>
    <w:rsid w:val="00604FE4"/>
    <w:rsid w:val="00605006"/>
    <w:rsid w:val="006052AC"/>
    <w:rsid w:val="006052BA"/>
    <w:rsid w:val="006054B2"/>
    <w:rsid w:val="006054EA"/>
    <w:rsid w:val="00605504"/>
    <w:rsid w:val="0060552A"/>
    <w:rsid w:val="006055E6"/>
    <w:rsid w:val="006056AA"/>
    <w:rsid w:val="00605718"/>
    <w:rsid w:val="00605776"/>
    <w:rsid w:val="006057BA"/>
    <w:rsid w:val="0060580A"/>
    <w:rsid w:val="00605967"/>
    <w:rsid w:val="00605990"/>
    <w:rsid w:val="00605A1A"/>
    <w:rsid w:val="00605B8E"/>
    <w:rsid w:val="00605E38"/>
    <w:rsid w:val="00605EBD"/>
    <w:rsid w:val="0060603A"/>
    <w:rsid w:val="00606043"/>
    <w:rsid w:val="00606065"/>
    <w:rsid w:val="006060AA"/>
    <w:rsid w:val="00606136"/>
    <w:rsid w:val="00606177"/>
    <w:rsid w:val="00606198"/>
    <w:rsid w:val="00606255"/>
    <w:rsid w:val="0060625A"/>
    <w:rsid w:val="006062AB"/>
    <w:rsid w:val="0060631D"/>
    <w:rsid w:val="00606323"/>
    <w:rsid w:val="00606379"/>
    <w:rsid w:val="006064E6"/>
    <w:rsid w:val="00606644"/>
    <w:rsid w:val="0060666A"/>
    <w:rsid w:val="0060670E"/>
    <w:rsid w:val="006067EE"/>
    <w:rsid w:val="006068D8"/>
    <w:rsid w:val="006068F6"/>
    <w:rsid w:val="00606921"/>
    <w:rsid w:val="00606A44"/>
    <w:rsid w:val="00606A7D"/>
    <w:rsid w:val="00606AD6"/>
    <w:rsid w:val="00606BF5"/>
    <w:rsid w:val="00606C0D"/>
    <w:rsid w:val="00606CE5"/>
    <w:rsid w:val="00606E10"/>
    <w:rsid w:val="00606E26"/>
    <w:rsid w:val="00606EBC"/>
    <w:rsid w:val="00606F0B"/>
    <w:rsid w:val="00606F7A"/>
    <w:rsid w:val="00607016"/>
    <w:rsid w:val="006071ED"/>
    <w:rsid w:val="0060728B"/>
    <w:rsid w:val="006072EE"/>
    <w:rsid w:val="0060735A"/>
    <w:rsid w:val="00607382"/>
    <w:rsid w:val="00607509"/>
    <w:rsid w:val="006075AA"/>
    <w:rsid w:val="00607807"/>
    <w:rsid w:val="0060788B"/>
    <w:rsid w:val="006078DB"/>
    <w:rsid w:val="00607939"/>
    <w:rsid w:val="0060793F"/>
    <w:rsid w:val="00607A0C"/>
    <w:rsid w:val="00607A51"/>
    <w:rsid w:val="00607AB9"/>
    <w:rsid w:val="00607B10"/>
    <w:rsid w:val="00607BBE"/>
    <w:rsid w:val="00607CCD"/>
    <w:rsid w:val="00607CE1"/>
    <w:rsid w:val="00607F0B"/>
    <w:rsid w:val="00607FDF"/>
    <w:rsid w:val="0061010A"/>
    <w:rsid w:val="00610162"/>
    <w:rsid w:val="00610176"/>
    <w:rsid w:val="0061024B"/>
    <w:rsid w:val="006102EE"/>
    <w:rsid w:val="00610306"/>
    <w:rsid w:val="0061032E"/>
    <w:rsid w:val="0061039C"/>
    <w:rsid w:val="006103B7"/>
    <w:rsid w:val="0061049B"/>
    <w:rsid w:val="006104B5"/>
    <w:rsid w:val="006104EE"/>
    <w:rsid w:val="0061052C"/>
    <w:rsid w:val="0061054F"/>
    <w:rsid w:val="00610657"/>
    <w:rsid w:val="006107EF"/>
    <w:rsid w:val="006107F1"/>
    <w:rsid w:val="00610936"/>
    <w:rsid w:val="00610951"/>
    <w:rsid w:val="00610999"/>
    <w:rsid w:val="006109A1"/>
    <w:rsid w:val="00610ABA"/>
    <w:rsid w:val="00610C04"/>
    <w:rsid w:val="00610CA9"/>
    <w:rsid w:val="00610D11"/>
    <w:rsid w:val="00610DC0"/>
    <w:rsid w:val="00610EF5"/>
    <w:rsid w:val="00610F13"/>
    <w:rsid w:val="00610F73"/>
    <w:rsid w:val="00610FF9"/>
    <w:rsid w:val="006110BA"/>
    <w:rsid w:val="00611127"/>
    <w:rsid w:val="0061129F"/>
    <w:rsid w:val="0061133F"/>
    <w:rsid w:val="006115C7"/>
    <w:rsid w:val="00611677"/>
    <w:rsid w:val="006116E0"/>
    <w:rsid w:val="006116E1"/>
    <w:rsid w:val="00611847"/>
    <w:rsid w:val="006119CE"/>
    <w:rsid w:val="00611A98"/>
    <w:rsid w:val="00611AEE"/>
    <w:rsid w:val="00611B97"/>
    <w:rsid w:val="00611BBB"/>
    <w:rsid w:val="00611C6A"/>
    <w:rsid w:val="00611D0A"/>
    <w:rsid w:val="00611D2E"/>
    <w:rsid w:val="00611D4C"/>
    <w:rsid w:val="00611E18"/>
    <w:rsid w:val="00611EAF"/>
    <w:rsid w:val="00611F45"/>
    <w:rsid w:val="00611F90"/>
    <w:rsid w:val="006120D8"/>
    <w:rsid w:val="00612104"/>
    <w:rsid w:val="0061213E"/>
    <w:rsid w:val="00612178"/>
    <w:rsid w:val="006121A0"/>
    <w:rsid w:val="006121E4"/>
    <w:rsid w:val="0061222C"/>
    <w:rsid w:val="00612274"/>
    <w:rsid w:val="0061228F"/>
    <w:rsid w:val="006122EF"/>
    <w:rsid w:val="00612326"/>
    <w:rsid w:val="006123AB"/>
    <w:rsid w:val="006123F4"/>
    <w:rsid w:val="00612476"/>
    <w:rsid w:val="006125FB"/>
    <w:rsid w:val="0061262D"/>
    <w:rsid w:val="00612854"/>
    <w:rsid w:val="006128F8"/>
    <w:rsid w:val="00612B04"/>
    <w:rsid w:val="00612DD4"/>
    <w:rsid w:val="00612DF8"/>
    <w:rsid w:val="00612F82"/>
    <w:rsid w:val="00612F88"/>
    <w:rsid w:val="00612FB4"/>
    <w:rsid w:val="00612FC2"/>
    <w:rsid w:val="00613037"/>
    <w:rsid w:val="0061320D"/>
    <w:rsid w:val="006132D7"/>
    <w:rsid w:val="00613378"/>
    <w:rsid w:val="006133C1"/>
    <w:rsid w:val="00613468"/>
    <w:rsid w:val="006134B7"/>
    <w:rsid w:val="00613549"/>
    <w:rsid w:val="00613589"/>
    <w:rsid w:val="006135AB"/>
    <w:rsid w:val="0061363E"/>
    <w:rsid w:val="006136BA"/>
    <w:rsid w:val="006136BC"/>
    <w:rsid w:val="00613765"/>
    <w:rsid w:val="00613808"/>
    <w:rsid w:val="00613858"/>
    <w:rsid w:val="006138E4"/>
    <w:rsid w:val="00613934"/>
    <w:rsid w:val="00613943"/>
    <w:rsid w:val="00613944"/>
    <w:rsid w:val="0061395C"/>
    <w:rsid w:val="00613A16"/>
    <w:rsid w:val="00613A53"/>
    <w:rsid w:val="00613B42"/>
    <w:rsid w:val="00613BAD"/>
    <w:rsid w:val="00613C0B"/>
    <w:rsid w:val="00613C66"/>
    <w:rsid w:val="00613CB5"/>
    <w:rsid w:val="00613D87"/>
    <w:rsid w:val="00613D8E"/>
    <w:rsid w:val="00613DB8"/>
    <w:rsid w:val="00613E3E"/>
    <w:rsid w:val="00613E87"/>
    <w:rsid w:val="00613EC9"/>
    <w:rsid w:val="00613ED2"/>
    <w:rsid w:val="0061402C"/>
    <w:rsid w:val="00614120"/>
    <w:rsid w:val="006141D9"/>
    <w:rsid w:val="0061426D"/>
    <w:rsid w:val="006142E9"/>
    <w:rsid w:val="00614318"/>
    <w:rsid w:val="006144F6"/>
    <w:rsid w:val="0061454E"/>
    <w:rsid w:val="006145D3"/>
    <w:rsid w:val="0061460A"/>
    <w:rsid w:val="0061480C"/>
    <w:rsid w:val="0061482B"/>
    <w:rsid w:val="0061492E"/>
    <w:rsid w:val="006149C3"/>
    <w:rsid w:val="00614A21"/>
    <w:rsid w:val="00614AB7"/>
    <w:rsid w:val="00614B5D"/>
    <w:rsid w:val="00614DA4"/>
    <w:rsid w:val="00614DAE"/>
    <w:rsid w:val="00614F1E"/>
    <w:rsid w:val="00615021"/>
    <w:rsid w:val="0061503B"/>
    <w:rsid w:val="006150E5"/>
    <w:rsid w:val="00615141"/>
    <w:rsid w:val="0061520D"/>
    <w:rsid w:val="0061523B"/>
    <w:rsid w:val="006152A3"/>
    <w:rsid w:val="006152C1"/>
    <w:rsid w:val="0061537D"/>
    <w:rsid w:val="006153B0"/>
    <w:rsid w:val="006153C2"/>
    <w:rsid w:val="006154E2"/>
    <w:rsid w:val="006156AB"/>
    <w:rsid w:val="006156BE"/>
    <w:rsid w:val="0061575A"/>
    <w:rsid w:val="0061578A"/>
    <w:rsid w:val="00615891"/>
    <w:rsid w:val="0061598B"/>
    <w:rsid w:val="006159D6"/>
    <w:rsid w:val="00615A82"/>
    <w:rsid w:val="00615B25"/>
    <w:rsid w:val="00615BB9"/>
    <w:rsid w:val="00615D04"/>
    <w:rsid w:val="00615E62"/>
    <w:rsid w:val="00615E99"/>
    <w:rsid w:val="00615F0D"/>
    <w:rsid w:val="00616069"/>
    <w:rsid w:val="00616071"/>
    <w:rsid w:val="00616092"/>
    <w:rsid w:val="00616144"/>
    <w:rsid w:val="00616192"/>
    <w:rsid w:val="006161CF"/>
    <w:rsid w:val="00616258"/>
    <w:rsid w:val="0061632A"/>
    <w:rsid w:val="00616407"/>
    <w:rsid w:val="0061642C"/>
    <w:rsid w:val="00616533"/>
    <w:rsid w:val="006165F0"/>
    <w:rsid w:val="0061687E"/>
    <w:rsid w:val="0061689D"/>
    <w:rsid w:val="00616902"/>
    <w:rsid w:val="00616989"/>
    <w:rsid w:val="006169E7"/>
    <w:rsid w:val="00616B32"/>
    <w:rsid w:val="00616B4A"/>
    <w:rsid w:val="00616CC3"/>
    <w:rsid w:val="00616D45"/>
    <w:rsid w:val="00616E20"/>
    <w:rsid w:val="00616E4D"/>
    <w:rsid w:val="00616ED4"/>
    <w:rsid w:val="0061719D"/>
    <w:rsid w:val="006171D5"/>
    <w:rsid w:val="00617308"/>
    <w:rsid w:val="0061731E"/>
    <w:rsid w:val="0061734E"/>
    <w:rsid w:val="0061741A"/>
    <w:rsid w:val="0061746F"/>
    <w:rsid w:val="0061747B"/>
    <w:rsid w:val="006174FD"/>
    <w:rsid w:val="006175D8"/>
    <w:rsid w:val="00617693"/>
    <w:rsid w:val="00617697"/>
    <w:rsid w:val="0061776B"/>
    <w:rsid w:val="006177B9"/>
    <w:rsid w:val="0061782B"/>
    <w:rsid w:val="006178C3"/>
    <w:rsid w:val="00617915"/>
    <w:rsid w:val="00617998"/>
    <w:rsid w:val="00617B39"/>
    <w:rsid w:val="00617B5A"/>
    <w:rsid w:val="00617B5B"/>
    <w:rsid w:val="00617B5C"/>
    <w:rsid w:val="00617F28"/>
    <w:rsid w:val="00617FAC"/>
    <w:rsid w:val="00620072"/>
    <w:rsid w:val="00620161"/>
    <w:rsid w:val="0062020B"/>
    <w:rsid w:val="0062036E"/>
    <w:rsid w:val="00620387"/>
    <w:rsid w:val="006203D6"/>
    <w:rsid w:val="006204B5"/>
    <w:rsid w:val="006204D1"/>
    <w:rsid w:val="006204E4"/>
    <w:rsid w:val="00620533"/>
    <w:rsid w:val="0062057E"/>
    <w:rsid w:val="00620687"/>
    <w:rsid w:val="0062070D"/>
    <w:rsid w:val="00620757"/>
    <w:rsid w:val="0062075C"/>
    <w:rsid w:val="006207C5"/>
    <w:rsid w:val="0062081E"/>
    <w:rsid w:val="006208BB"/>
    <w:rsid w:val="006208E4"/>
    <w:rsid w:val="00620B69"/>
    <w:rsid w:val="00620C6A"/>
    <w:rsid w:val="00620E0E"/>
    <w:rsid w:val="00620E5A"/>
    <w:rsid w:val="00620EEC"/>
    <w:rsid w:val="00620F71"/>
    <w:rsid w:val="00621008"/>
    <w:rsid w:val="0062117F"/>
    <w:rsid w:val="006212F6"/>
    <w:rsid w:val="0062153A"/>
    <w:rsid w:val="00621563"/>
    <w:rsid w:val="006215AA"/>
    <w:rsid w:val="006215E7"/>
    <w:rsid w:val="00621A06"/>
    <w:rsid w:val="00621A3C"/>
    <w:rsid w:val="00621AA8"/>
    <w:rsid w:val="00621C06"/>
    <w:rsid w:val="00621C1E"/>
    <w:rsid w:val="00621D35"/>
    <w:rsid w:val="00621E0A"/>
    <w:rsid w:val="00621E32"/>
    <w:rsid w:val="00621EA7"/>
    <w:rsid w:val="00621F30"/>
    <w:rsid w:val="00621F4C"/>
    <w:rsid w:val="00621FA8"/>
    <w:rsid w:val="00621FFB"/>
    <w:rsid w:val="00622019"/>
    <w:rsid w:val="0062206C"/>
    <w:rsid w:val="006221BD"/>
    <w:rsid w:val="006221F9"/>
    <w:rsid w:val="00622241"/>
    <w:rsid w:val="00622276"/>
    <w:rsid w:val="006222E5"/>
    <w:rsid w:val="006224F4"/>
    <w:rsid w:val="00622513"/>
    <w:rsid w:val="00622656"/>
    <w:rsid w:val="006226D2"/>
    <w:rsid w:val="0062270F"/>
    <w:rsid w:val="00622746"/>
    <w:rsid w:val="006227FC"/>
    <w:rsid w:val="00622868"/>
    <w:rsid w:val="006228C9"/>
    <w:rsid w:val="006229F3"/>
    <w:rsid w:val="00622A5F"/>
    <w:rsid w:val="00622A6C"/>
    <w:rsid w:val="00622ABC"/>
    <w:rsid w:val="00622BC6"/>
    <w:rsid w:val="00622BED"/>
    <w:rsid w:val="00622C1C"/>
    <w:rsid w:val="00622D7D"/>
    <w:rsid w:val="00622F6D"/>
    <w:rsid w:val="00622F85"/>
    <w:rsid w:val="00623115"/>
    <w:rsid w:val="006231C1"/>
    <w:rsid w:val="006233E1"/>
    <w:rsid w:val="006233FF"/>
    <w:rsid w:val="0062342A"/>
    <w:rsid w:val="00623475"/>
    <w:rsid w:val="0062359E"/>
    <w:rsid w:val="006236A8"/>
    <w:rsid w:val="00623705"/>
    <w:rsid w:val="0062371D"/>
    <w:rsid w:val="006237B9"/>
    <w:rsid w:val="006237CD"/>
    <w:rsid w:val="00623858"/>
    <w:rsid w:val="006239ED"/>
    <w:rsid w:val="00623BBF"/>
    <w:rsid w:val="00623C69"/>
    <w:rsid w:val="00623CAD"/>
    <w:rsid w:val="00623D05"/>
    <w:rsid w:val="00623D4A"/>
    <w:rsid w:val="00623D7E"/>
    <w:rsid w:val="00623EB8"/>
    <w:rsid w:val="006241B6"/>
    <w:rsid w:val="006241D4"/>
    <w:rsid w:val="00624225"/>
    <w:rsid w:val="006242AC"/>
    <w:rsid w:val="006242E6"/>
    <w:rsid w:val="006245E9"/>
    <w:rsid w:val="00624720"/>
    <w:rsid w:val="0062477B"/>
    <w:rsid w:val="00624790"/>
    <w:rsid w:val="00624829"/>
    <w:rsid w:val="0062482F"/>
    <w:rsid w:val="006248BB"/>
    <w:rsid w:val="006248EB"/>
    <w:rsid w:val="006249A0"/>
    <w:rsid w:val="006249EA"/>
    <w:rsid w:val="00624B86"/>
    <w:rsid w:val="00624BF8"/>
    <w:rsid w:val="00624BF9"/>
    <w:rsid w:val="00624C38"/>
    <w:rsid w:val="00624C75"/>
    <w:rsid w:val="00624D0C"/>
    <w:rsid w:val="00624D5E"/>
    <w:rsid w:val="00624DAD"/>
    <w:rsid w:val="00624DB9"/>
    <w:rsid w:val="00624DEC"/>
    <w:rsid w:val="00624E0B"/>
    <w:rsid w:val="00624EB5"/>
    <w:rsid w:val="00624EC4"/>
    <w:rsid w:val="00624FAA"/>
    <w:rsid w:val="00624FD3"/>
    <w:rsid w:val="006250E9"/>
    <w:rsid w:val="0062521D"/>
    <w:rsid w:val="0062521F"/>
    <w:rsid w:val="006252E4"/>
    <w:rsid w:val="00625301"/>
    <w:rsid w:val="006253A3"/>
    <w:rsid w:val="00625454"/>
    <w:rsid w:val="00625480"/>
    <w:rsid w:val="00625599"/>
    <w:rsid w:val="006255C1"/>
    <w:rsid w:val="006255C9"/>
    <w:rsid w:val="006255FD"/>
    <w:rsid w:val="00625638"/>
    <w:rsid w:val="006256EE"/>
    <w:rsid w:val="006257EB"/>
    <w:rsid w:val="006257FD"/>
    <w:rsid w:val="0062585A"/>
    <w:rsid w:val="0062587B"/>
    <w:rsid w:val="00625AC5"/>
    <w:rsid w:val="00625ACC"/>
    <w:rsid w:val="00625CEA"/>
    <w:rsid w:val="00625D67"/>
    <w:rsid w:val="00625E21"/>
    <w:rsid w:val="00625E99"/>
    <w:rsid w:val="00625FAA"/>
    <w:rsid w:val="0062605B"/>
    <w:rsid w:val="0062608A"/>
    <w:rsid w:val="00626221"/>
    <w:rsid w:val="00626273"/>
    <w:rsid w:val="00626394"/>
    <w:rsid w:val="0062641D"/>
    <w:rsid w:val="006264C9"/>
    <w:rsid w:val="0062667F"/>
    <w:rsid w:val="0062674A"/>
    <w:rsid w:val="00626800"/>
    <w:rsid w:val="00626AA6"/>
    <w:rsid w:val="00626BAF"/>
    <w:rsid w:val="00626BE3"/>
    <w:rsid w:val="00626C0E"/>
    <w:rsid w:val="00626C95"/>
    <w:rsid w:val="00626D0B"/>
    <w:rsid w:val="00626D46"/>
    <w:rsid w:val="00626DFB"/>
    <w:rsid w:val="00626E68"/>
    <w:rsid w:val="0062702D"/>
    <w:rsid w:val="006270F4"/>
    <w:rsid w:val="00627109"/>
    <w:rsid w:val="006271AF"/>
    <w:rsid w:val="006271B3"/>
    <w:rsid w:val="006272D6"/>
    <w:rsid w:val="00627454"/>
    <w:rsid w:val="00627476"/>
    <w:rsid w:val="00627480"/>
    <w:rsid w:val="006274A4"/>
    <w:rsid w:val="00627513"/>
    <w:rsid w:val="00627577"/>
    <w:rsid w:val="00627716"/>
    <w:rsid w:val="006277CC"/>
    <w:rsid w:val="00627917"/>
    <w:rsid w:val="00627946"/>
    <w:rsid w:val="00627999"/>
    <w:rsid w:val="006279AC"/>
    <w:rsid w:val="00627AE1"/>
    <w:rsid w:val="00627B01"/>
    <w:rsid w:val="00627B0D"/>
    <w:rsid w:val="00627C8A"/>
    <w:rsid w:val="00627CD9"/>
    <w:rsid w:val="00627D0B"/>
    <w:rsid w:val="00627D43"/>
    <w:rsid w:val="00627D4F"/>
    <w:rsid w:val="00627E32"/>
    <w:rsid w:val="00627E8F"/>
    <w:rsid w:val="00627EA0"/>
    <w:rsid w:val="00627EBB"/>
    <w:rsid w:val="00627ECF"/>
    <w:rsid w:val="00627ED8"/>
    <w:rsid w:val="00627EEB"/>
    <w:rsid w:val="00627F53"/>
    <w:rsid w:val="00627F86"/>
    <w:rsid w:val="00627F95"/>
    <w:rsid w:val="00627FC7"/>
    <w:rsid w:val="00627FD7"/>
    <w:rsid w:val="0063002E"/>
    <w:rsid w:val="006300ED"/>
    <w:rsid w:val="00630108"/>
    <w:rsid w:val="006301CD"/>
    <w:rsid w:val="00630208"/>
    <w:rsid w:val="00630228"/>
    <w:rsid w:val="00630310"/>
    <w:rsid w:val="006303B9"/>
    <w:rsid w:val="006303FB"/>
    <w:rsid w:val="0063044D"/>
    <w:rsid w:val="006304CC"/>
    <w:rsid w:val="0063077F"/>
    <w:rsid w:val="006307A5"/>
    <w:rsid w:val="00630830"/>
    <w:rsid w:val="0063084E"/>
    <w:rsid w:val="006309A2"/>
    <w:rsid w:val="006309D6"/>
    <w:rsid w:val="006309DA"/>
    <w:rsid w:val="00630CA8"/>
    <w:rsid w:val="00630CC0"/>
    <w:rsid w:val="00630CFB"/>
    <w:rsid w:val="00630E44"/>
    <w:rsid w:val="00630E9F"/>
    <w:rsid w:val="00630F87"/>
    <w:rsid w:val="00631027"/>
    <w:rsid w:val="0063113B"/>
    <w:rsid w:val="006311BA"/>
    <w:rsid w:val="006312B0"/>
    <w:rsid w:val="00631300"/>
    <w:rsid w:val="0063140B"/>
    <w:rsid w:val="0063145E"/>
    <w:rsid w:val="00631595"/>
    <w:rsid w:val="0063165C"/>
    <w:rsid w:val="006317A2"/>
    <w:rsid w:val="006317DE"/>
    <w:rsid w:val="00631850"/>
    <w:rsid w:val="00631863"/>
    <w:rsid w:val="006318AD"/>
    <w:rsid w:val="00631907"/>
    <w:rsid w:val="00631939"/>
    <w:rsid w:val="006319C8"/>
    <w:rsid w:val="00631BBA"/>
    <w:rsid w:val="00631BC3"/>
    <w:rsid w:val="00631BD6"/>
    <w:rsid w:val="00631CCB"/>
    <w:rsid w:val="00631D2F"/>
    <w:rsid w:val="00631D7C"/>
    <w:rsid w:val="00631DB3"/>
    <w:rsid w:val="00631FEA"/>
    <w:rsid w:val="00632043"/>
    <w:rsid w:val="006320D2"/>
    <w:rsid w:val="006321C6"/>
    <w:rsid w:val="006321EB"/>
    <w:rsid w:val="00632407"/>
    <w:rsid w:val="00632421"/>
    <w:rsid w:val="0063242D"/>
    <w:rsid w:val="0063246B"/>
    <w:rsid w:val="006324E6"/>
    <w:rsid w:val="006325F2"/>
    <w:rsid w:val="006327EB"/>
    <w:rsid w:val="006328DC"/>
    <w:rsid w:val="0063294C"/>
    <w:rsid w:val="00632AA6"/>
    <w:rsid w:val="00632C4B"/>
    <w:rsid w:val="00632C5F"/>
    <w:rsid w:val="00632D43"/>
    <w:rsid w:val="00632D6D"/>
    <w:rsid w:val="00632D9D"/>
    <w:rsid w:val="00632DBC"/>
    <w:rsid w:val="00632E0E"/>
    <w:rsid w:val="00632E8C"/>
    <w:rsid w:val="00632F45"/>
    <w:rsid w:val="00633006"/>
    <w:rsid w:val="006330EE"/>
    <w:rsid w:val="00633197"/>
    <w:rsid w:val="006331DD"/>
    <w:rsid w:val="0063322A"/>
    <w:rsid w:val="0063323A"/>
    <w:rsid w:val="006332E8"/>
    <w:rsid w:val="006332F3"/>
    <w:rsid w:val="006332FE"/>
    <w:rsid w:val="00633390"/>
    <w:rsid w:val="006333B8"/>
    <w:rsid w:val="006333FD"/>
    <w:rsid w:val="00633431"/>
    <w:rsid w:val="0063345E"/>
    <w:rsid w:val="00633497"/>
    <w:rsid w:val="0063355C"/>
    <w:rsid w:val="00633704"/>
    <w:rsid w:val="00633730"/>
    <w:rsid w:val="006337D5"/>
    <w:rsid w:val="0063381E"/>
    <w:rsid w:val="00633839"/>
    <w:rsid w:val="00633898"/>
    <w:rsid w:val="006338E8"/>
    <w:rsid w:val="0063390B"/>
    <w:rsid w:val="006339B7"/>
    <w:rsid w:val="00633AA1"/>
    <w:rsid w:val="00633B2F"/>
    <w:rsid w:val="00633B68"/>
    <w:rsid w:val="00633CFA"/>
    <w:rsid w:val="00633D3C"/>
    <w:rsid w:val="00633DA7"/>
    <w:rsid w:val="00633E11"/>
    <w:rsid w:val="00633EAC"/>
    <w:rsid w:val="00633EE6"/>
    <w:rsid w:val="00633F22"/>
    <w:rsid w:val="00633FCB"/>
    <w:rsid w:val="00634001"/>
    <w:rsid w:val="00634033"/>
    <w:rsid w:val="0063412E"/>
    <w:rsid w:val="0063423A"/>
    <w:rsid w:val="00634244"/>
    <w:rsid w:val="006343C9"/>
    <w:rsid w:val="00634441"/>
    <w:rsid w:val="0063449E"/>
    <w:rsid w:val="00634532"/>
    <w:rsid w:val="00634678"/>
    <w:rsid w:val="00634679"/>
    <w:rsid w:val="00634771"/>
    <w:rsid w:val="006347C9"/>
    <w:rsid w:val="00634973"/>
    <w:rsid w:val="00634AB5"/>
    <w:rsid w:val="00634AF3"/>
    <w:rsid w:val="00634CA8"/>
    <w:rsid w:val="00634DAF"/>
    <w:rsid w:val="00634EAD"/>
    <w:rsid w:val="00634ED5"/>
    <w:rsid w:val="00634F0D"/>
    <w:rsid w:val="00634FA3"/>
    <w:rsid w:val="00634FCA"/>
    <w:rsid w:val="0063501D"/>
    <w:rsid w:val="00635041"/>
    <w:rsid w:val="00635112"/>
    <w:rsid w:val="00635190"/>
    <w:rsid w:val="006351E7"/>
    <w:rsid w:val="00635203"/>
    <w:rsid w:val="006352EF"/>
    <w:rsid w:val="00635302"/>
    <w:rsid w:val="00635339"/>
    <w:rsid w:val="006353E5"/>
    <w:rsid w:val="006355BF"/>
    <w:rsid w:val="006355E8"/>
    <w:rsid w:val="006355F9"/>
    <w:rsid w:val="00635657"/>
    <w:rsid w:val="00635726"/>
    <w:rsid w:val="006357EA"/>
    <w:rsid w:val="00635817"/>
    <w:rsid w:val="00635833"/>
    <w:rsid w:val="006358A6"/>
    <w:rsid w:val="0063590F"/>
    <w:rsid w:val="00635963"/>
    <w:rsid w:val="00635983"/>
    <w:rsid w:val="006359DF"/>
    <w:rsid w:val="006359E4"/>
    <w:rsid w:val="00635A24"/>
    <w:rsid w:val="00635A48"/>
    <w:rsid w:val="00635AF0"/>
    <w:rsid w:val="00635B4A"/>
    <w:rsid w:val="00635B56"/>
    <w:rsid w:val="00635C49"/>
    <w:rsid w:val="00635C56"/>
    <w:rsid w:val="00635C8E"/>
    <w:rsid w:val="00635CF6"/>
    <w:rsid w:val="00635D96"/>
    <w:rsid w:val="00635E13"/>
    <w:rsid w:val="00635E91"/>
    <w:rsid w:val="00635E9E"/>
    <w:rsid w:val="00635EA5"/>
    <w:rsid w:val="00635EBA"/>
    <w:rsid w:val="00635F6A"/>
    <w:rsid w:val="00636037"/>
    <w:rsid w:val="006360B7"/>
    <w:rsid w:val="0063613E"/>
    <w:rsid w:val="00636319"/>
    <w:rsid w:val="0063635C"/>
    <w:rsid w:val="0063644D"/>
    <w:rsid w:val="006364EC"/>
    <w:rsid w:val="00636528"/>
    <w:rsid w:val="006365A5"/>
    <w:rsid w:val="006366AF"/>
    <w:rsid w:val="00636729"/>
    <w:rsid w:val="00636731"/>
    <w:rsid w:val="00636759"/>
    <w:rsid w:val="006367A0"/>
    <w:rsid w:val="006367E4"/>
    <w:rsid w:val="0063683E"/>
    <w:rsid w:val="00636885"/>
    <w:rsid w:val="0063689F"/>
    <w:rsid w:val="00636935"/>
    <w:rsid w:val="00636998"/>
    <w:rsid w:val="00636C0B"/>
    <w:rsid w:val="00636CEE"/>
    <w:rsid w:val="00636D86"/>
    <w:rsid w:val="00636F18"/>
    <w:rsid w:val="00636F79"/>
    <w:rsid w:val="00637158"/>
    <w:rsid w:val="006371A0"/>
    <w:rsid w:val="006371E8"/>
    <w:rsid w:val="006371EA"/>
    <w:rsid w:val="00637320"/>
    <w:rsid w:val="0063733F"/>
    <w:rsid w:val="00637364"/>
    <w:rsid w:val="0063738C"/>
    <w:rsid w:val="00637396"/>
    <w:rsid w:val="0063747E"/>
    <w:rsid w:val="00637485"/>
    <w:rsid w:val="006374CE"/>
    <w:rsid w:val="00637501"/>
    <w:rsid w:val="006375ED"/>
    <w:rsid w:val="0063762E"/>
    <w:rsid w:val="006377E1"/>
    <w:rsid w:val="00637895"/>
    <w:rsid w:val="006379B3"/>
    <w:rsid w:val="006379D0"/>
    <w:rsid w:val="00637AAD"/>
    <w:rsid w:val="00637B57"/>
    <w:rsid w:val="00637C35"/>
    <w:rsid w:val="00637D7C"/>
    <w:rsid w:val="00637E73"/>
    <w:rsid w:val="00637EE0"/>
    <w:rsid w:val="00637F95"/>
    <w:rsid w:val="00637FA7"/>
    <w:rsid w:val="00640009"/>
    <w:rsid w:val="0064019B"/>
    <w:rsid w:val="006401D4"/>
    <w:rsid w:val="006402A2"/>
    <w:rsid w:val="00640460"/>
    <w:rsid w:val="00640519"/>
    <w:rsid w:val="00640589"/>
    <w:rsid w:val="006405AD"/>
    <w:rsid w:val="006405F0"/>
    <w:rsid w:val="006405F8"/>
    <w:rsid w:val="006406B3"/>
    <w:rsid w:val="00640788"/>
    <w:rsid w:val="006408AD"/>
    <w:rsid w:val="0064096F"/>
    <w:rsid w:val="006409C0"/>
    <w:rsid w:val="006409D4"/>
    <w:rsid w:val="00640A52"/>
    <w:rsid w:val="00640A53"/>
    <w:rsid w:val="00640B48"/>
    <w:rsid w:val="00640C1F"/>
    <w:rsid w:val="00640C31"/>
    <w:rsid w:val="00640CFD"/>
    <w:rsid w:val="00640D3A"/>
    <w:rsid w:val="00640E9E"/>
    <w:rsid w:val="00640E9F"/>
    <w:rsid w:val="00640EF8"/>
    <w:rsid w:val="00640F5E"/>
    <w:rsid w:val="00641059"/>
    <w:rsid w:val="0064109B"/>
    <w:rsid w:val="006410DE"/>
    <w:rsid w:val="006410FB"/>
    <w:rsid w:val="006411DB"/>
    <w:rsid w:val="006411FD"/>
    <w:rsid w:val="00641267"/>
    <w:rsid w:val="00641276"/>
    <w:rsid w:val="006412E0"/>
    <w:rsid w:val="006412F6"/>
    <w:rsid w:val="0064136C"/>
    <w:rsid w:val="00641392"/>
    <w:rsid w:val="0064173C"/>
    <w:rsid w:val="00641750"/>
    <w:rsid w:val="006417BC"/>
    <w:rsid w:val="006417F1"/>
    <w:rsid w:val="00641888"/>
    <w:rsid w:val="00641934"/>
    <w:rsid w:val="00641995"/>
    <w:rsid w:val="006419B1"/>
    <w:rsid w:val="006419FD"/>
    <w:rsid w:val="00641AAB"/>
    <w:rsid w:val="00641B91"/>
    <w:rsid w:val="00641BF6"/>
    <w:rsid w:val="00641C40"/>
    <w:rsid w:val="00641CBA"/>
    <w:rsid w:val="00641D0F"/>
    <w:rsid w:val="00641D2A"/>
    <w:rsid w:val="00641DC0"/>
    <w:rsid w:val="00641DC9"/>
    <w:rsid w:val="00641F14"/>
    <w:rsid w:val="00641F18"/>
    <w:rsid w:val="00642059"/>
    <w:rsid w:val="006421A9"/>
    <w:rsid w:val="0064234F"/>
    <w:rsid w:val="00642427"/>
    <w:rsid w:val="006426C2"/>
    <w:rsid w:val="0064286E"/>
    <w:rsid w:val="006428E8"/>
    <w:rsid w:val="0064296E"/>
    <w:rsid w:val="00642AAE"/>
    <w:rsid w:val="00642B2F"/>
    <w:rsid w:val="00642B63"/>
    <w:rsid w:val="00642D38"/>
    <w:rsid w:val="00642D76"/>
    <w:rsid w:val="00642D9A"/>
    <w:rsid w:val="00642DDC"/>
    <w:rsid w:val="00642EF3"/>
    <w:rsid w:val="00642F21"/>
    <w:rsid w:val="00642F9A"/>
    <w:rsid w:val="00642FE9"/>
    <w:rsid w:val="00643048"/>
    <w:rsid w:val="0064316C"/>
    <w:rsid w:val="006431B5"/>
    <w:rsid w:val="00643226"/>
    <w:rsid w:val="006432AB"/>
    <w:rsid w:val="00643392"/>
    <w:rsid w:val="006433F4"/>
    <w:rsid w:val="00643466"/>
    <w:rsid w:val="0064358D"/>
    <w:rsid w:val="006435A1"/>
    <w:rsid w:val="006435B9"/>
    <w:rsid w:val="006437B1"/>
    <w:rsid w:val="006437BC"/>
    <w:rsid w:val="00643952"/>
    <w:rsid w:val="00643979"/>
    <w:rsid w:val="00643A39"/>
    <w:rsid w:val="00643A3E"/>
    <w:rsid w:val="00643AD0"/>
    <w:rsid w:val="00643AD9"/>
    <w:rsid w:val="00643BC1"/>
    <w:rsid w:val="00643C9A"/>
    <w:rsid w:val="00643D08"/>
    <w:rsid w:val="00643D45"/>
    <w:rsid w:val="00643F4E"/>
    <w:rsid w:val="00643F8E"/>
    <w:rsid w:val="00643FD7"/>
    <w:rsid w:val="0064400F"/>
    <w:rsid w:val="00644116"/>
    <w:rsid w:val="00644135"/>
    <w:rsid w:val="00644214"/>
    <w:rsid w:val="00644263"/>
    <w:rsid w:val="0064433C"/>
    <w:rsid w:val="0064440A"/>
    <w:rsid w:val="00644482"/>
    <w:rsid w:val="006445BA"/>
    <w:rsid w:val="006446F1"/>
    <w:rsid w:val="0064477C"/>
    <w:rsid w:val="006447BE"/>
    <w:rsid w:val="006447C2"/>
    <w:rsid w:val="00644834"/>
    <w:rsid w:val="006449CF"/>
    <w:rsid w:val="00644ACD"/>
    <w:rsid w:val="00644D35"/>
    <w:rsid w:val="00644D58"/>
    <w:rsid w:val="00644D9D"/>
    <w:rsid w:val="00644E0E"/>
    <w:rsid w:val="00644F4A"/>
    <w:rsid w:val="00644FA8"/>
    <w:rsid w:val="0064502E"/>
    <w:rsid w:val="00645137"/>
    <w:rsid w:val="00645217"/>
    <w:rsid w:val="006452D5"/>
    <w:rsid w:val="006452DA"/>
    <w:rsid w:val="00645330"/>
    <w:rsid w:val="006453A7"/>
    <w:rsid w:val="006453C4"/>
    <w:rsid w:val="006453D6"/>
    <w:rsid w:val="00645418"/>
    <w:rsid w:val="006455AB"/>
    <w:rsid w:val="00645642"/>
    <w:rsid w:val="00645677"/>
    <w:rsid w:val="0064576F"/>
    <w:rsid w:val="00645795"/>
    <w:rsid w:val="006457A4"/>
    <w:rsid w:val="0064599A"/>
    <w:rsid w:val="006459EF"/>
    <w:rsid w:val="00645A06"/>
    <w:rsid w:val="00645A24"/>
    <w:rsid w:val="00645C14"/>
    <w:rsid w:val="00645C37"/>
    <w:rsid w:val="00645C93"/>
    <w:rsid w:val="00645CEB"/>
    <w:rsid w:val="00645D09"/>
    <w:rsid w:val="00645ED1"/>
    <w:rsid w:val="00645EF4"/>
    <w:rsid w:val="00645EF8"/>
    <w:rsid w:val="00645F98"/>
    <w:rsid w:val="006460EB"/>
    <w:rsid w:val="00646135"/>
    <w:rsid w:val="006461EA"/>
    <w:rsid w:val="00646475"/>
    <w:rsid w:val="00646592"/>
    <w:rsid w:val="00646599"/>
    <w:rsid w:val="006465B6"/>
    <w:rsid w:val="006465BB"/>
    <w:rsid w:val="006465F3"/>
    <w:rsid w:val="00646759"/>
    <w:rsid w:val="0064680F"/>
    <w:rsid w:val="00646865"/>
    <w:rsid w:val="00646870"/>
    <w:rsid w:val="006468A5"/>
    <w:rsid w:val="006469EE"/>
    <w:rsid w:val="006469F8"/>
    <w:rsid w:val="00646AB0"/>
    <w:rsid w:val="00646AE2"/>
    <w:rsid w:val="00646C6D"/>
    <w:rsid w:val="00646DCE"/>
    <w:rsid w:val="00646E3C"/>
    <w:rsid w:val="00646E7A"/>
    <w:rsid w:val="00646FB5"/>
    <w:rsid w:val="00646FF7"/>
    <w:rsid w:val="0064700B"/>
    <w:rsid w:val="00647060"/>
    <w:rsid w:val="006470D1"/>
    <w:rsid w:val="00647105"/>
    <w:rsid w:val="00647220"/>
    <w:rsid w:val="00647366"/>
    <w:rsid w:val="00647422"/>
    <w:rsid w:val="0064743F"/>
    <w:rsid w:val="00647753"/>
    <w:rsid w:val="0064779A"/>
    <w:rsid w:val="006477DF"/>
    <w:rsid w:val="00647A3C"/>
    <w:rsid w:val="00647A6D"/>
    <w:rsid w:val="00647AB0"/>
    <w:rsid w:val="00647C39"/>
    <w:rsid w:val="00647D0D"/>
    <w:rsid w:val="00647D33"/>
    <w:rsid w:val="00647D4D"/>
    <w:rsid w:val="00647D7C"/>
    <w:rsid w:val="00647EEE"/>
    <w:rsid w:val="00647F5F"/>
    <w:rsid w:val="0065006C"/>
    <w:rsid w:val="00650096"/>
    <w:rsid w:val="006500C4"/>
    <w:rsid w:val="00650122"/>
    <w:rsid w:val="00650127"/>
    <w:rsid w:val="0065018A"/>
    <w:rsid w:val="00650355"/>
    <w:rsid w:val="0065037B"/>
    <w:rsid w:val="006503DB"/>
    <w:rsid w:val="006504B2"/>
    <w:rsid w:val="0065059F"/>
    <w:rsid w:val="0065063B"/>
    <w:rsid w:val="0065064F"/>
    <w:rsid w:val="00650806"/>
    <w:rsid w:val="00650886"/>
    <w:rsid w:val="00650A7F"/>
    <w:rsid w:val="00650A90"/>
    <w:rsid w:val="00650B16"/>
    <w:rsid w:val="00650BB2"/>
    <w:rsid w:val="00650CF8"/>
    <w:rsid w:val="00650DD2"/>
    <w:rsid w:val="00650F97"/>
    <w:rsid w:val="00650F9C"/>
    <w:rsid w:val="006510D4"/>
    <w:rsid w:val="0065111D"/>
    <w:rsid w:val="0065125D"/>
    <w:rsid w:val="00651299"/>
    <w:rsid w:val="006512AD"/>
    <w:rsid w:val="006512D8"/>
    <w:rsid w:val="00651398"/>
    <w:rsid w:val="006513BA"/>
    <w:rsid w:val="006513DB"/>
    <w:rsid w:val="006514BB"/>
    <w:rsid w:val="0065156A"/>
    <w:rsid w:val="006515A6"/>
    <w:rsid w:val="006515F1"/>
    <w:rsid w:val="00651858"/>
    <w:rsid w:val="00651A00"/>
    <w:rsid w:val="00651A4C"/>
    <w:rsid w:val="00651A7E"/>
    <w:rsid w:val="00651B63"/>
    <w:rsid w:val="00651B66"/>
    <w:rsid w:val="00651BD4"/>
    <w:rsid w:val="00651C51"/>
    <w:rsid w:val="00651C55"/>
    <w:rsid w:val="00651CEA"/>
    <w:rsid w:val="00651D1E"/>
    <w:rsid w:val="00651DC6"/>
    <w:rsid w:val="00651DEA"/>
    <w:rsid w:val="00651DED"/>
    <w:rsid w:val="00651E37"/>
    <w:rsid w:val="00651E3F"/>
    <w:rsid w:val="00651F1B"/>
    <w:rsid w:val="00651F49"/>
    <w:rsid w:val="00651F58"/>
    <w:rsid w:val="00651FC2"/>
    <w:rsid w:val="006521E5"/>
    <w:rsid w:val="0065231D"/>
    <w:rsid w:val="00652376"/>
    <w:rsid w:val="006524FE"/>
    <w:rsid w:val="00652521"/>
    <w:rsid w:val="006525D9"/>
    <w:rsid w:val="00652724"/>
    <w:rsid w:val="006527A2"/>
    <w:rsid w:val="00652895"/>
    <w:rsid w:val="0065295A"/>
    <w:rsid w:val="00652B62"/>
    <w:rsid w:val="00652B7B"/>
    <w:rsid w:val="00652BC2"/>
    <w:rsid w:val="00652C62"/>
    <w:rsid w:val="00652D87"/>
    <w:rsid w:val="00652DC1"/>
    <w:rsid w:val="00652EAE"/>
    <w:rsid w:val="00652EB7"/>
    <w:rsid w:val="00652EFA"/>
    <w:rsid w:val="00652F1F"/>
    <w:rsid w:val="00652F52"/>
    <w:rsid w:val="00652FA6"/>
    <w:rsid w:val="00653069"/>
    <w:rsid w:val="00653090"/>
    <w:rsid w:val="006530C7"/>
    <w:rsid w:val="00653138"/>
    <w:rsid w:val="00653195"/>
    <w:rsid w:val="006534B6"/>
    <w:rsid w:val="006534BF"/>
    <w:rsid w:val="006535BB"/>
    <w:rsid w:val="006535C2"/>
    <w:rsid w:val="00653793"/>
    <w:rsid w:val="00653795"/>
    <w:rsid w:val="006537C7"/>
    <w:rsid w:val="006537D7"/>
    <w:rsid w:val="00653A1B"/>
    <w:rsid w:val="00653B0F"/>
    <w:rsid w:val="00653B3D"/>
    <w:rsid w:val="00653D07"/>
    <w:rsid w:val="00653D6E"/>
    <w:rsid w:val="00653D87"/>
    <w:rsid w:val="00653D92"/>
    <w:rsid w:val="00653E3F"/>
    <w:rsid w:val="00654049"/>
    <w:rsid w:val="006540BF"/>
    <w:rsid w:val="006541B3"/>
    <w:rsid w:val="00654235"/>
    <w:rsid w:val="0065428A"/>
    <w:rsid w:val="0065436B"/>
    <w:rsid w:val="006543C7"/>
    <w:rsid w:val="0065443C"/>
    <w:rsid w:val="0065444A"/>
    <w:rsid w:val="006544DD"/>
    <w:rsid w:val="00654534"/>
    <w:rsid w:val="006548F4"/>
    <w:rsid w:val="006549D8"/>
    <w:rsid w:val="00654B17"/>
    <w:rsid w:val="00654B1B"/>
    <w:rsid w:val="00654B5C"/>
    <w:rsid w:val="00654BE8"/>
    <w:rsid w:val="00654F14"/>
    <w:rsid w:val="00654F68"/>
    <w:rsid w:val="00654FF9"/>
    <w:rsid w:val="006550F0"/>
    <w:rsid w:val="006551B7"/>
    <w:rsid w:val="00655205"/>
    <w:rsid w:val="00655250"/>
    <w:rsid w:val="00655261"/>
    <w:rsid w:val="00655290"/>
    <w:rsid w:val="006552BB"/>
    <w:rsid w:val="00655332"/>
    <w:rsid w:val="00655338"/>
    <w:rsid w:val="0065543B"/>
    <w:rsid w:val="006554FE"/>
    <w:rsid w:val="00655569"/>
    <w:rsid w:val="006555FD"/>
    <w:rsid w:val="00655630"/>
    <w:rsid w:val="00655764"/>
    <w:rsid w:val="00655862"/>
    <w:rsid w:val="00655937"/>
    <w:rsid w:val="00655AAC"/>
    <w:rsid w:val="00655CDC"/>
    <w:rsid w:val="00655CF9"/>
    <w:rsid w:val="00655D45"/>
    <w:rsid w:val="00655D80"/>
    <w:rsid w:val="00655E0C"/>
    <w:rsid w:val="00655E2F"/>
    <w:rsid w:val="00655E45"/>
    <w:rsid w:val="00656040"/>
    <w:rsid w:val="006560B0"/>
    <w:rsid w:val="00656120"/>
    <w:rsid w:val="006561C3"/>
    <w:rsid w:val="006561FB"/>
    <w:rsid w:val="0065624F"/>
    <w:rsid w:val="006562D9"/>
    <w:rsid w:val="00656331"/>
    <w:rsid w:val="0065633C"/>
    <w:rsid w:val="006563A6"/>
    <w:rsid w:val="0065644C"/>
    <w:rsid w:val="0065655E"/>
    <w:rsid w:val="00656585"/>
    <w:rsid w:val="00656591"/>
    <w:rsid w:val="006565D2"/>
    <w:rsid w:val="0065678B"/>
    <w:rsid w:val="00656810"/>
    <w:rsid w:val="0065683D"/>
    <w:rsid w:val="00656A9F"/>
    <w:rsid w:val="00656AB4"/>
    <w:rsid w:val="00656B4F"/>
    <w:rsid w:val="00656B9A"/>
    <w:rsid w:val="00656BF9"/>
    <w:rsid w:val="00656DF8"/>
    <w:rsid w:val="00656E39"/>
    <w:rsid w:val="00656F87"/>
    <w:rsid w:val="00656F94"/>
    <w:rsid w:val="006570C9"/>
    <w:rsid w:val="0065714C"/>
    <w:rsid w:val="006571AC"/>
    <w:rsid w:val="0065729C"/>
    <w:rsid w:val="006572DA"/>
    <w:rsid w:val="00657330"/>
    <w:rsid w:val="00657371"/>
    <w:rsid w:val="00657379"/>
    <w:rsid w:val="0065759B"/>
    <w:rsid w:val="006575AF"/>
    <w:rsid w:val="0065760A"/>
    <w:rsid w:val="0065761F"/>
    <w:rsid w:val="00657762"/>
    <w:rsid w:val="006577B0"/>
    <w:rsid w:val="006578D6"/>
    <w:rsid w:val="006578D7"/>
    <w:rsid w:val="00657983"/>
    <w:rsid w:val="006579B1"/>
    <w:rsid w:val="006579D5"/>
    <w:rsid w:val="00657A74"/>
    <w:rsid w:val="00657BCF"/>
    <w:rsid w:val="00657C02"/>
    <w:rsid w:val="00657C60"/>
    <w:rsid w:val="00657CBC"/>
    <w:rsid w:val="00657D50"/>
    <w:rsid w:val="00657F31"/>
    <w:rsid w:val="0066004C"/>
    <w:rsid w:val="006600EC"/>
    <w:rsid w:val="00660190"/>
    <w:rsid w:val="0066039C"/>
    <w:rsid w:val="006603DE"/>
    <w:rsid w:val="006604DB"/>
    <w:rsid w:val="0066063B"/>
    <w:rsid w:val="00660720"/>
    <w:rsid w:val="006607BE"/>
    <w:rsid w:val="00660871"/>
    <w:rsid w:val="00660A73"/>
    <w:rsid w:val="00660A74"/>
    <w:rsid w:val="00660AD0"/>
    <w:rsid w:val="00660B54"/>
    <w:rsid w:val="00660C3C"/>
    <w:rsid w:val="00660C8B"/>
    <w:rsid w:val="00660CBA"/>
    <w:rsid w:val="00660DB6"/>
    <w:rsid w:val="00660E14"/>
    <w:rsid w:val="00660E9F"/>
    <w:rsid w:val="00660F56"/>
    <w:rsid w:val="00660F6E"/>
    <w:rsid w:val="00660F74"/>
    <w:rsid w:val="00660FAF"/>
    <w:rsid w:val="006610A6"/>
    <w:rsid w:val="006610BA"/>
    <w:rsid w:val="006611C4"/>
    <w:rsid w:val="006612EE"/>
    <w:rsid w:val="00661407"/>
    <w:rsid w:val="00661492"/>
    <w:rsid w:val="0066156D"/>
    <w:rsid w:val="006615C5"/>
    <w:rsid w:val="00661659"/>
    <w:rsid w:val="0066166C"/>
    <w:rsid w:val="0066172C"/>
    <w:rsid w:val="0066173B"/>
    <w:rsid w:val="006617EB"/>
    <w:rsid w:val="00661945"/>
    <w:rsid w:val="00661A43"/>
    <w:rsid w:val="00661AE9"/>
    <w:rsid w:val="00661B92"/>
    <w:rsid w:val="00661CAD"/>
    <w:rsid w:val="00661E97"/>
    <w:rsid w:val="00661EAC"/>
    <w:rsid w:val="00661FE1"/>
    <w:rsid w:val="0066201A"/>
    <w:rsid w:val="006620E1"/>
    <w:rsid w:val="0066213E"/>
    <w:rsid w:val="0066217B"/>
    <w:rsid w:val="00662236"/>
    <w:rsid w:val="00662360"/>
    <w:rsid w:val="00662454"/>
    <w:rsid w:val="006624DC"/>
    <w:rsid w:val="00662572"/>
    <w:rsid w:val="006625A5"/>
    <w:rsid w:val="006625F5"/>
    <w:rsid w:val="00662696"/>
    <w:rsid w:val="00662709"/>
    <w:rsid w:val="00662880"/>
    <w:rsid w:val="00662A7B"/>
    <w:rsid w:val="00662B2E"/>
    <w:rsid w:val="00662B49"/>
    <w:rsid w:val="00662C13"/>
    <w:rsid w:val="00662C8A"/>
    <w:rsid w:val="00662D78"/>
    <w:rsid w:val="00662DB3"/>
    <w:rsid w:val="00662E5F"/>
    <w:rsid w:val="00662EF4"/>
    <w:rsid w:val="00662FF7"/>
    <w:rsid w:val="0066303C"/>
    <w:rsid w:val="00663083"/>
    <w:rsid w:val="006630B6"/>
    <w:rsid w:val="00663111"/>
    <w:rsid w:val="006631AC"/>
    <w:rsid w:val="0066324B"/>
    <w:rsid w:val="006632B8"/>
    <w:rsid w:val="00663351"/>
    <w:rsid w:val="0066335F"/>
    <w:rsid w:val="006633BC"/>
    <w:rsid w:val="00663455"/>
    <w:rsid w:val="006634C4"/>
    <w:rsid w:val="00663614"/>
    <w:rsid w:val="00663619"/>
    <w:rsid w:val="006636A6"/>
    <w:rsid w:val="006636FC"/>
    <w:rsid w:val="0066383F"/>
    <w:rsid w:val="00663984"/>
    <w:rsid w:val="00663BDB"/>
    <w:rsid w:val="00663BF0"/>
    <w:rsid w:val="00663C2F"/>
    <w:rsid w:val="00663EBA"/>
    <w:rsid w:val="00663FB4"/>
    <w:rsid w:val="00664037"/>
    <w:rsid w:val="00664071"/>
    <w:rsid w:val="00664103"/>
    <w:rsid w:val="00664399"/>
    <w:rsid w:val="006643B7"/>
    <w:rsid w:val="00664434"/>
    <w:rsid w:val="00664449"/>
    <w:rsid w:val="006645D3"/>
    <w:rsid w:val="0066464C"/>
    <w:rsid w:val="00664785"/>
    <w:rsid w:val="006648AD"/>
    <w:rsid w:val="006648E1"/>
    <w:rsid w:val="006648F0"/>
    <w:rsid w:val="0066496D"/>
    <w:rsid w:val="00664AAE"/>
    <w:rsid w:val="00664BCB"/>
    <w:rsid w:val="00664BE6"/>
    <w:rsid w:val="00664E01"/>
    <w:rsid w:val="00664E6C"/>
    <w:rsid w:val="00664E9E"/>
    <w:rsid w:val="00664F69"/>
    <w:rsid w:val="00665187"/>
    <w:rsid w:val="00665285"/>
    <w:rsid w:val="00665369"/>
    <w:rsid w:val="006654CB"/>
    <w:rsid w:val="006655A6"/>
    <w:rsid w:val="0066561F"/>
    <w:rsid w:val="0066568B"/>
    <w:rsid w:val="00665740"/>
    <w:rsid w:val="006657CB"/>
    <w:rsid w:val="00665824"/>
    <w:rsid w:val="0066587F"/>
    <w:rsid w:val="0066591C"/>
    <w:rsid w:val="00665950"/>
    <w:rsid w:val="006659AE"/>
    <w:rsid w:val="00665A65"/>
    <w:rsid w:val="00665AD4"/>
    <w:rsid w:val="00665B0E"/>
    <w:rsid w:val="00665B28"/>
    <w:rsid w:val="00665BBD"/>
    <w:rsid w:val="00665C23"/>
    <w:rsid w:val="00665D97"/>
    <w:rsid w:val="00665DC1"/>
    <w:rsid w:val="006660BF"/>
    <w:rsid w:val="006661CD"/>
    <w:rsid w:val="006661DD"/>
    <w:rsid w:val="006661FE"/>
    <w:rsid w:val="0066620E"/>
    <w:rsid w:val="006662A6"/>
    <w:rsid w:val="006662B8"/>
    <w:rsid w:val="00666399"/>
    <w:rsid w:val="00666462"/>
    <w:rsid w:val="006666C2"/>
    <w:rsid w:val="00666789"/>
    <w:rsid w:val="006667D3"/>
    <w:rsid w:val="006667DF"/>
    <w:rsid w:val="00666857"/>
    <w:rsid w:val="006668E3"/>
    <w:rsid w:val="006668E5"/>
    <w:rsid w:val="00666951"/>
    <w:rsid w:val="00666962"/>
    <w:rsid w:val="00666A47"/>
    <w:rsid w:val="00666A58"/>
    <w:rsid w:val="00666AC5"/>
    <w:rsid w:val="00666B49"/>
    <w:rsid w:val="00666B61"/>
    <w:rsid w:val="00666B6A"/>
    <w:rsid w:val="00666BF0"/>
    <w:rsid w:val="00666E3C"/>
    <w:rsid w:val="00666FBC"/>
    <w:rsid w:val="00666FFA"/>
    <w:rsid w:val="006670AE"/>
    <w:rsid w:val="006670B7"/>
    <w:rsid w:val="0066714B"/>
    <w:rsid w:val="00667305"/>
    <w:rsid w:val="00667329"/>
    <w:rsid w:val="0066737A"/>
    <w:rsid w:val="00667425"/>
    <w:rsid w:val="00667631"/>
    <w:rsid w:val="006676BC"/>
    <w:rsid w:val="006676DC"/>
    <w:rsid w:val="00667785"/>
    <w:rsid w:val="00667873"/>
    <w:rsid w:val="0066787E"/>
    <w:rsid w:val="0066788A"/>
    <w:rsid w:val="006679EC"/>
    <w:rsid w:val="00667B51"/>
    <w:rsid w:val="00667BA5"/>
    <w:rsid w:val="00667C58"/>
    <w:rsid w:val="00667E75"/>
    <w:rsid w:val="00667FBD"/>
    <w:rsid w:val="00667FC6"/>
    <w:rsid w:val="006700EC"/>
    <w:rsid w:val="00670102"/>
    <w:rsid w:val="006701D8"/>
    <w:rsid w:val="006701E3"/>
    <w:rsid w:val="00670331"/>
    <w:rsid w:val="0067048C"/>
    <w:rsid w:val="006704C8"/>
    <w:rsid w:val="0067062B"/>
    <w:rsid w:val="00670650"/>
    <w:rsid w:val="006706DD"/>
    <w:rsid w:val="00670773"/>
    <w:rsid w:val="00670817"/>
    <w:rsid w:val="00670833"/>
    <w:rsid w:val="006709BA"/>
    <w:rsid w:val="006709BD"/>
    <w:rsid w:val="006709CF"/>
    <w:rsid w:val="00670A3C"/>
    <w:rsid w:val="00670A72"/>
    <w:rsid w:val="00670B59"/>
    <w:rsid w:val="00670BC1"/>
    <w:rsid w:val="00670BE1"/>
    <w:rsid w:val="00670C24"/>
    <w:rsid w:val="00670C4C"/>
    <w:rsid w:val="00670CA1"/>
    <w:rsid w:val="00670D50"/>
    <w:rsid w:val="00670DCA"/>
    <w:rsid w:val="00670DD1"/>
    <w:rsid w:val="00670E66"/>
    <w:rsid w:val="00670E8F"/>
    <w:rsid w:val="00670F69"/>
    <w:rsid w:val="00670FD2"/>
    <w:rsid w:val="006710DD"/>
    <w:rsid w:val="006711BC"/>
    <w:rsid w:val="0067128A"/>
    <w:rsid w:val="006712C0"/>
    <w:rsid w:val="006712DA"/>
    <w:rsid w:val="006712FC"/>
    <w:rsid w:val="0067131A"/>
    <w:rsid w:val="00671393"/>
    <w:rsid w:val="00671403"/>
    <w:rsid w:val="0067146D"/>
    <w:rsid w:val="00671489"/>
    <w:rsid w:val="006714CD"/>
    <w:rsid w:val="0067151E"/>
    <w:rsid w:val="00671624"/>
    <w:rsid w:val="00671754"/>
    <w:rsid w:val="006717E0"/>
    <w:rsid w:val="00671816"/>
    <w:rsid w:val="00671839"/>
    <w:rsid w:val="006718BE"/>
    <w:rsid w:val="00671944"/>
    <w:rsid w:val="006719B1"/>
    <w:rsid w:val="00671A1B"/>
    <w:rsid w:val="00671A4D"/>
    <w:rsid w:val="00671AAD"/>
    <w:rsid w:val="00671B5A"/>
    <w:rsid w:val="00671CC0"/>
    <w:rsid w:val="00671D2B"/>
    <w:rsid w:val="00671D36"/>
    <w:rsid w:val="00671EAC"/>
    <w:rsid w:val="00672074"/>
    <w:rsid w:val="006720A1"/>
    <w:rsid w:val="0067228B"/>
    <w:rsid w:val="006722B4"/>
    <w:rsid w:val="006723AA"/>
    <w:rsid w:val="00672468"/>
    <w:rsid w:val="006724D4"/>
    <w:rsid w:val="006725D9"/>
    <w:rsid w:val="0067262A"/>
    <w:rsid w:val="00672753"/>
    <w:rsid w:val="00672758"/>
    <w:rsid w:val="00672832"/>
    <w:rsid w:val="006729EA"/>
    <w:rsid w:val="00672A9A"/>
    <w:rsid w:val="00672ACA"/>
    <w:rsid w:val="00672B08"/>
    <w:rsid w:val="00672BF4"/>
    <w:rsid w:val="00672C73"/>
    <w:rsid w:val="00672CCE"/>
    <w:rsid w:val="00672DA1"/>
    <w:rsid w:val="00672E08"/>
    <w:rsid w:val="00672EC5"/>
    <w:rsid w:val="00673009"/>
    <w:rsid w:val="0067320B"/>
    <w:rsid w:val="006732AF"/>
    <w:rsid w:val="006732DE"/>
    <w:rsid w:val="00673324"/>
    <w:rsid w:val="0067339D"/>
    <w:rsid w:val="006734E9"/>
    <w:rsid w:val="006735D9"/>
    <w:rsid w:val="006735E1"/>
    <w:rsid w:val="006735E5"/>
    <w:rsid w:val="00673619"/>
    <w:rsid w:val="00673652"/>
    <w:rsid w:val="00673869"/>
    <w:rsid w:val="00673988"/>
    <w:rsid w:val="006739A4"/>
    <w:rsid w:val="00673A6E"/>
    <w:rsid w:val="00673BD8"/>
    <w:rsid w:val="00673CE5"/>
    <w:rsid w:val="00673E3E"/>
    <w:rsid w:val="00673EA9"/>
    <w:rsid w:val="00673F3E"/>
    <w:rsid w:val="00674033"/>
    <w:rsid w:val="00674111"/>
    <w:rsid w:val="0067430C"/>
    <w:rsid w:val="006743CB"/>
    <w:rsid w:val="006744AC"/>
    <w:rsid w:val="006744D1"/>
    <w:rsid w:val="0067454B"/>
    <w:rsid w:val="00674611"/>
    <w:rsid w:val="00674687"/>
    <w:rsid w:val="0067474F"/>
    <w:rsid w:val="0067478B"/>
    <w:rsid w:val="00674792"/>
    <w:rsid w:val="00674795"/>
    <w:rsid w:val="00674889"/>
    <w:rsid w:val="006748C0"/>
    <w:rsid w:val="00674941"/>
    <w:rsid w:val="006749E2"/>
    <w:rsid w:val="00674A28"/>
    <w:rsid w:val="00674B08"/>
    <w:rsid w:val="00674C7D"/>
    <w:rsid w:val="00674DB7"/>
    <w:rsid w:val="00674E8D"/>
    <w:rsid w:val="00674F1A"/>
    <w:rsid w:val="00675027"/>
    <w:rsid w:val="006750A5"/>
    <w:rsid w:val="00675106"/>
    <w:rsid w:val="0067519F"/>
    <w:rsid w:val="00675235"/>
    <w:rsid w:val="006752A7"/>
    <w:rsid w:val="006755B5"/>
    <w:rsid w:val="006755BC"/>
    <w:rsid w:val="00675702"/>
    <w:rsid w:val="0067579A"/>
    <w:rsid w:val="006758E5"/>
    <w:rsid w:val="006758F7"/>
    <w:rsid w:val="006759D5"/>
    <w:rsid w:val="006759F1"/>
    <w:rsid w:val="00675A12"/>
    <w:rsid w:val="00675A6E"/>
    <w:rsid w:val="00675B9B"/>
    <w:rsid w:val="00675C2E"/>
    <w:rsid w:val="00675CA8"/>
    <w:rsid w:val="00675D33"/>
    <w:rsid w:val="00675D9C"/>
    <w:rsid w:val="00675E44"/>
    <w:rsid w:val="00675E94"/>
    <w:rsid w:val="00675E9C"/>
    <w:rsid w:val="00675EAA"/>
    <w:rsid w:val="00675EFA"/>
    <w:rsid w:val="00676149"/>
    <w:rsid w:val="0067621B"/>
    <w:rsid w:val="0067624A"/>
    <w:rsid w:val="00676380"/>
    <w:rsid w:val="006764B6"/>
    <w:rsid w:val="006765BD"/>
    <w:rsid w:val="006766E2"/>
    <w:rsid w:val="0067678F"/>
    <w:rsid w:val="00676878"/>
    <w:rsid w:val="00676880"/>
    <w:rsid w:val="00676906"/>
    <w:rsid w:val="0067690C"/>
    <w:rsid w:val="0067694F"/>
    <w:rsid w:val="00676971"/>
    <w:rsid w:val="006769D7"/>
    <w:rsid w:val="00676C41"/>
    <w:rsid w:val="00676C6E"/>
    <w:rsid w:val="00676CBE"/>
    <w:rsid w:val="00676D4D"/>
    <w:rsid w:val="00676D71"/>
    <w:rsid w:val="00676E0F"/>
    <w:rsid w:val="00676EA7"/>
    <w:rsid w:val="00676F72"/>
    <w:rsid w:val="00676FAA"/>
    <w:rsid w:val="00676FB6"/>
    <w:rsid w:val="00677003"/>
    <w:rsid w:val="0067700E"/>
    <w:rsid w:val="006772C3"/>
    <w:rsid w:val="0067731F"/>
    <w:rsid w:val="0067735C"/>
    <w:rsid w:val="006774E8"/>
    <w:rsid w:val="006774FB"/>
    <w:rsid w:val="0067762A"/>
    <w:rsid w:val="006776A4"/>
    <w:rsid w:val="00677725"/>
    <w:rsid w:val="0067780A"/>
    <w:rsid w:val="006778AA"/>
    <w:rsid w:val="0067797A"/>
    <w:rsid w:val="00677AF3"/>
    <w:rsid w:val="00677B69"/>
    <w:rsid w:val="00677B94"/>
    <w:rsid w:val="00677CFE"/>
    <w:rsid w:val="00677D13"/>
    <w:rsid w:val="00677D2D"/>
    <w:rsid w:val="00677D5F"/>
    <w:rsid w:val="00677D6F"/>
    <w:rsid w:val="00677DBA"/>
    <w:rsid w:val="00677EA0"/>
    <w:rsid w:val="00677ED1"/>
    <w:rsid w:val="00677F34"/>
    <w:rsid w:val="00677FA6"/>
    <w:rsid w:val="00680060"/>
    <w:rsid w:val="00680084"/>
    <w:rsid w:val="006800A9"/>
    <w:rsid w:val="00680256"/>
    <w:rsid w:val="0068029F"/>
    <w:rsid w:val="006802DB"/>
    <w:rsid w:val="006802DE"/>
    <w:rsid w:val="006802F3"/>
    <w:rsid w:val="00680380"/>
    <w:rsid w:val="006803DC"/>
    <w:rsid w:val="00680429"/>
    <w:rsid w:val="006804E8"/>
    <w:rsid w:val="0068055D"/>
    <w:rsid w:val="00680590"/>
    <w:rsid w:val="006805B5"/>
    <w:rsid w:val="00680645"/>
    <w:rsid w:val="0068070F"/>
    <w:rsid w:val="00680899"/>
    <w:rsid w:val="006808C4"/>
    <w:rsid w:val="00680988"/>
    <w:rsid w:val="0068098F"/>
    <w:rsid w:val="00680990"/>
    <w:rsid w:val="006809FC"/>
    <w:rsid w:val="00680A41"/>
    <w:rsid w:val="00680A8A"/>
    <w:rsid w:val="00680AD3"/>
    <w:rsid w:val="00680B3A"/>
    <w:rsid w:val="00680B40"/>
    <w:rsid w:val="00680DD6"/>
    <w:rsid w:val="00680E46"/>
    <w:rsid w:val="00680E5D"/>
    <w:rsid w:val="0068104C"/>
    <w:rsid w:val="0068124A"/>
    <w:rsid w:val="0068125C"/>
    <w:rsid w:val="0068125F"/>
    <w:rsid w:val="00681284"/>
    <w:rsid w:val="00681300"/>
    <w:rsid w:val="00681377"/>
    <w:rsid w:val="006814A5"/>
    <w:rsid w:val="006814D5"/>
    <w:rsid w:val="00681682"/>
    <w:rsid w:val="006816AC"/>
    <w:rsid w:val="006816D8"/>
    <w:rsid w:val="0068173A"/>
    <w:rsid w:val="00681817"/>
    <w:rsid w:val="006818D3"/>
    <w:rsid w:val="00681953"/>
    <w:rsid w:val="00681A79"/>
    <w:rsid w:val="00681B9C"/>
    <w:rsid w:val="00681B9F"/>
    <w:rsid w:val="00681BCA"/>
    <w:rsid w:val="00681C17"/>
    <w:rsid w:val="00681CE4"/>
    <w:rsid w:val="00681EBF"/>
    <w:rsid w:val="00681EC9"/>
    <w:rsid w:val="00682123"/>
    <w:rsid w:val="0068213D"/>
    <w:rsid w:val="006821BF"/>
    <w:rsid w:val="0068224D"/>
    <w:rsid w:val="006822FA"/>
    <w:rsid w:val="0068239D"/>
    <w:rsid w:val="006824DE"/>
    <w:rsid w:val="00682534"/>
    <w:rsid w:val="00682620"/>
    <w:rsid w:val="00682649"/>
    <w:rsid w:val="00682697"/>
    <w:rsid w:val="006826AB"/>
    <w:rsid w:val="006826EA"/>
    <w:rsid w:val="00682835"/>
    <w:rsid w:val="0068285E"/>
    <w:rsid w:val="0068288C"/>
    <w:rsid w:val="00682944"/>
    <w:rsid w:val="00682973"/>
    <w:rsid w:val="006829CE"/>
    <w:rsid w:val="00682AC5"/>
    <w:rsid w:val="00682D43"/>
    <w:rsid w:val="00682D59"/>
    <w:rsid w:val="00682D96"/>
    <w:rsid w:val="00682E15"/>
    <w:rsid w:val="00682FC2"/>
    <w:rsid w:val="00683097"/>
    <w:rsid w:val="0068315E"/>
    <w:rsid w:val="00683184"/>
    <w:rsid w:val="006831A8"/>
    <w:rsid w:val="006831B9"/>
    <w:rsid w:val="00683202"/>
    <w:rsid w:val="0068324A"/>
    <w:rsid w:val="00683251"/>
    <w:rsid w:val="0068334E"/>
    <w:rsid w:val="0068335D"/>
    <w:rsid w:val="00683372"/>
    <w:rsid w:val="00683374"/>
    <w:rsid w:val="006833A3"/>
    <w:rsid w:val="00683414"/>
    <w:rsid w:val="0068352B"/>
    <w:rsid w:val="00683548"/>
    <w:rsid w:val="00683563"/>
    <w:rsid w:val="006836A4"/>
    <w:rsid w:val="00683807"/>
    <w:rsid w:val="00683851"/>
    <w:rsid w:val="0068386A"/>
    <w:rsid w:val="006838D5"/>
    <w:rsid w:val="00683978"/>
    <w:rsid w:val="006839B0"/>
    <w:rsid w:val="006839E2"/>
    <w:rsid w:val="006839E6"/>
    <w:rsid w:val="006839EB"/>
    <w:rsid w:val="00683BA9"/>
    <w:rsid w:val="00683BB3"/>
    <w:rsid w:val="00683D30"/>
    <w:rsid w:val="00683DDD"/>
    <w:rsid w:val="00683E39"/>
    <w:rsid w:val="00683F36"/>
    <w:rsid w:val="00683FF4"/>
    <w:rsid w:val="00683FFA"/>
    <w:rsid w:val="0068402F"/>
    <w:rsid w:val="0068414F"/>
    <w:rsid w:val="006841D8"/>
    <w:rsid w:val="006841ED"/>
    <w:rsid w:val="00684289"/>
    <w:rsid w:val="0068431E"/>
    <w:rsid w:val="006843A9"/>
    <w:rsid w:val="00684409"/>
    <w:rsid w:val="00684417"/>
    <w:rsid w:val="0068441E"/>
    <w:rsid w:val="006844E2"/>
    <w:rsid w:val="006846F6"/>
    <w:rsid w:val="0068474A"/>
    <w:rsid w:val="0068484E"/>
    <w:rsid w:val="00684951"/>
    <w:rsid w:val="00684C2C"/>
    <w:rsid w:val="00684C7F"/>
    <w:rsid w:val="00684CF8"/>
    <w:rsid w:val="00684D69"/>
    <w:rsid w:val="00684D8E"/>
    <w:rsid w:val="00684DE8"/>
    <w:rsid w:val="00684E5B"/>
    <w:rsid w:val="0068515F"/>
    <w:rsid w:val="00685203"/>
    <w:rsid w:val="00685238"/>
    <w:rsid w:val="00685239"/>
    <w:rsid w:val="0068535C"/>
    <w:rsid w:val="006854D4"/>
    <w:rsid w:val="0068553F"/>
    <w:rsid w:val="00685589"/>
    <w:rsid w:val="00685689"/>
    <w:rsid w:val="0068568C"/>
    <w:rsid w:val="00685815"/>
    <w:rsid w:val="00685839"/>
    <w:rsid w:val="00685945"/>
    <w:rsid w:val="00685B34"/>
    <w:rsid w:val="00685C19"/>
    <w:rsid w:val="00685C24"/>
    <w:rsid w:val="00685CAD"/>
    <w:rsid w:val="00685DA0"/>
    <w:rsid w:val="00685E00"/>
    <w:rsid w:val="00685E81"/>
    <w:rsid w:val="00685F56"/>
    <w:rsid w:val="00686039"/>
    <w:rsid w:val="0068614C"/>
    <w:rsid w:val="006861A8"/>
    <w:rsid w:val="006861BF"/>
    <w:rsid w:val="00686223"/>
    <w:rsid w:val="00686263"/>
    <w:rsid w:val="0068640B"/>
    <w:rsid w:val="0068641A"/>
    <w:rsid w:val="006865A8"/>
    <w:rsid w:val="00686755"/>
    <w:rsid w:val="0068682C"/>
    <w:rsid w:val="0068688E"/>
    <w:rsid w:val="00686977"/>
    <w:rsid w:val="00686A15"/>
    <w:rsid w:val="00686A75"/>
    <w:rsid w:val="00686B44"/>
    <w:rsid w:val="00686B7A"/>
    <w:rsid w:val="00686BF6"/>
    <w:rsid w:val="00686C92"/>
    <w:rsid w:val="00686DC9"/>
    <w:rsid w:val="00686F26"/>
    <w:rsid w:val="00686F93"/>
    <w:rsid w:val="00686FDA"/>
    <w:rsid w:val="0068700E"/>
    <w:rsid w:val="00687066"/>
    <w:rsid w:val="0068709D"/>
    <w:rsid w:val="0068713F"/>
    <w:rsid w:val="006871C9"/>
    <w:rsid w:val="0068724B"/>
    <w:rsid w:val="006873CF"/>
    <w:rsid w:val="00687484"/>
    <w:rsid w:val="006875A5"/>
    <w:rsid w:val="006875FE"/>
    <w:rsid w:val="0068767A"/>
    <w:rsid w:val="0068784A"/>
    <w:rsid w:val="0068794F"/>
    <w:rsid w:val="00687964"/>
    <w:rsid w:val="00687B62"/>
    <w:rsid w:val="00687BB0"/>
    <w:rsid w:val="00687C0A"/>
    <w:rsid w:val="00687C18"/>
    <w:rsid w:val="00687C68"/>
    <w:rsid w:val="00687C7A"/>
    <w:rsid w:val="00687CBF"/>
    <w:rsid w:val="00687CDF"/>
    <w:rsid w:val="00687D13"/>
    <w:rsid w:val="00687D9A"/>
    <w:rsid w:val="00687E1E"/>
    <w:rsid w:val="00687E48"/>
    <w:rsid w:val="00687E5F"/>
    <w:rsid w:val="00687EC5"/>
    <w:rsid w:val="00687F7C"/>
    <w:rsid w:val="006901B9"/>
    <w:rsid w:val="0069023C"/>
    <w:rsid w:val="00690269"/>
    <w:rsid w:val="0069034F"/>
    <w:rsid w:val="006903C7"/>
    <w:rsid w:val="0069047D"/>
    <w:rsid w:val="00690638"/>
    <w:rsid w:val="00690649"/>
    <w:rsid w:val="00690728"/>
    <w:rsid w:val="0069074D"/>
    <w:rsid w:val="00690884"/>
    <w:rsid w:val="0069088D"/>
    <w:rsid w:val="006908AA"/>
    <w:rsid w:val="006908AF"/>
    <w:rsid w:val="006909B4"/>
    <w:rsid w:val="00690A12"/>
    <w:rsid w:val="00690AC3"/>
    <w:rsid w:val="00690B67"/>
    <w:rsid w:val="00690BC3"/>
    <w:rsid w:val="00690C4B"/>
    <w:rsid w:val="00690E16"/>
    <w:rsid w:val="00690E3F"/>
    <w:rsid w:val="00690E9F"/>
    <w:rsid w:val="00690F1F"/>
    <w:rsid w:val="0069105B"/>
    <w:rsid w:val="00691087"/>
    <w:rsid w:val="00691103"/>
    <w:rsid w:val="00691136"/>
    <w:rsid w:val="00691195"/>
    <w:rsid w:val="00691280"/>
    <w:rsid w:val="006912DE"/>
    <w:rsid w:val="006913C3"/>
    <w:rsid w:val="006913F6"/>
    <w:rsid w:val="00691425"/>
    <w:rsid w:val="006914A3"/>
    <w:rsid w:val="00691552"/>
    <w:rsid w:val="00691554"/>
    <w:rsid w:val="00691573"/>
    <w:rsid w:val="00691630"/>
    <w:rsid w:val="006916BB"/>
    <w:rsid w:val="00691875"/>
    <w:rsid w:val="00691A23"/>
    <w:rsid w:val="00691A2C"/>
    <w:rsid w:val="00691B71"/>
    <w:rsid w:val="00691BFE"/>
    <w:rsid w:val="00691D03"/>
    <w:rsid w:val="00691D4D"/>
    <w:rsid w:val="00691DBB"/>
    <w:rsid w:val="00691E1B"/>
    <w:rsid w:val="00692042"/>
    <w:rsid w:val="006920AB"/>
    <w:rsid w:val="006920D5"/>
    <w:rsid w:val="0069218E"/>
    <w:rsid w:val="006923E1"/>
    <w:rsid w:val="006925D6"/>
    <w:rsid w:val="00692612"/>
    <w:rsid w:val="0069264E"/>
    <w:rsid w:val="00692657"/>
    <w:rsid w:val="00692713"/>
    <w:rsid w:val="00692771"/>
    <w:rsid w:val="00692783"/>
    <w:rsid w:val="006927BC"/>
    <w:rsid w:val="00692A4C"/>
    <w:rsid w:val="00692A9E"/>
    <w:rsid w:val="00692BB3"/>
    <w:rsid w:val="00692C7D"/>
    <w:rsid w:val="00692CE6"/>
    <w:rsid w:val="00692DD5"/>
    <w:rsid w:val="00692E60"/>
    <w:rsid w:val="00692EFE"/>
    <w:rsid w:val="00692F33"/>
    <w:rsid w:val="00692F6D"/>
    <w:rsid w:val="0069306F"/>
    <w:rsid w:val="00693151"/>
    <w:rsid w:val="00693250"/>
    <w:rsid w:val="006933C6"/>
    <w:rsid w:val="006933DA"/>
    <w:rsid w:val="006934E7"/>
    <w:rsid w:val="0069351B"/>
    <w:rsid w:val="00693549"/>
    <w:rsid w:val="00693677"/>
    <w:rsid w:val="006936D4"/>
    <w:rsid w:val="0069377B"/>
    <w:rsid w:val="00693787"/>
    <w:rsid w:val="006937D7"/>
    <w:rsid w:val="00693829"/>
    <w:rsid w:val="006938AA"/>
    <w:rsid w:val="006939D6"/>
    <w:rsid w:val="00693A0D"/>
    <w:rsid w:val="00693A8A"/>
    <w:rsid w:val="00693BD9"/>
    <w:rsid w:val="00693C89"/>
    <w:rsid w:val="00693F7F"/>
    <w:rsid w:val="006940BF"/>
    <w:rsid w:val="00694153"/>
    <w:rsid w:val="00694173"/>
    <w:rsid w:val="00694184"/>
    <w:rsid w:val="0069424D"/>
    <w:rsid w:val="00694286"/>
    <w:rsid w:val="006942A5"/>
    <w:rsid w:val="0069432B"/>
    <w:rsid w:val="00694341"/>
    <w:rsid w:val="00694364"/>
    <w:rsid w:val="00694382"/>
    <w:rsid w:val="00694452"/>
    <w:rsid w:val="00694453"/>
    <w:rsid w:val="0069449F"/>
    <w:rsid w:val="006944C8"/>
    <w:rsid w:val="00694588"/>
    <w:rsid w:val="00694640"/>
    <w:rsid w:val="00694670"/>
    <w:rsid w:val="006946CB"/>
    <w:rsid w:val="006946DF"/>
    <w:rsid w:val="0069473F"/>
    <w:rsid w:val="0069474B"/>
    <w:rsid w:val="0069475D"/>
    <w:rsid w:val="00694868"/>
    <w:rsid w:val="00694918"/>
    <w:rsid w:val="00694ABA"/>
    <w:rsid w:val="00694B00"/>
    <w:rsid w:val="00694BB2"/>
    <w:rsid w:val="00694CEB"/>
    <w:rsid w:val="00694D1E"/>
    <w:rsid w:val="00694D2F"/>
    <w:rsid w:val="00694E05"/>
    <w:rsid w:val="00694E3B"/>
    <w:rsid w:val="00694EB0"/>
    <w:rsid w:val="00694EB3"/>
    <w:rsid w:val="00694FAB"/>
    <w:rsid w:val="00694FB6"/>
    <w:rsid w:val="00694FC8"/>
    <w:rsid w:val="00695031"/>
    <w:rsid w:val="0069508C"/>
    <w:rsid w:val="00695129"/>
    <w:rsid w:val="00695308"/>
    <w:rsid w:val="0069532D"/>
    <w:rsid w:val="00695447"/>
    <w:rsid w:val="00695659"/>
    <w:rsid w:val="006956D1"/>
    <w:rsid w:val="006956F0"/>
    <w:rsid w:val="00695710"/>
    <w:rsid w:val="00695818"/>
    <w:rsid w:val="006958F1"/>
    <w:rsid w:val="00695A37"/>
    <w:rsid w:val="00695AAE"/>
    <w:rsid w:val="00695AC3"/>
    <w:rsid w:val="00695B0B"/>
    <w:rsid w:val="00695B66"/>
    <w:rsid w:val="00695D6A"/>
    <w:rsid w:val="00695DFC"/>
    <w:rsid w:val="00695F0D"/>
    <w:rsid w:val="00695F4B"/>
    <w:rsid w:val="00695FF5"/>
    <w:rsid w:val="00696024"/>
    <w:rsid w:val="00696110"/>
    <w:rsid w:val="00696196"/>
    <w:rsid w:val="00696212"/>
    <w:rsid w:val="0069623E"/>
    <w:rsid w:val="00696276"/>
    <w:rsid w:val="006962A0"/>
    <w:rsid w:val="006962B2"/>
    <w:rsid w:val="006962C4"/>
    <w:rsid w:val="006964BD"/>
    <w:rsid w:val="0069655C"/>
    <w:rsid w:val="006965F7"/>
    <w:rsid w:val="006967C4"/>
    <w:rsid w:val="00696865"/>
    <w:rsid w:val="006969C2"/>
    <w:rsid w:val="006969D0"/>
    <w:rsid w:val="00696AEA"/>
    <w:rsid w:val="00696B45"/>
    <w:rsid w:val="00696C87"/>
    <w:rsid w:val="00696CC3"/>
    <w:rsid w:val="00696EDC"/>
    <w:rsid w:val="00696EDE"/>
    <w:rsid w:val="00696EE1"/>
    <w:rsid w:val="00696F78"/>
    <w:rsid w:val="0069701C"/>
    <w:rsid w:val="00697055"/>
    <w:rsid w:val="0069707D"/>
    <w:rsid w:val="0069717D"/>
    <w:rsid w:val="006971AB"/>
    <w:rsid w:val="006971E9"/>
    <w:rsid w:val="0069720D"/>
    <w:rsid w:val="006972FA"/>
    <w:rsid w:val="0069740D"/>
    <w:rsid w:val="0069747E"/>
    <w:rsid w:val="006974DF"/>
    <w:rsid w:val="00697749"/>
    <w:rsid w:val="00697759"/>
    <w:rsid w:val="0069785B"/>
    <w:rsid w:val="00697879"/>
    <w:rsid w:val="00697880"/>
    <w:rsid w:val="00697966"/>
    <w:rsid w:val="00697988"/>
    <w:rsid w:val="00697B1D"/>
    <w:rsid w:val="00697B87"/>
    <w:rsid w:val="00697BFA"/>
    <w:rsid w:val="00697D66"/>
    <w:rsid w:val="00697D9D"/>
    <w:rsid w:val="00697DB1"/>
    <w:rsid w:val="00697DB9"/>
    <w:rsid w:val="00697E34"/>
    <w:rsid w:val="00697FB3"/>
    <w:rsid w:val="006A0040"/>
    <w:rsid w:val="006A00D1"/>
    <w:rsid w:val="006A00EB"/>
    <w:rsid w:val="006A0133"/>
    <w:rsid w:val="006A0167"/>
    <w:rsid w:val="006A01A0"/>
    <w:rsid w:val="006A0408"/>
    <w:rsid w:val="006A04DC"/>
    <w:rsid w:val="006A04ED"/>
    <w:rsid w:val="006A04F5"/>
    <w:rsid w:val="006A0566"/>
    <w:rsid w:val="006A0577"/>
    <w:rsid w:val="006A05AA"/>
    <w:rsid w:val="006A0703"/>
    <w:rsid w:val="006A07C9"/>
    <w:rsid w:val="006A0858"/>
    <w:rsid w:val="006A0875"/>
    <w:rsid w:val="006A0945"/>
    <w:rsid w:val="006A0950"/>
    <w:rsid w:val="006A099A"/>
    <w:rsid w:val="006A0B42"/>
    <w:rsid w:val="006A0BF8"/>
    <w:rsid w:val="006A0F27"/>
    <w:rsid w:val="006A0F57"/>
    <w:rsid w:val="006A0F5E"/>
    <w:rsid w:val="006A0F94"/>
    <w:rsid w:val="006A1230"/>
    <w:rsid w:val="006A13B2"/>
    <w:rsid w:val="006A1518"/>
    <w:rsid w:val="006A173F"/>
    <w:rsid w:val="006A1747"/>
    <w:rsid w:val="006A17E4"/>
    <w:rsid w:val="006A18F1"/>
    <w:rsid w:val="006A196A"/>
    <w:rsid w:val="006A19BC"/>
    <w:rsid w:val="006A1A47"/>
    <w:rsid w:val="006A1C3F"/>
    <w:rsid w:val="006A1D05"/>
    <w:rsid w:val="006A1D15"/>
    <w:rsid w:val="006A1D33"/>
    <w:rsid w:val="006A1E0D"/>
    <w:rsid w:val="006A1EBD"/>
    <w:rsid w:val="006A1F29"/>
    <w:rsid w:val="006A204B"/>
    <w:rsid w:val="006A207D"/>
    <w:rsid w:val="006A20D4"/>
    <w:rsid w:val="006A2163"/>
    <w:rsid w:val="006A21CC"/>
    <w:rsid w:val="006A2262"/>
    <w:rsid w:val="006A2315"/>
    <w:rsid w:val="006A231E"/>
    <w:rsid w:val="006A2459"/>
    <w:rsid w:val="006A256B"/>
    <w:rsid w:val="006A2662"/>
    <w:rsid w:val="006A269B"/>
    <w:rsid w:val="006A283C"/>
    <w:rsid w:val="006A2845"/>
    <w:rsid w:val="006A2849"/>
    <w:rsid w:val="006A29C3"/>
    <w:rsid w:val="006A29CD"/>
    <w:rsid w:val="006A29F3"/>
    <w:rsid w:val="006A2A12"/>
    <w:rsid w:val="006A2ACE"/>
    <w:rsid w:val="006A2B14"/>
    <w:rsid w:val="006A2B2E"/>
    <w:rsid w:val="006A2B9B"/>
    <w:rsid w:val="006A2BB3"/>
    <w:rsid w:val="006A2BCD"/>
    <w:rsid w:val="006A2C26"/>
    <w:rsid w:val="006A2C2F"/>
    <w:rsid w:val="006A2C6F"/>
    <w:rsid w:val="006A2FA3"/>
    <w:rsid w:val="006A3174"/>
    <w:rsid w:val="006A3282"/>
    <w:rsid w:val="006A3289"/>
    <w:rsid w:val="006A32A3"/>
    <w:rsid w:val="006A3387"/>
    <w:rsid w:val="006A3400"/>
    <w:rsid w:val="006A3410"/>
    <w:rsid w:val="006A3486"/>
    <w:rsid w:val="006A356D"/>
    <w:rsid w:val="006A35F3"/>
    <w:rsid w:val="006A364E"/>
    <w:rsid w:val="006A3664"/>
    <w:rsid w:val="006A370E"/>
    <w:rsid w:val="006A3743"/>
    <w:rsid w:val="006A37B3"/>
    <w:rsid w:val="006A37CF"/>
    <w:rsid w:val="006A38A2"/>
    <w:rsid w:val="006A3957"/>
    <w:rsid w:val="006A39A2"/>
    <w:rsid w:val="006A39C3"/>
    <w:rsid w:val="006A39FA"/>
    <w:rsid w:val="006A3A09"/>
    <w:rsid w:val="006A3A2B"/>
    <w:rsid w:val="006A3A4B"/>
    <w:rsid w:val="006A3ACC"/>
    <w:rsid w:val="006A3AE4"/>
    <w:rsid w:val="006A3BC8"/>
    <w:rsid w:val="006A3BDF"/>
    <w:rsid w:val="006A3DBB"/>
    <w:rsid w:val="006A3F05"/>
    <w:rsid w:val="006A4091"/>
    <w:rsid w:val="006A40B4"/>
    <w:rsid w:val="006A40E5"/>
    <w:rsid w:val="006A40F3"/>
    <w:rsid w:val="006A410F"/>
    <w:rsid w:val="006A416E"/>
    <w:rsid w:val="006A41BA"/>
    <w:rsid w:val="006A425B"/>
    <w:rsid w:val="006A4276"/>
    <w:rsid w:val="006A4293"/>
    <w:rsid w:val="006A42EF"/>
    <w:rsid w:val="006A431B"/>
    <w:rsid w:val="006A4424"/>
    <w:rsid w:val="006A44C7"/>
    <w:rsid w:val="006A454B"/>
    <w:rsid w:val="006A45C6"/>
    <w:rsid w:val="006A45F7"/>
    <w:rsid w:val="006A461C"/>
    <w:rsid w:val="006A468F"/>
    <w:rsid w:val="006A469D"/>
    <w:rsid w:val="006A46D6"/>
    <w:rsid w:val="006A474E"/>
    <w:rsid w:val="006A4881"/>
    <w:rsid w:val="006A4893"/>
    <w:rsid w:val="006A4911"/>
    <w:rsid w:val="006A4AAD"/>
    <w:rsid w:val="006A4BE7"/>
    <w:rsid w:val="006A4CAC"/>
    <w:rsid w:val="006A4D3F"/>
    <w:rsid w:val="006A4DF2"/>
    <w:rsid w:val="006A4E1C"/>
    <w:rsid w:val="006A4E26"/>
    <w:rsid w:val="006A4E4E"/>
    <w:rsid w:val="006A4E74"/>
    <w:rsid w:val="006A4F3A"/>
    <w:rsid w:val="006A4FB7"/>
    <w:rsid w:val="006A50DC"/>
    <w:rsid w:val="006A5261"/>
    <w:rsid w:val="006A5343"/>
    <w:rsid w:val="006A54A2"/>
    <w:rsid w:val="006A55B9"/>
    <w:rsid w:val="006A5664"/>
    <w:rsid w:val="006A587F"/>
    <w:rsid w:val="006A58B8"/>
    <w:rsid w:val="006A591E"/>
    <w:rsid w:val="006A59F8"/>
    <w:rsid w:val="006A5B2A"/>
    <w:rsid w:val="006A5C7B"/>
    <w:rsid w:val="006A5CEC"/>
    <w:rsid w:val="006A5EBA"/>
    <w:rsid w:val="006A5FB4"/>
    <w:rsid w:val="006A5FEC"/>
    <w:rsid w:val="006A6030"/>
    <w:rsid w:val="006A60C9"/>
    <w:rsid w:val="006A628F"/>
    <w:rsid w:val="006A63CF"/>
    <w:rsid w:val="006A63FA"/>
    <w:rsid w:val="006A6449"/>
    <w:rsid w:val="006A6634"/>
    <w:rsid w:val="006A6640"/>
    <w:rsid w:val="006A666D"/>
    <w:rsid w:val="006A67DC"/>
    <w:rsid w:val="006A688F"/>
    <w:rsid w:val="006A68D0"/>
    <w:rsid w:val="006A69E9"/>
    <w:rsid w:val="006A6BF1"/>
    <w:rsid w:val="006A6CD8"/>
    <w:rsid w:val="006A6CF4"/>
    <w:rsid w:val="006A706B"/>
    <w:rsid w:val="006A716D"/>
    <w:rsid w:val="006A72D3"/>
    <w:rsid w:val="006A7379"/>
    <w:rsid w:val="006A73A3"/>
    <w:rsid w:val="006A73C6"/>
    <w:rsid w:val="006A73EC"/>
    <w:rsid w:val="006A7417"/>
    <w:rsid w:val="006A74BA"/>
    <w:rsid w:val="006A7563"/>
    <w:rsid w:val="006A759A"/>
    <w:rsid w:val="006A76F4"/>
    <w:rsid w:val="006A771D"/>
    <w:rsid w:val="006A7799"/>
    <w:rsid w:val="006A785D"/>
    <w:rsid w:val="006A78CD"/>
    <w:rsid w:val="006A790F"/>
    <w:rsid w:val="006A7A28"/>
    <w:rsid w:val="006A7AA5"/>
    <w:rsid w:val="006A7B13"/>
    <w:rsid w:val="006A7C16"/>
    <w:rsid w:val="006A7D0C"/>
    <w:rsid w:val="006A7DEC"/>
    <w:rsid w:val="006A7E0F"/>
    <w:rsid w:val="006A7EB7"/>
    <w:rsid w:val="006A7EF2"/>
    <w:rsid w:val="006A7F33"/>
    <w:rsid w:val="006A7FF1"/>
    <w:rsid w:val="006B000C"/>
    <w:rsid w:val="006B00C8"/>
    <w:rsid w:val="006B00FF"/>
    <w:rsid w:val="006B0123"/>
    <w:rsid w:val="006B01D5"/>
    <w:rsid w:val="006B01F5"/>
    <w:rsid w:val="006B02CA"/>
    <w:rsid w:val="006B0317"/>
    <w:rsid w:val="006B03F0"/>
    <w:rsid w:val="006B0450"/>
    <w:rsid w:val="006B05F7"/>
    <w:rsid w:val="006B0807"/>
    <w:rsid w:val="006B08A5"/>
    <w:rsid w:val="006B08E3"/>
    <w:rsid w:val="006B093A"/>
    <w:rsid w:val="006B09A3"/>
    <w:rsid w:val="006B09C7"/>
    <w:rsid w:val="006B0A82"/>
    <w:rsid w:val="006B0C64"/>
    <w:rsid w:val="006B0C6C"/>
    <w:rsid w:val="006B0C72"/>
    <w:rsid w:val="006B0CF3"/>
    <w:rsid w:val="006B0DF0"/>
    <w:rsid w:val="006B0EC4"/>
    <w:rsid w:val="006B0EDF"/>
    <w:rsid w:val="006B1229"/>
    <w:rsid w:val="006B1269"/>
    <w:rsid w:val="006B145D"/>
    <w:rsid w:val="006B145E"/>
    <w:rsid w:val="006B14CA"/>
    <w:rsid w:val="006B15BC"/>
    <w:rsid w:val="006B160B"/>
    <w:rsid w:val="006B16E3"/>
    <w:rsid w:val="006B177F"/>
    <w:rsid w:val="006B188C"/>
    <w:rsid w:val="006B18D4"/>
    <w:rsid w:val="006B19B4"/>
    <w:rsid w:val="006B1A58"/>
    <w:rsid w:val="006B1AFC"/>
    <w:rsid w:val="006B1B37"/>
    <w:rsid w:val="006B1C1E"/>
    <w:rsid w:val="006B1DB6"/>
    <w:rsid w:val="006B1DD9"/>
    <w:rsid w:val="006B1F21"/>
    <w:rsid w:val="006B1F84"/>
    <w:rsid w:val="006B203B"/>
    <w:rsid w:val="006B206F"/>
    <w:rsid w:val="006B20DD"/>
    <w:rsid w:val="006B2117"/>
    <w:rsid w:val="006B211B"/>
    <w:rsid w:val="006B231F"/>
    <w:rsid w:val="006B23DB"/>
    <w:rsid w:val="006B24DF"/>
    <w:rsid w:val="006B2579"/>
    <w:rsid w:val="006B26BD"/>
    <w:rsid w:val="006B26E6"/>
    <w:rsid w:val="006B2796"/>
    <w:rsid w:val="006B287C"/>
    <w:rsid w:val="006B28E6"/>
    <w:rsid w:val="006B2934"/>
    <w:rsid w:val="006B295D"/>
    <w:rsid w:val="006B2A18"/>
    <w:rsid w:val="006B2A6D"/>
    <w:rsid w:val="006B2AAB"/>
    <w:rsid w:val="006B2BBC"/>
    <w:rsid w:val="006B2C6A"/>
    <w:rsid w:val="006B2CEE"/>
    <w:rsid w:val="006B2D46"/>
    <w:rsid w:val="006B2DFA"/>
    <w:rsid w:val="006B2E63"/>
    <w:rsid w:val="006B2F46"/>
    <w:rsid w:val="006B2FCB"/>
    <w:rsid w:val="006B2FD4"/>
    <w:rsid w:val="006B3032"/>
    <w:rsid w:val="006B3046"/>
    <w:rsid w:val="006B31F3"/>
    <w:rsid w:val="006B3206"/>
    <w:rsid w:val="006B328B"/>
    <w:rsid w:val="006B3293"/>
    <w:rsid w:val="006B33A9"/>
    <w:rsid w:val="006B33E4"/>
    <w:rsid w:val="006B340C"/>
    <w:rsid w:val="006B3434"/>
    <w:rsid w:val="006B35A8"/>
    <w:rsid w:val="006B38FD"/>
    <w:rsid w:val="006B39EE"/>
    <w:rsid w:val="006B39EF"/>
    <w:rsid w:val="006B3A0D"/>
    <w:rsid w:val="006B3A61"/>
    <w:rsid w:val="006B3C11"/>
    <w:rsid w:val="006B3C45"/>
    <w:rsid w:val="006B3C92"/>
    <w:rsid w:val="006B3D10"/>
    <w:rsid w:val="006B3D48"/>
    <w:rsid w:val="006B3DEA"/>
    <w:rsid w:val="006B3E04"/>
    <w:rsid w:val="006B3E34"/>
    <w:rsid w:val="006B3E37"/>
    <w:rsid w:val="006B3F1E"/>
    <w:rsid w:val="006B3F2A"/>
    <w:rsid w:val="006B4201"/>
    <w:rsid w:val="006B4435"/>
    <w:rsid w:val="006B473B"/>
    <w:rsid w:val="006B4782"/>
    <w:rsid w:val="006B47DF"/>
    <w:rsid w:val="006B47ED"/>
    <w:rsid w:val="006B49B6"/>
    <w:rsid w:val="006B4B4A"/>
    <w:rsid w:val="006B4B60"/>
    <w:rsid w:val="006B4BDB"/>
    <w:rsid w:val="006B4DB5"/>
    <w:rsid w:val="006B4DCE"/>
    <w:rsid w:val="006B4E69"/>
    <w:rsid w:val="006B4ED3"/>
    <w:rsid w:val="006B50BA"/>
    <w:rsid w:val="006B51E0"/>
    <w:rsid w:val="006B5206"/>
    <w:rsid w:val="006B5249"/>
    <w:rsid w:val="006B52E7"/>
    <w:rsid w:val="006B5486"/>
    <w:rsid w:val="006B5495"/>
    <w:rsid w:val="006B55F8"/>
    <w:rsid w:val="006B566F"/>
    <w:rsid w:val="006B56B4"/>
    <w:rsid w:val="006B56FF"/>
    <w:rsid w:val="006B5786"/>
    <w:rsid w:val="006B57C4"/>
    <w:rsid w:val="006B57FE"/>
    <w:rsid w:val="006B5821"/>
    <w:rsid w:val="006B583A"/>
    <w:rsid w:val="006B58A0"/>
    <w:rsid w:val="006B5923"/>
    <w:rsid w:val="006B59B8"/>
    <w:rsid w:val="006B5B2D"/>
    <w:rsid w:val="006B5BDC"/>
    <w:rsid w:val="006B5C53"/>
    <w:rsid w:val="006B5CB3"/>
    <w:rsid w:val="006B5E68"/>
    <w:rsid w:val="006B5ECC"/>
    <w:rsid w:val="006B5FDC"/>
    <w:rsid w:val="006B6040"/>
    <w:rsid w:val="006B613E"/>
    <w:rsid w:val="006B6266"/>
    <w:rsid w:val="006B62A6"/>
    <w:rsid w:val="006B630C"/>
    <w:rsid w:val="006B645D"/>
    <w:rsid w:val="006B647C"/>
    <w:rsid w:val="006B64D0"/>
    <w:rsid w:val="006B6500"/>
    <w:rsid w:val="006B65DC"/>
    <w:rsid w:val="006B6664"/>
    <w:rsid w:val="006B678E"/>
    <w:rsid w:val="006B685C"/>
    <w:rsid w:val="006B690C"/>
    <w:rsid w:val="006B6A2B"/>
    <w:rsid w:val="006B6A66"/>
    <w:rsid w:val="006B6A90"/>
    <w:rsid w:val="006B6A91"/>
    <w:rsid w:val="006B6AB8"/>
    <w:rsid w:val="006B6AD5"/>
    <w:rsid w:val="006B6C9A"/>
    <w:rsid w:val="006B6D2A"/>
    <w:rsid w:val="006B6D85"/>
    <w:rsid w:val="006B6DDF"/>
    <w:rsid w:val="006B6F22"/>
    <w:rsid w:val="006B6FF4"/>
    <w:rsid w:val="006B7026"/>
    <w:rsid w:val="006B70AF"/>
    <w:rsid w:val="006B7136"/>
    <w:rsid w:val="006B715C"/>
    <w:rsid w:val="006B7175"/>
    <w:rsid w:val="006B7192"/>
    <w:rsid w:val="006B7220"/>
    <w:rsid w:val="006B72E9"/>
    <w:rsid w:val="006B734D"/>
    <w:rsid w:val="006B7428"/>
    <w:rsid w:val="006B745C"/>
    <w:rsid w:val="006B7461"/>
    <w:rsid w:val="006B74AD"/>
    <w:rsid w:val="006B753F"/>
    <w:rsid w:val="006B7547"/>
    <w:rsid w:val="006B756A"/>
    <w:rsid w:val="006B75B9"/>
    <w:rsid w:val="006B75C6"/>
    <w:rsid w:val="006B7884"/>
    <w:rsid w:val="006B788D"/>
    <w:rsid w:val="006B794A"/>
    <w:rsid w:val="006B7ADB"/>
    <w:rsid w:val="006B7B80"/>
    <w:rsid w:val="006B7D78"/>
    <w:rsid w:val="006B7E15"/>
    <w:rsid w:val="006B7EAC"/>
    <w:rsid w:val="006B7ED9"/>
    <w:rsid w:val="006C0071"/>
    <w:rsid w:val="006C00C0"/>
    <w:rsid w:val="006C00C3"/>
    <w:rsid w:val="006C01BC"/>
    <w:rsid w:val="006C028F"/>
    <w:rsid w:val="006C02BA"/>
    <w:rsid w:val="006C0320"/>
    <w:rsid w:val="006C03EF"/>
    <w:rsid w:val="006C059B"/>
    <w:rsid w:val="006C05AF"/>
    <w:rsid w:val="006C0662"/>
    <w:rsid w:val="006C0752"/>
    <w:rsid w:val="006C0792"/>
    <w:rsid w:val="006C0864"/>
    <w:rsid w:val="006C0976"/>
    <w:rsid w:val="006C0997"/>
    <w:rsid w:val="006C09B9"/>
    <w:rsid w:val="006C0A57"/>
    <w:rsid w:val="006C0A6A"/>
    <w:rsid w:val="006C0ABF"/>
    <w:rsid w:val="006C0C08"/>
    <w:rsid w:val="006C0C53"/>
    <w:rsid w:val="006C0CFB"/>
    <w:rsid w:val="006C0D5B"/>
    <w:rsid w:val="006C0D5E"/>
    <w:rsid w:val="006C0DE7"/>
    <w:rsid w:val="006C0E5E"/>
    <w:rsid w:val="006C0EC9"/>
    <w:rsid w:val="006C0EF7"/>
    <w:rsid w:val="006C0F67"/>
    <w:rsid w:val="006C0FAC"/>
    <w:rsid w:val="006C0FEB"/>
    <w:rsid w:val="006C1106"/>
    <w:rsid w:val="006C1129"/>
    <w:rsid w:val="006C117B"/>
    <w:rsid w:val="006C11EB"/>
    <w:rsid w:val="006C129A"/>
    <w:rsid w:val="006C12DE"/>
    <w:rsid w:val="006C1383"/>
    <w:rsid w:val="006C13BC"/>
    <w:rsid w:val="006C13D5"/>
    <w:rsid w:val="006C155B"/>
    <w:rsid w:val="006C15B1"/>
    <w:rsid w:val="006C164D"/>
    <w:rsid w:val="006C16AF"/>
    <w:rsid w:val="006C1707"/>
    <w:rsid w:val="006C18C1"/>
    <w:rsid w:val="006C18D6"/>
    <w:rsid w:val="006C1962"/>
    <w:rsid w:val="006C1AFE"/>
    <w:rsid w:val="006C1B42"/>
    <w:rsid w:val="006C1C18"/>
    <w:rsid w:val="006C1C3D"/>
    <w:rsid w:val="006C1CEA"/>
    <w:rsid w:val="006C1D41"/>
    <w:rsid w:val="006C1D4F"/>
    <w:rsid w:val="006C1E67"/>
    <w:rsid w:val="006C1E6F"/>
    <w:rsid w:val="006C1F66"/>
    <w:rsid w:val="006C1FBA"/>
    <w:rsid w:val="006C1FED"/>
    <w:rsid w:val="006C2053"/>
    <w:rsid w:val="006C209B"/>
    <w:rsid w:val="006C20F1"/>
    <w:rsid w:val="006C2168"/>
    <w:rsid w:val="006C21B1"/>
    <w:rsid w:val="006C226A"/>
    <w:rsid w:val="006C254F"/>
    <w:rsid w:val="006C26DC"/>
    <w:rsid w:val="006C281A"/>
    <w:rsid w:val="006C28D4"/>
    <w:rsid w:val="006C292E"/>
    <w:rsid w:val="006C2978"/>
    <w:rsid w:val="006C29FD"/>
    <w:rsid w:val="006C2AAF"/>
    <w:rsid w:val="006C2B00"/>
    <w:rsid w:val="006C2B67"/>
    <w:rsid w:val="006C2B8C"/>
    <w:rsid w:val="006C2BB7"/>
    <w:rsid w:val="006C2C92"/>
    <w:rsid w:val="006C2CDB"/>
    <w:rsid w:val="006C2D19"/>
    <w:rsid w:val="006C2D88"/>
    <w:rsid w:val="006C30C0"/>
    <w:rsid w:val="006C31D0"/>
    <w:rsid w:val="006C31D3"/>
    <w:rsid w:val="006C322A"/>
    <w:rsid w:val="006C329E"/>
    <w:rsid w:val="006C32C0"/>
    <w:rsid w:val="006C32C6"/>
    <w:rsid w:val="006C3493"/>
    <w:rsid w:val="006C3526"/>
    <w:rsid w:val="006C354C"/>
    <w:rsid w:val="006C3697"/>
    <w:rsid w:val="006C3710"/>
    <w:rsid w:val="006C378C"/>
    <w:rsid w:val="006C38AA"/>
    <w:rsid w:val="006C3942"/>
    <w:rsid w:val="006C39D5"/>
    <w:rsid w:val="006C39EE"/>
    <w:rsid w:val="006C3A6C"/>
    <w:rsid w:val="006C3B1F"/>
    <w:rsid w:val="006C3B76"/>
    <w:rsid w:val="006C3BAC"/>
    <w:rsid w:val="006C3BB0"/>
    <w:rsid w:val="006C3CC4"/>
    <w:rsid w:val="006C3EA1"/>
    <w:rsid w:val="006C3F03"/>
    <w:rsid w:val="006C3FA2"/>
    <w:rsid w:val="006C3FE2"/>
    <w:rsid w:val="006C3FF1"/>
    <w:rsid w:val="006C4098"/>
    <w:rsid w:val="006C41B4"/>
    <w:rsid w:val="006C41CC"/>
    <w:rsid w:val="006C41FF"/>
    <w:rsid w:val="006C421F"/>
    <w:rsid w:val="006C426C"/>
    <w:rsid w:val="006C4297"/>
    <w:rsid w:val="006C42B1"/>
    <w:rsid w:val="006C43D6"/>
    <w:rsid w:val="006C43DE"/>
    <w:rsid w:val="006C4441"/>
    <w:rsid w:val="006C44E5"/>
    <w:rsid w:val="006C452C"/>
    <w:rsid w:val="006C4534"/>
    <w:rsid w:val="006C4572"/>
    <w:rsid w:val="006C4578"/>
    <w:rsid w:val="006C45DD"/>
    <w:rsid w:val="006C45EA"/>
    <w:rsid w:val="006C476C"/>
    <w:rsid w:val="006C4845"/>
    <w:rsid w:val="006C497E"/>
    <w:rsid w:val="006C4A5B"/>
    <w:rsid w:val="006C4AAC"/>
    <w:rsid w:val="006C4BF7"/>
    <w:rsid w:val="006C4D03"/>
    <w:rsid w:val="006C4D39"/>
    <w:rsid w:val="006C4E42"/>
    <w:rsid w:val="006C4E7B"/>
    <w:rsid w:val="006C51F1"/>
    <w:rsid w:val="006C5314"/>
    <w:rsid w:val="006C5404"/>
    <w:rsid w:val="006C54F4"/>
    <w:rsid w:val="006C5508"/>
    <w:rsid w:val="006C5616"/>
    <w:rsid w:val="006C562D"/>
    <w:rsid w:val="006C580D"/>
    <w:rsid w:val="006C582C"/>
    <w:rsid w:val="006C587D"/>
    <w:rsid w:val="006C5942"/>
    <w:rsid w:val="006C59A3"/>
    <w:rsid w:val="006C5AAF"/>
    <w:rsid w:val="006C5AC0"/>
    <w:rsid w:val="006C5AFD"/>
    <w:rsid w:val="006C5B32"/>
    <w:rsid w:val="006C5C00"/>
    <w:rsid w:val="006C5C79"/>
    <w:rsid w:val="006C5CCB"/>
    <w:rsid w:val="006C5CCC"/>
    <w:rsid w:val="006C5EFF"/>
    <w:rsid w:val="006C5F0E"/>
    <w:rsid w:val="006C605D"/>
    <w:rsid w:val="006C6089"/>
    <w:rsid w:val="006C6152"/>
    <w:rsid w:val="006C6286"/>
    <w:rsid w:val="006C62A2"/>
    <w:rsid w:val="006C62B5"/>
    <w:rsid w:val="006C6311"/>
    <w:rsid w:val="006C64E5"/>
    <w:rsid w:val="006C6524"/>
    <w:rsid w:val="006C65C3"/>
    <w:rsid w:val="006C666E"/>
    <w:rsid w:val="006C66A0"/>
    <w:rsid w:val="006C66E8"/>
    <w:rsid w:val="006C68A0"/>
    <w:rsid w:val="006C6931"/>
    <w:rsid w:val="006C6ADF"/>
    <w:rsid w:val="006C6CF5"/>
    <w:rsid w:val="006C6D02"/>
    <w:rsid w:val="006C6D85"/>
    <w:rsid w:val="006C6F22"/>
    <w:rsid w:val="006C6F26"/>
    <w:rsid w:val="006C6F50"/>
    <w:rsid w:val="006C6F7E"/>
    <w:rsid w:val="006C6F80"/>
    <w:rsid w:val="006C7000"/>
    <w:rsid w:val="006C70ED"/>
    <w:rsid w:val="006C714C"/>
    <w:rsid w:val="006C723B"/>
    <w:rsid w:val="006C7270"/>
    <w:rsid w:val="006C73C2"/>
    <w:rsid w:val="006C73C4"/>
    <w:rsid w:val="006C73E5"/>
    <w:rsid w:val="006C741E"/>
    <w:rsid w:val="006C7515"/>
    <w:rsid w:val="006C788A"/>
    <w:rsid w:val="006C78CE"/>
    <w:rsid w:val="006C79F8"/>
    <w:rsid w:val="006C7B03"/>
    <w:rsid w:val="006C7B67"/>
    <w:rsid w:val="006C7BF5"/>
    <w:rsid w:val="006C7C1A"/>
    <w:rsid w:val="006C7CD5"/>
    <w:rsid w:val="006C7E05"/>
    <w:rsid w:val="006D00BE"/>
    <w:rsid w:val="006D0103"/>
    <w:rsid w:val="006D016D"/>
    <w:rsid w:val="006D01DA"/>
    <w:rsid w:val="006D0229"/>
    <w:rsid w:val="006D02B0"/>
    <w:rsid w:val="006D02D4"/>
    <w:rsid w:val="006D02DD"/>
    <w:rsid w:val="006D051E"/>
    <w:rsid w:val="006D061D"/>
    <w:rsid w:val="006D076C"/>
    <w:rsid w:val="006D07AB"/>
    <w:rsid w:val="006D07AD"/>
    <w:rsid w:val="006D0879"/>
    <w:rsid w:val="006D08C0"/>
    <w:rsid w:val="006D08E4"/>
    <w:rsid w:val="006D098B"/>
    <w:rsid w:val="006D0A5E"/>
    <w:rsid w:val="006D0B04"/>
    <w:rsid w:val="006D0B2D"/>
    <w:rsid w:val="006D0B3C"/>
    <w:rsid w:val="006D0B66"/>
    <w:rsid w:val="006D0DF5"/>
    <w:rsid w:val="006D0E55"/>
    <w:rsid w:val="006D0EC2"/>
    <w:rsid w:val="006D0EC4"/>
    <w:rsid w:val="006D0EDC"/>
    <w:rsid w:val="006D0FFA"/>
    <w:rsid w:val="006D1251"/>
    <w:rsid w:val="006D12D8"/>
    <w:rsid w:val="006D12E0"/>
    <w:rsid w:val="006D13F7"/>
    <w:rsid w:val="006D1501"/>
    <w:rsid w:val="006D1603"/>
    <w:rsid w:val="006D1629"/>
    <w:rsid w:val="006D16B8"/>
    <w:rsid w:val="006D179A"/>
    <w:rsid w:val="006D17A7"/>
    <w:rsid w:val="006D185E"/>
    <w:rsid w:val="006D1ABD"/>
    <w:rsid w:val="006D1BB7"/>
    <w:rsid w:val="006D1CA3"/>
    <w:rsid w:val="006D1CAE"/>
    <w:rsid w:val="006D1CF1"/>
    <w:rsid w:val="006D1D45"/>
    <w:rsid w:val="006D1F39"/>
    <w:rsid w:val="006D1F46"/>
    <w:rsid w:val="006D202B"/>
    <w:rsid w:val="006D2229"/>
    <w:rsid w:val="006D2346"/>
    <w:rsid w:val="006D23BA"/>
    <w:rsid w:val="006D2425"/>
    <w:rsid w:val="006D24C9"/>
    <w:rsid w:val="006D2656"/>
    <w:rsid w:val="006D2707"/>
    <w:rsid w:val="006D2917"/>
    <w:rsid w:val="006D29E6"/>
    <w:rsid w:val="006D2A0E"/>
    <w:rsid w:val="006D2B4B"/>
    <w:rsid w:val="006D2D1F"/>
    <w:rsid w:val="006D2E3F"/>
    <w:rsid w:val="006D2EC3"/>
    <w:rsid w:val="006D2F78"/>
    <w:rsid w:val="006D3004"/>
    <w:rsid w:val="006D300B"/>
    <w:rsid w:val="006D3046"/>
    <w:rsid w:val="006D32A1"/>
    <w:rsid w:val="006D32BE"/>
    <w:rsid w:val="006D32DC"/>
    <w:rsid w:val="006D331F"/>
    <w:rsid w:val="006D3370"/>
    <w:rsid w:val="006D3527"/>
    <w:rsid w:val="006D35A5"/>
    <w:rsid w:val="006D35F7"/>
    <w:rsid w:val="006D38D6"/>
    <w:rsid w:val="006D3969"/>
    <w:rsid w:val="006D39A0"/>
    <w:rsid w:val="006D3A71"/>
    <w:rsid w:val="006D3B19"/>
    <w:rsid w:val="006D3B31"/>
    <w:rsid w:val="006D3B60"/>
    <w:rsid w:val="006D3C23"/>
    <w:rsid w:val="006D3C9F"/>
    <w:rsid w:val="006D3CD3"/>
    <w:rsid w:val="006D3EFF"/>
    <w:rsid w:val="006D3F17"/>
    <w:rsid w:val="006D4039"/>
    <w:rsid w:val="006D4284"/>
    <w:rsid w:val="006D428C"/>
    <w:rsid w:val="006D42CC"/>
    <w:rsid w:val="006D43A5"/>
    <w:rsid w:val="006D44FF"/>
    <w:rsid w:val="006D4539"/>
    <w:rsid w:val="006D454C"/>
    <w:rsid w:val="006D46C6"/>
    <w:rsid w:val="006D4716"/>
    <w:rsid w:val="006D4759"/>
    <w:rsid w:val="006D4925"/>
    <w:rsid w:val="006D4955"/>
    <w:rsid w:val="006D4ACD"/>
    <w:rsid w:val="006D4B58"/>
    <w:rsid w:val="006D4BD0"/>
    <w:rsid w:val="006D4BEB"/>
    <w:rsid w:val="006D4C72"/>
    <w:rsid w:val="006D4D8B"/>
    <w:rsid w:val="006D4E4C"/>
    <w:rsid w:val="006D4E66"/>
    <w:rsid w:val="006D4EF7"/>
    <w:rsid w:val="006D4F98"/>
    <w:rsid w:val="006D5249"/>
    <w:rsid w:val="006D52C9"/>
    <w:rsid w:val="006D52F6"/>
    <w:rsid w:val="006D5335"/>
    <w:rsid w:val="006D539A"/>
    <w:rsid w:val="006D542D"/>
    <w:rsid w:val="006D5573"/>
    <w:rsid w:val="006D5585"/>
    <w:rsid w:val="006D561C"/>
    <w:rsid w:val="006D5657"/>
    <w:rsid w:val="006D5826"/>
    <w:rsid w:val="006D58D8"/>
    <w:rsid w:val="006D58DA"/>
    <w:rsid w:val="006D5921"/>
    <w:rsid w:val="006D5959"/>
    <w:rsid w:val="006D5A13"/>
    <w:rsid w:val="006D5A85"/>
    <w:rsid w:val="006D5AF2"/>
    <w:rsid w:val="006D5B1B"/>
    <w:rsid w:val="006D5C22"/>
    <w:rsid w:val="006D5C27"/>
    <w:rsid w:val="006D5C9C"/>
    <w:rsid w:val="006D5CBF"/>
    <w:rsid w:val="006D5E0C"/>
    <w:rsid w:val="006D5E0E"/>
    <w:rsid w:val="006D5E10"/>
    <w:rsid w:val="006D5E24"/>
    <w:rsid w:val="006D5F69"/>
    <w:rsid w:val="006D5F76"/>
    <w:rsid w:val="006D5FA2"/>
    <w:rsid w:val="006D5FDD"/>
    <w:rsid w:val="006D6005"/>
    <w:rsid w:val="006D6203"/>
    <w:rsid w:val="006D6237"/>
    <w:rsid w:val="006D629C"/>
    <w:rsid w:val="006D634C"/>
    <w:rsid w:val="006D63C0"/>
    <w:rsid w:val="006D64B5"/>
    <w:rsid w:val="006D65E0"/>
    <w:rsid w:val="006D65E3"/>
    <w:rsid w:val="006D6671"/>
    <w:rsid w:val="006D66D4"/>
    <w:rsid w:val="006D6811"/>
    <w:rsid w:val="006D68AE"/>
    <w:rsid w:val="006D68EC"/>
    <w:rsid w:val="006D6939"/>
    <w:rsid w:val="006D69BD"/>
    <w:rsid w:val="006D6AA3"/>
    <w:rsid w:val="006D6B27"/>
    <w:rsid w:val="006D6B50"/>
    <w:rsid w:val="006D6C0F"/>
    <w:rsid w:val="006D6C65"/>
    <w:rsid w:val="006D6D2D"/>
    <w:rsid w:val="006D6D96"/>
    <w:rsid w:val="006D6E36"/>
    <w:rsid w:val="006D6ED8"/>
    <w:rsid w:val="006D6F57"/>
    <w:rsid w:val="006D6F73"/>
    <w:rsid w:val="006D6F78"/>
    <w:rsid w:val="006D701B"/>
    <w:rsid w:val="006D7102"/>
    <w:rsid w:val="006D7172"/>
    <w:rsid w:val="006D718A"/>
    <w:rsid w:val="006D7198"/>
    <w:rsid w:val="006D71FD"/>
    <w:rsid w:val="006D7211"/>
    <w:rsid w:val="006D72B5"/>
    <w:rsid w:val="006D7305"/>
    <w:rsid w:val="006D7315"/>
    <w:rsid w:val="006D73B2"/>
    <w:rsid w:val="006D740A"/>
    <w:rsid w:val="006D7438"/>
    <w:rsid w:val="006D750D"/>
    <w:rsid w:val="006D75C8"/>
    <w:rsid w:val="006D779D"/>
    <w:rsid w:val="006D79CF"/>
    <w:rsid w:val="006D7A27"/>
    <w:rsid w:val="006D7AB7"/>
    <w:rsid w:val="006D7BB0"/>
    <w:rsid w:val="006D7BB8"/>
    <w:rsid w:val="006D7C0C"/>
    <w:rsid w:val="006D7D34"/>
    <w:rsid w:val="006D7EC7"/>
    <w:rsid w:val="006D7F8A"/>
    <w:rsid w:val="006D7F8C"/>
    <w:rsid w:val="006E0091"/>
    <w:rsid w:val="006E01F7"/>
    <w:rsid w:val="006E03D2"/>
    <w:rsid w:val="006E0468"/>
    <w:rsid w:val="006E0487"/>
    <w:rsid w:val="006E055F"/>
    <w:rsid w:val="006E05E9"/>
    <w:rsid w:val="006E05EB"/>
    <w:rsid w:val="006E06C3"/>
    <w:rsid w:val="006E06C7"/>
    <w:rsid w:val="006E070E"/>
    <w:rsid w:val="006E07D1"/>
    <w:rsid w:val="006E081D"/>
    <w:rsid w:val="006E083C"/>
    <w:rsid w:val="006E0900"/>
    <w:rsid w:val="006E0953"/>
    <w:rsid w:val="006E0995"/>
    <w:rsid w:val="006E09A8"/>
    <w:rsid w:val="006E09B0"/>
    <w:rsid w:val="006E0A29"/>
    <w:rsid w:val="006E0A9A"/>
    <w:rsid w:val="006E0AF3"/>
    <w:rsid w:val="006E0B1A"/>
    <w:rsid w:val="006E0B53"/>
    <w:rsid w:val="006E0BEF"/>
    <w:rsid w:val="006E0C5E"/>
    <w:rsid w:val="006E0D3B"/>
    <w:rsid w:val="006E0DB5"/>
    <w:rsid w:val="006E0E52"/>
    <w:rsid w:val="006E0E9C"/>
    <w:rsid w:val="006E0EA6"/>
    <w:rsid w:val="006E0EC8"/>
    <w:rsid w:val="006E0F57"/>
    <w:rsid w:val="006E0FEC"/>
    <w:rsid w:val="006E1044"/>
    <w:rsid w:val="006E10C0"/>
    <w:rsid w:val="006E1149"/>
    <w:rsid w:val="006E11ED"/>
    <w:rsid w:val="006E120D"/>
    <w:rsid w:val="006E13AE"/>
    <w:rsid w:val="006E14CA"/>
    <w:rsid w:val="006E1675"/>
    <w:rsid w:val="006E1792"/>
    <w:rsid w:val="006E184C"/>
    <w:rsid w:val="006E18D7"/>
    <w:rsid w:val="006E1986"/>
    <w:rsid w:val="006E199B"/>
    <w:rsid w:val="006E1A99"/>
    <w:rsid w:val="006E1B94"/>
    <w:rsid w:val="006E1B9C"/>
    <w:rsid w:val="006E1BFA"/>
    <w:rsid w:val="006E1C67"/>
    <w:rsid w:val="006E1CDA"/>
    <w:rsid w:val="006E1D03"/>
    <w:rsid w:val="006E1E13"/>
    <w:rsid w:val="006E1E38"/>
    <w:rsid w:val="006E1E6B"/>
    <w:rsid w:val="006E1E71"/>
    <w:rsid w:val="006E1ECA"/>
    <w:rsid w:val="006E1F20"/>
    <w:rsid w:val="006E1F28"/>
    <w:rsid w:val="006E1F53"/>
    <w:rsid w:val="006E1F68"/>
    <w:rsid w:val="006E1F7C"/>
    <w:rsid w:val="006E1FAB"/>
    <w:rsid w:val="006E203F"/>
    <w:rsid w:val="006E2082"/>
    <w:rsid w:val="006E21D2"/>
    <w:rsid w:val="006E2232"/>
    <w:rsid w:val="006E22D9"/>
    <w:rsid w:val="006E24AF"/>
    <w:rsid w:val="006E24D2"/>
    <w:rsid w:val="006E25B5"/>
    <w:rsid w:val="006E2609"/>
    <w:rsid w:val="006E2673"/>
    <w:rsid w:val="006E2750"/>
    <w:rsid w:val="006E27E2"/>
    <w:rsid w:val="006E27F8"/>
    <w:rsid w:val="006E287C"/>
    <w:rsid w:val="006E2A02"/>
    <w:rsid w:val="006E2A2C"/>
    <w:rsid w:val="006E2A5B"/>
    <w:rsid w:val="006E2AFE"/>
    <w:rsid w:val="006E2B6A"/>
    <w:rsid w:val="006E2BC4"/>
    <w:rsid w:val="006E2CA3"/>
    <w:rsid w:val="006E2CCC"/>
    <w:rsid w:val="006E3101"/>
    <w:rsid w:val="006E3165"/>
    <w:rsid w:val="006E31CD"/>
    <w:rsid w:val="006E329C"/>
    <w:rsid w:val="006E3304"/>
    <w:rsid w:val="006E33CA"/>
    <w:rsid w:val="006E33D5"/>
    <w:rsid w:val="006E351F"/>
    <w:rsid w:val="006E359E"/>
    <w:rsid w:val="006E3670"/>
    <w:rsid w:val="006E387A"/>
    <w:rsid w:val="006E39B6"/>
    <w:rsid w:val="006E3A6D"/>
    <w:rsid w:val="006E3C4E"/>
    <w:rsid w:val="006E3D76"/>
    <w:rsid w:val="006E3FAA"/>
    <w:rsid w:val="006E4024"/>
    <w:rsid w:val="006E40B8"/>
    <w:rsid w:val="006E4229"/>
    <w:rsid w:val="006E427E"/>
    <w:rsid w:val="006E4295"/>
    <w:rsid w:val="006E43CE"/>
    <w:rsid w:val="006E4540"/>
    <w:rsid w:val="006E4666"/>
    <w:rsid w:val="006E46AF"/>
    <w:rsid w:val="006E473E"/>
    <w:rsid w:val="006E4745"/>
    <w:rsid w:val="006E47ED"/>
    <w:rsid w:val="006E4870"/>
    <w:rsid w:val="006E4907"/>
    <w:rsid w:val="006E49E7"/>
    <w:rsid w:val="006E4AB9"/>
    <w:rsid w:val="006E4ACC"/>
    <w:rsid w:val="006E4B7E"/>
    <w:rsid w:val="006E4C4A"/>
    <w:rsid w:val="006E4C56"/>
    <w:rsid w:val="006E4DE1"/>
    <w:rsid w:val="006E4E74"/>
    <w:rsid w:val="006E501C"/>
    <w:rsid w:val="006E51AF"/>
    <w:rsid w:val="006E5281"/>
    <w:rsid w:val="006E52A2"/>
    <w:rsid w:val="006E52F2"/>
    <w:rsid w:val="006E54E4"/>
    <w:rsid w:val="006E54F1"/>
    <w:rsid w:val="006E5545"/>
    <w:rsid w:val="006E555C"/>
    <w:rsid w:val="006E5583"/>
    <w:rsid w:val="006E55C5"/>
    <w:rsid w:val="006E5673"/>
    <w:rsid w:val="006E582F"/>
    <w:rsid w:val="006E593A"/>
    <w:rsid w:val="006E596E"/>
    <w:rsid w:val="006E5DDB"/>
    <w:rsid w:val="006E5E3E"/>
    <w:rsid w:val="006E5EDC"/>
    <w:rsid w:val="006E5F17"/>
    <w:rsid w:val="006E5F9F"/>
    <w:rsid w:val="006E5FBC"/>
    <w:rsid w:val="006E6058"/>
    <w:rsid w:val="006E6085"/>
    <w:rsid w:val="006E60BE"/>
    <w:rsid w:val="006E6138"/>
    <w:rsid w:val="006E630B"/>
    <w:rsid w:val="006E6312"/>
    <w:rsid w:val="006E65D8"/>
    <w:rsid w:val="006E6695"/>
    <w:rsid w:val="006E66D1"/>
    <w:rsid w:val="006E680E"/>
    <w:rsid w:val="006E68A9"/>
    <w:rsid w:val="006E6952"/>
    <w:rsid w:val="006E6990"/>
    <w:rsid w:val="006E6A0C"/>
    <w:rsid w:val="006E6AC3"/>
    <w:rsid w:val="006E6ADA"/>
    <w:rsid w:val="006E6B39"/>
    <w:rsid w:val="006E6BC5"/>
    <w:rsid w:val="006E6C35"/>
    <w:rsid w:val="006E6C57"/>
    <w:rsid w:val="006E6D09"/>
    <w:rsid w:val="006E6FD2"/>
    <w:rsid w:val="006E6FE5"/>
    <w:rsid w:val="006E7000"/>
    <w:rsid w:val="006E7007"/>
    <w:rsid w:val="006E707F"/>
    <w:rsid w:val="006E7240"/>
    <w:rsid w:val="006E7242"/>
    <w:rsid w:val="006E7299"/>
    <w:rsid w:val="006E729F"/>
    <w:rsid w:val="006E72C6"/>
    <w:rsid w:val="006E7439"/>
    <w:rsid w:val="006E7825"/>
    <w:rsid w:val="006E78DD"/>
    <w:rsid w:val="006E78EF"/>
    <w:rsid w:val="006E79C4"/>
    <w:rsid w:val="006E7C10"/>
    <w:rsid w:val="006E7C4A"/>
    <w:rsid w:val="006E7C7F"/>
    <w:rsid w:val="006E7FB0"/>
    <w:rsid w:val="006E7FF9"/>
    <w:rsid w:val="006F003E"/>
    <w:rsid w:val="006F014F"/>
    <w:rsid w:val="006F01BE"/>
    <w:rsid w:val="006F034C"/>
    <w:rsid w:val="006F03D8"/>
    <w:rsid w:val="006F043B"/>
    <w:rsid w:val="006F04AB"/>
    <w:rsid w:val="006F05BC"/>
    <w:rsid w:val="006F05FC"/>
    <w:rsid w:val="006F06E4"/>
    <w:rsid w:val="006F0724"/>
    <w:rsid w:val="006F07CA"/>
    <w:rsid w:val="006F0804"/>
    <w:rsid w:val="006F0875"/>
    <w:rsid w:val="006F0876"/>
    <w:rsid w:val="006F08C6"/>
    <w:rsid w:val="006F08F6"/>
    <w:rsid w:val="006F0968"/>
    <w:rsid w:val="006F09AD"/>
    <w:rsid w:val="006F0A09"/>
    <w:rsid w:val="006F0AD1"/>
    <w:rsid w:val="006F0C8F"/>
    <w:rsid w:val="006F0D1C"/>
    <w:rsid w:val="006F0D46"/>
    <w:rsid w:val="006F0D69"/>
    <w:rsid w:val="006F0E4A"/>
    <w:rsid w:val="006F0FBF"/>
    <w:rsid w:val="006F10B3"/>
    <w:rsid w:val="006F11E4"/>
    <w:rsid w:val="006F129E"/>
    <w:rsid w:val="006F133D"/>
    <w:rsid w:val="006F1421"/>
    <w:rsid w:val="006F154C"/>
    <w:rsid w:val="006F15E7"/>
    <w:rsid w:val="006F168E"/>
    <w:rsid w:val="006F1691"/>
    <w:rsid w:val="006F16D4"/>
    <w:rsid w:val="006F16D6"/>
    <w:rsid w:val="006F1799"/>
    <w:rsid w:val="006F17EC"/>
    <w:rsid w:val="006F1909"/>
    <w:rsid w:val="006F1964"/>
    <w:rsid w:val="006F1A2E"/>
    <w:rsid w:val="006F1A8B"/>
    <w:rsid w:val="006F1B91"/>
    <w:rsid w:val="006F1BFC"/>
    <w:rsid w:val="006F1C5F"/>
    <w:rsid w:val="006F1CE7"/>
    <w:rsid w:val="006F1D41"/>
    <w:rsid w:val="006F1E8E"/>
    <w:rsid w:val="006F1EA2"/>
    <w:rsid w:val="006F1EA3"/>
    <w:rsid w:val="006F1ED9"/>
    <w:rsid w:val="006F1F65"/>
    <w:rsid w:val="006F1F83"/>
    <w:rsid w:val="006F1FB8"/>
    <w:rsid w:val="006F206F"/>
    <w:rsid w:val="006F218B"/>
    <w:rsid w:val="006F21A7"/>
    <w:rsid w:val="006F21D9"/>
    <w:rsid w:val="006F2295"/>
    <w:rsid w:val="006F22A5"/>
    <w:rsid w:val="006F230B"/>
    <w:rsid w:val="006F2325"/>
    <w:rsid w:val="006F2337"/>
    <w:rsid w:val="006F23DD"/>
    <w:rsid w:val="006F25AC"/>
    <w:rsid w:val="006F25CA"/>
    <w:rsid w:val="006F263D"/>
    <w:rsid w:val="006F266E"/>
    <w:rsid w:val="006F26CD"/>
    <w:rsid w:val="006F284F"/>
    <w:rsid w:val="006F2885"/>
    <w:rsid w:val="006F2901"/>
    <w:rsid w:val="006F29EC"/>
    <w:rsid w:val="006F2C80"/>
    <w:rsid w:val="006F2D55"/>
    <w:rsid w:val="006F2DD9"/>
    <w:rsid w:val="006F2E25"/>
    <w:rsid w:val="006F2E7A"/>
    <w:rsid w:val="006F2ECE"/>
    <w:rsid w:val="006F2EFD"/>
    <w:rsid w:val="006F324A"/>
    <w:rsid w:val="006F3354"/>
    <w:rsid w:val="006F33AC"/>
    <w:rsid w:val="006F3478"/>
    <w:rsid w:val="006F352D"/>
    <w:rsid w:val="006F35A7"/>
    <w:rsid w:val="006F35EB"/>
    <w:rsid w:val="006F3698"/>
    <w:rsid w:val="006F3743"/>
    <w:rsid w:val="006F3798"/>
    <w:rsid w:val="006F379E"/>
    <w:rsid w:val="006F3820"/>
    <w:rsid w:val="006F39AE"/>
    <w:rsid w:val="006F3AA5"/>
    <w:rsid w:val="006F3AEF"/>
    <w:rsid w:val="006F3B92"/>
    <w:rsid w:val="006F3D0B"/>
    <w:rsid w:val="006F3D48"/>
    <w:rsid w:val="006F3F06"/>
    <w:rsid w:val="006F3F4E"/>
    <w:rsid w:val="006F403A"/>
    <w:rsid w:val="006F428D"/>
    <w:rsid w:val="006F428F"/>
    <w:rsid w:val="006F432E"/>
    <w:rsid w:val="006F4359"/>
    <w:rsid w:val="006F43BB"/>
    <w:rsid w:val="006F448D"/>
    <w:rsid w:val="006F45FD"/>
    <w:rsid w:val="006F4670"/>
    <w:rsid w:val="006F46C9"/>
    <w:rsid w:val="006F4770"/>
    <w:rsid w:val="006F47A6"/>
    <w:rsid w:val="006F4846"/>
    <w:rsid w:val="006F489B"/>
    <w:rsid w:val="006F48E1"/>
    <w:rsid w:val="006F49F5"/>
    <w:rsid w:val="006F4A8B"/>
    <w:rsid w:val="006F4A96"/>
    <w:rsid w:val="006F4AC1"/>
    <w:rsid w:val="006F4AFA"/>
    <w:rsid w:val="006F4C2D"/>
    <w:rsid w:val="006F4C43"/>
    <w:rsid w:val="006F4CF6"/>
    <w:rsid w:val="006F4D16"/>
    <w:rsid w:val="006F4D5A"/>
    <w:rsid w:val="006F4DC5"/>
    <w:rsid w:val="006F4EC7"/>
    <w:rsid w:val="006F4FF9"/>
    <w:rsid w:val="006F5097"/>
    <w:rsid w:val="006F50C6"/>
    <w:rsid w:val="006F5158"/>
    <w:rsid w:val="006F51C2"/>
    <w:rsid w:val="006F524E"/>
    <w:rsid w:val="006F528F"/>
    <w:rsid w:val="006F530E"/>
    <w:rsid w:val="006F5525"/>
    <w:rsid w:val="006F5586"/>
    <w:rsid w:val="006F558D"/>
    <w:rsid w:val="006F5642"/>
    <w:rsid w:val="006F57E0"/>
    <w:rsid w:val="006F5813"/>
    <w:rsid w:val="006F5903"/>
    <w:rsid w:val="006F59F1"/>
    <w:rsid w:val="006F5A24"/>
    <w:rsid w:val="006F5AF4"/>
    <w:rsid w:val="006F5C20"/>
    <w:rsid w:val="006F5CE7"/>
    <w:rsid w:val="006F5D29"/>
    <w:rsid w:val="006F5DD0"/>
    <w:rsid w:val="006F5E61"/>
    <w:rsid w:val="006F5E63"/>
    <w:rsid w:val="006F5F6E"/>
    <w:rsid w:val="006F6027"/>
    <w:rsid w:val="006F6036"/>
    <w:rsid w:val="006F608A"/>
    <w:rsid w:val="006F60CD"/>
    <w:rsid w:val="006F60E2"/>
    <w:rsid w:val="006F6164"/>
    <w:rsid w:val="006F6170"/>
    <w:rsid w:val="006F6178"/>
    <w:rsid w:val="006F620E"/>
    <w:rsid w:val="006F6230"/>
    <w:rsid w:val="006F62A1"/>
    <w:rsid w:val="006F63C1"/>
    <w:rsid w:val="006F64BD"/>
    <w:rsid w:val="006F64CD"/>
    <w:rsid w:val="006F64F1"/>
    <w:rsid w:val="006F65A9"/>
    <w:rsid w:val="006F66C1"/>
    <w:rsid w:val="006F672E"/>
    <w:rsid w:val="006F6753"/>
    <w:rsid w:val="006F6771"/>
    <w:rsid w:val="006F67D7"/>
    <w:rsid w:val="006F6845"/>
    <w:rsid w:val="006F69FB"/>
    <w:rsid w:val="006F6A7D"/>
    <w:rsid w:val="006F6A90"/>
    <w:rsid w:val="006F6B2D"/>
    <w:rsid w:val="006F6B94"/>
    <w:rsid w:val="006F6D72"/>
    <w:rsid w:val="006F6E7D"/>
    <w:rsid w:val="006F6E89"/>
    <w:rsid w:val="006F6EBD"/>
    <w:rsid w:val="006F6F2B"/>
    <w:rsid w:val="006F6F2D"/>
    <w:rsid w:val="006F6F7E"/>
    <w:rsid w:val="006F700C"/>
    <w:rsid w:val="006F7077"/>
    <w:rsid w:val="006F7101"/>
    <w:rsid w:val="006F71C1"/>
    <w:rsid w:val="006F71F5"/>
    <w:rsid w:val="006F73BF"/>
    <w:rsid w:val="006F74A7"/>
    <w:rsid w:val="006F760B"/>
    <w:rsid w:val="006F7627"/>
    <w:rsid w:val="006F7657"/>
    <w:rsid w:val="006F7776"/>
    <w:rsid w:val="006F7829"/>
    <w:rsid w:val="006F79FC"/>
    <w:rsid w:val="006F7BC6"/>
    <w:rsid w:val="006F7C0B"/>
    <w:rsid w:val="006F7D53"/>
    <w:rsid w:val="006F7EC3"/>
    <w:rsid w:val="006F7FF8"/>
    <w:rsid w:val="00700188"/>
    <w:rsid w:val="007001AC"/>
    <w:rsid w:val="007001BD"/>
    <w:rsid w:val="0070030D"/>
    <w:rsid w:val="00700427"/>
    <w:rsid w:val="0070048E"/>
    <w:rsid w:val="00700695"/>
    <w:rsid w:val="0070074D"/>
    <w:rsid w:val="00700755"/>
    <w:rsid w:val="00700950"/>
    <w:rsid w:val="0070095A"/>
    <w:rsid w:val="0070099D"/>
    <w:rsid w:val="00700A33"/>
    <w:rsid w:val="00700AA4"/>
    <w:rsid w:val="00700B91"/>
    <w:rsid w:val="00700BA3"/>
    <w:rsid w:val="00700BAC"/>
    <w:rsid w:val="00700C04"/>
    <w:rsid w:val="00700D3D"/>
    <w:rsid w:val="00700D4D"/>
    <w:rsid w:val="00700D62"/>
    <w:rsid w:val="00700D7D"/>
    <w:rsid w:val="00700D84"/>
    <w:rsid w:val="00700DBD"/>
    <w:rsid w:val="00700E23"/>
    <w:rsid w:val="00700EAD"/>
    <w:rsid w:val="00700FBF"/>
    <w:rsid w:val="00700FCC"/>
    <w:rsid w:val="0070108E"/>
    <w:rsid w:val="007010A1"/>
    <w:rsid w:val="00701136"/>
    <w:rsid w:val="0070113E"/>
    <w:rsid w:val="00701154"/>
    <w:rsid w:val="007012CD"/>
    <w:rsid w:val="007012F0"/>
    <w:rsid w:val="00701337"/>
    <w:rsid w:val="007013B0"/>
    <w:rsid w:val="00701544"/>
    <w:rsid w:val="0070155D"/>
    <w:rsid w:val="0070158D"/>
    <w:rsid w:val="0070161B"/>
    <w:rsid w:val="0070180A"/>
    <w:rsid w:val="00701862"/>
    <w:rsid w:val="00701958"/>
    <w:rsid w:val="00701B87"/>
    <w:rsid w:val="00701BF1"/>
    <w:rsid w:val="00701CC6"/>
    <w:rsid w:val="00701D39"/>
    <w:rsid w:val="00701EB5"/>
    <w:rsid w:val="00702022"/>
    <w:rsid w:val="0070206B"/>
    <w:rsid w:val="0070206C"/>
    <w:rsid w:val="0070207D"/>
    <w:rsid w:val="007020E8"/>
    <w:rsid w:val="00702406"/>
    <w:rsid w:val="00702574"/>
    <w:rsid w:val="00702595"/>
    <w:rsid w:val="007025F5"/>
    <w:rsid w:val="007025F7"/>
    <w:rsid w:val="007026BE"/>
    <w:rsid w:val="007026C1"/>
    <w:rsid w:val="00702762"/>
    <w:rsid w:val="007027EE"/>
    <w:rsid w:val="0070284E"/>
    <w:rsid w:val="00702A1F"/>
    <w:rsid w:val="00702A71"/>
    <w:rsid w:val="00702A73"/>
    <w:rsid w:val="00702B02"/>
    <w:rsid w:val="00702B61"/>
    <w:rsid w:val="00702B9A"/>
    <w:rsid w:val="00702BCB"/>
    <w:rsid w:val="00702BCE"/>
    <w:rsid w:val="00702C2D"/>
    <w:rsid w:val="00702C7B"/>
    <w:rsid w:val="00702E00"/>
    <w:rsid w:val="00702F18"/>
    <w:rsid w:val="00703013"/>
    <w:rsid w:val="007030B7"/>
    <w:rsid w:val="0070316F"/>
    <w:rsid w:val="0070319A"/>
    <w:rsid w:val="00703273"/>
    <w:rsid w:val="0070327B"/>
    <w:rsid w:val="00703281"/>
    <w:rsid w:val="007032CD"/>
    <w:rsid w:val="007032EE"/>
    <w:rsid w:val="0070334D"/>
    <w:rsid w:val="007033DF"/>
    <w:rsid w:val="007036CD"/>
    <w:rsid w:val="007037F4"/>
    <w:rsid w:val="0070385E"/>
    <w:rsid w:val="00703969"/>
    <w:rsid w:val="00703974"/>
    <w:rsid w:val="007039D2"/>
    <w:rsid w:val="00703AA8"/>
    <w:rsid w:val="00703B58"/>
    <w:rsid w:val="00703BB5"/>
    <w:rsid w:val="00703CAF"/>
    <w:rsid w:val="00703CB4"/>
    <w:rsid w:val="00703CE1"/>
    <w:rsid w:val="00703D35"/>
    <w:rsid w:val="00703D6A"/>
    <w:rsid w:val="00703DFB"/>
    <w:rsid w:val="00703ED7"/>
    <w:rsid w:val="00703FD5"/>
    <w:rsid w:val="00703FDF"/>
    <w:rsid w:val="0070410F"/>
    <w:rsid w:val="0070414F"/>
    <w:rsid w:val="00704172"/>
    <w:rsid w:val="007041F4"/>
    <w:rsid w:val="00704543"/>
    <w:rsid w:val="007045E6"/>
    <w:rsid w:val="007046AC"/>
    <w:rsid w:val="007046C3"/>
    <w:rsid w:val="00704727"/>
    <w:rsid w:val="007047A0"/>
    <w:rsid w:val="007047A2"/>
    <w:rsid w:val="00704B3C"/>
    <w:rsid w:val="00704B85"/>
    <w:rsid w:val="00704BE8"/>
    <w:rsid w:val="00704C95"/>
    <w:rsid w:val="00704DD9"/>
    <w:rsid w:val="00704E68"/>
    <w:rsid w:val="00704E9C"/>
    <w:rsid w:val="00704ECD"/>
    <w:rsid w:val="00704F4B"/>
    <w:rsid w:val="0070502D"/>
    <w:rsid w:val="00705041"/>
    <w:rsid w:val="00705295"/>
    <w:rsid w:val="007054BD"/>
    <w:rsid w:val="00705638"/>
    <w:rsid w:val="00705685"/>
    <w:rsid w:val="007056B3"/>
    <w:rsid w:val="007056CF"/>
    <w:rsid w:val="0070592C"/>
    <w:rsid w:val="007059ED"/>
    <w:rsid w:val="00705A13"/>
    <w:rsid w:val="00705A74"/>
    <w:rsid w:val="00705ADB"/>
    <w:rsid w:val="00705BBA"/>
    <w:rsid w:val="00705C7B"/>
    <w:rsid w:val="00705D03"/>
    <w:rsid w:val="00705DCA"/>
    <w:rsid w:val="00705E9A"/>
    <w:rsid w:val="00705E9E"/>
    <w:rsid w:val="00705EC7"/>
    <w:rsid w:val="00705EED"/>
    <w:rsid w:val="00705F41"/>
    <w:rsid w:val="00705F8D"/>
    <w:rsid w:val="00706129"/>
    <w:rsid w:val="00706172"/>
    <w:rsid w:val="007061E8"/>
    <w:rsid w:val="007063BE"/>
    <w:rsid w:val="007064D4"/>
    <w:rsid w:val="0070652E"/>
    <w:rsid w:val="0070659C"/>
    <w:rsid w:val="007065FE"/>
    <w:rsid w:val="0070665E"/>
    <w:rsid w:val="0070672C"/>
    <w:rsid w:val="007068D8"/>
    <w:rsid w:val="00706905"/>
    <w:rsid w:val="0070698F"/>
    <w:rsid w:val="007069FC"/>
    <w:rsid w:val="00706ADC"/>
    <w:rsid w:val="00706BD4"/>
    <w:rsid w:val="00706BFA"/>
    <w:rsid w:val="00706C14"/>
    <w:rsid w:val="00706C4F"/>
    <w:rsid w:val="00706D89"/>
    <w:rsid w:val="00706E16"/>
    <w:rsid w:val="00706E2C"/>
    <w:rsid w:val="00706E38"/>
    <w:rsid w:val="00706F47"/>
    <w:rsid w:val="00706F80"/>
    <w:rsid w:val="007070AB"/>
    <w:rsid w:val="007070CF"/>
    <w:rsid w:val="00707105"/>
    <w:rsid w:val="0070712D"/>
    <w:rsid w:val="00707182"/>
    <w:rsid w:val="0070719E"/>
    <w:rsid w:val="007071B1"/>
    <w:rsid w:val="007071F8"/>
    <w:rsid w:val="00707246"/>
    <w:rsid w:val="00707318"/>
    <w:rsid w:val="007073E1"/>
    <w:rsid w:val="007073E8"/>
    <w:rsid w:val="007074A4"/>
    <w:rsid w:val="0070757C"/>
    <w:rsid w:val="00707694"/>
    <w:rsid w:val="007076BD"/>
    <w:rsid w:val="0070773C"/>
    <w:rsid w:val="00707823"/>
    <w:rsid w:val="0070785C"/>
    <w:rsid w:val="007078EE"/>
    <w:rsid w:val="00707BAF"/>
    <w:rsid w:val="00707C09"/>
    <w:rsid w:val="00707C18"/>
    <w:rsid w:val="00707CBA"/>
    <w:rsid w:val="00707CC3"/>
    <w:rsid w:val="00707D09"/>
    <w:rsid w:val="00707D24"/>
    <w:rsid w:val="00707DE3"/>
    <w:rsid w:val="00707DF8"/>
    <w:rsid w:val="00707E31"/>
    <w:rsid w:val="00707E32"/>
    <w:rsid w:val="00707EA1"/>
    <w:rsid w:val="00707FD6"/>
    <w:rsid w:val="00710187"/>
    <w:rsid w:val="007101EE"/>
    <w:rsid w:val="007101F6"/>
    <w:rsid w:val="007102FC"/>
    <w:rsid w:val="00710320"/>
    <w:rsid w:val="007103A9"/>
    <w:rsid w:val="00710467"/>
    <w:rsid w:val="0071051B"/>
    <w:rsid w:val="0071058C"/>
    <w:rsid w:val="0071061D"/>
    <w:rsid w:val="0071065A"/>
    <w:rsid w:val="00710723"/>
    <w:rsid w:val="007107A0"/>
    <w:rsid w:val="00710934"/>
    <w:rsid w:val="0071095F"/>
    <w:rsid w:val="0071099C"/>
    <w:rsid w:val="00710A42"/>
    <w:rsid w:val="00710B05"/>
    <w:rsid w:val="00710BE3"/>
    <w:rsid w:val="00710D08"/>
    <w:rsid w:val="00710D4F"/>
    <w:rsid w:val="00710DF0"/>
    <w:rsid w:val="00710E9E"/>
    <w:rsid w:val="00710FF6"/>
    <w:rsid w:val="0071104E"/>
    <w:rsid w:val="007110BA"/>
    <w:rsid w:val="0071114B"/>
    <w:rsid w:val="007111FD"/>
    <w:rsid w:val="0071125D"/>
    <w:rsid w:val="0071159A"/>
    <w:rsid w:val="00711686"/>
    <w:rsid w:val="00711811"/>
    <w:rsid w:val="00711840"/>
    <w:rsid w:val="00711854"/>
    <w:rsid w:val="0071189F"/>
    <w:rsid w:val="007118B2"/>
    <w:rsid w:val="00711950"/>
    <w:rsid w:val="007119B8"/>
    <w:rsid w:val="00711A80"/>
    <w:rsid w:val="00711ADD"/>
    <w:rsid w:val="00711AE1"/>
    <w:rsid w:val="00711BE5"/>
    <w:rsid w:val="00711C31"/>
    <w:rsid w:val="00711D19"/>
    <w:rsid w:val="00711D95"/>
    <w:rsid w:val="00711F78"/>
    <w:rsid w:val="007122EB"/>
    <w:rsid w:val="0071234B"/>
    <w:rsid w:val="0071237D"/>
    <w:rsid w:val="0071257A"/>
    <w:rsid w:val="0071269D"/>
    <w:rsid w:val="0071288A"/>
    <w:rsid w:val="007128C7"/>
    <w:rsid w:val="007129DA"/>
    <w:rsid w:val="00712A2A"/>
    <w:rsid w:val="00712A6B"/>
    <w:rsid w:val="00712AB6"/>
    <w:rsid w:val="00712C2C"/>
    <w:rsid w:val="00712CCF"/>
    <w:rsid w:val="00712D65"/>
    <w:rsid w:val="00712F0D"/>
    <w:rsid w:val="00712F90"/>
    <w:rsid w:val="00712FA5"/>
    <w:rsid w:val="0071303D"/>
    <w:rsid w:val="0071309B"/>
    <w:rsid w:val="00713186"/>
    <w:rsid w:val="00713196"/>
    <w:rsid w:val="007131B4"/>
    <w:rsid w:val="0071320A"/>
    <w:rsid w:val="0071324C"/>
    <w:rsid w:val="007132C6"/>
    <w:rsid w:val="007132E5"/>
    <w:rsid w:val="00713325"/>
    <w:rsid w:val="0071333E"/>
    <w:rsid w:val="00713414"/>
    <w:rsid w:val="0071369F"/>
    <w:rsid w:val="007138C6"/>
    <w:rsid w:val="00713AD2"/>
    <w:rsid w:val="00713B2F"/>
    <w:rsid w:val="00713B88"/>
    <w:rsid w:val="00713C81"/>
    <w:rsid w:val="00713C9D"/>
    <w:rsid w:val="00713CF6"/>
    <w:rsid w:val="00713D04"/>
    <w:rsid w:val="00713D91"/>
    <w:rsid w:val="00713DE4"/>
    <w:rsid w:val="00713E07"/>
    <w:rsid w:val="00713E3E"/>
    <w:rsid w:val="00713E44"/>
    <w:rsid w:val="00713FB2"/>
    <w:rsid w:val="007140F9"/>
    <w:rsid w:val="00714114"/>
    <w:rsid w:val="007142DB"/>
    <w:rsid w:val="007142E4"/>
    <w:rsid w:val="0071436E"/>
    <w:rsid w:val="007144BC"/>
    <w:rsid w:val="0071454A"/>
    <w:rsid w:val="00714561"/>
    <w:rsid w:val="00714616"/>
    <w:rsid w:val="00714717"/>
    <w:rsid w:val="00714924"/>
    <w:rsid w:val="00714931"/>
    <w:rsid w:val="00714942"/>
    <w:rsid w:val="007149F7"/>
    <w:rsid w:val="00714A93"/>
    <w:rsid w:val="00714BC9"/>
    <w:rsid w:val="00714C78"/>
    <w:rsid w:val="00714CBB"/>
    <w:rsid w:val="00714D36"/>
    <w:rsid w:val="00714F9D"/>
    <w:rsid w:val="00714FF2"/>
    <w:rsid w:val="00715098"/>
    <w:rsid w:val="0071512E"/>
    <w:rsid w:val="00715176"/>
    <w:rsid w:val="007151C2"/>
    <w:rsid w:val="0071527B"/>
    <w:rsid w:val="00715346"/>
    <w:rsid w:val="0071534F"/>
    <w:rsid w:val="00715390"/>
    <w:rsid w:val="00715413"/>
    <w:rsid w:val="007155E3"/>
    <w:rsid w:val="00715663"/>
    <w:rsid w:val="007156B2"/>
    <w:rsid w:val="00715760"/>
    <w:rsid w:val="0071587F"/>
    <w:rsid w:val="00715A8A"/>
    <w:rsid w:val="00715B4C"/>
    <w:rsid w:val="00715C03"/>
    <w:rsid w:val="00715C3A"/>
    <w:rsid w:val="00715C3D"/>
    <w:rsid w:val="00715C50"/>
    <w:rsid w:val="00715CCC"/>
    <w:rsid w:val="00715DC8"/>
    <w:rsid w:val="00715DE7"/>
    <w:rsid w:val="00715ECA"/>
    <w:rsid w:val="00716038"/>
    <w:rsid w:val="0071604E"/>
    <w:rsid w:val="00716260"/>
    <w:rsid w:val="007162B8"/>
    <w:rsid w:val="00716303"/>
    <w:rsid w:val="00716358"/>
    <w:rsid w:val="00716368"/>
    <w:rsid w:val="00716496"/>
    <w:rsid w:val="007164DC"/>
    <w:rsid w:val="0071655A"/>
    <w:rsid w:val="00716560"/>
    <w:rsid w:val="007167BE"/>
    <w:rsid w:val="007168FA"/>
    <w:rsid w:val="00716AD2"/>
    <w:rsid w:val="00716B22"/>
    <w:rsid w:val="00716C38"/>
    <w:rsid w:val="00716C44"/>
    <w:rsid w:val="00716C88"/>
    <w:rsid w:val="00716D1E"/>
    <w:rsid w:val="00716D3B"/>
    <w:rsid w:val="00716D4A"/>
    <w:rsid w:val="00716DC0"/>
    <w:rsid w:val="00716DC8"/>
    <w:rsid w:val="00716F85"/>
    <w:rsid w:val="007170B4"/>
    <w:rsid w:val="0071715C"/>
    <w:rsid w:val="0071719E"/>
    <w:rsid w:val="007171E6"/>
    <w:rsid w:val="0071727A"/>
    <w:rsid w:val="007172CF"/>
    <w:rsid w:val="007172DD"/>
    <w:rsid w:val="00717369"/>
    <w:rsid w:val="00717408"/>
    <w:rsid w:val="007174AF"/>
    <w:rsid w:val="007174B8"/>
    <w:rsid w:val="007174CE"/>
    <w:rsid w:val="00717531"/>
    <w:rsid w:val="007175F7"/>
    <w:rsid w:val="0071764B"/>
    <w:rsid w:val="00717664"/>
    <w:rsid w:val="007176C4"/>
    <w:rsid w:val="00717891"/>
    <w:rsid w:val="0071791B"/>
    <w:rsid w:val="00717955"/>
    <w:rsid w:val="007179A5"/>
    <w:rsid w:val="00717ACE"/>
    <w:rsid w:val="00717DFC"/>
    <w:rsid w:val="00717E95"/>
    <w:rsid w:val="00717F01"/>
    <w:rsid w:val="00720065"/>
    <w:rsid w:val="0072022C"/>
    <w:rsid w:val="00720264"/>
    <w:rsid w:val="00720272"/>
    <w:rsid w:val="00720295"/>
    <w:rsid w:val="007202A5"/>
    <w:rsid w:val="00720373"/>
    <w:rsid w:val="007203CA"/>
    <w:rsid w:val="007205E3"/>
    <w:rsid w:val="007207AE"/>
    <w:rsid w:val="007207C4"/>
    <w:rsid w:val="00720817"/>
    <w:rsid w:val="0072081F"/>
    <w:rsid w:val="00720836"/>
    <w:rsid w:val="007208DF"/>
    <w:rsid w:val="0072094E"/>
    <w:rsid w:val="00720A6C"/>
    <w:rsid w:val="00720AC2"/>
    <w:rsid w:val="00720B2C"/>
    <w:rsid w:val="00720C37"/>
    <w:rsid w:val="00720D18"/>
    <w:rsid w:val="00720FD9"/>
    <w:rsid w:val="00721062"/>
    <w:rsid w:val="00721164"/>
    <w:rsid w:val="00721176"/>
    <w:rsid w:val="007211A8"/>
    <w:rsid w:val="00721245"/>
    <w:rsid w:val="0072127D"/>
    <w:rsid w:val="007212FD"/>
    <w:rsid w:val="00721341"/>
    <w:rsid w:val="0072148A"/>
    <w:rsid w:val="007214FD"/>
    <w:rsid w:val="00721510"/>
    <w:rsid w:val="00721524"/>
    <w:rsid w:val="007215CD"/>
    <w:rsid w:val="007215DF"/>
    <w:rsid w:val="007215F8"/>
    <w:rsid w:val="0072162F"/>
    <w:rsid w:val="00721697"/>
    <w:rsid w:val="0072178D"/>
    <w:rsid w:val="007217F1"/>
    <w:rsid w:val="00721952"/>
    <w:rsid w:val="0072196D"/>
    <w:rsid w:val="00721A10"/>
    <w:rsid w:val="00721B57"/>
    <w:rsid w:val="00721B76"/>
    <w:rsid w:val="00721C0F"/>
    <w:rsid w:val="00721CB0"/>
    <w:rsid w:val="00721CFB"/>
    <w:rsid w:val="00721DAE"/>
    <w:rsid w:val="00721E1F"/>
    <w:rsid w:val="00721E48"/>
    <w:rsid w:val="00721F56"/>
    <w:rsid w:val="007220BA"/>
    <w:rsid w:val="00722111"/>
    <w:rsid w:val="00722278"/>
    <w:rsid w:val="00722380"/>
    <w:rsid w:val="007223B1"/>
    <w:rsid w:val="007223E0"/>
    <w:rsid w:val="007224A7"/>
    <w:rsid w:val="0072268E"/>
    <w:rsid w:val="007226F5"/>
    <w:rsid w:val="0072270C"/>
    <w:rsid w:val="007227F7"/>
    <w:rsid w:val="007227F9"/>
    <w:rsid w:val="00722825"/>
    <w:rsid w:val="007228A3"/>
    <w:rsid w:val="007228EC"/>
    <w:rsid w:val="0072290B"/>
    <w:rsid w:val="00722B30"/>
    <w:rsid w:val="00722BC1"/>
    <w:rsid w:val="00722BC4"/>
    <w:rsid w:val="00722C3D"/>
    <w:rsid w:val="00722C74"/>
    <w:rsid w:val="00722D19"/>
    <w:rsid w:val="00722DCD"/>
    <w:rsid w:val="00722DD4"/>
    <w:rsid w:val="00722DED"/>
    <w:rsid w:val="00722E85"/>
    <w:rsid w:val="00722ECA"/>
    <w:rsid w:val="00722F27"/>
    <w:rsid w:val="00722F9D"/>
    <w:rsid w:val="0072301C"/>
    <w:rsid w:val="00723090"/>
    <w:rsid w:val="00723184"/>
    <w:rsid w:val="00723217"/>
    <w:rsid w:val="00723233"/>
    <w:rsid w:val="00723535"/>
    <w:rsid w:val="00723593"/>
    <w:rsid w:val="007236A4"/>
    <w:rsid w:val="007238A3"/>
    <w:rsid w:val="0072391B"/>
    <w:rsid w:val="00723922"/>
    <w:rsid w:val="00723A6B"/>
    <w:rsid w:val="00723AFA"/>
    <w:rsid w:val="00723B2C"/>
    <w:rsid w:val="00723F33"/>
    <w:rsid w:val="00723F60"/>
    <w:rsid w:val="00723F94"/>
    <w:rsid w:val="00724015"/>
    <w:rsid w:val="007240C6"/>
    <w:rsid w:val="007241C3"/>
    <w:rsid w:val="007241CB"/>
    <w:rsid w:val="007241D5"/>
    <w:rsid w:val="00724220"/>
    <w:rsid w:val="007242CA"/>
    <w:rsid w:val="00724349"/>
    <w:rsid w:val="00724381"/>
    <w:rsid w:val="0072439F"/>
    <w:rsid w:val="00724400"/>
    <w:rsid w:val="00724421"/>
    <w:rsid w:val="0072447D"/>
    <w:rsid w:val="0072451F"/>
    <w:rsid w:val="007245DE"/>
    <w:rsid w:val="007245FD"/>
    <w:rsid w:val="007246FF"/>
    <w:rsid w:val="007247C7"/>
    <w:rsid w:val="00724814"/>
    <w:rsid w:val="00724824"/>
    <w:rsid w:val="00724962"/>
    <w:rsid w:val="00724998"/>
    <w:rsid w:val="007249AC"/>
    <w:rsid w:val="00724A6A"/>
    <w:rsid w:val="00724B12"/>
    <w:rsid w:val="00724D28"/>
    <w:rsid w:val="00724D8E"/>
    <w:rsid w:val="00724ED0"/>
    <w:rsid w:val="00724EF0"/>
    <w:rsid w:val="00724EFB"/>
    <w:rsid w:val="00724F46"/>
    <w:rsid w:val="00724F92"/>
    <w:rsid w:val="00724FA2"/>
    <w:rsid w:val="007250EF"/>
    <w:rsid w:val="00725257"/>
    <w:rsid w:val="0072525B"/>
    <w:rsid w:val="007252D0"/>
    <w:rsid w:val="007252D1"/>
    <w:rsid w:val="00725337"/>
    <w:rsid w:val="00725351"/>
    <w:rsid w:val="007253A0"/>
    <w:rsid w:val="007253D6"/>
    <w:rsid w:val="007253E4"/>
    <w:rsid w:val="00725439"/>
    <w:rsid w:val="00725532"/>
    <w:rsid w:val="007255CD"/>
    <w:rsid w:val="0072565B"/>
    <w:rsid w:val="007256EC"/>
    <w:rsid w:val="0072578A"/>
    <w:rsid w:val="00725826"/>
    <w:rsid w:val="00725890"/>
    <w:rsid w:val="0072597A"/>
    <w:rsid w:val="00725A2E"/>
    <w:rsid w:val="00725A50"/>
    <w:rsid w:val="00725A91"/>
    <w:rsid w:val="00725BF2"/>
    <w:rsid w:val="00725C44"/>
    <w:rsid w:val="00725C76"/>
    <w:rsid w:val="00725D31"/>
    <w:rsid w:val="00725DFE"/>
    <w:rsid w:val="00725EA9"/>
    <w:rsid w:val="00725EF3"/>
    <w:rsid w:val="00725FE6"/>
    <w:rsid w:val="00726018"/>
    <w:rsid w:val="007260AC"/>
    <w:rsid w:val="007260BB"/>
    <w:rsid w:val="007260C9"/>
    <w:rsid w:val="007260FB"/>
    <w:rsid w:val="00726189"/>
    <w:rsid w:val="007261AD"/>
    <w:rsid w:val="00726222"/>
    <w:rsid w:val="007262CB"/>
    <w:rsid w:val="007262EB"/>
    <w:rsid w:val="00726466"/>
    <w:rsid w:val="00726473"/>
    <w:rsid w:val="007264A2"/>
    <w:rsid w:val="007264AB"/>
    <w:rsid w:val="00726501"/>
    <w:rsid w:val="007266CE"/>
    <w:rsid w:val="007266FA"/>
    <w:rsid w:val="007267A1"/>
    <w:rsid w:val="00726810"/>
    <w:rsid w:val="00726838"/>
    <w:rsid w:val="0072684F"/>
    <w:rsid w:val="00726856"/>
    <w:rsid w:val="00726AED"/>
    <w:rsid w:val="00726B8B"/>
    <w:rsid w:val="00726C2C"/>
    <w:rsid w:val="00726CE9"/>
    <w:rsid w:val="00726CF4"/>
    <w:rsid w:val="00726D00"/>
    <w:rsid w:val="00726FB1"/>
    <w:rsid w:val="00726FF0"/>
    <w:rsid w:val="00726FF4"/>
    <w:rsid w:val="007272FE"/>
    <w:rsid w:val="00727306"/>
    <w:rsid w:val="00727313"/>
    <w:rsid w:val="007273CF"/>
    <w:rsid w:val="007274AB"/>
    <w:rsid w:val="0072750A"/>
    <w:rsid w:val="0072758C"/>
    <w:rsid w:val="00727637"/>
    <w:rsid w:val="00727641"/>
    <w:rsid w:val="00727662"/>
    <w:rsid w:val="007276FF"/>
    <w:rsid w:val="00727721"/>
    <w:rsid w:val="0072794F"/>
    <w:rsid w:val="00727AE4"/>
    <w:rsid w:val="00727B14"/>
    <w:rsid w:val="00727C2E"/>
    <w:rsid w:val="00727C73"/>
    <w:rsid w:val="00727CA0"/>
    <w:rsid w:val="00727D0D"/>
    <w:rsid w:val="00727D0F"/>
    <w:rsid w:val="00727D48"/>
    <w:rsid w:val="00727D9D"/>
    <w:rsid w:val="00727E0E"/>
    <w:rsid w:val="00727E7C"/>
    <w:rsid w:val="00727E89"/>
    <w:rsid w:val="00727EBE"/>
    <w:rsid w:val="00727F01"/>
    <w:rsid w:val="0073004E"/>
    <w:rsid w:val="00730098"/>
    <w:rsid w:val="007300F6"/>
    <w:rsid w:val="00730126"/>
    <w:rsid w:val="00730145"/>
    <w:rsid w:val="007302A0"/>
    <w:rsid w:val="007302C2"/>
    <w:rsid w:val="007303CC"/>
    <w:rsid w:val="007303D8"/>
    <w:rsid w:val="007303E0"/>
    <w:rsid w:val="0073048A"/>
    <w:rsid w:val="0073050C"/>
    <w:rsid w:val="00730622"/>
    <w:rsid w:val="00730635"/>
    <w:rsid w:val="00730666"/>
    <w:rsid w:val="007306A2"/>
    <w:rsid w:val="00730715"/>
    <w:rsid w:val="00730774"/>
    <w:rsid w:val="007307AA"/>
    <w:rsid w:val="0073083C"/>
    <w:rsid w:val="0073088A"/>
    <w:rsid w:val="007309DB"/>
    <w:rsid w:val="00730A26"/>
    <w:rsid w:val="00730ABD"/>
    <w:rsid w:val="00730AC4"/>
    <w:rsid w:val="00730B06"/>
    <w:rsid w:val="00730C12"/>
    <w:rsid w:val="00730C8D"/>
    <w:rsid w:val="00730E02"/>
    <w:rsid w:val="00730E78"/>
    <w:rsid w:val="00730E79"/>
    <w:rsid w:val="00730EFC"/>
    <w:rsid w:val="00730FA3"/>
    <w:rsid w:val="0073107F"/>
    <w:rsid w:val="007310AC"/>
    <w:rsid w:val="00731261"/>
    <w:rsid w:val="007313DA"/>
    <w:rsid w:val="00731580"/>
    <w:rsid w:val="007315DF"/>
    <w:rsid w:val="0073178C"/>
    <w:rsid w:val="007317D8"/>
    <w:rsid w:val="00731867"/>
    <w:rsid w:val="0073186D"/>
    <w:rsid w:val="007318F0"/>
    <w:rsid w:val="00731976"/>
    <w:rsid w:val="007319D1"/>
    <w:rsid w:val="00731AA1"/>
    <w:rsid w:val="00731AFA"/>
    <w:rsid w:val="00731B0F"/>
    <w:rsid w:val="00731BB0"/>
    <w:rsid w:val="00731C80"/>
    <w:rsid w:val="00731CAA"/>
    <w:rsid w:val="00731CDE"/>
    <w:rsid w:val="00731D41"/>
    <w:rsid w:val="00731EE3"/>
    <w:rsid w:val="00731FCA"/>
    <w:rsid w:val="007320F1"/>
    <w:rsid w:val="007322C9"/>
    <w:rsid w:val="00732464"/>
    <w:rsid w:val="0073247D"/>
    <w:rsid w:val="007324D3"/>
    <w:rsid w:val="00732629"/>
    <w:rsid w:val="0073280F"/>
    <w:rsid w:val="00732840"/>
    <w:rsid w:val="00732975"/>
    <w:rsid w:val="007329B9"/>
    <w:rsid w:val="007329D2"/>
    <w:rsid w:val="00732A1E"/>
    <w:rsid w:val="00732A9A"/>
    <w:rsid w:val="00732AAB"/>
    <w:rsid w:val="00732AFC"/>
    <w:rsid w:val="00732C2A"/>
    <w:rsid w:val="00732DB4"/>
    <w:rsid w:val="00732E5C"/>
    <w:rsid w:val="00732E6B"/>
    <w:rsid w:val="00732EAD"/>
    <w:rsid w:val="00732F0E"/>
    <w:rsid w:val="0073305F"/>
    <w:rsid w:val="00733122"/>
    <w:rsid w:val="00733143"/>
    <w:rsid w:val="0073316F"/>
    <w:rsid w:val="0073317A"/>
    <w:rsid w:val="00733271"/>
    <w:rsid w:val="00733316"/>
    <w:rsid w:val="00733332"/>
    <w:rsid w:val="007334D0"/>
    <w:rsid w:val="00733569"/>
    <w:rsid w:val="0073359C"/>
    <w:rsid w:val="007335DD"/>
    <w:rsid w:val="007336C5"/>
    <w:rsid w:val="007336CE"/>
    <w:rsid w:val="007337ED"/>
    <w:rsid w:val="00733898"/>
    <w:rsid w:val="00733AAF"/>
    <w:rsid w:val="00733AED"/>
    <w:rsid w:val="00733B0D"/>
    <w:rsid w:val="00733BB5"/>
    <w:rsid w:val="00733DB9"/>
    <w:rsid w:val="00733EE0"/>
    <w:rsid w:val="00734035"/>
    <w:rsid w:val="00734079"/>
    <w:rsid w:val="0073408F"/>
    <w:rsid w:val="00734197"/>
    <w:rsid w:val="0073424C"/>
    <w:rsid w:val="0073426F"/>
    <w:rsid w:val="0073427F"/>
    <w:rsid w:val="007342CA"/>
    <w:rsid w:val="00734371"/>
    <w:rsid w:val="00734388"/>
    <w:rsid w:val="007343A2"/>
    <w:rsid w:val="00734574"/>
    <w:rsid w:val="00734666"/>
    <w:rsid w:val="0073467F"/>
    <w:rsid w:val="00734719"/>
    <w:rsid w:val="00734845"/>
    <w:rsid w:val="00734944"/>
    <w:rsid w:val="00734AC6"/>
    <w:rsid w:val="00734AE2"/>
    <w:rsid w:val="00734C60"/>
    <w:rsid w:val="00734C75"/>
    <w:rsid w:val="00734D3A"/>
    <w:rsid w:val="00734E65"/>
    <w:rsid w:val="00734E66"/>
    <w:rsid w:val="00734EDE"/>
    <w:rsid w:val="00734F07"/>
    <w:rsid w:val="00734FA6"/>
    <w:rsid w:val="00734FC0"/>
    <w:rsid w:val="00734FD1"/>
    <w:rsid w:val="007350AA"/>
    <w:rsid w:val="00735167"/>
    <w:rsid w:val="0073518F"/>
    <w:rsid w:val="00735193"/>
    <w:rsid w:val="00735309"/>
    <w:rsid w:val="007353E9"/>
    <w:rsid w:val="007353F7"/>
    <w:rsid w:val="0073545C"/>
    <w:rsid w:val="007354E1"/>
    <w:rsid w:val="0073559D"/>
    <w:rsid w:val="007355D3"/>
    <w:rsid w:val="00735698"/>
    <w:rsid w:val="007357B3"/>
    <w:rsid w:val="007357D7"/>
    <w:rsid w:val="0073583E"/>
    <w:rsid w:val="0073596D"/>
    <w:rsid w:val="00735B46"/>
    <w:rsid w:val="00735BA8"/>
    <w:rsid w:val="00735C4F"/>
    <w:rsid w:val="00735D74"/>
    <w:rsid w:val="00735D7C"/>
    <w:rsid w:val="00735E26"/>
    <w:rsid w:val="00735E2D"/>
    <w:rsid w:val="00735E77"/>
    <w:rsid w:val="00735F13"/>
    <w:rsid w:val="00735F51"/>
    <w:rsid w:val="007360B9"/>
    <w:rsid w:val="007361B7"/>
    <w:rsid w:val="00736218"/>
    <w:rsid w:val="007362DE"/>
    <w:rsid w:val="007363E6"/>
    <w:rsid w:val="007363E8"/>
    <w:rsid w:val="00736420"/>
    <w:rsid w:val="00736435"/>
    <w:rsid w:val="0073643A"/>
    <w:rsid w:val="0073646F"/>
    <w:rsid w:val="007364B7"/>
    <w:rsid w:val="00736538"/>
    <w:rsid w:val="007365B1"/>
    <w:rsid w:val="007365D4"/>
    <w:rsid w:val="007366DA"/>
    <w:rsid w:val="00736724"/>
    <w:rsid w:val="00736752"/>
    <w:rsid w:val="007367E9"/>
    <w:rsid w:val="007367EF"/>
    <w:rsid w:val="0073690A"/>
    <w:rsid w:val="00736980"/>
    <w:rsid w:val="00736A26"/>
    <w:rsid w:val="00736A88"/>
    <w:rsid w:val="00736BC7"/>
    <w:rsid w:val="00736C52"/>
    <w:rsid w:val="00736C78"/>
    <w:rsid w:val="00736CBD"/>
    <w:rsid w:val="00736DF3"/>
    <w:rsid w:val="00736F51"/>
    <w:rsid w:val="00736F7A"/>
    <w:rsid w:val="00736F83"/>
    <w:rsid w:val="00736FAB"/>
    <w:rsid w:val="00737088"/>
    <w:rsid w:val="007370E3"/>
    <w:rsid w:val="007370EF"/>
    <w:rsid w:val="00737131"/>
    <w:rsid w:val="00737181"/>
    <w:rsid w:val="00737225"/>
    <w:rsid w:val="00737259"/>
    <w:rsid w:val="0073727F"/>
    <w:rsid w:val="007373A5"/>
    <w:rsid w:val="0073745D"/>
    <w:rsid w:val="007374CE"/>
    <w:rsid w:val="00737662"/>
    <w:rsid w:val="00737696"/>
    <w:rsid w:val="0073776D"/>
    <w:rsid w:val="00737773"/>
    <w:rsid w:val="007377D6"/>
    <w:rsid w:val="0073781C"/>
    <w:rsid w:val="00737862"/>
    <w:rsid w:val="0073792C"/>
    <w:rsid w:val="0073799B"/>
    <w:rsid w:val="00737A0E"/>
    <w:rsid w:val="00737A4F"/>
    <w:rsid w:val="00737B59"/>
    <w:rsid w:val="00737B75"/>
    <w:rsid w:val="00737B78"/>
    <w:rsid w:val="00737BAA"/>
    <w:rsid w:val="00737CE8"/>
    <w:rsid w:val="00737CF1"/>
    <w:rsid w:val="00737D60"/>
    <w:rsid w:val="00737E45"/>
    <w:rsid w:val="00737E66"/>
    <w:rsid w:val="00737EDB"/>
    <w:rsid w:val="00737F94"/>
    <w:rsid w:val="00737FC6"/>
    <w:rsid w:val="0074005E"/>
    <w:rsid w:val="0074013A"/>
    <w:rsid w:val="00740173"/>
    <w:rsid w:val="00740195"/>
    <w:rsid w:val="007401E2"/>
    <w:rsid w:val="007401E5"/>
    <w:rsid w:val="0074020C"/>
    <w:rsid w:val="00740247"/>
    <w:rsid w:val="00740401"/>
    <w:rsid w:val="007406F1"/>
    <w:rsid w:val="0074079C"/>
    <w:rsid w:val="007408DA"/>
    <w:rsid w:val="007408E2"/>
    <w:rsid w:val="0074092D"/>
    <w:rsid w:val="00740980"/>
    <w:rsid w:val="00740AFF"/>
    <w:rsid w:val="00740B62"/>
    <w:rsid w:val="00740BEE"/>
    <w:rsid w:val="00740BF1"/>
    <w:rsid w:val="00740C0F"/>
    <w:rsid w:val="00740CDB"/>
    <w:rsid w:val="00740CF0"/>
    <w:rsid w:val="00740D85"/>
    <w:rsid w:val="00740EA0"/>
    <w:rsid w:val="00740FE7"/>
    <w:rsid w:val="007410A6"/>
    <w:rsid w:val="007411AB"/>
    <w:rsid w:val="007411C0"/>
    <w:rsid w:val="007411F5"/>
    <w:rsid w:val="0074136B"/>
    <w:rsid w:val="00741473"/>
    <w:rsid w:val="007414D7"/>
    <w:rsid w:val="007416C8"/>
    <w:rsid w:val="007416F3"/>
    <w:rsid w:val="00741702"/>
    <w:rsid w:val="007418B9"/>
    <w:rsid w:val="007418E1"/>
    <w:rsid w:val="0074194F"/>
    <w:rsid w:val="0074198F"/>
    <w:rsid w:val="00741994"/>
    <w:rsid w:val="00741A93"/>
    <w:rsid w:val="00741AA3"/>
    <w:rsid w:val="00741B7A"/>
    <w:rsid w:val="00741C5B"/>
    <w:rsid w:val="00741E24"/>
    <w:rsid w:val="00741E48"/>
    <w:rsid w:val="00741EBA"/>
    <w:rsid w:val="00741F1A"/>
    <w:rsid w:val="00741F48"/>
    <w:rsid w:val="00741F4C"/>
    <w:rsid w:val="00741F75"/>
    <w:rsid w:val="00741F84"/>
    <w:rsid w:val="00742222"/>
    <w:rsid w:val="007422D4"/>
    <w:rsid w:val="007422E6"/>
    <w:rsid w:val="007422F2"/>
    <w:rsid w:val="007422FE"/>
    <w:rsid w:val="007423C0"/>
    <w:rsid w:val="00742497"/>
    <w:rsid w:val="0074257A"/>
    <w:rsid w:val="007425F4"/>
    <w:rsid w:val="00742679"/>
    <w:rsid w:val="007426DB"/>
    <w:rsid w:val="007427D8"/>
    <w:rsid w:val="007428BB"/>
    <w:rsid w:val="00742B0D"/>
    <w:rsid w:val="00742B24"/>
    <w:rsid w:val="00742B83"/>
    <w:rsid w:val="00742CBB"/>
    <w:rsid w:val="00742DB5"/>
    <w:rsid w:val="00742E1E"/>
    <w:rsid w:val="00742F40"/>
    <w:rsid w:val="00742F79"/>
    <w:rsid w:val="0074305A"/>
    <w:rsid w:val="00743082"/>
    <w:rsid w:val="0074319F"/>
    <w:rsid w:val="007431F0"/>
    <w:rsid w:val="0074325F"/>
    <w:rsid w:val="00743281"/>
    <w:rsid w:val="007432DF"/>
    <w:rsid w:val="0074333E"/>
    <w:rsid w:val="0074342E"/>
    <w:rsid w:val="00743502"/>
    <w:rsid w:val="00743556"/>
    <w:rsid w:val="007436A7"/>
    <w:rsid w:val="0074371C"/>
    <w:rsid w:val="0074379E"/>
    <w:rsid w:val="0074384B"/>
    <w:rsid w:val="007438BA"/>
    <w:rsid w:val="007438DA"/>
    <w:rsid w:val="00743A1E"/>
    <w:rsid w:val="00743A30"/>
    <w:rsid w:val="00743AB4"/>
    <w:rsid w:val="00743AD5"/>
    <w:rsid w:val="00743C45"/>
    <w:rsid w:val="00743C99"/>
    <w:rsid w:val="00743CB5"/>
    <w:rsid w:val="00743D15"/>
    <w:rsid w:val="00743D20"/>
    <w:rsid w:val="00743D81"/>
    <w:rsid w:val="00743F3B"/>
    <w:rsid w:val="00743FA1"/>
    <w:rsid w:val="00744083"/>
    <w:rsid w:val="00744085"/>
    <w:rsid w:val="0074412E"/>
    <w:rsid w:val="0074415D"/>
    <w:rsid w:val="007441F6"/>
    <w:rsid w:val="0074435A"/>
    <w:rsid w:val="007443FA"/>
    <w:rsid w:val="0074482B"/>
    <w:rsid w:val="0074482E"/>
    <w:rsid w:val="0074496B"/>
    <w:rsid w:val="007449DC"/>
    <w:rsid w:val="00744A1F"/>
    <w:rsid w:val="00744A4A"/>
    <w:rsid w:val="00744B40"/>
    <w:rsid w:val="00744B6D"/>
    <w:rsid w:val="00744B75"/>
    <w:rsid w:val="00744BDF"/>
    <w:rsid w:val="00744CA0"/>
    <w:rsid w:val="00744D0A"/>
    <w:rsid w:val="00744D1C"/>
    <w:rsid w:val="00744DCE"/>
    <w:rsid w:val="00744EE4"/>
    <w:rsid w:val="00744F32"/>
    <w:rsid w:val="00744F7E"/>
    <w:rsid w:val="0074500E"/>
    <w:rsid w:val="00745078"/>
    <w:rsid w:val="0074515F"/>
    <w:rsid w:val="0074517A"/>
    <w:rsid w:val="00745194"/>
    <w:rsid w:val="007451BE"/>
    <w:rsid w:val="0074525C"/>
    <w:rsid w:val="007452A6"/>
    <w:rsid w:val="00745353"/>
    <w:rsid w:val="00745389"/>
    <w:rsid w:val="00745484"/>
    <w:rsid w:val="007454AA"/>
    <w:rsid w:val="00745502"/>
    <w:rsid w:val="00745556"/>
    <w:rsid w:val="00745558"/>
    <w:rsid w:val="00745631"/>
    <w:rsid w:val="00745783"/>
    <w:rsid w:val="0074578E"/>
    <w:rsid w:val="007457AC"/>
    <w:rsid w:val="00745813"/>
    <w:rsid w:val="007458F8"/>
    <w:rsid w:val="00745AC0"/>
    <w:rsid w:val="00745BC3"/>
    <w:rsid w:val="00745BD6"/>
    <w:rsid w:val="00745C07"/>
    <w:rsid w:val="00745C39"/>
    <w:rsid w:val="00745C82"/>
    <w:rsid w:val="00745CA0"/>
    <w:rsid w:val="00745CAF"/>
    <w:rsid w:val="00745D13"/>
    <w:rsid w:val="00745D46"/>
    <w:rsid w:val="00745DED"/>
    <w:rsid w:val="00745EAD"/>
    <w:rsid w:val="00745F8B"/>
    <w:rsid w:val="00746068"/>
    <w:rsid w:val="0074610A"/>
    <w:rsid w:val="0074612C"/>
    <w:rsid w:val="00746171"/>
    <w:rsid w:val="007461AA"/>
    <w:rsid w:val="007461E7"/>
    <w:rsid w:val="007463B2"/>
    <w:rsid w:val="00746479"/>
    <w:rsid w:val="0074665C"/>
    <w:rsid w:val="007466FF"/>
    <w:rsid w:val="00746743"/>
    <w:rsid w:val="00746957"/>
    <w:rsid w:val="00746A40"/>
    <w:rsid w:val="00746A44"/>
    <w:rsid w:val="00746B28"/>
    <w:rsid w:val="00746B73"/>
    <w:rsid w:val="00746B88"/>
    <w:rsid w:val="00746B9D"/>
    <w:rsid w:val="00746BC3"/>
    <w:rsid w:val="00746D99"/>
    <w:rsid w:val="00746E63"/>
    <w:rsid w:val="00746E68"/>
    <w:rsid w:val="00746F65"/>
    <w:rsid w:val="00746FD8"/>
    <w:rsid w:val="00747036"/>
    <w:rsid w:val="007470EB"/>
    <w:rsid w:val="00747133"/>
    <w:rsid w:val="00747236"/>
    <w:rsid w:val="0074730F"/>
    <w:rsid w:val="00747390"/>
    <w:rsid w:val="00747434"/>
    <w:rsid w:val="00747446"/>
    <w:rsid w:val="007475AD"/>
    <w:rsid w:val="00747617"/>
    <w:rsid w:val="00747634"/>
    <w:rsid w:val="00747639"/>
    <w:rsid w:val="007476C2"/>
    <w:rsid w:val="007476C3"/>
    <w:rsid w:val="0074788B"/>
    <w:rsid w:val="0074788E"/>
    <w:rsid w:val="007478B3"/>
    <w:rsid w:val="007478DD"/>
    <w:rsid w:val="007478E2"/>
    <w:rsid w:val="0074793A"/>
    <w:rsid w:val="00747AC2"/>
    <w:rsid w:val="00747AC4"/>
    <w:rsid w:val="00747AD7"/>
    <w:rsid w:val="00747B41"/>
    <w:rsid w:val="00747C2B"/>
    <w:rsid w:val="00747C4D"/>
    <w:rsid w:val="00747D4B"/>
    <w:rsid w:val="00747DB4"/>
    <w:rsid w:val="00750008"/>
    <w:rsid w:val="007500A4"/>
    <w:rsid w:val="007501D3"/>
    <w:rsid w:val="00750203"/>
    <w:rsid w:val="0075020C"/>
    <w:rsid w:val="007502FD"/>
    <w:rsid w:val="007503D0"/>
    <w:rsid w:val="0075043C"/>
    <w:rsid w:val="0075045E"/>
    <w:rsid w:val="0075049E"/>
    <w:rsid w:val="00750570"/>
    <w:rsid w:val="00750694"/>
    <w:rsid w:val="007506F9"/>
    <w:rsid w:val="00750772"/>
    <w:rsid w:val="007507EE"/>
    <w:rsid w:val="0075085C"/>
    <w:rsid w:val="007508C2"/>
    <w:rsid w:val="00750940"/>
    <w:rsid w:val="00750983"/>
    <w:rsid w:val="00750A15"/>
    <w:rsid w:val="00750A39"/>
    <w:rsid w:val="00750B5B"/>
    <w:rsid w:val="00750BAA"/>
    <w:rsid w:val="00750D07"/>
    <w:rsid w:val="00750D74"/>
    <w:rsid w:val="00750D7C"/>
    <w:rsid w:val="00750FB3"/>
    <w:rsid w:val="00750FBD"/>
    <w:rsid w:val="00751032"/>
    <w:rsid w:val="00751121"/>
    <w:rsid w:val="00751164"/>
    <w:rsid w:val="00751200"/>
    <w:rsid w:val="00751261"/>
    <w:rsid w:val="007512AA"/>
    <w:rsid w:val="007512E1"/>
    <w:rsid w:val="00751335"/>
    <w:rsid w:val="0075137C"/>
    <w:rsid w:val="007513D8"/>
    <w:rsid w:val="007515DA"/>
    <w:rsid w:val="00751629"/>
    <w:rsid w:val="0075169B"/>
    <w:rsid w:val="00751704"/>
    <w:rsid w:val="00751828"/>
    <w:rsid w:val="007518D2"/>
    <w:rsid w:val="007519E8"/>
    <w:rsid w:val="007519F5"/>
    <w:rsid w:val="00751ACF"/>
    <w:rsid w:val="00751AD9"/>
    <w:rsid w:val="00751B2E"/>
    <w:rsid w:val="00751B84"/>
    <w:rsid w:val="00751BC5"/>
    <w:rsid w:val="00751C55"/>
    <w:rsid w:val="00751C7C"/>
    <w:rsid w:val="00751C9E"/>
    <w:rsid w:val="00751CF1"/>
    <w:rsid w:val="00751D3B"/>
    <w:rsid w:val="00751E89"/>
    <w:rsid w:val="00752056"/>
    <w:rsid w:val="007520A5"/>
    <w:rsid w:val="007520C6"/>
    <w:rsid w:val="0075216F"/>
    <w:rsid w:val="0075229F"/>
    <w:rsid w:val="007522A4"/>
    <w:rsid w:val="00752315"/>
    <w:rsid w:val="007523B0"/>
    <w:rsid w:val="007523D7"/>
    <w:rsid w:val="0075244A"/>
    <w:rsid w:val="00752475"/>
    <w:rsid w:val="007524AC"/>
    <w:rsid w:val="00752528"/>
    <w:rsid w:val="00752575"/>
    <w:rsid w:val="0075260F"/>
    <w:rsid w:val="00752613"/>
    <w:rsid w:val="0075261B"/>
    <w:rsid w:val="00752634"/>
    <w:rsid w:val="007526AD"/>
    <w:rsid w:val="00752871"/>
    <w:rsid w:val="0075298D"/>
    <w:rsid w:val="00752BA5"/>
    <w:rsid w:val="00752C3D"/>
    <w:rsid w:val="00752C6B"/>
    <w:rsid w:val="00752E4D"/>
    <w:rsid w:val="00752E56"/>
    <w:rsid w:val="00752EF2"/>
    <w:rsid w:val="00752F19"/>
    <w:rsid w:val="00752F22"/>
    <w:rsid w:val="00752FB6"/>
    <w:rsid w:val="007530E0"/>
    <w:rsid w:val="0075314B"/>
    <w:rsid w:val="00753183"/>
    <w:rsid w:val="007533BD"/>
    <w:rsid w:val="007533EF"/>
    <w:rsid w:val="007534AA"/>
    <w:rsid w:val="007535ED"/>
    <w:rsid w:val="007536AF"/>
    <w:rsid w:val="00753802"/>
    <w:rsid w:val="007538CE"/>
    <w:rsid w:val="0075391D"/>
    <w:rsid w:val="00753AE7"/>
    <w:rsid w:val="00753B68"/>
    <w:rsid w:val="00753BF4"/>
    <w:rsid w:val="00753D8D"/>
    <w:rsid w:val="00753E1E"/>
    <w:rsid w:val="00753F64"/>
    <w:rsid w:val="0075418A"/>
    <w:rsid w:val="00754225"/>
    <w:rsid w:val="00754286"/>
    <w:rsid w:val="00754440"/>
    <w:rsid w:val="007545F8"/>
    <w:rsid w:val="00754634"/>
    <w:rsid w:val="00754698"/>
    <w:rsid w:val="007546EE"/>
    <w:rsid w:val="00754841"/>
    <w:rsid w:val="007548D5"/>
    <w:rsid w:val="007548E3"/>
    <w:rsid w:val="007548FE"/>
    <w:rsid w:val="007549E2"/>
    <w:rsid w:val="00754A2C"/>
    <w:rsid w:val="00754A92"/>
    <w:rsid w:val="00754AB6"/>
    <w:rsid w:val="00754AEB"/>
    <w:rsid w:val="00754AFC"/>
    <w:rsid w:val="00754B20"/>
    <w:rsid w:val="00754B54"/>
    <w:rsid w:val="00754BE3"/>
    <w:rsid w:val="00754C7A"/>
    <w:rsid w:val="00754D5E"/>
    <w:rsid w:val="00754E69"/>
    <w:rsid w:val="00754FDB"/>
    <w:rsid w:val="00755029"/>
    <w:rsid w:val="0075503A"/>
    <w:rsid w:val="007550C4"/>
    <w:rsid w:val="007552E7"/>
    <w:rsid w:val="0075535D"/>
    <w:rsid w:val="007553D5"/>
    <w:rsid w:val="0075568A"/>
    <w:rsid w:val="007556FD"/>
    <w:rsid w:val="007557B8"/>
    <w:rsid w:val="007557C0"/>
    <w:rsid w:val="00755929"/>
    <w:rsid w:val="00755957"/>
    <w:rsid w:val="00755A42"/>
    <w:rsid w:val="00755AAF"/>
    <w:rsid w:val="00755AF9"/>
    <w:rsid w:val="00755B25"/>
    <w:rsid w:val="00755DB9"/>
    <w:rsid w:val="00755DF5"/>
    <w:rsid w:val="00755DFA"/>
    <w:rsid w:val="00755E2C"/>
    <w:rsid w:val="00755F2E"/>
    <w:rsid w:val="00755F38"/>
    <w:rsid w:val="007560FF"/>
    <w:rsid w:val="007561DE"/>
    <w:rsid w:val="0075633C"/>
    <w:rsid w:val="00756351"/>
    <w:rsid w:val="007563D7"/>
    <w:rsid w:val="00756419"/>
    <w:rsid w:val="0075642B"/>
    <w:rsid w:val="00756444"/>
    <w:rsid w:val="00756449"/>
    <w:rsid w:val="007566F5"/>
    <w:rsid w:val="00756781"/>
    <w:rsid w:val="00756819"/>
    <w:rsid w:val="0075688F"/>
    <w:rsid w:val="007568A1"/>
    <w:rsid w:val="0075691E"/>
    <w:rsid w:val="00756A73"/>
    <w:rsid w:val="00756A95"/>
    <w:rsid w:val="00756B95"/>
    <w:rsid w:val="00756D62"/>
    <w:rsid w:val="00756D6F"/>
    <w:rsid w:val="00756D86"/>
    <w:rsid w:val="00756D88"/>
    <w:rsid w:val="00756D98"/>
    <w:rsid w:val="00756F63"/>
    <w:rsid w:val="0075704F"/>
    <w:rsid w:val="007570C4"/>
    <w:rsid w:val="007570D4"/>
    <w:rsid w:val="007571AC"/>
    <w:rsid w:val="00757220"/>
    <w:rsid w:val="007572A1"/>
    <w:rsid w:val="00757317"/>
    <w:rsid w:val="0075736E"/>
    <w:rsid w:val="00757376"/>
    <w:rsid w:val="00757627"/>
    <w:rsid w:val="00757785"/>
    <w:rsid w:val="0075789D"/>
    <w:rsid w:val="007578CA"/>
    <w:rsid w:val="007578DD"/>
    <w:rsid w:val="00757927"/>
    <w:rsid w:val="00757A60"/>
    <w:rsid w:val="00757A94"/>
    <w:rsid w:val="00757ADC"/>
    <w:rsid w:val="00757C1C"/>
    <w:rsid w:val="00757C87"/>
    <w:rsid w:val="00757CE5"/>
    <w:rsid w:val="00757D58"/>
    <w:rsid w:val="00757FDE"/>
    <w:rsid w:val="00760008"/>
    <w:rsid w:val="00760132"/>
    <w:rsid w:val="0076027D"/>
    <w:rsid w:val="007602D5"/>
    <w:rsid w:val="007602D7"/>
    <w:rsid w:val="007602E8"/>
    <w:rsid w:val="007602F3"/>
    <w:rsid w:val="00760328"/>
    <w:rsid w:val="00760370"/>
    <w:rsid w:val="00760501"/>
    <w:rsid w:val="007605E2"/>
    <w:rsid w:val="007606B8"/>
    <w:rsid w:val="00760739"/>
    <w:rsid w:val="00760769"/>
    <w:rsid w:val="00760790"/>
    <w:rsid w:val="007607A7"/>
    <w:rsid w:val="00760914"/>
    <w:rsid w:val="00760978"/>
    <w:rsid w:val="00760A1F"/>
    <w:rsid w:val="00760A87"/>
    <w:rsid w:val="00760AC1"/>
    <w:rsid w:val="00760B70"/>
    <w:rsid w:val="00760C3E"/>
    <w:rsid w:val="00760C8C"/>
    <w:rsid w:val="00760CBB"/>
    <w:rsid w:val="00760CC2"/>
    <w:rsid w:val="00760D15"/>
    <w:rsid w:val="00760D25"/>
    <w:rsid w:val="00760D8F"/>
    <w:rsid w:val="00760DA1"/>
    <w:rsid w:val="00760DE4"/>
    <w:rsid w:val="00760DFC"/>
    <w:rsid w:val="00760FEE"/>
    <w:rsid w:val="007610D5"/>
    <w:rsid w:val="0076115E"/>
    <w:rsid w:val="007611BB"/>
    <w:rsid w:val="0076140F"/>
    <w:rsid w:val="00761438"/>
    <w:rsid w:val="00761476"/>
    <w:rsid w:val="00761489"/>
    <w:rsid w:val="0076152D"/>
    <w:rsid w:val="0076156E"/>
    <w:rsid w:val="00761613"/>
    <w:rsid w:val="00761752"/>
    <w:rsid w:val="007617C5"/>
    <w:rsid w:val="00761929"/>
    <w:rsid w:val="00761984"/>
    <w:rsid w:val="00761A86"/>
    <w:rsid w:val="00761B55"/>
    <w:rsid w:val="00761BE5"/>
    <w:rsid w:val="00761BFA"/>
    <w:rsid w:val="00761C59"/>
    <w:rsid w:val="00761F6E"/>
    <w:rsid w:val="00761F97"/>
    <w:rsid w:val="00761FD4"/>
    <w:rsid w:val="007620A0"/>
    <w:rsid w:val="007620AC"/>
    <w:rsid w:val="00762236"/>
    <w:rsid w:val="0076235E"/>
    <w:rsid w:val="007625B4"/>
    <w:rsid w:val="0076260D"/>
    <w:rsid w:val="00762783"/>
    <w:rsid w:val="0076278B"/>
    <w:rsid w:val="0076291F"/>
    <w:rsid w:val="00762A73"/>
    <w:rsid w:val="00762AD8"/>
    <w:rsid w:val="00762B18"/>
    <w:rsid w:val="00762B4F"/>
    <w:rsid w:val="00762C70"/>
    <w:rsid w:val="00762C9B"/>
    <w:rsid w:val="00762D3B"/>
    <w:rsid w:val="00762D6A"/>
    <w:rsid w:val="00762E6B"/>
    <w:rsid w:val="00762E84"/>
    <w:rsid w:val="00762FB4"/>
    <w:rsid w:val="00762FF0"/>
    <w:rsid w:val="007630C0"/>
    <w:rsid w:val="00763214"/>
    <w:rsid w:val="00763305"/>
    <w:rsid w:val="00763417"/>
    <w:rsid w:val="007634DC"/>
    <w:rsid w:val="00763504"/>
    <w:rsid w:val="0076359E"/>
    <w:rsid w:val="007635C5"/>
    <w:rsid w:val="007635DE"/>
    <w:rsid w:val="00763621"/>
    <w:rsid w:val="007636EA"/>
    <w:rsid w:val="007637D8"/>
    <w:rsid w:val="0076384E"/>
    <w:rsid w:val="00763946"/>
    <w:rsid w:val="00763AC8"/>
    <w:rsid w:val="00763AE3"/>
    <w:rsid w:val="00763B77"/>
    <w:rsid w:val="00763C4C"/>
    <w:rsid w:val="00763E78"/>
    <w:rsid w:val="00763EC5"/>
    <w:rsid w:val="00763EE0"/>
    <w:rsid w:val="00763F4E"/>
    <w:rsid w:val="00764009"/>
    <w:rsid w:val="0076404E"/>
    <w:rsid w:val="00764064"/>
    <w:rsid w:val="0076417A"/>
    <w:rsid w:val="00764224"/>
    <w:rsid w:val="007643E4"/>
    <w:rsid w:val="0076447D"/>
    <w:rsid w:val="0076449D"/>
    <w:rsid w:val="00764507"/>
    <w:rsid w:val="00764528"/>
    <w:rsid w:val="007646FC"/>
    <w:rsid w:val="007647FD"/>
    <w:rsid w:val="00764817"/>
    <w:rsid w:val="007648F7"/>
    <w:rsid w:val="00764A12"/>
    <w:rsid w:val="00764B26"/>
    <w:rsid w:val="00764C04"/>
    <w:rsid w:val="00764C15"/>
    <w:rsid w:val="00764D12"/>
    <w:rsid w:val="0076501E"/>
    <w:rsid w:val="00765068"/>
    <w:rsid w:val="0076517E"/>
    <w:rsid w:val="0076537B"/>
    <w:rsid w:val="0076537D"/>
    <w:rsid w:val="007653B9"/>
    <w:rsid w:val="007653FE"/>
    <w:rsid w:val="00765425"/>
    <w:rsid w:val="00765504"/>
    <w:rsid w:val="007655B3"/>
    <w:rsid w:val="007655D2"/>
    <w:rsid w:val="00765644"/>
    <w:rsid w:val="0076565F"/>
    <w:rsid w:val="00765678"/>
    <w:rsid w:val="007656E6"/>
    <w:rsid w:val="00765A32"/>
    <w:rsid w:val="00765B25"/>
    <w:rsid w:val="00765C62"/>
    <w:rsid w:val="00765C99"/>
    <w:rsid w:val="00765D0F"/>
    <w:rsid w:val="00765D14"/>
    <w:rsid w:val="00765E66"/>
    <w:rsid w:val="00765FE9"/>
    <w:rsid w:val="00766000"/>
    <w:rsid w:val="0076610B"/>
    <w:rsid w:val="0076617B"/>
    <w:rsid w:val="0076618E"/>
    <w:rsid w:val="0076623E"/>
    <w:rsid w:val="00766242"/>
    <w:rsid w:val="007663D9"/>
    <w:rsid w:val="007663FC"/>
    <w:rsid w:val="007664E3"/>
    <w:rsid w:val="007664E4"/>
    <w:rsid w:val="0076656C"/>
    <w:rsid w:val="007666A6"/>
    <w:rsid w:val="0076677E"/>
    <w:rsid w:val="00766782"/>
    <w:rsid w:val="0076679D"/>
    <w:rsid w:val="007667A8"/>
    <w:rsid w:val="00766845"/>
    <w:rsid w:val="00766932"/>
    <w:rsid w:val="0076693B"/>
    <w:rsid w:val="00766966"/>
    <w:rsid w:val="00766B3A"/>
    <w:rsid w:val="00766BD4"/>
    <w:rsid w:val="00766BE6"/>
    <w:rsid w:val="00766C3D"/>
    <w:rsid w:val="00766D82"/>
    <w:rsid w:val="00766DFD"/>
    <w:rsid w:val="00766E1A"/>
    <w:rsid w:val="00766E2D"/>
    <w:rsid w:val="00766EBD"/>
    <w:rsid w:val="00766F17"/>
    <w:rsid w:val="0076701D"/>
    <w:rsid w:val="0076701F"/>
    <w:rsid w:val="0076702C"/>
    <w:rsid w:val="0076706D"/>
    <w:rsid w:val="00767113"/>
    <w:rsid w:val="0076711C"/>
    <w:rsid w:val="00767228"/>
    <w:rsid w:val="0076726C"/>
    <w:rsid w:val="00767520"/>
    <w:rsid w:val="00767573"/>
    <w:rsid w:val="00767914"/>
    <w:rsid w:val="00767936"/>
    <w:rsid w:val="007679DA"/>
    <w:rsid w:val="00767AD3"/>
    <w:rsid w:val="00767AE7"/>
    <w:rsid w:val="00767C31"/>
    <w:rsid w:val="00767D19"/>
    <w:rsid w:val="00767D52"/>
    <w:rsid w:val="00767E00"/>
    <w:rsid w:val="00767E8D"/>
    <w:rsid w:val="00767EBF"/>
    <w:rsid w:val="00767F6C"/>
    <w:rsid w:val="00767F6E"/>
    <w:rsid w:val="00767FFA"/>
    <w:rsid w:val="0077005E"/>
    <w:rsid w:val="00770449"/>
    <w:rsid w:val="007704E8"/>
    <w:rsid w:val="0077057C"/>
    <w:rsid w:val="0077062E"/>
    <w:rsid w:val="00770631"/>
    <w:rsid w:val="007706B4"/>
    <w:rsid w:val="0077071C"/>
    <w:rsid w:val="007707D8"/>
    <w:rsid w:val="00770829"/>
    <w:rsid w:val="00770A67"/>
    <w:rsid w:val="00770C3E"/>
    <w:rsid w:val="00770CFA"/>
    <w:rsid w:val="00770D57"/>
    <w:rsid w:val="00770F01"/>
    <w:rsid w:val="00770F39"/>
    <w:rsid w:val="00770F5A"/>
    <w:rsid w:val="00770F79"/>
    <w:rsid w:val="007710B1"/>
    <w:rsid w:val="00771166"/>
    <w:rsid w:val="0077127F"/>
    <w:rsid w:val="007713AE"/>
    <w:rsid w:val="0077141A"/>
    <w:rsid w:val="007714A4"/>
    <w:rsid w:val="00771985"/>
    <w:rsid w:val="00771C18"/>
    <w:rsid w:val="00771C46"/>
    <w:rsid w:val="00771C9D"/>
    <w:rsid w:val="00771D10"/>
    <w:rsid w:val="00771D6C"/>
    <w:rsid w:val="00771D7E"/>
    <w:rsid w:val="00771DC8"/>
    <w:rsid w:val="00771E3F"/>
    <w:rsid w:val="00771EA1"/>
    <w:rsid w:val="00771EE3"/>
    <w:rsid w:val="00772032"/>
    <w:rsid w:val="0077216C"/>
    <w:rsid w:val="007721A3"/>
    <w:rsid w:val="00772234"/>
    <w:rsid w:val="007722FF"/>
    <w:rsid w:val="007723B2"/>
    <w:rsid w:val="00772432"/>
    <w:rsid w:val="0077255C"/>
    <w:rsid w:val="00772739"/>
    <w:rsid w:val="0077275A"/>
    <w:rsid w:val="00772829"/>
    <w:rsid w:val="00772A5F"/>
    <w:rsid w:val="00772BC9"/>
    <w:rsid w:val="00772C18"/>
    <w:rsid w:val="00772C35"/>
    <w:rsid w:val="00772CD7"/>
    <w:rsid w:val="00772DF2"/>
    <w:rsid w:val="00772E81"/>
    <w:rsid w:val="00772E95"/>
    <w:rsid w:val="00772EC1"/>
    <w:rsid w:val="00772EF7"/>
    <w:rsid w:val="00772F2C"/>
    <w:rsid w:val="00772F6C"/>
    <w:rsid w:val="00773026"/>
    <w:rsid w:val="0077303A"/>
    <w:rsid w:val="0077304A"/>
    <w:rsid w:val="007730E0"/>
    <w:rsid w:val="007731F5"/>
    <w:rsid w:val="007732AC"/>
    <w:rsid w:val="0077338D"/>
    <w:rsid w:val="007733C9"/>
    <w:rsid w:val="00773482"/>
    <w:rsid w:val="007734AC"/>
    <w:rsid w:val="007735DF"/>
    <w:rsid w:val="00773607"/>
    <w:rsid w:val="0077367E"/>
    <w:rsid w:val="007737AF"/>
    <w:rsid w:val="007737B6"/>
    <w:rsid w:val="0077389E"/>
    <w:rsid w:val="007739D2"/>
    <w:rsid w:val="00773A2F"/>
    <w:rsid w:val="00773A33"/>
    <w:rsid w:val="00773A40"/>
    <w:rsid w:val="00773ADE"/>
    <w:rsid w:val="00773C7F"/>
    <w:rsid w:val="00773D77"/>
    <w:rsid w:val="00773DD1"/>
    <w:rsid w:val="00773E17"/>
    <w:rsid w:val="00773F39"/>
    <w:rsid w:val="00773F59"/>
    <w:rsid w:val="00773FEE"/>
    <w:rsid w:val="00774030"/>
    <w:rsid w:val="007740F9"/>
    <w:rsid w:val="007742B7"/>
    <w:rsid w:val="0077434D"/>
    <w:rsid w:val="007743DB"/>
    <w:rsid w:val="00774446"/>
    <w:rsid w:val="007744EA"/>
    <w:rsid w:val="0077451B"/>
    <w:rsid w:val="0077462E"/>
    <w:rsid w:val="0077464A"/>
    <w:rsid w:val="0077471D"/>
    <w:rsid w:val="0077476B"/>
    <w:rsid w:val="007747F7"/>
    <w:rsid w:val="0077481F"/>
    <w:rsid w:val="0077486B"/>
    <w:rsid w:val="007748C0"/>
    <w:rsid w:val="00774913"/>
    <w:rsid w:val="0077493E"/>
    <w:rsid w:val="00774975"/>
    <w:rsid w:val="00774A15"/>
    <w:rsid w:val="00774A4C"/>
    <w:rsid w:val="00774AB9"/>
    <w:rsid w:val="00774ACC"/>
    <w:rsid w:val="00774B6E"/>
    <w:rsid w:val="00774CA6"/>
    <w:rsid w:val="00774D01"/>
    <w:rsid w:val="00774F86"/>
    <w:rsid w:val="00774FA5"/>
    <w:rsid w:val="00774FF6"/>
    <w:rsid w:val="00775027"/>
    <w:rsid w:val="007750EB"/>
    <w:rsid w:val="00775123"/>
    <w:rsid w:val="00775132"/>
    <w:rsid w:val="00775374"/>
    <w:rsid w:val="007753BF"/>
    <w:rsid w:val="0077541D"/>
    <w:rsid w:val="0077552E"/>
    <w:rsid w:val="0077560C"/>
    <w:rsid w:val="00775959"/>
    <w:rsid w:val="00775A87"/>
    <w:rsid w:val="00775AB3"/>
    <w:rsid w:val="00775C5D"/>
    <w:rsid w:val="00775E47"/>
    <w:rsid w:val="00775E9F"/>
    <w:rsid w:val="00775ECB"/>
    <w:rsid w:val="00775F0D"/>
    <w:rsid w:val="00775F52"/>
    <w:rsid w:val="00775FA5"/>
    <w:rsid w:val="00776108"/>
    <w:rsid w:val="00776189"/>
    <w:rsid w:val="00776236"/>
    <w:rsid w:val="00776415"/>
    <w:rsid w:val="00776506"/>
    <w:rsid w:val="00776593"/>
    <w:rsid w:val="007765BE"/>
    <w:rsid w:val="007765E4"/>
    <w:rsid w:val="0077660B"/>
    <w:rsid w:val="00776663"/>
    <w:rsid w:val="00776679"/>
    <w:rsid w:val="00776694"/>
    <w:rsid w:val="007766BB"/>
    <w:rsid w:val="0077699A"/>
    <w:rsid w:val="00776A0B"/>
    <w:rsid w:val="00776A11"/>
    <w:rsid w:val="00776BB8"/>
    <w:rsid w:val="00776C32"/>
    <w:rsid w:val="00776C6B"/>
    <w:rsid w:val="00776D84"/>
    <w:rsid w:val="00776DF8"/>
    <w:rsid w:val="00776E16"/>
    <w:rsid w:val="00776F1E"/>
    <w:rsid w:val="00776F99"/>
    <w:rsid w:val="00776FD3"/>
    <w:rsid w:val="0077716F"/>
    <w:rsid w:val="00777175"/>
    <w:rsid w:val="007771E4"/>
    <w:rsid w:val="007772C2"/>
    <w:rsid w:val="007773BA"/>
    <w:rsid w:val="0077746A"/>
    <w:rsid w:val="007774AE"/>
    <w:rsid w:val="007774AF"/>
    <w:rsid w:val="00777522"/>
    <w:rsid w:val="0077754F"/>
    <w:rsid w:val="0077762C"/>
    <w:rsid w:val="00777631"/>
    <w:rsid w:val="007776A8"/>
    <w:rsid w:val="007776A9"/>
    <w:rsid w:val="00777776"/>
    <w:rsid w:val="007777AD"/>
    <w:rsid w:val="007777F9"/>
    <w:rsid w:val="00777800"/>
    <w:rsid w:val="00777848"/>
    <w:rsid w:val="00777889"/>
    <w:rsid w:val="00777893"/>
    <w:rsid w:val="007778A7"/>
    <w:rsid w:val="00777951"/>
    <w:rsid w:val="00777992"/>
    <w:rsid w:val="00777A13"/>
    <w:rsid w:val="00777A94"/>
    <w:rsid w:val="00777BEE"/>
    <w:rsid w:val="00777CA4"/>
    <w:rsid w:val="00777CA6"/>
    <w:rsid w:val="00777CC0"/>
    <w:rsid w:val="00777E15"/>
    <w:rsid w:val="00777E90"/>
    <w:rsid w:val="00777EC3"/>
    <w:rsid w:val="00777FEF"/>
    <w:rsid w:val="00777FFD"/>
    <w:rsid w:val="00780070"/>
    <w:rsid w:val="0078023B"/>
    <w:rsid w:val="00780265"/>
    <w:rsid w:val="00780270"/>
    <w:rsid w:val="007802B0"/>
    <w:rsid w:val="0078036B"/>
    <w:rsid w:val="00780392"/>
    <w:rsid w:val="00780463"/>
    <w:rsid w:val="007804B7"/>
    <w:rsid w:val="0078055C"/>
    <w:rsid w:val="0078056B"/>
    <w:rsid w:val="007805CF"/>
    <w:rsid w:val="007805F5"/>
    <w:rsid w:val="00780673"/>
    <w:rsid w:val="007806CE"/>
    <w:rsid w:val="0078075F"/>
    <w:rsid w:val="0078076C"/>
    <w:rsid w:val="00780773"/>
    <w:rsid w:val="0078078D"/>
    <w:rsid w:val="0078082B"/>
    <w:rsid w:val="00780918"/>
    <w:rsid w:val="00780928"/>
    <w:rsid w:val="0078099B"/>
    <w:rsid w:val="0078099F"/>
    <w:rsid w:val="00780A09"/>
    <w:rsid w:val="00780A92"/>
    <w:rsid w:val="00780BEC"/>
    <w:rsid w:val="00780D4D"/>
    <w:rsid w:val="00780D86"/>
    <w:rsid w:val="00780E58"/>
    <w:rsid w:val="00780F09"/>
    <w:rsid w:val="00780FC6"/>
    <w:rsid w:val="00781020"/>
    <w:rsid w:val="00781040"/>
    <w:rsid w:val="00781070"/>
    <w:rsid w:val="00781240"/>
    <w:rsid w:val="0078143D"/>
    <w:rsid w:val="00781506"/>
    <w:rsid w:val="007815F9"/>
    <w:rsid w:val="00781727"/>
    <w:rsid w:val="00781796"/>
    <w:rsid w:val="007817D3"/>
    <w:rsid w:val="0078183C"/>
    <w:rsid w:val="00781850"/>
    <w:rsid w:val="007818B3"/>
    <w:rsid w:val="00781948"/>
    <w:rsid w:val="00781AC3"/>
    <w:rsid w:val="00781B11"/>
    <w:rsid w:val="00781B37"/>
    <w:rsid w:val="00781C71"/>
    <w:rsid w:val="00781CDB"/>
    <w:rsid w:val="00781D63"/>
    <w:rsid w:val="00781DDD"/>
    <w:rsid w:val="00781EFA"/>
    <w:rsid w:val="00782062"/>
    <w:rsid w:val="00782278"/>
    <w:rsid w:val="00782342"/>
    <w:rsid w:val="00782345"/>
    <w:rsid w:val="00782363"/>
    <w:rsid w:val="007823B1"/>
    <w:rsid w:val="0078246A"/>
    <w:rsid w:val="00782491"/>
    <w:rsid w:val="007826B6"/>
    <w:rsid w:val="0078273D"/>
    <w:rsid w:val="00782794"/>
    <w:rsid w:val="007827BE"/>
    <w:rsid w:val="007827EA"/>
    <w:rsid w:val="0078295E"/>
    <w:rsid w:val="007829AF"/>
    <w:rsid w:val="00782A3F"/>
    <w:rsid w:val="00782A50"/>
    <w:rsid w:val="00782AB8"/>
    <w:rsid w:val="00782B5E"/>
    <w:rsid w:val="00782B77"/>
    <w:rsid w:val="00782BD2"/>
    <w:rsid w:val="00782C14"/>
    <w:rsid w:val="00782DFE"/>
    <w:rsid w:val="00782E0D"/>
    <w:rsid w:val="00782EB5"/>
    <w:rsid w:val="00782F8A"/>
    <w:rsid w:val="007830E4"/>
    <w:rsid w:val="007831CB"/>
    <w:rsid w:val="007831DC"/>
    <w:rsid w:val="00783241"/>
    <w:rsid w:val="00783476"/>
    <w:rsid w:val="0078349B"/>
    <w:rsid w:val="0078349F"/>
    <w:rsid w:val="007834B5"/>
    <w:rsid w:val="007834DD"/>
    <w:rsid w:val="007834E0"/>
    <w:rsid w:val="00783625"/>
    <w:rsid w:val="007836B0"/>
    <w:rsid w:val="007837B8"/>
    <w:rsid w:val="007837E0"/>
    <w:rsid w:val="007837FE"/>
    <w:rsid w:val="007838B9"/>
    <w:rsid w:val="00783995"/>
    <w:rsid w:val="00783B05"/>
    <w:rsid w:val="00783BD9"/>
    <w:rsid w:val="00783BF3"/>
    <w:rsid w:val="00783D8D"/>
    <w:rsid w:val="00783E3A"/>
    <w:rsid w:val="00783E67"/>
    <w:rsid w:val="00783EA2"/>
    <w:rsid w:val="00783EB1"/>
    <w:rsid w:val="00783F8F"/>
    <w:rsid w:val="00783FDE"/>
    <w:rsid w:val="00784139"/>
    <w:rsid w:val="0078414D"/>
    <w:rsid w:val="007841A9"/>
    <w:rsid w:val="007842D6"/>
    <w:rsid w:val="0078436D"/>
    <w:rsid w:val="007843DE"/>
    <w:rsid w:val="00784518"/>
    <w:rsid w:val="007845DB"/>
    <w:rsid w:val="007845E7"/>
    <w:rsid w:val="007846E2"/>
    <w:rsid w:val="0078475B"/>
    <w:rsid w:val="00784769"/>
    <w:rsid w:val="0078477A"/>
    <w:rsid w:val="007847C6"/>
    <w:rsid w:val="007848A8"/>
    <w:rsid w:val="00784AB1"/>
    <w:rsid w:val="00784AD1"/>
    <w:rsid w:val="00784CC7"/>
    <w:rsid w:val="00784D1C"/>
    <w:rsid w:val="00784D3A"/>
    <w:rsid w:val="00784DF3"/>
    <w:rsid w:val="007850E9"/>
    <w:rsid w:val="00785210"/>
    <w:rsid w:val="0078528F"/>
    <w:rsid w:val="007852E9"/>
    <w:rsid w:val="007853B3"/>
    <w:rsid w:val="0078551B"/>
    <w:rsid w:val="00785548"/>
    <w:rsid w:val="007855B3"/>
    <w:rsid w:val="00785A13"/>
    <w:rsid w:val="00785A20"/>
    <w:rsid w:val="00785A90"/>
    <w:rsid w:val="00785B30"/>
    <w:rsid w:val="00785B64"/>
    <w:rsid w:val="00785B68"/>
    <w:rsid w:val="00785B8E"/>
    <w:rsid w:val="00785CBF"/>
    <w:rsid w:val="00785CEC"/>
    <w:rsid w:val="00785D04"/>
    <w:rsid w:val="00785D07"/>
    <w:rsid w:val="00785F6C"/>
    <w:rsid w:val="0078620E"/>
    <w:rsid w:val="0078625A"/>
    <w:rsid w:val="0078631D"/>
    <w:rsid w:val="00786340"/>
    <w:rsid w:val="007863A8"/>
    <w:rsid w:val="00786439"/>
    <w:rsid w:val="00786445"/>
    <w:rsid w:val="007865D8"/>
    <w:rsid w:val="0078675E"/>
    <w:rsid w:val="0078675F"/>
    <w:rsid w:val="0078676F"/>
    <w:rsid w:val="007867C4"/>
    <w:rsid w:val="0078689D"/>
    <w:rsid w:val="007868B7"/>
    <w:rsid w:val="00786A24"/>
    <w:rsid w:val="00786ABA"/>
    <w:rsid w:val="00786ACB"/>
    <w:rsid w:val="00786BA3"/>
    <w:rsid w:val="00786BCB"/>
    <w:rsid w:val="00786BD0"/>
    <w:rsid w:val="00786C20"/>
    <w:rsid w:val="00786C48"/>
    <w:rsid w:val="00786C70"/>
    <w:rsid w:val="00786C97"/>
    <w:rsid w:val="00786CBF"/>
    <w:rsid w:val="00786DEB"/>
    <w:rsid w:val="00786E00"/>
    <w:rsid w:val="00786E24"/>
    <w:rsid w:val="00786EB7"/>
    <w:rsid w:val="00786EC8"/>
    <w:rsid w:val="00786F73"/>
    <w:rsid w:val="00787057"/>
    <w:rsid w:val="00787083"/>
    <w:rsid w:val="007871CF"/>
    <w:rsid w:val="007871DA"/>
    <w:rsid w:val="007873CF"/>
    <w:rsid w:val="00787459"/>
    <w:rsid w:val="00787483"/>
    <w:rsid w:val="007874B5"/>
    <w:rsid w:val="007874EC"/>
    <w:rsid w:val="007875F6"/>
    <w:rsid w:val="007877B8"/>
    <w:rsid w:val="0078790C"/>
    <w:rsid w:val="007879F5"/>
    <w:rsid w:val="00787A20"/>
    <w:rsid w:val="00787A7F"/>
    <w:rsid w:val="00787AE1"/>
    <w:rsid w:val="00787B3B"/>
    <w:rsid w:val="00787C0E"/>
    <w:rsid w:val="00787CDF"/>
    <w:rsid w:val="00787DDD"/>
    <w:rsid w:val="00787E1C"/>
    <w:rsid w:val="00787F39"/>
    <w:rsid w:val="00790006"/>
    <w:rsid w:val="0079000C"/>
    <w:rsid w:val="0079010E"/>
    <w:rsid w:val="00790143"/>
    <w:rsid w:val="00790156"/>
    <w:rsid w:val="00790177"/>
    <w:rsid w:val="00790210"/>
    <w:rsid w:val="007902B5"/>
    <w:rsid w:val="0079033D"/>
    <w:rsid w:val="0079037C"/>
    <w:rsid w:val="007903B6"/>
    <w:rsid w:val="007904FB"/>
    <w:rsid w:val="0079051A"/>
    <w:rsid w:val="00790560"/>
    <w:rsid w:val="0079065A"/>
    <w:rsid w:val="007906C7"/>
    <w:rsid w:val="00790728"/>
    <w:rsid w:val="0079072C"/>
    <w:rsid w:val="007907DC"/>
    <w:rsid w:val="007909BC"/>
    <w:rsid w:val="00790A42"/>
    <w:rsid w:val="00790A77"/>
    <w:rsid w:val="00790A80"/>
    <w:rsid w:val="00790B15"/>
    <w:rsid w:val="00790B22"/>
    <w:rsid w:val="00790BAA"/>
    <w:rsid w:val="00790DFA"/>
    <w:rsid w:val="00790EA2"/>
    <w:rsid w:val="00790F49"/>
    <w:rsid w:val="00790F77"/>
    <w:rsid w:val="00790FA5"/>
    <w:rsid w:val="00790FC4"/>
    <w:rsid w:val="00790FD0"/>
    <w:rsid w:val="00791078"/>
    <w:rsid w:val="0079113A"/>
    <w:rsid w:val="0079118B"/>
    <w:rsid w:val="0079123B"/>
    <w:rsid w:val="00791275"/>
    <w:rsid w:val="0079129A"/>
    <w:rsid w:val="007913ED"/>
    <w:rsid w:val="00791465"/>
    <w:rsid w:val="007914C8"/>
    <w:rsid w:val="007914E8"/>
    <w:rsid w:val="0079153E"/>
    <w:rsid w:val="0079154A"/>
    <w:rsid w:val="007916BC"/>
    <w:rsid w:val="0079179C"/>
    <w:rsid w:val="007918D4"/>
    <w:rsid w:val="00791B48"/>
    <w:rsid w:val="00791B61"/>
    <w:rsid w:val="00791B97"/>
    <w:rsid w:val="00791BA8"/>
    <w:rsid w:val="00791BE9"/>
    <w:rsid w:val="00791D36"/>
    <w:rsid w:val="00791E18"/>
    <w:rsid w:val="00791E5E"/>
    <w:rsid w:val="00791F88"/>
    <w:rsid w:val="00791FFE"/>
    <w:rsid w:val="00792089"/>
    <w:rsid w:val="0079215F"/>
    <w:rsid w:val="0079220C"/>
    <w:rsid w:val="0079223E"/>
    <w:rsid w:val="00792249"/>
    <w:rsid w:val="00792372"/>
    <w:rsid w:val="007923A7"/>
    <w:rsid w:val="007923FF"/>
    <w:rsid w:val="007924EA"/>
    <w:rsid w:val="007925DC"/>
    <w:rsid w:val="0079264B"/>
    <w:rsid w:val="00792678"/>
    <w:rsid w:val="007927B4"/>
    <w:rsid w:val="007929E8"/>
    <w:rsid w:val="00792B67"/>
    <w:rsid w:val="00792C2D"/>
    <w:rsid w:val="00792CB7"/>
    <w:rsid w:val="00792CDC"/>
    <w:rsid w:val="00792CE3"/>
    <w:rsid w:val="00792DF4"/>
    <w:rsid w:val="00792E66"/>
    <w:rsid w:val="00792EE4"/>
    <w:rsid w:val="00792FEE"/>
    <w:rsid w:val="0079317C"/>
    <w:rsid w:val="007931CB"/>
    <w:rsid w:val="0079349B"/>
    <w:rsid w:val="00793554"/>
    <w:rsid w:val="00793646"/>
    <w:rsid w:val="00793695"/>
    <w:rsid w:val="00793823"/>
    <w:rsid w:val="0079386A"/>
    <w:rsid w:val="007939BC"/>
    <w:rsid w:val="00793A00"/>
    <w:rsid w:val="00793B46"/>
    <w:rsid w:val="00793B9F"/>
    <w:rsid w:val="00793BBE"/>
    <w:rsid w:val="00793BF6"/>
    <w:rsid w:val="00793C46"/>
    <w:rsid w:val="00793C56"/>
    <w:rsid w:val="00793C7E"/>
    <w:rsid w:val="00793C95"/>
    <w:rsid w:val="00793CDB"/>
    <w:rsid w:val="00793DF9"/>
    <w:rsid w:val="00793E6E"/>
    <w:rsid w:val="00793F00"/>
    <w:rsid w:val="007940BA"/>
    <w:rsid w:val="00794127"/>
    <w:rsid w:val="0079421E"/>
    <w:rsid w:val="007942B8"/>
    <w:rsid w:val="00794347"/>
    <w:rsid w:val="0079435E"/>
    <w:rsid w:val="00794369"/>
    <w:rsid w:val="007943A0"/>
    <w:rsid w:val="00794440"/>
    <w:rsid w:val="0079449A"/>
    <w:rsid w:val="007944A9"/>
    <w:rsid w:val="007944E2"/>
    <w:rsid w:val="0079450D"/>
    <w:rsid w:val="0079457D"/>
    <w:rsid w:val="007945E5"/>
    <w:rsid w:val="0079464C"/>
    <w:rsid w:val="0079473D"/>
    <w:rsid w:val="007947E0"/>
    <w:rsid w:val="00794BCA"/>
    <w:rsid w:val="00794C44"/>
    <w:rsid w:val="00794DA6"/>
    <w:rsid w:val="00794FF8"/>
    <w:rsid w:val="00795035"/>
    <w:rsid w:val="007950C2"/>
    <w:rsid w:val="007951D4"/>
    <w:rsid w:val="007951DE"/>
    <w:rsid w:val="00795339"/>
    <w:rsid w:val="00795355"/>
    <w:rsid w:val="0079537B"/>
    <w:rsid w:val="007954B6"/>
    <w:rsid w:val="0079559A"/>
    <w:rsid w:val="007955D2"/>
    <w:rsid w:val="007955D9"/>
    <w:rsid w:val="007956A4"/>
    <w:rsid w:val="007957A0"/>
    <w:rsid w:val="00795803"/>
    <w:rsid w:val="0079590A"/>
    <w:rsid w:val="0079590C"/>
    <w:rsid w:val="00795917"/>
    <w:rsid w:val="007959E4"/>
    <w:rsid w:val="00795A0B"/>
    <w:rsid w:val="00795B0D"/>
    <w:rsid w:val="00795B26"/>
    <w:rsid w:val="00795D13"/>
    <w:rsid w:val="00795DB4"/>
    <w:rsid w:val="00795DF4"/>
    <w:rsid w:val="00795F5D"/>
    <w:rsid w:val="007960EC"/>
    <w:rsid w:val="00796230"/>
    <w:rsid w:val="0079628E"/>
    <w:rsid w:val="0079633A"/>
    <w:rsid w:val="007964A0"/>
    <w:rsid w:val="007964E2"/>
    <w:rsid w:val="00796540"/>
    <w:rsid w:val="00796669"/>
    <w:rsid w:val="007966C5"/>
    <w:rsid w:val="007966F2"/>
    <w:rsid w:val="007966F7"/>
    <w:rsid w:val="00796733"/>
    <w:rsid w:val="0079674F"/>
    <w:rsid w:val="0079682F"/>
    <w:rsid w:val="007968F0"/>
    <w:rsid w:val="00796965"/>
    <w:rsid w:val="007969C8"/>
    <w:rsid w:val="00796A8A"/>
    <w:rsid w:val="00796A8E"/>
    <w:rsid w:val="00796AD7"/>
    <w:rsid w:val="00796AF2"/>
    <w:rsid w:val="00796B2A"/>
    <w:rsid w:val="00796BB1"/>
    <w:rsid w:val="00796C5C"/>
    <w:rsid w:val="00796E49"/>
    <w:rsid w:val="00796F7D"/>
    <w:rsid w:val="00797046"/>
    <w:rsid w:val="007970AA"/>
    <w:rsid w:val="0079710E"/>
    <w:rsid w:val="007971E3"/>
    <w:rsid w:val="00797245"/>
    <w:rsid w:val="007972FD"/>
    <w:rsid w:val="0079731D"/>
    <w:rsid w:val="0079742C"/>
    <w:rsid w:val="00797451"/>
    <w:rsid w:val="0079747C"/>
    <w:rsid w:val="007975B5"/>
    <w:rsid w:val="007975F8"/>
    <w:rsid w:val="0079786E"/>
    <w:rsid w:val="007978D8"/>
    <w:rsid w:val="007978F9"/>
    <w:rsid w:val="007979C9"/>
    <w:rsid w:val="007979D7"/>
    <w:rsid w:val="00797A5A"/>
    <w:rsid w:val="00797AEB"/>
    <w:rsid w:val="00797B22"/>
    <w:rsid w:val="00797B7A"/>
    <w:rsid w:val="00797C18"/>
    <w:rsid w:val="00797C46"/>
    <w:rsid w:val="00797DC9"/>
    <w:rsid w:val="007A0022"/>
    <w:rsid w:val="007A01F7"/>
    <w:rsid w:val="007A0212"/>
    <w:rsid w:val="007A02DF"/>
    <w:rsid w:val="007A0377"/>
    <w:rsid w:val="007A03F2"/>
    <w:rsid w:val="007A0423"/>
    <w:rsid w:val="007A04BF"/>
    <w:rsid w:val="007A054F"/>
    <w:rsid w:val="007A064C"/>
    <w:rsid w:val="007A0724"/>
    <w:rsid w:val="007A07A9"/>
    <w:rsid w:val="007A0A3E"/>
    <w:rsid w:val="007A0AE2"/>
    <w:rsid w:val="007A0B5B"/>
    <w:rsid w:val="007A0B7C"/>
    <w:rsid w:val="007A0BDA"/>
    <w:rsid w:val="007A0C6C"/>
    <w:rsid w:val="007A0D26"/>
    <w:rsid w:val="007A0D54"/>
    <w:rsid w:val="007A1037"/>
    <w:rsid w:val="007A107F"/>
    <w:rsid w:val="007A1212"/>
    <w:rsid w:val="007A1230"/>
    <w:rsid w:val="007A12C6"/>
    <w:rsid w:val="007A136F"/>
    <w:rsid w:val="007A138B"/>
    <w:rsid w:val="007A13C0"/>
    <w:rsid w:val="007A13E8"/>
    <w:rsid w:val="007A13F9"/>
    <w:rsid w:val="007A1458"/>
    <w:rsid w:val="007A14EE"/>
    <w:rsid w:val="007A1528"/>
    <w:rsid w:val="007A154F"/>
    <w:rsid w:val="007A1598"/>
    <w:rsid w:val="007A15CB"/>
    <w:rsid w:val="007A1640"/>
    <w:rsid w:val="007A169C"/>
    <w:rsid w:val="007A1713"/>
    <w:rsid w:val="007A1780"/>
    <w:rsid w:val="007A19B1"/>
    <w:rsid w:val="007A19F6"/>
    <w:rsid w:val="007A1A2E"/>
    <w:rsid w:val="007A1AB9"/>
    <w:rsid w:val="007A1C25"/>
    <w:rsid w:val="007A1CA7"/>
    <w:rsid w:val="007A1D43"/>
    <w:rsid w:val="007A1D9E"/>
    <w:rsid w:val="007A1ECE"/>
    <w:rsid w:val="007A1F76"/>
    <w:rsid w:val="007A214F"/>
    <w:rsid w:val="007A2293"/>
    <w:rsid w:val="007A22B3"/>
    <w:rsid w:val="007A250B"/>
    <w:rsid w:val="007A2541"/>
    <w:rsid w:val="007A25E4"/>
    <w:rsid w:val="007A28CF"/>
    <w:rsid w:val="007A28D0"/>
    <w:rsid w:val="007A2967"/>
    <w:rsid w:val="007A29AF"/>
    <w:rsid w:val="007A29C3"/>
    <w:rsid w:val="007A2B4C"/>
    <w:rsid w:val="007A2B65"/>
    <w:rsid w:val="007A2C02"/>
    <w:rsid w:val="007A2DB4"/>
    <w:rsid w:val="007A3078"/>
    <w:rsid w:val="007A314D"/>
    <w:rsid w:val="007A317A"/>
    <w:rsid w:val="007A31B5"/>
    <w:rsid w:val="007A31D4"/>
    <w:rsid w:val="007A3439"/>
    <w:rsid w:val="007A3546"/>
    <w:rsid w:val="007A35AA"/>
    <w:rsid w:val="007A3618"/>
    <w:rsid w:val="007A3753"/>
    <w:rsid w:val="007A37D0"/>
    <w:rsid w:val="007A37F3"/>
    <w:rsid w:val="007A390A"/>
    <w:rsid w:val="007A398E"/>
    <w:rsid w:val="007A3AD0"/>
    <w:rsid w:val="007A3B48"/>
    <w:rsid w:val="007A3BCB"/>
    <w:rsid w:val="007A3CF7"/>
    <w:rsid w:val="007A3DB9"/>
    <w:rsid w:val="007A3E63"/>
    <w:rsid w:val="007A3E8A"/>
    <w:rsid w:val="007A3EB4"/>
    <w:rsid w:val="007A3EB5"/>
    <w:rsid w:val="007A40C5"/>
    <w:rsid w:val="007A445A"/>
    <w:rsid w:val="007A453F"/>
    <w:rsid w:val="007A4576"/>
    <w:rsid w:val="007A4579"/>
    <w:rsid w:val="007A473A"/>
    <w:rsid w:val="007A4867"/>
    <w:rsid w:val="007A4895"/>
    <w:rsid w:val="007A4940"/>
    <w:rsid w:val="007A4944"/>
    <w:rsid w:val="007A4A5F"/>
    <w:rsid w:val="007A4A88"/>
    <w:rsid w:val="007A4B00"/>
    <w:rsid w:val="007A4B07"/>
    <w:rsid w:val="007A4B22"/>
    <w:rsid w:val="007A4B2F"/>
    <w:rsid w:val="007A4D31"/>
    <w:rsid w:val="007A4DBD"/>
    <w:rsid w:val="007A4E62"/>
    <w:rsid w:val="007A4E94"/>
    <w:rsid w:val="007A4F65"/>
    <w:rsid w:val="007A507D"/>
    <w:rsid w:val="007A50B4"/>
    <w:rsid w:val="007A50BC"/>
    <w:rsid w:val="007A50C4"/>
    <w:rsid w:val="007A5126"/>
    <w:rsid w:val="007A51A0"/>
    <w:rsid w:val="007A52BB"/>
    <w:rsid w:val="007A52D5"/>
    <w:rsid w:val="007A530D"/>
    <w:rsid w:val="007A53DC"/>
    <w:rsid w:val="007A54B4"/>
    <w:rsid w:val="007A54D8"/>
    <w:rsid w:val="007A557C"/>
    <w:rsid w:val="007A5617"/>
    <w:rsid w:val="007A56CA"/>
    <w:rsid w:val="007A573A"/>
    <w:rsid w:val="007A57CE"/>
    <w:rsid w:val="007A58C5"/>
    <w:rsid w:val="007A597A"/>
    <w:rsid w:val="007A59D8"/>
    <w:rsid w:val="007A59E4"/>
    <w:rsid w:val="007A5A12"/>
    <w:rsid w:val="007A5A26"/>
    <w:rsid w:val="007A5A54"/>
    <w:rsid w:val="007A5A9C"/>
    <w:rsid w:val="007A5B35"/>
    <w:rsid w:val="007A5B91"/>
    <w:rsid w:val="007A5BEE"/>
    <w:rsid w:val="007A5BFA"/>
    <w:rsid w:val="007A5DA8"/>
    <w:rsid w:val="007A5DDE"/>
    <w:rsid w:val="007A5E18"/>
    <w:rsid w:val="007A5F4D"/>
    <w:rsid w:val="007A5F61"/>
    <w:rsid w:val="007A602E"/>
    <w:rsid w:val="007A620C"/>
    <w:rsid w:val="007A6218"/>
    <w:rsid w:val="007A63A2"/>
    <w:rsid w:val="007A6414"/>
    <w:rsid w:val="007A65B7"/>
    <w:rsid w:val="007A65CA"/>
    <w:rsid w:val="007A66E7"/>
    <w:rsid w:val="007A6790"/>
    <w:rsid w:val="007A68D2"/>
    <w:rsid w:val="007A6909"/>
    <w:rsid w:val="007A695E"/>
    <w:rsid w:val="007A698B"/>
    <w:rsid w:val="007A6A62"/>
    <w:rsid w:val="007A6AD7"/>
    <w:rsid w:val="007A6AEF"/>
    <w:rsid w:val="007A6AFA"/>
    <w:rsid w:val="007A6B26"/>
    <w:rsid w:val="007A6B43"/>
    <w:rsid w:val="007A6B6C"/>
    <w:rsid w:val="007A6BEC"/>
    <w:rsid w:val="007A6CB0"/>
    <w:rsid w:val="007A6D5B"/>
    <w:rsid w:val="007A6E64"/>
    <w:rsid w:val="007A6FD3"/>
    <w:rsid w:val="007A6FDA"/>
    <w:rsid w:val="007A7013"/>
    <w:rsid w:val="007A7078"/>
    <w:rsid w:val="007A70FB"/>
    <w:rsid w:val="007A7123"/>
    <w:rsid w:val="007A713B"/>
    <w:rsid w:val="007A71F1"/>
    <w:rsid w:val="007A728F"/>
    <w:rsid w:val="007A7314"/>
    <w:rsid w:val="007A76BE"/>
    <w:rsid w:val="007A779E"/>
    <w:rsid w:val="007A77A6"/>
    <w:rsid w:val="007A77D5"/>
    <w:rsid w:val="007A794A"/>
    <w:rsid w:val="007A79AC"/>
    <w:rsid w:val="007A7A70"/>
    <w:rsid w:val="007A7AE7"/>
    <w:rsid w:val="007A7EBB"/>
    <w:rsid w:val="007A7ED6"/>
    <w:rsid w:val="007A7EF1"/>
    <w:rsid w:val="007B0066"/>
    <w:rsid w:val="007B008D"/>
    <w:rsid w:val="007B0245"/>
    <w:rsid w:val="007B03E4"/>
    <w:rsid w:val="007B0451"/>
    <w:rsid w:val="007B04FB"/>
    <w:rsid w:val="007B0572"/>
    <w:rsid w:val="007B0671"/>
    <w:rsid w:val="007B083F"/>
    <w:rsid w:val="007B0865"/>
    <w:rsid w:val="007B0880"/>
    <w:rsid w:val="007B090C"/>
    <w:rsid w:val="007B0A0B"/>
    <w:rsid w:val="007B0B9C"/>
    <w:rsid w:val="007B0C00"/>
    <w:rsid w:val="007B0C51"/>
    <w:rsid w:val="007B0CB0"/>
    <w:rsid w:val="007B0CB8"/>
    <w:rsid w:val="007B0D01"/>
    <w:rsid w:val="007B0D3D"/>
    <w:rsid w:val="007B0E0D"/>
    <w:rsid w:val="007B0EEC"/>
    <w:rsid w:val="007B119E"/>
    <w:rsid w:val="007B11A5"/>
    <w:rsid w:val="007B120D"/>
    <w:rsid w:val="007B1238"/>
    <w:rsid w:val="007B12D3"/>
    <w:rsid w:val="007B12FB"/>
    <w:rsid w:val="007B139E"/>
    <w:rsid w:val="007B1433"/>
    <w:rsid w:val="007B143B"/>
    <w:rsid w:val="007B15AF"/>
    <w:rsid w:val="007B1618"/>
    <w:rsid w:val="007B167F"/>
    <w:rsid w:val="007B1690"/>
    <w:rsid w:val="007B1693"/>
    <w:rsid w:val="007B16D7"/>
    <w:rsid w:val="007B1700"/>
    <w:rsid w:val="007B17B0"/>
    <w:rsid w:val="007B18C4"/>
    <w:rsid w:val="007B1980"/>
    <w:rsid w:val="007B1A04"/>
    <w:rsid w:val="007B1A33"/>
    <w:rsid w:val="007B1A7F"/>
    <w:rsid w:val="007B1C10"/>
    <w:rsid w:val="007B1C4D"/>
    <w:rsid w:val="007B1C72"/>
    <w:rsid w:val="007B1E3D"/>
    <w:rsid w:val="007B1E40"/>
    <w:rsid w:val="007B1EE7"/>
    <w:rsid w:val="007B2061"/>
    <w:rsid w:val="007B2072"/>
    <w:rsid w:val="007B2085"/>
    <w:rsid w:val="007B2144"/>
    <w:rsid w:val="007B21B8"/>
    <w:rsid w:val="007B21F4"/>
    <w:rsid w:val="007B225D"/>
    <w:rsid w:val="007B2325"/>
    <w:rsid w:val="007B2347"/>
    <w:rsid w:val="007B235E"/>
    <w:rsid w:val="007B2381"/>
    <w:rsid w:val="007B23E1"/>
    <w:rsid w:val="007B23E6"/>
    <w:rsid w:val="007B248F"/>
    <w:rsid w:val="007B24DC"/>
    <w:rsid w:val="007B2511"/>
    <w:rsid w:val="007B253B"/>
    <w:rsid w:val="007B257A"/>
    <w:rsid w:val="007B2591"/>
    <w:rsid w:val="007B25C5"/>
    <w:rsid w:val="007B261A"/>
    <w:rsid w:val="007B2712"/>
    <w:rsid w:val="007B275E"/>
    <w:rsid w:val="007B2775"/>
    <w:rsid w:val="007B2A81"/>
    <w:rsid w:val="007B2C33"/>
    <w:rsid w:val="007B2C84"/>
    <w:rsid w:val="007B2CD7"/>
    <w:rsid w:val="007B2D2E"/>
    <w:rsid w:val="007B2D80"/>
    <w:rsid w:val="007B2FDC"/>
    <w:rsid w:val="007B312C"/>
    <w:rsid w:val="007B321E"/>
    <w:rsid w:val="007B32BD"/>
    <w:rsid w:val="007B3601"/>
    <w:rsid w:val="007B368A"/>
    <w:rsid w:val="007B36D9"/>
    <w:rsid w:val="007B38A0"/>
    <w:rsid w:val="007B38B7"/>
    <w:rsid w:val="007B3EF1"/>
    <w:rsid w:val="007B4008"/>
    <w:rsid w:val="007B404B"/>
    <w:rsid w:val="007B4139"/>
    <w:rsid w:val="007B42D2"/>
    <w:rsid w:val="007B4303"/>
    <w:rsid w:val="007B4345"/>
    <w:rsid w:val="007B4392"/>
    <w:rsid w:val="007B442C"/>
    <w:rsid w:val="007B44AC"/>
    <w:rsid w:val="007B4503"/>
    <w:rsid w:val="007B455C"/>
    <w:rsid w:val="007B45BE"/>
    <w:rsid w:val="007B4701"/>
    <w:rsid w:val="007B474C"/>
    <w:rsid w:val="007B47ED"/>
    <w:rsid w:val="007B48E2"/>
    <w:rsid w:val="007B48F0"/>
    <w:rsid w:val="007B4AC2"/>
    <w:rsid w:val="007B4AE9"/>
    <w:rsid w:val="007B4C3C"/>
    <w:rsid w:val="007B4C41"/>
    <w:rsid w:val="007B4C57"/>
    <w:rsid w:val="007B4CB6"/>
    <w:rsid w:val="007B4E4D"/>
    <w:rsid w:val="007B4E5C"/>
    <w:rsid w:val="007B4E79"/>
    <w:rsid w:val="007B4F1F"/>
    <w:rsid w:val="007B4F7B"/>
    <w:rsid w:val="007B508E"/>
    <w:rsid w:val="007B5147"/>
    <w:rsid w:val="007B527B"/>
    <w:rsid w:val="007B52DC"/>
    <w:rsid w:val="007B533A"/>
    <w:rsid w:val="007B53FD"/>
    <w:rsid w:val="007B5497"/>
    <w:rsid w:val="007B5520"/>
    <w:rsid w:val="007B55CD"/>
    <w:rsid w:val="007B5617"/>
    <w:rsid w:val="007B56DD"/>
    <w:rsid w:val="007B583D"/>
    <w:rsid w:val="007B5917"/>
    <w:rsid w:val="007B59AF"/>
    <w:rsid w:val="007B5A62"/>
    <w:rsid w:val="007B5A92"/>
    <w:rsid w:val="007B5C73"/>
    <w:rsid w:val="007B5D18"/>
    <w:rsid w:val="007B5EF2"/>
    <w:rsid w:val="007B6019"/>
    <w:rsid w:val="007B6150"/>
    <w:rsid w:val="007B6231"/>
    <w:rsid w:val="007B62FA"/>
    <w:rsid w:val="007B6397"/>
    <w:rsid w:val="007B63C3"/>
    <w:rsid w:val="007B640F"/>
    <w:rsid w:val="007B64A8"/>
    <w:rsid w:val="007B6684"/>
    <w:rsid w:val="007B6826"/>
    <w:rsid w:val="007B685F"/>
    <w:rsid w:val="007B6891"/>
    <w:rsid w:val="007B6938"/>
    <w:rsid w:val="007B693A"/>
    <w:rsid w:val="007B6941"/>
    <w:rsid w:val="007B6A49"/>
    <w:rsid w:val="007B6A7A"/>
    <w:rsid w:val="007B6ABE"/>
    <w:rsid w:val="007B6B05"/>
    <w:rsid w:val="007B6B21"/>
    <w:rsid w:val="007B6B22"/>
    <w:rsid w:val="007B6B6B"/>
    <w:rsid w:val="007B6BC7"/>
    <w:rsid w:val="007B6BE1"/>
    <w:rsid w:val="007B6C2A"/>
    <w:rsid w:val="007B6C86"/>
    <w:rsid w:val="007B6E3C"/>
    <w:rsid w:val="007B6F64"/>
    <w:rsid w:val="007B6FA0"/>
    <w:rsid w:val="007B6FFC"/>
    <w:rsid w:val="007B7024"/>
    <w:rsid w:val="007B7151"/>
    <w:rsid w:val="007B721B"/>
    <w:rsid w:val="007B72C2"/>
    <w:rsid w:val="007B72E0"/>
    <w:rsid w:val="007B7304"/>
    <w:rsid w:val="007B73CD"/>
    <w:rsid w:val="007B767F"/>
    <w:rsid w:val="007B7683"/>
    <w:rsid w:val="007B768A"/>
    <w:rsid w:val="007B7703"/>
    <w:rsid w:val="007B7711"/>
    <w:rsid w:val="007B77EF"/>
    <w:rsid w:val="007B7891"/>
    <w:rsid w:val="007B78C3"/>
    <w:rsid w:val="007B78EC"/>
    <w:rsid w:val="007B79A7"/>
    <w:rsid w:val="007B7A53"/>
    <w:rsid w:val="007B7B54"/>
    <w:rsid w:val="007B7B7D"/>
    <w:rsid w:val="007B7BE0"/>
    <w:rsid w:val="007B7CDB"/>
    <w:rsid w:val="007B7E4B"/>
    <w:rsid w:val="007B7ECC"/>
    <w:rsid w:val="007B7F2A"/>
    <w:rsid w:val="007B7FDB"/>
    <w:rsid w:val="007C0079"/>
    <w:rsid w:val="007C00DA"/>
    <w:rsid w:val="007C0111"/>
    <w:rsid w:val="007C0120"/>
    <w:rsid w:val="007C0124"/>
    <w:rsid w:val="007C014B"/>
    <w:rsid w:val="007C020E"/>
    <w:rsid w:val="007C0257"/>
    <w:rsid w:val="007C0388"/>
    <w:rsid w:val="007C0390"/>
    <w:rsid w:val="007C0418"/>
    <w:rsid w:val="007C0549"/>
    <w:rsid w:val="007C054A"/>
    <w:rsid w:val="007C05F4"/>
    <w:rsid w:val="007C0698"/>
    <w:rsid w:val="007C06C9"/>
    <w:rsid w:val="007C0704"/>
    <w:rsid w:val="007C0709"/>
    <w:rsid w:val="007C08F7"/>
    <w:rsid w:val="007C0902"/>
    <w:rsid w:val="007C090F"/>
    <w:rsid w:val="007C0961"/>
    <w:rsid w:val="007C0A18"/>
    <w:rsid w:val="007C0A40"/>
    <w:rsid w:val="007C0A72"/>
    <w:rsid w:val="007C0AA7"/>
    <w:rsid w:val="007C0B02"/>
    <w:rsid w:val="007C0B96"/>
    <w:rsid w:val="007C0BA2"/>
    <w:rsid w:val="007C0BB7"/>
    <w:rsid w:val="007C0CDC"/>
    <w:rsid w:val="007C0D44"/>
    <w:rsid w:val="007C0E07"/>
    <w:rsid w:val="007C10CA"/>
    <w:rsid w:val="007C1224"/>
    <w:rsid w:val="007C129B"/>
    <w:rsid w:val="007C12DA"/>
    <w:rsid w:val="007C149C"/>
    <w:rsid w:val="007C14A2"/>
    <w:rsid w:val="007C15CC"/>
    <w:rsid w:val="007C1628"/>
    <w:rsid w:val="007C1631"/>
    <w:rsid w:val="007C195F"/>
    <w:rsid w:val="007C19BB"/>
    <w:rsid w:val="007C1B01"/>
    <w:rsid w:val="007C1BF6"/>
    <w:rsid w:val="007C1D00"/>
    <w:rsid w:val="007C1D43"/>
    <w:rsid w:val="007C1E2C"/>
    <w:rsid w:val="007C1EEA"/>
    <w:rsid w:val="007C1F29"/>
    <w:rsid w:val="007C204B"/>
    <w:rsid w:val="007C2133"/>
    <w:rsid w:val="007C213A"/>
    <w:rsid w:val="007C2145"/>
    <w:rsid w:val="007C21A4"/>
    <w:rsid w:val="007C21B8"/>
    <w:rsid w:val="007C22DA"/>
    <w:rsid w:val="007C23C6"/>
    <w:rsid w:val="007C2569"/>
    <w:rsid w:val="007C2584"/>
    <w:rsid w:val="007C2624"/>
    <w:rsid w:val="007C264C"/>
    <w:rsid w:val="007C26D9"/>
    <w:rsid w:val="007C2722"/>
    <w:rsid w:val="007C27A3"/>
    <w:rsid w:val="007C2822"/>
    <w:rsid w:val="007C285F"/>
    <w:rsid w:val="007C299C"/>
    <w:rsid w:val="007C2AC1"/>
    <w:rsid w:val="007C2AF6"/>
    <w:rsid w:val="007C2B4C"/>
    <w:rsid w:val="007C2C76"/>
    <w:rsid w:val="007C2CC6"/>
    <w:rsid w:val="007C2D5D"/>
    <w:rsid w:val="007C2DF6"/>
    <w:rsid w:val="007C2E40"/>
    <w:rsid w:val="007C2E90"/>
    <w:rsid w:val="007C2EB4"/>
    <w:rsid w:val="007C2F52"/>
    <w:rsid w:val="007C300E"/>
    <w:rsid w:val="007C303E"/>
    <w:rsid w:val="007C30EA"/>
    <w:rsid w:val="007C313E"/>
    <w:rsid w:val="007C31B2"/>
    <w:rsid w:val="007C321C"/>
    <w:rsid w:val="007C3260"/>
    <w:rsid w:val="007C328C"/>
    <w:rsid w:val="007C328D"/>
    <w:rsid w:val="007C3369"/>
    <w:rsid w:val="007C336F"/>
    <w:rsid w:val="007C33FB"/>
    <w:rsid w:val="007C3509"/>
    <w:rsid w:val="007C3571"/>
    <w:rsid w:val="007C360F"/>
    <w:rsid w:val="007C362A"/>
    <w:rsid w:val="007C36DC"/>
    <w:rsid w:val="007C395B"/>
    <w:rsid w:val="007C3B83"/>
    <w:rsid w:val="007C3D66"/>
    <w:rsid w:val="007C3D80"/>
    <w:rsid w:val="007C3F1F"/>
    <w:rsid w:val="007C3F2D"/>
    <w:rsid w:val="007C411A"/>
    <w:rsid w:val="007C41B1"/>
    <w:rsid w:val="007C4226"/>
    <w:rsid w:val="007C43DD"/>
    <w:rsid w:val="007C444E"/>
    <w:rsid w:val="007C450D"/>
    <w:rsid w:val="007C4541"/>
    <w:rsid w:val="007C459B"/>
    <w:rsid w:val="007C4720"/>
    <w:rsid w:val="007C477B"/>
    <w:rsid w:val="007C4792"/>
    <w:rsid w:val="007C4866"/>
    <w:rsid w:val="007C48A3"/>
    <w:rsid w:val="007C4958"/>
    <w:rsid w:val="007C49DA"/>
    <w:rsid w:val="007C49E9"/>
    <w:rsid w:val="007C4AAC"/>
    <w:rsid w:val="007C4C5A"/>
    <w:rsid w:val="007C4CC2"/>
    <w:rsid w:val="007C4E3A"/>
    <w:rsid w:val="007C4E57"/>
    <w:rsid w:val="007C4E69"/>
    <w:rsid w:val="007C4EBA"/>
    <w:rsid w:val="007C50E0"/>
    <w:rsid w:val="007C50EF"/>
    <w:rsid w:val="007C50F0"/>
    <w:rsid w:val="007C5167"/>
    <w:rsid w:val="007C51A4"/>
    <w:rsid w:val="007C5240"/>
    <w:rsid w:val="007C52ED"/>
    <w:rsid w:val="007C5362"/>
    <w:rsid w:val="007C542D"/>
    <w:rsid w:val="007C556C"/>
    <w:rsid w:val="007C558B"/>
    <w:rsid w:val="007C5800"/>
    <w:rsid w:val="007C5842"/>
    <w:rsid w:val="007C590D"/>
    <w:rsid w:val="007C5952"/>
    <w:rsid w:val="007C599C"/>
    <w:rsid w:val="007C5AAF"/>
    <w:rsid w:val="007C5B0B"/>
    <w:rsid w:val="007C5C7A"/>
    <w:rsid w:val="007C5CCA"/>
    <w:rsid w:val="007C5CDA"/>
    <w:rsid w:val="007C5CEF"/>
    <w:rsid w:val="007C5D4F"/>
    <w:rsid w:val="007C5FBE"/>
    <w:rsid w:val="007C600C"/>
    <w:rsid w:val="007C6139"/>
    <w:rsid w:val="007C619F"/>
    <w:rsid w:val="007C6223"/>
    <w:rsid w:val="007C6253"/>
    <w:rsid w:val="007C6346"/>
    <w:rsid w:val="007C6382"/>
    <w:rsid w:val="007C64F2"/>
    <w:rsid w:val="007C6523"/>
    <w:rsid w:val="007C6609"/>
    <w:rsid w:val="007C676B"/>
    <w:rsid w:val="007C67E2"/>
    <w:rsid w:val="007C6852"/>
    <w:rsid w:val="007C686A"/>
    <w:rsid w:val="007C692E"/>
    <w:rsid w:val="007C6A07"/>
    <w:rsid w:val="007C6B26"/>
    <w:rsid w:val="007C6C29"/>
    <w:rsid w:val="007C6C3D"/>
    <w:rsid w:val="007C6C83"/>
    <w:rsid w:val="007C6D81"/>
    <w:rsid w:val="007C6E95"/>
    <w:rsid w:val="007C702D"/>
    <w:rsid w:val="007C7086"/>
    <w:rsid w:val="007C7175"/>
    <w:rsid w:val="007C71DE"/>
    <w:rsid w:val="007C7304"/>
    <w:rsid w:val="007C730A"/>
    <w:rsid w:val="007C7318"/>
    <w:rsid w:val="007C757D"/>
    <w:rsid w:val="007C7631"/>
    <w:rsid w:val="007C768A"/>
    <w:rsid w:val="007C769A"/>
    <w:rsid w:val="007C7957"/>
    <w:rsid w:val="007C795B"/>
    <w:rsid w:val="007C7AF7"/>
    <w:rsid w:val="007C7BDB"/>
    <w:rsid w:val="007C7C61"/>
    <w:rsid w:val="007C7C95"/>
    <w:rsid w:val="007C7D28"/>
    <w:rsid w:val="007C7D69"/>
    <w:rsid w:val="007C7DFE"/>
    <w:rsid w:val="007C7E9F"/>
    <w:rsid w:val="007C7EB6"/>
    <w:rsid w:val="007C7F54"/>
    <w:rsid w:val="007D0131"/>
    <w:rsid w:val="007D017A"/>
    <w:rsid w:val="007D0199"/>
    <w:rsid w:val="007D01BF"/>
    <w:rsid w:val="007D030A"/>
    <w:rsid w:val="007D046F"/>
    <w:rsid w:val="007D04D3"/>
    <w:rsid w:val="007D0554"/>
    <w:rsid w:val="007D066B"/>
    <w:rsid w:val="007D07AA"/>
    <w:rsid w:val="007D07B3"/>
    <w:rsid w:val="007D087F"/>
    <w:rsid w:val="007D08FD"/>
    <w:rsid w:val="007D0935"/>
    <w:rsid w:val="007D0A1B"/>
    <w:rsid w:val="007D0B03"/>
    <w:rsid w:val="007D0B1F"/>
    <w:rsid w:val="007D0B3D"/>
    <w:rsid w:val="007D0B48"/>
    <w:rsid w:val="007D0BE3"/>
    <w:rsid w:val="007D0BEF"/>
    <w:rsid w:val="007D0C40"/>
    <w:rsid w:val="007D0CE9"/>
    <w:rsid w:val="007D0D0A"/>
    <w:rsid w:val="007D0DE4"/>
    <w:rsid w:val="007D0E0C"/>
    <w:rsid w:val="007D0FAD"/>
    <w:rsid w:val="007D0FE4"/>
    <w:rsid w:val="007D1084"/>
    <w:rsid w:val="007D10EE"/>
    <w:rsid w:val="007D1180"/>
    <w:rsid w:val="007D1193"/>
    <w:rsid w:val="007D12EB"/>
    <w:rsid w:val="007D133C"/>
    <w:rsid w:val="007D13D2"/>
    <w:rsid w:val="007D13E6"/>
    <w:rsid w:val="007D1469"/>
    <w:rsid w:val="007D1532"/>
    <w:rsid w:val="007D15CE"/>
    <w:rsid w:val="007D1642"/>
    <w:rsid w:val="007D1708"/>
    <w:rsid w:val="007D1715"/>
    <w:rsid w:val="007D1858"/>
    <w:rsid w:val="007D18D5"/>
    <w:rsid w:val="007D1A16"/>
    <w:rsid w:val="007D1B06"/>
    <w:rsid w:val="007D1B54"/>
    <w:rsid w:val="007D1C3A"/>
    <w:rsid w:val="007D1D41"/>
    <w:rsid w:val="007D2010"/>
    <w:rsid w:val="007D207E"/>
    <w:rsid w:val="007D21EC"/>
    <w:rsid w:val="007D2217"/>
    <w:rsid w:val="007D22A7"/>
    <w:rsid w:val="007D2399"/>
    <w:rsid w:val="007D23E3"/>
    <w:rsid w:val="007D2407"/>
    <w:rsid w:val="007D24CB"/>
    <w:rsid w:val="007D24EF"/>
    <w:rsid w:val="007D24F2"/>
    <w:rsid w:val="007D27B4"/>
    <w:rsid w:val="007D2837"/>
    <w:rsid w:val="007D2882"/>
    <w:rsid w:val="007D2A1F"/>
    <w:rsid w:val="007D2A37"/>
    <w:rsid w:val="007D2A56"/>
    <w:rsid w:val="007D2B27"/>
    <w:rsid w:val="007D2BDE"/>
    <w:rsid w:val="007D2C08"/>
    <w:rsid w:val="007D2C68"/>
    <w:rsid w:val="007D2CB3"/>
    <w:rsid w:val="007D2D02"/>
    <w:rsid w:val="007D2D5C"/>
    <w:rsid w:val="007D2DF9"/>
    <w:rsid w:val="007D2F45"/>
    <w:rsid w:val="007D30B7"/>
    <w:rsid w:val="007D31DF"/>
    <w:rsid w:val="007D320C"/>
    <w:rsid w:val="007D3224"/>
    <w:rsid w:val="007D3244"/>
    <w:rsid w:val="007D3277"/>
    <w:rsid w:val="007D332C"/>
    <w:rsid w:val="007D3349"/>
    <w:rsid w:val="007D33BF"/>
    <w:rsid w:val="007D3659"/>
    <w:rsid w:val="007D36BD"/>
    <w:rsid w:val="007D37CD"/>
    <w:rsid w:val="007D38DC"/>
    <w:rsid w:val="007D39CE"/>
    <w:rsid w:val="007D3A0E"/>
    <w:rsid w:val="007D3B56"/>
    <w:rsid w:val="007D3BBC"/>
    <w:rsid w:val="007D3D7C"/>
    <w:rsid w:val="007D3DAB"/>
    <w:rsid w:val="007D3DC4"/>
    <w:rsid w:val="007D3DED"/>
    <w:rsid w:val="007D3E53"/>
    <w:rsid w:val="007D3EAE"/>
    <w:rsid w:val="007D3EEC"/>
    <w:rsid w:val="007D3F26"/>
    <w:rsid w:val="007D3F84"/>
    <w:rsid w:val="007D3FB6"/>
    <w:rsid w:val="007D3FFA"/>
    <w:rsid w:val="007D4259"/>
    <w:rsid w:val="007D44DF"/>
    <w:rsid w:val="007D45AE"/>
    <w:rsid w:val="007D467A"/>
    <w:rsid w:val="007D46F3"/>
    <w:rsid w:val="007D4724"/>
    <w:rsid w:val="007D475C"/>
    <w:rsid w:val="007D475E"/>
    <w:rsid w:val="007D48CC"/>
    <w:rsid w:val="007D4936"/>
    <w:rsid w:val="007D4947"/>
    <w:rsid w:val="007D4AC5"/>
    <w:rsid w:val="007D4B40"/>
    <w:rsid w:val="007D4B8D"/>
    <w:rsid w:val="007D4DD8"/>
    <w:rsid w:val="007D4E96"/>
    <w:rsid w:val="007D4EC1"/>
    <w:rsid w:val="007D4F0D"/>
    <w:rsid w:val="007D4F3B"/>
    <w:rsid w:val="007D4F92"/>
    <w:rsid w:val="007D4FD4"/>
    <w:rsid w:val="007D50B2"/>
    <w:rsid w:val="007D527A"/>
    <w:rsid w:val="007D5295"/>
    <w:rsid w:val="007D532F"/>
    <w:rsid w:val="007D5340"/>
    <w:rsid w:val="007D545A"/>
    <w:rsid w:val="007D54A9"/>
    <w:rsid w:val="007D54BF"/>
    <w:rsid w:val="007D54C3"/>
    <w:rsid w:val="007D54E3"/>
    <w:rsid w:val="007D55A9"/>
    <w:rsid w:val="007D55C6"/>
    <w:rsid w:val="007D55C8"/>
    <w:rsid w:val="007D55E5"/>
    <w:rsid w:val="007D59E1"/>
    <w:rsid w:val="007D5A16"/>
    <w:rsid w:val="007D5AD2"/>
    <w:rsid w:val="007D5B95"/>
    <w:rsid w:val="007D5C45"/>
    <w:rsid w:val="007D5EC5"/>
    <w:rsid w:val="007D5F23"/>
    <w:rsid w:val="007D5F34"/>
    <w:rsid w:val="007D5F82"/>
    <w:rsid w:val="007D61B3"/>
    <w:rsid w:val="007D630E"/>
    <w:rsid w:val="007D63D9"/>
    <w:rsid w:val="007D64C3"/>
    <w:rsid w:val="007D6571"/>
    <w:rsid w:val="007D6727"/>
    <w:rsid w:val="007D67B6"/>
    <w:rsid w:val="007D69C1"/>
    <w:rsid w:val="007D6A87"/>
    <w:rsid w:val="007D6ABF"/>
    <w:rsid w:val="007D6BF7"/>
    <w:rsid w:val="007D6C5A"/>
    <w:rsid w:val="007D6DF4"/>
    <w:rsid w:val="007D6FBC"/>
    <w:rsid w:val="007D7003"/>
    <w:rsid w:val="007D7020"/>
    <w:rsid w:val="007D7079"/>
    <w:rsid w:val="007D715C"/>
    <w:rsid w:val="007D7162"/>
    <w:rsid w:val="007D73F7"/>
    <w:rsid w:val="007D743F"/>
    <w:rsid w:val="007D747E"/>
    <w:rsid w:val="007D74B4"/>
    <w:rsid w:val="007D74BC"/>
    <w:rsid w:val="007D76AA"/>
    <w:rsid w:val="007D7789"/>
    <w:rsid w:val="007D77B2"/>
    <w:rsid w:val="007D7814"/>
    <w:rsid w:val="007D78B4"/>
    <w:rsid w:val="007D793F"/>
    <w:rsid w:val="007D7AD3"/>
    <w:rsid w:val="007D7B64"/>
    <w:rsid w:val="007D7B9A"/>
    <w:rsid w:val="007D7BC4"/>
    <w:rsid w:val="007D7BE5"/>
    <w:rsid w:val="007D7CDC"/>
    <w:rsid w:val="007D7D20"/>
    <w:rsid w:val="007D7D9E"/>
    <w:rsid w:val="007D7DDA"/>
    <w:rsid w:val="007D7E00"/>
    <w:rsid w:val="007D7E80"/>
    <w:rsid w:val="007D7EAA"/>
    <w:rsid w:val="007D7F20"/>
    <w:rsid w:val="007D7FFB"/>
    <w:rsid w:val="007E004A"/>
    <w:rsid w:val="007E0055"/>
    <w:rsid w:val="007E00EA"/>
    <w:rsid w:val="007E0206"/>
    <w:rsid w:val="007E020B"/>
    <w:rsid w:val="007E029C"/>
    <w:rsid w:val="007E0521"/>
    <w:rsid w:val="007E07D1"/>
    <w:rsid w:val="007E0833"/>
    <w:rsid w:val="007E0885"/>
    <w:rsid w:val="007E08F8"/>
    <w:rsid w:val="007E09EF"/>
    <w:rsid w:val="007E0A89"/>
    <w:rsid w:val="007E0B4D"/>
    <w:rsid w:val="007E0C6A"/>
    <w:rsid w:val="007E0CED"/>
    <w:rsid w:val="007E0D36"/>
    <w:rsid w:val="007E0D4D"/>
    <w:rsid w:val="007E0D6F"/>
    <w:rsid w:val="007E0EAE"/>
    <w:rsid w:val="007E0EF0"/>
    <w:rsid w:val="007E0FFE"/>
    <w:rsid w:val="007E1080"/>
    <w:rsid w:val="007E1083"/>
    <w:rsid w:val="007E129F"/>
    <w:rsid w:val="007E141F"/>
    <w:rsid w:val="007E15A8"/>
    <w:rsid w:val="007E15AD"/>
    <w:rsid w:val="007E15C0"/>
    <w:rsid w:val="007E15CA"/>
    <w:rsid w:val="007E15DD"/>
    <w:rsid w:val="007E1733"/>
    <w:rsid w:val="007E179B"/>
    <w:rsid w:val="007E1874"/>
    <w:rsid w:val="007E1885"/>
    <w:rsid w:val="007E195A"/>
    <w:rsid w:val="007E195F"/>
    <w:rsid w:val="007E19BF"/>
    <w:rsid w:val="007E19C1"/>
    <w:rsid w:val="007E1A7C"/>
    <w:rsid w:val="007E1C93"/>
    <w:rsid w:val="007E1D1F"/>
    <w:rsid w:val="007E1E61"/>
    <w:rsid w:val="007E1EC2"/>
    <w:rsid w:val="007E1FD3"/>
    <w:rsid w:val="007E1FED"/>
    <w:rsid w:val="007E212F"/>
    <w:rsid w:val="007E218D"/>
    <w:rsid w:val="007E23B9"/>
    <w:rsid w:val="007E259C"/>
    <w:rsid w:val="007E25ED"/>
    <w:rsid w:val="007E2663"/>
    <w:rsid w:val="007E2689"/>
    <w:rsid w:val="007E2969"/>
    <w:rsid w:val="007E2A97"/>
    <w:rsid w:val="007E2B4C"/>
    <w:rsid w:val="007E2B9F"/>
    <w:rsid w:val="007E2BC0"/>
    <w:rsid w:val="007E2C10"/>
    <w:rsid w:val="007E2D07"/>
    <w:rsid w:val="007E2D37"/>
    <w:rsid w:val="007E2DA4"/>
    <w:rsid w:val="007E2E48"/>
    <w:rsid w:val="007E2E73"/>
    <w:rsid w:val="007E2EA0"/>
    <w:rsid w:val="007E2FD1"/>
    <w:rsid w:val="007E304E"/>
    <w:rsid w:val="007E3084"/>
    <w:rsid w:val="007E30A7"/>
    <w:rsid w:val="007E30B9"/>
    <w:rsid w:val="007E30D9"/>
    <w:rsid w:val="007E31E7"/>
    <w:rsid w:val="007E3246"/>
    <w:rsid w:val="007E3297"/>
    <w:rsid w:val="007E33AD"/>
    <w:rsid w:val="007E33E2"/>
    <w:rsid w:val="007E3459"/>
    <w:rsid w:val="007E3517"/>
    <w:rsid w:val="007E3518"/>
    <w:rsid w:val="007E3547"/>
    <w:rsid w:val="007E35BF"/>
    <w:rsid w:val="007E3690"/>
    <w:rsid w:val="007E3740"/>
    <w:rsid w:val="007E3871"/>
    <w:rsid w:val="007E38E0"/>
    <w:rsid w:val="007E3A30"/>
    <w:rsid w:val="007E3B6F"/>
    <w:rsid w:val="007E3B99"/>
    <w:rsid w:val="007E3BFF"/>
    <w:rsid w:val="007E3CD5"/>
    <w:rsid w:val="007E3CF1"/>
    <w:rsid w:val="007E3DC3"/>
    <w:rsid w:val="007E3DFD"/>
    <w:rsid w:val="007E3F7C"/>
    <w:rsid w:val="007E405D"/>
    <w:rsid w:val="007E40A2"/>
    <w:rsid w:val="007E42A2"/>
    <w:rsid w:val="007E43A8"/>
    <w:rsid w:val="007E4511"/>
    <w:rsid w:val="007E45F6"/>
    <w:rsid w:val="007E465F"/>
    <w:rsid w:val="007E477C"/>
    <w:rsid w:val="007E47E8"/>
    <w:rsid w:val="007E4809"/>
    <w:rsid w:val="007E4866"/>
    <w:rsid w:val="007E48C6"/>
    <w:rsid w:val="007E4A4B"/>
    <w:rsid w:val="007E4B1F"/>
    <w:rsid w:val="007E4B4B"/>
    <w:rsid w:val="007E4B70"/>
    <w:rsid w:val="007E4C40"/>
    <w:rsid w:val="007E4C64"/>
    <w:rsid w:val="007E4CA2"/>
    <w:rsid w:val="007E4CAB"/>
    <w:rsid w:val="007E4EDC"/>
    <w:rsid w:val="007E4FD5"/>
    <w:rsid w:val="007E50D5"/>
    <w:rsid w:val="007E51B8"/>
    <w:rsid w:val="007E5249"/>
    <w:rsid w:val="007E5271"/>
    <w:rsid w:val="007E5341"/>
    <w:rsid w:val="007E5371"/>
    <w:rsid w:val="007E5405"/>
    <w:rsid w:val="007E5475"/>
    <w:rsid w:val="007E5688"/>
    <w:rsid w:val="007E569A"/>
    <w:rsid w:val="007E5824"/>
    <w:rsid w:val="007E58F7"/>
    <w:rsid w:val="007E59F1"/>
    <w:rsid w:val="007E5A04"/>
    <w:rsid w:val="007E5A55"/>
    <w:rsid w:val="007E5AAB"/>
    <w:rsid w:val="007E5BA3"/>
    <w:rsid w:val="007E5CF2"/>
    <w:rsid w:val="007E5D90"/>
    <w:rsid w:val="007E5E03"/>
    <w:rsid w:val="007E5EB4"/>
    <w:rsid w:val="007E5ED6"/>
    <w:rsid w:val="007E6050"/>
    <w:rsid w:val="007E6089"/>
    <w:rsid w:val="007E60AE"/>
    <w:rsid w:val="007E60F1"/>
    <w:rsid w:val="007E613F"/>
    <w:rsid w:val="007E61EC"/>
    <w:rsid w:val="007E6374"/>
    <w:rsid w:val="007E653F"/>
    <w:rsid w:val="007E65D8"/>
    <w:rsid w:val="007E6640"/>
    <w:rsid w:val="007E6642"/>
    <w:rsid w:val="007E6696"/>
    <w:rsid w:val="007E66C4"/>
    <w:rsid w:val="007E673E"/>
    <w:rsid w:val="007E6799"/>
    <w:rsid w:val="007E6823"/>
    <w:rsid w:val="007E6890"/>
    <w:rsid w:val="007E68BB"/>
    <w:rsid w:val="007E68F0"/>
    <w:rsid w:val="007E695F"/>
    <w:rsid w:val="007E69A0"/>
    <w:rsid w:val="007E69D8"/>
    <w:rsid w:val="007E6A6E"/>
    <w:rsid w:val="007E6A9A"/>
    <w:rsid w:val="007E6B48"/>
    <w:rsid w:val="007E6C54"/>
    <w:rsid w:val="007E6D29"/>
    <w:rsid w:val="007E6D66"/>
    <w:rsid w:val="007E6DE4"/>
    <w:rsid w:val="007E6E27"/>
    <w:rsid w:val="007E6F36"/>
    <w:rsid w:val="007E6FE1"/>
    <w:rsid w:val="007E701A"/>
    <w:rsid w:val="007E70A4"/>
    <w:rsid w:val="007E7147"/>
    <w:rsid w:val="007E71AC"/>
    <w:rsid w:val="007E721E"/>
    <w:rsid w:val="007E741B"/>
    <w:rsid w:val="007E74E7"/>
    <w:rsid w:val="007E76B7"/>
    <w:rsid w:val="007E76D7"/>
    <w:rsid w:val="007E775F"/>
    <w:rsid w:val="007E77E3"/>
    <w:rsid w:val="007E788B"/>
    <w:rsid w:val="007E796B"/>
    <w:rsid w:val="007E7970"/>
    <w:rsid w:val="007E7A56"/>
    <w:rsid w:val="007E7AD9"/>
    <w:rsid w:val="007E7B02"/>
    <w:rsid w:val="007E7B27"/>
    <w:rsid w:val="007E7B56"/>
    <w:rsid w:val="007E7C97"/>
    <w:rsid w:val="007E7D95"/>
    <w:rsid w:val="007E7E9E"/>
    <w:rsid w:val="007E7EE0"/>
    <w:rsid w:val="007E7EFC"/>
    <w:rsid w:val="007E7F49"/>
    <w:rsid w:val="007E7F4C"/>
    <w:rsid w:val="007F00AE"/>
    <w:rsid w:val="007F00BD"/>
    <w:rsid w:val="007F00DC"/>
    <w:rsid w:val="007F014C"/>
    <w:rsid w:val="007F015C"/>
    <w:rsid w:val="007F01A9"/>
    <w:rsid w:val="007F0229"/>
    <w:rsid w:val="007F034B"/>
    <w:rsid w:val="007F0489"/>
    <w:rsid w:val="007F0608"/>
    <w:rsid w:val="007F06EF"/>
    <w:rsid w:val="007F06FB"/>
    <w:rsid w:val="007F08B0"/>
    <w:rsid w:val="007F08B3"/>
    <w:rsid w:val="007F09EF"/>
    <w:rsid w:val="007F0A5B"/>
    <w:rsid w:val="007F0A72"/>
    <w:rsid w:val="007F0ABA"/>
    <w:rsid w:val="007F0AF5"/>
    <w:rsid w:val="007F0B89"/>
    <w:rsid w:val="007F0CF6"/>
    <w:rsid w:val="007F0D72"/>
    <w:rsid w:val="007F0E31"/>
    <w:rsid w:val="007F0E6E"/>
    <w:rsid w:val="007F0EBD"/>
    <w:rsid w:val="007F0F1A"/>
    <w:rsid w:val="007F0F24"/>
    <w:rsid w:val="007F0FB4"/>
    <w:rsid w:val="007F0FBE"/>
    <w:rsid w:val="007F1038"/>
    <w:rsid w:val="007F1149"/>
    <w:rsid w:val="007F11BA"/>
    <w:rsid w:val="007F11F8"/>
    <w:rsid w:val="007F13CF"/>
    <w:rsid w:val="007F13F0"/>
    <w:rsid w:val="007F1482"/>
    <w:rsid w:val="007F15AA"/>
    <w:rsid w:val="007F1705"/>
    <w:rsid w:val="007F1734"/>
    <w:rsid w:val="007F17FA"/>
    <w:rsid w:val="007F1922"/>
    <w:rsid w:val="007F1958"/>
    <w:rsid w:val="007F1977"/>
    <w:rsid w:val="007F1986"/>
    <w:rsid w:val="007F1991"/>
    <w:rsid w:val="007F1ADB"/>
    <w:rsid w:val="007F1B72"/>
    <w:rsid w:val="007F1C90"/>
    <w:rsid w:val="007F1D26"/>
    <w:rsid w:val="007F1DBB"/>
    <w:rsid w:val="007F1F43"/>
    <w:rsid w:val="007F1FA4"/>
    <w:rsid w:val="007F209D"/>
    <w:rsid w:val="007F20CC"/>
    <w:rsid w:val="007F2136"/>
    <w:rsid w:val="007F2180"/>
    <w:rsid w:val="007F21D2"/>
    <w:rsid w:val="007F2241"/>
    <w:rsid w:val="007F22E1"/>
    <w:rsid w:val="007F2301"/>
    <w:rsid w:val="007F237D"/>
    <w:rsid w:val="007F238F"/>
    <w:rsid w:val="007F23C8"/>
    <w:rsid w:val="007F23E9"/>
    <w:rsid w:val="007F23EE"/>
    <w:rsid w:val="007F24F1"/>
    <w:rsid w:val="007F258A"/>
    <w:rsid w:val="007F26D8"/>
    <w:rsid w:val="007F276A"/>
    <w:rsid w:val="007F2799"/>
    <w:rsid w:val="007F287C"/>
    <w:rsid w:val="007F28A8"/>
    <w:rsid w:val="007F291C"/>
    <w:rsid w:val="007F297D"/>
    <w:rsid w:val="007F2A8F"/>
    <w:rsid w:val="007F2B12"/>
    <w:rsid w:val="007F2B3C"/>
    <w:rsid w:val="007F2B58"/>
    <w:rsid w:val="007F2B73"/>
    <w:rsid w:val="007F2BEE"/>
    <w:rsid w:val="007F2CEC"/>
    <w:rsid w:val="007F2FB5"/>
    <w:rsid w:val="007F3010"/>
    <w:rsid w:val="007F3016"/>
    <w:rsid w:val="007F30FB"/>
    <w:rsid w:val="007F3103"/>
    <w:rsid w:val="007F31C2"/>
    <w:rsid w:val="007F32C8"/>
    <w:rsid w:val="007F33BB"/>
    <w:rsid w:val="007F33E5"/>
    <w:rsid w:val="007F3409"/>
    <w:rsid w:val="007F3419"/>
    <w:rsid w:val="007F353A"/>
    <w:rsid w:val="007F35FF"/>
    <w:rsid w:val="007F3645"/>
    <w:rsid w:val="007F3710"/>
    <w:rsid w:val="007F3714"/>
    <w:rsid w:val="007F37D8"/>
    <w:rsid w:val="007F3875"/>
    <w:rsid w:val="007F3968"/>
    <w:rsid w:val="007F3986"/>
    <w:rsid w:val="007F39AC"/>
    <w:rsid w:val="007F3B70"/>
    <w:rsid w:val="007F3B8B"/>
    <w:rsid w:val="007F3C81"/>
    <w:rsid w:val="007F3DC1"/>
    <w:rsid w:val="007F3DE4"/>
    <w:rsid w:val="007F3EAD"/>
    <w:rsid w:val="007F3EBB"/>
    <w:rsid w:val="007F3F05"/>
    <w:rsid w:val="007F3F56"/>
    <w:rsid w:val="007F3F5A"/>
    <w:rsid w:val="007F3FA2"/>
    <w:rsid w:val="007F3FCD"/>
    <w:rsid w:val="007F40CF"/>
    <w:rsid w:val="007F40DF"/>
    <w:rsid w:val="007F4116"/>
    <w:rsid w:val="007F4120"/>
    <w:rsid w:val="007F41EB"/>
    <w:rsid w:val="007F4216"/>
    <w:rsid w:val="007F4240"/>
    <w:rsid w:val="007F42AC"/>
    <w:rsid w:val="007F42AE"/>
    <w:rsid w:val="007F4356"/>
    <w:rsid w:val="007F435C"/>
    <w:rsid w:val="007F43D1"/>
    <w:rsid w:val="007F43F5"/>
    <w:rsid w:val="007F4422"/>
    <w:rsid w:val="007F44A2"/>
    <w:rsid w:val="007F44E6"/>
    <w:rsid w:val="007F450C"/>
    <w:rsid w:val="007F457C"/>
    <w:rsid w:val="007F45E6"/>
    <w:rsid w:val="007F4651"/>
    <w:rsid w:val="007F467B"/>
    <w:rsid w:val="007F46DE"/>
    <w:rsid w:val="007F4858"/>
    <w:rsid w:val="007F48EC"/>
    <w:rsid w:val="007F499A"/>
    <w:rsid w:val="007F49A2"/>
    <w:rsid w:val="007F4A07"/>
    <w:rsid w:val="007F4B5C"/>
    <w:rsid w:val="007F4BB7"/>
    <w:rsid w:val="007F4C40"/>
    <w:rsid w:val="007F4DDC"/>
    <w:rsid w:val="007F4E71"/>
    <w:rsid w:val="007F4EB9"/>
    <w:rsid w:val="007F501A"/>
    <w:rsid w:val="007F5251"/>
    <w:rsid w:val="007F5262"/>
    <w:rsid w:val="007F53AE"/>
    <w:rsid w:val="007F53B1"/>
    <w:rsid w:val="007F53BD"/>
    <w:rsid w:val="007F53E6"/>
    <w:rsid w:val="007F53F1"/>
    <w:rsid w:val="007F5422"/>
    <w:rsid w:val="007F5835"/>
    <w:rsid w:val="007F5A12"/>
    <w:rsid w:val="007F5BCE"/>
    <w:rsid w:val="007F5C2C"/>
    <w:rsid w:val="007F5CB5"/>
    <w:rsid w:val="007F5CBF"/>
    <w:rsid w:val="007F5CF1"/>
    <w:rsid w:val="007F5D5A"/>
    <w:rsid w:val="007F5E16"/>
    <w:rsid w:val="007F5F39"/>
    <w:rsid w:val="007F5F53"/>
    <w:rsid w:val="007F5F63"/>
    <w:rsid w:val="007F6026"/>
    <w:rsid w:val="007F607F"/>
    <w:rsid w:val="007F61B9"/>
    <w:rsid w:val="007F652E"/>
    <w:rsid w:val="007F6551"/>
    <w:rsid w:val="007F65C5"/>
    <w:rsid w:val="007F6614"/>
    <w:rsid w:val="007F66BD"/>
    <w:rsid w:val="007F6744"/>
    <w:rsid w:val="007F67A6"/>
    <w:rsid w:val="007F67CD"/>
    <w:rsid w:val="007F67E9"/>
    <w:rsid w:val="007F6A0C"/>
    <w:rsid w:val="007F6AB9"/>
    <w:rsid w:val="007F6B08"/>
    <w:rsid w:val="007F6BB3"/>
    <w:rsid w:val="007F6BE7"/>
    <w:rsid w:val="007F6CDB"/>
    <w:rsid w:val="007F6D6F"/>
    <w:rsid w:val="007F6D9C"/>
    <w:rsid w:val="007F6E1D"/>
    <w:rsid w:val="007F6E34"/>
    <w:rsid w:val="007F6F24"/>
    <w:rsid w:val="007F7008"/>
    <w:rsid w:val="007F7013"/>
    <w:rsid w:val="007F703B"/>
    <w:rsid w:val="007F7064"/>
    <w:rsid w:val="007F7088"/>
    <w:rsid w:val="007F7105"/>
    <w:rsid w:val="007F711A"/>
    <w:rsid w:val="007F71CE"/>
    <w:rsid w:val="007F7203"/>
    <w:rsid w:val="007F7295"/>
    <w:rsid w:val="007F72A7"/>
    <w:rsid w:val="007F72DB"/>
    <w:rsid w:val="007F737B"/>
    <w:rsid w:val="007F742C"/>
    <w:rsid w:val="007F7621"/>
    <w:rsid w:val="007F764D"/>
    <w:rsid w:val="007F76FB"/>
    <w:rsid w:val="007F7753"/>
    <w:rsid w:val="007F77B2"/>
    <w:rsid w:val="007F793F"/>
    <w:rsid w:val="007F7A63"/>
    <w:rsid w:val="007F7B4C"/>
    <w:rsid w:val="007F7B6F"/>
    <w:rsid w:val="007F7C7B"/>
    <w:rsid w:val="007F7CBB"/>
    <w:rsid w:val="007F7D10"/>
    <w:rsid w:val="007F7D54"/>
    <w:rsid w:val="007F7D8C"/>
    <w:rsid w:val="007F7EB9"/>
    <w:rsid w:val="007F7F97"/>
    <w:rsid w:val="00800011"/>
    <w:rsid w:val="00800087"/>
    <w:rsid w:val="008001E2"/>
    <w:rsid w:val="008002D6"/>
    <w:rsid w:val="00800396"/>
    <w:rsid w:val="008003A2"/>
    <w:rsid w:val="00800556"/>
    <w:rsid w:val="008005FE"/>
    <w:rsid w:val="00800624"/>
    <w:rsid w:val="008007F3"/>
    <w:rsid w:val="00800808"/>
    <w:rsid w:val="00800903"/>
    <w:rsid w:val="00800912"/>
    <w:rsid w:val="00800B1D"/>
    <w:rsid w:val="00800C1C"/>
    <w:rsid w:val="00800C30"/>
    <w:rsid w:val="00800CDC"/>
    <w:rsid w:val="00800ECF"/>
    <w:rsid w:val="00800F08"/>
    <w:rsid w:val="00800F4A"/>
    <w:rsid w:val="00800FC7"/>
    <w:rsid w:val="0080102D"/>
    <w:rsid w:val="00801066"/>
    <w:rsid w:val="00801153"/>
    <w:rsid w:val="008011F1"/>
    <w:rsid w:val="00801303"/>
    <w:rsid w:val="008013AC"/>
    <w:rsid w:val="00801563"/>
    <w:rsid w:val="008016B9"/>
    <w:rsid w:val="008016EC"/>
    <w:rsid w:val="00801824"/>
    <w:rsid w:val="00801891"/>
    <w:rsid w:val="008018AA"/>
    <w:rsid w:val="00801995"/>
    <w:rsid w:val="00801AEF"/>
    <w:rsid w:val="00801C1E"/>
    <w:rsid w:val="00801C37"/>
    <w:rsid w:val="00801D12"/>
    <w:rsid w:val="00801E0C"/>
    <w:rsid w:val="00801F47"/>
    <w:rsid w:val="00801F9F"/>
    <w:rsid w:val="00801FCC"/>
    <w:rsid w:val="00802052"/>
    <w:rsid w:val="00802171"/>
    <w:rsid w:val="008021A8"/>
    <w:rsid w:val="0080225A"/>
    <w:rsid w:val="00802281"/>
    <w:rsid w:val="008022F3"/>
    <w:rsid w:val="008023D3"/>
    <w:rsid w:val="0080261A"/>
    <w:rsid w:val="00802665"/>
    <w:rsid w:val="008026E1"/>
    <w:rsid w:val="0080287B"/>
    <w:rsid w:val="008028DA"/>
    <w:rsid w:val="0080292F"/>
    <w:rsid w:val="00802A9C"/>
    <w:rsid w:val="00802ACB"/>
    <w:rsid w:val="00802B2E"/>
    <w:rsid w:val="00802DD4"/>
    <w:rsid w:val="00802F16"/>
    <w:rsid w:val="00802F49"/>
    <w:rsid w:val="00802F50"/>
    <w:rsid w:val="00802FDA"/>
    <w:rsid w:val="00802FFD"/>
    <w:rsid w:val="00803021"/>
    <w:rsid w:val="0080309B"/>
    <w:rsid w:val="008031C3"/>
    <w:rsid w:val="00803230"/>
    <w:rsid w:val="008032DF"/>
    <w:rsid w:val="00803369"/>
    <w:rsid w:val="00803383"/>
    <w:rsid w:val="008034F5"/>
    <w:rsid w:val="008037A4"/>
    <w:rsid w:val="00803816"/>
    <w:rsid w:val="00803884"/>
    <w:rsid w:val="00803937"/>
    <w:rsid w:val="00803952"/>
    <w:rsid w:val="00803985"/>
    <w:rsid w:val="00803B30"/>
    <w:rsid w:val="00803C24"/>
    <w:rsid w:val="00803CEE"/>
    <w:rsid w:val="00803DB9"/>
    <w:rsid w:val="00803DBB"/>
    <w:rsid w:val="00803E57"/>
    <w:rsid w:val="008040A2"/>
    <w:rsid w:val="008040E0"/>
    <w:rsid w:val="008040E4"/>
    <w:rsid w:val="0080418D"/>
    <w:rsid w:val="0080422D"/>
    <w:rsid w:val="0080422E"/>
    <w:rsid w:val="0080423B"/>
    <w:rsid w:val="0080425E"/>
    <w:rsid w:val="00804301"/>
    <w:rsid w:val="0080438E"/>
    <w:rsid w:val="008043F3"/>
    <w:rsid w:val="00804457"/>
    <w:rsid w:val="00804466"/>
    <w:rsid w:val="00804472"/>
    <w:rsid w:val="008044C5"/>
    <w:rsid w:val="008044C8"/>
    <w:rsid w:val="00804632"/>
    <w:rsid w:val="00804758"/>
    <w:rsid w:val="00804797"/>
    <w:rsid w:val="008048DE"/>
    <w:rsid w:val="0080499E"/>
    <w:rsid w:val="00804A88"/>
    <w:rsid w:val="00804A99"/>
    <w:rsid w:val="00804B5B"/>
    <w:rsid w:val="00804B96"/>
    <w:rsid w:val="00804C5C"/>
    <w:rsid w:val="00804CA1"/>
    <w:rsid w:val="00804EC6"/>
    <w:rsid w:val="00804F75"/>
    <w:rsid w:val="00804FE6"/>
    <w:rsid w:val="0080502D"/>
    <w:rsid w:val="008050B3"/>
    <w:rsid w:val="008050BC"/>
    <w:rsid w:val="00805164"/>
    <w:rsid w:val="00805173"/>
    <w:rsid w:val="008054B3"/>
    <w:rsid w:val="008054D9"/>
    <w:rsid w:val="00805517"/>
    <w:rsid w:val="008055B5"/>
    <w:rsid w:val="008055CF"/>
    <w:rsid w:val="00805619"/>
    <w:rsid w:val="0080565D"/>
    <w:rsid w:val="00805749"/>
    <w:rsid w:val="00805792"/>
    <w:rsid w:val="008057AF"/>
    <w:rsid w:val="00805805"/>
    <w:rsid w:val="0080588E"/>
    <w:rsid w:val="008059D1"/>
    <w:rsid w:val="00805B8A"/>
    <w:rsid w:val="00805BB1"/>
    <w:rsid w:val="00805C48"/>
    <w:rsid w:val="00805CB3"/>
    <w:rsid w:val="00805CD1"/>
    <w:rsid w:val="00805E5E"/>
    <w:rsid w:val="00806007"/>
    <w:rsid w:val="00806048"/>
    <w:rsid w:val="0080609B"/>
    <w:rsid w:val="008060A4"/>
    <w:rsid w:val="0080615B"/>
    <w:rsid w:val="00806171"/>
    <w:rsid w:val="008061B5"/>
    <w:rsid w:val="00806257"/>
    <w:rsid w:val="00806565"/>
    <w:rsid w:val="00806625"/>
    <w:rsid w:val="00806688"/>
    <w:rsid w:val="008067B2"/>
    <w:rsid w:val="00806874"/>
    <w:rsid w:val="008068E5"/>
    <w:rsid w:val="00806A1B"/>
    <w:rsid w:val="00806A24"/>
    <w:rsid w:val="00806A27"/>
    <w:rsid w:val="00806B52"/>
    <w:rsid w:val="00806BA2"/>
    <w:rsid w:val="00806C25"/>
    <w:rsid w:val="00806C4A"/>
    <w:rsid w:val="00806D39"/>
    <w:rsid w:val="00806DE4"/>
    <w:rsid w:val="00806E0E"/>
    <w:rsid w:val="00806E47"/>
    <w:rsid w:val="00807030"/>
    <w:rsid w:val="00807183"/>
    <w:rsid w:val="008071D5"/>
    <w:rsid w:val="00807220"/>
    <w:rsid w:val="00807341"/>
    <w:rsid w:val="00807351"/>
    <w:rsid w:val="008073BF"/>
    <w:rsid w:val="00807418"/>
    <w:rsid w:val="0080742A"/>
    <w:rsid w:val="008074EB"/>
    <w:rsid w:val="00807554"/>
    <w:rsid w:val="00807668"/>
    <w:rsid w:val="00807775"/>
    <w:rsid w:val="00807841"/>
    <w:rsid w:val="008078C0"/>
    <w:rsid w:val="00807929"/>
    <w:rsid w:val="0080797C"/>
    <w:rsid w:val="00807A18"/>
    <w:rsid w:val="00807A3E"/>
    <w:rsid w:val="00807B28"/>
    <w:rsid w:val="00807CBA"/>
    <w:rsid w:val="00807DE4"/>
    <w:rsid w:val="00807E6E"/>
    <w:rsid w:val="00807FC6"/>
    <w:rsid w:val="008100F7"/>
    <w:rsid w:val="008100F9"/>
    <w:rsid w:val="00810112"/>
    <w:rsid w:val="00810125"/>
    <w:rsid w:val="00810151"/>
    <w:rsid w:val="008101B5"/>
    <w:rsid w:val="0081023A"/>
    <w:rsid w:val="0081024B"/>
    <w:rsid w:val="008102F6"/>
    <w:rsid w:val="00810338"/>
    <w:rsid w:val="0081035C"/>
    <w:rsid w:val="00810404"/>
    <w:rsid w:val="0081044C"/>
    <w:rsid w:val="008104D6"/>
    <w:rsid w:val="008105C8"/>
    <w:rsid w:val="008106E1"/>
    <w:rsid w:val="008107FC"/>
    <w:rsid w:val="008108D0"/>
    <w:rsid w:val="00810907"/>
    <w:rsid w:val="0081091C"/>
    <w:rsid w:val="008109BA"/>
    <w:rsid w:val="00810A99"/>
    <w:rsid w:val="00810B7D"/>
    <w:rsid w:val="00810C6D"/>
    <w:rsid w:val="00810CC4"/>
    <w:rsid w:val="0081101C"/>
    <w:rsid w:val="00811130"/>
    <w:rsid w:val="008111B9"/>
    <w:rsid w:val="008111FD"/>
    <w:rsid w:val="00811395"/>
    <w:rsid w:val="008113FD"/>
    <w:rsid w:val="00811433"/>
    <w:rsid w:val="00811591"/>
    <w:rsid w:val="00811670"/>
    <w:rsid w:val="008116A6"/>
    <w:rsid w:val="008117A9"/>
    <w:rsid w:val="008117CC"/>
    <w:rsid w:val="00811882"/>
    <w:rsid w:val="008118B4"/>
    <w:rsid w:val="008118FB"/>
    <w:rsid w:val="008119F1"/>
    <w:rsid w:val="00811A13"/>
    <w:rsid w:val="00811B1E"/>
    <w:rsid w:val="00811B75"/>
    <w:rsid w:val="00811BBE"/>
    <w:rsid w:val="00811C32"/>
    <w:rsid w:val="00811C52"/>
    <w:rsid w:val="00811CD4"/>
    <w:rsid w:val="00811D99"/>
    <w:rsid w:val="00811DE0"/>
    <w:rsid w:val="00811E2F"/>
    <w:rsid w:val="00811E4A"/>
    <w:rsid w:val="00811E96"/>
    <w:rsid w:val="00811F47"/>
    <w:rsid w:val="00811FC8"/>
    <w:rsid w:val="008120A7"/>
    <w:rsid w:val="008120AF"/>
    <w:rsid w:val="00812125"/>
    <w:rsid w:val="00812282"/>
    <w:rsid w:val="00812371"/>
    <w:rsid w:val="008123BD"/>
    <w:rsid w:val="008123D0"/>
    <w:rsid w:val="008124C6"/>
    <w:rsid w:val="00812533"/>
    <w:rsid w:val="008125A6"/>
    <w:rsid w:val="008125F6"/>
    <w:rsid w:val="008126B1"/>
    <w:rsid w:val="008126CE"/>
    <w:rsid w:val="00812717"/>
    <w:rsid w:val="008127F8"/>
    <w:rsid w:val="008128AE"/>
    <w:rsid w:val="0081295B"/>
    <w:rsid w:val="0081295F"/>
    <w:rsid w:val="0081296C"/>
    <w:rsid w:val="0081298B"/>
    <w:rsid w:val="008129C5"/>
    <w:rsid w:val="00812A29"/>
    <w:rsid w:val="00812AF5"/>
    <w:rsid w:val="00812C9D"/>
    <w:rsid w:val="00812CDE"/>
    <w:rsid w:val="00812CE3"/>
    <w:rsid w:val="00812D53"/>
    <w:rsid w:val="00812FB3"/>
    <w:rsid w:val="00812FCB"/>
    <w:rsid w:val="008130AB"/>
    <w:rsid w:val="008130CD"/>
    <w:rsid w:val="008131AA"/>
    <w:rsid w:val="008131CD"/>
    <w:rsid w:val="008131EB"/>
    <w:rsid w:val="0081332A"/>
    <w:rsid w:val="00813409"/>
    <w:rsid w:val="008134E5"/>
    <w:rsid w:val="008136BC"/>
    <w:rsid w:val="0081373D"/>
    <w:rsid w:val="008137B6"/>
    <w:rsid w:val="008138D1"/>
    <w:rsid w:val="008139A4"/>
    <w:rsid w:val="00813A2E"/>
    <w:rsid w:val="00813A34"/>
    <w:rsid w:val="00813BAF"/>
    <w:rsid w:val="00813BBD"/>
    <w:rsid w:val="00813BE7"/>
    <w:rsid w:val="00813C7E"/>
    <w:rsid w:val="00813E14"/>
    <w:rsid w:val="00813EE8"/>
    <w:rsid w:val="00813F2A"/>
    <w:rsid w:val="00813F58"/>
    <w:rsid w:val="008143D1"/>
    <w:rsid w:val="00814448"/>
    <w:rsid w:val="0081467B"/>
    <w:rsid w:val="0081472F"/>
    <w:rsid w:val="00814788"/>
    <w:rsid w:val="0081486F"/>
    <w:rsid w:val="008148E4"/>
    <w:rsid w:val="00814AD9"/>
    <w:rsid w:val="00814B05"/>
    <w:rsid w:val="00814BAA"/>
    <w:rsid w:val="00814BED"/>
    <w:rsid w:val="00814ED4"/>
    <w:rsid w:val="00814F83"/>
    <w:rsid w:val="00814FB5"/>
    <w:rsid w:val="00814FDE"/>
    <w:rsid w:val="00815013"/>
    <w:rsid w:val="0081502A"/>
    <w:rsid w:val="00815031"/>
    <w:rsid w:val="00815045"/>
    <w:rsid w:val="008150CF"/>
    <w:rsid w:val="00815274"/>
    <w:rsid w:val="008152F7"/>
    <w:rsid w:val="00815320"/>
    <w:rsid w:val="00815385"/>
    <w:rsid w:val="00815516"/>
    <w:rsid w:val="00815577"/>
    <w:rsid w:val="008155D7"/>
    <w:rsid w:val="00815674"/>
    <w:rsid w:val="00815781"/>
    <w:rsid w:val="00815784"/>
    <w:rsid w:val="008157A0"/>
    <w:rsid w:val="008157F1"/>
    <w:rsid w:val="0081584A"/>
    <w:rsid w:val="008158B3"/>
    <w:rsid w:val="00815925"/>
    <w:rsid w:val="0081599D"/>
    <w:rsid w:val="00815A50"/>
    <w:rsid w:val="00815B27"/>
    <w:rsid w:val="00815C79"/>
    <w:rsid w:val="00815C81"/>
    <w:rsid w:val="00815CF2"/>
    <w:rsid w:val="00815E46"/>
    <w:rsid w:val="00815E4C"/>
    <w:rsid w:val="00815F2C"/>
    <w:rsid w:val="00815F77"/>
    <w:rsid w:val="00815FB4"/>
    <w:rsid w:val="008160EF"/>
    <w:rsid w:val="00816167"/>
    <w:rsid w:val="008161AD"/>
    <w:rsid w:val="008161B7"/>
    <w:rsid w:val="00816482"/>
    <w:rsid w:val="00816547"/>
    <w:rsid w:val="0081659F"/>
    <w:rsid w:val="008166C0"/>
    <w:rsid w:val="00816710"/>
    <w:rsid w:val="0081675A"/>
    <w:rsid w:val="008167C9"/>
    <w:rsid w:val="008168DE"/>
    <w:rsid w:val="008168E3"/>
    <w:rsid w:val="008168FD"/>
    <w:rsid w:val="00816939"/>
    <w:rsid w:val="00816971"/>
    <w:rsid w:val="00816BFF"/>
    <w:rsid w:val="00816D0D"/>
    <w:rsid w:val="00816DCB"/>
    <w:rsid w:val="00816E23"/>
    <w:rsid w:val="00816E32"/>
    <w:rsid w:val="00816EC2"/>
    <w:rsid w:val="00816F00"/>
    <w:rsid w:val="00816F55"/>
    <w:rsid w:val="0081719A"/>
    <w:rsid w:val="008173BC"/>
    <w:rsid w:val="00817415"/>
    <w:rsid w:val="00817435"/>
    <w:rsid w:val="00817546"/>
    <w:rsid w:val="0081766E"/>
    <w:rsid w:val="0081771D"/>
    <w:rsid w:val="008177EF"/>
    <w:rsid w:val="00817873"/>
    <w:rsid w:val="00817903"/>
    <w:rsid w:val="00817924"/>
    <w:rsid w:val="0081793D"/>
    <w:rsid w:val="00817B3D"/>
    <w:rsid w:val="00817C25"/>
    <w:rsid w:val="00817C64"/>
    <w:rsid w:val="00817DC1"/>
    <w:rsid w:val="00817E17"/>
    <w:rsid w:val="00817E77"/>
    <w:rsid w:val="00817EF4"/>
    <w:rsid w:val="00817F1A"/>
    <w:rsid w:val="00817F80"/>
    <w:rsid w:val="00820037"/>
    <w:rsid w:val="008200E9"/>
    <w:rsid w:val="00820150"/>
    <w:rsid w:val="0082023C"/>
    <w:rsid w:val="0082027B"/>
    <w:rsid w:val="008202A9"/>
    <w:rsid w:val="008202B2"/>
    <w:rsid w:val="008202F0"/>
    <w:rsid w:val="008202F4"/>
    <w:rsid w:val="008203ED"/>
    <w:rsid w:val="00820573"/>
    <w:rsid w:val="00820697"/>
    <w:rsid w:val="0082080B"/>
    <w:rsid w:val="00820888"/>
    <w:rsid w:val="0082092F"/>
    <w:rsid w:val="008209DB"/>
    <w:rsid w:val="00820A49"/>
    <w:rsid w:val="00820A77"/>
    <w:rsid w:val="00820B9D"/>
    <w:rsid w:val="00820CA3"/>
    <w:rsid w:val="00820CD0"/>
    <w:rsid w:val="00820E47"/>
    <w:rsid w:val="00820ED5"/>
    <w:rsid w:val="00820ED8"/>
    <w:rsid w:val="00820EDE"/>
    <w:rsid w:val="008210A6"/>
    <w:rsid w:val="00821133"/>
    <w:rsid w:val="008212C6"/>
    <w:rsid w:val="0082134F"/>
    <w:rsid w:val="00821434"/>
    <w:rsid w:val="00821555"/>
    <w:rsid w:val="00821679"/>
    <w:rsid w:val="0082169C"/>
    <w:rsid w:val="008216F8"/>
    <w:rsid w:val="008217A7"/>
    <w:rsid w:val="0082182B"/>
    <w:rsid w:val="008218F0"/>
    <w:rsid w:val="008218FA"/>
    <w:rsid w:val="0082192C"/>
    <w:rsid w:val="00821A43"/>
    <w:rsid w:val="00821AB5"/>
    <w:rsid w:val="00821AD6"/>
    <w:rsid w:val="00821B89"/>
    <w:rsid w:val="00821BA1"/>
    <w:rsid w:val="00821BA3"/>
    <w:rsid w:val="00821BDA"/>
    <w:rsid w:val="00821BF8"/>
    <w:rsid w:val="00821CFB"/>
    <w:rsid w:val="00821D6C"/>
    <w:rsid w:val="00821FC5"/>
    <w:rsid w:val="00822042"/>
    <w:rsid w:val="00822077"/>
    <w:rsid w:val="00822127"/>
    <w:rsid w:val="0082237C"/>
    <w:rsid w:val="008224A3"/>
    <w:rsid w:val="008224AC"/>
    <w:rsid w:val="00822521"/>
    <w:rsid w:val="008225B3"/>
    <w:rsid w:val="00822687"/>
    <w:rsid w:val="0082272D"/>
    <w:rsid w:val="0082274C"/>
    <w:rsid w:val="0082275D"/>
    <w:rsid w:val="0082276E"/>
    <w:rsid w:val="008227F1"/>
    <w:rsid w:val="0082287B"/>
    <w:rsid w:val="008228BC"/>
    <w:rsid w:val="00822915"/>
    <w:rsid w:val="00822936"/>
    <w:rsid w:val="008229FB"/>
    <w:rsid w:val="00822A2A"/>
    <w:rsid w:val="00822A7E"/>
    <w:rsid w:val="00822C8C"/>
    <w:rsid w:val="00822D5D"/>
    <w:rsid w:val="00822E4A"/>
    <w:rsid w:val="00822EA7"/>
    <w:rsid w:val="00822F06"/>
    <w:rsid w:val="00822F74"/>
    <w:rsid w:val="00823039"/>
    <w:rsid w:val="008230E7"/>
    <w:rsid w:val="0082310B"/>
    <w:rsid w:val="0082339F"/>
    <w:rsid w:val="00823443"/>
    <w:rsid w:val="00823459"/>
    <w:rsid w:val="008234B3"/>
    <w:rsid w:val="00823525"/>
    <w:rsid w:val="0082353C"/>
    <w:rsid w:val="0082367C"/>
    <w:rsid w:val="008236E1"/>
    <w:rsid w:val="00823833"/>
    <w:rsid w:val="0082384F"/>
    <w:rsid w:val="00823914"/>
    <w:rsid w:val="00823991"/>
    <w:rsid w:val="00823A36"/>
    <w:rsid w:val="00823B2F"/>
    <w:rsid w:val="00823B49"/>
    <w:rsid w:val="00823B4D"/>
    <w:rsid w:val="00823B4F"/>
    <w:rsid w:val="00823D3F"/>
    <w:rsid w:val="00823D8E"/>
    <w:rsid w:val="0082407D"/>
    <w:rsid w:val="00824087"/>
    <w:rsid w:val="008241AF"/>
    <w:rsid w:val="008241D5"/>
    <w:rsid w:val="008241EB"/>
    <w:rsid w:val="0082429D"/>
    <w:rsid w:val="00824408"/>
    <w:rsid w:val="00824458"/>
    <w:rsid w:val="0082447A"/>
    <w:rsid w:val="00824600"/>
    <w:rsid w:val="00824621"/>
    <w:rsid w:val="00824696"/>
    <w:rsid w:val="008246CC"/>
    <w:rsid w:val="00824775"/>
    <w:rsid w:val="008247A9"/>
    <w:rsid w:val="0082488A"/>
    <w:rsid w:val="00824910"/>
    <w:rsid w:val="00824911"/>
    <w:rsid w:val="0082491C"/>
    <w:rsid w:val="008249CA"/>
    <w:rsid w:val="008249D9"/>
    <w:rsid w:val="008249F0"/>
    <w:rsid w:val="008249F7"/>
    <w:rsid w:val="00824ACE"/>
    <w:rsid w:val="00824B6B"/>
    <w:rsid w:val="00824B74"/>
    <w:rsid w:val="00824B98"/>
    <w:rsid w:val="00824BA6"/>
    <w:rsid w:val="00824BFC"/>
    <w:rsid w:val="00824C11"/>
    <w:rsid w:val="00824C1B"/>
    <w:rsid w:val="00824C7D"/>
    <w:rsid w:val="00824D78"/>
    <w:rsid w:val="00824DFF"/>
    <w:rsid w:val="0082504A"/>
    <w:rsid w:val="00825228"/>
    <w:rsid w:val="0082534C"/>
    <w:rsid w:val="0082536B"/>
    <w:rsid w:val="008253B6"/>
    <w:rsid w:val="008253F0"/>
    <w:rsid w:val="00825409"/>
    <w:rsid w:val="008254B6"/>
    <w:rsid w:val="0082560B"/>
    <w:rsid w:val="00825637"/>
    <w:rsid w:val="008258DC"/>
    <w:rsid w:val="008259B2"/>
    <w:rsid w:val="00825A2F"/>
    <w:rsid w:val="00825B1A"/>
    <w:rsid w:val="00825B92"/>
    <w:rsid w:val="00825BF4"/>
    <w:rsid w:val="00825D07"/>
    <w:rsid w:val="00825D17"/>
    <w:rsid w:val="00825D36"/>
    <w:rsid w:val="00825E2F"/>
    <w:rsid w:val="00825EBD"/>
    <w:rsid w:val="00825F9F"/>
    <w:rsid w:val="00826032"/>
    <w:rsid w:val="0082606A"/>
    <w:rsid w:val="008260A1"/>
    <w:rsid w:val="008260AB"/>
    <w:rsid w:val="00826151"/>
    <w:rsid w:val="008262AD"/>
    <w:rsid w:val="00826395"/>
    <w:rsid w:val="008263A0"/>
    <w:rsid w:val="00826465"/>
    <w:rsid w:val="0082654E"/>
    <w:rsid w:val="0082659F"/>
    <w:rsid w:val="008265E0"/>
    <w:rsid w:val="008266D1"/>
    <w:rsid w:val="008268B9"/>
    <w:rsid w:val="008268D8"/>
    <w:rsid w:val="008269FF"/>
    <w:rsid w:val="00826A81"/>
    <w:rsid w:val="00826A9A"/>
    <w:rsid w:val="00826B57"/>
    <w:rsid w:val="00826B7E"/>
    <w:rsid w:val="00826C22"/>
    <w:rsid w:val="00826E25"/>
    <w:rsid w:val="00826F98"/>
    <w:rsid w:val="00827027"/>
    <w:rsid w:val="00827108"/>
    <w:rsid w:val="0082713F"/>
    <w:rsid w:val="008271DF"/>
    <w:rsid w:val="00827228"/>
    <w:rsid w:val="00827269"/>
    <w:rsid w:val="008272CE"/>
    <w:rsid w:val="008272EE"/>
    <w:rsid w:val="00827316"/>
    <w:rsid w:val="00827378"/>
    <w:rsid w:val="008273FE"/>
    <w:rsid w:val="00827433"/>
    <w:rsid w:val="00827461"/>
    <w:rsid w:val="008274E3"/>
    <w:rsid w:val="0082751C"/>
    <w:rsid w:val="008276E5"/>
    <w:rsid w:val="0082780C"/>
    <w:rsid w:val="00827838"/>
    <w:rsid w:val="00827922"/>
    <w:rsid w:val="00827A39"/>
    <w:rsid w:val="00827B79"/>
    <w:rsid w:val="00827CC5"/>
    <w:rsid w:val="00827D26"/>
    <w:rsid w:val="00827E23"/>
    <w:rsid w:val="00827F7B"/>
    <w:rsid w:val="00830160"/>
    <w:rsid w:val="00830194"/>
    <w:rsid w:val="008301C2"/>
    <w:rsid w:val="008301DD"/>
    <w:rsid w:val="0083024B"/>
    <w:rsid w:val="008302EC"/>
    <w:rsid w:val="00830354"/>
    <w:rsid w:val="0083036F"/>
    <w:rsid w:val="0083038E"/>
    <w:rsid w:val="008303F3"/>
    <w:rsid w:val="0083049D"/>
    <w:rsid w:val="00830586"/>
    <w:rsid w:val="008306A6"/>
    <w:rsid w:val="008306C3"/>
    <w:rsid w:val="00830719"/>
    <w:rsid w:val="00830A5F"/>
    <w:rsid w:val="00830B08"/>
    <w:rsid w:val="00830B7E"/>
    <w:rsid w:val="00830B92"/>
    <w:rsid w:val="00830BA2"/>
    <w:rsid w:val="00830C68"/>
    <w:rsid w:val="00830C79"/>
    <w:rsid w:val="00830CF4"/>
    <w:rsid w:val="00830CF5"/>
    <w:rsid w:val="00830DB2"/>
    <w:rsid w:val="00830EAB"/>
    <w:rsid w:val="00830F34"/>
    <w:rsid w:val="00830F50"/>
    <w:rsid w:val="00830F62"/>
    <w:rsid w:val="00831085"/>
    <w:rsid w:val="00831192"/>
    <w:rsid w:val="0083126A"/>
    <w:rsid w:val="008312C1"/>
    <w:rsid w:val="0083142C"/>
    <w:rsid w:val="0083144D"/>
    <w:rsid w:val="008314DE"/>
    <w:rsid w:val="008315DC"/>
    <w:rsid w:val="008315EE"/>
    <w:rsid w:val="00831726"/>
    <w:rsid w:val="008317DC"/>
    <w:rsid w:val="00831A0A"/>
    <w:rsid w:val="00831B16"/>
    <w:rsid w:val="00831B86"/>
    <w:rsid w:val="00831C1B"/>
    <w:rsid w:val="00831C5C"/>
    <w:rsid w:val="00831C6D"/>
    <w:rsid w:val="00831D14"/>
    <w:rsid w:val="00831DF1"/>
    <w:rsid w:val="00831E04"/>
    <w:rsid w:val="00831E9A"/>
    <w:rsid w:val="00831EAA"/>
    <w:rsid w:val="0083205A"/>
    <w:rsid w:val="008320C7"/>
    <w:rsid w:val="008320EE"/>
    <w:rsid w:val="008321A3"/>
    <w:rsid w:val="008321EB"/>
    <w:rsid w:val="0083224B"/>
    <w:rsid w:val="0083228B"/>
    <w:rsid w:val="008322E4"/>
    <w:rsid w:val="008324CF"/>
    <w:rsid w:val="008324EC"/>
    <w:rsid w:val="008324FC"/>
    <w:rsid w:val="00832547"/>
    <w:rsid w:val="00832550"/>
    <w:rsid w:val="00832601"/>
    <w:rsid w:val="0083261E"/>
    <w:rsid w:val="00832628"/>
    <w:rsid w:val="0083263C"/>
    <w:rsid w:val="0083268F"/>
    <w:rsid w:val="008327A5"/>
    <w:rsid w:val="008328EF"/>
    <w:rsid w:val="00832961"/>
    <w:rsid w:val="00832A5E"/>
    <w:rsid w:val="00832A8B"/>
    <w:rsid w:val="00832BC4"/>
    <w:rsid w:val="00832BD0"/>
    <w:rsid w:val="00832CE4"/>
    <w:rsid w:val="00832E39"/>
    <w:rsid w:val="00832F68"/>
    <w:rsid w:val="00833158"/>
    <w:rsid w:val="00833269"/>
    <w:rsid w:val="008332B2"/>
    <w:rsid w:val="008332C1"/>
    <w:rsid w:val="0083339E"/>
    <w:rsid w:val="008333C6"/>
    <w:rsid w:val="008333DE"/>
    <w:rsid w:val="008333E8"/>
    <w:rsid w:val="00833525"/>
    <w:rsid w:val="0083355E"/>
    <w:rsid w:val="008335F2"/>
    <w:rsid w:val="008336A3"/>
    <w:rsid w:val="0083371D"/>
    <w:rsid w:val="00833843"/>
    <w:rsid w:val="0083390A"/>
    <w:rsid w:val="0083395E"/>
    <w:rsid w:val="008339AC"/>
    <w:rsid w:val="00833B59"/>
    <w:rsid w:val="00833B6D"/>
    <w:rsid w:val="00833C03"/>
    <w:rsid w:val="00833D95"/>
    <w:rsid w:val="00833DA4"/>
    <w:rsid w:val="00833EF2"/>
    <w:rsid w:val="00833F68"/>
    <w:rsid w:val="00833F93"/>
    <w:rsid w:val="00833FE7"/>
    <w:rsid w:val="00834233"/>
    <w:rsid w:val="00834241"/>
    <w:rsid w:val="008342EB"/>
    <w:rsid w:val="0083439E"/>
    <w:rsid w:val="00834423"/>
    <w:rsid w:val="008345DB"/>
    <w:rsid w:val="008345E5"/>
    <w:rsid w:val="0083463D"/>
    <w:rsid w:val="0083472F"/>
    <w:rsid w:val="00834757"/>
    <w:rsid w:val="00834817"/>
    <w:rsid w:val="0083485E"/>
    <w:rsid w:val="00834861"/>
    <w:rsid w:val="00834A3A"/>
    <w:rsid w:val="00834B62"/>
    <w:rsid w:val="00834BB4"/>
    <w:rsid w:val="00834BBB"/>
    <w:rsid w:val="00834BC8"/>
    <w:rsid w:val="00834C3A"/>
    <w:rsid w:val="00834C99"/>
    <w:rsid w:val="00834CC4"/>
    <w:rsid w:val="00834D64"/>
    <w:rsid w:val="00834DDA"/>
    <w:rsid w:val="00834E00"/>
    <w:rsid w:val="00834E02"/>
    <w:rsid w:val="00834EC0"/>
    <w:rsid w:val="00834F50"/>
    <w:rsid w:val="0083502C"/>
    <w:rsid w:val="00835092"/>
    <w:rsid w:val="00835184"/>
    <w:rsid w:val="00835310"/>
    <w:rsid w:val="0083534F"/>
    <w:rsid w:val="00835354"/>
    <w:rsid w:val="00835449"/>
    <w:rsid w:val="008354E6"/>
    <w:rsid w:val="00835607"/>
    <w:rsid w:val="0083596E"/>
    <w:rsid w:val="00835987"/>
    <w:rsid w:val="00835A03"/>
    <w:rsid w:val="00835A27"/>
    <w:rsid w:val="00835AEF"/>
    <w:rsid w:val="00835BDB"/>
    <w:rsid w:val="00835BE5"/>
    <w:rsid w:val="00835C53"/>
    <w:rsid w:val="00835C7A"/>
    <w:rsid w:val="00835C87"/>
    <w:rsid w:val="00835CAF"/>
    <w:rsid w:val="00835E38"/>
    <w:rsid w:val="00835E42"/>
    <w:rsid w:val="00835EC9"/>
    <w:rsid w:val="00835FBC"/>
    <w:rsid w:val="008360CB"/>
    <w:rsid w:val="008365CB"/>
    <w:rsid w:val="00836702"/>
    <w:rsid w:val="00836709"/>
    <w:rsid w:val="0083673A"/>
    <w:rsid w:val="00836811"/>
    <w:rsid w:val="00836928"/>
    <w:rsid w:val="00836973"/>
    <w:rsid w:val="00836AC1"/>
    <w:rsid w:val="00836B27"/>
    <w:rsid w:val="00836BD0"/>
    <w:rsid w:val="00836C05"/>
    <w:rsid w:val="00836C22"/>
    <w:rsid w:val="00836CAF"/>
    <w:rsid w:val="00836D51"/>
    <w:rsid w:val="00836F02"/>
    <w:rsid w:val="0083708F"/>
    <w:rsid w:val="00837094"/>
    <w:rsid w:val="00837097"/>
    <w:rsid w:val="008370C5"/>
    <w:rsid w:val="0083717E"/>
    <w:rsid w:val="00837318"/>
    <w:rsid w:val="0083734F"/>
    <w:rsid w:val="0083750D"/>
    <w:rsid w:val="00837521"/>
    <w:rsid w:val="00837524"/>
    <w:rsid w:val="00837690"/>
    <w:rsid w:val="00837938"/>
    <w:rsid w:val="008379E1"/>
    <w:rsid w:val="00837B3C"/>
    <w:rsid w:val="00837B74"/>
    <w:rsid w:val="00837E63"/>
    <w:rsid w:val="00837F41"/>
    <w:rsid w:val="00840029"/>
    <w:rsid w:val="00840192"/>
    <w:rsid w:val="00840350"/>
    <w:rsid w:val="00840386"/>
    <w:rsid w:val="0084054C"/>
    <w:rsid w:val="0084056C"/>
    <w:rsid w:val="0084057A"/>
    <w:rsid w:val="00840648"/>
    <w:rsid w:val="00840695"/>
    <w:rsid w:val="008406FE"/>
    <w:rsid w:val="008407DF"/>
    <w:rsid w:val="00840826"/>
    <w:rsid w:val="008408F5"/>
    <w:rsid w:val="00840988"/>
    <w:rsid w:val="00840AA2"/>
    <w:rsid w:val="00840B2B"/>
    <w:rsid w:val="00840C3C"/>
    <w:rsid w:val="00840E5B"/>
    <w:rsid w:val="00840EBA"/>
    <w:rsid w:val="00840ED2"/>
    <w:rsid w:val="00840F90"/>
    <w:rsid w:val="0084106B"/>
    <w:rsid w:val="008410BD"/>
    <w:rsid w:val="00841102"/>
    <w:rsid w:val="0084113D"/>
    <w:rsid w:val="00841176"/>
    <w:rsid w:val="008412A2"/>
    <w:rsid w:val="008412D5"/>
    <w:rsid w:val="00841315"/>
    <w:rsid w:val="00841388"/>
    <w:rsid w:val="0084139A"/>
    <w:rsid w:val="00841533"/>
    <w:rsid w:val="0084158B"/>
    <w:rsid w:val="008415AF"/>
    <w:rsid w:val="008415DA"/>
    <w:rsid w:val="00841637"/>
    <w:rsid w:val="00841688"/>
    <w:rsid w:val="00841818"/>
    <w:rsid w:val="00841828"/>
    <w:rsid w:val="008418BC"/>
    <w:rsid w:val="008418E5"/>
    <w:rsid w:val="008418EA"/>
    <w:rsid w:val="0084199A"/>
    <w:rsid w:val="008419CD"/>
    <w:rsid w:val="00841A61"/>
    <w:rsid w:val="00841B0F"/>
    <w:rsid w:val="00841B74"/>
    <w:rsid w:val="00841BB5"/>
    <w:rsid w:val="00841BC4"/>
    <w:rsid w:val="00841D4C"/>
    <w:rsid w:val="00841DA9"/>
    <w:rsid w:val="00841EFB"/>
    <w:rsid w:val="00841F44"/>
    <w:rsid w:val="00841FA8"/>
    <w:rsid w:val="00841FB1"/>
    <w:rsid w:val="00841FE4"/>
    <w:rsid w:val="00842037"/>
    <w:rsid w:val="0084203F"/>
    <w:rsid w:val="008420B4"/>
    <w:rsid w:val="0084217E"/>
    <w:rsid w:val="008421A9"/>
    <w:rsid w:val="008422A8"/>
    <w:rsid w:val="008422B4"/>
    <w:rsid w:val="00842340"/>
    <w:rsid w:val="00842395"/>
    <w:rsid w:val="00842471"/>
    <w:rsid w:val="00842486"/>
    <w:rsid w:val="00842674"/>
    <w:rsid w:val="0084273A"/>
    <w:rsid w:val="008427C4"/>
    <w:rsid w:val="00842808"/>
    <w:rsid w:val="008428B6"/>
    <w:rsid w:val="008428D8"/>
    <w:rsid w:val="008428EA"/>
    <w:rsid w:val="00842939"/>
    <w:rsid w:val="008429CC"/>
    <w:rsid w:val="00842A55"/>
    <w:rsid w:val="00842B3D"/>
    <w:rsid w:val="00842C2D"/>
    <w:rsid w:val="00842C82"/>
    <w:rsid w:val="00842CCF"/>
    <w:rsid w:val="00842D11"/>
    <w:rsid w:val="00842D3C"/>
    <w:rsid w:val="00842D44"/>
    <w:rsid w:val="00842D49"/>
    <w:rsid w:val="00842D52"/>
    <w:rsid w:val="00842F4C"/>
    <w:rsid w:val="00842F67"/>
    <w:rsid w:val="00843037"/>
    <w:rsid w:val="008430BD"/>
    <w:rsid w:val="0084319E"/>
    <w:rsid w:val="008431ED"/>
    <w:rsid w:val="00843273"/>
    <w:rsid w:val="008432FD"/>
    <w:rsid w:val="008433A2"/>
    <w:rsid w:val="00843459"/>
    <w:rsid w:val="008436D7"/>
    <w:rsid w:val="0084370B"/>
    <w:rsid w:val="0084378B"/>
    <w:rsid w:val="0084386E"/>
    <w:rsid w:val="00843899"/>
    <w:rsid w:val="008439DC"/>
    <w:rsid w:val="00843A15"/>
    <w:rsid w:val="00843C45"/>
    <w:rsid w:val="00843C95"/>
    <w:rsid w:val="00843E82"/>
    <w:rsid w:val="00843F5F"/>
    <w:rsid w:val="00843F9A"/>
    <w:rsid w:val="0084400F"/>
    <w:rsid w:val="008440FE"/>
    <w:rsid w:val="00844155"/>
    <w:rsid w:val="008443F2"/>
    <w:rsid w:val="0084455D"/>
    <w:rsid w:val="0084478B"/>
    <w:rsid w:val="00844793"/>
    <w:rsid w:val="008447A6"/>
    <w:rsid w:val="008447B3"/>
    <w:rsid w:val="00844955"/>
    <w:rsid w:val="00844A3C"/>
    <w:rsid w:val="00844A75"/>
    <w:rsid w:val="00844AED"/>
    <w:rsid w:val="00844B05"/>
    <w:rsid w:val="00844BA7"/>
    <w:rsid w:val="00844BC3"/>
    <w:rsid w:val="00844CE7"/>
    <w:rsid w:val="00844CFA"/>
    <w:rsid w:val="00844DA8"/>
    <w:rsid w:val="00844F9B"/>
    <w:rsid w:val="0084507F"/>
    <w:rsid w:val="008450A8"/>
    <w:rsid w:val="008450F4"/>
    <w:rsid w:val="00845134"/>
    <w:rsid w:val="0084525C"/>
    <w:rsid w:val="00845276"/>
    <w:rsid w:val="008452DA"/>
    <w:rsid w:val="00845316"/>
    <w:rsid w:val="00845318"/>
    <w:rsid w:val="00845347"/>
    <w:rsid w:val="008453A7"/>
    <w:rsid w:val="008453BF"/>
    <w:rsid w:val="00845433"/>
    <w:rsid w:val="008456BD"/>
    <w:rsid w:val="00845810"/>
    <w:rsid w:val="008458E0"/>
    <w:rsid w:val="0084593D"/>
    <w:rsid w:val="00845ACA"/>
    <w:rsid w:val="00845BB6"/>
    <w:rsid w:val="00845C16"/>
    <w:rsid w:val="00845C58"/>
    <w:rsid w:val="00845CD2"/>
    <w:rsid w:val="00845DDF"/>
    <w:rsid w:val="00845DFB"/>
    <w:rsid w:val="00845E62"/>
    <w:rsid w:val="00845F15"/>
    <w:rsid w:val="00845F3C"/>
    <w:rsid w:val="00845F80"/>
    <w:rsid w:val="00845FC4"/>
    <w:rsid w:val="00845FE5"/>
    <w:rsid w:val="00846119"/>
    <w:rsid w:val="008461B7"/>
    <w:rsid w:val="0084637A"/>
    <w:rsid w:val="0084637B"/>
    <w:rsid w:val="0084643B"/>
    <w:rsid w:val="00846476"/>
    <w:rsid w:val="00846477"/>
    <w:rsid w:val="0084652A"/>
    <w:rsid w:val="00846531"/>
    <w:rsid w:val="0084673A"/>
    <w:rsid w:val="00846971"/>
    <w:rsid w:val="0084698C"/>
    <w:rsid w:val="00846C81"/>
    <w:rsid w:val="00846CE0"/>
    <w:rsid w:val="00846D3D"/>
    <w:rsid w:val="00846D51"/>
    <w:rsid w:val="00846D9E"/>
    <w:rsid w:val="00846E9B"/>
    <w:rsid w:val="00846EB5"/>
    <w:rsid w:val="00846FC9"/>
    <w:rsid w:val="0084701D"/>
    <w:rsid w:val="00847064"/>
    <w:rsid w:val="0084708C"/>
    <w:rsid w:val="008470D8"/>
    <w:rsid w:val="008470DB"/>
    <w:rsid w:val="00847202"/>
    <w:rsid w:val="008472A2"/>
    <w:rsid w:val="008472F3"/>
    <w:rsid w:val="00847353"/>
    <w:rsid w:val="008473B5"/>
    <w:rsid w:val="008474E3"/>
    <w:rsid w:val="00847548"/>
    <w:rsid w:val="0084766C"/>
    <w:rsid w:val="008476A4"/>
    <w:rsid w:val="00847784"/>
    <w:rsid w:val="00847879"/>
    <w:rsid w:val="008478C3"/>
    <w:rsid w:val="00847972"/>
    <w:rsid w:val="00847A2A"/>
    <w:rsid w:val="00847A48"/>
    <w:rsid w:val="00847C04"/>
    <w:rsid w:val="00847C13"/>
    <w:rsid w:val="00847C63"/>
    <w:rsid w:val="00847D71"/>
    <w:rsid w:val="00847DA3"/>
    <w:rsid w:val="00847E93"/>
    <w:rsid w:val="00847E9D"/>
    <w:rsid w:val="00847ED8"/>
    <w:rsid w:val="00847F17"/>
    <w:rsid w:val="00847F3F"/>
    <w:rsid w:val="00847FE7"/>
    <w:rsid w:val="00850214"/>
    <w:rsid w:val="00850230"/>
    <w:rsid w:val="008504CC"/>
    <w:rsid w:val="0085064C"/>
    <w:rsid w:val="0085087B"/>
    <w:rsid w:val="00850891"/>
    <w:rsid w:val="0085092D"/>
    <w:rsid w:val="00850B15"/>
    <w:rsid w:val="00850C90"/>
    <w:rsid w:val="00850CC0"/>
    <w:rsid w:val="00850CCD"/>
    <w:rsid w:val="00850DF2"/>
    <w:rsid w:val="00850E7B"/>
    <w:rsid w:val="00850F71"/>
    <w:rsid w:val="00851083"/>
    <w:rsid w:val="00851089"/>
    <w:rsid w:val="008510C7"/>
    <w:rsid w:val="0085110B"/>
    <w:rsid w:val="00851117"/>
    <w:rsid w:val="00851159"/>
    <w:rsid w:val="0085129F"/>
    <w:rsid w:val="008514DC"/>
    <w:rsid w:val="00851609"/>
    <w:rsid w:val="00851725"/>
    <w:rsid w:val="008518D8"/>
    <w:rsid w:val="0085194E"/>
    <w:rsid w:val="00851953"/>
    <w:rsid w:val="0085197D"/>
    <w:rsid w:val="0085197F"/>
    <w:rsid w:val="008519F8"/>
    <w:rsid w:val="00851AB3"/>
    <w:rsid w:val="00851ABB"/>
    <w:rsid w:val="00851B2D"/>
    <w:rsid w:val="00851B4C"/>
    <w:rsid w:val="00851B4F"/>
    <w:rsid w:val="00851C51"/>
    <w:rsid w:val="00851C71"/>
    <w:rsid w:val="00851D18"/>
    <w:rsid w:val="00851DD6"/>
    <w:rsid w:val="00851E09"/>
    <w:rsid w:val="00851F61"/>
    <w:rsid w:val="0085200C"/>
    <w:rsid w:val="0085201D"/>
    <w:rsid w:val="00852084"/>
    <w:rsid w:val="008520EF"/>
    <w:rsid w:val="00852190"/>
    <w:rsid w:val="00852194"/>
    <w:rsid w:val="008521D4"/>
    <w:rsid w:val="008521E0"/>
    <w:rsid w:val="0085229E"/>
    <w:rsid w:val="008522F8"/>
    <w:rsid w:val="00852321"/>
    <w:rsid w:val="008523A4"/>
    <w:rsid w:val="00852494"/>
    <w:rsid w:val="00852509"/>
    <w:rsid w:val="00852591"/>
    <w:rsid w:val="008525CB"/>
    <w:rsid w:val="008525CD"/>
    <w:rsid w:val="008525E7"/>
    <w:rsid w:val="00852706"/>
    <w:rsid w:val="00852735"/>
    <w:rsid w:val="0085276E"/>
    <w:rsid w:val="0085277E"/>
    <w:rsid w:val="008527ED"/>
    <w:rsid w:val="00852850"/>
    <w:rsid w:val="00852874"/>
    <w:rsid w:val="00852877"/>
    <w:rsid w:val="00852979"/>
    <w:rsid w:val="00852A20"/>
    <w:rsid w:val="00852A2C"/>
    <w:rsid w:val="00852AF1"/>
    <w:rsid w:val="00852B29"/>
    <w:rsid w:val="00852B4A"/>
    <w:rsid w:val="00852B90"/>
    <w:rsid w:val="00852BA0"/>
    <w:rsid w:val="00852BC4"/>
    <w:rsid w:val="00852C0B"/>
    <w:rsid w:val="00852DE8"/>
    <w:rsid w:val="00852E09"/>
    <w:rsid w:val="00852E36"/>
    <w:rsid w:val="00852E6A"/>
    <w:rsid w:val="0085313D"/>
    <w:rsid w:val="00853154"/>
    <w:rsid w:val="00853162"/>
    <w:rsid w:val="00853170"/>
    <w:rsid w:val="00853370"/>
    <w:rsid w:val="008535D5"/>
    <w:rsid w:val="008536A0"/>
    <w:rsid w:val="008536EA"/>
    <w:rsid w:val="008537F7"/>
    <w:rsid w:val="0085391C"/>
    <w:rsid w:val="00853935"/>
    <w:rsid w:val="00853A3A"/>
    <w:rsid w:val="00853A7E"/>
    <w:rsid w:val="00853AA9"/>
    <w:rsid w:val="00853AEB"/>
    <w:rsid w:val="00853B41"/>
    <w:rsid w:val="00853CA1"/>
    <w:rsid w:val="00853CDC"/>
    <w:rsid w:val="00853E1C"/>
    <w:rsid w:val="00853F4B"/>
    <w:rsid w:val="0085404F"/>
    <w:rsid w:val="008541AA"/>
    <w:rsid w:val="00854203"/>
    <w:rsid w:val="008542A1"/>
    <w:rsid w:val="0085431F"/>
    <w:rsid w:val="00854507"/>
    <w:rsid w:val="008546BE"/>
    <w:rsid w:val="0085475A"/>
    <w:rsid w:val="0085481A"/>
    <w:rsid w:val="008548EF"/>
    <w:rsid w:val="00854970"/>
    <w:rsid w:val="00854A68"/>
    <w:rsid w:val="00854B39"/>
    <w:rsid w:val="00854C08"/>
    <w:rsid w:val="00854D1A"/>
    <w:rsid w:val="00854D1C"/>
    <w:rsid w:val="00854D3F"/>
    <w:rsid w:val="00854D5D"/>
    <w:rsid w:val="00854D74"/>
    <w:rsid w:val="00854E77"/>
    <w:rsid w:val="00854E87"/>
    <w:rsid w:val="00854ECD"/>
    <w:rsid w:val="00854FAA"/>
    <w:rsid w:val="00854FD4"/>
    <w:rsid w:val="00855080"/>
    <w:rsid w:val="00855114"/>
    <w:rsid w:val="008551B0"/>
    <w:rsid w:val="008551D4"/>
    <w:rsid w:val="00855213"/>
    <w:rsid w:val="00855233"/>
    <w:rsid w:val="00855267"/>
    <w:rsid w:val="0085532D"/>
    <w:rsid w:val="0085549A"/>
    <w:rsid w:val="0085553D"/>
    <w:rsid w:val="00855609"/>
    <w:rsid w:val="00855623"/>
    <w:rsid w:val="00855661"/>
    <w:rsid w:val="008556B7"/>
    <w:rsid w:val="00855775"/>
    <w:rsid w:val="008557EA"/>
    <w:rsid w:val="00855888"/>
    <w:rsid w:val="0085590F"/>
    <w:rsid w:val="00855972"/>
    <w:rsid w:val="008559D6"/>
    <w:rsid w:val="008559DA"/>
    <w:rsid w:val="00855B49"/>
    <w:rsid w:val="00855C2E"/>
    <w:rsid w:val="00855EAE"/>
    <w:rsid w:val="00855EFE"/>
    <w:rsid w:val="00855F37"/>
    <w:rsid w:val="00856074"/>
    <w:rsid w:val="0085611D"/>
    <w:rsid w:val="0085614E"/>
    <w:rsid w:val="008562A6"/>
    <w:rsid w:val="00856422"/>
    <w:rsid w:val="008564AA"/>
    <w:rsid w:val="008564CD"/>
    <w:rsid w:val="00856536"/>
    <w:rsid w:val="00856557"/>
    <w:rsid w:val="008565FB"/>
    <w:rsid w:val="008568F7"/>
    <w:rsid w:val="00856909"/>
    <w:rsid w:val="00856A1A"/>
    <w:rsid w:val="00856A3A"/>
    <w:rsid w:val="00856B48"/>
    <w:rsid w:val="00856C71"/>
    <w:rsid w:val="00856CB3"/>
    <w:rsid w:val="00856DC7"/>
    <w:rsid w:val="00856E0B"/>
    <w:rsid w:val="00856EFC"/>
    <w:rsid w:val="00856F3E"/>
    <w:rsid w:val="00856F4E"/>
    <w:rsid w:val="00856F4F"/>
    <w:rsid w:val="00857009"/>
    <w:rsid w:val="0085705F"/>
    <w:rsid w:val="008570D3"/>
    <w:rsid w:val="00857158"/>
    <w:rsid w:val="008571AA"/>
    <w:rsid w:val="008571E6"/>
    <w:rsid w:val="00857202"/>
    <w:rsid w:val="00857228"/>
    <w:rsid w:val="008572B0"/>
    <w:rsid w:val="008572FE"/>
    <w:rsid w:val="00857313"/>
    <w:rsid w:val="0085735E"/>
    <w:rsid w:val="008573FE"/>
    <w:rsid w:val="00857438"/>
    <w:rsid w:val="00857609"/>
    <w:rsid w:val="0085760E"/>
    <w:rsid w:val="0085766C"/>
    <w:rsid w:val="0085770A"/>
    <w:rsid w:val="008577E4"/>
    <w:rsid w:val="008577F0"/>
    <w:rsid w:val="00857949"/>
    <w:rsid w:val="0085799B"/>
    <w:rsid w:val="008579F3"/>
    <w:rsid w:val="00857A40"/>
    <w:rsid w:val="00857A43"/>
    <w:rsid w:val="00857B39"/>
    <w:rsid w:val="00857B87"/>
    <w:rsid w:val="00857BFF"/>
    <w:rsid w:val="00857D53"/>
    <w:rsid w:val="00857E17"/>
    <w:rsid w:val="00857E42"/>
    <w:rsid w:val="00857E75"/>
    <w:rsid w:val="00857E83"/>
    <w:rsid w:val="00857EA2"/>
    <w:rsid w:val="00857EC0"/>
    <w:rsid w:val="00857ED0"/>
    <w:rsid w:val="00857F2C"/>
    <w:rsid w:val="00857F42"/>
    <w:rsid w:val="00857F74"/>
    <w:rsid w:val="00857F8A"/>
    <w:rsid w:val="00860156"/>
    <w:rsid w:val="00860485"/>
    <w:rsid w:val="008607CE"/>
    <w:rsid w:val="00860804"/>
    <w:rsid w:val="008609D8"/>
    <w:rsid w:val="00860BB1"/>
    <w:rsid w:val="00860CF6"/>
    <w:rsid w:val="00860D18"/>
    <w:rsid w:val="00860DB2"/>
    <w:rsid w:val="00860DDD"/>
    <w:rsid w:val="00860E32"/>
    <w:rsid w:val="00860E6D"/>
    <w:rsid w:val="00860FAA"/>
    <w:rsid w:val="00860FDA"/>
    <w:rsid w:val="0086100C"/>
    <w:rsid w:val="008610D7"/>
    <w:rsid w:val="0086110C"/>
    <w:rsid w:val="00861115"/>
    <w:rsid w:val="00861126"/>
    <w:rsid w:val="00861138"/>
    <w:rsid w:val="008611DD"/>
    <w:rsid w:val="00861214"/>
    <w:rsid w:val="0086129A"/>
    <w:rsid w:val="008612B4"/>
    <w:rsid w:val="008613D2"/>
    <w:rsid w:val="008615DE"/>
    <w:rsid w:val="008616DA"/>
    <w:rsid w:val="00861748"/>
    <w:rsid w:val="0086175B"/>
    <w:rsid w:val="00861817"/>
    <w:rsid w:val="00861981"/>
    <w:rsid w:val="008619E7"/>
    <w:rsid w:val="00861A0D"/>
    <w:rsid w:val="00861B04"/>
    <w:rsid w:val="00861B1F"/>
    <w:rsid w:val="00861BC2"/>
    <w:rsid w:val="00861C06"/>
    <w:rsid w:val="00861CEA"/>
    <w:rsid w:val="00861CF1"/>
    <w:rsid w:val="00861D0F"/>
    <w:rsid w:val="00861D26"/>
    <w:rsid w:val="00861E1C"/>
    <w:rsid w:val="00861EC0"/>
    <w:rsid w:val="00861EDE"/>
    <w:rsid w:val="00861FD7"/>
    <w:rsid w:val="00862095"/>
    <w:rsid w:val="0086214F"/>
    <w:rsid w:val="00862177"/>
    <w:rsid w:val="00862405"/>
    <w:rsid w:val="0086242F"/>
    <w:rsid w:val="00862477"/>
    <w:rsid w:val="0086247E"/>
    <w:rsid w:val="00862694"/>
    <w:rsid w:val="0086271E"/>
    <w:rsid w:val="00862770"/>
    <w:rsid w:val="008628A9"/>
    <w:rsid w:val="00862974"/>
    <w:rsid w:val="00862989"/>
    <w:rsid w:val="00862A21"/>
    <w:rsid w:val="00862AC5"/>
    <w:rsid w:val="00862B21"/>
    <w:rsid w:val="00862B24"/>
    <w:rsid w:val="00862B2A"/>
    <w:rsid w:val="00862B95"/>
    <w:rsid w:val="00862C6B"/>
    <w:rsid w:val="00862CAB"/>
    <w:rsid w:val="00862CDB"/>
    <w:rsid w:val="00862DCE"/>
    <w:rsid w:val="00862E88"/>
    <w:rsid w:val="00862EFF"/>
    <w:rsid w:val="00862F8B"/>
    <w:rsid w:val="0086304F"/>
    <w:rsid w:val="00863151"/>
    <w:rsid w:val="00863154"/>
    <w:rsid w:val="0086315B"/>
    <w:rsid w:val="008632A8"/>
    <w:rsid w:val="008633E5"/>
    <w:rsid w:val="00863418"/>
    <w:rsid w:val="008634B9"/>
    <w:rsid w:val="0086352A"/>
    <w:rsid w:val="00863530"/>
    <w:rsid w:val="00863567"/>
    <w:rsid w:val="0086360C"/>
    <w:rsid w:val="00863675"/>
    <w:rsid w:val="00863727"/>
    <w:rsid w:val="00863880"/>
    <w:rsid w:val="00863932"/>
    <w:rsid w:val="0086397F"/>
    <w:rsid w:val="00863A1F"/>
    <w:rsid w:val="00863ADA"/>
    <w:rsid w:val="00863BBB"/>
    <w:rsid w:val="00863BD4"/>
    <w:rsid w:val="00863C97"/>
    <w:rsid w:val="00863DAA"/>
    <w:rsid w:val="00863DC5"/>
    <w:rsid w:val="00863E53"/>
    <w:rsid w:val="00863F18"/>
    <w:rsid w:val="00863F50"/>
    <w:rsid w:val="00864033"/>
    <w:rsid w:val="00864053"/>
    <w:rsid w:val="00864067"/>
    <w:rsid w:val="00864138"/>
    <w:rsid w:val="008641A0"/>
    <w:rsid w:val="0086424C"/>
    <w:rsid w:val="008642D8"/>
    <w:rsid w:val="00864412"/>
    <w:rsid w:val="0086446F"/>
    <w:rsid w:val="00864512"/>
    <w:rsid w:val="00864514"/>
    <w:rsid w:val="00864545"/>
    <w:rsid w:val="0086457E"/>
    <w:rsid w:val="008645A4"/>
    <w:rsid w:val="008645AD"/>
    <w:rsid w:val="0086462B"/>
    <w:rsid w:val="0086469A"/>
    <w:rsid w:val="0086469D"/>
    <w:rsid w:val="008646DE"/>
    <w:rsid w:val="008646E8"/>
    <w:rsid w:val="008646F6"/>
    <w:rsid w:val="0086470C"/>
    <w:rsid w:val="008647AC"/>
    <w:rsid w:val="00864849"/>
    <w:rsid w:val="008648BD"/>
    <w:rsid w:val="00864936"/>
    <w:rsid w:val="00864A07"/>
    <w:rsid w:val="00864ACA"/>
    <w:rsid w:val="00864B72"/>
    <w:rsid w:val="00864C22"/>
    <w:rsid w:val="00864C56"/>
    <w:rsid w:val="00864C6D"/>
    <w:rsid w:val="00864CB1"/>
    <w:rsid w:val="00864CC1"/>
    <w:rsid w:val="00864DAA"/>
    <w:rsid w:val="00864DAB"/>
    <w:rsid w:val="00864DB6"/>
    <w:rsid w:val="00864E64"/>
    <w:rsid w:val="00864F63"/>
    <w:rsid w:val="00865051"/>
    <w:rsid w:val="00865141"/>
    <w:rsid w:val="00865314"/>
    <w:rsid w:val="0086535E"/>
    <w:rsid w:val="008653F8"/>
    <w:rsid w:val="008654AA"/>
    <w:rsid w:val="00865598"/>
    <w:rsid w:val="00865724"/>
    <w:rsid w:val="00865860"/>
    <w:rsid w:val="00865A17"/>
    <w:rsid w:val="00865F06"/>
    <w:rsid w:val="00865F28"/>
    <w:rsid w:val="00865F36"/>
    <w:rsid w:val="00865F42"/>
    <w:rsid w:val="00866045"/>
    <w:rsid w:val="00866087"/>
    <w:rsid w:val="008662F4"/>
    <w:rsid w:val="008663B1"/>
    <w:rsid w:val="008663FF"/>
    <w:rsid w:val="00866482"/>
    <w:rsid w:val="0086654D"/>
    <w:rsid w:val="0086654F"/>
    <w:rsid w:val="0086656A"/>
    <w:rsid w:val="008666AE"/>
    <w:rsid w:val="008666E1"/>
    <w:rsid w:val="008668F0"/>
    <w:rsid w:val="00866958"/>
    <w:rsid w:val="008669F1"/>
    <w:rsid w:val="00866A6E"/>
    <w:rsid w:val="00866AB5"/>
    <w:rsid w:val="00866AEF"/>
    <w:rsid w:val="00866B38"/>
    <w:rsid w:val="00866C39"/>
    <w:rsid w:val="00866C93"/>
    <w:rsid w:val="00866D31"/>
    <w:rsid w:val="00866FD3"/>
    <w:rsid w:val="00867019"/>
    <w:rsid w:val="00867034"/>
    <w:rsid w:val="0086705C"/>
    <w:rsid w:val="00867077"/>
    <w:rsid w:val="00867094"/>
    <w:rsid w:val="00867115"/>
    <w:rsid w:val="00867118"/>
    <w:rsid w:val="008671B0"/>
    <w:rsid w:val="008671BE"/>
    <w:rsid w:val="0086723D"/>
    <w:rsid w:val="0086729E"/>
    <w:rsid w:val="008672F9"/>
    <w:rsid w:val="00867531"/>
    <w:rsid w:val="00867574"/>
    <w:rsid w:val="00867605"/>
    <w:rsid w:val="008676A1"/>
    <w:rsid w:val="008676A6"/>
    <w:rsid w:val="00867715"/>
    <w:rsid w:val="008677F1"/>
    <w:rsid w:val="008678EE"/>
    <w:rsid w:val="00867A67"/>
    <w:rsid w:val="00867A8F"/>
    <w:rsid w:val="00867AEA"/>
    <w:rsid w:val="00867B12"/>
    <w:rsid w:val="00867BC1"/>
    <w:rsid w:val="00867CAF"/>
    <w:rsid w:val="00867CFC"/>
    <w:rsid w:val="00867DAD"/>
    <w:rsid w:val="00867E08"/>
    <w:rsid w:val="00867E0D"/>
    <w:rsid w:val="00867EA6"/>
    <w:rsid w:val="00867EE4"/>
    <w:rsid w:val="00867EF1"/>
    <w:rsid w:val="008700D8"/>
    <w:rsid w:val="00870117"/>
    <w:rsid w:val="00870120"/>
    <w:rsid w:val="0087013D"/>
    <w:rsid w:val="00870231"/>
    <w:rsid w:val="00870254"/>
    <w:rsid w:val="00870302"/>
    <w:rsid w:val="008703A3"/>
    <w:rsid w:val="008703B8"/>
    <w:rsid w:val="008705A2"/>
    <w:rsid w:val="008705D7"/>
    <w:rsid w:val="008705E4"/>
    <w:rsid w:val="008706DF"/>
    <w:rsid w:val="008707BB"/>
    <w:rsid w:val="00870814"/>
    <w:rsid w:val="008708B8"/>
    <w:rsid w:val="0087097D"/>
    <w:rsid w:val="00870B6E"/>
    <w:rsid w:val="00870B7B"/>
    <w:rsid w:val="00870C2A"/>
    <w:rsid w:val="00870FD1"/>
    <w:rsid w:val="00871031"/>
    <w:rsid w:val="0087107A"/>
    <w:rsid w:val="008713EE"/>
    <w:rsid w:val="008713F3"/>
    <w:rsid w:val="0087160B"/>
    <w:rsid w:val="00871713"/>
    <w:rsid w:val="00871812"/>
    <w:rsid w:val="00871813"/>
    <w:rsid w:val="00871873"/>
    <w:rsid w:val="00871B69"/>
    <w:rsid w:val="00871C7E"/>
    <w:rsid w:val="00871DB1"/>
    <w:rsid w:val="00871F0B"/>
    <w:rsid w:val="00871F89"/>
    <w:rsid w:val="0087200D"/>
    <w:rsid w:val="008720CF"/>
    <w:rsid w:val="008720F5"/>
    <w:rsid w:val="008722C7"/>
    <w:rsid w:val="00872300"/>
    <w:rsid w:val="0087241E"/>
    <w:rsid w:val="008726F7"/>
    <w:rsid w:val="00872770"/>
    <w:rsid w:val="0087277A"/>
    <w:rsid w:val="00872A47"/>
    <w:rsid w:val="00872A8A"/>
    <w:rsid w:val="00872AB7"/>
    <w:rsid w:val="00872B43"/>
    <w:rsid w:val="00872B90"/>
    <w:rsid w:val="00872BAF"/>
    <w:rsid w:val="00872C08"/>
    <w:rsid w:val="00872C96"/>
    <w:rsid w:val="00872CA5"/>
    <w:rsid w:val="00872DB6"/>
    <w:rsid w:val="00872E74"/>
    <w:rsid w:val="00872EFC"/>
    <w:rsid w:val="00872F1D"/>
    <w:rsid w:val="00872F91"/>
    <w:rsid w:val="00873034"/>
    <w:rsid w:val="0087304C"/>
    <w:rsid w:val="0087314C"/>
    <w:rsid w:val="008731C5"/>
    <w:rsid w:val="00873213"/>
    <w:rsid w:val="008732CB"/>
    <w:rsid w:val="008732FC"/>
    <w:rsid w:val="008733CD"/>
    <w:rsid w:val="0087340B"/>
    <w:rsid w:val="00873445"/>
    <w:rsid w:val="0087348E"/>
    <w:rsid w:val="00873567"/>
    <w:rsid w:val="008735F7"/>
    <w:rsid w:val="0087367C"/>
    <w:rsid w:val="00873684"/>
    <w:rsid w:val="008736E2"/>
    <w:rsid w:val="008737F0"/>
    <w:rsid w:val="00873852"/>
    <w:rsid w:val="00873AD8"/>
    <w:rsid w:val="00873B49"/>
    <w:rsid w:val="00873C5D"/>
    <w:rsid w:val="00873D88"/>
    <w:rsid w:val="00873DEE"/>
    <w:rsid w:val="00873EDE"/>
    <w:rsid w:val="00873F40"/>
    <w:rsid w:val="0087409C"/>
    <w:rsid w:val="0087417B"/>
    <w:rsid w:val="008741EB"/>
    <w:rsid w:val="0087429B"/>
    <w:rsid w:val="00874307"/>
    <w:rsid w:val="0087431D"/>
    <w:rsid w:val="00874463"/>
    <w:rsid w:val="00874555"/>
    <w:rsid w:val="00874565"/>
    <w:rsid w:val="00874718"/>
    <w:rsid w:val="0087473C"/>
    <w:rsid w:val="0087478C"/>
    <w:rsid w:val="00874880"/>
    <w:rsid w:val="0087497D"/>
    <w:rsid w:val="00874983"/>
    <w:rsid w:val="00874CCB"/>
    <w:rsid w:val="00874D04"/>
    <w:rsid w:val="00874D84"/>
    <w:rsid w:val="00874DC9"/>
    <w:rsid w:val="00874FF4"/>
    <w:rsid w:val="00875011"/>
    <w:rsid w:val="00875034"/>
    <w:rsid w:val="00875074"/>
    <w:rsid w:val="00875147"/>
    <w:rsid w:val="008753DB"/>
    <w:rsid w:val="008753FD"/>
    <w:rsid w:val="00875519"/>
    <w:rsid w:val="008755DA"/>
    <w:rsid w:val="00875600"/>
    <w:rsid w:val="0087561F"/>
    <w:rsid w:val="00875644"/>
    <w:rsid w:val="0087565D"/>
    <w:rsid w:val="00875666"/>
    <w:rsid w:val="00875752"/>
    <w:rsid w:val="008757A5"/>
    <w:rsid w:val="008757DF"/>
    <w:rsid w:val="0087593C"/>
    <w:rsid w:val="00875AE3"/>
    <w:rsid w:val="00875B1C"/>
    <w:rsid w:val="00875B60"/>
    <w:rsid w:val="00875D03"/>
    <w:rsid w:val="00875D9F"/>
    <w:rsid w:val="00875DA9"/>
    <w:rsid w:val="00876086"/>
    <w:rsid w:val="0087608D"/>
    <w:rsid w:val="00876242"/>
    <w:rsid w:val="008762F8"/>
    <w:rsid w:val="0087630A"/>
    <w:rsid w:val="00876375"/>
    <w:rsid w:val="0087647D"/>
    <w:rsid w:val="008765C0"/>
    <w:rsid w:val="008766BC"/>
    <w:rsid w:val="0087676C"/>
    <w:rsid w:val="008768FB"/>
    <w:rsid w:val="008769D9"/>
    <w:rsid w:val="00876DCC"/>
    <w:rsid w:val="00876E63"/>
    <w:rsid w:val="00876E97"/>
    <w:rsid w:val="00876F73"/>
    <w:rsid w:val="00876FAA"/>
    <w:rsid w:val="00877026"/>
    <w:rsid w:val="00877119"/>
    <w:rsid w:val="00877179"/>
    <w:rsid w:val="008771C1"/>
    <w:rsid w:val="00877247"/>
    <w:rsid w:val="008772C8"/>
    <w:rsid w:val="008772D8"/>
    <w:rsid w:val="008772DF"/>
    <w:rsid w:val="0087734D"/>
    <w:rsid w:val="00877364"/>
    <w:rsid w:val="008775A9"/>
    <w:rsid w:val="00877600"/>
    <w:rsid w:val="008776E7"/>
    <w:rsid w:val="0087777A"/>
    <w:rsid w:val="008777D0"/>
    <w:rsid w:val="008779A5"/>
    <w:rsid w:val="008779C7"/>
    <w:rsid w:val="00877AE1"/>
    <w:rsid w:val="00877B3E"/>
    <w:rsid w:val="00877C35"/>
    <w:rsid w:val="00877DCB"/>
    <w:rsid w:val="00877DF2"/>
    <w:rsid w:val="00877E5E"/>
    <w:rsid w:val="00877ED5"/>
    <w:rsid w:val="00877FD0"/>
    <w:rsid w:val="008800E5"/>
    <w:rsid w:val="00880124"/>
    <w:rsid w:val="008801AE"/>
    <w:rsid w:val="008801E3"/>
    <w:rsid w:val="00880268"/>
    <w:rsid w:val="0088032C"/>
    <w:rsid w:val="00880371"/>
    <w:rsid w:val="00880395"/>
    <w:rsid w:val="008804BF"/>
    <w:rsid w:val="008804F1"/>
    <w:rsid w:val="008805F6"/>
    <w:rsid w:val="00880757"/>
    <w:rsid w:val="008807D4"/>
    <w:rsid w:val="00880857"/>
    <w:rsid w:val="00880864"/>
    <w:rsid w:val="00880907"/>
    <w:rsid w:val="00880952"/>
    <w:rsid w:val="00880964"/>
    <w:rsid w:val="008809F8"/>
    <w:rsid w:val="00880A8B"/>
    <w:rsid w:val="00880AA3"/>
    <w:rsid w:val="00880DFC"/>
    <w:rsid w:val="00880F25"/>
    <w:rsid w:val="00880F2E"/>
    <w:rsid w:val="00880FAA"/>
    <w:rsid w:val="00880FE0"/>
    <w:rsid w:val="008811CE"/>
    <w:rsid w:val="0088120D"/>
    <w:rsid w:val="00881231"/>
    <w:rsid w:val="0088126F"/>
    <w:rsid w:val="0088131F"/>
    <w:rsid w:val="00881348"/>
    <w:rsid w:val="00881362"/>
    <w:rsid w:val="00881409"/>
    <w:rsid w:val="0088142A"/>
    <w:rsid w:val="00881522"/>
    <w:rsid w:val="00881593"/>
    <w:rsid w:val="008815A2"/>
    <w:rsid w:val="00881821"/>
    <w:rsid w:val="0088189C"/>
    <w:rsid w:val="008818A9"/>
    <w:rsid w:val="008818B9"/>
    <w:rsid w:val="00881968"/>
    <w:rsid w:val="00881BE4"/>
    <w:rsid w:val="00881D8E"/>
    <w:rsid w:val="00881E06"/>
    <w:rsid w:val="00881E19"/>
    <w:rsid w:val="00881EBB"/>
    <w:rsid w:val="00881F4C"/>
    <w:rsid w:val="00881F4E"/>
    <w:rsid w:val="0088206A"/>
    <w:rsid w:val="008820A8"/>
    <w:rsid w:val="008821FF"/>
    <w:rsid w:val="00882219"/>
    <w:rsid w:val="0088222B"/>
    <w:rsid w:val="00882253"/>
    <w:rsid w:val="008823D9"/>
    <w:rsid w:val="00882491"/>
    <w:rsid w:val="00882548"/>
    <w:rsid w:val="00882560"/>
    <w:rsid w:val="008825A0"/>
    <w:rsid w:val="008826F7"/>
    <w:rsid w:val="0088283E"/>
    <w:rsid w:val="008828ED"/>
    <w:rsid w:val="00882904"/>
    <w:rsid w:val="008829D8"/>
    <w:rsid w:val="00882C35"/>
    <w:rsid w:val="00882DE2"/>
    <w:rsid w:val="00882E53"/>
    <w:rsid w:val="00882E7C"/>
    <w:rsid w:val="00882EA8"/>
    <w:rsid w:val="00882EBB"/>
    <w:rsid w:val="00882EF1"/>
    <w:rsid w:val="00882F5E"/>
    <w:rsid w:val="00882F9E"/>
    <w:rsid w:val="00882FEB"/>
    <w:rsid w:val="0088323E"/>
    <w:rsid w:val="0088324F"/>
    <w:rsid w:val="00883271"/>
    <w:rsid w:val="008832EF"/>
    <w:rsid w:val="008834B9"/>
    <w:rsid w:val="0088361A"/>
    <w:rsid w:val="0088366D"/>
    <w:rsid w:val="0088374A"/>
    <w:rsid w:val="0088399B"/>
    <w:rsid w:val="008839E4"/>
    <w:rsid w:val="00883A6F"/>
    <w:rsid w:val="00883B6C"/>
    <w:rsid w:val="00883CBE"/>
    <w:rsid w:val="00883D58"/>
    <w:rsid w:val="00883D5A"/>
    <w:rsid w:val="00883D68"/>
    <w:rsid w:val="00883DAB"/>
    <w:rsid w:val="00883F0D"/>
    <w:rsid w:val="00883F1C"/>
    <w:rsid w:val="00883F2A"/>
    <w:rsid w:val="00883F38"/>
    <w:rsid w:val="00883F4E"/>
    <w:rsid w:val="008840A0"/>
    <w:rsid w:val="00884120"/>
    <w:rsid w:val="0088414C"/>
    <w:rsid w:val="0088421C"/>
    <w:rsid w:val="00884240"/>
    <w:rsid w:val="008842A2"/>
    <w:rsid w:val="0088431C"/>
    <w:rsid w:val="0088436A"/>
    <w:rsid w:val="0088436F"/>
    <w:rsid w:val="0088445B"/>
    <w:rsid w:val="00884481"/>
    <w:rsid w:val="00884492"/>
    <w:rsid w:val="0088477E"/>
    <w:rsid w:val="008847B1"/>
    <w:rsid w:val="008848D9"/>
    <w:rsid w:val="0088495F"/>
    <w:rsid w:val="00884A1D"/>
    <w:rsid w:val="00884A2D"/>
    <w:rsid w:val="00884B01"/>
    <w:rsid w:val="00884B98"/>
    <w:rsid w:val="00884BCC"/>
    <w:rsid w:val="00884DAB"/>
    <w:rsid w:val="00884DC7"/>
    <w:rsid w:val="00884E88"/>
    <w:rsid w:val="00884EDE"/>
    <w:rsid w:val="0088504E"/>
    <w:rsid w:val="00885155"/>
    <w:rsid w:val="0088518B"/>
    <w:rsid w:val="0088524C"/>
    <w:rsid w:val="008852DC"/>
    <w:rsid w:val="008853C3"/>
    <w:rsid w:val="008853FB"/>
    <w:rsid w:val="0088545F"/>
    <w:rsid w:val="0088553E"/>
    <w:rsid w:val="008856A2"/>
    <w:rsid w:val="0088573D"/>
    <w:rsid w:val="008857B6"/>
    <w:rsid w:val="008858F9"/>
    <w:rsid w:val="00885930"/>
    <w:rsid w:val="008859C3"/>
    <w:rsid w:val="00885A56"/>
    <w:rsid w:val="00885A8E"/>
    <w:rsid w:val="00885ADB"/>
    <w:rsid w:val="00885B25"/>
    <w:rsid w:val="00885C32"/>
    <w:rsid w:val="00885C62"/>
    <w:rsid w:val="00885C9B"/>
    <w:rsid w:val="00885CDC"/>
    <w:rsid w:val="00885D67"/>
    <w:rsid w:val="00885F69"/>
    <w:rsid w:val="00886014"/>
    <w:rsid w:val="00886067"/>
    <w:rsid w:val="008860A8"/>
    <w:rsid w:val="00886162"/>
    <w:rsid w:val="0088637F"/>
    <w:rsid w:val="008863A5"/>
    <w:rsid w:val="008863EE"/>
    <w:rsid w:val="0088642D"/>
    <w:rsid w:val="0088652A"/>
    <w:rsid w:val="008865CF"/>
    <w:rsid w:val="00886632"/>
    <w:rsid w:val="00886674"/>
    <w:rsid w:val="008866E2"/>
    <w:rsid w:val="0088673B"/>
    <w:rsid w:val="00886788"/>
    <w:rsid w:val="0088686C"/>
    <w:rsid w:val="0088686D"/>
    <w:rsid w:val="008869AC"/>
    <w:rsid w:val="00886B16"/>
    <w:rsid w:val="00886BF7"/>
    <w:rsid w:val="00886DD6"/>
    <w:rsid w:val="00886E68"/>
    <w:rsid w:val="00887097"/>
    <w:rsid w:val="008870F4"/>
    <w:rsid w:val="00887211"/>
    <w:rsid w:val="00887286"/>
    <w:rsid w:val="008874F9"/>
    <w:rsid w:val="008875A7"/>
    <w:rsid w:val="008875CB"/>
    <w:rsid w:val="00887646"/>
    <w:rsid w:val="008876B4"/>
    <w:rsid w:val="008876FF"/>
    <w:rsid w:val="008877CA"/>
    <w:rsid w:val="00887A2E"/>
    <w:rsid w:val="00887ACC"/>
    <w:rsid w:val="00887BF3"/>
    <w:rsid w:val="00887C5A"/>
    <w:rsid w:val="00887D34"/>
    <w:rsid w:val="00887D8D"/>
    <w:rsid w:val="00887E17"/>
    <w:rsid w:val="00887F2C"/>
    <w:rsid w:val="00890161"/>
    <w:rsid w:val="00890256"/>
    <w:rsid w:val="008902C7"/>
    <w:rsid w:val="008902F9"/>
    <w:rsid w:val="0089040B"/>
    <w:rsid w:val="00890462"/>
    <w:rsid w:val="008904D3"/>
    <w:rsid w:val="00890515"/>
    <w:rsid w:val="00890559"/>
    <w:rsid w:val="008906D6"/>
    <w:rsid w:val="008906E4"/>
    <w:rsid w:val="008907EE"/>
    <w:rsid w:val="00890BDB"/>
    <w:rsid w:val="00890C17"/>
    <w:rsid w:val="00890C89"/>
    <w:rsid w:val="00890CE2"/>
    <w:rsid w:val="00890CE4"/>
    <w:rsid w:val="00890D08"/>
    <w:rsid w:val="00890DC6"/>
    <w:rsid w:val="00890DCE"/>
    <w:rsid w:val="00890DD1"/>
    <w:rsid w:val="00890E14"/>
    <w:rsid w:val="00891065"/>
    <w:rsid w:val="0089108E"/>
    <w:rsid w:val="00891134"/>
    <w:rsid w:val="00891194"/>
    <w:rsid w:val="0089128F"/>
    <w:rsid w:val="008912FE"/>
    <w:rsid w:val="00891325"/>
    <w:rsid w:val="00891426"/>
    <w:rsid w:val="00891481"/>
    <w:rsid w:val="008915C0"/>
    <w:rsid w:val="008915D1"/>
    <w:rsid w:val="00891708"/>
    <w:rsid w:val="0089188D"/>
    <w:rsid w:val="0089199F"/>
    <w:rsid w:val="008919D7"/>
    <w:rsid w:val="00891A25"/>
    <w:rsid w:val="00891AF6"/>
    <w:rsid w:val="00891B7D"/>
    <w:rsid w:val="00891B82"/>
    <w:rsid w:val="00891BBE"/>
    <w:rsid w:val="00891BC3"/>
    <w:rsid w:val="00891BE8"/>
    <w:rsid w:val="00891DA9"/>
    <w:rsid w:val="00891E24"/>
    <w:rsid w:val="00891E45"/>
    <w:rsid w:val="00891E4D"/>
    <w:rsid w:val="00891F42"/>
    <w:rsid w:val="00892004"/>
    <w:rsid w:val="00892116"/>
    <w:rsid w:val="0089214F"/>
    <w:rsid w:val="00892205"/>
    <w:rsid w:val="0089221A"/>
    <w:rsid w:val="0089236A"/>
    <w:rsid w:val="008924DA"/>
    <w:rsid w:val="00892513"/>
    <w:rsid w:val="0089261F"/>
    <w:rsid w:val="0089268F"/>
    <w:rsid w:val="008926E0"/>
    <w:rsid w:val="00892813"/>
    <w:rsid w:val="008928C1"/>
    <w:rsid w:val="008928E9"/>
    <w:rsid w:val="00892922"/>
    <w:rsid w:val="00892A5A"/>
    <w:rsid w:val="00892A88"/>
    <w:rsid w:val="00892AAD"/>
    <w:rsid w:val="00892AE7"/>
    <w:rsid w:val="00892B00"/>
    <w:rsid w:val="00892B07"/>
    <w:rsid w:val="00892BEA"/>
    <w:rsid w:val="00892C3B"/>
    <w:rsid w:val="00892C8E"/>
    <w:rsid w:val="00892CFC"/>
    <w:rsid w:val="00892D18"/>
    <w:rsid w:val="00892DFA"/>
    <w:rsid w:val="00893072"/>
    <w:rsid w:val="00893165"/>
    <w:rsid w:val="008931AD"/>
    <w:rsid w:val="008932A8"/>
    <w:rsid w:val="0089338A"/>
    <w:rsid w:val="0089340A"/>
    <w:rsid w:val="008934B4"/>
    <w:rsid w:val="008934FD"/>
    <w:rsid w:val="00893519"/>
    <w:rsid w:val="00893524"/>
    <w:rsid w:val="00893559"/>
    <w:rsid w:val="0089360A"/>
    <w:rsid w:val="0089366A"/>
    <w:rsid w:val="008936AD"/>
    <w:rsid w:val="00893756"/>
    <w:rsid w:val="008937C8"/>
    <w:rsid w:val="00893862"/>
    <w:rsid w:val="008938EE"/>
    <w:rsid w:val="00893939"/>
    <w:rsid w:val="008939C3"/>
    <w:rsid w:val="00893AC2"/>
    <w:rsid w:val="00893AE6"/>
    <w:rsid w:val="00893B03"/>
    <w:rsid w:val="00893B4D"/>
    <w:rsid w:val="00893B7D"/>
    <w:rsid w:val="00893C90"/>
    <w:rsid w:val="00893CBE"/>
    <w:rsid w:val="00893CFA"/>
    <w:rsid w:val="00893D43"/>
    <w:rsid w:val="00893E8F"/>
    <w:rsid w:val="00893FC3"/>
    <w:rsid w:val="00893FD9"/>
    <w:rsid w:val="00894063"/>
    <w:rsid w:val="008940BD"/>
    <w:rsid w:val="008940C0"/>
    <w:rsid w:val="00894358"/>
    <w:rsid w:val="00894369"/>
    <w:rsid w:val="008943C7"/>
    <w:rsid w:val="008943DD"/>
    <w:rsid w:val="008944AA"/>
    <w:rsid w:val="0089474E"/>
    <w:rsid w:val="00894767"/>
    <w:rsid w:val="00894911"/>
    <w:rsid w:val="008949B9"/>
    <w:rsid w:val="008949EB"/>
    <w:rsid w:val="00894A47"/>
    <w:rsid w:val="00894C1A"/>
    <w:rsid w:val="00894C81"/>
    <w:rsid w:val="00894C8C"/>
    <w:rsid w:val="00894C8E"/>
    <w:rsid w:val="00894CCC"/>
    <w:rsid w:val="00894F83"/>
    <w:rsid w:val="008950AB"/>
    <w:rsid w:val="0089514B"/>
    <w:rsid w:val="00895181"/>
    <w:rsid w:val="00895292"/>
    <w:rsid w:val="008952B1"/>
    <w:rsid w:val="008952D1"/>
    <w:rsid w:val="00895347"/>
    <w:rsid w:val="008953D9"/>
    <w:rsid w:val="00895405"/>
    <w:rsid w:val="0089545A"/>
    <w:rsid w:val="00895525"/>
    <w:rsid w:val="008955D5"/>
    <w:rsid w:val="008957C8"/>
    <w:rsid w:val="00895808"/>
    <w:rsid w:val="008959C0"/>
    <w:rsid w:val="00895A7E"/>
    <w:rsid w:val="00895B94"/>
    <w:rsid w:val="00895C19"/>
    <w:rsid w:val="00895D17"/>
    <w:rsid w:val="00895E67"/>
    <w:rsid w:val="00895F0C"/>
    <w:rsid w:val="0089600C"/>
    <w:rsid w:val="008960BE"/>
    <w:rsid w:val="0089616A"/>
    <w:rsid w:val="00896176"/>
    <w:rsid w:val="008961E3"/>
    <w:rsid w:val="00896367"/>
    <w:rsid w:val="008963BE"/>
    <w:rsid w:val="00896552"/>
    <w:rsid w:val="00896558"/>
    <w:rsid w:val="008965C4"/>
    <w:rsid w:val="0089667D"/>
    <w:rsid w:val="008966F4"/>
    <w:rsid w:val="0089676B"/>
    <w:rsid w:val="00896795"/>
    <w:rsid w:val="008967C4"/>
    <w:rsid w:val="008967D9"/>
    <w:rsid w:val="008967FE"/>
    <w:rsid w:val="00896859"/>
    <w:rsid w:val="008968CD"/>
    <w:rsid w:val="00896984"/>
    <w:rsid w:val="008969A4"/>
    <w:rsid w:val="00896A1B"/>
    <w:rsid w:val="00896A33"/>
    <w:rsid w:val="00896ABB"/>
    <w:rsid w:val="00896B59"/>
    <w:rsid w:val="00896B6E"/>
    <w:rsid w:val="00896B7F"/>
    <w:rsid w:val="00896C17"/>
    <w:rsid w:val="00896C9D"/>
    <w:rsid w:val="00896CA7"/>
    <w:rsid w:val="00896CF2"/>
    <w:rsid w:val="00896D0E"/>
    <w:rsid w:val="00896D39"/>
    <w:rsid w:val="00896DB0"/>
    <w:rsid w:val="00896E86"/>
    <w:rsid w:val="00896ED6"/>
    <w:rsid w:val="00896FF6"/>
    <w:rsid w:val="0089707D"/>
    <w:rsid w:val="008971CE"/>
    <w:rsid w:val="0089720D"/>
    <w:rsid w:val="0089728B"/>
    <w:rsid w:val="00897292"/>
    <w:rsid w:val="008974A8"/>
    <w:rsid w:val="00897562"/>
    <w:rsid w:val="008975EE"/>
    <w:rsid w:val="00897705"/>
    <w:rsid w:val="00897762"/>
    <w:rsid w:val="00897836"/>
    <w:rsid w:val="00897868"/>
    <w:rsid w:val="00897A19"/>
    <w:rsid w:val="00897ACA"/>
    <w:rsid w:val="00897B91"/>
    <w:rsid w:val="00897C17"/>
    <w:rsid w:val="00897C76"/>
    <w:rsid w:val="00897C97"/>
    <w:rsid w:val="00897CDA"/>
    <w:rsid w:val="00897CEE"/>
    <w:rsid w:val="00897CF4"/>
    <w:rsid w:val="00897D4A"/>
    <w:rsid w:val="00897F00"/>
    <w:rsid w:val="00897F90"/>
    <w:rsid w:val="008A0030"/>
    <w:rsid w:val="008A0066"/>
    <w:rsid w:val="008A00E4"/>
    <w:rsid w:val="008A013C"/>
    <w:rsid w:val="008A0166"/>
    <w:rsid w:val="008A0286"/>
    <w:rsid w:val="008A02A3"/>
    <w:rsid w:val="008A032F"/>
    <w:rsid w:val="008A034D"/>
    <w:rsid w:val="008A03CA"/>
    <w:rsid w:val="008A040B"/>
    <w:rsid w:val="008A0413"/>
    <w:rsid w:val="008A0502"/>
    <w:rsid w:val="008A054D"/>
    <w:rsid w:val="008A0588"/>
    <w:rsid w:val="008A0763"/>
    <w:rsid w:val="008A07E4"/>
    <w:rsid w:val="008A0849"/>
    <w:rsid w:val="008A08CD"/>
    <w:rsid w:val="008A08FC"/>
    <w:rsid w:val="008A098A"/>
    <w:rsid w:val="008A0BFD"/>
    <w:rsid w:val="008A0C1C"/>
    <w:rsid w:val="008A0D2A"/>
    <w:rsid w:val="008A0DA3"/>
    <w:rsid w:val="008A0F29"/>
    <w:rsid w:val="008A101B"/>
    <w:rsid w:val="008A114A"/>
    <w:rsid w:val="008A125A"/>
    <w:rsid w:val="008A129E"/>
    <w:rsid w:val="008A1342"/>
    <w:rsid w:val="008A139E"/>
    <w:rsid w:val="008A167E"/>
    <w:rsid w:val="008A1693"/>
    <w:rsid w:val="008A1752"/>
    <w:rsid w:val="008A182A"/>
    <w:rsid w:val="008A190A"/>
    <w:rsid w:val="008A1922"/>
    <w:rsid w:val="008A19D2"/>
    <w:rsid w:val="008A1A1E"/>
    <w:rsid w:val="008A1A66"/>
    <w:rsid w:val="008A1CC8"/>
    <w:rsid w:val="008A1D20"/>
    <w:rsid w:val="008A1D87"/>
    <w:rsid w:val="008A1D90"/>
    <w:rsid w:val="008A1E48"/>
    <w:rsid w:val="008A1E56"/>
    <w:rsid w:val="008A1E68"/>
    <w:rsid w:val="008A1F70"/>
    <w:rsid w:val="008A2096"/>
    <w:rsid w:val="008A2147"/>
    <w:rsid w:val="008A218E"/>
    <w:rsid w:val="008A2249"/>
    <w:rsid w:val="008A224A"/>
    <w:rsid w:val="008A2426"/>
    <w:rsid w:val="008A2474"/>
    <w:rsid w:val="008A24DA"/>
    <w:rsid w:val="008A2511"/>
    <w:rsid w:val="008A254F"/>
    <w:rsid w:val="008A2564"/>
    <w:rsid w:val="008A2630"/>
    <w:rsid w:val="008A2791"/>
    <w:rsid w:val="008A2817"/>
    <w:rsid w:val="008A2822"/>
    <w:rsid w:val="008A2875"/>
    <w:rsid w:val="008A28B6"/>
    <w:rsid w:val="008A2943"/>
    <w:rsid w:val="008A2953"/>
    <w:rsid w:val="008A29AA"/>
    <w:rsid w:val="008A2A70"/>
    <w:rsid w:val="008A2AE7"/>
    <w:rsid w:val="008A2D58"/>
    <w:rsid w:val="008A2DF8"/>
    <w:rsid w:val="008A2E70"/>
    <w:rsid w:val="008A2E81"/>
    <w:rsid w:val="008A2EE7"/>
    <w:rsid w:val="008A2FD0"/>
    <w:rsid w:val="008A2FE3"/>
    <w:rsid w:val="008A30E2"/>
    <w:rsid w:val="008A3195"/>
    <w:rsid w:val="008A3278"/>
    <w:rsid w:val="008A32B7"/>
    <w:rsid w:val="008A33B0"/>
    <w:rsid w:val="008A3457"/>
    <w:rsid w:val="008A348F"/>
    <w:rsid w:val="008A35B9"/>
    <w:rsid w:val="008A3794"/>
    <w:rsid w:val="008A3823"/>
    <w:rsid w:val="008A3A17"/>
    <w:rsid w:val="008A3A36"/>
    <w:rsid w:val="008A3A76"/>
    <w:rsid w:val="008A3AD5"/>
    <w:rsid w:val="008A3B09"/>
    <w:rsid w:val="008A3B41"/>
    <w:rsid w:val="008A3B4E"/>
    <w:rsid w:val="008A3C95"/>
    <w:rsid w:val="008A3CCE"/>
    <w:rsid w:val="008A3DE8"/>
    <w:rsid w:val="008A3E49"/>
    <w:rsid w:val="008A3E91"/>
    <w:rsid w:val="008A3EE8"/>
    <w:rsid w:val="008A3EF9"/>
    <w:rsid w:val="008A3F31"/>
    <w:rsid w:val="008A3F54"/>
    <w:rsid w:val="008A3F73"/>
    <w:rsid w:val="008A3FFD"/>
    <w:rsid w:val="008A4072"/>
    <w:rsid w:val="008A41B4"/>
    <w:rsid w:val="008A420E"/>
    <w:rsid w:val="008A4232"/>
    <w:rsid w:val="008A425D"/>
    <w:rsid w:val="008A4266"/>
    <w:rsid w:val="008A4312"/>
    <w:rsid w:val="008A43DC"/>
    <w:rsid w:val="008A440E"/>
    <w:rsid w:val="008A446E"/>
    <w:rsid w:val="008A4591"/>
    <w:rsid w:val="008A45BA"/>
    <w:rsid w:val="008A45EB"/>
    <w:rsid w:val="008A4722"/>
    <w:rsid w:val="008A4922"/>
    <w:rsid w:val="008A4937"/>
    <w:rsid w:val="008A4A8B"/>
    <w:rsid w:val="008A4B72"/>
    <w:rsid w:val="008A4CFC"/>
    <w:rsid w:val="008A4D1D"/>
    <w:rsid w:val="008A4DC2"/>
    <w:rsid w:val="008A4FA0"/>
    <w:rsid w:val="008A4FAA"/>
    <w:rsid w:val="008A5088"/>
    <w:rsid w:val="008A50E2"/>
    <w:rsid w:val="008A5124"/>
    <w:rsid w:val="008A51FB"/>
    <w:rsid w:val="008A5251"/>
    <w:rsid w:val="008A530F"/>
    <w:rsid w:val="008A53B1"/>
    <w:rsid w:val="008A53D9"/>
    <w:rsid w:val="008A5444"/>
    <w:rsid w:val="008A554F"/>
    <w:rsid w:val="008A56DF"/>
    <w:rsid w:val="008A5833"/>
    <w:rsid w:val="008A591B"/>
    <w:rsid w:val="008A595D"/>
    <w:rsid w:val="008A59D8"/>
    <w:rsid w:val="008A5B7C"/>
    <w:rsid w:val="008A5BE9"/>
    <w:rsid w:val="008A5CF2"/>
    <w:rsid w:val="008A5D24"/>
    <w:rsid w:val="008A5FAD"/>
    <w:rsid w:val="008A5FEE"/>
    <w:rsid w:val="008A600F"/>
    <w:rsid w:val="008A604C"/>
    <w:rsid w:val="008A60EC"/>
    <w:rsid w:val="008A6293"/>
    <w:rsid w:val="008A62C3"/>
    <w:rsid w:val="008A64CB"/>
    <w:rsid w:val="008A65C0"/>
    <w:rsid w:val="008A6703"/>
    <w:rsid w:val="008A6798"/>
    <w:rsid w:val="008A6828"/>
    <w:rsid w:val="008A6875"/>
    <w:rsid w:val="008A68AD"/>
    <w:rsid w:val="008A6909"/>
    <w:rsid w:val="008A6A94"/>
    <w:rsid w:val="008A6BC4"/>
    <w:rsid w:val="008A6CFE"/>
    <w:rsid w:val="008A6D4E"/>
    <w:rsid w:val="008A6D81"/>
    <w:rsid w:val="008A6E8D"/>
    <w:rsid w:val="008A6EFB"/>
    <w:rsid w:val="008A6F7D"/>
    <w:rsid w:val="008A7061"/>
    <w:rsid w:val="008A70EE"/>
    <w:rsid w:val="008A75B2"/>
    <w:rsid w:val="008A75E0"/>
    <w:rsid w:val="008A7689"/>
    <w:rsid w:val="008A773B"/>
    <w:rsid w:val="008A7881"/>
    <w:rsid w:val="008A796E"/>
    <w:rsid w:val="008A7B19"/>
    <w:rsid w:val="008A7B9F"/>
    <w:rsid w:val="008A7BD6"/>
    <w:rsid w:val="008A7D2B"/>
    <w:rsid w:val="008A7D83"/>
    <w:rsid w:val="008A7F60"/>
    <w:rsid w:val="008A7FE7"/>
    <w:rsid w:val="008B0072"/>
    <w:rsid w:val="008B018F"/>
    <w:rsid w:val="008B024E"/>
    <w:rsid w:val="008B0301"/>
    <w:rsid w:val="008B04CD"/>
    <w:rsid w:val="008B0607"/>
    <w:rsid w:val="008B07BD"/>
    <w:rsid w:val="008B07CF"/>
    <w:rsid w:val="008B0883"/>
    <w:rsid w:val="008B089A"/>
    <w:rsid w:val="008B089C"/>
    <w:rsid w:val="008B0941"/>
    <w:rsid w:val="008B099C"/>
    <w:rsid w:val="008B0B1C"/>
    <w:rsid w:val="008B0BC8"/>
    <w:rsid w:val="008B0C88"/>
    <w:rsid w:val="008B0F03"/>
    <w:rsid w:val="008B0F3C"/>
    <w:rsid w:val="008B105E"/>
    <w:rsid w:val="008B1106"/>
    <w:rsid w:val="008B11B0"/>
    <w:rsid w:val="008B125B"/>
    <w:rsid w:val="008B1312"/>
    <w:rsid w:val="008B13F2"/>
    <w:rsid w:val="008B1559"/>
    <w:rsid w:val="008B15E1"/>
    <w:rsid w:val="008B1647"/>
    <w:rsid w:val="008B1874"/>
    <w:rsid w:val="008B18DB"/>
    <w:rsid w:val="008B197C"/>
    <w:rsid w:val="008B19D4"/>
    <w:rsid w:val="008B1A37"/>
    <w:rsid w:val="008B1A61"/>
    <w:rsid w:val="008B1A8F"/>
    <w:rsid w:val="008B1B34"/>
    <w:rsid w:val="008B1B70"/>
    <w:rsid w:val="008B1CEC"/>
    <w:rsid w:val="008B1E16"/>
    <w:rsid w:val="008B1EA7"/>
    <w:rsid w:val="008B1EBF"/>
    <w:rsid w:val="008B1F15"/>
    <w:rsid w:val="008B1F5A"/>
    <w:rsid w:val="008B2003"/>
    <w:rsid w:val="008B2063"/>
    <w:rsid w:val="008B2103"/>
    <w:rsid w:val="008B2219"/>
    <w:rsid w:val="008B225F"/>
    <w:rsid w:val="008B22EA"/>
    <w:rsid w:val="008B2368"/>
    <w:rsid w:val="008B240B"/>
    <w:rsid w:val="008B2480"/>
    <w:rsid w:val="008B24A1"/>
    <w:rsid w:val="008B24A9"/>
    <w:rsid w:val="008B24FC"/>
    <w:rsid w:val="008B277E"/>
    <w:rsid w:val="008B27BD"/>
    <w:rsid w:val="008B290A"/>
    <w:rsid w:val="008B297D"/>
    <w:rsid w:val="008B29BD"/>
    <w:rsid w:val="008B2AB8"/>
    <w:rsid w:val="008B2B02"/>
    <w:rsid w:val="008B2D12"/>
    <w:rsid w:val="008B2E0C"/>
    <w:rsid w:val="008B2E0E"/>
    <w:rsid w:val="008B2ECB"/>
    <w:rsid w:val="008B2F0C"/>
    <w:rsid w:val="008B2F64"/>
    <w:rsid w:val="008B312E"/>
    <w:rsid w:val="008B31B0"/>
    <w:rsid w:val="008B31F7"/>
    <w:rsid w:val="008B3325"/>
    <w:rsid w:val="008B3463"/>
    <w:rsid w:val="008B34AF"/>
    <w:rsid w:val="008B352C"/>
    <w:rsid w:val="008B354C"/>
    <w:rsid w:val="008B356F"/>
    <w:rsid w:val="008B3692"/>
    <w:rsid w:val="008B36BA"/>
    <w:rsid w:val="008B36D3"/>
    <w:rsid w:val="008B371C"/>
    <w:rsid w:val="008B3A7F"/>
    <w:rsid w:val="008B3A88"/>
    <w:rsid w:val="008B3CA6"/>
    <w:rsid w:val="008B3D2C"/>
    <w:rsid w:val="008B3E2F"/>
    <w:rsid w:val="008B3E94"/>
    <w:rsid w:val="008B3F30"/>
    <w:rsid w:val="008B3F71"/>
    <w:rsid w:val="008B3F82"/>
    <w:rsid w:val="008B40CC"/>
    <w:rsid w:val="008B4108"/>
    <w:rsid w:val="008B414A"/>
    <w:rsid w:val="008B415B"/>
    <w:rsid w:val="008B41C3"/>
    <w:rsid w:val="008B428B"/>
    <w:rsid w:val="008B42D9"/>
    <w:rsid w:val="008B43EE"/>
    <w:rsid w:val="008B458E"/>
    <w:rsid w:val="008B45CA"/>
    <w:rsid w:val="008B466A"/>
    <w:rsid w:val="008B47E4"/>
    <w:rsid w:val="008B4820"/>
    <w:rsid w:val="008B4839"/>
    <w:rsid w:val="008B48AE"/>
    <w:rsid w:val="008B4A1C"/>
    <w:rsid w:val="008B4BA7"/>
    <w:rsid w:val="008B4BFC"/>
    <w:rsid w:val="008B4C47"/>
    <w:rsid w:val="008B4CF7"/>
    <w:rsid w:val="008B4DFC"/>
    <w:rsid w:val="008B4FA7"/>
    <w:rsid w:val="008B4FB7"/>
    <w:rsid w:val="008B5063"/>
    <w:rsid w:val="008B50CD"/>
    <w:rsid w:val="008B519C"/>
    <w:rsid w:val="008B51B4"/>
    <w:rsid w:val="008B524F"/>
    <w:rsid w:val="008B5391"/>
    <w:rsid w:val="008B53CC"/>
    <w:rsid w:val="008B5409"/>
    <w:rsid w:val="008B5574"/>
    <w:rsid w:val="008B5674"/>
    <w:rsid w:val="008B56E3"/>
    <w:rsid w:val="008B56F0"/>
    <w:rsid w:val="008B576C"/>
    <w:rsid w:val="008B578A"/>
    <w:rsid w:val="008B57F6"/>
    <w:rsid w:val="008B5849"/>
    <w:rsid w:val="008B588C"/>
    <w:rsid w:val="008B58C6"/>
    <w:rsid w:val="008B5A50"/>
    <w:rsid w:val="008B5A5F"/>
    <w:rsid w:val="008B5AE0"/>
    <w:rsid w:val="008B5B67"/>
    <w:rsid w:val="008B5B87"/>
    <w:rsid w:val="008B5C06"/>
    <w:rsid w:val="008B5C4E"/>
    <w:rsid w:val="008B5D7A"/>
    <w:rsid w:val="008B5D8B"/>
    <w:rsid w:val="008B5E4B"/>
    <w:rsid w:val="008B5E6C"/>
    <w:rsid w:val="008B5E6E"/>
    <w:rsid w:val="008B5E99"/>
    <w:rsid w:val="008B5F45"/>
    <w:rsid w:val="008B6021"/>
    <w:rsid w:val="008B6117"/>
    <w:rsid w:val="008B61C8"/>
    <w:rsid w:val="008B6283"/>
    <w:rsid w:val="008B64BD"/>
    <w:rsid w:val="008B64C8"/>
    <w:rsid w:val="008B6505"/>
    <w:rsid w:val="008B6508"/>
    <w:rsid w:val="008B652C"/>
    <w:rsid w:val="008B653E"/>
    <w:rsid w:val="008B65DF"/>
    <w:rsid w:val="008B6659"/>
    <w:rsid w:val="008B667E"/>
    <w:rsid w:val="008B66E3"/>
    <w:rsid w:val="008B676E"/>
    <w:rsid w:val="008B6801"/>
    <w:rsid w:val="008B6813"/>
    <w:rsid w:val="008B683B"/>
    <w:rsid w:val="008B685E"/>
    <w:rsid w:val="008B688B"/>
    <w:rsid w:val="008B69AD"/>
    <w:rsid w:val="008B6A7C"/>
    <w:rsid w:val="008B6B23"/>
    <w:rsid w:val="008B6B9E"/>
    <w:rsid w:val="008B6CF8"/>
    <w:rsid w:val="008B6D9C"/>
    <w:rsid w:val="008B6E09"/>
    <w:rsid w:val="008B6FAB"/>
    <w:rsid w:val="008B707E"/>
    <w:rsid w:val="008B70F2"/>
    <w:rsid w:val="008B71CE"/>
    <w:rsid w:val="008B73A7"/>
    <w:rsid w:val="008B747D"/>
    <w:rsid w:val="008B74CD"/>
    <w:rsid w:val="008B74FA"/>
    <w:rsid w:val="008B7547"/>
    <w:rsid w:val="008B7584"/>
    <w:rsid w:val="008B76DF"/>
    <w:rsid w:val="008B7848"/>
    <w:rsid w:val="008B7956"/>
    <w:rsid w:val="008B7A24"/>
    <w:rsid w:val="008B7A9E"/>
    <w:rsid w:val="008B7AB4"/>
    <w:rsid w:val="008B7B87"/>
    <w:rsid w:val="008B7BE9"/>
    <w:rsid w:val="008B7C88"/>
    <w:rsid w:val="008B7CCF"/>
    <w:rsid w:val="008B7D02"/>
    <w:rsid w:val="008B7D14"/>
    <w:rsid w:val="008B7D19"/>
    <w:rsid w:val="008B7D3E"/>
    <w:rsid w:val="008B7E74"/>
    <w:rsid w:val="008B7F58"/>
    <w:rsid w:val="008C0053"/>
    <w:rsid w:val="008C0117"/>
    <w:rsid w:val="008C0166"/>
    <w:rsid w:val="008C0171"/>
    <w:rsid w:val="008C01AD"/>
    <w:rsid w:val="008C01D6"/>
    <w:rsid w:val="008C02ED"/>
    <w:rsid w:val="008C0310"/>
    <w:rsid w:val="008C053A"/>
    <w:rsid w:val="008C0629"/>
    <w:rsid w:val="008C0652"/>
    <w:rsid w:val="008C0657"/>
    <w:rsid w:val="008C06A6"/>
    <w:rsid w:val="008C06CA"/>
    <w:rsid w:val="008C08A6"/>
    <w:rsid w:val="008C0BA0"/>
    <w:rsid w:val="008C0BA4"/>
    <w:rsid w:val="008C0BE5"/>
    <w:rsid w:val="008C0C1D"/>
    <w:rsid w:val="008C0CB8"/>
    <w:rsid w:val="008C0CCD"/>
    <w:rsid w:val="008C0D48"/>
    <w:rsid w:val="008C1040"/>
    <w:rsid w:val="008C1081"/>
    <w:rsid w:val="008C112F"/>
    <w:rsid w:val="008C1228"/>
    <w:rsid w:val="008C1284"/>
    <w:rsid w:val="008C12A0"/>
    <w:rsid w:val="008C12FD"/>
    <w:rsid w:val="008C1399"/>
    <w:rsid w:val="008C13E1"/>
    <w:rsid w:val="008C13E3"/>
    <w:rsid w:val="008C13E8"/>
    <w:rsid w:val="008C1491"/>
    <w:rsid w:val="008C17CA"/>
    <w:rsid w:val="008C17F6"/>
    <w:rsid w:val="008C1821"/>
    <w:rsid w:val="008C1855"/>
    <w:rsid w:val="008C194E"/>
    <w:rsid w:val="008C19A8"/>
    <w:rsid w:val="008C19F4"/>
    <w:rsid w:val="008C1A17"/>
    <w:rsid w:val="008C1A5E"/>
    <w:rsid w:val="008C1CCD"/>
    <w:rsid w:val="008C1D1A"/>
    <w:rsid w:val="008C1E05"/>
    <w:rsid w:val="008C1E43"/>
    <w:rsid w:val="008C1EAD"/>
    <w:rsid w:val="008C203E"/>
    <w:rsid w:val="008C2057"/>
    <w:rsid w:val="008C2088"/>
    <w:rsid w:val="008C2144"/>
    <w:rsid w:val="008C214A"/>
    <w:rsid w:val="008C21A4"/>
    <w:rsid w:val="008C21F8"/>
    <w:rsid w:val="008C2405"/>
    <w:rsid w:val="008C24F5"/>
    <w:rsid w:val="008C24FF"/>
    <w:rsid w:val="008C253E"/>
    <w:rsid w:val="008C25EC"/>
    <w:rsid w:val="008C2737"/>
    <w:rsid w:val="008C2744"/>
    <w:rsid w:val="008C27AB"/>
    <w:rsid w:val="008C2837"/>
    <w:rsid w:val="008C288B"/>
    <w:rsid w:val="008C2A0A"/>
    <w:rsid w:val="008C2AB7"/>
    <w:rsid w:val="008C2AD2"/>
    <w:rsid w:val="008C2ADD"/>
    <w:rsid w:val="008C2AF9"/>
    <w:rsid w:val="008C2CEC"/>
    <w:rsid w:val="008C2D29"/>
    <w:rsid w:val="008C2D45"/>
    <w:rsid w:val="008C2D8B"/>
    <w:rsid w:val="008C2D8C"/>
    <w:rsid w:val="008C2E43"/>
    <w:rsid w:val="008C2ED0"/>
    <w:rsid w:val="008C2F2B"/>
    <w:rsid w:val="008C2F76"/>
    <w:rsid w:val="008C2FE5"/>
    <w:rsid w:val="008C302F"/>
    <w:rsid w:val="008C304E"/>
    <w:rsid w:val="008C311D"/>
    <w:rsid w:val="008C3132"/>
    <w:rsid w:val="008C315A"/>
    <w:rsid w:val="008C315C"/>
    <w:rsid w:val="008C327E"/>
    <w:rsid w:val="008C329F"/>
    <w:rsid w:val="008C3320"/>
    <w:rsid w:val="008C34B4"/>
    <w:rsid w:val="008C34BB"/>
    <w:rsid w:val="008C35F5"/>
    <w:rsid w:val="008C3660"/>
    <w:rsid w:val="008C3765"/>
    <w:rsid w:val="008C37CF"/>
    <w:rsid w:val="008C385E"/>
    <w:rsid w:val="008C38BA"/>
    <w:rsid w:val="008C396F"/>
    <w:rsid w:val="008C3A20"/>
    <w:rsid w:val="008C3A34"/>
    <w:rsid w:val="008C3A4A"/>
    <w:rsid w:val="008C3AF9"/>
    <w:rsid w:val="008C3B6C"/>
    <w:rsid w:val="008C3BE6"/>
    <w:rsid w:val="008C3CE7"/>
    <w:rsid w:val="008C3CF8"/>
    <w:rsid w:val="008C3D23"/>
    <w:rsid w:val="008C3D57"/>
    <w:rsid w:val="008C3EE8"/>
    <w:rsid w:val="008C3FBE"/>
    <w:rsid w:val="008C3FED"/>
    <w:rsid w:val="008C4071"/>
    <w:rsid w:val="008C4080"/>
    <w:rsid w:val="008C40CB"/>
    <w:rsid w:val="008C429F"/>
    <w:rsid w:val="008C42D9"/>
    <w:rsid w:val="008C43A7"/>
    <w:rsid w:val="008C453B"/>
    <w:rsid w:val="008C45B7"/>
    <w:rsid w:val="008C45E2"/>
    <w:rsid w:val="008C48EC"/>
    <w:rsid w:val="008C4922"/>
    <w:rsid w:val="008C4949"/>
    <w:rsid w:val="008C4951"/>
    <w:rsid w:val="008C49C1"/>
    <w:rsid w:val="008C49F8"/>
    <w:rsid w:val="008C4A55"/>
    <w:rsid w:val="008C4B37"/>
    <w:rsid w:val="008C4BD1"/>
    <w:rsid w:val="008C4CDC"/>
    <w:rsid w:val="008C4D8F"/>
    <w:rsid w:val="008C4E4C"/>
    <w:rsid w:val="008C4E90"/>
    <w:rsid w:val="008C4F75"/>
    <w:rsid w:val="008C502E"/>
    <w:rsid w:val="008C50A2"/>
    <w:rsid w:val="008C50E0"/>
    <w:rsid w:val="008C50E8"/>
    <w:rsid w:val="008C512A"/>
    <w:rsid w:val="008C521E"/>
    <w:rsid w:val="008C5237"/>
    <w:rsid w:val="008C5376"/>
    <w:rsid w:val="008C5529"/>
    <w:rsid w:val="008C5537"/>
    <w:rsid w:val="008C56C0"/>
    <w:rsid w:val="008C56F5"/>
    <w:rsid w:val="008C5746"/>
    <w:rsid w:val="008C585A"/>
    <w:rsid w:val="008C58AA"/>
    <w:rsid w:val="008C5949"/>
    <w:rsid w:val="008C5988"/>
    <w:rsid w:val="008C59E7"/>
    <w:rsid w:val="008C5A78"/>
    <w:rsid w:val="008C5B85"/>
    <w:rsid w:val="008C5CA4"/>
    <w:rsid w:val="008C5D82"/>
    <w:rsid w:val="008C5E2D"/>
    <w:rsid w:val="008C5EED"/>
    <w:rsid w:val="008C5F34"/>
    <w:rsid w:val="008C5FAF"/>
    <w:rsid w:val="008C601B"/>
    <w:rsid w:val="008C616D"/>
    <w:rsid w:val="008C61EB"/>
    <w:rsid w:val="008C6305"/>
    <w:rsid w:val="008C63D2"/>
    <w:rsid w:val="008C6486"/>
    <w:rsid w:val="008C64D2"/>
    <w:rsid w:val="008C6595"/>
    <w:rsid w:val="008C660D"/>
    <w:rsid w:val="008C663D"/>
    <w:rsid w:val="008C66A6"/>
    <w:rsid w:val="008C66B7"/>
    <w:rsid w:val="008C6733"/>
    <w:rsid w:val="008C68DF"/>
    <w:rsid w:val="008C69CC"/>
    <w:rsid w:val="008C6A0A"/>
    <w:rsid w:val="008C6A39"/>
    <w:rsid w:val="008C6A6F"/>
    <w:rsid w:val="008C6A93"/>
    <w:rsid w:val="008C6BEA"/>
    <w:rsid w:val="008C6C04"/>
    <w:rsid w:val="008C6C47"/>
    <w:rsid w:val="008C6C57"/>
    <w:rsid w:val="008C6C5B"/>
    <w:rsid w:val="008C6C6E"/>
    <w:rsid w:val="008C6CC2"/>
    <w:rsid w:val="008C6CCE"/>
    <w:rsid w:val="008C6E99"/>
    <w:rsid w:val="008C704D"/>
    <w:rsid w:val="008C7111"/>
    <w:rsid w:val="008C713C"/>
    <w:rsid w:val="008C71FD"/>
    <w:rsid w:val="008C7212"/>
    <w:rsid w:val="008C7239"/>
    <w:rsid w:val="008C72A0"/>
    <w:rsid w:val="008C72AE"/>
    <w:rsid w:val="008C739B"/>
    <w:rsid w:val="008C73EA"/>
    <w:rsid w:val="008C74E3"/>
    <w:rsid w:val="008C7526"/>
    <w:rsid w:val="008C7590"/>
    <w:rsid w:val="008C763F"/>
    <w:rsid w:val="008C768C"/>
    <w:rsid w:val="008C7695"/>
    <w:rsid w:val="008C76D3"/>
    <w:rsid w:val="008C76E2"/>
    <w:rsid w:val="008C780C"/>
    <w:rsid w:val="008C7813"/>
    <w:rsid w:val="008C785D"/>
    <w:rsid w:val="008C786A"/>
    <w:rsid w:val="008C78F5"/>
    <w:rsid w:val="008C793C"/>
    <w:rsid w:val="008C794B"/>
    <w:rsid w:val="008C79D4"/>
    <w:rsid w:val="008C79EC"/>
    <w:rsid w:val="008C7B07"/>
    <w:rsid w:val="008C7B1A"/>
    <w:rsid w:val="008C7B2E"/>
    <w:rsid w:val="008C7B4E"/>
    <w:rsid w:val="008C7CE7"/>
    <w:rsid w:val="008C7D2B"/>
    <w:rsid w:val="008C7D35"/>
    <w:rsid w:val="008C7D6B"/>
    <w:rsid w:val="008C7DD0"/>
    <w:rsid w:val="008C7F3F"/>
    <w:rsid w:val="008C7F9A"/>
    <w:rsid w:val="008D0008"/>
    <w:rsid w:val="008D0051"/>
    <w:rsid w:val="008D0154"/>
    <w:rsid w:val="008D019C"/>
    <w:rsid w:val="008D01BD"/>
    <w:rsid w:val="008D022C"/>
    <w:rsid w:val="008D02F2"/>
    <w:rsid w:val="008D02FC"/>
    <w:rsid w:val="008D033F"/>
    <w:rsid w:val="008D0419"/>
    <w:rsid w:val="008D0440"/>
    <w:rsid w:val="008D047F"/>
    <w:rsid w:val="008D04F1"/>
    <w:rsid w:val="008D051C"/>
    <w:rsid w:val="008D06A4"/>
    <w:rsid w:val="008D06D2"/>
    <w:rsid w:val="008D0839"/>
    <w:rsid w:val="008D0952"/>
    <w:rsid w:val="008D09E9"/>
    <w:rsid w:val="008D0A89"/>
    <w:rsid w:val="008D0C26"/>
    <w:rsid w:val="008D0DB2"/>
    <w:rsid w:val="008D0E7B"/>
    <w:rsid w:val="008D0ED3"/>
    <w:rsid w:val="008D0F3E"/>
    <w:rsid w:val="008D0F8B"/>
    <w:rsid w:val="008D0FD0"/>
    <w:rsid w:val="008D0FF5"/>
    <w:rsid w:val="008D10BD"/>
    <w:rsid w:val="008D1172"/>
    <w:rsid w:val="008D136C"/>
    <w:rsid w:val="008D1422"/>
    <w:rsid w:val="008D1423"/>
    <w:rsid w:val="008D1462"/>
    <w:rsid w:val="008D1585"/>
    <w:rsid w:val="008D1594"/>
    <w:rsid w:val="008D15DB"/>
    <w:rsid w:val="008D1689"/>
    <w:rsid w:val="008D1796"/>
    <w:rsid w:val="008D1835"/>
    <w:rsid w:val="008D1836"/>
    <w:rsid w:val="008D1991"/>
    <w:rsid w:val="008D19C0"/>
    <w:rsid w:val="008D1BD4"/>
    <w:rsid w:val="008D1C64"/>
    <w:rsid w:val="008D1D0F"/>
    <w:rsid w:val="008D1E4A"/>
    <w:rsid w:val="008D1EE3"/>
    <w:rsid w:val="008D1F0A"/>
    <w:rsid w:val="008D1F0B"/>
    <w:rsid w:val="008D1F0E"/>
    <w:rsid w:val="008D1F4B"/>
    <w:rsid w:val="008D1F68"/>
    <w:rsid w:val="008D1FF6"/>
    <w:rsid w:val="008D2086"/>
    <w:rsid w:val="008D2127"/>
    <w:rsid w:val="008D2341"/>
    <w:rsid w:val="008D2482"/>
    <w:rsid w:val="008D249F"/>
    <w:rsid w:val="008D2556"/>
    <w:rsid w:val="008D260F"/>
    <w:rsid w:val="008D2681"/>
    <w:rsid w:val="008D279C"/>
    <w:rsid w:val="008D2850"/>
    <w:rsid w:val="008D286A"/>
    <w:rsid w:val="008D29C5"/>
    <w:rsid w:val="008D2E85"/>
    <w:rsid w:val="008D2E8E"/>
    <w:rsid w:val="008D2EEB"/>
    <w:rsid w:val="008D2F15"/>
    <w:rsid w:val="008D2F2C"/>
    <w:rsid w:val="008D2FAE"/>
    <w:rsid w:val="008D3062"/>
    <w:rsid w:val="008D3103"/>
    <w:rsid w:val="008D3256"/>
    <w:rsid w:val="008D3263"/>
    <w:rsid w:val="008D32F5"/>
    <w:rsid w:val="008D335A"/>
    <w:rsid w:val="008D33FA"/>
    <w:rsid w:val="008D33FC"/>
    <w:rsid w:val="008D341F"/>
    <w:rsid w:val="008D3434"/>
    <w:rsid w:val="008D34F1"/>
    <w:rsid w:val="008D3557"/>
    <w:rsid w:val="008D3598"/>
    <w:rsid w:val="008D367B"/>
    <w:rsid w:val="008D3682"/>
    <w:rsid w:val="008D3712"/>
    <w:rsid w:val="008D3726"/>
    <w:rsid w:val="008D3747"/>
    <w:rsid w:val="008D3754"/>
    <w:rsid w:val="008D3860"/>
    <w:rsid w:val="008D38DA"/>
    <w:rsid w:val="008D38ED"/>
    <w:rsid w:val="008D38FA"/>
    <w:rsid w:val="008D3968"/>
    <w:rsid w:val="008D3983"/>
    <w:rsid w:val="008D3B08"/>
    <w:rsid w:val="008D3B8C"/>
    <w:rsid w:val="008D3BD5"/>
    <w:rsid w:val="008D3C43"/>
    <w:rsid w:val="008D3F28"/>
    <w:rsid w:val="008D3F70"/>
    <w:rsid w:val="008D3FBC"/>
    <w:rsid w:val="008D3FBE"/>
    <w:rsid w:val="008D3FD4"/>
    <w:rsid w:val="008D402D"/>
    <w:rsid w:val="008D409A"/>
    <w:rsid w:val="008D412E"/>
    <w:rsid w:val="008D415B"/>
    <w:rsid w:val="008D418D"/>
    <w:rsid w:val="008D4199"/>
    <w:rsid w:val="008D41BB"/>
    <w:rsid w:val="008D420F"/>
    <w:rsid w:val="008D4254"/>
    <w:rsid w:val="008D42EE"/>
    <w:rsid w:val="008D43A9"/>
    <w:rsid w:val="008D43CC"/>
    <w:rsid w:val="008D4433"/>
    <w:rsid w:val="008D4486"/>
    <w:rsid w:val="008D45BE"/>
    <w:rsid w:val="008D4635"/>
    <w:rsid w:val="008D47CE"/>
    <w:rsid w:val="008D49E0"/>
    <w:rsid w:val="008D4B32"/>
    <w:rsid w:val="008D4BB1"/>
    <w:rsid w:val="008D4C00"/>
    <w:rsid w:val="008D4CB0"/>
    <w:rsid w:val="008D4D38"/>
    <w:rsid w:val="008D4DF3"/>
    <w:rsid w:val="008D4E37"/>
    <w:rsid w:val="008D4FE9"/>
    <w:rsid w:val="008D5057"/>
    <w:rsid w:val="008D507E"/>
    <w:rsid w:val="008D50B4"/>
    <w:rsid w:val="008D524C"/>
    <w:rsid w:val="008D527F"/>
    <w:rsid w:val="008D52A2"/>
    <w:rsid w:val="008D52A9"/>
    <w:rsid w:val="008D54D2"/>
    <w:rsid w:val="008D5536"/>
    <w:rsid w:val="008D55FD"/>
    <w:rsid w:val="008D5620"/>
    <w:rsid w:val="008D56D4"/>
    <w:rsid w:val="008D5714"/>
    <w:rsid w:val="008D576C"/>
    <w:rsid w:val="008D57A0"/>
    <w:rsid w:val="008D57AB"/>
    <w:rsid w:val="008D58C3"/>
    <w:rsid w:val="008D58F4"/>
    <w:rsid w:val="008D59BC"/>
    <w:rsid w:val="008D59EF"/>
    <w:rsid w:val="008D5A5C"/>
    <w:rsid w:val="008D5AB2"/>
    <w:rsid w:val="008D5B07"/>
    <w:rsid w:val="008D5B65"/>
    <w:rsid w:val="008D5B97"/>
    <w:rsid w:val="008D5BC2"/>
    <w:rsid w:val="008D5C27"/>
    <w:rsid w:val="008D5C97"/>
    <w:rsid w:val="008D5D06"/>
    <w:rsid w:val="008D5D96"/>
    <w:rsid w:val="008D5E6E"/>
    <w:rsid w:val="008D5F04"/>
    <w:rsid w:val="008D5F7E"/>
    <w:rsid w:val="008D5FD8"/>
    <w:rsid w:val="008D600C"/>
    <w:rsid w:val="008D605E"/>
    <w:rsid w:val="008D61D1"/>
    <w:rsid w:val="008D6206"/>
    <w:rsid w:val="008D620B"/>
    <w:rsid w:val="008D6397"/>
    <w:rsid w:val="008D63BA"/>
    <w:rsid w:val="008D668E"/>
    <w:rsid w:val="008D674F"/>
    <w:rsid w:val="008D67ED"/>
    <w:rsid w:val="008D6829"/>
    <w:rsid w:val="008D6831"/>
    <w:rsid w:val="008D68DF"/>
    <w:rsid w:val="008D6A5D"/>
    <w:rsid w:val="008D6AF8"/>
    <w:rsid w:val="008D6B37"/>
    <w:rsid w:val="008D6BEF"/>
    <w:rsid w:val="008D6D20"/>
    <w:rsid w:val="008D6D8D"/>
    <w:rsid w:val="008D6E02"/>
    <w:rsid w:val="008D6EC2"/>
    <w:rsid w:val="008D6FF6"/>
    <w:rsid w:val="008D7027"/>
    <w:rsid w:val="008D7069"/>
    <w:rsid w:val="008D70A3"/>
    <w:rsid w:val="008D7141"/>
    <w:rsid w:val="008D7187"/>
    <w:rsid w:val="008D72FE"/>
    <w:rsid w:val="008D731A"/>
    <w:rsid w:val="008D73C9"/>
    <w:rsid w:val="008D7467"/>
    <w:rsid w:val="008D748A"/>
    <w:rsid w:val="008D7527"/>
    <w:rsid w:val="008D7606"/>
    <w:rsid w:val="008D7653"/>
    <w:rsid w:val="008D768A"/>
    <w:rsid w:val="008D77B1"/>
    <w:rsid w:val="008D78B9"/>
    <w:rsid w:val="008D78D6"/>
    <w:rsid w:val="008D7A93"/>
    <w:rsid w:val="008D7AFB"/>
    <w:rsid w:val="008D7BB4"/>
    <w:rsid w:val="008D7BC7"/>
    <w:rsid w:val="008D7C51"/>
    <w:rsid w:val="008D7E5E"/>
    <w:rsid w:val="008D7EA4"/>
    <w:rsid w:val="008D7ED3"/>
    <w:rsid w:val="008D7F1F"/>
    <w:rsid w:val="008E003D"/>
    <w:rsid w:val="008E0070"/>
    <w:rsid w:val="008E009A"/>
    <w:rsid w:val="008E023A"/>
    <w:rsid w:val="008E02CA"/>
    <w:rsid w:val="008E041B"/>
    <w:rsid w:val="008E043B"/>
    <w:rsid w:val="008E04A4"/>
    <w:rsid w:val="008E0526"/>
    <w:rsid w:val="008E0A2E"/>
    <w:rsid w:val="008E0B72"/>
    <w:rsid w:val="008E0BA8"/>
    <w:rsid w:val="008E0C7C"/>
    <w:rsid w:val="008E0CD9"/>
    <w:rsid w:val="008E0CDD"/>
    <w:rsid w:val="008E0D34"/>
    <w:rsid w:val="008E0DF0"/>
    <w:rsid w:val="008E0E17"/>
    <w:rsid w:val="008E0F4A"/>
    <w:rsid w:val="008E119B"/>
    <w:rsid w:val="008E124A"/>
    <w:rsid w:val="008E126C"/>
    <w:rsid w:val="008E1271"/>
    <w:rsid w:val="008E1274"/>
    <w:rsid w:val="008E12B5"/>
    <w:rsid w:val="008E12DC"/>
    <w:rsid w:val="008E1338"/>
    <w:rsid w:val="008E14BB"/>
    <w:rsid w:val="008E1513"/>
    <w:rsid w:val="008E1574"/>
    <w:rsid w:val="008E160E"/>
    <w:rsid w:val="008E1690"/>
    <w:rsid w:val="008E169D"/>
    <w:rsid w:val="008E16BF"/>
    <w:rsid w:val="008E174B"/>
    <w:rsid w:val="008E18AD"/>
    <w:rsid w:val="008E1910"/>
    <w:rsid w:val="008E19DE"/>
    <w:rsid w:val="008E19F9"/>
    <w:rsid w:val="008E1A25"/>
    <w:rsid w:val="008E1CB9"/>
    <w:rsid w:val="008E1D3C"/>
    <w:rsid w:val="008E1DA0"/>
    <w:rsid w:val="008E1F16"/>
    <w:rsid w:val="008E1F68"/>
    <w:rsid w:val="008E1FB6"/>
    <w:rsid w:val="008E206C"/>
    <w:rsid w:val="008E2176"/>
    <w:rsid w:val="008E2231"/>
    <w:rsid w:val="008E2265"/>
    <w:rsid w:val="008E22E9"/>
    <w:rsid w:val="008E2333"/>
    <w:rsid w:val="008E2390"/>
    <w:rsid w:val="008E239D"/>
    <w:rsid w:val="008E2515"/>
    <w:rsid w:val="008E25B3"/>
    <w:rsid w:val="008E2668"/>
    <w:rsid w:val="008E26DA"/>
    <w:rsid w:val="008E2701"/>
    <w:rsid w:val="008E274E"/>
    <w:rsid w:val="008E27FD"/>
    <w:rsid w:val="008E2834"/>
    <w:rsid w:val="008E286B"/>
    <w:rsid w:val="008E288A"/>
    <w:rsid w:val="008E28F3"/>
    <w:rsid w:val="008E29A8"/>
    <w:rsid w:val="008E2BD3"/>
    <w:rsid w:val="008E2BF7"/>
    <w:rsid w:val="008E2C97"/>
    <w:rsid w:val="008E2CB8"/>
    <w:rsid w:val="008E2D02"/>
    <w:rsid w:val="008E2D0C"/>
    <w:rsid w:val="008E2DA9"/>
    <w:rsid w:val="008E2DB6"/>
    <w:rsid w:val="008E2E59"/>
    <w:rsid w:val="008E2F93"/>
    <w:rsid w:val="008E3049"/>
    <w:rsid w:val="008E3066"/>
    <w:rsid w:val="008E307E"/>
    <w:rsid w:val="008E31E0"/>
    <w:rsid w:val="008E3246"/>
    <w:rsid w:val="008E3250"/>
    <w:rsid w:val="008E32C0"/>
    <w:rsid w:val="008E331A"/>
    <w:rsid w:val="008E3369"/>
    <w:rsid w:val="008E33AA"/>
    <w:rsid w:val="008E346C"/>
    <w:rsid w:val="008E34F8"/>
    <w:rsid w:val="008E3532"/>
    <w:rsid w:val="008E3554"/>
    <w:rsid w:val="008E35A3"/>
    <w:rsid w:val="008E3622"/>
    <w:rsid w:val="008E364F"/>
    <w:rsid w:val="008E3656"/>
    <w:rsid w:val="008E36D9"/>
    <w:rsid w:val="008E36E3"/>
    <w:rsid w:val="008E37C5"/>
    <w:rsid w:val="008E382B"/>
    <w:rsid w:val="008E3831"/>
    <w:rsid w:val="008E388F"/>
    <w:rsid w:val="008E3951"/>
    <w:rsid w:val="008E396D"/>
    <w:rsid w:val="008E39A9"/>
    <w:rsid w:val="008E3A8C"/>
    <w:rsid w:val="008E3AAA"/>
    <w:rsid w:val="008E3AB5"/>
    <w:rsid w:val="008E3AE1"/>
    <w:rsid w:val="008E3C54"/>
    <w:rsid w:val="008E3CA6"/>
    <w:rsid w:val="008E3DC7"/>
    <w:rsid w:val="008E3E8A"/>
    <w:rsid w:val="008E3EB9"/>
    <w:rsid w:val="008E3FD8"/>
    <w:rsid w:val="008E4092"/>
    <w:rsid w:val="008E40B0"/>
    <w:rsid w:val="008E411C"/>
    <w:rsid w:val="008E4139"/>
    <w:rsid w:val="008E41A2"/>
    <w:rsid w:val="008E41B3"/>
    <w:rsid w:val="008E41C6"/>
    <w:rsid w:val="008E41D3"/>
    <w:rsid w:val="008E42AD"/>
    <w:rsid w:val="008E43C7"/>
    <w:rsid w:val="008E44E9"/>
    <w:rsid w:val="008E4599"/>
    <w:rsid w:val="008E45BF"/>
    <w:rsid w:val="008E45CC"/>
    <w:rsid w:val="008E47F2"/>
    <w:rsid w:val="008E480D"/>
    <w:rsid w:val="008E486F"/>
    <w:rsid w:val="008E48F1"/>
    <w:rsid w:val="008E494D"/>
    <w:rsid w:val="008E4973"/>
    <w:rsid w:val="008E49AC"/>
    <w:rsid w:val="008E4A1F"/>
    <w:rsid w:val="008E4B0D"/>
    <w:rsid w:val="008E4BDD"/>
    <w:rsid w:val="008E4C71"/>
    <w:rsid w:val="008E4CD5"/>
    <w:rsid w:val="008E4DFD"/>
    <w:rsid w:val="008E4E27"/>
    <w:rsid w:val="008E4EC2"/>
    <w:rsid w:val="008E4FD4"/>
    <w:rsid w:val="008E5092"/>
    <w:rsid w:val="008E50D0"/>
    <w:rsid w:val="008E5102"/>
    <w:rsid w:val="008E513D"/>
    <w:rsid w:val="008E5180"/>
    <w:rsid w:val="008E51D8"/>
    <w:rsid w:val="008E51F1"/>
    <w:rsid w:val="008E5248"/>
    <w:rsid w:val="008E525A"/>
    <w:rsid w:val="008E52C2"/>
    <w:rsid w:val="008E5339"/>
    <w:rsid w:val="008E53FA"/>
    <w:rsid w:val="008E549D"/>
    <w:rsid w:val="008E56FA"/>
    <w:rsid w:val="008E572D"/>
    <w:rsid w:val="008E573A"/>
    <w:rsid w:val="008E5746"/>
    <w:rsid w:val="008E575D"/>
    <w:rsid w:val="008E57A5"/>
    <w:rsid w:val="008E588A"/>
    <w:rsid w:val="008E59C7"/>
    <w:rsid w:val="008E59D9"/>
    <w:rsid w:val="008E59E6"/>
    <w:rsid w:val="008E59FA"/>
    <w:rsid w:val="008E5A4F"/>
    <w:rsid w:val="008E5AC5"/>
    <w:rsid w:val="008E5EA5"/>
    <w:rsid w:val="008E5F02"/>
    <w:rsid w:val="008E5F97"/>
    <w:rsid w:val="008E5FEA"/>
    <w:rsid w:val="008E5FEF"/>
    <w:rsid w:val="008E6032"/>
    <w:rsid w:val="008E60C0"/>
    <w:rsid w:val="008E6185"/>
    <w:rsid w:val="008E618C"/>
    <w:rsid w:val="008E6191"/>
    <w:rsid w:val="008E6308"/>
    <w:rsid w:val="008E6341"/>
    <w:rsid w:val="008E63C9"/>
    <w:rsid w:val="008E6458"/>
    <w:rsid w:val="008E6478"/>
    <w:rsid w:val="008E64EE"/>
    <w:rsid w:val="008E66D1"/>
    <w:rsid w:val="008E674E"/>
    <w:rsid w:val="008E6813"/>
    <w:rsid w:val="008E6942"/>
    <w:rsid w:val="008E695E"/>
    <w:rsid w:val="008E69D7"/>
    <w:rsid w:val="008E6A15"/>
    <w:rsid w:val="008E6A33"/>
    <w:rsid w:val="008E6AE0"/>
    <w:rsid w:val="008E6B41"/>
    <w:rsid w:val="008E6D12"/>
    <w:rsid w:val="008E6DBC"/>
    <w:rsid w:val="008E6E53"/>
    <w:rsid w:val="008E6E92"/>
    <w:rsid w:val="008E6EFE"/>
    <w:rsid w:val="008E6F2E"/>
    <w:rsid w:val="008E6F5C"/>
    <w:rsid w:val="008E6F8B"/>
    <w:rsid w:val="008E7043"/>
    <w:rsid w:val="008E7080"/>
    <w:rsid w:val="008E70C4"/>
    <w:rsid w:val="008E7274"/>
    <w:rsid w:val="008E7343"/>
    <w:rsid w:val="008E736C"/>
    <w:rsid w:val="008E742D"/>
    <w:rsid w:val="008E7579"/>
    <w:rsid w:val="008E758C"/>
    <w:rsid w:val="008E758E"/>
    <w:rsid w:val="008E77BD"/>
    <w:rsid w:val="008E7888"/>
    <w:rsid w:val="008E78F2"/>
    <w:rsid w:val="008E7917"/>
    <w:rsid w:val="008E796D"/>
    <w:rsid w:val="008E7A22"/>
    <w:rsid w:val="008E7A49"/>
    <w:rsid w:val="008E7A70"/>
    <w:rsid w:val="008E7A88"/>
    <w:rsid w:val="008E7AF9"/>
    <w:rsid w:val="008E7C83"/>
    <w:rsid w:val="008E7D41"/>
    <w:rsid w:val="008E7D4A"/>
    <w:rsid w:val="008E7E1C"/>
    <w:rsid w:val="008E7EA3"/>
    <w:rsid w:val="008F0028"/>
    <w:rsid w:val="008F00B1"/>
    <w:rsid w:val="008F00C0"/>
    <w:rsid w:val="008F017F"/>
    <w:rsid w:val="008F02B5"/>
    <w:rsid w:val="008F03AC"/>
    <w:rsid w:val="008F03CD"/>
    <w:rsid w:val="008F03EA"/>
    <w:rsid w:val="008F04EB"/>
    <w:rsid w:val="008F054E"/>
    <w:rsid w:val="008F0562"/>
    <w:rsid w:val="008F058F"/>
    <w:rsid w:val="008F05D8"/>
    <w:rsid w:val="008F0650"/>
    <w:rsid w:val="008F079E"/>
    <w:rsid w:val="008F0858"/>
    <w:rsid w:val="008F08B0"/>
    <w:rsid w:val="008F0910"/>
    <w:rsid w:val="008F09D6"/>
    <w:rsid w:val="008F0A7E"/>
    <w:rsid w:val="008F0A86"/>
    <w:rsid w:val="008F0A8A"/>
    <w:rsid w:val="008F0A9C"/>
    <w:rsid w:val="008F0B39"/>
    <w:rsid w:val="008F0B6D"/>
    <w:rsid w:val="008F0B7A"/>
    <w:rsid w:val="008F0C34"/>
    <w:rsid w:val="008F0CB7"/>
    <w:rsid w:val="008F0E0F"/>
    <w:rsid w:val="008F0EFC"/>
    <w:rsid w:val="008F0FAE"/>
    <w:rsid w:val="008F0FB2"/>
    <w:rsid w:val="008F1095"/>
    <w:rsid w:val="008F1128"/>
    <w:rsid w:val="008F1131"/>
    <w:rsid w:val="008F11AF"/>
    <w:rsid w:val="008F12DD"/>
    <w:rsid w:val="008F12E1"/>
    <w:rsid w:val="008F1311"/>
    <w:rsid w:val="008F13BC"/>
    <w:rsid w:val="008F143B"/>
    <w:rsid w:val="008F1458"/>
    <w:rsid w:val="008F1667"/>
    <w:rsid w:val="008F167B"/>
    <w:rsid w:val="008F192B"/>
    <w:rsid w:val="008F1960"/>
    <w:rsid w:val="008F1B78"/>
    <w:rsid w:val="008F1C3D"/>
    <w:rsid w:val="008F1CF2"/>
    <w:rsid w:val="008F1D42"/>
    <w:rsid w:val="008F1DC1"/>
    <w:rsid w:val="008F1E6E"/>
    <w:rsid w:val="008F1EE8"/>
    <w:rsid w:val="008F1F0C"/>
    <w:rsid w:val="008F1F63"/>
    <w:rsid w:val="008F20E5"/>
    <w:rsid w:val="008F2214"/>
    <w:rsid w:val="008F228A"/>
    <w:rsid w:val="008F228C"/>
    <w:rsid w:val="008F2464"/>
    <w:rsid w:val="008F24D1"/>
    <w:rsid w:val="008F260B"/>
    <w:rsid w:val="008F2646"/>
    <w:rsid w:val="008F2704"/>
    <w:rsid w:val="008F270F"/>
    <w:rsid w:val="008F27AB"/>
    <w:rsid w:val="008F284D"/>
    <w:rsid w:val="008F28E9"/>
    <w:rsid w:val="008F295A"/>
    <w:rsid w:val="008F29BF"/>
    <w:rsid w:val="008F2B98"/>
    <w:rsid w:val="008F2BC9"/>
    <w:rsid w:val="008F2BEC"/>
    <w:rsid w:val="008F2C4F"/>
    <w:rsid w:val="008F2D1A"/>
    <w:rsid w:val="008F2FAF"/>
    <w:rsid w:val="008F302C"/>
    <w:rsid w:val="008F306A"/>
    <w:rsid w:val="008F3113"/>
    <w:rsid w:val="008F3133"/>
    <w:rsid w:val="008F319D"/>
    <w:rsid w:val="008F32B4"/>
    <w:rsid w:val="008F32E6"/>
    <w:rsid w:val="008F333C"/>
    <w:rsid w:val="008F336A"/>
    <w:rsid w:val="008F35E2"/>
    <w:rsid w:val="008F3989"/>
    <w:rsid w:val="008F39A5"/>
    <w:rsid w:val="008F3BE1"/>
    <w:rsid w:val="008F3BF6"/>
    <w:rsid w:val="008F3C3D"/>
    <w:rsid w:val="008F3DB8"/>
    <w:rsid w:val="008F3DE9"/>
    <w:rsid w:val="008F3E30"/>
    <w:rsid w:val="008F3FC9"/>
    <w:rsid w:val="008F418C"/>
    <w:rsid w:val="008F4207"/>
    <w:rsid w:val="008F4237"/>
    <w:rsid w:val="008F425A"/>
    <w:rsid w:val="008F4283"/>
    <w:rsid w:val="008F4297"/>
    <w:rsid w:val="008F4392"/>
    <w:rsid w:val="008F43FD"/>
    <w:rsid w:val="008F4435"/>
    <w:rsid w:val="008F46FC"/>
    <w:rsid w:val="008F4750"/>
    <w:rsid w:val="008F47BC"/>
    <w:rsid w:val="008F4824"/>
    <w:rsid w:val="008F4849"/>
    <w:rsid w:val="008F485C"/>
    <w:rsid w:val="008F49BE"/>
    <w:rsid w:val="008F49FF"/>
    <w:rsid w:val="008F4D6D"/>
    <w:rsid w:val="008F4FBC"/>
    <w:rsid w:val="008F501B"/>
    <w:rsid w:val="008F5041"/>
    <w:rsid w:val="008F50EA"/>
    <w:rsid w:val="008F518C"/>
    <w:rsid w:val="008F51BD"/>
    <w:rsid w:val="008F51F2"/>
    <w:rsid w:val="008F52DE"/>
    <w:rsid w:val="008F52F5"/>
    <w:rsid w:val="008F5335"/>
    <w:rsid w:val="008F5371"/>
    <w:rsid w:val="008F5405"/>
    <w:rsid w:val="008F54E4"/>
    <w:rsid w:val="008F54F8"/>
    <w:rsid w:val="008F5571"/>
    <w:rsid w:val="008F5654"/>
    <w:rsid w:val="008F57DE"/>
    <w:rsid w:val="008F5800"/>
    <w:rsid w:val="008F5868"/>
    <w:rsid w:val="008F589A"/>
    <w:rsid w:val="008F58BE"/>
    <w:rsid w:val="008F5914"/>
    <w:rsid w:val="008F5950"/>
    <w:rsid w:val="008F5A00"/>
    <w:rsid w:val="008F5AB0"/>
    <w:rsid w:val="008F5BCC"/>
    <w:rsid w:val="008F5BEC"/>
    <w:rsid w:val="008F5C51"/>
    <w:rsid w:val="008F5D35"/>
    <w:rsid w:val="008F5D53"/>
    <w:rsid w:val="008F5D9F"/>
    <w:rsid w:val="008F5DE5"/>
    <w:rsid w:val="008F5DF6"/>
    <w:rsid w:val="008F5E09"/>
    <w:rsid w:val="008F5FF9"/>
    <w:rsid w:val="008F6058"/>
    <w:rsid w:val="008F6082"/>
    <w:rsid w:val="008F6158"/>
    <w:rsid w:val="008F616D"/>
    <w:rsid w:val="008F618B"/>
    <w:rsid w:val="008F620A"/>
    <w:rsid w:val="008F6243"/>
    <w:rsid w:val="008F631C"/>
    <w:rsid w:val="008F6390"/>
    <w:rsid w:val="008F63A3"/>
    <w:rsid w:val="008F641B"/>
    <w:rsid w:val="008F645B"/>
    <w:rsid w:val="008F6708"/>
    <w:rsid w:val="008F6756"/>
    <w:rsid w:val="008F6836"/>
    <w:rsid w:val="008F6858"/>
    <w:rsid w:val="008F68F9"/>
    <w:rsid w:val="008F6949"/>
    <w:rsid w:val="008F6AFA"/>
    <w:rsid w:val="008F6D02"/>
    <w:rsid w:val="008F6D22"/>
    <w:rsid w:val="008F6DEF"/>
    <w:rsid w:val="008F6E20"/>
    <w:rsid w:val="008F6ED6"/>
    <w:rsid w:val="008F6F4E"/>
    <w:rsid w:val="008F6F9B"/>
    <w:rsid w:val="008F6FAC"/>
    <w:rsid w:val="008F705E"/>
    <w:rsid w:val="008F710A"/>
    <w:rsid w:val="008F71F7"/>
    <w:rsid w:val="008F72BF"/>
    <w:rsid w:val="008F7316"/>
    <w:rsid w:val="008F7356"/>
    <w:rsid w:val="008F7415"/>
    <w:rsid w:val="008F75CA"/>
    <w:rsid w:val="008F7647"/>
    <w:rsid w:val="008F7661"/>
    <w:rsid w:val="008F76AF"/>
    <w:rsid w:val="008F782F"/>
    <w:rsid w:val="008F7936"/>
    <w:rsid w:val="008F797C"/>
    <w:rsid w:val="008F79C5"/>
    <w:rsid w:val="008F7A42"/>
    <w:rsid w:val="008F7A5E"/>
    <w:rsid w:val="008F7AF4"/>
    <w:rsid w:val="008F7C4C"/>
    <w:rsid w:val="008F7DE3"/>
    <w:rsid w:val="008F7EC9"/>
    <w:rsid w:val="00900048"/>
    <w:rsid w:val="00900124"/>
    <w:rsid w:val="00900126"/>
    <w:rsid w:val="009001A8"/>
    <w:rsid w:val="009001FE"/>
    <w:rsid w:val="00900257"/>
    <w:rsid w:val="00900286"/>
    <w:rsid w:val="00900501"/>
    <w:rsid w:val="00900558"/>
    <w:rsid w:val="0090068B"/>
    <w:rsid w:val="009006AF"/>
    <w:rsid w:val="00900848"/>
    <w:rsid w:val="009008F2"/>
    <w:rsid w:val="009009D6"/>
    <w:rsid w:val="009009EA"/>
    <w:rsid w:val="00900A2D"/>
    <w:rsid w:val="00900ACE"/>
    <w:rsid w:val="00900B23"/>
    <w:rsid w:val="00900B80"/>
    <w:rsid w:val="00900BC5"/>
    <w:rsid w:val="00900BDB"/>
    <w:rsid w:val="00900C1A"/>
    <w:rsid w:val="00900C50"/>
    <w:rsid w:val="00900D5B"/>
    <w:rsid w:val="00900D8B"/>
    <w:rsid w:val="00900F1C"/>
    <w:rsid w:val="00900F96"/>
    <w:rsid w:val="00901125"/>
    <w:rsid w:val="0090113D"/>
    <w:rsid w:val="00901216"/>
    <w:rsid w:val="009012A4"/>
    <w:rsid w:val="00901420"/>
    <w:rsid w:val="00901438"/>
    <w:rsid w:val="0090157C"/>
    <w:rsid w:val="0090158C"/>
    <w:rsid w:val="009015ED"/>
    <w:rsid w:val="0090160B"/>
    <w:rsid w:val="0090160E"/>
    <w:rsid w:val="00901725"/>
    <w:rsid w:val="009017B1"/>
    <w:rsid w:val="009017DC"/>
    <w:rsid w:val="009017E1"/>
    <w:rsid w:val="009018A7"/>
    <w:rsid w:val="0090199B"/>
    <w:rsid w:val="00901A64"/>
    <w:rsid w:val="00901A90"/>
    <w:rsid w:val="00901AF2"/>
    <w:rsid w:val="00901B27"/>
    <w:rsid w:val="00901B2A"/>
    <w:rsid w:val="00901BAC"/>
    <w:rsid w:val="00901C68"/>
    <w:rsid w:val="00901C82"/>
    <w:rsid w:val="00901D50"/>
    <w:rsid w:val="00901D91"/>
    <w:rsid w:val="00901DDD"/>
    <w:rsid w:val="00901DE0"/>
    <w:rsid w:val="00901FAF"/>
    <w:rsid w:val="00902007"/>
    <w:rsid w:val="0090206E"/>
    <w:rsid w:val="00902140"/>
    <w:rsid w:val="009021D7"/>
    <w:rsid w:val="009022A5"/>
    <w:rsid w:val="009022BA"/>
    <w:rsid w:val="0090230F"/>
    <w:rsid w:val="00902355"/>
    <w:rsid w:val="00902448"/>
    <w:rsid w:val="00902538"/>
    <w:rsid w:val="0090265A"/>
    <w:rsid w:val="009027B1"/>
    <w:rsid w:val="009027B9"/>
    <w:rsid w:val="009027EC"/>
    <w:rsid w:val="009028E2"/>
    <w:rsid w:val="009029B4"/>
    <w:rsid w:val="009029F3"/>
    <w:rsid w:val="00902A46"/>
    <w:rsid w:val="00902B7C"/>
    <w:rsid w:val="00902C71"/>
    <w:rsid w:val="00902CB9"/>
    <w:rsid w:val="00902DD8"/>
    <w:rsid w:val="00902E08"/>
    <w:rsid w:val="00902E2D"/>
    <w:rsid w:val="00902EFF"/>
    <w:rsid w:val="00902F1C"/>
    <w:rsid w:val="00902FA1"/>
    <w:rsid w:val="00902FC7"/>
    <w:rsid w:val="00903019"/>
    <w:rsid w:val="0090303C"/>
    <w:rsid w:val="0090307B"/>
    <w:rsid w:val="00903098"/>
    <w:rsid w:val="0090311E"/>
    <w:rsid w:val="0090316F"/>
    <w:rsid w:val="00903235"/>
    <w:rsid w:val="0090335B"/>
    <w:rsid w:val="0090342C"/>
    <w:rsid w:val="0090344F"/>
    <w:rsid w:val="009034F6"/>
    <w:rsid w:val="0090352C"/>
    <w:rsid w:val="00903555"/>
    <w:rsid w:val="0090359A"/>
    <w:rsid w:val="009035DC"/>
    <w:rsid w:val="009037C1"/>
    <w:rsid w:val="00903842"/>
    <w:rsid w:val="00903906"/>
    <w:rsid w:val="00903930"/>
    <w:rsid w:val="00903A70"/>
    <w:rsid w:val="00903A84"/>
    <w:rsid w:val="00903B47"/>
    <w:rsid w:val="00903B9F"/>
    <w:rsid w:val="00903BBE"/>
    <w:rsid w:val="00903D21"/>
    <w:rsid w:val="00903D5C"/>
    <w:rsid w:val="00903D9E"/>
    <w:rsid w:val="0090402C"/>
    <w:rsid w:val="00904197"/>
    <w:rsid w:val="009041D8"/>
    <w:rsid w:val="0090442D"/>
    <w:rsid w:val="00904458"/>
    <w:rsid w:val="00904495"/>
    <w:rsid w:val="009045BC"/>
    <w:rsid w:val="009045FE"/>
    <w:rsid w:val="009046A9"/>
    <w:rsid w:val="009046C3"/>
    <w:rsid w:val="00904782"/>
    <w:rsid w:val="0090478C"/>
    <w:rsid w:val="009047BB"/>
    <w:rsid w:val="00904886"/>
    <w:rsid w:val="009048C8"/>
    <w:rsid w:val="00904A49"/>
    <w:rsid w:val="00904B28"/>
    <w:rsid w:val="00904B6B"/>
    <w:rsid w:val="00904B74"/>
    <w:rsid w:val="00904B91"/>
    <w:rsid w:val="00904B95"/>
    <w:rsid w:val="00904CBC"/>
    <w:rsid w:val="00904CD0"/>
    <w:rsid w:val="00904D5D"/>
    <w:rsid w:val="00904E58"/>
    <w:rsid w:val="00904EA1"/>
    <w:rsid w:val="00904F1F"/>
    <w:rsid w:val="00904F64"/>
    <w:rsid w:val="0090506F"/>
    <w:rsid w:val="009051F8"/>
    <w:rsid w:val="0090520C"/>
    <w:rsid w:val="00905384"/>
    <w:rsid w:val="009055E3"/>
    <w:rsid w:val="0090569E"/>
    <w:rsid w:val="0090571F"/>
    <w:rsid w:val="0090572E"/>
    <w:rsid w:val="00905831"/>
    <w:rsid w:val="00905877"/>
    <w:rsid w:val="009058BC"/>
    <w:rsid w:val="009058EF"/>
    <w:rsid w:val="00905A31"/>
    <w:rsid w:val="00905A45"/>
    <w:rsid w:val="00905A61"/>
    <w:rsid w:val="00905B34"/>
    <w:rsid w:val="00905BC1"/>
    <w:rsid w:val="00905BCB"/>
    <w:rsid w:val="00905BF6"/>
    <w:rsid w:val="00905CAB"/>
    <w:rsid w:val="00905D3E"/>
    <w:rsid w:val="00905ED7"/>
    <w:rsid w:val="00905EE6"/>
    <w:rsid w:val="009060F0"/>
    <w:rsid w:val="0090617E"/>
    <w:rsid w:val="00906269"/>
    <w:rsid w:val="0090636D"/>
    <w:rsid w:val="0090641E"/>
    <w:rsid w:val="009064EB"/>
    <w:rsid w:val="00906651"/>
    <w:rsid w:val="0090671B"/>
    <w:rsid w:val="00906781"/>
    <w:rsid w:val="009067CF"/>
    <w:rsid w:val="00906803"/>
    <w:rsid w:val="009068AD"/>
    <w:rsid w:val="0090691D"/>
    <w:rsid w:val="00906936"/>
    <w:rsid w:val="009069B4"/>
    <w:rsid w:val="009069D8"/>
    <w:rsid w:val="00906A5B"/>
    <w:rsid w:val="00906BB6"/>
    <w:rsid w:val="00906BDF"/>
    <w:rsid w:val="00906CAA"/>
    <w:rsid w:val="00906E65"/>
    <w:rsid w:val="00906ECD"/>
    <w:rsid w:val="00906F63"/>
    <w:rsid w:val="00906F6F"/>
    <w:rsid w:val="00907208"/>
    <w:rsid w:val="0090721D"/>
    <w:rsid w:val="00907245"/>
    <w:rsid w:val="0090725B"/>
    <w:rsid w:val="00907274"/>
    <w:rsid w:val="009072A6"/>
    <w:rsid w:val="009072B2"/>
    <w:rsid w:val="009072D7"/>
    <w:rsid w:val="009072FB"/>
    <w:rsid w:val="009073F6"/>
    <w:rsid w:val="00907595"/>
    <w:rsid w:val="00907606"/>
    <w:rsid w:val="00907891"/>
    <w:rsid w:val="00907895"/>
    <w:rsid w:val="009078D8"/>
    <w:rsid w:val="009078DD"/>
    <w:rsid w:val="0090791B"/>
    <w:rsid w:val="009079AF"/>
    <w:rsid w:val="00907AA6"/>
    <w:rsid w:val="00907B77"/>
    <w:rsid w:val="00907BD8"/>
    <w:rsid w:val="00907BE7"/>
    <w:rsid w:val="00907E6A"/>
    <w:rsid w:val="00907E86"/>
    <w:rsid w:val="00907EAB"/>
    <w:rsid w:val="00907FEE"/>
    <w:rsid w:val="00910009"/>
    <w:rsid w:val="00910012"/>
    <w:rsid w:val="0091009C"/>
    <w:rsid w:val="0091012F"/>
    <w:rsid w:val="009101C1"/>
    <w:rsid w:val="009103BA"/>
    <w:rsid w:val="0091043F"/>
    <w:rsid w:val="009104FA"/>
    <w:rsid w:val="0091068C"/>
    <w:rsid w:val="00910843"/>
    <w:rsid w:val="00910920"/>
    <w:rsid w:val="009109E5"/>
    <w:rsid w:val="00910B4E"/>
    <w:rsid w:val="00910B58"/>
    <w:rsid w:val="00910BAD"/>
    <w:rsid w:val="00910E56"/>
    <w:rsid w:val="00910E7B"/>
    <w:rsid w:val="00911136"/>
    <w:rsid w:val="00911168"/>
    <w:rsid w:val="0091119D"/>
    <w:rsid w:val="009111E3"/>
    <w:rsid w:val="00911212"/>
    <w:rsid w:val="0091127D"/>
    <w:rsid w:val="0091138C"/>
    <w:rsid w:val="0091139C"/>
    <w:rsid w:val="0091144F"/>
    <w:rsid w:val="00911476"/>
    <w:rsid w:val="00911497"/>
    <w:rsid w:val="009115F4"/>
    <w:rsid w:val="009116E0"/>
    <w:rsid w:val="009117F3"/>
    <w:rsid w:val="0091187F"/>
    <w:rsid w:val="00911929"/>
    <w:rsid w:val="009119E7"/>
    <w:rsid w:val="009119E8"/>
    <w:rsid w:val="00911B05"/>
    <w:rsid w:val="00911B64"/>
    <w:rsid w:val="00911CE4"/>
    <w:rsid w:val="00911D39"/>
    <w:rsid w:val="00911EDE"/>
    <w:rsid w:val="00911F48"/>
    <w:rsid w:val="00911F9E"/>
    <w:rsid w:val="009120A5"/>
    <w:rsid w:val="0091210D"/>
    <w:rsid w:val="0091212A"/>
    <w:rsid w:val="009121ED"/>
    <w:rsid w:val="0091226B"/>
    <w:rsid w:val="00912298"/>
    <w:rsid w:val="009122AA"/>
    <w:rsid w:val="00912381"/>
    <w:rsid w:val="009123C7"/>
    <w:rsid w:val="0091240D"/>
    <w:rsid w:val="009124C9"/>
    <w:rsid w:val="009126EC"/>
    <w:rsid w:val="00912716"/>
    <w:rsid w:val="0091273C"/>
    <w:rsid w:val="00912975"/>
    <w:rsid w:val="009129A5"/>
    <w:rsid w:val="00912A09"/>
    <w:rsid w:val="00912ADF"/>
    <w:rsid w:val="00912B71"/>
    <w:rsid w:val="00912BBB"/>
    <w:rsid w:val="00912BFB"/>
    <w:rsid w:val="00912D6C"/>
    <w:rsid w:val="00912DF4"/>
    <w:rsid w:val="00912ED3"/>
    <w:rsid w:val="00912F32"/>
    <w:rsid w:val="00913025"/>
    <w:rsid w:val="0091304F"/>
    <w:rsid w:val="00913080"/>
    <w:rsid w:val="0091309A"/>
    <w:rsid w:val="009131D0"/>
    <w:rsid w:val="0091320E"/>
    <w:rsid w:val="0091326E"/>
    <w:rsid w:val="00913355"/>
    <w:rsid w:val="009133D3"/>
    <w:rsid w:val="009133E4"/>
    <w:rsid w:val="009133FF"/>
    <w:rsid w:val="0091348D"/>
    <w:rsid w:val="0091351D"/>
    <w:rsid w:val="00913579"/>
    <w:rsid w:val="0091358A"/>
    <w:rsid w:val="00913762"/>
    <w:rsid w:val="00913779"/>
    <w:rsid w:val="009137B7"/>
    <w:rsid w:val="009137F9"/>
    <w:rsid w:val="0091383E"/>
    <w:rsid w:val="009139A6"/>
    <w:rsid w:val="00913A9A"/>
    <w:rsid w:val="00913ACA"/>
    <w:rsid w:val="00913B05"/>
    <w:rsid w:val="00913BE6"/>
    <w:rsid w:val="00913CCC"/>
    <w:rsid w:val="00913E44"/>
    <w:rsid w:val="00913E7B"/>
    <w:rsid w:val="00913E99"/>
    <w:rsid w:val="00913ED4"/>
    <w:rsid w:val="00913F08"/>
    <w:rsid w:val="00913F26"/>
    <w:rsid w:val="00913F63"/>
    <w:rsid w:val="00913FB0"/>
    <w:rsid w:val="0091405E"/>
    <w:rsid w:val="00914125"/>
    <w:rsid w:val="009141A1"/>
    <w:rsid w:val="00914244"/>
    <w:rsid w:val="009143E2"/>
    <w:rsid w:val="009143FD"/>
    <w:rsid w:val="00914428"/>
    <w:rsid w:val="009144D5"/>
    <w:rsid w:val="009144D6"/>
    <w:rsid w:val="0091455C"/>
    <w:rsid w:val="00914639"/>
    <w:rsid w:val="0091463B"/>
    <w:rsid w:val="0091468B"/>
    <w:rsid w:val="0091478F"/>
    <w:rsid w:val="00914793"/>
    <w:rsid w:val="009147A0"/>
    <w:rsid w:val="00914823"/>
    <w:rsid w:val="0091486F"/>
    <w:rsid w:val="009148F5"/>
    <w:rsid w:val="0091496F"/>
    <w:rsid w:val="00914973"/>
    <w:rsid w:val="00914AA0"/>
    <w:rsid w:val="00914AE1"/>
    <w:rsid w:val="00914B52"/>
    <w:rsid w:val="00914B7C"/>
    <w:rsid w:val="00914C61"/>
    <w:rsid w:val="00914D08"/>
    <w:rsid w:val="00914E08"/>
    <w:rsid w:val="00914F8D"/>
    <w:rsid w:val="0091506E"/>
    <w:rsid w:val="0091511D"/>
    <w:rsid w:val="009151EF"/>
    <w:rsid w:val="00915269"/>
    <w:rsid w:val="009152C4"/>
    <w:rsid w:val="009152D5"/>
    <w:rsid w:val="00915385"/>
    <w:rsid w:val="0091539E"/>
    <w:rsid w:val="009153E6"/>
    <w:rsid w:val="00915422"/>
    <w:rsid w:val="00915461"/>
    <w:rsid w:val="00915669"/>
    <w:rsid w:val="009156D0"/>
    <w:rsid w:val="0091573F"/>
    <w:rsid w:val="00915743"/>
    <w:rsid w:val="00915798"/>
    <w:rsid w:val="00915849"/>
    <w:rsid w:val="009158A7"/>
    <w:rsid w:val="00915988"/>
    <w:rsid w:val="00915AE9"/>
    <w:rsid w:val="00915B88"/>
    <w:rsid w:val="00915B93"/>
    <w:rsid w:val="00915BCF"/>
    <w:rsid w:val="00915BEE"/>
    <w:rsid w:val="00915D37"/>
    <w:rsid w:val="00915DEF"/>
    <w:rsid w:val="00915E65"/>
    <w:rsid w:val="00915EE9"/>
    <w:rsid w:val="00915F98"/>
    <w:rsid w:val="00915FA3"/>
    <w:rsid w:val="0091602F"/>
    <w:rsid w:val="0091608E"/>
    <w:rsid w:val="009160A1"/>
    <w:rsid w:val="0091613B"/>
    <w:rsid w:val="0091616E"/>
    <w:rsid w:val="009161F4"/>
    <w:rsid w:val="00916312"/>
    <w:rsid w:val="00916371"/>
    <w:rsid w:val="00916488"/>
    <w:rsid w:val="009165A6"/>
    <w:rsid w:val="009165CE"/>
    <w:rsid w:val="0091665D"/>
    <w:rsid w:val="00916721"/>
    <w:rsid w:val="00916753"/>
    <w:rsid w:val="00916795"/>
    <w:rsid w:val="009167DF"/>
    <w:rsid w:val="0091681E"/>
    <w:rsid w:val="00916875"/>
    <w:rsid w:val="00916881"/>
    <w:rsid w:val="009169D5"/>
    <w:rsid w:val="00916A22"/>
    <w:rsid w:val="00916AC9"/>
    <w:rsid w:val="00916B1A"/>
    <w:rsid w:val="00916B59"/>
    <w:rsid w:val="00916BCF"/>
    <w:rsid w:val="00916C90"/>
    <w:rsid w:val="00916D28"/>
    <w:rsid w:val="00916D39"/>
    <w:rsid w:val="00916FA2"/>
    <w:rsid w:val="00917067"/>
    <w:rsid w:val="0091709A"/>
    <w:rsid w:val="00917115"/>
    <w:rsid w:val="0091713E"/>
    <w:rsid w:val="00917295"/>
    <w:rsid w:val="0091731B"/>
    <w:rsid w:val="009173F7"/>
    <w:rsid w:val="0091749E"/>
    <w:rsid w:val="009174A2"/>
    <w:rsid w:val="00917564"/>
    <w:rsid w:val="00917566"/>
    <w:rsid w:val="009175E1"/>
    <w:rsid w:val="00917650"/>
    <w:rsid w:val="0091773E"/>
    <w:rsid w:val="009177C5"/>
    <w:rsid w:val="00917839"/>
    <w:rsid w:val="00917932"/>
    <w:rsid w:val="00917C01"/>
    <w:rsid w:val="00917C05"/>
    <w:rsid w:val="00917C44"/>
    <w:rsid w:val="00917CD1"/>
    <w:rsid w:val="00917E1D"/>
    <w:rsid w:val="00917FA1"/>
    <w:rsid w:val="00917FA4"/>
    <w:rsid w:val="00920063"/>
    <w:rsid w:val="009201AF"/>
    <w:rsid w:val="009201EA"/>
    <w:rsid w:val="009203AB"/>
    <w:rsid w:val="0092052B"/>
    <w:rsid w:val="009205AB"/>
    <w:rsid w:val="009205D0"/>
    <w:rsid w:val="009205FF"/>
    <w:rsid w:val="009206F7"/>
    <w:rsid w:val="00920929"/>
    <w:rsid w:val="00920B89"/>
    <w:rsid w:val="00920C2C"/>
    <w:rsid w:val="00920C91"/>
    <w:rsid w:val="00920D00"/>
    <w:rsid w:val="00920E2C"/>
    <w:rsid w:val="00920E61"/>
    <w:rsid w:val="00921011"/>
    <w:rsid w:val="00921023"/>
    <w:rsid w:val="009210A2"/>
    <w:rsid w:val="009211A5"/>
    <w:rsid w:val="009211CF"/>
    <w:rsid w:val="009211D0"/>
    <w:rsid w:val="009211D7"/>
    <w:rsid w:val="009212C0"/>
    <w:rsid w:val="00921446"/>
    <w:rsid w:val="009215A6"/>
    <w:rsid w:val="00921627"/>
    <w:rsid w:val="0092162B"/>
    <w:rsid w:val="0092165F"/>
    <w:rsid w:val="009216C4"/>
    <w:rsid w:val="009217F8"/>
    <w:rsid w:val="009219E5"/>
    <w:rsid w:val="00921ABE"/>
    <w:rsid w:val="00921B38"/>
    <w:rsid w:val="00921C1C"/>
    <w:rsid w:val="00921C2E"/>
    <w:rsid w:val="00921D1B"/>
    <w:rsid w:val="00921D3A"/>
    <w:rsid w:val="00921DBA"/>
    <w:rsid w:val="00921DBF"/>
    <w:rsid w:val="00921EB2"/>
    <w:rsid w:val="00921EF1"/>
    <w:rsid w:val="00921F73"/>
    <w:rsid w:val="00921FB8"/>
    <w:rsid w:val="00922013"/>
    <w:rsid w:val="0092213C"/>
    <w:rsid w:val="00922170"/>
    <w:rsid w:val="009224B4"/>
    <w:rsid w:val="00922680"/>
    <w:rsid w:val="009226D4"/>
    <w:rsid w:val="00922787"/>
    <w:rsid w:val="009227C6"/>
    <w:rsid w:val="00922927"/>
    <w:rsid w:val="0092299A"/>
    <w:rsid w:val="00922BD4"/>
    <w:rsid w:val="00922C5A"/>
    <w:rsid w:val="00922CAB"/>
    <w:rsid w:val="00922E4F"/>
    <w:rsid w:val="00922E51"/>
    <w:rsid w:val="00922F72"/>
    <w:rsid w:val="00923161"/>
    <w:rsid w:val="00923293"/>
    <w:rsid w:val="009232BC"/>
    <w:rsid w:val="009234B1"/>
    <w:rsid w:val="009234B7"/>
    <w:rsid w:val="00923558"/>
    <w:rsid w:val="00923589"/>
    <w:rsid w:val="009236B4"/>
    <w:rsid w:val="00923721"/>
    <w:rsid w:val="0092372A"/>
    <w:rsid w:val="0092374A"/>
    <w:rsid w:val="00923829"/>
    <w:rsid w:val="00923870"/>
    <w:rsid w:val="00923877"/>
    <w:rsid w:val="009238DC"/>
    <w:rsid w:val="00923929"/>
    <w:rsid w:val="0092397C"/>
    <w:rsid w:val="00923A1C"/>
    <w:rsid w:val="00923AD3"/>
    <w:rsid w:val="00923C03"/>
    <w:rsid w:val="00923CBC"/>
    <w:rsid w:val="00923CC9"/>
    <w:rsid w:val="00923D00"/>
    <w:rsid w:val="00923D39"/>
    <w:rsid w:val="00923F2F"/>
    <w:rsid w:val="00924049"/>
    <w:rsid w:val="009240E4"/>
    <w:rsid w:val="009243E1"/>
    <w:rsid w:val="009245AF"/>
    <w:rsid w:val="009245B6"/>
    <w:rsid w:val="009245FF"/>
    <w:rsid w:val="009246EF"/>
    <w:rsid w:val="0092470E"/>
    <w:rsid w:val="00924722"/>
    <w:rsid w:val="009247BD"/>
    <w:rsid w:val="009247F5"/>
    <w:rsid w:val="00924880"/>
    <w:rsid w:val="00924A33"/>
    <w:rsid w:val="00924A79"/>
    <w:rsid w:val="00924AFD"/>
    <w:rsid w:val="00924C73"/>
    <w:rsid w:val="00924C80"/>
    <w:rsid w:val="00924C94"/>
    <w:rsid w:val="00924CB8"/>
    <w:rsid w:val="00924D0B"/>
    <w:rsid w:val="00924D29"/>
    <w:rsid w:val="00924DDE"/>
    <w:rsid w:val="00924DFD"/>
    <w:rsid w:val="00924F7A"/>
    <w:rsid w:val="00925187"/>
    <w:rsid w:val="009253E3"/>
    <w:rsid w:val="00925400"/>
    <w:rsid w:val="00925456"/>
    <w:rsid w:val="0092557D"/>
    <w:rsid w:val="009256B9"/>
    <w:rsid w:val="00925750"/>
    <w:rsid w:val="00925764"/>
    <w:rsid w:val="009257E1"/>
    <w:rsid w:val="0092584F"/>
    <w:rsid w:val="0092593A"/>
    <w:rsid w:val="00925B71"/>
    <w:rsid w:val="00925B74"/>
    <w:rsid w:val="00925BFF"/>
    <w:rsid w:val="00925C0A"/>
    <w:rsid w:val="00925CEF"/>
    <w:rsid w:val="00925D0D"/>
    <w:rsid w:val="00925D34"/>
    <w:rsid w:val="00925EAC"/>
    <w:rsid w:val="00925F65"/>
    <w:rsid w:val="00926145"/>
    <w:rsid w:val="00926233"/>
    <w:rsid w:val="00926285"/>
    <w:rsid w:val="0092638B"/>
    <w:rsid w:val="009263A0"/>
    <w:rsid w:val="00926513"/>
    <w:rsid w:val="00926737"/>
    <w:rsid w:val="00926789"/>
    <w:rsid w:val="009267AA"/>
    <w:rsid w:val="009267DF"/>
    <w:rsid w:val="00926829"/>
    <w:rsid w:val="0092689B"/>
    <w:rsid w:val="009268FB"/>
    <w:rsid w:val="0092697F"/>
    <w:rsid w:val="009269CB"/>
    <w:rsid w:val="009269DD"/>
    <w:rsid w:val="00926A4D"/>
    <w:rsid w:val="00926A6A"/>
    <w:rsid w:val="00926ABF"/>
    <w:rsid w:val="00926AE1"/>
    <w:rsid w:val="00926C19"/>
    <w:rsid w:val="00926C94"/>
    <w:rsid w:val="00926CA0"/>
    <w:rsid w:val="00926CCE"/>
    <w:rsid w:val="00926D1A"/>
    <w:rsid w:val="00926D4B"/>
    <w:rsid w:val="00926E49"/>
    <w:rsid w:val="00926FA9"/>
    <w:rsid w:val="0092709C"/>
    <w:rsid w:val="009270C2"/>
    <w:rsid w:val="009270DB"/>
    <w:rsid w:val="009270F6"/>
    <w:rsid w:val="0092717F"/>
    <w:rsid w:val="00927193"/>
    <w:rsid w:val="00927223"/>
    <w:rsid w:val="0092730E"/>
    <w:rsid w:val="009273E9"/>
    <w:rsid w:val="00927534"/>
    <w:rsid w:val="009275B5"/>
    <w:rsid w:val="009276A5"/>
    <w:rsid w:val="0092770C"/>
    <w:rsid w:val="00927744"/>
    <w:rsid w:val="0092775B"/>
    <w:rsid w:val="00927902"/>
    <w:rsid w:val="0092798D"/>
    <w:rsid w:val="00927A69"/>
    <w:rsid w:val="00927AE9"/>
    <w:rsid w:val="00927B05"/>
    <w:rsid w:val="00927B33"/>
    <w:rsid w:val="00927BD8"/>
    <w:rsid w:val="00927DBB"/>
    <w:rsid w:val="00927DEF"/>
    <w:rsid w:val="00927E00"/>
    <w:rsid w:val="00927ECF"/>
    <w:rsid w:val="00927F39"/>
    <w:rsid w:val="009300C3"/>
    <w:rsid w:val="00930100"/>
    <w:rsid w:val="00930149"/>
    <w:rsid w:val="00930166"/>
    <w:rsid w:val="009301BB"/>
    <w:rsid w:val="009301D1"/>
    <w:rsid w:val="00930216"/>
    <w:rsid w:val="00930220"/>
    <w:rsid w:val="0093022E"/>
    <w:rsid w:val="0093023F"/>
    <w:rsid w:val="009302CE"/>
    <w:rsid w:val="00930384"/>
    <w:rsid w:val="009303E1"/>
    <w:rsid w:val="009303E7"/>
    <w:rsid w:val="00930452"/>
    <w:rsid w:val="00930529"/>
    <w:rsid w:val="0093052E"/>
    <w:rsid w:val="00930597"/>
    <w:rsid w:val="009305AC"/>
    <w:rsid w:val="0093061B"/>
    <w:rsid w:val="00930659"/>
    <w:rsid w:val="00930708"/>
    <w:rsid w:val="009307AA"/>
    <w:rsid w:val="009307BB"/>
    <w:rsid w:val="0093083E"/>
    <w:rsid w:val="00930913"/>
    <w:rsid w:val="0093093C"/>
    <w:rsid w:val="00930946"/>
    <w:rsid w:val="00930A5C"/>
    <w:rsid w:val="00930A72"/>
    <w:rsid w:val="00930CB5"/>
    <w:rsid w:val="00930D1D"/>
    <w:rsid w:val="00930D46"/>
    <w:rsid w:val="00930D58"/>
    <w:rsid w:val="00930D60"/>
    <w:rsid w:val="00930E0A"/>
    <w:rsid w:val="00930F0A"/>
    <w:rsid w:val="00930F4E"/>
    <w:rsid w:val="00930FB5"/>
    <w:rsid w:val="00931013"/>
    <w:rsid w:val="009310E6"/>
    <w:rsid w:val="0093125F"/>
    <w:rsid w:val="00931299"/>
    <w:rsid w:val="00931483"/>
    <w:rsid w:val="00931500"/>
    <w:rsid w:val="0093158F"/>
    <w:rsid w:val="009315DF"/>
    <w:rsid w:val="00931797"/>
    <w:rsid w:val="00931825"/>
    <w:rsid w:val="0093183E"/>
    <w:rsid w:val="0093196D"/>
    <w:rsid w:val="00931985"/>
    <w:rsid w:val="00931A6C"/>
    <w:rsid w:val="00931B6B"/>
    <w:rsid w:val="00931B7F"/>
    <w:rsid w:val="00931C0F"/>
    <w:rsid w:val="00931C5E"/>
    <w:rsid w:val="00931D2A"/>
    <w:rsid w:val="00931E3E"/>
    <w:rsid w:val="00932123"/>
    <w:rsid w:val="0093218F"/>
    <w:rsid w:val="00932190"/>
    <w:rsid w:val="0093219C"/>
    <w:rsid w:val="009322AF"/>
    <w:rsid w:val="009322BD"/>
    <w:rsid w:val="00932657"/>
    <w:rsid w:val="009327BD"/>
    <w:rsid w:val="009329B4"/>
    <w:rsid w:val="009329D3"/>
    <w:rsid w:val="009329D5"/>
    <w:rsid w:val="00932A12"/>
    <w:rsid w:val="00932B77"/>
    <w:rsid w:val="00932C10"/>
    <w:rsid w:val="00932CC0"/>
    <w:rsid w:val="00932DB5"/>
    <w:rsid w:val="00932E03"/>
    <w:rsid w:val="0093305F"/>
    <w:rsid w:val="00933096"/>
    <w:rsid w:val="0093310B"/>
    <w:rsid w:val="009332B4"/>
    <w:rsid w:val="00933595"/>
    <w:rsid w:val="009336D4"/>
    <w:rsid w:val="0093376B"/>
    <w:rsid w:val="00933825"/>
    <w:rsid w:val="00933828"/>
    <w:rsid w:val="00933ABF"/>
    <w:rsid w:val="00933ACE"/>
    <w:rsid w:val="00933B26"/>
    <w:rsid w:val="00933C02"/>
    <w:rsid w:val="00933CAF"/>
    <w:rsid w:val="00933E85"/>
    <w:rsid w:val="00933F43"/>
    <w:rsid w:val="00933F7B"/>
    <w:rsid w:val="00934035"/>
    <w:rsid w:val="0093404B"/>
    <w:rsid w:val="00934125"/>
    <w:rsid w:val="00934205"/>
    <w:rsid w:val="00934208"/>
    <w:rsid w:val="0093423B"/>
    <w:rsid w:val="009343BE"/>
    <w:rsid w:val="00934426"/>
    <w:rsid w:val="0093444D"/>
    <w:rsid w:val="00934471"/>
    <w:rsid w:val="00934499"/>
    <w:rsid w:val="009344AA"/>
    <w:rsid w:val="009344E4"/>
    <w:rsid w:val="0093458E"/>
    <w:rsid w:val="009345D6"/>
    <w:rsid w:val="0093463F"/>
    <w:rsid w:val="009346DE"/>
    <w:rsid w:val="0093476F"/>
    <w:rsid w:val="00934867"/>
    <w:rsid w:val="0093489F"/>
    <w:rsid w:val="009348E7"/>
    <w:rsid w:val="009349A9"/>
    <w:rsid w:val="00934B94"/>
    <w:rsid w:val="00934BE9"/>
    <w:rsid w:val="00934CC3"/>
    <w:rsid w:val="00934D14"/>
    <w:rsid w:val="00934E05"/>
    <w:rsid w:val="00934EE5"/>
    <w:rsid w:val="00934EEB"/>
    <w:rsid w:val="00934F24"/>
    <w:rsid w:val="00934FF9"/>
    <w:rsid w:val="00935029"/>
    <w:rsid w:val="00935151"/>
    <w:rsid w:val="009351D8"/>
    <w:rsid w:val="009351DB"/>
    <w:rsid w:val="00935224"/>
    <w:rsid w:val="009352A4"/>
    <w:rsid w:val="00935462"/>
    <w:rsid w:val="0093557C"/>
    <w:rsid w:val="009355A2"/>
    <w:rsid w:val="00935791"/>
    <w:rsid w:val="009357E3"/>
    <w:rsid w:val="00935803"/>
    <w:rsid w:val="00935C26"/>
    <w:rsid w:val="00935D3E"/>
    <w:rsid w:val="00935DA5"/>
    <w:rsid w:val="00935DFA"/>
    <w:rsid w:val="00935EF0"/>
    <w:rsid w:val="00935FCE"/>
    <w:rsid w:val="0093605B"/>
    <w:rsid w:val="00936062"/>
    <w:rsid w:val="009360A6"/>
    <w:rsid w:val="009361D5"/>
    <w:rsid w:val="0093634D"/>
    <w:rsid w:val="00936390"/>
    <w:rsid w:val="009363B1"/>
    <w:rsid w:val="009363D9"/>
    <w:rsid w:val="009363DC"/>
    <w:rsid w:val="009363F9"/>
    <w:rsid w:val="00936494"/>
    <w:rsid w:val="009364B4"/>
    <w:rsid w:val="00936734"/>
    <w:rsid w:val="0093688A"/>
    <w:rsid w:val="009368FB"/>
    <w:rsid w:val="009369C6"/>
    <w:rsid w:val="009369FE"/>
    <w:rsid w:val="00936B1F"/>
    <w:rsid w:val="00936B77"/>
    <w:rsid w:val="00936C38"/>
    <w:rsid w:val="00936C58"/>
    <w:rsid w:val="00936D6E"/>
    <w:rsid w:val="00936DC3"/>
    <w:rsid w:val="00936E13"/>
    <w:rsid w:val="00936EB9"/>
    <w:rsid w:val="0093704F"/>
    <w:rsid w:val="009370AD"/>
    <w:rsid w:val="00937114"/>
    <w:rsid w:val="00937181"/>
    <w:rsid w:val="00937182"/>
    <w:rsid w:val="009371A3"/>
    <w:rsid w:val="00937211"/>
    <w:rsid w:val="00937289"/>
    <w:rsid w:val="00937388"/>
    <w:rsid w:val="00937416"/>
    <w:rsid w:val="00937438"/>
    <w:rsid w:val="00937457"/>
    <w:rsid w:val="0093762E"/>
    <w:rsid w:val="00937691"/>
    <w:rsid w:val="0093769E"/>
    <w:rsid w:val="00937793"/>
    <w:rsid w:val="009377BD"/>
    <w:rsid w:val="009377E9"/>
    <w:rsid w:val="0093780B"/>
    <w:rsid w:val="00937875"/>
    <w:rsid w:val="009379CB"/>
    <w:rsid w:val="00937A40"/>
    <w:rsid w:val="00937A5D"/>
    <w:rsid w:val="00937AB4"/>
    <w:rsid w:val="00937AFB"/>
    <w:rsid w:val="00937BC2"/>
    <w:rsid w:val="00937CBE"/>
    <w:rsid w:val="00937D4C"/>
    <w:rsid w:val="00937D5A"/>
    <w:rsid w:val="00937D5F"/>
    <w:rsid w:val="00937DF8"/>
    <w:rsid w:val="00937E40"/>
    <w:rsid w:val="00937FA1"/>
    <w:rsid w:val="00937FF1"/>
    <w:rsid w:val="00940021"/>
    <w:rsid w:val="00940025"/>
    <w:rsid w:val="00940197"/>
    <w:rsid w:val="009401E1"/>
    <w:rsid w:val="00940201"/>
    <w:rsid w:val="00940211"/>
    <w:rsid w:val="0094026C"/>
    <w:rsid w:val="009402AC"/>
    <w:rsid w:val="00940331"/>
    <w:rsid w:val="009404E2"/>
    <w:rsid w:val="009405AC"/>
    <w:rsid w:val="009405F4"/>
    <w:rsid w:val="00940604"/>
    <w:rsid w:val="0094063A"/>
    <w:rsid w:val="00940655"/>
    <w:rsid w:val="00940897"/>
    <w:rsid w:val="00940934"/>
    <w:rsid w:val="00940A46"/>
    <w:rsid w:val="00940A4B"/>
    <w:rsid w:val="00940A73"/>
    <w:rsid w:val="00940AC9"/>
    <w:rsid w:val="00940B4D"/>
    <w:rsid w:val="00940C4F"/>
    <w:rsid w:val="00940C9E"/>
    <w:rsid w:val="00940D23"/>
    <w:rsid w:val="00940D8B"/>
    <w:rsid w:val="00940DC8"/>
    <w:rsid w:val="00940DCC"/>
    <w:rsid w:val="0094107B"/>
    <w:rsid w:val="009410E1"/>
    <w:rsid w:val="009411C8"/>
    <w:rsid w:val="00941298"/>
    <w:rsid w:val="0094137D"/>
    <w:rsid w:val="009413E1"/>
    <w:rsid w:val="00941474"/>
    <w:rsid w:val="0094159C"/>
    <w:rsid w:val="00941671"/>
    <w:rsid w:val="0094167C"/>
    <w:rsid w:val="00941680"/>
    <w:rsid w:val="00941691"/>
    <w:rsid w:val="0094169B"/>
    <w:rsid w:val="009416A3"/>
    <w:rsid w:val="00941722"/>
    <w:rsid w:val="0094177F"/>
    <w:rsid w:val="009417D7"/>
    <w:rsid w:val="0094188A"/>
    <w:rsid w:val="009418A0"/>
    <w:rsid w:val="009418C6"/>
    <w:rsid w:val="00941905"/>
    <w:rsid w:val="009419D2"/>
    <w:rsid w:val="009419DC"/>
    <w:rsid w:val="00941AA7"/>
    <w:rsid w:val="00941B61"/>
    <w:rsid w:val="00941BA5"/>
    <w:rsid w:val="00941BEA"/>
    <w:rsid w:val="00941C13"/>
    <w:rsid w:val="00941C14"/>
    <w:rsid w:val="00941EF5"/>
    <w:rsid w:val="00941F67"/>
    <w:rsid w:val="00941F76"/>
    <w:rsid w:val="00941FA6"/>
    <w:rsid w:val="00941FC5"/>
    <w:rsid w:val="00942154"/>
    <w:rsid w:val="00942158"/>
    <w:rsid w:val="00942252"/>
    <w:rsid w:val="00942262"/>
    <w:rsid w:val="009423D2"/>
    <w:rsid w:val="00942483"/>
    <w:rsid w:val="0094252F"/>
    <w:rsid w:val="00942651"/>
    <w:rsid w:val="0094277F"/>
    <w:rsid w:val="009427BD"/>
    <w:rsid w:val="009427D0"/>
    <w:rsid w:val="00942892"/>
    <w:rsid w:val="00942900"/>
    <w:rsid w:val="00942A0B"/>
    <w:rsid w:val="00942A6C"/>
    <w:rsid w:val="00942B5A"/>
    <w:rsid w:val="00942BF5"/>
    <w:rsid w:val="00942D35"/>
    <w:rsid w:val="00942D73"/>
    <w:rsid w:val="00942EB2"/>
    <w:rsid w:val="00942ED0"/>
    <w:rsid w:val="00942FA3"/>
    <w:rsid w:val="00942FB8"/>
    <w:rsid w:val="00943092"/>
    <w:rsid w:val="00943105"/>
    <w:rsid w:val="0094310B"/>
    <w:rsid w:val="009431B7"/>
    <w:rsid w:val="009431EE"/>
    <w:rsid w:val="009433DB"/>
    <w:rsid w:val="009433DC"/>
    <w:rsid w:val="00943827"/>
    <w:rsid w:val="00943A7C"/>
    <w:rsid w:val="00943AB8"/>
    <w:rsid w:val="00943B00"/>
    <w:rsid w:val="00943BB9"/>
    <w:rsid w:val="00943C43"/>
    <w:rsid w:val="00943C82"/>
    <w:rsid w:val="00943D5D"/>
    <w:rsid w:val="00943F22"/>
    <w:rsid w:val="00943F8E"/>
    <w:rsid w:val="0094405A"/>
    <w:rsid w:val="00944063"/>
    <w:rsid w:val="00944087"/>
    <w:rsid w:val="009441AC"/>
    <w:rsid w:val="0094439A"/>
    <w:rsid w:val="0094465F"/>
    <w:rsid w:val="009446C0"/>
    <w:rsid w:val="009446F5"/>
    <w:rsid w:val="009447C8"/>
    <w:rsid w:val="00944820"/>
    <w:rsid w:val="00944837"/>
    <w:rsid w:val="00944854"/>
    <w:rsid w:val="00944922"/>
    <w:rsid w:val="00944926"/>
    <w:rsid w:val="0094494C"/>
    <w:rsid w:val="009449BC"/>
    <w:rsid w:val="00944ADB"/>
    <w:rsid w:val="00944BC0"/>
    <w:rsid w:val="00944C34"/>
    <w:rsid w:val="00944C39"/>
    <w:rsid w:val="00944D01"/>
    <w:rsid w:val="00944D25"/>
    <w:rsid w:val="00944D2D"/>
    <w:rsid w:val="00944E74"/>
    <w:rsid w:val="00944F60"/>
    <w:rsid w:val="00944F6C"/>
    <w:rsid w:val="0094503A"/>
    <w:rsid w:val="00945094"/>
    <w:rsid w:val="009450EE"/>
    <w:rsid w:val="009450F5"/>
    <w:rsid w:val="00945396"/>
    <w:rsid w:val="00945476"/>
    <w:rsid w:val="009454E1"/>
    <w:rsid w:val="0094550B"/>
    <w:rsid w:val="0094551A"/>
    <w:rsid w:val="00945572"/>
    <w:rsid w:val="0094562F"/>
    <w:rsid w:val="00945642"/>
    <w:rsid w:val="009456B3"/>
    <w:rsid w:val="009456E6"/>
    <w:rsid w:val="00945812"/>
    <w:rsid w:val="00945840"/>
    <w:rsid w:val="00945932"/>
    <w:rsid w:val="00945995"/>
    <w:rsid w:val="009459FC"/>
    <w:rsid w:val="00945A2C"/>
    <w:rsid w:val="00945A39"/>
    <w:rsid w:val="00945B51"/>
    <w:rsid w:val="00945B83"/>
    <w:rsid w:val="00945BC4"/>
    <w:rsid w:val="00945C1A"/>
    <w:rsid w:val="00945CA4"/>
    <w:rsid w:val="00945D90"/>
    <w:rsid w:val="00945E4F"/>
    <w:rsid w:val="00945E96"/>
    <w:rsid w:val="00945F2F"/>
    <w:rsid w:val="00945F48"/>
    <w:rsid w:val="00945F6F"/>
    <w:rsid w:val="009460CE"/>
    <w:rsid w:val="00946154"/>
    <w:rsid w:val="009461CB"/>
    <w:rsid w:val="009462CD"/>
    <w:rsid w:val="009462D6"/>
    <w:rsid w:val="0094633A"/>
    <w:rsid w:val="00946659"/>
    <w:rsid w:val="009466F2"/>
    <w:rsid w:val="00946727"/>
    <w:rsid w:val="00946755"/>
    <w:rsid w:val="009467DA"/>
    <w:rsid w:val="00946838"/>
    <w:rsid w:val="0094692E"/>
    <w:rsid w:val="00946990"/>
    <w:rsid w:val="009469D1"/>
    <w:rsid w:val="00946A27"/>
    <w:rsid w:val="00946A3A"/>
    <w:rsid w:val="00946B07"/>
    <w:rsid w:val="00946B42"/>
    <w:rsid w:val="00946BCF"/>
    <w:rsid w:val="00946C3F"/>
    <w:rsid w:val="00946C6A"/>
    <w:rsid w:val="00946CDF"/>
    <w:rsid w:val="00946CEE"/>
    <w:rsid w:val="00946D7C"/>
    <w:rsid w:val="00946E87"/>
    <w:rsid w:val="00946F6E"/>
    <w:rsid w:val="00946FE3"/>
    <w:rsid w:val="0094700B"/>
    <w:rsid w:val="00947091"/>
    <w:rsid w:val="009470E6"/>
    <w:rsid w:val="00947137"/>
    <w:rsid w:val="0094721B"/>
    <w:rsid w:val="009474F6"/>
    <w:rsid w:val="00947524"/>
    <w:rsid w:val="00947601"/>
    <w:rsid w:val="0094764F"/>
    <w:rsid w:val="0094777E"/>
    <w:rsid w:val="0094779A"/>
    <w:rsid w:val="009477C2"/>
    <w:rsid w:val="00947889"/>
    <w:rsid w:val="009478F7"/>
    <w:rsid w:val="009479E0"/>
    <w:rsid w:val="00947AA7"/>
    <w:rsid w:val="00947B3B"/>
    <w:rsid w:val="00947C4A"/>
    <w:rsid w:val="00947CDC"/>
    <w:rsid w:val="00947DB9"/>
    <w:rsid w:val="00947EB1"/>
    <w:rsid w:val="00950028"/>
    <w:rsid w:val="009500B1"/>
    <w:rsid w:val="009500C1"/>
    <w:rsid w:val="0095012E"/>
    <w:rsid w:val="0095019D"/>
    <w:rsid w:val="00950234"/>
    <w:rsid w:val="00950256"/>
    <w:rsid w:val="0095025B"/>
    <w:rsid w:val="009502FE"/>
    <w:rsid w:val="00950329"/>
    <w:rsid w:val="009504E1"/>
    <w:rsid w:val="0095053F"/>
    <w:rsid w:val="00950556"/>
    <w:rsid w:val="00950763"/>
    <w:rsid w:val="00950841"/>
    <w:rsid w:val="00950970"/>
    <w:rsid w:val="009509C7"/>
    <w:rsid w:val="009509C9"/>
    <w:rsid w:val="00950BB9"/>
    <w:rsid w:val="00950C61"/>
    <w:rsid w:val="00950D98"/>
    <w:rsid w:val="00950DDA"/>
    <w:rsid w:val="00950DE0"/>
    <w:rsid w:val="00950E58"/>
    <w:rsid w:val="00950F10"/>
    <w:rsid w:val="00950F17"/>
    <w:rsid w:val="00950F32"/>
    <w:rsid w:val="00950F48"/>
    <w:rsid w:val="00950F49"/>
    <w:rsid w:val="00950F6F"/>
    <w:rsid w:val="00951026"/>
    <w:rsid w:val="009512DF"/>
    <w:rsid w:val="00951355"/>
    <w:rsid w:val="009513CE"/>
    <w:rsid w:val="00951465"/>
    <w:rsid w:val="009514F1"/>
    <w:rsid w:val="0095156F"/>
    <w:rsid w:val="009516BB"/>
    <w:rsid w:val="009516D2"/>
    <w:rsid w:val="009516F6"/>
    <w:rsid w:val="0095171C"/>
    <w:rsid w:val="009517C4"/>
    <w:rsid w:val="009517DD"/>
    <w:rsid w:val="009517EC"/>
    <w:rsid w:val="00951934"/>
    <w:rsid w:val="009519E2"/>
    <w:rsid w:val="009519F9"/>
    <w:rsid w:val="00951A77"/>
    <w:rsid w:val="00951A92"/>
    <w:rsid w:val="00951B3F"/>
    <w:rsid w:val="00951D63"/>
    <w:rsid w:val="00951ECE"/>
    <w:rsid w:val="00951F09"/>
    <w:rsid w:val="00951F1D"/>
    <w:rsid w:val="0095207B"/>
    <w:rsid w:val="009520BE"/>
    <w:rsid w:val="00952281"/>
    <w:rsid w:val="009522C9"/>
    <w:rsid w:val="009522DD"/>
    <w:rsid w:val="00952350"/>
    <w:rsid w:val="00952359"/>
    <w:rsid w:val="009523A6"/>
    <w:rsid w:val="009523EB"/>
    <w:rsid w:val="009524A0"/>
    <w:rsid w:val="009525CB"/>
    <w:rsid w:val="009525E6"/>
    <w:rsid w:val="00952657"/>
    <w:rsid w:val="009528B6"/>
    <w:rsid w:val="00952956"/>
    <w:rsid w:val="00952984"/>
    <w:rsid w:val="00952BA6"/>
    <w:rsid w:val="00952BBD"/>
    <w:rsid w:val="00952C18"/>
    <w:rsid w:val="00952C1E"/>
    <w:rsid w:val="00952C29"/>
    <w:rsid w:val="00952CAA"/>
    <w:rsid w:val="00952CC6"/>
    <w:rsid w:val="00952E09"/>
    <w:rsid w:val="00952E10"/>
    <w:rsid w:val="00952F1B"/>
    <w:rsid w:val="00953012"/>
    <w:rsid w:val="00953077"/>
    <w:rsid w:val="009530AE"/>
    <w:rsid w:val="0095318B"/>
    <w:rsid w:val="009531C2"/>
    <w:rsid w:val="0095321D"/>
    <w:rsid w:val="00953231"/>
    <w:rsid w:val="0095323E"/>
    <w:rsid w:val="00953266"/>
    <w:rsid w:val="009532D7"/>
    <w:rsid w:val="009532D8"/>
    <w:rsid w:val="00953333"/>
    <w:rsid w:val="00953437"/>
    <w:rsid w:val="00953484"/>
    <w:rsid w:val="009536DD"/>
    <w:rsid w:val="009539B6"/>
    <w:rsid w:val="00953A35"/>
    <w:rsid w:val="00953A38"/>
    <w:rsid w:val="00953A55"/>
    <w:rsid w:val="00953A7C"/>
    <w:rsid w:val="00953C75"/>
    <w:rsid w:val="00953DE4"/>
    <w:rsid w:val="00953E1F"/>
    <w:rsid w:val="00953ECF"/>
    <w:rsid w:val="00954034"/>
    <w:rsid w:val="00954037"/>
    <w:rsid w:val="0095403B"/>
    <w:rsid w:val="0095406F"/>
    <w:rsid w:val="009541D2"/>
    <w:rsid w:val="00954213"/>
    <w:rsid w:val="009543E8"/>
    <w:rsid w:val="0095447D"/>
    <w:rsid w:val="00954513"/>
    <w:rsid w:val="009545DB"/>
    <w:rsid w:val="00954685"/>
    <w:rsid w:val="009546DE"/>
    <w:rsid w:val="0095494F"/>
    <w:rsid w:val="009549DA"/>
    <w:rsid w:val="00954AF3"/>
    <w:rsid w:val="00954B3C"/>
    <w:rsid w:val="00954B72"/>
    <w:rsid w:val="00954C16"/>
    <w:rsid w:val="00954C8C"/>
    <w:rsid w:val="00954C92"/>
    <w:rsid w:val="00954CBC"/>
    <w:rsid w:val="00954E98"/>
    <w:rsid w:val="00954FFF"/>
    <w:rsid w:val="0095504D"/>
    <w:rsid w:val="00955182"/>
    <w:rsid w:val="009552E3"/>
    <w:rsid w:val="009552EB"/>
    <w:rsid w:val="0095549A"/>
    <w:rsid w:val="00955554"/>
    <w:rsid w:val="00955696"/>
    <w:rsid w:val="0095572E"/>
    <w:rsid w:val="009557F3"/>
    <w:rsid w:val="00955800"/>
    <w:rsid w:val="00955839"/>
    <w:rsid w:val="009558A6"/>
    <w:rsid w:val="009558E6"/>
    <w:rsid w:val="009558F3"/>
    <w:rsid w:val="0095591E"/>
    <w:rsid w:val="00955ABD"/>
    <w:rsid w:val="00955C58"/>
    <w:rsid w:val="00955EAB"/>
    <w:rsid w:val="00956037"/>
    <w:rsid w:val="0095609D"/>
    <w:rsid w:val="0095614B"/>
    <w:rsid w:val="009561DD"/>
    <w:rsid w:val="0095627E"/>
    <w:rsid w:val="009562B4"/>
    <w:rsid w:val="009562B7"/>
    <w:rsid w:val="0095636C"/>
    <w:rsid w:val="0095640C"/>
    <w:rsid w:val="009564F4"/>
    <w:rsid w:val="0095673E"/>
    <w:rsid w:val="009567F2"/>
    <w:rsid w:val="009568B4"/>
    <w:rsid w:val="009568FD"/>
    <w:rsid w:val="00956ACE"/>
    <w:rsid w:val="00956B3D"/>
    <w:rsid w:val="00956BB5"/>
    <w:rsid w:val="00956C8A"/>
    <w:rsid w:val="00956D6C"/>
    <w:rsid w:val="00956DAC"/>
    <w:rsid w:val="00956F10"/>
    <w:rsid w:val="0095716B"/>
    <w:rsid w:val="0095719E"/>
    <w:rsid w:val="00957208"/>
    <w:rsid w:val="00957220"/>
    <w:rsid w:val="00957281"/>
    <w:rsid w:val="009572A0"/>
    <w:rsid w:val="009572E3"/>
    <w:rsid w:val="0095730B"/>
    <w:rsid w:val="0095742C"/>
    <w:rsid w:val="0095749A"/>
    <w:rsid w:val="0095756A"/>
    <w:rsid w:val="009575F4"/>
    <w:rsid w:val="0095776A"/>
    <w:rsid w:val="00957827"/>
    <w:rsid w:val="00957896"/>
    <w:rsid w:val="009578D2"/>
    <w:rsid w:val="00957AE8"/>
    <w:rsid w:val="00957B41"/>
    <w:rsid w:val="00957B65"/>
    <w:rsid w:val="00957B9D"/>
    <w:rsid w:val="00957C7F"/>
    <w:rsid w:val="00957CCA"/>
    <w:rsid w:val="00957CFC"/>
    <w:rsid w:val="00957D24"/>
    <w:rsid w:val="00957E58"/>
    <w:rsid w:val="00957E7E"/>
    <w:rsid w:val="00957E8D"/>
    <w:rsid w:val="00957F09"/>
    <w:rsid w:val="00957F9D"/>
    <w:rsid w:val="00960013"/>
    <w:rsid w:val="0096002E"/>
    <w:rsid w:val="00960105"/>
    <w:rsid w:val="00960109"/>
    <w:rsid w:val="009601A9"/>
    <w:rsid w:val="009602EF"/>
    <w:rsid w:val="0096032D"/>
    <w:rsid w:val="00960393"/>
    <w:rsid w:val="009603D6"/>
    <w:rsid w:val="009603DA"/>
    <w:rsid w:val="00960504"/>
    <w:rsid w:val="0096054A"/>
    <w:rsid w:val="00960551"/>
    <w:rsid w:val="00960691"/>
    <w:rsid w:val="0096074E"/>
    <w:rsid w:val="009607B7"/>
    <w:rsid w:val="009607FF"/>
    <w:rsid w:val="00960815"/>
    <w:rsid w:val="009608F3"/>
    <w:rsid w:val="00960958"/>
    <w:rsid w:val="00960AE3"/>
    <w:rsid w:val="00960AF7"/>
    <w:rsid w:val="00960C78"/>
    <w:rsid w:val="00960C96"/>
    <w:rsid w:val="00960CF8"/>
    <w:rsid w:val="00960CFE"/>
    <w:rsid w:val="00960DCF"/>
    <w:rsid w:val="00960DE3"/>
    <w:rsid w:val="00960E3A"/>
    <w:rsid w:val="00960EF5"/>
    <w:rsid w:val="00960F31"/>
    <w:rsid w:val="00960F9D"/>
    <w:rsid w:val="009610F0"/>
    <w:rsid w:val="009612B5"/>
    <w:rsid w:val="0096136E"/>
    <w:rsid w:val="009613DD"/>
    <w:rsid w:val="009614D1"/>
    <w:rsid w:val="009615B5"/>
    <w:rsid w:val="009615CB"/>
    <w:rsid w:val="00961624"/>
    <w:rsid w:val="00961633"/>
    <w:rsid w:val="009616FB"/>
    <w:rsid w:val="0096173E"/>
    <w:rsid w:val="009617A7"/>
    <w:rsid w:val="009618FD"/>
    <w:rsid w:val="0096193B"/>
    <w:rsid w:val="00961B17"/>
    <w:rsid w:val="00961B53"/>
    <w:rsid w:val="00961C21"/>
    <w:rsid w:val="00961CA0"/>
    <w:rsid w:val="00961DB0"/>
    <w:rsid w:val="00961DE1"/>
    <w:rsid w:val="009620B0"/>
    <w:rsid w:val="009620D1"/>
    <w:rsid w:val="0096214A"/>
    <w:rsid w:val="009621CF"/>
    <w:rsid w:val="00962269"/>
    <w:rsid w:val="009623A0"/>
    <w:rsid w:val="009623D5"/>
    <w:rsid w:val="00962457"/>
    <w:rsid w:val="009624FE"/>
    <w:rsid w:val="0096257E"/>
    <w:rsid w:val="00962619"/>
    <w:rsid w:val="009627DF"/>
    <w:rsid w:val="009627ED"/>
    <w:rsid w:val="009628B5"/>
    <w:rsid w:val="00962A29"/>
    <w:rsid w:val="00962A5B"/>
    <w:rsid w:val="00962D16"/>
    <w:rsid w:val="00962DF7"/>
    <w:rsid w:val="00962F3B"/>
    <w:rsid w:val="00962FC9"/>
    <w:rsid w:val="00962FF6"/>
    <w:rsid w:val="009630B2"/>
    <w:rsid w:val="00963130"/>
    <w:rsid w:val="00963264"/>
    <w:rsid w:val="00963287"/>
    <w:rsid w:val="009632A4"/>
    <w:rsid w:val="009632A6"/>
    <w:rsid w:val="009633A6"/>
    <w:rsid w:val="00963541"/>
    <w:rsid w:val="0096389D"/>
    <w:rsid w:val="00963959"/>
    <w:rsid w:val="00963972"/>
    <w:rsid w:val="0096398E"/>
    <w:rsid w:val="009639E7"/>
    <w:rsid w:val="00963A03"/>
    <w:rsid w:val="00963A84"/>
    <w:rsid w:val="00963A85"/>
    <w:rsid w:val="00963B82"/>
    <w:rsid w:val="00963C3F"/>
    <w:rsid w:val="00963C89"/>
    <w:rsid w:val="00963D38"/>
    <w:rsid w:val="00963D9E"/>
    <w:rsid w:val="00963EDA"/>
    <w:rsid w:val="00963F6D"/>
    <w:rsid w:val="00963F75"/>
    <w:rsid w:val="00963F95"/>
    <w:rsid w:val="00963FA5"/>
    <w:rsid w:val="00964008"/>
    <w:rsid w:val="00964101"/>
    <w:rsid w:val="00964131"/>
    <w:rsid w:val="00964188"/>
    <w:rsid w:val="0096419B"/>
    <w:rsid w:val="009641EF"/>
    <w:rsid w:val="009642A1"/>
    <w:rsid w:val="009642EC"/>
    <w:rsid w:val="00964363"/>
    <w:rsid w:val="009643BB"/>
    <w:rsid w:val="00964463"/>
    <w:rsid w:val="00964517"/>
    <w:rsid w:val="00964519"/>
    <w:rsid w:val="009645A3"/>
    <w:rsid w:val="00964657"/>
    <w:rsid w:val="0096467E"/>
    <w:rsid w:val="009646BF"/>
    <w:rsid w:val="00964792"/>
    <w:rsid w:val="00964804"/>
    <w:rsid w:val="00964929"/>
    <w:rsid w:val="00964939"/>
    <w:rsid w:val="00964A02"/>
    <w:rsid w:val="00964A12"/>
    <w:rsid w:val="00964B90"/>
    <w:rsid w:val="00964C4B"/>
    <w:rsid w:val="00964C8C"/>
    <w:rsid w:val="00964D0D"/>
    <w:rsid w:val="00964DCF"/>
    <w:rsid w:val="00964E3D"/>
    <w:rsid w:val="00964E71"/>
    <w:rsid w:val="00964FA6"/>
    <w:rsid w:val="00964FDF"/>
    <w:rsid w:val="00965030"/>
    <w:rsid w:val="00965042"/>
    <w:rsid w:val="009650DB"/>
    <w:rsid w:val="00965107"/>
    <w:rsid w:val="00965143"/>
    <w:rsid w:val="0096517F"/>
    <w:rsid w:val="009651A4"/>
    <w:rsid w:val="00965284"/>
    <w:rsid w:val="00965386"/>
    <w:rsid w:val="009653CE"/>
    <w:rsid w:val="00965436"/>
    <w:rsid w:val="00965488"/>
    <w:rsid w:val="00965496"/>
    <w:rsid w:val="00965599"/>
    <w:rsid w:val="0096562A"/>
    <w:rsid w:val="0096565E"/>
    <w:rsid w:val="00965693"/>
    <w:rsid w:val="00965768"/>
    <w:rsid w:val="009657B2"/>
    <w:rsid w:val="0096592B"/>
    <w:rsid w:val="0096596C"/>
    <w:rsid w:val="00965BF1"/>
    <w:rsid w:val="00965C4D"/>
    <w:rsid w:val="00965D9A"/>
    <w:rsid w:val="00965E2A"/>
    <w:rsid w:val="00965EB1"/>
    <w:rsid w:val="00965EF8"/>
    <w:rsid w:val="00965F25"/>
    <w:rsid w:val="00965F9E"/>
    <w:rsid w:val="00965FAF"/>
    <w:rsid w:val="00966066"/>
    <w:rsid w:val="0096619A"/>
    <w:rsid w:val="00966392"/>
    <w:rsid w:val="00966488"/>
    <w:rsid w:val="009664DA"/>
    <w:rsid w:val="009664EC"/>
    <w:rsid w:val="0096656D"/>
    <w:rsid w:val="009666E6"/>
    <w:rsid w:val="00966782"/>
    <w:rsid w:val="009667FA"/>
    <w:rsid w:val="00966815"/>
    <w:rsid w:val="00966867"/>
    <w:rsid w:val="00966870"/>
    <w:rsid w:val="00966882"/>
    <w:rsid w:val="00966934"/>
    <w:rsid w:val="00966A7B"/>
    <w:rsid w:val="00966A94"/>
    <w:rsid w:val="00966AED"/>
    <w:rsid w:val="00966B02"/>
    <w:rsid w:val="00966C89"/>
    <w:rsid w:val="00966C94"/>
    <w:rsid w:val="00966C9C"/>
    <w:rsid w:val="00966CB2"/>
    <w:rsid w:val="00966CB3"/>
    <w:rsid w:val="00966D52"/>
    <w:rsid w:val="00966D9C"/>
    <w:rsid w:val="00966DDD"/>
    <w:rsid w:val="00966EE0"/>
    <w:rsid w:val="00966EE5"/>
    <w:rsid w:val="00966EF8"/>
    <w:rsid w:val="00966F2F"/>
    <w:rsid w:val="00966F75"/>
    <w:rsid w:val="00967000"/>
    <w:rsid w:val="00967021"/>
    <w:rsid w:val="00967043"/>
    <w:rsid w:val="0096708D"/>
    <w:rsid w:val="00967118"/>
    <w:rsid w:val="00967207"/>
    <w:rsid w:val="009672D8"/>
    <w:rsid w:val="0096730F"/>
    <w:rsid w:val="00967313"/>
    <w:rsid w:val="0096741B"/>
    <w:rsid w:val="00967549"/>
    <w:rsid w:val="009675D0"/>
    <w:rsid w:val="00967608"/>
    <w:rsid w:val="00967674"/>
    <w:rsid w:val="009676C0"/>
    <w:rsid w:val="00967730"/>
    <w:rsid w:val="00967735"/>
    <w:rsid w:val="009677BD"/>
    <w:rsid w:val="00967822"/>
    <w:rsid w:val="009678B0"/>
    <w:rsid w:val="00967932"/>
    <w:rsid w:val="0096794E"/>
    <w:rsid w:val="009679EE"/>
    <w:rsid w:val="00967A2F"/>
    <w:rsid w:val="00967B68"/>
    <w:rsid w:val="00967B91"/>
    <w:rsid w:val="00967C02"/>
    <w:rsid w:val="00967C03"/>
    <w:rsid w:val="00967C06"/>
    <w:rsid w:val="00967C50"/>
    <w:rsid w:val="00967D31"/>
    <w:rsid w:val="00967D81"/>
    <w:rsid w:val="00967E65"/>
    <w:rsid w:val="00967F0F"/>
    <w:rsid w:val="00970016"/>
    <w:rsid w:val="0097002F"/>
    <w:rsid w:val="0097010B"/>
    <w:rsid w:val="009701AE"/>
    <w:rsid w:val="009701C6"/>
    <w:rsid w:val="009701E6"/>
    <w:rsid w:val="0097031D"/>
    <w:rsid w:val="0097034D"/>
    <w:rsid w:val="009704E0"/>
    <w:rsid w:val="00970585"/>
    <w:rsid w:val="00970594"/>
    <w:rsid w:val="00970604"/>
    <w:rsid w:val="00970698"/>
    <w:rsid w:val="009706DD"/>
    <w:rsid w:val="009707F2"/>
    <w:rsid w:val="009708C4"/>
    <w:rsid w:val="00970A0C"/>
    <w:rsid w:val="00970A1F"/>
    <w:rsid w:val="00970A55"/>
    <w:rsid w:val="00970B14"/>
    <w:rsid w:val="00970B83"/>
    <w:rsid w:val="00970BF1"/>
    <w:rsid w:val="00970CB0"/>
    <w:rsid w:val="00970D02"/>
    <w:rsid w:val="00970F6C"/>
    <w:rsid w:val="0097108D"/>
    <w:rsid w:val="00971152"/>
    <w:rsid w:val="0097115C"/>
    <w:rsid w:val="009711AA"/>
    <w:rsid w:val="009711E1"/>
    <w:rsid w:val="00971276"/>
    <w:rsid w:val="00971315"/>
    <w:rsid w:val="00971331"/>
    <w:rsid w:val="00971350"/>
    <w:rsid w:val="009713A5"/>
    <w:rsid w:val="00971591"/>
    <w:rsid w:val="009715EE"/>
    <w:rsid w:val="0097162E"/>
    <w:rsid w:val="00971649"/>
    <w:rsid w:val="00971700"/>
    <w:rsid w:val="0097172F"/>
    <w:rsid w:val="0097173C"/>
    <w:rsid w:val="0097177D"/>
    <w:rsid w:val="009717FC"/>
    <w:rsid w:val="00971893"/>
    <w:rsid w:val="009718B8"/>
    <w:rsid w:val="009718F3"/>
    <w:rsid w:val="0097190F"/>
    <w:rsid w:val="00971A45"/>
    <w:rsid w:val="00971B22"/>
    <w:rsid w:val="00971C42"/>
    <w:rsid w:val="00971C7C"/>
    <w:rsid w:val="00971CFF"/>
    <w:rsid w:val="00971D57"/>
    <w:rsid w:val="00971D58"/>
    <w:rsid w:val="00971F0A"/>
    <w:rsid w:val="00971FE3"/>
    <w:rsid w:val="0097201C"/>
    <w:rsid w:val="009720D0"/>
    <w:rsid w:val="00972170"/>
    <w:rsid w:val="00972198"/>
    <w:rsid w:val="009721B8"/>
    <w:rsid w:val="0097224D"/>
    <w:rsid w:val="0097225D"/>
    <w:rsid w:val="009722DD"/>
    <w:rsid w:val="009723C2"/>
    <w:rsid w:val="0097266E"/>
    <w:rsid w:val="009726E1"/>
    <w:rsid w:val="0097281A"/>
    <w:rsid w:val="00972943"/>
    <w:rsid w:val="00972958"/>
    <w:rsid w:val="009729D1"/>
    <w:rsid w:val="00972A17"/>
    <w:rsid w:val="00972AA5"/>
    <w:rsid w:val="00972B81"/>
    <w:rsid w:val="00972B96"/>
    <w:rsid w:val="00972C85"/>
    <w:rsid w:val="00972D80"/>
    <w:rsid w:val="00972E61"/>
    <w:rsid w:val="00972E92"/>
    <w:rsid w:val="00972ED2"/>
    <w:rsid w:val="00973071"/>
    <w:rsid w:val="00973147"/>
    <w:rsid w:val="00973180"/>
    <w:rsid w:val="009731C4"/>
    <w:rsid w:val="009731E5"/>
    <w:rsid w:val="0097324A"/>
    <w:rsid w:val="0097325A"/>
    <w:rsid w:val="00973295"/>
    <w:rsid w:val="009732B9"/>
    <w:rsid w:val="009733BA"/>
    <w:rsid w:val="009733F5"/>
    <w:rsid w:val="00973403"/>
    <w:rsid w:val="0097340F"/>
    <w:rsid w:val="0097342C"/>
    <w:rsid w:val="00973468"/>
    <w:rsid w:val="009734BB"/>
    <w:rsid w:val="0097350C"/>
    <w:rsid w:val="00973526"/>
    <w:rsid w:val="009735E9"/>
    <w:rsid w:val="009736A0"/>
    <w:rsid w:val="009736E9"/>
    <w:rsid w:val="009737EF"/>
    <w:rsid w:val="0097381D"/>
    <w:rsid w:val="00973915"/>
    <w:rsid w:val="0097391C"/>
    <w:rsid w:val="009739F7"/>
    <w:rsid w:val="00973A61"/>
    <w:rsid w:val="00973B28"/>
    <w:rsid w:val="00973CB5"/>
    <w:rsid w:val="00973CD6"/>
    <w:rsid w:val="00973D28"/>
    <w:rsid w:val="00973E7F"/>
    <w:rsid w:val="00973EE7"/>
    <w:rsid w:val="00973F33"/>
    <w:rsid w:val="00973F64"/>
    <w:rsid w:val="00974054"/>
    <w:rsid w:val="009740E8"/>
    <w:rsid w:val="0097410A"/>
    <w:rsid w:val="0097411D"/>
    <w:rsid w:val="0097415D"/>
    <w:rsid w:val="00974179"/>
    <w:rsid w:val="0097418F"/>
    <w:rsid w:val="009741D3"/>
    <w:rsid w:val="0097422B"/>
    <w:rsid w:val="009742C5"/>
    <w:rsid w:val="009742EC"/>
    <w:rsid w:val="00974305"/>
    <w:rsid w:val="009744A1"/>
    <w:rsid w:val="009744A7"/>
    <w:rsid w:val="009744EF"/>
    <w:rsid w:val="00974695"/>
    <w:rsid w:val="009747E4"/>
    <w:rsid w:val="00974829"/>
    <w:rsid w:val="009749D7"/>
    <w:rsid w:val="009749F0"/>
    <w:rsid w:val="00974AFB"/>
    <w:rsid w:val="00974BB8"/>
    <w:rsid w:val="00974E0E"/>
    <w:rsid w:val="00974E6E"/>
    <w:rsid w:val="00974FA3"/>
    <w:rsid w:val="00975053"/>
    <w:rsid w:val="00975150"/>
    <w:rsid w:val="00975197"/>
    <w:rsid w:val="00975202"/>
    <w:rsid w:val="0097529B"/>
    <w:rsid w:val="0097529D"/>
    <w:rsid w:val="00975396"/>
    <w:rsid w:val="00975440"/>
    <w:rsid w:val="00975552"/>
    <w:rsid w:val="00975587"/>
    <w:rsid w:val="0097558E"/>
    <w:rsid w:val="009755AD"/>
    <w:rsid w:val="0097568F"/>
    <w:rsid w:val="00975769"/>
    <w:rsid w:val="0097593D"/>
    <w:rsid w:val="009759B4"/>
    <w:rsid w:val="009759E6"/>
    <w:rsid w:val="00975A60"/>
    <w:rsid w:val="00975AAC"/>
    <w:rsid w:val="00975BAF"/>
    <w:rsid w:val="00975C83"/>
    <w:rsid w:val="00975DDA"/>
    <w:rsid w:val="00975FC8"/>
    <w:rsid w:val="00976129"/>
    <w:rsid w:val="0097627D"/>
    <w:rsid w:val="009762DD"/>
    <w:rsid w:val="00976304"/>
    <w:rsid w:val="00976338"/>
    <w:rsid w:val="009763D4"/>
    <w:rsid w:val="009764D5"/>
    <w:rsid w:val="009765B7"/>
    <w:rsid w:val="009765B9"/>
    <w:rsid w:val="009765EC"/>
    <w:rsid w:val="009766BE"/>
    <w:rsid w:val="0097672E"/>
    <w:rsid w:val="0097682D"/>
    <w:rsid w:val="009768D2"/>
    <w:rsid w:val="009769B6"/>
    <w:rsid w:val="00976A35"/>
    <w:rsid w:val="00976ACB"/>
    <w:rsid w:val="00976BC6"/>
    <w:rsid w:val="00976C77"/>
    <w:rsid w:val="00976C7F"/>
    <w:rsid w:val="00976D8F"/>
    <w:rsid w:val="00976EC8"/>
    <w:rsid w:val="00976F36"/>
    <w:rsid w:val="00976FA6"/>
    <w:rsid w:val="00976FFE"/>
    <w:rsid w:val="0097701D"/>
    <w:rsid w:val="009771E4"/>
    <w:rsid w:val="009772A4"/>
    <w:rsid w:val="0097730E"/>
    <w:rsid w:val="0097734E"/>
    <w:rsid w:val="009775BD"/>
    <w:rsid w:val="009776B3"/>
    <w:rsid w:val="009776D4"/>
    <w:rsid w:val="009776D9"/>
    <w:rsid w:val="00977827"/>
    <w:rsid w:val="009778F4"/>
    <w:rsid w:val="009779A1"/>
    <w:rsid w:val="00977A3D"/>
    <w:rsid w:val="00977A72"/>
    <w:rsid w:val="00977AB1"/>
    <w:rsid w:val="00977B4C"/>
    <w:rsid w:val="00977B79"/>
    <w:rsid w:val="00977BA9"/>
    <w:rsid w:val="00977C1E"/>
    <w:rsid w:val="00977CA6"/>
    <w:rsid w:val="00977CFE"/>
    <w:rsid w:val="00977E37"/>
    <w:rsid w:val="00977E79"/>
    <w:rsid w:val="0098005F"/>
    <w:rsid w:val="0098008E"/>
    <w:rsid w:val="009800EA"/>
    <w:rsid w:val="00980198"/>
    <w:rsid w:val="009801B9"/>
    <w:rsid w:val="009803A9"/>
    <w:rsid w:val="009803CB"/>
    <w:rsid w:val="009803D4"/>
    <w:rsid w:val="009804E4"/>
    <w:rsid w:val="00980507"/>
    <w:rsid w:val="0098057C"/>
    <w:rsid w:val="009805B2"/>
    <w:rsid w:val="009805D0"/>
    <w:rsid w:val="00980671"/>
    <w:rsid w:val="009807A2"/>
    <w:rsid w:val="009807C8"/>
    <w:rsid w:val="009807EC"/>
    <w:rsid w:val="00980855"/>
    <w:rsid w:val="009808AD"/>
    <w:rsid w:val="00980975"/>
    <w:rsid w:val="009809A9"/>
    <w:rsid w:val="00980A10"/>
    <w:rsid w:val="00980AAB"/>
    <w:rsid w:val="00980AB2"/>
    <w:rsid w:val="00980BB0"/>
    <w:rsid w:val="00980DD1"/>
    <w:rsid w:val="00981003"/>
    <w:rsid w:val="0098100C"/>
    <w:rsid w:val="009810DE"/>
    <w:rsid w:val="00981148"/>
    <w:rsid w:val="009811AB"/>
    <w:rsid w:val="009811BB"/>
    <w:rsid w:val="00981222"/>
    <w:rsid w:val="00981226"/>
    <w:rsid w:val="009812C9"/>
    <w:rsid w:val="009812FF"/>
    <w:rsid w:val="009813F3"/>
    <w:rsid w:val="00981401"/>
    <w:rsid w:val="00981463"/>
    <w:rsid w:val="009814AD"/>
    <w:rsid w:val="0098157C"/>
    <w:rsid w:val="0098158E"/>
    <w:rsid w:val="00981647"/>
    <w:rsid w:val="009816AF"/>
    <w:rsid w:val="009817D5"/>
    <w:rsid w:val="0098189A"/>
    <w:rsid w:val="0098199C"/>
    <w:rsid w:val="009819A6"/>
    <w:rsid w:val="00981BC2"/>
    <w:rsid w:val="00981C3F"/>
    <w:rsid w:val="00981DA5"/>
    <w:rsid w:val="00981E80"/>
    <w:rsid w:val="00981FF5"/>
    <w:rsid w:val="00981FFD"/>
    <w:rsid w:val="009820A1"/>
    <w:rsid w:val="0098213D"/>
    <w:rsid w:val="00982150"/>
    <w:rsid w:val="0098226F"/>
    <w:rsid w:val="0098228B"/>
    <w:rsid w:val="009822F8"/>
    <w:rsid w:val="00982304"/>
    <w:rsid w:val="00982373"/>
    <w:rsid w:val="009824E3"/>
    <w:rsid w:val="009824E5"/>
    <w:rsid w:val="00982578"/>
    <w:rsid w:val="009825AF"/>
    <w:rsid w:val="00982654"/>
    <w:rsid w:val="0098267D"/>
    <w:rsid w:val="0098268D"/>
    <w:rsid w:val="00982744"/>
    <w:rsid w:val="0098280E"/>
    <w:rsid w:val="0098293E"/>
    <w:rsid w:val="00982976"/>
    <w:rsid w:val="00982BFB"/>
    <w:rsid w:val="00982C0E"/>
    <w:rsid w:val="00982D27"/>
    <w:rsid w:val="00982DDB"/>
    <w:rsid w:val="00982E3E"/>
    <w:rsid w:val="00982F0A"/>
    <w:rsid w:val="0098300C"/>
    <w:rsid w:val="00983113"/>
    <w:rsid w:val="0098315E"/>
    <w:rsid w:val="0098317B"/>
    <w:rsid w:val="00983202"/>
    <w:rsid w:val="00983212"/>
    <w:rsid w:val="00983236"/>
    <w:rsid w:val="009832B3"/>
    <w:rsid w:val="00983349"/>
    <w:rsid w:val="009833A6"/>
    <w:rsid w:val="00983491"/>
    <w:rsid w:val="0098362A"/>
    <w:rsid w:val="0098365C"/>
    <w:rsid w:val="009836DA"/>
    <w:rsid w:val="00983731"/>
    <w:rsid w:val="0098379B"/>
    <w:rsid w:val="00983884"/>
    <w:rsid w:val="009838A8"/>
    <w:rsid w:val="00983949"/>
    <w:rsid w:val="0098394E"/>
    <w:rsid w:val="009839C0"/>
    <w:rsid w:val="009839DC"/>
    <w:rsid w:val="00983A8F"/>
    <w:rsid w:val="00983B25"/>
    <w:rsid w:val="00983BC1"/>
    <w:rsid w:val="00983BDC"/>
    <w:rsid w:val="00983BFB"/>
    <w:rsid w:val="00983C4C"/>
    <w:rsid w:val="00983C72"/>
    <w:rsid w:val="00983CA2"/>
    <w:rsid w:val="00983E8D"/>
    <w:rsid w:val="0098428D"/>
    <w:rsid w:val="00984375"/>
    <w:rsid w:val="00984484"/>
    <w:rsid w:val="009845D0"/>
    <w:rsid w:val="009845DE"/>
    <w:rsid w:val="00984660"/>
    <w:rsid w:val="00984680"/>
    <w:rsid w:val="0098480F"/>
    <w:rsid w:val="00984868"/>
    <w:rsid w:val="00984C95"/>
    <w:rsid w:val="00984D77"/>
    <w:rsid w:val="00984DC4"/>
    <w:rsid w:val="00984E98"/>
    <w:rsid w:val="00984EA6"/>
    <w:rsid w:val="00984FEB"/>
    <w:rsid w:val="00985065"/>
    <w:rsid w:val="0098506C"/>
    <w:rsid w:val="0098513E"/>
    <w:rsid w:val="00985163"/>
    <w:rsid w:val="00985235"/>
    <w:rsid w:val="00985239"/>
    <w:rsid w:val="0098548E"/>
    <w:rsid w:val="009855A4"/>
    <w:rsid w:val="009857D9"/>
    <w:rsid w:val="0098587A"/>
    <w:rsid w:val="009858C6"/>
    <w:rsid w:val="009858D1"/>
    <w:rsid w:val="00985941"/>
    <w:rsid w:val="009859B5"/>
    <w:rsid w:val="009859B7"/>
    <w:rsid w:val="00985B02"/>
    <w:rsid w:val="00985B7A"/>
    <w:rsid w:val="00985C53"/>
    <w:rsid w:val="00985C59"/>
    <w:rsid w:val="00985DE1"/>
    <w:rsid w:val="00985E48"/>
    <w:rsid w:val="00985F03"/>
    <w:rsid w:val="00985F42"/>
    <w:rsid w:val="00985F85"/>
    <w:rsid w:val="00985FBB"/>
    <w:rsid w:val="00986247"/>
    <w:rsid w:val="0098630D"/>
    <w:rsid w:val="00986450"/>
    <w:rsid w:val="00986614"/>
    <w:rsid w:val="0098662C"/>
    <w:rsid w:val="00986644"/>
    <w:rsid w:val="0098668D"/>
    <w:rsid w:val="009866E9"/>
    <w:rsid w:val="009866F9"/>
    <w:rsid w:val="009867A5"/>
    <w:rsid w:val="0098685D"/>
    <w:rsid w:val="00986882"/>
    <w:rsid w:val="009869B5"/>
    <w:rsid w:val="00986AE4"/>
    <w:rsid w:val="00986B4E"/>
    <w:rsid w:val="00986C98"/>
    <w:rsid w:val="00986CB6"/>
    <w:rsid w:val="00986D1A"/>
    <w:rsid w:val="00986D95"/>
    <w:rsid w:val="00986FAF"/>
    <w:rsid w:val="00986FB3"/>
    <w:rsid w:val="0098714D"/>
    <w:rsid w:val="0098724C"/>
    <w:rsid w:val="00987292"/>
    <w:rsid w:val="0098730F"/>
    <w:rsid w:val="00987335"/>
    <w:rsid w:val="009873F3"/>
    <w:rsid w:val="0098767F"/>
    <w:rsid w:val="00987696"/>
    <w:rsid w:val="009877D7"/>
    <w:rsid w:val="0098780D"/>
    <w:rsid w:val="0098781D"/>
    <w:rsid w:val="00987839"/>
    <w:rsid w:val="00987851"/>
    <w:rsid w:val="00987896"/>
    <w:rsid w:val="00987977"/>
    <w:rsid w:val="009879BB"/>
    <w:rsid w:val="00987C6D"/>
    <w:rsid w:val="00987CE3"/>
    <w:rsid w:val="00987D75"/>
    <w:rsid w:val="00987D8D"/>
    <w:rsid w:val="00987E28"/>
    <w:rsid w:val="00987E75"/>
    <w:rsid w:val="00987E90"/>
    <w:rsid w:val="00987F77"/>
    <w:rsid w:val="00990067"/>
    <w:rsid w:val="0099016D"/>
    <w:rsid w:val="00990191"/>
    <w:rsid w:val="009901A6"/>
    <w:rsid w:val="0099033E"/>
    <w:rsid w:val="009903AE"/>
    <w:rsid w:val="0099041D"/>
    <w:rsid w:val="00990469"/>
    <w:rsid w:val="009904B0"/>
    <w:rsid w:val="009904B3"/>
    <w:rsid w:val="009904EA"/>
    <w:rsid w:val="00990525"/>
    <w:rsid w:val="009905B7"/>
    <w:rsid w:val="0099065C"/>
    <w:rsid w:val="009906CD"/>
    <w:rsid w:val="009906E2"/>
    <w:rsid w:val="0099070A"/>
    <w:rsid w:val="0099077D"/>
    <w:rsid w:val="00990861"/>
    <w:rsid w:val="009908BB"/>
    <w:rsid w:val="00990916"/>
    <w:rsid w:val="00990952"/>
    <w:rsid w:val="00990B08"/>
    <w:rsid w:val="00990BFC"/>
    <w:rsid w:val="00990D30"/>
    <w:rsid w:val="00990DB5"/>
    <w:rsid w:val="00990F15"/>
    <w:rsid w:val="00990F23"/>
    <w:rsid w:val="00990FD8"/>
    <w:rsid w:val="00991070"/>
    <w:rsid w:val="00991078"/>
    <w:rsid w:val="009910BE"/>
    <w:rsid w:val="009910DB"/>
    <w:rsid w:val="009910DD"/>
    <w:rsid w:val="0099112D"/>
    <w:rsid w:val="009911E0"/>
    <w:rsid w:val="0099121E"/>
    <w:rsid w:val="0099132E"/>
    <w:rsid w:val="0099139A"/>
    <w:rsid w:val="00991435"/>
    <w:rsid w:val="009914BA"/>
    <w:rsid w:val="0099159D"/>
    <w:rsid w:val="009915A0"/>
    <w:rsid w:val="009915C1"/>
    <w:rsid w:val="009915F6"/>
    <w:rsid w:val="0099162B"/>
    <w:rsid w:val="009917AE"/>
    <w:rsid w:val="00991854"/>
    <w:rsid w:val="00991957"/>
    <w:rsid w:val="0099199B"/>
    <w:rsid w:val="00991A0D"/>
    <w:rsid w:val="00991C87"/>
    <w:rsid w:val="00991D4C"/>
    <w:rsid w:val="00991D9A"/>
    <w:rsid w:val="00991DAD"/>
    <w:rsid w:val="00991DE8"/>
    <w:rsid w:val="00991E82"/>
    <w:rsid w:val="00991F69"/>
    <w:rsid w:val="00991F93"/>
    <w:rsid w:val="00991FB6"/>
    <w:rsid w:val="00991FB8"/>
    <w:rsid w:val="00992019"/>
    <w:rsid w:val="009920AE"/>
    <w:rsid w:val="009921BB"/>
    <w:rsid w:val="00992202"/>
    <w:rsid w:val="0099225F"/>
    <w:rsid w:val="00992419"/>
    <w:rsid w:val="0099255C"/>
    <w:rsid w:val="009925AF"/>
    <w:rsid w:val="0099269E"/>
    <w:rsid w:val="0099279D"/>
    <w:rsid w:val="00992969"/>
    <w:rsid w:val="00992A56"/>
    <w:rsid w:val="00992A91"/>
    <w:rsid w:val="00992BD2"/>
    <w:rsid w:val="00992CBA"/>
    <w:rsid w:val="00992EBC"/>
    <w:rsid w:val="00992F3B"/>
    <w:rsid w:val="00992FC1"/>
    <w:rsid w:val="00993096"/>
    <w:rsid w:val="0099309E"/>
    <w:rsid w:val="009931A8"/>
    <w:rsid w:val="00993296"/>
    <w:rsid w:val="009932E6"/>
    <w:rsid w:val="00993310"/>
    <w:rsid w:val="00993356"/>
    <w:rsid w:val="009933DF"/>
    <w:rsid w:val="00993586"/>
    <w:rsid w:val="009935BE"/>
    <w:rsid w:val="0099378B"/>
    <w:rsid w:val="009937CE"/>
    <w:rsid w:val="009937D7"/>
    <w:rsid w:val="0099384B"/>
    <w:rsid w:val="00993883"/>
    <w:rsid w:val="00993927"/>
    <w:rsid w:val="00993A08"/>
    <w:rsid w:val="00993A15"/>
    <w:rsid w:val="00993A2B"/>
    <w:rsid w:val="00993B60"/>
    <w:rsid w:val="00993CD4"/>
    <w:rsid w:val="00993D9D"/>
    <w:rsid w:val="00993DA1"/>
    <w:rsid w:val="00993DA4"/>
    <w:rsid w:val="00993DFB"/>
    <w:rsid w:val="0099400E"/>
    <w:rsid w:val="0099415D"/>
    <w:rsid w:val="0099437E"/>
    <w:rsid w:val="009943C9"/>
    <w:rsid w:val="00994485"/>
    <w:rsid w:val="009944DA"/>
    <w:rsid w:val="00994545"/>
    <w:rsid w:val="00994641"/>
    <w:rsid w:val="00994840"/>
    <w:rsid w:val="00994866"/>
    <w:rsid w:val="009948B2"/>
    <w:rsid w:val="0099492C"/>
    <w:rsid w:val="009949FF"/>
    <w:rsid w:val="00994A5E"/>
    <w:rsid w:val="00994ABF"/>
    <w:rsid w:val="00994C17"/>
    <w:rsid w:val="00994CB3"/>
    <w:rsid w:val="00994CBE"/>
    <w:rsid w:val="00994CFC"/>
    <w:rsid w:val="00994D5B"/>
    <w:rsid w:val="00994EE1"/>
    <w:rsid w:val="00994F7F"/>
    <w:rsid w:val="00995055"/>
    <w:rsid w:val="0099529A"/>
    <w:rsid w:val="0099540C"/>
    <w:rsid w:val="00995422"/>
    <w:rsid w:val="00995470"/>
    <w:rsid w:val="0099573B"/>
    <w:rsid w:val="00995767"/>
    <w:rsid w:val="009958EC"/>
    <w:rsid w:val="0099591B"/>
    <w:rsid w:val="00995C3D"/>
    <w:rsid w:val="00995CA9"/>
    <w:rsid w:val="00995CFB"/>
    <w:rsid w:val="00995D84"/>
    <w:rsid w:val="00995E98"/>
    <w:rsid w:val="00995FF0"/>
    <w:rsid w:val="009960B7"/>
    <w:rsid w:val="00996128"/>
    <w:rsid w:val="0099620C"/>
    <w:rsid w:val="0099629F"/>
    <w:rsid w:val="00996344"/>
    <w:rsid w:val="00996397"/>
    <w:rsid w:val="00996404"/>
    <w:rsid w:val="00996494"/>
    <w:rsid w:val="009964D1"/>
    <w:rsid w:val="00996517"/>
    <w:rsid w:val="00996546"/>
    <w:rsid w:val="009965C2"/>
    <w:rsid w:val="009965E3"/>
    <w:rsid w:val="00996738"/>
    <w:rsid w:val="0099696C"/>
    <w:rsid w:val="0099699E"/>
    <w:rsid w:val="009969CA"/>
    <w:rsid w:val="00996A1A"/>
    <w:rsid w:val="00996A5B"/>
    <w:rsid w:val="00996C05"/>
    <w:rsid w:val="00996C4F"/>
    <w:rsid w:val="00996C82"/>
    <w:rsid w:val="00996C9D"/>
    <w:rsid w:val="00996CC9"/>
    <w:rsid w:val="00996CDC"/>
    <w:rsid w:val="00996CF7"/>
    <w:rsid w:val="00996E18"/>
    <w:rsid w:val="00996E5D"/>
    <w:rsid w:val="00996E6E"/>
    <w:rsid w:val="00996F15"/>
    <w:rsid w:val="00996FEA"/>
    <w:rsid w:val="0099724D"/>
    <w:rsid w:val="0099733E"/>
    <w:rsid w:val="009973EE"/>
    <w:rsid w:val="00997487"/>
    <w:rsid w:val="009975D2"/>
    <w:rsid w:val="00997631"/>
    <w:rsid w:val="0099764D"/>
    <w:rsid w:val="009976CF"/>
    <w:rsid w:val="00997820"/>
    <w:rsid w:val="009979F0"/>
    <w:rsid w:val="00997A87"/>
    <w:rsid w:val="00997B6A"/>
    <w:rsid w:val="00997BA8"/>
    <w:rsid w:val="00997BD0"/>
    <w:rsid w:val="00997DA4"/>
    <w:rsid w:val="00997EC6"/>
    <w:rsid w:val="00997EEC"/>
    <w:rsid w:val="00997F33"/>
    <w:rsid w:val="00997F98"/>
    <w:rsid w:val="00997FBB"/>
    <w:rsid w:val="009A0155"/>
    <w:rsid w:val="009A01A2"/>
    <w:rsid w:val="009A0275"/>
    <w:rsid w:val="009A02D4"/>
    <w:rsid w:val="009A0347"/>
    <w:rsid w:val="009A03DB"/>
    <w:rsid w:val="009A0427"/>
    <w:rsid w:val="009A043D"/>
    <w:rsid w:val="009A0594"/>
    <w:rsid w:val="009A05C2"/>
    <w:rsid w:val="009A06DF"/>
    <w:rsid w:val="009A06F4"/>
    <w:rsid w:val="009A0783"/>
    <w:rsid w:val="009A07BE"/>
    <w:rsid w:val="009A09A8"/>
    <w:rsid w:val="009A09E5"/>
    <w:rsid w:val="009A0A19"/>
    <w:rsid w:val="009A0AA3"/>
    <w:rsid w:val="009A0AE1"/>
    <w:rsid w:val="009A0B06"/>
    <w:rsid w:val="009A0B95"/>
    <w:rsid w:val="009A0D31"/>
    <w:rsid w:val="009A0E61"/>
    <w:rsid w:val="009A0FB4"/>
    <w:rsid w:val="009A1209"/>
    <w:rsid w:val="009A1276"/>
    <w:rsid w:val="009A128F"/>
    <w:rsid w:val="009A12FD"/>
    <w:rsid w:val="009A1349"/>
    <w:rsid w:val="009A1438"/>
    <w:rsid w:val="009A1487"/>
    <w:rsid w:val="009A1676"/>
    <w:rsid w:val="009A16DA"/>
    <w:rsid w:val="009A17A5"/>
    <w:rsid w:val="009A189E"/>
    <w:rsid w:val="009A1A80"/>
    <w:rsid w:val="009A1CAC"/>
    <w:rsid w:val="009A1D54"/>
    <w:rsid w:val="009A1D79"/>
    <w:rsid w:val="009A1EB1"/>
    <w:rsid w:val="009A1FC7"/>
    <w:rsid w:val="009A208A"/>
    <w:rsid w:val="009A216B"/>
    <w:rsid w:val="009A2173"/>
    <w:rsid w:val="009A218F"/>
    <w:rsid w:val="009A2389"/>
    <w:rsid w:val="009A23AD"/>
    <w:rsid w:val="009A259E"/>
    <w:rsid w:val="009A2621"/>
    <w:rsid w:val="009A2633"/>
    <w:rsid w:val="009A26D5"/>
    <w:rsid w:val="009A26DB"/>
    <w:rsid w:val="009A2718"/>
    <w:rsid w:val="009A2739"/>
    <w:rsid w:val="009A2797"/>
    <w:rsid w:val="009A28A3"/>
    <w:rsid w:val="009A29A8"/>
    <w:rsid w:val="009A29AC"/>
    <w:rsid w:val="009A2A1B"/>
    <w:rsid w:val="009A2A24"/>
    <w:rsid w:val="009A2BF2"/>
    <w:rsid w:val="009A2BF8"/>
    <w:rsid w:val="009A2C7B"/>
    <w:rsid w:val="009A2D3B"/>
    <w:rsid w:val="009A2E10"/>
    <w:rsid w:val="009A2E89"/>
    <w:rsid w:val="009A2FBF"/>
    <w:rsid w:val="009A3017"/>
    <w:rsid w:val="009A306B"/>
    <w:rsid w:val="009A31E0"/>
    <w:rsid w:val="009A3282"/>
    <w:rsid w:val="009A3355"/>
    <w:rsid w:val="009A3393"/>
    <w:rsid w:val="009A349F"/>
    <w:rsid w:val="009A35A6"/>
    <w:rsid w:val="009A362E"/>
    <w:rsid w:val="009A3655"/>
    <w:rsid w:val="009A3778"/>
    <w:rsid w:val="009A379F"/>
    <w:rsid w:val="009A37CF"/>
    <w:rsid w:val="009A38C8"/>
    <w:rsid w:val="009A39D4"/>
    <w:rsid w:val="009A3A0B"/>
    <w:rsid w:val="009A3C43"/>
    <w:rsid w:val="009A3CE1"/>
    <w:rsid w:val="009A3D52"/>
    <w:rsid w:val="009A3D5E"/>
    <w:rsid w:val="009A3E2E"/>
    <w:rsid w:val="009A3F23"/>
    <w:rsid w:val="009A3F9F"/>
    <w:rsid w:val="009A4005"/>
    <w:rsid w:val="009A4035"/>
    <w:rsid w:val="009A4043"/>
    <w:rsid w:val="009A40C3"/>
    <w:rsid w:val="009A4150"/>
    <w:rsid w:val="009A415D"/>
    <w:rsid w:val="009A41A3"/>
    <w:rsid w:val="009A4268"/>
    <w:rsid w:val="009A42AA"/>
    <w:rsid w:val="009A4347"/>
    <w:rsid w:val="009A43DF"/>
    <w:rsid w:val="009A44FE"/>
    <w:rsid w:val="009A4516"/>
    <w:rsid w:val="009A4522"/>
    <w:rsid w:val="009A459D"/>
    <w:rsid w:val="009A45FC"/>
    <w:rsid w:val="009A4715"/>
    <w:rsid w:val="009A4765"/>
    <w:rsid w:val="009A47B7"/>
    <w:rsid w:val="009A47BA"/>
    <w:rsid w:val="009A47EC"/>
    <w:rsid w:val="009A485B"/>
    <w:rsid w:val="009A490B"/>
    <w:rsid w:val="009A4979"/>
    <w:rsid w:val="009A4A3D"/>
    <w:rsid w:val="009A4BD9"/>
    <w:rsid w:val="009A4C3E"/>
    <w:rsid w:val="009A4C4A"/>
    <w:rsid w:val="009A4D6D"/>
    <w:rsid w:val="009A4D72"/>
    <w:rsid w:val="009A4DAE"/>
    <w:rsid w:val="009A4DE7"/>
    <w:rsid w:val="009A4ECE"/>
    <w:rsid w:val="009A4F3A"/>
    <w:rsid w:val="009A5074"/>
    <w:rsid w:val="009A50E9"/>
    <w:rsid w:val="009A5144"/>
    <w:rsid w:val="009A514B"/>
    <w:rsid w:val="009A5236"/>
    <w:rsid w:val="009A528D"/>
    <w:rsid w:val="009A52BE"/>
    <w:rsid w:val="009A53DA"/>
    <w:rsid w:val="009A53DD"/>
    <w:rsid w:val="009A543D"/>
    <w:rsid w:val="009A54B5"/>
    <w:rsid w:val="009A5540"/>
    <w:rsid w:val="009A555E"/>
    <w:rsid w:val="009A5566"/>
    <w:rsid w:val="009A55C1"/>
    <w:rsid w:val="009A5690"/>
    <w:rsid w:val="009A56B8"/>
    <w:rsid w:val="009A57BE"/>
    <w:rsid w:val="009A584D"/>
    <w:rsid w:val="009A58A7"/>
    <w:rsid w:val="009A592E"/>
    <w:rsid w:val="009A596D"/>
    <w:rsid w:val="009A59C5"/>
    <w:rsid w:val="009A5A72"/>
    <w:rsid w:val="009A5ABA"/>
    <w:rsid w:val="009A5AD6"/>
    <w:rsid w:val="009A5C71"/>
    <w:rsid w:val="009A5D11"/>
    <w:rsid w:val="009A5D1D"/>
    <w:rsid w:val="009A5D84"/>
    <w:rsid w:val="009A5DA7"/>
    <w:rsid w:val="009A5E0D"/>
    <w:rsid w:val="009A5E12"/>
    <w:rsid w:val="009A5F0F"/>
    <w:rsid w:val="009A6045"/>
    <w:rsid w:val="009A6081"/>
    <w:rsid w:val="009A60D3"/>
    <w:rsid w:val="009A60DC"/>
    <w:rsid w:val="009A6128"/>
    <w:rsid w:val="009A627B"/>
    <w:rsid w:val="009A62DD"/>
    <w:rsid w:val="009A630D"/>
    <w:rsid w:val="009A6314"/>
    <w:rsid w:val="009A65D9"/>
    <w:rsid w:val="009A662C"/>
    <w:rsid w:val="009A6674"/>
    <w:rsid w:val="009A6828"/>
    <w:rsid w:val="009A683F"/>
    <w:rsid w:val="009A6A43"/>
    <w:rsid w:val="009A6B51"/>
    <w:rsid w:val="009A6B77"/>
    <w:rsid w:val="009A6C3A"/>
    <w:rsid w:val="009A6C4E"/>
    <w:rsid w:val="009A6C5D"/>
    <w:rsid w:val="009A6CD6"/>
    <w:rsid w:val="009A6DDF"/>
    <w:rsid w:val="009A6E1B"/>
    <w:rsid w:val="009A6E96"/>
    <w:rsid w:val="009A7000"/>
    <w:rsid w:val="009A70E3"/>
    <w:rsid w:val="009A712A"/>
    <w:rsid w:val="009A7225"/>
    <w:rsid w:val="009A7238"/>
    <w:rsid w:val="009A7294"/>
    <w:rsid w:val="009A74C5"/>
    <w:rsid w:val="009A758C"/>
    <w:rsid w:val="009A76F4"/>
    <w:rsid w:val="009A7755"/>
    <w:rsid w:val="009A784B"/>
    <w:rsid w:val="009A78A2"/>
    <w:rsid w:val="009A78CC"/>
    <w:rsid w:val="009A78D0"/>
    <w:rsid w:val="009A7A38"/>
    <w:rsid w:val="009A7AC1"/>
    <w:rsid w:val="009A7BEE"/>
    <w:rsid w:val="009A7C31"/>
    <w:rsid w:val="009A7CC9"/>
    <w:rsid w:val="009A7DB6"/>
    <w:rsid w:val="009A7DF7"/>
    <w:rsid w:val="009A7E35"/>
    <w:rsid w:val="009A7EA8"/>
    <w:rsid w:val="009A7ED7"/>
    <w:rsid w:val="009A7F08"/>
    <w:rsid w:val="009A7F29"/>
    <w:rsid w:val="009A7F34"/>
    <w:rsid w:val="009B0052"/>
    <w:rsid w:val="009B00AB"/>
    <w:rsid w:val="009B00B4"/>
    <w:rsid w:val="009B019B"/>
    <w:rsid w:val="009B01D5"/>
    <w:rsid w:val="009B01F3"/>
    <w:rsid w:val="009B03C4"/>
    <w:rsid w:val="009B043C"/>
    <w:rsid w:val="009B04A8"/>
    <w:rsid w:val="009B052C"/>
    <w:rsid w:val="009B05B7"/>
    <w:rsid w:val="009B061E"/>
    <w:rsid w:val="009B08D7"/>
    <w:rsid w:val="009B09DA"/>
    <w:rsid w:val="009B0AD4"/>
    <w:rsid w:val="009B0AE0"/>
    <w:rsid w:val="009B0BBD"/>
    <w:rsid w:val="009B0C1B"/>
    <w:rsid w:val="009B0CEC"/>
    <w:rsid w:val="009B0D25"/>
    <w:rsid w:val="009B0E65"/>
    <w:rsid w:val="009B0F78"/>
    <w:rsid w:val="009B0F8A"/>
    <w:rsid w:val="009B0FAF"/>
    <w:rsid w:val="009B107F"/>
    <w:rsid w:val="009B1141"/>
    <w:rsid w:val="009B1158"/>
    <w:rsid w:val="009B1163"/>
    <w:rsid w:val="009B11B2"/>
    <w:rsid w:val="009B11DB"/>
    <w:rsid w:val="009B1228"/>
    <w:rsid w:val="009B12C6"/>
    <w:rsid w:val="009B1328"/>
    <w:rsid w:val="009B149A"/>
    <w:rsid w:val="009B149F"/>
    <w:rsid w:val="009B14C9"/>
    <w:rsid w:val="009B153E"/>
    <w:rsid w:val="009B157E"/>
    <w:rsid w:val="009B15DE"/>
    <w:rsid w:val="009B1637"/>
    <w:rsid w:val="009B172A"/>
    <w:rsid w:val="009B17F2"/>
    <w:rsid w:val="009B186F"/>
    <w:rsid w:val="009B18D5"/>
    <w:rsid w:val="009B18F2"/>
    <w:rsid w:val="009B1977"/>
    <w:rsid w:val="009B1BE6"/>
    <w:rsid w:val="009B1BEC"/>
    <w:rsid w:val="009B1C69"/>
    <w:rsid w:val="009B1D7E"/>
    <w:rsid w:val="009B1E14"/>
    <w:rsid w:val="009B1E7F"/>
    <w:rsid w:val="009B1F17"/>
    <w:rsid w:val="009B1F42"/>
    <w:rsid w:val="009B20B0"/>
    <w:rsid w:val="009B21AC"/>
    <w:rsid w:val="009B220F"/>
    <w:rsid w:val="009B2245"/>
    <w:rsid w:val="009B22AD"/>
    <w:rsid w:val="009B22EE"/>
    <w:rsid w:val="009B235C"/>
    <w:rsid w:val="009B258E"/>
    <w:rsid w:val="009B2623"/>
    <w:rsid w:val="009B2694"/>
    <w:rsid w:val="009B27EF"/>
    <w:rsid w:val="009B29A5"/>
    <w:rsid w:val="009B29DE"/>
    <w:rsid w:val="009B2BAC"/>
    <w:rsid w:val="009B2C8A"/>
    <w:rsid w:val="009B2E33"/>
    <w:rsid w:val="009B2F12"/>
    <w:rsid w:val="009B2FF6"/>
    <w:rsid w:val="009B3062"/>
    <w:rsid w:val="009B313E"/>
    <w:rsid w:val="009B31F9"/>
    <w:rsid w:val="009B3263"/>
    <w:rsid w:val="009B332D"/>
    <w:rsid w:val="009B33E4"/>
    <w:rsid w:val="009B3476"/>
    <w:rsid w:val="009B347B"/>
    <w:rsid w:val="009B34FE"/>
    <w:rsid w:val="009B3525"/>
    <w:rsid w:val="009B35D1"/>
    <w:rsid w:val="009B3788"/>
    <w:rsid w:val="009B3880"/>
    <w:rsid w:val="009B3A29"/>
    <w:rsid w:val="009B3AC6"/>
    <w:rsid w:val="009B3AD0"/>
    <w:rsid w:val="009B3AFD"/>
    <w:rsid w:val="009B3B9E"/>
    <w:rsid w:val="009B3C6C"/>
    <w:rsid w:val="009B3CDA"/>
    <w:rsid w:val="009B3E43"/>
    <w:rsid w:val="009B3ECE"/>
    <w:rsid w:val="009B4064"/>
    <w:rsid w:val="009B40A1"/>
    <w:rsid w:val="009B416D"/>
    <w:rsid w:val="009B41DF"/>
    <w:rsid w:val="009B41E4"/>
    <w:rsid w:val="009B42AB"/>
    <w:rsid w:val="009B43F5"/>
    <w:rsid w:val="009B44AD"/>
    <w:rsid w:val="009B44D3"/>
    <w:rsid w:val="009B4538"/>
    <w:rsid w:val="009B45C9"/>
    <w:rsid w:val="009B45EC"/>
    <w:rsid w:val="009B4617"/>
    <w:rsid w:val="009B4678"/>
    <w:rsid w:val="009B46AD"/>
    <w:rsid w:val="009B4713"/>
    <w:rsid w:val="009B489F"/>
    <w:rsid w:val="009B48A2"/>
    <w:rsid w:val="009B48BE"/>
    <w:rsid w:val="009B48E8"/>
    <w:rsid w:val="009B4920"/>
    <w:rsid w:val="009B4969"/>
    <w:rsid w:val="009B49D1"/>
    <w:rsid w:val="009B4A0E"/>
    <w:rsid w:val="009B4A49"/>
    <w:rsid w:val="009B4A98"/>
    <w:rsid w:val="009B4AE0"/>
    <w:rsid w:val="009B4B52"/>
    <w:rsid w:val="009B4BA5"/>
    <w:rsid w:val="009B4C9E"/>
    <w:rsid w:val="009B4D6D"/>
    <w:rsid w:val="009B4D6F"/>
    <w:rsid w:val="009B4EC0"/>
    <w:rsid w:val="009B4F05"/>
    <w:rsid w:val="009B4FF2"/>
    <w:rsid w:val="009B5077"/>
    <w:rsid w:val="009B50A8"/>
    <w:rsid w:val="009B50C1"/>
    <w:rsid w:val="009B50F1"/>
    <w:rsid w:val="009B5169"/>
    <w:rsid w:val="009B51C3"/>
    <w:rsid w:val="009B5236"/>
    <w:rsid w:val="009B52FB"/>
    <w:rsid w:val="009B5328"/>
    <w:rsid w:val="009B5385"/>
    <w:rsid w:val="009B54B6"/>
    <w:rsid w:val="009B54F7"/>
    <w:rsid w:val="009B5547"/>
    <w:rsid w:val="009B5672"/>
    <w:rsid w:val="009B567F"/>
    <w:rsid w:val="009B56F4"/>
    <w:rsid w:val="009B581F"/>
    <w:rsid w:val="009B5852"/>
    <w:rsid w:val="009B5886"/>
    <w:rsid w:val="009B58B2"/>
    <w:rsid w:val="009B58C6"/>
    <w:rsid w:val="009B58CA"/>
    <w:rsid w:val="009B5924"/>
    <w:rsid w:val="009B5997"/>
    <w:rsid w:val="009B5B3E"/>
    <w:rsid w:val="009B5C91"/>
    <w:rsid w:val="009B5CD5"/>
    <w:rsid w:val="009B5DBC"/>
    <w:rsid w:val="009B5E11"/>
    <w:rsid w:val="009B5E2B"/>
    <w:rsid w:val="009B5EBF"/>
    <w:rsid w:val="009B60F6"/>
    <w:rsid w:val="009B61DA"/>
    <w:rsid w:val="009B627F"/>
    <w:rsid w:val="009B6291"/>
    <w:rsid w:val="009B6342"/>
    <w:rsid w:val="009B63DB"/>
    <w:rsid w:val="009B640C"/>
    <w:rsid w:val="009B6425"/>
    <w:rsid w:val="009B655E"/>
    <w:rsid w:val="009B65F9"/>
    <w:rsid w:val="009B67BC"/>
    <w:rsid w:val="009B681B"/>
    <w:rsid w:val="009B6864"/>
    <w:rsid w:val="009B690F"/>
    <w:rsid w:val="009B693F"/>
    <w:rsid w:val="009B695C"/>
    <w:rsid w:val="009B6981"/>
    <w:rsid w:val="009B6985"/>
    <w:rsid w:val="009B69A8"/>
    <w:rsid w:val="009B6A23"/>
    <w:rsid w:val="009B6AEC"/>
    <w:rsid w:val="009B6B19"/>
    <w:rsid w:val="009B6B22"/>
    <w:rsid w:val="009B6B23"/>
    <w:rsid w:val="009B6B59"/>
    <w:rsid w:val="009B6D4F"/>
    <w:rsid w:val="009B6D61"/>
    <w:rsid w:val="009B6D74"/>
    <w:rsid w:val="009B6DA3"/>
    <w:rsid w:val="009B6ED5"/>
    <w:rsid w:val="009B6F2C"/>
    <w:rsid w:val="009B6F96"/>
    <w:rsid w:val="009B703A"/>
    <w:rsid w:val="009B721C"/>
    <w:rsid w:val="009B7341"/>
    <w:rsid w:val="009B73BF"/>
    <w:rsid w:val="009B74B2"/>
    <w:rsid w:val="009B751B"/>
    <w:rsid w:val="009B7616"/>
    <w:rsid w:val="009B761E"/>
    <w:rsid w:val="009B76C7"/>
    <w:rsid w:val="009B779B"/>
    <w:rsid w:val="009B7895"/>
    <w:rsid w:val="009B78B4"/>
    <w:rsid w:val="009B79A5"/>
    <w:rsid w:val="009B79D8"/>
    <w:rsid w:val="009B7A20"/>
    <w:rsid w:val="009B7A83"/>
    <w:rsid w:val="009B7ABD"/>
    <w:rsid w:val="009B7D16"/>
    <w:rsid w:val="009B7D21"/>
    <w:rsid w:val="009B7D55"/>
    <w:rsid w:val="009B7DA6"/>
    <w:rsid w:val="009B7DE3"/>
    <w:rsid w:val="009B7E2E"/>
    <w:rsid w:val="009B7FF0"/>
    <w:rsid w:val="009C0049"/>
    <w:rsid w:val="009C004C"/>
    <w:rsid w:val="009C01C3"/>
    <w:rsid w:val="009C029D"/>
    <w:rsid w:val="009C02BF"/>
    <w:rsid w:val="009C0416"/>
    <w:rsid w:val="009C0418"/>
    <w:rsid w:val="009C043F"/>
    <w:rsid w:val="009C0538"/>
    <w:rsid w:val="009C0545"/>
    <w:rsid w:val="009C06AE"/>
    <w:rsid w:val="009C071C"/>
    <w:rsid w:val="009C0753"/>
    <w:rsid w:val="009C07E4"/>
    <w:rsid w:val="009C07F1"/>
    <w:rsid w:val="009C0872"/>
    <w:rsid w:val="009C0941"/>
    <w:rsid w:val="009C0987"/>
    <w:rsid w:val="009C09D5"/>
    <w:rsid w:val="009C0A45"/>
    <w:rsid w:val="009C0A48"/>
    <w:rsid w:val="009C0A8F"/>
    <w:rsid w:val="009C0AC6"/>
    <w:rsid w:val="009C0B45"/>
    <w:rsid w:val="009C0B54"/>
    <w:rsid w:val="009C0B6B"/>
    <w:rsid w:val="009C0B6C"/>
    <w:rsid w:val="009C0CAE"/>
    <w:rsid w:val="009C0CF3"/>
    <w:rsid w:val="009C0DEB"/>
    <w:rsid w:val="009C0E90"/>
    <w:rsid w:val="009C0EFD"/>
    <w:rsid w:val="009C0F6B"/>
    <w:rsid w:val="009C10AB"/>
    <w:rsid w:val="009C10B5"/>
    <w:rsid w:val="009C10CD"/>
    <w:rsid w:val="009C10D5"/>
    <w:rsid w:val="009C10FD"/>
    <w:rsid w:val="009C115D"/>
    <w:rsid w:val="009C118E"/>
    <w:rsid w:val="009C11CD"/>
    <w:rsid w:val="009C136E"/>
    <w:rsid w:val="009C1468"/>
    <w:rsid w:val="009C1605"/>
    <w:rsid w:val="009C164D"/>
    <w:rsid w:val="009C1704"/>
    <w:rsid w:val="009C1714"/>
    <w:rsid w:val="009C1739"/>
    <w:rsid w:val="009C1741"/>
    <w:rsid w:val="009C17BA"/>
    <w:rsid w:val="009C17CE"/>
    <w:rsid w:val="009C1813"/>
    <w:rsid w:val="009C18CA"/>
    <w:rsid w:val="009C19A6"/>
    <w:rsid w:val="009C19DA"/>
    <w:rsid w:val="009C1A01"/>
    <w:rsid w:val="009C1B20"/>
    <w:rsid w:val="009C1B3E"/>
    <w:rsid w:val="009C1BC4"/>
    <w:rsid w:val="009C1C22"/>
    <w:rsid w:val="009C1C8C"/>
    <w:rsid w:val="009C1D08"/>
    <w:rsid w:val="009C1D27"/>
    <w:rsid w:val="009C1EE6"/>
    <w:rsid w:val="009C1EFE"/>
    <w:rsid w:val="009C1FE2"/>
    <w:rsid w:val="009C2171"/>
    <w:rsid w:val="009C219A"/>
    <w:rsid w:val="009C21A1"/>
    <w:rsid w:val="009C2255"/>
    <w:rsid w:val="009C2292"/>
    <w:rsid w:val="009C23AA"/>
    <w:rsid w:val="009C23D9"/>
    <w:rsid w:val="009C24CC"/>
    <w:rsid w:val="009C24D2"/>
    <w:rsid w:val="009C260F"/>
    <w:rsid w:val="009C2679"/>
    <w:rsid w:val="009C274B"/>
    <w:rsid w:val="009C2762"/>
    <w:rsid w:val="009C277A"/>
    <w:rsid w:val="009C289A"/>
    <w:rsid w:val="009C2922"/>
    <w:rsid w:val="009C29F9"/>
    <w:rsid w:val="009C2A53"/>
    <w:rsid w:val="009C2BA9"/>
    <w:rsid w:val="009C2BED"/>
    <w:rsid w:val="009C2E55"/>
    <w:rsid w:val="009C2E57"/>
    <w:rsid w:val="009C2F26"/>
    <w:rsid w:val="009C2F79"/>
    <w:rsid w:val="009C2F90"/>
    <w:rsid w:val="009C3029"/>
    <w:rsid w:val="009C3168"/>
    <w:rsid w:val="009C31EA"/>
    <w:rsid w:val="009C31F8"/>
    <w:rsid w:val="009C3320"/>
    <w:rsid w:val="009C3431"/>
    <w:rsid w:val="009C34AF"/>
    <w:rsid w:val="009C3633"/>
    <w:rsid w:val="009C370C"/>
    <w:rsid w:val="009C371F"/>
    <w:rsid w:val="009C38FA"/>
    <w:rsid w:val="009C3978"/>
    <w:rsid w:val="009C39AC"/>
    <w:rsid w:val="009C3ADA"/>
    <w:rsid w:val="009C3AFB"/>
    <w:rsid w:val="009C3B45"/>
    <w:rsid w:val="009C3BD9"/>
    <w:rsid w:val="009C3C12"/>
    <w:rsid w:val="009C3C30"/>
    <w:rsid w:val="009C3D02"/>
    <w:rsid w:val="009C3D93"/>
    <w:rsid w:val="009C3D9F"/>
    <w:rsid w:val="009C3DAE"/>
    <w:rsid w:val="009C3E12"/>
    <w:rsid w:val="009C3E32"/>
    <w:rsid w:val="009C3E42"/>
    <w:rsid w:val="009C3F32"/>
    <w:rsid w:val="009C3F7F"/>
    <w:rsid w:val="009C40A4"/>
    <w:rsid w:val="009C411C"/>
    <w:rsid w:val="009C416B"/>
    <w:rsid w:val="009C421A"/>
    <w:rsid w:val="009C421E"/>
    <w:rsid w:val="009C4241"/>
    <w:rsid w:val="009C4254"/>
    <w:rsid w:val="009C4296"/>
    <w:rsid w:val="009C434F"/>
    <w:rsid w:val="009C448E"/>
    <w:rsid w:val="009C450D"/>
    <w:rsid w:val="009C4580"/>
    <w:rsid w:val="009C4641"/>
    <w:rsid w:val="009C471E"/>
    <w:rsid w:val="009C4776"/>
    <w:rsid w:val="009C47B0"/>
    <w:rsid w:val="009C4858"/>
    <w:rsid w:val="009C48F2"/>
    <w:rsid w:val="009C4B50"/>
    <w:rsid w:val="009C4C02"/>
    <w:rsid w:val="009C4C38"/>
    <w:rsid w:val="009C4CE8"/>
    <w:rsid w:val="009C4D66"/>
    <w:rsid w:val="009C4D71"/>
    <w:rsid w:val="009C4F9F"/>
    <w:rsid w:val="009C4FA1"/>
    <w:rsid w:val="009C4FD3"/>
    <w:rsid w:val="009C50F2"/>
    <w:rsid w:val="009C50F9"/>
    <w:rsid w:val="009C5340"/>
    <w:rsid w:val="009C536C"/>
    <w:rsid w:val="009C5492"/>
    <w:rsid w:val="009C5496"/>
    <w:rsid w:val="009C54AC"/>
    <w:rsid w:val="009C5501"/>
    <w:rsid w:val="009C562F"/>
    <w:rsid w:val="009C56A9"/>
    <w:rsid w:val="009C56EC"/>
    <w:rsid w:val="009C57F9"/>
    <w:rsid w:val="009C5830"/>
    <w:rsid w:val="009C586B"/>
    <w:rsid w:val="009C58B4"/>
    <w:rsid w:val="009C58C8"/>
    <w:rsid w:val="009C5936"/>
    <w:rsid w:val="009C597E"/>
    <w:rsid w:val="009C599E"/>
    <w:rsid w:val="009C59E5"/>
    <w:rsid w:val="009C5A6A"/>
    <w:rsid w:val="009C5AA2"/>
    <w:rsid w:val="009C5B82"/>
    <w:rsid w:val="009C5D1A"/>
    <w:rsid w:val="009C5D4A"/>
    <w:rsid w:val="009C5E15"/>
    <w:rsid w:val="009C5F8B"/>
    <w:rsid w:val="009C6027"/>
    <w:rsid w:val="009C608F"/>
    <w:rsid w:val="009C60A2"/>
    <w:rsid w:val="009C60DF"/>
    <w:rsid w:val="009C6238"/>
    <w:rsid w:val="009C6294"/>
    <w:rsid w:val="009C62C3"/>
    <w:rsid w:val="009C62D6"/>
    <w:rsid w:val="009C6322"/>
    <w:rsid w:val="009C6382"/>
    <w:rsid w:val="009C63A1"/>
    <w:rsid w:val="009C64F1"/>
    <w:rsid w:val="009C65DE"/>
    <w:rsid w:val="009C6674"/>
    <w:rsid w:val="009C66E5"/>
    <w:rsid w:val="009C6799"/>
    <w:rsid w:val="009C682B"/>
    <w:rsid w:val="009C682F"/>
    <w:rsid w:val="009C69D0"/>
    <w:rsid w:val="009C69FE"/>
    <w:rsid w:val="009C6AE0"/>
    <w:rsid w:val="009C6B23"/>
    <w:rsid w:val="009C6C7E"/>
    <w:rsid w:val="009C6C93"/>
    <w:rsid w:val="009C6CEB"/>
    <w:rsid w:val="009C6D3F"/>
    <w:rsid w:val="009C6DC3"/>
    <w:rsid w:val="009C6DE4"/>
    <w:rsid w:val="009C6E4C"/>
    <w:rsid w:val="009C6F2F"/>
    <w:rsid w:val="009C6F8B"/>
    <w:rsid w:val="009C7020"/>
    <w:rsid w:val="009C7163"/>
    <w:rsid w:val="009C7351"/>
    <w:rsid w:val="009C738D"/>
    <w:rsid w:val="009C73BA"/>
    <w:rsid w:val="009C73EA"/>
    <w:rsid w:val="009C73FF"/>
    <w:rsid w:val="009C74A3"/>
    <w:rsid w:val="009C74F1"/>
    <w:rsid w:val="009C756E"/>
    <w:rsid w:val="009C7592"/>
    <w:rsid w:val="009C760E"/>
    <w:rsid w:val="009C76CE"/>
    <w:rsid w:val="009C78EA"/>
    <w:rsid w:val="009C792E"/>
    <w:rsid w:val="009C793C"/>
    <w:rsid w:val="009C7BC4"/>
    <w:rsid w:val="009C7BCC"/>
    <w:rsid w:val="009C7BD3"/>
    <w:rsid w:val="009C7BE8"/>
    <w:rsid w:val="009C7DD1"/>
    <w:rsid w:val="009C7DF5"/>
    <w:rsid w:val="009C7E0D"/>
    <w:rsid w:val="009C7E19"/>
    <w:rsid w:val="009C7E2B"/>
    <w:rsid w:val="009D03AA"/>
    <w:rsid w:val="009D03F2"/>
    <w:rsid w:val="009D03F9"/>
    <w:rsid w:val="009D0499"/>
    <w:rsid w:val="009D056B"/>
    <w:rsid w:val="009D056E"/>
    <w:rsid w:val="009D05D3"/>
    <w:rsid w:val="009D05E4"/>
    <w:rsid w:val="009D0968"/>
    <w:rsid w:val="009D09DF"/>
    <w:rsid w:val="009D0A42"/>
    <w:rsid w:val="009D0AA8"/>
    <w:rsid w:val="009D0BBA"/>
    <w:rsid w:val="009D0C5A"/>
    <w:rsid w:val="009D0D2F"/>
    <w:rsid w:val="009D0F5E"/>
    <w:rsid w:val="009D0F7D"/>
    <w:rsid w:val="009D0FAD"/>
    <w:rsid w:val="009D1005"/>
    <w:rsid w:val="009D103F"/>
    <w:rsid w:val="009D10DC"/>
    <w:rsid w:val="009D10F5"/>
    <w:rsid w:val="009D111B"/>
    <w:rsid w:val="009D1126"/>
    <w:rsid w:val="009D1190"/>
    <w:rsid w:val="009D11A4"/>
    <w:rsid w:val="009D1250"/>
    <w:rsid w:val="009D1251"/>
    <w:rsid w:val="009D12AC"/>
    <w:rsid w:val="009D1314"/>
    <w:rsid w:val="009D13BF"/>
    <w:rsid w:val="009D14BB"/>
    <w:rsid w:val="009D1544"/>
    <w:rsid w:val="009D154A"/>
    <w:rsid w:val="009D1555"/>
    <w:rsid w:val="009D16AD"/>
    <w:rsid w:val="009D1720"/>
    <w:rsid w:val="009D1722"/>
    <w:rsid w:val="009D176D"/>
    <w:rsid w:val="009D1BA4"/>
    <w:rsid w:val="009D1BA7"/>
    <w:rsid w:val="009D1E1E"/>
    <w:rsid w:val="009D1E46"/>
    <w:rsid w:val="009D2002"/>
    <w:rsid w:val="009D2032"/>
    <w:rsid w:val="009D205A"/>
    <w:rsid w:val="009D21BE"/>
    <w:rsid w:val="009D229A"/>
    <w:rsid w:val="009D22E8"/>
    <w:rsid w:val="009D22E9"/>
    <w:rsid w:val="009D2393"/>
    <w:rsid w:val="009D2395"/>
    <w:rsid w:val="009D2455"/>
    <w:rsid w:val="009D2479"/>
    <w:rsid w:val="009D24EC"/>
    <w:rsid w:val="009D264F"/>
    <w:rsid w:val="009D27F1"/>
    <w:rsid w:val="009D2879"/>
    <w:rsid w:val="009D287F"/>
    <w:rsid w:val="009D28A2"/>
    <w:rsid w:val="009D2925"/>
    <w:rsid w:val="009D29BB"/>
    <w:rsid w:val="009D29EE"/>
    <w:rsid w:val="009D2A3B"/>
    <w:rsid w:val="009D2AE0"/>
    <w:rsid w:val="009D2B2C"/>
    <w:rsid w:val="009D2BC3"/>
    <w:rsid w:val="009D2CCC"/>
    <w:rsid w:val="009D2F25"/>
    <w:rsid w:val="009D2FAC"/>
    <w:rsid w:val="009D2FF7"/>
    <w:rsid w:val="009D3050"/>
    <w:rsid w:val="009D308C"/>
    <w:rsid w:val="009D308D"/>
    <w:rsid w:val="009D315A"/>
    <w:rsid w:val="009D3177"/>
    <w:rsid w:val="009D3222"/>
    <w:rsid w:val="009D32C6"/>
    <w:rsid w:val="009D3346"/>
    <w:rsid w:val="009D33AB"/>
    <w:rsid w:val="009D3415"/>
    <w:rsid w:val="009D3435"/>
    <w:rsid w:val="009D3484"/>
    <w:rsid w:val="009D355C"/>
    <w:rsid w:val="009D3592"/>
    <w:rsid w:val="009D35E9"/>
    <w:rsid w:val="009D3610"/>
    <w:rsid w:val="009D36A6"/>
    <w:rsid w:val="009D37BB"/>
    <w:rsid w:val="009D37C0"/>
    <w:rsid w:val="009D38D4"/>
    <w:rsid w:val="009D3931"/>
    <w:rsid w:val="009D3A2A"/>
    <w:rsid w:val="009D3B0A"/>
    <w:rsid w:val="009D3B56"/>
    <w:rsid w:val="009D3BC3"/>
    <w:rsid w:val="009D3C3D"/>
    <w:rsid w:val="009D3D10"/>
    <w:rsid w:val="009D3D8E"/>
    <w:rsid w:val="009D3E1D"/>
    <w:rsid w:val="009D3E8F"/>
    <w:rsid w:val="009D3F00"/>
    <w:rsid w:val="009D3F49"/>
    <w:rsid w:val="009D3FD4"/>
    <w:rsid w:val="009D3FE1"/>
    <w:rsid w:val="009D3FE8"/>
    <w:rsid w:val="009D3FF9"/>
    <w:rsid w:val="009D400C"/>
    <w:rsid w:val="009D4026"/>
    <w:rsid w:val="009D408D"/>
    <w:rsid w:val="009D40B4"/>
    <w:rsid w:val="009D41B5"/>
    <w:rsid w:val="009D4444"/>
    <w:rsid w:val="009D444D"/>
    <w:rsid w:val="009D468B"/>
    <w:rsid w:val="009D46CD"/>
    <w:rsid w:val="009D46EE"/>
    <w:rsid w:val="009D47C8"/>
    <w:rsid w:val="009D481B"/>
    <w:rsid w:val="009D4931"/>
    <w:rsid w:val="009D4966"/>
    <w:rsid w:val="009D4990"/>
    <w:rsid w:val="009D4A12"/>
    <w:rsid w:val="009D4A4D"/>
    <w:rsid w:val="009D4A6F"/>
    <w:rsid w:val="009D4AB1"/>
    <w:rsid w:val="009D4B3A"/>
    <w:rsid w:val="009D4BF2"/>
    <w:rsid w:val="009D4C60"/>
    <w:rsid w:val="009D4ED9"/>
    <w:rsid w:val="009D5097"/>
    <w:rsid w:val="009D512B"/>
    <w:rsid w:val="009D516F"/>
    <w:rsid w:val="009D51CA"/>
    <w:rsid w:val="009D51CD"/>
    <w:rsid w:val="009D51E7"/>
    <w:rsid w:val="009D5288"/>
    <w:rsid w:val="009D52C4"/>
    <w:rsid w:val="009D52F5"/>
    <w:rsid w:val="009D538B"/>
    <w:rsid w:val="009D5407"/>
    <w:rsid w:val="009D54AA"/>
    <w:rsid w:val="009D551E"/>
    <w:rsid w:val="009D5600"/>
    <w:rsid w:val="009D5894"/>
    <w:rsid w:val="009D590C"/>
    <w:rsid w:val="009D5AB0"/>
    <w:rsid w:val="009D5AB5"/>
    <w:rsid w:val="009D5B63"/>
    <w:rsid w:val="009D5B8D"/>
    <w:rsid w:val="009D5CAE"/>
    <w:rsid w:val="009D5D13"/>
    <w:rsid w:val="009D5D17"/>
    <w:rsid w:val="009D5DDA"/>
    <w:rsid w:val="009D5E6C"/>
    <w:rsid w:val="009D5EC4"/>
    <w:rsid w:val="009D5F0D"/>
    <w:rsid w:val="009D5F70"/>
    <w:rsid w:val="009D5FE4"/>
    <w:rsid w:val="009D604A"/>
    <w:rsid w:val="009D609E"/>
    <w:rsid w:val="009D60A8"/>
    <w:rsid w:val="009D60BB"/>
    <w:rsid w:val="009D60BE"/>
    <w:rsid w:val="009D6128"/>
    <w:rsid w:val="009D6136"/>
    <w:rsid w:val="009D61D3"/>
    <w:rsid w:val="009D625F"/>
    <w:rsid w:val="009D63B3"/>
    <w:rsid w:val="009D6468"/>
    <w:rsid w:val="009D654F"/>
    <w:rsid w:val="009D65D4"/>
    <w:rsid w:val="009D664E"/>
    <w:rsid w:val="009D6657"/>
    <w:rsid w:val="009D6659"/>
    <w:rsid w:val="009D66F5"/>
    <w:rsid w:val="009D66FC"/>
    <w:rsid w:val="009D67BA"/>
    <w:rsid w:val="009D680F"/>
    <w:rsid w:val="009D68F8"/>
    <w:rsid w:val="009D6982"/>
    <w:rsid w:val="009D69B5"/>
    <w:rsid w:val="009D69B8"/>
    <w:rsid w:val="009D6A81"/>
    <w:rsid w:val="009D6BF2"/>
    <w:rsid w:val="009D6BFD"/>
    <w:rsid w:val="009D6D14"/>
    <w:rsid w:val="009D6D15"/>
    <w:rsid w:val="009D6D46"/>
    <w:rsid w:val="009D6D4B"/>
    <w:rsid w:val="009D6D57"/>
    <w:rsid w:val="009D6E06"/>
    <w:rsid w:val="009D6EA0"/>
    <w:rsid w:val="009D6F88"/>
    <w:rsid w:val="009D6FBE"/>
    <w:rsid w:val="009D7065"/>
    <w:rsid w:val="009D7090"/>
    <w:rsid w:val="009D70BF"/>
    <w:rsid w:val="009D70CF"/>
    <w:rsid w:val="009D70D2"/>
    <w:rsid w:val="009D7136"/>
    <w:rsid w:val="009D71FC"/>
    <w:rsid w:val="009D73C8"/>
    <w:rsid w:val="009D7574"/>
    <w:rsid w:val="009D75AC"/>
    <w:rsid w:val="009D75E4"/>
    <w:rsid w:val="009D7625"/>
    <w:rsid w:val="009D78B5"/>
    <w:rsid w:val="009D7942"/>
    <w:rsid w:val="009D7980"/>
    <w:rsid w:val="009D7A6D"/>
    <w:rsid w:val="009D7C0C"/>
    <w:rsid w:val="009D7D86"/>
    <w:rsid w:val="009E0069"/>
    <w:rsid w:val="009E0084"/>
    <w:rsid w:val="009E0158"/>
    <w:rsid w:val="009E016F"/>
    <w:rsid w:val="009E0248"/>
    <w:rsid w:val="009E0283"/>
    <w:rsid w:val="009E0331"/>
    <w:rsid w:val="009E0347"/>
    <w:rsid w:val="009E0549"/>
    <w:rsid w:val="009E05EA"/>
    <w:rsid w:val="009E060E"/>
    <w:rsid w:val="009E0778"/>
    <w:rsid w:val="009E07CA"/>
    <w:rsid w:val="009E087D"/>
    <w:rsid w:val="009E08C7"/>
    <w:rsid w:val="009E09E4"/>
    <w:rsid w:val="009E0ACB"/>
    <w:rsid w:val="009E0B30"/>
    <w:rsid w:val="009E0B9B"/>
    <w:rsid w:val="009E0CDE"/>
    <w:rsid w:val="009E0D31"/>
    <w:rsid w:val="009E0D3D"/>
    <w:rsid w:val="009E0D4A"/>
    <w:rsid w:val="009E0D61"/>
    <w:rsid w:val="009E0D97"/>
    <w:rsid w:val="009E0E0A"/>
    <w:rsid w:val="009E1022"/>
    <w:rsid w:val="009E10EA"/>
    <w:rsid w:val="009E1140"/>
    <w:rsid w:val="009E1213"/>
    <w:rsid w:val="009E1230"/>
    <w:rsid w:val="009E1269"/>
    <w:rsid w:val="009E12F7"/>
    <w:rsid w:val="009E1467"/>
    <w:rsid w:val="009E157D"/>
    <w:rsid w:val="009E15AC"/>
    <w:rsid w:val="009E1661"/>
    <w:rsid w:val="009E16BF"/>
    <w:rsid w:val="009E17F1"/>
    <w:rsid w:val="009E1827"/>
    <w:rsid w:val="009E186C"/>
    <w:rsid w:val="009E1933"/>
    <w:rsid w:val="009E19F8"/>
    <w:rsid w:val="009E1AED"/>
    <w:rsid w:val="009E1B0B"/>
    <w:rsid w:val="009E1B0C"/>
    <w:rsid w:val="009E1BCF"/>
    <w:rsid w:val="009E1C8A"/>
    <w:rsid w:val="009E2086"/>
    <w:rsid w:val="009E22E3"/>
    <w:rsid w:val="009E2377"/>
    <w:rsid w:val="009E24A4"/>
    <w:rsid w:val="009E258E"/>
    <w:rsid w:val="009E268C"/>
    <w:rsid w:val="009E276E"/>
    <w:rsid w:val="009E284F"/>
    <w:rsid w:val="009E2882"/>
    <w:rsid w:val="009E2A11"/>
    <w:rsid w:val="009E2A9A"/>
    <w:rsid w:val="009E2AD3"/>
    <w:rsid w:val="009E2B12"/>
    <w:rsid w:val="009E2B17"/>
    <w:rsid w:val="009E2BB2"/>
    <w:rsid w:val="009E2D57"/>
    <w:rsid w:val="009E2F1D"/>
    <w:rsid w:val="009E2FE8"/>
    <w:rsid w:val="009E3006"/>
    <w:rsid w:val="009E305A"/>
    <w:rsid w:val="009E3080"/>
    <w:rsid w:val="009E311D"/>
    <w:rsid w:val="009E31CC"/>
    <w:rsid w:val="009E3292"/>
    <w:rsid w:val="009E34BD"/>
    <w:rsid w:val="009E34C8"/>
    <w:rsid w:val="009E35B0"/>
    <w:rsid w:val="009E36E5"/>
    <w:rsid w:val="009E36F9"/>
    <w:rsid w:val="009E37FC"/>
    <w:rsid w:val="009E383B"/>
    <w:rsid w:val="009E385E"/>
    <w:rsid w:val="009E3909"/>
    <w:rsid w:val="009E3995"/>
    <w:rsid w:val="009E3AA8"/>
    <w:rsid w:val="009E3BA8"/>
    <w:rsid w:val="009E3D08"/>
    <w:rsid w:val="009E3D28"/>
    <w:rsid w:val="009E3EA6"/>
    <w:rsid w:val="009E3F0F"/>
    <w:rsid w:val="009E3F4C"/>
    <w:rsid w:val="009E4010"/>
    <w:rsid w:val="009E4133"/>
    <w:rsid w:val="009E4146"/>
    <w:rsid w:val="009E42D7"/>
    <w:rsid w:val="009E4365"/>
    <w:rsid w:val="009E44A7"/>
    <w:rsid w:val="009E44CB"/>
    <w:rsid w:val="009E4532"/>
    <w:rsid w:val="009E46F7"/>
    <w:rsid w:val="009E4750"/>
    <w:rsid w:val="009E47E5"/>
    <w:rsid w:val="009E4983"/>
    <w:rsid w:val="009E49BD"/>
    <w:rsid w:val="009E4B4A"/>
    <w:rsid w:val="009E4BD8"/>
    <w:rsid w:val="009E4CED"/>
    <w:rsid w:val="009E4F77"/>
    <w:rsid w:val="009E4F79"/>
    <w:rsid w:val="009E5019"/>
    <w:rsid w:val="009E5026"/>
    <w:rsid w:val="009E503E"/>
    <w:rsid w:val="009E5214"/>
    <w:rsid w:val="009E52A7"/>
    <w:rsid w:val="009E5379"/>
    <w:rsid w:val="009E53BA"/>
    <w:rsid w:val="009E5402"/>
    <w:rsid w:val="009E545F"/>
    <w:rsid w:val="009E5481"/>
    <w:rsid w:val="009E5603"/>
    <w:rsid w:val="009E5648"/>
    <w:rsid w:val="009E56BB"/>
    <w:rsid w:val="009E5785"/>
    <w:rsid w:val="009E5805"/>
    <w:rsid w:val="009E5915"/>
    <w:rsid w:val="009E5950"/>
    <w:rsid w:val="009E5AD9"/>
    <w:rsid w:val="009E5AF9"/>
    <w:rsid w:val="009E5B4C"/>
    <w:rsid w:val="009E5B84"/>
    <w:rsid w:val="009E5BF4"/>
    <w:rsid w:val="009E5CB4"/>
    <w:rsid w:val="009E5E62"/>
    <w:rsid w:val="009E5EAA"/>
    <w:rsid w:val="009E5FA0"/>
    <w:rsid w:val="009E5FC1"/>
    <w:rsid w:val="009E600F"/>
    <w:rsid w:val="009E60AE"/>
    <w:rsid w:val="009E6222"/>
    <w:rsid w:val="009E6309"/>
    <w:rsid w:val="009E633C"/>
    <w:rsid w:val="009E6377"/>
    <w:rsid w:val="009E63A0"/>
    <w:rsid w:val="009E6416"/>
    <w:rsid w:val="009E646F"/>
    <w:rsid w:val="009E6570"/>
    <w:rsid w:val="009E657B"/>
    <w:rsid w:val="009E65B7"/>
    <w:rsid w:val="009E65E2"/>
    <w:rsid w:val="009E671B"/>
    <w:rsid w:val="009E6745"/>
    <w:rsid w:val="009E6818"/>
    <w:rsid w:val="009E68CC"/>
    <w:rsid w:val="009E6A5A"/>
    <w:rsid w:val="009E6A5D"/>
    <w:rsid w:val="009E6A9F"/>
    <w:rsid w:val="009E6B23"/>
    <w:rsid w:val="009E6B66"/>
    <w:rsid w:val="009E6B8A"/>
    <w:rsid w:val="009E6BDC"/>
    <w:rsid w:val="009E6CF4"/>
    <w:rsid w:val="009E6D0A"/>
    <w:rsid w:val="009E6E07"/>
    <w:rsid w:val="009E6E6B"/>
    <w:rsid w:val="009E6E8B"/>
    <w:rsid w:val="009E6EBE"/>
    <w:rsid w:val="009E6EBF"/>
    <w:rsid w:val="009E6EDF"/>
    <w:rsid w:val="009E716D"/>
    <w:rsid w:val="009E718A"/>
    <w:rsid w:val="009E718B"/>
    <w:rsid w:val="009E7252"/>
    <w:rsid w:val="009E7325"/>
    <w:rsid w:val="009E735D"/>
    <w:rsid w:val="009E736E"/>
    <w:rsid w:val="009E7404"/>
    <w:rsid w:val="009E74B0"/>
    <w:rsid w:val="009E74B6"/>
    <w:rsid w:val="009E751B"/>
    <w:rsid w:val="009E757F"/>
    <w:rsid w:val="009E7699"/>
    <w:rsid w:val="009E76EC"/>
    <w:rsid w:val="009E77B3"/>
    <w:rsid w:val="009E7810"/>
    <w:rsid w:val="009E78AD"/>
    <w:rsid w:val="009E78BF"/>
    <w:rsid w:val="009E78D7"/>
    <w:rsid w:val="009E790E"/>
    <w:rsid w:val="009E79EF"/>
    <w:rsid w:val="009E7A2C"/>
    <w:rsid w:val="009E7A30"/>
    <w:rsid w:val="009E7AE6"/>
    <w:rsid w:val="009E7B6D"/>
    <w:rsid w:val="009E7BCC"/>
    <w:rsid w:val="009E7CFF"/>
    <w:rsid w:val="009E7D28"/>
    <w:rsid w:val="009E7E79"/>
    <w:rsid w:val="009E7E8E"/>
    <w:rsid w:val="009E7F07"/>
    <w:rsid w:val="009E7F58"/>
    <w:rsid w:val="009E7FD8"/>
    <w:rsid w:val="009F0155"/>
    <w:rsid w:val="009F0265"/>
    <w:rsid w:val="009F028C"/>
    <w:rsid w:val="009F02E6"/>
    <w:rsid w:val="009F02FA"/>
    <w:rsid w:val="009F03AD"/>
    <w:rsid w:val="009F04F0"/>
    <w:rsid w:val="009F0638"/>
    <w:rsid w:val="009F0662"/>
    <w:rsid w:val="009F069F"/>
    <w:rsid w:val="009F06D6"/>
    <w:rsid w:val="009F073D"/>
    <w:rsid w:val="009F0789"/>
    <w:rsid w:val="009F07AE"/>
    <w:rsid w:val="009F07B1"/>
    <w:rsid w:val="009F0810"/>
    <w:rsid w:val="009F086B"/>
    <w:rsid w:val="009F0A9A"/>
    <w:rsid w:val="009F0B2E"/>
    <w:rsid w:val="009F0B4E"/>
    <w:rsid w:val="009F0C1C"/>
    <w:rsid w:val="009F0C29"/>
    <w:rsid w:val="009F0CC8"/>
    <w:rsid w:val="009F0CCC"/>
    <w:rsid w:val="009F0CE4"/>
    <w:rsid w:val="009F0D42"/>
    <w:rsid w:val="009F0DA3"/>
    <w:rsid w:val="009F0E13"/>
    <w:rsid w:val="009F0E9A"/>
    <w:rsid w:val="009F105A"/>
    <w:rsid w:val="009F10AD"/>
    <w:rsid w:val="009F10B7"/>
    <w:rsid w:val="009F10D8"/>
    <w:rsid w:val="009F12D4"/>
    <w:rsid w:val="009F146F"/>
    <w:rsid w:val="009F14A7"/>
    <w:rsid w:val="009F175C"/>
    <w:rsid w:val="009F18BA"/>
    <w:rsid w:val="009F1A03"/>
    <w:rsid w:val="009F1A0D"/>
    <w:rsid w:val="009F1A95"/>
    <w:rsid w:val="009F1AB9"/>
    <w:rsid w:val="009F1AF8"/>
    <w:rsid w:val="009F1B33"/>
    <w:rsid w:val="009F1B9C"/>
    <w:rsid w:val="009F1C85"/>
    <w:rsid w:val="009F1CEE"/>
    <w:rsid w:val="009F1D64"/>
    <w:rsid w:val="009F1D6F"/>
    <w:rsid w:val="009F1D91"/>
    <w:rsid w:val="009F1E00"/>
    <w:rsid w:val="009F1E43"/>
    <w:rsid w:val="009F1E94"/>
    <w:rsid w:val="009F1FAD"/>
    <w:rsid w:val="009F209D"/>
    <w:rsid w:val="009F20D1"/>
    <w:rsid w:val="009F224C"/>
    <w:rsid w:val="009F22CD"/>
    <w:rsid w:val="009F231B"/>
    <w:rsid w:val="009F23EA"/>
    <w:rsid w:val="009F2472"/>
    <w:rsid w:val="009F2507"/>
    <w:rsid w:val="009F25DB"/>
    <w:rsid w:val="009F2615"/>
    <w:rsid w:val="009F2675"/>
    <w:rsid w:val="009F26F3"/>
    <w:rsid w:val="009F2748"/>
    <w:rsid w:val="009F29B2"/>
    <w:rsid w:val="009F2A68"/>
    <w:rsid w:val="009F2BD8"/>
    <w:rsid w:val="009F2BE4"/>
    <w:rsid w:val="009F2C02"/>
    <w:rsid w:val="009F2CA6"/>
    <w:rsid w:val="009F2D24"/>
    <w:rsid w:val="009F2D96"/>
    <w:rsid w:val="009F2DF3"/>
    <w:rsid w:val="009F2E28"/>
    <w:rsid w:val="009F2F34"/>
    <w:rsid w:val="009F2F57"/>
    <w:rsid w:val="009F2F58"/>
    <w:rsid w:val="009F301A"/>
    <w:rsid w:val="009F3022"/>
    <w:rsid w:val="009F304D"/>
    <w:rsid w:val="009F3069"/>
    <w:rsid w:val="009F315A"/>
    <w:rsid w:val="009F327A"/>
    <w:rsid w:val="009F3308"/>
    <w:rsid w:val="009F335D"/>
    <w:rsid w:val="009F354B"/>
    <w:rsid w:val="009F35EA"/>
    <w:rsid w:val="009F37D8"/>
    <w:rsid w:val="009F3871"/>
    <w:rsid w:val="009F387A"/>
    <w:rsid w:val="009F38A6"/>
    <w:rsid w:val="009F3922"/>
    <w:rsid w:val="009F3957"/>
    <w:rsid w:val="009F3ACF"/>
    <w:rsid w:val="009F3BAF"/>
    <w:rsid w:val="009F3C75"/>
    <w:rsid w:val="009F3CBF"/>
    <w:rsid w:val="009F3EA2"/>
    <w:rsid w:val="009F3FB8"/>
    <w:rsid w:val="009F3FBD"/>
    <w:rsid w:val="009F4033"/>
    <w:rsid w:val="009F4064"/>
    <w:rsid w:val="009F40D6"/>
    <w:rsid w:val="009F4270"/>
    <w:rsid w:val="009F4301"/>
    <w:rsid w:val="009F4384"/>
    <w:rsid w:val="009F43D6"/>
    <w:rsid w:val="009F440D"/>
    <w:rsid w:val="009F44C8"/>
    <w:rsid w:val="009F44CF"/>
    <w:rsid w:val="009F45BF"/>
    <w:rsid w:val="009F4658"/>
    <w:rsid w:val="009F472A"/>
    <w:rsid w:val="009F47E0"/>
    <w:rsid w:val="009F47EC"/>
    <w:rsid w:val="009F47FE"/>
    <w:rsid w:val="009F4803"/>
    <w:rsid w:val="009F4855"/>
    <w:rsid w:val="009F48C6"/>
    <w:rsid w:val="009F48DD"/>
    <w:rsid w:val="009F49E3"/>
    <w:rsid w:val="009F49F0"/>
    <w:rsid w:val="009F49F8"/>
    <w:rsid w:val="009F4B8C"/>
    <w:rsid w:val="009F4BBF"/>
    <w:rsid w:val="009F4BF1"/>
    <w:rsid w:val="009F4C1A"/>
    <w:rsid w:val="009F4C2D"/>
    <w:rsid w:val="009F4C7E"/>
    <w:rsid w:val="009F4CA6"/>
    <w:rsid w:val="009F4D8F"/>
    <w:rsid w:val="009F4E26"/>
    <w:rsid w:val="009F4E2C"/>
    <w:rsid w:val="009F4E73"/>
    <w:rsid w:val="009F4EFC"/>
    <w:rsid w:val="009F4F24"/>
    <w:rsid w:val="009F4F3E"/>
    <w:rsid w:val="009F4FF8"/>
    <w:rsid w:val="009F50AA"/>
    <w:rsid w:val="009F5234"/>
    <w:rsid w:val="009F527D"/>
    <w:rsid w:val="009F5341"/>
    <w:rsid w:val="009F5346"/>
    <w:rsid w:val="009F5387"/>
    <w:rsid w:val="009F53A7"/>
    <w:rsid w:val="009F558F"/>
    <w:rsid w:val="009F56C1"/>
    <w:rsid w:val="009F572E"/>
    <w:rsid w:val="009F57B6"/>
    <w:rsid w:val="009F58A0"/>
    <w:rsid w:val="009F591B"/>
    <w:rsid w:val="009F59BB"/>
    <w:rsid w:val="009F5AA5"/>
    <w:rsid w:val="009F5B38"/>
    <w:rsid w:val="009F5B81"/>
    <w:rsid w:val="009F5C2C"/>
    <w:rsid w:val="009F5D12"/>
    <w:rsid w:val="009F5DEA"/>
    <w:rsid w:val="009F5E86"/>
    <w:rsid w:val="009F60C8"/>
    <w:rsid w:val="009F60E5"/>
    <w:rsid w:val="009F61AF"/>
    <w:rsid w:val="009F61CD"/>
    <w:rsid w:val="009F6335"/>
    <w:rsid w:val="009F6438"/>
    <w:rsid w:val="009F6513"/>
    <w:rsid w:val="009F651E"/>
    <w:rsid w:val="009F6546"/>
    <w:rsid w:val="009F663B"/>
    <w:rsid w:val="009F67B4"/>
    <w:rsid w:val="009F68C6"/>
    <w:rsid w:val="009F69B1"/>
    <w:rsid w:val="009F6A14"/>
    <w:rsid w:val="009F6A91"/>
    <w:rsid w:val="009F6A9B"/>
    <w:rsid w:val="009F6AB8"/>
    <w:rsid w:val="009F6B5F"/>
    <w:rsid w:val="009F6CAE"/>
    <w:rsid w:val="009F6E6A"/>
    <w:rsid w:val="009F6E9B"/>
    <w:rsid w:val="009F6EEF"/>
    <w:rsid w:val="009F6FF3"/>
    <w:rsid w:val="009F708A"/>
    <w:rsid w:val="009F723F"/>
    <w:rsid w:val="009F7454"/>
    <w:rsid w:val="009F7496"/>
    <w:rsid w:val="009F750F"/>
    <w:rsid w:val="009F7512"/>
    <w:rsid w:val="009F7539"/>
    <w:rsid w:val="009F75F4"/>
    <w:rsid w:val="009F7653"/>
    <w:rsid w:val="009F785A"/>
    <w:rsid w:val="009F7876"/>
    <w:rsid w:val="009F78E4"/>
    <w:rsid w:val="009F7905"/>
    <w:rsid w:val="009F7AE5"/>
    <w:rsid w:val="009F7DA8"/>
    <w:rsid w:val="009F7DB0"/>
    <w:rsid w:val="009F7EA8"/>
    <w:rsid w:val="009F7F6F"/>
    <w:rsid w:val="009F7FD9"/>
    <w:rsid w:val="009F7FF7"/>
    <w:rsid w:val="00A00076"/>
    <w:rsid w:val="00A00099"/>
    <w:rsid w:val="00A00118"/>
    <w:rsid w:val="00A0018C"/>
    <w:rsid w:val="00A001B4"/>
    <w:rsid w:val="00A001C6"/>
    <w:rsid w:val="00A00357"/>
    <w:rsid w:val="00A0037E"/>
    <w:rsid w:val="00A00420"/>
    <w:rsid w:val="00A00560"/>
    <w:rsid w:val="00A005A1"/>
    <w:rsid w:val="00A00663"/>
    <w:rsid w:val="00A007AC"/>
    <w:rsid w:val="00A008F4"/>
    <w:rsid w:val="00A00A30"/>
    <w:rsid w:val="00A00C2F"/>
    <w:rsid w:val="00A00C53"/>
    <w:rsid w:val="00A00CB1"/>
    <w:rsid w:val="00A00D07"/>
    <w:rsid w:val="00A00D87"/>
    <w:rsid w:val="00A00EA1"/>
    <w:rsid w:val="00A00F3C"/>
    <w:rsid w:val="00A00FD1"/>
    <w:rsid w:val="00A0100A"/>
    <w:rsid w:val="00A010B1"/>
    <w:rsid w:val="00A011B9"/>
    <w:rsid w:val="00A012AF"/>
    <w:rsid w:val="00A012BA"/>
    <w:rsid w:val="00A01303"/>
    <w:rsid w:val="00A01376"/>
    <w:rsid w:val="00A0139F"/>
    <w:rsid w:val="00A01480"/>
    <w:rsid w:val="00A01488"/>
    <w:rsid w:val="00A01547"/>
    <w:rsid w:val="00A015FC"/>
    <w:rsid w:val="00A016E2"/>
    <w:rsid w:val="00A016F2"/>
    <w:rsid w:val="00A018EE"/>
    <w:rsid w:val="00A018FA"/>
    <w:rsid w:val="00A019E9"/>
    <w:rsid w:val="00A01A07"/>
    <w:rsid w:val="00A01C85"/>
    <w:rsid w:val="00A01C98"/>
    <w:rsid w:val="00A01EE2"/>
    <w:rsid w:val="00A01F22"/>
    <w:rsid w:val="00A01F6C"/>
    <w:rsid w:val="00A0201F"/>
    <w:rsid w:val="00A020B8"/>
    <w:rsid w:val="00A02182"/>
    <w:rsid w:val="00A02295"/>
    <w:rsid w:val="00A022E0"/>
    <w:rsid w:val="00A022F1"/>
    <w:rsid w:val="00A02329"/>
    <w:rsid w:val="00A02340"/>
    <w:rsid w:val="00A023EC"/>
    <w:rsid w:val="00A02438"/>
    <w:rsid w:val="00A02462"/>
    <w:rsid w:val="00A024E3"/>
    <w:rsid w:val="00A0251A"/>
    <w:rsid w:val="00A025AA"/>
    <w:rsid w:val="00A027A4"/>
    <w:rsid w:val="00A028BC"/>
    <w:rsid w:val="00A02A30"/>
    <w:rsid w:val="00A02C4F"/>
    <w:rsid w:val="00A02DA2"/>
    <w:rsid w:val="00A02E2F"/>
    <w:rsid w:val="00A02ECA"/>
    <w:rsid w:val="00A02F66"/>
    <w:rsid w:val="00A030E5"/>
    <w:rsid w:val="00A0318E"/>
    <w:rsid w:val="00A03190"/>
    <w:rsid w:val="00A031C8"/>
    <w:rsid w:val="00A0323C"/>
    <w:rsid w:val="00A032A1"/>
    <w:rsid w:val="00A032B9"/>
    <w:rsid w:val="00A032D9"/>
    <w:rsid w:val="00A032E1"/>
    <w:rsid w:val="00A032FF"/>
    <w:rsid w:val="00A0331C"/>
    <w:rsid w:val="00A03381"/>
    <w:rsid w:val="00A034EC"/>
    <w:rsid w:val="00A034F9"/>
    <w:rsid w:val="00A0350D"/>
    <w:rsid w:val="00A03570"/>
    <w:rsid w:val="00A035C7"/>
    <w:rsid w:val="00A037C8"/>
    <w:rsid w:val="00A03814"/>
    <w:rsid w:val="00A03817"/>
    <w:rsid w:val="00A03886"/>
    <w:rsid w:val="00A0393C"/>
    <w:rsid w:val="00A03972"/>
    <w:rsid w:val="00A03B0F"/>
    <w:rsid w:val="00A03B2E"/>
    <w:rsid w:val="00A03EC2"/>
    <w:rsid w:val="00A03EE4"/>
    <w:rsid w:val="00A0423B"/>
    <w:rsid w:val="00A04397"/>
    <w:rsid w:val="00A043B5"/>
    <w:rsid w:val="00A04491"/>
    <w:rsid w:val="00A044B5"/>
    <w:rsid w:val="00A04647"/>
    <w:rsid w:val="00A0468E"/>
    <w:rsid w:val="00A04701"/>
    <w:rsid w:val="00A0472E"/>
    <w:rsid w:val="00A04782"/>
    <w:rsid w:val="00A0479C"/>
    <w:rsid w:val="00A04852"/>
    <w:rsid w:val="00A048FB"/>
    <w:rsid w:val="00A04938"/>
    <w:rsid w:val="00A0496C"/>
    <w:rsid w:val="00A049AF"/>
    <w:rsid w:val="00A04A09"/>
    <w:rsid w:val="00A04AC2"/>
    <w:rsid w:val="00A04B9C"/>
    <w:rsid w:val="00A04C35"/>
    <w:rsid w:val="00A04C44"/>
    <w:rsid w:val="00A04D57"/>
    <w:rsid w:val="00A04DA9"/>
    <w:rsid w:val="00A04E4A"/>
    <w:rsid w:val="00A04E6D"/>
    <w:rsid w:val="00A04ECF"/>
    <w:rsid w:val="00A05035"/>
    <w:rsid w:val="00A050CC"/>
    <w:rsid w:val="00A05156"/>
    <w:rsid w:val="00A051D5"/>
    <w:rsid w:val="00A05261"/>
    <w:rsid w:val="00A053D0"/>
    <w:rsid w:val="00A05407"/>
    <w:rsid w:val="00A054A1"/>
    <w:rsid w:val="00A054AE"/>
    <w:rsid w:val="00A055B0"/>
    <w:rsid w:val="00A055DC"/>
    <w:rsid w:val="00A05675"/>
    <w:rsid w:val="00A057A2"/>
    <w:rsid w:val="00A057B0"/>
    <w:rsid w:val="00A05811"/>
    <w:rsid w:val="00A05821"/>
    <w:rsid w:val="00A058E8"/>
    <w:rsid w:val="00A059A7"/>
    <w:rsid w:val="00A059F1"/>
    <w:rsid w:val="00A05A19"/>
    <w:rsid w:val="00A05A32"/>
    <w:rsid w:val="00A05AA6"/>
    <w:rsid w:val="00A05B97"/>
    <w:rsid w:val="00A05C11"/>
    <w:rsid w:val="00A05CCE"/>
    <w:rsid w:val="00A05D1D"/>
    <w:rsid w:val="00A05D5B"/>
    <w:rsid w:val="00A05E66"/>
    <w:rsid w:val="00A05E73"/>
    <w:rsid w:val="00A05EA2"/>
    <w:rsid w:val="00A05F1F"/>
    <w:rsid w:val="00A05F24"/>
    <w:rsid w:val="00A06023"/>
    <w:rsid w:val="00A06094"/>
    <w:rsid w:val="00A0613C"/>
    <w:rsid w:val="00A06188"/>
    <w:rsid w:val="00A061A9"/>
    <w:rsid w:val="00A0622C"/>
    <w:rsid w:val="00A06230"/>
    <w:rsid w:val="00A0633D"/>
    <w:rsid w:val="00A0638D"/>
    <w:rsid w:val="00A063B1"/>
    <w:rsid w:val="00A063EB"/>
    <w:rsid w:val="00A0649A"/>
    <w:rsid w:val="00A064D6"/>
    <w:rsid w:val="00A0651C"/>
    <w:rsid w:val="00A066D3"/>
    <w:rsid w:val="00A066E5"/>
    <w:rsid w:val="00A06730"/>
    <w:rsid w:val="00A06742"/>
    <w:rsid w:val="00A06753"/>
    <w:rsid w:val="00A06776"/>
    <w:rsid w:val="00A06777"/>
    <w:rsid w:val="00A067D7"/>
    <w:rsid w:val="00A06896"/>
    <w:rsid w:val="00A068D6"/>
    <w:rsid w:val="00A06922"/>
    <w:rsid w:val="00A06AB9"/>
    <w:rsid w:val="00A06B9A"/>
    <w:rsid w:val="00A06C14"/>
    <w:rsid w:val="00A06C5E"/>
    <w:rsid w:val="00A06C67"/>
    <w:rsid w:val="00A06CC5"/>
    <w:rsid w:val="00A06F46"/>
    <w:rsid w:val="00A0705D"/>
    <w:rsid w:val="00A071E7"/>
    <w:rsid w:val="00A07237"/>
    <w:rsid w:val="00A07262"/>
    <w:rsid w:val="00A07383"/>
    <w:rsid w:val="00A07398"/>
    <w:rsid w:val="00A07490"/>
    <w:rsid w:val="00A07493"/>
    <w:rsid w:val="00A0751D"/>
    <w:rsid w:val="00A07585"/>
    <w:rsid w:val="00A0758B"/>
    <w:rsid w:val="00A075C7"/>
    <w:rsid w:val="00A075D6"/>
    <w:rsid w:val="00A076CC"/>
    <w:rsid w:val="00A07A7E"/>
    <w:rsid w:val="00A07B73"/>
    <w:rsid w:val="00A07CC9"/>
    <w:rsid w:val="00A07CDD"/>
    <w:rsid w:val="00A07D16"/>
    <w:rsid w:val="00A07D6B"/>
    <w:rsid w:val="00A07DF7"/>
    <w:rsid w:val="00A07F9D"/>
    <w:rsid w:val="00A07FC4"/>
    <w:rsid w:val="00A07FE3"/>
    <w:rsid w:val="00A100C7"/>
    <w:rsid w:val="00A102C4"/>
    <w:rsid w:val="00A103DD"/>
    <w:rsid w:val="00A104A2"/>
    <w:rsid w:val="00A10546"/>
    <w:rsid w:val="00A105EC"/>
    <w:rsid w:val="00A1064D"/>
    <w:rsid w:val="00A10685"/>
    <w:rsid w:val="00A106F5"/>
    <w:rsid w:val="00A108AB"/>
    <w:rsid w:val="00A10967"/>
    <w:rsid w:val="00A109B8"/>
    <w:rsid w:val="00A10A0F"/>
    <w:rsid w:val="00A10B73"/>
    <w:rsid w:val="00A10B79"/>
    <w:rsid w:val="00A10BD5"/>
    <w:rsid w:val="00A10C2A"/>
    <w:rsid w:val="00A10C7F"/>
    <w:rsid w:val="00A10CF4"/>
    <w:rsid w:val="00A10E29"/>
    <w:rsid w:val="00A10E6E"/>
    <w:rsid w:val="00A10FC2"/>
    <w:rsid w:val="00A1100D"/>
    <w:rsid w:val="00A11075"/>
    <w:rsid w:val="00A110F0"/>
    <w:rsid w:val="00A11262"/>
    <w:rsid w:val="00A11318"/>
    <w:rsid w:val="00A11363"/>
    <w:rsid w:val="00A113D9"/>
    <w:rsid w:val="00A113FC"/>
    <w:rsid w:val="00A11412"/>
    <w:rsid w:val="00A114B3"/>
    <w:rsid w:val="00A1160E"/>
    <w:rsid w:val="00A1165C"/>
    <w:rsid w:val="00A11821"/>
    <w:rsid w:val="00A118A7"/>
    <w:rsid w:val="00A118A8"/>
    <w:rsid w:val="00A118D0"/>
    <w:rsid w:val="00A11969"/>
    <w:rsid w:val="00A119B2"/>
    <w:rsid w:val="00A11A08"/>
    <w:rsid w:val="00A11AFE"/>
    <w:rsid w:val="00A11B51"/>
    <w:rsid w:val="00A11C85"/>
    <w:rsid w:val="00A11CF9"/>
    <w:rsid w:val="00A11D9A"/>
    <w:rsid w:val="00A11DB5"/>
    <w:rsid w:val="00A11E3B"/>
    <w:rsid w:val="00A11E62"/>
    <w:rsid w:val="00A1202D"/>
    <w:rsid w:val="00A12106"/>
    <w:rsid w:val="00A1216F"/>
    <w:rsid w:val="00A121A3"/>
    <w:rsid w:val="00A122D2"/>
    <w:rsid w:val="00A122D7"/>
    <w:rsid w:val="00A122FE"/>
    <w:rsid w:val="00A12371"/>
    <w:rsid w:val="00A123F1"/>
    <w:rsid w:val="00A12570"/>
    <w:rsid w:val="00A125D6"/>
    <w:rsid w:val="00A12719"/>
    <w:rsid w:val="00A12763"/>
    <w:rsid w:val="00A12774"/>
    <w:rsid w:val="00A12799"/>
    <w:rsid w:val="00A12867"/>
    <w:rsid w:val="00A12897"/>
    <w:rsid w:val="00A128A5"/>
    <w:rsid w:val="00A12A33"/>
    <w:rsid w:val="00A12AB0"/>
    <w:rsid w:val="00A12B9F"/>
    <w:rsid w:val="00A12CF2"/>
    <w:rsid w:val="00A12D17"/>
    <w:rsid w:val="00A12D85"/>
    <w:rsid w:val="00A12D95"/>
    <w:rsid w:val="00A12DB1"/>
    <w:rsid w:val="00A12E8F"/>
    <w:rsid w:val="00A12EF7"/>
    <w:rsid w:val="00A12FDB"/>
    <w:rsid w:val="00A13091"/>
    <w:rsid w:val="00A130EB"/>
    <w:rsid w:val="00A1313A"/>
    <w:rsid w:val="00A13220"/>
    <w:rsid w:val="00A132C1"/>
    <w:rsid w:val="00A132D8"/>
    <w:rsid w:val="00A13358"/>
    <w:rsid w:val="00A13432"/>
    <w:rsid w:val="00A134CE"/>
    <w:rsid w:val="00A1351D"/>
    <w:rsid w:val="00A13520"/>
    <w:rsid w:val="00A1366F"/>
    <w:rsid w:val="00A136B2"/>
    <w:rsid w:val="00A1370A"/>
    <w:rsid w:val="00A13786"/>
    <w:rsid w:val="00A1386D"/>
    <w:rsid w:val="00A138D2"/>
    <w:rsid w:val="00A13A75"/>
    <w:rsid w:val="00A13A8D"/>
    <w:rsid w:val="00A13B8C"/>
    <w:rsid w:val="00A13D01"/>
    <w:rsid w:val="00A13E43"/>
    <w:rsid w:val="00A13EE1"/>
    <w:rsid w:val="00A13FA9"/>
    <w:rsid w:val="00A1405F"/>
    <w:rsid w:val="00A14128"/>
    <w:rsid w:val="00A14180"/>
    <w:rsid w:val="00A141B4"/>
    <w:rsid w:val="00A14232"/>
    <w:rsid w:val="00A142B7"/>
    <w:rsid w:val="00A142BD"/>
    <w:rsid w:val="00A14364"/>
    <w:rsid w:val="00A143B5"/>
    <w:rsid w:val="00A143D2"/>
    <w:rsid w:val="00A14471"/>
    <w:rsid w:val="00A145B6"/>
    <w:rsid w:val="00A145BD"/>
    <w:rsid w:val="00A14602"/>
    <w:rsid w:val="00A14612"/>
    <w:rsid w:val="00A14666"/>
    <w:rsid w:val="00A146DF"/>
    <w:rsid w:val="00A14708"/>
    <w:rsid w:val="00A14758"/>
    <w:rsid w:val="00A14788"/>
    <w:rsid w:val="00A147AE"/>
    <w:rsid w:val="00A147D0"/>
    <w:rsid w:val="00A14937"/>
    <w:rsid w:val="00A149A0"/>
    <w:rsid w:val="00A14A21"/>
    <w:rsid w:val="00A14A8A"/>
    <w:rsid w:val="00A14B5C"/>
    <w:rsid w:val="00A14C42"/>
    <w:rsid w:val="00A14C64"/>
    <w:rsid w:val="00A14C8A"/>
    <w:rsid w:val="00A14CCE"/>
    <w:rsid w:val="00A14D27"/>
    <w:rsid w:val="00A14E53"/>
    <w:rsid w:val="00A14E67"/>
    <w:rsid w:val="00A14EC9"/>
    <w:rsid w:val="00A14F99"/>
    <w:rsid w:val="00A14FCB"/>
    <w:rsid w:val="00A14FCF"/>
    <w:rsid w:val="00A1530C"/>
    <w:rsid w:val="00A15355"/>
    <w:rsid w:val="00A15419"/>
    <w:rsid w:val="00A15452"/>
    <w:rsid w:val="00A15580"/>
    <w:rsid w:val="00A155F1"/>
    <w:rsid w:val="00A156A5"/>
    <w:rsid w:val="00A1583F"/>
    <w:rsid w:val="00A1595B"/>
    <w:rsid w:val="00A1599D"/>
    <w:rsid w:val="00A15AA7"/>
    <w:rsid w:val="00A15AF4"/>
    <w:rsid w:val="00A15B65"/>
    <w:rsid w:val="00A15C72"/>
    <w:rsid w:val="00A15D32"/>
    <w:rsid w:val="00A15D35"/>
    <w:rsid w:val="00A15D59"/>
    <w:rsid w:val="00A15D98"/>
    <w:rsid w:val="00A15DBB"/>
    <w:rsid w:val="00A15E1E"/>
    <w:rsid w:val="00A15F4C"/>
    <w:rsid w:val="00A15F89"/>
    <w:rsid w:val="00A15F96"/>
    <w:rsid w:val="00A15FB8"/>
    <w:rsid w:val="00A16052"/>
    <w:rsid w:val="00A161D6"/>
    <w:rsid w:val="00A16246"/>
    <w:rsid w:val="00A162D0"/>
    <w:rsid w:val="00A162D3"/>
    <w:rsid w:val="00A163D8"/>
    <w:rsid w:val="00A1641A"/>
    <w:rsid w:val="00A16436"/>
    <w:rsid w:val="00A16449"/>
    <w:rsid w:val="00A1645A"/>
    <w:rsid w:val="00A1664E"/>
    <w:rsid w:val="00A1669E"/>
    <w:rsid w:val="00A1684B"/>
    <w:rsid w:val="00A1694C"/>
    <w:rsid w:val="00A16BE5"/>
    <w:rsid w:val="00A16C0D"/>
    <w:rsid w:val="00A16C4A"/>
    <w:rsid w:val="00A16E3C"/>
    <w:rsid w:val="00A16E7A"/>
    <w:rsid w:val="00A16E89"/>
    <w:rsid w:val="00A16EBB"/>
    <w:rsid w:val="00A16F46"/>
    <w:rsid w:val="00A16FA6"/>
    <w:rsid w:val="00A170AF"/>
    <w:rsid w:val="00A170FA"/>
    <w:rsid w:val="00A1730D"/>
    <w:rsid w:val="00A1733A"/>
    <w:rsid w:val="00A17395"/>
    <w:rsid w:val="00A1748D"/>
    <w:rsid w:val="00A174D0"/>
    <w:rsid w:val="00A174F7"/>
    <w:rsid w:val="00A17500"/>
    <w:rsid w:val="00A175FE"/>
    <w:rsid w:val="00A17610"/>
    <w:rsid w:val="00A178DD"/>
    <w:rsid w:val="00A179B0"/>
    <w:rsid w:val="00A179B7"/>
    <w:rsid w:val="00A17B06"/>
    <w:rsid w:val="00A17B16"/>
    <w:rsid w:val="00A17CAA"/>
    <w:rsid w:val="00A17CCF"/>
    <w:rsid w:val="00A17D4D"/>
    <w:rsid w:val="00A17DCD"/>
    <w:rsid w:val="00A17DF5"/>
    <w:rsid w:val="00A17E29"/>
    <w:rsid w:val="00A17EAF"/>
    <w:rsid w:val="00A17EC1"/>
    <w:rsid w:val="00A17F12"/>
    <w:rsid w:val="00A17F13"/>
    <w:rsid w:val="00A20037"/>
    <w:rsid w:val="00A2005D"/>
    <w:rsid w:val="00A20069"/>
    <w:rsid w:val="00A2027A"/>
    <w:rsid w:val="00A20282"/>
    <w:rsid w:val="00A20317"/>
    <w:rsid w:val="00A203B1"/>
    <w:rsid w:val="00A203F7"/>
    <w:rsid w:val="00A2054D"/>
    <w:rsid w:val="00A20559"/>
    <w:rsid w:val="00A206BF"/>
    <w:rsid w:val="00A206CC"/>
    <w:rsid w:val="00A208A4"/>
    <w:rsid w:val="00A209A6"/>
    <w:rsid w:val="00A20A12"/>
    <w:rsid w:val="00A20AB3"/>
    <w:rsid w:val="00A20B7D"/>
    <w:rsid w:val="00A20BCD"/>
    <w:rsid w:val="00A20BE8"/>
    <w:rsid w:val="00A20BED"/>
    <w:rsid w:val="00A20C3D"/>
    <w:rsid w:val="00A20CA6"/>
    <w:rsid w:val="00A20CBD"/>
    <w:rsid w:val="00A20CC1"/>
    <w:rsid w:val="00A2112D"/>
    <w:rsid w:val="00A2135D"/>
    <w:rsid w:val="00A213AC"/>
    <w:rsid w:val="00A2168D"/>
    <w:rsid w:val="00A2176E"/>
    <w:rsid w:val="00A217CA"/>
    <w:rsid w:val="00A21A57"/>
    <w:rsid w:val="00A21B64"/>
    <w:rsid w:val="00A21C1F"/>
    <w:rsid w:val="00A21CC0"/>
    <w:rsid w:val="00A21D59"/>
    <w:rsid w:val="00A21D6F"/>
    <w:rsid w:val="00A21D86"/>
    <w:rsid w:val="00A21EF8"/>
    <w:rsid w:val="00A21F03"/>
    <w:rsid w:val="00A21FAE"/>
    <w:rsid w:val="00A22175"/>
    <w:rsid w:val="00A221EB"/>
    <w:rsid w:val="00A2222E"/>
    <w:rsid w:val="00A2224D"/>
    <w:rsid w:val="00A222A5"/>
    <w:rsid w:val="00A22334"/>
    <w:rsid w:val="00A223DF"/>
    <w:rsid w:val="00A225E6"/>
    <w:rsid w:val="00A226AC"/>
    <w:rsid w:val="00A22758"/>
    <w:rsid w:val="00A22863"/>
    <w:rsid w:val="00A228F5"/>
    <w:rsid w:val="00A22A03"/>
    <w:rsid w:val="00A22A69"/>
    <w:rsid w:val="00A22B5B"/>
    <w:rsid w:val="00A22B75"/>
    <w:rsid w:val="00A22D2A"/>
    <w:rsid w:val="00A22D36"/>
    <w:rsid w:val="00A22D42"/>
    <w:rsid w:val="00A22D97"/>
    <w:rsid w:val="00A22ECC"/>
    <w:rsid w:val="00A22EFC"/>
    <w:rsid w:val="00A22FDD"/>
    <w:rsid w:val="00A22FEB"/>
    <w:rsid w:val="00A2308E"/>
    <w:rsid w:val="00A230DD"/>
    <w:rsid w:val="00A2310A"/>
    <w:rsid w:val="00A23192"/>
    <w:rsid w:val="00A23350"/>
    <w:rsid w:val="00A23576"/>
    <w:rsid w:val="00A235BF"/>
    <w:rsid w:val="00A235FA"/>
    <w:rsid w:val="00A236A3"/>
    <w:rsid w:val="00A2370D"/>
    <w:rsid w:val="00A23723"/>
    <w:rsid w:val="00A2377A"/>
    <w:rsid w:val="00A2386A"/>
    <w:rsid w:val="00A23B8A"/>
    <w:rsid w:val="00A23BAC"/>
    <w:rsid w:val="00A23C93"/>
    <w:rsid w:val="00A23E6B"/>
    <w:rsid w:val="00A23FC7"/>
    <w:rsid w:val="00A24012"/>
    <w:rsid w:val="00A2405B"/>
    <w:rsid w:val="00A241B2"/>
    <w:rsid w:val="00A24212"/>
    <w:rsid w:val="00A2432C"/>
    <w:rsid w:val="00A243CD"/>
    <w:rsid w:val="00A244AF"/>
    <w:rsid w:val="00A244DA"/>
    <w:rsid w:val="00A244F7"/>
    <w:rsid w:val="00A2459F"/>
    <w:rsid w:val="00A2474B"/>
    <w:rsid w:val="00A24751"/>
    <w:rsid w:val="00A248DD"/>
    <w:rsid w:val="00A24A65"/>
    <w:rsid w:val="00A24BB5"/>
    <w:rsid w:val="00A24C5C"/>
    <w:rsid w:val="00A24CB9"/>
    <w:rsid w:val="00A24D54"/>
    <w:rsid w:val="00A24E64"/>
    <w:rsid w:val="00A24EBB"/>
    <w:rsid w:val="00A24F6A"/>
    <w:rsid w:val="00A24FF2"/>
    <w:rsid w:val="00A251B4"/>
    <w:rsid w:val="00A25220"/>
    <w:rsid w:val="00A25288"/>
    <w:rsid w:val="00A25312"/>
    <w:rsid w:val="00A25471"/>
    <w:rsid w:val="00A25553"/>
    <w:rsid w:val="00A255D1"/>
    <w:rsid w:val="00A255DF"/>
    <w:rsid w:val="00A256FC"/>
    <w:rsid w:val="00A258EC"/>
    <w:rsid w:val="00A258F3"/>
    <w:rsid w:val="00A25965"/>
    <w:rsid w:val="00A25979"/>
    <w:rsid w:val="00A25982"/>
    <w:rsid w:val="00A25AEF"/>
    <w:rsid w:val="00A25B2E"/>
    <w:rsid w:val="00A25B4C"/>
    <w:rsid w:val="00A25BCD"/>
    <w:rsid w:val="00A25BD9"/>
    <w:rsid w:val="00A25BDF"/>
    <w:rsid w:val="00A25C86"/>
    <w:rsid w:val="00A25C88"/>
    <w:rsid w:val="00A25CF4"/>
    <w:rsid w:val="00A25D1B"/>
    <w:rsid w:val="00A25EEC"/>
    <w:rsid w:val="00A25F09"/>
    <w:rsid w:val="00A25F5C"/>
    <w:rsid w:val="00A2603C"/>
    <w:rsid w:val="00A2604A"/>
    <w:rsid w:val="00A2605B"/>
    <w:rsid w:val="00A2610D"/>
    <w:rsid w:val="00A26160"/>
    <w:rsid w:val="00A26163"/>
    <w:rsid w:val="00A2617E"/>
    <w:rsid w:val="00A26281"/>
    <w:rsid w:val="00A26389"/>
    <w:rsid w:val="00A2659D"/>
    <w:rsid w:val="00A26607"/>
    <w:rsid w:val="00A26720"/>
    <w:rsid w:val="00A2676B"/>
    <w:rsid w:val="00A26836"/>
    <w:rsid w:val="00A2691C"/>
    <w:rsid w:val="00A26945"/>
    <w:rsid w:val="00A26A1E"/>
    <w:rsid w:val="00A26A7B"/>
    <w:rsid w:val="00A26AA6"/>
    <w:rsid w:val="00A26CE3"/>
    <w:rsid w:val="00A26CEB"/>
    <w:rsid w:val="00A26D67"/>
    <w:rsid w:val="00A26DC3"/>
    <w:rsid w:val="00A26EB7"/>
    <w:rsid w:val="00A27141"/>
    <w:rsid w:val="00A27179"/>
    <w:rsid w:val="00A27216"/>
    <w:rsid w:val="00A273C1"/>
    <w:rsid w:val="00A273F9"/>
    <w:rsid w:val="00A27458"/>
    <w:rsid w:val="00A27493"/>
    <w:rsid w:val="00A274E1"/>
    <w:rsid w:val="00A277D7"/>
    <w:rsid w:val="00A277E8"/>
    <w:rsid w:val="00A27864"/>
    <w:rsid w:val="00A2797A"/>
    <w:rsid w:val="00A279CA"/>
    <w:rsid w:val="00A279F9"/>
    <w:rsid w:val="00A27A0E"/>
    <w:rsid w:val="00A27A22"/>
    <w:rsid w:val="00A27A3E"/>
    <w:rsid w:val="00A27ABF"/>
    <w:rsid w:val="00A27D00"/>
    <w:rsid w:val="00A27E92"/>
    <w:rsid w:val="00A300E0"/>
    <w:rsid w:val="00A301BD"/>
    <w:rsid w:val="00A3024B"/>
    <w:rsid w:val="00A302A0"/>
    <w:rsid w:val="00A30331"/>
    <w:rsid w:val="00A303B8"/>
    <w:rsid w:val="00A304B0"/>
    <w:rsid w:val="00A30592"/>
    <w:rsid w:val="00A305AC"/>
    <w:rsid w:val="00A30678"/>
    <w:rsid w:val="00A3072F"/>
    <w:rsid w:val="00A30828"/>
    <w:rsid w:val="00A30840"/>
    <w:rsid w:val="00A30917"/>
    <w:rsid w:val="00A30941"/>
    <w:rsid w:val="00A3095D"/>
    <w:rsid w:val="00A30BF4"/>
    <w:rsid w:val="00A30C44"/>
    <w:rsid w:val="00A30C5C"/>
    <w:rsid w:val="00A30CC7"/>
    <w:rsid w:val="00A30CD2"/>
    <w:rsid w:val="00A30CED"/>
    <w:rsid w:val="00A30D58"/>
    <w:rsid w:val="00A30F00"/>
    <w:rsid w:val="00A31011"/>
    <w:rsid w:val="00A31034"/>
    <w:rsid w:val="00A31089"/>
    <w:rsid w:val="00A310E2"/>
    <w:rsid w:val="00A31255"/>
    <w:rsid w:val="00A3126A"/>
    <w:rsid w:val="00A3142D"/>
    <w:rsid w:val="00A314C0"/>
    <w:rsid w:val="00A314CC"/>
    <w:rsid w:val="00A3157D"/>
    <w:rsid w:val="00A315ED"/>
    <w:rsid w:val="00A316A2"/>
    <w:rsid w:val="00A31762"/>
    <w:rsid w:val="00A317AF"/>
    <w:rsid w:val="00A317CD"/>
    <w:rsid w:val="00A31885"/>
    <w:rsid w:val="00A31908"/>
    <w:rsid w:val="00A31909"/>
    <w:rsid w:val="00A319DE"/>
    <w:rsid w:val="00A31A2A"/>
    <w:rsid w:val="00A31A6E"/>
    <w:rsid w:val="00A31A6F"/>
    <w:rsid w:val="00A31A8E"/>
    <w:rsid w:val="00A31ADF"/>
    <w:rsid w:val="00A31AE5"/>
    <w:rsid w:val="00A31BB2"/>
    <w:rsid w:val="00A31C17"/>
    <w:rsid w:val="00A31C29"/>
    <w:rsid w:val="00A31D84"/>
    <w:rsid w:val="00A31E76"/>
    <w:rsid w:val="00A31EA0"/>
    <w:rsid w:val="00A31F9F"/>
    <w:rsid w:val="00A31FEC"/>
    <w:rsid w:val="00A32066"/>
    <w:rsid w:val="00A3206F"/>
    <w:rsid w:val="00A3209F"/>
    <w:rsid w:val="00A320B4"/>
    <w:rsid w:val="00A320EC"/>
    <w:rsid w:val="00A320F2"/>
    <w:rsid w:val="00A321F1"/>
    <w:rsid w:val="00A322A3"/>
    <w:rsid w:val="00A3237C"/>
    <w:rsid w:val="00A3259B"/>
    <w:rsid w:val="00A325AF"/>
    <w:rsid w:val="00A325B4"/>
    <w:rsid w:val="00A32606"/>
    <w:rsid w:val="00A3264B"/>
    <w:rsid w:val="00A32690"/>
    <w:rsid w:val="00A3277A"/>
    <w:rsid w:val="00A327D9"/>
    <w:rsid w:val="00A327F2"/>
    <w:rsid w:val="00A327FF"/>
    <w:rsid w:val="00A3288E"/>
    <w:rsid w:val="00A328C9"/>
    <w:rsid w:val="00A32958"/>
    <w:rsid w:val="00A3297A"/>
    <w:rsid w:val="00A329D5"/>
    <w:rsid w:val="00A32A14"/>
    <w:rsid w:val="00A32B09"/>
    <w:rsid w:val="00A32B4A"/>
    <w:rsid w:val="00A32BFA"/>
    <w:rsid w:val="00A32C31"/>
    <w:rsid w:val="00A32D2D"/>
    <w:rsid w:val="00A32D6E"/>
    <w:rsid w:val="00A32DA6"/>
    <w:rsid w:val="00A32ED0"/>
    <w:rsid w:val="00A32F9F"/>
    <w:rsid w:val="00A32FAF"/>
    <w:rsid w:val="00A3302D"/>
    <w:rsid w:val="00A33040"/>
    <w:rsid w:val="00A3307C"/>
    <w:rsid w:val="00A330C2"/>
    <w:rsid w:val="00A330C6"/>
    <w:rsid w:val="00A33130"/>
    <w:rsid w:val="00A3314B"/>
    <w:rsid w:val="00A3322F"/>
    <w:rsid w:val="00A33333"/>
    <w:rsid w:val="00A3348E"/>
    <w:rsid w:val="00A334C5"/>
    <w:rsid w:val="00A33644"/>
    <w:rsid w:val="00A3366C"/>
    <w:rsid w:val="00A3368B"/>
    <w:rsid w:val="00A336C9"/>
    <w:rsid w:val="00A33705"/>
    <w:rsid w:val="00A33792"/>
    <w:rsid w:val="00A33882"/>
    <w:rsid w:val="00A33BC5"/>
    <w:rsid w:val="00A33C54"/>
    <w:rsid w:val="00A33DAD"/>
    <w:rsid w:val="00A33E35"/>
    <w:rsid w:val="00A33E4F"/>
    <w:rsid w:val="00A33E9A"/>
    <w:rsid w:val="00A33EEC"/>
    <w:rsid w:val="00A33FAC"/>
    <w:rsid w:val="00A34020"/>
    <w:rsid w:val="00A34142"/>
    <w:rsid w:val="00A3416F"/>
    <w:rsid w:val="00A341BC"/>
    <w:rsid w:val="00A341F0"/>
    <w:rsid w:val="00A342F1"/>
    <w:rsid w:val="00A34429"/>
    <w:rsid w:val="00A3442E"/>
    <w:rsid w:val="00A3453E"/>
    <w:rsid w:val="00A3454A"/>
    <w:rsid w:val="00A34613"/>
    <w:rsid w:val="00A3467F"/>
    <w:rsid w:val="00A34680"/>
    <w:rsid w:val="00A3472E"/>
    <w:rsid w:val="00A348F2"/>
    <w:rsid w:val="00A3492D"/>
    <w:rsid w:val="00A34AAC"/>
    <w:rsid w:val="00A34DDB"/>
    <w:rsid w:val="00A34F48"/>
    <w:rsid w:val="00A34F82"/>
    <w:rsid w:val="00A34FA6"/>
    <w:rsid w:val="00A35068"/>
    <w:rsid w:val="00A3521A"/>
    <w:rsid w:val="00A35256"/>
    <w:rsid w:val="00A352FE"/>
    <w:rsid w:val="00A3536B"/>
    <w:rsid w:val="00A35457"/>
    <w:rsid w:val="00A35492"/>
    <w:rsid w:val="00A354B1"/>
    <w:rsid w:val="00A354D2"/>
    <w:rsid w:val="00A3564D"/>
    <w:rsid w:val="00A356FD"/>
    <w:rsid w:val="00A35794"/>
    <w:rsid w:val="00A35888"/>
    <w:rsid w:val="00A358A5"/>
    <w:rsid w:val="00A3593B"/>
    <w:rsid w:val="00A359C3"/>
    <w:rsid w:val="00A35B11"/>
    <w:rsid w:val="00A35B50"/>
    <w:rsid w:val="00A35C1C"/>
    <w:rsid w:val="00A35C29"/>
    <w:rsid w:val="00A35C88"/>
    <w:rsid w:val="00A35CEB"/>
    <w:rsid w:val="00A35CF5"/>
    <w:rsid w:val="00A35D5A"/>
    <w:rsid w:val="00A35DCD"/>
    <w:rsid w:val="00A35E02"/>
    <w:rsid w:val="00A35ECF"/>
    <w:rsid w:val="00A35F81"/>
    <w:rsid w:val="00A35F9C"/>
    <w:rsid w:val="00A3604A"/>
    <w:rsid w:val="00A3606B"/>
    <w:rsid w:val="00A3610C"/>
    <w:rsid w:val="00A36111"/>
    <w:rsid w:val="00A36199"/>
    <w:rsid w:val="00A361C3"/>
    <w:rsid w:val="00A36346"/>
    <w:rsid w:val="00A363B4"/>
    <w:rsid w:val="00A363EB"/>
    <w:rsid w:val="00A3642B"/>
    <w:rsid w:val="00A3647D"/>
    <w:rsid w:val="00A36496"/>
    <w:rsid w:val="00A364BF"/>
    <w:rsid w:val="00A3650C"/>
    <w:rsid w:val="00A36561"/>
    <w:rsid w:val="00A36682"/>
    <w:rsid w:val="00A36733"/>
    <w:rsid w:val="00A368C3"/>
    <w:rsid w:val="00A3695B"/>
    <w:rsid w:val="00A36973"/>
    <w:rsid w:val="00A36997"/>
    <w:rsid w:val="00A369FB"/>
    <w:rsid w:val="00A36A1D"/>
    <w:rsid w:val="00A36A51"/>
    <w:rsid w:val="00A36B11"/>
    <w:rsid w:val="00A36B6A"/>
    <w:rsid w:val="00A36D8C"/>
    <w:rsid w:val="00A36D8D"/>
    <w:rsid w:val="00A36DBB"/>
    <w:rsid w:val="00A36E29"/>
    <w:rsid w:val="00A36E57"/>
    <w:rsid w:val="00A36F33"/>
    <w:rsid w:val="00A37165"/>
    <w:rsid w:val="00A371E1"/>
    <w:rsid w:val="00A3728B"/>
    <w:rsid w:val="00A372B9"/>
    <w:rsid w:val="00A37315"/>
    <w:rsid w:val="00A37319"/>
    <w:rsid w:val="00A3734C"/>
    <w:rsid w:val="00A3748F"/>
    <w:rsid w:val="00A3750F"/>
    <w:rsid w:val="00A37518"/>
    <w:rsid w:val="00A37578"/>
    <w:rsid w:val="00A3768F"/>
    <w:rsid w:val="00A376C0"/>
    <w:rsid w:val="00A37722"/>
    <w:rsid w:val="00A37733"/>
    <w:rsid w:val="00A378D4"/>
    <w:rsid w:val="00A3794B"/>
    <w:rsid w:val="00A3796C"/>
    <w:rsid w:val="00A37979"/>
    <w:rsid w:val="00A37A2A"/>
    <w:rsid w:val="00A37A74"/>
    <w:rsid w:val="00A37A9B"/>
    <w:rsid w:val="00A37AA5"/>
    <w:rsid w:val="00A37AAD"/>
    <w:rsid w:val="00A37D94"/>
    <w:rsid w:val="00A40029"/>
    <w:rsid w:val="00A4005E"/>
    <w:rsid w:val="00A4006D"/>
    <w:rsid w:val="00A400A3"/>
    <w:rsid w:val="00A400AA"/>
    <w:rsid w:val="00A4019F"/>
    <w:rsid w:val="00A40217"/>
    <w:rsid w:val="00A40265"/>
    <w:rsid w:val="00A4037B"/>
    <w:rsid w:val="00A403D3"/>
    <w:rsid w:val="00A4047A"/>
    <w:rsid w:val="00A404EA"/>
    <w:rsid w:val="00A4068A"/>
    <w:rsid w:val="00A40AE3"/>
    <w:rsid w:val="00A40BEB"/>
    <w:rsid w:val="00A40BFD"/>
    <w:rsid w:val="00A40C52"/>
    <w:rsid w:val="00A40C57"/>
    <w:rsid w:val="00A40CF5"/>
    <w:rsid w:val="00A40D1D"/>
    <w:rsid w:val="00A40DE6"/>
    <w:rsid w:val="00A40E3D"/>
    <w:rsid w:val="00A40EFC"/>
    <w:rsid w:val="00A40F14"/>
    <w:rsid w:val="00A40FC2"/>
    <w:rsid w:val="00A41002"/>
    <w:rsid w:val="00A41008"/>
    <w:rsid w:val="00A4102B"/>
    <w:rsid w:val="00A41068"/>
    <w:rsid w:val="00A41099"/>
    <w:rsid w:val="00A410EC"/>
    <w:rsid w:val="00A41180"/>
    <w:rsid w:val="00A411FA"/>
    <w:rsid w:val="00A4127F"/>
    <w:rsid w:val="00A41320"/>
    <w:rsid w:val="00A4137E"/>
    <w:rsid w:val="00A413E0"/>
    <w:rsid w:val="00A414D0"/>
    <w:rsid w:val="00A4154F"/>
    <w:rsid w:val="00A4158A"/>
    <w:rsid w:val="00A41643"/>
    <w:rsid w:val="00A416DB"/>
    <w:rsid w:val="00A417F5"/>
    <w:rsid w:val="00A41A19"/>
    <w:rsid w:val="00A41BF4"/>
    <w:rsid w:val="00A41C5A"/>
    <w:rsid w:val="00A41C99"/>
    <w:rsid w:val="00A41DE2"/>
    <w:rsid w:val="00A41E85"/>
    <w:rsid w:val="00A4211E"/>
    <w:rsid w:val="00A42162"/>
    <w:rsid w:val="00A42223"/>
    <w:rsid w:val="00A42226"/>
    <w:rsid w:val="00A4222E"/>
    <w:rsid w:val="00A422A0"/>
    <w:rsid w:val="00A4231C"/>
    <w:rsid w:val="00A42503"/>
    <w:rsid w:val="00A426F9"/>
    <w:rsid w:val="00A42759"/>
    <w:rsid w:val="00A42769"/>
    <w:rsid w:val="00A42920"/>
    <w:rsid w:val="00A42958"/>
    <w:rsid w:val="00A42AA4"/>
    <w:rsid w:val="00A42D91"/>
    <w:rsid w:val="00A42D98"/>
    <w:rsid w:val="00A42DCC"/>
    <w:rsid w:val="00A42E35"/>
    <w:rsid w:val="00A4301B"/>
    <w:rsid w:val="00A43022"/>
    <w:rsid w:val="00A43079"/>
    <w:rsid w:val="00A4316E"/>
    <w:rsid w:val="00A431B7"/>
    <w:rsid w:val="00A4328D"/>
    <w:rsid w:val="00A433E3"/>
    <w:rsid w:val="00A4343B"/>
    <w:rsid w:val="00A43489"/>
    <w:rsid w:val="00A435E2"/>
    <w:rsid w:val="00A4367A"/>
    <w:rsid w:val="00A436E6"/>
    <w:rsid w:val="00A436F0"/>
    <w:rsid w:val="00A4371C"/>
    <w:rsid w:val="00A4379F"/>
    <w:rsid w:val="00A438FF"/>
    <w:rsid w:val="00A43941"/>
    <w:rsid w:val="00A43951"/>
    <w:rsid w:val="00A439F4"/>
    <w:rsid w:val="00A43A88"/>
    <w:rsid w:val="00A43D59"/>
    <w:rsid w:val="00A43EC9"/>
    <w:rsid w:val="00A43FDF"/>
    <w:rsid w:val="00A4429C"/>
    <w:rsid w:val="00A4435C"/>
    <w:rsid w:val="00A4463F"/>
    <w:rsid w:val="00A44665"/>
    <w:rsid w:val="00A447C1"/>
    <w:rsid w:val="00A447CA"/>
    <w:rsid w:val="00A447F3"/>
    <w:rsid w:val="00A44893"/>
    <w:rsid w:val="00A44915"/>
    <w:rsid w:val="00A44940"/>
    <w:rsid w:val="00A44956"/>
    <w:rsid w:val="00A44958"/>
    <w:rsid w:val="00A44959"/>
    <w:rsid w:val="00A44A26"/>
    <w:rsid w:val="00A44BF8"/>
    <w:rsid w:val="00A44C8D"/>
    <w:rsid w:val="00A44CB1"/>
    <w:rsid w:val="00A44D73"/>
    <w:rsid w:val="00A44EC1"/>
    <w:rsid w:val="00A45088"/>
    <w:rsid w:val="00A450EB"/>
    <w:rsid w:val="00A45118"/>
    <w:rsid w:val="00A4514A"/>
    <w:rsid w:val="00A452B0"/>
    <w:rsid w:val="00A454B3"/>
    <w:rsid w:val="00A45629"/>
    <w:rsid w:val="00A4571B"/>
    <w:rsid w:val="00A45720"/>
    <w:rsid w:val="00A4576E"/>
    <w:rsid w:val="00A45797"/>
    <w:rsid w:val="00A457D7"/>
    <w:rsid w:val="00A45836"/>
    <w:rsid w:val="00A45870"/>
    <w:rsid w:val="00A45983"/>
    <w:rsid w:val="00A459C3"/>
    <w:rsid w:val="00A459E1"/>
    <w:rsid w:val="00A45B9C"/>
    <w:rsid w:val="00A45BB0"/>
    <w:rsid w:val="00A45BE1"/>
    <w:rsid w:val="00A45C94"/>
    <w:rsid w:val="00A45E3A"/>
    <w:rsid w:val="00A45E52"/>
    <w:rsid w:val="00A45E7C"/>
    <w:rsid w:val="00A45EEC"/>
    <w:rsid w:val="00A45F99"/>
    <w:rsid w:val="00A45FD4"/>
    <w:rsid w:val="00A45FEE"/>
    <w:rsid w:val="00A4615F"/>
    <w:rsid w:val="00A46225"/>
    <w:rsid w:val="00A465BE"/>
    <w:rsid w:val="00A46652"/>
    <w:rsid w:val="00A46717"/>
    <w:rsid w:val="00A46769"/>
    <w:rsid w:val="00A46770"/>
    <w:rsid w:val="00A4678A"/>
    <w:rsid w:val="00A467B5"/>
    <w:rsid w:val="00A467BA"/>
    <w:rsid w:val="00A467F0"/>
    <w:rsid w:val="00A4692F"/>
    <w:rsid w:val="00A46937"/>
    <w:rsid w:val="00A46938"/>
    <w:rsid w:val="00A46974"/>
    <w:rsid w:val="00A46A6A"/>
    <w:rsid w:val="00A46B5A"/>
    <w:rsid w:val="00A46C43"/>
    <w:rsid w:val="00A46C79"/>
    <w:rsid w:val="00A46D15"/>
    <w:rsid w:val="00A46D26"/>
    <w:rsid w:val="00A46D67"/>
    <w:rsid w:val="00A46EB0"/>
    <w:rsid w:val="00A46ECD"/>
    <w:rsid w:val="00A46ED7"/>
    <w:rsid w:val="00A46F74"/>
    <w:rsid w:val="00A46FD3"/>
    <w:rsid w:val="00A4709F"/>
    <w:rsid w:val="00A4713D"/>
    <w:rsid w:val="00A4716A"/>
    <w:rsid w:val="00A471B9"/>
    <w:rsid w:val="00A4726E"/>
    <w:rsid w:val="00A472C8"/>
    <w:rsid w:val="00A47369"/>
    <w:rsid w:val="00A47372"/>
    <w:rsid w:val="00A475E8"/>
    <w:rsid w:val="00A475FF"/>
    <w:rsid w:val="00A47720"/>
    <w:rsid w:val="00A4781E"/>
    <w:rsid w:val="00A47970"/>
    <w:rsid w:val="00A479B8"/>
    <w:rsid w:val="00A47ADE"/>
    <w:rsid w:val="00A47B78"/>
    <w:rsid w:val="00A47BAE"/>
    <w:rsid w:val="00A47BB0"/>
    <w:rsid w:val="00A47BB2"/>
    <w:rsid w:val="00A47EA5"/>
    <w:rsid w:val="00A47F3F"/>
    <w:rsid w:val="00A5001F"/>
    <w:rsid w:val="00A50040"/>
    <w:rsid w:val="00A5005D"/>
    <w:rsid w:val="00A50182"/>
    <w:rsid w:val="00A5023F"/>
    <w:rsid w:val="00A5037C"/>
    <w:rsid w:val="00A5038F"/>
    <w:rsid w:val="00A50481"/>
    <w:rsid w:val="00A504CA"/>
    <w:rsid w:val="00A50616"/>
    <w:rsid w:val="00A5069E"/>
    <w:rsid w:val="00A506C7"/>
    <w:rsid w:val="00A50948"/>
    <w:rsid w:val="00A509C2"/>
    <w:rsid w:val="00A50A5A"/>
    <w:rsid w:val="00A50B4C"/>
    <w:rsid w:val="00A50B6A"/>
    <w:rsid w:val="00A50B6D"/>
    <w:rsid w:val="00A50C98"/>
    <w:rsid w:val="00A50CA5"/>
    <w:rsid w:val="00A50F37"/>
    <w:rsid w:val="00A5111B"/>
    <w:rsid w:val="00A5112B"/>
    <w:rsid w:val="00A5117C"/>
    <w:rsid w:val="00A5133E"/>
    <w:rsid w:val="00A51405"/>
    <w:rsid w:val="00A51444"/>
    <w:rsid w:val="00A514AF"/>
    <w:rsid w:val="00A514FF"/>
    <w:rsid w:val="00A51525"/>
    <w:rsid w:val="00A5157D"/>
    <w:rsid w:val="00A5164E"/>
    <w:rsid w:val="00A516B7"/>
    <w:rsid w:val="00A5175E"/>
    <w:rsid w:val="00A51ADA"/>
    <w:rsid w:val="00A51AF2"/>
    <w:rsid w:val="00A51C48"/>
    <w:rsid w:val="00A51CE7"/>
    <w:rsid w:val="00A51D6D"/>
    <w:rsid w:val="00A51ED5"/>
    <w:rsid w:val="00A51EE8"/>
    <w:rsid w:val="00A51F55"/>
    <w:rsid w:val="00A51F86"/>
    <w:rsid w:val="00A51FDA"/>
    <w:rsid w:val="00A5219E"/>
    <w:rsid w:val="00A521DA"/>
    <w:rsid w:val="00A522EB"/>
    <w:rsid w:val="00A52314"/>
    <w:rsid w:val="00A52442"/>
    <w:rsid w:val="00A524A8"/>
    <w:rsid w:val="00A524AD"/>
    <w:rsid w:val="00A52684"/>
    <w:rsid w:val="00A52685"/>
    <w:rsid w:val="00A526B1"/>
    <w:rsid w:val="00A52754"/>
    <w:rsid w:val="00A52958"/>
    <w:rsid w:val="00A529ED"/>
    <w:rsid w:val="00A52A16"/>
    <w:rsid w:val="00A52B36"/>
    <w:rsid w:val="00A52CCF"/>
    <w:rsid w:val="00A52CF6"/>
    <w:rsid w:val="00A52D36"/>
    <w:rsid w:val="00A52DC7"/>
    <w:rsid w:val="00A52DCF"/>
    <w:rsid w:val="00A53059"/>
    <w:rsid w:val="00A5308C"/>
    <w:rsid w:val="00A53115"/>
    <w:rsid w:val="00A53160"/>
    <w:rsid w:val="00A531A1"/>
    <w:rsid w:val="00A5322B"/>
    <w:rsid w:val="00A5323B"/>
    <w:rsid w:val="00A5328F"/>
    <w:rsid w:val="00A532B3"/>
    <w:rsid w:val="00A53417"/>
    <w:rsid w:val="00A5363A"/>
    <w:rsid w:val="00A53648"/>
    <w:rsid w:val="00A5364C"/>
    <w:rsid w:val="00A53714"/>
    <w:rsid w:val="00A5379C"/>
    <w:rsid w:val="00A53840"/>
    <w:rsid w:val="00A538A0"/>
    <w:rsid w:val="00A538F9"/>
    <w:rsid w:val="00A53AC3"/>
    <w:rsid w:val="00A53B15"/>
    <w:rsid w:val="00A53B9A"/>
    <w:rsid w:val="00A53BDE"/>
    <w:rsid w:val="00A53C22"/>
    <w:rsid w:val="00A53C43"/>
    <w:rsid w:val="00A53C7E"/>
    <w:rsid w:val="00A53CE9"/>
    <w:rsid w:val="00A53D1D"/>
    <w:rsid w:val="00A53DFA"/>
    <w:rsid w:val="00A54009"/>
    <w:rsid w:val="00A54091"/>
    <w:rsid w:val="00A54152"/>
    <w:rsid w:val="00A541BA"/>
    <w:rsid w:val="00A541E3"/>
    <w:rsid w:val="00A541F0"/>
    <w:rsid w:val="00A54240"/>
    <w:rsid w:val="00A54284"/>
    <w:rsid w:val="00A5430B"/>
    <w:rsid w:val="00A5438C"/>
    <w:rsid w:val="00A5451C"/>
    <w:rsid w:val="00A546C1"/>
    <w:rsid w:val="00A54733"/>
    <w:rsid w:val="00A5474F"/>
    <w:rsid w:val="00A54769"/>
    <w:rsid w:val="00A547EF"/>
    <w:rsid w:val="00A5480E"/>
    <w:rsid w:val="00A54826"/>
    <w:rsid w:val="00A54A33"/>
    <w:rsid w:val="00A54B98"/>
    <w:rsid w:val="00A54C8E"/>
    <w:rsid w:val="00A54D02"/>
    <w:rsid w:val="00A54D5C"/>
    <w:rsid w:val="00A54D65"/>
    <w:rsid w:val="00A54D70"/>
    <w:rsid w:val="00A54E15"/>
    <w:rsid w:val="00A54E48"/>
    <w:rsid w:val="00A54E5D"/>
    <w:rsid w:val="00A54E6D"/>
    <w:rsid w:val="00A54EA7"/>
    <w:rsid w:val="00A54ED1"/>
    <w:rsid w:val="00A54ED9"/>
    <w:rsid w:val="00A54FB4"/>
    <w:rsid w:val="00A550CE"/>
    <w:rsid w:val="00A55255"/>
    <w:rsid w:val="00A552EB"/>
    <w:rsid w:val="00A5532E"/>
    <w:rsid w:val="00A55362"/>
    <w:rsid w:val="00A55463"/>
    <w:rsid w:val="00A554FE"/>
    <w:rsid w:val="00A5556B"/>
    <w:rsid w:val="00A5571D"/>
    <w:rsid w:val="00A55822"/>
    <w:rsid w:val="00A5583D"/>
    <w:rsid w:val="00A558F2"/>
    <w:rsid w:val="00A55988"/>
    <w:rsid w:val="00A5598C"/>
    <w:rsid w:val="00A55995"/>
    <w:rsid w:val="00A55A7A"/>
    <w:rsid w:val="00A55B2C"/>
    <w:rsid w:val="00A55B7C"/>
    <w:rsid w:val="00A55B7D"/>
    <w:rsid w:val="00A55BD0"/>
    <w:rsid w:val="00A55D1E"/>
    <w:rsid w:val="00A55DDA"/>
    <w:rsid w:val="00A55F57"/>
    <w:rsid w:val="00A5618C"/>
    <w:rsid w:val="00A561A8"/>
    <w:rsid w:val="00A56258"/>
    <w:rsid w:val="00A56280"/>
    <w:rsid w:val="00A56347"/>
    <w:rsid w:val="00A56493"/>
    <w:rsid w:val="00A56494"/>
    <w:rsid w:val="00A56540"/>
    <w:rsid w:val="00A56660"/>
    <w:rsid w:val="00A566EE"/>
    <w:rsid w:val="00A56722"/>
    <w:rsid w:val="00A567E1"/>
    <w:rsid w:val="00A56816"/>
    <w:rsid w:val="00A56852"/>
    <w:rsid w:val="00A5688C"/>
    <w:rsid w:val="00A5691F"/>
    <w:rsid w:val="00A56992"/>
    <w:rsid w:val="00A5699E"/>
    <w:rsid w:val="00A56A2C"/>
    <w:rsid w:val="00A56ACA"/>
    <w:rsid w:val="00A56AD3"/>
    <w:rsid w:val="00A56B5E"/>
    <w:rsid w:val="00A56C08"/>
    <w:rsid w:val="00A56C61"/>
    <w:rsid w:val="00A56C65"/>
    <w:rsid w:val="00A56CA3"/>
    <w:rsid w:val="00A56DE0"/>
    <w:rsid w:val="00A56E55"/>
    <w:rsid w:val="00A56F62"/>
    <w:rsid w:val="00A56FA8"/>
    <w:rsid w:val="00A57151"/>
    <w:rsid w:val="00A572C3"/>
    <w:rsid w:val="00A572DF"/>
    <w:rsid w:val="00A57330"/>
    <w:rsid w:val="00A57496"/>
    <w:rsid w:val="00A574BC"/>
    <w:rsid w:val="00A575A0"/>
    <w:rsid w:val="00A5763A"/>
    <w:rsid w:val="00A57677"/>
    <w:rsid w:val="00A57682"/>
    <w:rsid w:val="00A5770D"/>
    <w:rsid w:val="00A57770"/>
    <w:rsid w:val="00A57908"/>
    <w:rsid w:val="00A57961"/>
    <w:rsid w:val="00A579B2"/>
    <w:rsid w:val="00A57A61"/>
    <w:rsid w:val="00A57A9C"/>
    <w:rsid w:val="00A57B60"/>
    <w:rsid w:val="00A57B7D"/>
    <w:rsid w:val="00A57BCB"/>
    <w:rsid w:val="00A57C2C"/>
    <w:rsid w:val="00A57D04"/>
    <w:rsid w:val="00A57DD3"/>
    <w:rsid w:val="00A57E75"/>
    <w:rsid w:val="00A57F6F"/>
    <w:rsid w:val="00A57FB2"/>
    <w:rsid w:val="00A600B6"/>
    <w:rsid w:val="00A600D8"/>
    <w:rsid w:val="00A601C3"/>
    <w:rsid w:val="00A601DD"/>
    <w:rsid w:val="00A601F0"/>
    <w:rsid w:val="00A602DB"/>
    <w:rsid w:val="00A602F0"/>
    <w:rsid w:val="00A604B5"/>
    <w:rsid w:val="00A604D5"/>
    <w:rsid w:val="00A6053D"/>
    <w:rsid w:val="00A605B3"/>
    <w:rsid w:val="00A606BA"/>
    <w:rsid w:val="00A60726"/>
    <w:rsid w:val="00A6073B"/>
    <w:rsid w:val="00A607EB"/>
    <w:rsid w:val="00A607FD"/>
    <w:rsid w:val="00A608F6"/>
    <w:rsid w:val="00A60946"/>
    <w:rsid w:val="00A60ACC"/>
    <w:rsid w:val="00A60C8B"/>
    <w:rsid w:val="00A60D58"/>
    <w:rsid w:val="00A60E09"/>
    <w:rsid w:val="00A60EFF"/>
    <w:rsid w:val="00A60FAB"/>
    <w:rsid w:val="00A6103B"/>
    <w:rsid w:val="00A61089"/>
    <w:rsid w:val="00A610A0"/>
    <w:rsid w:val="00A61132"/>
    <w:rsid w:val="00A611C5"/>
    <w:rsid w:val="00A6125B"/>
    <w:rsid w:val="00A6125F"/>
    <w:rsid w:val="00A61263"/>
    <w:rsid w:val="00A6137A"/>
    <w:rsid w:val="00A613D5"/>
    <w:rsid w:val="00A61470"/>
    <w:rsid w:val="00A614BC"/>
    <w:rsid w:val="00A614CD"/>
    <w:rsid w:val="00A6153F"/>
    <w:rsid w:val="00A615AD"/>
    <w:rsid w:val="00A6166F"/>
    <w:rsid w:val="00A6170B"/>
    <w:rsid w:val="00A6177F"/>
    <w:rsid w:val="00A6197C"/>
    <w:rsid w:val="00A6198F"/>
    <w:rsid w:val="00A61A75"/>
    <w:rsid w:val="00A61B08"/>
    <w:rsid w:val="00A61B15"/>
    <w:rsid w:val="00A61B2B"/>
    <w:rsid w:val="00A61B30"/>
    <w:rsid w:val="00A61BCB"/>
    <w:rsid w:val="00A61C90"/>
    <w:rsid w:val="00A61CC9"/>
    <w:rsid w:val="00A61DAA"/>
    <w:rsid w:val="00A61E11"/>
    <w:rsid w:val="00A61F73"/>
    <w:rsid w:val="00A61F86"/>
    <w:rsid w:val="00A61FF1"/>
    <w:rsid w:val="00A6202E"/>
    <w:rsid w:val="00A62067"/>
    <w:rsid w:val="00A620AF"/>
    <w:rsid w:val="00A620C7"/>
    <w:rsid w:val="00A62104"/>
    <w:rsid w:val="00A621E5"/>
    <w:rsid w:val="00A621F3"/>
    <w:rsid w:val="00A621FC"/>
    <w:rsid w:val="00A62318"/>
    <w:rsid w:val="00A6233C"/>
    <w:rsid w:val="00A624F2"/>
    <w:rsid w:val="00A62510"/>
    <w:rsid w:val="00A62533"/>
    <w:rsid w:val="00A6254D"/>
    <w:rsid w:val="00A6262C"/>
    <w:rsid w:val="00A626F0"/>
    <w:rsid w:val="00A62701"/>
    <w:rsid w:val="00A6272F"/>
    <w:rsid w:val="00A62813"/>
    <w:rsid w:val="00A62818"/>
    <w:rsid w:val="00A628DA"/>
    <w:rsid w:val="00A62A00"/>
    <w:rsid w:val="00A62A45"/>
    <w:rsid w:val="00A62A83"/>
    <w:rsid w:val="00A62ADD"/>
    <w:rsid w:val="00A62B7D"/>
    <w:rsid w:val="00A62B9C"/>
    <w:rsid w:val="00A62CA5"/>
    <w:rsid w:val="00A62CFB"/>
    <w:rsid w:val="00A62E21"/>
    <w:rsid w:val="00A62E55"/>
    <w:rsid w:val="00A62F16"/>
    <w:rsid w:val="00A631C4"/>
    <w:rsid w:val="00A631CF"/>
    <w:rsid w:val="00A63204"/>
    <w:rsid w:val="00A63289"/>
    <w:rsid w:val="00A633CD"/>
    <w:rsid w:val="00A6346E"/>
    <w:rsid w:val="00A634E7"/>
    <w:rsid w:val="00A635E0"/>
    <w:rsid w:val="00A63751"/>
    <w:rsid w:val="00A6378C"/>
    <w:rsid w:val="00A63790"/>
    <w:rsid w:val="00A637D2"/>
    <w:rsid w:val="00A638F6"/>
    <w:rsid w:val="00A63912"/>
    <w:rsid w:val="00A63C18"/>
    <w:rsid w:val="00A63C7B"/>
    <w:rsid w:val="00A63CE1"/>
    <w:rsid w:val="00A63F22"/>
    <w:rsid w:val="00A63F86"/>
    <w:rsid w:val="00A6416E"/>
    <w:rsid w:val="00A64238"/>
    <w:rsid w:val="00A64259"/>
    <w:rsid w:val="00A642A3"/>
    <w:rsid w:val="00A643F5"/>
    <w:rsid w:val="00A6445C"/>
    <w:rsid w:val="00A6449C"/>
    <w:rsid w:val="00A644B2"/>
    <w:rsid w:val="00A644B7"/>
    <w:rsid w:val="00A6455E"/>
    <w:rsid w:val="00A647C5"/>
    <w:rsid w:val="00A648AE"/>
    <w:rsid w:val="00A64963"/>
    <w:rsid w:val="00A649D2"/>
    <w:rsid w:val="00A64A1E"/>
    <w:rsid w:val="00A64AD4"/>
    <w:rsid w:val="00A64ADE"/>
    <w:rsid w:val="00A64B04"/>
    <w:rsid w:val="00A64BFA"/>
    <w:rsid w:val="00A64C76"/>
    <w:rsid w:val="00A64CC7"/>
    <w:rsid w:val="00A64D84"/>
    <w:rsid w:val="00A64E89"/>
    <w:rsid w:val="00A64E9C"/>
    <w:rsid w:val="00A64F06"/>
    <w:rsid w:val="00A64F58"/>
    <w:rsid w:val="00A64FC0"/>
    <w:rsid w:val="00A650D8"/>
    <w:rsid w:val="00A65159"/>
    <w:rsid w:val="00A6531B"/>
    <w:rsid w:val="00A6543B"/>
    <w:rsid w:val="00A6545E"/>
    <w:rsid w:val="00A654A9"/>
    <w:rsid w:val="00A65561"/>
    <w:rsid w:val="00A65604"/>
    <w:rsid w:val="00A656ED"/>
    <w:rsid w:val="00A65742"/>
    <w:rsid w:val="00A658B3"/>
    <w:rsid w:val="00A65951"/>
    <w:rsid w:val="00A65992"/>
    <w:rsid w:val="00A65AA6"/>
    <w:rsid w:val="00A65AF3"/>
    <w:rsid w:val="00A65B79"/>
    <w:rsid w:val="00A65B82"/>
    <w:rsid w:val="00A65BD5"/>
    <w:rsid w:val="00A65CAE"/>
    <w:rsid w:val="00A65CB0"/>
    <w:rsid w:val="00A65CE7"/>
    <w:rsid w:val="00A65D37"/>
    <w:rsid w:val="00A65D5C"/>
    <w:rsid w:val="00A65D78"/>
    <w:rsid w:val="00A65E25"/>
    <w:rsid w:val="00A65F2E"/>
    <w:rsid w:val="00A65FD4"/>
    <w:rsid w:val="00A66045"/>
    <w:rsid w:val="00A66128"/>
    <w:rsid w:val="00A662DC"/>
    <w:rsid w:val="00A66331"/>
    <w:rsid w:val="00A6636C"/>
    <w:rsid w:val="00A6642E"/>
    <w:rsid w:val="00A6659C"/>
    <w:rsid w:val="00A665FF"/>
    <w:rsid w:val="00A6668E"/>
    <w:rsid w:val="00A6681E"/>
    <w:rsid w:val="00A66832"/>
    <w:rsid w:val="00A668A0"/>
    <w:rsid w:val="00A66978"/>
    <w:rsid w:val="00A669B5"/>
    <w:rsid w:val="00A669F8"/>
    <w:rsid w:val="00A66A6B"/>
    <w:rsid w:val="00A66AE8"/>
    <w:rsid w:val="00A66B3E"/>
    <w:rsid w:val="00A66C89"/>
    <w:rsid w:val="00A66DF8"/>
    <w:rsid w:val="00A66F2F"/>
    <w:rsid w:val="00A66F56"/>
    <w:rsid w:val="00A66F71"/>
    <w:rsid w:val="00A670D4"/>
    <w:rsid w:val="00A67188"/>
    <w:rsid w:val="00A671E6"/>
    <w:rsid w:val="00A673E3"/>
    <w:rsid w:val="00A6741B"/>
    <w:rsid w:val="00A674C7"/>
    <w:rsid w:val="00A6754E"/>
    <w:rsid w:val="00A675E1"/>
    <w:rsid w:val="00A67619"/>
    <w:rsid w:val="00A676A4"/>
    <w:rsid w:val="00A676B1"/>
    <w:rsid w:val="00A67714"/>
    <w:rsid w:val="00A67817"/>
    <w:rsid w:val="00A67879"/>
    <w:rsid w:val="00A67890"/>
    <w:rsid w:val="00A678E3"/>
    <w:rsid w:val="00A67A28"/>
    <w:rsid w:val="00A67A40"/>
    <w:rsid w:val="00A67A52"/>
    <w:rsid w:val="00A67A64"/>
    <w:rsid w:val="00A67B0B"/>
    <w:rsid w:val="00A67C97"/>
    <w:rsid w:val="00A67CBC"/>
    <w:rsid w:val="00A67CD7"/>
    <w:rsid w:val="00A67CEE"/>
    <w:rsid w:val="00A67DF8"/>
    <w:rsid w:val="00A67E84"/>
    <w:rsid w:val="00A700DD"/>
    <w:rsid w:val="00A70153"/>
    <w:rsid w:val="00A70165"/>
    <w:rsid w:val="00A701CF"/>
    <w:rsid w:val="00A702A7"/>
    <w:rsid w:val="00A70305"/>
    <w:rsid w:val="00A703AC"/>
    <w:rsid w:val="00A704BE"/>
    <w:rsid w:val="00A704CF"/>
    <w:rsid w:val="00A70521"/>
    <w:rsid w:val="00A70561"/>
    <w:rsid w:val="00A7058F"/>
    <w:rsid w:val="00A706DA"/>
    <w:rsid w:val="00A70748"/>
    <w:rsid w:val="00A7086A"/>
    <w:rsid w:val="00A70873"/>
    <w:rsid w:val="00A708B7"/>
    <w:rsid w:val="00A7092B"/>
    <w:rsid w:val="00A70BD3"/>
    <w:rsid w:val="00A70C42"/>
    <w:rsid w:val="00A70C9A"/>
    <w:rsid w:val="00A70CD3"/>
    <w:rsid w:val="00A70EFF"/>
    <w:rsid w:val="00A70FD2"/>
    <w:rsid w:val="00A7103D"/>
    <w:rsid w:val="00A7105A"/>
    <w:rsid w:val="00A710FF"/>
    <w:rsid w:val="00A7113E"/>
    <w:rsid w:val="00A71176"/>
    <w:rsid w:val="00A711B9"/>
    <w:rsid w:val="00A71206"/>
    <w:rsid w:val="00A712F1"/>
    <w:rsid w:val="00A71469"/>
    <w:rsid w:val="00A714C1"/>
    <w:rsid w:val="00A714C6"/>
    <w:rsid w:val="00A71648"/>
    <w:rsid w:val="00A7177F"/>
    <w:rsid w:val="00A717EB"/>
    <w:rsid w:val="00A71810"/>
    <w:rsid w:val="00A718C2"/>
    <w:rsid w:val="00A71BD9"/>
    <w:rsid w:val="00A71C85"/>
    <w:rsid w:val="00A71D6D"/>
    <w:rsid w:val="00A71D83"/>
    <w:rsid w:val="00A7200B"/>
    <w:rsid w:val="00A72044"/>
    <w:rsid w:val="00A7208E"/>
    <w:rsid w:val="00A721B3"/>
    <w:rsid w:val="00A72302"/>
    <w:rsid w:val="00A72441"/>
    <w:rsid w:val="00A724B0"/>
    <w:rsid w:val="00A7257A"/>
    <w:rsid w:val="00A725D4"/>
    <w:rsid w:val="00A7271F"/>
    <w:rsid w:val="00A7276D"/>
    <w:rsid w:val="00A72880"/>
    <w:rsid w:val="00A72892"/>
    <w:rsid w:val="00A72911"/>
    <w:rsid w:val="00A729A8"/>
    <w:rsid w:val="00A729D8"/>
    <w:rsid w:val="00A72A6F"/>
    <w:rsid w:val="00A72B90"/>
    <w:rsid w:val="00A72C56"/>
    <w:rsid w:val="00A72C8F"/>
    <w:rsid w:val="00A72C98"/>
    <w:rsid w:val="00A72CFA"/>
    <w:rsid w:val="00A72FB2"/>
    <w:rsid w:val="00A730C2"/>
    <w:rsid w:val="00A7310B"/>
    <w:rsid w:val="00A7316B"/>
    <w:rsid w:val="00A73213"/>
    <w:rsid w:val="00A73287"/>
    <w:rsid w:val="00A73297"/>
    <w:rsid w:val="00A732AC"/>
    <w:rsid w:val="00A73312"/>
    <w:rsid w:val="00A7339C"/>
    <w:rsid w:val="00A733EE"/>
    <w:rsid w:val="00A7342C"/>
    <w:rsid w:val="00A734E9"/>
    <w:rsid w:val="00A734F7"/>
    <w:rsid w:val="00A73548"/>
    <w:rsid w:val="00A7356E"/>
    <w:rsid w:val="00A735A4"/>
    <w:rsid w:val="00A735BC"/>
    <w:rsid w:val="00A73839"/>
    <w:rsid w:val="00A738D6"/>
    <w:rsid w:val="00A738DA"/>
    <w:rsid w:val="00A739D7"/>
    <w:rsid w:val="00A73A18"/>
    <w:rsid w:val="00A73A38"/>
    <w:rsid w:val="00A73A3F"/>
    <w:rsid w:val="00A73C85"/>
    <w:rsid w:val="00A73C96"/>
    <w:rsid w:val="00A73CE0"/>
    <w:rsid w:val="00A73D42"/>
    <w:rsid w:val="00A73D66"/>
    <w:rsid w:val="00A73DD0"/>
    <w:rsid w:val="00A73DE0"/>
    <w:rsid w:val="00A74098"/>
    <w:rsid w:val="00A740AB"/>
    <w:rsid w:val="00A74218"/>
    <w:rsid w:val="00A74226"/>
    <w:rsid w:val="00A7425A"/>
    <w:rsid w:val="00A74273"/>
    <w:rsid w:val="00A742F4"/>
    <w:rsid w:val="00A743A6"/>
    <w:rsid w:val="00A744C8"/>
    <w:rsid w:val="00A747EA"/>
    <w:rsid w:val="00A74826"/>
    <w:rsid w:val="00A7488D"/>
    <w:rsid w:val="00A74895"/>
    <w:rsid w:val="00A74908"/>
    <w:rsid w:val="00A74996"/>
    <w:rsid w:val="00A74A51"/>
    <w:rsid w:val="00A74A76"/>
    <w:rsid w:val="00A74A90"/>
    <w:rsid w:val="00A74B53"/>
    <w:rsid w:val="00A74BCB"/>
    <w:rsid w:val="00A74C2F"/>
    <w:rsid w:val="00A74D72"/>
    <w:rsid w:val="00A74DA9"/>
    <w:rsid w:val="00A74DFC"/>
    <w:rsid w:val="00A74E4B"/>
    <w:rsid w:val="00A74EC6"/>
    <w:rsid w:val="00A74EF3"/>
    <w:rsid w:val="00A74F27"/>
    <w:rsid w:val="00A74FF5"/>
    <w:rsid w:val="00A7503F"/>
    <w:rsid w:val="00A75047"/>
    <w:rsid w:val="00A7512B"/>
    <w:rsid w:val="00A75173"/>
    <w:rsid w:val="00A7524B"/>
    <w:rsid w:val="00A75347"/>
    <w:rsid w:val="00A7542D"/>
    <w:rsid w:val="00A7547F"/>
    <w:rsid w:val="00A75569"/>
    <w:rsid w:val="00A75583"/>
    <w:rsid w:val="00A755CD"/>
    <w:rsid w:val="00A75654"/>
    <w:rsid w:val="00A756C7"/>
    <w:rsid w:val="00A75720"/>
    <w:rsid w:val="00A757B0"/>
    <w:rsid w:val="00A757B9"/>
    <w:rsid w:val="00A7581D"/>
    <w:rsid w:val="00A75954"/>
    <w:rsid w:val="00A75A3A"/>
    <w:rsid w:val="00A75ADB"/>
    <w:rsid w:val="00A75B43"/>
    <w:rsid w:val="00A75E62"/>
    <w:rsid w:val="00A75ECF"/>
    <w:rsid w:val="00A75FE9"/>
    <w:rsid w:val="00A7609C"/>
    <w:rsid w:val="00A760C7"/>
    <w:rsid w:val="00A761FE"/>
    <w:rsid w:val="00A7624F"/>
    <w:rsid w:val="00A762B6"/>
    <w:rsid w:val="00A76371"/>
    <w:rsid w:val="00A76409"/>
    <w:rsid w:val="00A76478"/>
    <w:rsid w:val="00A764B5"/>
    <w:rsid w:val="00A767F4"/>
    <w:rsid w:val="00A7680D"/>
    <w:rsid w:val="00A76815"/>
    <w:rsid w:val="00A76889"/>
    <w:rsid w:val="00A7688D"/>
    <w:rsid w:val="00A76A03"/>
    <w:rsid w:val="00A76AB2"/>
    <w:rsid w:val="00A76B18"/>
    <w:rsid w:val="00A76CD1"/>
    <w:rsid w:val="00A76D20"/>
    <w:rsid w:val="00A76F7B"/>
    <w:rsid w:val="00A76FB5"/>
    <w:rsid w:val="00A77051"/>
    <w:rsid w:val="00A770C7"/>
    <w:rsid w:val="00A7710D"/>
    <w:rsid w:val="00A77177"/>
    <w:rsid w:val="00A771ED"/>
    <w:rsid w:val="00A772F8"/>
    <w:rsid w:val="00A773C0"/>
    <w:rsid w:val="00A77485"/>
    <w:rsid w:val="00A77486"/>
    <w:rsid w:val="00A77626"/>
    <w:rsid w:val="00A776A4"/>
    <w:rsid w:val="00A776B5"/>
    <w:rsid w:val="00A776BA"/>
    <w:rsid w:val="00A776C4"/>
    <w:rsid w:val="00A77838"/>
    <w:rsid w:val="00A77864"/>
    <w:rsid w:val="00A779D3"/>
    <w:rsid w:val="00A77A11"/>
    <w:rsid w:val="00A77A5E"/>
    <w:rsid w:val="00A77C04"/>
    <w:rsid w:val="00A77C41"/>
    <w:rsid w:val="00A77C6E"/>
    <w:rsid w:val="00A77C9F"/>
    <w:rsid w:val="00A77CD0"/>
    <w:rsid w:val="00A77CF7"/>
    <w:rsid w:val="00A77DD1"/>
    <w:rsid w:val="00A77E11"/>
    <w:rsid w:val="00A77E20"/>
    <w:rsid w:val="00A77F58"/>
    <w:rsid w:val="00A77FBF"/>
    <w:rsid w:val="00A80114"/>
    <w:rsid w:val="00A801F4"/>
    <w:rsid w:val="00A80483"/>
    <w:rsid w:val="00A80492"/>
    <w:rsid w:val="00A8049D"/>
    <w:rsid w:val="00A8053E"/>
    <w:rsid w:val="00A805E9"/>
    <w:rsid w:val="00A80708"/>
    <w:rsid w:val="00A807A4"/>
    <w:rsid w:val="00A807AE"/>
    <w:rsid w:val="00A807B1"/>
    <w:rsid w:val="00A80880"/>
    <w:rsid w:val="00A8088F"/>
    <w:rsid w:val="00A8094F"/>
    <w:rsid w:val="00A80A58"/>
    <w:rsid w:val="00A80B1F"/>
    <w:rsid w:val="00A80B75"/>
    <w:rsid w:val="00A80D0B"/>
    <w:rsid w:val="00A80D4F"/>
    <w:rsid w:val="00A80D55"/>
    <w:rsid w:val="00A80E77"/>
    <w:rsid w:val="00A810D8"/>
    <w:rsid w:val="00A81141"/>
    <w:rsid w:val="00A81169"/>
    <w:rsid w:val="00A811DA"/>
    <w:rsid w:val="00A811E5"/>
    <w:rsid w:val="00A81237"/>
    <w:rsid w:val="00A812C1"/>
    <w:rsid w:val="00A81377"/>
    <w:rsid w:val="00A8137C"/>
    <w:rsid w:val="00A814A3"/>
    <w:rsid w:val="00A81548"/>
    <w:rsid w:val="00A81661"/>
    <w:rsid w:val="00A81669"/>
    <w:rsid w:val="00A81673"/>
    <w:rsid w:val="00A81795"/>
    <w:rsid w:val="00A81991"/>
    <w:rsid w:val="00A819C5"/>
    <w:rsid w:val="00A81A0C"/>
    <w:rsid w:val="00A81A6E"/>
    <w:rsid w:val="00A81AA3"/>
    <w:rsid w:val="00A81B06"/>
    <w:rsid w:val="00A81BD1"/>
    <w:rsid w:val="00A81C94"/>
    <w:rsid w:val="00A81CF1"/>
    <w:rsid w:val="00A81DB4"/>
    <w:rsid w:val="00A81E93"/>
    <w:rsid w:val="00A81FDB"/>
    <w:rsid w:val="00A82039"/>
    <w:rsid w:val="00A8204D"/>
    <w:rsid w:val="00A82139"/>
    <w:rsid w:val="00A82193"/>
    <w:rsid w:val="00A821EF"/>
    <w:rsid w:val="00A822C2"/>
    <w:rsid w:val="00A823D8"/>
    <w:rsid w:val="00A82503"/>
    <w:rsid w:val="00A825BC"/>
    <w:rsid w:val="00A82822"/>
    <w:rsid w:val="00A828FF"/>
    <w:rsid w:val="00A82932"/>
    <w:rsid w:val="00A82965"/>
    <w:rsid w:val="00A82990"/>
    <w:rsid w:val="00A82A30"/>
    <w:rsid w:val="00A82A4C"/>
    <w:rsid w:val="00A82A9D"/>
    <w:rsid w:val="00A82AA8"/>
    <w:rsid w:val="00A82B22"/>
    <w:rsid w:val="00A82BB9"/>
    <w:rsid w:val="00A82BBC"/>
    <w:rsid w:val="00A82BDB"/>
    <w:rsid w:val="00A82EF5"/>
    <w:rsid w:val="00A82F4A"/>
    <w:rsid w:val="00A82F4E"/>
    <w:rsid w:val="00A82F93"/>
    <w:rsid w:val="00A82FF0"/>
    <w:rsid w:val="00A83215"/>
    <w:rsid w:val="00A8326D"/>
    <w:rsid w:val="00A833A8"/>
    <w:rsid w:val="00A8343D"/>
    <w:rsid w:val="00A834F7"/>
    <w:rsid w:val="00A83543"/>
    <w:rsid w:val="00A8382B"/>
    <w:rsid w:val="00A83845"/>
    <w:rsid w:val="00A83A25"/>
    <w:rsid w:val="00A83A57"/>
    <w:rsid w:val="00A83A5B"/>
    <w:rsid w:val="00A83BE0"/>
    <w:rsid w:val="00A83C7C"/>
    <w:rsid w:val="00A83D0C"/>
    <w:rsid w:val="00A83EA4"/>
    <w:rsid w:val="00A83EB2"/>
    <w:rsid w:val="00A83EF4"/>
    <w:rsid w:val="00A83EF9"/>
    <w:rsid w:val="00A84065"/>
    <w:rsid w:val="00A841AD"/>
    <w:rsid w:val="00A8421D"/>
    <w:rsid w:val="00A84362"/>
    <w:rsid w:val="00A8439B"/>
    <w:rsid w:val="00A843A5"/>
    <w:rsid w:val="00A843BA"/>
    <w:rsid w:val="00A846A9"/>
    <w:rsid w:val="00A84700"/>
    <w:rsid w:val="00A84787"/>
    <w:rsid w:val="00A84910"/>
    <w:rsid w:val="00A84B5E"/>
    <w:rsid w:val="00A84C55"/>
    <w:rsid w:val="00A84D50"/>
    <w:rsid w:val="00A84D78"/>
    <w:rsid w:val="00A84DFA"/>
    <w:rsid w:val="00A84E79"/>
    <w:rsid w:val="00A84F9D"/>
    <w:rsid w:val="00A85033"/>
    <w:rsid w:val="00A85044"/>
    <w:rsid w:val="00A85109"/>
    <w:rsid w:val="00A85243"/>
    <w:rsid w:val="00A85386"/>
    <w:rsid w:val="00A855E1"/>
    <w:rsid w:val="00A85637"/>
    <w:rsid w:val="00A856E1"/>
    <w:rsid w:val="00A85714"/>
    <w:rsid w:val="00A857D4"/>
    <w:rsid w:val="00A85877"/>
    <w:rsid w:val="00A8589D"/>
    <w:rsid w:val="00A85A2A"/>
    <w:rsid w:val="00A85AFB"/>
    <w:rsid w:val="00A85B10"/>
    <w:rsid w:val="00A85CDD"/>
    <w:rsid w:val="00A85DF9"/>
    <w:rsid w:val="00A85EC0"/>
    <w:rsid w:val="00A85F65"/>
    <w:rsid w:val="00A85F85"/>
    <w:rsid w:val="00A85F9A"/>
    <w:rsid w:val="00A8600F"/>
    <w:rsid w:val="00A86151"/>
    <w:rsid w:val="00A8615F"/>
    <w:rsid w:val="00A86243"/>
    <w:rsid w:val="00A86286"/>
    <w:rsid w:val="00A862A0"/>
    <w:rsid w:val="00A862C0"/>
    <w:rsid w:val="00A862F2"/>
    <w:rsid w:val="00A865B9"/>
    <w:rsid w:val="00A86700"/>
    <w:rsid w:val="00A867AE"/>
    <w:rsid w:val="00A8680E"/>
    <w:rsid w:val="00A868D8"/>
    <w:rsid w:val="00A868EC"/>
    <w:rsid w:val="00A86A32"/>
    <w:rsid w:val="00A86A70"/>
    <w:rsid w:val="00A86B52"/>
    <w:rsid w:val="00A86BCD"/>
    <w:rsid w:val="00A86C0D"/>
    <w:rsid w:val="00A86DEA"/>
    <w:rsid w:val="00A86E47"/>
    <w:rsid w:val="00A86EA7"/>
    <w:rsid w:val="00A8701C"/>
    <w:rsid w:val="00A870E1"/>
    <w:rsid w:val="00A87166"/>
    <w:rsid w:val="00A87177"/>
    <w:rsid w:val="00A873AB"/>
    <w:rsid w:val="00A87469"/>
    <w:rsid w:val="00A8747D"/>
    <w:rsid w:val="00A8748A"/>
    <w:rsid w:val="00A874CC"/>
    <w:rsid w:val="00A87518"/>
    <w:rsid w:val="00A87589"/>
    <w:rsid w:val="00A875EC"/>
    <w:rsid w:val="00A87700"/>
    <w:rsid w:val="00A8774A"/>
    <w:rsid w:val="00A877EE"/>
    <w:rsid w:val="00A8798C"/>
    <w:rsid w:val="00A879CE"/>
    <w:rsid w:val="00A879E2"/>
    <w:rsid w:val="00A87A51"/>
    <w:rsid w:val="00A87B0F"/>
    <w:rsid w:val="00A87DEA"/>
    <w:rsid w:val="00A87DEE"/>
    <w:rsid w:val="00A87E21"/>
    <w:rsid w:val="00A87E6E"/>
    <w:rsid w:val="00A87E9A"/>
    <w:rsid w:val="00A87ED4"/>
    <w:rsid w:val="00A87EDC"/>
    <w:rsid w:val="00A87EFD"/>
    <w:rsid w:val="00A87F1C"/>
    <w:rsid w:val="00A87F90"/>
    <w:rsid w:val="00A90007"/>
    <w:rsid w:val="00A900C1"/>
    <w:rsid w:val="00A90101"/>
    <w:rsid w:val="00A9017C"/>
    <w:rsid w:val="00A901D2"/>
    <w:rsid w:val="00A90200"/>
    <w:rsid w:val="00A90221"/>
    <w:rsid w:val="00A90224"/>
    <w:rsid w:val="00A9022B"/>
    <w:rsid w:val="00A90241"/>
    <w:rsid w:val="00A90401"/>
    <w:rsid w:val="00A907E8"/>
    <w:rsid w:val="00A907FB"/>
    <w:rsid w:val="00A9082C"/>
    <w:rsid w:val="00A908A4"/>
    <w:rsid w:val="00A908A7"/>
    <w:rsid w:val="00A908EB"/>
    <w:rsid w:val="00A9094B"/>
    <w:rsid w:val="00A9094C"/>
    <w:rsid w:val="00A909B3"/>
    <w:rsid w:val="00A909B9"/>
    <w:rsid w:val="00A90A0B"/>
    <w:rsid w:val="00A90A22"/>
    <w:rsid w:val="00A90B3B"/>
    <w:rsid w:val="00A90B4E"/>
    <w:rsid w:val="00A90CCB"/>
    <w:rsid w:val="00A90CE4"/>
    <w:rsid w:val="00A90DC9"/>
    <w:rsid w:val="00A90EEE"/>
    <w:rsid w:val="00A90F0D"/>
    <w:rsid w:val="00A90F7D"/>
    <w:rsid w:val="00A91066"/>
    <w:rsid w:val="00A9128D"/>
    <w:rsid w:val="00A913DE"/>
    <w:rsid w:val="00A91457"/>
    <w:rsid w:val="00A9147B"/>
    <w:rsid w:val="00A91526"/>
    <w:rsid w:val="00A91536"/>
    <w:rsid w:val="00A915F8"/>
    <w:rsid w:val="00A916FD"/>
    <w:rsid w:val="00A91773"/>
    <w:rsid w:val="00A91774"/>
    <w:rsid w:val="00A9178D"/>
    <w:rsid w:val="00A917AD"/>
    <w:rsid w:val="00A9183F"/>
    <w:rsid w:val="00A91929"/>
    <w:rsid w:val="00A91A07"/>
    <w:rsid w:val="00A91A91"/>
    <w:rsid w:val="00A91AFF"/>
    <w:rsid w:val="00A91B7A"/>
    <w:rsid w:val="00A91CAC"/>
    <w:rsid w:val="00A91CC3"/>
    <w:rsid w:val="00A91D3E"/>
    <w:rsid w:val="00A91E4E"/>
    <w:rsid w:val="00A91E5A"/>
    <w:rsid w:val="00A91EA1"/>
    <w:rsid w:val="00A91F04"/>
    <w:rsid w:val="00A91F15"/>
    <w:rsid w:val="00A91F1B"/>
    <w:rsid w:val="00A91F6E"/>
    <w:rsid w:val="00A91FFB"/>
    <w:rsid w:val="00A92005"/>
    <w:rsid w:val="00A9205B"/>
    <w:rsid w:val="00A9213E"/>
    <w:rsid w:val="00A921E3"/>
    <w:rsid w:val="00A9235B"/>
    <w:rsid w:val="00A92437"/>
    <w:rsid w:val="00A92445"/>
    <w:rsid w:val="00A92469"/>
    <w:rsid w:val="00A924A2"/>
    <w:rsid w:val="00A92511"/>
    <w:rsid w:val="00A9258C"/>
    <w:rsid w:val="00A925F2"/>
    <w:rsid w:val="00A92608"/>
    <w:rsid w:val="00A92620"/>
    <w:rsid w:val="00A9274B"/>
    <w:rsid w:val="00A928BA"/>
    <w:rsid w:val="00A9290B"/>
    <w:rsid w:val="00A929B7"/>
    <w:rsid w:val="00A929E4"/>
    <w:rsid w:val="00A929FD"/>
    <w:rsid w:val="00A92A9E"/>
    <w:rsid w:val="00A92B53"/>
    <w:rsid w:val="00A92B76"/>
    <w:rsid w:val="00A92B83"/>
    <w:rsid w:val="00A92C00"/>
    <w:rsid w:val="00A92CE5"/>
    <w:rsid w:val="00A92E44"/>
    <w:rsid w:val="00A92F8D"/>
    <w:rsid w:val="00A93006"/>
    <w:rsid w:val="00A931A2"/>
    <w:rsid w:val="00A931CB"/>
    <w:rsid w:val="00A9327F"/>
    <w:rsid w:val="00A9328D"/>
    <w:rsid w:val="00A93294"/>
    <w:rsid w:val="00A932B2"/>
    <w:rsid w:val="00A9333A"/>
    <w:rsid w:val="00A93369"/>
    <w:rsid w:val="00A93390"/>
    <w:rsid w:val="00A935FF"/>
    <w:rsid w:val="00A9361B"/>
    <w:rsid w:val="00A93628"/>
    <w:rsid w:val="00A936BD"/>
    <w:rsid w:val="00A9371E"/>
    <w:rsid w:val="00A9389D"/>
    <w:rsid w:val="00A938A9"/>
    <w:rsid w:val="00A938C6"/>
    <w:rsid w:val="00A9390C"/>
    <w:rsid w:val="00A9392E"/>
    <w:rsid w:val="00A93974"/>
    <w:rsid w:val="00A939C6"/>
    <w:rsid w:val="00A939ED"/>
    <w:rsid w:val="00A93A02"/>
    <w:rsid w:val="00A93A52"/>
    <w:rsid w:val="00A93C43"/>
    <w:rsid w:val="00A93D95"/>
    <w:rsid w:val="00A93E9E"/>
    <w:rsid w:val="00A93FF7"/>
    <w:rsid w:val="00A9407F"/>
    <w:rsid w:val="00A9409A"/>
    <w:rsid w:val="00A941DD"/>
    <w:rsid w:val="00A94216"/>
    <w:rsid w:val="00A9421E"/>
    <w:rsid w:val="00A94281"/>
    <w:rsid w:val="00A9431F"/>
    <w:rsid w:val="00A943B9"/>
    <w:rsid w:val="00A947FB"/>
    <w:rsid w:val="00A94839"/>
    <w:rsid w:val="00A94A41"/>
    <w:rsid w:val="00A94ADF"/>
    <w:rsid w:val="00A94C29"/>
    <w:rsid w:val="00A94C53"/>
    <w:rsid w:val="00A94CDA"/>
    <w:rsid w:val="00A94D20"/>
    <w:rsid w:val="00A94D9E"/>
    <w:rsid w:val="00A94E22"/>
    <w:rsid w:val="00A94E8E"/>
    <w:rsid w:val="00A9504C"/>
    <w:rsid w:val="00A95080"/>
    <w:rsid w:val="00A950B4"/>
    <w:rsid w:val="00A951E4"/>
    <w:rsid w:val="00A952B9"/>
    <w:rsid w:val="00A952DC"/>
    <w:rsid w:val="00A95464"/>
    <w:rsid w:val="00A957A5"/>
    <w:rsid w:val="00A95848"/>
    <w:rsid w:val="00A95959"/>
    <w:rsid w:val="00A95B69"/>
    <w:rsid w:val="00A95B80"/>
    <w:rsid w:val="00A95C0C"/>
    <w:rsid w:val="00A95C39"/>
    <w:rsid w:val="00A95C93"/>
    <w:rsid w:val="00A95CAE"/>
    <w:rsid w:val="00A95D67"/>
    <w:rsid w:val="00A95DB2"/>
    <w:rsid w:val="00A95E02"/>
    <w:rsid w:val="00A95E37"/>
    <w:rsid w:val="00A95E53"/>
    <w:rsid w:val="00A9602A"/>
    <w:rsid w:val="00A9607B"/>
    <w:rsid w:val="00A96197"/>
    <w:rsid w:val="00A962BA"/>
    <w:rsid w:val="00A96394"/>
    <w:rsid w:val="00A964FD"/>
    <w:rsid w:val="00A96675"/>
    <w:rsid w:val="00A96695"/>
    <w:rsid w:val="00A96758"/>
    <w:rsid w:val="00A9691F"/>
    <w:rsid w:val="00A96ADD"/>
    <w:rsid w:val="00A96B40"/>
    <w:rsid w:val="00A96B84"/>
    <w:rsid w:val="00A96D2F"/>
    <w:rsid w:val="00A96D7E"/>
    <w:rsid w:val="00A96DEA"/>
    <w:rsid w:val="00A96EC8"/>
    <w:rsid w:val="00A96FD7"/>
    <w:rsid w:val="00A9704C"/>
    <w:rsid w:val="00A970BD"/>
    <w:rsid w:val="00A970FB"/>
    <w:rsid w:val="00A97119"/>
    <w:rsid w:val="00A9752B"/>
    <w:rsid w:val="00A9753D"/>
    <w:rsid w:val="00A975E2"/>
    <w:rsid w:val="00A97623"/>
    <w:rsid w:val="00A9765B"/>
    <w:rsid w:val="00A9765F"/>
    <w:rsid w:val="00A97780"/>
    <w:rsid w:val="00A97791"/>
    <w:rsid w:val="00A9784E"/>
    <w:rsid w:val="00A97A24"/>
    <w:rsid w:val="00A97A35"/>
    <w:rsid w:val="00A97AC7"/>
    <w:rsid w:val="00A97D01"/>
    <w:rsid w:val="00A97D7A"/>
    <w:rsid w:val="00A97DD2"/>
    <w:rsid w:val="00A97F94"/>
    <w:rsid w:val="00AA0004"/>
    <w:rsid w:val="00AA00D2"/>
    <w:rsid w:val="00AA014F"/>
    <w:rsid w:val="00AA061A"/>
    <w:rsid w:val="00AA0998"/>
    <w:rsid w:val="00AA09B7"/>
    <w:rsid w:val="00AA09E8"/>
    <w:rsid w:val="00AA0A35"/>
    <w:rsid w:val="00AA0B51"/>
    <w:rsid w:val="00AA0BA5"/>
    <w:rsid w:val="00AA0BB7"/>
    <w:rsid w:val="00AA0CA1"/>
    <w:rsid w:val="00AA0CDF"/>
    <w:rsid w:val="00AA0D01"/>
    <w:rsid w:val="00AA0D67"/>
    <w:rsid w:val="00AA0EFE"/>
    <w:rsid w:val="00AA0F5A"/>
    <w:rsid w:val="00AA0F73"/>
    <w:rsid w:val="00AA0F9E"/>
    <w:rsid w:val="00AA0FAF"/>
    <w:rsid w:val="00AA0FF5"/>
    <w:rsid w:val="00AA1018"/>
    <w:rsid w:val="00AA1035"/>
    <w:rsid w:val="00AA1081"/>
    <w:rsid w:val="00AA108A"/>
    <w:rsid w:val="00AA10BC"/>
    <w:rsid w:val="00AA11A6"/>
    <w:rsid w:val="00AA124C"/>
    <w:rsid w:val="00AA1281"/>
    <w:rsid w:val="00AA12C2"/>
    <w:rsid w:val="00AA13AC"/>
    <w:rsid w:val="00AA13BE"/>
    <w:rsid w:val="00AA1501"/>
    <w:rsid w:val="00AA1546"/>
    <w:rsid w:val="00AA16B7"/>
    <w:rsid w:val="00AA16EA"/>
    <w:rsid w:val="00AA16F6"/>
    <w:rsid w:val="00AA1725"/>
    <w:rsid w:val="00AA1785"/>
    <w:rsid w:val="00AA17BB"/>
    <w:rsid w:val="00AA192D"/>
    <w:rsid w:val="00AA199A"/>
    <w:rsid w:val="00AA1A0F"/>
    <w:rsid w:val="00AA1A14"/>
    <w:rsid w:val="00AA1AAF"/>
    <w:rsid w:val="00AA1B7B"/>
    <w:rsid w:val="00AA1BBC"/>
    <w:rsid w:val="00AA1C05"/>
    <w:rsid w:val="00AA1CBA"/>
    <w:rsid w:val="00AA1E87"/>
    <w:rsid w:val="00AA1EC9"/>
    <w:rsid w:val="00AA1FC9"/>
    <w:rsid w:val="00AA2009"/>
    <w:rsid w:val="00AA2013"/>
    <w:rsid w:val="00AA2058"/>
    <w:rsid w:val="00AA20D5"/>
    <w:rsid w:val="00AA2461"/>
    <w:rsid w:val="00AA24D6"/>
    <w:rsid w:val="00AA2652"/>
    <w:rsid w:val="00AA26BC"/>
    <w:rsid w:val="00AA271F"/>
    <w:rsid w:val="00AA27B2"/>
    <w:rsid w:val="00AA27B6"/>
    <w:rsid w:val="00AA283B"/>
    <w:rsid w:val="00AA2865"/>
    <w:rsid w:val="00AA28FA"/>
    <w:rsid w:val="00AA29BA"/>
    <w:rsid w:val="00AA2B6A"/>
    <w:rsid w:val="00AA2C4F"/>
    <w:rsid w:val="00AA2E99"/>
    <w:rsid w:val="00AA2EA9"/>
    <w:rsid w:val="00AA2F0C"/>
    <w:rsid w:val="00AA2F73"/>
    <w:rsid w:val="00AA2F7A"/>
    <w:rsid w:val="00AA2F9B"/>
    <w:rsid w:val="00AA2FC6"/>
    <w:rsid w:val="00AA304E"/>
    <w:rsid w:val="00AA305A"/>
    <w:rsid w:val="00AA321B"/>
    <w:rsid w:val="00AA3258"/>
    <w:rsid w:val="00AA325A"/>
    <w:rsid w:val="00AA32DA"/>
    <w:rsid w:val="00AA34A5"/>
    <w:rsid w:val="00AA35F9"/>
    <w:rsid w:val="00AA3603"/>
    <w:rsid w:val="00AA360A"/>
    <w:rsid w:val="00AA36F2"/>
    <w:rsid w:val="00AA3949"/>
    <w:rsid w:val="00AA396C"/>
    <w:rsid w:val="00AA39F4"/>
    <w:rsid w:val="00AA3A9B"/>
    <w:rsid w:val="00AA3A9D"/>
    <w:rsid w:val="00AA3B4B"/>
    <w:rsid w:val="00AA3BC9"/>
    <w:rsid w:val="00AA3BF1"/>
    <w:rsid w:val="00AA3BF7"/>
    <w:rsid w:val="00AA3CD6"/>
    <w:rsid w:val="00AA3DBF"/>
    <w:rsid w:val="00AA3DE5"/>
    <w:rsid w:val="00AA3EA6"/>
    <w:rsid w:val="00AA3EAF"/>
    <w:rsid w:val="00AA3ECC"/>
    <w:rsid w:val="00AA4030"/>
    <w:rsid w:val="00AA4100"/>
    <w:rsid w:val="00AA43B8"/>
    <w:rsid w:val="00AA43E4"/>
    <w:rsid w:val="00AA4423"/>
    <w:rsid w:val="00AA44CC"/>
    <w:rsid w:val="00AA44E8"/>
    <w:rsid w:val="00AA46FD"/>
    <w:rsid w:val="00AA4706"/>
    <w:rsid w:val="00AA4714"/>
    <w:rsid w:val="00AA4752"/>
    <w:rsid w:val="00AA479E"/>
    <w:rsid w:val="00AA47D8"/>
    <w:rsid w:val="00AA47E3"/>
    <w:rsid w:val="00AA4875"/>
    <w:rsid w:val="00AA48BF"/>
    <w:rsid w:val="00AA4984"/>
    <w:rsid w:val="00AA49B5"/>
    <w:rsid w:val="00AA4B1C"/>
    <w:rsid w:val="00AA4B9A"/>
    <w:rsid w:val="00AA4C3A"/>
    <w:rsid w:val="00AA4C3C"/>
    <w:rsid w:val="00AA4CB0"/>
    <w:rsid w:val="00AA4CEC"/>
    <w:rsid w:val="00AA4E64"/>
    <w:rsid w:val="00AA4EC1"/>
    <w:rsid w:val="00AA504A"/>
    <w:rsid w:val="00AA510D"/>
    <w:rsid w:val="00AA51E8"/>
    <w:rsid w:val="00AA5222"/>
    <w:rsid w:val="00AA5260"/>
    <w:rsid w:val="00AA52A7"/>
    <w:rsid w:val="00AA534D"/>
    <w:rsid w:val="00AA5378"/>
    <w:rsid w:val="00AA53A3"/>
    <w:rsid w:val="00AA5410"/>
    <w:rsid w:val="00AA543A"/>
    <w:rsid w:val="00AA549F"/>
    <w:rsid w:val="00AA54E1"/>
    <w:rsid w:val="00AA554F"/>
    <w:rsid w:val="00AA55E4"/>
    <w:rsid w:val="00AA55F2"/>
    <w:rsid w:val="00AA5612"/>
    <w:rsid w:val="00AA561B"/>
    <w:rsid w:val="00AA5677"/>
    <w:rsid w:val="00AA574D"/>
    <w:rsid w:val="00AA5755"/>
    <w:rsid w:val="00AA587D"/>
    <w:rsid w:val="00AA599B"/>
    <w:rsid w:val="00AA5B80"/>
    <w:rsid w:val="00AA5BC2"/>
    <w:rsid w:val="00AA5BD4"/>
    <w:rsid w:val="00AA5BF4"/>
    <w:rsid w:val="00AA5C29"/>
    <w:rsid w:val="00AA5CED"/>
    <w:rsid w:val="00AA5CFD"/>
    <w:rsid w:val="00AA5D52"/>
    <w:rsid w:val="00AA5D5D"/>
    <w:rsid w:val="00AA5D88"/>
    <w:rsid w:val="00AA5E4E"/>
    <w:rsid w:val="00AA5F41"/>
    <w:rsid w:val="00AA5FD1"/>
    <w:rsid w:val="00AA605C"/>
    <w:rsid w:val="00AA60C0"/>
    <w:rsid w:val="00AA60C6"/>
    <w:rsid w:val="00AA612C"/>
    <w:rsid w:val="00AA61F2"/>
    <w:rsid w:val="00AA61FD"/>
    <w:rsid w:val="00AA6367"/>
    <w:rsid w:val="00AA638D"/>
    <w:rsid w:val="00AA642D"/>
    <w:rsid w:val="00AA648B"/>
    <w:rsid w:val="00AA64CA"/>
    <w:rsid w:val="00AA64EE"/>
    <w:rsid w:val="00AA651B"/>
    <w:rsid w:val="00AA67F4"/>
    <w:rsid w:val="00AA68F9"/>
    <w:rsid w:val="00AA693E"/>
    <w:rsid w:val="00AA6994"/>
    <w:rsid w:val="00AA69A1"/>
    <w:rsid w:val="00AA69A7"/>
    <w:rsid w:val="00AA6A90"/>
    <w:rsid w:val="00AA6AF2"/>
    <w:rsid w:val="00AA6B7E"/>
    <w:rsid w:val="00AA6BAD"/>
    <w:rsid w:val="00AA6BCF"/>
    <w:rsid w:val="00AA6D74"/>
    <w:rsid w:val="00AA6D8C"/>
    <w:rsid w:val="00AA6DD7"/>
    <w:rsid w:val="00AA6E1F"/>
    <w:rsid w:val="00AA6EB4"/>
    <w:rsid w:val="00AA6EC8"/>
    <w:rsid w:val="00AA6F93"/>
    <w:rsid w:val="00AA6FE3"/>
    <w:rsid w:val="00AA6FFB"/>
    <w:rsid w:val="00AA70B2"/>
    <w:rsid w:val="00AA7247"/>
    <w:rsid w:val="00AA730B"/>
    <w:rsid w:val="00AA73A6"/>
    <w:rsid w:val="00AA740D"/>
    <w:rsid w:val="00AA742F"/>
    <w:rsid w:val="00AA76AF"/>
    <w:rsid w:val="00AA76CC"/>
    <w:rsid w:val="00AA7797"/>
    <w:rsid w:val="00AA7915"/>
    <w:rsid w:val="00AA79DE"/>
    <w:rsid w:val="00AA7A0B"/>
    <w:rsid w:val="00AA7B04"/>
    <w:rsid w:val="00AA7CAD"/>
    <w:rsid w:val="00AA7E30"/>
    <w:rsid w:val="00AA7F40"/>
    <w:rsid w:val="00AB005E"/>
    <w:rsid w:val="00AB01A7"/>
    <w:rsid w:val="00AB01DC"/>
    <w:rsid w:val="00AB022F"/>
    <w:rsid w:val="00AB02F6"/>
    <w:rsid w:val="00AB03DD"/>
    <w:rsid w:val="00AB0469"/>
    <w:rsid w:val="00AB0473"/>
    <w:rsid w:val="00AB04B8"/>
    <w:rsid w:val="00AB0656"/>
    <w:rsid w:val="00AB06C9"/>
    <w:rsid w:val="00AB08FF"/>
    <w:rsid w:val="00AB095D"/>
    <w:rsid w:val="00AB09E5"/>
    <w:rsid w:val="00AB0AD1"/>
    <w:rsid w:val="00AB0AF1"/>
    <w:rsid w:val="00AB0B16"/>
    <w:rsid w:val="00AB0B23"/>
    <w:rsid w:val="00AB0E3F"/>
    <w:rsid w:val="00AB0EE4"/>
    <w:rsid w:val="00AB0EEC"/>
    <w:rsid w:val="00AB0F4D"/>
    <w:rsid w:val="00AB0F8F"/>
    <w:rsid w:val="00AB1010"/>
    <w:rsid w:val="00AB10A1"/>
    <w:rsid w:val="00AB11CA"/>
    <w:rsid w:val="00AB1225"/>
    <w:rsid w:val="00AB122D"/>
    <w:rsid w:val="00AB123C"/>
    <w:rsid w:val="00AB1295"/>
    <w:rsid w:val="00AB1330"/>
    <w:rsid w:val="00AB13C6"/>
    <w:rsid w:val="00AB13FF"/>
    <w:rsid w:val="00AB1461"/>
    <w:rsid w:val="00AB1487"/>
    <w:rsid w:val="00AB149D"/>
    <w:rsid w:val="00AB14BF"/>
    <w:rsid w:val="00AB15DD"/>
    <w:rsid w:val="00AB1603"/>
    <w:rsid w:val="00AB1621"/>
    <w:rsid w:val="00AB16AC"/>
    <w:rsid w:val="00AB17CC"/>
    <w:rsid w:val="00AB1813"/>
    <w:rsid w:val="00AB18E7"/>
    <w:rsid w:val="00AB1A04"/>
    <w:rsid w:val="00AB1A34"/>
    <w:rsid w:val="00AB1AE9"/>
    <w:rsid w:val="00AB1B0F"/>
    <w:rsid w:val="00AB1BD0"/>
    <w:rsid w:val="00AB1D1C"/>
    <w:rsid w:val="00AB1DB8"/>
    <w:rsid w:val="00AB1FF1"/>
    <w:rsid w:val="00AB21B9"/>
    <w:rsid w:val="00AB21C6"/>
    <w:rsid w:val="00AB21F9"/>
    <w:rsid w:val="00AB22FA"/>
    <w:rsid w:val="00AB230E"/>
    <w:rsid w:val="00AB2369"/>
    <w:rsid w:val="00AB23F1"/>
    <w:rsid w:val="00AB2409"/>
    <w:rsid w:val="00AB2484"/>
    <w:rsid w:val="00AB2494"/>
    <w:rsid w:val="00AB24A7"/>
    <w:rsid w:val="00AB2557"/>
    <w:rsid w:val="00AB2559"/>
    <w:rsid w:val="00AB261F"/>
    <w:rsid w:val="00AB2730"/>
    <w:rsid w:val="00AB2757"/>
    <w:rsid w:val="00AB2817"/>
    <w:rsid w:val="00AB2841"/>
    <w:rsid w:val="00AB287D"/>
    <w:rsid w:val="00AB28E1"/>
    <w:rsid w:val="00AB2A40"/>
    <w:rsid w:val="00AB2B94"/>
    <w:rsid w:val="00AB2C17"/>
    <w:rsid w:val="00AB2C44"/>
    <w:rsid w:val="00AB2C60"/>
    <w:rsid w:val="00AB2C8A"/>
    <w:rsid w:val="00AB2C91"/>
    <w:rsid w:val="00AB2D99"/>
    <w:rsid w:val="00AB2EB2"/>
    <w:rsid w:val="00AB2F3D"/>
    <w:rsid w:val="00AB2FA0"/>
    <w:rsid w:val="00AB3059"/>
    <w:rsid w:val="00AB30ED"/>
    <w:rsid w:val="00AB327B"/>
    <w:rsid w:val="00AB3383"/>
    <w:rsid w:val="00AB3391"/>
    <w:rsid w:val="00AB33E7"/>
    <w:rsid w:val="00AB3510"/>
    <w:rsid w:val="00AB35F3"/>
    <w:rsid w:val="00AB36FA"/>
    <w:rsid w:val="00AB36FF"/>
    <w:rsid w:val="00AB3798"/>
    <w:rsid w:val="00AB37E5"/>
    <w:rsid w:val="00AB380D"/>
    <w:rsid w:val="00AB3870"/>
    <w:rsid w:val="00AB3872"/>
    <w:rsid w:val="00AB3913"/>
    <w:rsid w:val="00AB3978"/>
    <w:rsid w:val="00AB3A01"/>
    <w:rsid w:val="00AB3A29"/>
    <w:rsid w:val="00AB3B4C"/>
    <w:rsid w:val="00AB3C16"/>
    <w:rsid w:val="00AB3CB7"/>
    <w:rsid w:val="00AB3CDD"/>
    <w:rsid w:val="00AB3CF3"/>
    <w:rsid w:val="00AB3D7E"/>
    <w:rsid w:val="00AB3DD8"/>
    <w:rsid w:val="00AB3DDC"/>
    <w:rsid w:val="00AB3E39"/>
    <w:rsid w:val="00AB3E90"/>
    <w:rsid w:val="00AB3F1D"/>
    <w:rsid w:val="00AB3F3A"/>
    <w:rsid w:val="00AB3F4B"/>
    <w:rsid w:val="00AB3FA3"/>
    <w:rsid w:val="00AB40C6"/>
    <w:rsid w:val="00AB41AE"/>
    <w:rsid w:val="00AB4282"/>
    <w:rsid w:val="00AB42AB"/>
    <w:rsid w:val="00AB42D5"/>
    <w:rsid w:val="00AB43A5"/>
    <w:rsid w:val="00AB4427"/>
    <w:rsid w:val="00AB4497"/>
    <w:rsid w:val="00AB456F"/>
    <w:rsid w:val="00AB458D"/>
    <w:rsid w:val="00AB4598"/>
    <w:rsid w:val="00AB45AD"/>
    <w:rsid w:val="00AB45DA"/>
    <w:rsid w:val="00AB45E1"/>
    <w:rsid w:val="00AB46BC"/>
    <w:rsid w:val="00AB46D4"/>
    <w:rsid w:val="00AB47BE"/>
    <w:rsid w:val="00AB4812"/>
    <w:rsid w:val="00AB485B"/>
    <w:rsid w:val="00AB4899"/>
    <w:rsid w:val="00AB48D2"/>
    <w:rsid w:val="00AB490E"/>
    <w:rsid w:val="00AB491E"/>
    <w:rsid w:val="00AB49DD"/>
    <w:rsid w:val="00AB4A7C"/>
    <w:rsid w:val="00AB4AE6"/>
    <w:rsid w:val="00AB4BE8"/>
    <w:rsid w:val="00AB4CBD"/>
    <w:rsid w:val="00AB4DF6"/>
    <w:rsid w:val="00AB4ED1"/>
    <w:rsid w:val="00AB4EE5"/>
    <w:rsid w:val="00AB5073"/>
    <w:rsid w:val="00AB508A"/>
    <w:rsid w:val="00AB5090"/>
    <w:rsid w:val="00AB5176"/>
    <w:rsid w:val="00AB51A0"/>
    <w:rsid w:val="00AB5370"/>
    <w:rsid w:val="00AB53B3"/>
    <w:rsid w:val="00AB5430"/>
    <w:rsid w:val="00AB54FA"/>
    <w:rsid w:val="00AB5508"/>
    <w:rsid w:val="00AB558E"/>
    <w:rsid w:val="00AB5648"/>
    <w:rsid w:val="00AB56A8"/>
    <w:rsid w:val="00AB573F"/>
    <w:rsid w:val="00AB57B8"/>
    <w:rsid w:val="00AB57CF"/>
    <w:rsid w:val="00AB5806"/>
    <w:rsid w:val="00AB58BD"/>
    <w:rsid w:val="00AB596A"/>
    <w:rsid w:val="00AB5987"/>
    <w:rsid w:val="00AB59F1"/>
    <w:rsid w:val="00AB5B04"/>
    <w:rsid w:val="00AB5B77"/>
    <w:rsid w:val="00AB5BFC"/>
    <w:rsid w:val="00AB5C15"/>
    <w:rsid w:val="00AB5CDC"/>
    <w:rsid w:val="00AB5CF1"/>
    <w:rsid w:val="00AB5F90"/>
    <w:rsid w:val="00AB5FC0"/>
    <w:rsid w:val="00AB604E"/>
    <w:rsid w:val="00AB6092"/>
    <w:rsid w:val="00AB60F6"/>
    <w:rsid w:val="00AB624F"/>
    <w:rsid w:val="00AB62B2"/>
    <w:rsid w:val="00AB62E6"/>
    <w:rsid w:val="00AB62FE"/>
    <w:rsid w:val="00AB6333"/>
    <w:rsid w:val="00AB63D4"/>
    <w:rsid w:val="00AB6435"/>
    <w:rsid w:val="00AB6455"/>
    <w:rsid w:val="00AB64C4"/>
    <w:rsid w:val="00AB65A6"/>
    <w:rsid w:val="00AB661B"/>
    <w:rsid w:val="00AB681D"/>
    <w:rsid w:val="00AB68C8"/>
    <w:rsid w:val="00AB68DE"/>
    <w:rsid w:val="00AB6AA4"/>
    <w:rsid w:val="00AB6AFE"/>
    <w:rsid w:val="00AB6B42"/>
    <w:rsid w:val="00AB6B48"/>
    <w:rsid w:val="00AB6B4B"/>
    <w:rsid w:val="00AB6BE3"/>
    <w:rsid w:val="00AB6BE6"/>
    <w:rsid w:val="00AB6C7A"/>
    <w:rsid w:val="00AB6C98"/>
    <w:rsid w:val="00AB6CFC"/>
    <w:rsid w:val="00AB6D0E"/>
    <w:rsid w:val="00AB6DC9"/>
    <w:rsid w:val="00AB6E72"/>
    <w:rsid w:val="00AB6EC7"/>
    <w:rsid w:val="00AB6F9F"/>
    <w:rsid w:val="00AB707C"/>
    <w:rsid w:val="00AB70C1"/>
    <w:rsid w:val="00AB70DA"/>
    <w:rsid w:val="00AB714F"/>
    <w:rsid w:val="00AB71FB"/>
    <w:rsid w:val="00AB7245"/>
    <w:rsid w:val="00AB7265"/>
    <w:rsid w:val="00AB72C6"/>
    <w:rsid w:val="00AB732A"/>
    <w:rsid w:val="00AB7403"/>
    <w:rsid w:val="00AB74B0"/>
    <w:rsid w:val="00AB75DF"/>
    <w:rsid w:val="00AB764D"/>
    <w:rsid w:val="00AB7686"/>
    <w:rsid w:val="00AB7689"/>
    <w:rsid w:val="00AB76EA"/>
    <w:rsid w:val="00AB76F2"/>
    <w:rsid w:val="00AB7750"/>
    <w:rsid w:val="00AB77FC"/>
    <w:rsid w:val="00AB7823"/>
    <w:rsid w:val="00AB78BE"/>
    <w:rsid w:val="00AB78F0"/>
    <w:rsid w:val="00AB79BB"/>
    <w:rsid w:val="00AB7B68"/>
    <w:rsid w:val="00AB7BDB"/>
    <w:rsid w:val="00AB7C16"/>
    <w:rsid w:val="00AB7C1B"/>
    <w:rsid w:val="00AB7C4B"/>
    <w:rsid w:val="00AB7CE4"/>
    <w:rsid w:val="00AB7CF3"/>
    <w:rsid w:val="00AB7D03"/>
    <w:rsid w:val="00AB7D21"/>
    <w:rsid w:val="00AB7E85"/>
    <w:rsid w:val="00AB7F9B"/>
    <w:rsid w:val="00AC009B"/>
    <w:rsid w:val="00AC00D1"/>
    <w:rsid w:val="00AC010F"/>
    <w:rsid w:val="00AC018B"/>
    <w:rsid w:val="00AC01C3"/>
    <w:rsid w:val="00AC0252"/>
    <w:rsid w:val="00AC02D7"/>
    <w:rsid w:val="00AC03E0"/>
    <w:rsid w:val="00AC04ED"/>
    <w:rsid w:val="00AC053E"/>
    <w:rsid w:val="00AC061A"/>
    <w:rsid w:val="00AC0630"/>
    <w:rsid w:val="00AC0652"/>
    <w:rsid w:val="00AC076B"/>
    <w:rsid w:val="00AC07CC"/>
    <w:rsid w:val="00AC085C"/>
    <w:rsid w:val="00AC087E"/>
    <w:rsid w:val="00AC08A7"/>
    <w:rsid w:val="00AC08D8"/>
    <w:rsid w:val="00AC095A"/>
    <w:rsid w:val="00AC098E"/>
    <w:rsid w:val="00AC0A43"/>
    <w:rsid w:val="00AC0C9B"/>
    <w:rsid w:val="00AC0E71"/>
    <w:rsid w:val="00AC0F40"/>
    <w:rsid w:val="00AC0FD9"/>
    <w:rsid w:val="00AC0FFE"/>
    <w:rsid w:val="00AC103C"/>
    <w:rsid w:val="00AC1138"/>
    <w:rsid w:val="00AC11AC"/>
    <w:rsid w:val="00AC11EB"/>
    <w:rsid w:val="00AC1230"/>
    <w:rsid w:val="00AC1303"/>
    <w:rsid w:val="00AC14A8"/>
    <w:rsid w:val="00AC14BB"/>
    <w:rsid w:val="00AC157D"/>
    <w:rsid w:val="00AC15B5"/>
    <w:rsid w:val="00AC15E6"/>
    <w:rsid w:val="00AC1652"/>
    <w:rsid w:val="00AC1693"/>
    <w:rsid w:val="00AC17DC"/>
    <w:rsid w:val="00AC1891"/>
    <w:rsid w:val="00AC1924"/>
    <w:rsid w:val="00AC1A51"/>
    <w:rsid w:val="00AC1AEF"/>
    <w:rsid w:val="00AC1D6F"/>
    <w:rsid w:val="00AC1FDC"/>
    <w:rsid w:val="00AC2010"/>
    <w:rsid w:val="00AC2058"/>
    <w:rsid w:val="00AC205F"/>
    <w:rsid w:val="00AC2098"/>
    <w:rsid w:val="00AC209B"/>
    <w:rsid w:val="00AC2157"/>
    <w:rsid w:val="00AC21E2"/>
    <w:rsid w:val="00AC227F"/>
    <w:rsid w:val="00AC2330"/>
    <w:rsid w:val="00AC23EE"/>
    <w:rsid w:val="00AC2416"/>
    <w:rsid w:val="00AC2480"/>
    <w:rsid w:val="00AC24DA"/>
    <w:rsid w:val="00AC24F4"/>
    <w:rsid w:val="00AC2557"/>
    <w:rsid w:val="00AC2571"/>
    <w:rsid w:val="00AC261B"/>
    <w:rsid w:val="00AC2682"/>
    <w:rsid w:val="00AC275B"/>
    <w:rsid w:val="00AC27A9"/>
    <w:rsid w:val="00AC28B0"/>
    <w:rsid w:val="00AC28B7"/>
    <w:rsid w:val="00AC28E7"/>
    <w:rsid w:val="00AC2957"/>
    <w:rsid w:val="00AC2A09"/>
    <w:rsid w:val="00AC2A77"/>
    <w:rsid w:val="00AC2B22"/>
    <w:rsid w:val="00AC2B30"/>
    <w:rsid w:val="00AC2B6D"/>
    <w:rsid w:val="00AC2BF6"/>
    <w:rsid w:val="00AC2C37"/>
    <w:rsid w:val="00AC2CC0"/>
    <w:rsid w:val="00AC2E24"/>
    <w:rsid w:val="00AC2E6B"/>
    <w:rsid w:val="00AC2E8A"/>
    <w:rsid w:val="00AC2EAA"/>
    <w:rsid w:val="00AC2EB7"/>
    <w:rsid w:val="00AC30E0"/>
    <w:rsid w:val="00AC32BB"/>
    <w:rsid w:val="00AC344D"/>
    <w:rsid w:val="00AC34B0"/>
    <w:rsid w:val="00AC3531"/>
    <w:rsid w:val="00AC3556"/>
    <w:rsid w:val="00AC359E"/>
    <w:rsid w:val="00AC3625"/>
    <w:rsid w:val="00AC3626"/>
    <w:rsid w:val="00AC365E"/>
    <w:rsid w:val="00AC3662"/>
    <w:rsid w:val="00AC367F"/>
    <w:rsid w:val="00AC37F9"/>
    <w:rsid w:val="00AC390C"/>
    <w:rsid w:val="00AC3965"/>
    <w:rsid w:val="00AC398E"/>
    <w:rsid w:val="00AC39AD"/>
    <w:rsid w:val="00AC3A39"/>
    <w:rsid w:val="00AC3BCE"/>
    <w:rsid w:val="00AC3C11"/>
    <w:rsid w:val="00AC3C36"/>
    <w:rsid w:val="00AC3C53"/>
    <w:rsid w:val="00AC3C5A"/>
    <w:rsid w:val="00AC3C74"/>
    <w:rsid w:val="00AC3C9D"/>
    <w:rsid w:val="00AC3D3A"/>
    <w:rsid w:val="00AC3E0E"/>
    <w:rsid w:val="00AC3E6A"/>
    <w:rsid w:val="00AC3F6E"/>
    <w:rsid w:val="00AC3FFA"/>
    <w:rsid w:val="00AC4075"/>
    <w:rsid w:val="00AC40C6"/>
    <w:rsid w:val="00AC40F5"/>
    <w:rsid w:val="00AC41D5"/>
    <w:rsid w:val="00AC4268"/>
    <w:rsid w:val="00AC42B4"/>
    <w:rsid w:val="00AC42E2"/>
    <w:rsid w:val="00AC43E6"/>
    <w:rsid w:val="00AC44E0"/>
    <w:rsid w:val="00AC46A8"/>
    <w:rsid w:val="00AC46BF"/>
    <w:rsid w:val="00AC46F7"/>
    <w:rsid w:val="00AC471E"/>
    <w:rsid w:val="00AC476D"/>
    <w:rsid w:val="00AC4847"/>
    <w:rsid w:val="00AC4A9F"/>
    <w:rsid w:val="00AC4AC8"/>
    <w:rsid w:val="00AC4AFA"/>
    <w:rsid w:val="00AC4BBA"/>
    <w:rsid w:val="00AC4BC2"/>
    <w:rsid w:val="00AC4C41"/>
    <w:rsid w:val="00AC4C42"/>
    <w:rsid w:val="00AC4CAF"/>
    <w:rsid w:val="00AC4CB2"/>
    <w:rsid w:val="00AC4D75"/>
    <w:rsid w:val="00AC4D9B"/>
    <w:rsid w:val="00AC4EEF"/>
    <w:rsid w:val="00AC508C"/>
    <w:rsid w:val="00AC5154"/>
    <w:rsid w:val="00AC521B"/>
    <w:rsid w:val="00AC5298"/>
    <w:rsid w:val="00AC563B"/>
    <w:rsid w:val="00AC5781"/>
    <w:rsid w:val="00AC58AF"/>
    <w:rsid w:val="00AC58C5"/>
    <w:rsid w:val="00AC598A"/>
    <w:rsid w:val="00AC5A09"/>
    <w:rsid w:val="00AC5AA8"/>
    <w:rsid w:val="00AC5AF0"/>
    <w:rsid w:val="00AC5BD1"/>
    <w:rsid w:val="00AC5C2C"/>
    <w:rsid w:val="00AC5C2E"/>
    <w:rsid w:val="00AC5CE2"/>
    <w:rsid w:val="00AC5CE3"/>
    <w:rsid w:val="00AC5D6B"/>
    <w:rsid w:val="00AC5DE8"/>
    <w:rsid w:val="00AC5FED"/>
    <w:rsid w:val="00AC6269"/>
    <w:rsid w:val="00AC6325"/>
    <w:rsid w:val="00AC654C"/>
    <w:rsid w:val="00AC6706"/>
    <w:rsid w:val="00AC67C3"/>
    <w:rsid w:val="00AC68F7"/>
    <w:rsid w:val="00AC6936"/>
    <w:rsid w:val="00AC69A6"/>
    <w:rsid w:val="00AC6A23"/>
    <w:rsid w:val="00AC6B45"/>
    <w:rsid w:val="00AC6B7F"/>
    <w:rsid w:val="00AC6BCB"/>
    <w:rsid w:val="00AC6BF7"/>
    <w:rsid w:val="00AC6C5A"/>
    <w:rsid w:val="00AC6CC8"/>
    <w:rsid w:val="00AC6D4D"/>
    <w:rsid w:val="00AC6DB6"/>
    <w:rsid w:val="00AC6E95"/>
    <w:rsid w:val="00AC6E98"/>
    <w:rsid w:val="00AC6ED2"/>
    <w:rsid w:val="00AC6EF8"/>
    <w:rsid w:val="00AC6F7D"/>
    <w:rsid w:val="00AC6FF1"/>
    <w:rsid w:val="00AC7000"/>
    <w:rsid w:val="00AC7063"/>
    <w:rsid w:val="00AC70A9"/>
    <w:rsid w:val="00AC71E3"/>
    <w:rsid w:val="00AC720A"/>
    <w:rsid w:val="00AC7440"/>
    <w:rsid w:val="00AC7520"/>
    <w:rsid w:val="00AC7773"/>
    <w:rsid w:val="00AC7808"/>
    <w:rsid w:val="00AC7AC5"/>
    <w:rsid w:val="00AC7AC9"/>
    <w:rsid w:val="00AC7BC2"/>
    <w:rsid w:val="00AC7C76"/>
    <w:rsid w:val="00AC7D8A"/>
    <w:rsid w:val="00AC7DC0"/>
    <w:rsid w:val="00AC7DF8"/>
    <w:rsid w:val="00AC7E21"/>
    <w:rsid w:val="00AC7E4B"/>
    <w:rsid w:val="00AC7E82"/>
    <w:rsid w:val="00AC7FD3"/>
    <w:rsid w:val="00AD0005"/>
    <w:rsid w:val="00AD0091"/>
    <w:rsid w:val="00AD01F7"/>
    <w:rsid w:val="00AD027C"/>
    <w:rsid w:val="00AD0288"/>
    <w:rsid w:val="00AD03F0"/>
    <w:rsid w:val="00AD0429"/>
    <w:rsid w:val="00AD045E"/>
    <w:rsid w:val="00AD0484"/>
    <w:rsid w:val="00AD054E"/>
    <w:rsid w:val="00AD0604"/>
    <w:rsid w:val="00AD0776"/>
    <w:rsid w:val="00AD07B3"/>
    <w:rsid w:val="00AD08A4"/>
    <w:rsid w:val="00AD0919"/>
    <w:rsid w:val="00AD09B0"/>
    <w:rsid w:val="00AD09B6"/>
    <w:rsid w:val="00AD09D2"/>
    <w:rsid w:val="00AD0B0A"/>
    <w:rsid w:val="00AD0BB2"/>
    <w:rsid w:val="00AD0BBE"/>
    <w:rsid w:val="00AD0CE7"/>
    <w:rsid w:val="00AD0DC3"/>
    <w:rsid w:val="00AD0E51"/>
    <w:rsid w:val="00AD0E71"/>
    <w:rsid w:val="00AD0FCC"/>
    <w:rsid w:val="00AD1184"/>
    <w:rsid w:val="00AD12BD"/>
    <w:rsid w:val="00AD138F"/>
    <w:rsid w:val="00AD143B"/>
    <w:rsid w:val="00AD1457"/>
    <w:rsid w:val="00AD146C"/>
    <w:rsid w:val="00AD157A"/>
    <w:rsid w:val="00AD1712"/>
    <w:rsid w:val="00AD173C"/>
    <w:rsid w:val="00AD17D9"/>
    <w:rsid w:val="00AD17EB"/>
    <w:rsid w:val="00AD1988"/>
    <w:rsid w:val="00AD19B0"/>
    <w:rsid w:val="00AD1B68"/>
    <w:rsid w:val="00AD1B74"/>
    <w:rsid w:val="00AD1E1B"/>
    <w:rsid w:val="00AD1F6D"/>
    <w:rsid w:val="00AD1F9D"/>
    <w:rsid w:val="00AD1FAA"/>
    <w:rsid w:val="00AD1FE1"/>
    <w:rsid w:val="00AD2073"/>
    <w:rsid w:val="00AD2159"/>
    <w:rsid w:val="00AD223E"/>
    <w:rsid w:val="00AD2251"/>
    <w:rsid w:val="00AD2307"/>
    <w:rsid w:val="00AD2314"/>
    <w:rsid w:val="00AD233D"/>
    <w:rsid w:val="00AD236B"/>
    <w:rsid w:val="00AD236D"/>
    <w:rsid w:val="00AD23A5"/>
    <w:rsid w:val="00AD23E8"/>
    <w:rsid w:val="00AD2445"/>
    <w:rsid w:val="00AD2453"/>
    <w:rsid w:val="00AD24FB"/>
    <w:rsid w:val="00AD25D8"/>
    <w:rsid w:val="00AD263F"/>
    <w:rsid w:val="00AD272C"/>
    <w:rsid w:val="00AD27C2"/>
    <w:rsid w:val="00AD2807"/>
    <w:rsid w:val="00AD28E4"/>
    <w:rsid w:val="00AD2910"/>
    <w:rsid w:val="00AD2921"/>
    <w:rsid w:val="00AD2B88"/>
    <w:rsid w:val="00AD2BBD"/>
    <w:rsid w:val="00AD2C5C"/>
    <w:rsid w:val="00AD2DAF"/>
    <w:rsid w:val="00AD2E1F"/>
    <w:rsid w:val="00AD2E28"/>
    <w:rsid w:val="00AD2F19"/>
    <w:rsid w:val="00AD2F48"/>
    <w:rsid w:val="00AD302A"/>
    <w:rsid w:val="00AD318F"/>
    <w:rsid w:val="00AD31CF"/>
    <w:rsid w:val="00AD31DF"/>
    <w:rsid w:val="00AD33A9"/>
    <w:rsid w:val="00AD3464"/>
    <w:rsid w:val="00AD34B3"/>
    <w:rsid w:val="00AD34C8"/>
    <w:rsid w:val="00AD357C"/>
    <w:rsid w:val="00AD360B"/>
    <w:rsid w:val="00AD36EC"/>
    <w:rsid w:val="00AD3880"/>
    <w:rsid w:val="00AD388C"/>
    <w:rsid w:val="00AD3899"/>
    <w:rsid w:val="00AD38E0"/>
    <w:rsid w:val="00AD38E7"/>
    <w:rsid w:val="00AD393D"/>
    <w:rsid w:val="00AD3997"/>
    <w:rsid w:val="00AD3BBA"/>
    <w:rsid w:val="00AD3D81"/>
    <w:rsid w:val="00AD3EA2"/>
    <w:rsid w:val="00AD3F03"/>
    <w:rsid w:val="00AD3F56"/>
    <w:rsid w:val="00AD3F80"/>
    <w:rsid w:val="00AD3FFE"/>
    <w:rsid w:val="00AD411F"/>
    <w:rsid w:val="00AD4175"/>
    <w:rsid w:val="00AD4291"/>
    <w:rsid w:val="00AD42D0"/>
    <w:rsid w:val="00AD42EC"/>
    <w:rsid w:val="00AD439B"/>
    <w:rsid w:val="00AD43B0"/>
    <w:rsid w:val="00AD43EE"/>
    <w:rsid w:val="00AD43FB"/>
    <w:rsid w:val="00AD4450"/>
    <w:rsid w:val="00AD4486"/>
    <w:rsid w:val="00AD44CD"/>
    <w:rsid w:val="00AD4560"/>
    <w:rsid w:val="00AD45A2"/>
    <w:rsid w:val="00AD45CF"/>
    <w:rsid w:val="00AD4665"/>
    <w:rsid w:val="00AD469D"/>
    <w:rsid w:val="00AD46A1"/>
    <w:rsid w:val="00AD46A9"/>
    <w:rsid w:val="00AD47BF"/>
    <w:rsid w:val="00AD4843"/>
    <w:rsid w:val="00AD487E"/>
    <w:rsid w:val="00AD48AC"/>
    <w:rsid w:val="00AD48C0"/>
    <w:rsid w:val="00AD49EB"/>
    <w:rsid w:val="00AD4A08"/>
    <w:rsid w:val="00AD4A53"/>
    <w:rsid w:val="00AD4AF8"/>
    <w:rsid w:val="00AD4BBA"/>
    <w:rsid w:val="00AD4C1D"/>
    <w:rsid w:val="00AD4CE8"/>
    <w:rsid w:val="00AD4D26"/>
    <w:rsid w:val="00AD4D4A"/>
    <w:rsid w:val="00AD4D5F"/>
    <w:rsid w:val="00AD4DD6"/>
    <w:rsid w:val="00AD4DDE"/>
    <w:rsid w:val="00AD4DE4"/>
    <w:rsid w:val="00AD4F07"/>
    <w:rsid w:val="00AD4F7A"/>
    <w:rsid w:val="00AD4FBA"/>
    <w:rsid w:val="00AD5103"/>
    <w:rsid w:val="00AD52AB"/>
    <w:rsid w:val="00AD5350"/>
    <w:rsid w:val="00AD54D2"/>
    <w:rsid w:val="00AD5550"/>
    <w:rsid w:val="00AD5868"/>
    <w:rsid w:val="00AD59A5"/>
    <w:rsid w:val="00AD5A11"/>
    <w:rsid w:val="00AD5A14"/>
    <w:rsid w:val="00AD5AEC"/>
    <w:rsid w:val="00AD5C63"/>
    <w:rsid w:val="00AD5CB9"/>
    <w:rsid w:val="00AD5D97"/>
    <w:rsid w:val="00AD5DDB"/>
    <w:rsid w:val="00AD5E3C"/>
    <w:rsid w:val="00AD5FC1"/>
    <w:rsid w:val="00AD608E"/>
    <w:rsid w:val="00AD60EA"/>
    <w:rsid w:val="00AD6119"/>
    <w:rsid w:val="00AD6224"/>
    <w:rsid w:val="00AD625F"/>
    <w:rsid w:val="00AD6297"/>
    <w:rsid w:val="00AD62A7"/>
    <w:rsid w:val="00AD6373"/>
    <w:rsid w:val="00AD63AA"/>
    <w:rsid w:val="00AD6448"/>
    <w:rsid w:val="00AD6593"/>
    <w:rsid w:val="00AD660C"/>
    <w:rsid w:val="00AD6688"/>
    <w:rsid w:val="00AD66F7"/>
    <w:rsid w:val="00AD67D4"/>
    <w:rsid w:val="00AD689C"/>
    <w:rsid w:val="00AD68BD"/>
    <w:rsid w:val="00AD68E2"/>
    <w:rsid w:val="00AD6A31"/>
    <w:rsid w:val="00AD6A8A"/>
    <w:rsid w:val="00AD6B0A"/>
    <w:rsid w:val="00AD6BB9"/>
    <w:rsid w:val="00AD6BF1"/>
    <w:rsid w:val="00AD6BFF"/>
    <w:rsid w:val="00AD6DA5"/>
    <w:rsid w:val="00AD6E38"/>
    <w:rsid w:val="00AD6E7B"/>
    <w:rsid w:val="00AD6EE1"/>
    <w:rsid w:val="00AD6F13"/>
    <w:rsid w:val="00AD6F41"/>
    <w:rsid w:val="00AD7090"/>
    <w:rsid w:val="00AD7160"/>
    <w:rsid w:val="00AD7284"/>
    <w:rsid w:val="00AD736D"/>
    <w:rsid w:val="00AD745E"/>
    <w:rsid w:val="00AD74EE"/>
    <w:rsid w:val="00AD759A"/>
    <w:rsid w:val="00AD75AD"/>
    <w:rsid w:val="00AD782A"/>
    <w:rsid w:val="00AD793D"/>
    <w:rsid w:val="00AD7950"/>
    <w:rsid w:val="00AD7A56"/>
    <w:rsid w:val="00AD7AEA"/>
    <w:rsid w:val="00AD7BF0"/>
    <w:rsid w:val="00AD7C04"/>
    <w:rsid w:val="00AD7D5C"/>
    <w:rsid w:val="00AD7D7C"/>
    <w:rsid w:val="00AD7E38"/>
    <w:rsid w:val="00AD7EB3"/>
    <w:rsid w:val="00AD7EED"/>
    <w:rsid w:val="00AE0207"/>
    <w:rsid w:val="00AE0336"/>
    <w:rsid w:val="00AE03A3"/>
    <w:rsid w:val="00AE0513"/>
    <w:rsid w:val="00AE057A"/>
    <w:rsid w:val="00AE061E"/>
    <w:rsid w:val="00AE0779"/>
    <w:rsid w:val="00AE07E9"/>
    <w:rsid w:val="00AE0849"/>
    <w:rsid w:val="00AE0A28"/>
    <w:rsid w:val="00AE0B19"/>
    <w:rsid w:val="00AE0CEF"/>
    <w:rsid w:val="00AE0D42"/>
    <w:rsid w:val="00AE0D6A"/>
    <w:rsid w:val="00AE0F22"/>
    <w:rsid w:val="00AE0F5C"/>
    <w:rsid w:val="00AE0FFC"/>
    <w:rsid w:val="00AE108B"/>
    <w:rsid w:val="00AE120A"/>
    <w:rsid w:val="00AE12CF"/>
    <w:rsid w:val="00AE141E"/>
    <w:rsid w:val="00AE1499"/>
    <w:rsid w:val="00AE15EA"/>
    <w:rsid w:val="00AE1695"/>
    <w:rsid w:val="00AE1762"/>
    <w:rsid w:val="00AE1808"/>
    <w:rsid w:val="00AE18F2"/>
    <w:rsid w:val="00AE19D6"/>
    <w:rsid w:val="00AE19E0"/>
    <w:rsid w:val="00AE1A3A"/>
    <w:rsid w:val="00AE1B5B"/>
    <w:rsid w:val="00AE1B60"/>
    <w:rsid w:val="00AE1CDC"/>
    <w:rsid w:val="00AE1D35"/>
    <w:rsid w:val="00AE1D49"/>
    <w:rsid w:val="00AE1E05"/>
    <w:rsid w:val="00AE1F85"/>
    <w:rsid w:val="00AE1FA1"/>
    <w:rsid w:val="00AE1FDB"/>
    <w:rsid w:val="00AE2000"/>
    <w:rsid w:val="00AE201E"/>
    <w:rsid w:val="00AE2110"/>
    <w:rsid w:val="00AE2117"/>
    <w:rsid w:val="00AE21BF"/>
    <w:rsid w:val="00AE2592"/>
    <w:rsid w:val="00AE25A2"/>
    <w:rsid w:val="00AE25A7"/>
    <w:rsid w:val="00AE263A"/>
    <w:rsid w:val="00AE26BC"/>
    <w:rsid w:val="00AE2818"/>
    <w:rsid w:val="00AE281A"/>
    <w:rsid w:val="00AE28D8"/>
    <w:rsid w:val="00AE2A29"/>
    <w:rsid w:val="00AE2A88"/>
    <w:rsid w:val="00AE2CA5"/>
    <w:rsid w:val="00AE2D8E"/>
    <w:rsid w:val="00AE2DAF"/>
    <w:rsid w:val="00AE2EFF"/>
    <w:rsid w:val="00AE2F87"/>
    <w:rsid w:val="00AE305D"/>
    <w:rsid w:val="00AE314F"/>
    <w:rsid w:val="00AE3189"/>
    <w:rsid w:val="00AE31AD"/>
    <w:rsid w:val="00AE31F3"/>
    <w:rsid w:val="00AE321F"/>
    <w:rsid w:val="00AE3221"/>
    <w:rsid w:val="00AE330B"/>
    <w:rsid w:val="00AE33CE"/>
    <w:rsid w:val="00AE33DD"/>
    <w:rsid w:val="00AE3428"/>
    <w:rsid w:val="00AE34EC"/>
    <w:rsid w:val="00AE360F"/>
    <w:rsid w:val="00AE369E"/>
    <w:rsid w:val="00AE375B"/>
    <w:rsid w:val="00AE3AB0"/>
    <w:rsid w:val="00AE3B6C"/>
    <w:rsid w:val="00AE3BF0"/>
    <w:rsid w:val="00AE3DCA"/>
    <w:rsid w:val="00AE3E35"/>
    <w:rsid w:val="00AE3F52"/>
    <w:rsid w:val="00AE3F77"/>
    <w:rsid w:val="00AE4075"/>
    <w:rsid w:val="00AE4090"/>
    <w:rsid w:val="00AE40AB"/>
    <w:rsid w:val="00AE4331"/>
    <w:rsid w:val="00AE4401"/>
    <w:rsid w:val="00AE4465"/>
    <w:rsid w:val="00AE447A"/>
    <w:rsid w:val="00AE44A5"/>
    <w:rsid w:val="00AE44D1"/>
    <w:rsid w:val="00AE45E2"/>
    <w:rsid w:val="00AE463D"/>
    <w:rsid w:val="00AE4774"/>
    <w:rsid w:val="00AE4801"/>
    <w:rsid w:val="00AE48C8"/>
    <w:rsid w:val="00AE490E"/>
    <w:rsid w:val="00AE4A03"/>
    <w:rsid w:val="00AE4AAC"/>
    <w:rsid w:val="00AE4BD5"/>
    <w:rsid w:val="00AE4C89"/>
    <w:rsid w:val="00AE4DA4"/>
    <w:rsid w:val="00AE508C"/>
    <w:rsid w:val="00AE5104"/>
    <w:rsid w:val="00AE5120"/>
    <w:rsid w:val="00AE52DF"/>
    <w:rsid w:val="00AE54A8"/>
    <w:rsid w:val="00AE55BC"/>
    <w:rsid w:val="00AE55D0"/>
    <w:rsid w:val="00AE56C8"/>
    <w:rsid w:val="00AE570E"/>
    <w:rsid w:val="00AE5843"/>
    <w:rsid w:val="00AE588E"/>
    <w:rsid w:val="00AE594D"/>
    <w:rsid w:val="00AE59B6"/>
    <w:rsid w:val="00AE5C01"/>
    <w:rsid w:val="00AE5C4F"/>
    <w:rsid w:val="00AE5C58"/>
    <w:rsid w:val="00AE5D40"/>
    <w:rsid w:val="00AE5D5B"/>
    <w:rsid w:val="00AE5DF7"/>
    <w:rsid w:val="00AE5E47"/>
    <w:rsid w:val="00AE5ED6"/>
    <w:rsid w:val="00AE5F6E"/>
    <w:rsid w:val="00AE5FA4"/>
    <w:rsid w:val="00AE614D"/>
    <w:rsid w:val="00AE62C0"/>
    <w:rsid w:val="00AE6526"/>
    <w:rsid w:val="00AE667B"/>
    <w:rsid w:val="00AE67A8"/>
    <w:rsid w:val="00AE67B9"/>
    <w:rsid w:val="00AE6849"/>
    <w:rsid w:val="00AE6B73"/>
    <w:rsid w:val="00AE6B77"/>
    <w:rsid w:val="00AE6BA6"/>
    <w:rsid w:val="00AE6BCB"/>
    <w:rsid w:val="00AE6C0D"/>
    <w:rsid w:val="00AE6C24"/>
    <w:rsid w:val="00AE6C50"/>
    <w:rsid w:val="00AE6CCD"/>
    <w:rsid w:val="00AE6CD0"/>
    <w:rsid w:val="00AE6D3F"/>
    <w:rsid w:val="00AE6E78"/>
    <w:rsid w:val="00AE6F29"/>
    <w:rsid w:val="00AE6F82"/>
    <w:rsid w:val="00AE6F88"/>
    <w:rsid w:val="00AE701D"/>
    <w:rsid w:val="00AE704E"/>
    <w:rsid w:val="00AE70F6"/>
    <w:rsid w:val="00AE7153"/>
    <w:rsid w:val="00AE71AF"/>
    <w:rsid w:val="00AE721E"/>
    <w:rsid w:val="00AE72BD"/>
    <w:rsid w:val="00AE7500"/>
    <w:rsid w:val="00AE7530"/>
    <w:rsid w:val="00AE7598"/>
    <w:rsid w:val="00AE761E"/>
    <w:rsid w:val="00AE763D"/>
    <w:rsid w:val="00AE76C8"/>
    <w:rsid w:val="00AE7763"/>
    <w:rsid w:val="00AE7769"/>
    <w:rsid w:val="00AE77C3"/>
    <w:rsid w:val="00AE7815"/>
    <w:rsid w:val="00AE781E"/>
    <w:rsid w:val="00AE7849"/>
    <w:rsid w:val="00AE784F"/>
    <w:rsid w:val="00AE796B"/>
    <w:rsid w:val="00AE7977"/>
    <w:rsid w:val="00AE7B57"/>
    <w:rsid w:val="00AE7C0F"/>
    <w:rsid w:val="00AE7D1E"/>
    <w:rsid w:val="00AE7D28"/>
    <w:rsid w:val="00AE7E1D"/>
    <w:rsid w:val="00AE7E37"/>
    <w:rsid w:val="00AE7E8C"/>
    <w:rsid w:val="00AE7F4F"/>
    <w:rsid w:val="00AE7FB9"/>
    <w:rsid w:val="00AF003A"/>
    <w:rsid w:val="00AF0073"/>
    <w:rsid w:val="00AF02E9"/>
    <w:rsid w:val="00AF0326"/>
    <w:rsid w:val="00AF03CD"/>
    <w:rsid w:val="00AF0442"/>
    <w:rsid w:val="00AF0500"/>
    <w:rsid w:val="00AF0594"/>
    <w:rsid w:val="00AF0639"/>
    <w:rsid w:val="00AF086A"/>
    <w:rsid w:val="00AF0A3B"/>
    <w:rsid w:val="00AF0A45"/>
    <w:rsid w:val="00AF0C4B"/>
    <w:rsid w:val="00AF0D43"/>
    <w:rsid w:val="00AF0DEE"/>
    <w:rsid w:val="00AF0E39"/>
    <w:rsid w:val="00AF0EE2"/>
    <w:rsid w:val="00AF11F6"/>
    <w:rsid w:val="00AF1265"/>
    <w:rsid w:val="00AF12CF"/>
    <w:rsid w:val="00AF12F2"/>
    <w:rsid w:val="00AF131A"/>
    <w:rsid w:val="00AF151D"/>
    <w:rsid w:val="00AF1562"/>
    <w:rsid w:val="00AF157C"/>
    <w:rsid w:val="00AF15C5"/>
    <w:rsid w:val="00AF15E3"/>
    <w:rsid w:val="00AF178A"/>
    <w:rsid w:val="00AF17CC"/>
    <w:rsid w:val="00AF181E"/>
    <w:rsid w:val="00AF1830"/>
    <w:rsid w:val="00AF18F1"/>
    <w:rsid w:val="00AF1979"/>
    <w:rsid w:val="00AF1AE6"/>
    <w:rsid w:val="00AF1B46"/>
    <w:rsid w:val="00AF1BCD"/>
    <w:rsid w:val="00AF1C6D"/>
    <w:rsid w:val="00AF1E1C"/>
    <w:rsid w:val="00AF1E83"/>
    <w:rsid w:val="00AF1EE1"/>
    <w:rsid w:val="00AF1F10"/>
    <w:rsid w:val="00AF1F90"/>
    <w:rsid w:val="00AF2071"/>
    <w:rsid w:val="00AF2156"/>
    <w:rsid w:val="00AF2286"/>
    <w:rsid w:val="00AF22F4"/>
    <w:rsid w:val="00AF2364"/>
    <w:rsid w:val="00AF23A3"/>
    <w:rsid w:val="00AF2433"/>
    <w:rsid w:val="00AF2483"/>
    <w:rsid w:val="00AF2768"/>
    <w:rsid w:val="00AF2818"/>
    <w:rsid w:val="00AF2869"/>
    <w:rsid w:val="00AF2882"/>
    <w:rsid w:val="00AF2A35"/>
    <w:rsid w:val="00AF2AD0"/>
    <w:rsid w:val="00AF2ADF"/>
    <w:rsid w:val="00AF2B51"/>
    <w:rsid w:val="00AF2B6E"/>
    <w:rsid w:val="00AF2B86"/>
    <w:rsid w:val="00AF2BC5"/>
    <w:rsid w:val="00AF2BD7"/>
    <w:rsid w:val="00AF2C82"/>
    <w:rsid w:val="00AF2CDE"/>
    <w:rsid w:val="00AF2D42"/>
    <w:rsid w:val="00AF2DAB"/>
    <w:rsid w:val="00AF2EE3"/>
    <w:rsid w:val="00AF2F8D"/>
    <w:rsid w:val="00AF311D"/>
    <w:rsid w:val="00AF31AF"/>
    <w:rsid w:val="00AF32F1"/>
    <w:rsid w:val="00AF343B"/>
    <w:rsid w:val="00AF3560"/>
    <w:rsid w:val="00AF35DD"/>
    <w:rsid w:val="00AF364B"/>
    <w:rsid w:val="00AF366C"/>
    <w:rsid w:val="00AF36B1"/>
    <w:rsid w:val="00AF3701"/>
    <w:rsid w:val="00AF3710"/>
    <w:rsid w:val="00AF3715"/>
    <w:rsid w:val="00AF37A9"/>
    <w:rsid w:val="00AF38A2"/>
    <w:rsid w:val="00AF38D9"/>
    <w:rsid w:val="00AF3915"/>
    <w:rsid w:val="00AF3975"/>
    <w:rsid w:val="00AF3A1B"/>
    <w:rsid w:val="00AF3A2A"/>
    <w:rsid w:val="00AF3A82"/>
    <w:rsid w:val="00AF3AAA"/>
    <w:rsid w:val="00AF3BB7"/>
    <w:rsid w:val="00AF3C32"/>
    <w:rsid w:val="00AF3C83"/>
    <w:rsid w:val="00AF3CBF"/>
    <w:rsid w:val="00AF3CE6"/>
    <w:rsid w:val="00AF3CED"/>
    <w:rsid w:val="00AF3D39"/>
    <w:rsid w:val="00AF3E23"/>
    <w:rsid w:val="00AF3F04"/>
    <w:rsid w:val="00AF4036"/>
    <w:rsid w:val="00AF4072"/>
    <w:rsid w:val="00AF40D2"/>
    <w:rsid w:val="00AF4176"/>
    <w:rsid w:val="00AF41CA"/>
    <w:rsid w:val="00AF42FB"/>
    <w:rsid w:val="00AF43F3"/>
    <w:rsid w:val="00AF449A"/>
    <w:rsid w:val="00AF45BD"/>
    <w:rsid w:val="00AF46D6"/>
    <w:rsid w:val="00AF4707"/>
    <w:rsid w:val="00AF47EB"/>
    <w:rsid w:val="00AF4876"/>
    <w:rsid w:val="00AF48FB"/>
    <w:rsid w:val="00AF497B"/>
    <w:rsid w:val="00AF49A7"/>
    <w:rsid w:val="00AF49BB"/>
    <w:rsid w:val="00AF49DC"/>
    <w:rsid w:val="00AF4AAD"/>
    <w:rsid w:val="00AF4AD8"/>
    <w:rsid w:val="00AF4B2F"/>
    <w:rsid w:val="00AF4BE9"/>
    <w:rsid w:val="00AF4D53"/>
    <w:rsid w:val="00AF4D57"/>
    <w:rsid w:val="00AF4F82"/>
    <w:rsid w:val="00AF4F9B"/>
    <w:rsid w:val="00AF4FD1"/>
    <w:rsid w:val="00AF4FDE"/>
    <w:rsid w:val="00AF51E0"/>
    <w:rsid w:val="00AF5246"/>
    <w:rsid w:val="00AF52AE"/>
    <w:rsid w:val="00AF52F3"/>
    <w:rsid w:val="00AF52F6"/>
    <w:rsid w:val="00AF5309"/>
    <w:rsid w:val="00AF5416"/>
    <w:rsid w:val="00AF54BC"/>
    <w:rsid w:val="00AF5506"/>
    <w:rsid w:val="00AF5550"/>
    <w:rsid w:val="00AF5580"/>
    <w:rsid w:val="00AF55D1"/>
    <w:rsid w:val="00AF56E5"/>
    <w:rsid w:val="00AF580A"/>
    <w:rsid w:val="00AF584B"/>
    <w:rsid w:val="00AF5851"/>
    <w:rsid w:val="00AF58B7"/>
    <w:rsid w:val="00AF59D4"/>
    <w:rsid w:val="00AF5A88"/>
    <w:rsid w:val="00AF5AB7"/>
    <w:rsid w:val="00AF5C2A"/>
    <w:rsid w:val="00AF5CDC"/>
    <w:rsid w:val="00AF5E66"/>
    <w:rsid w:val="00AF5EE2"/>
    <w:rsid w:val="00AF5F03"/>
    <w:rsid w:val="00AF6068"/>
    <w:rsid w:val="00AF61CF"/>
    <w:rsid w:val="00AF6358"/>
    <w:rsid w:val="00AF63A4"/>
    <w:rsid w:val="00AF643A"/>
    <w:rsid w:val="00AF64EF"/>
    <w:rsid w:val="00AF64FB"/>
    <w:rsid w:val="00AF6592"/>
    <w:rsid w:val="00AF65B1"/>
    <w:rsid w:val="00AF661C"/>
    <w:rsid w:val="00AF6634"/>
    <w:rsid w:val="00AF6661"/>
    <w:rsid w:val="00AF6813"/>
    <w:rsid w:val="00AF6818"/>
    <w:rsid w:val="00AF683C"/>
    <w:rsid w:val="00AF68B7"/>
    <w:rsid w:val="00AF6913"/>
    <w:rsid w:val="00AF6993"/>
    <w:rsid w:val="00AF6A0F"/>
    <w:rsid w:val="00AF6A4C"/>
    <w:rsid w:val="00AF6ABF"/>
    <w:rsid w:val="00AF6B0E"/>
    <w:rsid w:val="00AF6B62"/>
    <w:rsid w:val="00AF6E5B"/>
    <w:rsid w:val="00AF6F97"/>
    <w:rsid w:val="00AF70AB"/>
    <w:rsid w:val="00AF70B0"/>
    <w:rsid w:val="00AF720E"/>
    <w:rsid w:val="00AF7216"/>
    <w:rsid w:val="00AF72FD"/>
    <w:rsid w:val="00AF7309"/>
    <w:rsid w:val="00AF7330"/>
    <w:rsid w:val="00AF73A7"/>
    <w:rsid w:val="00AF73EC"/>
    <w:rsid w:val="00AF7465"/>
    <w:rsid w:val="00AF7585"/>
    <w:rsid w:val="00AF7662"/>
    <w:rsid w:val="00AF767A"/>
    <w:rsid w:val="00AF76EA"/>
    <w:rsid w:val="00AF7849"/>
    <w:rsid w:val="00AF78C0"/>
    <w:rsid w:val="00AF79AB"/>
    <w:rsid w:val="00AF7AAA"/>
    <w:rsid w:val="00AF7B49"/>
    <w:rsid w:val="00AF7B74"/>
    <w:rsid w:val="00AF7D7F"/>
    <w:rsid w:val="00AF7E61"/>
    <w:rsid w:val="00AF7E71"/>
    <w:rsid w:val="00AF7F01"/>
    <w:rsid w:val="00B00152"/>
    <w:rsid w:val="00B00265"/>
    <w:rsid w:val="00B002A0"/>
    <w:rsid w:val="00B0033A"/>
    <w:rsid w:val="00B003C0"/>
    <w:rsid w:val="00B003E3"/>
    <w:rsid w:val="00B004D2"/>
    <w:rsid w:val="00B004E7"/>
    <w:rsid w:val="00B0054D"/>
    <w:rsid w:val="00B0056B"/>
    <w:rsid w:val="00B0057D"/>
    <w:rsid w:val="00B0060B"/>
    <w:rsid w:val="00B00660"/>
    <w:rsid w:val="00B0067D"/>
    <w:rsid w:val="00B00702"/>
    <w:rsid w:val="00B0076A"/>
    <w:rsid w:val="00B00849"/>
    <w:rsid w:val="00B008B3"/>
    <w:rsid w:val="00B009C0"/>
    <w:rsid w:val="00B00A63"/>
    <w:rsid w:val="00B00A6E"/>
    <w:rsid w:val="00B00ADB"/>
    <w:rsid w:val="00B00B02"/>
    <w:rsid w:val="00B00B94"/>
    <w:rsid w:val="00B00BC3"/>
    <w:rsid w:val="00B00BD1"/>
    <w:rsid w:val="00B00BDD"/>
    <w:rsid w:val="00B00C3B"/>
    <w:rsid w:val="00B00C7E"/>
    <w:rsid w:val="00B00CB6"/>
    <w:rsid w:val="00B00D1E"/>
    <w:rsid w:val="00B00D2F"/>
    <w:rsid w:val="00B00D48"/>
    <w:rsid w:val="00B00D79"/>
    <w:rsid w:val="00B00DE5"/>
    <w:rsid w:val="00B00F77"/>
    <w:rsid w:val="00B010DE"/>
    <w:rsid w:val="00B011C3"/>
    <w:rsid w:val="00B01213"/>
    <w:rsid w:val="00B01230"/>
    <w:rsid w:val="00B01381"/>
    <w:rsid w:val="00B013C2"/>
    <w:rsid w:val="00B01431"/>
    <w:rsid w:val="00B01471"/>
    <w:rsid w:val="00B0149C"/>
    <w:rsid w:val="00B0159B"/>
    <w:rsid w:val="00B016C2"/>
    <w:rsid w:val="00B01814"/>
    <w:rsid w:val="00B01874"/>
    <w:rsid w:val="00B0190F"/>
    <w:rsid w:val="00B01A63"/>
    <w:rsid w:val="00B01AD5"/>
    <w:rsid w:val="00B01AEF"/>
    <w:rsid w:val="00B01AF2"/>
    <w:rsid w:val="00B01B16"/>
    <w:rsid w:val="00B01B32"/>
    <w:rsid w:val="00B01BB6"/>
    <w:rsid w:val="00B01BEF"/>
    <w:rsid w:val="00B01CC3"/>
    <w:rsid w:val="00B01E36"/>
    <w:rsid w:val="00B01E46"/>
    <w:rsid w:val="00B01F36"/>
    <w:rsid w:val="00B01FB9"/>
    <w:rsid w:val="00B01FE2"/>
    <w:rsid w:val="00B02046"/>
    <w:rsid w:val="00B020B9"/>
    <w:rsid w:val="00B02138"/>
    <w:rsid w:val="00B0216B"/>
    <w:rsid w:val="00B02183"/>
    <w:rsid w:val="00B021C0"/>
    <w:rsid w:val="00B021E1"/>
    <w:rsid w:val="00B021F4"/>
    <w:rsid w:val="00B022E2"/>
    <w:rsid w:val="00B0236A"/>
    <w:rsid w:val="00B023E3"/>
    <w:rsid w:val="00B02482"/>
    <w:rsid w:val="00B0257A"/>
    <w:rsid w:val="00B025C7"/>
    <w:rsid w:val="00B0264C"/>
    <w:rsid w:val="00B026CF"/>
    <w:rsid w:val="00B026DC"/>
    <w:rsid w:val="00B026F6"/>
    <w:rsid w:val="00B02755"/>
    <w:rsid w:val="00B027F6"/>
    <w:rsid w:val="00B02831"/>
    <w:rsid w:val="00B02874"/>
    <w:rsid w:val="00B02921"/>
    <w:rsid w:val="00B029D8"/>
    <w:rsid w:val="00B02AB1"/>
    <w:rsid w:val="00B02B7C"/>
    <w:rsid w:val="00B02B91"/>
    <w:rsid w:val="00B02E12"/>
    <w:rsid w:val="00B02F8B"/>
    <w:rsid w:val="00B0307A"/>
    <w:rsid w:val="00B03083"/>
    <w:rsid w:val="00B030A4"/>
    <w:rsid w:val="00B030E9"/>
    <w:rsid w:val="00B0320E"/>
    <w:rsid w:val="00B03228"/>
    <w:rsid w:val="00B0329D"/>
    <w:rsid w:val="00B0334E"/>
    <w:rsid w:val="00B03367"/>
    <w:rsid w:val="00B033C3"/>
    <w:rsid w:val="00B034DC"/>
    <w:rsid w:val="00B0365A"/>
    <w:rsid w:val="00B0365B"/>
    <w:rsid w:val="00B0386F"/>
    <w:rsid w:val="00B038DA"/>
    <w:rsid w:val="00B0399B"/>
    <w:rsid w:val="00B03A91"/>
    <w:rsid w:val="00B03E2C"/>
    <w:rsid w:val="00B03F25"/>
    <w:rsid w:val="00B03FBC"/>
    <w:rsid w:val="00B03FCB"/>
    <w:rsid w:val="00B0400E"/>
    <w:rsid w:val="00B04060"/>
    <w:rsid w:val="00B040C7"/>
    <w:rsid w:val="00B0410B"/>
    <w:rsid w:val="00B04175"/>
    <w:rsid w:val="00B04222"/>
    <w:rsid w:val="00B0429A"/>
    <w:rsid w:val="00B0429F"/>
    <w:rsid w:val="00B042AD"/>
    <w:rsid w:val="00B04325"/>
    <w:rsid w:val="00B0442F"/>
    <w:rsid w:val="00B04501"/>
    <w:rsid w:val="00B0454F"/>
    <w:rsid w:val="00B04612"/>
    <w:rsid w:val="00B04647"/>
    <w:rsid w:val="00B046CB"/>
    <w:rsid w:val="00B047B9"/>
    <w:rsid w:val="00B047C2"/>
    <w:rsid w:val="00B047EF"/>
    <w:rsid w:val="00B0482B"/>
    <w:rsid w:val="00B04852"/>
    <w:rsid w:val="00B048D4"/>
    <w:rsid w:val="00B048FF"/>
    <w:rsid w:val="00B04A57"/>
    <w:rsid w:val="00B04AC6"/>
    <w:rsid w:val="00B04B33"/>
    <w:rsid w:val="00B04BB3"/>
    <w:rsid w:val="00B04C2B"/>
    <w:rsid w:val="00B04CB1"/>
    <w:rsid w:val="00B04CEC"/>
    <w:rsid w:val="00B04E06"/>
    <w:rsid w:val="00B04E86"/>
    <w:rsid w:val="00B04F7F"/>
    <w:rsid w:val="00B0501A"/>
    <w:rsid w:val="00B0513A"/>
    <w:rsid w:val="00B05305"/>
    <w:rsid w:val="00B0538B"/>
    <w:rsid w:val="00B053B7"/>
    <w:rsid w:val="00B053C8"/>
    <w:rsid w:val="00B053F8"/>
    <w:rsid w:val="00B05403"/>
    <w:rsid w:val="00B05458"/>
    <w:rsid w:val="00B054BA"/>
    <w:rsid w:val="00B05510"/>
    <w:rsid w:val="00B0551F"/>
    <w:rsid w:val="00B0557D"/>
    <w:rsid w:val="00B05635"/>
    <w:rsid w:val="00B056DE"/>
    <w:rsid w:val="00B057DF"/>
    <w:rsid w:val="00B05817"/>
    <w:rsid w:val="00B058B2"/>
    <w:rsid w:val="00B0591A"/>
    <w:rsid w:val="00B05946"/>
    <w:rsid w:val="00B05948"/>
    <w:rsid w:val="00B05AB6"/>
    <w:rsid w:val="00B05B10"/>
    <w:rsid w:val="00B05C40"/>
    <w:rsid w:val="00B05DA7"/>
    <w:rsid w:val="00B06061"/>
    <w:rsid w:val="00B06081"/>
    <w:rsid w:val="00B06183"/>
    <w:rsid w:val="00B061F4"/>
    <w:rsid w:val="00B064D3"/>
    <w:rsid w:val="00B064E3"/>
    <w:rsid w:val="00B065D2"/>
    <w:rsid w:val="00B06666"/>
    <w:rsid w:val="00B06674"/>
    <w:rsid w:val="00B066CD"/>
    <w:rsid w:val="00B0673C"/>
    <w:rsid w:val="00B0679E"/>
    <w:rsid w:val="00B067B1"/>
    <w:rsid w:val="00B067E8"/>
    <w:rsid w:val="00B0683C"/>
    <w:rsid w:val="00B06940"/>
    <w:rsid w:val="00B069BB"/>
    <w:rsid w:val="00B06AA5"/>
    <w:rsid w:val="00B06ABF"/>
    <w:rsid w:val="00B06B55"/>
    <w:rsid w:val="00B06C29"/>
    <w:rsid w:val="00B06C91"/>
    <w:rsid w:val="00B06E38"/>
    <w:rsid w:val="00B06E71"/>
    <w:rsid w:val="00B06EF6"/>
    <w:rsid w:val="00B06F15"/>
    <w:rsid w:val="00B06FF8"/>
    <w:rsid w:val="00B07028"/>
    <w:rsid w:val="00B07123"/>
    <w:rsid w:val="00B07148"/>
    <w:rsid w:val="00B071A5"/>
    <w:rsid w:val="00B07272"/>
    <w:rsid w:val="00B072CA"/>
    <w:rsid w:val="00B072E7"/>
    <w:rsid w:val="00B0734C"/>
    <w:rsid w:val="00B0737F"/>
    <w:rsid w:val="00B07387"/>
    <w:rsid w:val="00B07546"/>
    <w:rsid w:val="00B0757D"/>
    <w:rsid w:val="00B07602"/>
    <w:rsid w:val="00B07604"/>
    <w:rsid w:val="00B07620"/>
    <w:rsid w:val="00B07680"/>
    <w:rsid w:val="00B07701"/>
    <w:rsid w:val="00B077D1"/>
    <w:rsid w:val="00B077DD"/>
    <w:rsid w:val="00B078CD"/>
    <w:rsid w:val="00B07931"/>
    <w:rsid w:val="00B07936"/>
    <w:rsid w:val="00B07966"/>
    <w:rsid w:val="00B07981"/>
    <w:rsid w:val="00B07A4C"/>
    <w:rsid w:val="00B07A96"/>
    <w:rsid w:val="00B07B7D"/>
    <w:rsid w:val="00B07DE3"/>
    <w:rsid w:val="00B07E11"/>
    <w:rsid w:val="00B07E94"/>
    <w:rsid w:val="00B07E9F"/>
    <w:rsid w:val="00B07F07"/>
    <w:rsid w:val="00B07F36"/>
    <w:rsid w:val="00B07F76"/>
    <w:rsid w:val="00B10014"/>
    <w:rsid w:val="00B1015A"/>
    <w:rsid w:val="00B101B6"/>
    <w:rsid w:val="00B101E6"/>
    <w:rsid w:val="00B10207"/>
    <w:rsid w:val="00B1022E"/>
    <w:rsid w:val="00B10418"/>
    <w:rsid w:val="00B1055B"/>
    <w:rsid w:val="00B105FD"/>
    <w:rsid w:val="00B106E8"/>
    <w:rsid w:val="00B1083A"/>
    <w:rsid w:val="00B1099E"/>
    <w:rsid w:val="00B109E5"/>
    <w:rsid w:val="00B10A33"/>
    <w:rsid w:val="00B10B26"/>
    <w:rsid w:val="00B10B4B"/>
    <w:rsid w:val="00B10BD7"/>
    <w:rsid w:val="00B10DCC"/>
    <w:rsid w:val="00B10F2E"/>
    <w:rsid w:val="00B10F39"/>
    <w:rsid w:val="00B111C7"/>
    <w:rsid w:val="00B111D8"/>
    <w:rsid w:val="00B11210"/>
    <w:rsid w:val="00B1128A"/>
    <w:rsid w:val="00B112C5"/>
    <w:rsid w:val="00B113E5"/>
    <w:rsid w:val="00B1143A"/>
    <w:rsid w:val="00B114BF"/>
    <w:rsid w:val="00B1150D"/>
    <w:rsid w:val="00B1151B"/>
    <w:rsid w:val="00B1151E"/>
    <w:rsid w:val="00B11560"/>
    <w:rsid w:val="00B115C0"/>
    <w:rsid w:val="00B115E1"/>
    <w:rsid w:val="00B11701"/>
    <w:rsid w:val="00B117DA"/>
    <w:rsid w:val="00B119E8"/>
    <w:rsid w:val="00B11A3A"/>
    <w:rsid w:val="00B11A5E"/>
    <w:rsid w:val="00B11AAF"/>
    <w:rsid w:val="00B11C2C"/>
    <w:rsid w:val="00B11C48"/>
    <w:rsid w:val="00B11C50"/>
    <w:rsid w:val="00B11C6C"/>
    <w:rsid w:val="00B11CD1"/>
    <w:rsid w:val="00B11DF5"/>
    <w:rsid w:val="00B11E55"/>
    <w:rsid w:val="00B11ED6"/>
    <w:rsid w:val="00B11EE2"/>
    <w:rsid w:val="00B11FCF"/>
    <w:rsid w:val="00B12098"/>
    <w:rsid w:val="00B121E6"/>
    <w:rsid w:val="00B121F7"/>
    <w:rsid w:val="00B1220F"/>
    <w:rsid w:val="00B12254"/>
    <w:rsid w:val="00B1229E"/>
    <w:rsid w:val="00B12393"/>
    <w:rsid w:val="00B126A1"/>
    <w:rsid w:val="00B12766"/>
    <w:rsid w:val="00B127A0"/>
    <w:rsid w:val="00B127A5"/>
    <w:rsid w:val="00B127E7"/>
    <w:rsid w:val="00B12829"/>
    <w:rsid w:val="00B12851"/>
    <w:rsid w:val="00B128C1"/>
    <w:rsid w:val="00B12965"/>
    <w:rsid w:val="00B12B59"/>
    <w:rsid w:val="00B12C0C"/>
    <w:rsid w:val="00B12C2A"/>
    <w:rsid w:val="00B12DEE"/>
    <w:rsid w:val="00B12E1D"/>
    <w:rsid w:val="00B12EA1"/>
    <w:rsid w:val="00B12EB8"/>
    <w:rsid w:val="00B12EC6"/>
    <w:rsid w:val="00B12EDC"/>
    <w:rsid w:val="00B12EEB"/>
    <w:rsid w:val="00B13091"/>
    <w:rsid w:val="00B13094"/>
    <w:rsid w:val="00B1314F"/>
    <w:rsid w:val="00B1321E"/>
    <w:rsid w:val="00B13310"/>
    <w:rsid w:val="00B13347"/>
    <w:rsid w:val="00B13358"/>
    <w:rsid w:val="00B133F0"/>
    <w:rsid w:val="00B1342E"/>
    <w:rsid w:val="00B134E1"/>
    <w:rsid w:val="00B135EE"/>
    <w:rsid w:val="00B13755"/>
    <w:rsid w:val="00B13818"/>
    <w:rsid w:val="00B13850"/>
    <w:rsid w:val="00B1387B"/>
    <w:rsid w:val="00B138BE"/>
    <w:rsid w:val="00B13909"/>
    <w:rsid w:val="00B13A47"/>
    <w:rsid w:val="00B13A5A"/>
    <w:rsid w:val="00B13CF5"/>
    <w:rsid w:val="00B13D7B"/>
    <w:rsid w:val="00B13E66"/>
    <w:rsid w:val="00B13EA6"/>
    <w:rsid w:val="00B13F58"/>
    <w:rsid w:val="00B13FD9"/>
    <w:rsid w:val="00B14030"/>
    <w:rsid w:val="00B14240"/>
    <w:rsid w:val="00B142C8"/>
    <w:rsid w:val="00B14356"/>
    <w:rsid w:val="00B14500"/>
    <w:rsid w:val="00B1450D"/>
    <w:rsid w:val="00B1454B"/>
    <w:rsid w:val="00B145F1"/>
    <w:rsid w:val="00B14616"/>
    <w:rsid w:val="00B14621"/>
    <w:rsid w:val="00B14671"/>
    <w:rsid w:val="00B14773"/>
    <w:rsid w:val="00B14776"/>
    <w:rsid w:val="00B14784"/>
    <w:rsid w:val="00B14791"/>
    <w:rsid w:val="00B148AB"/>
    <w:rsid w:val="00B148BA"/>
    <w:rsid w:val="00B14982"/>
    <w:rsid w:val="00B14B48"/>
    <w:rsid w:val="00B14C11"/>
    <w:rsid w:val="00B14C4A"/>
    <w:rsid w:val="00B14D42"/>
    <w:rsid w:val="00B14D55"/>
    <w:rsid w:val="00B14DF4"/>
    <w:rsid w:val="00B14ED2"/>
    <w:rsid w:val="00B150C3"/>
    <w:rsid w:val="00B150ED"/>
    <w:rsid w:val="00B151CF"/>
    <w:rsid w:val="00B1527E"/>
    <w:rsid w:val="00B15327"/>
    <w:rsid w:val="00B15337"/>
    <w:rsid w:val="00B15350"/>
    <w:rsid w:val="00B153E2"/>
    <w:rsid w:val="00B154E3"/>
    <w:rsid w:val="00B154E4"/>
    <w:rsid w:val="00B15519"/>
    <w:rsid w:val="00B155BF"/>
    <w:rsid w:val="00B155F1"/>
    <w:rsid w:val="00B15610"/>
    <w:rsid w:val="00B1561A"/>
    <w:rsid w:val="00B15677"/>
    <w:rsid w:val="00B156F3"/>
    <w:rsid w:val="00B15877"/>
    <w:rsid w:val="00B158CC"/>
    <w:rsid w:val="00B15B16"/>
    <w:rsid w:val="00B15CA3"/>
    <w:rsid w:val="00B15DAD"/>
    <w:rsid w:val="00B16236"/>
    <w:rsid w:val="00B162E9"/>
    <w:rsid w:val="00B16325"/>
    <w:rsid w:val="00B16368"/>
    <w:rsid w:val="00B1640A"/>
    <w:rsid w:val="00B16505"/>
    <w:rsid w:val="00B166AD"/>
    <w:rsid w:val="00B166B3"/>
    <w:rsid w:val="00B16778"/>
    <w:rsid w:val="00B168D4"/>
    <w:rsid w:val="00B168F4"/>
    <w:rsid w:val="00B16979"/>
    <w:rsid w:val="00B16A4A"/>
    <w:rsid w:val="00B16A85"/>
    <w:rsid w:val="00B16AFD"/>
    <w:rsid w:val="00B16B59"/>
    <w:rsid w:val="00B16BA5"/>
    <w:rsid w:val="00B16BF3"/>
    <w:rsid w:val="00B16CC1"/>
    <w:rsid w:val="00B16CE4"/>
    <w:rsid w:val="00B16D53"/>
    <w:rsid w:val="00B16D56"/>
    <w:rsid w:val="00B16DCA"/>
    <w:rsid w:val="00B16E14"/>
    <w:rsid w:val="00B16E96"/>
    <w:rsid w:val="00B16EDD"/>
    <w:rsid w:val="00B16EF3"/>
    <w:rsid w:val="00B16F20"/>
    <w:rsid w:val="00B16F4C"/>
    <w:rsid w:val="00B16FC4"/>
    <w:rsid w:val="00B17094"/>
    <w:rsid w:val="00B170E0"/>
    <w:rsid w:val="00B17116"/>
    <w:rsid w:val="00B1713E"/>
    <w:rsid w:val="00B1717A"/>
    <w:rsid w:val="00B171D5"/>
    <w:rsid w:val="00B171FF"/>
    <w:rsid w:val="00B17241"/>
    <w:rsid w:val="00B17394"/>
    <w:rsid w:val="00B1742A"/>
    <w:rsid w:val="00B17465"/>
    <w:rsid w:val="00B175B7"/>
    <w:rsid w:val="00B17676"/>
    <w:rsid w:val="00B17693"/>
    <w:rsid w:val="00B17694"/>
    <w:rsid w:val="00B17A2A"/>
    <w:rsid w:val="00B17A4A"/>
    <w:rsid w:val="00B17A83"/>
    <w:rsid w:val="00B17ABF"/>
    <w:rsid w:val="00B17AE8"/>
    <w:rsid w:val="00B17B80"/>
    <w:rsid w:val="00B17BF5"/>
    <w:rsid w:val="00B17C29"/>
    <w:rsid w:val="00B17D22"/>
    <w:rsid w:val="00B17D52"/>
    <w:rsid w:val="00B17D6C"/>
    <w:rsid w:val="00B17E30"/>
    <w:rsid w:val="00B17E81"/>
    <w:rsid w:val="00B17E95"/>
    <w:rsid w:val="00B17F3B"/>
    <w:rsid w:val="00B17F51"/>
    <w:rsid w:val="00B17FC9"/>
    <w:rsid w:val="00B200FD"/>
    <w:rsid w:val="00B20110"/>
    <w:rsid w:val="00B2014E"/>
    <w:rsid w:val="00B20177"/>
    <w:rsid w:val="00B2035B"/>
    <w:rsid w:val="00B203A2"/>
    <w:rsid w:val="00B20432"/>
    <w:rsid w:val="00B2047D"/>
    <w:rsid w:val="00B204EF"/>
    <w:rsid w:val="00B20546"/>
    <w:rsid w:val="00B20646"/>
    <w:rsid w:val="00B2069A"/>
    <w:rsid w:val="00B208C5"/>
    <w:rsid w:val="00B208DD"/>
    <w:rsid w:val="00B208F8"/>
    <w:rsid w:val="00B209D1"/>
    <w:rsid w:val="00B20A79"/>
    <w:rsid w:val="00B20B5E"/>
    <w:rsid w:val="00B20B5F"/>
    <w:rsid w:val="00B20C18"/>
    <w:rsid w:val="00B20C4F"/>
    <w:rsid w:val="00B20D22"/>
    <w:rsid w:val="00B20DCF"/>
    <w:rsid w:val="00B20E1C"/>
    <w:rsid w:val="00B20F56"/>
    <w:rsid w:val="00B20FD1"/>
    <w:rsid w:val="00B20FED"/>
    <w:rsid w:val="00B21051"/>
    <w:rsid w:val="00B210AD"/>
    <w:rsid w:val="00B211B2"/>
    <w:rsid w:val="00B21296"/>
    <w:rsid w:val="00B21367"/>
    <w:rsid w:val="00B2148A"/>
    <w:rsid w:val="00B21530"/>
    <w:rsid w:val="00B215E3"/>
    <w:rsid w:val="00B21691"/>
    <w:rsid w:val="00B21871"/>
    <w:rsid w:val="00B21C3B"/>
    <w:rsid w:val="00B21C4D"/>
    <w:rsid w:val="00B21D06"/>
    <w:rsid w:val="00B21D0B"/>
    <w:rsid w:val="00B21DCD"/>
    <w:rsid w:val="00B21E01"/>
    <w:rsid w:val="00B21E24"/>
    <w:rsid w:val="00B21FA1"/>
    <w:rsid w:val="00B21FFF"/>
    <w:rsid w:val="00B22028"/>
    <w:rsid w:val="00B221A5"/>
    <w:rsid w:val="00B221DD"/>
    <w:rsid w:val="00B22336"/>
    <w:rsid w:val="00B223AB"/>
    <w:rsid w:val="00B227AE"/>
    <w:rsid w:val="00B2281F"/>
    <w:rsid w:val="00B22834"/>
    <w:rsid w:val="00B229AE"/>
    <w:rsid w:val="00B22B0C"/>
    <w:rsid w:val="00B22DBD"/>
    <w:rsid w:val="00B22DF6"/>
    <w:rsid w:val="00B22ED1"/>
    <w:rsid w:val="00B22EE4"/>
    <w:rsid w:val="00B22F5C"/>
    <w:rsid w:val="00B2327D"/>
    <w:rsid w:val="00B23291"/>
    <w:rsid w:val="00B23368"/>
    <w:rsid w:val="00B2341E"/>
    <w:rsid w:val="00B23473"/>
    <w:rsid w:val="00B234EA"/>
    <w:rsid w:val="00B23502"/>
    <w:rsid w:val="00B23526"/>
    <w:rsid w:val="00B2352C"/>
    <w:rsid w:val="00B23608"/>
    <w:rsid w:val="00B236D3"/>
    <w:rsid w:val="00B2372B"/>
    <w:rsid w:val="00B23882"/>
    <w:rsid w:val="00B23903"/>
    <w:rsid w:val="00B23999"/>
    <w:rsid w:val="00B23A12"/>
    <w:rsid w:val="00B23BD6"/>
    <w:rsid w:val="00B23C8C"/>
    <w:rsid w:val="00B23D83"/>
    <w:rsid w:val="00B23DA8"/>
    <w:rsid w:val="00B23E17"/>
    <w:rsid w:val="00B23E2D"/>
    <w:rsid w:val="00B23E8E"/>
    <w:rsid w:val="00B23F08"/>
    <w:rsid w:val="00B24024"/>
    <w:rsid w:val="00B2411E"/>
    <w:rsid w:val="00B24151"/>
    <w:rsid w:val="00B24203"/>
    <w:rsid w:val="00B2421B"/>
    <w:rsid w:val="00B24226"/>
    <w:rsid w:val="00B2432F"/>
    <w:rsid w:val="00B243DD"/>
    <w:rsid w:val="00B24514"/>
    <w:rsid w:val="00B24577"/>
    <w:rsid w:val="00B245B5"/>
    <w:rsid w:val="00B24708"/>
    <w:rsid w:val="00B2471D"/>
    <w:rsid w:val="00B247AD"/>
    <w:rsid w:val="00B247B6"/>
    <w:rsid w:val="00B247C0"/>
    <w:rsid w:val="00B24826"/>
    <w:rsid w:val="00B2489F"/>
    <w:rsid w:val="00B24919"/>
    <w:rsid w:val="00B24A86"/>
    <w:rsid w:val="00B24B0D"/>
    <w:rsid w:val="00B24BE5"/>
    <w:rsid w:val="00B24CF3"/>
    <w:rsid w:val="00B24CF6"/>
    <w:rsid w:val="00B24D88"/>
    <w:rsid w:val="00B24DEB"/>
    <w:rsid w:val="00B24E37"/>
    <w:rsid w:val="00B24E7D"/>
    <w:rsid w:val="00B24FEA"/>
    <w:rsid w:val="00B250A9"/>
    <w:rsid w:val="00B252A7"/>
    <w:rsid w:val="00B25334"/>
    <w:rsid w:val="00B253B1"/>
    <w:rsid w:val="00B253E4"/>
    <w:rsid w:val="00B25660"/>
    <w:rsid w:val="00B257C6"/>
    <w:rsid w:val="00B25ACE"/>
    <w:rsid w:val="00B25BAA"/>
    <w:rsid w:val="00B25D05"/>
    <w:rsid w:val="00B25D93"/>
    <w:rsid w:val="00B25DE7"/>
    <w:rsid w:val="00B25EE8"/>
    <w:rsid w:val="00B25F7A"/>
    <w:rsid w:val="00B25FDE"/>
    <w:rsid w:val="00B26066"/>
    <w:rsid w:val="00B260D6"/>
    <w:rsid w:val="00B261D6"/>
    <w:rsid w:val="00B261F8"/>
    <w:rsid w:val="00B26302"/>
    <w:rsid w:val="00B2633D"/>
    <w:rsid w:val="00B26396"/>
    <w:rsid w:val="00B26419"/>
    <w:rsid w:val="00B26439"/>
    <w:rsid w:val="00B2647C"/>
    <w:rsid w:val="00B2647E"/>
    <w:rsid w:val="00B264A3"/>
    <w:rsid w:val="00B26501"/>
    <w:rsid w:val="00B2650F"/>
    <w:rsid w:val="00B2658F"/>
    <w:rsid w:val="00B26622"/>
    <w:rsid w:val="00B26669"/>
    <w:rsid w:val="00B266B7"/>
    <w:rsid w:val="00B26707"/>
    <w:rsid w:val="00B267EE"/>
    <w:rsid w:val="00B2688F"/>
    <w:rsid w:val="00B26939"/>
    <w:rsid w:val="00B2695F"/>
    <w:rsid w:val="00B26997"/>
    <w:rsid w:val="00B26A9A"/>
    <w:rsid w:val="00B26B53"/>
    <w:rsid w:val="00B26E6C"/>
    <w:rsid w:val="00B26EB7"/>
    <w:rsid w:val="00B26EC3"/>
    <w:rsid w:val="00B26EF4"/>
    <w:rsid w:val="00B26EF5"/>
    <w:rsid w:val="00B26FDE"/>
    <w:rsid w:val="00B27005"/>
    <w:rsid w:val="00B2706A"/>
    <w:rsid w:val="00B27086"/>
    <w:rsid w:val="00B27134"/>
    <w:rsid w:val="00B27250"/>
    <w:rsid w:val="00B27366"/>
    <w:rsid w:val="00B2752A"/>
    <w:rsid w:val="00B27622"/>
    <w:rsid w:val="00B276A8"/>
    <w:rsid w:val="00B276B4"/>
    <w:rsid w:val="00B2778D"/>
    <w:rsid w:val="00B2783A"/>
    <w:rsid w:val="00B27845"/>
    <w:rsid w:val="00B27889"/>
    <w:rsid w:val="00B278A5"/>
    <w:rsid w:val="00B2790E"/>
    <w:rsid w:val="00B27975"/>
    <w:rsid w:val="00B279D6"/>
    <w:rsid w:val="00B27A70"/>
    <w:rsid w:val="00B27B66"/>
    <w:rsid w:val="00B27C93"/>
    <w:rsid w:val="00B27D32"/>
    <w:rsid w:val="00B27E5A"/>
    <w:rsid w:val="00B27F34"/>
    <w:rsid w:val="00B27F4D"/>
    <w:rsid w:val="00B3002D"/>
    <w:rsid w:val="00B30050"/>
    <w:rsid w:val="00B30080"/>
    <w:rsid w:val="00B300F3"/>
    <w:rsid w:val="00B3025A"/>
    <w:rsid w:val="00B3026E"/>
    <w:rsid w:val="00B3028E"/>
    <w:rsid w:val="00B3029A"/>
    <w:rsid w:val="00B3030E"/>
    <w:rsid w:val="00B303DD"/>
    <w:rsid w:val="00B303F6"/>
    <w:rsid w:val="00B3045C"/>
    <w:rsid w:val="00B3046B"/>
    <w:rsid w:val="00B304A7"/>
    <w:rsid w:val="00B3056D"/>
    <w:rsid w:val="00B30770"/>
    <w:rsid w:val="00B307B7"/>
    <w:rsid w:val="00B307D9"/>
    <w:rsid w:val="00B30804"/>
    <w:rsid w:val="00B30851"/>
    <w:rsid w:val="00B309EA"/>
    <w:rsid w:val="00B30BEE"/>
    <w:rsid w:val="00B30CB5"/>
    <w:rsid w:val="00B30D38"/>
    <w:rsid w:val="00B30D5D"/>
    <w:rsid w:val="00B30DAB"/>
    <w:rsid w:val="00B30EA0"/>
    <w:rsid w:val="00B30EC4"/>
    <w:rsid w:val="00B30F41"/>
    <w:rsid w:val="00B30FEC"/>
    <w:rsid w:val="00B31122"/>
    <w:rsid w:val="00B313FC"/>
    <w:rsid w:val="00B314A8"/>
    <w:rsid w:val="00B314C6"/>
    <w:rsid w:val="00B314FE"/>
    <w:rsid w:val="00B31542"/>
    <w:rsid w:val="00B3157A"/>
    <w:rsid w:val="00B31650"/>
    <w:rsid w:val="00B316BC"/>
    <w:rsid w:val="00B317CB"/>
    <w:rsid w:val="00B31833"/>
    <w:rsid w:val="00B31B14"/>
    <w:rsid w:val="00B31B95"/>
    <w:rsid w:val="00B31B99"/>
    <w:rsid w:val="00B31C63"/>
    <w:rsid w:val="00B31C6E"/>
    <w:rsid w:val="00B31C9E"/>
    <w:rsid w:val="00B31E9C"/>
    <w:rsid w:val="00B31EB6"/>
    <w:rsid w:val="00B31EC6"/>
    <w:rsid w:val="00B320A1"/>
    <w:rsid w:val="00B320B4"/>
    <w:rsid w:val="00B3211C"/>
    <w:rsid w:val="00B32193"/>
    <w:rsid w:val="00B3227E"/>
    <w:rsid w:val="00B32397"/>
    <w:rsid w:val="00B32419"/>
    <w:rsid w:val="00B32474"/>
    <w:rsid w:val="00B324E5"/>
    <w:rsid w:val="00B3271A"/>
    <w:rsid w:val="00B3278F"/>
    <w:rsid w:val="00B32801"/>
    <w:rsid w:val="00B328D1"/>
    <w:rsid w:val="00B32969"/>
    <w:rsid w:val="00B32975"/>
    <w:rsid w:val="00B329C1"/>
    <w:rsid w:val="00B32A35"/>
    <w:rsid w:val="00B32BBA"/>
    <w:rsid w:val="00B32C54"/>
    <w:rsid w:val="00B32D12"/>
    <w:rsid w:val="00B32EE7"/>
    <w:rsid w:val="00B32EEA"/>
    <w:rsid w:val="00B32F78"/>
    <w:rsid w:val="00B32FA4"/>
    <w:rsid w:val="00B33026"/>
    <w:rsid w:val="00B330E5"/>
    <w:rsid w:val="00B33253"/>
    <w:rsid w:val="00B33312"/>
    <w:rsid w:val="00B3338D"/>
    <w:rsid w:val="00B3342A"/>
    <w:rsid w:val="00B33465"/>
    <w:rsid w:val="00B3346C"/>
    <w:rsid w:val="00B334D8"/>
    <w:rsid w:val="00B335B9"/>
    <w:rsid w:val="00B33603"/>
    <w:rsid w:val="00B33714"/>
    <w:rsid w:val="00B33863"/>
    <w:rsid w:val="00B339C2"/>
    <w:rsid w:val="00B339CD"/>
    <w:rsid w:val="00B33B73"/>
    <w:rsid w:val="00B33C5C"/>
    <w:rsid w:val="00B33CD1"/>
    <w:rsid w:val="00B33DDD"/>
    <w:rsid w:val="00B33E00"/>
    <w:rsid w:val="00B33EBA"/>
    <w:rsid w:val="00B33EC7"/>
    <w:rsid w:val="00B340C6"/>
    <w:rsid w:val="00B340EF"/>
    <w:rsid w:val="00B3419D"/>
    <w:rsid w:val="00B341B8"/>
    <w:rsid w:val="00B342BF"/>
    <w:rsid w:val="00B34316"/>
    <w:rsid w:val="00B3434E"/>
    <w:rsid w:val="00B34480"/>
    <w:rsid w:val="00B344BB"/>
    <w:rsid w:val="00B344D6"/>
    <w:rsid w:val="00B3461A"/>
    <w:rsid w:val="00B3462B"/>
    <w:rsid w:val="00B346DF"/>
    <w:rsid w:val="00B34828"/>
    <w:rsid w:val="00B34A47"/>
    <w:rsid w:val="00B34A8C"/>
    <w:rsid w:val="00B34B13"/>
    <w:rsid w:val="00B34BA8"/>
    <w:rsid w:val="00B34C3A"/>
    <w:rsid w:val="00B34D48"/>
    <w:rsid w:val="00B3504F"/>
    <w:rsid w:val="00B3507D"/>
    <w:rsid w:val="00B35458"/>
    <w:rsid w:val="00B35461"/>
    <w:rsid w:val="00B3547F"/>
    <w:rsid w:val="00B3549B"/>
    <w:rsid w:val="00B354BF"/>
    <w:rsid w:val="00B354E3"/>
    <w:rsid w:val="00B35522"/>
    <w:rsid w:val="00B35572"/>
    <w:rsid w:val="00B3557E"/>
    <w:rsid w:val="00B35669"/>
    <w:rsid w:val="00B35727"/>
    <w:rsid w:val="00B357B0"/>
    <w:rsid w:val="00B35844"/>
    <w:rsid w:val="00B35919"/>
    <w:rsid w:val="00B35921"/>
    <w:rsid w:val="00B3592D"/>
    <w:rsid w:val="00B3597F"/>
    <w:rsid w:val="00B359C8"/>
    <w:rsid w:val="00B35A29"/>
    <w:rsid w:val="00B35B2E"/>
    <w:rsid w:val="00B35B6F"/>
    <w:rsid w:val="00B35C24"/>
    <w:rsid w:val="00B35DA5"/>
    <w:rsid w:val="00B35E16"/>
    <w:rsid w:val="00B35EB8"/>
    <w:rsid w:val="00B35F76"/>
    <w:rsid w:val="00B35F9D"/>
    <w:rsid w:val="00B35FF7"/>
    <w:rsid w:val="00B36001"/>
    <w:rsid w:val="00B36028"/>
    <w:rsid w:val="00B3611B"/>
    <w:rsid w:val="00B362CA"/>
    <w:rsid w:val="00B36302"/>
    <w:rsid w:val="00B36364"/>
    <w:rsid w:val="00B3639E"/>
    <w:rsid w:val="00B36471"/>
    <w:rsid w:val="00B36474"/>
    <w:rsid w:val="00B36550"/>
    <w:rsid w:val="00B36745"/>
    <w:rsid w:val="00B367DF"/>
    <w:rsid w:val="00B3681F"/>
    <w:rsid w:val="00B3682C"/>
    <w:rsid w:val="00B368AC"/>
    <w:rsid w:val="00B368EB"/>
    <w:rsid w:val="00B36964"/>
    <w:rsid w:val="00B36999"/>
    <w:rsid w:val="00B36B2C"/>
    <w:rsid w:val="00B36BC9"/>
    <w:rsid w:val="00B36BDA"/>
    <w:rsid w:val="00B36C18"/>
    <w:rsid w:val="00B36C67"/>
    <w:rsid w:val="00B36D03"/>
    <w:rsid w:val="00B36D4F"/>
    <w:rsid w:val="00B36D97"/>
    <w:rsid w:val="00B36DED"/>
    <w:rsid w:val="00B36EB8"/>
    <w:rsid w:val="00B36F06"/>
    <w:rsid w:val="00B36F5A"/>
    <w:rsid w:val="00B36F62"/>
    <w:rsid w:val="00B37050"/>
    <w:rsid w:val="00B370DD"/>
    <w:rsid w:val="00B370EC"/>
    <w:rsid w:val="00B372F7"/>
    <w:rsid w:val="00B37457"/>
    <w:rsid w:val="00B37480"/>
    <w:rsid w:val="00B37481"/>
    <w:rsid w:val="00B37564"/>
    <w:rsid w:val="00B37565"/>
    <w:rsid w:val="00B37576"/>
    <w:rsid w:val="00B376D8"/>
    <w:rsid w:val="00B37745"/>
    <w:rsid w:val="00B377DD"/>
    <w:rsid w:val="00B37838"/>
    <w:rsid w:val="00B378CD"/>
    <w:rsid w:val="00B37AE6"/>
    <w:rsid w:val="00B37B54"/>
    <w:rsid w:val="00B37BB8"/>
    <w:rsid w:val="00B37C4A"/>
    <w:rsid w:val="00B37D48"/>
    <w:rsid w:val="00B37DE3"/>
    <w:rsid w:val="00B37E6D"/>
    <w:rsid w:val="00B37E80"/>
    <w:rsid w:val="00B40064"/>
    <w:rsid w:val="00B40082"/>
    <w:rsid w:val="00B400DC"/>
    <w:rsid w:val="00B40150"/>
    <w:rsid w:val="00B4018D"/>
    <w:rsid w:val="00B40282"/>
    <w:rsid w:val="00B4032E"/>
    <w:rsid w:val="00B4042A"/>
    <w:rsid w:val="00B404D4"/>
    <w:rsid w:val="00B4053A"/>
    <w:rsid w:val="00B40572"/>
    <w:rsid w:val="00B4058F"/>
    <w:rsid w:val="00B40636"/>
    <w:rsid w:val="00B4076E"/>
    <w:rsid w:val="00B40823"/>
    <w:rsid w:val="00B4093F"/>
    <w:rsid w:val="00B409AB"/>
    <w:rsid w:val="00B40AD0"/>
    <w:rsid w:val="00B40B02"/>
    <w:rsid w:val="00B40BCE"/>
    <w:rsid w:val="00B40C65"/>
    <w:rsid w:val="00B40C67"/>
    <w:rsid w:val="00B40C95"/>
    <w:rsid w:val="00B40CEB"/>
    <w:rsid w:val="00B40D9D"/>
    <w:rsid w:val="00B40EDC"/>
    <w:rsid w:val="00B40F67"/>
    <w:rsid w:val="00B410B0"/>
    <w:rsid w:val="00B41172"/>
    <w:rsid w:val="00B41254"/>
    <w:rsid w:val="00B41272"/>
    <w:rsid w:val="00B414C2"/>
    <w:rsid w:val="00B4154C"/>
    <w:rsid w:val="00B4163C"/>
    <w:rsid w:val="00B41652"/>
    <w:rsid w:val="00B4166B"/>
    <w:rsid w:val="00B41797"/>
    <w:rsid w:val="00B418B8"/>
    <w:rsid w:val="00B418DE"/>
    <w:rsid w:val="00B4191D"/>
    <w:rsid w:val="00B41960"/>
    <w:rsid w:val="00B4199D"/>
    <w:rsid w:val="00B41B3E"/>
    <w:rsid w:val="00B41B6E"/>
    <w:rsid w:val="00B41BAF"/>
    <w:rsid w:val="00B41BBC"/>
    <w:rsid w:val="00B41D67"/>
    <w:rsid w:val="00B41D79"/>
    <w:rsid w:val="00B41EAD"/>
    <w:rsid w:val="00B41EBF"/>
    <w:rsid w:val="00B41F07"/>
    <w:rsid w:val="00B41F2A"/>
    <w:rsid w:val="00B41F51"/>
    <w:rsid w:val="00B41FE2"/>
    <w:rsid w:val="00B41FE8"/>
    <w:rsid w:val="00B42014"/>
    <w:rsid w:val="00B42035"/>
    <w:rsid w:val="00B42087"/>
    <w:rsid w:val="00B420B7"/>
    <w:rsid w:val="00B4215C"/>
    <w:rsid w:val="00B42431"/>
    <w:rsid w:val="00B4245B"/>
    <w:rsid w:val="00B424AC"/>
    <w:rsid w:val="00B42555"/>
    <w:rsid w:val="00B42584"/>
    <w:rsid w:val="00B425E6"/>
    <w:rsid w:val="00B42679"/>
    <w:rsid w:val="00B426B4"/>
    <w:rsid w:val="00B427E2"/>
    <w:rsid w:val="00B42844"/>
    <w:rsid w:val="00B42934"/>
    <w:rsid w:val="00B429B5"/>
    <w:rsid w:val="00B429C9"/>
    <w:rsid w:val="00B42BB8"/>
    <w:rsid w:val="00B42C2C"/>
    <w:rsid w:val="00B42CBC"/>
    <w:rsid w:val="00B42D3B"/>
    <w:rsid w:val="00B42D3C"/>
    <w:rsid w:val="00B42F7F"/>
    <w:rsid w:val="00B42FEC"/>
    <w:rsid w:val="00B42FF3"/>
    <w:rsid w:val="00B43040"/>
    <w:rsid w:val="00B430B7"/>
    <w:rsid w:val="00B43228"/>
    <w:rsid w:val="00B432CA"/>
    <w:rsid w:val="00B433E2"/>
    <w:rsid w:val="00B4343F"/>
    <w:rsid w:val="00B4346F"/>
    <w:rsid w:val="00B43477"/>
    <w:rsid w:val="00B4368D"/>
    <w:rsid w:val="00B4370F"/>
    <w:rsid w:val="00B43820"/>
    <w:rsid w:val="00B43897"/>
    <w:rsid w:val="00B439E6"/>
    <w:rsid w:val="00B43A2B"/>
    <w:rsid w:val="00B43B12"/>
    <w:rsid w:val="00B43C28"/>
    <w:rsid w:val="00B43C2E"/>
    <w:rsid w:val="00B43CAF"/>
    <w:rsid w:val="00B43CD3"/>
    <w:rsid w:val="00B43CE0"/>
    <w:rsid w:val="00B43CF7"/>
    <w:rsid w:val="00B43E20"/>
    <w:rsid w:val="00B44030"/>
    <w:rsid w:val="00B4418D"/>
    <w:rsid w:val="00B4421C"/>
    <w:rsid w:val="00B44246"/>
    <w:rsid w:val="00B4425F"/>
    <w:rsid w:val="00B44421"/>
    <w:rsid w:val="00B44458"/>
    <w:rsid w:val="00B445A5"/>
    <w:rsid w:val="00B44739"/>
    <w:rsid w:val="00B44916"/>
    <w:rsid w:val="00B449C4"/>
    <w:rsid w:val="00B449E2"/>
    <w:rsid w:val="00B44A84"/>
    <w:rsid w:val="00B44B41"/>
    <w:rsid w:val="00B44B43"/>
    <w:rsid w:val="00B44C9C"/>
    <w:rsid w:val="00B44CD0"/>
    <w:rsid w:val="00B44DE4"/>
    <w:rsid w:val="00B44F3C"/>
    <w:rsid w:val="00B44F4E"/>
    <w:rsid w:val="00B44FE3"/>
    <w:rsid w:val="00B45001"/>
    <w:rsid w:val="00B4504E"/>
    <w:rsid w:val="00B450CD"/>
    <w:rsid w:val="00B4519F"/>
    <w:rsid w:val="00B451BF"/>
    <w:rsid w:val="00B45254"/>
    <w:rsid w:val="00B45259"/>
    <w:rsid w:val="00B45260"/>
    <w:rsid w:val="00B452AB"/>
    <w:rsid w:val="00B453CE"/>
    <w:rsid w:val="00B453DF"/>
    <w:rsid w:val="00B4546C"/>
    <w:rsid w:val="00B454BB"/>
    <w:rsid w:val="00B4550A"/>
    <w:rsid w:val="00B45625"/>
    <w:rsid w:val="00B456A1"/>
    <w:rsid w:val="00B456DF"/>
    <w:rsid w:val="00B4571F"/>
    <w:rsid w:val="00B458EB"/>
    <w:rsid w:val="00B459B5"/>
    <w:rsid w:val="00B45ACF"/>
    <w:rsid w:val="00B45B2E"/>
    <w:rsid w:val="00B45C6D"/>
    <w:rsid w:val="00B45EB8"/>
    <w:rsid w:val="00B45ECA"/>
    <w:rsid w:val="00B45EEF"/>
    <w:rsid w:val="00B45FFB"/>
    <w:rsid w:val="00B46171"/>
    <w:rsid w:val="00B46195"/>
    <w:rsid w:val="00B461BA"/>
    <w:rsid w:val="00B461CA"/>
    <w:rsid w:val="00B46206"/>
    <w:rsid w:val="00B463CC"/>
    <w:rsid w:val="00B464E9"/>
    <w:rsid w:val="00B465B5"/>
    <w:rsid w:val="00B46739"/>
    <w:rsid w:val="00B46748"/>
    <w:rsid w:val="00B467E8"/>
    <w:rsid w:val="00B468F6"/>
    <w:rsid w:val="00B46950"/>
    <w:rsid w:val="00B46982"/>
    <w:rsid w:val="00B46A82"/>
    <w:rsid w:val="00B46B4A"/>
    <w:rsid w:val="00B46CB6"/>
    <w:rsid w:val="00B46E3E"/>
    <w:rsid w:val="00B46EEF"/>
    <w:rsid w:val="00B46F99"/>
    <w:rsid w:val="00B47054"/>
    <w:rsid w:val="00B47065"/>
    <w:rsid w:val="00B470D0"/>
    <w:rsid w:val="00B470FB"/>
    <w:rsid w:val="00B47162"/>
    <w:rsid w:val="00B471D9"/>
    <w:rsid w:val="00B4721F"/>
    <w:rsid w:val="00B47224"/>
    <w:rsid w:val="00B47278"/>
    <w:rsid w:val="00B472E0"/>
    <w:rsid w:val="00B47343"/>
    <w:rsid w:val="00B47344"/>
    <w:rsid w:val="00B4734E"/>
    <w:rsid w:val="00B47382"/>
    <w:rsid w:val="00B473E0"/>
    <w:rsid w:val="00B473F4"/>
    <w:rsid w:val="00B47570"/>
    <w:rsid w:val="00B475E0"/>
    <w:rsid w:val="00B47615"/>
    <w:rsid w:val="00B47670"/>
    <w:rsid w:val="00B477EC"/>
    <w:rsid w:val="00B477F6"/>
    <w:rsid w:val="00B478AD"/>
    <w:rsid w:val="00B47942"/>
    <w:rsid w:val="00B479A3"/>
    <w:rsid w:val="00B47A2B"/>
    <w:rsid w:val="00B47A38"/>
    <w:rsid w:val="00B47AD9"/>
    <w:rsid w:val="00B47AF8"/>
    <w:rsid w:val="00B47BAA"/>
    <w:rsid w:val="00B47BBE"/>
    <w:rsid w:val="00B47C11"/>
    <w:rsid w:val="00B47D5A"/>
    <w:rsid w:val="00B47EB1"/>
    <w:rsid w:val="00B5002D"/>
    <w:rsid w:val="00B5010E"/>
    <w:rsid w:val="00B5023B"/>
    <w:rsid w:val="00B50373"/>
    <w:rsid w:val="00B50377"/>
    <w:rsid w:val="00B50521"/>
    <w:rsid w:val="00B50525"/>
    <w:rsid w:val="00B5058A"/>
    <w:rsid w:val="00B50659"/>
    <w:rsid w:val="00B5069A"/>
    <w:rsid w:val="00B50742"/>
    <w:rsid w:val="00B508BF"/>
    <w:rsid w:val="00B508D0"/>
    <w:rsid w:val="00B508EF"/>
    <w:rsid w:val="00B50959"/>
    <w:rsid w:val="00B509AA"/>
    <w:rsid w:val="00B50A44"/>
    <w:rsid w:val="00B50A71"/>
    <w:rsid w:val="00B50AC8"/>
    <w:rsid w:val="00B50B64"/>
    <w:rsid w:val="00B50BA7"/>
    <w:rsid w:val="00B50BBE"/>
    <w:rsid w:val="00B50C98"/>
    <w:rsid w:val="00B50DE4"/>
    <w:rsid w:val="00B50E04"/>
    <w:rsid w:val="00B50E32"/>
    <w:rsid w:val="00B50E82"/>
    <w:rsid w:val="00B50E8C"/>
    <w:rsid w:val="00B50EA2"/>
    <w:rsid w:val="00B50ED4"/>
    <w:rsid w:val="00B50EDA"/>
    <w:rsid w:val="00B50F79"/>
    <w:rsid w:val="00B50F96"/>
    <w:rsid w:val="00B50FC6"/>
    <w:rsid w:val="00B51074"/>
    <w:rsid w:val="00B510A2"/>
    <w:rsid w:val="00B510AB"/>
    <w:rsid w:val="00B5111E"/>
    <w:rsid w:val="00B51151"/>
    <w:rsid w:val="00B5126A"/>
    <w:rsid w:val="00B51326"/>
    <w:rsid w:val="00B513EE"/>
    <w:rsid w:val="00B51487"/>
    <w:rsid w:val="00B514F8"/>
    <w:rsid w:val="00B515B9"/>
    <w:rsid w:val="00B515DD"/>
    <w:rsid w:val="00B51616"/>
    <w:rsid w:val="00B5168E"/>
    <w:rsid w:val="00B516BE"/>
    <w:rsid w:val="00B516D7"/>
    <w:rsid w:val="00B51897"/>
    <w:rsid w:val="00B51975"/>
    <w:rsid w:val="00B519A5"/>
    <w:rsid w:val="00B51A31"/>
    <w:rsid w:val="00B51B4D"/>
    <w:rsid w:val="00B51B9A"/>
    <w:rsid w:val="00B51BA6"/>
    <w:rsid w:val="00B51C61"/>
    <w:rsid w:val="00B51CF6"/>
    <w:rsid w:val="00B51DD4"/>
    <w:rsid w:val="00B51E12"/>
    <w:rsid w:val="00B51E28"/>
    <w:rsid w:val="00B51F09"/>
    <w:rsid w:val="00B52017"/>
    <w:rsid w:val="00B52080"/>
    <w:rsid w:val="00B5218A"/>
    <w:rsid w:val="00B52235"/>
    <w:rsid w:val="00B5223B"/>
    <w:rsid w:val="00B522B6"/>
    <w:rsid w:val="00B522C7"/>
    <w:rsid w:val="00B522FD"/>
    <w:rsid w:val="00B523D1"/>
    <w:rsid w:val="00B5256C"/>
    <w:rsid w:val="00B525BB"/>
    <w:rsid w:val="00B526F6"/>
    <w:rsid w:val="00B52720"/>
    <w:rsid w:val="00B52732"/>
    <w:rsid w:val="00B52747"/>
    <w:rsid w:val="00B52775"/>
    <w:rsid w:val="00B52831"/>
    <w:rsid w:val="00B52837"/>
    <w:rsid w:val="00B52854"/>
    <w:rsid w:val="00B528F1"/>
    <w:rsid w:val="00B52935"/>
    <w:rsid w:val="00B5297A"/>
    <w:rsid w:val="00B52A3A"/>
    <w:rsid w:val="00B52A6C"/>
    <w:rsid w:val="00B52A93"/>
    <w:rsid w:val="00B52AA2"/>
    <w:rsid w:val="00B52BDC"/>
    <w:rsid w:val="00B52CEF"/>
    <w:rsid w:val="00B52E5B"/>
    <w:rsid w:val="00B52F4C"/>
    <w:rsid w:val="00B52FE4"/>
    <w:rsid w:val="00B53116"/>
    <w:rsid w:val="00B5313C"/>
    <w:rsid w:val="00B53157"/>
    <w:rsid w:val="00B53230"/>
    <w:rsid w:val="00B53447"/>
    <w:rsid w:val="00B534A3"/>
    <w:rsid w:val="00B5353F"/>
    <w:rsid w:val="00B53654"/>
    <w:rsid w:val="00B5371A"/>
    <w:rsid w:val="00B537B3"/>
    <w:rsid w:val="00B5387E"/>
    <w:rsid w:val="00B5398D"/>
    <w:rsid w:val="00B53A74"/>
    <w:rsid w:val="00B53A76"/>
    <w:rsid w:val="00B53AAB"/>
    <w:rsid w:val="00B53B13"/>
    <w:rsid w:val="00B53B2F"/>
    <w:rsid w:val="00B53CA4"/>
    <w:rsid w:val="00B53DD7"/>
    <w:rsid w:val="00B53F0B"/>
    <w:rsid w:val="00B540C8"/>
    <w:rsid w:val="00B54172"/>
    <w:rsid w:val="00B541F6"/>
    <w:rsid w:val="00B5430D"/>
    <w:rsid w:val="00B543BD"/>
    <w:rsid w:val="00B5451B"/>
    <w:rsid w:val="00B54643"/>
    <w:rsid w:val="00B54686"/>
    <w:rsid w:val="00B54734"/>
    <w:rsid w:val="00B548D8"/>
    <w:rsid w:val="00B548E5"/>
    <w:rsid w:val="00B54935"/>
    <w:rsid w:val="00B54967"/>
    <w:rsid w:val="00B5497B"/>
    <w:rsid w:val="00B54B7C"/>
    <w:rsid w:val="00B54EA4"/>
    <w:rsid w:val="00B54F14"/>
    <w:rsid w:val="00B54F65"/>
    <w:rsid w:val="00B5501A"/>
    <w:rsid w:val="00B5503E"/>
    <w:rsid w:val="00B5504C"/>
    <w:rsid w:val="00B5509B"/>
    <w:rsid w:val="00B55190"/>
    <w:rsid w:val="00B55218"/>
    <w:rsid w:val="00B5525F"/>
    <w:rsid w:val="00B553DD"/>
    <w:rsid w:val="00B55403"/>
    <w:rsid w:val="00B554D6"/>
    <w:rsid w:val="00B55524"/>
    <w:rsid w:val="00B555A1"/>
    <w:rsid w:val="00B5568D"/>
    <w:rsid w:val="00B557DD"/>
    <w:rsid w:val="00B55848"/>
    <w:rsid w:val="00B55873"/>
    <w:rsid w:val="00B558C1"/>
    <w:rsid w:val="00B55951"/>
    <w:rsid w:val="00B55C71"/>
    <w:rsid w:val="00B55CD0"/>
    <w:rsid w:val="00B55D02"/>
    <w:rsid w:val="00B55D86"/>
    <w:rsid w:val="00B55E05"/>
    <w:rsid w:val="00B55E31"/>
    <w:rsid w:val="00B55F23"/>
    <w:rsid w:val="00B55F3F"/>
    <w:rsid w:val="00B56095"/>
    <w:rsid w:val="00B560C0"/>
    <w:rsid w:val="00B560CA"/>
    <w:rsid w:val="00B5612B"/>
    <w:rsid w:val="00B562F8"/>
    <w:rsid w:val="00B5633B"/>
    <w:rsid w:val="00B563FB"/>
    <w:rsid w:val="00B5652A"/>
    <w:rsid w:val="00B565A5"/>
    <w:rsid w:val="00B565BC"/>
    <w:rsid w:val="00B56604"/>
    <w:rsid w:val="00B566FA"/>
    <w:rsid w:val="00B56733"/>
    <w:rsid w:val="00B5673F"/>
    <w:rsid w:val="00B56856"/>
    <w:rsid w:val="00B568CB"/>
    <w:rsid w:val="00B568F0"/>
    <w:rsid w:val="00B56915"/>
    <w:rsid w:val="00B5691F"/>
    <w:rsid w:val="00B5693C"/>
    <w:rsid w:val="00B569A7"/>
    <w:rsid w:val="00B569B1"/>
    <w:rsid w:val="00B569C9"/>
    <w:rsid w:val="00B569ED"/>
    <w:rsid w:val="00B56AE3"/>
    <w:rsid w:val="00B56BFA"/>
    <w:rsid w:val="00B56D2F"/>
    <w:rsid w:val="00B56D9D"/>
    <w:rsid w:val="00B56DA7"/>
    <w:rsid w:val="00B56EFB"/>
    <w:rsid w:val="00B56F6D"/>
    <w:rsid w:val="00B56F96"/>
    <w:rsid w:val="00B57022"/>
    <w:rsid w:val="00B5709C"/>
    <w:rsid w:val="00B570F7"/>
    <w:rsid w:val="00B57497"/>
    <w:rsid w:val="00B574C5"/>
    <w:rsid w:val="00B574CB"/>
    <w:rsid w:val="00B575BF"/>
    <w:rsid w:val="00B577DA"/>
    <w:rsid w:val="00B579EA"/>
    <w:rsid w:val="00B57B3C"/>
    <w:rsid w:val="00B57C0F"/>
    <w:rsid w:val="00B57C37"/>
    <w:rsid w:val="00B57C42"/>
    <w:rsid w:val="00B57CE4"/>
    <w:rsid w:val="00B57D4B"/>
    <w:rsid w:val="00B57E2A"/>
    <w:rsid w:val="00B57E59"/>
    <w:rsid w:val="00B57F84"/>
    <w:rsid w:val="00B57FDE"/>
    <w:rsid w:val="00B6009E"/>
    <w:rsid w:val="00B60229"/>
    <w:rsid w:val="00B60283"/>
    <w:rsid w:val="00B602D4"/>
    <w:rsid w:val="00B602D7"/>
    <w:rsid w:val="00B603B1"/>
    <w:rsid w:val="00B603FA"/>
    <w:rsid w:val="00B6064D"/>
    <w:rsid w:val="00B60665"/>
    <w:rsid w:val="00B606B0"/>
    <w:rsid w:val="00B6071B"/>
    <w:rsid w:val="00B607D0"/>
    <w:rsid w:val="00B608A3"/>
    <w:rsid w:val="00B608E3"/>
    <w:rsid w:val="00B608F7"/>
    <w:rsid w:val="00B60924"/>
    <w:rsid w:val="00B60C04"/>
    <w:rsid w:val="00B60C68"/>
    <w:rsid w:val="00B60E77"/>
    <w:rsid w:val="00B60E81"/>
    <w:rsid w:val="00B60EE7"/>
    <w:rsid w:val="00B60F19"/>
    <w:rsid w:val="00B61062"/>
    <w:rsid w:val="00B6107D"/>
    <w:rsid w:val="00B61137"/>
    <w:rsid w:val="00B61198"/>
    <w:rsid w:val="00B611F5"/>
    <w:rsid w:val="00B61210"/>
    <w:rsid w:val="00B612EA"/>
    <w:rsid w:val="00B61411"/>
    <w:rsid w:val="00B6146B"/>
    <w:rsid w:val="00B6151F"/>
    <w:rsid w:val="00B6152E"/>
    <w:rsid w:val="00B615B5"/>
    <w:rsid w:val="00B6166A"/>
    <w:rsid w:val="00B616CA"/>
    <w:rsid w:val="00B616DA"/>
    <w:rsid w:val="00B61A3B"/>
    <w:rsid w:val="00B61BB3"/>
    <w:rsid w:val="00B61C66"/>
    <w:rsid w:val="00B61CB4"/>
    <w:rsid w:val="00B61DB7"/>
    <w:rsid w:val="00B61E11"/>
    <w:rsid w:val="00B61F16"/>
    <w:rsid w:val="00B62052"/>
    <w:rsid w:val="00B620D3"/>
    <w:rsid w:val="00B62117"/>
    <w:rsid w:val="00B62185"/>
    <w:rsid w:val="00B62194"/>
    <w:rsid w:val="00B621B8"/>
    <w:rsid w:val="00B6233B"/>
    <w:rsid w:val="00B623A5"/>
    <w:rsid w:val="00B623C2"/>
    <w:rsid w:val="00B62445"/>
    <w:rsid w:val="00B62448"/>
    <w:rsid w:val="00B62498"/>
    <w:rsid w:val="00B62539"/>
    <w:rsid w:val="00B62546"/>
    <w:rsid w:val="00B6259F"/>
    <w:rsid w:val="00B625DF"/>
    <w:rsid w:val="00B62604"/>
    <w:rsid w:val="00B62655"/>
    <w:rsid w:val="00B62750"/>
    <w:rsid w:val="00B627B0"/>
    <w:rsid w:val="00B628C3"/>
    <w:rsid w:val="00B629E4"/>
    <w:rsid w:val="00B62B4B"/>
    <w:rsid w:val="00B62B8B"/>
    <w:rsid w:val="00B62BBC"/>
    <w:rsid w:val="00B62C55"/>
    <w:rsid w:val="00B62C7D"/>
    <w:rsid w:val="00B62DA7"/>
    <w:rsid w:val="00B62DF2"/>
    <w:rsid w:val="00B62E1B"/>
    <w:rsid w:val="00B62E34"/>
    <w:rsid w:val="00B62EDF"/>
    <w:rsid w:val="00B62FF9"/>
    <w:rsid w:val="00B630F9"/>
    <w:rsid w:val="00B6318F"/>
    <w:rsid w:val="00B631F3"/>
    <w:rsid w:val="00B6331B"/>
    <w:rsid w:val="00B63333"/>
    <w:rsid w:val="00B63400"/>
    <w:rsid w:val="00B634C9"/>
    <w:rsid w:val="00B6358B"/>
    <w:rsid w:val="00B635AE"/>
    <w:rsid w:val="00B6364F"/>
    <w:rsid w:val="00B63662"/>
    <w:rsid w:val="00B63691"/>
    <w:rsid w:val="00B63768"/>
    <w:rsid w:val="00B63833"/>
    <w:rsid w:val="00B6384E"/>
    <w:rsid w:val="00B63869"/>
    <w:rsid w:val="00B638EB"/>
    <w:rsid w:val="00B6391C"/>
    <w:rsid w:val="00B6399C"/>
    <w:rsid w:val="00B639F6"/>
    <w:rsid w:val="00B63A17"/>
    <w:rsid w:val="00B63B0C"/>
    <w:rsid w:val="00B63B24"/>
    <w:rsid w:val="00B63B9A"/>
    <w:rsid w:val="00B63CF4"/>
    <w:rsid w:val="00B63D92"/>
    <w:rsid w:val="00B63D9B"/>
    <w:rsid w:val="00B63E0F"/>
    <w:rsid w:val="00B63EF9"/>
    <w:rsid w:val="00B63F08"/>
    <w:rsid w:val="00B63F0E"/>
    <w:rsid w:val="00B63F7A"/>
    <w:rsid w:val="00B64000"/>
    <w:rsid w:val="00B64158"/>
    <w:rsid w:val="00B641D0"/>
    <w:rsid w:val="00B642BB"/>
    <w:rsid w:val="00B6433F"/>
    <w:rsid w:val="00B6435D"/>
    <w:rsid w:val="00B643B3"/>
    <w:rsid w:val="00B643BB"/>
    <w:rsid w:val="00B6443A"/>
    <w:rsid w:val="00B6447B"/>
    <w:rsid w:val="00B6448D"/>
    <w:rsid w:val="00B6453E"/>
    <w:rsid w:val="00B64745"/>
    <w:rsid w:val="00B6490E"/>
    <w:rsid w:val="00B649CB"/>
    <w:rsid w:val="00B64A12"/>
    <w:rsid w:val="00B64AB3"/>
    <w:rsid w:val="00B64AB7"/>
    <w:rsid w:val="00B64B6B"/>
    <w:rsid w:val="00B64BAC"/>
    <w:rsid w:val="00B64C91"/>
    <w:rsid w:val="00B64CF4"/>
    <w:rsid w:val="00B64D7D"/>
    <w:rsid w:val="00B64E51"/>
    <w:rsid w:val="00B64EB5"/>
    <w:rsid w:val="00B64FDE"/>
    <w:rsid w:val="00B6509D"/>
    <w:rsid w:val="00B650C9"/>
    <w:rsid w:val="00B651D8"/>
    <w:rsid w:val="00B6548E"/>
    <w:rsid w:val="00B6554A"/>
    <w:rsid w:val="00B65567"/>
    <w:rsid w:val="00B6558A"/>
    <w:rsid w:val="00B6568A"/>
    <w:rsid w:val="00B656B3"/>
    <w:rsid w:val="00B656C1"/>
    <w:rsid w:val="00B6574E"/>
    <w:rsid w:val="00B657F7"/>
    <w:rsid w:val="00B6585E"/>
    <w:rsid w:val="00B6590E"/>
    <w:rsid w:val="00B659BE"/>
    <w:rsid w:val="00B65A20"/>
    <w:rsid w:val="00B65A53"/>
    <w:rsid w:val="00B65AFD"/>
    <w:rsid w:val="00B65D3A"/>
    <w:rsid w:val="00B65D93"/>
    <w:rsid w:val="00B65E8D"/>
    <w:rsid w:val="00B65F81"/>
    <w:rsid w:val="00B65FC9"/>
    <w:rsid w:val="00B661CA"/>
    <w:rsid w:val="00B661EC"/>
    <w:rsid w:val="00B66235"/>
    <w:rsid w:val="00B66306"/>
    <w:rsid w:val="00B66309"/>
    <w:rsid w:val="00B66333"/>
    <w:rsid w:val="00B663AD"/>
    <w:rsid w:val="00B66444"/>
    <w:rsid w:val="00B6648C"/>
    <w:rsid w:val="00B66554"/>
    <w:rsid w:val="00B6655B"/>
    <w:rsid w:val="00B665D9"/>
    <w:rsid w:val="00B666A2"/>
    <w:rsid w:val="00B666E4"/>
    <w:rsid w:val="00B66797"/>
    <w:rsid w:val="00B667A6"/>
    <w:rsid w:val="00B667F0"/>
    <w:rsid w:val="00B6690B"/>
    <w:rsid w:val="00B6692B"/>
    <w:rsid w:val="00B6697B"/>
    <w:rsid w:val="00B66A87"/>
    <w:rsid w:val="00B66C7F"/>
    <w:rsid w:val="00B66CBD"/>
    <w:rsid w:val="00B66CD3"/>
    <w:rsid w:val="00B66CED"/>
    <w:rsid w:val="00B66CF1"/>
    <w:rsid w:val="00B66DA0"/>
    <w:rsid w:val="00B66E31"/>
    <w:rsid w:val="00B66ECA"/>
    <w:rsid w:val="00B66EF9"/>
    <w:rsid w:val="00B66F6A"/>
    <w:rsid w:val="00B66F88"/>
    <w:rsid w:val="00B6714F"/>
    <w:rsid w:val="00B67187"/>
    <w:rsid w:val="00B671EE"/>
    <w:rsid w:val="00B67213"/>
    <w:rsid w:val="00B67216"/>
    <w:rsid w:val="00B67362"/>
    <w:rsid w:val="00B673E3"/>
    <w:rsid w:val="00B673F0"/>
    <w:rsid w:val="00B6741F"/>
    <w:rsid w:val="00B67451"/>
    <w:rsid w:val="00B6754A"/>
    <w:rsid w:val="00B6754C"/>
    <w:rsid w:val="00B6761E"/>
    <w:rsid w:val="00B676BD"/>
    <w:rsid w:val="00B67772"/>
    <w:rsid w:val="00B6779D"/>
    <w:rsid w:val="00B67841"/>
    <w:rsid w:val="00B678B5"/>
    <w:rsid w:val="00B67927"/>
    <w:rsid w:val="00B679D4"/>
    <w:rsid w:val="00B67A5A"/>
    <w:rsid w:val="00B67AA7"/>
    <w:rsid w:val="00B67B06"/>
    <w:rsid w:val="00B67B6A"/>
    <w:rsid w:val="00B67C89"/>
    <w:rsid w:val="00B67D3A"/>
    <w:rsid w:val="00B67DC9"/>
    <w:rsid w:val="00B67E0D"/>
    <w:rsid w:val="00B67E21"/>
    <w:rsid w:val="00B67EEF"/>
    <w:rsid w:val="00B7000E"/>
    <w:rsid w:val="00B70134"/>
    <w:rsid w:val="00B70152"/>
    <w:rsid w:val="00B702E6"/>
    <w:rsid w:val="00B703A1"/>
    <w:rsid w:val="00B70563"/>
    <w:rsid w:val="00B705AD"/>
    <w:rsid w:val="00B706DD"/>
    <w:rsid w:val="00B706EB"/>
    <w:rsid w:val="00B70845"/>
    <w:rsid w:val="00B708F2"/>
    <w:rsid w:val="00B70A57"/>
    <w:rsid w:val="00B70A93"/>
    <w:rsid w:val="00B70B04"/>
    <w:rsid w:val="00B70B65"/>
    <w:rsid w:val="00B70B88"/>
    <w:rsid w:val="00B70C52"/>
    <w:rsid w:val="00B70D0C"/>
    <w:rsid w:val="00B70D17"/>
    <w:rsid w:val="00B70FD4"/>
    <w:rsid w:val="00B70FF9"/>
    <w:rsid w:val="00B71209"/>
    <w:rsid w:val="00B712D0"/>
    <w:rsid w:val="00B7132B"/>
    <w:rsid w:val="00B7137A"/>
    <w:rsid w:val="00B713D5"/>
    <w:rsid w:val="00B714E9"/>
    <w:rsid w:val="00B71558"/>
    <w:rsid w:val="00B716C3"/>
    <w:rsid w:val="00B716C4"/>
    <w:rsid w:val="00B716D5"/>
    <w:rsid w:val="00B71723"/>
    <w:rsid w:val="00B7177D"/>
    <w:rsid w:val="00B719EB"/>
    <w:rsid w:val="00B71A6F"/>
    <w:rsid w:val="00B71B00"/>
    <w:rsid w:val="00B71B51"/>
    <w:rsid w:val="00B71C63"/>
    <w:rsid w:val="00B71DA5"/>
    <w:rsid w:val="00B71E08"/>
    <w:rsid w:val="00B71E87"/>
    <w:rsid w:val="00B71F83"/>
    <w:rsid w:val="00B71FCC"/>
    <w:rsid w:val="00B72013"/>
    <w:rsid w:val="00B721FF"/>
    <w:rsid w:val="00B72269"/>
    <w:rsid w:val="00B72274"/>
    <w:rsid w:val="00B72275"/>
    <w:rsid w:val="00B7227E"/>
    <w:rsid w:val="00B7229F"/>
    <w:rsid w:val="00B72324"/>
    <w:rsid w:val="00B72446"/>
    <w:rsid w:val="00B7254E"/>
    <w:rsid w:val="00B7257D"/>
    <w:rsid w:val="00B725B0"/>
    <w:rsid w:val="00B72642"/>
    <w:rsid w:val="00B72739"/>
    <w:rsid w:val="00B72943"/>
    <w:rsid w:val="00B7296A"/>
    <w:rsid w:val="00B72A11"/>
    <w:rsid w:val="00B72ABC"/>
    <w:rsid w:val="00B72B4D"/>
    <w:rsid w:val="00B72B94"/>
    <w:rsid w:val="00B72CDF"/>
    <w:rsid w:val="00B72D26"/>
    <w:rsid w:val="00B72DD3"/>
    <w:rsid w:val="00B72E7B"/>
    <w:rsid w:val="00B72F17"/>
    <w:rsid w:val="00B72FFB"/>
    <w:rsid w:val="00B73137"/>
    <w:rsid w:val="00B731E2"/>
    <w:rsid w:val="00B732E8"/>
    <w:rsid w:val="00B73369"/>
    <w:rsid w:val="00B73378"/>
    <w:rsid w:val="00B7342F"/>
    <w:rsid w:val="00B7351E"/>
    <w:rsid w:val="00B73654"/>
    <w:rsid w:val="00B73655"/>
    <w:rsid w:val="00B7366C"/>
    <w:rsid w:val="00B736F6"/>
    <w:rsid w:val="00B73739"/>
    <w:rsid w:val="00B738AF"/>
    <w:rsid w:val="00B738FD"/>
    <w:rsid w:val="00B73ACD"/>
    <w:rsid w:val="00B73AF4"/>
    <w:rsid w:val="00B73AFC"/>
    <w:rsid w:val="00B73BAB"/>
    <w:rsid w:val="00B73CE4"/>
    <w:rsid w:val="00B73D75"/>
    <w:rsid w:val="00B73DC5"/>
    <w:rsid w:val="00B73EDF"/>
    <w:rsid w:val="00B73FF6"/>
    <w:rsid w:val="00B74010"/>
    <w:rsid w:val="00B7407D"/>
    <w:rsid w:val="00B740C9"/>
    <w:rsid w:val="00B740D7"/>
    <w:rsid w:val="00B74146"/>
    <w:rsid w:val="00B741A1"/>
    <w:rsid w:val="00B741EC"/>
    <w:rsid w:val="00B7426F"/>
    <w:rsid w:val="00B7429B"/>
    <w:rsid w:val="00B74337"/>
    <w:rsid w:val="00B74353"/>
    <w:rsid w:val="00B74371"/>
    <w:rsid w:val="00B743C7"/>
    <w:rsid w:val="00B74430"/>
    <w:rsid w:val="00B744F6"/>
    <w:rsid w:val="00B7456E"/>
    <w:rsid w:val="00B746AE"/>
    <w:rsid w:val="00B74719"/>
    <w:rsid w:val="00B7471C"/>
    <w:rsid w:val="00B74740"/>
    <w:rsid w:val="00B74770"/>
    <w:rsid w:val="00B74828"/>
    <w:rsid w:val="00B7483C"/>
    <w:rsid w:val="00B74874"/>
    <w:rsid w:val="00B7489F"/>
    <w:rsid w:val="00B748BA"/>
    <w:rsid w:val="00B74C24"/>
    <w:rsid w:val="00B74F9E"/>
    <w:rsid w:val="00B74FD7"/>
    <w:rsid w:val="00B750EF"/>
    <w:rsid w:val="00B75156"/>
    <w:rsid w:val="00B75190"/>
    <w:rsid w:val="00B751A0"/>
    <w:rsid w:val="00B752C6"/>
    <w:rsid w:val="00B7530E"/>
    <w:rsid w:val="00B754CD"/>
    <w:rsid w:val="00B7550A"/>
    <w:rsid w:val="00B75671"/>
    <w:rsid w:val="00B756BC"/>
    <w:rsid w:val="00B757E5"/>
    <w:rsid w:val="00B757FF"/>
    <w:rsid w:val="00B75B0F"/>
    <w:rsid w:val="00B75B8B"/>
    <w:rsid w:val="00B75C66"/>
    <w:rsid w:val="00B75CCE"/>
    <w:rsid w:val="00B75D69"/>
    <w:rsid w:val="00B75DDE"/>
    <w:rsid w:val="00B75F2F"/>
    <w:rsid w:val="00B76040"/>
    <w:rsid w:val="00B76060"/>
    <w:rsid w:val="00B76089"/>
    <w:rsid w:val="00B76091"/>
    <w:rsid w:val="00B760A0"/>
    <w:rsid w:val="00B760E6"/>
    <w:rsid w:val="00B76192"/>
    <w:rsid w:val="00B762A8"/>
    <w:rsid w:val="00B763B5"/>
    <w:rsid w:val="00B76402"/>
    <w:rsid w:val="00B76446"/>
    <w:rsid w:val="00B7655A"/>
    <w:rsid w:val="00B76593"/>
    <w:rsid w:val="00B765E0"/>
    <w:rsid w:val="00B76633"/>
    <w:rsid w:val="00B76713"/>
    <w:rsid w:val="00B7677B"/>
    <w:rsid w:val="00B76812"/>
    <w:rsid w:val="00B7683F"/>
    <w:rsid w:val="00B76860"/>
    <w:rsid w:val="00B76978"/>
    <w:rsid w:val="00B769AD"/>
    <w:rsid w:val="00B76A30"/>
    <w:rsid w:val="00B76C53"/>
    <w:rsid w:val="00B76C89"/>
    <w:rsid w:val="00B76DD6"/>
    <w:rsid w:val="00B76EE2"/>
    <w:rsid w:val="00B7701B"/>
    <w:rsid w:val="00B772E5"/>
    <w:rsid w:val="00B7736C"/>
    <w:rsid w:val="00B773D3"/>
    <w:rsid w:val="00B774C1"/>
    <w:rsid w:val="00B77524"/>
    <w:rsid w:val="00B775C0"/>
    <w:rsid w:val="00B775C1"/>
    <w:rsid w:val="00B77946"/>
    <w:rsid w:val="00B779E0"/>
    <w:rsid w:val="00B77B1B"/>
    <w:rsid w:val="00B77BFA"/>
    <w:rsid w:val="00B77C37"/>
    <w:rsid w:val="00B77D48"/>
    <w:rsid w:val="00B77DF1"/>
    <w:rsid w:val="00B77EE0"/>
    <w:rsid w:val="00B77F12"/>
    <w:rsid w:val="00B77F27"/>
    <w:rsid w:val="00B77F29"/>
    <w:rsid w:val="00B77F5F"/>
    <w:rsid w:val="00B77F64"/>
    <w:rsid w:val="00B77FB5"/>
    <w:rsid w:val="00B800F7"/>
    <w:rsid w:val="00B80259"/>
    <w:rsid w:val="00B8025E"/>
    <w:rsid w:val="00B802BB"/>
    <w:rsid w:val="00B80307"/>
    <w:rsid w:val="00B80324"/>
    <w:rsid w:val="00B8032D"/>
    <w:rsid w:val="00B804C1"/>
    <w:rsid w:val="00B80557"/>
    <w:rsid w:val="00B805A1"/>
    <w:rsid w:val="00B805D9"/>
    <w:rsid w:val="00B8083C"/>
    <w:rsid w:val="00B80955"/>
    <w:rsid w:val="00B80A0D"/>
    <w:rsid w:val="00B80A45"/>
    <w:rsid w:val="00B80B7B"/>
    <w:rsid w:val="00B80C10"/>
    <w:rsid w:val="00B80C56"/>
    <w:rsid w:val="00B80CA1"/>
    <w:rsid w:val="00B80CEB"/>
    <w:rsid w:val="00B80D02"/>
    <w:rsid w:val="00B80E23"/>
    <w:rsid w:val="00B80EE8"/>
    <w:rsid w:val="00B80FD3"/>
    <w:rsid w:val="00B810E7"/>
    <w:rsid w:val="00B8110B"/>
    <w:rsid w:val="00B81183"/>
    <w:rsid w:val="00B811A8"/>
    <w:rsid w:val="00B81203"/>
    <w:rsid w:val="00B8125F"/>
    <w:rsid w:val="00B8126D"/>
    <w:rsid w:val="00B812C7"/>
    <w:rsid w:val="00B813EE"/>
    <w:rsid w:val="00B8143C"/>
    <w:rsid w:val="00B8153D"/>
    <w:rsid w:val="00B81592"/>
    <w:rsid w:val="00B81688"/>
    <w:rsid w:val="00B817DC"/>
    <w:rsid w:val="00B818D7"/>
    <w:rsid w:val="00B81922"/>
    <w:rsid w:val="00B81973"/>
    <w:rsid w:val="00B819B6"/>
    <w:rsid w:val="00B81A5B"/>
    <w:rsid w:val="00B81ACB"/>
    <w:rsid w:val="00B81B60"/>
    <w:rsid w:val="00B81BB6"/>
    <w:rsid w:val="00B81CA0"/>
    <w:rsid w:val="00B81DD2"/>
    <w:rsid w:val="00B81E29"/>
    <w:rsid w:val="00B81F38"/>
    <w:rsid w:val="00B820C1"/>
    <w:rsid w:val="00B820CB"/>
    <w:rsid w:val="00B82175"/>
    <w:rsid w:val="00B821BA"/>
    <w:rsid w:val="00B8222F"/>
    <w:rsid w:val="00B8234F"/>
    <w:rsid w:val="00B82512"/>
    <w:rsid w:val="00B82543"/>
    <w:rsid w:val="00B8256C"/>
    <w:rsid w:val="00B8257B"/>
    <w:rsid w:val="00B82581"/>
    <w:rsid w:val="00B8258B"/>
    <w:rsid w:val="00B825E7"/>
    <w:rsid w:val="00B827B7"/>
    <w:rsid w:val="00B827F5"/>
    <w:rsid w:val="00B828B5"/>
    <w:rsid w:val="00B829D3"/>
    <w:rsid w:val="00B82A1E"/>
    <w:rsid w:val="00B82AA1"/>
    <w:rsid w:val="00B82DA2"/>
    <w:rsid w:val="00B82DBE"/>
    <w:rsid w:val="00B82DDD"/>
    <w:rsid w:val="00B82E6E"/>
    <w:rsid w:val="00B82F06"/>
    <w:rsid w:val="00B82FD0"/>
    <w:rsid w:val="00B82FE4"/>
    <w:rsid w:val="00B830CB"/>
    <w:rsid w:val="00B830ED"/>
    <w:rsid w:val="00B83231"/>
    <w:rsid w:val="00B83249"/>
    <w:rsid w:val="00B832C8"/>
    <w:rsid w:val="00B83305"/>
    <w:rsid w:val="00B83310"/>
    <w:rsid w:val="00B8338B"/>
    <w:rsid w:val="00B833DF"/>
    <w:rsid w:val="00B834B3"/>
    <w:rsid w:val="00B834BD"/>
    <w:rsid w:val="00B83593"/>
    <w:rsid w:val="00B835A2"/>
    <w:rsid w:val="00B835F3"/>
    <w:rsid w:val="00B835F9"/>
    <w:rsid w:val="00B836CA"/>
    <w:rsid w:val="00B836CD"/>
    <w:rsid w:val="00B83724"/>
    <w:rsid w:val="00B8383D"/>
    <w:rsid w:val="00B8387E"/>
    <w:rsid w:val="00B83893"/>
    <w:rsid w:val="00B838A2"/>
    <w:rsid w:val="00B839C6"/>
    <w:rsid w:val="00B83A46"/>
    <w:rsid w:val="00B83A5D"/>
    <w:rsid w:val="00B83ADB"/>
    <w:rsid w:val="00B83AEB"/>
    <w:rsid w:val="00B83AFA"/>
    <w:rsid w:val="00B83B3E"/>
    <w:rsid w:val="00B83B62"/>
    <w:rsid w:val="00B83B72"/>
    <w:rsid w:val="00B83B97"/>
    <w:rsid w:val="00B83C71"/>
    <w:rsid w:val="00B83CC9"/>
    <w:rsid w:val="00B83D38"/>
    <w:rsid w:val="00B83DEC"/>
    <w:rsid w:val="00B83F5E"/>
    <w:rsid w:val="00B83F83"/>
    <w:rsid w:val="00B83F98"/>
    <w:rsid w:val="00B8400C"/>
    <w:rsid w:val="00B84014"/>
    <w:rsid w:val="00B840F9"/>
    <w:rsid w:val="00B84130"/>
    <w:rsid w:val="00B84227"/>
    <w:rsid w:val="00B84274"/>
    <w:rsid w:val="00B842F0"/>
    <w:rsid w:val="00B843FB"/>
    <w:rsid w:val="00B8455B"/>
    <w:rsid w:val="00B84661"/>
    <w:rsid w:val="00B846C8"/>
    <w:rsid w:val="00B8471A"/>
    <w:rsid w:val="00B8476D"/>
    <w:rsid w:val="00B84797"/>
    <w:rsid w:val="00B84885"/>
    <w:rsid w:val="00B84A9C"/>
    <w:rsid w:val="00B84AAC"/>
    <w:rsid w:val="00B84CBA"/>
    <w:rsid w:val="00B84CEC"/>
    <w:rsid w:val="00B84DAC"/>
    <w:rsid w:val="00B84DD2"/>
    <w:rsid w:val="00B84EA4"/>
    <w:rsid w:val="00B84F45"/>
    <w:rsid w:val="00B85022"/>
    <w:rsid w:val="00B8510C"/>
    <w:rsid w:val="00B8515C"/>
    <w:rsid w:val="00B8522E"/>
    <w:rsid w:val="00B85289"/>
    <w:rsid w:val="00B852CC"/>
    <w:rsid w:val="00B85333"/>
    <w:rsid w:val="00B8535F"/>
    <w:rsid w:val="00B853DF"/>
    <w:rsid w:val="00B8547A"/>
    <w:rsid w:val="00B854B9"/>
    <w:rsid w:val="00B854BA"/>
    <w:rsid w:val="00B854EF"/>
    <w:rsid w:val="00B8554E"/>
    <w:rsid w:val="00B856D9"/>
    <w:rsid w:val="00B85754"/>
    <w:rsid w:val="00B858AF"/>
    <w:rsid w:val="00B858F6"/>
    <w:rsid w:val="00B85967"/>
    <w:rsid w:val="00B85A51"/>
    <w:rsid w:val="00B85BED"/>
    <w:rsid w:val="00B85CBA"/>
    <w:rsid w:val="00B85DF8"/>
    <w:rsid w:val="00B85E6E"/>
    <w:rsid w:val="00B85EBC"/>
    <w:rsid w:val="00B85ED3"/>
    <w:rsid w:val="00B85F39"/>
    <w:rsid w:val="00B85FE4"/>
    <w:rsid w:val="00B85FF1"/>
    <w:rsid w:val="00B860A5"/>
    <w:rsid w:val="00B86193"/>
    <w:rsid w:val="00B862AA"/>
    <w:rsid w:val="00B8634A"/>
    <w:rsid w:val="00B863A8"/>
    <w:rsid w:val="00B86461"/>
    <w:rsid w:val="00B8647A"/>
    <w:rsid w:val="00B8656F"/>
    <w:rsid w:val="00B866C8"/>
    <w:rsid w:val="00B866E8"/>
    <w:rsid w:val="00B867AC"/>
    <w:rsid w:val="00B8684E"/>
    <w:rsid w:val="00B86AD5"/>
    <w:rsid w:val="00B86B05"/>
    <w:rsid w:val="00B86B61"/>
    <w:rsid w:val="00B86CF7"/>
    <w:rsid w:val="00B86D3E"/>
    <w:rsid w:val="00B86D91"/>
    <w:rsid w:val="00B86F54"/>
    <w:rsid w:val="00B87172"/>
    <w:rsid w:val="00B8729B"/>
    <w:rsid w:val="00B8737D"/>
    <w:rsid w:val="00B8753B"/>
    <w:rsid w:val="00B8764E"/>
    <w:rsid w:val="00B87658"/>
    <w:rsid w:val="00B87719"/>
    <w:rsid w:val="00B877CC"/>
    <w:rsid w:val="00B878CD"/>
    <w:rsid w:val="00B879C6"/>
    <w:rsid w:val="00B87AE9"/>
    <w:rsid w:val="00B87AEA"/>
    <w:rsid w:val="00B87B56"/>
    <w:rsid w:val="00B87BAC"/>
    <w:rsid w:val="00B87C43"/>
    <w:rsid w:val="00B87DCE"/>
    <w:rsid w:val="00B87EE2"/>
    <w:rsid w:val="00B87F2E"/>
    <w:rsid w:val="00B900B7"/>
    <w:rsid w:val="00B901AC"/>
    <w:rsid w:val="00B90289"/>
    <w:rsid w:val="00B902ED"/>
    <w:rsid w:val="00B902EE"/>
    <w:rsid w:val="00B9031B"/>
    <w:rsid w:val="00B9042F"/>
    <w:rsid w:val="00B90458"/>
    <w:rsid w:val="00B90488"/>
    <w:rsid w:val="00B90523"/>
    <w:rsid w:val="00B90577"/>
    <w:rsid w:val="00B905AE"/>
    <w:rsid w:val="00B90602"/>
    <w:rsid w:val="00B90684"/>
    <w:rsid w:val="00B90705"/>
    <w:rsid w:val="00B9073E"/>
    <w:rsid w:val="00B9079B"/>
    <w:rsid w:val="00B907A6"/>
    <w:rsid w:val="00B908AF"/>
    <w:rsid w:val="00B90A17"/>
    <w:rsid w:val="00B90AAD"/>
    <w:rsid w:val="00B90CAB"/>
    <w:rsid w:val="00B90D25"/>
    <w:rsid w:val="00B90DAB"/>
    <w:rsid w:val="00B90DCA"/>
    <w:rsid w:val="00B90DDC"/>
    <w:rsid w:val="00B90E30"/>
    <w:rsid w:val="00B90FAA"/>
    <w:rsid w:val="00B91092"/>
    <w:rsid w:val="00B9117B"/>
    <w:rsid w:val="00B9117F"/>
    <w:rsid w:val="00B91311"/>
    <w:rsid w:val="00B91385"/>
    <w:rsid w:val="00B913A8"/>
    <w:rsid w:val="00B9140C"/>
    <w:rsid w:val="00B9144A"/>
    <w:rsid w:val="00B9147A"/>
    <w:rsid w:val="00B9152E"/>
    <w:rsid w:val="00B915E9"/>
    <w:rsid w:val="00B915FC"/>
    <w:rsid w:val="00B91664"/>
    <w:rsid w:val="00B916EF"/>
    <w:rsid w:val="00B9179E"/>
    <w:rsid w:val="00B917DB"/>
    <w:rsid w:val="00B91814"/>
    <w:rsid w:val="00B9187D"/>
    <w:rsid w:val="00B91922"/>
    <w:rsid w:val="00B9192B"/>
    <w:rsid w:val="00B91A33"/>
    <w:rsid w:val="00B91BAC"/>
    <w:rsid w:val="00B91BDE"/>
    <w:rsid w:val="00B91CB1"/>
    <w:rsid w:val="00B91CD9"/>
    <w:rsid w:val="00B91DBD"/>
    <w:rsid w:val="00B91DD9"/>
    <w:rsid w:val="00B91E91"/>
    <w:rsid w:val="00B91F68"/>
    <w:rsid w:val="00B9206C"/>
    <w:rsid w:val="00B921C0"/>
    <w:rsid w:val="00B921D5"/>
    <w:rsid w:val="00B9230A"/>
    <w:rsid w:val="00B92366"/>
    <w:rsid w:val="00B92382"/>
    <w:rsid w:val="00B92452"/>
    <w:rsid w:val="00B92498"/>
    <w:rsid w:val="00B9249B"/>
    <w:rsid w:val="00B92510"/>
    <w:rsid w:val="00B9257F"/>
    <w:rsid w:val="00B926AD"/>
    <w:rsid w:val="00B926CA"/>
    <w:rsid w:val="00B9276A"/>
    <w:rsid w:val="00B92794"/>
    <w:rsid w:val="00B9280A"/>
    <w:rsid w:val="00B9287D"/>
    <w:rsid w:val="00B92914"/>
    <w:rsid w:val="00B9292F"/>
    <w:rsid w:val="00B92977"/>
    <w:rsid w:val="00B929F2"/>
    <w:rsid w:val="00B92B1F"/>
    <w:rsid w:val="00B92BE8"/>
    <w:rsid w:val="00B92C76"/>
    <w:rsid w:val="00B92C7F"/>
    <w:rsid w:val="00B92DFA"/>
    <w:rsid w:val="00B92E88"/>
    <w:rsid w:val="00B92F7B"/>
    <w:rsid w:val="00B93054"/>
    <w:rsid w:val="00B93232"/>
    <w:rsid w:val="00B93262"/>
    <w:rsid w:val="00B932A7"/>
    <w:rsid w:val="00B932BA"/>
    <w:rsid w:val="00B9331F"/>
    <w:rsid w:val="00B9333C"/>
    <w:rsid w:val="00B934F4"/>
    <w:rsid w:val="00B93510"/>
    <w:rsid w:val="00B9356F"/>
    <w:rsid w:val="00B93575"/>
    <w:rsid w:val="00B935B7"/>
    <w:rsid w:val="00B935D0"/>
    <w:rsid w:val="00B93607"/>
    <w:rsid w:val="00B9370C"/>
    <w:rsid w:val="00B93778"/>
    <w:rsid w:val="00B93830"/>
    <w:rsid w:val="00B93837"/>
    <w:rsid w:val="00B93885"/>
    <w:rsid w:val="00B93A74"/>
    <w:rsid w:val="00B93AF7"/>
    <w:rsid w:val="00B93BA0"/>
    <w:rsid w:val="00B93BB5"/>
    <w:rsid w:val="00B93C3B"/>
    <w:rsid w:val="00B93D2A"/>
    <w:rsid w:val="00B93DD3"/>
    <w:rsid w:val="00B93E43"/>
    <w:rsid w:val="00B93F2C"/>
    <w:rsid w:val="00B93F62"/>
    <w:rsid w:val="00B9401C"/>
    <w:rsid w:val="00B940A3"/>
    <w:rsid w:val="00B94162"/>
    <w:rsid w:val="00B94196"/>
    <w:rsid w:val="00B941BB"/>
    <w:rsid w:val="00B943D1"/>
    <w:rsid w:val="00B94401"/>
    <w:rsid w:val="00B94464"/>
    <w:rsid w:val="00B944B3"/>
    <w:rsid w:val="00B94509"/>
    <w:rsid w:val="00B9450C"/>
    <w:rsid w:val="00B94513"/>
    <w:rsid w:val="00B945A2"/>
    <w:rsid w:val="00B94787"/>
    <w:rsid w:val="00B9478F"/>
    <w:rsid w:val="00B9479E"/>
    <w:rsid w:val="00B947D6"/>
    <w:rsid w:val="00B9495A"/>
    <w:rsid w:val="00B94A0F"/>
    <w:rsid w:val="00B94B52"/>
    <w:rsid w:val="00B94B74"/>
    <w:rsid w:val="00B94C6C"/>
    <w:rsid w:val="00B94CD0"/>
    <w:rsid w:val="00B94D33"/>
    <w:rsid w:val="00B94D3C"/>
    <w:rsid w:val="00B94D78"/>
    <w:rsid w:val="00B95013"/>
    <w:rsid w:val="00B9507A"/>
    <w:rsid w:val="00B951CB"/>
    <w:rsid w:val="00B95305"/>
    <w:rsid w:val="00B9536C"/>
    <w:rsid w:val="00B9552C"/>
    <w:rsid w:val="00B9556A"/>
    <w:rsid w:val="00B95609"/>
    <w:rsid w:val="00B9588A"/>
    <w:rsid w:val="00B95924"/>
    <w:rsid w:val="00B95965"/>
    <w:rsid w:val="00B959FD"/>
    <w:rsid w:val="00B95D80"/>
    <w:rsid w:val="00B95DB7"/>
    <w:rsid w:val="00B95ECD"/>
    <w:rsid w:val="00B96050"/>
    <w:rsid w:val="00B9607F"/>
    <w:rsid w:val="00B9614C"/>
    <w:rsid w:val="00B96180"/>
    <w:rsid w:val="00B961AE"/>
    <w:rsid w:val="00B962FF"/>
    <w:rsid w:val="00B96372"/>
    <w:rsid w:val="00B9639D"/>
    <w:rsid w:val="00B963A0"/>
    <w:rsid w:val="00B9655A"/>
    <w:rsid w:val="00B967FA"/>
    <w:rsid w:val="00B969CA"/>
    <w:rsid w:val="00B96A61"/>
    <w:rsid w:val="00B96CEE"/>
    <w:rsid w:val="00B96CFC"/>
    <w:rsid w:val="00B96E0F"/>
    <w:rsid w:val="00B96EFC"/>
    <w:rsid w:val="00B97088"/>
    <w:rsid w:val="00B970F5"/>
    <w:rsid w:val="00B97143"/>
    <w:rsid w:val="00B9714F"/>
    <w:rsid w:val="00B972B5"/>
    <w:rsid w:val="00B97382"/>
    <w:rsid w:val="00B97427"/>
    <w:rsid w:val="00B97475"/>
    <w:rsid w:val="00B974F5"/>
    <w:rsid w:val="00B977E2"/>
    <w:rsid w:val="00B97853"/>
    <w:rsid w:val="00B97977"/>
    <w:rsid w:val="00B97A0A"/>
    <w:rsid w:val="00B97A54"/>
    <w:rsid w:val="00B97A5A"/>
    <w:rsid w:val="00B97ACE"/>
    <w:rsid w:val="00B97B8A"/>
    <w:rsid w:val="00B97C8D"/>
    <w:rsid w:val="00B97CF0"/>
    <w:rsid w:val="00B97D74"/>
    <w:rsid w:val="00B97E88"/>
    <w:rsid w:val="00B97EFE"/>
    <w:rsid w:val="00B97F4A"/>
    <w:rsid w:val="00B97F8A"/>
    <w:rsid w:val="00BA0042"/>
    <w:rsid w:val="00BA00DC"/>
    <w:rsid w:val="00BA00E9"/>
    <w:rsid w:val="00BA0108"/>
    <w:rsid w:val="00BA0148"/>
    <w:rsid w:val="00BA01FF"/>
    <w:rsid w:val="00BA020C"/>
    <w:rsid w:val="00BA0214"/>
    <w:rsid w:val="00BA0265"/>
    <w:rsid w:val="00BA0267"/>
    <w:rsid w:val="00BA0291"/>
    <w:rsid w:val="00BA035E"/>
    <w:rsid w:val="00BA0369"/>
    <w:rsid w:val="00BA046F"/>
    <w:rsid w:val="00BA0483"/>
    <w:rsid w:val="00BA06CC"/>
    <w:rsid w:val="00BA0702"/>
    <w:rsid w:val="00BA077B"/>
    <w:rsid w:val="00BA07F7"/>
    <w:rsid w:val="00BA085D"/>
    <w:rsid w:val="00BA08CD"/>
    <w:rsid w:val="00BA0927"/>
    <w:rsid w:val="00BA0978"/>
    <w:rsid w:val="00BA098C"/>
    <w:rsid w:val="00BA09DA"/>
    <w:rsid w:val="00BA09FF"/>
    <w:rsid w:val="00BA0B2E"/>
    <w:rsid w:val="00BA0C43"/>
    <w:rsid w:val="00BA0D48"/>
    <w:rsid w:val="00BA0E54"/>
    <w:rsid w:val="00BA0F06"/>
    <w:rsid w:val="00BA1013"/>
    <w:rsid w:val="00BA10A6"/>
    <w:rsid w:val="00BA116B"/>
    <w:rsid w:val="00BA1276"/>
    <w:rsid w:val="00BA127B"/>
    <w:rsid w:val="00BA1306"/>
    <w:rsid w:val="00BA1330"/>
    <w:rsid w:val="00BA134A"/>
    <w:rsid w:val="00BA148F"/>
    <w:rsid w:val="00BA1498"/>
    <w:rsid w:val="00BA14E4"/>
    <w:rsid w:val="00BA170D"/>
    <w:rsid w:val="00BA17A2"/>
    <w:rsid w:val="00BA17B4"/>
    <w:rsid w:val="00BA17F3"/>
    <w:rsid w:val="00BA1832"/>
    <w:rsid w:val="00BA1848"/>
    <w:rsid w:val="00BA1874"/>
    <w:rsid w:val="00BA18E9"/>
    <w:rsid w:val="00BA1959"/>
    <w:rsid w:val="00BA195D"/>
    <w:rsid w:val="00BA1A6F"/>
    <w:rsid w:val="00BA1C73"/>
    <w:rsid w:val="00BA1CA4"/>
    <w:rsid w:val="00BA1D45"/>
    <w:rsid w:val="00BA1E79"/>
    <w:rsid w:val="00BA1F1A"/>
    <w:rsid w:val="00BA1FDC"/>
    <w:rsid w:val="00BA1FFB"/>
    <w:rsid w:val="00BA2197"/>
    <w:rsid w:val="00BA2355"/>
    <w:rsid w:val="00BA2492"/>
    <w:rsid w:val="00BA2503"/>
    <w:rsid w:val="00BA2504"/>
    <w:rsid w:val="00BA25E3"/>
    <w:rsid w:val="00BA26A6"/>
    <w:rsid w:val="00BA2745"/>
    <w:rsid w:val="00BA28A6"/>
    <w:rsid w:val="00BA2A1D"/>
    <w:rsid w:val="00BA2B3F"/>
    <w:rsid w:val="00BA2BA0"/>
    <w:rsid w:val="00BA2C37"/>
    <w:rsid w:val="00BA2CDA"/>
    <w:rsid w:val="00BA2CEA"/>
    <w:rsid w:val="00BA2E43"/>
    <w:rsid w:val="00BA2E48"/>
    <w:rsid w:val="00BA2E56"/>
    <w:rsid w:val="00BA2FC0"/>
    <w:rsid w:val="00BA3010"/>
    <w:rsid w:val="00BA3204"/>
    <w:rsid w:val="00BA33A8"/>
    <w:rsid w:val="00BA33E6"/>
    <w:rsid w:val="00BA3414"/>
    <w:rsid w:val="00BA351B"/>
    <w:rsid w:val="00BA3761"/>
    <w:rsid w:val="00BA384A"/>
    <w:rsid w:val="00BA3890"/>
    <w:rsid w:val="00BA3915"/>
    <w:rsid w:val="00BA3AE1"/>
    <w:rsid w:val="00BA3B4F"/>
    <w:rsid w:val="00BA3B57"/>
    <w:rsid w:val="00BA3B5E"/>
    <w:rsid w:val="00BA3BF4"/>
    <w:rsid w:val="00BA3C08"/>
    <w:rsid w:val="00BA3C29"/>
    <w:rsid w:val="00BA3C96"/>
    <w:rsid w:val="00BA3D47"/>
    <w:rsid w:val="00BA3D69"/>
    <w:rsid w:val="00BA3D7C"/>
    <w:rsid w:val="00BA3DBB"/>
    <w:rsid w:val="00BA3DD9"/>
    <w:rsid w:val="00BA3E1A"/>
    <w:rsid w:val="00BA3ED7"/>
    <w:rsid w:val="00BA3F75"/>
    <w:rsid w:val="00BA3F89"/>
    <w:rsid w:val="00BA3FB7"/>
    <w:rsid w:val="00BA3FD7"/>
    <w:rsid w:val="00BA4116"/>
    <w:rsid w:val="00BA4322"/>
    <w:rsid w:val="00BA44F8"/>
    <w:rsid w:val="00BA4554"/>
    <w:rsid w:val="00BA4652"/>
    <w:rsid w:val="00BA4897"/>
    <w:rsid w:val="00BA48D1"/>
    <w:rsid w:val="00BA48E4"/>
    <w:rsid w:val="00BA498D"/>
    <w:rsid w:val="00BA49FD"/>
    <w:rsid w:val="00BA4A68"/>
    <w:rsid w:val="00BA4B00"/>
    <w:rsid w:val="00BA4B05"/>
    <w:rsid w:val="00BA4BFF"/>
    <w:rsid w:val="00BA4D93"/>
    <w:rsid w:val="00BA4E45"/>
    <w:rsid w:val="00BA4FF6"/>
    <w:rsid w:val="00BA506A"/>
    <w:rsid w:val="00BA50E2"/>
    <w:rsid w:val="00BA5126"/>
    <w:rsid w:val="00BA517E"/>
    <w:rsid w:val="00BA51F1"/>
    <w:rsid w:val="00BA53C1"/>
    <w:rsid w:val="00BA549F"/>
    <w:rsid w:val="00BA5578"/>
    <w:rsid w:val="00BA5653"/>
    <w:rsid w:val="00BA56C8"/>
    <w:rsid w:val="00BA56F2"/>
    <w:rsid w:val="00BA584D"/>
    <w:rsid w:val="00BA5918"/>
    <w:rsid w:val="00BA597A"/>
    <w:rsid w:val="00BA59FB"/>
    <w:rsid w:val="00BA5A12"/>
    <w:rsid w:val="00BA5A47"/>
    <w:rsid w:val="00BA5A54"/>
    <w:rsid w:val="00BA5A8D"/>
    <w:rsid w:val="00BA5B6F"/>
    <w:rsid w:val="00BA5CA5"/>
    <w:rsid w:val="00BA5CDA"/>
    <w:rsid w:val="00BA5D07"/>
    <w:rsid w:val="00BA5E6C"/>
    <w:rsid w:val="00BA5EDA"/>
    <w:rsid w:val="00BA5F72"/>
    <w:rsid w:val="00BA5FB0"/>
    <w:rsid w:val="00BA6022"/>
    <w:rsid w:val="00BA6082"/>
    <w:rsid w:val="00BA6096"/>
    <w:rsid w:val="00BA61E5"/>
    <w:rsid w:val="00BA61F3"/>
    <w:rsid w:val="00BA62D1"/>
    <w:rsid w:val="00BA6315"/>
    <w:rsid w:val="00BA6316"/>
    <w:rsid w:val="00BA635E"/>
    <w:rsid w:val="00BA637D"/>
    <w:rsid w:val="00BA63D0"/>
    <w:rsid w:val="00BA641F"/>
    <w:rsid w:val="00BA6643"/>
    <w:rsid w:val="00BA6694"/>
    <w:rsid w:val="00BA680D"/>
    <w:rsid w:val="00BA6914"/>
    <w:rsid w:val="00BA697C"/>
    <w:rsid w:val="00BA6A8B"/>
    <w:rsid w:val="00BA6AA6"/>
    <w:rsid w:val="00BA6AD2"/>
    <w:rsid w:val="00BA6B00"/>
    <w:rsid w:val="00BA6B8A"/>
    <w:rsid w:val="00BA6C84"/>
    <w:rsid w:val="00BA6D2B"/>
    <w:rsid w:val="00BA6D41"/>
    <w:rsid w:val="00BA6D5C"/>
    <w:rsid w:val="00BA6E42"/>
    <w:rsid w:val="00BA6E7B"/>
    <w:rsid w:val="00BA6E99"/>
    <w:rsid w:val="00BA6FA8"/>
    <w:rsid w:val="00BA703C"/>
    <w:rsid w:val="00BA703D"/>
    <w:rsid w:val="00BA7105"/>
    <w:rsid w:val="00BA7121"/>
    <w:rsid w:val="00BA72E3"/>
    <w:rsid w:val="00BA7334"/>
    <w:rsid w:val="00BA74C4"/>
    <w:rsid w:val="00BA767D"/>
    <w:rsid w:val="00BA76DD"/>
    <w:rsid w:val="00BA7704"/>
    <w:rsid w:val="00BA7759"/>
    <w:rsid w:val="00BA7841"/>
    <w:rsid w:val="00BA7853"/>
    <w:rsid w:val="00BA7869"/>
    <w:rsid w:val="00BA7899"/>
    <w:rsid w:val="00BA7961"/>
    <w:rsid w:val="00BA7986"/>
    <w:rsid w:val="00BA798C"/>
    <w:rsid w:val="00BA7A3F"/>
    <w:rsid w:val="00BA7AB7"/>
    <w:rsid w:val="00BA7B59"/>
    <w:rsid w:val="00BA7C10"/>
    <w:rsid w:val="00BA7C1E"/>
    <w:rsid w:val="00BA7C8F"/>
    <w:rsid w:val="00BA7D0D"/>
    <w:rsid w:val="00BA7E34"/>
    <w:rsid w:val="00BA7EF0"/>
    <w:rsid w:val="00BA7EFD"/>
    <w:rsid w:val="00BB00E8"/>
    <w:rsid w:val="00BB0185"/>
    <w:rsid w:val="00BB01AB"/>
    <w:rsid w:val="00BB01CA"/>
    <w:rsid w:val="00BB021E"/>
    <w:rsid w:val="00BB022C"/>
    <w:rsid w:val="00BB02F0"/>
    <w:rsid w:val="00BB0329"/>
    <w:rsid w:val="00BB032D"/>
    <w:rsid w:val="00BB044C"/>
    <w:rsid w:val="00BB0481"/>
    <w:rsid w:val="00BB04E6"/>
    <w:rsid w:val="00BB0512"/>
    <w:rsid w:val="00BB0689"/>
    <w:rsid w:val="00BB0723"/>
    <w:rsid w:val="00BB0729"/>
    <w:rsid w:val="00BB0762"/>
    <w:rsid w:val="00BB0797"/>
    <w:rsid w:val="00BB0AE3"/>
    <w:rsid w:val="00BB0BDA"/>
    <w:rsid w:val="00BB0D44"/>
    <w:rsid w:val="00BB0D79"/>
    <w:rsid w:val="00BB0E2D"/>
    <w:rsid w:val="00BB0F11"/>
    <w:rsid w:val="00BB0F69"/>
    <w:rsid w:val="00BB0F8B"/>
    <w:rsid w:val="00BB10C5"/>
    <w:rsid w:val="00BB10EA"/>
    <w:rsid w:val="00BB110D"/>
    <w:rsid w:val="00BB11BB"/>
    <w:rsid w:val="00BB12AA"/>
    <w:rsid w:val="00BB1452"/>
    <w:rsid w:val="00BB14A3"/>
    <w:rsid w:val="00BB150A"/>
    <w:rsid w:val="00BB16AB"/>
    <w:rsid w:val="00BB16CD"/>
    <w:rsid w:val="00BB174D"/>
    <w:rsid w:val="00BB1754"/>
    <w:rsid w:val="00BB1842"/>
    <w:rsid w:val="00BB18FA"/>
    <w:rsid w:val="00BB1930"/>
    <w:rsid w:val="00BB1933"/>
    <w:rsid w:val="00BB1940"/>
    <w:rsid w:val="00BB1974"/>
    <w:rsid w:val="00BB19F6"/>
    <w:rsid w:val="00BB1AE6"/>
    <w:rsid w:val="00BB1B5B"/>
    <w:rsid w:val="00BB1B63"/>
    <w:rsid w:val="00BB1BDF"/>
    <w:rsid w:val="00BB1C38"/>
    <w:rsid w:val="00BB1C3E"/>
    <w:rsid w:val="00BB1C4C"/>
    <w:rsid w:val="00BB1F83"/>
    <w:rsid w:val="00BB2339"/>
    <w:rsid w:val="00BB238B"/>
    <w:rsid w:val="00BB2496"/>
    <w:rsid w:val="00BB2536"/>
    <w:rsid w:val="00BB25BB"/>
    <w:rsid w:val="00BB2660"/>
    <w:rsid w:val="00BB286D"/>
    <w:rsid w:val="00BB2899"/>
    <w:rsid w:val="00BB2901"/>
    <w:rsid w:val="00BB2A69"/>
    <w:rsid w:val="00BB2AE1"/>
    <w:rsid w:val="00BB2B1D"/>
    <w:rsid w:val="00BB2C48"/>
    <w:rsid w:val="00BB2CCC"/>
    <w:rsid w:val="00BB2EE7"/>
    <w:rsid w:val="00BB2F68"/>
    <w:rsid w:val="00BB2FFD"/>
    <w:rsid w:val="00BB30A5"/>
    <w:rsid w:val="00BB3225"/>
    <w:rsid w:val="00BB3237"/>
    <w:rsid w:val="00BB3290"/>
    <w:rsid w:val="00BB32CF"/>
    <w:rsid w:val="00BB32E9"/>
    <w:rsid w:val="00BB339A"/>
    <w:rsid w:val="00BB33C4"/>
    <w:rsid w:val="00BB33CB"/>
    <w:rsid w:val="00BB3419"/>
    <w:rsid w:val="00BB3450"/>
    <w:rsid w:val="00BB349E"/>
    <w:rsid w:val="00BB34C4"/>
    <w:rsid w:val="00BB36BD"/>
    <w:rsid w:val="00BB36E2"/>
    <w:rsid w:val="00BB3721"/>
    <w:rsid w:val="00BB3767"/>
    <w:rsid w:val="00BB3813"/>
    <w:rsid w:val="00BB384E"/>
    <w:rsid w:val="00BB390D"/>
    <w:rsid w:val="00BB391A"/>
    <w:rsid w:val="00BB39EE"/>
    <w:rsid w:val="00BB39F4"/>
    <w:rsid w:val="00BB3A8B"/>
    <w:rsid w:val="00BB3B02"/>
    <w:rsid w:val="00BB3BE9"/>
    <w:rsid w:val="00BB3CB1"/>
    <w:rsid w:val="00BB3CD5"/>
    <w:rsid w:val="00BB3CEC"/>
    <w:rsid w:val="00BB3E20"/>
    <w:rsid w:val="00BB3EF8"/>
    <w:rsid w:val="00BB3F81"/>
    <w:rsid w:val="00BB3F9D"/>
    <w:rsid w:val="00BB402C"/>
    <w:rsid w:val="00BB40BD"/>
    <w:rsid w:val="00BB41D6"/>
    <w:rsid w:val="00BB4247"/>
    <w:rsid w:val="00BB4298"/>
    <w:rsid w:val="00BB42A9"/>
    <w:rsid w:val="00BB44E4"/>
    <w:rsid w:val="00BB45C2"/>
    <w:rsid w:val="00BB477D"/>
    <w:rsid w:val="00BB47E4"/>
    <w:rsid w:val="00BB47FE"/>
    <w:rsid w:val="00BB4815"/>
    <w:rsid w:val="00BB49DC"/>
    <w:rsid w:val="00BB4A36"/>
    <w:rsid w:val="00BB4A5A"/>
    <w:rsid w:val="00BB4A93"/>
    <w:rsid w:val="00BB4AB6"/>
    <w:rsid w:val="00BB4BC0"/>
    <w:rsid w:val="00BB4D2B"/>
    <w:rsid w:val="00BB4DB7"/>
    <w:rsid w:val="00BB502A"/>
    <w:rsid w:val="00BB50A4"/>
    <w:rsid w:val="00BB5192"/>
    <w:rsid w:val="00BB51A1"/>
    <w:rsid w:val="00BB51B5"/>
    <w:rsid w:val="00BB52E5"/>
    <w:rsid w:val="00BB53F4"/>
    <w:rsid w:val="00BB5435"/>
    <w:rsid w:val="00BB55E2"/>
    <w:rsid w:val="00BB5686"/>
    <w:rsid w:val="00BB56BD"/>
    <w:rsid w:val="00BB570F"/>
    <w:rsid w:val="00BB58B2"/>
    <w:rsid w:val="00BB58E0"/>
    <w:rsid w:val="00BB591D"/>
    <w:rsid w:val="00BB5A3F"/>
    <w:rsid w:val="00BB5B9A"/>
    <w:rsid w:val="00BB5CA3"/>
    <w:rsid w:val="00BB5D60"/>
    <w:rsid w:val="00BB5DA4"/>
    <w:rsid w:val="00BB5F0D"/>
    <w:rsid w:val="00BB6033"/>
    <w:rsid w:val="00BB60DE"/>
    <w:rsid w:val="00BB60ED"/>
    <w:rsid w:val="00BB612F"/>
    <w:rsid w:val="00BB622A"/>
    <w:rsid w:val="00BB62D0"/>
    <w:rsid w:val="00BB6336"/>
    <w:rsid w:val="00BB6355"/>
    <w:rsid w:val="00BB63E8"/>
    <w:rsid w:val="00BB6607"/>
    <w:rsid w:val="00BB678D"/>
    <w:rsid w:val="00BB6827"/>
    <w:rsid w:val="00BB6893"/>
    <w:rsid w:val="00BB689A"/>
    <w:rsid w:val="00BB6950"/>
    <w:rsid w:val="00BB696A"/>
    <w:rsid w:val="00BB69BB"/>
    <w:rsid w:val="00BB6C0B"/>
    <w:rsid w:val="00BB6C10"/>
    <w:rsid w:val="00BB6D5E"/>
    <w:rsid w:val="00BB6E2C"/>
    <w:rsid w:val="00BB6E41"/>
    <w:rsid w:val="00BB6E82"/>
    <w:rsid w:val="00BB6EAF"/>
    <w:rsid w:val="00BB70A6"/>
    <w:rsid w:val="00BB7205"/>
    <w:rsid w:val="00BB720C"/>
    <w:rsid w:val="00BB7313"/>
    <w:rsid w:val="00BB7372"/>
    <w:rsid w:val="00BB738E"/>
    <w:rsid w:val="00BB7424"/>
    <w:rsid w:val="00BB744F"/>
    <w:rsid w:val="00BB75A9"/>
    <w:rsid w:val="00BB7659"/>
    <w:rsid w:val="00BB7670"/>
    <w:rsid w:val="00BB7679"/>
    <w:rsid w:val="00BB772B"/>
    <w:rsid w:val="00BB7736"/>
    <w:rsid w:val="00BB77F1"/>
    <w:rsid w:val="00BB7815"/>
    <w:rsid w:val="00BB785C"/>
    <w:rsid w:val="00BB79A3"/>
    <w:rsid w:val="00BB7A38"/>
    <w:rsid w:val="00BB7A49"/>
    <w:rsid w:val="00BB7C37"/>
    <w:rsid w:val="00BB7D0E"/>
    <w:rsid w:val="00BB7DA1"/>
    <w:rsid w:val="00BB7E00"/>
    <w:rsid w:val="00BB7E55"/>
    <w:rsid w:val="00BB7FA9"/>
    <w:rsid w:val="00BC0025"/>
    <w:rsid w:val="00BC0039"/>
    <w:rsid w:val="00BC0117"/>
    <w:rsid w:val="00BC01C8"/>
    <w:rsid w:val="00BC0245"/>
    <w:rsid w:val="00BC026F"/>
    <w:rsid w:val="00BC02E0"/>
    <w:rsid w:val="00BC043D"/>
    <w:rsid w:val="00BC0483"/>
    <w:rsid w:val="00BC04CD"/>
    <w:rsid w:val="00BC0548"/>
    <w:rsid w:val="00BC058C"/>
    <w:rsid w:val="00BC05AD"/>
    <w:rsid w:val="00BC0700"/>
    <w:rsid w:val="00BC082B"/>
    <w:rsid w:val="00BC085F"/>
    <w:rsid w:val="00BC0908"/>
    <w:rsid w:val="00BC0981"/>
    <w:rsid w:val="00BC09C7"/>
    <w:rsid w:val="00BC09FD"/>
    <w:rsid w:val="00BC0A6E"/>
    <w:rsid w:val="00BC0AE5"/>
    <w:rsid w:val="00BC0C1B"/>
    <w:rsid w:val="00BC0DE4"/>
    <w:rsid w:val="00BC0DF7"/>
    <w:rsid w:val="00BC0E1A"/>
    <w:rsid w:val="00BC0EED"/>
    <w:rsid w:val="00BC105D"/>
    <w:rsid w:val="00BC1091"/>
    <w:rsid w:val="00BC127D"/>
    <w:rsid w:val="00BC12AE"/>
    <w:rsid w:val="00BC13F7"/>
    <w:rsid w:val="00BC14D5"/>
    <w:rsid w:val="00BC14F1"/>
    <w:rsid w:val="00BC15DE"/>
    <w:rsid w:val="00BC16A8"/>
    <w:rsid w:val="00BC16C8"/>
    <w:rsid w:val="00BC16CA"/>
    <w:rsid w:val="00BC1768"/>
    <w:rsid w:val="00BC17C8"/>
    <w:rsid w:val="00BC18D0"/>
    <w:rsid w:val="00BC190E"/>
    <w:rsid w:val="00BC1989"/>
    <w:rsid w:val="00BC1ACD"/>
    <w:rsid w:val="00BC1B73"/>
    <w:rsid w:val="00BC1BA3"/>
    <w:rsid w:val="00BC1D03"/>
    <w:rsid w:val="00BC1D72"/>
    <w:rsid w:val="00BC1D8D"/>
    <w:rsid w:val="00BC1F61"/>
    <w:rsid w:val="00BC1F78"/>
    <w:rsid w:val="00BC20AE"/>
    <w:rsid w:val="00BC2216"/>
    <w:rsid w:val="00BC22B5"/>
    <w:rsid w:val="00BC243A"/>
    <w:rsid w:val="00BC243F"/>
    <w:rsid w:val="00BC263E"/>
    <w:rsid w:val="00BC2943"/>
    <w:rsid w:val="00BC294F"/>
    <w:rsid w:val="00BC2973"/>
    <w:rsid w:val="00BC2A4D"/>
    <w:rsid w:val="00BC2A8A"/>
    <w:rsid w:val="00BC2B52"/>
    <w:rsid w:val="00BC2BBD"/>
    <w:rsid w:val="00BC2BC0"/>
    <w:rsid w:val="00BC2C26"/>
    <w:rsid w:val="00BC2C9C"/>
    <w:rsid w:val="00BC2D5E"/>
    <w:rsid w:val="00BC2E0D"/>
    <w:rsid w:val="00BC2E0F"/>
    <w:rsid w:val="00BC2F0F"/>
    <w:rsid w:val="00BC307D"/>
    <w:rsid w:val="00BC31D5"/>
    <w:rsid w:val="00BC3251"/>
    <w:rsid w:val="00BC32E7"/>
    <w:rsid w:val="00BC34AC"/>
    <w:rsid w:val="00BC3525"/>
    <w:rsid w:val="00BC357E"/>
    <w:rsid w:val="00BC35E4"/>
    <w:rsid w:val="00BC360B"/>
    <w:rsid w:val="00BC369C"/>
    <w:rsid w:val="00BC3799"/>
    <w:rsid w:val="00BC37DE"/>
    <w:rsid w:val="00BC38D9"/>
    <w:rsid w:val="00BC3905"/>
    <w:rsid w:val="00BC3A02"/>
    <w:rsid w:val="00BC3A49"/>
    <w:rsid w:val="00BC3A58"/>
    <w:rsid w:val="00BC3D5C"/>
    <w:rsid w:val="00BC3D99"/>
    <w:rsid w:val="00BC3DB8"/>
    <w:rsid w:val="00BC3E95"/>
    <w:rsid w:val="00BC3F5A"/>
    <w:rsid w:val="00BC417A"/>
    <w:rsid w:val="00BC4309"/>
    <w:rsid w:val="00BC43BB"/>
    <w:rsid w:val="00BC44EA"/>
    <w:rsid w:val="00BC4587"/>
    <w:rsid w:val="00BC45BF"/>
    <w:rsid w:val="00BC46ED"/>
    <w:rsid w:val="00BC4891"/>
    <w:rsid w:val="00BC48CC"/>
    <w:rsid w:val="00BC494F"/>
    <w:rsid w:val="00BC4972"/>
    <w:rsid w:val="00BC49FC"/>
    <w:rsid w:val="00BC4AE4"/>
    <w:rsid w:val="00BC4AEB"/>
    <w:rsid w:val="00BC4BAC"/>
    <w:rsid w:val="00BC4C66"/>
    <w:rsid w:val="00BC4DD2"/>
    <w:rsid w:val="00BC4DE2"/>
    <w:rsid w:val="00BC4E77"/>
    <w:rsid w:val="00BC4F31"/>
    <w:rsid w:val="00BC4F73"/>
    <w:rsid w:val="00BC5073"/>
    <w:rsid w:val="00BC50CD"/>
    <w:rsid w:val="00BC5138"/>
    <w:rsid w:val="00BC5184"/>
    <w:rsid w:val="00BC5265"/>
    <w:rsid w:val="00BC531F"/>
    <w:rsid w:val="00BC53D7"/>
    <w:rsid w:val="00BC53DD"/>
    <w:rsid w:val="00BC5410"/>
    <w:rsid w:val="00BC5468"/>
    <w:rsid w:val="00BC5480"/>
    <w:rsid w:val="00BC5487"/>
    <w:rsid w:val="00BC5511"/>
    <w:rsid w:val="00BC5556"/>
    <w:rsid w:val="00BC55A0"/>
    <w:rsid w:val="00BC5607"/>
    <w:rsid w:val="00BC5801"/>
    <w:rsid w:val="00BC5922"/>
    <w:rsid w:val="00BC5AB9"/>
    <w:rsid w:val="00BC5B18"/>
    <w:rsid w:val="00BC5B83"/>
    <w:rsid w:val="00BC5BA2"/>
    <w:rsid w:val="00BC5BED"/>
    <w:rsid w:val="00BC5C17"/>
    <w:rsid w:val="00BC5C3F"/>
    <w:rsid w:val="00BC5C62"/>
    <w:rsid w:val="00BC5C7E"/>
    <w:rsid w:val="00BC5C82"/>
    <w:rsid w:val="00BC5CC7"/>
    <w:rsid w:val="00BC5CDD"/>
    <w:rsid w:val="00BC5D1E"/>
    <w:rsid w:val="00BC5D5F"/>
    <w:rsid w:val="00BC5DD4"/>
    <w:rsid w:val="00BC5EAE"/>
    <w:rsid w:val="00BC5EB6"/>
    <w:rsid w:val="00BC5EC1"/>
    <w:rsid w:val="00BC6024"/>
    <w:rsid w:val="00BC612D"/>
    <w:rsid w:val="00BC62D0"/>
    <w:rsid w:val="00BC635A"/>
    <w:rsid w:val="00BC6391"/>
    <w:rsid w:val="00BC6556"/>
    <w:rsid w:val="00BC66BC"/>
    <w:rsid w:val="00BC66EA"/>
    <w:rsid w:val="00BC66EF"/>
    <w:rsid w:val="00BC6833"/>
    <w:rsid w:val="00BC6842"/>
    <w:rsid w:val="00BC6897"/>
    <w:rsid w:val="00BC6926"/>
    <w:rsid w:val="00BC6A4C"/>
    <w:rsid w:val="00BC6A80"/>
    <w:rsid w:val="00BC6B41"/>
    <w:rsid w:val="00BC6B82"/>
    <w:rsid w:val="00BC6BF2"/>
    <w:rsid w:val="00BC6C79"/>
    <w:rsid w:val="00BC6CFD"/>
    <w:rsid w:val="00BC6D56"/>
    <w:rsid w:val="00BC6D5E"/>
    <w:rsid w:val="00BC6D5F"/>
    <w:rsid w:val="00BC6DA7"/>
    <w:rsid w:val="00BC6DF6"/>
    <w:rsid w:val="00BC6E19"/>
    <w:rsid w:val="00BC6E2F"/>
    <w:rsid w:val="00BC6E75"/>
    <w:rsid w:val="00BC6F1F"/>
    <w:rsid w:val="00BC7005"/>
    <w:rsid w:val="00BC70C2"/>
    <w:rsid w:val="00BC715E"/>
    <w:rsid w:val="00BC722F"/>
    <w:rsid w:val="00BC726D"/>
    <w:rsid w:val="00BC72B1"/>
    <w:rsid w:val="00BC7315"/>
    <w:rsid w:val="00BC7381"/>
    <w:rsid w:val="00BC74EB"/>
    <w:rsid w:val="00BC7581"/>
    <w:rsid w:val="00BC76A4"/>
    <w:rsid w:val="00BC7702"/>
    <w:rsid w:val="00BC7781"/>
    <w:rsid w:val="00BC7835"/>
    <w:rsid w:val="00BC7854"/>
    <w:rsid w:val="00BC7863"/>
    <w:rsid w:val="00BC78E0"/>
    <w:rsid w:val="00BC796A"/>
    <w:rsid w:val="00BC7AF5"/>
    <w:rsid w:val="00BC7B63"/>
    <w:rsid w:val="00BC7BFC"/>
    <w:rsid w:val="00BC7C4D"/>
    <w:rsid w:val="00BC7CDB"/>
    <w:rsid w:val="00BC7D5C"/>
    <w:rsid w:val="00BC7E9A"/>
    <w:rsid w:val="00BC7FC8"/>
    <w:rsid w:val="00BC7FD5"/>
    <w:rsid w:val="00BD0074"/>
    <w:rsid w:val="00BD010B"/>
    <w:rsid w:val="00BD0137"/>
    <w:rsid w:val="00BD0199"/>
    <w:rsid w:val="00BD0233"/>
    <w:rsid w:val="00BD030E"/>
    <w:rsid w:val="00BD034F"/>
    <w:rsid w:val="00BD037E"/>
    <w:rsid w:val="00BD0398"/>
    <w:rsid w:val="00BD03B2"/>
    <w:rsid w:val="00BD0443"/>
    <w:rsid w:val="00BD048E"/>
    <w:rsid w:val="00BD04C5"/>
    <w:rsid w:val="00BD04D1"/>
    <w:rsid w:val="00BD05FC"/>
    <w:rsid w:val="00BD0656"/>
    <w:rsid w:val="00BD06C5"/>
    <w:rsid w:val="00BD0722"/>
    <w:rsid w:val="00BD075A"/>
    <w:rsid w:val="00BD07AB"/>
    <w:rsid w:val="00BD0920"/>
    <w:rsid w:val="00BD0961"/>
    <w:rsid w:val="00BD0972"/>
    <w:rsid w:val="00BD09D1"/>
    <w:rsid w:val="00BD0A7C"/>
    <w:rsid w:val="00BD0AB0"/>
    <w:rsid w:val="00BD0B0F"/>
    <w:rsid w:val="00BD0B8C"/>
    <w:rsid w:val="00BD0BB1"/>
    <w:rsid w:val="00BD0BE6"/>
    <w:rsid w:val="00BD0CD4"/>
    <w:rsid w:val="00BD0D31"/>
    <w:rsid w:val="00BD0D4F"/>
    <w:rsid w:val="00BD0DC0"/>
    <w:rsid w:val="00BD0DD4"/>
    <w:rsid w:val="00BD0EEF"/>
    <w:rsid w:val="00BD0F11"/>
    <w:rsid w:val="00BD11C4"/>
    <w:rsid w:val="00BD11FC"/>
    <w:rsid w:val="00BD130B"/>
    <w:rsid w:val="00BD13B5"/>
    <w:rsid w:val="00BD154B"/>
    <w:rsid w:val="00BD15DA"/>
    <w:rsid w:val="00BD160A"/>
    <w:rsid w:val="00BD1822"/>
    <w:rsid w:val="00BD193E"/>
    <w:rsid w:val="00BD1960"/>
    <w:rsid w:val="00BD19B1"/>
    <w:rsid w:val="00BD19B4"/>
    <w:rsid w:val="00BD1C01"/>
    <w:rsid w:val="00BD1C5F"/>
    <w:rsid w:val="00BD1D02"/>
    <w:rsid w:val="00BD1D41"/>
    <w:rsid w:val="00BD1E22"/>
    <w:rsid w:val="00BD1E3E"/>
    <w:rsid w:val="00BD1E6D"/>
    <w:rsid w:val="00BD1F01"/>
    <w:rsid w:val="00BD2345"/>
    <w:rsid w:val="00BD23B8"/>
    <w:rsid w:val="00BD23F5"/>
    <w:rsid w:val="00BD243C"/>
    <w:rsid w:val="00BD26A2"/>
    <w:rsid w:val="00BD2725"/>
    <w:rsid w:val="00BD276C"/>
    <w:rsid w:val="00BD27DB"/>
    <w:rsid w:val="00BD281A"/>
    <w:rsid w:val="00BD28C3"/>
    <w:rsid w:val="00BD2921"/>
    <w:rsid w:val="00BD2950"/>
    <w:rsid w:val="00BD298B"/>
    <w:rsid w:val="00BD29FB"/>
    <w:rsid w:val="00BD2A1F"/>
    <w:rsid w:val="00BD2AA1"/>
    <w:rsid w:val="00BD2AC3"/>
    <w:rsid w:val="00BD2BC5"/>
    <w:rsid w:val="00BD2CA5"/>
    <w:rsid w:val="00BD2CB3"/>
    <w:rsid w:val="00BD2CCF"/>
    <w:rsid w:val="00BD2DB6"/>
    <w:rsid w:val="00BD2E42"/>
    <w:rsid w:val="00BD2E56"/>
    <w:rsid w:val="00BD2EF9"/>
    <w:rsid w:val="00BD2F5A"/>
    <w:rsid w:val="00BD2FE5"/>
    <w:rsid w:val="00BD3089"/>
    <w:rsid w:val="00BD30C5"/>
    <w:rsid w:val="00BD321A"/>
    <w:rsid w:val="00BD328C"/>
    <w:rsid w:val="00BD3303"/>
    <w:rsid w:val="00BD33A4"/>
    <w:rsid w:val="00BD33D4"/>
    <w:rsid w:val="00BD34B4"/>
    <w:rsid w:val="00BD3506"/>
    <w:rsid w:val="00BD35F0"/>
    <w:rsid w:val="00BD36DB"/>
    <w:rsid w:val="00BD3760"/>
    <w:rsid w:val="00BD386A"/>
    <w:rsid w:val="00BD3930"/>
    <w:rsid w:val="00BD3946"/>
    <w:rsid w:val="00BD395D"/>
    <w:rsid w:val="00BD39E0"/>
    <w:rsid w:val="00BD3A99"/>
    <w:rsid w:val="00BD3ABD"/>
    <w:rsid w:val="00BD3C0F"/>
    <w:rsid w:val="00BD3D43"/>
    <w:rsid w:val="00BD4038"/>
    <w:rsid w:val="00BD4088"/>
    <w:rsid w:val="00BD40B1"/>
    <w:rsid w:val="00BD40B2"/>
    <w:rsid w:val="00BD4113"/>
    <w:rsid w:val="00BD4189"/>
    <w:rsid w:val="00BD422A"/>
    <w:rsid w:val="00BD4288"/>
    <w:rsid w:val="00BD4363"/>
    <w:rsid w:val="00BD4373"/>
    <w:rsid w:val="00BD4453"/>
    <w:rsid w:val="00BD44BE"/>
    <w:rsid w:val="00BD44F2"/>
    <w:rsid w:val="00BD4566"/>
    <w:rsid w:val="00BD457A"/>
    <w:rsid w:val="00BD45D1"/>
    <w:rsid w:val="00BD486C"/>
    <w:rsid w:val="00BD499F"/>
    <w:rsid w:val="00BD49B2"/>
    <w:rsid w:val="00BD49D4"/>
    <w:rsid w:val="00BD4A0F"/>
    <w:rsid w:val="00BD4B45"/>
    <w:rsid w:val="00BD4CB9"/>
    <w:rsid w:val="00BD4D1D"/>
    <w:rsid w:val="00BD4E04"/>
    <w:rsid w:val="00BD4ECC"/>
    <w:rsid w:val="00BD4EE6"/>
    <w:rsid w:val="00BD4F6A"/>
    <w:rsid w:val="00BD4F85"/>
    <w:rsid w:val="00BD4FB3"/>
    <w:rsid w:val="00BD5215"/>
    <w:rsid w:val="00BD52D0"/>
    <w:rsid w:val="00BD537C"/>
    <w:rsid w:val="00BD550A"/>
    <w:rsid w:val="00BD5534"/>
    <w:rsid w:val="00BD5561"/>
    <w:rsid w:val="00BD5667"/>
    <w:rsid w:val="00BD56CB"/>
    <w:rsid w:val="00BD5957"/>
    <w:rsid w:val="00BD5998"/>
    <w:rsid w:val="00BD59E6"/>
    <w:rsid w:val="00BD59F5"/>
    <w:rsid w:val="00BD5A46"/>
    <w:rsid w:val="00BD5AAA"/>
    <w:rsid w:val="00BD5B02"/>
    <w:rsid w:val="00BD5B17"/>
    <w:rsid w:val="00BD5B4B"/>
    <w:rsid w:val="00BD5BB8"/>
    <w:rsid w:val="00BD5CD6"/>
    <w:rsid w:val="00BD5D31"/>
    <w:rsid w:val="00BD5D63"/>
    <w:rsid w:val="00BD5F0A"/>
    <w:rsid w:val="00BD5F1F"/>
    <w:rsid w:val="00BD5F34"/>
    <w:rsid w:val="00BD5FA5"/>
    <w:rsid w:val="00BD5FAD"/>
    <w:rsid w:val="00BD5FB5"/>
    <w:rsid w:val="00BD5FDB"/>
    <w:rsid w:val="00BD6019"/>
    <w:rsid w:val="00BD6067"/>
    <w:rsid w:val="00BD6241"/>
    <w:rsid w:val="00BD63A9"/>
    <w:rsid w:val="00BD6474"/>
    <w:rsid w:val="00BD661C"/>
    <w:rsid w:val="00BD6736"/>
    <w:rsid w:val="00BD6753"/>
    <w:rsid w:val="00BD6844"/>
    <w:rsid w:val="00BD68AC"/>
    <w:rsid w:val="00BD68C5"/>
    <w:rsid w:val="00BD68DE"/>
    <w:rsid w:val="00BD6A8A"/>
    <w:rsid w:val="00BD6A8D"/>
    <w:rsid w:val="00BD6AC7"/>
    <w:rsid w:val="00BD6B89"/>
    <w:rsid w:val="00BD6C09"/>
    <w:rsid w:val="00BD6C19"/>
    <w:rsid w:val="00BD6C64"/>
    <w:rsid w:val="00BD6D11"/>
    <w:rsid w:val="00BD6D90"/>
    <w:rsid w:val="00BD6DD4"/>
    <w:rsid w:val="00BD6E09"/>
    <w:rsid w:val="00BD6E6C"/>
    <w:rsid w:val="00BD6F5B"/>
    <w:rsid w:val="00BD708D"/>
    <w:rsid w:val="00BD724B"/>
    <w:rsid w:val="00BD732F"/>
    <w:rsid w:val="00BD7426"/>
    <w:rsid w:val="00BD753B"/>
    <w:rsid w:val="00BD75A7"/>
    <w:rsid w:val="00BD762E"/>
    <w:rsid w:val="00BD77E8"/>
    <w:rsid w:val="00BD7948"/>
    <w:rsid w:val="00BD798B"/>
    <w:rsid w:val="00BD79CC"/>
    <w:rsid w:val="00BD7A50"/>
    <w:rsid w:val="00BD7B4E"/>
    <w:rsid w:val="00BD7BA5"/>
    <w:rsid w:val="00BD7C23"/>
    <w:rsid w:val="00BD7C75"/>
    <w:rsid w:val="00BD7F0C"/>
    <w:rsid w:val="00BD7F4F"/>
    <w:rsid w:val="00BD7F99"/>
    <w:rsid w:val="00BD7FB8"/>
    <w:rsid w:val="00BD7FD7"/>
    <w:rsid w:val="00BE00BE"/>
    <w:rsid w:val="00BE00F6"/>
    <w:rsid w:val="00BE0116"/>
    <w:rsid w:val="00BE02C0"/>
    <w:rsid w:val="00BE036B"/>
    <w:rsid w:val="00BE03B4"/>
    <w:rsid w:val="00BE03D7"/>
    <w:rsid w:val="00BE0438"/>
    <w:rsid w:val="00BE0470"/>
    <w:rsid w:val="00BE0472"/>
    <w:rsid w:val="00BE048A"/>
    <w:rsid w:val="00BE048C"/>
    <w:rsid w:val="00BE04C6"/>
    <w:rsid w:val="00BE05B5"/>
    <w:rsid w:val="00BE060B"/>
    <w:rsid w:val="00BE0610"/>
    <w:rsid w:val="00BE0729"/>
    <w:rsid w:val="00BE08BC"/>
    <w:rsid w:val="00BE09BE"/>
    <w:rsid w:val="00BE0A87"/>
    <w:rsid w:val="00BE0BBF"/>
    <w:rsid w:val="00BE0BF1"/>
    <w:rsid w:val="00BE0CC8"/>
    <w:rsid w:val="00BE0D6F"/>
    <w:rsid w:val="00BE0DA3"/>
    <w:rsid w:val="00BE0EF1"/>
    <w:rsid w:val="00BE0FAA"/>
    <w:rsid w:val="00BE0FB0"/>
    <w:rsid w:val="00BE1199"/>
    <w:rsid w:val="00BE121C"/>
    <w:rsid w:val="00BE12A7"/>
    <w:rsid w:val="00BE1368"/>
    <w:rsid w:val="00BE142A"/>
    <w:rsid w:val="00BE14AB"/>
    <w:rsid w:val="00BE14BF"/>
    <w:rsid w:val="00BE1540"/>
    <w:rsid w:val="00BE1598"/>
    <w:rsid w:val="00BE187B"/>
    <w:rsid w:val="00BE1898"/>
    <w:rsid w:val="00BE18C0"/>
    <w:rsid w:val="00BE19DE"/>
    <w:rsid w:val="00BE1A3A"/>
    <w:rsid w:val="00BE1A9C"/>
    <w:rsid w:val="00BE1AC3"/>
    <w:rsid w:val="00BE1B5E"/>
    <w:rsid w:val="00BE1B72"/>
    <w:rsid w:val="00BE1BE4"/>
    <w:rsid w:val="00BE1BF3"/>
    <w:rsid w:val="00BE1C04"/>
    <w:rsid w:val="00BE1C1B"/>
    <w:rsid w:val="00BE1C95"/>
    <w:rsid w:val="00BE1D30"/>
    <w:rsid w:val="00BE1F30"/>
    <w:rsid w:val="00BE2003"/>
    <w:rsid w:val="00BE2105"/>
    <w:rsid w:val="00BE21DE"/>
    <w:rsid w:val="00BE237C"/>
    <w:rsid w:val="00BE2447"/>
    <w:rsid w:val="00BE24E3"/>
    <w:rsid w:val="00BE26D0"/>
    <w:rsid w:val="00BE26ED"/>
    <w:rsid w:val="00BE27E4"/>
    <w:rsid w:val="00BE2840"/>
    <w:rsid w:val="00BE2902"/>
    <w:rsid w:val="00BE293A"/>
    <w:rsid w:val="00BE2973"/>
    <w:rsid w:val="00BE29D5"/>
    <w:rsid w:val="00BE2C07"/>
    <w:rsid w:val="00BE2C62"/>
    <w:rsid w:val="00BE2C68"/>
    <w:rsid w:val="00BE2D0E"/>
    <w:rsid w:val="00BE2D78"/>
    <w:rsid w:val="00BE2DAA"/>
    <w:rsid w:val="00BE2E2E"/>
    <w:rsid w:val="00BE2EC7"/>
    <w:rsid w:val="00BE2EDC"/>
    <w:rsid w:val="00BE2F2E"/>
    <w:rsid w:val="00BE2F67"/>
    <w:rsid w:val="00BE3169"/>
    <w:rsid w:val="00BE3183"/>
    <w:rsid w:val="00BE31BF"/>
    <w:rsid w:val="00BE3360"/>
    <w:rsid w:val="00BE339D"/>
    <w:rsid w:val="00BE33E1"/>
    <w:rsid w:val="00BE33F3"/>
    <w:rsid w:val="00BE34D6"/>
    <w:rsid w:val="00BE366A"/>
    <w:rsid w:val="00BE3692"/>
    <w:rsid w:val="00BE3719"/>
    <w:rsid w:val="00BE371F"/>
    <w:rsid w:val="00BE3997"/>
    <w:rsid w:val="00BE39BA"/>
    <w:rsid w:val="00BE3B08"/>
    <w:rsid w:val="00BE3CAB"/>
    <w:rsid w:val="00BE3CAF"/>
    <w:rsid w:val="00BE3CDF"/>
    <w:rsid w:val="00BE3CE4"/>
    <w:rsid w:val="00BE3E57"/>
    <w:rsid w:val="00BE3F41"/>
    <w:rsid w:val="00BE3F7C"/>
    <w:rsid w:val="00BE3F98"/>
    <w:rsid w:val="00BE3FA7"/>
    <w:rsid w:val="00BE407C"/>
    <w:rsid w:val="00BE409C"/>
    <w:rsid w:val="00BE4188"/>
    <w:rsid w:val="00BE41DE"/>
    <w:rsid w:val="00BE429D"/>
    <w:rsid w:val="00BE4373"/>
    <w:rsid w:val="00BE43FF"/>
    <w:rsid w:val="00BE4570"/>
    <w:rsid w:val="00BE45B3"/>
    <w:rsid w:val="00BE47BF"/>
    <w:rsid w:val="00BE47E9"/>
    <w:rsid w:val="00BE486F"/>
    <w:rsid w:val="00BE4ADA"/>
    <w:rsid w:val="00BE4B94"/>
    <w:rsid w:val="00BE4D56"/>
    <w:rsid w:val="00BE4E07"/>
    <w:rsid w:val="00BE4E0A"/>
    <w:rsid w:val="00BE4F11"/>
    <w:rsid w:val="00BE4F23"/>
    <w:rsid w:val="00BE50F2"/>
    <w:rsid w:val="00BE51AD"/>
    <w:rsid w:val="00BE51BA"/>
    <w:rsid w:val="00BE51DD"/>
    <w:rsid w:val="00BE527F"/>
    <w:rsid w:val="00BE530A"/>
    <w:rsid w:val="00BE5348"/>
    <w:rsid w:val="00BE5374"/>
    <w:rsid w:val="00BE538B"/>
    <w:rsid w:val="00BE53C2"/>
    <w:rsid w:val="00BE5460"/>
    <w:rsid w:val="00BE54BF"/>
    <w:rsid w:val="00BE5625"/>
    <w:rsid w:val="00BE56DE"/>
    <w:rsid w:val="00BE5815"/>
    <w:rsid w:val="00BE58BB"/>
    <w:rsid w:val="00BE5A5E"/>
    <w:rsid w:val="00BE5AF0"/>
    <w:rsid w:val="00BE5B16"/>
    <w:rsid w:val="00BE5B45"/>
    <w:rsid w:val="00BE5B47"/>
    <w:rsid w:val="00BE5C64"/>
    <w:rsid w:val="00BE5CAC"/>
    <w:rsid w:val="00BE5E67"/>
    <w:rsid w:val="00BE5E9B"/>
    <w:rsid w:val="00BE5FC5"/>
    <w:rsid w:val="00BE603B"/>
    <w:rsid w:val="00BE611D"/>
    <w:rsid w:val="00BE6165"/>
    <w:rsid w:val="00BE627A"/>
    <w:rsid w:val="00BE62DE"/>
    <w:rsid w:val="00BE63A2"/>
    <w:rsid w:val="00BE64C4"/>
    <w:rsid w:val="00BE653E"/>
    <w:rsid w:val="00BE6587"/>
    <w:rsid w:val="00BE666A"/>
    <w:rsid w:val="00BE66FA"/>
    <w:rsid w:val="00BE6754"/>
    <w:rsid w:val="00BE6790"/>
    <w:rsid w:val="00BE6883"/>
    <w:rsid w:val="00BE68BD"/>
    <w:rsid w:val="00BE6901"/>
    <w:rsid w:val="00BE69A8"/>
    <w:rsid w:val="00BE6B04"/>
    <w:rsid w:val="00BE6BCF"/>
    <w:rsid w:val="00BE6BDD"/>
    <w:rsid w:val="00BE6CE8"/>
    <w:rsid w:val="00BE6E3F"/>
    <w:rsid w:val="00BE6EC4"/>
    <w:rsid w:val="00BE6F13"/>
    <w:rsid w:val="00BE6F1C"/>
    <w:rsid w:val="00BE6F79"/>
    <w:rsid w:val="00BE7102"/>
    <w:rsid w:val="00BE7167"/>
    <w:rsid w:val="00BE71AB"/>
    <w:rsid w:val="00BE7208"/>
    <w:rsid w:val="00BE726A"/>
    <w:rsid w:val="00BE7286"/>
    <w:rsid w:val="00BE72DC"/>
    <w:rsid w:val="00BE7394"/>
    <w:rsid w:val="00BE749C"/>
    <w:rsid w:val="00BE74AF"/>
    <w:rsid w:val="00BE74D7"/>
    <w:rsid w:val="00BE766B"/>
    <w:rsid w:val="00BE76A0"/>
    <w:rsid w:val="00BE76DE"/>
    <w:rsid w:val="00BE7730"/>
    <w:rsid w:val="00BE7825"/>
    <w:rsid w:val="00BE78CE"/>
    <w:rsid w:val="00BE7A76"/>
    <w:rsid w:val="00BE7B91"/>
    <w:rsid w:val="00BE7CCD"/>
    <w:rsid w:val="00BE7CE3"/>
    <w:rsid w:val="00BE7EE4"/>
    <w:rsid w:val="00BE7F3F"/>
    <w:rsid w:val="00BF00BF"/>
    <w:rsid w:val="00BF00E4"/>
    <w:rsid w:val="00BF0321"/>
    <w:rsid w:val="00BF034F"/>
    <w:rsid w:val="00BF03EA"/>
    <w:rsid w:val="00BF03EB"/>
    <w:rsid w:val="00BF0420"/>
    <w:rsid w:val="00BF0444"/>
    <w:rsid w:val="00BF0449"/>
    <w:rsid w:val="00BF04B3"/>
    <w:rsid w:val="00BF05A9"/>
    <w:rsid w:val="00BF0662"/>
    <w:rsid w:val="00BF0705"/>
    <w:rsid w:val="00BF0758"/>
    <w:rsid w:val="00BF07E5"/>
    <w:rsid w:val="00BF0936"/>
    <w:rsid w:val="00BF0960"/>
    <w:rsid w:val="00BF09C4"/>
    <w:rsid w:val="00BF0B01"/>
    <w:rsid w:val="00BF0BA3"/>
    <w:rsid w:val="00BF0C32"/>
    <w:rsid w:val="00BF0C3C"/>
    <w:rsid w:val="00BF0C42"/>
    <w:rsid w:val="00BF0D26"/>
    <w:rsid w:val="00BF0D7B"/>
    <w:rsid w:val="00BF0EA6"/>
    <w:rsid w:val="00BF0EE1"/>
    <w:rsid w:val="00BF0FB2"/>
    <w:rsid w:val="00BF1049"/>
    <w:rsid w:val="00BF10BB"/>
    <w:rsid w:val="00BF11A6"/>
    <w:rsid w:val="00BF11AC"/>
    <w:rsid w:val="00BF11B1"/>
    <w:rsid w:val="00BF11B9"/>
    <w:rsid w:val="00BF1302"/>
    <w:rsid w:val="00BF139E"/>
    <w:rsid w:val="00BF13C5"/>
    <w:rsid w:val="00BF141F"/>
    <w:rsid w:val="00BF14A5"/>
    <w:rsid w:val="00BF14E7"/>
    <w:rsid w:val="00BF15DF"/>
    <w:rsid w:val="00BF17A5"/>
    <w:rsid w:val="00BF186F"/>
    <w:rsid w:val="00BF18BE"/>
    <w:rsid w:val="00BF18DA"/>
    <w:rsid w:val="00BF1A40"/>
    <w:rsid w:val="00BF1A77"/>
    <w:rsid w:val="00BF1AFB"/>
    <w:rsid w:val="00BF1B54"/>
    <w:rsid w:val="00BF1BD9"/>
    <w:rsid w:val="00BF1C4D"/>
    <w:rsid w:val="00BF1C85"/>
    <w:rsid w:val="00BF1D4F"/>
    <w:rsid w:val="00BF1D52"/>
    <w:rsid w:val="00BF1D74"/>
    <w:rsid w:val="00BF1DA8"/>
    <w:rsid w:val="00BF1DF5"/>
    <w:rsid w:val="00BF1E2B"/>
    <w:rsid w:val="00BF1EF0"/>
    <w:rsid w:val="00BF2147"/>
    <w:rsid w:val="00BF21A8"/>
    <w:rsid w:val="00BF224B"/>
    <w:rsid w:val="00BF22EC"/>
    <w:rsid w:val="00BF2417"/>
    <w:rsid w:val="00BF2573"/>
    <w:rsid w:val="00BF25FC"/>
    <w:rsid w:val="00BF2616"/>
    <w:rsid w:val="00BF265C"/>
    <w:rsid w:val="00BF26C3"/>
    <w:rsid w:val="00BF2762"/>
    <w:rsid w:val="00BF2799"/>
    <w:rsid w:val="00BF27B0"/>
    <w:rsid w:val="00BF27E5"/>
    <w:rsid w:val="00BF282D"/>
    <w:rsid w:val="00BF2893"/>
    <w:rsid w:val="00BF29D5"/>
    <w:rsid w:val="00BF2A04"/>
    <w:rsid w:val="00BF2A72"/>
    <w:rsid w:val="00BF2AA5"/>
    <w:rsid w:val="00BF2B04"/>
    <w:rsid w:val="00BF2D6E"/>
    <w:rsid w:val="00BF2FDC"/>
    <w:rsid w:val="00BF31A3"/>
    <w:rsid w:val="00BF31E5"/>
    <w:rsid w:val="00BF3230"/>
    <w:rsid w:val="00BF3364"/>
    <w:rsid w:val="00BF33F1"/>
    <w:rsid w:val="00BF34F5"/>
    <w:rsid w:val="00BF35DA"/>
    <w:rsid w:val="00BF3740"/>
    <w:rsid w:val="00BF3755"/>
    <w:rsid w:val="00BF3828"/>
    <w:rsid w:val="00BF38AD"/>
    <w:rsid w:val="00BF3921"/>
    <w:rsid w:val="00BF393F"/>
    <w:rsid w:val="00BF39AE"/>
    <w:rsid w:val="00BF3A1D"/>
    <w:rsid w:val="00BF3A57"/>
    <w:rsid w:val="00BF3A93"/>
    <w:rsid w:val="00BF3C15"/>
    <w:rsid w:val="00BF3C4B"/>
    <w:rsid w:val="00BF3C9C"/>
    <w:rsid w:val="00BF3D44"/>
    <w:rsid w:val="00BF41EC"/>
    <w:rsid w:val="00BF4203"/>
    <w:rsid w:val="00BF4224"/>
    <w:rsid w:val="00BF4259"/>
    <w:rsid w:val="00BF43FF"/>
    <w:rsid w:val="00BF452D"/>
    <w:rsid w:val="00BF4600"/>
    <w:rsid w:val="00BF4632"/>
    <w:rsid w:val="00BF4663"/>
    <w:rsid w:val="00BF46D8"/>
    <w:rsid w:val="00BF472C"/>
    <w:rsid w:val="00BF4771"/>
    <w:rsid w:val="00BF483D"/>
    <w:rsid w:val="00BF4B43"/>
    <w:rsid w:val="00BF4D02"/>
    <w:rsid w:val="00BF4EE3"/>
    <w:rsid w:val="00BF5067"/>
    <w:rsid w:val="00BF5193"/>
    <w:rsid w:val="00BF51D1"/>
    <w:rsid w:val="00BF51ED"/>
    <w:rsid w:val="00BF52DE"/>
    <w:rsid w:val="00BF53AF"/>
    <w:rsid w:val="00BF541E"/>
    <w:rsid w:val="00BF545E"/>
    <w:rsid w:val="00BF54CF"/>
    <w:rsid w:val="00BF54D3"/>
    <w:rsid w:val="00BF5541"/>
    <w:rsid w:val="00BF556B"/>
    <w:rsid w:val="00BF563B"/>
    <w:rsid w:val="00BF5648"/>
    <w:rsid w:val="00BF588D"/>
    <w:rsid w:val="00BF591C"/>
    <w:rsid w:val="00BF59E0"/>
    <w:rsid w:val="00BF5A0A"/>
    <w:rsid w:val="00BF5B14"/>
    <w:rsid w:val="00BF5BDF"/>
    <w:rsid w:val="00BF5C20"/>
    <w:rsid w:val="00BF5C3A"/>
    <w:rsid w:val="00BF5CD2"/>
    <w:rsid w:val="00BF5D55"/>
    <w:rsid w:val="00BF608A"/>
    <w:rsid w:val="00BF611A"/>
    <w:rsid w:val="00BF61B4"/>
    <w:rsid w:val="00BF6232"/>
    <w:rsid w:val="00BF630D"/>
    <w:rsid w:val="00BF6318"/>
    <w:rsid w:val="00BF6332"/>
    <w:rsid w:val="00BF6351"/>
    <w:rsid w:val="00BF6382"/>
    <w:rsid w:val="00BF63D3"/>
    <w:rsid w:val="00BF64EC"/>
    <w:rsid w:val="00BF6527"/>
    <w:rsid w:val="00BF6545"/>
    <w:rsid w:val="00BF6595"/>
    <w:rsid w:val="00BF667C"/>
    <w:rsid w:val="00BF66A2"/>
    <w:rsid w:val="00BF685C"/>
    <w:rsid w:val="00BF690F"/>
    <w:rsid w:val="00BF6B86"/>
    <w:rsid w:val="00BF6BF5"/>
    <w:rsid w:val="00BF6D25"/>
    <w:rsid w:val="00BF6E65"/>
    <w:rsid w:val="00BF7109"/>
    <w:rsid w:val="00BF7258"/>
    <w:rsid w:val="00BF7283"/>
    <w:rsid w:val="00BF7314"/>
    <w:rsid w:val="00BF744A"/>
    <w:rsid w:val="00BF75A5"/>
    <w:rsid w:val="00BF76B0"/>
    <w:rsid w:val="00BF76FE"/>
    <w:rsid w:val="00BF770C"/>
    <w:rsid w:val="00BF78CA"/>
    <w:rsid w:val="00BF7941"/>
    <w:rsid w:val="00BF7950"/>
    <w:rsid w:val="00BF79A8"/>
    <w:rsid w:val="00BF79C8"/>
    <w:rsid w:val="00BF7B65"/>
    <w:rsid w:val="00BF7B93"/>
    <w:rsid w:val="00BF7C0D"/>
    <w:rsid w:val="00BF7C54"/>
    <w:rsid w:val="00BF7CA9"/>
    <w:rsid w:val="00BF7D62"/>
    <w:rsid w:val="00BF7E35"/>
    <w:rsid w:val="00BF7EC6"/>
    <w:rsid w:val="00BF7EDC"/>
    <w:rsid w:val="00BF7F1B"/>
    <w:rsid w:val="00BF7F47"/>
    <w:rsid w:val="00C00163"/>
    <w:rsid w:val="00C003CC"/>
    <w:rsid w:val="00C003D4"/>
    <w:rsid w:val="00C00451"/>
    <w:rsid w:val="00C00461"/>
    <w:rsid w:val="00C004A0"/>
    <w:rsid w:val="00C006D6"/>
    <w:rsid w:val="00C00787"/>
    <w:rsid w:val="00C00850"/>
    <w:rsid w:val="00C0086C"/>
    <w:rsid w:val="00C00911"/>
    <w:rsid w:val="00C00A88"/>
    <w:rsid w:val="00C00BB3"/>
    <w:rsid w:val="00C00C91"/>
    <w:rsid w:val="00C00E1F"/>
    <w:rsid w:val="00C00FB5"/>
    <w:rsid w:val="00C010C1"/>
    <w:rsid w:val="00C011DD"/>
    <w:rsid w:val="00C011E7"/>
    <w:rsid w:val="00C01294"/>
    <w:rsid w:val="00C01296"/>
    <w:rsid w:val="00C01331"/>
    <w:rsid w:val="00C01345"/>
    <w:rsid w:val="00C014EC"/>
    <w:rsid w:val="00C01586"/>
    <w:rsid w:val="00C015B1"/>
    <w:rsid w:val="00C0168B"/>
    <w:rsid w:val="00C016A9"/>
    <w:rsid w:val="00C01773"/>
    <w:rsid w:val="00C01801"/>
    <w:rsid w:val="00C01897"/>
    <w:rsid w:val="00C0189E"/>
    <w:rsid w:val="00C01928"/>
    <w:rsid w:val="00C01A1A"/>
    <w:rsid w:val="00C01A20"/>
    <w:rsid w:val="00C01B10"/>
    <w:rsid w:val="00C01B21"/>
    <w:rsid w:val="00C01C78"/>
    <w:rsid w:val="00C01CD1"/>
    <w:rsid w:val="00C01D5F"/>
    <w:rsid w:val="00C01D9C"/>
    <w:rsid w:val="00C01F6A"/>
    <w:rsid w:val="00C01FD8"/>
    <w:rsid w:val="00C02058"/>
    <w:rsid w:val="00C02127"/>
    <w:rsid w:val="00C0219B"/>
    <w:rsid w:val="00C021C9"/>
    <w:rsid w:val="00C02331"/>
    <w:rsid w:val="00C0236A"/>
    <w:rsid w:val="00C0237F"/>
    <w:rsid w:val="00C0238D"/>
    <w:rsid w:val="00C023ED"/>
    <w:rsid w:val="00C024F1"/>
    <w:rsid w:val="00C025B4"/>
    <w:rsid w:val="00C025E8"/>
    <w:rsid w:val="00C02608"/>
    <w:rsid w:val="00C02664"/>
    <w:rsid w:val="00C02787"/>
    <w:rsid w:val="00C027D4"/>
    <w:rsid w:val="00C028C2"/>
    <w:rsid w:val="00C02A12"/>
    <w:rsid w:val="00C02A50"/>
    <w:rsid w:val="00C02D83"/>
    <w:rsid w:val="00C02DD3"/>
    <w:rsid w:val="00C02FD2"/>
    <w:rsid w:val="00C02FD5"/>
    <w:rsid w:val="00C0308D"/>
    <w:rsid w:val="00C031B1"/>
    <w:rsid w:val="00C03335"/>
    <w:rsid w:val="00C03338"/>
    <w:rsid w:val="00C0338C"/>
    <w:rsid w:val="00C0339A"/>
    <w:rsid w:val="00C033BA"/>
    <w:rsid w:val="00C033C0"/>
    <w:rsid w:val="00C033C1"/>
    <w:rsid w:val="00C033F5"/>
    <w:rsid w:val="00C0345A"/>
    <w:rsid w:val="00C0349A"/>
    <w:rsid w:val="00C03511"/>
    <w:rsid w:val="00C0352C"/>
    <w:rsid w:val="00C0358A"/>
    <w:rsid w:val="00C035CF"/>
    <w:rsid w:val="00C03642"/>
    <w:rsid w:val="00C036F9"/>
    <w:rsid w:val="00C036FE"/>
    <w:rsid w:val="00C03738"/>
    <w:rsid w:val="00C03790"/>
    <w:rsid w:val="00C037FA"/>
    <w:rsid w:val="00C038D6"/>
    <w:rsid w:val="00C03B7C"/>
    <w:rsid w:val="00C03BC2"/>
    <w:rsid w:val="00C03C00"/>
    <w:rsid w:val="00C03CF0"/>
    <w:rsid w:val="00C03D01"/>
    <w:rsid w:val="00C03D9A"/>
    <w:rsid w:val="00C03DCB"/>
    <w:rsid w:val="00C03E61"/>
    <w:rsid w:val="00C03F55"/>
    <w:rsid w:val="00C03F97"/>
    <w:rsid w:val="00C04127"/>
    <w:rsid w:val="00C04187"/>
    <w:rsid w:val="00C04340"/>
    <w:rsid w:val="00C043D3"/>
    <w:rsid w:val="00C04472"/>
    <w:rsid w:val="00C044D4"/>
    <w:rsid w:val="00C0454A"/>
    <w:rsid w:val="00C04623"/>
    <w:rsid w:val="00C04674"/>
    <w:rsid w:val="00C046C1"/>
    <w:rsid w:val="00C046F2"/>
    <w:rsid w:val="00C0475D"/>
    <w:rsid w:val="00C047CF"/>
    <w:rsid w:val="00C047F9"/>
    <w:rsid w:val="00C0480A"/>
    <w:rsid w:val="00C04A0D"/>
    <w:rsid w:val="00C04AB4"/>
    <w:rsid w:val="00C04C3A"/>
    <w:rsid w:val="00C04C76"/>
    <w:rsid w:val="00C04D06"/>
    <w:rsid w:val="00C04E00"/>
    <w:rsid w:val="00C04E57"/>
    <w:rsid w:val="00C04EC4"/>
    <w:rsid w:val="00C04FA4"/>
    <w:rsid w:val="00C04FC4"/>
    <w:rsid w:val="00C0518B"/>
    <w:rsid w:val="00C051F1"/>
    <w:rsid w:val="00C053A4"/>
    <w:rsid w:val="00C05695"/>
    <w:rsid w:val="00C05700"/>
    <w:rsid w:val="00C057BC"/>
    <w:rsid w:val="00C058B6"/>
    <w:rsid w:val="00C059A8"/>
    <w:rsid w:val="00C05A11"/>
    <w:rsid w:val="00C05B4F"/>
    <w:rsid w:val="00C05B61"/>
    <w:rsid w:val="00C05CC4"/>
    <w:rsid w:val="00C05D04"/>
    <w:rsid w:val="00C05D21"/>
    <w:rsid w:val="00C05D4F"/>
    <w:rsid w:val="00C05D75"/>
    <w:rsid w:val="00C05D8B"/>
    <w:rsid w:val="00C05E37"/>
    <w:rsid w:val="00C05E62"/>
    <w:rsid w:val="00C05FA3"/>
    <w:rsid w:val="00C05FA8"/>
    <w:rsid w:val="00C05FB3"/>
    <w:rsid w:val="00C05FDC"/>
    <w:rsid w:val="00C05FFA"/>
    <w:rsid w:val="00C0602C"/>
    <w:rsid w:val="00C06072"/>
    <w:rsid w:val="00C06117"/>
    <w:rsid w:val="00C0613E"/>
    <w:rsid w:val="00C06144"/>
    <w:rsid w:val="00C0617D"/>
    <w:rsid w:val="00C0620A"/>
    <w:rsid w:val="00C06226"/>
    <w:rsid w:val="00C0637E"/>
    <w:rsid w:val="00C06462"/>
    <w:rsid w:val="00C064BD"/>
    <w:rsid w:val="00C06553"/>
    <w:rsid w:val="00C0665A"/>
    <w:rsid w:val="00C06765"/>
    <w:rsid w:val="00C069EB"/>
    <w:rsid w:val="00C06A11"/>
    <w:rsid w:val="00C06A2D"/>
    <w:rsid w:val="00C06A61"/>
    <w:rsid w:val="00C06B1A"/>
    <w:rsid w:val="00C06C52"/>
    <w:rsid w:val="00C06CB2"/>
    <w:rsid w:val="00C06D42"/>
    <w:rsid w:val="00C06EA4"/>
    <w:rsid w:val="00C06ECD"/>
    <w:rsid w:val="00C06ED9"/>
    <w:rsid w:val="00C072CD"/>
    <w:rsid w:val="00C07310"/>
    <w:rsid w:val="00C0733E"/>
    <w:rsid w:val="00C073B9"/>
    <w:rsid w:val="00C0740E"/>
    <w:rsid w:val="00C07451"/>
    <w:rsid w:val="00C074CD"/>
    <w:rsid w:val="00C0762C"/>
    <w:rsid w:val="00C076FA"/>
    <w:rsid w:val="00C07854"/>
    <w:rsid w:val="00C07888"/>
    <w:rsid w:val="00C078A0"/>
    <w:rsid w:val="00C078AA"/>
    <w:rsid w:val="00C07916"/>
    <w:rsid w:val="00C0793F"/>
    <w:rsid w:val="00C07951"/>
    <w:rsid w:val="00C07A18"/>
    <w:rsid w:val="00C07A25"/>
    <w:rsid w:val="00C07A31"/>
    <w:rsid w:val="00C07A56"/>
    <w:rsid w:val="00C07BC4"/>
    <w:rsid w:val="00C07C48"/>
    <w:rsid w:val="00C07C5D"/>
    <w:rsid w:val="00C07D03"/>
    <w:rsid w:val="00C07E12"/>
    <w:rsid w:val="00C07E2E"/>
    <w:rsid w:val="00C07EC1"/>
    <w:rsid w:val="00C10084"/>
    <w:rsid w:val="00C100E1"/>
    <w:rsid w:val="00C10108"/>
    <w:rsid w:val="00C1018E"/>
    <w:rsid w:val="00C101E8"/>
    <w:rsid w:val="00C10224"/>
    <w:rsid w:val="00C103DF"/>
    <w:rsid w:val="00C104B8"/>
    <w:rsid w:val="00C104D6"/>
    <w:rsid w:val="00C105C9"/>
    <w:rsid w:val="00C106D3"/>
    <w:rsid w:val="00C10728"/>
    <w:rsid w:val="00C1072D"/>
    <w:rsid w:val="00C1073F"/>
    <w:rsid w:val="00C10768"/>
    <w:rsid w:val="00C107C3"/>
    <w:rsid w:val="00C107FF"/>
    <w:rsid w:val="00C1087D"/>
    <w:rsid w:val="00C10950"/>
    <w:rsid w:val="00C10960"/>
    <w:rsid w:val="00C10A06"/>
    <w:rsid w:val="00C10A58"/>
    <w:rsid w:val="00C10BAA"/>
    <w:rsid w:val="00C10BE7"/>
    <w:rsid w:val="00C10C09"/>
    <w:rsid w:val="00C10C68"/>
    <w:rsid w:val="00C10CD8"/>
    <w:rsid w:val="00C10D26"/>
    <w:rsid w:val="00C10DEE"/>
    <w:rsid w:val="00C10DF3"/>
    <w:rsid w:val="00C10DF5"/>
    <w:rsid w:val="00C10F10"/>
    <w:rsid w:val="00C10F7E"/>
    <w:rsid w:val="00C10FFD"/>
    <w:rsid w:val="00C11065"/>
    <w:rsid w:val="00C110D1"/>
    <w:rsid w:val="00C11179"/>
    <w:rsid w:val="00C112EE"/>
    <w:rsid w:val="00C11355"/>
    <w:rsid w:val="00C11363"/>
    <w:rsid w:val="00C114E1"/>
    <w:rsid w:val="00C115C2"/>
    <w:rsid w:val="00C1166C"/>
    <w:rsid w:val="00C11678"/>
    <w:rsid w:val="00C11838"/>
    <w:rsid w:val="00C11852"/>
    <w:rsid w:val="00C1186E"/>
    <w:rsid w:val="00C11871"/>
    <w:rsid w:val="00C1187C"/>
    <w:rsid w:val="00C1194D"/>
    <w:rsid w:val="00C11962"/>
    <w:rsid w:val="00C119D7"/>
    <w:rsid w:val="00C11BE1"/>
    <w:rsid w:val="00C11D0D"/>
    <w:rsid w:val="00C11D63"/>
    <w:rsid w:val="00C11D80"/>
    <w:rsid w:val="00C11DB0"/>
    <w:rsid w:val="00C11E6B"/>
    <w:rsid w:val="00C11EAF"/>
    <w:rsid w:val="00C11FAF"/>
    <w:rsid w:val="00C1205F"/>
    <w:rsid w:val="00C12141"/>
    <w:rsid w:val="00C121B0"/>
    <w:rsid w:val="00C1240E"/>
    <w:rsid w:val="00C1252B"/>
    <w:rsid w:val="00C125AE"/>
    <w:rsid w:val="00C126BB"/>
    <w:rsid w:val="00C1274A"/>
    <w:rsid w:val="00C127E4"/>
    <w:rsid w:val="00C1292F"/>
    <w:rsid w:val="00C129BE"/>
    <w:rsid w:val="00C12A80"/>
    <w:rsid w:val="00C12AB9"/>
    <w:rsid w:val="00C12B1B"/>
    <w:rsid w:val="00C12B7E"/>
    <w:rsid w:val="00C12B9A"/>
    <w:rsid w:val="00C12CC5"/>
    <w:rsid w:val="00C12CE8"/>
    <w:rsid w:val="00C12D26"/>
    <w:rsid w:val="00C12D4F"/>
    <w:rsid w:val="00C12D89"/>
    <w:rsid w:val="00C12DA0"/>
    <w:rsid w:val="00C12DFA"/>
    <w:rsid w:val="00C12E9A"/>
    <w:rsid w:val="00C12EA8"/>
    <w:rsid w:val="00C12EC4"/>
    <w:rsid w:val="00C12EFB"/>
    <w:rsid w:val="00C12FCF"/>
    <w:rsid w:val="00C13168"/>
    <w:rsid w:val="00C131B6"/>
    <w:rsid w:val="00C13215"/>
    <w:rsid w:val="00C1321D"/>
    <w:rsid w:val="00C1327F"/>
    <w:rsid w:val="00C1332C"/>
    <w:rsid w:val="00C133FA"/>
    <w:rsid w:val="00C134A5"/>
    <w:rsid w:val="00C13520"/>
    <w:rsid w:val="00C135DA"/>
    <w:rsid w:val="00C13633"/>
    <w:rsid w:val="00C1365C"/>
    <w:rsid w:val="00C13673"/>
    <w:rsid w:val="00C1367D"/>
    <w:rsid w:val="00C13823"/>
    <w:rsid w:val="00C1388E"/>
    <w:rsid w:val="00C138B8"/>
    <w:rsid w:val="00C13A88"/>
    <w:rsid w:val="00C13AA1"/>
    <w:rsid w:val="00C13B02"/>
    <w:rsid w:val="00C13B07"/>
    <w:rsid w:val="00C13B76"/>
    <w:rsid w:val="00C13CA6"/>
    <w:rsid w:val="00C13CCD"/>
    <w:rsid w:val="00C13D44"/>
    <w:rsid w:val="00C13DAA"/>
    <w:rsid w:val="00C13DC6"/>
    <w:rsid w:val="00C13E7B"/>
    <w:rsid w:val="00C13E8B"/>
    <w:rsid w:val="00C13F4C"/>
    <w:rsid w:val="00C13F76"/>
    <w:rsid w:val="00C13FAB"/>
    <w:rsid w:val="00C1401A"/>
    <w:rsid w:val="00C14043"/>
    <w:rsid w:val="00C1409B"/>
    <w:rsid w:val="00C140B0"/>
    <w:rsid w:val="00C140F0"/>
    <w:rsid w:val="00C14103"/>
    <w:rsid w:val="00C14318"/>
    <w:rsid w:val="00C14551"/>
    <w:rsid w:val="00C14559"/>
    <w:rsid w:val="00C1459C"/>
    <w:rsid w:val="00C147D9"/>
    <w:rsid w:val="00C14800"/>
    <w:rsid w:val="00C148AE"/>
    <w:rsid w:val="00C14956"/>
    <w:rsid w:val="00C149A0"/>
    <w:rsid w:val="00C14A35"/>
    <w:rsid w:val="00C14A96"/>
    <w:rsid w:val="00C14AA1"/>
    <w:rsid w:val="00C14AD0"/>
    <w:rsid w:val="00C14ADF"/>
    <w:rsid w:val="00C14B4A"/>
    <w:rsid w:val="00C14B63"/>
    <w:rsid w:val="00C14B66"/>
    <w:rsid w:val="00C14BA3"/>
    <w:rsid w:val="00C14CA5"/>
    <w:rsid w:val="00C14D61"/>
    <w:rsid w:val="00C14F27"/>
    <w:rsid w:val="00C14F66"/>
    <w:rsid w:val="00C14F68"/>
    <w:rsid w:val="00C14F6D"/>
    <w:rsid w:val="00C14F9B"/>
    <w:rsid w:val="00C14FAB"/>
    <w:rsid w:val="00C1503B"/>
    <w:rsid w:val="00C1509D"/>
    <w:rsid w:val="00C15182"/>
    <w:rsid w:val="00C151A6"/>
    <w:rsid w:val="00C151C6"/>
    <w:rsid w:val="00C15267"/>
    <w:rsid w:val="00C152DC"/>
    <w:rsid w:val="00C152DE"/>
    <w:rsid w:val="00C153B8"/>
    <w:rsid w:val="00C15403"/>
    <w:rsid w:val="00C15501"/>
    <w:rsid w:val="00C15563"/>
    <w:rsid w:val="00C155B8"/>
    <w:rsid w:val="00C15631"/>
    <w:rsid w:val="00C156B8"/>
    <w:rsid w:val="00C15706"/>
    <w:rsid w:val="00C157DC"/>
    <w:rsid w:val="00C1596B"/>
    <w:rsid w:val="00C15983"/>
    <w:rsid w:val="00C159AA"/>
    <w:rsid w:val="00C15A3F"/>
    <w:rsid w:val="00C15A8C"/>
    <w:rsid w:val="00C15A9F"/>
    <w:rsid w:val="00C15B09"/>
    <w:rsid w:val="00C15B4D"/>
    <w:rsid w:val="00C15C3A"/>
    <w:rsid w:val="00C15CB4"/>
    <w:rsid w:val="00C15D89"/>
    <w:rsid w:val="00C15DB0"/>
    <w:rsid w:val="00C15DBB"/>
    <w:rsid w:val="00C15EB3"/>
    <w:rsid w:val="00C15EC6"/>
    <w:rsid w:val="00C15F39"/>
    <w:rsid w:val="00C15F42"/>
    <w:rsid w:val="00C15FB4"/>
    <w:rsid w:val="00C16049"/>
    <w:rsid w:val="00C1610B"/>
    <w:rsid w:val="00C1611D"/>
    <w:rsid w:val="00C16139"/>
    <w:rsid w:val="00C1626A"/>
    <w:rsid w:val="00C16288"/>
    <w:rsid w:val="00C1631C"/>
    <w:rsid w:val="00C163AE"/>
    <w:rsid w:val="00C1642E"/>
    <w:rsid w:val="00C16623"/>
    <w:rsid w:val="00C1669B"/>
    <w:rsid w:val="00C166C5"/>
    <w:rsid w:val="00C1681D"/>
    <w:rsid w:val="00C16874"/>
    <w:rsid w:val="00C16896"/>
    <w:rsid w:val="00C168E6"/>
    <w:rsid w:val="00C16A3B"/>
    <w:rsid w:val="00C16B88"/>
    <w:rsid w:val="00C16BBE"/>
    <w:rsid w:val="00C16BCD"/>
    <w:rsid w:val="00C16BDC"/>
    <w:rsid w:val="00C16C9A"/>
    <w:rsid w:val="00C16CF8"/>
    <w:rsid w:val="00C16F2D"/>
    <w:rsid w:val="00C16FF4"/>
    <w:rsid w:val="00C17014"/>
    <w:rsid w:val="00C17120"/>
    <w:rsid w:val="00C1715F"/>
    <w:rsid w:val="00C171B0"/>
    <w:rsid w:val="00C17209"/>
    <w:rsid w:val="00C172EB"/>
    <w:rsid w:val="00C17329"/>
    <w:rsid w:val="00C173E1"/>
    <w:rsid w:val="00C17487"/>
    <w:rsid w:val="00C174AA"/>
    <w:rsid w:val="00C1753A"/>
    <w:rsid w:val="00C17591"/>
    <w:rsid w:val="00C175E4"/>
    <w:rsid w:val="00C17655"/>
    <w:rsid w:val="00C176B7"/>
    <w:rsid w:val="00C176F9"/>
    <w:rsid w:val="00C177C7"/>
    <w:rsid w:val="00C178F8"/>
    <w:rsid w:val="00C17926"/>
    <w:rsid w:val="00C1796F"/>
    <w:rsid w:val="00C179C8"/>
    <w:rsid w:val="00C17B64"/>
    <w:rsid w:val="00C17C53"/>
    <w:rsid w:val="00C17CBB"/>
    <w:rsid w:val="00C17CD5"/>
    <w:rsid w:val="00C17D07"/>
    <w:rsid w:val="00C17D8A"/>
    <w:rsid w:val="00C17F52"/>
    <w:rsid w:val="00C2005A"/>
    <w:rsid w:val="00C2005F"/>
    <w:rsid w:val="00C2013E"/>
    <w:rsid w:val="00C20199"/>
    <w:rsid w:val="00C201C8"/>
    <w:rsid w:val="00C20281"/>
    <w:rsid w:val="00C202F4"/>
    <w:rsid w:val="00C20434"/>
    <w:rsid w:val="00C20486"/>
    <w:rsid w:val="00C204B9"/>
    <w:rsid w:val="00C204C7"/>
    <w:rsid w:val="00C204E7"/>
    <w:rsid w:val="00C20528"/>
    <w:rsid w:val="00C20545"/>
    <w:rsid w:val="00C2065F"/>
    <w:rsid w:val="00C206F0"/>
    <w:rsid w:val="00C20813"/>
    <w:rsid w:val="00C20877"/>
    <w:rsid w:val="00C2087B"/>
    <w:rsid w:val="00C2092D"/>
    <w:rsid w:val="00C20931"/>
    <w:rsid w:val="00C20B27"/>
    <w:rsid w:val="00C20B6A"/>
    <w:rsid w:val="00C20B80"/>
    <w:rsid w:val="00C20CA7"/>
    <w:rsid w:val="00C20CE0"/>
    <w:rsid w:val="00C20D90"/>
    <w:rsid w:val="00C20DAE"/>
    <w:rsid w:val="00C20DBB"/>
    <w:rsid w:val="00C20DC1"/>
    <w:rsid w:val="00C20DD1"/>
    <w:rsid w:val="00C20E0D"/>
    <w:rsid w:val="00C20E76"/>
    <w:rsid w:val="00C20F6C"/>
    <w:rsid w:val="00C20FC1"/>
    <w:rsid w:val="00C20FD4"/>
    <w:rsid w:val="00C20FF0"/>
    <w:rsid w:val="00C21045"/>
    <w:rsid w:val="00C21149"/>
    <w:rsid w:val="00C21190"/>
    <w:rsid w:val="00C2125C"/>
    <w:rsid w:val="00C212A6"/>
    <w:rsid w:val="00C212A7"/>
    <w:rsid w:val="00C2136B"/>
    <w:rsid w:val="00C2139C"/>
    <w:rsid w:val="00C214C1"/>
    <w:rsid w:val="00C21531"/>
    <w:rsid w:val="00C2157E"/>
    <w:rsid w:val="00C21597"/>
    <w:rsid w:val="00C216AD"/>
    <w:rsid w:val="00C216D8"/>
    <w:rsid w:val="00C21772"/>
    <w:rsid w:val="00C217BC"/>
    <w:rsid w:val="00C217CE"/>
    <w:rsid w:val="00C21824"/>
    <w:rsid w:val="00C21864"/>
    <w:rsid w:val="00C218C0"/>
    <w:rsid w:val="00C218CD"/>
    <w:rsid w:val="00C21B2E"/>
    <w:rsid w:val="00C21B7F"/>
    <w:rsid w:val="00C21B85"/>
    <w:rsid w:val="00C21BF0"/>
    <w:rsid w:val="00C21C1F"/>
    <w:rsid w:val="00C22013"/>
    <w:rsid w:val="00C22107"/>
    <w:rsid w:val="00C22174"/>
    <w:rsid w:val="00C221B1"/>
    <w:rsid w:val="00C22210"/>
    <w:rsid w:val="00C22214"/>
    <w:rsid w:val="00C222EB"/>
    <w:rsid w:val="00C2243F"/>
    <w:rsid w:val="00C22471"/>
    <w:rsid w:val="00C2249C"/>
    <w:rsid w:val="00C22507"/>
    <w:rsid w:val="00C2261E"/>
    <w:rsid w:val="00C2263A"/>
    <w:rsid w:val="00C2266E"/>
    <w:rsid w:val="00C226F9"/>
    <w:rsid w:val="00C227BC"/>
    <w:rsid w:val="00C22925"/>
    <w:rsid w:val="00C22A64"/>
    <w:rsid w:val="00C22CFD"/>
    <w:rsid w:val="00C22D5D"/>
    <w:rsid w:val="00C22D79"/>
    <w:rsid w:val="00C22D93"/>
    <w:rsid w:val="00C22E23"/>
    <w:rsid w:val="00C22F39"/>
    <w:rsid w:val="00C22F81"/>
    <w:rsid w:val="00C231B7"/>
    <w:rsid w:val="00C232E0"/>
    <w:rsid w:val="00C23323"/>
    <w:rsid w:val="00C234BF"/>
    <w:rsid w:val="00C234DD"/>
    <w:rsid w:val="00C234F0"/>
    <w:rsid w:val="00C23575"/>
    <w:rsid w:val="00C23697"/>
    <w:rsid w:val="00C23753"/>
    <w:rsid w:val="00C2379D"/>
    <w:rsid w:val="00C238E1"/>
    <w:rsid w:val="00C23A96"/>
    <w:rsid w:val="00C23B6F"/>
    <w:rsid w:val="00C23BFF"/>
    <w:rsid w:val="00C23C66"/>
    <w:rsid w:val="00C23E18"/>
    <w:rsid w:val="00C23EBC"/>
    <w:rsid w:val="00C24020"/>
    <w:rsid w:val="00C24053"/>
    <w:rsid w:val="00C24152"/>
    <w:rsid w:val="00C2415E"/>
    <w:rsid w:val="00C241EC"/>
    <w:rsid w:val="00C24265"/>
    <w:rsid w:val="00C242CB"/>
    <w:rsid w:val="00C243D4"/>
    <w:rsid w:val="00C24493"/>
    <w:rsid w:val="00C2455E"/>
    <w:rsid w:val="00C24636"/>
    <w:rsid w:val="00C247E8"/>
    <w:rsid w:val="00C2481C"/>
    <w:rsid w:val="00C24841"/>
    <w:rsid w:val="00C248EE"/>
    <w:rsid w:val="00C24A81"/>
    <w:rsid w:val="00C24B5E"/>
    <w:rsid w:val="00C24C7D"/>
    <w:rsid w:val="00C24C82"/>
    <w:rsid w:val="00C24DA6"/>
    <w:rsid w:val="00C24E6C"/>
    <w:rsid w:val="00C24E97"/>
    <w:rsid w:val="00C24EC8"/>
    <w:rsid w:val="00C24EFF"/>
    <w:rsid w:val="00C24FDD"/>
    <w:rsid w:val="00C24FF4"/>
    <w:rsid w:val="00C25041"/>
    <w:rsid w:val="00C251B6"/>
    <w:rsid w:val="00C25235"/>
    <w:rsid w:val="00C252F4"/>
    <w:rsid w:val="00C2534F"/>
    <w:rsid w:val="00C253E6"/>
    <w:rsid w:val="00C25501"/>
    <w:rsid w:val="00C255A0"/>
    <w:rsid w:val="00C25696"/>
    <w:rsid w:val="00C256DC"/>
    <w:rsid w:val="00C25816"/>
    <w:rsid w:val="00C258AD"/>
    <w:rsid w:val="00C258C2"/>
    <w:rsid w:val="00C258DC"/>
    <w:rsid w:val="00C25964"/>
    <w:rsid w:val="00C259E4"/>
    <w:rsid w:val="00C259EC"/>
    <w:rsid w:val="00C25A22"/>
    <w:rsid w:val="00C25AA2"/>
    <w:rsid w:val="00C25ACD"/>
    <w:rsid w:val="00C25B32"/>
    <w:rsid w:val="00C25B9F"/>
    <w:rsid w:val="00C25BB1"/>
    <w:rsid w:val="00C25D09"/>
    <w:rsid w:val="00C25D37"/>
    <w:rsid w:val="00C25D69"/>
    <w:rsid w:val="00C25D99"/>
    <w:rsid w:val="00C25DD6"/>
    <w:rsid w:val="00C25F18"/>
    <w:rsid w:val="00C2607A"/>
    <w:rsid w:val="00C260F4"/>
    <w:rsid w:val="00C26166"/>
    <w:rsid w:val="00C261C8"/>
    <w:rsid w:val="00C261F8"/>
    <w:rsid w:val="00C26252"/>
    <w:rsid w:val="00C26259"/>
    <w:rsid w:val="00C2628A"/>
    <w:rsid w:val="00C26416"/>
    <w:rsid w:val="00C26558"/>
    <w:rsid w:val="00C2659E"/>
    <w:rsid w:val="00C265FE"/>
    <w:rsid w:val="00C2660E"/>
    <w:rsid w:val="00C26739"/>
    <w:rsid w:val="00C267BB"/>
    <w:rsid w:val="00C26876"/>
    <w:rsid w:val="00C268E2"/>
    <w:rsid w:val="00C269CF"/>
    <w:rsid w:val="00C26A0C"/>
    <w:rsid w:val="00C26A94"/>
    <w:rsid w:val="00C26C34"/>
    <w:rsid w:val="00C26C39"/>
    <w:rsid w:val="00C26CDB"/>
    <w:rsid w:val="00C26D9A"/>
    <w:rsid w:val="00C26F77"/>
    <w:rsid w:val="00C26F7D"/>
    <w:rsid w:val="00C270BA"/>
    <w:rsid w:val="00C272C4"/>
    <w:rsid w:val="00C2732B"/>
    <w:rsid w:val="00C2735A"/>
    <w:rsid w:val="00C273FC"/>
    <w:rsid w:val="00C27564"/>
    <w:rsid w:val="00C275F7"/>
    <w:rsid w:val="00C276B2"/>
    <w:rsid w:val="00C27759"/>
    <w:rsid w:val="00C278BA"/>
    <w:rsid w:val="00C27A56"/>
    <w:rsid w:val="00C27AA6"/>
    <w:rsid w:val="00C27AC6"/>
    <w:rsid w:val="00C27AF6"/>
    <w:rsid w:val="00C27B72"/>
    <w:rsid w:val="00C27BB7"/>
    <w:rsid w:val="00C27CAA"/>
    <w:rsid w:val="00C27D3A"/>
    <w:rsid w:val="00C27D64"/>
    <w:rsid w:val="00C27D77"/>
    <w:rsid w:val="00C27DEB"/>
    <w:rsid w:val="00C27E3E"/>
    <w:rsid w:val="00C27EAD"/>
    <w:rsid w:val="00C27F41"/>
    <w:rsid w:val="00C30058"/>
    <w:rsid w:val="00C3005D"/>
    <w:rsid w:val="00C300BF"/>
    <w:rsid w:val="00C300E0"/>
    <w:rsid w:val="00C30197"/>
    <w:rsid w:val="00C30284"/>
    <w:rsid w:val="00C30355"/>
    <w:rsid w:val="00C30362"/>
    <w:rsid w:val="00C304B7"/>
    <w:rsid w:val="00C304BD"/>
    <w:rsid w:val="00C304F3"/>
    <w:rsid w:val="00C30554"/>
    <w:rsid w:val="00C30573"/>
    <w:rsid w:val="00C305F3"/>
    <w:rsid w:val="00C30684"/>
    <w:rsid w:val="00C30737"/>
    <w:rsid w:val="00C30812"/>
    <w:rsid w:val="00C308CB"/>
    <w:rsid w:val="00C3093A"/>
    <w:rsid w:val="00C30BD0"/>
    <w:rsid w:val="00C30DA0"/>
    <w:rsid w:val="00C30DB1"/>
    <w:rsid w:val="00C30E12"/>
    <w:rsid w:val="00C30F45"/>
    <w:rsid w:val="00C310A7"/>
    <w:rsid w:val="00C311D5"/>
    <w:rsid w:val="00C31295"/>
    <w:rsid w:val="00C312B1"/>
    <w:rsid w:val="00C312E4"/>
    <w:rsid w:val="00C312E9"/>
    <w:rsid w:val="00C31322"/>
    <w:rsid w:val="00C314F3"/>
    <w:rsid w:val="00C31521"/>
    <w:rsid w:val="00C31666"/>
    <w:rsid w:val="00C317A2"/>
    <w:rsid w:val="00C317B3"/>
    <w:rsid w:val="00C31832"/>
    <w:rsid w:val="00C3190D"/>
    <w:rsid w:val="00C31A4C"/>
    <w:rsid w:val="00C31AC4"/>
    <w:rsid w:val="00C31BFC"/>
    <w:rsid w:val="00C31C63"/>
    <w:rsid w:val="00C31E12"/>
    <w:rsid w:val="00C31E55"/>
    <w:rsid w:val="00C31F29"/>
    <w:rsid w:val="00C320F7"/>
    <w:rsid w:val="00C3213D"/>
    <w:rsid w:val="00C32148"/>
    <w:rsid w:val="00C32187"/>
    <w:rsid w:val="00C3220F"/>
    <w:rsid w:val="00C32218"/>
    <w:rsid w:val="00C322BF"/>
    <w:rsid w:val="00C32480"/>
    <w:rsid w:val="00C32481"/>
    <w:rsid w:val="00C324A6"/>
    <w:rsid w:val="00C324E6"/>
    <w:rsid w:val="00C325F7"/>
    <w:rsid w:val="00C32646"/>
    <w:rsid w:val="00C326D7"/>
    <w:rsid w:val="00C3295A"/>
    <w:rsid w:val="00C32981"/>
    <w:rsid w:val="00C329A0"/>
    <w:rsid w:val="00C32AEC"/>
    <w:rsid w:val="00C32B4E"/>
    <w:rsid w:val="00C32B78"/>
    <w:rsid w:val="00C32C83"/>
    <w:rsid w:val="00C32CCD"/>
    <w:rsid w:val="00C32DBA"/>
    <w:rsid w:val="00C32F4D"/>
    <w:rsid w:val="00C32FBC"/>
    <w:rsid w:val="00C330F0"/>
    <w:rsid w:val="00C33122"/>
    <w:rsid w:val="00C33159"/>
    <w:rsid w:val="00C3318B"/>
    <w:rsid w:val="00C331D4"/>
    <w:rsid w:val="00C332F6"/>
    <w:rsid w:val="00C3337F"/>
    <w:rsid w:val="00C3341F"/>
    <w:rsid w:val="00C334E6"/>
    <w:rsid w:val="00C33641"/>
    <w:rsid w:val="00C336FF"/>
    <w:rsid w:val="00C33753"/>
    <w:rsid w:val="00C33767"/>
    <w:rsid w:val="00C33780"/>
    <w:rsid w:val="00C3388B"/>
    <w:rsid w:val="00C339C1"/>
    <w:rsid w:val="00C33BC3"/>
    <w:rsid w:val="00C33C8A"/>
    <w:rsid w:val="00C33CDC"/>
    <w:rsid w:val="00C33E69"/>
    <w:rsid w:val="00C33EA5"/>
    <w:rsid w:val="00C3403D"/>
    <w:rsid w:val="00C34055"/>
    <w:rsid w:val="00C3410E"/>
    <w:rsid w:val="00C341C8"/>
    <w:rsid w:val="00C3427E"/>
    <w:rsid w:val="00C343A4"/>
    <w:rsid w:val="00C343F8"/>
    <w:rsid w:val="00C343FC"/>
    <w:rsid w:val="00C344FF"/>
    <w:rsid w:val="00C34562"/>
    <w:rsid w:val="00C34589"/>
    <w:rsid w:val="00C345A3"/>
    <w:rsid w:val="00C3465B"/>
    <w:rsid w:val="00C34666"/>
    <w:rsid w:val="00C34724"/>
    <w:rsid w:val="00C34755"/>
    <w:rsid w:val="00C34905"/>
    <w:rsid w:val="00C34974"/>
    <w:rsid w:val="00C349F1"/>
    <w:rsid w:val="00C34C62"/>
    <w:rsid w:val="00C34C71"/>
    <w:rsid w:val="00C34CDE"/>
    <w:rsid w:val="00C34D7F"/>
    <w:rsid w:val="00C34E35"/>
    <w:rsid w:val="00C34E39"/>
    <w:rsid w:val="00C34F30"/>
    <w:rsid w:val="00C34F43"/>
    <w:rsid w:val="00C35144"/>
    <w:rsid w:val="00C351B0"/>
    <w:rsid w:val="00C351BC"/>
    <w:rsid w:val="00C351BE"/>
    <w:rsid w:val="00C351F7"/>
    <w:rsid w:val="00C35315"/>
    <w:rsid w:val="00C35365"/>
    <w:rsid w:val="00C35393"/>
    <w:rsid w:val="00C353A7"/>
    <w:rsid w:val="00C353B6"/>
    <w:rsid w:val="00C35700"/>
    <w:rsid w:val="00C35715"/>
    <w:rsid w:val="00C357D3"/>
    <w:rsid w:val="00C357DA"/>
    <w:rsid w:val="00C35875"/>
    <w:rsid w:val="00C35915"/>
    <w:rsid w:val="00C35949"/>
    <w:rsid w:val="00C359E8"/>
    <w:rsid w:val="00C35A59"/>
    <w:rsid w:val="00C35AE3"/>
    <w:rsid w:val="00C35B64"/>
    <w:rsid w:val="00C35B79"/>
    <w:rsid w:val="00C35BE6"/>
    <w:rsid w:val="00C35BFF"/>
    <w:rsid w:val="00C35C2E"/>
    <w:rsid w:val="00C35CB2"/>
    <w:rsid w:val="00C35CF8"/>
    <w:rsid w:val="00C35D43"/>
    <w:rsid w:val="00C35D78"/>
    <w:rsid w:val="00C35E19"/>
    <w:rsid w:val="00C35F80"/>
    <w:rsid w:val="00C35FE7"/>
    <w:rsid w:val="00C36043"/>
    <w:rsid w:val="00C3605A"/>
    <w:rsid w:val="00C36126"/>
    <w:rsid w:val="00C361D3"/>
    <w:rsid w:val="00C3632A"/>
    <w:rsid w:val="00C36343"/>
    <w:rsid w:val="00C3639A"/>
    <w:rsid w:val="00C36429"/>
    <w:rsid w:val="00C36491"/>
    <w:rsid w:val="00C3651F"/>
    <w:rsid w:val="00C3659A"/>
    <w:rsid w:val="00C36633"/>
    <w:rsid w:val="00C36667"/>
    <w:rsid w:val="00C36683"/>
    <w:rsid w:val="00C366D4"/>
    <w:rsid w:val="00C36707"/>
    <w:rsid w:val="00C3687D"/>
    <w:rsid w:val="00C3688B"/>
    <w:rsid w:val="00C3695A"/>
    <w:rsid w:val="00C36ABD"/>
    <w:rsid w:val="00C36B01"/>
    <w:rsid w:val="00C36B12"/>
    <w:rsid w:val="00C36B27"/>
    <w:rsid w:val="00C36B28"/>
    <w:rsid w:val="00C36C0E"/>
    <w:rsid w:val="00C36E9D"/>
    <w:rsid w:val="00C36EAC"/>
    <w:rsid w:val="00C36F2A"/>
    <w:rsid w:val="00C36F53"/>
    <w:rsid w:val="00C3705E"/>
    <w:rsid w:val="00C37117"/>
    <w:rsid w:val="00C372C6"/>
    <w:rsid w:val="00C372E2"/>
    <w:rsid w:val="00C37300"/>
    <w:rsid w:val="00C373BE"/>
    <w:rsid w:val="00C37498"/>
    <w:rsid w:val="00C374A8"/>
    <w:rsid w:val="00C374AC"/>
    <w:rsid w:val="00C375E0"/>
    <w:rsid w:val="00C375F6"/>
    <w:rsid w:val="00C37603"/>
    <w:rsid w:val="00C37631"/>
    <w:rsid w:val="00C37768"/>
    <w:rsid w:val="00C3780C"/>
    <w:rsid w:val="00C378B7"/>
    <w:rsid w:val="00C378EC"/>
    <w:rsid w:val="00C3791C"/>
    <w:rsid w:val="00C37AD2"/>
    <w:rsid w:val="00C37B01"/>
    <w:rsid w:val="00C37C22"/>
    <w:rsid w:val="00C37C76"/>
    <w:rsid w:val="00C37C86"/>
    <w:rsid w:val="00C37D1F"/>
    <w:rsid w:val="00C37D32"/>
    <w:rsid w:val="00C37EAC"/>
    <w:rsid w:val="00C37F44"/>
    <w:rsid w:val="00C400F7"/>
    <w:rsid w:val="00C40184"/>
    <w:rsid w:val="00C402BC"/>
    <w:rsid w:val="00C4031B"/>
    <w:rsid w:val="00C4033A"/>
    <w:rsid w:val="00C40578"/>
    <w:rsid w:val="00C405C1"/>
    <w:rsid w:val="00C40647"/>
    <w:rsid w:val="00C4069C"/>
    <w:rsid w:val="00C40707"/>
    <w:rsid w:val="00C4076A"/>
    <w:rsid w:val="00C4078C"/>
    <w:rsid w:val="00C4082B"/>
    <w:rsid w:val="00C40974"/>
    <w:rsid w:val="00C40A82"/>
    <w:rsid w:val="00C40AA9"/>
    <w:rsid w:val="00C40B95"/>
    <w:rsid w:val="00C40BAF"/>
    <w:rsid w:val="00C40C1A"/>
    <w:rsid w:val="00C40D89"/>
    <w:rsid w:val="00C40D9A"/>
    <w:rsid w:val="00C40E2E"/>
    <w:rsid w:val="00C40EF8"/>
    <w:rsid w:val="00C4106D"/>
    <w:rsid w:val="00C41228"/>
    <w:rsid w:val="00C412B1"/>
    <w:rsid w:val="00C412C8"/>
    <w:rsid w:val="00C41301"/>
    <w:rsid w:val="00C41385"/>
    <w:rsid w:val="00C413B0"/>
    <w:rsid w:val="00C4141A"/>
    <w:rsid w:val="00C41457"/>
    <w:rsid w:val="00C4178D"/>
    <w:rsid w:val="00C418F3"/>
    <w:rsid w:val="00C41933"/>
    <w:rsid w:val="00C41A03"/>
    <w:rsid w:val="00C41A66"/>
    <w:rsid w:val="00C41BD2"/>
    <w:rsid w:val="00C41C2F"/>
    <w:rsid w:val="00C41E94"/>
    <w:rsid w:val="00C41EF4"/>
    <w:rsid w:val="00C41FEF"/>
    <w:rsid w:val="00C42028"/>
    <w:rsid w:val="00C42055"/>
    <w:rsid w:val="00C42095"/>
    <w:rsid w:val="00C421CB"/>
    <w:rsid w:val="00C42240"/>
    <w:rsid w:val="00C42245"/>
    <w:rsid w:val="00C42312"/>
    <w:rsid w:val="00C423BE"/>
    <w:rsid w:val="00C423F7"/>
    <w:rsid w:val="00C424C1"/>
    <w:rsid w:val="00C425A0"/>
    <w:rsid w:val="00C425AF"/>
    <w:rsid w:val="00C425DD"/>
    <w:rsid w:val="00C425E2"/>
    <w:rsid w:val="00C42642"/>
    <w:rsid w:val="00C4265D"/>
    <w:rsid w:val="00C42866"/>
    <w:rsid w:val="00C428A1"/>
    <w:rsid w:val="00C428EE"/>
    <w:rsid w:val="00C42B24"/>
    <w:rsid w:val="00C42C40"/>
    <w:rsid w:val="00C42C50"/>
    <w:rsid w:val="00C42D3E"/>
    <w:rsid w:val="00C42D77"/>
    <w:rsid w:val="00C42DC3"/>
    <w:rsid w:val="00C42E89"/>
    <w:rsid w:val="00C42EAF"/>
    <w:rsid w:val="00C42EEF"/>
    <w:rsid w:val="00C42EF7"/>
    <w:rsid w:val="00C4318E"/>
    <w:rsid w:val="00C4326E"/>
    <w:rsid w:val="00C43272"/>
    <w:rsid w:val="00C432D6"/>
    <w:rsid w:val="00C43304"/>
    <w:rsid w:val="00C43350"/>
    <w:rsid w:val="00C43474"/>
    <w:rsid w:val="00C43479"/>
    <w:rsid w:val="00C434BE"/>
    <w:rsid w:val="00C43579"/>
    <w:rsid w:val="00C4362C"/>
    <w:rsid w:val="00C43748"/>
    <w:rsid w:val="00C4376F"/>
    <w:rsid w:val="00C437CC"/>
    <w:rsid w:val="00C437D7"/>
    <w:rsid w:val="00C438DE"/>
    <w:rsid w:val="00C43A04"/>
    <w:rsid w:val="00C43A0B"/>
    <w:rsid w:val="00C43CE2"/>
    <w:rsid w:val="00C43D30"/>
    <w:rsid w:val="00C43D79"/>
    <w:rsid w:val="00C441B0"/>
    <w:rsid w:val="00C44206"/>
    <w:rsid w:val="00C4424F"/>
    <w:rsid w:val="00C4434A"/>
    <w:rsid w:val="00C4436C"/>
    <w:rsid w:val="00C4446A"/>
    <w:rsid w:val="00C4447D"/>
    <w:rsid w:val="00C44523"/>
    <w:rsid w:val="00C44687"/>
    <w:rsid w:val="00C44737"/>
    <w:rsid w:val="00C44762"/>
    <w:rsid w:val="00C44780"/>
    <w:rsid w:val="00C4484A"/>
    <w:rsid w:val="00C44981"/>
    <w:rsid w:val="00C449E8"/>
    <w:rsid w:val="00C449FE"/>
    <w:rsid w:val="00C44A5D"/>
    <w:rsid w:val="00C44A92"/>
    <w:rsid w:val="00C44B99"/>
    <w:rsid w:val="00C44C93"/>
    <w:rsid w:val="00C44CA4"/>
    <w:rsid w:val="00C44CD3"/>
    <w:rsid w:val="00C44D09"/>
    <w:rsid w:val="00C44F31"/>
    <w:rsid w:val="00C44F6C"/>
    <w:rsid w:val="00C44F82"/>
    <w:rsid w:val="00C45001"/>
    <w:rsid w:val="00C45042"/>
    <w:rsid w:val="00C4507B"/>
    <w:rsid w:val="00C45270"/>
    <w:rsid w:val="00C452A5"/>
    <w:rsid w:val="00C453D0"/>
    <w:rsid w:val="00C453D7"/>
    <w:rsid w:val="00C453E7"/>
    <w:rsid w:val="00C4541A"/>
    <w:rsid w:val="00C454D9"/>
    <w:rsid w:val="00C454EE"/>
    <w:rsid w:val="00C45569"/>
    <w:rsid w:val="00C45579"/>
    <w:rsid w:val="00C455C3"/>
    <w:rsid w:val="00C455D8"/>
    <w:rsid w:val="00C455F8"/>
    <w:rsid w:val="00C45681"/>
    <w:rsid w:val="00C45723"/>
    <w:rsid w:val="00C45775"/>
    <w:rsid w:val="00C45791"/>
    <w:rsid w:val="00C458C7"/>
    <w:rsid w:val="00C4597B"/>
    <w:rsid w:val="00C459CE"/>
    <w:rsid w:val="00C45B2C"/>
    <w:rsid w:val="00C45B8F"/>
    <w:rsid w:val="00C45BFB"/>
    <w:rsid w:val="00C45C81"/>
    <w:rsid w:val="00C45DE9"/>
    <w:rsid w:val="00C45E04"/>
    <w:rsid w:val="00C45E1C"/>
    <w:rsid w:val="00C45E46"/>
    <w:rsid w:val="00C45E76"/>
    <w:rsid w:val="00C45EC1"/>
    <w:rsid w:val="00C45F43"/>
    <w:rsid w:val="00C45F54"/>
    <w:rsid w:val="00C45FC6"/>
    <w:rsid w:val="00C45FE7"/>
    <w:rsid w:val="00C46132"/>
    <w:rsid w:val="00C461A1"/>
    <w:rsid w:val="00C461B2"/>
    <w:rsid w:val="00C461D0"/>
    <w:rsid w:val="00C461EB"/>
    <w:rsid w:val="00C461EE"/>
    <w:rsid w:val="00C461F2"/>
    <w:rsid w:val="00C4626B"/>
    <w:rsid w:val="00C463BF"/>
    <w:rsid w:val="00C46418"/>
    <w:rsid w:val="00C4646A"/>
    <w:rsid w:val="00C464D6"/>
    <w:rsid w:val="00C46530"/>
    <w:rsid w:val="00C465E5"/>
    <w:rsid w:val="00C466DF"/>
    <w:rsid w:val="00C46773"/>
    <w:rsid w:val="00C4678F"/>
    <w:rsid w:val="00C467EE"/>
    <w:rsid w:val="00C468BE"/>
    <w:rsid w:val="00C46A6B"/>
    <w:rsid w:val="00C46AF2"/>
    <w:rsid w:val="00C46C7F"/>
    <w:rsid w:val="00C46D22"/>
    <w:rsid w:val="00C46D2E"/>
    <w:rsid w:val="00C46ED4"/>
    <w:rsid w:val="00C46EE2"/>
    <w:rsid w:val="00C46F54"/>
    <w:rsid w:val="00C46FDF"/>
    <w:rsid w:val="00C47075"/>
    <w:rsid w:val="00C470B1"/>
    <w:rsid w:val="00C47152"/>
    <w:rsid w:val="00C4725D"/>
    <w:rsid w:val="00C4730D"/>
    <w:rsid w:val="00C47338"/>
    <w:rsid w:val="00C474C4"/>
    <w:rsid w:val="00C475F0"/>
    <w:rsid w:val="00C47633"/>
    <w:rsid w:val="00C4768B"/>
    <w:rsid w:val="00C47692"/>
    <w:rsid w:val="00C47778"/>
    <w:rsid w:val="00C478D8"/>
    <w:rsid w:val="00C47A71"/>
    <w:rsid w:val="00C47A7E"/>
    <w:rsid w:val="00C47AE0"/>
    <w:rsid w:val="00C47B44"/>
    <w:rsid w:val="00C47BBD"/>
    <w:rsid w:val="00C47C74"/>
    <w:rsid w:val="00C47C8E"/>
    <w:rsid w:val="00C47D58"/>
    <w:rsid w:val="00C47E94"/>
    <w:rsid w:val="00C47ED8"/>
    <w:rsid w:val="00C47F40"/>
    <w:rsid w:val="00C47F67"/>
    <w:rsid w:val="00C47FAF"/>
    <w:rsid w:val="00C50020"/>
    <w:rsid w:val="00C500BA"/>
    <w:rsid w:val="00C500E7"/>
    <w:rsid w:val="00C500FD"/>
    <w:rsid w:val="00C5011B"/>
    <w:rsid w:val="00C50302"/>
    <w:rsid w:val="00C50465"/>
    <w:rsid w:val="00C5048F"/>
    <w:rsid w:val="00C504CD"/>
    <w:rsid w:val="00C504DD"/>
    <w:rsid w:val="00C50671"/>
    <w:rsid w:val="00C50681"/>
    <w:rsid w:val="00C506C5"/>
    <w:rsid w:val="00C50938"/>
    <w:rsid w:val="00C5093C"/>
    <w:rsid w:val="00C509F5"/>
    <w:rsid w:val="00C50A07"/>
    <w:rsid w:val="00C50A2B"/>
    <w:rsid w:val="00C50B4B"/>
    <w:rsid w:val="00C50CD4"/>
    <w:rsid w:val="00C50FE1"/>
    <w:rsid w:val="00C51118"/>
    <w:rsid w:val="00C511D7"/>
    <w:rsid w:val="00C513EC"/>
    <w:rsid w:val="00C514CA"/>
    <w:rsid w:val="00C51510"/>
    <w:rsid w:val="00C51529"/>
    <w:rsid w:val="00C515DA"/>
    <w:rsid w:val="00C51665"/>
    <w:rsid w:val="00C517E4"/>
    <w:rsid w:val="00C51803"/>
    <w:rsid w:val="00C518A5"/>
    <w:rsid w:val="00C51925"/>
    <w:rsid w:val="00C51A68"/>
    <w:rsid w:val="00C51AA4"/>
    <w:rsid w:val="00C51ABE"/>
    <w:rsid w:val="00C51B62"/>
    <w:rsid w:val="00C51B78"/>
    <w:rsid w:val="00C51C1C"/>
    <w:rsid w:val="00C51E57"/>
    <w:rsid w:val="00C51E77"/>
    <w:rsid w:val="00C51F02"/>
    <w:rsid w:val="00C51F1F"/>
    <w:rsid w:val="00C51F22"/>
    <w:rsid w:val="00C51FD8"/>
    <w:rsid w:val="00C51FFB"/>
    <w:rsid w:val="00C52043"/>
    <w:rsid w:val="00C5206B"/>
    <w:rsid w:val="00C52073"/>
    <w:rsid w:val="00C5212A"/>
    <w:rsid w:val="00C521B2"/>
    <w:rsid w:val="00C521D6"/>
    <w:rsid w:val="00C52522"/>
    <w:rsid w:val="00C52578"/>
    <w:rsid w:val="00C52630"/>
    <w:rsid w:val="00C5264B"/>
    <w:rsid w:val="00C52703"/>
    <w:rsid w:val="00C52748"/>
    <w:rsid w:val="00C527B5"/>
    <w:rsid w:val="00C52823"/>
    <w:rsid w:val="00C52859"/>
    <w:rsid w:val="00C528D2"/>
    <w:rsid w:val="00C52A0E"/>
    <w:rsid w:val="00C52AA3"/>
    <w:rsid w:val="00C52B06"/>
    <w:rsid w:val="00C52C00"/>
    <w:rsid w:val="00C52C18"/>
    <w:rsid w:val="00C52C4A"/>
    <w:rsid w:val="00C52DC2"/>
    <w:rsid w:val="00C52E9D"/>
    <w:rsid w:val="00C52FD1"/>
    <w:rsid w:val="00C53046"/>
    <w:rsid w:val="00C5307F"/>
    <w:rsid w:val="00C5313B"/>
    <w:rsid w:val="00C53144"/>
    <w:rsid w:val="00C5321F"/>
    <w:rsid w:val="00C53376"/>
    <w:rsid w:val="00C53379"/>
    <w:rsid w:val="00C53389"/>
    <w:rsid w:val="00C5338F"/>
    <w:rsid w:val="00C533B2"/>
    <w:rsid w:val="00C5343C"/>
    <w:rsid w:val="00C53451"/>
    <w:rsid w:val="00C53548"/>
    <w:rsid w:val="00C53570"/>
    <w:rsid w:val="00C5359B"/>
    <w:rsid w:val="00C535EF"/>
    <w:rsid w:val="00C535FD"/>
    <w:rsid w:val="00C53607"/>
    <w:rsid w:val="00C53615"/>
    <w:rsid w:val="00C5362A"/>
    <w:rsid w:val="00C53732"/>
    <w:rsid w:val="00C53817"/>
    <w:rsid w:val="00C5383D"/>
    <w:rsid w:val="00C53855"/>
    <w:rsid w:val="00C539DF"/>
    <w:rsid w:val="00C53A59"/>
    <w:rsid w:val="00C53ABD"/>
    <w:rsid w:val="00C53AF7"/>
    <w:rsid w:val="00C53B74"/>
    <w:rsid w:val="00C53D8C"/>
    <w:rsid w:val="00C53ECF"/>
    <w:rsid w:val="00C53F13"/>
    <w:rsid w:val="00C53F73"/>
    <w:rsid w:val="00C53FCD"/>
    <w:rsid w:val="00C54069"/>
    <w:rsid w:val="00C5411C"/>
    <w:rsid w:val="00C54144"/>
    <w:rsid w:val="00C54170"/>
    <w:rsid w:val="00C54308"/>
    <w:rsid w:val="00C5430A"/>
    <w:rsid w:val="00C543C4"/>
    <w:rsid w:val="00C54405"/>
    <w:rsid w:val="00C54571"/>
    <w:rsid w:val="00C545D8"/>
    <w:rsid w:val="00C545E2"/>
    <w:rsid w:val="00C5465D"/>
    <w:rsid w:val="00C54669"/>
    <w:rsid w:val="00C5483A"/>
    <w:rsid w:val="00C5487E"/>
    <w:rsid w:val="00C54AC6"/>
    <w:rsid w:val="00C54B83"/>
    <w:rsid w:val="00C54BA2"/>
    <w:rsid w:val="00C54C55"/>
    <w:rsid w:val="00C54C8D"/>
    <w:rsid w:val="00C54C9A"/>
    <w:rsid w:val="00C54D69"/>
    <w:rsid w:val="00C54DC0"/>
    <w:rsid w:val="00C54E1A"/>
    <w:rsid w:val="00C54E31"/>
    <w:rsid w:val="00C54E44"/>
    <w:rsid w:val="00C54E9E"/>
    <w:rsid w:val="00C54F2D"/>
    <w:rsid w:val="00C5504F"/>
    <w:rsid w:val="00C55087"/>
    <w:rsid w:val="00C5508C"/>
    <w:rsid w:val="00C550E6"/>
    <w:rsid w:val="00C55115"/>
    <w:rsid w:val="00C5517C"/>
    <w:rsid w:val="00C55240"/>
    <w:rsid w:val="00C552CB"/>
    <w:rsid w:val="00C5534D"/>
    <w:rsid w:val="00C55481"/>
    <w:rsid w:val="00C554A8"/>
    <w:rsid w:val="00C554B5"/>
    <w:rsid w:val="00C55545"/>
    <w:rsid w:val="00C55570"/>
    <w:rsid w:val="00C555D2"/>
    <w:rsid w:val="00C55624"/>
    <w:rsid w:val="00C55684"/>
    <w:rsid w:val="00C55698"/>
    <w:rsid w:val="00C55808"/>
    <w:rsid w:val="00C55833"/>
    <w:rsid w:val="00C5584D"/>
    <w:rsid w:val="00C55A30"/>
    <w:rsid w:val="00C55A80"/>
    <w:rsid w:val="00C55AE7"/>
    <w:rsid w:val="00C55B16"/>
    <w:rsid w:val="00C55B56"/>
    <w:rsid w:val="00C55B8D"/>
    <w:rsid w:val="00C55C23"/>
    <w:rsid w:val="00C55D0E"/>
    <w:rsid w:val="00C55D21"/>
    <w:rsid w:val="00C55D5B"/>
    <w:rsid w:val="00C55EAF"/>
    <w:rsid w:val="00C560A9"/>
    <w:rsid w:val="00C561DF"/>
    <w:rsid w:val="00C56416"/>
    <w:rsid w:val="00C56492"/>
    <w:rsid w:val="00C564F6"/>
    <w:rsid w:val="00C565C2"/>
    <w:rsid w:val="00C565C4"/>
    <w:rsid w:val="00C5668E"/>
    <w:rsid w:val="00C56690"/>
    <w:rsid w:val="00C569FA"/>
    <w:rsid w:val="00C56A6D"/>
    <w:rsid w:val="00C56CB1"/>
    <w:rsid w:val="00C56D2F"/>
    <w:rsid w:val="00C56DDD"/>
    <w:rsid w:val="00C56EF2"/>
    <w:rsid w:val="00C56FF4"/>
    <w:rsid w:val="00C570A6"/>
    <w:rsid w:val="00C57189"/>
    <w:rsid w:val="00C571FD"/>
    <w:rsid w:val="00C57225"/>
    <w:rsid w:val="00C572AB"/>
    <w:rsid w:val="00C5736C"/>
    <w:rsid w:val="00C573B6"/>
    <w:rsid w:val="00C5752C"/>
    <w:rsid w:val="00C5756C"/>
    <w:rsid w:val="00C575C1"/>
    <w:rsid w:val="00C57602"/>
    <w:rsid w:val="00C57680"/>
    <w:rsid w:val="00C576B8"/>
    <w:rsid w:val="00C577DA"/>
    <w:rsid w:val="00C57806"/>
    <w:rsid w:val="00C579F3"/>
    <w:rsid w:val="00C57A14"/>
    <w:rsid w:val="00C57AF6"/>
    <w:rsid w:val="00C57E08"/>
    <w:rsid w:val="00C57E63"/>
    <w:rsid w:val="00C57F67"/>
    <w:rsid w:val="00C6001C"/>
    <w:rsid w:val="00C600B3"/>
    <w:rsid w:val="00C601A9"/>
    <w:rsid w:val="00C60296"/>
    <w:rsid w:val="00C602A5"/>
    <w:rsid w:val="00C603B6"/>
    <w:rsid w:val="00C604B5"/>
    <w:rsid w:val="00C604C9"/>
    <w:rsid w:val="00C60556"/>
    <w:rsid w:val="00C60584"/>
    <w:rsid w:val="00C6058C"/>
    <w:rsid w:val="00C6061C"/>
    <w:rsid w:val="00C60633"/>
    <w:rsid w:val="00C6068A"/>
    <w:rsid w:val="00C6071D"/>
    <w:rsid w:val="00C60749"/>
    <w:rsid w:val="00C607DF"/>
    <w:rsid w:val="00C607F9"/>
    <w:rsid w:val="00C608C7"/>
    <w:rsid w:val="00C60973"/>
    <w:rsid w:val="00C6097C"/>
    <w:rsid w:val="00C60A67"/>
    <w:rsid w:val="00C60AB3"/>
    <w:rsid w:val="00C60AC1"/>
    <w:rsid w:val="00C60CA5"/>
    <w:rsid w:val="00C60CBE"/>
    <w:rsid w:val="00C60D11"/>
    <w:rsid w:val="00C60D8B"/>
    <w:rsid w:val="00C60EB1"/>
    <w:rsid w:val="00C60F6B"/>
    <w:rsid w:val="00C60F76"/>
    <w:rsid w:val="00C6104E"/>
    <w:rsid w:val="00C612DD"/>
    <w:rsid w:val="00C61402"/>
    <w:rsid w:val="00C61464"/>
    <w:rsid w:val="00C614B2"/>
    <w:rsid w:val="00C614CD"/>
    <w:rsid w:val="00C61500"/>
    <w:rsid w:val="00C6154C"/>
    <w:rsid w:val="00C61553"/>
    <w:rsid w:val="00C616AD"/>
    <w:rsid w:val="00C616FC"/>
    <w:rsid w:val="00C61744"/>
    <w:rsid w:val="00C61799"/>
    <w:rsid w:val="00C617EC"/>
    <w:rsid w:val="00C61819"/>
    <w:rsid w:val="00C6185B"/>
    <w:rsid w:val="00C61879"/>
    <w:rsid w:val="00C61941"/>
    <w:rsid w:val="00C6194E"/>
    <w:rsid w:val="00C61A4B"/>
    <w:rsid w:val="00C61B42"/>
    <w:rsid w:val="00C61BDE"/>
    <w:rsid w:val="00C61C2C"/>
    <w:rsid w:val="00C61C74"/>
    <w:rsid w:val="00C61D71"/>
    <w:rsid w:val="00C61F31"/>
    <w:rsid w:val="00C62077"/>
    <w:rsid w:val="00C62098"/>
    <w:rsid w:val="00C6209B"/>
    <w:rsid w:val="00C621F8"/>
    <w:rsid w:val="00C62405"/>
    <w:rsid w:val="00C6245F"/>
    <w:rsid w:val="00C624A9"/>
    <w:rsid w:val="00C62521"/>
    <w:rsid w:val="00C62589"/>
    <w:rsid w:val="00C62764"/>
    <w:rsid w:val="00C628B4"/>
    <w:rsid w:val="00C629A2"/>
    <w:rsid w:val="00C62AED"/>
    <w:rsid w:val="00C62C42"/>
    <w:rsid w:val="00C62C79"/>
    <w:rsid w:val="00C62EB6"/>
    <w:rsid w:val="00C62F6D"/>
    <w:rsid w:val="00C62FB8"/>
    <w:rsid w:val="00C62FDA"/>
    <w:rsid w:val="00C6302E"/>
    <w:rsid w:val="00C63056"/>
    <w:rsid w:val="00C6307D"/>
    <w:rsid w:val="00C63155"/>
    <w:rsid w:val="00C631EA"/>
    <w:rsid w:val="00C632E2"/>
    <w:rsid w:val="00C63320"/>
    <w:rsid w:val="00C6332E"/>
    <w:rsid w:val="00C633A8"/>
    <w:rsid w:val="00C63466"/>
    <w:rsid w:val="00C634EA"/>
    <w:rsid w:val="00C63543"/>
    <w:rsid w:val="00C635D8"/>
    <w:rsid w:val="00C636D4"/>
    <w:rsid w:val="00C636ED"/>
    <w:rsid w:val="00C63702"/>
    <w:rsid w:val="00C63904"/>
    <w:rsid w:val="00C639D8"/>
    <w:rsid w:val="00C639F3"/>
    <w:rsid w:val="00C63B88"/>
    <w:rsid w:val="00C63C2C"/>
    <w:rsid w:val="00C63C2E"/>
    <w:rsid w:val="00C63CBC"/>
    <w:rsid w:val="00C63E0F"/>
    <w:rsid w:val="00C63EF9"/>
    <w:rsid w:val="00C63F37"/>
    <w:rsid w:val="00C63F44"/>
    <w:rsid w:val="00C641FD"/>
    <w:rsid w:val="00C64416"/>
    <w:rsid w:val="00C6445F"/>
    <w:rsid w:val="00C6449B"/>
    <w:rsid w:val="00C64535"/>
    <w:rsid w:val="00C6460C"/>
    <w:rsid w:val="00C64687"/>
    <w:rsid w:val="00C646DA"/>
    <w:rsid w:val="00C64722"/>
    <w:rsid w:val="00C64776"/>
    <w:rsid w:val="00C64787"/>
    <w:rsid w:val="00C647EE"/>
    <w:rsid w:val="00C6480B"/>
    <w:rsid w:val="00C6483C"/>
    <w:rsid w:val="00C64969"/>
    <w:rsid w:val="00C64A75"/>
    <w:rsid w:val="00C64ADE"/>
    <w:rsid w:val="00C64C18"/>
    <w:rsid w:val="00C64C9E"/>
    <w:rsid w:val="00C64CC5"/>
    <w:rsid w:val="00C64CF6"/>
    <w:rsid w:val="00C64D8D"/>
    <w:rsid w:val="00C64E73"/>
    <w:rsid w:val="00C64FA8"/>
    <w:rsid w:val="00C6504A"/>
    <w:rsid w:val="00C65099"/>
    <w:rsid w:val="00C65206"/>
    <w:rsid w:val="00C65252"/>
    <w:rsid w:val="00C653B5"/>
    <w:rsid w:val="00C653F9"/>
    <w:rsid w:val="00C65487"/>
    <w:rsid w:val="00C65496"/>
    <w:rsid w:val="00C65522"/>
    <w:rsid w:val="00C65671"/>
    <w:rsid w:val="00C65688"/>
    <w:rsid w:val="00C656F8"/>
    <w:rsid w:val="00C65710"/>
    <w:rsid w:val="00C6580A"/>
    <w:rsid w:val="00C65848"/>
    <w:rsid w:val="00C65A0C"/>
    <w:rsid w:val="00C65A9B"/>
    <w:rsid w:val="00C65CC2"/>
    <w:rsid w:val="00C65CD3"/>
    <w:rsid w:val="00C65CD4"/>
    <w:rsid w:val="00C65D2A"/>
    <w:rsid w:val="00C65D7B"/>
    <w:rsid w:val="00C65F59"/>
    <w:rsid w:val="00C65FAE"/>
    <w:rsid w:val="00C660B3"/>
    <w:rsid w:val="00C66200"/>
    <w:rsid w:val="00C664A1"/>
    <w:rsid w:val="00C664C6"/>
    <w:rsid w:val="00C664E8"/>
    <w:rsid w:val="00C66757"/>
    <w:rsid w:val="00C6694B"/>
    <w:rsid w:val="00C669C9"/>
    <w:rsid w:val="00C66A4B"/>
    <w:rsid w:val="00C66A66"/>
    <w:rsid w:val="00C66C26"/>
    <w:rsid w:val="00C66CAA"/>
    <w:rsid w:val="00C66CB3"/>
    <w:rsid w:val="00C66CD0"/>
    <w:rsid w:val="00C66CF5"/>
    <w:rsid w:val="00C66E0D"/>
    <w:rsid w:val="00C66E56"/>
    <w:rsid w:val="00C66E5E"/>
    <w:rsid w:val="00C66E8C"/>
    <w:rsid w:val="00C66E90"/>
    <w:rsid w:val="00C66E91"/>
    <w:rsid w:val="00C66FB2"/>
    <w:rsid w:val="00C6702A"/>
    <w:rsid w:val="00C670C2"/>
    <w:rsid w:val="00C670CE"/>
    <w:rsid w:val="00C6713E"/>
    <w:rsid w:val="00C671C3"/>
    <w:rsid w:val="00C671C7"/>
    <w:rsid w:val="00C672CF"/>
    <w:rsid w:val="00C672E3"/>
    <w:rsid w:val="00C673EA"/>
    <w:rsid w:val="00C67431"/>
    <w:rsid w:val="00C674D2"/>
    <w:rsid w:val="00C67640"/>
    <w:rsid w:val="00C67706"/>
    <w:rsid w:val="00C67745"/>
    <w:rsid w:val="00C67765"/>
    <w:rsid w:val="00C67864"/>
    <w:rsid w:val="00C6793E"/>
    <w:rsid w:val="00C67976"/>
    <w:rsid w:val="00C6798B"/>
    <w:rsid w:val="00C679CD"/>
    <w:rsid w:val="00C679D6"/>
    <w:rsid w:val="00C679EA"/>
    <w:rsid w:val="00C67AE7"/>
    <w:rsid w:val="00C67AF3"/>
    <w:rsid w:val="00C67AF7"/>
    <w:rsid w:val="00C67B24"/>
    <w:rsid w:val="00C67BFF"/>
    <w:rsid w:val="00C67D0E"/>
    <w:rsid w:val="00C67D1D"/>
    <w:rsid w:val="00C67D4B"/>
    <w:rsid w:val="00C67E20"/>
    <w:rsid w:val="00C67E5F"/>
    <w:rsid w:val="00C67E8E"/>
    <w:rsid w:val="00C67EB9"/>
    <w:rsid w:val="00C67F8E"/>
    <w:rsid w:val="00C67FE1"/>
    <w:rsid w:val="00C67FF1"/>
    <w:rsid w:val="00C7013F"/>
    <w:rsid w:val="00C7019C"/>
    <w:rsid w:val="00C701A6"/>
    <w:rsid w:val="00C7024C"/>
    <w:rsid w:val="00C7028E"/>
    <w:rsid w:val="00C7029B"/>
    <w:rsid w:val="00C7035B"/>
    <w:rsid w:val="00C703F1"/>
    <w:rsid w:val="00C70483"/>
    <w:rsid w:val="00C7048A"/>
    <w:rsid w:val="00C704C3"/>
    <w:rsid w:val="00C704F1"/>
    <w:rsid w:val="00C70502"/>
    <w:rsid w:val="00C70602"/>
    <w:rsid w:val="00C70654"/>
    <w:rsid w:val="00C707AC"/>
    <w:rsid w:val="00C70870"/>
    <w:rsid w:val="00C70904"/>
    <w:rsid w:val="00C709B6"/>
    <w:rsid w:val="00C70A14"/>
    <w:rsid w:val="00C70A2B"/>
    <w:rsid w:val="00C70AE6"/>
    <w:rsid w:val="00C70B84"/>
    <w:rsid w:val="00C70B8F"/>
    <w:rsid w:val="00C70D13"/>
    <w:rsid w:val="00C70DFD"/>
    <w:rsid w:val="00C70E21"/>
    <w:rsid w:val="00C70EDB"/>
    <w:rsid w:val="00C70F45"/>
    <w:rsid w:val="00C7101E"/>
    <w:rsid w:val="00C71091"/>
    <w:rsid w:val="00C7121A"/>
    <w:rsid w:val="00C712B3"/>
    <w:rsid w:val="00C712CD"/>
    <w:rsid w:val="00C712FF"/>
    <w:rsid w:val="00C713C3"/>
    <w:rsid w:val="00C7144A"/>
    <w:rsid w:val="00C714BF"/>
    <w:rsid w:val="00C714C6"/>
    <w:rsid w:val="00C71529"/>
    <w:rsid w:val="00C7152E"/>
    <w:rsid w:val="00C7156E"/>
    <w:rsid w:val="00C716FF"/>
    <w:rsid w:val="00C71702"/>
    <w:rsid w:val="00C717B8"/>
    <w:rsid w:val="00C7191B"/>
    <w:rsid w:val="00C71982"/>
    <w:rsid w:val="00C71985"/>
    <w:rsid w:val="00C7199D"/>
    <w:rsid w:val="00C719B9"/>
    <w:rsid w:val="00C719C7"/>
    <w:rsid w:val="00C719DB"/>
    <w:rsid w:val="00C71A20"/>
    <w:rsid w:val="00C71A43"/>
    <w:rsid w:val="00C71A72"/>
    <w:rsid w:val="00C71B29"/>
    <w:rsid w:val="00C71B76"/>
    <w:rsid w:val="00C71BD2"/>
    <w:rsid w:val="00C71CF9"/>
    <w:rsid w:val="00C71DDA"/>
    <w:rsid w:val="00C71E7E"/>
    <w:rsid w:val="00C71F91"/>
    <w:rsid w:val="00C71FB2"/>
    <w:rsid w:val="00C71FD4"/>
    <w:rsid w:val="00C72112"/>
    <w:rsid w:val="00C72177"/>
    <w:rsid w:val="00C721EF"/>
    <w:rsid w:val="00C72252"/>
    <w:rsid w:val="00C72256"/>
    <w:rsid w:val="00C72405"/>
    <w:rsid w:val="00C7240D"/>
    <w:rsid w:val="00C72452"/>
    <w:rsid w:val="00C724DA"/>
    <w:rsid w:val="00C7262B"/>
    <w:rsid w:val="00C726C9"/>
    <w:rsid w:val="00C727CC"/>
    <w:rsid w:val="00C7282F"/>
    <w:rsid w:val="00C72898"/>
    <w:rsid w:val="00C7291F"/>
    <w:rsid w:val="00C729B6"/>
    <w:rsid w:val="00C729C4"/>
    <w:rsid w:val="00C72C0C"/>
    <w:rsid w:val="00C72D52"/>
    <w:rsid w:val="00C72D7A"/>
    <w:rsid w:val="00C72D82"/>
    <w:rsid w:val="00C72E0B"/>
    <w:rsid w:val="00C72E82"/>
    <w:rsid w:val="00C72E8F"/>
    <w:rsid w:val="00C72EBC"/>
    <w:rsid w:val="00C72FD6"/>
    <w:rsid w:val="00C7304B"/>
    <w:rsid w:val="00C730A1"/>
    <w:rsid w:val="00C730FE"/>
    <w:rsid w:val="00C73460"/>
    <w:rsid w:val="00C73486"/>
    <w:rsid w:val="00C734BB"/>
    <w:rsid w:val="00C734F6"/>
    <w:rsid w:val="00C73528"/>
    <w:rsid w:val="00C7358E"/>
    <w:rsid w:val="00C7361C"/>
    <w:rsid w:val="00C736DF"/>
    <w:rsid w:val="00C73850"/>
    <w:rsid w:val="00C73899"/>
    <w:rsid w:val="00C7392B"/>
    <w:rsid w:val="00C739E8"/>
    <w:rsid w:val="00C73A41"/>
    <w:rsid w:val="00C73D71"/>
    <w:rsid w:val="00C73D8F"/>
    <w:rsid w:val="00C73DB4"/>
    <w:rsid w:val="00C73E95"/>
    <w:rsid w:val="00C73F5B"/>
    <w:rsid w:val="00C73F85"/>
    <w:rsid w:val="00C73FC8"/>
    <w:rsid w:val="00C7404E"/>
    <w:rsid w:val="00C740B4"/>
    <w:rsid w:val="00C74232"/>
    <w:rsid w:val="00C7433B"/>
    <w:rsid w:val="00C7434B"/>
    <w:rsid w:val="00C743AD"/>
    <w:rsid w:val="00C7447E"/>
    <w:rsid w:val="00C7461D"/>
    <w:rsid w:val="00C74866"/>
    <w:rsid w:val="00C749C9"/>
    <w:rsid w:val="00C74A0A"/>
    <w:rsid w:val="00C74B04"/>
    <w:rsid w:val="00C74B47"/>
    <w:rsid w:val="00C74B7D"/>
    <w:rsid w:val="00C74B8C"/>
    <w:rsid w:val="00C74C54"/>
    <w:rsid w:val="00C74CA7"/>
    <w:rsid w:val="00C74FF3"/>
    <w:rsid w:val="00C75010"/>
    <w:rsid w:val="00C75073"/>
    <w:rsid w:val="00C7535E"/>
    <w:rsid w:val="00C753E5"/>
    <w:rsid w:val="00C75426"/>
    <w:rsid w:val="00C7549E"/>
    <w:rsid w:val="00C75502"/>
    <w:rsid w:val="00C75630"/>
    <w:rsid w:val="00C75713"/>
    <w:rsid w:val="00C7579F"/>
    <w:rsid w:val="00C757C8"/>
    <w:rsid w:val="00C75828"/>
    <w:rsid w:val="00C75845"/>
    <w:rsid w:val="00C7584F"/>
    <w:rsid w:val="00C75857"/>
    <w:rsid w:val="00C758B6"/>
    <w:rsid w:val="00C758F6"/>
    <w:rsid w:val="00C75901"/>
    <w:rsid w:val="00C759E2"/>
    <w:rsid w:val="00C75B17"/>
    <w:rsid w:val="00C75BEC"/>
    <w:rsid w:val="00C75CF2"/>
    <w:rsid w:val="00C75D06"/>
    <w:rsid w:val="00C75DCD"/>
    <w:rsid w:val="00C75DE8"/>
    <w:rsid w:val="00C76047"/>
    <w:rsid w:val="00C760F1"/>
    <w:rsid w:val="00C7611E"/>
    <w:rsid w:val="00C7616C"/>
    <w:rsid w:val="00C7621B"/>
    <w:rsid w:val="00C7623C"/>
    <w:rsid w:val="00C76337"/>
    <w:rsid w:val="00C7650F"/>
    <w:rsid w:val="00C76582"/>
    <w:rsid w:val="00C7663B"/>
    <w:rsid w:val="00C7668C"/>
    <w:rsid w:val="00C76706"/>
    <w:rsid w:val="00C76916"/>
    <w:rsid w:val="00C76973"/>
    <w:rsid w:val="00C769B9"/>
    <w:rsid w:val="00C769C8"/>
    <w:rsid w:val="00C76B15"/>
    <w:rsid w:val="00C76B59"/>
    <w:rsid w:val="00C76B8F"/>
    <w:rsid w:val="00C76BC5"/>
    <w:rsid w:val="00C76C7B"/>
    <w:rsid w:val="00C76E43"/>
    <w:rsid w:val="00C76F55"/>
    <w:rsid w:val="00C77083"/>
    <w:rsid w:val="00C77122"/>
    <w:rsid w:val="00C7714E"/>
    <w:rsid w:val="00C771DA"/>
    <w:rsid w:val="00C773CA"/>
    <w:rsid w:val="00C773E9"/>
    <w:rsid w:val="00C77497"/>
    <w:rsid w:val="00C774E9"/>
    <w:rsid w:val="00C775EE"/>
    <w:rsid w:val="00C7763D"/>
    <w:rsid w:val="00C77791"/>
    <w:rsid w:val="00C77931"/>
    <w:rsid w:val="00C77991"/>
    <w:rsid w:val="00C779E7"/>
    <w:rsid w:val="00C77AB2"/>
    <w:rsid w:val="00C77B8B"/>
    <w:rsid w:val="00C77BDA"/>
    <w:rsid w:val="00C77C57"/>
    <w:rsid w:val="00C77DD7"/>
    <w:rsid w:val="00C77E56"/>
    <w:rsid w:val="00C77E69"/>
    <w:rsid w:val="00C8024E"/>
    <w:rsid w:val="00C80312"/>
    <w:rsid w:val="00C80391"/>
    <w:rsid w:val="00C8057B"/>
    <w:rsid w:val="00C805B0"/>
    <w:rsid w:val="00C805E2"/>
    <w:rsid w:val="00C8063F"/>
    <w:rsid w:val="00C80665"/>
    <w:rsid w:val="00C806F1"/>
    <w:rsid w:val="00C807E4"/>
    <w:rsid w:val="00C807EF"/>
    <w:rsid w:val="00C8081B"/>
    <w:rsid w:val="00C80839"/>
    <w:rsid w:val="00C80868"/>
    <w:rsid w:val="00C80881"/>
    <w:rsid w:val="00C808BF"/>
    <w:rsid w:val="00C808E1"/>
    <w:rsid w:val="00C80A60"/>
    <w:rsid w:val="00C80A7F"/>
    <w:rsid w:val="00C80B38"/>
    <w:rsid w:val="00C80B9B"/>
    <w:rsid w:val="00C80BA8"/>
    <w:rsid w:val="00C80CFA"/>
    <w:rsid w:val="00C80D09"/>
    <w:rsid w:val="00C80D57"/>
    <w:rsid w:val="00C80E05"/>
    <w:rsid w:val="00C80E2D"/>
    <w:rsid w:val="00C80E4C"/>
    <w:rsid w:val="00C810C0"/>
    <w:rsid w:val="00C81210"/>
    <w:rsid w:val="00C813F3"/>
    <w:rsid w:val="00C81621"/>
    <w:rsid w:val="00C81690"/>
    <w:rsid w:val="00C816FF"/>
    <w:rsid w:val="00C8179D"/>
    <w:rsid w:val="00C817D1"/>
    <w:rsid w:val="00C81834"/>
    <w:rsid w:val="00C81843"/>
    <w:rsid w:val="00C81857"/>
    <w:rsid w:val="00C819BA"/>
    <w:rsid w:val="00C81B7A"/>
    <w:rsid w:val="00C81C1E"/>
    <w:rsid w:val="00C81C72"/>
    <w:rsid w:val="00C81CA6"/>
    <w:rsid w:val="00C81CCD"/>
    <w:rsid w:val="00C821AC"/>
    <w:rsid w:val="00C8220A"/>
    <w:rsid w:val="00C823B4"/>
    <w:rsid w:val="00C824D9"/>
    <w:rsid w:val="00C824DD"/>
    <w:rsid w:val="00C82553"/>
    <w:rsid w:val="00C82563"/>
    <w:rsid w:val="00C825DD"/>
    <w:rsid w:val="00C8268F"/>
    <w:rsid w:val="00C827B6"/>
    <w:rsid w:val="00C828E9"/>
    <w:rsid w:val="00C82A0E"/>
    <w:rsid w:val="00C82A21"/>
    <w:rsid w:val="00C82C53"/>
    <w:rsid w:val="00C82C6F"/>
    <w:rsid w:val="00C82CA3"/>
    <w:rsid w:val="00C82CF5"/>
    <w:rsid w:val="00C82D84"/>
    <w:rsid w:val="00C82DA6"/>
    <w:rsid w:val="00C82E0A"/>
    <w:rsid w:val="00C82E59"/>
    <w:rsid w:val="00C82F27"/>
    <w:rsid w:val="00C83039"/>
    <w:rsid w:val="00C830A8"/>
    <w:rsid w:val="00C83160"/>
    <w:rsid w:val="00C831E1"/>
    <w:rsid w:val="00C832FE"/>
    <w:rsid w:val="00C8333E"/>
    <w:rsid w:val="00C8337F"/>
    <w:rsid w:val="00C8339C"/>
    <w:rsid w:val="00C833A6"/>
    <w:rsid w:val="00C83429"/>
    <w:rsid w:val="00C83495"/>
    <w:rsid w:val="00C834C9"/>
    <w:rsid w:val="00C83511"/>
    <w:rsid w:val="00C83535"/>
    <w:rsid w:val="00C8353D"/>
    <w:rsid w:val="00C835AA"/>
    <w:rsid w:val="00C83611"/>
    <w:rsid w:val="00C836A9"/>
    <w:rsid w:val="00C83708"/>
    <w:rsid w:val="00C83794"/>
    <w:rsid w:val="00C83812"/>
    <w:rsid w:val="00C8386A"/>
    <w:rsid w:val="00C838B6"/>
    <w:rsid w:val="00C83926"/>
    <w:rsid w:val="00C8394B"/>
    <w:rsid w:val="00C8398A"/>
    <w:rsid w:val="00C839EF"/>
    <w:rsid w:val="00C83A3F"/>
    <w:rsid w:val="00C83A7D"/>
    <w:rsid w:val="00C83AA0"/>
    <w:rsid w:val="00C83B98"/>
    <w:rsid w:val="00C83BB3"/>
    <w:rsid w:val="00C83C01"/>
    <w:rsid w:val="00C83C73"/>
    <w:rsid w:val="00C83D84"/>
    <w:rsid w:val="00C83D90"/>
    <w:rsid w:val="00C83E44"/>
    <w:rsid w:val="00C840E8"/>
    <w:rsid w:val="00C840EB"/>
    <w:rsid w:val="00C84163"/>
    <w:rsid w:val="00C84198"/>
    <w:rsid w:val="00C84362"/>
    <w:rsid w:val="00C8453D"/>
    <w:rsid w:val="00C845B4"/>
    <w:rsid w:val="00C8471B"/>
    <w:rsid w:val="00C84827"/>
    <w:rsid w:val="00C84872"/>
    <w:rsid w:val="00C848A9"/>
    <w:rsid w:val="00C84A3F"/>
    <w:rsid w:val="00C84BEE"/>
    <w:rsid w:val="00C84CF8"/>
    <w:rsid w:val="00C84F10"/>
    <w:rsid w:val="00C85058"/>
    <w:rsid w:val="00C8509A"/>
    <w:rsid w:val="00C850A4"/>
    <w:rsid w:val="00C851D2"/>
    <w:rsid w:val="00C851DA"/>
    <w:rsid w:val="00C851DC"/>
    <w:rsid w:val="00C8520A"/>
    <w:rsid w:val="00C852B6"/>
    <w:rsid w:val="00C85300"/>
    <w:rsid w:val="00C8530F"/>
    <w:rsid w:val="00C85447"/>
    <w:rsid w:val="00C854A3"/>
    <w:rsid w:val="00C855C9"/>
    <w:rsid w:val="00C85778"/>
    <w:rsid w:val="00C858EF"/>
    <w:rsid w:val="00C858FE"/>
    <w:rsid w:val="00C85927"/>
    <w:rsid w:val="00C85933"/>
    <w:rsid w:val="00C85A28"/>
    <w:rsid w:val="00C85A87"/>
    <w:rsid w:val="00C85B30"/>
    <w:rsid w:val="00C85DF0"/>
    <w:rsid w:val="00C85DF1"/>
    <w:rsid w:val="00C85E24"/>
    <w:rsid w:val="00C85E94"/>
    <w:rsid w:val="00C85EB9"/>
    <w:rsid w:val="00C85FCD"/>
    <w:rsid w:val="00C861A9"/>
    <w:rsid w:val="00C862BA"/>
    <w:rsid w:val="00C862C6"/>
    <w:rsid w:val="00C862C7"/>
    <w:rsid w:val="00C8635F"/>
    <w:rsid w:val="00C86519"/>
    <w:rsid w:val="00C8658B"/>
    <w:rsid w:val="00C86698"/>
    <w:rsid w:val="00C866A6"/>
    <w:rsid w:val="00C8673B"/>
    <w:rsid w:val="00C86742"/>
    <w:rsid w:val="00C86797"/>
    <w:rsid w:val="00C868C9"/>
    <w:rsid w:val="00C869AD"/>
    <w:rsid w:val="00C86A16"/>
    <w:rsid w:val="00C86A35"/>
    <w:rsid w:val="00C86B3A"/>
    <w:rsid w:val="00C86B49"/>
    <w:rsid w:val="00C86C21"/>
    <w:rsid w:val="00C86CD6"/>
    <w:rsid w:val="00C86D0F"/>
    <w:rsid w:val="00C86D70"/>
    <w:rsid w:val="00C86DBA"/>
    <w:rsid w:val="00C86FAB"/>
    <w:rsid w:val="00C87072"/>
    <w:rsid w:val="00C870DC"/>
    <w:rsid w:val="00C8716F"/>
    <w:rsid w:val="00C87436"/>
    <w:rsid w:val="00C87464"/>
    <w:rsid w:val="00C8749A"/>
    <w:rsid w:val="00C874CD"/>
    <w:rsid w:val="00C87502"/>
    <w:rsid w:val="00C8752E"/>
    <w:rsid w:val="00C8754E"/>
    <w:rsid w:val="00C87560"/>
    <w:rsid w:val="00C875F6"/>
    <w:rsid w:val="00C876CA"/>
    <w:rsid w:val="00C8790B"/>
    <w:rsid w:val="00C8791E"/>
    <w:rsid w:val="00C8794F"/>
    <w:rsid w:val="00C87951"/>
    <w:rsid w:val="00C8795B"/>
    <w:rsid w:val="00C87966"/>
    <w:rsid w:val="00C87973"/>
    <w:rsid w:val="00C87A71"/>
    <w:rsid w:val="00C87AC4"/>
    <w:rsid w:val="00C87B58"/>
    <w:rsid w:val="00C87BEE"/>
    <w:rsid w:val="00C87E36"/>
    <w:rsid w:val="00C87EC3"/>
    <w:rsid w:val="00C87F38"/>
    <w:rsid w:val="00C87F4B"/>
    <w:rsid w:val="00C87FED"/>
    <w:rsid w:val="00C9006E"/>
    <w:rsid w:val="00C900BE"/>
    <w:rsid w:val="00C9010D"/>
    <w:rsid w:val="00C90140"/>
    <w:rsid w:val="00C901AB"/>
    <w:rsid w:val="00C901AE"/>
    <w:rsid w:val="00C9020B"/>
    <w:rsid w:val="00C90213"/>
    <w:rsid w:val="00C90399"/>
    <w:rsid w:val="00C9047E"/>
    <w:rsid w:val="00C9068B"/>
    <w:rsid w:val="00C90693"/>
    <w:rsid w:val="00C9073B"/>
    <w:rsid w:val="00C9075C"/>
    <w:rsid w:val="00C907B8"/>
    <w:rsid w:val="00C90B0C"/>
    <w:rsid w:val="00C90C05"/>
    <w:rsid w:val="00C90C72"/>
    <w:rsid w:val="00C90CCF"/>
    <w:rsid w:val="00C90CFD"/>
    <w:rsid w:val="00C90D2A"/>
    <w:rsid w:val="00C90DAF"/>
    <w:rsid w:val="00C90E5D"/>
    <w:rsid w:val="00C90E6D"/>
    <w:rsid w:val="00C90F0E"/>
    <w:rsid w:val="00C90F30"/>
    <w:rsid w:val="00C90F39"/>
    <w:rsid w:val="00C90F62"/>
    <w:rsid w:val="00C90FB3"/>
    <w:rsid w:val="00C9110C"/>
    <w:rsid w:val="00C9119B"/>
    <w:rsid w:val="00C9134B"/>
    <w:rsid w:val="00C913C7"/>
    <w:rsid w:val="00C91401"/>
    <w:rsid w:val="00C91599"/>
    <w:rsid w:val="00C91651"/>
    <w:rsid w:val="00C916BF"/>
    <w:rsid w:val="00C917A4"/>
    <w:rsid w:val="00C918DC"/>
    <w:rsid w:val="00C9193F"/>
    <w:rsid w:val="00C91B20"/>
    <w:rsid w:val="00C91B22"/>
    <w:rsid w:val="00C91BA8"/>
    <w:rsid w:val="00C91C7E"/>
    <w:rsid w:val="00C91D02"/>
    <w:rsid w:val="00C91D05"/>
    <w:rsid w:val="00C91D18"/>
    <w:rsid w:val="00C91E18"/>
    <w:rsid w:val="00C91E97"/>
    <w:rsid w:val="00C91E9B"/>
    <w:rsid w:val="00C91EFE"/>
    <w:rsid w:val="00C91F03"/>
    <w:rsid w:val="00C91FC3"/>
    <w:rsid w:val="00C9200A"/>
    <w:rsid w:val="00C92180"/>
    <w:rsid w:val="00C921B8"/>
    <w:rsid w:val="00C921EC"/>
    <w:rsid w:val="00C92220"/>
    <w:rsid w:val="00C922A2"/>
    <w:rsid w:val="00C922D5"/>
    <w:rsid w:val="00C923C1"/>
    <w:rsid w:val="00C9243B"/>
    <w:rsid w:val="00C92545"/>
    <w:rsid w:val="00C9257D"/>
    <w:rsid w:val="00C9263A"/>
    <w:rsid w:val="00C92677"/>
    <w:rsid w:val="00C92778"/>
    <w:rsid w:val="00C9283F"/>
    <w:rsid w:val="00C9293E"/>
    <w:rsid w:val="00C929C6"/>
    <w:rsid w:val="00C92AE6"/>
    <w:rsid w:val="00C92BEC"/>
    <w:rsid w:val="00C92BEF"/>
    <w:rsid w:val="00C92C40"/>
    <w:rsid w:val="00C92D59"/>
    <w:rsid w:val="00C92DEE"/>
    <w:rsid w:val="00C92E3E"/>
    <w:rsid w:val="00C92E70"/>
    <w:rsid w:val="00C92E9A"/>
    <w:rsid w:val="00C92EA1"/>
    <w:rsid w:val="00C93135"/>
    <w:rsid w:val="00C93161"/>
    <w:rsid w:val="00C93334"/>
    <w:rsid w:val="00C9340D"/>
    <w:rsid w:val="00C93422"/>
    <w:rsid w:val="00C93431"/>
    <w:rsid w:val="00C93617"/>
    <w:rsid w:val="00C936BE"/>
    <w:rsid w:val="00C93703"/>
    <w:rsid w:val="00C938D8"/>
    <w:rsid w:val="00C939C3"/>
    <w:rsid w:val="00C93A69"/>
    <w:rsid w:val="00C93C7E"/>
    <w:rsid w:val="00C93C9A"/>
    <w:rsid w:val="00C93DB2"/>
    <w:rsid w:val="00C93E1D"/>
    <w:rsid w:val="00C93E50"/>
    <w:rsid w:val="00C93F68"/>
    <w:rsid w:val="00C94040"/>
    <w:rsid w:val="00C94092"/>
    <w:rsid w:val="00C94094"/>
    <w:rsid w:val="00C940CC"/>
    <w:rsid w:val="00C94127"/>
    <w:rsid w:val="00C94141"/>
    <w:rsid w:val="00C941DF"/>
    <w:rsid w:val="00C942C4"/>
    <w:rsid w:val="00C9446C"/>
    <w:rsid w:val="00C945AA"/>
    <w:rsid w:val="00C94608"/>
    <w:rsid w:val="00C947C7"/>
    <w:rsid w:val="00C947D7"/>
    <w:rsid w:val="00C9480C"/>
    <w:rsid w:val="00C948A9"/>
    <w:rsid w:val="00C94942"/>
    <w:rsid w:val="00C94A25"/>
    <w:rsid w:val="00C94A66"/>
    <w:rsid w:val="00C94D43"/>
    <w:rsid w:val="00C94F02"/>
    <w:rsid w:val="00C94F82"/>
    <w:rsid w:val="00C94FBD"/>
    <w:rsid w:val="00C94FD2"/>
    <w:rsid w:val="00C95032"/>
    <w:rsid w:val="00C9523D"/>
    <w:rsid w:val="00C95272"/>
    <w:rsid w:val="00C952DC"/>
    <w:rsid w:val="00C952E6"/>
    <w:rsid w:val="00C953E5"/>
    <w:rsid w:val="00C955A1"/>
    <w:rsid w:val="00C955E6"/>
    <w:rsid w:val="00C95710"/>
    <w:rsid w:val="00C95784"/>
    <w:rsid w:val="00C958BD"/>
    <w:rsid w:val="00C958BF"/>
    <w:rsid w:val="00C95931"/>
    <w:rsid w:val="00C95A1B"/>
    <w:rsid w:val="00C95A23"/>
    <w:rsid w:val="00C95B58"/>
    <w:rsid w:val="00C95C18"/>
    <w:rsid w:val="00C95CD9"/>
    <w:rsid w:val="00C95DA7"/>
    <w:rsid w:val="00C95F33"/>
    <w:rsid w:val="00C95FF8"/>
    <w:rsid w:val="00C96127"/>
    <w:rsid w:val="00C964FA"/>
    <w:rsid w:val="00C9652E"/>
    <w:rsid w:val="00C96531"/>
    <w:rsid w:val="00C96563"/>
    <w:rsid w:val="00C965A3"/>
    <w:rsid w:val="00C965B5"/>
    <w:rsid w:val="00C96657"/>
    <w:rsid w:val="00C966A2"/>
    <w:rsid w:val="00C966BA"/>
    <w:rsid w:val="00C966CD"/>
    <w:rsid w:val="00C9672A"/>
    <w:rsid w:val="00C96800"/>
    <w:rsid w:val="00C9690B"/>
    <w:rsid w:val="00C9698D"/>
    <w:rsid w:val="00C969C5"/>
    <w:rsid w:val="00C96AC2"/>
    <w:rsid w:val="00C96B36"/>
    <w:rsid w:val="00C96BC7"/>
    <w:rsid w:val="00C96D12"/>
    <w:rsid w:val="00C96DD4"/>
    <w:rsid w:val="00C97048"/>
    <w:rsid w:val="00C97109"/>
    <w:rsid w:val="00C97141"/>
    <w:rsid w:val="00C9719D"/>
    <w:rsid w:val="00C971D3"/>
    <w:rsid w:val="00C971ED"/>
    <w:rsid w:val="00C97232"/>
    <w:rsid w:val="00C97544"/>
    <w:rsid w:val="00C975C7"/>
    <w:rsid w:val="00C97685"/>
    <w:rsid w:val="00C977FE"/>
    <w:rsid w:val="00C97878"/>
    <w:rsid w:val="00C978A8"/>
    <w:rsid w:val="00C97A12"/>
    <w:rsid w:val="00C97A20"/>
    <w:rsid w:val="00C97A7F"/>
    <w:rsid w:val="00C97B89"/>
    <w:rsid w:val="00C97C9D"/>
    <w:rsid w:val="00C97CE6"/>
    <w:rsid w:val="00C97CEE"/>
    <w:rsid w:val="00C97D6A"/>
    <w:rsid w:val="00C97EEE"/>
    <w:rsid w:val="00C97FB7"/>
    <w:rsid w:val="00C97FF5"/>
    <w:rsid w:val="00CA0013"/>
    <w:rsid w:val="00CA009A"/>
    <w:rsid w:val="00CA0147"/>
    <w:rsid w:val="00CA0239"/>
    <w:rsid w:val="00CA031A"/>
    <w:rsid w:val="00CA0355"/>
    <w:rsid w:val="00CA03B5"/>
    <w:rsid w:val="00CA0492"/>
    <w:rsid w:val="00CA05C6"/>
    <w:rsid w:val="00CA0642"/>
    <w:rsid w:val="00CA0685"/>
    <w:rsid w:val="00CA068D"/>
    <w:rsid w:val="00CA0695"/>
    <w:rsid w:val="00CA07B1"/>
    <w:rsid w:val="00CA07F8"/>
    <w:rsid w:val="00CA086D"/>
    <w:rsid w:val="00CA08AD"/>
    <w:rsid w:val="00CA08E9"/>
    <w:rsid w:val="00CA0A0F"/>
    <w:rsid w:val="00CA0A3C"/>
    <w:rsid w:val="00CA0A8D"/>
    <w:rsid w:val="00CA0B48"/>
    <w:rsid w:val="00CA0C5A"/>
    <w:rsid w:val="00CA0CDE"/>
    <w:rsid w:val="00CA0D90"/>
    <w:rsid w:val="00CA0E7A"/>
    <w:rsid w:val="00CA0F95"/>
    <w:rsid w:val="00CA10AE"/>
    <w:rsid w:val="00CA10E4"/>
    <w:rsid w:val="00CA140F"/>
    <w:rsid w:val="00CA1413"/>
    <w:rsid w:val="00CA1579"/>
    <w:rsid w:val="00CA15EE"/>
    <w:rsid w:val="00CA1602"/>
    <w:rsid w:val="00CA1659"/>
    <w:rsid w:val="00CA17C7"/>
    <w:rsid w:val="00CA184B"/>
    <w:rsid w:val="00CA18B8"/>
    <w:rsid w:val="00CA18E7"/>
    <w:rsid w:val="00CA1961"/>
    <w:rsid w:val="00CA19DC"/>
    <w:rsid w:val="00CA1A52"/>
    <w:rsid w:val="00CA1A9B"/>
    <w:rsid w:val="00CA1AA8"/>
    <w:rsid w:val="00CA1AF4"/>
    <w:rsid w:val="00CA1B36"/>
    <w:rsid w:val="00CA1B61"/>
    <w:rsid w:val="00CA1C56"/>
    <w:rsid w:val="00CA1C76"/>
    <w:rsid w:val="00CA1C79"/>
    <w:rsid w:val="00CA1C84"/>
    <w:rsid w:val="00CA1CCE"/>
    <w:rsid w:val="00CA1D4C"/>
    <w:rsid w:val="00CA1FD0"/>
    <w:rsid w:val="00CA2008"/>
    <w:rsid w:val="00CA2040"/>
    <w:rsid w:val="00CA2136"/>
    <w:rsid w:val="00CA2210"/>
    <w:rsid w:val="00CA2275"/>
    <w:rsid w:val="00CA2388"/>
    <w:rsid w:val="00CA24CE"/>
    <w:rsid w:val="00CA252A"/>
    <w:rsid w:val="00CA2561"/>
    <w:rsid w:val="00CA25DE"/>
    <w:rsid w:val="00CA262D"/>
    <w:rsid w:val="00CA26AB"/>
    <w:rsid w:val="00CA26CE"/>
    <w:rsid w:val="00CA26EA"/>
    <w:rsid w:val="00CA2716"/>
    <w:rsid w:val="00CA271F"/>
    <w:rsid w:val="00CA2736"/>
    <w:rsid w:val="00CA274D"/>
    <w:rsid w:val="00CA28CB"/>
    <w:rsid w:val="00CA296C"/>
    <w:rsid w:val="00CA2994"/>
    <w:rsid w:val="00CA29F6"/>
    <w:rsid w:val="00CA2AA3"/>
    <w:rsid w:val="00CA2B09"/>
    <w:rsid w:val="00CA2B33"/>
    <w:rsid w:val="00CA2BB9"/>
    <w:rsid w:val="00CA2C3F"/>
    <w:rsid w:val="00CA2CD8"/>
    <w:rsid w:val="00CA2DF1"/>
    <w:rsid w:val="00CA2DF2"/>
    <w:rsid w:val="00CA2E7D"/>
    <w:rsid w:val="00CA2F0F"/>
    <w:rsid w:val="00CA2FB2"/>
    <w:rsid w:val="00CA311D"/>
    <w:rsid w:val="00CA3205"/>
    <w:rsid w:val="00CA324F"/>
    <w:rsid w:val="00CA326B"/>
    <w:rsid w:val="00CA32CF"/>
    <w:rsid w:val="00CA32D0"/>
    <w:rsid w:val="00CA33BE"/>
    <w:rsid w:val="00CA342E"/>
    <w:rsid w:val="00CA352C"/>
    <w:rsid w:val="00CA352F"/>
    <w:rsid w:val="00CA356C"/>
    <w:rsid w:val="00CA3602"/>
    <w:rsid w:val="00CA3618"/>
    <w:rsid w:val="00CA364E"/>
    <w:rsid w:val="00CA36AE"/>
    <w:rsid w:val="00CA3834"/>
    <w:rsid w:val="00CA38FC"/>
    <w:rsid w:val="00CA398B"/>
    <w:rsid w:val="00CA39B9"/>
    <w:rsid w:val="00CA39F7"/>
    <w:rsid w:val="00CA3A12"/>
    <w:rsid w:val="00CA3B35"/>
    <w:rsid w:val="00CA3D08"/>
    <w:rsid w:val="00CA3D3A"/>
    <w:rsid w:val="00CA3E67"/>
    <w:rsid w:val="00CA3E6F"/>
    <w:rsid w:val="00CA3EB6"/>
    <w:rsid w:val="00CA3FBC"/>
    <w:rsid w:val="00CA3FE5"/>
    <w:rsid w:val="00CA4039"/>
    <w:rsid w:val="00CA4058"/>
    <w:rsid w:val="00CA4155"/>
    <w:rsid w:val="00CA4219"/>
    <w:rsid w:val="00CA42A4"/>
    <w:rsid w:val="00CA42D6"/>
    <w:rsid w:val="00CA42E9"/>
    <w:rsid w:val="00CA43D7"/>
    <w:rsid w:val="00CA4588"/>
    <w:rsid w:val="00CA45FA"/>
    <w:rsid w:val="00CA4688"/>
    <w:rsid w:val="00CA46A3"/>
    <w:rsid w:val="00CA4729"/>
    <w:rsid w:val="00CA488D"/>
    <w:rsid w:val="00CA489E"/>
    <w:rsid w:val="00CA49B4"/>
    <w:rsid w:val="00CA4B01"/>
    <w:rsid w:val="00CA4B71"/>
    <w:rsid w:val="00CA4BBD"/>
    <w:rsid w:val="00CA4D06"/>
    <w:rsid w:val="00CA4D60"/>
    <w:rsid w:val="00CA4DF9"/>
    <w:rsid w:val="00CA4E56"/>
    <w:rsid w:val="00CA4ED6"/>
    <w:rsid w:val="00CA4F68"/>
    <w:rsid w:val="00CA4FDD"/>
    <w:rsid w:val="00CA4FF8"/>
    <w:rsid w:val="00CA509D"/>
    <w:rsid w:val="00CA511F"/>
    <w:rsid w:val="00CA528A"/>
    <w:rsid w:val="00CA52BB"/>
    <w:rsid w:val="00CA52CE"/>
    <w:rsid w:val="00CA5306"/>
    <w:rsid w:val="00CA53F2"/>
    <w:rsid w:val="00CA54E2"/>
    <w:rsid w:val="00CA55BF"/>
    <w:rsid w:val="00CA57B7"/>
    <w:rsid w:val="00CA57D8"/>
    <w:rsid w:val="00CA58EE"/>
    <w:rsid w:val="00CA5951"/>
    <w:rsid w:val="00CA599B"/>
    <w:rsid w:val="00CA5A2A"/>
    <w:rsid w:val="00CA5B94"/>
    <w:rsid w:val="00CA5BA2"/>
    <w:rsid w:val="00CA5BB8"/>
    <w:rsid w:val="00CA5CA5"/>
    <w:rsid w:val="00CA5D26"/>
    <w:rsid w:val="00CA5D44"/>
    <w:rsid w:val="00CA5EDE"/>
    <w:rsid w:val="00CA601E"/>
    <w:rsid w:val="00CA6021"/>
    <w:rsid w:val="00CA609C"/>
    <w:rsid w:val="00CA60FA"/>
    <w:rsid w:val="00CA6204"/>
    <w:rsid w:val="00CA62EA"/>
    <w:rsid w:val="00CA6324"/>
    <w:rsid w:val="00CA634E"/>
    <w:rsid w:val="00CA6392"/>
    <w:rsid w:val="00CA63EF"/>
    <w:rsid w:val="00CA6454"/>
    <w:rsid w:val="00CA64AE"/>
    <w:rsid w:val="00CA64F7"/>
    <w:rsid w:val="00CA664B"/>
    <w:rsid w:val="00CA66F7"/>
    <w:rsid w:val="00CA6711"/>
    <w:rsid w:val="00CA67FA"/>
    <w:rsid w:val="00CA683C"/>
    <w:rsid w:val="00CA6889"/>
    <w:rsid w:val="00CA6900"/>
    <w:rsid w:val="00CA6901"/>
    <w:rsid w:val="00CA6909"/>
    <w:rsid w:val="00CA6939"/>
    <w:rsid w:val="00CA695C"/>
    <w:rsid w:val="00CA69A9"/>
    <w:rsid w:val="00CA69CE"/>
    <w:rsid w:val="00CA6A24"/>
    <w:rsid w:val="00CA6AB9"/>
    <w:rsid w:val="00CA6B9A"/>
    <w:rsid w:val="00CA6BF8"/>
    <w:rsid w:val="00CA6D76"/>
    <w:rsid w:val="00CA6D79"/>
    <w:rsid w:val="00CA6DB9"/>
    <w:rsid w:val="00CA6EA6"/>
    <w:rsid w:val="00CA6EE0"/>
    <w:rsid w:val="00CA6F5C"/>
    <w:rsid w:val="00CA702B"/>
    <w:rsid w:val="00CA7163"/>
    <w:rsid w:val="00CA71D1"/>
    <w:rsid w:val="00CA7237"/>
    <w:rsid w:val="00CA7342"/>
    <w:rsid w:val="00CA7491"/>
    <w:rsid w:val="00CA74FD"/>
    <w:rsid w:val="00CA75E2"/>
    <w:rsid w:val="00CA765F"/>
    <w:rsid w:val="00CA771B"/>
    <w:rsid w:val="00CA77A3"/>
    <w:rsid w:val="00CA7902"/>
    <w:rsid w:val="00CA79A6"/>
    <w:rsid w:val="00CA7BCD"/>
    <w:rsid w:val="00CA7BEC"/>
    <w:rsid w:val="00CA7C57"/>
    <w:rsid w:val="00CA7CCB"/>
    <w:rsid w:val="00CA7E43"/>
    <w:rsid w:val="00CA7E95"/>
    <w:rsid w:val="00CA7E9B"/>
    <w:rsid w:val="00CA7F07"/>
    <w:rsid w:val="00CA7FBF"/>
    <w:rsid w:val="00CB006F"/>
    <w:rsid w:val="00CB0114"/>
    <w:rsid w:val="00CB0278"/>
    <w:rsid w:val="00CB028F"/>
    <w:rsid w:val="00CB02D6"/>
    <w:rsid w:val="00CB02F3"/>
    <w:rsid w:val="00CB0419"/>
    <w:rsid w:val="00CB044B"/>
    <w:rsid w:val="00CB04D7"/>
    <w:rsid w:val="00CB0556"/>
    <w:rsid w:val="00CB056B"/>
    <w:rsid w:val="00CB05C8"/>
    <w:rsid w:val="00CB05D2"/>
    <w:rsid w:val="00CB0669"/>
    <w:rsid w:val="00CB0694"/>
    <w:rsid w:val="00CB078E"/>
    <w:rsid w:val="00CB0828"/>
    <w:rsid w:val="00CB08EB"/>
    <w:rsid w:val="00CB0912"/>
    <w:rsid w:val="00CB098D"/>
    <w:rsid w:val="00CB0A9E"/>
    <w:rsid w:val="00CB0B8A"/>
    <w:rsid w:val="00CB0BAB"/>
    <w:rsid w:val="00CB0F82"/>
    <w:rsid w:val="00CB0FD2"/>
    <w:rsid w:val="00CB109B"/>
    <w:rsid w:val="00CB10BD"/>
    <w:rsid w:val="00CB10FA"/>
    <w:rsid w:val="00CB111E"/>
    <w:rsid w:val="00CB11FA"/>
    <w:rsid w:val="00CB12DE"/>
    <w:rsid w:val="00CB1348"/>
    <w:rsid w:val="00CB1375"/>
    <w:rsid w:val="00CB13AF"/>
    <w:rsid w:val="00CB1427"/>
    <w:rsid w:val="00CB14FE"/>
    <w:rsid w:val="00CB1502"/>
    <w:rsid w:val="00CB15B4"/>
    <w:rsid w:val="00CB15E6"/>
    <w:rsid w:val="00CB15E9"/>
    <w:rsid w:val="00CB16F4"/>
    <w:rsid w:val="00CB16F8"/>
    <w:rsid w:val="00CB175F"/>
    <w:rsid w:val="00CB17FB"/>
    <w:rsid w:val="00CB187C"/>
    <w:rsid w:val="00CB1885"/>
    <w:rsid w:val="00CB18FD"/>
    <w:rsid w:val="00CB195A"/>
    <w:rsid w:val="00CB196C"/>
    <w:rsid w:val="00CB19FC"/>
    <w:rsid w:val="00CB1B24"/>
    <w:rsid w:val="00CB1B5C"/>
    <w:rsid w:val="00CB1B6E"/>
    <w:rsid w:val="00CB1BAB"/>
    <w:rsid w:val="00CB1C64"/>
    <w:rsid w:val="00CB1D95"/>
    <w:rsid w:val="00CB1DE9"/>
    <w:rsid w:val="00CB1E36"/>
    <w:rsid w:val="00CB1E6D"/>
    <w:rsid w:val="00CB1E7C"/>
    <w:rsid w:val="00CB1EAB"/>
    <w:rsid w:val="00CB1EAE"/>
    <w:rsid w:val="00CB1EC4"/>
    <w:rsid w:val="00CB1FC7"/>
    <w:rsid w:val="00CB2073"/>
    <w:rsid w:val="00CB211B"/>
    <w:rsid w:val="00CB2157"/>
    <w:rsid w:val="00CB2444"/>
    <w:rsid w:val="00CB2449"/>
    <w:rsid w:val="00CB246A"/>
    <w:rsid w:val="00CB24AF"/>
    <w:rsid w:val="00CB2607"/>
    <w:rsid w:val="00CB2744"/>
    <w:rsid w:val="00CB2799"/>
    <w:rsid w:val="00CB27EB"/>
    <w:rsid w:val="00CB284D"/>
    <w:rsid w:val="00CB2AA6"/>
    <w:rsid w:val="00CB2B77"/>
    <w:rsid w:val="00CB2B92"/>
    <w:rsid w:val="00CB2BAC"/>
    <w:rsid w:val="00CB2BB0"/>
    <w:rsid w:val="00CB2BC7"/>
    <w:rsid w:val="00CB2BD5"/>
    <w:rsid w:val="00CB2C2F"/>
    <w:rsid w:val="00CB2CB7"/>
    <w:rsid w:val="00CB2E15"/>
    <w:rsid w:val="00CB2E6C"/>
    <w:rsid w:val="00CB2EA4"/>
    <w:rsid w:val="00CB2F38"/>
    <w:rsid w:val="00CB304F"/>
    <w:rsid w:val="00CB30B9"/>
    <w:rsid w:val="00CB351E"/>
    <w:rsid w:val="00CB361A"/>
    <w:rsid w:val="00CB3746"/>
    <w:rsid w:val="00CB3752"/>
    <w:rsid w:val="00CB3778"/>
    <w:rsid w:val="00CB37DE"/>
    <w:rsid w:val="00CB38B2"/>
    <w:rsid w:val="00CB38C7"/>
    <w:rsid w:val="00CB3997"/>
    <w:rsid w:val="00CB39FE"/>
    <w:rsid w:val="00CB3A9B"/>
    <w:rsid w:val="00CB3BF2"/>
    <w:rsid w:val="00CB3C1A"/>
    <w:rsid w:val="00CB3C47"/>
    <w:rsid w:val="00CB3C70"/>
    <w:rsid w:val="00CB3D71"/>
    <w:rsid w:val="00CB3DA6"/>
    <w:rsid w:val="00CB3F1A"/>
    <w:rsid w:val="00CB4017"/>
    <w:rsid w:val="00CB4076"/>
    <w:rsid w:val="00CB411D"/>
    <w:rsid w:val="00CB41F5"/>
    <w:rsid w:val="00CB4212"/>
    <w:rsid w:val="00CB4249"/>
    <w:rsid w:val="00CB4287"/>
    <w:rsid w:val="00CB43FD"/>
    <w:rsid w:val="00CB440D"/>
    <w:rsid w:val="00CB4491"/>
    <w:rsid w:val="00CB4503"/>
    <w:rsid w:val="00CB4712"/>
    <w:rsid w:val="00CB481D"/>
    <w:rsid w:val="00CB482E"/>
    <w:rsid w:val="00CB493F"/>
    <w:rsid w:val="00CB4A70"/>
    <w:rsid w:val="00CB4B0B"/>
    <w:rsid w:val="00CB4B45"/>
    <w:rsid w:val="00CB4B58"/>
    <w:rsid w:val="00CB4BCA"/>
    <w:rsid w:val="00CB4BD2"/>
    <w:rsid w:val="00CB4C3D"/>
    <w:rsid w:val="00CB4C8F"/>
    <w:rsid w:val="00CB4CEA"/>
    <w:rsid w:val="00CB4D12"/>
    <w:rsid w:val="00CB4E5C"/>
    <w:rsid w:val="00CB4EA7"/>
    <w:rsid w:val="00CB4F27"/>
    <w:rsid w:val="00CB4F89"/>
    <w:rsid w:val="00CB505E"/>
    <w:rsid w:val="00CB5196"/>
    <w:rsid w:val="00CB51A7"/>
    <w:rsid w:val="00CB51D1"/>
    <w:rsid w:val="00CB523D"/>
    <w:rsid w:val="00CB5310"/>
    <w:rsid w:val="00CB5351"/>
    <w:rsid w:val="00CB5352"/>
    <w:rsid w:val="00CB53A3"/>
    <w:rsid w:val="00CB54D4"/>
    <w:rsid w:val="00CB5528"/>
    <w:rsid w:val="00CB56B4"/>
    <w:rsid w:val="00CB56F4"/>
    <w:rsid w:val="00CB5731"/>
    <w:rsid w:val="00CB5749"/>
    <w:rsid w:val="00CB5871"/>
    <w:rsid w:val="00CB596A"/>
    <w:rsid w:val="00CB5AC8"/>
    <w:rsid w:val="00CB5BA0"/>
    <w:rsid w:val="00CB5BE7"/>
    <w:rsid w:val="00CB5C11"/>
    <w:rsid w:val="00CB5C45"/>
    <w:rsid w:val="00CB5C55"/>
    <w:rsid w:val="00CB5C83"/>
    <w:rsid w:val="00CB5C9A"/>
    <w:rsid w:val="00CB5E7B"/>
    <w:rsid w:val="00CB5E81"/>
    <w:rsid w:val="00CB5F25"/>
    <w:rsid w:val="00CB5FF5"/>
    <w:rsid w:val="00CB60D9"/>
    <w:rsid w:val="00CB61E3"/>
    <w:rsid w:val="00CB630F"/>
    <w:rsid w:val="00CB63DB"/>
    <w:rsid w:val="00CB63F4"/>
    <w:rsid w:val="00CB6473"/>
    <w:rsid w:val="00CB6479"/>
    <w:rsid w:val="00CB65E4"/>
    <w:rsid w:val="00CB65EE"/>
    <w:rsid w:val="00CB6638"/>
    <w:rsid w:val="00CB663B"/>
    <w:rsid w:val="00CB668E"/>
    <w:rsid w:val="00CB6797"/>
    <w:rsid w:val="00CB67CD"/>
    <w:rsid w:val="00CB6846"/>
    <w:rsid w:val="00CB69DA"/>
    <w:rsid w:val="00CB6B07"/>
    <w:rsid w:val="00CB6B7F"/>
    <w:rsid w:val="00CB6C8D"/>
    <w:rsid w:val="00CB6CA3"/>
    <w:rsid w:val="00CB6E6D"/>
    <w:rsid w:val="00CB6EF0"/>
    <w:rsid w:val="00CB7047"/>
    <w:rsid w:val="00CB7159"/>
    <w:rsid w:val="00CB7187"/>
    <w:rsid w:val="00CB72B5"/>
    <w:rsid w:val="00CB7362"/>
    <w:rsid w:val="00CB7418"/>
    <w:rsid w:val="00CB74A9"/>
    <w:rsid w:val="00CB75C5"/>
    <w:rsid w:val="00CB7608"/>
    <w:rsid w:val="00CB7688"/>
    <w:rsid w:val="00CB76DB"/>
    <w:rsid w:val="00CB770F"/>
    <w:rsid w:val="00CB7768"/>
    <w:rsid w:val="00CB7795"/>
    <w:rsid w:val="00CB788C"/>
    <w:rsid w:val="00CB788D"/>
    <w:rsid w:val="00CB789D"/>
    <w:rsid w:val="00CB78B4"/>
    <w:rsid w:val="00CB78E0"/>
    <w:rsid w:val="00CB795C"/>
    <w:rsid w:val="00CB7975"/>
    <w:rsid w:val="00CB7977"/>
    <w:rsid w:val="00CB7C6E"/>
    <w:rsid w:val="00CB7CAF"/>
    <w:rsid w:val="00CB7D12"/>
    <w:rsid w:val="00CB7E2A"/>
    <w:rsid w:val="00CB7EB2"/>
    <w:rsid w:val="00CB7ED2"/>
    <w:rsid w:val="00CC0014"/>
    <w:rsid w:val="00CC01CC"/>
    <w:rsid w:val="00CC02EB"/>
    <w:rsid w:val="00CC03F1"/>
    <w:rsid w:val="00CC0578"/>
    <w:rsid w:val="00CC0585"/>
    <w:rsid w:val="00CC05A0"/>
    <w:rsid w:val="00CC061B"/>
    <w:rsid w:val="00CC06C2"/>
    <w:rsid w:val="00CC0769"/>
    <w:rsid w:val="00CC0813"/>
    <w:rsid w:val="00CC0866"/>
    <w:rsid w:val="00CC0938"/>
    <w:rsid w:val="00CC0AAD"/>
    <w:rsid w:val="00CC0B1E"/>
    <w:rsid w:val="00CC0BC1"/>
    <w:rsid w:val="00CC0CC7"/>
    <w:rsid w:val="00CC0E48"/>
    <w:rsid w:val="00CC0E9A"/>
    <w:rsid w:val="00CC0EF4"/>
    <w:rsid w:val="00CC1050"/>
    <w:rsid w:val="00CC107F"/>
    <w:rsid w:val="00CC11D3"/>
    <w:rsid w:val="00CC1314"/>
    <w:rsid w:val="00CC1408"/>
    <w:rsid w:val="00CC1420"/>
    <w:rsid w:val="00CC150C"/>
    <w:rsid w:val="00CC15CA"/>
    <w:rsid w:val="00CC1625"/>
    <w:rsid w:val="00CC162F"/>
    <w:rsid w:val="00CC1649"/>
    <w:rsid w:val="00CC169A"/>
    <w:rsid w:val="00CC16F5"/>
    <w:rsid w:val="00CC17AC"/>
    <w:rsid w:val="00CC18AA"/>
    <w:rsid w:val="00CC1986"/>
    <w:rsid w:val="00CC19B8"/>
    <w:rsid w:val="00CC1A3B"/>
    <w:rsid w:val="00CC1BF5"/>
    <w:rsid w:val="00CC1C87"/>
    <w:rsid w:val="00CC1CF4"/>
    <w:rsid w:val="00CC1D1A"/>
    <w:rsid w:val="00CC1D63"/>
    <w:rsid w:val="00CC1E9E"/>
    <w:rsid w:val="00CC1FC6"/>
    <w:rsid w:val="00CC200A"/>
    <w:rsid w:val="00CC206C"/>
    <w:rsid w:val="00CC2081"/>
    <w:rsid w:val="00CC20C3"/>
    <w:rsid w:val="00CC217E"/>
    <w:rsid w:val="00CC2248"/>
    <w:rsid w:val="00CC2435"/>
    <w:rsid w:val="00CC243C"/>
    <w:rsid w:val="00CC2464"/>
    <w:rsid w:val="00CC24B0"/>
    <w:rsid w:val="00CC24D7"/>
    <w:rsid w:val="00CC263F"/>
    <w:rsid w:val="00CC2657"/>
    <w:rsid w:val="00CC2817"/>
    <w:rsid w:val="00CC2A2F"/>
    <w:rsid w:val="00CC2A4B"/>
    <w:rsid w:val="00CC2AAF"/>
    <w:rsid w:val="00CC2AE0"/>
    <w:rsid w:val="00CC2AF5"/>
    <w:rsid w:val="00CC2BC8"/>
    <w:rsid w:val="00CC2C27"/>
    <w:rsid w:val="00CC2CC1"/>
    <w:rsid w:val="00CC2CE6"/>
    <w:rsid w:val="00CC2DC0"/>
    <w:rsid w:val="00CC2DC2"/>
    <w:rsid w:val="00CC2DEE"/>
    <w:rsid w:val="00CC2E76"/>
    <w:rsid w:val="00CC30FC"/>
    <w:rsid w:val="00CC31C4"/>
    <w:rsid w:val="00CC31DF"/>
    <w:rsid w:val="00CC329F"/>
    <w:rsid w:val="00CC3312"/>
    <w:rsid w:val="00CC3361"/>
    <w:rsid w:val="00CC339F"/>
    <w:rsid w:val="00CC33FA"/>
    <w:rsid w:val="00CC3431"/>
    <w:rsid w:val="00CC346A"/>
    <w:rsid w:val="00CC3498"/>
    <w:rsid w:val="00CC3519"/>
    <w:rsid w:val="00CC357A"/>
    <w:rsid w:val="00CC35C0"/>
    <w:rsid w:val="00CC35ED"/>
    <w:rsid w:val="00CC36B8"/>
    <w:rsid w:val="00CC36CA"/>
    <w:rsid w:val="00CC3788"/>
    <w:rsid w:val="00CC388E"/>
    <w:rsid w:val="00CC389F"/>
    <w:rsid w:val="00CC38F6"/>
    <w:rsid w:val="00CC393F"/>
    <w:rsid w:val="00CC3963"/>
    <w:rsid w:val="00CC3972"/>
    <w:rsid w:val="00CC3A31"/>
    <w:rsid w:val="00CC3AE2"/>
    <w:rsid w:val="00CC3B37"/>
    <w:rsid w:val="00CC3C21"/>
    <w:rsid w:val="00CC3CC7"/>
    <w:rsid w:val="00CC3D35"/>
    <w:rsid w:val="00CC3D9E"/>
    <w:rsid w:val="00CC3E99"/>
    <w:rsid w:val="00CC3F7B"/>
    <w:rsid w:val="00CC4026"/>
    <w:rsid w:val="00CC403E"/>
    <w:rsid w:val="00CC408C"/>
    <w:rsid w:val="00CC40D6"/>
    <w:rsid w:val="00CC40E8"/>
    <w:rsid w:val="00CC4213"/>
    <w:rsid w:val="00CC42D8"/>
    <w:rsid w:val="00CC4349"/>
    <w:rsid w:val="00CC4424"/>
    <w:rsid w:val="00CC443C"/>
    <w:rsid w:val="00CC44A2"/>
    <w:rsid w:val="00CC44D1"/>
    <w:rsid w:val="00CC44F3"/>
    <w:rsid w:val="00CC4550"/>
    <w:rsid w:val="00CC45BC"/>
    <w:rsid w:val="00CC4736"/>
    <w:rsid w:val="00CC4820"/>
    <w:rsid w:val="00CC4851"/>
    <w:rsid w:val="00CC489F"/>
    <w:rsid w:val="00CC494E"/>
    <w:rsid w:val="00CC4AE6"/>
    <w:rsid w:val="00CC4B0D"/>
    <w:rsid w:val="00CC4B2C"/>
    <w:rsid w:val="00CC4B4A"/>
    <w:rsid w:val="00CC4C35"/>
    <w:rsid w:val="00CC4DB0"/>
    <w:rsid w:val="00CC4EB9"/>
    <w:rsid w:val="00CC4FBE"/>
    <w:rsid w:val="00CC5017"/>
    <w:rsid w:val="00CC50DE"/>
    <w:rsid w:val="00CC5131"/>
    <w:rsid w:val="00CC51AA"/>
    <w:rsid w:val="00CC51C6"/>
    <w:rsid w:val="00CC5215"/>
    <w:rsid w:val="00CC5254"/>
    <w:rsid w:val="00CC5374"/>
    <w:rsid w:val="00CC5380"/>
    <w:rsid w:val="00CC53D0"/>
    <w:rsid w:val="00CC541D"/>
    <w:rsid w:val="00CC54D4"/>
    <w:rsid w:val="00CC550D"/>
    <w:rsid w:val="00CC5585"/>
    <w:rsid w:val="00CC55E8"/>
    <w:rsid w:val="00CC56D8"/>
    <w:rsid w:val="00CC573F"/>
    <w:rsid w:val="00CC58DE"/>
    <w:rsid w:val="00CC596A"/>
    <w:rsid w:val="00CC5979"/>
    <w:rsid w:val="00CC59E7"/>
    <w:rsid w:val="00CC5A1D"/>
    <w:rsid w:val="00CC5B0E"/>
    <w:rsid w:val="00CC5BB6"/>
    <w:rsid w:val="00CC5C61"/>
    <w:rsid w:val="00CC5C9F"/>
    <w:rsid w:val="00CC5D2B"/>
    <w:rsid w:val="00CC5DE0"/>
    <w:rsid w:val="00CC5E04"/>
    <w:rsid w:val="00CC5E58"/>
    <w:rsid w:val="00CC5E7C"/>
    <w:rsid w:val="00CC5EF2"/>
    <w:rsid w:val="00CC5F5A"/>
    <w:rsid w:val="00CC5FD4"/>
    <w:rsid w:val="00CC614A"/>
    <w:rsid w:val="00CC6260"/>
    <w:rsid w:val="00CC6280"/>
    <w:rsid w:val="00CC62E5"/>
    <w:rsid w:val="00CC6374"/>
    <w:rsid w:val="00CC63F1"/>
    <w:rsid w:val="00CC644F"/>
    <w:rsid w:val="00CC64FC"/>
    <w:rsid w:val="00CC658A"/>
    <w:rsid w:val="00CC6595"/>
    <w:rsid w:val="00CC6786"/>
    <w:rsid w:val="00CC67F2"/>
    <w:rsid w:val="00CC67F7"/>
    <w:rsid w:val="00CC6868"/>
    <w:rsid w:val="00CC68FD"/>
    <w:rsid w:val="00CC69F3"/>
    <w:rsid w:val="00CC6A34"/>
    <w:rsid w:val="00CC6AD7"/>
    <w:rsid w:val="00CC6C8E"/>
    <w:rsid w:val="00CC6CA1"/>
    <w:rsid w:val="00CC6D77"/>
    <w:rsid w:val="00CC6E7D"/>
    <w:rsid w:val="00CC6F52"/>
    <w:rsid w:val="00CC723E"/>
    <w:rsid w:val="00CC72B7"/>
    <w:rsid w:val="00CC7518"/>
    <w:rsid w:val="00CC7550"/>
    <w:rsid w:val="00CC765D"/>
    <w:rsid w:val="00CC769C"/>
    <w:rsid w:val="00CC76BC"/>
    <w:rsid w:val="00CC7870"/>
    <w:rsid w:val="00CC78D3"/>
    <w:rsid w:val="00CC7AA7"/>
    <w:rsid w:val="00CC7B50"/>
    <w:rsid w:val="00CC7BF0"/>
    <w:rsid w:val="00CC7E76"/>
    <w:rsid w:val="00CC7E87"/>
    <w:rsid w:val="00CC7EAD"/>
    <w:rsid w:val="00CC7ED0"/>
    <w:rsid w:val="00CC7EDD"/>
    <w:rsid w:val="00CC7F66"/>
    <w:rsid w:val="00CC7F8F"/>
    <w:rsid w:val="00CC7FA4"/>
    <w:rsid w:val="00CC7FEF"/>
    <w:rsid w:val="00CD0007"/>
    <w:rsid w:val="00CD0038"/>
    <w:rsid w:val="00CD004D"/>
    <w:rsid w:val="00CD0127"/>
    <w:rsid w:val="00CD014B"/>
    <w:rsid w:val="00CD01F9"/>
    <w:rsid w:val="00CD025A"/>
    <w:rsid w:val="00CD02E2"/>
    <w:rsid w:val="00CD04E8"/>
    <w:rsid w:val="00CD055A"/>
    <w:rsid w:val="00CD0592"/>
    <w:rsid w:val="00CD05D7"/>
    <w:rsid w:val="00CD0690"/>
    <w:rsid w:val="00CD06BB"/>
    <w:rsid w:val="00CD06DD"/>
    <w:rsid w:val="00CD0731"/>
    <w:rsid w:val="00CD07E5"/>
    <w:rsid w:val="00CD07FC"/>
    <w:rsid w:val="00CD0848"/>
    <w:rsid w:val="00CD092C"/>
    <w:rsid w:val="00CD098B"/>
    <w:rsid w:val="00CD09EF"/>
    <w:rsid w:val="00CD0B37"/>
    <w:rsid w:val="00CD0DF3"/>
    <w:rsid w:val="00CD0E25"/>
    <w:rsid w:val="00CD0F2B"/>
    <w:rsid w:val="00CD0F88"/>
    <w:rsid w:val="00CD105D"/>
    <w:rsid w:val="00CD112D"/>
    <w:rsid w:val="00CD1256"/>
    <w:rsid w:val="00CD1342"/>
    <w:rsid w:val="00CD135B"/>
    <w:rsid w:val="00CD1404"/>
    <w:rsid w:val="00CD149A"/>
    <w:rsid w:val="00CD14D5"/>
    <w:rsid w:val="00CD1516"/>
    <w:rsid w:val="00CD1518"/>
    <w:rsid w:val="00CD15AB"/>
    <w:rsid w:val="00CD1689"/>
    <w:rsid w:val="00CD178D"/>
    <w:rsid w:val="00CD17E5"/>
    <w:rsid w:val="00CD17E7"/>
    <w:rsid w:val="00CD1BC1"/>
    <w:rsid w:val="00CD1D93"/>
    <w:rsid w:val="00CD1EA3"/>
    <w:rsid w:val="00CD1ED8"/>
    <w:rsid w:val="00CD1EE9"/>
    <w:rsid w:val="00CD1EEA"/>
    <w:rsid w:val="00CD1F14"/>
    <w:rsid w:val="00CD1FD3"/>
    <w:rsid w:val="00CD2183"/>
    <w:rsid w:val="00CD2202"/>
    <w:rsid w:val="00CD222A"/>
    <w:rsid w:val="00CD2259"/>
    <w:rsid w:val="00CD2354"/>
    <w:rsid w:val="00CD236B"/>
    <w:rsid w:val="00CD240E"/>
    <w:rsid w:val="00CD2757"/>
    <w:rsid w:val="00CD2847"/>
    <w:rsid w:val="00CD28BE"/>
    <w:rsid w:val="00CD293A"/>
    <w:rsid w:val="00CD2AE0"/>
    <w:rsid w:val="00CD2B65"/>
    <w:rsid w:val="00CD2C5C"/>
    <w:rsid w:val="00CD2CB9"/>
    <w:rsid w:val="00CD2CDA"/>
    <w:rsid w:val="00CD2DAE"/>
    <w:rsid w:val="00CD2F2A"/>
    <w:rsid w:val="00CD2F66"/>
    <w:rsid w:val="00CD2FD4"/>
    <w:rsid w:val="00CD3053"/>
    <w:rsid w:val="00CD30A9"/>
    <w:rsid w:val="00CD30D5"/>
    <w:rsid w:val="00CD30DB"/>
    <w:rsid w:val="00CD31B0"/>
    <w:rsid w:val="00CD31E3"/>
    <w:rsid w:val="00CD31F6"/>
    <w:rsid w:val="00CD3258"/>
    <w:rsid w:val="00CD332E"/>
    <w:rsid w:val="00CD3355"/>
    <w:rsid w:val="00CD33A2"/>
    <w:rsid w:val="00CD3618"/>
    <w:rsid w:val="00CD36E6"/>
    <w:rsid w:val="00CD3722"/>
    <w:rsid w:val="00CD3775"/>
    <w:rsid w:val="00CD37E0"/>
    <w:rsid w:val="00CD392A"/>
    <w:rsid w:val="00CD393F"/>
    <w:rsid w:val="00CD3984"/>
    <w:rsid w:val="00CD39F7"/>
    <w:rsid w:val="00CD3B24"/>
    <w:rsid w:val="00CD3D3F"/>
    <w:rsid w:val="00CD3E12"/>
    <w:rsid w:val="00CD3F90"/>
    <w:rsid w:val="00CD3FA7"/>
    <w:rsid w:val="00CD3FEE"/>
    <w:rsid w:val="00CD406D"/>
    <w:rsid w:val="00CD40C9"/>
    <w:rsid w:val="00CD4262"/>
    <w:rsid w:val="00CD44C2"/>
    <w:rsid w:val="00CD465E"/>
    <w:rsid w:val="00CD46BE"/>
    <w:rsid w:val="00CD4741"/>
    <w:rsid w:val="00CD481B"/>
    <w:rsid w:val="00CD4864"/>
    <w:rsid w:val="00CD48D4"/>
    <w:rsid w:val="00CD4A30"/>
    <w:rsid w:val="00CD4A41"/>
    <w:rsid w:val="00CD4AAF"/>
    <w:rsid w:val="00CD4B9F"/>
    <w:rsid w:val="00CD4D61"/>
    <w:rsid w:val="00CD4DD3"/>
    <w:rsid w:val="00CD4DF9"/>
    <w:rsid w:val="00CD4E61"/>
    <w:rsid w:val="00CD4EA0"/>
    <w:rsid w:val="00CD500C"/>
    <w:rsid w:val="00CD50DC"/>
    <w:rsid w:val="00CD50FC"/>
    <w:rsid w:val="00CD514C"/>
    <w:rsid w:val="00CD5235"/>
    <w:rsid w:val="00CD523A"/>
    <w:rsid w:val="00CD523B"/>
    <w:rsid w:val="00CD5454"/>
    <w:rsid w:val="00CD5477"/>
    <w:rsid w:val="00CD54FD"/>
    <w:rsid w:val="00CD5595"/>
    <w:rsid w:val="00CD56B0"/>
    <w:rsid w:val="00CD572E"/>
    <w:rsid w:val="00CD57AA"/>
    <w:rsid w:val="00CD5832"/>
    <w:rsid w:val="00CD586D"/>
    <w:rsid w:val="00CD5A76"/>
    <w:rsid w:val="00CD5ABC"/>
    <w:rsid w:val="00CD5BF9"/>
    <w:rsid w:val="00CD5CA0"/>
    <w:rsid w:val="00CD5D21"/>
    <w:rsid w:val="00CD5D2A"/>
    <w:rsid w:val="00CD5D33"/>
    <w:rsid w:val="00CD5E17"/>
    <w:rsid w:val="00CD6034"/>
    <w:rsid w:val="00CD6053"/>
    <w:rsid w:val="00CD61D4"/>
    <w:rsid w:val="00CD62D6"/>
    <w:rsid w:val="00CD63C0"/>
    <w:rsid w:val="00CD665C"/>
    <w:rsid w:val="00CD66A4"/>
    <w:rsid w:val="00CD66AB"/>
    <w:rsid w:val="00CD66D5"/>
    <w:rsid w:val="00CD6727"/>
    <w:rsid w:val="00CD6764"/>
    <w:rsid w:val="00CD67A3"/>
    <w:rsid w:val="00CD67E6"/>
    <w:rsid w:val="00CD686A"/>
    <w:rsid w:val="00CD6908"/>
    <w:rsid w:val="00CD6920"/>
    <w:rsid w:val="00CD6D16"/>
    <w:rsid w:val="00CD6D25"/>
    <w:rsid w:val="00CD6D9E"/>
    <w:rsid w:val="00CD6DB5"/>
    <w:rsid w:val="00CD6E83"/>
    <w:rsid w:val="00CD6F58"/>
    <w:rsid w:val="00CD6F5A"/>
    <w:rsid w:val="00CD6FF3"/>
    <w:rsid w:val="00CD6FFF"/>
    <w:rsid w:val="00CD701B"/>
    <w:rsid w:val="00CD711E"/>
    <w:rsid w:val="00CD7123"/>
    <w:rsid w:val="00CD714C"/>
    <w:rsid w:val="00CD72BA"/>
    <w:rsid w:val="00CD73A1"/>
    <w:rsid w:val="00CD756E"/>
    <w:rsid w:val="00CD75A0"/>
    <w:rsid w:val="00CD75F6"/>
    <w:rsid w:val="00CD77C4"/>
    <w:rsid w:val="00CD784D"/>
    <w:rsid w:val="00CD784E"/>
    <w:rsid w:val="00CD7891"/>
    <w:rsid w:val="00CD7939"/>
    <w:rsid w:val="00CD799E"/>
    <w:rsid w:val="00CD7A5E"/>
    <w:rsid w:val="00CD7A6F"/>
    <w:rsid w:val="00CD7AB5"/>
    <w:rsid w:val="00CD7BF4"/>
    <w:rsid w:val="00CD7CDB"/>
    <w:rsid w:val="00CD7D45"/>
    <w:rsid w:val="00CD7DF3"/>
    <w:rsid w:val="00CD7E28"/>
    <w:rsid w:val="00CD7E56"/>
    <w:rsid w:val="00CD7F01"/>
    <w:rsid w:val="00CD7FB8"/>
    <w:rsid w:val="00CD7FF7"/>
    <w:rsid w:val="00CE01CF"/>
    <w:rsid w:val="00CE022E"/>
    <w:rsid w:val="00CE02D2"/>
    <w:rsid w:val="00CE0318"/>
    <w:rsid w:val="00CE039E"/>
    <w:rsid w:val="00CE04C0"/>
    <w:rsid w:val="00CE04CE"/>
    <w:rsid w:val="00CE04FB"/>
    <w:rsid w:val="00CE058F"/>
    <w:rsid w:val="00CE06DF"/>
    <w:rsid w:val="00CE08D1"/>
    <w:rsid w:val="00CE0988"/>
    <w:rsid w:val="00CE09C7"/>
    <w:rsid w:val="00CE09F0"/>
    <w:rsid w:val="00CE0A86"/>
    <w:rsid w:val="00CE0A9A"/>
    <w:rsid w:val="00CE0AE8"/>
    <w:rsid w:val="00CE0AE9"/>
    <w:rsid w:val="00CE0B31"/>
    <w:rsid w:val="00CE0B5D"/>
    <w:rsid w:val="00CE0F2D"/>
    <w:rsid w:val="00CE0F41"/>
    <w:rsid w:val="00CE0F68"/>
    <w:rsid w:val="00CE0F8F"/>
    <w:rsid w:val="00CE1011"/>
    <w:rsid w:val="00CE111C"/>
    <w:rsid w:val="00CE113E"/>
    <w:rsid w:val="00CE1196"/>
    <w:rsid w:val="00CE11E9"/>
    <w:rsid w:val="00CE13AA"/>
    <w:rsid w:val="00CE14B1"/>
    <w:rsid w:val="00CE1536"/>
    <w:rsid w:val="00CE16B1"/>
    <w:rsid w:val="00CE1832"/>
    <w:rsid w:val="00CE1A2E"/>
    <w:rsid w:val="00CE1B76"/>
    <w:rsid w:val="00CE1B9B"/>
    <w:rsid w:val="00CE1BC2"/>
    <w:rsid w:val="00CE1CB6"/>
    <w:rsid w:val="00CE1CF5"/>
    <w:rsid w:val="00CE1D82"/>
    <w:rsid w:val="00CE1E91"/>
    <w:rsid w:val="00CE1F10"/>
    <w:rsid w:val="00CE1F66"/>
    <w:rsid w:val="00CE1FE7"/>
    <w:rsid w:val="00CE201B"/>
    <w:rsid w:val="00CE2021"/>
    <w:rsid w:val="00CE2066"/>
    <w:rsid w:val="00CE20C4"/>
    <w:rsid w:val="00CE20D8"/>
    <w:rsid w:val="00CE21FD"/>
    <w:rsid w:val="00CE227F"/>
    <w:rsid w:val="00CE229F"/>
    <w:rsid w:val="00CE2305"/>
    <w:rsid w:val="00CE23F0"/>
    <w:rsid w:val="00CE2561"/>
    <w:rsid w:val="00CE2608"/>
    <w:rsid w:val="00CE2834"/>
    <w:rsid w:val="00CE28E3"/>
    <w:rsid w:val="00CE2A7B"/>
    <w:rsid w:val="00CE2B43"/>
    <w:rsid w:val="00CE2B67"/>
    <w:rsid w:val="00CE2C81"/>
    <w:rsid w:val="00CE2C9B"/>
    <w:rsid w:val="00CE2CFC"/>
    <w:rsid w:val="00CE2D4E"/>
    <w:rsid w:val="00CE2E06"/>
    <w:rsid w:val="00CE2E6D"/>
    <w:rsid w:val="00CE2E7F"/>
    <w:rsid w:val="00CE2F3D"/>
    <w:rsid w:val="00CE2FAE"/>
    <w:rsid w:val="00CE30AB"/>
    <w:rsid w:val="00CE30BC"/>
    <w:rsid w:val="00CE31FA"/>
    <w:rsid w:val="00CE320F"/>
    <w:rsid w:val="00CE324D"/>
    <w:rsid w:val="00CE3280"/>
    <w:rsid w:val="00CE33B0"/>
    <w:rsid w:val="00CE342B"/>
    <w:rsid w:val="00CE3464"/>
    <w:rsid w:val="00CE355A"/>
    <w:rsid w:val="00CE365C"/>
    <w:rsid w:val="00CE36C8"/>
    <w:rsid w:val="00CE36F3"/>
    <w:rsid w:val="00CE3725"/>
    <w:rsid w:val="00CE3732"/>
    <w:rsid w:val="00CE3848"/>
    <w:rsid w:val="00CE38F8"/>
    <w:rsid w:val="00CE390B"/>
    <w:rsid w:val="00CE3A4A"/>
    <w:rsid w:val="00CE3AF9"/>
    <w:rsid w:val="00CE3B81"/>
    <w:rsid w:val="00CE3B8E"/>
    <w:rsid w:val="00CE3C2C"/>
    <w:rsid w:val="00CE3C74"/>
    <w:rsid w:val="00CE3C7F"/>
    <w:rsid w:val="00CE3D0B"/>
    <w:rsid w:val="00CE3D5B"/>
    <w:rsid w:val="00CE3DB1"/>
    <w:rsid w:val="00CE3E66"/>
    <w:rsid w:val="00CE4165"/>
    <w:rsid w:val="00CE419F"/>
    <w:rsid w:val="00CE41D3"/>
    <w:rsid w:val="00CE41E8"/>
    <w:rsid w:val="00CE420C"/>
    <w:rsid w:val="00CE421B"/>
    <w:rsid w:val="00CE437D"/>
    <w:rsid w:val="00CE43B7"/>
    <w:rsid w:val="00CE43C3"/>
    <w:rsid w:val="00CE43F4"/>
    <w:rsid w:val="00CE4446"/>
    <w:rsid w:val="00CE44C7"/>
    <w:rsid w:val="00CE4516"/>
    <w:rsid w:val="00CE4535"/>
    <w:rsid w:val="00CE45CE"/>
    <w:rsid w:val="00CE466F"/>
    <w:rsid w:val="00CE48DE"/>
    <w:rsid w:val="00CE4960"/>
    <w:rsid w:val="00CE4986"/>
    <w:rsid w:val="00CE4A3A"/>
    <w:rsid w:val="00CE4A78"/>
    <w:rsid w:val="00CE4A9A"/>
    <w:rsid w:val="00CE4C1E"/>
    <w:rsid w:val="00CE4C7F"/>
    <w:rsid w:val="00CE4D23"/>
    <w:rsid w:val="00CE4DB5"/>
    <w:rsid w:val="00CE4E13"/>
    <w:rsid w:val="00CE4E24"/>
    <w:rsid w:val="00CE4E43"/>
    <w:rsid w:val="00CE4ECF"/>
    <w:rsid w:val="00CE4EEA"/>
    <w:rsid w:val="00CE4FAB"/>
    <w:rsid w:val="00CE502C"/>
    <w:rsid w:val="00CE5250"/>
    <w:rsid w:val="00CE5289"/>
    <w:rsid w:val="00CE530F"/>
    <w:rsid w:val="00CE5328"/>
    <w:rsid w:val="00CE5356"/>
    <w:rsid w:val="00CE5398"/>
    <w:rsid w:val="00CE53CC"/>
    <w:rsid w:val="00CE5514"/>
    <w:rsid w:val="00CE5749"/>
    <w:rsid w:val="00CE5796"/>
    <w:rsid w:val="00CE57D3"/>
    <w:rsid w:val="00CE57DA"/>
    <w:rsid w:val="00CE582D"/>
    <w:rsid w:val="00CE5868"/>
    <w:rsid w:val="00CE596C"/>
    <w:rsid w:val="00CE5A6B"/>
    <w:rsid w:val="00CE5A74"/>
    <w:rsid w:val="00CE5A81"/>
    <w:rsid w:val="00CE5B37"/>
    <w:rsid w:val="00CE5B65"/>
    <w:rsid w:val="00CE5C14"/>
    <w:rsid w:val="00CE5EB8"/>
    <w:rsid w:val="00CE5F98"/>
    <w:rsid w:val="00CE602C"/>
    <w:rsid w:val="00CE60B8"/>
    <w:rsid w:val="00CE619D"/>
    <w:rsid w:val="00CE61B0"/>
    <w:rsid w:val="00CE62C4"/>
    <w:rsid w:val="00CE62DA"/>
    <w:rsid w:val="00CE6315"/>
    <w:rsid w:val="00CE642A"/>
    <w:rsid w:val="00CE6440"/>
    <w:rsid w:val="00CE6441"/>
    <w:rsid w:val="00CE64CC"/>
    <w:rsid w:val="00CE650B"/>
    <w:rsid w:val="00CE6640"/>
    <w:rsid w:val="00CE67F5"/>
    <w:rsid w:val="00CE68CD"/>
    <w:rsid w:val="00CE6A46"/>
    <w:rsid w:val="00CE6A7E"/>
    <w:rsid w:val="00CE6AFE"/>
    <w:rsid w:val="00CE6B0C"/>
    <w:rsid w:val="00CE6BD5"/>
    <w:rsid w:val="00CE6D08"/>
    <w:rsid w:val="00CE6D2E"/>
    <w:rsid w:val="00CE6E3B"/>
    <w:rsid w:val="00CE6E48"/>
    <w:rsid w:val="00CE6E73"/>
    <w:rsid w:val="00CE70FE"/>
    <w:rsid w:val="00CE7158"/>
    <w:rsid w:val="00CE720D"/>
    <w:rsid w:val="00CE73C7"/>
    <w:rsid w:val="00CE7464"/>
    <w:rsid w:val="00CE7473"/>
    <w:rsid w:val="00CE749C"/>
    <w:rsid w:val="00CE75ED"/>
    <w:rsid w:val="00CE75FA"/>
    <w:rsid w:val="00CE768E"/>
    <w:rsid w:val="00CE76F1"/>
    <w:rsid w:val="00CE777F"/>
    <w:rsid w:val="00CE77D6"/>
    <w:rsid w:val="00CE7808"/>
    <w:rsid w:val="00CE7817"/>
    <w:rsid w:val="00CE781B"/>
    <w:rsid w:val="00CE78DF"/>
    <w:rsid w:val="00CE78FF"/>
    <w:rsid w:val="00CE79C3"/>
    <w:rsid w:val="00CE7A06"/>
    <w:rsid w:val="00CE7ABF"/>
    <w:rsid w:val="00CE7B5A"/>
    <w:rsid w:val="00CE7BBC"/>
    <w:rsid w:val="00CE7C18"/>
    <w:rsid w:val="00CE7E46"/>
    <w:rsid w:val="00CE7FC3"/>
    <w:rsid w:val="00CF0007"/>
    <w:rsid w:val="00CF0033"/>
    <w:rsid w:val="00CF0240"/>
    <w:rsid w:val="00CF041E"/>
    <w:rsid w:val="00CF04D9"/>
    <w:rsid w:val="00CF057F"/>
    <w:rsid w:val="00CF077B"/>
    <w:rsid w:val="00CF0800"/>
    <w:rsid w:val="00CF0802"/>
    <w:rsid w:val="00CF0A06"/>
    <w:rsid w:val="00CF0A50"/>
    <w:rsid w:val="00CF0A69"/>
    <w:rsid w:val="00CF0A95"/>
    <w:rsid w:val="00CF0AD1"/>
    <w:rsid w:val="00CF0AFF"/>
    <w:rsid w:val="00CF0B72"/>
    <w:rsid w:val="00CF0B8A"/>
    <w:rsid w:val="00CF0BBC"/>
    <w:rsid w:val="00CF0BCD"/>
    <w:rsid w:val="00CF0C59"/>
    <w:rsid w:val="00CF0CEE"/>
    <w:rsid w:val="00CF0D74"/>
    <w:rsid w:val="00CF0DA9"/>
    <w:rsid w:val="00CF0EE1"/>
    <w:rsid w:val="00CF0EF0"/>
    <w:rsid w:val="00CF0F12"/>
    <w:rsid w:val="00CF0F57"/>
    <w:rsid w:val="00CF0F81"/>
    <w:rsid w:val="00CF0FB8"/>
    <w:rsid w:val="00CF1049"/>
    <w:rsid w:val="00CF1182"/>
    <w:rsid w:val="00CF11BF"/>
    <w:rsid w:val="00CF11CD"/>
    <w:rsid w:val="00CF1241"/>
    <w:rsid w:val="00CF12C4"/>
    <w:rsid w:val="00CF1311"/>
    <w:rsid w:val="00CF131B"/>
    <w:rsid w:val="00CF1385"/>
    <w:rsid w:val="00CF1399"/>
    <w:rsid w:val="00CF139F"/>
    <w:rsid w:val="00CF13B6"/>
    <w:rsid w:val="00CF1510"/>
    <w:rsid w:val="00CF15A8"/>
    <w:rsid w:val="00CF1600"/>
    <w:rsid w:val="00CF1682"/>
    <w:rsid w:val="00CF16A2"/>
    <w:rsid w:val="00CF1769"/>
    <w:rsid w:val="00CF1787"/>
    <w:rsid w:val="00CF17D7"/>
    <w:rsid w:val="00CF1A2D"/>
    <w:rsid w:val="00CF1AAB"/>
    <w:rsid w:val="00CF1B04"/>
    <w:rsid w:val="00CF1BA4"/>
    <w:rsid w:val="00CF1BC5"/>
    <w:rsid w:val="00CF1BDB"/>
    <w:rsid w:val="00CF1C83"/>
    <w:rsid w:val="00CF1D0C"/>
    <w:rsid w:val="00CF1DEE"/>
    <w:rsid w:val="00CF1EB3"/>
    <w:rsid w:val="00CF1EE1"/>
    <w:rsid w:val="00CF1FA4"/>
    <w:rsid w:val="00CF201A"/>
    <w:rsid w:val="00CF2025"/>
    <w:rsid w:val="00CF20A2"/>
    <w:rsid w:val="00CF21B0"/>
    <w:rsid w:val="00CF21DA"/>
    <w:rsid w:val="00CF2225"/>
    <w:rsid w:val="00CF22B3"/>
    <w:rsid w:val="00CF232D"/>
    <w:rsid w:val="00CF234C"/>
    <w:rsid w:val="00CF240E"/>
    <w:rsid w:val="00CF249E"/>
    <w:rsid w:val="00CF25A0"/>
    <w:rsid w:val="00CF2621"/>
    <w:rsid w:val="00CF273A"/>
    <w:rsid w:val="00CF279F"/>
    <w:rsid w:val="00CF2809"/>
    <w:rsid w:val="00CF288C"/>
    <w:rsid w:val="00CF2913"/>
    <w:rsid w:val="00CF2955"/>
    <w:rsid w:val="00CF2993"/>
    <w:rsid w:val="00CF29FC"/>
    <w:rsid w:val="00CF2A02"/>
    <w:rsid w:val="00CF2A6B"/>
    <w:rsid w:val="00CF2A7D"/>
    <w:rsid w:val="00CF2B34"/>
    <w:rsid w:val="00CF2B8F"/>
    <w:rsid w:val="00CF2C29"/>
    <w:rsid w:val="00CF2D19"/>
    <w:rsid w:val="00CF2D24"/>
    <w:rsid w:val="00CF2D64"/>
    <w:rsid w:val="00CF2D69"/>
    <w:rsid w:val="00CF2D71"/>
    <w:rsid w:val="00CF2DCF"/>
    <w:rsid w:val="00CF2E2C"/>
    <w:rsid w:val="00CF2E63"/>
    <w:rsid w:val="00CF2F3F"/>
    <w:rsid w:val="00CF302C"/>
    <w:rsid w:val="00CF3050"/>
    <w:rsid w:val="00CF30E8"/>
    <w:rsid w:val="00CF3209"/>
    <w:rsid w:val="00CF349C"/>
    <w:rsid w:val="00CF35E0"/>
    <w:rsid w:val="00CF3649"/>
    <w:rsid w:val="00CF383C"/>
    <w:rsid w:val="00CF39C4"/>
    <w:rsid w:val="00CF3A50"/>
    <w:rsid w:val="00CF3B0A"/>
    <w:rsid w:val="00CF3B36"/>
    <w:rsid w:val="00CF3C82"/>
    <w:rsid w:val="00CF3CA7"/>
    <w:rsid w:val="00CF3CED"/>
    <w:rsid w:val="00CF3D37"/>
    <w:rsid w:val="00CF3D3C"/>
    <w:rsid w:val="00CF3E21"/>
    <w:rsid w:val="00CF3E64"/>
    <w:rsid w:val="00CF3F06"/>
    <w:rsid w:val="00CF3F9B"/>
    <w:rsid w:val="00CF3FB0"/>
    <w:rsid w:val="00CF3FC1"/>
    <w:rsid w:val="00CF409F"/>
    <w:rsid w:val="00CF412C"/>
    <w:rsid w:val="00CF4276"/>
    <w:rsid w:val="00CF42A7"/>
    <w:rsid w:val="00CF42DC"/>
    <w:rsid w:val="00CF439F"/>
    <w:rsid w:val="00CF4466"/>
    <w:rsid w:val="00CF470B"/>
    <w:rsid w:val="00CF47CA"/>
    <w:rsid w:val="00CF48F1"/>
    <w:rsid w:val="00CF4921"/>
    <w:rsid w:val="00CF4A46"/>
    <w:rsid w:val="00CF4A68"/>
    <w:rsid w:val="00CF4B2A"/>
    <w:rsid w:val="00CF4B9D"/>
    <w:rsid w:val="00CF4C55"/>
    <w:rsid w:val="00CF4C7C"/>
    <w:rsid w:val="00CF4C83"/>
    <w:rsid w:val="00CF4CAB"/>
    <w:rsid w:val="00CF4CB3"/>
    <w:rsid w:val="00CF4D25"/>
    <w:rsid w:val="00CF4E02"/>
    <w:rsid w:val="00CF4E0C"/>
    <w:rsid w:val="00CF4F3F"/>
    <w:rsid w:val="00CF4F95"/>
    <w:rsid w:val="00CF4FDF"/>
    <w:rsid w:val="00CF5007"/>
    <w:rsid w:val="00CF5111"/>
    <w:rsid w:val="00CF517B"/>
    <w:rsid w:val="00CF51EC"/>
    <w:rsid w:val="00CF5200"/>
    <w:rsid w:val="00CF520E"/>
    <w:rsid w:val="00CF52DF"/>
    <w:rsid w:val="00CF54A0"/>
    <w:rsid w:val="00CF54F7"/>
    <w:rsid w:val="00CF55A6"/>
    <w:rsid w:val="00CF55B0"/>
    <w:rsid w:val="00CF560D"/>
    <w:rsid w:val="00CF5760"/>
    <w:rsid w:val="00CF5878"/>
    <w:rsid w:val="00CF5911"/>
    <w:rsid w:val="00CF5921"/>
    <w:rsid w:val="00CF5937"/>
    <w:rsid w:val="00CF5A23"/>
    <w:rsid w:val="00CF5B45"/>
    <w:rsid w:val="00CF5BB9"/>
    <w:rsid w:val="00CF5C6E"/>
    <w:rsid w:val="00CF5D21"/>
    <w:rsid w:val="00CF5D2C"/>
    <w:rsid w:val="00CF5D46"/>
    <w:rsid w:val="00CF5DCE"/>
    <w:rsid w:val="00CF5FAB"/>
    <w:rsid w:val="00CF5FCE"/>
    <w:rsid w:val="00CF605B"/>
    <w:rsid w:val="00CF6272"/>
    <w:rsid w:val="00CF62C7"/>
    <w:rsid w:val="00CF633A"/>
    <w:rsid w:val="00CF63B7"/>
    <w:rsid w:val="00CF64BD"/>
    <w:rsid w:val="00CF64EE"/>
    <w:rsid w:val="00CF6611"/>
    <w:rsid w:val="00CF6642"/>
    <w:rsid w:val="00CF676A"/>
    <w:rsid w:val="00CF6795"/>
    <w:rsid w:val="00CF6892"/>
    <w:rsid w:val="00CF692E"/>
    <w:rsid w:val="00CF6AF8"/>
    <w:rsid w:val="00CF6B0C"/>
    <w:rsid w:val="00CF6CB0"/>
    <w:rsid w:val="00CF6CCE"/>
    <w:rsid w:val="00CF6D07"/>
    <w:rsid w:val="00CF6E24"/>
    <w:rsid w:val="00CF708F"/>
    <w:rsid w:val="00CF7120"/>
    <w:rsid w:val="00CF724C"/>
    <w:rsid w:val="00CF72D8"/>
    <w:rsid w:val="00CF7330"/>
    <w:rsid w:val="00CF7446"/>
    <w:rsid w:val="00CF76C0"/>
    <w:rsid w:val="00CF7881"/>
    <w:rsid w:val="00CF7914"/>
    <w:rsid w:val="00CF795F"/>
    <w:rsid w:val="00CF7A7D"/>
    <w:rsid w:val="00CF7AC9"/>
    <w:rsid w:val="00CF7B4C"/>
    <w:rsid w:val="00CF7BB6"/>
    <w:rsid w:val="00CF7BEC"/>
    <w:rsid w:val="00CF7C74"/>
    <w:rsid w:val="00CF7D51"/>
    <w:rsid w:val="00CF7D6D"/>
    <w:rsid w:val="00CF7D78"/>
    <w:rsid w:val="00CF7EC6"/>
    <w:rsid w:val="00CF7FA9"/>
    <w:rsid w:val="00D000AC"/>
    <w:rsid w:val="00D001B4"/>
    <w:rsid w:val="00D0022B"/>
    <w:rsid w:val="00D0024D"/>
    <w:rsid w:val="00D00254"/>
    <w:rsid w:val="00D00278"/>
    <w:rsid w:val="00D003B7"/>
    <w:rsid w:val="00D0044E"/>
    <w:rsid w:val="00D00473"/>
    <w:rsid w:val="00D004C6"/>
    <w:rsid w:val="00D005DD"/>
    <w:rsid w:val="00D007AC"/>
    <w:rsid w:val="00D008C2"/>
    <w:rsid w:val="00D009DF"/>
    <w:rsid w:val="00D009FD"/>
    <w:rsid w:val="00D00AD5"/>
    <w:rsid w:val="00D00B8F"/>
    <w:rsid w:val="00D00BC9"/>
    <w:rsid w:val="00D00C2D"/>
    <w:rsid w:val="00D00C2E"/>
    <w:rsid w:val="00D00CBE"/>
    <w:rsid w:val="00D00DDE"/>
    <w:rsid w:val="00D00E36"/>
    <w:rsid w:val="00D00E6F"/>
    <w:rsid w:val="00D010D3"/>
    <w:rsid w:val="00D0116D"/>
    <w:rsid w:val="00D01240"/>
    <w:rsid w:val="00D01255"/>
    <w:rsid w:val="00D01272"/>
    <w:rsid w:val="00D0152F"/>
    <w:rsid w:val="00D0157D"/>
    <w:rsid w:val="00D01696"/>
    <w:rsid w:val="00D016B5"/>
    <w:rsid w:val="00D016BF"/>
    <w:rsid w:val="00D018AF"/>
    <w:rsid w:val="00D018FB"/>
    <w:rsid w:val="00D019A2"/>
    <w:rsid w:val="00D019E2"/>
    <w:rsid w:val="00D01B10"/>
    <w:rsid w:val="00D01B8C"/>
    <w:rsid w:val="00D01BD7"/>
    <w:rsid w:val="00D01CBE"/>
    <w:rsid w:val="00D01CFD"/>
    <w:rsid w:val="00D01D10"/>
    <w:rsid w:val="00D01E04"/>
    <w:rsid w:val="00D01E3D"/>
    <w:rsid w:val="00D01FE3"/>
    <w:rsid w:val="00D0202B"/>
    <w:rsid w:val="00D020F1"/>
    <w:rsid w:val="00D0213B"/>
    <w:rsid w:val="00D021D7"/>
    <w:rsid w:val="00D0233E"/>
    <w:rsid w:val="00D025A7"/>
    <w:rsid w:val="00D025BF"/>
    <w:rsid w:val="00D026FD"/>
    <w:rsid w:val="00D0271E"/>
    <w:rsid w:val="00D02720"/>
    <w:rsid w:val="00D0277E"/>
    <w:rsid w:val="00D02849"/>
    <w:rsid w:val="00D029A0"/>
    <w:rsid w:val="00D02A45"/>
    <w:rsid w:val="00D02A46"/>
    <w:rsid w:val="00D02A68"/>
    <w:rsid w:val="00D02A98"/>
    <w:rsid w:val="00D02B41"/>
    <w:rsid w:val="00D02B89"/>
    <w:rsid w:val="00D02CD2"/>
    <w:rsid w:val="00D02D1F"/>
    <w:rsid w:val="00D02E6D"/>
    <w:rsid w:val="00D02E8D"/>
    <w:rsid w:val="00D02E8F"/>
    <w:rsid w:val="00D02EB5"/>
    <w:rsid w:val="00D02ECC"/>
    <w:rsid w:val="00D02ED0"/>
    <w:rsid w:val="00D02F4F"/>
    <w:rsid w:val="00D02FE8"/>
    <w:rsid w:val="00D030BC"/>
    <w:rsid w:val="00D030F7"/>
    <w:rsid w:val="00D0317D"/>
    <w:rsid w:val="00D031D6"/>
    <w:rsid w:val="00D032E7"/>
    <w:rsid w:val="00D032F5"/>
    <w:rsid w:val="00D03483"/>
    <w:rsid w:val="00D034D2"/>
    <w:rsid w:val="00D03623"/>
    <w:rsid w:val="00D037AC"/>
    <w:rsid w:val="00D03840"/>
    <w:rsid w:val="00D0385C"/>
    <w:rsid w:val="00D03A44"/>
    <w:rsid w:val="00D03AD9"/>
    <w:rsid w:val="00D03AE1"/>
    <w:rsid w:val="00D03B92"/>
    <w:rsid w:val="00D03B95"/>
    <w:rsid w:val="00D03BDC"/>
    <w:rsid w:val="00D03BE1"/>
    <w:rsid w:val="00D03C0E"/>
    <w:rsid w:val="00D03C2A"/>
    <w:rsid w:val="00D03CA1"/>
    <w:rsid w:val="00D03CCF"/>
    <w:rsid w:val="00D03D82"/>
    <w:rsid w:val="00D03DF3"/>
    <w:rsid w:val="00D03DFA"/>
    <w:rsid w:val="00D03EAF"/>
    <w:rsid w:val="00D03F5B"/>
    <w:rsid w:val="00D03F7F"/>
    <w:rsid w:val="00D03FF0"/>
    <w:rsid w:val="00D03FF2"/>
    <w:rsid w:val="00D0403B"/>
    <w:rsid w:val="00D040B5"/>
    <w:rsid w:val="00D040B8"/>
    <w:rsid w:val="00D04181"/>
    <w:rsid w:val="00D04227"/>
    <w:rsid w:val="00D0423B"/>
    <w:rsid w:val="00D04275"/>
    <w:rsid w:val="00D04419"/>
    <w:rsid w:val="00D0443F"/>
    <w:rsid w:val="00D04643"/>
    <w:rsid w:val="00D046F8"/>
    <w:rsid w:val="00D0470C"/>
    <w:rsid w:val="00D04721"/>
    <w:rsid w:val="00D0492F"/>
    <w:rsid w:val="00D04A47"/>
    <w:rsid w:val="00D04A64"/>
    <w:rsid w:val="00D04C68"/>
    <w:rsid w:val="00D04CB3"/>
    <w:rsid w:val="00D04E2B"/>
    <w:rsid w:val="00D04E35"/>
    <w:rsid w:val="00D04EC3"/>
    <w:rsid w:val="00D04F54"/>
    <w:rsid w:val="00D05059"/>
    <w:rsid w:val="00D0507F"/>
    <w:rsid w:val="00D050EB"/>
    <w:rsid w:val="00D0523C"/>
    <w:rsid w:val="00D0524E"/>
    <w:rsid w:val="00D052E4"/>
    <w:rsid w:val="00D0532E"/>
    <w:rsid w:val="00D0549D"/>
    <w:rsid w:val="00D056CA"/>
    <w:rsid w:val="00D0579D"/>
    <w:rsid w:val="00D057E2"/>
    <w:rsid w:val="00D058D5"/>
    <w:rsid w:val="00D058FD"/>
    <w:rsid w:val="00D05CB3"/>
    <w:rsid w:val="00D05D20"/>
    <w:rsid w:val="00D05DA1"/>
    <w:rsid w:val="00D05DA9"/>
    <w:rsid w:val="00D05DC4"/>
    <w:rsid w:val="00D05DD3"/>
    <w:rsid w:val="00D05E2E"/>
    <w:rsid w:val="00D05E5D"/>
    <w:rsid w:val="00D05E7B"/>
    <w:rsid w:val="00D05EC4"/>
    <w:rsid w:val="00D06020"/>
    <w:rsid w:val="00D0604A"/>
    <w:rsid w:val="00D06213"/>
    <w:rsid w:val="00D0622D"/>
    <w:rsid w:val="00D06253"/>
    <w:rsid w:val="00D06293"/>
    <w:rsid w:val="00D06308"/>
    <w:rsid w:val="00D06394"/>
    <w:rsid w:val="00D0641B"/>
    <w:rsid w:val="00D06444"/>
    <w:rsid w:val="00D064C9"/>
    <w:rsid w:val="00D064F9"/>
    <w:rsid w:val="00D06544"/>
    <w:rsid w:val="00D06584"/>
    <w:rsid w:val="00D0658B"/>
    <w:rsid w:val="00D065CB"/>
    <w:rsid w:val="00D065D7"/>
    <w:rsid w:val="00D06673"/>
    <w:rsid w:val="00D0669F"/>
    <w:rsid w:val="00D0683D"/>
    <w:rsid w:val="00D0696A"/>
    <w:rsid w:val="00D06979"/>
    <w:rsid w:val="00D0699C"/>
    <w:rsid w:val="00D069B7"/>
    <w:rsid w:val="00D06AB8"/>
    <w:rsid w:val="00D06B5A"/>
    <w:rsid w:val="00D06F27"/>
    <w:rsid w:val="00D07068"/>
    <w:rsid w:val="00D070A7"/>
    <w:rsid w:val="00D070CC"/>
    <w:rsid w:val="00D070EA"/>
    <w:rsid w:val="00D07336"/>
    <w:rsid w:val="00D07417"/>
    <w:rsid w:val="00D0754E"/>
    <w:rsid w:val="00D07732"/>
    <w:rsid w:val="00D07770"/>
    <w:rsid w:val="00D077B4"/>
    <w:rsid w:val="00D07935"/>
    <w:rsid w:val="00D0799A"/>
    <w:rsid w:val="00D079B8"/>
    <w:rsid w:val="00D07A12"/>
    <w:rsid w:val="00D07A42"/>
    <w:rsid w:val="00D07AD4"/>
    <w:rsid w:val="00D07B0C"/>
    <w:rsid w:val="00D07CA9"/>
    <w:rsid w:val="00D07CC2"/>
    <w:rsid w:val="00D07EDA"/>
    <w:rsid w:val="00D07F25"/>
    <w:rsid w:val="00D07FA8"/>
    <w:rsid w:val="00D07FDC"/>
    <w:rsid w:val="00D1002B"/>
    <w:rsid w:val="00D10106"/>
    <w:rsid w:val="00D101C5"/>
    <w:rsid w:val="00D101F7"/>
    <w:rsid w:val="00D10357"/>
    <w:rsid w:val="00D10427"/>
    <w:rsid w:val="00D104DE"/>
    <w:rsid w:val="00D105CF"/>
    <w:rsid w:val="00D106FD"/>
    <w:rsid w:val="00D10731"/>
    <w:rsid w:val="00D10753"/>
    <w:rsid w:val="00D107E2"/>
    <w:rsid w:val="00D10835"/>
    <w:rsid w:val="00D1097C"/>
    <w:rsid w:val="00D10A0B"/>
    <w:rsid w:val="00D10AB1"/>
    <w:rsid w:val="00D10D2F"/>
    <w:rsid w:val="00D10DF5"/>
    <w:rsid w:val="00D10E54"/>
    <w:rsid w:val="00D1105C"/>
    <w:rsid w:val="00D110AC"/>
    <w:rsid w:val="00D110FF"/>
    <w:rsid w:val="00D111CC"/>
    <w:rsid w:val="00D111E3"/>
    <w:rsid w:val="00D1122F"/>
    <w:rsid w:val="00D11234"/>
    <w:rsid w:val="00D1129B"/>
    <w:rsid w:val="00D113C5"/>
    <w:rsid w:val="00D1143B"/>
    <w:rsid w:val="00D114D7"/>
    <w:rsid w:val="00D11633"/>
    <w:rsid w:val="00D11685"/>
    <w:rsid w:val="00D116A3"/>
    <w:rsid w:val="00D117C1"/>
    <w:rsid w:val="00D117E7"/>
    <w:rsid w:val="00D119FE"/>
    <w:rsid w:val="00D11AF9"/>
    <w:rsid w:val="00D11B6E"/>
    <w:rsid w:val="00D11B90"/>
    <w:rsid w:val="00D11CD4"/>
    <w:rsid w:val="00D11DB5"/>
    <w:rsid w:val="00D11DBC"/>
    <w:rsid w:val="00D11DD2"/>
    <w:rsid w:val="00D11EB6"/>
    <w:rsid w:val="00D11EE7"/>
    <w:rsid w:val="00D11EE8"/>
    <w:rsid w:val="00D11F38"/>
    <w:rsid w:val="00D11F79"/>
    <w:rsid w:val="00D11FF9"/>
    <w:rsid w:val="00D12121"/>
    <w:rsid w:val="00D12141"/>
    <w:rsid w:val="00D1215E"/>
    <w:rsid w:val="00D12176"/>
    <w:rsid w:val="00D121D3"/>
    <w:rsid w:val="00D12264"/>
    <w:rsid w:val="00D1260F"/>
    <w:rsid w:val="00D12651"/>
    <w:rsid w:val="00D1268E"/>
    <w:rsid w:val="00D126B7"/>
    <w:rsid w:val="00D12706"/>
    <w:rsid w:val="00D1282E"/>
    <w:rsid w:val="00D128FC"/>
    <w:rsid w:val="00D129F5"/>
    <w:rsid w:val="00D12A1F"/>
    <w:rsid w:val="00D12AAD"/>
    <w:rsid w:val="00D12BA2"/>
    <w:rsid w:val="00D12C25"/>
    <w:rsid w:val="00D12CA5"/>
    <w:rsid w:val="00D12CB7"/>
    <w:rsid w:val="00D12DDE"/>
    <w:rsid w:val="00D12F62"/>
    <w:rsid w:val="00D12FB6"/>
    <w:rsid w:val="00D1302C"/>
    <w:rsid w:val="00D13146"/>
    <w:rsid w:val="00D1324A"/>
    <w:rsid w:val="00D132A5"/>
    <w:rsid w:val="00D1362C"/>
    <w:rsid w:val="00D13865"/>
    <w:rsid w:val="00D13878"/>
    <w:rsid w:val="00D13932"/>
    <w:rsid w:val="00D13964"/>
    <w:rsid w:val="00D13975"/>
    <w:rsid w:val="00D13A12"/>
    <w:rsid w:val="00D13A37"/>
    <w:rsid w:val="00D13A97"/>
    <w:rsid w:val="00D13AC2"/>
    <w:rsid w:val="00D13B4B"/>
    <w:rsid w:val="00D13BE5"/>
    <w:rsid w:val="00D13D5F"/>
    <w:rsid w:val="00D13E91"/>
    <w:rsid w:val="00D13F12"/>
    <w:rsid w:val="00D13FEF"/>
    <w:rsid w:val="00D13FF9"/>
    <w:rsid w:val="00D14054"/>
    <w:rsid w:val="00D141DC"/>
    <w:rsid w:val="00D14206"/>
    <w:rsid w:val="00D14263"/>
    <w:rsid w:val="00D142E2"/>
    <w:rsid w:val="00D14479"/>
    <w:rsid w:val="00D145C8"/>
    <w:rsid w:val="00D1462E"/>
    <w:rsid w:val="00D146AE"/>
    <w:rsid w:val="00D14771"/>
    <w:rsid w:val="00D14799"/>
    <w:rsid w:val="00D147E7"/>
    <w:rsid w:val="00D14836"/>
    <w:rsid w:val="00D14853"/>
    <w:rsid w:val="00D1486A"/>
    <w:rsid w:val="00D14897"/>
    <w:rsid w:val="00D149FA"/>
    <w:rsid w:val="00D14A19"/>
    <w:rsid w:val="00D14B74"/>
    <w:rsid w:val="00D14C7C"/>
    <w:rsid w:val="00D14CE7"/>
    <w:rsid w:val="00D14DF2"/>
    <w:rsid w:val="00D14E59"/>
    <w:rsid w:val="00D14E97"/>
    <w:rsid w:val="00D14F29"/>
    <w:rsid w:val="00D14FAF"/>
    <w:rsid w:val="00D150AB"/>
    <w:rsid w:val="00D151E2"/>
    <w:rsid w:val="00D15214"/>
    <w:rsid w:val="00D1529C"/>
    <w:rsid w:val="00D15355"/>
    <w:rsid w:val="00D154A0"/>
    <w:rsid w:val="00D154C6"/>
    <w:rsid w:val="00D1555B"/>
    <w:rsid w:val="00D15674"/>
    <w:rsid w:val="00D156DA"/>
    <w:rsid w:val="00D157D9"/>
    <w:rsid w:val="00D157E6"/>
    <w:rsid w:val="00D158B0"/>
    <w:rsid w:val="00D15933"/>
    <w:rsid w:val="00D159AE"/>
    <w:rsid w:val="00D15A4F"/>
    <w:rsid w:val="00D15A6C"/>
    <w:rsid w:val="00D15B2E"/>
    <w:rsid w:val="00D15BC6"/>
    <w:rsid w:val="00D15C68"/>
    <w:rsid w:val="00D15DC7"/>
    <w:rsid w:val="00D15DCB"/>
    <w:rsid w:val="00D15F2C"/>
    <w:rsid w:val="00D15F30"/>
    <w:rsid w:val="00D15F93"/>
    <w:rsid w:val="00D15F97"/>
    <w:rsid w:val="00D1601F"/>
    <w:rsid w:val="00D16021"/>
    <w:rsid w:val="00D160A0"/>
    <w:rsid w:val="00D16110"/>
    <w:rsid w:val="00D1614C"/>
    <w:rsid w:val="00D1617E"/>
    <w:rsid w:val="00D162B1"/>
    <w:rsid w:val="00D1632C"/>
    <w:rsid w:val="00D1634B"/>
    <w:rsid w:val="00D1634E"/>
    <w:rsid w:val="00D163A3"/>
    <w:rsid w:val="00D163C7"/>
    <w:rsid w:val="00D163CB"/>
    <w:rsid w:val="00D16530"/>
    <w:rsid w:val="00D1661C"/>
    <w:rsid w:val="00D166CA"/>
    <w:rsid w:val="00D1674D"/>
    <w:rsid w:val="00D16836"/>
    <w:rsid w:val="00D16902"/>
    <w:rsid w:val="00D16934"/>
    <w:rsid w:val="00D16947"/>
    <w:rsid w:val="00D16C3E"/>
    <w:rsid w:val="00D16C3F"/>
    <w:rsid w:val="00D16D2E"/>
    <w:rsid w:val="00D16DF8"/>
    <w:rsid w:val="00D16F39"/>
    <w:rsid w:val="00D16F54"/>
    <w:rsid w:val="00D17074"/>
    <w:rsid w:val="00D170C9"/>
    <w:rsid w:val="00D1725E"/>
    <w:rsid w:val="00D172B8"/>
    <w:rsid w:val="00D174F6"/>
    <w:rsid w:val="00D174FE"/>
    <w:rsid w:val="00D17549"/>
    <w:rsid w:val="00D17558"/>
    <w:rsid w:val="00D17578"/>
    <w:rsid w:val="00D17639"/>
    <w:rsid w:val="00D1779B"/>
    <w:rsid w:val="00D177F2"/>
    <w:rsid w:val="00D1789B"/>
    <w:rsid w:val="00D17946"/>
    <w:rsid w:val="00D17961"/>
    <w:rsid w:val="00D17A5A"/>
    <w:rsid w:val="00D17AAC"/>
    <w:rsid w:val="00D17BBC"/>
    <w:rsid w:val="00D17BE1"/>
    <w:rsid w:val="00D17C17"/>
    <w:rsid w:val="00D17DB3"/>
    <w:rsid w:val="00D17E11"/>
    <w:rsid w:val="00D17E34"/>
    <w:rsid w:val="00D17E4F"/>
    <w:rsid w:val="00D17F24"/>
    <w:rsid w:val="00D2001A"/>
    <w:rsid w:val="00D20031"/>
    <w:rsid w:val="00D200BE"/>
    <w:rsid w:val="00D20139"/>
    <w:rsid w:val="00D20192"/>
    <w:rsid w:val="00D2019E"/>
    <w:rsid w:val="00D20224"/>
    <w:rsid w:val="00D202B7"/>
    <w:rsid w:val="00D202E6"/>
    <w:rsid w:val="00D2037C"/>
    <w:rsid w:val="00D203C9"/>
    <w:rsid w:val="00D204B3"/>
    <w:rsid w:val="00D2063C"/>
    <w:rsid w:val="00D206EC"/>
    <w:rsid w:val="00D207AE"/>
    <w:rsid w:val="00D207EB"/>
    <w:rsid w:val="00D208AB"/>
    <w:rsid w:val="00D208C7"/>
    <w:rsid w:val="00D208DE"/>
    <w:rsid w:val="00D20B2D"/>
    <w:rsid w:val="00D20B5F"/>
    <w:rsid w:val="00D20BDF"/>
    <w:rsid w:val="00D20BE5"/>
    <w:rsid w:val="00D20C3D"/>
    <w:rsid w:val="00D20D7B"/>
    <w:rsid w:val="00D20DB0"/>
    <w:rsid w:val="00D20F6B"/>
    <w:rsid w:val="00D20FA8"/>
    <w:rsid w:val="00D20FBD"/>
    <w:rsid w:val="00D21007"/>
    <w:rsid w:val="00D21024"/>
    <w:rsid w:val="00D2109E"/>
    <w:rsid w:val="00D21246"/>
    <w:rsid w:val="00D21261"/>
    <w:rsid w:val="00D2131A"/>
    <w:rsid w:val="00D213BA"/>
    <w:rsid w:val="00D213DA"/>
    <w:rsid w:val="00D21400"/>
    <w:rsid w:val="00D2149E"/>
    <w:rsid w:val="00D21513"/>
    <w:rsid w:val="00D216A2"/>
    <w:rsid w:val="00D2173E"/>
    <w:rsid w:val="00D21781"/>
    <w:rsid w:val="00D21868"/>
    <w:rsid w:val="00D21935"/>
    <w:rsid w:val="00D21955"/>
    <w:rsid w:val="00D21A67"/>
    <w:rsid w:val="00D21C39"/>
    <w:rsid w:val="00D21D10"/>
    <w:rsid w:val="00D21D98"/>
    <w:rsid w:val="00D21DA1"/>
    <w:rsid w:val="00D21DB6"/>
    <w:rsid w:val="00D21DEF"/>
    <w:rsid w:val="00D21E02"/>
    <w:rsid w:val="00D21E87"/>
    <w:rsid w:val="00D21F80"/>
    <w:rsid w:val="00D22038"/>
    <w:rsid w:val="00D220D8"/>
    <w:rsid w:val="00D2212E"/>
    <w:rsid w:val="00D2223B"/>
    <w:rsid w:val="00D22262"/>
    <w:rsid w:val="00D2235C"/>
    <w:rsid w:val="00D2235D"/>
    <w:rsid w:val="00D22379"/>
    <w:rsid w:val="00D2242D"/>
    <w:rsid w:val="00D2248C"/>
    <w:rsid w:val="00D224E1"/>
    <w:rsid w:val="00D22533"/>
    <w:rsid w:val="00D225E9"/>
    <w:rsid w:val="00D2273E"/>
    <w:rsid w:val="00D2277F"/>
    <w:rsid w:val="00D22852"/>
    <w:rsid w:val="00D228B6"/>
    <w:rsid w:val="00D2294A"/>
    <w:rsid w:val="00D22978"/>
    <w:rsid w:val="00D229F5"/>
    <w:rsid w:val="00D22ABB"/>
    <w:rsid w:val="00D22B24"/>
    <w:rsid w:val="00D22B9F"/>
    <w:rsid w:val="00D22BAD"/>
    <w:rsid w:val="00D22C78"/>
    <w:rsid w:val="00D22D01"/>
    <w:rsid w:val="00D22D4B"/>
    <w:rsid w:val="00D22E83"/>
    <w:rsid w:val="00D230C0"/>
    <w:rsid w:val="00D23114"/>
    <w:rsid w:val="00D2313C"/>
    <w:rsid w:val="00D23155"/>
    <w:rsid w:val="00D231DC"/>
    <w:rsid w:val="00D231DD"/>
    <w:rsid w:val="00D23204"/>
    <w:rsid w:val="00D23316"/>
    <w:rsid w:val="00D23358"/>
    <w:rsid w:val="00D23378"/>
    <w:rsid w:val="00D234D6"/>
    <w:rsid w:val="00D235A4"/>
    <w:rsid w:val="00D235CA"/>
    <w:rsid w:val="00D23678"/>
    <w:rsid w:val="00D23717"/>
    <w:rsid w:val="00D23736"/>
    <w:rsid w:val="00D237EE"/>
    <w:rsid w:val="00D23839"/>
    <w:rsid w:val="00D238DA"/>
    <w:rsid w:val="00D23966"/>
    <w:rsid w:val="00D23982"/>
    <w:rsid w:val="00D23A35"/>
    <w:rsid w:val="00D23CF1"/>
    <w:rsid w:val="00D23D81"/>
    <w:rsid w:val="00D23F6E"/>
    <w:rsid w:val="00D2404D"/>
    <w:rsid w:val="00D2406B"/>
    <w:rsid w:val="00D2417B"/>
    <w:rsid w:val="00D241C7"/>
    <w:rsid w:val="00D24207"/>
    <w:rsid w:val="00D24209"/>
    <w:rsid w:val="00D24278"/>
    <w:rsid w:val="00D242BC"/>
    <w:rsid w:val="00D242C1"/>
    <w:rsid w:val="00D242CA"/>
    <w:rsid w:val="00D242CB"/>
    <w:rsid w:val="00D242F2"/>
    <w:rsid w:val="00D24309"/>
    <w:rsid w:val="00D24316"/>
    <w:rsid w:val="00D24572"/>
    <w:rsid w:val="00D2457A"/>
    <w:rsid w:val="00D24740"/>
    <w:rsid w:val="00D2474A"/>
    <w:rsid w:val="00D24914"/>
    <w:rsid w:val="00D2493B"/>
    <w:rsid w:val="00D24971"/>
    <w:rsid w:val="00D24A78"/>
    <w:rsid w:val="00D24A7D"/>
    <w:rsid w:val="00D24A9C"/>
    <w:rsid w:val="00D24C1A"/>
    <w:rsid w:val="00D24C1F"/>
    <w:rsid w:val="00D24CA4"/>
    <w:rsid w:val="00D24ED1"/>
    <w:rsid w:val="00D25039"/>
    <w:rsid w:val="00D25108"/>
    <w:rsid w:val="00D25127"/>
    <w:rsid w:val="00D253BD"/>
    <w:rsid w:val="00D25402"/>
    <w:rsid w:val="00D25508"/>
    <w:rsid w:val="00D2567B"/>
    <w:rsid w:val="00D25723"/>
    <w:rsid w:val="00D257B7"/>
    <w:rsid w:val="00D2588B"/>
    <w:rsid w:val="00D25A5D"/>
    <w:rsid w:val="00D25A9C"/>
    <w:rsid w:val="00D25ADA"/>
    <w:rsid w:val="00D25BDA"/>
    <w:rsid w:val="00D25C0D"/>
    <w:rsid w:val="00D25C4A"/>
    <w:rsid w:val="00D25EEC"/>
    <w:rsid w:val="00D25EF1"/>
    <w:rsid w:val="00D25F79"/>
    <w:rsid w:val="00D25F90"/>
    <w:rsid w:val="00D25FDF"/>
    <w:rsid w:val="00D26075"/>
    <w:rsid w:val="00D2618A"/>
    <w:rsid w:val="00D261B0"/>
    <w:rsid w:val="00D261DE"/>
    <w:rsid w:val="00D2621F"/>
    <w:rsid w:val="00D26391"/>
    <w:rsid w:val="00D26403"/>
    <w:rsid w:val="00D264BF"/>
    <w:rsid w:val="00D265F2"/>
    <w:rsid w:val="00D26635"/>
    <w:rsid w:val="00D26647"/>
    <w:rsid w:val="00D2664C"/>
    <w:rsid w:val="00D26662"/>
    <w:rsid w:val="00D26674"/>
    <w:rsid w:val="00D266AC"/>
    <w:rsid w:val="00D26702"/>
    <w:rsid w:val="00D26703"/>
    <w:rsid w:val="00D267D4"/>
    <w:rsid w:val="00D268B2"/>
    <w:rsid w:val="00D26A79"/>
    <w:rsid w:val="00D26A8C"/>
    <w:rsid w:val="00D26CA1"/>
    <w:rsid w:val="00D26CA4"/>
    <w:rsid w:val="00D26CBF"/>
    <w:rsid w:val="00D26F43"/>
    <w:rsid w:val="00D2721D"/>
    <w:rsid w:val="00D27287"/>
    <w:rsid w:val="00D272C4"/>
    <w:rsid w:val="00D27324"/>
    <w:rsid w:val="00D27477"/>
    <w:rsid w:val="00D2749B"/>
    <w:rsid w:val="00D27602"/>
    <w:rsid w:val="00D27771"/>
    <w:rsid w:val="00D27823"/>
    <w:rsid w:val="00D2783C"/>
    <w:rsid w:val="00D279CC"/>
    <w:rsid w:val="00D27B79"/>
    <w:rsid w:val="00D27C1B"/>
    <w:rsid w:val="00D27CAA"/>
    <w:rsid w:val="00D27CFA"/>
    <w:rsid w:val="00D27D76"/>
    <w:rsid w:val="00D27D7C"/>
    <w:rsid w:val="00D27E9C"/>
    <w:rsid w:val="00D27F32"/>
    <w:rsid w:val="00D27F3C"/>
    <w:rsid w:val="00D27F95"/>
    <w:rsid w:val="00D3010C"/>
    <w:rsid w:val="00D301A7"/>
    <w:rsid w:val="00D3021A"/>
    <w:rsid w:val="00D3028F"/>
    <w:rsid w:val="00D30470"/>
    <w:rsid w:val="00D3066B"/>
    <w:rsid w:val="00D30693"/>
    <w:rsid w:val="00D3076E"/>
    <w:rsid w:val="00D30794"/>
    <w:rsid w:val="00D307D0"/>
    <w:rsid w:val="00D30818"/>
    <w:rsid w:val="00D3092F"/>
    <w:rsid w:val="00D30989"/>
    <w:rsid w:val="00D30A10"/>
    <w:rsid w:val="00D30C6F"/>
    <w:rsid w:val="00D30D61"/>
    <w:rsid w:val="00D30D76"/>
    <w:rsid w:val="00D30E02"/>
    <w:rsid w:val="00D30E53"/>
    <w:rsid w:val="00D30F5A"/>
    <w:rsid w:val="00D30FA5"/>
    <w:rsid w:val="00D30FF2"/>
    <w:rsid w:val="00D31012"/>
    <w:rsid w:val="00D3101E"/>
    <w:rsid w:val="00D3102E"/>
    <w:rsid w:val="00D3109A"/>
    <w:rsid w:val="00D3114D"/>
    <w:rsid w:val="00D31181"/>
    <w:rsid w:val="00D312D7"/>
    <w:rsid w:val="00D31321"/>
    <w:rsid w:val="00D313B3"/>
    <w:rsid w:val="00D3146C"/>
    <w:rsid w:val="00D3146F"/>
    <w:rsid w:val="00D314E4"/>
    <w:rsid w:val="00D3158D"/>
    <w:rsid w:val="00D315A8"/>
    <w:rsid w:val="00D316A6"/>
    <w:rsid w:val="00D31725"/>
    <w:rsid w:val="00D31867"/>
    <w:rsid w:val="00D31971"/>
    <w:rsid w:val="00D31A2C"/>
    <w:rsid w:val="00D31B44"/>
    <w:rsid w:val="00D31D34"/>
    <w:rsid w:val="00D31D5B"/>
    <w:rsid w:val="00D31EC3"/>
    <w:rsid w:val="00D31EE6"/>
    <w:rsid w:val="00D31F5D"/>
    <w:rsid w:val="00D31FEE"/>
    <w:rsid w:val="00D320DD"/>
    <w:rsid w:val="00D320F3"/>
    <w:rsid w:val="00D3237D"/>
    <w:rsid w:val="00D323DE"/>
    <w:rsid w:val="00D3249F"/>
    <w:rsid w:val="00D32568"/>
    <w:rsid w:val="00D3260E"/>
    <w:rsid w:val="00D328CB"/>
    <w:rsid w:val="00D3292B"/>
    <w:rsid w:val="00D3293B"/>
    <w:rsid w:val="00D329E2"/>
    <w:rsid w:val="00D32BD8"/>
    <w:rsid w:val="00D32C12"/>
    <w:rsid w:val="00D32C9E"/>
    <w:rsid w:val="00D32CE0"/>
    <w:rsid w:val="00D32D98"/>
    <w:rsid w:val="00D32DFC"/>
    <w:rsid w:val="00D32E15"/>
    <w:rsid w:val="00D32EBB"/>
    <w:rsid w:val="00D32ED7"/>
    <w:rsid w:val="00D32FB4"/>
    <w:rsid w:val="00D3301E"/>
    <w:rsid w:val="00D33075"/>
    <w:rsid w:val="00D331E2"/>
    <w:rsid w:val="00D33262"/>
    <w:rsid w:val="00D332A6"/>
    <w:rsid w:val="00D332AE"/>
    <w:rsid w:val="00D33353"/>
    <w:rsid w:val="00D335FF"/>
    <w:rsid w:val="00D336B0"/>
    <w:rsid w:val="00D337CA"/>
    <w:rsid w:val="00D3383B"/>
    <w:rsid w:val="00D3388C"/>
    <w:rsid w:val="00D33A46"/>
    <w:rsid w:val="00D33B7D"/>
    <w:rsid w:val="00D33B9C"/>
    <w:rsid w:val="00D33CBE"/>
    <w:rsid w:val="00D33D0E"/>
    <w:rsid w:val="00D33D3E"/>
    <w:rsid w:val="00D33D56"/>
    <w:rsid w:val="00D33DFA"/>
    <w:rsid w:val="00D33E6D"/>
    <w:rsid w:val="00D33E80"/>
    <w:rsid w:val="00D33F02"/>
    <w:rsid w:val="00D33F5F"/>
    <w:rsid w:val="00D34004"/>
    <w:rsid w:val="00D3402D"/>
    <w:rsid w:val="00D34131"/>
    <w:rsid w:val="00D3417B"/>
    <w:rsid w:val="00D34183"/>
    <w:rsid w:val="00D342CF"/>
    <w:rsid w:val="00D3435F"/>
    <w:rsid w:val="00D3436C"/>
    <w:rsid w:val="00D34477"/>
    <w:rsid w:val="00D344FC"/>
    <w:rsid w:val="00D34527"/>
    <w:rsid w:val="00D345F6"/>
    <w:rsid w:val="00D346F8"/>
    <w:rsid w:val="00D3477E"/>
    <w:rsid w:val="00D3484D"/>
    <w:rsid w:val="00D3488D"/>
    <w:rsid w:val="00D34930"/>
    <w:rsid w:val="00D349C1"/>
    <w:rsid w:val="00D34A6C"/>
    <w:rsid w:val="00D34A99"/>
    <w:rsid w:val="00D34AC4"/>
    <w:rsid w:val="00D34B8A"/>
    <w:rsid w:val="00D34C16"/>
    <w:rsid w:val="00D34C6D"/>
    <w:rsid w:val="00D34C9C"/>
    <w:rsid w:val="00D34D3D"/>
    <w:rsid w:val="00D34D62"/>
    <w:rsid w:val="00D34E32"/>
    <w:rsid w:val="00D34E5D"/>
    <w:rsid w:val="00D34EB7"/>
    <w:rsid w:val="00D3506C"/>
    <w:rsid w:val="00D350DB"/>
    <w:rsid w:val="00D351D2"/>
    <w:rsid w:val="00D352A5"/>
    <w:rsid w:val="00D35368"/>
    <w:rsid w:val="00D353D1"/>
    <w:rsid w:val="00D353EF"/>
    <w:rsid w:val="00D35445"/>
    <w:rsid w:val="00D35486"/>
    <w:rsid w:val="00D355EE"/>
    <w:rsid w:val="00D35650"/>
    <w:rsid w:val="00D357AE"/>
    <w:rsid w:val="00D3581F"/>
    <w:rsid w:val="00D3583B"/>
    <w:rsid w:val="00D35882"/>
    <w:rsid w:val="00D35891"/>
    <w:rsid w:val="00D358C2"/>
    <w:rsid w:val="00D358F7"/>
    <w:rsid w:val="00D35987"/>
    <w:rsid w:val="00D359F2"/>
    <w:rsid w:val="00D35AE2"/>
    <w:rsid w:val="00D35B20"/>
    <w:rsid w:val="00D35C16"/>
    <w:rsid w:val="00D35C83"/>
    <w:rsid w:val="00D35DE9"/>
    <w:rsid w:val="00D35E41"/>
    <w:rsid w:val="00D35F39"/>
    <w:rsid w:val="00D35F88"/>
    <w:rsid w:val="00D36056"/>
    <w:rsid w:val="00D36119"/>
    <w:rsid w:val="00D36120"/>
    <w:rsid w:val="00D361AB"/>
    <w:rsid w:val="00D362CF"/>
    <w:rsid w:val="00D36376"/>
    <w:rsid w:val="00D363A3"/>
    <w:rsid w:val="00D363E2"/>
    <w:rsid w:val="00D363E5"/>
    <w:rsid w:val="00D3643A"/>
    <w:rsid w:val="00D36475"/>
    <w:rsid w:val="00D365AB"/>
    <w:rsid w:val="00D3661B"/>
    <w:rsid w:val="00D3661C"/>
    <w:rsid w:val="00D36707"/>
    <w:rsid w:val="00D36809"/>
    <w:rsid w:val="00D368BD"/>
    <w:rsid w:val="00D36A4D"/>
    <w:rsid w:val="00D36A73"/>
    <w:rsid w:val="00D36B35"/>
    <w:rsid w:val="00D36C42"/>
    <w:rsid w:val="00D36C6B"/>
    <w:rsid w:val="00D36DE6"/>
    <w:rsid w:val="00D36E2D"/>
    <w:rsid w:val="00D36E67"/>
    <w:rsid w:val="00D36FDD"/>
    <w:rsid w:val="00D3707B"/>
    <w:rsid w:val="00D370C7"/>
    <w:rsid w:val="00D373F0"/>
    <w:rsid w:val="00D3746A"/>
    <w:rsid w:val="00D37592"/>
    <w:rsid w:val="00D375CD"/>
    <w:rsid w:val="00D3765B"/>
    <w:rsid w:val="00D3770B"/>
    <w:rsid w:val="00D37816"/>
    <w:rsid w:val="00D37834"/>
    <w:rsid w:val="00D3790E"/>
    <w:rsid w:val="00D37941"/>
    <w:rsid w:val="00D37961"/>
    <w:rsid w:val="00D3797A"/>
    <w:rsid w:val="00D379D8"/>
    <w:rsid w:val="00D37AB6"/>
    <w:rsid w:val="00D37ACE"/>
    <w:rsid w:val="00D37D39"/>
    <w:rsid w:val="00D37D6E"/>
    <w:rsid w:val="00D37D90"/>
    <w:rsid w:val="00D37E08"/>
    <w:rsid w:val="00D37EF5"/>
    <w:rsid w:val="00D37F50"/>
    <w:rsid w:val="00D37F96"/>
    <w:rsid w:val="00D37FB3"/>
    <w:rsid w:val="00D37FC1"/>
    <w:rsid w:val="00D4001E"/>
    <w:rsid w:val="00D40030"/>
    <w:rsid w:val="00D4003F"/>
    <w:rsid w:val="00D40092"/>
    <w:rsid w:val="00D400AC"/>
    <w:rsid w:val="00D401F6"/>
    <w:rsid w:val="00D40221"/>
    <w:rsid w:val="00D40256"/>
    <w:rsid w:val="00D4045B"/>
    <w:rsid w:val="00D40465"/>
    <w:rsid w:val="00D40481"/>
    <w:rsid w:val="00D404AD"/>
    <w:rsid w:val="00D404B6"/>
    <w:rsid w:val="00D4056A"/>
    <w:rsid w:val="00D40775"/>
    <w:rsid w:val="00D40856"/>
    <w:rsid w:val="00D40885"/>
    <w:rsid w:val="00D4088D"/>
    <w:rsid w:val="00D40898"/>
    <w:rsid w:val="00D40979"/>
    <w:rsid w:val="00D409C1"/>
    <w:rsid w:val="00D40AFB"/>
    <w:rsid w:val="00D40B19"/>
    <w:rsid w:val="00D40B28"/>
    <w:rsid w:val="00D40B80"/>
    <w:rsid w:val="00D40C3F"/>
    <w:rsid w:val="00D40C6C"/>
    <w:rsid w:val="00D40D02"/>
    <w:rsid w:val="00D40D31"/>
    <w:rsid w:val="00D40D62"/>
    <w:rsid w:val="00D40E76"/>
    <w:rsid w:val="00D40ED3"/>
    <w:rsid w:val="00D40F57"/>
    <w:rsid w:val="00D40F85"/>
    <w:rsid w:val="00D40F9C"/>
    <w:rsid w:val="00D41111"/>
    <w:rsid w:val="00D4112B"/>
    <w:rsid w:val="00D4114F"/>
    <w:rsid w:val="00D41158"/>
    <w:rsid w:val="00D411C0"/>
    <w:rsid w:val="00D411CB"/>
    <w:rsid w:val="00D4120F"/>
    <w:rsid w:val="00D412D1"/>
    <w:rsid w:val="00D4141C"/>
    <w:rsid w:val="00D41444"/>
    <w:rsid w:val="00D414BA"/>
    <w:rsid w:val="00D4154C"/>
    <w:rsid w:val="00D4155C"/>
    <w:rsid w:val="00D415A7"/>
    <w:rsid w:val="00D415FC"/>
    <w:rsid w:val="00D417DA"/>
    <w:rsid w:val="00D41865"/>
    <w:rsid w:val="00D41929"/>
    <w:rsid w:val="00D4193C"/>
    <w:rsid w:val="00D419C9"/>
    <w:rsid w:val="00D419FB"/>
    <w:rsid w:val="00D41A20"/>
    <w:rsid w:val="00D41A66"/>
    <w:rsid w:val="00D41AA4"/>
    <w:rsid w:val="00D41C16"/>
    <w:rsid w:val="00D41C21"/>
    <w:rsid w:val="00D41C37"/>
    <w:rsid w:val="00D41C60"/>
    <w:rsid w:val="00D41C63"/>
    <w:rsid w:val="00D41CA3"/>
    <w:rsid w:val="00D41CF5"/>
    <w:rsid w:val="00D41D14"/>
    <w:rsid w:val="00D41D17"/>
    <w:rsid w:val="00D41E44"/>
    <w:rsid w:val="00D42073"/>
    <w:rsid w:val="00D42080"/>
    <w:rsid w:val="00D42192"/>
    <w:rsid w:val="00D4226D"/>
    <w:rsid w:val="00D424F5"/>
    <w:rsid w:val="00D42629"/>
    <w:rsid w:val="00D42633"/>
    <w:rsid w:val="00D42687"/>
    <w:rsid w:val="00D428B9"/>
    <w:rsid w:val="00D428F6"/>
    <w:rsid w:val="00D429C2"/>
    <w:rsid w:val="00D42A2F"/>
    <w:rsid w:val="00D42AB5"/>
    <w:rsid w:val="00D42B32"/>
    <w:rsid w:val="00D42B4F"/>
    <w:rsid w:val="00D42B68"/>
    <w:rsid w:val="00D42BA4"/>
    <w:rsid w:val="00D42C2F"/>
    <w:rsid w:val="00D42CE7"/>
    <w:rsid w:val="00D42DE0"/>
    <w:rsid w:val="00D42E0B"/>
    <w:rsid w:val="00D42E81"/>
    <w:rsid w:val="00D42EB5"/>
    <w:rsid w:val="00D43029"/>
    <w:rsid w:val="00D43103"/>
    <w:rsid w:val="00D43233"/>
    <w:rsid w:val="00D43246"/>
    <w:rsid w:val="00D43276"/>
    <w:rsid w:val="00D432F9"/>
    <w:rsid w:val="00D4341D"/>
    <w:rsid w:val="00D434F7"/>
    <w:rsid w:val="00D43543"/>
    <w:rsid w:val="00D43552"/>
    <w:rsid w:val="00D4359B"/>
    <w:rsid w:val="00D435F0"/>
    <w:rsid w:val="00D43649"/>
    <w:rsid w:val="00D436C1"/>
    <w:rsid w:val="00D437DD"/>
    <w:rsid w:val="00D43905"/>
    <w:rsid w:val="00D43A6C"/>
    <w:rsid w:val="00D43A8D"/>
    <w:rsid w:val="00D43AD0"/>
    <w:rsid w:val="00D43AF4"/>
    <w:rsid w:val="00D43B4A"/>
    <w:rsid w:val="00D43B7C"/>
    <w:rsid w:val="00D43C6C"/>
    <w:rsid w:val="00D43CB4"/>
    <w:rsid w:val="00D43CC5"/>
    <w:rsid w:val="00D43CD9"/>
    <w:rsid w:val="00D43E20"/>
    <w:rsid w:val="00D43F1D"/>
    <w:rsid w:val="00D43F23"/>
    <w:rsid w:val="00D4408B"/>
    <w:rsid w:val="00D44142"/>
    <w:rsid w:val="00D44298"/>
    <w:rsid w:val="00D44302"/>
    <w:rsid w:val="00D44396"/>
    <w:rsid w:val="00D4443F"/>
    <w:rsid w:val="00D444C9"/>
    <w:rsid w:val="00D44559"/>
    <w:rsid w:val="00D44581"/>
    <w:rsid w:val="00D44676"/>
    <w:rsid w:val="00D44736"/>
    <w:rsid w:val="00D44772"/>
    <w:rsid w:val="00D447AB"/>
    <w:rsid w:val="00D447DF"/>
    <w:rsid w:val="00D447E0"/>
    <w:rsid w:val="00D449BC"/>
    <w:rsid w:val="00D449DA"/>
    <w:rsid w:val="00D449E8"/>
    <w:rsid w:val="00D44A5C"/>
    <w:rsid w:val="00D44B58"/>
    <w:rsid w:val="00D44BA6"/>
    <w:rsid w:val="00D44DC7"/>
    <w:rsid w:val="00D44E69"/>
    <w:rsid w:val="00D44EBC"/>
    <w:rsid w:val="00D44F12"/>
    <w:rsid w:val="00D45053"/>
    <w:rsid w:val="00D45115"/>
    <w:rsid w:val="00D451CD"/>
    <w:rsid w:val="00D45227"/>
    <w:rsid w:val="00D45315"/>
    <w:rsid w:val="00D4542A"/>
    <w:rsid w:val="00D4542D"/>
    <w:rsid w:val="00D45486"/>
    <w:rsid w:val="00D45537"/>
    <w:rsid w:val="00D4554C"/>
    <w:rsid w:val="00D45678"/>
    <w:rsid w:val="00D45692"/>
    <w:rsid w:val="00D456EA"/>
    <w:rsid w:val="00D4574D"/>
    <w:rsid w:val="00D45750"/>
    <w:rsid w:val="00D4577E"/>
    <w:rsid w:val="00D457C1"/>
    <w:rsid w:val="00D457EA"/>
    <w:rsid w:val="00D459A0"/>
    <w:rsid w:val="00D45A0D"/>
    <w:rsid w:val="00D45A3B"/>
    <w:rsid w:val="00D45A8A"/>
    <w:rsid w:val="00D45AB7"/>
    <w:rsid w:val="00D45ACB"/>
    <w:rsid w:val="00D45AE3"/>
    <w:rsid w:val="00D45C42"/>
    <w:rsid w:val="00D45C52"/>
    <w:rsid w:val="00D45CD4"/>
    <w:rsid w:val="00D45D1A"/>
    <w:rsid w:val="00D45D31"/>
    <w:rsid w:val="00D45E86"/>
    <w:rsid w:val="00D45EC6"/>
    <w:rsid w:val="00D45F36"/>
    <w:rsid w:val="00D46014"/>
    <w:rsid w:val="00D46183"/>
    <w:rsid w:val="00D461A9"/>
    <w:rsid w:val="00D461BF"/>
    <w:rsid w:val="00D461EE"/>
    <w:rsid w:val="00D46219"/>
    <w:rsid w:val="00D4624B"/>
    <w:rsid w:val="00D46335"/>
    <w:rsid w:val="00D4647A"/>
    <w:rsid w:val="00D464E4"/>
    <w:rsid w:val="00D464EC"/>
    <w:rsid w:val="00D46585"/>
    <w:rsid w:val="00D466D3"/>
    <w:rsid w:val="00D46842"/>
    <w:rsid w:val="00D46B17"/>
    <w:rsid w:val="00D46BF7"/>
    <w:rsid w:val="00D46C5C"/>
    <w:rsid w:val="00D46F43"/>
    <w:rsid w:val="00D46FE4"/>
    <w:rsid w:val="00D46FFF"/>
    <w:rsid w:val="00D470B8"/>
    <w:rsid w:val="00D47198"/>
    <w:rsid w:val="00D47232"/>
    <w:rsid w:val="00D472EA"/>
    <w:rsid w:val="00D47375"/>
    <w:rsid w:val="00D4741B"/>
    <w:rsid w:val="00D4750D"/>
    <w:rsid w:val="00D475DE"/>
    <w:rsid w:val="00D476A0"/>
    <w:rsid w:val="00D4770D"/>
    <w:rsid w:val="00D477A8"/>
    <w:rsid w:val="00D4781E"/>
    <w:rsid w:val="00D47857"/>
    <w:rsid w:val="00D47883"/>
    <w:rsid w:val="00D47924"/>
    <w:rsid w:val="00D4798C"/>
    <w:rsid w:val="00D47A30"/>
    <w:rsid w:val="00D47A32"/>
    <w:rsid w:val="00D47A78"/>
    <w:rsid w:val="00D47AB4"/>
    <w:rsid w:val="00D47DBC"/>
    <w:rsid w:val="00D47DC0"/>
    <w:rsid w:val="00D47E24"/>
    <w:rsid w:val="00D47E94"/>
    <w:rsid w:val="00D47FF9"/>
    <w:rsid w:val="00D50048"/>
    <w:rsid w:val="00D5016C"/>
    <w:rsid w:val="00D501C8"/>
    <w:rsid w:val="00D501D9"/>
    <w:rsid w:val="00D501EC"/>
    <w:rsid w:val="00D50426"/>
    <w:rsid w:val="00D50442"/>
    <w:rsid w:val="00D50489"/>
    <w:rsid w:val="00D507F2"/>
    <w:rsid w:val="00D50804"/>
    <w:rsid w:val="00D5080A"/>
    <w:rsid w:val="00D50830"/>
    <w:rsid w:val="00D50881"/>
    <w:rsid w:val="00D509D0"/>
    <w:rsid w:val="00D50A04"/>
    <w:rsid w:val="00D50A58"/>
    <w:rsid w:val="00D50A7A"/>
    <w:rsid w:val="00D50C04"/>
    <w:rsid w:val="00D50C99"/>
    <w:rsid w:val="00D50CBD"/>
    <w:rsid w:val="00D50D02"/>
    <w:rsid w:val="00D50D10"/>
    <w:rsid w:val="00D50D1B"/>
    <w:rsid w:val="00D50D97"/>
    <w:rsid w:val="00D50DAD"/>
    <w:rsid w:val="00D50FBF"/>
    <w:rsid w:val="00D51032"/>
    <w:rsid w:val="00D5108F"/>
    <w:rsid w:val="00D51108"/>
    <w:rsid w:val="00D5115B"/>
    <w:rsid w:val="00D511FF"/>
    <w:rsid w:val="00D51248"/>
    <w:rsid w:val="00D51350"/>
    <w:rsid w:val="00D5139B"/>
    <w:rsid w:val="00D51431"/>
    <w:rsid w:val="00D5161B"/>
    <w:rsid w:val="00D516C4"/>
    <w:rsid w:val="00D516E9"/>
    <w:rsid w:val="00D517C5"/>
    <w:rsid w:val="00D518C7"/>
    <w:rsid w:val="00D51911"/>
    <w:rsid w:val="00D519EF"/>
    <w:rsid w:val="00D51A45"/>
    <w:rsid w:val="00D51A9A"/>
    <w:rsid w:val="00D51C42"/>
    <w:rsid w:val="00D51C87"/>
    <w:rsid w:val="00D51CAA"/>
    <w:rsid w:val="00D51D10"/>
    <w:rsid w:val="00D51D26"/>
    <w:rsid w:val="00D51D2D"/>
    <w:rsid w:val="00D51E20"/>
    <w:rsid w:val="00D51E24"/>
    <w:rsid w:val="00D51E6D"/>
    <w:rsid w:val="00D51E70"/>
    <w:rsid w:val="00D51EA6"/>
    <w:rsid w:val="00D51FD5"/>
    <w:rsid w:val="00D51FDD"/>
    <w:rsid w:val="00D51FF6"/>
    <w:rsid w:val="00D51FFA"/>
    <w:rsid w:val="00D52048"/>
    <w:rsid w:val="00D5206B"/>
    <w:rsid w:val="00D520EA"/>
    <w:rsid w:val="00D52110"/>
    <w:rsid w:val="00D52120"/>
    <w:rsid w:val="00D52133"/>
    <w:rsid w:val="00D5213C"/>
    <w:rsid w:val="00D5226B"/>
    <w:rsid w:val="00D52378"/>
    <w:rsid w:val="00D52424"/>
    <w:rsid w:val="00D5268C"/>
    <w:rsid w:val="00D52703"/>
    <w:rsid w:val="00D5270C"/>
    <w:rsid w:val="00D52760"/>
    <w:rsid w:val="00D527DE"/>
    <w:rsid w:val="00D52854"/>
    <w:rsid w:val="00D529C4"/>
    <w:rsid w:val="00D529E2"/>
    <w:rsid w:val="00D52A62"/>
    <w:rsid w:val="00D52AF6"/>
    <w:rsid w:val="00D52B4B"/>
    <w:rsid w:val="00D52D5D"/>
    <w:rsid w:val="00D52E45"/>
    <w:rsid w:val="00D52E54"/>
    <w:rsid w:val="00D52E87"/>
    <w:rsid w:val="00D52EFD"/>
    <w:rsid w:val="00D52F0A"/>
    <w:rsid w:val="00D52F34"/>
    <w:rsid w:val="00D52F4B"/>
    <w:rsid w:val="00D52FF5"/>
    <w:rsid w:val="00D53014"/>
    <w:rsid w:val="00D53022"/>
    <w:rsid w:val="00D53063"/>
    <w:rsid w:val="00D53156"/>
    <w:rsid w:val="00D53157"/>
    <w:rsid w:val="00D53179"/>
    <w:rsid w:val="00D5327E"/>
    <w:rsid w:val="00D5329D"/>
    <w:rsid w:val="00D533F3"/>
    <w:rsid w:val="00D535CB"/>
    <w:rsid w:val="00D5364C"/>
    <w:rsid w:val="00D537AF"/>
    <w:rsid w:val="00D5393F"/>
    <w:rsid w:val="00D539B0"/>
    <w:rsid w:val="00D539F6"/>
    <w:rsid w:val="00D53CD2"/>
    <w:rsid w:val="00D53D1B"/>
    <w:rsid w:val="00D53D8B"/>
    <w:rsid w:val="00D53FBB"/>
    <w:rsid w:val="00D53FDE"/>
    <w:rsid w:val="00D54037"/>
    <w:rsid w:val="00D540FE"/>
    <w:rsid w:val="00D54141"/>
    <w:rsid w:val="00D541B7"/>
    <w:rsid w:val="00D54264"/>
    <w:rsid w:val="00D5429C"/>
    <w:rsid w:val="00D542DF"/>
    <w:rsid w:val="00D54337"/>
    <w:rsid w:val="00D54487"/>
    <w:rsid w:val="00D5450E"/>
    <w:rsid w:val="00D54528"/>
    <w:rsid w:val="00D54684"/>
    <w:rsid w:val="00D54843"/>
    <w:rsid w:val="00D548D9"/>
    <w:rsid w:val="00D54964"/>
    <w:rsid w:val="00D549B2"/>
    <w:rsid w:val="00D54AB8"/>
    <w:rsid w:val="00D54AD0"/>
    <w:rsid w:val="00D54B3C"/>
    <w:rsid w:val="00D54BD7"/>
    <w:rsid w:val="00D54C25"/>
    <w:rsid w:val="00D54E88"/>
    <w:rsid w:val="00D55104"/>
    <w:rsid w:val="00D55138"/>
    <w:rsid w:val="00D5519B"/>
    <w:rsid w:val="00D551D3"/>
    <w:rsid w:val="00D55294"/>
    <w:rsid w:val="00D552E3"/>
    <w:rsid w:val="00D553C9"/>
    <w:rsid w:val="00D553E3"/>
    <w:rsid w:val="00D5540B"/>
    <w:rsid w:val="00D55463"/>
    <w:rsid w:val="00D556C2"/>
    <w:rsid w:val="00D556E9"/>
    <w:rsid w:val="00D55757"/>
    <w:rsid w:val="00D557A5"/>
    <w:rsid w:val="00D557B3"/>
    <w:rsid w:val="00D557E8"/>
    <w:rsid w:val="00D558EE"/>
    <w:rsid w:val="00D55C9F"/>
    <w:rsid w:val="00D55CC8"/>
    <w:rsid w:val="00D55DDA"/>
    <w:rsid w:val="00D55E3C"/>
    <w:rsid w:val="00D560ED"/>
    <w:rsid w:val="00D56152"/>
    <w:rsid w:val="00D56258"/>
    <w:rsid w:val="00D56354"/>
    <w:rsid w:val="00D563B2"/>
    <w:rsid w:val="00D563E7"/>
    <w:rsid w:val="00D56405"/>
    <w:rsid w:val="00D56448"/>
    <w:rsid w:val="00D564DE"/>
    <w:rsid w:val="00D56647"/>
    <w:rsid w:val="00D56684"/>
    <w:rsid w:val="00D566F6"/>
    <w:rsid w:val="00D5676E"/>
    <w:rsid w:val="00D567CC"/>
    <w:rsid w:val="00D56960"/>
    <w:rsid w:val="00D56978"/>
    <w:rsid w:val="00D569C0"/>
    <w:rsid w:val="00D56B10"/>
    <w:rsid w:val="00D56B29"/>
    <w:rsid w:val="00D56BCF"/>
    <w:rsid w:val="00D56C33"/>
    <w:rsid w:val="00D56CCB"/>
    <w:rsid w:val="00D56CE4"/>
    <w:rsid w:val="00D56D19"/>
    <w:rsid w:val="00D56DC0"/>
    <w:rsid w:val="00D56DFA"/>
    <w:rsid w:val="00D56E3F"/>
    <w:rsid w:val="00D56E65"/>
    <w:rsid w:val="00D56FD3"/>
    <w:rsid w:val="00D56FDB"/>
    <w:rsid w:val="00D571E1"/>
    <w:rsid w:val="00D57456"/>
    <w:rsid w:val="00D5758D"/>
    <w:rsid w:val="00D57686"/>
    <w:rsid w:val="00D5771D"/>
    <w:rsid w:val="00D577C1"/>
    <w:rsid w:val="00D57824"/>
    <w:rsid w:val="00D578C8"/>
    <w:rsid w:val="00D5791E"/>
    <w:rsid w:val="00D57920"/>
    <w:rsid w:val="00D57937"/>
    <w:rsid w:val="00D57963"/>
    <w:rsid w:val="00D57A1A"/>
    <w:rsid w:val="00D57A24"/>
    <w:rsid w:val="00D57A58"/>
    <w:rsid w:val="00D57D2C"/>
    <w:rsid w:val="00D57D7A"/>
    <w:rsid w:val="00D57DEC"/>
    <w:rsid w:val="00D57E85"/>
    <w:rsid w:val="00D57F47"/>
    <w:rsid w:val="00D57FD5"/>
    <w:rsid w:val="00D6009B"/>
    <w:rsid w:val="00D60174"/>
    <w:rsid w:val="00D6017E"/>
    <w:rsid w:val="00D602E2"/>
    <w:rsid w:val="00D60304"/>
    <w:rsid w:val="00D6034A"/>
    <w:rsid w:val="00D604AE"/>
    <w:rsid w:val="00D6053E"/>
    <w:rsid w:val="00D6056A"/>
    <w:rsid w:val="00D6058D"/>
    <w:rsid w:val="00D60598"/>
    <w:rsid w:val="00D605CC"/>
    <w:rsid w:val="00D605D4"/>
    <w:rsid w:val="00D60692"/>
    <w:rsid w:val="00D606C6"/>
    <w:rsid w:val="00D60798"/>
    <w:rsid w:val="00D607A4"/>
    <w:rsid w:val="00D607C5"/>
    <w:rsid w:val="00D609FF"/>
    <w:rsid w:val="00D60A0A"/>
    <w:rsid w:val="00D60A1E"/>
    <w:rsid w:val="00D60A4D"/>
    <w:rsid w:val="00D60B55"/>
    <w:rsid w:val="00D60B7C"/>
    <w:rsid w:val="00D60D4C"/>
    <w:rsid w:val="00D60DAB"/>
    <w:rsid w:val="00D60E22"/>
    <w:rsid w:val="00D60EF0"/>
    <w:rsid w:val="00D60EFD"/>
    <w:rsid w:val="00D60FF2"/>
    <w:rsid w:val="00D61002"/>
    <w:rsid w:val="00D61236"/>
    <w:rsid w:val="00D61302"/>
    <w:rsid w:val="00D61327"/>
    <w:rsid w:val="00D61386"/>
    <w:rsid w:val="00D6139E"/>
    <w:rsid w:val="00D61431"/>
    <w:rsid w:val="00D6144B"/>
    <w:rsid w:val="00D61506"/>
    <w:rsid w:val="00D61592"/>
    <w:rsid w:val="00D61669"/>
    <w:rsid w:val="00D616C5"/>
    <w:rsid w:val="00D616C7"/>
    <w:rsid w:val="00D617A0"/>
    <w:rsid w:val="00D617A8"/>
    <w:rsid w:val="00D617EE"/>
    <w:rsid w:val="00D61810"/>
    <w:rsid w:val="00D61871"/>
    <w:rsid w:val="00D6187F"/>
    <w:rsid w:val="00D6197B"/>
    <w:rsid w:val="00D619D4"/>
    <w:rsid w:val="00D619E6"/>
    <w:rsid w:val="00D61B11"/>
    <w:rsid w:val="00D61B1C"/>
    <w:rsid w:val="00D61B26"/>
    <w:rsid w:val="00D61B61"/>
    <w:rsid w:val="00D61B68"/>
    <w:rsid w:val="00D61CA9"/>
    <w:rsid w:val="00D61CB0"/>
    <w:rsid w:val="00D61D32"/>
    <w:rsid w:val="00D61E6E"/>
    <w:rsid w:val="00D61F06"/>
    <w:rsid w:val="00D61F52"/>
    <w:rsid w:val="00D61F62"/>
    <w:rsid w:val="00D620F2"/>
    <w:rsid w:val="00D62105"/>
    <w:rsid w:val="00D62181"/>
    <w:rsid w:val="00D6219B"/>
    <w:rsid w:val="00D6219F"/>
    <w:rsid w:val="00D6250C"/>
    <w:rsid w:val="00D62592"/>
    <w:rsid w:val="00D6263A"/>
    <w:rsid w:val="00D627D0"/>
    <w:rsid w:val="00D627EF"/>
    <w:rsid w:val="00D62840"/>
    <w:rsid w:val="00D6288D"/>
    <w:rsid w:val="00D628BD"/>
    <w:rsid w:val="00D62A18"/>
    <w:rsid w:val="00D62A7F"/>
    <w:rsid w:val="00D62A9D"/>
    <w:rsid w:val="00D62AEF"/>
    <w:rsid w:val="00D62BD1"/>
    <w:rsid w:val="00D62CA1"/>
    <w:rsid w:val="00D62CE0"/>
    <w:rsid w:val="00D62D49"/>
    <w:rsid w:val="00D62D69"/>
    <w:rsid w:val="00D62E24"/>
    <w:rsid w:val="00D62EDB"/>
    <w:rsid w:val="00D62F4D"/>
    <w:rsid w:val="00D63017"/>
    <w:rsid w:val="00D63115"/>
    <w:rsid w:val="00D63131"/>
    <w:rsid w:val="00D6316D"/>
    <w:rsid w:val="00D63373"/>
    <w:rsid w:val="00D63426"/>
    <w:rsid w:val="00D63479"/>
    <w:rsid w:val="00D63600"/>
    <w:rsid w:val="00D6377A"/>
    <w:rsid w:val="00D6387A"/>
    <w:rsid w:val="00D638CF"/>
    <w:rsid w:val="00D639E4"/>
    <w:rsid w:val="00D63B0D"/>
    <w:rsid w:val="00D63BFD"/>
    <w:rsid w:val="00D63C70"/>
    <w:rsid w:val="00D63E9E"/>
    <w:rsid w:val="00D63EC8"/>
    <w:rsid w:val="00D63EDF"/>
    <w:rsid w:val="00D63F92"/>
    <w:rsid w:val="00D640AA"/>
    <w:rsid w:val="00D6414C"/>
    <w:rsid w:val="00D64249"/>
    <w:rsid w:val="00D642E3"/>
    <w:rsid w:val="00D644D9"/>
    <w:rsid w:val="00D64772"/>
    <w:rsid w:val="00D64830"/>
    <w:rsid w:val="00D64845"/>
    <w:rsid w:val="00D64861"/>
    <w:rsid w:val="00D6487D"/>
    <w:rsid w:val="00D64881"/>
    <w:rsid w:val="00D648B9"/>
    <w:rsid w:val="00D648BF"/>
    <w:rsid w:val="00D648EE"/>
    <w:rsid w:val="00D6497A"/>
    <w:rsid w:val="00D649A3"/>
    <w:rsid w:val="00D64A10"/>
    <w:rsid w:val="00D64A39"/>
    <w:rsid w:val="00D64A77"/>
    <w:rsid w:val="00D64ACA"/>
    <w:rsid w:val="00D64B2B"/>
    <w:rsid w:val="00D64C67"/>
    <w:rsid w:val="00D64CF6"/>
    <w:rsid w:val="00D64DCD"/>
    <w:rsid w:val="00D64E22"/>
    <w:rsid w:val="00D64E66"/>
    <w:rsid w:val="00D64F0B"/>
    <w:rsid w:val="00D64F42"/>
    <w:rsid w:val="00D65095"/>
    <w:rsid w:val="00D650C2"/>
    <w:rsid w:val="00D650E2"/>
    <w:rsid w:val="00D65115"/>
    <w:rsid w:val="00D651B5"/>
    <w:rsid w:val="00D652D9"/>
    <w:rsid w:val="00D653AA"/>
    <w:rsid w:val="00D653D3"/>
    <w:rsid w:val="00D6547F"/>
    <w:rsid w:val="00D6549C"/>
    <w:rsid w:val="00D656B9"/>
    <w:rsid w:val="00D6573F"/>
    <w:rsid w:val="00D657F2"/>
    <w:rsid w:val="00D65812"/>
    <w:rsid w:val="00D658AD"/>
    <w:rsid w:val="00D658FE"/>
    <w:rsid w:val="00D65BB8"/>
    <w:rsid w:val="00D65BC0"/>
    <w:rsid w:val="00D65D45"/>
    <w:rsid w:val="00D65D9F"/>
    <w:rsid w:val="00D65DAE"/>
    <w:rsid w:val="00D65E52"/>
    <w:rsid w:val="00D65E77"/>
    <w:rsid w:val="00D65EE3"/>
    <w:rsid w:val="00D65F21"/>
    <w:rsid w:val="00D65F28"/>
    <w:rsid w:val="00D65FBE"/>
    <w:rsid w:val="00D66051"/>
    <w:rsid w:val="00D66165"/>
    <w:rsid w:val="00D66198"/>
    <w:rsid w:val="00D66341"/>
    <w:rsid w:val="00D663B6"/>
    <w:rsid w:val="00D663C8"/>
    <w:rsid w:val="00D66577"/>
    <w:rsid w:val="00D665E7"/>
    <w:rsid w:val="00D666E9"/>
    <w:rsid w:val="00D66724"/>
    <w:rsid w:val="00D66779"/>
    <w:rsid w:val="00D66802"/>
    <w:rsid w:val="00D6688A"/>
    <w:rsid w:val="00D66983"/>
    <w:rsid w:val="00D66B00"/>
    <w:rsid w:val="00D66B72"/>
    <w:rsid w:val="00D66CB6"/>
    <w:rsid w:val="00D66D5C"/>
    <w:rsid w:val="00D66E74"/>
    <w:rsid w:val="00D66FAA"/>
    <w:rsid w:val="00D670E1"/>
    <w:rsid w:val="00D670FE"/>
    <w:rsid w:val="00D67158"/>
    <w:rsid w:val="00D6723B"/>
    <w:rsid w:val="00D672F5"/>
    <w:rsid w:val="00D6732E"/>
    <w:rsid w:val="00D6748E"/>
    <w:rsid w:val="00D67491"/>
    <w:rsid w:val="00D674AF"/>
    <w:rsid w:val="00D67564"/>
    <w:rsid w:val="00D675DE"/>
    <w:rsid w:val="00D6769A"/>
    <w:rsid w:val="00D676F4"/>
    <w:rsid w:val="00D676FA"/>
    <w:rsid w:val="00D67773"/>
    <w:rsid w:val="00D677AC"/>
    <w:rsid w:val="00D677C2"/>
    <w:rsid w:val="00D677E7"/>
    <w:rsid w:val="00D67902"/>
    <w:rsid w:val="00D67969"/>
    <w:rsid w:val="00D6798A"/>
    <w:rsid w:val="00D679FE"/>
    <w:rsid w:val="00D67A03"/>
    <w:rsid w:val="00D67AE3"/>
    <w:rsid w:val="00D67AFA"/>
    <w:rsid w:val="00D67BFA"/>
    <w:rsid w:val="00D67C8B"/>
    <w:rsid w:val="00D67CE1"/>
    <w:rsid w:val="00D67E0A"/>
    <w:rsid w:val="00D67E97"/>
    <w:rsid w:val="00D67FD7"/>
    <w:rsid w:val="00D7010B"/>
    <w:rsid w:val="00D70167"/>
    <w:rsid w:val="00D70322"/>
    <w:rsid w:val="00D70383"/>
    <w:rsid w:val="00D703DC"/>
    <w:rsid w:val="00D70422"/>
    <w:rsid w:val="00D70563"/>
    <w:rsid w:val="00D705B8"/>
    <w:rsid w:val="00D705C7"/>
    <w:rsid w:val="00D70655"/>
    <w:rsid w:val="00D70683"/>
    <w:rsid w:val="00D706B3"/>
    <w:rsid w:val="00D706CF"/>
    <w:rsid w:val="00D709CB"/>
    <w:rsid w:val="00D709EF"/>
    <w:rsid w:val="00D70A10"/>
    <w:rsid w:val="00D70B47"/>
    <w:rsid w:val="00D70B6E"/>
    <w:rsid w:val="00D70D17"/>
    <w:rsid w:val="00D70D53"/>
    <w:rsid w:val="00D70D76"/>
    <w:rsid w:val="00D70DDA"/>
    <w:rsid w:val="00D70E6E"/>
    <w:rsid w:val="00D70EAC"/>
    <w:rsid w:val="00D70F33"/>
    <w:rsid w:val="00D71164"/>
    <w:rsid w:val="00D71229"/>
    <w:rsid w:val="00D71259"/>
    <w:rsid w:val="00D712B8"/>
    <w:rsid w:val="00D71341"/>
    <w:rsid w:val="00D71374"/>
    <w:rsid w:val="00D713BA"/>
    <w:rsid w:val="00D7141A"/>
    <w:rsid w:val="00D7149D"/>
    <w:rsid w:val="00D7150D"/>
    <w:rsid w:val="00D71519"/>
    <w:rsid w:val="00D715A9"/>
    <w:rsid w:val="00D715E6"/>
    <w:rsid w:val="00D7164C"/>
    <w:rsid w:val="00D71833"/>
    <w:rsid w:val="00D7184C"/>
    <w:rsid w:val="00D7186E"/>
    <w:rsid w:val="00D718CD"/>
    <w:rsid w:val="00D7193E"/>
    <w:rsid w:val="00D7195F"/>
    <w:rsid w:val="00D71A51"/>
    <w:rsid w:val="00D71AB3"/>
    <w:rsid w:val="00D71B6E"/>
    <w:rsid w:val="00D71CA3"/>
    <w:rsid w:val="00D71CCD"/>
    <w:rsid w:val="00D71CD5"/>
    <w:rsid w:val="00D71F02"/>
    <w:rsid w:val="00D71F43"/>
    <w:rsid w:val="00D72171"/>
    <w:rsid w:val="00D72181"/>
    <w:rsid w:val="00D72247"/>
    <w:rsid w:val="00D7224E"/>
    <w:rsid w:val="00D722BB"/>
    <w:rsid w:val="00D72353"/>
    <w:rsid w:val="00D7237A"/>
    <w:rsid w:val="00D723C3"/>
    <w:rsid w:val="00D72496"/>
    <w:rsid w:val="00D724F3"/>
    <w:rsid w:val="00D72515"/>
    <w:rsid w:val="00D72611"/>
    <w:rsid w:val="00D7270A"/>
    <w:rsid w:val="00D727CD"/>
    <w:rsid w:val="00D728E2"/>
    <w:rsid w:val="00D729C2"/>
    <w:rsid w:val="00D729D8"/>
    <w:rsid w:val="00D72A49"/>
    <w:rsid w:val="00D72AA6"/>
    <w:rsid w:val="00D72B00"/>
    <w:rsid w:val="00D72B5A"/>
    <w:rsid w:val="00D72CA3"/>
    <w:rsid w:val="00D72D6E"/>
    <w:rsid w:val="00D72DCA"/>
    <w:rsid w:val="00D72DDC"/>
    <w:rsid w:val="00D72DFD"/>
    <w:rsid w:val="00D72E4F"/>
    <w:rsid w:val="00D72E79"/>
    <w:rsid w:val="00D72E92"/>
    <w:rsid w:val="00D72F0B"/>
    <w:rsid w:val="00D72F77"/>
    <w:rsid w:val="00D72FB8"/>
    <w:rsid w:val="00D73102"/>
    <w:rsid w:val="00D731B9"/>
    <w:rsid w:val="00D73273"/>
    <w:rsid w:val="00D732B7"/>
    <w:rsid w:val="00D7348F"/>
    <w:rsid w:val="00D73499"/>
    <w:rsid w:val="00D734A3"/>
    <w:rsid w:val="00D734BE"/>
    <w:rsid w:val="00D734D8"/>
    <w:rsid w:val="00D7352A"/>
    <w:rsid w:val="00D73578"/>
    <w:rsid w:val="00D73598"/>
    <w:rsid w:val="00D735B5"/>
    <w:rsid w:val="00D735D0"/>
    <w:rsid w:val="00D7370D"/>
    <w:rsid w:val="00D73711"/>
    <w:rsid w:val="00D737A4"/>
    <w:rsid w:val="00D73854"/>
    <w:rsid w:val="00D7388B"/>
    <w:rsid w:val="00D73AD9"/>
    <w:rsid w:val="00D73B7B"/>
    <w:rsid w:val="00D73C71"/>
    <w:rsid w:val="00D73CA2"/>
    <w:rsid w:val="00D73E29"/>
    <w:rsid w:val="00D73EDA"/>
    <w:rsid w:val="00D73EEF"/>
    <w:rsid w:val="00D73F16"/>
    <w:rsid w:val="00D73FFA"/>
    <w:rsid w:val="00D7420B"/>
    <w:rsid w:val="00D74266"/>
    <w:rsid w:val="00D742F8"/>
    <w:rsid w:val="00D74384"/>
    <w:rsid w:val="00D74479"/>
    <w:rsid w:val="00D745B6"/>
    <w:rsid w:val="00D747D8"/>
    <w:rsid w:val="00D74852"/>
    <w:rsid w:val="00D74898"/>
    <w:rsid w:val="00D748C4"/>
    <w:rsid w:val="00D74911"/>
    <w:rsid w:val="00D74980"/>
    <w:rsid w:val="00D749B2"/>
    <w:rsid w:val="00D74AA8"/>
    <w:rsid w:val="00D74B71"/>
    <w:rsid w:val="00D74C3E"/>
    <w:rsid w:val="00D74C45"/>
    <w:rsid w:val="00D74C86"/>
    <w:rsid w:val="00D74D46"/>
    <w:rsid w:val="00D74E0F"/>
    <w:rsid w:val="00D74E19"/>
    <w:rsid w:val="00D74F13"/>
    <w:rsid w:val="00D74F26"/>
    <w:rsid w:val="00D74F3D"/>
    <w:rsid w:val="00D75082"/>
    <w:rsid w:val="00D75094"/>
    <w:rsid w:val="00D750B2"/>
    <w:rsid w:val="00D7535C"/>
    <w:rsid w:val="00D7546C"/>
    <w:rsid w:val="00D7554E"/>
    <w:rsid w:val="00D755B1"/>
    <w:rsid w:val="00D7563A"/>
    <w:rsid w:val="00D7565C"/>
    <w:rsid w:val="00D75679"/>
    <w:rsid w:val="00D7576E"/>
    <w:rsid w:val="00D757E1"/>
    <w:rsid w:val="00D757E9"/>
    <w:rsid w:val="00D7580F"/>
    <w:rsid w:val="00D7596E"/>
    <w:rsid w:val="00D759AE"/>
    <w:rsid w:val="00D759E6"/>
    <w:rsid w:val="00D75A88"/>
    <w:rsid w:val="00D75BA4"/>
    <w:rsid w:val="00D75BAE"/>
    <w:rsid w:val="00D75CAE"/>
    <w:rsid w:val="00D75D63"/>
    <w:rsid w:val="00D7611A"/>
    <w:rsid w:val="00D7624B"/>
    <w:rsid w:val="00D7624F"/>
    <w:rsid w:val="00D76297"/>
    <w:rsid w:val="00D7631C"/>
    <w:rsid w:val="00D7634B"/>
    <w:rsid w:val="00D76505"/>
    <w:rsid w:val="00D7657B"/>
    <w:rsid w:val="00D76603"/>
    <w:rsid w:val="00D7670A"/>
    <w:rsid w:val="00D767B5"/>
    <w:rsid w:val="00D768E5"/>
    <w:rsid w:val="00D769BB"/>
    <w:rsid w:val="00D769FD"/>
    <w:rsid w:val="00D76A83"/>
    <w:rsid w:val="00D76B3A"/>
    <w:rsid w:val="00D76B46"/>
    <w:rsid w:val="00D76B81"/>
    <w:rsid w:val="00D76B82"/>
    <w:rsid w:val="00D76BBA"/>
    <w:rsid w:val="00D76C24"/>
    <w:rsid w:val="00D76C43"/>
    <w:rsid w:val="00D76D94"/>
    <w:rsid w:val="00D76E50"/>
    <w:rsid w:val="00D76F63"/>
    <w:rsid w:val="00D76FB9"/>
    <w:rsid w:val="00D77000"/>
    <w:rsid w:val="00D7705C"/>
    <w:rsid w:val="00D7706E"/>
    <w:rsid w:val="00D77116"/>
    <w:rsid w:val="00D77183"/>
    <w:rsid w:val="00D77278"/>
    <w:rsid w:val="00D772DA"/>
    <w:rsid w:val="00D7731F"/>
    <w:rsid w:val="00D77538"/>
    <w:rsid w:val="00D77630"/>
    <w:rsid w:val="00D77718"/>
    <w:rsid w:val="00D77763"/>
    <w:rsid w:val="00D7778F"/>
    <w:rsid w:val="00D777A0"/>
    <w:rsid w:val="00D77838"/>
    <w:rsid w:val="00D778BB"/>
    <w:rsid w:val="00D7791E"/>
    <w:rsid w:val="00D7795F"/>
    <w:rsid w:val="00D779D3"/>
    <w:rsid w:val="00D77A28"/>
    <w:rsid w:val="00D77A65"/>
    <w:rsid w:val="00D77B1D"/>
    <w:rsid w:val="00D77B4C"/>
    <w:rsid w:val="00D77B79"/>
    <w:rsid w:val="00D77C64"/>
    <w:rsid w:val="00D77CC0"/>
    <w:rsid w:val="00D77D0D"/>
    <w:rsid w:val="00D77F37"/>
    <w:rsid w:val="00D80049"/>
    <w:rsid w:val="00D80089"/>
    <w:rsid w:val="00D800E4"/>
    <w:rsid w:val="00D80225"/>
    <w:rsid w:val="00D80229"/>
    <w:rsid w:val="00D802AE"/>
    <w:rsid w:val="00D80325"/>
    <w:rsid w:val="00D80331"/>
    <w:rsid w:val="00D80383"/>
    <w:rsid w:val="00D803CB"/>
    <w:rsid w:val="00D803F3"/>
    <w:rsid w:val="00D8049D"/>
    <w:rsid w:val="00D80720"/>
    <w:rsid w:val="00D8079F"/>
    <w:rsid w:val="00D80890"/>
    <w:rsid w:val="00D808C7"/>
    <w:rsid w:val="00D808CF"/>
    <w:rsid w:val="00D80935"/>
    <w:rsid w:val="00D8094F"/>
    <w:rsid w:val="00D80963"/>
    <w:rsid w:val="00D80AE5"/>
    <w:rsid w:val="00D80BE2"/>
    <w:rsid w:val="00D80BFE"/>
    <w:rsid w:val="00D80C29"/>
    <w:rsid w:val="00D80C88"/>
    <w:rsid w:val="00D80CE2"/>
    <w:rsid w:val="00D80D94"/>
    <w:rsid w:val="00D8108A"/>
    <w:rsid w:val="00D81107"/>
    <w:rsid w:val="00D81162"/>
    <w:rsid w:val="00D8124C"/>
    <w:rsid w:val="00D81544"/>
    <w:rsid w:val="00D81673"/>
    <w:rsid w:val="00D81782"/>
    <w:rsid w:val="00D819C1"/>
    <w:rsid w:val="00D81A69"/>
    <w:rsid w:val="00D81DD7"/>
    <w:rsid w:val="00D81E44"/>
    <w:rsid w:val="00D81ED9"/>
    <w:rsid w:val="00D81F48"/>
    <w:rsid w:val="00D81F83"/>
    <w:rsid w:val="00D82083"/>
    <w:rsid w:val="00D8209A"/>
    <w:rsid w:val="00D82154"/>
    <w:rsid w:val="00D824C9"/>
    <w:rsid w:val="00D826AC"/>
    <w:rsid w:val="00D829AD"/>
    <w:rsid w:val="00D82A0E"/>
    <w:rsid w:val="00D82AE1"/>
    <w:rsid w:val="00D82B22"/>
    <w:rsid w:val="00D82BD5"/>
    <w:rsid w:val="00D82C27"/>
    <w:rsid w:val="00D82D0F"/>
    <w:rsid w:val="00D82D32"/>
    <w:rsid w:val="00D82DCE"/>
    <w:rsid w:val="00D82E86"/>
    <w:rsid w:val="00D82F02"/>
    <w:rsid w:val="00D82F62"/>
    <w:rsid w:val="00D8300A"/>
    <w:rsid w:val="00D830E8"/>
    <w:rsid w:val="00D8316D"/>
    <w:rsid w:val="00D831CA"/>
    <w:rsid w:val="00D831D8"/>
    <w:rsid w:val="00D831DA"/>
    <w:rsid w:val="00D8320B"/>
    <w:rsid w:val="00D83266"/>
    <w:rsid w:val="00D832B9"/>
    <w:rsid w:val="00D83393"/>
    <w:rsid w:val="00D833B6"/>
    <w:rsid w:val="00D833FB"/>
    <w:rsid w:val="00D83400"/>
    <w:rsid w:val="00D83507"/>
    <w:rsid w:val="00D83570"/>
    <w:rsid w:val="00D8359C"/>
    <w:rsid w:val="00D835AF"/>
    <w:rsid w:val="00D8366E"/>
    <w:rsid w:val="00D83677"/>
    <w:rsid w:val="00D836CD"/>
    <w:rsid w:val="00D8388A"/>
    <w:rsid w:val="00D8389C"/>
    <w:rsid w:val="00D83981"/>
    <w:rsid w:val="00D8399F"/>
    <w:rsid w:val="00D83A92"/>
    <w:rsid w:val="00D83AB3"/>
    <w:rsid w:val="00D83B24"/>
    <w:rsid w:val="00D83B51"/>
    <w:rsid w:val="00D83B58"/>
    <w:rsid w:val="00D83BEE"/>
    <w:rsid w:val="00D83C5E"/>
    <w:rsid w:val="00D83D4B"/>
    <w:rsid w:val="00D83E0A"/>
    <w:rsid w:val="00D83E39"/>
    <w:rsid w:val="00D83EBC"/>
    <w:rsid w:val="00D83EBD"/>
    <w:rsid w:val="00D8415C"/>
    <w:rsid w:val="00D841A3"/>
    <w:rsid w:val="00D841A8"/>
    <w:rsid w:val="00D8430B"/>
    <w:rsid w:val="00D84341"/>
    <w:rsid w:val="00D84364"/>
    <w:rsid w:val="00D843FE"/>
    <w:rsid w:val="00D8449C"/>
    <w:rsid w:val="00D8456A"/>
    <w:rsid w:val="00D8475B"/>
    <w:rsid w:val="00D847B9"/>
    <w:rsid w:val="00D847DE"/>
    <w:rsid w:val="00D84801"/>
    <w:rsid w:val="00D84828"/>
    <w:rsid w:val="00D84936"/>
    <w:rsid w:val="00D84973"/>
    <w:rsid w:val="00D8497F"/>
    <w:rsid w:val="00D84A8D"/>
    <w:rsid w:val="00D84BD1"/>
    <w:rsid w:val="00D84C9B"/>
    <w:rsid w:val="00D84D27"/>
    <w:rsid w:val="00D84DEF"/>
    <w:rsid w:val="00D84ECA"/>
    <w:rsid w:val="00D84F3B"/>
    <w:rsid w:val="00D85100"/>
    <w:rsid w:val="00D8525E"/>
    <w:rsid w:val="00D85268"/>
    <w:rsid w:val="00D852DF"/>
    <w:rsid w:val="00D853C3"/>
    <w:rsid w:val="00D85443"/>
    <w:rsid w:val="00D8547B"/>
    <w:rsid w:val="00D85541"/>
    <w:rsid w:val="00D855DD"/>
    <w:rsid w:val="00D856A6"/>
    <w:rsid w:val="00D856C5"/>
    <w:rsid w:val="00D8571E"/>
    <w:rsid w:val="00D85964"/>
    <w:rsid w:val="00D859B3"/>
    <w:rsid w:val="00D859C3"/>
    <w:rsid w:val="00D85AA8"/>
    <w:rsid w:val="00D85ADA"/>
    <w:rsid w:val="00D85B75"/>
    <w:rsid w:val="00D85B9B"/>
    <w:rsid w:val="00D85C7D"/>
    <w:rsid w:val="00D85CFB"/>
    <w:rsid w:val="00D85D21"/>
    <w:rsid w:val="00D85D76"/>
    <w:rsid w:val="00D85DEB"/>
    <w:rsid w:val="00D85E78"/>
    <w:rsid w:val="00D85EAD"/>
    <w:rsid w:val="00D85F7F"/>
    <w:rsid w:val="00D85F8B"/>
    <w:rsid w:val="00D8608B"/>
    <w:rsid w:val="00D860EF"/>
    <w:rsid w:val="00D86201"/>
    <w:rsid w:val="00D86294"/>
    <w:rsid w:val="00D862DB"/>
    <w:rsid w:val="00D862F3"/>
    <w:rsid w:val="00D8631E"/>
    <w:rsid w:val="00D86321"/>
    <w:rsid w:val="00D8635A"/>
    <w:rsid w:val="00D863B8"/>
    <w:rsid w:val="00D8659D"/>
    <w:rsid w:val="00D8668C"/>
    <w:rsid w:val="00D866F3"/>
    <w:rsid w:val="00D86712"/>
    <w:rsid w:val="00D86729"/>
    <w:rsid w:val="00D867F8"/>
    <w:rsid w:val="00D868AB"/>
    <w:rsid w:val="00D868DE"/>
    <w:rsid w:val="00D86A08"/>
    <w:rsid w:val="00D86A2D"/>
    <w:rsid w:val="00D86A40"/>
    <w:rsid w:val="00D86ADA"/>
    <w:rsid w:val="00D86C8F"/>
    <w:rsid w:val="00D86DEA"/>
    <w:rsid w:val="00D86DF9"/>
    <w:rsid w:val="00D86FA3"/>
    <w:rsid w:val="00D86FB2"/>
    <w:rsid w:val="00D86FC9"/>
    <w:rsid w:val="00D86FEA"/>
    <w:rsid w:val="00D8706F"/>
    <w:rsid w:val="00D871DC"/>
    <w:rsid w:val="00D8720A"/>
    <w:rsid w:val="00D87235"/>
    <w:rsid w:val="00D87292"/>
    <w:rsid w:val="00D873CA"/>
    <w:rsid w:val="00D873D1"/>
    <w:rsid w:val="00D873F4"/>
    <w:rsid w:val="00D87533"/>
    <w:rsid w:val="00D87560"/>
    <w:rsid w:val="00D875C3"/>
    <w:rsid w:val="00D875C4"/>
    <w:rsid w:val="00D875EF"/>
    <w:rsid w:val="00D876A0"/>
    <w:rsid w:val="00D876F6"/>
    <w:rsid w:val="00D87736"/>
    <w:rsid w:val="00D87827"/>
    <w:rsid w:val="00D87978"/>
    <w:rsid w:val="00D879C1"/>
    <w:rsid w:val="00D87A8A"/>
    <w:rsid w:val="00D87BCE"/>
    <w:rsid w:val="00D87D20"/>
    <w:rsid w:val="00D87E0D"/>
    <w:rsid w:val="00D87F0C"/>
    <w:rsid w:val="00D87F3C"/>
    <w:rsid w:val="00D87FE3"/>
    <w:rsid w:val="00D9005C"/>
    <w:rsid w:val="00D90063"/>
    <w:rsid w:val="00D9008C"/>
    <w:rsid w:val="00D900B8"/>
    <w:rsid w:val="00D900BD"/>
    <w:rsid w:val="00D90100"/>
    <w:rsid w:val="00D90131"/>
    <w:rsid w:val="00D90250"/>
    <w:rsid w:val="00D9025D"/>
    <w:rsid w:val="00D90400"/>
    <w:rsid w:val="00D9041B"/>
    <w:rsid w:val="00D9045C"/>
    <w:rsid w:val="00D90490"/>
    <w:rsid w:val="00D904A0"/>
    <w:rsid w:val="00D904BA"/>
    <w:rsid w:val="00D90510"/>
    <w:rsid w:val="00D90539"/>
    <w:rsid w:val="00D90573"/>
    <w:rsid w:val="00D9073D"/>
    <w:rsid w:val="00D9091F"/>
    <w:rsid w:val="00D90988"/>
    <w:rsid w:val="00D90A8A"/>
    <w:rsid w:val="00D90A9A"/>
    <w:rsid w:val="00D90BC2"/>
    <w:rsid w:val="00D90CF5"/>
    <w:rsid w:val="00D90DBB"/>
    <w:rsid w:val="00D90FF6"/>
    <w:rsid w:val="00D9100C"/>
    <w:rsid w:val="00D910F8"/>
    <w:rsid w:val="00D9116C"/>
    <w:rsid w:val="00D91185"/>
    <w:rsid w:val="00D91221"/>
    <w:rsid w:val="00D9124D"/>
    <w:rsid w:val="00D91258"/>
    <w:rsid w:val="00D912FF"/>
    <w:rsid w:val="00D91320"/>
    <w:rsid w:val="00D9134C"/>
    <w:rsid w:val="00D91407"/>
    <w:rsid w:val="00D9141D"/>
    <w:rsid w:val="00D914DD"/>
    <w:rsid w:val="00D9163F"/>
    <w:rsid w:val="00D91640"/>
    <w:rsid w:val="00D91686"/>
    <w:rsid w:val="00D916FA"/>
    <w:rsid w:val="00D917C7"/>
    <w:rsid w:val="00D917FF"/>
    <w:rsid w:val="00D91818"/>
    <w:rsid w:val="00D918A3"/>
    <w:rsid w:val="00D91A27"/>
    <w:rsid w:val="00D91AAC"/>
    <w:rsid w:val="00D91C4A"/>
    <w:rsid w:val="00D91C98"/>
    <w:rsid w:val="00D91CA7"/>
    <w:rsid w:val="00D91D8B"/>
    <w:rsid w:val="00D91D93"/>
    <w:rsid w:val="00D91E7C"/>
    <w:rsid w:val="00D91FC5"/>
    <w:rsid w:val="00D91FDB"/>
    <w:rsid w:val="00D9221A"/>
    <w:rsid w:val="00D9223A"/>
    <w:rsid w:val="00D922AF"/>
    <w:rsid w:val="00D9231F"/>
    <w:rsid w:val="00D9235F"/>
    <w:rsid w:val="00D92402"/>
    <w:rsid w:val="00D92493"/>
    <w:rsid w:val="00D9252C"/>
    <w:rsid w:val="00D92622"/>
    <w:rsid w:val="00D926E0"/>
    <w:rsid w:val="00D927F0"/>
    <w:rsid w:val="00D9281C"/>
    <w:rsid w:val="00D9285E"/>
    <w:rsid w:val="00D92876"/>
    <w:rsid w:val="00D92C06"/>
    <w:rsid w:val="00D92C2D"/>
    <w:rsid w:val="00D92D24"/>
    <w:rsid w:val="00D92EB1"/>
    <w:rsid w:val="00D92ECC"/>
    <w:rsid w:val="00D92ED0"/>
    <w:rsid w:val="00D92EF1"/>
    <w:rsid w:val="00D92FFB"/>
    <w:rsid w:val="00D9302A"/>
    <w:rsid w:val="00D9309D"/>
    <w:rsid w:val="00D9313F"/>
    <w:rsid w:val="00D932B1"/>
    <w:rsid w:val="00D9337F"/>
    <w:rsid w:val="00D9344F"/>
    <w:rsid w:val="00D9352A"/>
    <w:rsid w:val="00D93729"/>
    <w:rsid w:val="00D93764"/>
    <w:rsid w:val="00D9385F"/>
    <w:rsid w:val="00D93895"/>
    <w:rsid w:val="00D938FA"/>
    <w:rsid w:val="00D93A34"/>
    <w:rsid w:val="00D93B93"/>
    <w:rsid w:val="00D93CF3"/>
    <w:rsid w:val="00D93D93"/>
    <w:rsid w:val="00D93DEB"/>
    <w:rsid w:val="00D93E41"/>
    <w:rsid w:val="00D93E84"/>
    <w:rsid w:val="00D93F39"/>
    <w:rsid w:val="00D93F48"/>
    <w:rsid w:val="00D93F5C"/>
    <w:rsid w:val="00D93FF3"/>
    <w:rsid w:val="00D941B6"/>
    <w:rsid w:val="00D941D1"/>
    <w:rsid w:val="00D9443C"/>
    <w:rsid w:val="00D946C9"/>
    <w:rsid w:val="00D947A8"/>
    <w:rsid w:val="00D94807"/>
    <w:rsid w:val="00D948BE"/>
    <w:rsid w:val="00D94A10"/>
    <w:rsid w:val="00D94C03"/>
    <w:rsid w:val="00D94CF3"/>
    <w:rsid w:val="00D94EF1"/>
    <w:rsid w:val="00D94F12"/>
    <w:rsid w:val="00D94F13"/>
    <w:rsid w:val="00D94F39"/>
    <w:rsid w:val="00D94F5C"/>
    <w:rsid w:val="00D94F5F"/>
    <w:rsid w:val="00D94FED"/>
    <w:rsid w:val="00D9518B"/>
    <w:rsid w:val="00D951BF"/>
    <w:rsid w:val="00D951CA"/>
    <w:rsid w:val="00D951F1"/>
    <w:rsid w:val="00D95281"/>
    <w:rsid w:val="00D95396"/>
    <w:rsid w:val="00D953FD"/>
    <w:rsid w:val="00D9551E"/>
    <w:rsid w:val="00D95520"/>
    <w:rsid w:val="00D9560E"/>
    <w:rsid w:val="00D95646"/>
    <w:rsid w:val="00D956DD"/>
    <w:rsid w:val="00D956E8"/>
    <w:rsid w:val="00D9576F"/>
    <w:rsid w:val="00D95796"/>
    <w:rsid w:val="00D957B9"/>
    <w:rsid w:val="00D957DB"/>
    <w:rsid w:val="00D9592A"/>
    <w:rsid w:val="00D9592F"/>
    <w:rsid w:val="00D95936"/>
    <w:rsid w:val="00D95940"/>
    <w:rsid w:val="00D95A17"/>
    <w:rsid w:val="00D95A7B"/>
    <w:rsid w:val="00D95A8B"/>
    <w:rsid w:val="00D95AE1"/>
    <w:rsid w:val="00D95B37"/>
    <w:rsid w:val="00D95B63"/>
    <w:rsid w:val="00D95C10"/>
    <w:rsid w:val="00D95CE2"/>
    <w:rsid w:val="00D95D4E"/>
    <w:rsid w:val="00D95E42"/>
    <w:rsid w:val="00D95ECE"/>
    <w:rsid w:val="00D96005"/>
    <w:rsid w:val="00D9600A"/>
    <w:rsid w:val="00D960A7"/>
    <w:rsid w:val="00D961D5"/>
    <w:rsid w:val="00D964E8"/>
    <w:rsid w:val="00D96643"/>
    <w:rsid w:val="00D96673"/>
    <w:rsid w:val="00D96717"/>
    <w:rsid w:val="00D967A8"/>
    <w:rsid w:val="00D967B7"/>
    <w:rsid w:val="00D96896"/>
    <w:rsid w:val="00D969D3"/>
    <w:rsid w:val="00D96A87"/>
    <w:rsid w:val="00D96D41"/>
    <w:rsid w:val="00D96DEE"/>
    <w:rsid w:val="00D96E1B"/>
    <w:rsid w:val="00D96FE5"/>
    <w:rsid w:val="00D97048"/>
    <w:rsid w:val="00D97073"/>
    <w:rsid w:val="00D97166"/>
    <w:rsid w:val="00D971B3"/>
    <w:rsid w:val="00D973FF"/>
    <w:rsid w:val="00D9747A"/>
    <w:rsid w:val="00D97510"/>
    <w:rsid w:val="00D977C2"/>
    <w:rsid w:val="00D97861"/>
    <w:rsid w:val="00D97876"/>
    <w:rsid w:val="00D97909"/>
    <w:rsid w:val="00D979D3"/>
    <w:rsid w:val="00D97AF5"/>
    <w:rsid w:val="00D97BB5"/>
    <w:rsid w:val="00D97C77"/>
    <w:rsid w:val="00D97CD7"/>
    <w:rsid w:val="00D97D90"/>
    <w:rsid w:val="00D97DF1"/>
    <w:rsid w:val="00D97DFE"/>
    <w:rsid w:val="00D97E2F"/>
    <w:rsid w:val="00D97EAB"/>
    <w:rsid w:val="00D97EC7"/>
    <w:rsid w:val="00D97EED"/>
    <w:rsid w:val="00D97FBC"/>
    <w:rsid w:val="00DA0113"/>
    <w:rsid w:val="00DA0123"/>
    <w:rsid w:val="00DA0170"/>
    <w:rsid w:val="00DA0251"/>
    <w:rsid w:val="00DA02AA"/>
    <w:rsid w:val="00DA03EF"/>
    <w:rsid w:val="00DA058E"/>
    <w:rsid w:val="00DA05E0"/>
    <w:rsid w:val="00DA06A4"/>
    <w:rsid w:val="00DA0795"/>
    <w:rsid w:val="00DA0A1D"/>
    <w:rsid w:val="00DA0ABA"/>
    <w:rsid w:val="00DA0B97"/>
    <w:rsid w:val="00DA0B9A"/>
    <w:rsid w:val="00DA0D96"/>
    <w:rsid w:val="00DA0E0E"/>
    <w:rsid w:val="00DA0E8F"/>
    <w:rsid w:val="00DA0ECF"/>
    <w:rsid w:val="00DA0EE0"/>
    <w:rsid w:val="00DA1015"/>
    <w:rsid w:val="00DA102D"/>
    <w:rsid w:val="00DA1127"/>
    <w:rsid w:val="00DA1157"/>
    <w:rsid w:val="00DA11CB"/>
    <w:rsid w:val="00DA1209"/>
    <w:rsid w:val="00DA1212"/>
    <w:rsid w:val="00DA139A"/>
    <w:rsid w:val="00DA13E2"/>
    <w:rsid w:val="00DA1477"/>
    <w:rsid w:val="00DA162C"/>
    <w:rsid w:val="00DA1630"/>
    <w:rsid w:val="00DA1827"/>
    <w:rsid w:val="00DA1999"/>
    <w:rsid w:val="00DA1B1A"/>
    <w:rsid w:val="00DA1B91"/>
    <w:rsid w:val="00DA1CA3"/>
    <w:rsid w:val="00DA1CA5"/>
    <w:rsid w:val="00DA1CC9"/>
    <w:rsid w:val="00DA1CE7"/>
    <w:rsid w:val="00DA1D39"/>
    <w:rsid w:val="00DA1E1E"/>
    <w:rsid w:val="00DA1E39"/>
    <w:rsid w:val="00DA1EB1"/>
    <w:rsid w:val="00DA1EB9"/>
    <w:rsid w:val="00DA1FA8"/>
    <w:rsid w:val="00DA20F8"/>
    <w:rsid w:val="00DA2138"/>
    <w:rsid w:val="00DA2196"/>
    <w:rsid w:val="00DA229E"/>
    <w:rsid w:val="00DA232F"/>
    <w:rsid w:val="00DA2525"/>
    <w:rsid w:val="00DA2565"/>
    <w:rsid w:val="00DA25BB"/>
    <w:rsid w:val="00DA2665"/>
    <w:rsid w:val="00DA2669"/>
    <w:rsid w:val="00DA26BA"/>
    <w:rsid w:val="00DA28F7"/>
    <w:rsid w:val="00DA2A4F"/>
    <w:rsid w:val="00DA2A77"/>
    <w:rsid w:val="00DA2B61"/>
    <w:rsid w:val="00DA2B69"/>
    <w:rsid w:val="00DA2BC3"/>
    <w:rsid w:val="00DA2BFE"/>
    <w:rsid w:val="00DA2C06"/>
    <w:rsid w:val="00DA2C9F"/>
    <w:rsid w:val="00DA2D49"/>
    <w:rsid w:val="00DA2EC1"/>
    <w:rsid w:val="00DA2F0F"/>
    <w:rsid w:val="00DA2F1A"/>
    <w:rsid w:val="00DA2F66"/>
    <w:rsid w:val="00DA2FEC"/>
    <w:rsid w:val="00DA30BE"/>
    <w:rsid w:val="00DA3186"/>
    <w:rsid w:val="00DA31D4"/>
    <w:rsid w:val="00DA32BB"/>
    <w:rsid w:val="00DA32D7"/>
    <w:rsid w:val="00DA3342"/>
    <w:rsid w:val="00DA336E"/>
    <w:rsid w:val="00DA33CF"/>
    <w:rsid w:val="00DA36CB"/>
    <w:rsid w:val="00DA3752"/>
    <w:rsid w:val="00DA37CD"/>
    <w:rsid w:val="00DA37ED"/>
    <w:rsid w:val="00DA3816"/>
    <w:rsid w:val="00DA3893"/>
    <w:rsid w:val="00DA3929"/>
    <w:rsid w:val="00DA39F2"/>
    <w:rsid w:val="00DA3A24"/>
    <w:rsid w:val="00DA3D90"/>
    <w:rsid w:val="00DA3E0D"/>
    <w:rsid w:val="00DA3E0F"/>
    <w:rsid w:val="00DA3E32"/>
    <w:rsid w:val="00DA3EE1"/>
    <w:rsid w:val="00DA411A"/>
    <w:rsid w:val="00DA413A"/>
    <w:rsid w:val="00DA413F"/>
    <w:rsid w:val="00DA41A3"/>
    <w:rsid w:val="00DA443E"/>
    <w:rsid w:val="00DA4443"/>
    <w:rsid w:val="00DA4487"/>
    <w:rsid w:val="00DA44EC"/>
    <w:rsid w:val="00DA457C"/>
    <w:rsid w:val="00DA460E"/>
    <w:rsid w:val="00DA4621"/>
    <w:rsid w:val="00DA4645"/>
    <w:rsid w:val="00DA469A"/>
    <w:rsid w:val="00DA46A9"/>
    <w:rsid w:val="00DA476C"/>
    <w:rsid w:val="00DA477D"/>
    <w:rsid w:val="00DA477E"/>
    <w:rsid w:val="00DA47AC"/>
    <w:rsid w:val="00DA47D6"/>
    <w:rsid w:val="00DA47DE"/>
    <w:rsid w:val="00DA4A0A"/>
    <w:rsid w:val="00DA4AB7"/>
    <w:rsid w:val="00DA4C65"/>
    <w:rsid w:val="00DA4C69"/>
    <w:rsid w:val="00DA4CF0"/>
    <w:rsid w:val="00DA4CF8"/>
    <w:rsid w:val="00DA4DCF"/>
    <w:rsid w:val="00DA4EB4"/>
    <w:rsid w:val="00DA512C"/>
    <w:rsid w:val="00DA5173"/>
    <w:rsid w:val="00DA517F"/>
    <w:rsid w:val="00DA5248"/>
    <w:rsid w:val="00DA5254"/>
    <w:rsid w:val="00DA52F0"/>
    <w:rsid w:val="00DA530C"/>
    <w:rsid w:val="00DA5328"/>
    <w:rsid w:val="00DA532F"/>
    <w:rsid w:val="00DA536B"/>
    <w:rsid w:val="00DA537F"/>
    <w:rsid w:val="00DA53AF"/>
    <w:rsid w:val="00DA5492"/>
    <w:rsid w:val="00DA54C0"/>
    <w:rsid w:val="00DA56FE"/>
    <w:rsid w:val="00DA58C7"/>
    <w:rsid w:val="00DA5920"/>
    <w:rsid w:val="00DA59BE"/>
    <w:rsid w:val="00DA5A86"/>
    <w:rsid w:val="00DA5AD3"/>
    <w:rsid w:val="00DA5ADE"/>
    <w:rsid w:val="00DA5B5E"/>
    <w:rsid w:val="00DA5B99"/>
    <w:rsid w:val="00DA5BE5"/>
    <w:rsid w:val="00DA5CCC"/>
    <w:rsid w:val="00DA5D1F"/>
    <w:rsid w:val="00DA5D44"/>
    <w:rsid w:val="00DA5D84"/>
    <w:rsid w:val="00DA5DFC"/>
    <w:rsid w:val="00DA5FBC"/>
    <w:rsid w:val="00DA5FDA"/>
    <w:rsid w:val="00DA6086"/>
    <w:rsid w:val="00DA609B"/>
    <w:rsid w:val="00DA61D4"/>
    <w:rsid w:val="00DA63F9"/>
    <w:rsid w:val="00DA64E1"/>
    <w:rsid w:val="00DA6576"/>
    <w:rsid w:val="00DA65FD"/>
    <w:rsid w:val="00DA6616"/>
    <w:rsid w:val="00DA665C"/>
    <w:rsid w:val="00DA6690"/>
    <w:rsid w:val="00DA66A2"/>
    <w:rsid w:val="00DA6712"/>
    <w:rsid w:val="00DA6765"/>
    <w:rsid w:val="00DA6817"/>
    <w:rsid w:val="00DA68D1"/>
    <w:rsid w:val="00DA6A41"/>
    <w:rsid w:val="00DA6B13"/>
    <w:rsid w:val="00DA6B29"/>
    <w:rsid w:val="00DA6B39"/>
    <w:rsid w:val="00DA6CD1"/>
    <w:rsid w:val="00DA6E57"/>
    <w:rsid w:val="00DA6EFD"/>
    <w:rsid w:val="00DA6F1B"/>
    <w:rsid w:val="00DA6F67"/>
    <w:rsid w:val="00DA6F78"/>
    <w:rsid w:val="00DA6FA7"/>
    <w:rsid w:val="00DA6FD9"/>
    <w:rsid w:val="00DA72CA"/>
    <w:rsid w:val="00DA7360"/>
    <w:rsid w:val="00DA74C9"/>
    <w:rsid w:val="00DA75A2"/>
    <w:rsid w:val="00DA75BF"/>
    <w:rsid w:val="00DA762B"/>
    <w:rsid w:val="00DA764A"/>
    <w:rsid w:val="00DA767F"/>
    <w:rsid w:val="00DA7681"/>
    <w:rsid w:val="00DA76FB"/>
    <w:rsid w:val="00DA7714"/>
    <w:rsid w:val="00DA7813"/>
    <w:rsid w:val="00DA785F"/>
    <w:rsid w:val="00DA78AC"/>
    <w:rsid w:val="00DA78EB"/>
    <w:rsid w:val="00DA78F4"/>
    <w:rsid w:val="00DA7904"/>
    <w:rsid w:val="00DA7947"/>
    <w:rsid w:val="00DA7A9B"/>
    <w:rsid w:val="00DA7B6F"/>
    <w:rsid w:val="00DA7BA8"/>
    <w:rsid w:val="00DA7C8E"/>
    <w:rsid w:val="00DA7D20"/>
    <w:rsid w:val="00DA7E35"/>
    <w:rsid w:val="00DA7F20"/>
    <w:rsid w:val="00DB003C"/>
    <w:rsid w:val="00DB0172"/>
    <w:rsid w:val="00DB01FF"/>
    <w:rsid w:val="00DB02AD"/>
    <w:rsid w:val="00DB0430"/>
    <w:rsid w:val="00DB047D"/>
    <w:rsid w:val="00DB04C6"/>
    <w:rsid w:val="00DB05AB"/>
    <w:rsid w:val="00DB06C4"/>
    <w:rsid w:val="00DB074E"/>
    <w:rsid w:val="00DB07EE"/>
    <w:rsid w:val="00DB0BBF"/>
    <w:rsid w:val="00DB0CD3"/>
    <w:rsid w:val="00DB0DBB"/>
    <w:rsid w:val="00DB106E"/>
    <w:rsid w:val="00DB1169"/>
    <w:rsid w:val="00DB1212"/>
    <w:rsid w:val="00DB127E"/>
    <w:rsid w:val="00DB12AF"/>
    <w:rsid w:val="00DB12CD"/>
    <w:rsid w:val="00DB132A"/>
    <w:rsid w:val="00DB134D"/>
    <w:rsid w:val="00DB142A"/>
    <w:rsid w:val="00DB14F1"/>
    <w:rsid w:val="00DB1686"/>
    <w:rsid w:val="00DB16C1"/>
    <w:rsid w:val="00DB1744"/>
    <w:rsid w:val="00DB189A"/>
    <w:rsid w:val="00DB1A3E"/>
    <w:rsid w:val="00DB1A83"/>
    <w:rsid w:val="00DB1B5A"/>
    <w:rsid w:val="00DB1CB3"/>
    <w:rsid w:val="00DB1CF8"/>
    <w:rsid w:val="00DB1D61"/>
    <w:rsid w:val="00DB1D64"/>
    <w:rsid w:val="00DB1E91"/>
    <w:rsid w:val="00DB1EAC"/>
    <w:rsid w:val="00DB1ED0"/>
    <w:rsid w:val="00DB1F4A"/>
    <w:rsid w:val="00DB2046"/>
    <w:rsid w:val="00DB2195"/>
    <w:rsid w:val="00DB21C8"/>
    <w:rsid w:val="00DB2332"/>
    <w:rsid w:val="00DB2347"/>
    <w:rsid w:val="00DB2408"/>
    <w:rsid w:val="00DB247E"/>
    <w:rsid w:val="00DB2693"/>
    <w:rsid w:val="00DB26D8"/>
    <w:rsid w:val="00DB2708"/>
    <w:rsid w:val="00DB2721"/>
    <w:rsid w:val="00DB2772"/>
    <w:rsid w:val="00DB2775"/>
    <w:rsid w:val="00DB28A3"/>
    <w:rsid w:val="00DB2931"/>
    <w:rsid w:val="00DB2939"/>
    <w:rsid w:val="00DB29A4"/>
    <w:rsid w:val="00DB29F8"/>
    <w:rsid w:val="00DB2AF2"/>
    <w:rsid w:val="00DB2C19"/>
    <w:rsid w:val="00DB2CE3"/>
    <w:rsid w:val="00DB2DE0"/>
    <w:rsid w:val="00DB2E99"/>
    <w:rsid w:val="00DB2F66"/>
    <w:rsid w:val="00DB2F6A"/>
    <w:rsid w:val="00DB2F8F"/>
    <w:rsid w:val="00DB2FBF"/>
    <w:rsid w:val="00DB3079"/>
    <w:rsid w:val="00DB30AA"/>
    <w:rsid w:val="00DB30ED"/>
    <w:rsid w:val="00DB314A"/>
    <w:rsid w:val="00DB31F5"/>
    <w:rsid w:val="00DB335D"/>
    <w:rsid w:val="00DB33AD"/>
    <w:rsid w:val="00DB33F1"/>
    <w:rsid w:val="00DB34EC"/>
    <w:rsid w:val="00DB35DC"/>
    <w:rsid w:val="00DB362C"/>
    <w:rsid w:val="00DB36B1"/>
    <w:rsid w:val="00DB3784"/>
    <w:rsid w:val="00DB3864"/>
    <w:rsid w:val="00DB3886"/>
    <w:rsid w:val="00DB3975"/>
    <w:rsid w:val="00DB39C3"/>
    <w:rsid w:val="00DB39CC"/>
    <w:rsid w:val="00DB3AED"/>
    <w:rsid w:val="00DB3BD2"/>
    <w:rsid w:val="00DB3C20"/>
    <w:rsid w:val="00DB3D29"/>
    <w:rsid w:val="00DB3D8F"/>
    <w:rsid w:val="00DB3DDA"/>
    <w:rsid w:val="00DB3E56"/>
    <w:rsid w:val="00DB3FE8"/>
    <w:rsid w:val="00DB400E"/>
    <w:rsid w:val="00DB4131"/>
    <w:rsid w:val="00DB41CB"/>
    <w:rsid w:val="00DB4273"/>
    <w:rsid w:val="00DB429E"/>
    <w:rsid w:val="00DB4338"/>
    <w:rsid w:val="00DB4354"/>
    <w:rsid w:val="00DB43A1"/>
    <w:rsid w:val="00DB4410"/>
    <w:rsid w:val="00DB44E0"/>
    <w:rsid w:val="00DB4505"/>
    <w:rsid w:val="00DB4515"/>
    <w:rsid w:val="00DB455D"/>
    <w:rsid w:val="00DB4673"/>
    <w:rsid w:val="00DB471D"/>
    <w:rsid w:val="00DB47F8"/>
    <w:rsid w:val="00DB4872"/>
    <w:rsid w:val="00DB493B"/>
    <w:rsid w:val="00DB49E3"/>
    <w:rsid w:val="00DB4AB3"/>
    <w:rsid w:val="00DB4B1F"/>
    <w:rsid w:val="00DB4B91"/>
    <w:rsid w:val="00DB4BB0"/>
    <w:rsid w:val="00DB4C8C"/>
    <w:rsid w:val="00DB4CD3"/>
    <w:rsid w:val="00DB4D69"/>
    <w:rsid w:val="00DB4D8C"/>
    <w:rsid w:val="00DB4E39"/>
    <w:rsid w:val="00DB4E92"/>
    <w:rsid w:val="00DB4EF6"/>
    <w:rsid w:val="00DB5117"/>
    <w:rsid w:val="00DB5189"/>
    <w:rsid w:val="00DB519D"/>
    <w:rsid w:val="00DB520F"/>
    <w:rsid w:val="00DB53E2"/>
    <w:rsid w:val="00DB5465"/>
    <w:rsid w:val="00DB54EE"/>
    <w:rsid w:val="00DB55D4"/>
    <w:rsid w:val="00DB5649"/>
    <w:rsid w:val="00DB5862"/>
    <w:rsid w:val="00DB58D5"/>
    <w:rsid w:val="00DB5985"/>
    <w:rsid w:val="00DB5A88"/>
    <w:rsid w:val="00DB5B03"/>
    <w:rsid w:val="00DB5BAA"/>
    <w:rsid w:val="00DB5CBC"/>
    <w:rsid w:val="00DB5DE0"/>
    <w:rsid w:val="00DB5F46"/>
    <w:rsid w:val="00DB5FC1"/>
    <w:rsid w:val="00DB5FE7"/>
    <w:rsid w:val="00DB6031"/>
    <w:rsid w:val="00DB60A8"/>
    <w:rsid w:val="00DB6213"/>
    <w:rsid w:val="00DB624C"/>
    <w:rsid w:val="00DB6368"/>
    <w:rsid w:val="00DB646C"/>
    <w:rsid w:val="00DB6507"/>
    <w:rsid w:val="00DB6632"/>
    <w:rsid w:val="00DB664A"/>
    <w:rsid w:val="00DB6779"/>
    <w:rsid w:val="00DB6785"/>
    <w:rsid w:val="00DB68DD"/>
    <w:rsid w:val="00DB6990"/>
    <w:rsid w:val="00DB6A0E"/>
    <w:rsid w:val="00DB6A29"/>
    <w:rsid w:val="00DB6AD2"/>
    <w:rsid w:val="00DB6B2B"/>
    <w:rsid w:val="00DB6BCA"/>
    <w:rsid w:val="00DB6C0A"/>
    <w:rsid w:val="00DB6C91"/>
    <w:rsid w:val="00DB6DC1"/>
    <w:rsid w:val="00DB6F66"/>
    <w:rsid w:val="00DB6FB4"/>
    <w:rsid w:val="00DB704C"/>
    <w:rsid w:val="00DB7293"/>
    <w:rsid w:val="00DB7324"/>
    <w:rsid w:val="00DB739C"/>
    <w:rsid w:val="00DB7441"/>
    <w:rsid w:val="00DB7463"/>
    <w:rsid w:val="00DB7484"/>
    <w:rsid w:val="00DB74C6"/>
    <w:rsid w:val="00DB752E"/>
    <w:rsid w:val="00DB754F"/>
    <w:rsid w:val="00DB762E"/>
    <w:rsid w:val="00DB7662"/>
    <w:rsid w:val="00DB7780"/>
    <w:rsid w:val="00DB78ED"/>
    <w:rsid w:val="00DB7A8E"/>
    <w:rsid w:val="00DB7C86"/>
    <w:rsid w:val="00DB7CD8"/>
    <w:rsid w:val="00DB7D33"/>
    <w:rsid w:val="00DB7E95"/>
    <w:rsid w:val="00DB7F26"/>
    <w:rsid w:val="00DB7F2B"/>
    <w:rsid w:val="00DB7F37"/>
    <w:rsid w:val="00DC0035"/>
    <w:rsid w:val="00DC00AA"/>
    <w:rsid w:val="00DC0256"/>
    <w:rsid w:val="00DC02A8"/>
    <w:rsid w:val="00DC030D"/>
    <w:rsid w:val="00DC046C"/>
    <w:rsid w:val="00DC04AE"/>
    <w:rsid w:val="00DC04C0"/>
    <w:rsid w:val="00DC04D4"/>
    <w:rsid w:val="00DC08AC"/>
    <w:rsid w:val="00DC0901"/>
    <w:rsid w:val="00DC0952"/>
    <w:rsid w:val="00DC09B1"/>
    <w:rsid w:val="00DC0BB6"/>
    <w:rsid w:val="00DC0C2B"/>
    <w:rsid w:val="00DC0C50"/>
    <w:rsid w:val="00DC0D4C"/>
    <w:rsid w:val="00DC0E12"/>
    <w:rsid w:val="00DC0E41"/>
    <w:rsid w:val="00DC0F15"/>
    <w:rsid w:val="00DC1006"/>
    <w:rsid w:val="00DC1076"/>
    <w:rsid w:val="00DC1178"/>
    <w:rsid w:val="00DC11F3"/>
    <w:rsid w:val="00DC128B"/>
    <w:rsid w:val="00DC12B7"/>
    <w:rsid w:val="00DC12DE"/>
    <w:rsid w:val="00DC1352"/>
    <w:rsid w:val="00DC1381"/>
    <w:rsid w:val="00DC139A"/>
    <w:rsid w:val="00DC1475"/>
    <w:rsid w:val="00DC1487"/>
    <w:rsid w:val="00DC14AF"/>
    <w:rsid w:val="00DC14B7"/>
    <w:rsid w:val="00DC1566"/>
    <w:rsid w:val="00DC1698"/>
    <w:rsid w:val="00DC1720"/>
    <w:rsid w:val="00DC17E1"/>
    <w:rsid w:val="00DC1844"/>
    <w:rsid w:val="00DC18E5"/>
    <w:rsid w:val="00DC193A"/>
    <w:rsid w:val="00DC1A99"/>
    <w:rsid w:val="00DC1AD3"/>
    <w:rsid w:val="00DC1ADD"/>
    <w:rsid w:val="00DC1B36"/>
    <w:rsid w:val="00DC1BE1"/>
    <w:rsid w:val="00DC1C43"/>
    <w:rsid w:val="00DC1DC2"/>
    <w:rsid w:val="00DC1E1E"/>
    <w:rsid w:val="00DC1EA3"/>
    <w:rsid w:val="00DC1EFE"/>
    <w:rsid w:val="00DC1FE5"/>
    <w:rsid w:val="00DC2006"/>
    <w:rsid w:val="00DC203D"/>
    <w:rsid w:val="00DC20A8"/>
    <w:rsid w:val="00DC2130"/>
    <w:rsid w:val="00DC2145"/>
    <w:rsid w:val="00DC21B6"/>
    <w:rsid w:val="00DC21D3"/>
    <w:rsid w:val="00DC2209"/>
    <w:rsid w:val="00DC22AD"/>
    <w:rsid w:val="00DC22B9"/>
    <w:rsid w:val="00DC22D7"/>
    <w:rsid w:val="00DC233A"/>
    <w:rsid w:val="00DC2393"/>
    <w:rsid w:val="00DC23D4"/>
    <w:rsid w:val="00DC2424"/>
    <w:rsid w:val="00DC24E5"/>
    <w:rsid w:val="00DC2505"/>
    <w:rsid w:val="00DC2639"/>
    <w:rsid w:val="00DC2648"/>
    <w:rsid w:val="00DC2649"/>
    <w:rsid w:val="00DC2663"/>
    <w:rsid w:val="00DC276A"/>
    <w:rsid w:val="00DC2814"/>
    <w:rsid w:val="00DC285B"/>
    <w:rsid w:val="00DC288A"/>
    <w:rsid w:val="00DC2972"/>
    <w:rsid w:val="00DC29CD"/>
    <w:rsid w:val="00DC2A43"/>
    <w:rsid w:val="00DC2A54"/>
    <w:rsid w:val="00DC2A67"/>
    <w:rsid w:val="00DC2AA7"/>
    <w:rsid w:val="00DC2C3B"/>
    <w:rsid w:val="00DC2C69"/>
    <w:rsid w:val="00DC2CA1"/>
    <w:rsid w:val="00DC2CD0"/>
    <w:rsid w:val="00DC2D55"/>
    <w:rsid w:val="00DC2D64"/>
    <w:rsid w:val="00DC2D8F"/>
    <w:rsid w:val="00DC2DB0"/>
    <w:rsid w:val="00DC2DBE"/>
    <w:rsid w:val="00DC2E20"/>
    <w:rsid w:val="00DC2E95"/>
    <w:rsid w:val="00DC2F92"/>
    <w:rsid w:val="00DC3047"/>
    <w:rsid w:val="00DC3190"/>
    <w:rsid w:val="00DC31B6"/>
    <w:rsid w:val="00DC331E"/>
    <w:rsid w:val="00DC33E7"/>
    <w:rsid w:val="00DC348E"/>
    <w:rsid w:val="00DC34B5"/>
    <w:rsid w:val="00DC34E4"/>
    <w:rsid w:val="00DC3583"/>
    <w:rsid w:val="00DC359E"/>
    <w:rsid w:val="00DC35AF"/>
    <w:rsid w:val="00DC3633"/>
    <w:rsid w:val="00DC3651"/>
    <w:rsid w:val="00DC3731"/>
    <w:rsid w:val="00DC37D2"/>
    <w:rsid w:val="00DC3982"/>
    <w:rsid w:val="00DC399B"/>
    <w:rsid w:val="00DC3ACA"/>
    <w:rsid w:val="00DC3B33"/>
    <w:rsid w:val="00DC3C7B"/>
    <w:rsid w:val="00DC3CDB"/>
    <w:rsid w:val="00DC3DF7"/>
    <w:rsid w:val="00DC3E3D"/>
    <w:rsid w:val="00DC3EC7"/>
    <w:rsid w:val="00DC3F96"/>
    <w:rsid w:val="00DC3FF2"/>
    <w:rsid w:val="00DC3FFC"/>
    <w:rsid w:val="00DC4108"/>
    <w:rsid w:val="00DC4298"/>
    <w:rsid w:val="00DC4339"/>
    <w:rsid w:val="00DC4366"/>
    <w:rsid w:val="00DC4399"/>
    <w:rsid w:val="00DC43B7"/>
    <w:rsid w:val="00DC4505"/>
    <w:rsid w:val="00DC451F"/>
    <w:rsid w:val="00DC456A"/>
    <w:rsid w:val="00DC4779"/>
    <w:rsid w:val="00DC4792"/>
    <w:rsid w:val="00DC47C9"/>
    <w:rsid w:val="00DC4993"/>
    <w:rsid w:val="00DC4999"/>
    <w:rsid w:val="00DC49C9"/>
    <w:rsid w:val="00DC4AAE"/>
    <w:rsid w:val="00DC4B33"/>
    <w:rsid w:val="00DC4B43"/>
    <w:rsid w:val="00DC4BA3"/>
    <w:rsid w:val="00DC4BB4"/>
    <w:rsid w:val="00DC4BDB"/>
    <w:rsid w:val="00DC4C4A"/>
    <w:rsid w:val="00DC4D48"/>
    <w:rsid w:val="00DC4E6D"/>
    <w:rsid w:val="00DC4EBB"/>
    <w:rsid w:val="00DC4EC7"/>
    <w:rsid w:val="00DC4F63"/>
    <w:rsid w:val="00DC4F64"/>
    <w:rsid w:val="00DC506A"/>
    <w:rsid w:val="00DC50C5"/>
    <w:rsid w:val="00DC519D"/>
    <w:rsid w:val="00DC51B1"/>
    <w:rsid w:val="00DC51E6"/>
    <w:rsid w:val="00DC52CD"/>
    <w:rsid w:val="00DC537B"/>
    <w:rsid w:val="00DC5392"/>
    <w:rsid w:val="00DC5472"/>
    <w:rsid w:val="00DC5486"/>
    <w:rsid w:val="00DC5543"/>
    <w:rsid w:val="00DC5565"/>
    <w:rsid w:val="00DC5566"/>
    <w:rsid w:val="00DC55C0"/>
    <w:rsid w:val="00DC5695"/>
    <w:rsid w:val="00DC5827"/>
    <w:rsid w:val="00DC5882"/>
    <w:rsid w:val="00DC59A1"/>
    <w:rsid w:val="00DC5A24"/>
    <w:rsid w:val="00DC5AFF"/>
    <w:rsid w:val="00DC5B4F"/>
    <w:rsid w:val="00DC5C03"/>
    <w:rsid w:val="00DC5C6A"/>
    <w:rsid w:val="00DC5D99"/>
    <w:rsid w:val="00DC5E27"/>
    <w:rsid w:val="00DC5E57"/>
    <w:rsid w:val="00DC5EBA"/>
    <w:rsid w:val="00DC5F47"/>
    <w:rsid w:val="00DC5F7F"/>
    <w:rsid w:val="00DC614E"/>
    <w:rsid w:val="00DC6168"/>
    <w:rsid w:val="00DC6338"/>
    <w:rsid w:val="00DC6389"/>
    <w:rsid w:val="00DC6452"/>
    <w:rsid w:val="00DC645B"/>
    <w:rsid w:val="00DC6461"/>
    <w:rsid w:val="00DC647B"/>
    <w:rsid w:val="00DC64A7"/>
    <w:rsid w:val="00DC64ED"/>
    <w:rsid w:val="00DC64F0"/>
    <w:rsid w:val="00DC65A6"/>
    <w:rsid w:val="00DC6682"/>
    <w:rsid w:val="00DC66F6"/>
    <w:rsid w:val="00DC6720"/>
    <w:rsid w:val="00DC6731"/>
    <w:rsid w:val="00DC681B"/>
    <w:rsid w:val="00DC6865"/>
    <w:rsid w:val="00DC6979"/>
    <w:rsid w:val="00DC699E"/>
    <w:rsid w:val="00DC6BE7"/>
    <w:rsid w:val="00DC6C58"/>
    <w:rsid w:val="00DC6C96"/>
    <w:rsid w:val="00DC6D2A"/>
    <w:rsid w:val="00DC6DFA"/>
    <w:rsid w:val="00DC6E56"/>
    <w:rsid w:val="00DC6E92"/>
    <w:rsid w:val="00DC6EDE"/>
    <w:rsid w:val="00DC6F1E"/>
    <w:rsid w:val="00DC6F22"/>
    <w:rsid w:val="00DC733B"/>
    <w:rsid w:val="00DC743A"/>
    <w:rsid w:val="00DC748E"/>
    <w:rsid w:val="00DC75BB"/>
    <w:rsid w:val="00DC7621"/>
    <w:rsid w:val="00DC7708"/>
    <w:rsid w:val="00DC7839"/>
    <w:rsid w:val="00DC785D"/>
    <w:rsid w:val="00DC78BE"/>
    <w:rsid w:val="00DC78EF"/>
    <w:rsid w:val="00DC7930"/>
    <w:rsid w:val="00DC796E"/>
    <w:rsid w:val="00DC7989"/>
    <w:rsid w:val="00DC7A29"/>
    <w:rsid w:val="00DC7D3C"/>
    <w:rsid w:val="00DC7E34"/>
    <w:rsid w:val="00DC7EA5"/>
    <w:rsid w:val="00DC7EEF"/>
    <w:rsid w:val="00DC7FB1"/>
    <w:rsid w:val="00DD0025"/>
    <w:rsid w:val="00DD0031"/>
    <w:rsid w:val="00DD0038"/>
    <w:rsid w:val="00DD00B4"/>
    <w:rsid w:val="00DD01F8"/>
    <w:rsid w:val="00DD0311"/>
    <w:rsid w:val="00DD03A9"/>
    <w:rsid w:val="00DD04B0"/>
    <w:rsid w:val="00DD04D5"/>
    <w:rsid w:val="00DD054C"/>
    <w:rsid w:val="00DD05D0"/>
    <w:rsid w:val="00DD0642"/>
    <w:rsid w:val="00DD06C0"/>
    <w:rsid w:val="00DD074A"/>
    <w:rsid w:val="00DD07FA"/>
    <w:rsid w:val="00DD0953"/>
    <w:rsid w:val="00DD0B22"/>
    <w:rsid w:val="00DD0B3D"/>
    <w:rsid w:val="00DD0C00"/>
    <w:rsid w:val="00DD0EAD"/>
    <w:rsid w:val="00DD0EB9"/>
    <w:rsid w:val="00DD0ED1"/>
    <w:rsid w:val="00DD0F18"/>
    <w:rsid w:val="00DD0F6A"/>
    <w:rsid w:val="00DD1007"/>
    <w:rsid w:val="00DD106F"/>
    <w:rsid w:val="00DD11AC"/>
    <w:rsid w:val="00DD12D3"/>
    <w:rsid w:val="00DD142E"/>
    <w:rsid w:val="00DD146A"/>
    <w:rsid w:val="00DD1500"/>
    <w:rsid w:val="00DD15A7"/>
    <w:rsid w:val="00DD15C8"/>
    <w:rsid w:val="00DD15CC"/>
    <w:rsid w:val="00DD16F2"/>
    <w:rsid w:val="00DD1703"/>
    <w:rsid w:val="00DD187B"/>
    <w:rsid w:val="00DD187C"/>
    <w:rsid w:val="00DD189E"/>
    <w:rsid w:val="00DD1A3D"/>
    <w:rsid w:val="00DD1A95"/>
    <w:rsid w:val="00DD1AF4"/>
    <w:rsid w:val="00DD1C53"/>
    <w:rsid w:val="00DD1CA2"/>
    <w:rsid w:val="00DD1F29"/>
    <w:rsid w:val="00DD1F5B"/>
    <w:rsid w:val="00DD1F76"/>
    <w:rsid w:val="00DD20CC"/>
    <w:rsid w:val="00DD212B"/>
    <w:rsid w:val="00DD21F3"/>
    <w:rsid w:val="00DD22A5"/>
    <w:rsid w:val="00DD22FC"/>
    <w:rsid w:val="00DD26D0"/>
    <w:rsid w:val="00DD2732"/>
    <w:rsid w:val="00DD2773"/>
    <w:rsid w:val="00DD291D"/>
    <w:rsid w:val="00DD2934"/>
    <w:rsid w:val="00DD29F0"/>
    <w:rsid w:val="00DD2B0A"/>
    <w:rsid w:val="00DD2B6F"/>
    <w:rsid w:val="00DD2BE2"/>
    <w:rsid w:val="00DD2C2C"/>
    <w:rsid w:val="00DD2C81"/>
    <w:rsid w:val="00DD2D71"/>
    <w:rsid w:val="00DD2E40"/>
    <w:rsid w:val="00DD2E92"/>
    <w:rsid w:val="00DD2EB7"/>
    <w:rsid w:val="00DD2EEF"/>
    <w:rsid w:val="00DD2F30"/>
    <w:rsid w:val="00DD303B"/>
    <w:rsid w:val="00DD30E8"/>
    <w:rsid w:val="00DD311B"/>
    <w:rsid w:val="00DD3125"/>
    <w:rsid w:val="00DD31AD"/>
    <w:rsid w:val="00DD3210"/>
    <w:rsid w:val="00DD343B"/>
    <w:rsid w:val="00DD36E1"/>
    <w:rsid w:val="00DD376D"/>
    <w:rsid w:val="00DD3829"/>
    <w:rsid w:val="00DD3860"/>
    <w:rsid w:val="00DD38DE"/>
    <w:rsid w:val="00DD3983"/>
    <w:rsid w:val="00DD3B0C"/>
    <w:rsid w:val="00DD3C2E"/>
    <w:rsid w:val="00DD3C81"/>
    <w:rsid w:val="00DD3C85"/>
    <w:rsid w:val="00DD3D86"/>
    <w:rsid w:val="00DD3F3A"/>
    <w:rsid w:val="00DD3FA8"/>
    <w:rsid w:val="00DD3FFC"/>
    <w:rsid w:val="00DD40DE"/>
    <w:rsid w:val="00DD415D"/>
    <w:rsid w:val="00DD42A4"/>
    <w:rsid w:val="00DD42AB"/>
    <w:rsid w:val="00DD43B8"/>
    <w:rsid w:val="00DD4422"/>
    <w:rsid w:val="00DD4458"/>
    <w:rsid w:val="00DD4462"/>
    <w:rsid w:val="00DD4513"/>
    <w:rsid w:val="00DD4518"/>
    <w:rsid w:val="00DD451E"/>
    <w:rsid w:val="00DD4606"/>
    <w:rsid w:val="00DD46F6"/>
    <w:rsid w:val="00DD47BD"/>
    <w:rsid w:val="00DD4813"/>
    <w:rsid w:val="00DD4840"/>
    <w:rsid w:val="00DD4865"/>
    <w:rsid w:val="00DD487D"/>
    <w:rsid w:val="00DD4919"/>
    <w:rsid w:val="00DD4960"/>
    <w:rsid w:val="00DD4A48"/>
    <w:rsid w:val="00DD4A61"/>
    <w:rsid w:val="00DD4B00"/>
    <w:rsid w:val="00DD4B92"/>
    <w:rsid w:val="00DD4C49"/>
    <w:rsid w:val="00DD4D18"/>
    <w:rsid w:val="00DD4DB2"/>
    <w:rsid w:val="00DD4DB4"/>
    <w:rsid w:val="00DD4DD1"/>
    <w:rsid w:val="00DD4DF1"/>
    <w:rsid w:val="00DD4DF4"/>
    <w:rsid w:val="00DD4E86"/>
    <w:rsid w:val="00DD5053"/>
    <w:rsid w:val="00DD50B0"/>
    <w:rsid w:val="00DD50DB"/>
    <w:rsid w:val="00DD50F4"/>
    <w:rsid w:val="00DD5240"/>
    <w:rsid w:val="00DD545E"/>
    <w:rsid w:val="00DD552D"/>
    <w:rsid w:val="00DD561B"/>
    <w:rsid w:val="00DD566E"/>
    <w:rsid w:val="00DD567A"/>
    <w:rsid w:val="00DD56BC"/>
    <w:rsid w:val="00DD56E5"/>
    <w:rsid w:val="00DD5739"/>
    <w:rsid w:val="00DD5763"/>
    <w:rsid w:val="00DD5835"/>
    <w:rsid w:val="00DD5860"/>
    <w:rsid w:val="00DD58FD"/>
    <w:rsid w:val="00DD5980"/>
    <w:rsid w:val="00DD5987"/>
    <w:rsid w:val="00DD5B03"/>
    <w:rsid w:val="00DD5B26"/>
    <w:rsid w:val="00DD5B4A"/>
    <w:rsid w:val="00DD5B57"/>
    <w:rsid w:val="00DD5C13"/>
    <w:rsid w:val="00DD5C48"/>
    <w:rsid w:val="00DD5C58"/>
    <w:rsid w:val="00DD5CB8"/>
    <w:rsid w:val="00DD5CC1"/>
    <w:rsid w:val="00DD5D59"/>
    <w:rsid w:val="00DD5E79"/>
    <w:rsid w:val="00DD5EDC"/>
    <w:rsid w:val="00DD61ED"/>
    <w:rsid w:val="00DD620A"/>
    <w:rsid w:val="00DD62A0"/>
    <w:rsid w:val="00DD62BC"/>
    <w:rsid w:val="00DD6327"/>
    <w:rsid w:val="00DD64E9"/>
    <w:rsid w:val="00DD64EF"/>
    <w:rsid w:val="00DD660F"/>
    <w:rsid w:val="00DD6657"/>
    <w:rsid w:val="00DD66D0"/>
    <w:rsid w:val="00DD686C"/>
    <w:rsid w:val="00DD6932"/>
    <w:rsid w:val="00DD6AFE"/>
    <w:rsid w:val="00DD6BD8"/>
    <w:rsid w:val="00DD6C6E"/>
    <w:rsid w:val="00DD6C7A"/>
    <w:rsid w:val="00DD6CBA"/>
    <w:rsid w:val="00DD6E31"/>
    <w:rsid w:val="00DD6EDC"/>
    <w:rsid w:val="00DD6F99"/>
    <w:rsid w:val="00DD6FD5"/>
    <w:rsid w:val="00DD7038"/>
    <w:rsid w:val="00DD7059"/>
    <w:rsid w:val="00DD705D"/>
    <w:rsid w:val="00DD7095"/>
    <w:rsid w:val="00DD7256"/>
    <w:rsid w:val="00DD72B1"/>
    <w:rsid w:val="00DD72E0"/>
    <w:rsid w:val="00DD73D1"/>
    <w:rsid w:val="00DD73F5"/>
    <w:rsid w:val="00DD7476"/>
    <w:rsid w:val="00DD760E"/>
    <w:rsid w:val="00DD7627"/>
    <w:rsid w:val="00DD768B"/>
    <w:rsid w:val="00DD7701"/>
    <w:rsid w:val="00DD7988"/>
    <w:rsid w:val="00DD79B1"/>
    <w:rsid w:val="00DD7A4E"/>
    <w:rsid w:val="00DD7ADD"/>
    <w:rsid w:val="00DD7B7F"/>
    <w:rsid w:val="00DD7CBA"/>
    <w:rsid w:val="00DD7CEF"/>
    <w:rsid w:val="00DD7D16"/>
    <w:rsid w:val="00DD7D20"/>
    <w:rsid w:val="00DD7F48"/>
    <w:rsid w:val="00DD7FA9"/>
    <w:rsid w:val="00DE0239"/>
    <w:rsid w:val="00DE0283"/>
    <w:rsid w:val="00DE02C4"/>
    <w:rsid w:val="00DE034C"/>
    <w:rsid w:val="00DE0394"/>
    <w:rsid w:val="00DE039C"/>
    <w:rsid w:val="00DE03A7"/>
    <w:rsid w:val="00DE0496"/>
    <w:rsid w:val="00DE04EA"/>
    <w:rsid w:val="00DE058F"/>
    <w:rsid w:val="00DE05BC"/>
    <w:rsid w:val="00DE05E9"/>
    <w:rsid w:val="00DE0662"/>
    <w:rsid w:val="00DE0794"/>
    <w:rsid w:val="00DE081D"/>
    <w:rsid w:val="00DE0859"/>
    <w:rsid w:val="00DE08A9"/>
    <w:rsid w:val="00DE08B0"/>
    <w:rsid w:val="00DE08BE"/>
    <w:rsid w:val="00DE08C5"/>
    <w:rsid w:val="00DE08F3"/>
    <w:rsid w:val="00DE091B"/>
    <w:rsid w:val="00DE0A4C"/>
    <w:rsid w:val="00DE0BD3"/>
    <w:rsid w:val="00DE0C91"/>
    <w:rsid w:val="00DE0E7A"/>
    <w:rsid w:val="00DE0F06"/>
    <w:rsid w:val="00DE1015"/>
    <w:rsid w:val="00DE1016"/>
    <w:rsid w:val="00DE10FB"/>
    <w:rsid w:val="00DE10FE"/>
    <w:rsid w:val="00DE114E"/>
    <w:rsid w:val="00DE115B"/>
    <w:rsid w:val="00DE1182"/>
    <w:rsid w:val="00DE118D"/>
    <w:rsid w:val="00DE11E3"/>
    <w:rsid w:val="00DE1230"/>
    <w:rsid w:val="00DE140B"/>
    <w:rsid w:val="00DE143B"/>
    <w:rsid w:val="00DE15A3"/>
    <w:rsid w:val="00DE1676"/>
    <w:rsid w:val="00DE1691"/>
    <w:rsid w:val="00DE1694"/>
    <w:rsid w:val="00DE16F3"/>
    <w:rsid w:val="00DE17E8"/>
    <w:rsid w:val="00DE18AD"/>
    <w:rsid w:val="00DE1A8E"/>
    <w:rsid w:val="00DE1AF8"/>
    <w:rsid w:val="00DE1B5A"/>
    <w:rsid w:val="00DE1BA9"/>
    <w:rsid w:val="00DE1C24"/>
    <w:rsid w:val="00DE1C9E"/>
    <w:rsid w:val="00DE1D49"/>
    <w:rsid w:val="00DE1DB5"/>
    <w:rsid w:val="00DE1E50"/>
    <w:rsid w:val="00DE1F1C"/>
    <w:rsid w:val="00DE207F"/>
    <w:rsid w:val="00DE2087"/>
    <w:rsid w:val="00DE20EC"/>
    <w:rsid w:val="00DE21BE"/>
    <w:rsid w:val="00DE232C"/>
    <w:rsid w:val="00DE23D2"/>
    <w:rsid w:val="00DE2496"/>
    <w:rsid w:val="00DE24E0"/>
    <w:rsid w:val="00DE24EF"/>
    <w:rsid w:val="00DE251F"/>
    <w:rsid w:val="00DE2550"/>
    <w:rsid w:val="00DE25E8"/>
    <w:rsid w:val="00DE2748"/>
    <w:rsid w:val="00DE29A0"/>
    <w:rsid w:val="00DE2A54"/>
    <w:rsid w:val="00DE2B7B"/>
    <w:rsid w:val="00DE2C48"/>
    <w:rsid w:val="00DE2C7B"/>
    <w:rsid w:val="00DE2CB6"/>
    <w:rsid w:val="00DE2CD1"/>
    <w:rsid w:val="00DE2DC7"/>
    <w:rsid w:val="00DE2DE9"/>
    <w:rsid w:val="00DE2EE4"/>
    <w:rsid w:val="00DE30F5"/>
    <w:rsid w:val="00DE3110"/>
    <w:rsid w:val="00DE31F9"/>
    <w:rsid w:val="00DE329B"/>
    <w:rsid w:val="00DE32AA"/>
    <w:rsid w:val="00DE32CE"/>
    <w:rsid w:val="00DE3346"/>
    <w:rsid w:val="00DE3456"/>
    <w:rsid w:val="00DE34A4"/>
    <w:rsid w:val="00DE353C"/>
    <w:rsid w:val="00DE358B"/>
    <w:rsid w:val="00DE35B1"/>
    <w:rsid w:val="00DE3601"/>
    <w:rsid w:val="00DE3640"/>
    <w:rsid w:val="00DE3674"/>
    <w:rsid w:val="00DE394C"/>
    <w:rsid w:val="00DE3AB7"/>
    <w:rsid w:val="00DE3C2C"/>
    <w:rsid w:val="00DE3C90"/>
    <w:rsid w:val="00DE3C9E"/>
    <w:rsid w:val="00DE3D12"/>
    <w:rsid w:val="00DE3D41"/>
    <w:rsid w:val="00DE3E0F"/>
    <w:rsid w:val="00DE3F9B"/>
    <w:rsid w:val="00DE3FED"/>
    <w:rsid w:val="00DE4072"/>
    <w:rsid w:val="00DE4083"/>
    <w:rsid w:val="00DE4115"/>
    <w:rsid w:val="00DE418A"/>
    <w:rsid w:val="00DE41AD"/>
    <w:rsid w:val="00DE41CB"/>
    <w:rsid w:val="00DE4207"/>
    <w:rsid w:val="00DE428C"/>
    <w:rsid w:val="00DE4393"/>
    <w:rsid w:val="00DE439D"/>
    <w:rsid w:val="00DE4448"/>
    <w:rsid w:val="00DE4555"/>
    <w:rsid w:val="00DE4606"/>
    <w:rsid w:val="00DE4685"/>
    <w:rsid w:val="00DE483C"/>
    <w:rsid w:val="00DE4864"/>
    <w:rsid w:val="00DE492B"/>
    <w:rsid w:val="00DE4978"/>
    <w:rsid w:val="00DE49B3"/>
    <w:rsid w:val="00DE4A18"/>
    <w:rsid w:val="00DE4A9C"/>
    <w:rsid w:val="00DE4AFC"/>
    <w:rsid w:val="00DE4B69"/>
    <w:rsid w:val="00DE4BF4"/>
    <w:rsid w:val="00DE4D08"/>
    <w:rsid w:val="00DE4D4C"/>
    <w:rsid w:val="00DE4D8F"/>
    <w:rsid w:val="00DE4E32"/>
    <w:rsid w:val="00DE4E5D"/>
    <w:rsid w:val="00DE4EDB"/>
    <w:rsid w:val="00DE4F41"/>
    <w:rsid w:val="00DE502A"/>
    <w:rsid w:val="00DE5050"/>
    <w:rsid w:val="00DE50D6"/>
    <w:rsid w:val="00DE5139"/>
    <w:rsid w:val="00DE5207"/>
    <w:rsid w:val="00DE5258"/>
    <w:rsid w:val="00DE5343"/>
    <w:rsid w:val="00DE53E9"/>
    <w:rsid w:val="00DE5405"/>
    <w:rsid w:val="00DE5457"/>
    <w:rsid w:val="00DE5485"/>
    <w:rsid w:val="00DE553B"/>
    <w:rsid w:val="00DE5588"/>
    <w:rsid w:val="00DE558D"/>
    <w:rsid w:val="00DE5670"/>
    <w:rsid w:val="00DE56E5"/>
    <w:rsid w:val="00DE57A0"/>
    <w:rsid w:val="00DE57FD"/>
    <w:rsid w:val="00DE58D0"/>
    <w:rsid w:val="00DE58FF"/>
    <w:rsid w:val="00DE5DFB"/>
    <w:rsid w:val="00DE5F25"/>
    <w:rsid w:val="00DE6145"/>
    <w:rsid w:val="00DE615B"/>
    <w:rsid w:val="00DE61E7"/>
    <w:rsid w:val="00DE629E"/>
    <w:rsid w:val="00DE62C3"/>
    <w:rsid w:val="00DE6329"/>
    <w:rsid w:val="00DE63FC"/>
    <w:rsid w:val="00DE6415"/>
    <w:rsid w:val="00DE64D6"/>
    <w:rsid w:val="00DE650B"/>
    <w:rsid w:val="00DE6572"/>
    <w:rsid w:val="00DE6711"/>
    <w:rsid w:val="00DE6A82"/>
    <w:rsid w:val="00DE6B71"/>
    <w:rsid w:val="00DE6C54"/>
    <w:rsid w:val="00DE6CF3"/>
    <w:rsid w:val="00DE6DE2"/>
    <w:rsid w:val="00DE6E20"/>
    <w:rsid w:val="00DE6E42"/>
    <w:rsid w:val="00DE7099"/>
    <w:rsid w:val="00DE70A8"/>
    <w:rsid w:val="00DE72C3"/>
    <w:rsid w:val="00DE732E"/>
    <w:rsid w:val="00DE7355"/>
    <w:rsid w:val="00DE73F3"/>
    <w:rsid w:val="00DE746F"/>
    <w:rsid w:val="00DE74D2"/>
    <w:rsid w:val="00DE75CA"/>
    <w:rsid w:val="00DE77D1"/>
    <w:rsid w:val="00DE7946"/>
    <w:rsid w:val="00DE79C1"/>
    <w:rsid w:val="00DE7A1F"/>
    <w:rsid w:val="00DE7A40"/>
    <w:rsid w:val="00DE7B4F"/>
    <w:rsid w:val="00DE7B7B"/>
    <w:rsid w:val="00DE7C64"/>
    <w:rsid w:val="00DE7C68"/>
    <w:rsid w:val="00DE7C71"/>
    <w:rsid w:val="00DE7C8B"/>
    <w:rsid w:val="00DE7CB3"/>
    <w:rsid w:val="00DE7CD0"/>
    <w:rsid w:val="00DE7CE0"/>
    <w:rsid w:val="00DE7E8E"/>
    <w:rsid w:val="00DE7F0E"/>
    <w:rsid w:val="00DE7F57"/>
    <w:rsid w:val="00DE7FF8"/>
    <w:rsid w:val="00DF0098"/>
    <w:rsid w:val="00DF00D9"/>
    <w:rsid w:val="00DF027F"/>
    <w:rsid w:val="00DF0359"/>
    <w:rsid w:val="00DF03A7"/>
    <w:rsid w:val="00DF03D8"/>
    <w:rsid w:val="00DF044E"/>
    <w:rsid w:val="00DF046C"/>
    <w:rsid w:val="00DF0472"/>
    <w:rsid w:val="00DF059A"/>
    <w:rsid w:val="00DF066F"/>
    <w:rsid w:val="00DF0719"/>
    <w:rsid w:val="00DF0765"/>
    <w:rsid w:val="00DF0768"/>
    <w:rsid w:val="00DF07A6"/>
    <w:rsid w:val="00DF07DB"/>
    <w:rsid w:val="00DF087B"/>
    <w:rsid w:val="00DF0913"/>
    <w:rsid w:val="00DF094B"/>
    <w:rsid w:val="00DF0AB4"/>
    <w:rsid w:val="00DF0B05"/>
    <w:rsid w:val="00DF0B71"/>
    <w:rsid w:val="00DF0BF3"/>
    <w:rsid w:val="00DF0C1D"/>
    <w:rsid w:val="00DF0C51"/>
    <w:rsid w:val="00DF0C71"/>
    <w:rsid w:val="00DF0CA9"/>
    <w:rsid w:val="00DF0D1C"/>
    <w:rsid w:val="00DF0D32"/>
    <w:rsid w:val="00DF0D56"/>
    <w:rsid w:val="00DF0DA5"/>
    <w:rsid w:val="00DF0E27"/>
    <w:rsid w:val="00DF0FAA"/>
    <w:rsid w:val="00DF1141"/>
    <w:rsid w:val="00DF1178"/>
    <w:rsid w:val="00DF1192"/>
    <w:rsid w:val="00DF11F3"/>
    <w:rsid w:val="00DF122F"/>
    <w:rsid w:val="00DF12AF"/>
    <w:rsid w:val="00DF14B1"/>
    <w:rsid w:val="00DF14E5"/>
    <w:rsid w:val="00DF15D0"/>
    <w:rsid w:val="00DF166F"/>
    <w:rsid w:val="00DF1692"/>
    <w:rsid w:val="00DF173D"/>
    <w:rsid w:val="00DF17EF"/>
    <w:rsid w:val="00DF18BA"/>
    <w:rsid w:val="00DF18D7"/>
    <w:rsid w:val="00DF1934"/>
    <w:rsid w:val="00DF1995"/>
    <w:rsid w:val="00DF1BC9"/>
    <w:rsid w:val="00DF1C15"/>
    <w:rsid w:val="00DF1D13"/>
    <w:rsid w:val="00DF1FE7"/>
    <w:rsid w:val="00DF2012"/>
    <w:rsid w:val="00DF20C6"/>
    <w:rsid w:val="00DF217B"/>
    <w:rsid w:val="00DF21DF"/>
    <w:rsid w:val="00DF21ED"/>
    <w:rsid w:val="00DF23C3"/>
    <w:rsid w:val="00DF23CC"/>
    <w:rsid w:val="00DF24BD"/>
    <w:rsid w:val="00DF24D9"/>
    <w:rsid w:val="00DF25A5"/>
    <w:rsid w:val="00DF2646"/>
    <w:rsid w:val="00DF265A"/>
    <w:rsid w:val="00DF26DA"/>
    <w:rsid w:val="00DF273F"/>
    <w:rsid w:val="00DF282B"/>
    <w:rsid w:val="00DF28A7"/>
    <w:rsid w:val="00DF29D7"/>
    <w:rsid w:val="00DF2C09"/>
    <w:rsid w:val="00DF2C6A"/>
    <w:rsid w:val="00DF2CFC"/>
    <w:rsid w:val="00DF2D06"/>
    <w:rsid w:val="00DF2D19"/>
    <w:rsid w:val="00DF2D84"/>
    <w:rsid w:val="00DF2ED8"/>
    <w:rsid w:val="00DF2F3D"/>
    <w:rsid w:val="00DF2FF9"/>
    <w:rsid w:val="00DF3172"/>
    <w:rsid w:val="00DF31CC"/>
    <w:rsid w:val="00DF3258"/>
    <w:rsid w:val="00DF32A0"/>
    <w:rsid w:val="00DF333D"/>
    <w:rsid w:val="00DF3365"/>
    <w:rsid w:val="00DF3408"/>
    <w:rsid w:val="00DF341B"/>
    <w:rsid w:val="00DF3421"/>
    <w:rsid w:val="00DF3433"/>
    <w:rsid w:val="00DF344D"/>
    <w:rsid w:val="00DF3460"/>
    <w:rsid w:val="00DF3461"/>
    <w:rsid w:val="00DF3605"/>
    <w:rsid w:val="00DF3664"/>
    <w:rsid w:val="00DF3888"/>
    <w:rsid w:val="00DF39D3"/>
    <w:rsid w:val="00DF39E9"/>
    <w:rsid w:val="00DF3AAB"/>
    <w:rsid w:val="00DF3B2F"/>
    <w:rsid w:val="00DF3C82"/>
    <w:rsid w:val="00DF3CF5"/>
    <w:rsid w:val="00DF3D1C"/>
    <w:rsid w:val="00DF3D1F"/>
    <w:rsid w:val="00DF3D50"/>
    <w:rsid w:val="00DF3DCB"/>
    <w:rsid w:val="00DF3E40"/>
    <w:rsid w:val="00DF3F56"/>
    <w:rsid w:val="00DF3F89"/>
    <w:rsid w:val="00DF4067"/>
    <w:rsid w:val="00DF4086"/>
    <w:rsid w:val="00DF409D"/>
    <w:rsid w:val="00DF4180"/>
    <w:rsid w:val="00DF427B"/>
    <w:rsid w:val="00DF431B"/>
    <w:rsid w:val="00DF4334"/>
    <w:rsid w:val="00DF437A"/>
    <w:rsid w:val="00DF4904"/>
    <w:rsid w:val="00DF4909"/>
    <w:rsid w:val="00DF4946"/>
    <w:rsid w:val="00DF4A8D"/>
    <w:rsid w:val="00DF4B12"/>
    <w:rsid w:val="00DF4B8C"/>
    <w:rsid w:val="00DF4BDB"/>
    <w:rsid w:val="00DF4CF6"/>
    <w:rsid w:val="00DF4DDD"/>
    <w:rsid w:val="00DF4E6D"/>
    <w:rsid w:val="00DF4EFD"/>
    <w:rsid w:val="00DF4F81"/>
    <w:rsid w:val="00DF4FBB"/>
    <w:rsid w:val="00DF5049"/>
    <w:rsid w:val="00DF50AA"/>
    <w:rsid w:val="00DF50D5"/>
    <w:rsid w:val="00DF50E6"/>
    <w:rsid w:val="00DF5288"/>
    <w:rsid w:val="00DF52B4"/>
    <w:rsid w:val="00DF5315"/>
    <w:rsid w:val="00DF533E"/>
    <w:rsid w:val="00DF53CB"/>
    <w:rsid w:val="00DF53FD"/>
    <w:rsid w:val="00DF5486"/>
    <w:rsid w:val="00DF5532"/>
    <w:rsid w:val="00DF55DF"/>
    <w:rsid w:val="00DF5648"/>
    <w:rsid w:val="00DF5653"/>
    <w:rsid w:val="00DF56BD"/>
    <w:rsid w:val="00DF56E1"/>
    <w:rsid w:val="00DF56FC"/>
    <w:rsid w:val="00DF578A"/>
    <w:rsid w:val="00DF583C"/>
    <w:rsid w:val="00DF5849"/>
    <w:rsid w:val="00DF5AA9"/>
    <w:rsid w:val="00DF5AD7"/>
    <w:rsid w:val="00DF5B64"/>
    <w:rsid w:val="00DF5B7F"/>
    <w:rsid w:val="00DF5B87"/>
    <w:rsid w:val="00DF5C41"/>
    <w:rsid w:val="00DF5C8C"/>
    <w:rsid w:val="00DF5CCC"/>
    <w:rsid w:val="00DF5E54"/>
    <w:rsid w:val="00DF5E96"/>
    <w:rsid w:val="00DF5F0C"/>
    <w:rsid w:val="00DF5FA3"/>
    <w:rsid w:val="00DF600F"/>
    <w:rsid w:val="00DF6072"/>
    <w:rsid w:val="00DF60D8"/>
    <w:rsid w:val="00DF61A8"/>
    <w:rsid w:val="00DF61BB"/>
    <w:rsid w:val="00DF61BC"/>
    <w:rsid w:val="00DF6223"/>
    <w:rsid w:val="00DF62AA"/>
    <w:rsid w:val="00DF63D6"/>
    <w:rsid w:val="00DF63E3"/>
    <w:rsid w:val="00DF64E1"/>
    <w:rsid w:val="00DF665A"/>
    <w:rsid w:val="00DF66AC"/>
    <w:rsid w:val="00DF66AE"/>
    <w:rsid w:val="00DF6827"/>
    <w:rsid w:val="00DF6877"/>
    <w:rsid w:val="00DF68B9"/>
    <w:rsid w:val="00DF6A7C"/>
    <w:rsid w:val="00DF6A9D"/>
    <w:rsid w:val="00DF6AC1"/>
    <w:rsid w:val="00DF6B18"/>
    <w:rsid w:val="00DF6C36"/>
    <w:rsid w:val="00DF6C43"/>
    <w:rsid w:val="00DF6C5F"/>
    <w:rsid w:val="00DF6C8F"/>
    <w:rsid w:val="00DF6CDC"/>
    <w:rsid w:val="00DF6D92"/>
    <w:rsid w:val="00DF6E38"/>
    <w:rsid w:val="00DF6E43"/>
    <w:rsid w:val="00DF6EF7"/>
    <w:rsid w:val="00DF6FCC"/>
    <w:rsid w:val="00DF6FE4"/>
    <w:rsid w:val="00DF706A"/>
    <w:rsid w:val="00DF7111"/>
    <w:rsid w:val="00DF712A"/>
    <w:rsid w:val="00DF717B"/>
    <w:rsid w:val="00DF71F9"/>
    <w:rsid w:val="00DF723D"/>
    <w:rsid w:val="00DF7293"/>
    <w:rsid w:val="00DF7380"/>
    <w:rsid w:val="00DF74D9"/>
    <w:rsid w:val="00DF75A6"/>
    <w:rsid w:val="00DF7757"/>
    <w:rsid w:val="00DF7770"/>
    <w:rsid w:val="00DF790C"/>
    <w:rsid w:val="00DF7AAA"/>
    <w:rsid w:val="00DF7AC5"/>
    <w:rsid w:val="00DF7B6C"/>
    <w:rsid w:val="00DF7C3A"/>
    <w:rsid w:val="00DF7CD5"/>
    <w:rsid w:val="00DF7CFB"/>
    <w:rsid w:val="00DF7E5A"/>
    <w:rsid w:val="00DF7E60"/>
    <w:rsid w:val="00DF7E84"/>
    <w:rsid w:val="00DF7F17"/>
    <w:rsid w:val="00DF7F25"/>
    <w:rsid w:val="00E00010"/>
    <w:rsid w:val="00E00135"/>
    <w:rsid w:val="00E00227"/>
    <w:rsid w:val="00E0026A"/>
    <w:rsid w:val="00E00382"/>
    <w:rsid w:val="00E00388"/>
    <w:rsid w:val="00E004D4"/>
    <w:rsid w:val="00E0055B"/>
    <w:rsid w:val="00E00576"/>
    <w:rsid w:val="00E0057D"/>
    <w:rsid w:val="00E00590"/>
    <w:rsid w:val="00E0059F"/>
    <w:rsid w:val="00E00610"/>
    <w:rsid w:val="00E006D1"/>
    <w:rsid w:val="00E0074D"/>
    <w:rsid w:val="00E00759"/>
    <w:rsid w:val="00E00764"/>
    <w:rsid w:val="00E007D6"/>
    <w:rsid w:val="00E00805"/>
    <w:rsid w:val="00E0082C"/>
    <w:rsid w:val="00E0096F"/>
    <w:rsid w:val="00E009E6"/>
    <w:rsid w:val="00E00A62"/>
    <w:rsid w:val="00E00AA2"/>
    <w:rsid w:val="00E00AFA"/>
    <w:rsid w:val="00E00C4D"/>
    <w:rsid w:val="00E00C86"/>
    <w:rsid w:val="00E00D71"/>
    <w:rsid w:val="00E00DAB"/>
    <w:rsid w:val="00E00DE4"/>
    <w:rsid w:val="00E00E38"/>
    <w:rsid w:val="00E01028"/>
    <w:rsid w:val="00E0105B"/>
    <w:rsid w:val="00E010AF"/>
    <w:rsid w:val="00E010E5"/>
    <w:rsid w:val="00E0110A"/>
    <w:rsid w:val="00E01296"/>
    <w:rsid w:val="00E01398"/>
    <w:rsid w:val="00E013B7"/>
    <w:rsid w:val="00E01413"/>
    <w:rsid w:val="00E01489"/>
    <w:rsid w:val="00E01621"/>
    <w:rsid w:val="00E01693"/>
    <w:rsid w:val="00E016A9"/>
    <w:rsid w:val="00E01770"/>
    <w:rsid w:val="00E01798"/>
    <w:rsid w:val="00E017DA"/>
    <w:rsid w:val="00E01A64"/>
    <w:rsid w:val="00E01B0E"/>
    <w:rsid w:val="00E01B3C"/>
    <w:rsid w:val="00E01B75"/>
    <w:rsid w:val="00E01C7B"/>
    <w:rsid w:val="00E01CEA"/>
    <w:rsid w:val="00E01E32"/>
    <w:rsid w:val="00E01F19"/>
    <w:rsid w:val="00E020CD"/>
    <w:rsid w:val="00E02174"/>
    <w:rsid w:val="00E0221D"/>
    <w:rsid w:val="00E024B9"/>
    <w:rsid w:val="00E024F7"/>
    <w:rsid w:val="00E02525"/>
    <w:rsid w:val="00E027A7"/>
    <w:rsid w:val="00E02860"/>
    <w:rsid w:val="00E0299C"/>
    <w:rsid w:val="00E029EA"/>
    <w:rsid w:val="00E02A1F"/>
    <w:rsid w:val="00E02A2D"/>
    <w:rsid w:val="00E02AC3"/>
    <w:rsid w:val="00E02B92"/>
    <w:rsid w:val="00E02C53"/>
    <w:rsid w:val="00E02CBA"/>
    <w:rsid w:val="00E02D34"/>
    <w:rsid w:val="00E02D59"/>
    <w:rsid w:val="00E02DA3"/>
    <w:rsid w:val="00E02DE5"/>
    <w:rsid w:val="00E02E88"/>
    <w:rsid w:val="00E02E96"/>
    <w:rsid w:val="00E02EC2"/>
    <w:rsid w:val="00E02F9F"/>
    <w:rsid w:val="00E02FC9"/>
    <w:rsid w:val="00E03001"/>
    <w:rsid w:val="00E03013"/>
    <w:rsid w:val="00E031A5"/>
    <w:rsid w:val="00E03375"/>
    <w:rsid w:val="00E0345A"/>
    <w:rsid w:val="00E035D1"/>
    <w:rsid w:val="00E0360B"/>
    <w:rsid w:val="00E03677"/>
    <w:rsid w:val="00E036CA"/>
    <w:rsid w:val="00E036F6"/>
    <w:rsid w:val="00E03754"/>
    <w:rsid w:val="00E037C4"/>
    <w:rsid w:val="00E03857"/>
    <w:rsid w:val="00E0387D"/>
    <w:rsid w:val="00E038AB"/>
    <w:rsid w:val="00E038EA"/>
    <w:rsid w:val="00E0393B"/>
    <w:rsid w:val="00E03A68"/>
    <w:rsid w:val="00E03A96"/>
    <w:rsid w:val="00E03B63"/>
    <w:rsid w:val="00E03C55"/>
    <w:rsid w:val="00E03D13"/>
    <w:rsid w:val="00E03E5A"/>
    <w:rsid w:val="00E03EA6"/>
    <w:rsid w:val="00E03F99"/>
    <w:rsid w:val="00E03FC1"/>
    <w:rsid w:val="00E04018"/>
    <w:rsid w:val="00E0405B"/>
    <w:rsid w:val="00E040F4"/>
    <w:rsid w:val="00E041CE"/>
    <w:rsid w:val="00E04309"/>
    <w:rsid w:val="00E04362"/>
    <w:rsid w:val="00E04462"/>
    <w:rsid w:val="00E04611"/>
    <w:rsid w:val="00E0466C"/>
    <w:rsid w:val="00E047AD"/>
    <w:rsid w:val="00E04860"/>
    <w:rsid w:val="00E049DC"/>
    <w:rsid w:val="00E049E9"/>
    <w:rsid w:val="00E04A02"/>
    <w:rsid w:val="00E04A4A"/>
    <w:rsid w:val="00E04AAA"/>
    <w:rsid w:val="00E04B88"/>
    <w:rsid w:val="00E04C26"/>
    <w:rsid w:val="00E04C52"/>
    <w:rsid w:val="00E04D91"/>
    <w:rsid w:val="00E04DFD"/>
    <w:rsid w:val="00E04E6A"/>
    <w:rsid w:val="00E04EBE"/>
    <w:rsid w:val="00E04EC1"/>
    <w:rsid w:val="00E04F08"/>
    <w:rsid w:val="00E05030"/>
    <w:rsid w:val="00E05059"/>
    <w:rsid w:val="00E05068"/>
    <w:rsid w:val="00E050E5"/>
    <w:rsid w:val="00E05103"/>
    <w:rsid w:val="00E05120"/>
    <w:rsid w:val="00E05145"/>
    <w:rsid w:val="00E05190"/>
    <w:rsid w:val="00E051B9"/>
    <w:rsid w:val="00E0535A"/>
    <w:rsid w:val="00E053BC"/>
    <w:rsid w:val="00E0557D"/>
    <w:rsid w:val="00E05636"/>
    <w:rsid w:val="00E0564B"/>
    <w:rsid w:val="00E058E5"/>
    <w:rsid w:val="00E05908"/>
    <w:rsid w:val="00E05962"/>
    <w:rsid w:val="00E05A71"/>
    <w:rsid w:val="00E05B55"/>
    <w:rsid w:val="00E05B8B"/>
    <w:rsid w:val="00E05D56"/>
    <w:rsid w:val="00E05D64"/>
    <w:rsid w:val="00E05ECE"/>
    <w:rsid w:val="00E05EEB"/>
    <w:rsid w:val="00E05F58"/>
    <w:rsid w:val="00E06044"/>
    <w:rsid w:val="00E060A1"/>
    <w:rsid w:val="00E061A6"/>
    <w:rsid w:val="00E0624F"/>
    <w:rsid w:val="00E06267"/>
    <w:rsid w:val="00E06279"/>
    <w:rsid w:val="00E0637E"/>
    <w:rsid w:val="00E0663B"/>
    <w:rsid w:val="00E06659"/>
    <w:rsid w:val="00E066AF"/>
    <w:rsid w:val="00E066FD"/>
    <w:rsid w:val="00E0679C"/>
    <w:rsid w:val="00E067B9"/>
    <w:rsid w:val="00E0684F"/>
    <w:rsid w:val="00E068AF"/>
    <w:rsid w:val="00E068B3"/>
    <w:rsid w:val="00E06908"/>
    <w:rsid w:val="00E06938"/>
    <w:rsid w:val="00E0693F"/>
    <w:rsid w:val="00E06A15"/>
    <w:rsid w:val="00E06A86"/>
    <w:rsid w:val="00E06B15"/>
    <w:rsid w:val="00E06B30"/>
    <w:rsid w:val="00E06B3A"/>
    <w:rsid w:val="00E06C0B"/>
    <w:rsid w:val="00E06C43"/>
    <w:rsid w:val="00E06CFE"/>
    <w:rsid w:val="00E06DBA"/>
    <w:rsid w:val="00E06DD0"/>
    <w:rsid w:val="00E06F71"/>
    <w:rsid w:val="00E06FF8"/>
    <w:rsid w:val="00E0704B"/>
    <w:rsid w:val="00E070BA"/>
    <w:rsid w:val="00E070BC"/>
    <w:rsid w:val="00E070D8"/>
    <w:rsid w:val="00E0723C"/>
    <w:rsid w:val="00E07371"/>
    <w:rsid w:val="00E07383"/>
    <w:rsid w:val="00E07481"/>
    <w:rsid w:val="00E07529"/>
    <w:rsid w:val="00E0772D"/>
    <w:rsid w:val="00E0782E"/>
    <w:rsid w:val="00E07831"/>
    <w:rsid w:val="00E079B8"/>
    <w:rsid w:val="00E07A24"/>
    <w:rsid w:val="00E07A3C"/>
    <w:rsid w:val="00E07AC4"/>
    <w:rsid w:val="00E07AE1"/>
    <w:rsid w:val="00E07AE3"/>
    <w:rsid w:val="00E07B05"/>
    <w:rsid w:val="00E07BC0"/>
    <w:rsid w:val="00E07CAF"/>
    <w:rsid w:val="00E07D72"/>
    <w:rsid w:val="00E07D7B"/>
    <w:rsid w:val="00E07E61"/>
    <w:rsid w:val="00E07F52"/>
    <w:rsid w:val="00E10104"/>
    <w:rsid w:val="00E101B4"/>
    <w:rsid w:val="00E1031D"/>
    <w:rsid w:val="00E103F9"/>
    <w:rsid w:val="00E10461"/>
    <w:rsid w:val="00E10470"/>
    <w:rsid w:val="00E10574"/>
    <w:rsid w:val="00E105A9"/>
    <w:rsid w:val="00E10600"/>
    <w:rsid w:val="00E1076F"/>
    <w:rsid w:val="00E1078B"/>
    <w:rsid w:val="00E108C7"/>
    <w:rsid w:val="00E109F3"/>
    <w:rsid w:val="00E10A3A"/>
    <w:rsid w:val="00E10AC3"/>
    <w:rsid w:val="00E10ADC"/>
    <w:rsid w:val="00E10B49"/>
    <w:rsid w:val="00E10BB5"/>
    <w:rsid w:val="00E10DEF"/>
    <w:rsid w:val="00E10E0F"/>
    <w:rsid w:val="00E110E9"/>
    <w:rsid w:val="00E110F7"/>
    <w:rsid w:val="00E1133B"/>
    <w:rsid w:val="00E11368"/>
    <w:rsid w:val="00E1144A"/>
    <w:rsid w:val="00E114C8"/>
    <w:rsid w:val="00E114E5"/>
    <w:rsid w:val="00E11562"/>
    <w:rsid w:val="00E115A5"/>
    <w:rsid w:val="00E1169E"/>
    <w:rsid w:val="00E1177F"/>
    <w:rsid w:val="00E117B7"/>
    <w:rsid w:val="00E1188F"/>
    <w:rsid w:val="00E11897"/>
    <w:rsid w:val="00E119B8"/>
    <w:rsid w:val="00E11C03"/>
    <w:rsid w:val="00E11CD1"/>
    <w:rsid w:val="00E11D4D"/>
    <w:rsid w:val="00E11E53"/>
    <w:rsid w:val="00E11E6E"/>
    <w:rsid w:val="00E11EEC"/>
    <w:rsid w:val="00E11FE3"/>
    <w:rsid w:val="00E12009"/>
    <w:rsid w:val="00E12021"/>
    <w:rsid w:val="00E120B3"/>
    <w:rsid w:val="00E120BE"/>
    <w:rsid w:val="00E12122"/>
    <w:rsid w:val="00E122C3"/>
    <w:rsid w:val="00E122CF"/>
    <w:rsid w:val="00E123C3"/>
    <w:rsid w:val="00E124A3"/>
    <w:rsid w:val="00E1254E"/>
    <w:rsid w:val="00E1256B"/>
    <w:rsid w:val="00E12577"/>
    <w:rsid w:val="00E12644"/>
    <w:rsid w:val="00E12727"/>
    <w:rsid w:val="00E12734"/>
    <w:rsid w:val="00E1278D"/>
    <w:rsid w:val="00E127DD"/>
    <w:rsid w:val="00E12908"/>
    <w:rsid w:val="00E12926"/>
    <w:rsid w:val="00E12972"/>
    <w:rsid w:val="00E129AA"/>
    <w:rsid w:val="00E12A16"/>
    <w:rsid w:val="00E12C0D"/>
    <w:rsid w:val="00E12CB3"/>
    <w:rsid w:val="00E12D29"/>
    <w:rsid w:val="00E12DB3"/>
    <w:rsid w:val="00E12EFF"/>
    <w:rsid w:val="00E12F4E"/>
    <w:rsid w:val="00E12F8B"/>
    <w:rsid w:val="00E12FA2"/>
    <w:rsid w:val="00E13091"/>
    <w:rsid w:val="00E13131"/>
    <w:rsid w:val="00E13208"/>
    <w:rsid w:val="00E132D8"/>
    <w:rsid w:val="00E13389"/>
    <w:rsid w:val="00E1339E"/>
    <w:rsid w:val="00E133B1"/>
    <w:rsid w:val="00E13490"/>
    <w:rsid w:val="00E135A9"/>
    <w:rsid w:val="00E135C9"/>
    <w:rsid w:val="00E13722"/>
    <w:rsid w:val="00E1373D"/>
    <w:rsid w:val="00E137FC"/>
    <w:rsid w:val="00E137FE"/>
    <w:rsid w:val="00E13805"/>
    <w:rsid w:val="00E13836"/>
    <w:rsid w:val="00E138BF"/>
    <w:rsid w:val="00E139F6"/>
    <w:rsid w:val="00E13A14"/>
    <w:rsid w:val="00E13A28"/>
    <w:rsid w:val="00E13A41"/>
    <w:rsid w:val="00E13A85"/>
    <w:rsid w:val="00E13B1A"/>
    <w:rsid w:val="00E13B3C"/>
    <w:rsid w:val="00E13BB8"/>
    <w:rsid w:val="00E13CF3"/>
    <w:rsid w:val="00E13D07"/>
    <w:rsid w:val="00E13D4F"/>
    <w:rsid w:val="00E13D50"/>
    <w:rsid w:val="00E13DEB"/>
    <w:rsid w:val="00E13E44"/>
    <w:rsid w:val="00E13F09"/>
    <w:rsid w:val="00E13F4A"/>
    <w:rsid w:val="00E13F8F"/>
    <w:rsid w:val="00E140B2"/>
    <w:rsid w:val="00E1412C"/>
    <w:rsid w:val="00E141B5"/>
    <w:rsid w:val="00E1429B"/>
    <w:rsid w:val="00E142B4"/>
    <w:rsid w:val="00E14442"/>
    <w:rsid w:val="00E145A6"/>
    <w:rsid w:val="00E14693"/>
    <w:rsid w:val="00E146AD"/>
    <w:rsid w:val="00E14733"/>
    <w:rsid w:val="00E1477F"/>
    <w:rsid w:val="00E148CB"/>
    <w:rsid w:val="00E14AE4"/>
    <w:rsid w:val="00E14BA9"/>
    <w:rsid w:val="00E14BE5"/>
    <w:rsid w:val="00E14D7E"/>
    <w:rsid w:val="00E14D9D"/>
    <w:rsid w:val="00E14DF6"/>
    <w:rsid w:val="00E14E31"/>
    <w:rsid w:val="00E14F7E"/>
    <w:rsid w:val="00E14FB7"/>
    <w:rsid w:val="00E14FFE"/>
    <w:rsid w:val="00E15056"/>
    <w:rsid w:val="00E1508E"/>
    <w:rsid w:val="00E15105"/>
    <w:rsid w:val="00E15288"/>
    <w:rsid w:val="00E153BA"/>
    <w:rsid w:val="00E15436"/>
    <w:rsid w:val="00E1543B"/>
    <w:rsid w:val="00E15440"/>
    <w:rsid w:val="00E1546D"/>
    <w:rsid w:val="00E154BF"/>
    <w:rsid w:val="00E154FF"/>
    <w:rsid w:val="00E1566C"/>
    <w:rsid w:val="00E156F3"/>
    <w:rsid w:val="00E15756"/>
    <w:rsid w:val="00E159D0"/>
    <w:rsid w:val="00E15A46"/>
    <w:rsid w:val="00E15C81"/>
    <w:rsid w:val="00E15DB1"/>
    <w:rsid w:val="00E15DF3"/>
    <w:rsid w:val="00E16038"/>
    <w:rsid w:val="00E160DE"/>
    <w:rsid w:val="00E161BD"/>
    <w:rsid w:val="00E16271"/>
    <w:rsid w:val="00E16278"/>
    <w:rsid w:val="00E16336"/>
    <w:rsid w:val="00E164A7"/>
    <w:rsid w:val="00E165B8"/>
    <w:rsid w:val="00E165CC"/>
    <w:rsid w:val="00E16600"/>
    <w:rsid w:val="00E1679A"/>
    <w:rsid w:val="00E167C9"/>
    <w:rsid w:val="00E167CA"/>
    <w:rsid w:val="00E16839"/>
    <w:rsid w:val="00E16A37"/>
    <w:rsid w:val="00E16B1A"/>
    <w:rsid w:val="00E16D42"/>
    <w:rsid w:val="00E16DD6"/>
    <w:rsid w:val="00E16DED"/>
    <w:rsid w:val="00E16E77"/>
    <w:rsid w:val="00E17005"/>
    <w:rsid w:val="00E17031"/>
    <w:rsid w:val="00E173CE"/>
    <w:rsid w:val="00E173FD"/>
    <w:rsid w:val="00E174D5"/>
    <w:rsid w:val="00E17552"/>
    <w:rsid w:val="00E176F2"/>
    <w:rsid w:val="00E17876"/>
    <w:rsid w:val="00E178B6"/>
    <w:rsid w:val="00E178B9"/>
    <w:rsid w:val="00E17925"/>
    <w:rsid w:val="00E179BC"/>
    <w:rsid w:val="00E17BAA"/>
    <w:rsid w:val="00E17C64"/>
    <w:rsid w:val="00E17D33"/>
    <w:rsid w:val="00E17D93"/>
    <w:rsid w:val="00E17DA5"/>
    <w:rsid w:val="00E17DEF"/>
    <w:rsid w:val="00E17E66"/>
    <w:rsid w:val="00E17ECE"/>
    <w:rsid w:val="00E17F8F"/>
    <w:rsid w:val="00E20040"/>
    <w:rsid w:val="00E20069"/>
    <w:rsid w:val="00E2026A"/>
    <w:rsid w:val="00E202D3"/>
    <w:rsid w:val="00E2041C"/>
    <w:rsid w:val="00E204F9"/>
    <w:rsid w:val="00E205C3"/>
    <w:rsid w:val="00E205ED"/>
    <w:rsid w:val="00E20648"/>
    <w:rsid w:val="00E20650"/>
    <w:rsid w:val="00E20667"/>
    <w:rsid w:val="00E2066F"/>
    <w:rsid w:val="00E2071F"/>
    <w:rsid w:val="00E207DD"/>
    <w:rsid w:val="00E2082C"/>
    <w:rsid w:val="00E2083D"/>
    <w:rsid w:val="00E208D7"/>
    <w:rsid w:val="00E20A54"/>
    <w:rsid w:val="00E20B13"/>
    <w:rsid w:val="00E20D75"/>
    <w:rsid w:val="00E20DF2"/>
    <w:rsid w:val="00E20E49"/>
    <w:rsid w:val="00E20E68"/>
    <w:rsid w:val="00E20F21"/>
    <w:rsid w:val="00E20F9F"/>
    <w:rsid w:val="00E20FB6"/>
    <w:rsid w:val="00E21002"/>
    <w:rsid w:val="00E211B3"/>
    <w:rsid w:val="00E2124D"/>
    <w:rsid w:val="00E21281"/>
    <w:rsid w:val="00E212C5"/>
    <w:rsid w:val="00E212E7"/>
    <w:rsid w:val="00E21326"/>
    <w:rsid w:val="00E2139C"/>
    <w:rsid w:val="00E21442"/>
    <w:rsid w:val="00E21519"/>
    <w:rsid w:val="00E215A5"/>
    <w:rsid w:val="00E215AF"/>
    <w:rsid w:val="00E21625"/>
    <w:rsid w:val="00E216E5"/>
    <w:rsid w:val="00E21766"/>
    <w:rsid w:val="00E21774"/>
    <w:rsid w:val="00E217C3"/>
    <w:rsid w:val="00E2183B"/>
    <w:rsid w:val="00E218DA"/>
    <w:rsid w:val="00E21942"/>
    <w:rsid w:val="00E21AAA"/>
    <w:rsid w:val="00E21B03"/>
    <w:rsid w:val="00E21B18"/>
    <w:rsid w:val="00E21D40"/>
    <w:rsid w:val="00E21D4D"/>
    <w:rsid w:val="00E21DF1"/>
    <w:rsid w:val="00E21E5A"/>
    <w:rsid w:val="00E21E89"/>
    <w:rsid w:val="00E21FBA"/>
    <w:rsid w:val="00E22074"/>
    <w:rsid w:val="00E2208E"/>
    <w:rsid w:val="00E220BB"/>
    <w:rsid w:val="00E220BC"/>
    <w:rsid w:val="00E22248"/>
    <w:rsid w:val="00E2241F"/>
    <w:rsid w:val="00E22426"/>
    <w:rsid w:val="00E22445"/>
    <w:rsid w:val="00E2250E"/>
    <w:rsid w:val="00E225E4"/>
    <w:rsid w:val="00E226D6"/>
    <w:rsid w:val="00E228C4"/>
    <w:rsid w:val="00E22A60"/>
    <w:rsid w:val="00E22AF9"/>
    <w:rsid w:val="00E22BD1"/>
    <w:rsid w:val="00E22D3B"/>
    <w:rsid w:val="00E22D7A"/>
    <w:rsid w:val="00E22E09"/>
    <w:rsid w:val="00E22E66"/>
    <w:rsid w:val="00E2301A"/>
    <w:rsid w:val="00E23113"/>
    <w:rsid w:val="00E231A1"/>
    <w:rsid w:val="00E232EB"/>
    <w:rsid w:val="00E23330"/>
    <w:rsid w:val="00E2333B"/>
    <w:rsid w:val="00E23385"/>
    <w:rsid w:val="00E233FC"/>
    <w:rsid w:val="00E2345E"/>
    <w:rsid w:val="00E234E8"/>
    <w:rsid w:val="00E23618"/>
    <w:rsid w:val="00E236A6"/>
    <w:rsid w:val="00E2389F"/>
    <w:rsid w:val="00E2394F"/>
    <w:rsid w:val="00E23976"/>
    <w:rsid w:val="00E23979"/>
    <w:rsid w:val="00E23B1D"/>
    <w:rsid w:val="00E23BFB"/>
    <w:rsid w:val="00E23C30"/>
    <w:rsid w:val="00E23D23"/>
    <w:rsid w:val="00E23D51"/>
    <w:rsid w:val="00E23DF2"/>
    <w:rsid w:val="00E23E87"/>
    <w:rsid w:val="00E23F27"/>
    <w:rsid w:val="00E23F87"/>
    <w:rsid w:val="00E23F8D"/>
    <w:rsid w:val="00E24061"/>
    <w:rsid w:val="00E241AE"/>
    <w:rsid w:val="00E2426E"/>
    <w:rsid w:val="00E242AC"/>
    <w:rsid w:val="00E242EE"/>
    <w:rsid w:val="00E24352"/>
    <w:rsid w:val="00E24375"/>
    <w:rsid w:val="00E243E8"/>
    <w:rsid w:val="00E24520"/>
    <w:rsid w:val="00E24557"/>
    <w:rsid w:val="00E245B3"/>
    <w:rsid w:val="00E24693"/>
    <w:rsid w:val="00E2469F"/>
    <w:rsid w:val="00E24822"/>
    <w:rsid w:val="00E2496E"/>
    <w:rsid w:val="00E24ACA"/>
    <w:rsid w:val="00E24C7B"/>
    <w:rsid w:val="00E24CB4"/>
    <w:rsid w:val="00E24D5E"/>
    <w:rsid w:val="00E24D86"/>
    <w:rsid w:val="00E24E4A"/>
    <w:rsid w:val="00E24E7C"/>
    <w:rsid w:val="00E24EDF"/>
    <w:rsid w:val="00E25057"/>
    <w:rsid w:val="00E2507C"/>
    <w:rsid w:val="00E2508A"/>
    <w:rsid w:val="00E25098"/>
    <w:rsid w:val="00E250E1"/>
    <w:rsid w:val="00E250F5"/>
    <w:rsid w:val="00E25108"/>
    <w:rsid w:val="00E251B0"/>
    <w:rsid w:val="00E2534E"/>
    <w:rsid w:val="00E253D9"/>
    <w:rsid w:val="00E25414"/>
    <w:rsid w:val="00E25485"/>
    <w:rsid w:val="00E2552E"/>
    <w:rsid w:val="00E2552F"/>
    <w:rsid w:val="00E255A1"/>
    <w:rsid w:val="00E25672"/>
    <w:rsid w:val="00E2574C"/>
    <w:rsid w:val="00E2581F"/>
    <w:rsid w:val="00E2595D"/>
    <w:rsid w:val="00E25A02"/>
    <w:rsid w:val="00E25AA7"/>
    <w:rsid w:val="00E25B23"/>
    <w:rsid w:val="00E25B35"/>
    <w:rsid w:val="00E25B51"/>
    <w:rsid w:val="00E25B5D"/>
    <w:rsid w:val="00E25B62"/>
    <w:rsid w:val="00E25BAA"/>
    <w:rsid w:val="00E25BB2"/>
    <w:rsid w:val="00E25C44"/>
    <w:rsid w:val="00E25C53"/>
    <w:rsid w:val="00E25CE8"/>
    <w:rsid w:val="00E25CEF"/>
    <w:rsid w:val="00E25D47"/>
    <w:rsid w:val="00E25E53"/>
    <w:rsid w:val="00E25EE5"/>
    <w:rsid w:val="00E25F4D"/>
    <w:rsid w:val="00E260A3"/>
    <w:rsid w:val="00E260C0"/>
    <w:rsid w:val="00E26122"/>
    <w:rsid w:val="00E26333"/>
    <w:rsid w:val="00E26382"/>
    <w:rsid w:val="00E2639A"/>
    <w:rsid w:val="00E263C7"/>
    <w:rsid w:val="00E264E6"/>
    <w:rsid w:val="00E266EC"/>
    <w:rsid w:val="00E26765"/>
    <w:rsid w:val="00E26771"/>
    <w:rsid w:val="00E2677D"/>
    <w:rsid w:val="00E267A9"/>
    <w:rsid w:val="00E2681A"/>
    <w:rsid w:val="00E26A9D"/>
    <w:rsid w:val="00E26ACB"/>
    <w:rsid w:val="00E26ACE"/>
    <w:rsid w:val="00E26B52"/>
    <w:rsid w:val="00E26BA0"/>
    <w:rsid w:val="00E26BFD"/>
    <w:rsid w:val="00E26D15"/>
    <w:rsid w:val="00E26EDA"/>
    <w:rsid w:val="00E26F52"/>
    <w:rsid w:val="00E26FF0"/>
    <w:rsid w:val="00E2700F"/>
    <w:rsid w:val="00E27030"/>
    <w:rsid w:val="00E270CD"/>
    <w:rsid w:val="00E27136"/>
    <w:rsid w:val="00E272DB"/>
    <w:rsid w:val="00E27342"/>
    <w:rsid w:val="00E273DD"/>
    <w:rsid w:val="00E274B8"/>
    <w:rsid w:val="00E27652"/>
    <w:rsid w:val="00E27664"/>
    <w:rsid w:val="00E2776E"/>
    <w:rsid w:val="00E277C0"/>
    <w:rsid w:val="00E277F7"/>
    <w:rsid w:val="00E278BC"/>
    <w:rsid w:val="00E278CB"/>
    <w:rsid w:val="00E27948"/>
    <w:rsid w:val="00E279D5"/>
    <w:rsid w:val="00E279F6"/>
    <w:rsid w:val="00E27B11"/>
    <w:rsid w:val="00E27B2F"/>
    <w:rsid w:val="00E27BC2"/>
    <w:rsid w:val="00E27C19"/>
    <w:rsid w:val="00E27C2C"/>
    <w:rsid w:val="00E27D1E"/>
    <w:rsid w:val="00E27DDB"/>
    <w:rsid w:val="00E27E21"/>
    <w:rsid w:val="00E27F1A"/>
    <w:rsid w:val="00E27F42"/>
    <w:rsid w:val="00E27F50"/>
    <w:rsid w:val="00E27FA2"/>
    <w:rsid w:val="00E3000B"/>
    <w:rsid w:val="00E300C7"/>
    <w:rsid w:val="00E3015E"/>
    <w:rsid w:val="00E30168"/>
    <w:rsid w:val="00E30185"/>
    <w:rsid w:val="00E30227"/>
    <w:rsid w:val="00E302D3"/>
    <w:rsid w:val="00E3030D"/>
    <w:rsid w:val="00E3036A"/>
    <w:rsid w:val="00E305CD"/>
    <w:rsid w:val="00E3060A"/>
    <w:rsid w:val="00E30646"/>
    <w:rsid w:val="00E306E2"/>
    <w:rsid w:val="00E3082B"/>
    <w:rsid w:val="00E3082D"/>
    <w:rsid w:val="00E30864"/>
    <w:rsid w:val="00E30AFB"/>
    <w:rsid w:val="00E30BB9"/>
    <w:rsid w:val="00E30BC7"/>
    <w:rsid w:val="00E30C9F"/>
    <w:rsid w:val="00E30CE7"/>
    <w:rsid w:val="00E30D99"/>
    <w:rsid w:val="00E30FB1"/>
    <w:rsid w:val="00E3102E"/>
    <w:rsid w:val="00E310CC"/>
    <w:rsid w:val="00E313DB"/>
    <w:rsid w:val="00E313F5"/>
    <w:rsid w:val="00E31418"/>
    <w:rsid w:val="00E3141D"/>
    <w:rsid w:val="00E31562"/>
    <w:rsid w:val="00E315A8"/>
    <w:rsid w:val="00E316B5"/>
    <w:rsid w:val="00E31702"/>
    <w:rsid w:val="00E317B1"/>
    <w:rsid w:val="00E317DC"/>
    <w:rsid w:val="00E31897"/>
    <w:rsid w:val="00E318A8"/>
    <w:rsid w:val="00E3198B"/>
    <w:rsid w:val="00E319F8"/>
    <w:rsid w:val="00E31A1F"/>
    <w:rsid w:val="00E31A2A"/>
    <w:rsid w:val="00E31AC8"/>
    <w:rsid w:val="00E31AEE"/>
    <w:rsid w:val="00E31B64"/>
    <w:rsid w:val="00E31B75"/>
    <w:rsid w:val="00E31C07"/>
    <w:rsid w:val="00E31D25"/>
    <w:rsid w:val="00E31D34"/>
    <w:rsid w:val="00E31D68"/>
    <w:rsid w:val="00E31ED7"/>
    <w:rsid w:val="00E31F15"/>
    <w:rsid w:val="00E31FFE"/>
    <w:rsid w:val="00E32066"/>
    <w:rsid w:val="00E32134"/>
    <w:rsid w:val="00E32152"/>
    <w:rsid w:val="00E3217A"/>
    <w:rsid w:val="00E321D2"/>
    <w:rsid w:val="00E321D5"/>
    <w:rsid w:val="00E321EE"/>
    <w:rsid w:val="00E3224E"/>
    <w:rsid w:val="00E322FC"/>
    <w:rsid w:val="00E322FE"/>
    <w:rsid w:val="00E323A2"/>
    <w:rsid w:val="00E3242E"/>
    <w:rsid w:val="00E3247E"/>
    <w:rsid w:val="00E32569"/>
    <w:rsid w:val="00E3259E"/>
    <w:rsid w:val="00E325BB"/>
    <w:rsid w:val="00E3268A"/>
    <w:rsid w:val="00E32852"/>
    <w:rsid w:val="00E328AA"/>
    <w:rsid w:val="00E3297F"/>
    <w:rsid w:val="00E32987"/>
    <w:rsid w:val="00E329D5"/>
    <w:rsid w:val="00E329E2"/>
    <w:rsid w:val="00E329F5"/>
    <w:rsid w:val="00E32A2C"/>
    <w:rsid w:val="00E32A34"/>
    <w:rsid w:val="00E32AB7"/>
    <w:rsid w:val="00E32B1D"/>
    <w:rsid w:val="00E32D0E"/>
    <w:rsid w:val="00E32D13"/>
    <w:rsid w:val="00E32E08"/>
    <w:rsid w:val="00E32F6F"/>
    <w:rsid w:val="00E33059"/>
    <w:rsid w:val="00E330C9"/>
    <w:rsid w:val="00E33140"/>
    <w:rsid w:val="00E3330E"/>
    <w:rsid w:val="00E33513"/>
    <w:rsid w:val="00E3351F"/>
    <w:rsid w:val="00E33686"/>
    <w:rsid w:val="00E337BA"/>
    <w:rsid w:val="00E337CA"/>
    <w:rsid w:val="00E33901"/>
    <w:rsid w:val="00E33918"/>
    <w:rsid w:val="00E33942"/>
    <w:rsid w:val="00E33958"/>
    <w:rsid w:val="00E3395D"/>
    <w:rsid w:val="00E33962"/>
    <w:rsid w:val="00E33992"/>
    <w:rsid w:val="00E3399E"/>
    <w:rsid w:val="00E33A06"/>
    <w:rsid w:val="00E33B1D"/>
    <w:rsid w:val="00E33BB4"/>
    <w:rsid w:val="00E33C9F"/>
    <w:rsid w:val="00E33D20"/>
    <w:rsid w:val="00E33E4B"/>
    <w:rsid w:val="00E33E57"/>
    <w:rsid w:val="00E33E68"/>
    <w:rsid w:val="00E34044"/>
    <w:rsid w:val="00E3411C"/>
    <w:rsid w:val="00E341D6"/>
    <w:rsid w:val="00E34214"/>
    <w:rsid w:val="00E34490"/>
    <w:rsid w:val="00E34492"/>
    <w:rsid w:val="00E34574"/>
    <w:rsid w:val="00E3458F"/>
    <w:rsid w:val="00E3472B"/>
    <w:rsid w:val="00E348F0"/>
    <w:rsid w:val="00E34921"/>
    <w:rsid w:val="00E34B05"/>
    <w:rsid w:val="00E34C78"/>
    <w:rsid w:val="00E34CA4"/>
    <w:rsid w:val="00E34CCE"/>
    <w:rsid w:val="00E34D9D"/>
    <w:rsid w:val="00E34E07"/>
    <w:rsid w:val="00E34E80"/>
    <w:rsid w:val="00E34F0D"/>
    <w:rsid w:val="00E34F2E"/>
    <w:rsid w:val="00E34F4C"/>
    <w:rsid w:val="00E34F9C"/>
    <w:rsid w:val="00E35024"/>
    <w:rsid w:val="00E3502B"/>
    <w:rsid w:val="00E35098"/>
    <w:rsid w:val="00E350E5"/>
    <w:rsid w:val="00E35274"/>
    <w:rsid w:val="00E352CB"/>
    <w:rsid w:val="00E352CD"/>
    <w:rsid w:val="00E3534B"/>
    <w:rsid w:val="00E353C6"/>
    <w:rsid w:val="00E3543D"/>
    <w:rsid w:val="00E354C5"/>
    <w:rsid w:val="00E3557F"/>
    <w:rsid w:val="00E35594"/>
    <w:rsid w:val="00E356DD"/>
    <w:rsid w:val="00E3582E"/>
    <w:rsid w:val="00E3583D"/>
    <w:rsid w:val="00E35989"/>
    <w:rsid w:val="00E35A04"/>
    <w:rsid w:val="00E35A5C"/>
    <w:rsid w:val="00E35B88"/>
    <w:rsid w:val="00E35CFC"/>
    <w:rsid w:val="00E35D29"/>
    <w:rsid w:val="00E35D60"/>
    <w:rsid w:val="00E35E6C"/>
    <w:rsid w:val="00E35EA9"/>
    <w:rsid w:val="00E35EB0"/>
    <w:rsid w:val="00E36073"/>
    <w:rsid w:val="00E36090"/>
    <w:rsid w:val="00E3644A"/>
    <w:rsid w:val="00E366F3"/>
    <w:rsid w:val="00E36756"/>
    <w:rsid w:val="00E3678C"/>
    <w:rsid w:val="00E3685C"/>
    <w:rsid w:val="00E368A4"/>
    <w:rsid w:val="00E369B9"/>
    <w:rsid w:val="00E36ACD"/>
    <w:rsid w:val="00E36AD5"/>
    <w:rsid w:val="00E36B7E"/>
    <w:rsid w:val="00E36C06"/>
    <w:rsid w:val="00E36DDD"/>
    <w:rsid w:val="00E36E0F"/>
    <w:rsid w:val="00E3705C"/>
    <w:rsid w:val="00E37101"/>
    <w:rsid w:val="00E3714E"/>
    <w:rsid w:val="00E371BE"/>
    <w:rsid w:val="00E373FD"/>
    <w:rsid w:val="00E37497"/>
    <w:rsid w:val="00E375C6"/>
    <w:rsid w:val="00E37678"/>
    <w:rsid w:val="00E3780E"/>
    <w:rsid w:val="00E3785D"/>
    <w:rsid w:val="00E3788D"/>
    <w:rsid w:val="00E378F9"/>
    <w:rsid w:val="00E37932"/>
    <w:rsid w:val="00E37949"/>
    <w:rsid w:val="00E37A7B"/>
    <w:rsid w:val="00E37B93"/>
    <w:rsid w:val="00E37DA5"/>
    <w:rsid w:val="00E37E3A"/>
    <w:rsid w:val="00E37FE9"/>
    <w:rsid w:val="00E401A1"/>
    <w:rsid w:val="00E401E3"/>
    <w:rsid w:val="00E40218"/>
    <w:rsid w:val="00E4029E"/>
    <w:rsid w:val="00E40323"/>
    <w:rsid w:val="00E40385"/>
    <w:rsid w:val="00E406E9"/>
    <w:rsid w:val="00E407B3"/>
    <w:rsid w:val="00E40882"/>
    <w:rsid w:val="00E408CA"/>
    <w:rsid w:val="00E4090A"/>
    <w:rsid w:val="00E409E8"/>
    <w:rsid w:val="00E40ABB"/>
    <w:rsid w:val="00E40B45"/>
    <w:rsid w:val="00E40C62"/>
    <w:rsid w:val="00E40C6A"/>
    <w:rsid w:val="00E40CB5"/>
    <w:rsid w:val="00E40DAE"/>
    <w:rsid w:val="00E40E29"/>
    <w:rsid w:val="00E40E5C"/>
    <w:rsid w:val="00E40EC0"/>
    <w:rsid w:val="00E40ED7"/>
    <w:rsid w:val="00E40F08"/>
    <w:rsid w:val="00E40F62"/>
    <w:rsid w:val="00E40FD5"/>
    <w:rsid w:val="00E4106D"/>
    <w:rsid w:val="00E410DB"/>
    <w:rsid w:val="00E41298"/>
    <w:rsid w:val="00E4134C"/>
    <w:rsid w:val="00E413F6"/>
    <w:rsid w:val="00E414B5"/>
    <w:rsid w:val="00E41542"/>
    <w:rsid w:val="00E4165B"/>
    <w:rsid w:val="00E416F2"/>
    <w:rsid w:val="00E4174F"/>
    <w:rsid w:val="00E4187E"/>
    <w:rsid w:val="00E41A43"/>
    <w:rsid w:val="00E41CB4"/>
    <w:rsid w:val="00E41DFF"/>
    <w:rsid w:val="00E41E3F"/>
    <w:rsid w:val="00E41E6B"/>
    <w:rsid w:val="00E41E90"/>
    <w:rsid w:val="00E41FB4"/>
    <w:rsid w:val="00E41FC3"/>
    <w:rsid w:val="00E41FFD"/>
    <w:rsid w:val="00E420A3"/>
    <w:rsid w:val="00E4219E"/>
    <w:rsid w:val="00E42229"/>
    <w:rsid w:val="00E42279"/>
    <w:rsid w:val="00E4232A"/>
    <w:rsid w:val="00E42344"/>
    <w:rsid w:val="00E42454"/>
    <w:rsid w:val="00E42685"/>
    <w:rsid w:val="00E426B2"/>
    <w:rsid w:val="00E427C2"/>
    <w:rsid w:val="00E4280F"/>
    <w:rsid w:val="00E4287B"/>
    <w:rsid w:val="00E428C4"/>
    <w:rsid w:val="00E4293E"/>
    <w:rsid w:val="00E429C3"/>
    <w:rsid w:val="00E429C8"/>
    <w:rsid w:val="00E42A1D"/>
    <w:rsid w:val="00E42ABF"/>
    <w:rsid w:val="00E42D0F"/>
    <w:rsid w:val="00E42D13"/>
    <w:rsid w:val="00E42D68"/>
    <w:rsid w:val="00E42D8B"/>
    <w:rsid w:val="00E42DAC"/>
    <w:rsid w:val="00E42DAE"/>
    <w:rsid w:val="00E42DC8"/>
    <w:rsid w:val="00E42DDD"/>
    <w:rsid w:val="00E42E4F"/>
    <w:rsid w:val="00E42E85"/>
    <w:rsid w:val="00E42EEC"/>
    <w:rsid w:val="00E42FAD"/>
    <w:rsid w:val="00E42FCB"/>
    <w:rsid w:val="00E43033"/>
    <w:rsid w:val="00E43151"/>
    <w:rsid w:val="00E43249"/>
    <w:rsid w:val="00E43373"/>
    <w:rsid w:val="00E433D3"/>
    <w:rsid w:val="00E433E7"/>
    <w:rsid w:val="00E433F8"/>
    <w:rsid w:val="00E434E4"/>
    <w:rsid w:val="00E4351C"/>
    <w:rsid w:val="00E43599"/>
    <w:rsid w:val="00E435B1"/>
    <w:rsid w:val="00E436A2"/>
    <w:rsid w:val="00E43773"/>
    <w:rsid w:val="00E437CB"/>
    <w:rsid w:val="00E4382E"/>
    <w:rsid w:val="00E43894"/>
    <w:rsid w:val="00E439C9"/>
    <w:rsid w:val="00E43A1A"/>
    <w:rsid w:val="00E43A3E"/>
    <w:rsid w:val="00E43B00"/>
    <w:rsid w:val="00E43B85"/>
    <w:rsid w:val="00E43C2B"/>
    <w:rsid w:val="00E43F0B"/>
    <w:rsid w:val="00E43F32"/>
    <w:rsid w:val="00E43F48"/>
    <w:rsid w:val="00E43F7B"/>
    <w:rsid w:val="00E43F83"/>
    <w:rsid w:val="00E44136"/>
    <w:rsid w:val="00E44167"/>
    <w:rsid w:val="00E444AA"/>
    <w:rsid w:val="00E44515"/>
    <w:rsid w:val="00E44555"/>
    <w:rsid w:val="00E445EA"/>
    <w:rsid w:val="00E445EB"/>
    <w:rsid w:val="00E44667"/>
    <w:rsid w:val="00E4467E"/>
    <w:rsid w:val="00E4470F"/>
    <w:rsid w:val="00E44797"/>
    <w:rsid w:val="00E447AD"/>
    <w:rsid w:val="00E44830"/>
    <w:rsid w:val="00E4484C"/>
    <w:rsid w:val="00E4488F"/>
    <w:rsid w:val="00E449D0"/>
    <w:rsid w:val="00E44ADF"/>
    <w:rsid w:val="00E44B0E"/>
    <w:rsid w:val="00E44C70"/>
    <w:rsid w:val="00E44D5D"/>
    <w:rsid w:val="00E44D9C"/>
    <w:rsid w:val="00E44DCB"/>
    <w:rsid w:val="00E44E04"/>
    <w:rsid w:val="00E44E84"/>
    <w:rsid w:val="00E44F74"/>
    <w:rsid w:val="00E4504A"/>
    <w:rsid w:val="00E451C5"/>
    <w:rsid w:val="00E4524D"/>
    <w:rsid w:val="00E452CE"/>
    <w:rsid w:val="00E453CE"/>
    <w:rsid w:val="00E453EF"/>
    <w:rsid w:val="00E4544D"/>
    <w:rsid w:val="00E45461"/>
    <w:rsid w:val="00E454D0"/>
    <w:rsid w:val="00E455F9"/>
    <w:rsid w:val="00E4572A"/>
    <w:rsid w:val="00E45786"/>
    <w:rsid w:val="00E45787"/>
    <w:rsid w:val="00E458D8"/>
    <w:rsid w:val="00E45923"/>
    <w:rsid w:val="00E45956"/>
    <w:rsid w:val="00E459B5"/>
    <w:rsid w:val="00E459B7"/>
    <w:rsid w:val="00E45BC2"/>
    <w:rsid w:val="00E45C0A"/>
    <w:rsid w:val="00E45C17"/>
    <w:rsid w:val="00E45C98"/>
    <w:rsid w:val="00E45CEF"/>
    <w:rsid w:val="00E45E6C"/>
    <w:rsid w:val="00E45E70"/>
    <w:rsid w:val="00E45EAA"/>
    <w:rsid w:val="00E45ECA"/>
    <w:rsid w:val="00E45F04"/>
    <w:rsid w:val="00E45F70"/>
    <w:rsid w:val="00E46051"/>
    <w:rsid w:val="00E4618D"/>
    <w:rsid w:val="00E46197"/>
    <w:rsid w:val="00E461B4"/>
    <w:rsid w:val="00E462CD"/>
    <w:rsid w:val="00E463D9"/>
    <w:rsid w:val="00E46414"/>
    <w:rsid w:val="00E4650F"/>
    <w:rsid w:val="00E46589"/>
    <w:rsid w:val="00E465D4"/>
    <w:rsid w:val="00E46669"/>
    <w:rsid w:val="00E46803"/>
    <w:rsid w:val="00E46836"/>
    <w:rsid w:val="00E469EF"/>
    <w:rsid w:val="00E46A10"/>
    <w:rsid w:val="00E46A4F"/>
    <w:rsid w:val="00E46AC4"/>
    <w:rsid w:val="00E46BD8"/>
    <w:rsid w:val="00E46BE6"/>
    <w:rsid w:val="00E46CDF"/>
    <w:rsid w:val="00E46DEF"/>
    <w:rsid w:val="00E46E11"/>
    <w:rsid w:val="00E46F50"/>
    <w:rsid w:val="00E46F5C"/>
    <w:rsid w:val="00E46F72"/>
    <w:rsid w:val="00E46F87"/>
    <w:rsid w:val="00E46FC1"/>
    <w:rsid w:val="00E46FE6"/>
    <w:rsid w:val="00E4718C"/>
    <w:rsid w:val="00E471AF"/>
    <w:rsid w:val="00E471B7"/>
    <w:rsid w:val="00E472DF"/>
    <w:rsid w:val="00E473EE"/>
    <w:rsid w:val="00E47430"/>
    <w:rsid w:val="00E4766F"/>
    <w:rsid w:val="00E476C3"/>
    <w:rsid w:val="00E4773F"/>
    <w:rsid w:val="00E477F6"/>
    <w:rsid w:val="00E478BC"/>
    <w:rsid w:val="00E479BC"/>
    <w:rsid w:val="00E479E4"/>
    <w:rsid w:val="00E47A5F"/>
    <w:rsid w:val="00E47A73"/>
    <w:rsid w:val="00E47B1E"/>
    <w:rsid w:val="00E47B78"/>
    <w:rsid w:val="00E47D20"/>
    <w:rsid w:val="00E47E20"/>
    <w:rsid w:val="00E47E2C"/>
    <w:rsid w:val="00E47E94"/>
    <w:rsid w:val="00E47FE6"/>
    <w:rsid w:val="00E500B6"/>
    <w:rsid w:val="00E500FF"/>
    <w:rsid w:val="00E502D7"/>
    <w:rsid w:val="00E50356"/>
    <w:rsid w:val="00E50406"/>
    <w:rsid w:val="00E505FF"/>
    <w:rsid w:val="00E5065E"/>
    <w:rsid w:val="00E5073D"/>
    <w:rsid w:val="00E507AC"/>
    <w:rsid w:val="00E507B7"/>
    <w:rsid w:val="00E507F5"/>
    <w:rsid w:val="00E50863"/>
    <w:rsid w:val="00E50979"/>
    <w:rsid w:val="00E5097D"/>
    <w:rsid w:val="00E50A0E"/>
    <w:rsid w:val="00E50AC1"/>
    <w:rsid w:val="00E50D52"/>
    <w:rsid w:val="00E50F5B"/>
    <w:rsid w:val="00E51006"/>
    <w:rsid w:val="00E51043"/>
    <w:rsid w:val="00E5107C"/>
    <w:rsid w:val="00E5107D"/>
    <w:rsid w:val="00E510E7"/>
    <w:rsid w:val="00E51125"/>
    <w:rsid w:val="00E511D0"/>
    <w:rsid w:val="00E5124A"/>
    <w:rsid w:val="00E51275"/>
    <w:rsid w:val="00E512B3"/>
    <w:rsid w:val="00E51320"/>
    <w:rsid w:val="00E51351"/>
    <w:rsid w:val="00E5148F"/>
    <w:rsid w:val="00E514DF"/>
    <w:rsid w:val="00E51539"/>
    <w:rsid w:val="00E51566"/>
    <w:rsid w:val="00E51622"/>
    <w:rsid w:val="00E51652"/>
    <w:rsid w:val="00E5168D"/>
    <w:rsid w:val="00E5177C"/>
    <w:rsid w:val="00E51793"/>
    <w:rsid w:val="00E517D5"/>
    <w:rsid w:val="00E51876"/>
    <w:rsid w:val="00E518A7"/>
    <w:rsid w:val="00E518D2"/>
    <w:rsid w:val="00E519A6"/>
    <w:rsid w:val="00E519E9"/>
    <w:rsid w:val="00E51AF9"/>
    <w:rsid w:val="00E51B25"/>
    <w:rsid w:val="00E51B3E"/>
    <w:rsid w:val="00E51B83"/>
    <w:rsid w:val="00E51B85"/>
    <w:rsid w:val="00E51BA2"/>
    <w:rsid w:val="00E51C83"/>
    <w:rsid w:val="00E51CC9"/>
    <w:rsid w:val="00E51CEA"/>
    <w:rsid w:val="00E51CEC"/>
    <w:rsid w:val="00E51D57"/>
    <w:rsid w:val="00E51E74"/>
    <w:rsid w:val="00E51F63"/>
    <w:rsid w:val="00E51FF2"/>
    <w:rsid w:val="00E520BC"/>
    <w:rsid w:val="00E5217B"/>
    <w:rsid w:val="00E5224B"/>
    <w:rsid w:val="00E5247D"/>
    <w:rsid w:val="00E524FA"/>
    <w:rsid w:val="00E52550"/>
    <w:rsid w:val="00E52560"/>
    <w:rsid w:val="00E5265E"/>
    <w:rsid w:val="00E526F1"/>
    <w:rsid w:val="00E5273C"/>
    <w:rsid w:val="00E529F5"/>
    <w:rsid w:val="00E52C5D"/>
    <w:rsid w:val="00E52C8D"/>
    <w:rsid w:val="00E52DF7"/>
    <w:rsid w:val="00E52E15"/>
    <w:rsid w:val="00E52E2A"/>
    <w:rsid w:val="00E52EF6"/>
    <w:rsid w:val="00E53078"/>
    <w:rsid w:val="00E530EB"/>
    <w:rsid w:val="00E532D6"/>
    <w:rsid w:val="00E533C4"/>
    <w:rsid w:val="00E53474"/>
    <w:rsid w:val="00E534A0"/>
    <w:rsid w:val="00E534A4"/>
    <w:rsid w:val="00E5356B"/>
    <w:rsid w:val="00E535DE"/>
    <w:rsid w:val="00E5364B"/>
    <w:rsid w:val="00E536A8"/>
    <w:rsid w:val="00E53767"/>
    <w:rsid w:val="00E537BB"/>
    <w:rsid w:val="00E53829"/>
    <w:rsid w:val="00E5383F"/>
    <w:rsid w:val="00E53849"/>
    <w:rsid w:val="00E53850"/>
    <w:rsid w:val="00E538B1"/>
    <w:rsid w:val="00E538B5"/>
    <w:rsid w:val="00E53911"/>
    <w:rsid w:val="00E53A2E"/>
    <w:rsid w:val="00E53A43"/>
    <w:rsid w:val="00E53A5C"/>
    <w:rsid w:val="00E53B0A"/>
    <w:rsid w:val="00E53B96"/>
    <w:rsid w:val="00E53CEF"/>
    <w:rsid w:val="00E53E00"/>
    <w:rsid w:val="00E53F01"/>
    <w:rsid w:val="00E53F27"/>
    <w:rsid w:val="00E53FD4"/>
    <w:rsid w:val="00E54084"/>
    <w:rsid w:val="00E540B4"/>
    <w:rsid w:val="00E54184"/>
    <w:rsid w:val="00E541B7"/>
    <w:rsid w:val="00E54221"/>
    <w:rsid w:val="00E5436D"/>
    <w:rsid w:val="00E5440C"/>
    <w:rsid w:val="00E544F9"/>
    <w:rsid w:val="00E54522"/>
    <w:rsid w:val="00E54537"/>
    <w:rsid w:val="00E54817"/>
    <w:rsid w:val="00E548BC"/>
    <w:rsid w:val="00E54A18"/>
    <w:rsid w:val="00E54BB3"/>
    <w:rsid w:val="00E54C95"/>
    <w:rsid w:val="00E54CAA"/>
    <w:rsid w:val="00E54CF2"/>
    <w:rsid w:val="00E54D2B"/>
    <w:rsid w:val="00E54D8B"/>
    <w:rsid w:val="00E54D96"/>
    <w:rsid w:val="00E54DFA"/>
    <w:rsid w:val="00E54E77"/>
    <w:rsid w:val="00E54FA1"/>
    <w:rsid w:val="00E54FDE"/>
    <w:rsid w:val="00E54FFB"/>
    <w:rsid w:val="00E55038"/>
    <w:rsid w:val="00E5503F"/>
    <w:rsid w:val="00E550D3"/>
    <w:rsid w:val="00E5512E"/>
    <w:rsid w:val="00E5517E"/>
    <w:rsid w:val="00E55278"/>
    <w:rsid w:val="00E55284"/>
    <w:rsid w:val="00E55346"/>
    <w:rsid w:val="00E5535F"/>
    <w:rsid w:val="00E55475"/>
    <w:rsid w:val="00E55562"/>
    <w:rsid w:val="00E5561B"/>
    <w:rsid w:val="00E556BB"/>
    <w:rsid w:val="00E55753"/>
    <w:rsid w:val="00E55760"/>
    <w:rsid w:val="00E557B7"/>
    <w:rsid w:val="00E5590A"/>
    <w:rsid w:val="00E55921"/>
    <w:rsid w:val="00E559B9"/>
    <w:rsid w:val="00E55A0A"/>
    <w:rsid w:val="00E55ADB"/>
    <w:rsid w:val="00E55BF7"/>
    <w:rsid w:val="00E55C6F"/>
    <w:rsid w:val="00E55D79"/>
    <w:rsid w:val="00E55DB3"/>
    <w:rsid w:val="00E55E34"/>
    <w:rsid w:val="00E55E52"/>
    <w:rsid w:val="00E55EB4"/>
    <w:rsid w:val="00E55F07"/>
    <w:rsid w:val="00E55F2B"/>
    <w:rsid w:val="00E55F5A"/>
    <w:rsid w:val="00E55F72"/>
    <w:rsid w:val="00E55F8D"/>
    <w:rsid w:val="00E56089"/>
    <w:rsid w:val="00E562A2"/>
    <w:rsid w:val="00E563B6"/>
    <w:rsid w:val="00E563DD"/>
    <w:rsid w:val="00E5650A"/>
    <w:rsid w:val="00E5652F"/>
    <w:rsid w:val="00E56591"/>
    <w:rsid w:val="00E565A2"/>
    <w:rsid w:val="00E566AA"/>
    <w:rsid w:val="00E56786"/>
    <w:rsid w:val="00E5680A"/>
    <w:rsid w:val="00E56838"/>
    <w:rsid w:val="00E56886"/>
    <w:rsid w:val="00E56887"/>
    <w:rsid w:val="00E568D3"/>
    <w:rsid w:val="00E56A1E"/>
    <w:rsid w:val="00E56A3C"/>
    <w:rsid w:val="00E56B27"/>
    <w:rsid w:val="00E56BF7"/>
    <w:rsid w:val="00E56C1C"/>
    <w:rsid w:val="00E56C76"/>
    <w:rsid w:val="00E56CCE"/>
    <w:rsid w:val="00E56CDD"/>
    <w:rsid w:val="00E56D5B"/>
    <w:rsid w:val="00E56DB8"/>
    <w:rsid w:val="00E56E29"/>
    <w:rsid w:val="00E56E42"/>
    <w:rsid w:val="00E56F45"/>
    <w:rsid w:val="00E56F8A"/>
    <w:rsid w:val="00E570EB"/>
    <w:rsid w:val="00E57118"/>
    <w:rsid w:val="00E57183"/>
    <w:rsid w:val="00E571D2"/>
    <w:rsid w:val="00E57220"/>
    <w:rsid w:val="00E5728B"/>
    <w:rsid w:val="00E573D5"/>
    <w:rsid w:val="00E5744F"/>
    <w:rsid w:val="00E574EC"/>
    <w:rsid w:val="00E5769E"/>
    <w:rsid w:val="00E57741"/>
    <w:rsid w:val="00E57A1F"/>
    <w:rsid w:val="00E57A48"/>
    <w:rsid w:val="00E57ACE"/>
    <w:rsid w:val="00E57B3F"/>
    <w:rsid w:val="00E57CE0"/>
    <w:rsid w:val="00E57D4F"/>
    <w:rsid w:val="00E57E3D"/>
    <w:rsid w:val="00E57F16"/>
    <w:rsid w:val="00E57F9C"/>
    <w:rsid w:val="00E57FDE"/>
    <w:rsid w:val="00E601F3"/>
    <w:rsid w:val="00E601F4"/>
    <w:rsid w:val="00E60212"/>
    <w:rsid w:val="00E602F7"/>
    <w:rsid w:val="00E60373"/>
    <w:rsid w:val="00E60467"/>
    <w:rsid w:val="00E60488"/>
    <w:rsid w:val="00E604B9"/>
    <w:rsid w:val="00E60587"/>
    <w:rsid w:val="00E60828"/>
    <w:rsid w:val="00E60848"/>
    <w:rsid w:val="00E608F4"/>
    <w:rsid w:val="00E60994"/>
    <w:rsid w:val="00E60A5B"/>
    <w:rsid w:val="00E60AD7"/>
    <w:rsid w:val="00E60AE5"/>
    <w:rsid w:val="00E60AE6"/>
    <w:rsid w:val="00E60AFA"/>
    <w:rsid w:val="00E60B0A"/>
    <w:rsid w:val="00E60BDE"/>
    <w:rsid w:val="00E60BF0"/>
    <w:rsid w:val="00E60CD8"/>
    <w:rsid w:val="00E60DD7"/>
    <w:rsid w:val="00E60EA9"/>
    <w:rsid w:val="00E60ED7"/>
    <w:rsid w:val="00E60FD1"/>
    <w:rsid w:val="00E60FE4"/>
    <w:rsid w:val="00E60FEF"/>
    <w:rsid w:val="00E6102C"/>
    <w:rsid w:val="00E61053"/>
    <w:rsid w:val="00E61063"/>
    <w:rsid w:val="00E61086"/>
    <w:rsid w:val="00E6109D"/>
    <w:rsid w:val="00E61132"/>
    <w:rsid w:val="00E611EC"/>
    <w:rsid w:val="00E61225"/>
    <w:rsid w:val="00E61325"/>
    <w:rsid w:val="00E61494"/>
    <w:rsid w:val="00E61536"/>
    <w:rsid w:val="00E615F9"/>
    <w:rsid w:val="00E61764"/>
    <w:rsid w:val="00E61809"/>
    <w:rsid w:val="00E61812"/>
    <w:rsid w:val="00E61929"/>
    <w:rsid w:val="00E6193C"/>
    <w:rsid w:val="00E61A22"/>
    <w:rsid w:val="00E61B8A"/>
    <w:rsid w:val="00E61B94"/>
    <w:rsid w:val="00E61B9F"/>
    <w:rsid w:val="00E61BA9"/>
    <w:rsid w:val="00E61C74"/>
    <w:rsid w:val="00E61C9E"/>
    <w:rsid w:val="00E61CC2"/>
    <w:rsid w:val="00E61D07"/>
    <w:rsid w:val="00E61D14"/>
    <w:rsid w:val="00E61D7E"/>
    <w:rsid w:val="00E61DF7"/>
    <w:rsid w:val="00E61E66"/>
    <w:rsid w:val="00E61F13"/>
    <w:rsid w:val="00E61F14"/>
    <w:rsid w:val="00E61F3F"/>
    <w:rsid w:val="00E61F4A"/>
    <w:rsid w:val="00E61F76"/>
    <w:rsid w:val="00E6200D"/>
    <w:rsid w:val="00E6203E"/>
    <w:rsid w:val="00E62043"/>
    <w:rsid w:val="00E6207A"/>
    <w:rsid w:val="00E62288"/>
    <w:rsid w:val="00E622A6"/>
    <w:rsid w:val="00E62426"/>
    <w:rsid w:val="00E62547"/>
    <w:rsid w:val="00E62563"/>
    <w:rsid w:val="00E6256B"/>
    <w:rsid w:val="00E625BA"/>
    <w:rsid w:val="00E625E3"/>
    <w:rsid w:val="00E62761"/>
    <w:rsid w:val="00E6276C"/>
    <w:rsid w:val="00E627DF"/>
    <w:rsid w:val="00E62871"/>
    <w:rsid w:val="00E6290A"/>
    <w:rsid w:val="00E62A3A"/>
    <w:rsid w:val="00E62A77"/>
    <w:rsid w:val="00E62A91"/>
    <w:rsid w:val="00E62AD0"/>
    <w:rsid w:val="00E62BC2"/>
    <w:rsid w:val="00E62DA2"/>
    <w:rsid w:val="00E62E80"/>
    <w:rsid w:val="00E62EB8"/>
    <w:rsid w:val="00E62F8E"/>
    <w:rsid w:val="00E62FEE"/>
    <w:rsid w:val="00E6303D"/>
    <w:rsid w:val="00E6306C"/>
    <w:rsid w:val="00E630A4"/>
    <w:rsid w:val="00E631B4"/>
    <w:rsid w:val="00E63201"/>
    <w:rsid w:val="00E63279"/>
    <w:rsid w:val="00E632D1"/>
    <w:rsid w:val="00E63362"/>
    <w:rsid w:val="00E633AB"/>
    <w:rsid w:val="00E633B8"/>
    <w:rsid w:val="00E63463"/>
    <w:rsid w:val="00E634B0"/>
    <w:rsid w:val="00E634C0"/>
    <w:rsid w:val="00E634D3"/>
    <w:rsid w:val="00E634F6"/>
    <w:rsid w:val="00E63532"/>
    <w:rsid w:val="00E63546"/>
    <w:rsid w:val="00E635C6"/>
    <w:rsid w:val="00E63634"/>
    <w:rsid w:val="00E636BB"/>
    <w:rsid w:val="00E63715"/>
    <w:rsid w:val="00E63732"/>
    <w:rsid w:val="00E6374C"/>
    <w:rsid w:val="00E63809"/>
    <w:rsid w:val="00E63955"/>
    <w:rsid w:val="00E63B0C"/>
    <w:rsid w:val="00E63B50"/>
    <w:rsid w:val="00E63BD2"/>
    <w:rsid w:val="00E63BD6"/>
    <w:rsid w:val="00E63CC5"/>
    <w:rsid w:val="00E63D37"/>
    <w:rsid w:val="00E63DAA"/>
    <w:rsid w:val="00E64074"/>
    <w:rsid w:val="00E640A6"/>
    <w:rsid w:val="00E64144"/>
    <w:rsid w:val="00E6418A"/>
    <w:rsid w:val="00E641AE"/>
    <w:rsid w:val="00E64278"/>
    <w:rsid w:val="00E64285"/>
    <w:rsid w:val="00E643B8"/>
    <w:rsid w:val="00E645D7"/>
    <w:rsid w:val="00E64748"/>
    <w:rsid w:val="00E64781"/>
    <w:rsid w:val="00E6480B"/>
    <w:rsid w:val="00E6482C"/>
    <w:rsid w:val="00E64882"/>
    <w:rsid w:val="00E648D5"/>
    <w:rsid w:val="00E64980"/>
    <w:rsid w:val="00E64B06"/>
    <w:rsid w:val="00E64C4B"/>
    <w:rsid w:val="00E64C68"/>
    <w:rsid w:val="00E64D00"/>
    <w:rsid w:val="00E64DCB"/>
    <w:rsid w:val="00E64E3C"/>
    <w:rsid w:val="00E64E82"/>
    <w:rsid w:val="00E64EF5"/>
    <w:rsid w:val="00E65076"/>
    <w:rsid w:val="00E6510B"/>
    <w:rsid w:val="00E6511B"/>
    <w:rsid w:val="00E65239"/>
    <w:rsid w:val="00E65315"/>
    <w:rsid w:val="00E65316"/>
    <w:rsid w:val="00E6533C"/>
    <w:rsid w:val="00E6539F"/>
    <w:rsid w:val="00E65426"/>
    <w:rsid w:val="00E65441"/>
    <w:rsid w:val="00E6551D"/>
    <w:rsid w:val="00E6554F"/>
    <w:rsid w:val="00E65746"/>
    <w:rsid w:val="00E65791"/>
    <w:rsid w:val="00E657DE"/>
    <w:rsid w:val="00E65823"/>
    <w:rsid w:val="00E6583C"/>
    <w:rsid w:val="00E65916"/>
    <w:rsid w:val="00E6599F"/>
    <w:rsid w:val="00E65B72"/>
    <w:rsid w:val="00E65CA1"/>
    <w:rsid w:val="00E65CB9"/>
    <w:rsid w:val="00E65D1C"/>
    <w:rsid w:val="00E65D47"/>
    <w:rsid w:val="00E65D9A"/>
    <w:rsid w:val="00E65DD2"/>
    <w:rsid w:val="00E65E4C"/>
    <w:rsid w:val="00E65EBE"/>
    <w:rsid w:val="00E65EE1"/>
    <w:rsid w:val="00E65EE9"/>
    <w:rsid w:val="00E660F6"/>
    <w:rsid w:val="00E66186"/>
    <w:rsid w:val="00E66214"/>
    <w:rsid w:val="00E662DD"/>
    <w:rsid w:val="00E6641E"/>
    <w:rsid w:val="00E66455"/>
    <w:rsid w:val="00E66471"/>
    <w:rsid w:val="00E6649B"/>
    <w:rsid w:val="00E666C7"/>
    <w:rsid w:val="00E666CE"/>
    <w:rsid w:val="00E66726"/>
    <w:rsid w:val="00E6673D"/>
    <w:rsid w:val="00E66783"/>
    <w:rsid w:val="00E667E3"/>
    <w:rsid w:val="00E66A40"/>
    <w:rsid w:val="00E66AAD"/>
    <w:rsid w:val="00E66AEE"/>
    <w:rsid w:val="00E66BC8"/>
    <w:rsid w:val="00E66C31"/>
    <w:rsid w:val="00E66C4F"/>
    <w:rsid w:val="00E66DB1"/>
    <w:rsid w:val="00E66EFC"/>
    <w:rsid w:val="00E66FAB"/>
    <w:rsid w:val="00E67025"/>
    <w:rsid w:val="00E6715B"/>
    <w:rsid w:val="00E67177"/>
    <w:rsid w:val="00E67192"/>
    <w:rsid w:val="00E67233"/>
    <w:rsid w:val="00E672A0"/>
    <w:rsid w:val="00E675A4"/>
    <w:rsid w:val="00E67608"/>
    <w:rsid w:val="00E67674"/>
    <w:rsid w:val="00E67749"/>
    <w:rsid w:val="00E67810"/>
    <w:rsid w:val="00E67814"/>
    <w:rsid w:val="00E67838"/>
    <w:rsid w:val="00E678F5"/>
    <w:rsid w:val="00E67AEE"/>
    <w:rsid w:val="00E67B23"/>
    <w:rsid w:val="00E67C18"/>
    <w:rsid w:val="00E67C53"/>
    <w:rsid w:val="00E67C85"/>
    <w:rsid w:val="00E67D74"/>
    <w:rsid w:val="00E67DA9"/>
    <w:rsid w:val="00E67E38"/>
    <w:rsid w:val="00E67F20"/>
    <w:rsid w:val="00E67F36"/>
    <w:rsid w:val="00E67F67"/>
    <w:rsid w:val="00E67FF2"/>
    <w:rsid w:val="00E70045"/>
    <w:rsid w:val="00E70143"/>
    <w:rsid w:val="00E70152"/>
    <w:rsid w:val="00E70175"/>
    <w:rsid w:val="00E701B7"/>
    <w:rsid w:val="00E703C3"/>
    <w:rsid w:val="00E70436"/>
    <w:rsid w:val="00E70492"/>
    <w:rsid w:val="00E70495"/>
    <w:rsid w:val="00E704DE"/>
    <w:rsid w:val="00E704FE"/>
    <w:rsid w:val="00E70508"/>
    <w:rsid w:val="00E7051D"/>
    <w:rsid w:val="00E705A6"/>
    <w:rsid w:val="00E70623"/>
    <w:rsid w:val="00E706D6"/>
    <w:rsid w:val="00E70728"/>
    <w:rsid w:val="00E7086A"/>
    <w:rsid w:val="00E709CA"/>
    <w:rsid w:val="00E70A2C"/>
    <w:rsid w:val="00E70A4A"/>
    <w:rsid w:val="00E70AB2"/>
    <w:rsid w:val="00E70AD4"/>
    <w:rsid w:val="00E70B4A"/>
    <w:rsid w:val="00E70BCD"/>
    <w:rsid w:val="00E70BFC"/>
    <w:rsid w:val="00E70CB1"/>
    <w:rsid w:val="00E70DA7"/>
    <w:rsid w:val="00E70EED"/>
    <w:rsid w:val="00E70F13"/>
    <w:rsid w:val="00E7102C"/>
    <w:rsid w:val="00E710F3"/>
    <w:rsid w:val="00E710F6"/>
    <w:rsid w:val="00E71101"/>
    <w:rsid w:val="00E711AC"/>
    <w:rsid w:val="00E71285"/>
    <w:rsid w:val="00E712B0"/>
    <w:rsid w:val="00E714C0"/>
    <w:rsid w:val="00E714FF"/>
    <w:rsid w:val="00E7159D"/>
    <w:rsid w:val="00E7161F"/>
    <w:rsid w:val="00E71664"/>
    <w:rsid w:val="00E71700"/>
    <w:rsid w:val="00E71828"/>
    <w:rsid w:val="00E7198B"/>
    <w:rsid w:val="00E71A4F"/>
    <w:rsid w:val="00E71B02"/>
    <w:rsid w:val="00E71B47"/>
    <w:rsid w:val="00E71B58"/>
    <w:rsid w:val="00E71BCE"/>
    <w:rsid w:val="00E71CB2"/>
    <w:rsid w:val="00E71CD5"/>
    <w:rsid w:val="00E71DFA"/>
    <w:rsid w:val="00E71E7A"/>
    <w:rsid w:val="00E71EFD"/>
    <w:rsid w:val="00E71FC4"/>
    <w:rsid w:val="00E71FF4"/>
    <w:rsid w:val="00E72059"/>
    <w:rsid w:val="00E72138"/>
    <w:rsid w:val="00E7221D"/>
    <w:rsid w:val="00E7221E"/>
    <w:rsid w:val="00E72227"/>
    <w:rsid w:val="00E7229C"/>
    <w:rsid w:val="00E723AF"/>
    <w:rsid w:val="00E723B5"/>
    <w:rsid w:val="00E7241D"/>
    <w:rsid w:val="00E72449"/>
    <w:rsid w:val="00E72466"/>
    <w:rsid w:val="00E724BA"/>
    <w:rsid w:val="00E724E2"/>
    <w:rsid w:val="00E724E9"/>
    <w:rsid w:val="00E72674"/>
    <w:rsid w:val="00E727A3"/>
    <w:rsid w:val="00E727CF"/>
    <w:rsid w:val="00E72827"/>
    <w:rsid w:val="00E7287F"/>
    <w:rsid w:val="00E72960"/>
    <w:rsid w:val="00E729C3"/>
    <w:rsid w:val="00E72ACE"/>
    <w:rsid w:val="00E72B06"/>
    <w:rsid w:val="00E72B9D"/>
    <w:rsid w:val="00E72BD4"/>
    <w:rsid w:val="00E72D14"/>
    <w:rsid w:val="00E72EC2"/>
    <w:rsid w:val="00E72F35"/>
    <w:rsid w:val="00E72F8C"/>
    <w:rsid w:val="00E73022"/>
    <w:rsid w:val="00E73050"/>
    <w:rsid w:val="00E73067"/>
    <w:rsid w:val="00E730F0"/>
    <w:rsid w:val="00E73146"/>
    <w:rsid w:val="00E73277"/>
    <w:rsid w:val="00E73326"/>
    <w:rsid w:val="00E733D3"/>
    <w:rsid w:val="00E7342F"/>
    <w:rsid w:val="00E7345E"/>
    <w:rsid w:val="00E7346B"/>
    <w:rsid w:val="00E73509"/>
    <w:rsid w:val="00E73570"/>
    <w:rsid w:val="00E7358D"/>
    <w:rsid w:val="00E736C9"/>
    <w:rsid w:val="00E7372D"/>
    <w:rsid w:val="00E737B4"/>
    <w:rsid w:val="00E737BD"/>
    <w:rsid w:val="00E7390D"/>
    <w:rsid w:val="00E73910"/>
    <w:rsid w:val="00E73934"/>
    <w:rsid w:val="00E7393F"/>
    <w:rsid w:val="00E73A5E"/>
    <w:rsid w:val="00E73BB0"/>
    <w:rsid w:val="00E73C0C"/>
    <w:rsid w:val="00E73C71"/>
    <w:rsid w:val="00E73E76"/>
    <w:rsid w:val="00E73E92"/>
    <w:rsid w:val="00E73EA9"/>
    <w:rsid w:val="00E73F63"/>
    <w:rsid w:val="00E73F8F"/>
    <w:rsid w:val="00E73FE2"/>
    <w:rsid w:val="00E74044"/>
    <w:rsid w:val="00E74083"/>
    <w:rsid w:val="00E740B4"/>
    <w:rsid w:val="00E74108"/>
    <w:rsid w:val="00E7414F"/>
    <w:rsid w:val="00E74177"/>
    <w:rsid w:val="00E741B7"/>
    <w:rsid w:val="00E74245"/>
    <w:rsid w:val="00E743A8"/>
    <w:rsid w:val="00E744B4"/>
    <w:rsid w:val="00E7455B"/>
    <w:rsid w:val="00E7456A"/>
    <w:rsid w:val="00E7456C"/>
    <w:rsid w:val="00E74602"/>
    <w:rsid w:val="00E74655"/>
    <w:rsid w:val="00E74730"/>
    <w:rsid w:val="00E747CA"/>
    <w:rsid w:val="00E74852"/>
    <w:rsid w:val="00E748AE"/>
    <w:rsid w:val="00E749FC"/>
    <w:rsid w:val="00E74A54"/>
    <w:rsid w:val="00E74BA5"/>
    <w:rsid w:val="00E74BA6"/>
    <w:rsid w:val="00E74BAB"/>
    <w:rsid w:val="00E74BBD"/>
    <w:rsid w:val="00E74BD4"/>
    <w:rsid w:val="00E74C90"/>
    <w:rsid w:val="00E74CEF"/>
    <w:rsid w:val="00E74D1C"/>
    <w:rsid w:val="00E74D69"/>
    <w:rsid w:val="00E74EED"/>
    <w:rsid w:val="00E74F52"/>
    <w:rsid w:val="00E74F8D"/>
    <w:rsid w:val="00E74FA3"/>
    <w:rsid w:val="00E74FD2"/>
    <w:rsid w:val="00E74FD3"/>
    <w:rsid w:val="00E75004"/>
    <w:rsid w:val="00E752A0"/>
    <w:rsid w:val="00E752DD"/>
    <w:rsid w:val="00E753D4"/>
    <w:rsid w:val="00E75490"/>
    <w:rsid w:val="00E755A7"/>
    <w:rsid w:val="00E75659"/>
    <w:rsid w:val="00E75669"/>
    <w:rsid w:val="00E75689"/>
    <w:rsid w:val="00E75717"/>
    <w:rsid w:val="00E75779"/>
    <w:rsid w:val="00E759AA"/>
    <w:rsid w:val="00E75BDB"/>
    <w:rsid w:val="00E75D25"/>
    <w:rsid w:val="00E75D34"/>
    <w:rsid w:val="00E75E47"/>
    <w:rsid w:val="00E75E7E"/>
    <w:rsid w:val="00E75EBD"/>
    <w:rsid w:val="00E75EDF"/>
    <w:rsid w:val="00E75F56"/>
    <w:rsid w:val="00E75FE5"/>
    <w:rsid w:val="00E760D5"/>
    <w:rsid w:val="00E7615F"/>
    <w:rsid w:val="00E762D0"/>
    <w:rsid w:val="00E762E8"/>
    <w:rsid w:val="00E7630A"/>
    <w:rsid w:val="00E76331"/>
    <w:rsid w:val="00E76355"/>
    <w:rsid w:val="00E763F7"/>
    <w:rsid w:val="00E76454"/>
    <w:rsid w:val="00E764AA"/>
    <w:rsid w:val="00E764CA"/>
    <w:rsid w:val="00E765B8"/>
    <w:rsid w:val="00E765BA"/>
    <w:rsid w:val="00E7664A"/>
    <w:rsid w:val="00E7676E"/>
    <w:rsid w:val="00E7677D"/>
    <w:rsid w:val="00E7695A"/>
    <w:rsid w:val="00E769C4"/>
    <w:rsid w:val="00E769E3"/>
    <w:rsid w:val="00E769FC"/>
    <w:rsid w:val="00E76A58"/>
    <w:rsid w:val="00E76ACB"/>
    <w:rsid w:val="00E76AE0"/>
    <w:rsid w:val="00E76B56"/>
    <w:rsid w:val="00E76B9C"/>
    <w:rsid w:val="00E76C1C"/>
    <w:rsid w:val="00E76C42"/>
    <w:rsid w:val="00E76D69"/>
    <w:rsid w:val="00E770CD"/>
    <w:rsid w:val="00E770E6"/>
    <w:rsid w:val="00E77155"/>
    <w:rsid w:val="00E77296"/>
    <w:rsid w:val="00E772C1"/>
    <w:rsid w:val="00E77324"/>
    <w:rsid w:val="00E777CB"/>
    <w:rsid w:val="00E7794A"/>
    <w:rsid w:val="00E77975"/>
    <w:rsid w:val="00E779D7"/>
    <w:rsid w:val="00E77A61"/>
    <w:rsid w:val="00E77AC8"/>
    <w:rsid w:val="00E77AD8"/>
    <w:rsid w:val="00E77B37"/>
    <w:rsid w:val="00E77B62"/>
    <w:rsid w:val="00E77B94"/>
    <w:rsid w:val="00E77C09"/>
    <w:rsid w:val="00E77DDB"/>
    <w:rsid w:val="00E77F77"/>
    <w:rsid w:val="00E77F78"/>
    <w:rsid w:val="00E77F97"/>
    <w:rsid w:val="00E77FB9"/>
    <w:rsid w:val="00E77FBB"/>
    <w:rsid w:val="00E77FBE"/>
    <w:rsid w:val="00E80064"/>
    <w:rsid w:val="00E800B1"/>
    <w:rsid w:val="00E8011D"/>
    <w:rsid w:val="00E80161"/>
    <w:rsid w:val="00E801A9"/>
    <w:rsid w:val="00E80212"/>
    <w:rsid w:val="00E80236"/>
    <w:rsid w:val="00E80447"/>
    <w:rsid w:val="00E80566"/>
    <w:rsid w:val="00E805A0"/>
    <w:rsid w:val="00E8064E"/>
    <w:rsid w:val="00E8069C"/>
    <w:rsid w:val="00E80719"/>
    <w:rsid w:val="00E807E0"/>
    <w:rsid w:val="00E807EB"/>
    <w:rsid w:val="00E807F6"/>
    <w:rsid w:val="00E8087A"/>
    <w:rsid w:val="00E809F2"/>
    <w:rsid w:val="00E80A89"/>
    <w:rsid w:val="00E80AB7"/>
    <w:rsid w:val="00E80AE8"/>
    <w:rsid w:val="00E80B3E"/>
    <w:rsid w:val="00E80B53"/>
    <w:rsid w:val="00E80B7B"/>
    <w:rsid w:val="00E80BA0"/>
    <w:rsid w:val="00E80BC2"/>
    <w:rsid w:val="00E80D1E"/>
    <w:rsid w:val="00E80D24"/>
    <w:rsid w:val="00E80DC5"/>
    <w:rsid w:val="00E80F92"/>
    <w:rsid w:val="00E81014"/>
    <w:rsid w:val="00E810A3"/>
    <w:rsid w:val="00E81172"/>
    <w:rsid w:val="00E81276"/>
    <w:rsid w:val="00E81325"/>
    <w:rsid w:val="00E8137E"/>
    <w:rsid w:val="00E814F6"/>
    <w:rsid w:val="00E81547"/>
    <w:rsid w:val="00E81572"/>
    <w:rsid w:val="00E8167E"/>
    <w:rsid w:val="00E816D9"/>
    <w:rsid w:val="00E8171F"/>
    <w:rsid w:val="00E817BF"/>
    <w:rsid w:val="00E817DB"/>
    <w:rsid w:val="00E81857"/>
    <w:rsid w:val="00E818D5"/>
    <w:rsid w:val="00E81954"/>
    <w:rsid w:val="00E81981"/>
    <w:rsid w:val="00E819AC"/>
    <w:rsid w:val="00E819F1"/>
    <w:rsid w:val="00E81A06"/>
    <w:rsid w:val="00E81A5E"/>
    <w:rsid w:val="00E81A87"/>
    <w:rsid w:val="00E81AA7"/>
    <w:rsid w:val="00E81B2C"/>
    <w:rsid w:val="00E81BEB"/>
    <w:rsid w:val="00E81C02"/>
    <w:rsid w:val="00E81C06"/>
    <w:rsid w:val="00E81DCD"/>
    <w:rsid w:val="00E81E70"/>
    <w:rsid w:val="00E81FB5"/>
    <w:rsid w:val="00E8207F"/>
    <w:rsid w:val="00E82090"/>
    <w:rsid w:val="00E820E4"/>
    <w:rsid w:val="00E82172"/>
    <w:rsid w:val="00E8219E"/>
    <w:rsid w:val="00E82285"/>
    <w:rsid w:val="00E822A8"/>
    <w:rsid w:val="00E82359"/>
    <w:rsid w:val="00E823F4"/>
    <w:rsid w:val="00E82439"/>
    <w:rsid w:val="00E8271D"/>
    <w:rsid w:val="00E827AF"/>
    <w:rsid w:val="00E827B8"/>
    <w:rsid w:val="00E827CA"/>
    <w:rsid w:val="00E8294B"/>
    <w:rsid w:val="00E829E6"/>
    <w:rsid w:val="00E82A15"/>
    <w:rsid w:val="00E82B5C"/>
    <w:rsid w:val="00E82BCB"/>
    <w:rsid w:val="00E82C0F"/>
    <w:rsid w:val="00E82D4A"/>
    <w:rsid w:val="00E82D51"/>
    <w:rsid w:val="00E82DB7"/>
    <w:rsid w:val="00E82EBC"/>
    <w:rsid w:val="00E82F35"/>
    <w:rsid w:val="00E8315B"/>
    <w:rsid w:val="00E8315F"/>
    <w:rsid w:val="00E83249"/>
    <w:rsid w:val="00E83271"/>
    <w:rsid w:val="00E8364F"/>
    <w:rsid w:val="00E836E7"/>
    <w:rsid w:val="00E83948"/>
    <w:rsid w:val="00E83AD3"/>
    <w:rsid w:val="00E83BA3"/>
    <w:rsid w:val="00E83C76"/>
    <w:rsid w:val="00E83C95"/>
    <w:rsid w:val="00E83CF9"/>
    <w:rsid w:val="00E83D76"/>
    <w:rsid w:val="00E83D97"/>
    <w:rsid w:val="00E83E0F"/>
    <w:rsid w:val="00E83EEF"/>
    <w:rsid w:val="00E83F07"/>
    <w:rsid w:val="00E83F3E"/>
    <w:rsid w:val="00E83F53"/>
    <w:rsid w:val="00E8411F"/>
    <w:rsid w:val="00E84122"/>
    <w:rsid w:val="00E84131"/>
    <w:rsid w:val="00E84152"/>
    <w:rsid w:val="00E841BA"/>
    <w:rsid w:val="00E841E7"/>
    <w:rsid w:val="00E84233"/>
    <w:rsid w:val="00E84300"/>
    <w:rsid w:val="00E84397"/>
    <w:rsid w:val="00E84407"/>
    <w:rsid w:val="00E84469"/>
    <w:rsid w:val="00E84510"/>
    <w:rsid w:val="00E845C5"/>
    <w:rsid w:val="00E84741"/>
    <w:rsid w:val="00E8477C"/>
    <w:rsid w:val="00E847C3"/>
    <w:rsid w:val="00E84935"/>
    <w:rsid w:val="00E84ABB"/>
    <w:rsid w:val="00E84B08"/>
    <w:rsid w:val="00E84BC4"/>
    <w:rsid w:val="00E84CB2"/>
    <w:rsid w:val="00E84DA5"/>
    <w:rsid w:val="00E84E26"/>
    <w:rsid w:val="00E84EB5"/>
    <w:rsid w:val="00E84ECE"/>
    <w:rsid w:val="00E84F12"/>
    <w:rsid w:val="00E84FB4"/>
    <w:rsid w:val="00E84FEB"/>
    <w:rsid w:val="00E8505B"/>
    <w:rsid w:val="00E8509E"/>
    <w:rsid w:val="00E851B2"/>
    <w:rsid w:val="00E8529D"/>
    <w:rsid w:val="00E852D9"/>
    <w:rsid w:val="00E854C9"/>
    <w:rsid w:val="00E856CE"/>
    <w:rsid w:val="00E856D5"/>
    <w:rsid w:val="00E8577C"/>
    <w:rsid w:val="00E857A9"/>
    <w:rsid w:val="00E8582E"/>
    <w:rsid w:val="00E858C8"/>
    <w:rsid w:val="00E85996"/>
    <w:rsid w:val="00E859B7"/>
    <w:rsid w:val="00E859FB"/>
    <w:rsid w:val="00E85A3E"/>
    <w:rsid w:val="00E85ADF"/>
    <w:rsid w:val="00E85BFE"/>
    <w:rsid w:val="00E85C9B"/>
    <w:rsid w:val="00E85DC9"/>
    <w:rsid w:val="00E85E0B"/>
    <w:rsid w:val="00E85F79"/>
    <w:rsid w:val="00E85FBF"/>
    <w:rsid w:val="00E85FC4"/>
    <w:rsid w:val="00E86054"/>
    <w:rsid w:val="00E8605E"/>
    <w:rsid w:val="00E86099"/>
    <w:rsid w:val="00E860C3"/>
    <w:rsid w:val="00E86119"/>
    <w:rsid w:val="00E8635A"/>
    <w:rsid w:val="00E86487"/>
    <w:rsid w:val="00E865A1"/>
    <w:rsid w:val="00E865DB"/>
    <w:rsid w:val="00E86639"/>
    <w:rsid w:val="00E866DF"/>
    <w:rsid w:val="00E8677F"/>
    <w:rsid w:val="00E86898"/>
    <w:rsid w:val="00E868CD"/>
    <w:rsid w:val="00E86A27"/>
    <w:rsid w:val="00E86AA3"/>
    <w:rsid w:val="00E86C01"/>
    <w:rsid w:val="00E86C0C"/>
    <w:rsid w:val="00E86D23"/>
    <w:rsid w:val="00E86D5B"/>
    <w:rsid w:val="00E86D79"/>
    <w:rsid w:val="00E86DA3"/>
    <w:rsid w:val="00E86F07"/>
    <w:rsid w:val="00E86F59"/>
    <w:rsid w:val="00E86F8F"/>
    <w:rsid w:val="00E8720A"/>
    <w:rsid w:val="00E8729F"/>
    <w:rsid w:val="00E874BC"/>
    <w:rsid w:val="00E8756A"/>
    <w:rsid w:val="00E87632"/>
    <w:rsid w:val="00E876C1"/>
    <w:rsid w:val="00E87839"/>
    <w:rsid w:val="00E87871"/>
    <w:rsid w:val="00E87911"/>
    <w:rsid w:val="00E87923"/>
    <w:rsid w:val="00E879C3"/>
    <w:rsid w:val="00E87AEC"/>
    <w:rsid w:val="00E87B75"/>
    <w:rsid w:val="00E87C0D"/>
    <w:rsid w:val="00E87C54"/>
    <w:rsid w:val="00E87C5F"/>
    <w:rsid w:val="00E87C62"/>
    <w:rsid w:val="00E87CC2"/>
    <w:rsid w:val="00E87D97"/>
    <w:rsid w:val="00E87FFB"/>
    <w:rsid w:val="00E90022"/>
    <w:rsid w:val="00E9003B"/>
    <w:rsid w:val="00E90090"/>
    <w:rsid w:val="00E9014D"/>
    <w:rsid w:val="00E902B4"/>
    <w:rsid w:val="00E903BB"/>
    <w:rsid w:val="00E90510"/>
    <w:rsid w:val="00E905CD"/>
    <w:rsid w:val="00E90605"/>
    <w:rsid w:val="00E906A5"/>
    <w:rsid w:val="00E907B2"/>
    <w:rsid w:val="00E907D2"/>
    <w:rsid w:val="00E9082D"/>
    <w:rsid w:val="00E908DF"/>
    <w:rsid w:val="00E909C2"/>
    <w:rsid w:val="00E90A32"/>
    <w:rsid w:val="00E90BA7"/>
    <w:rsid w:val="00E90BD5"/>
    <w:rsid w:val="00E90D1E"/>
    <w:rsid w:val="00E90D6D"/>
    <w:rsid w:val="00E90DF9"/>
    <w:rsid w:val="00E90E01"/>
    <w:rsid w:val="00E90F5F"/>
    <w:rsid w:val="00E90F64"/>
    <w:rsid w:val="00E9107B"/>
    <w:rsid w:val="00E9109F"/>
    <w:rsid w:val="00E910BF"/>
    <w:rsid w:val="00E9110A"/>
    <w:rsid w:val="00E91247"/>
    <w:rsid w:val="00E91341"/>
    <w:rsid w:val="00E913DE"/>
    <w:rsid w:val="00E914C6"/>
    <w:rsid w:val="00E914CC"/>
    <w:rsid w:val="00E915B9"/>
    <w:rsid w:val="00E915FC"/>
    <w:rsid w:val="00E917E3"/>
    <w:rsid w:val="00E91835"/>
    <w:rsid w:val="00E918C1"/>
    <w:rsid w:val="00E91925"/>
    <w:rsid w:val="00E9195B"/>
    <w:rsid w:val="00E91960"/>
    <w:rsid w:val="00E91AD5"/>
    <w:rsid w:val="00E91B03"/>
    <w:rsid w:val="00E91D31"/>
    <w:rsid w:val="00E91D81"/>
    <w:rsid w:val="00E91E41"/>
    <w:rsid w:val="00E91F7E"/>
    <w:rsid w:val="00E9201A"/>
    <w:rsid w:val="00E9222E"/>
    <w:rsid w:val="00E922F4"/>
    <w:rsid w:val="00E923C1"/>
    <w:rsid w:val="00E92474"/>
    <w:rsid w:val="00E924CD"/>
    <w:rsid w:val="00E925E6"/>
    <w:rsid w:val="00E927C6"/>
    <w:rsid w:val="00E9286D"/>
    <w:rsid w:val="00E92886"/>
    <w:rsid w:val="00E92935"/>
    <w:rsid w:val="00E9293A"/>
    <w:rsid w:val="00E92974"/>
    <w:rsid w:val="00E929DA"/>
    <w:rsid w:val="00E92A74"/>
    <w:rsid w:val="00E92A90"/>
    <w:rsid w:val="00E92C2A"/>
    <w:rsid w:val="00E92E31"/>
    <w:rsid w:val="00E92E80"/>
    <w:rsid w:val="00E92F98"/>
    <w:rsid w:val="00E930C2"/>
    <w:rsid w:val="00E930F6"/>
    <w:rsid w:val="00E93244"/>
    <w:rsid w:val="00E9331D"/>
    <w:rsid w:val="00E93375"/>
    <w:rsid w:val="00E933C3"/>
    <w:rsid w:val="00E9348C"/>
    <w:rsid w:val="00E93496"/>
    <w:rsid w:val="00E9349C"/>
    <w:rsid w:val="00E934C9"/>
    <w:rsid w:val="00E935B5"/>
    <w:rsid w:val="00E935BB"/>
    <w:rsid w:val="00E935E1"/>
    <w:rsid w:val="00E936CA"/>
    <w:rsid w:val="00E936CF"/>
    <w:rsid w:val="00E93778"/>
    <w:rsid w:val="00E938C1"/>
    <w:rsid w:val="00E93908"/>
    <w:rsid w:val="00E9392B"/>
    <w:rsid w:val="00E93959"/>
    <w:rsid w:val="00E939D2"/>
    <w:rsid w:val="00E939F8"/>
    <w:rsid w:val="00E93A2C"/>
    <w:rsid w:val="00E93B08"/>
    <w:rsid w:val="00E93BA8"/>
    <w:rsid w:val="00E93C98"/>
    <w:rsid w:val="00E93D28"/>
    <w:rsid w:val="00E93DAD"/>
    <w:rsid w:val="00E93E35"/>
    <w:rsid w:val="00E93E77"/>
    <w:rsid w:val="00E93E9D"/>
    <w:rsid w:val="00E93F28"/>
    <w:rsid w:val="00E93F9F"/>
    <w:rsid w:val="00E940A6"/>
    <w:rsid w:val="00E94292"/>
    <w:rsid w:val="00E942A4"/>
    <w:rsid w:val="00E943AB"/>
    <w:rsid w:val="00E945DE"/>
    <w:rsid w:val="00E945FE"/>
    <w:rsid w:val="00E94684"/>
    <w:rsid w:val="00E94718"/>
    <w:rsid w:val="00E9476E"/>
    <w:rsid w:val="00E94804"/>
    <w:rsid w:val="00E948B6"/>
    <w:rsid w:val="00E9493A"/>
    <w:rsid w:val="00E94B29"/>
    <w:rsid w:val="00E94C7C"/>
    <w:rsid w:val="00E94CFA"/>
    <w:rsid w:val="00E95023"/>
    <w:rsid w:val="00E951D9"/>
    <w:rsid w:val="00E9521E"/>
    <w:rsid w:val="00E952B8"/>
    <w:rsid w:val="00E952C4"/>
    <w:rsid w:val="00E95322"/>
    <w:rsid w:val="00E9533E"/>
    <w:rsid w:val="00E9535D"/>
    <w:rsid w:val="00E9540E"/>
    <w:rsid w:val="00E95418"/>
    <w:rsid w:val="00E95490"/>
    <w:rsid w:val="00E955CD"/>
    <w:rsid w:val="00E9566C"/>
    <w:rsid w:val="00E95673"/>
    <w:rsid w:val="00E956D6"/>
    <w:rsid w:val="00E956DB"/>
    <w:rsid w:val="00E957C5"/>
    <w:rsid w:val="00E95852"/>
    <w:rsid w:val="00E958E9"/>
    <w:rsid w:val="00E95912"/>
    <w:rsid w:val="00E95A21"/>
    <w:rsid w:val="00E95AC5"/>
    <w:rsid w:val="00E95BDD"/>
    <w:rsid w:val="00E95C41"/>
    <w:rsid w:val="00E95C43"/>
    <w:rsid w:val="00E95DAC"/>
    <w:rsid w:val="00E95E84"/>
    <w:rsid w:val="00E95EC0"/>
    <w:rsid w:val="00E95EE1"/>
    <w:rsid w:val="00E95F45"/>
    <w:rsid w:val="00E96536"/>
    <w:rsid w:val="00E96695"/>
    <w:rsid w:val="00E96721"/>
    <w:rsid w:val="00E96730"/>
    <w:rsid w:val="00E9676E"/>
    <w:rsid w:val="00E9677F"/>
    <w:rsid w:val="00E96850"/>
    <w:rsid w:val="00E968C1"/>
    <w:rsid w:val="00E968D7"/>
    <w:rsid w:val="00E9694A"/>
    <w:rsid w:val="00E9698B"/>
    <w:rsid w:val="00E969DE"/>
    <w:rsid w:val="00E96B26"/>
    <w:rsid w:val="00E96BD3"/>
    <w:rsid w:val="00E96CE8"/>
    <w:rsid w:val="00E96E54"/>
    <w:rsid w:val="00E96F2E"/>
    <w:rsid w:val="00E96FE2"/>
    <w:rsid w:val="00E97061"/>
    <w:rsid w:val="00E970D6"/>
    <w:rsid w:val="00E9717D"/>
    <w:rsid w:val="00E971F6"/>
    <w:rsid w:val="00E9721C"/>
    <w:rsid w:val="00E97252"/>
    <w:rsid w:val="00E97307"/>
    <w:rsid w:val="00E97438"/>
    <w:rsid w:val="00E974A4"/>
    <w:rsid w:val="00E97520"/>
    <w:rsid w:val="00E97524"/>
    <w:rsid w:val="00E975BF"/>
    <w:rsid w:val="00E9761D"/>
    <w:rsid w:val="00E97684"/>
    <w:rsid w:val="00E977A2"/>
    <w:rsid w:val="00E97A64"/>
    <w:rsid w:val="00E97A70"/>
    <w:rsid w:val="00E97AF4"/>
    <w:rsid w:val="00E97B17"/>
    <w:rsid w:val="00E97BCB"/>
    <w:rsid w:val="00E97CD5"/>
    <w:rsid w:val="00E97D5D"/>
    <w:rsid w:val="00E97DAD"/>
    <w:rsid w:val="00E97E33"/>
    <w:rsid w:val="00E97EA5"/>
    <w:rsid w:val="00E97FDE"/>
    <w:rsid w:val="00EA006D"/>
    <w:rsid w:val="00EA00D5"/>
    <w:rsid w:val="00EA0218"/>
    <w:rsid w:val="00EA0255"/>
    <w:rsid w:val="00EA0298"/>
    <w:rsid w:val="00EA0362"/>
    <w:rsid w:val="00EA0501"/>
    <w:rsid w:val="00EA053B"/>
    <w:rsid w:val="00EA0582"/>
    <w:rsid w:val="00EA05A7"/>
    <w:rsid w:val="00EA0671"/>
    <w:rsid w:val="00EA0863"/>
    <w:rsid w:val="00EA08D8"/>
    <w:rsid w:val="00EA08DB"/>
    <w:rsid w:val="00EA091F"/>
    <w:rsid w:val="00EA0A2B"/>
    <w:rsid w:val="00EA0BB3"/>
    <w:rsid w:val="00EA0BD7"/>
    <w:rsid w:val="00EA0C37"/>
    <w:rsid w:val="00EA0CF2"/>
    <w:rsid w:val="00EA0D30"/>
    <w:rsid w:val="00EA0E54"/>
    <w:rsid w:val="00EA0F1B"/>
    <w:rsid w:val="00EA0F24"/>
    <w:rsid w:val="00EA0F36"/>
    <w:rsid w:val="00EA0F55"/>
    <w:rsid w:val="00EA0F67"/>
    <w:rsid w:val="00EA0FAE"/>
    <w:rsid w:val="00EA0FC9"/>
    <w:rsid w:val="00EA0FF2"/>
    <w:rsid w:val="00EA10B8"/>
    <w:rsid w:val="00EA114B"/>
    <w:rsid w:val="00EA1208"/>
    <w:rsid w:val="00EA1452"/>
    <w:rsid w:val="00EA14AE"/>
    <w:rsid w:val="00EA1679"/>
    <w:rsid w:val="00EA16D3"/>
    <w:rsid w:val="00EA171E"/>
    <w:rsid w:val="00EA1769"/>
    <w:rsid w:val="00EA17C6"/>
    <w:rsid w:val="00EA1856"/>
    <w:rsid w:val="00EA1892"/>
    <w:rsid w:val="00EA1938"/>
    <w:rsid w:val="00EA1946"/>
    <w:rsid w:val="00EA1AEB"/>
    <w:rsid w:val="00EA1B7E"/>
    <w:rsid w:val="00EA1C27"/>
    <w:rsid w:val="00EA1D28"/>
    <w:rsid w:val="00EA1DA8"/>
    <w:rsid w:val="00EA1EFF"/>
    <w:rsid w:val="00EA1F16"/>
    <w:rsid w:val="00EA209C"/>
    <w:rsid w:val="00EA20C0"/>
    <w:rsid w:val="00EA20DA"/>
    <w:rsid w:val="00EA20DF"/>
    <w:rsid w:val="00EA2106"/>
    <w:rsid w:val="00EA2144"/>
    <w:rsid w:val="00EA21CA"/>
    <w:rsid w:val="00EA239E"/>
    <w:rsid w:val="00EA243B"/>
    <w:rsid w:val="00EA24DA"/>
    <w:rsid w:val="00EA2541"/>
    <w:rsid w:val="00EA2556"/>
    <w:rsid w:val="00EA25D5"/>
    <w:rsid w:val="00EA25FD"/>
    <w:rsid w:val="00EA26C1"/>
    <w:rsid w:val="00EA26D6"/>
    <w:rsid w:val="00EA26F5"/>
    <w:rsid w:val="00EA2711"/>
    <w:rsid w:val="00EA2757"/>
    <w:rsid w:val="00EA2764"/>
    <w:rsid w:val="00EA27DF"/>
    <w:rsid w:val="00EA281A"/>
    <w:rsid w:val="00EA29C4"/>
    <w:rsid w:val="00EA2BCA"/>
    <w:rsid w:val="00EA2BD2"/>
    <w:rsid w:val="00EA2CD7"/>
    <w:rsid w:val="00EA2CF1"/>
    <w:rsid w:val="00EA2CFA"/>
    <w:rsid w:val="00EA2D1F"/>
    <w:rsid w:val="00EA2D4F"/>
    <w:rsid w:val="00EA2EBF"/>
    <w:rsid w:val="00EA30EF"/>
    <w:rsid w:val="00EA318B"/>
    <w:rsid w:val="00EA321F"/>
    <w:rsid w:val="00EA32EB"/>
    <w:rsid w:val="00EA3371"/>
    <w:rsid w:val="00EA33F2"/>
    <w:rsid w:val="00EA341A"/>
    <w:rsid w:val="00EA34B7"/>
    <w:rsid w:val="00EA3601"/>
    <w:rsid w:val="00EA3629"/>
    <w:rsid w:val="00EA3671"/>
    <w:rsid w:val="00EA37B7"/>
    <w:rsid w:val="00EA38D9"/>
    <w:rsid w:val="00EA38DD"/>
    <w:rsid w:val="00EA3934"/>
    <w:rsid w:val="00EA3B55"/>
    <w:rsid w:val="00EA3BA8"/>
    <w:rsid w:val="00EA3C26"/>
    <w:rsid w:val="00EA3C31"/>
    <w:rsid w:val="00EA3C59"/>
    <w:rsid w:val="00EA3C81"/>
    <w:rsid w:val="00EA3CD0"/>
    <w:rsid w:val="00EA3D86"/>
    <w:rsid w:val="00EA3E47"/>
    <w:rsid w:val="00EA3E5B"/>
    <w:rsid w:val="00EA3E6D"/>
    <w:rsid w:val="00EA3FBA"/>
    <w:rsid w:val="00EA40DE"/>
    <w:rsid w:val="00EA40E2"/>
    <w:rsid w:val="00EA4105"/>
    <w:rsid w:val="00EA4142"/>
    <w:rsid w:val="00EA42FA"/>
    <w:rsid w:val="00EA4329"/>
    <w:rsid w:val="00EA4343"/>
    <w:rsid w:val="00EA434E"/>
    <w:rsid w:val="00EA43EE"/>
    <w:rsid w:val="00EA4410"/>
    <w:rsid w:val="00EA4411"/>
    <w:rsid w:val="00EA4480"/>
    <w:rsid w:val="00EA460E"/>
    <w:rsid w:val="00EA4792"/>
    <w:rsid w:val="00EA47D5"/>
    <w:rsid w:val="00EA4820"/>
    <w:rsid w:val="00EA49A0"/>
    <w:rsid w:val="00EA49A1"/>
    <w:rsid w:val="00EA49AC"/>
    <w:rsid w:val="00EA49FA"/>
    <w:rsid w:val="00EA4B72"/>
    <w:rsid w:val="00EA4CF4"/>
    <w:rsid w:val="00EA4DF1"/>
    <w:rsid w:val="00EA4E53"/>
    <w:rsid w:val="00EA4E70"/>
    <w:rsid w:val="00EA4EEC"/>
    <w:rsid w:val="00EA4F80"/>
    <w:rsid w:val="00EA4F84"/>
    <w:rsid w:val="00EA51CE"/>
    <w:rsid w:val="00EA520C"/>
    <w:rsid w:val="00EA52E6"/>
    <w:rsid w:val="00EA53A8"/>
    <w:rsid w:val="00EA53CA"/>
    <w:rsid w:val="00EA53D3"/>
    <w:rsid w:val="00EA53DE"/>
    <w:rsid w:val="00EA53F1"/>
    <w:rsid w:val="00EA5474"/>
    <w:rsid w:val="00EA5501"/>
    <w:rsid w:val="00EA558E"/>
    <w:rsid w:val="00EA5593"/>
    <w:rsid w:val="00EA563D"/>
    <w:rsid w:val="00EA5697"/>
    <w:rsid w:val="00EA569A"/>
    <w:rsid w:val="00EA5844"/>
    <w:rsid w:val="00EA584B"/>
    <w:rsid w:val="00EA5878"/>
    <w:rsid w:val="00EA5896"/>
    <w:rsid w:val="00EA5A7D"/>
    <w:rsid w:val="00EA5A86"/>
    <w:rsid w:val="00EA5BBE"/>
    <w:rsid w:val="00EA5CF8"/>
    <w:rsid w:val="00EA5D00"/>
    <w:rsid w:val="00EA5E4D"/>
    <w:rsid w:val="00EA5E80"/>
    <w:rsid w:val="00EA5F0D"/>
    <w:rsid w:val="00EA5F7C"/>
    <w:rsid w:val="00EA603D"/>
    <w:rsid w:val="00EA6125"/>
    <w:rsid w:val="00EA620C"/>
    <w:rsid w:val="00EA62E2"/>
    <w:rsid w:val="00EA635A"/>
    <w:rsid w:val="00EA6498"/>
    <w:rsid w:val="00EA6616"/>
    <w:rsid w:val="00EA663F"/>
    <w:rsid w:val="00EA67DF"/>
    <w:rsid w:val="00EA6908"/>
    <w:rsid w:val="00EA6B79"/>
    <w:rsid w:val="00EA6BE1"/>
    <w:rsid w:val="00EA6C12"/>
    <w:rsid w:val="00EA6C9C"/>
    <w:rsid w:val="00EA6CF6"/>
    <w:rsid w:val="00EA6E9B"/>
    <w:rsid w:val="00EA6F11"/>
    <w:rsid w:val="00EA6F63"/>
    <w:rsid w:val="00EA7043"/>
    <w:rsid w:val="00EA715B"/>
    <w:rsid w:val="00EA7186"/>
    <w:rsid w:val="00EA729D"/>
    <w:rsid w:val="00EA730A"/>
    <w:rsid w:val="00EA7311"/>
    <w:rsid w:val="00EA7356"/>
    <w:rsid w:val="00EA73A5"/>
    <w:rsid w:val="00EA77B4"/>
    <w:rsid w:val="00EA7813"/>
    <w:rsid w:val="00EA790E"/>
    <w:rsid w:val="00EA7910"/>
    <w:rsid w:val="00EA791D"/>
    <w:rsid w:val="00EA7932"/>
    <w:rsid w:val="00EA795A"/>
    <w:rsid w:val="00EA7986"/>
    <w:rsid w:val="00EA79C8"/>
    <w:rsid w:val="00EA79E5"/>
    <w:rsid w:val="00EA7A78"/>
    <w:rsid w:val="00EA7B77"/>
    <w:rsid w:val="00EA7BF8"/>
    <w:rsid w:val="00EA7D59"/>
    <w:rsid w:val="00EA7E01"/>
    <w:rsid w:val="00EA7F18"/>
    <w:rsid w:val="00EA7F4A"/>
    <w:rsid w:val="00EB0133"/>
    <w:rsid w:val="00EB014D"/>
    <w:rsid w:val="00EB0271"/>
    <w:rsid w:val="00EB0275"/>
    <w:rsid w:val="00EB033D"/>
    <w:rsid w:val="00EB07AE"/>
    <w:rsid w:val="00EB07C0"/>
    <w:rsid w:val="00EB080E"/>
    <w:rsid w:val="00EB0898"/>
    <w:rsid w:val="00EB0A8A"/>
    <w:rsid w:val="00EB0BB3"/>
    <w:rsid w:val="00EB0BC9"/>
    <w:rsid w:val="00EB0CB5"/>
    <w:rsid w:val="00EB0CE7"/>
    <w:rsid w:val="00EB0DEA"/>
    <w:rsid w:val="00EB0EC9"/>
    <w:rsid w:val="00EB0F17"/>
    <w:rsid w:val="00EB0F97"/>
    <w:rsid w:val="00EB0F9D"/>
    <w:rsid w:val="00EB0FD6"/>
    <w:rsid w:val="00EB0FE6"/>
    <w:rsid w:val="00EB1018"/>
    <w:rsid w:val="00EB1051"/>
    <w:rsid w:val="00EB10A9"/>
    <w:rsid w:val="00EB10CE"/>
    <w:rsid w:val="00EB1294"/>
    <w:rsid w:val="00EB1504"/>
    <w:rsid w:val="00EB1593"/>
    <w:rsid w:val="00EB15E8"/>
    <w:rsid w:val="00EB15F4"/>
    <w:rsid w:val="00EB1628"/>
    <w:rsid w:val="00EB164E"/>
    <w:rsid w:val="00EB1661"/>
    <w:rsid w:val="00EB166D"/>
    <w:rsid w:val="00EB1768"/>
    <w:rsid w:val="00EB176D"/>
    <w:rsid w:val="00EB17C2"/>
    <w:rsid w:val="00EB17C8"/>
    <w:rsid w:val="00EB17D0"/>
    <w:rsid w:val="00EB185E"/>
    <w:rsid w:val="00EB18B2"/>
    <w:rsid w:val="00EB18E9"/>
    <w:rsid w:val="00EB194C"/>
    <w:rsid w:val="00EB1964"/>
    <w:rsid w:val="00EB19F5"/>
    <w:rsid w:val="00EB1B65"/>
    <w:rsid w:val="00EB1B9E"/>
    <w:rsid w:val="00EB1C6A"/>
    <w:rsid w:val="00EB1CD5"/>
    <w:rsid w:val="00EB1D44"/>
    <w:rsid w:val="00EB1DBF"/>
    <w:rsid w:val="00EB1E30"/>
    <w:rsid w:val="00EB1E31"/>
    <w:rsid w:val="00EB1F09"/>
    <w:rsid w:val="00EB1F63"/>
    <w:rsid w:val="00EB1F88"/>
    <w:rsid w:val="00EB2064"/>
    <w:rsid w:val="00EB2121"/>
    <w:rsid w:val="00EB213B"/>
    <w:rsid w:val="00EB2172"/>
    <w:rsid w:val="00EB2338"/>
    <w:rsid w:val="00EB2384"/>
    <w:rsid w:val="00EB239C"/>
    <w:rsid w:val="00EB23DF"/>
    <w:rsid w:val="00EB247D"/>
    <w:rsid w:val="00EB2501"/>
    <w:rsid w:val="00EB27B9"/>
    <w:rsid w:val="00EB27BC"/>
    <w:rsid w:val="00EB27CB"/>
    <w:rsid w:val="00EB2806"/>
    <w:rsid w:val="00EB2811"/>
    <w:rsid w:val="00EB2B47"/>
    <w:rsid w:val="00EB2B81"/>
    <w:rsid w:val="00EB2C14"/>
    <w:rsid w:val="00EB2C39"/>
    <w:rsid w:val="00EB2CAB"/>
    <w:rsid w:val="00EB2CEE"/>
    <w:rsid w:val="00EB2D05"/>
    <w:rsid w:val="00EB2DFF"/>
    <w:rsid w:val="00EB2EB0"/>
    <w:rsid w:val="00EB2F88"/>
    <w:rsid w:val="00EB31DD"/>
    <w:rsid w:val="00EB31ED"/>
    <w:rsid w:val="00EB326C"/>
    <w:rsid w:val="00EB3318"/>
    <w:rsid w:val="00EB3402"/>
    <w:rsid w:val="00EB350E"/>
    <w:rsid w:val="00EB35BA"/>
    <w:rsid w:val="00EB35EA"/>
    <w:rsid w:val="00EB35FB"/>
    <w:rsid w:val="00EB36E3"/>
    <w:rsid w:val="00EB373D"/>
    <w:rsid w:val="00EB37E0"/>
    <w:rsid w:val="00EB38BC"/>
    <w:rsid w:val="00EB394E"/>
    <w:rsid w:val="00EB3A6D"/>
    <w:rsid w:val="00EB3C88"/>
    <w:rsid w:val="00EB3CE5"/>
    <w:rsid w:val="00EB3E06"/>
    <w:rsid w:val="00EB3E8E"/>
    <w:rsid w:val="00EB3F2D"/>
    <w:rsid w:val="00EB3F5E"/>
    <w:rsid w:val="00EB3FAB"/>
    <w:rsid w:val="00EB3FDC"/>
    <w:rsid w:val="00EB410C"/>
    <w:rsid w:val="00EB4139"/>
    <w:rsid w:val="00EB413A"/>
    <w:rsid w:val="00EB4215"/>
    <w:rsid w:val="00EB435D"/>
    <w:rsid w:val="00EB4471"/>
    <w:rsid w:val="00EB450B"/>
    <w:rsid w:val="00EB4516"/>
    <w:rsid w:val="00EB45A7"/>
    <w:rsid w:val="00EB47B6"/>
    <w:rsid w:val="00EB49D0"/>
    <w:rsid w:val="00EB4BD2"/>
    <w:rsid w:val="00EB4D25"/>
    <w:rsid w:val="00EB4DB6"/>
    <w:rsid w:val="00EB4E7D"/>
    <w:rsid w:val="00EB4EF3"/>
    <w:rsid w:val="00EB4F3D"/>
    <w:rsid w:val="00EB4F93"/>
    <w:rsid w:val="00EB5061"/>
    <w:rsid w:val="00EB50E5"/>
    <w:rsid w:val="00EB51D2"/>
    <w:rsid w:val="00EB5227"/>
    <w:rsid w:val="00EB5364"/>
    <w:rsid w:val="00EB553A"/>
    <w:rsid w:val="00EB5635"/>
    <w:rsid w:val="00EB577A"/>
    <w:rsid w:val="00EB57A2"/>
    <w:rsid w:val="00EB57E9"/>
    <w:rsid w:val="00EB585A"/>
    <w:rsid w:val="00EB58F7"/>
    <w:rsid w:val="00EB5A2D"/>
    <w:rsid w:val="00EB5A45"/>
    <w:rsid w:val="00EB5A65"/>
    <w:rsid w:val="00EB5AE1"/>
    <w:rsid w:val="00EB5AF7"/>
    <w:rsid w:val="00EB5B4C"/>
    <w:rsid w:val="00EB5D30"/>
    <w:rsid w:val="00EB5E3F"/>
    <w:rsid w:val="00EB5E77"/>
    <w:rsid w:val="00EB604F"/>
    <w:rsid w:val="00EB6070"/>
    <w:rsid w:val="00EB6093"/>
    <w:rsid w:val="00EB60B3"/>
    <w:rsid w:val="00EB6142"/>
    <w:rsid w:val="00EB6186"/>
    <w:rsid w:val="00EB62DF"/>
    <w:rsid w:val="00EB6307"/>
    <w:rsid w:val="00EB63BE"/>
    <w:rsid w:val="00EB63E7"/>
    <w:rsid w:val="00EB647F"/>
    <w:rsid w:val="00EB661F"/>
    <w:rsid w:val="00EB6663"/>
    <w:rsid w:val="00EB6782"/>
    <w:rsid w:val="00EB67CD"/>
    <w:rsid w:val="00EB67FC"/>
    <w:rsid w:val="00EB68EF"/>
    <w:rsid w:val="00EB697E"/>
    <w:rsid w:val="00EB69F6"/>
    <w:rsid w:val="00EB69FD"/>
    <w:rsid w:val="00EB6A32"/>
    <w:rsid w:val="00EB6B44"/>
    <w:rsid w:val="00EB6B69"/>
    <w:rsid w:val="00EB6BF1"/>
    <w:rsid w:val="00EB6EB4"/>
    <w:rsid w:val="00EB6F3E"/>
    <w:rsid w:val="00EB6FE7"/>
    <w:rsid w:val="00EB7088"/>
    <w:rsid w:val="00EB70FC"/>
    <w:rsid w:val="00EB717D"/>
    <w:rsid w:val="00EB727A"/>
    <w:rsid w:val="00EB73AD"/>
    <w:rsid w:val="00EB7415"/>
    <w:rsid w:val="00EB76D3"/>
    <w:rsid w:val="00EB77A2"/>
    <w:rsid w:val="00EB77C5"/>
    <w:rsid w:val="00EB7863"/>
    <w:rsid w:val="00EB792D"/>
    <w:rsid w:val="00EB7984"/>
    <w:rsid w:val="00EB798B"/>
    <w:rsid w:val="00EB79A7"/>
    <w:rsid w:val="00EB79B3"/>
    <w:rsid w:val="00EB79F0"/>
    <w:rsid w:val="00EB7A1A"/>
    <w:rsid w:val="00EB7B24"/>
    <w:rsid w:val="00EB7B88"/>
    <w:rsid w:val="00EB7C5E"/>
    <w:rsid w:val="00EB7CD8"/>
    <w:rsid w:val="00EB7DE3"/>
    <w:rsid w:val="00EB7E07"/>
    <w:rsid w:val="00EB7ECC"/>
    <w:rsid w:val="00EB7EE7"/>
    <w:rsid w:val="00EB7F60"/>
    <w:rsid w:val="00EB7FD6"/>
    <w:rsid w:val="00EC001B"/>
    <w:rsid w:val="00EC004A"/>
    <w:rsid w:val="00EC006D"/>
    <w:rsid w:val="00EC0074"/>
    <w:rsid w:val="00EC0114"/>
    <w:rsid w:val="00EC02C6"/>
    <w:rsid w:val="00EC02EF"/>
    <w:rsid w:val="00EC0305"/>
    <w:rsid w:val="00EC034F"/>
    <w:rsid w:val="00EC0453"/>
    <w:rsid w:val="00EC0458"/>
    <w:rsid w:val="00EC0717"/>
    <w:rsid w:val="00EC0762"/>
    <w:rsid w:val="00EC07C8"/>
    <w:rsid w:val="00EC086C"/>
    <w:rsid w:val="00EC0A87"/>
    <w:rsid w:val="00EC0A9A"/>
    <w:rsid w:val="00EC0B51"/>
    <w:rsid w:val="00EC0CA8"/>
    <w:rsid w:val="00EC0CB8"/>
    <w:rsid w:val="00EC0D5A"/>
    <w:rsid w:val="00EC0EAF"/>
    <w:rsid w:val="00EC0F08"/>
    <w:rsid w:val="00EC0F92"/>
    <w:rsid w:val="00EC0FA5"/>
    <w:rsid w:val="00EC1011"/>
    <w:rsid w:val="00EC109A"/>
    <w:rsid w:val="00EC1152"/>
    <w:rsid w:val="00EC1259"/>
    <w:rsid w:val="00EC127D"/>
    <w:rsid w:val="00EC133E"/>
    <w:rsid w:val="00EC1416"/>
    <w:rsid w:val="00EC1464"/>
    <w:rsid w:val="00EC1544"/>
    <w:rsid w:val="00EC1582"/>
    <w:rsid w:val="00EC1642"/>
    <w:rsid w:val="00EC164D"/>
    <w:rsid w:val="00EC16AC"/>
    <w:rsid w:val="00EC1779"/>
    <w:rsid w:val="00EC18B3"/>
    <w:rsid w:val="00EC19A0"/>
    <w:rsid w:val="00EC19D6"/>
    <w:rsid w:val="00EC1A84"/>
    <w:rsid w:val="00EC1CA9"/>
    <w:rsid w:val="00EC1CC6"/>
    <w:rsid w:val="00EC1CC7"/>
    <w:rsid w:val="00EC1CDC"/>
    <w:rsid w:val="00EC1D11"/>
    <w:rsid w:val="00EC1DE2"/>
    <w:rsid w:val="00EC1DEE"/>
    <w:rsid w:val="00EC1E46"/>
    <w:rsid w:val="00EC1EB1"/>
    <w:rsid w:val="00EC1F80"/>
    <w:rsid w:val="00EC1FAE"/>
    <w:rsid w:val="00EC2011"/>
    <w:rsid w:val="00EC2046"/>
    <w:rsid w:val="00EC20D1"/>
    <w:rsid w:val="00EC21C5"/>
    <w:rsid w:val="00EC2288"/>
    <w:rsid w:val="00EC2294"/>
    <w:rsid w:val="00EC2389"/>
    <w:rsid w:val="00EC23FE"/>
    <w:rsid w:val="00EC255F"/>
    <w:rsid w:val="00EC2589"/>
    <w:rsid w:val="00EC2636"/>
    <w:rsid w:val="00EC27DF"/>
    <w:rsid w:val="00EC2949"/>
    <w:rsid w:val="00EC299D"/>
    <w:rsid w:val="00EC2A87"/>
    <w:rsid w:val="00EC2ADB"/>
    <w:rsid w:val="00EC2B30"/>
    <w:rsid w:val="00EC2C06"/>
    <w:rsid w:val="00EC2D61"/>
    <w:rsid w:val="00EC2DA1"/>
    <w:rsid w:val="00EC2DAC"/>
    <w:rsid w:val="00EC2EB1"/>
    <w:rsid w:val="00EC2F29"/>
    <w:rsid w:val="00EC2F62"/>
    <w:rsid w:val="00EC2FBC"/>
    <w:rsid w:val="00EC2FDD"/>
    <w:rsid w:val="00EC31E5"/>
    <w:rsid w:val="00EC3238"/>
    <w:rsid w:val="00EC33A0"/>
    <w:rsid w:val="00EC3450"/>
    <w:rsid w:val="00EC366E"/>
    <w:rsid w:val="00EC372E"/>
    <w:rsid w:val="00EC37AF"/>
    <w:rsid w:val="00EC3885"/>
    <w:rsid w:val="00EC3886"/>
    <w:rsid w:val="00EC38A2"/>
    <w:rsid w:val="00EC3B92"/>
    <w:rsid w:val="00EC3C29"/>
    <w:rsid w:val="00EC3C7C"/>
    <w:rsid w:val="00EC3C81"/>
    <w:rsid w:val="00EC3C9C"/>
    <w:rsid w:val="00EC3CAE"/>
    <w:rsid w:val="00EC3F38"/>
    <w:rsid w:val="00EC3F6E"/>
    <w:rsid w:val="00EC3FBB"/>
    <w:rsid w:val="00EC4120"/>
    <w:rsid w:val="00EC4258"/>
    <w:rsid w:val="00EC42DE"/>
    <w:rsid w:val="00EC4301"/>
    <w:rsid w:val="00EC4313"/>
    <w:rsid w:val="00EC4345"/>
    <w:rsid w:val="00EC4410"/>
    <w:rsid w:val="00EC443D"/>
    <w:rsid w:val="00EC4445"/>
    <w:rsid w:val="00EC44BD"/>
    <w:rsid w:val="00EC4517"/>
    <w:rsid w:val="00EC452B"/>
    <w:rsid w:val="00EC4644"/>
    <w:rsid w:val="00EC4680"/>
    <w:rsid w:val="00EC46FF"/>
    <w:rsid w:val="00EC471B"/>
    <w:rsid w:val="00EC478D"/>
    <w:rsid w:val="00EC482D"/>
    <w:rsid w:val="00EC4836"/>
    <w:rsid w:val="00EC4866"/>
    <w:rsid w:val="00EC4871"/>
    <w:rsid w:val="00EC48F3"/>
    <w:rsid w:val="00EC490A"/>
    <w:rsid w:val="00EC4925"/>
    <w:rsid w:val="00EC4A21"/>
    <w:rsid w:val="00EC4A50"/>
    <w:rsid w:val="00EC4AEC"/>
    <w:rsid w:val="00EC4AF3"/>
    <w:rsid w:val="00EC4B96"/>
    <w:rsid w:val="00EC4CB5"/>
    <w:rsid w:val="00EC4D08"/>
    <w:rsid w:val="00EC4D29"/>
    <w:rsid w:val="00EC4D68"/>
    <w:rsid w:val="00EC4D75"/>
    <w:rsid w:val="00EC4E24"/>
    <w:rsid w:val="00EC4EF6"/>
    <w:rsid w:val="00EC4FAC"/>
    <w:rsid w:val="00EC501D"/>
    <w:rsid w:val="00EC5088"/>
    <w:rsid w:val="00EC515B"/>
    <w:rsid w:val="00EC5170"/>
    <w:rsid w:val="00EC534B"/>
    <w:rsid w:val="00EC5422"/>
    <w:rsid w:val="00EC54D4"/>
    <w:rsid w:val="00EC54E6"/>
    <w:rsid w:val="00EC550A"/>
    <w:rsid w:val="00EC565C"/>
    <w:rsid w:val="00EC5676"/>
    <w:rsid w:val="00EC56B6"/>
    <w:rsid w:val="00EC5730"/>
    <w:rsid w:val="00EC5BEE"/>
    <w:rsid w:val="00EC5C11"/>
    <w:rsid w:val="00EC5C21"/>
    <w:rsid w:val="00EC5DDB"/>
    <w:rsid w:val="00EC5E99"/>
    <w:rsid w:val="00EC6373"/>
    <w:rsid w:val="00EC64A3"/>
    <w:rsid w:val="00EC66D3"/>
    <w:rsid w:val="00EC6724"/>
    <w:rsid w:val="00EC6787"/>
    <w:rsid w:val="00EC67FE"/>
    <w:rsid w:val="00EC684C"/>
    <w:rsid w:val="00EC6909"/>
    <w:rsid w:val="00EC69DD"/>
    <w:rsid w:val="00EC6B06"/>
    <w:rsid w:val="00EC6C0C"/>
    <w:rsid w:val="00EC6C43"/>
    <w:rsid w:val="00EC6C7F"/>
    <w:rsid w:val="00EC6D18"/>
    <w:rsid w:val="00EC6F98"/>
    <w:rsid w:val="00EC7159"/>
    <w:rsid w:val="00EC7173"/>
    <w:rsid w:val="00EC7177"/>
    <w:rsid w:val="00EC7218"/>
    <w:rsid w:val="00EC722F"/>
    <w:rsid w:val="00EC7405"/>
    <w:rsid w:val="00EC748E"/>
    <w:rsid w:val="00EC74EE"/>
    <w:rsid w:val="00EC766A"/>
    <w:rsid w:val="00EC769D"/>
    <w:rsid w:val="00EC770D"/>
    <w:rsid w:val="00EC7818"/>
    <w:rsid w:val="00EC7867"/>
    <w:rsid w:val="00EC786F"/>
    <w:rsid w:val="00EC789C"/>
    <w:rsid w:val="00EC78E3"/>
    <w:rsid w:val="00EC7936"/>
    <w:rsid w:val="00EC79C0"/>
    <w:rsid w:val="00EC7A1F"/>
    <w:rsid w:val="00EC7B3E"/>
    <w:rsid w:val="00EC7B7F"/>
    <w:rsid w:val="00EC7BAA"/>
    <w:rsid w:val="00EC7BCD"/>
    <w:rsid w:val="00EC7CB9"/>
    <w:rsid w:val="00EC7CBF"/>
    <w:rsid w:val="00EC7F3A"/>
    <w:rsid w:val="00ED0022"/>
    <w:rsid w:val="00ED00C4"/>
    <w:rsid w:val="00ED0117"/>
    <w:rsid w:val="00ED02A3"/>
    <w:rsid w:val="00ED0309"/>
    <w:rsid w:val="00ED0392"/>
    <w:rsid w:val="00ED049D"/>
    <w:rsid w:val="00ED0606"/>
    <w:rsid w:val="00ED069C"/>
    <w:rsid w:val="00ED06E0"/>
    <w:rsid w:val="00ED073B"/>
    <w:rsid w:val="00ED0750"/>
    <w:rsid w:val="00ED075B"/>
    <w:rsid w:val="00ED078D"/>
    <w:rsid w:val="00ED07C0"/>
    <w:rsid w:val="00ED089D"/>
    <w:rsid w:val="00ED09E9"/>
    <w:rsid w:val="00ED0B1A"/>
    <w:rsid w:val="00ED0C0F"/>
    <w:rsid w:val="00ED0C57"/>
    <w:rsid w:val="00ED0C96"/>
    <w:rsid w:val="00ED0F5B"/>
    <w:rsid w:val="00ED1018"/>
    <w:rsid w:val="00ED104E"/>
    <w:rsid w:val="00ED10C2"/>
    <w:rsid w:val="00ED11DC"/>
    <w:rsid w:val="00ED126F"/>
    <w:rsid w:val="00ED13D2"/>
    <w:rsid w:val="00ED1430"/>
    <w:rsid w:val="00ED144F"/>
    <w:rsid w:val="00ED1635"/>
    <w:rsid w:val="00ED175D"/>
    <w:rsid w:val="00ED1802"/>
    <w:rsid w:val="00ED188B"/>
    <w:rsid w:val="00ED18AE"/>
    <w:rsid w:val="00ED1956"/>
    <w:rsid w:val="00ED1967"/>
    <w:rsid w:val="00ED1A78"/>
    <w:rsid w:val="00ED1AC9"/>
    <w:rsid w:val="00ED1C7A"/>
    <w:rsid w:val="00ED1D4C"/>
    <w:rsid w:val="00ED1DC3"/>
    <w:rsid w:val="00ED1E71"/>
    <w:rsid w:val="00ED1EB3"/>
    <w:rsid w:val="00ED1F0D"/>
    <w:rsid w:val="00ED1F7E"/>
    <w:rsid w:val="00ED203A"/>
    <w:rsid w:val="00ED20BA"/>
    <w:rsid w:val="00ED211D"/>
    <w:rsid w:val="00ED214E"/>
    <w:rsid w:val="00ED22BE"/>
    <w:rsid w:val="00ED22E5"/>
    <w:rsid w:val="00ED24BE"/>
    <w:rsid w:val="00ED27B4"/>
    <w:rsid w:val="00ED285A"/>
    <w:rsid w:val="00ED2870"/>
    <w:rsid w:val="00ED28D0"/>
    <w:rsid w:val="00ED2959"/>
    <w:rsid w:val="00ED2AD5"/>
    <w:rsid w:val="00ED2B00"/>
    <w:rsid w:val="00ED2B19"/>
    <w:rsid w:val="00ED2B70"/>
    <w:rsid w:val="00ED2B88"/>
    <w:rsid w:val="00ED2BA5"/>
    <w:rsid w:val="00ED2C55"/>
    <w:rsid w:val="00ED2CDE"/>
    <w:rsid w:val="00ED2E10"/>
    <w:rsid w:val="00ED3140"/>
    <w:rsid w:val="00ED314B"/>
    <w:rsid w:val="00ED3256"/>
    <w:rsid w:val="00ED3300"/>
    <w:rsid w:val="00ED332A"/>
    <w:rsid w:val="00ED332C"/>
    <w:rsid w:val="00ED333B"/>
    <w:rsid w:val="00ED33BD"/>
    <w:rsid w:val="00ED3482"/>
    <w:rsid w:val="00ED348B"/>
    <w:rsid w:val="00ED3494"/>
    <w:rsid w:val="00ED34BB"/>
    <w:rsid w:val="00ED3566"/>
    <w:rsid w:val="00ED3616"/>
    <w:rsid w:val="00ED366E"/>
    <w:rsid w:val="00ED36B4"/>
    <w:rsid w:val="00ED36CB"/>
    <w:rsid w:val="00ED36E0"/>
    <w:rsid w:val="00ED36FD"/>
    <w:rsid w:val="00ED370D"/>
    <w:rsid w:val="00ED37AF"/>
    <w:rsid w:val="00ED3829"/>
    <w:rsid w:val="00ED385A"/>
    <w:rsid w:val="00ED3955"/>
    <w:rsid w:val="00ED395D"/>
    <w:rsid w:val="00ED3B32"/>
    <w:rsid w:val="00ED3B74"/>
    <w:rsid w:val="00ED3C14"/>
    <w:rsid w:val="00ED3D01"/>
    <w:rsid w:val="00ED3D4C"/>
    <w:rsid w:val="00ED3D87"/>
    <w:rsid w:val="00ED3DB6"/>
    <w:rsid w:val="00ED3EF2"/>
    <w:rsid w:val="00ED3FD0"/>
    <w:rsid w:val="00ED3FDC"/>
    <w:rsid w:val="00ED4079"/>
    <w:rsid w:val="00ED40E6"/>
    <w:rsid w:val="00ED4155"/>
    <w:rsid w:val="00ED41DA"/>
    <w:rsid w:val="00ED424F"/>
    <w:rsid w:val="00ED426F"/>
    <w:rsid w:val="00ED4752"/>
    <w:rsid w:val="00ED49B1"/>
    <w:rsid w:val="00ED4A28"/>
    <w:rsid w:val="00ED4A30"/>
    <w:rsid w:val="00ED4A3B"/>
    <w:rsid w:val="00ED4D37"/>
    <w:rsid w:val="00ED4DBB"/>
    <w:rsid w:val="00ED4E89"/>
    <w:rsid w:val="00ED4F44"/>
    <w:rsid w:val="00ED5039"/>
    <w:rsid w:val="00ED50A6"/>
    <w:rsid w:val="00ED510B"/>
    <w:rsid w:val="00ED52CD"/>
    <w:rsid w:val="00ED52CF"/>
    <w:rsid w:val="00ED5320"/>
    <w:rsid w:val="00ED5328"/>
    <w:rsid w:val="00ED54D3"/>
    <w:rsid w:val="00ED54D7"/>
    <w:rsid w:val="00ED55A5"/>
    <w:rsid w:val="00ED566F"/>
    <w:rsid w:val="00ED56A1"/>
    <w:rsid w:val="00ED5710"/>
    <w:rsid w:val="00ED57DD"/>
    <w:rsid w:val="00ED5827"/>
    <w:rsid w:val="00ED58CE"/>
    <w:rsid w:val="00ED59DC"/>
    <w:rsid w:val="00ED5A6D"/>
    <w:rsid w:val="00ED5A76"/>
    <w:rsid w:val="00ED5AB9"/>
    <w:rsid w:val="00ED5B79"/>
    <w:rsid w:val="00ED5C27"/>
    <w:rsid w:val="00ED5C8E"/>
    <w:rsid w:val="00ED5DB8"/>
    <w:rsid w:val="00ED5E2E"/>
    <w:rsid w:val="00ED5E38"/>
    <w:rsid w:val="00ED5EF8"/>
    <w:rsid w:val="00ED5FD7"/>
    <w:rsid w:val="00ED60DC"/>
    <w:rsid w:val="00ED613B"/>
    <w:rsid w:val="00ED626C"/>
    <w:rsid w:val="00ED62E5"/>
    <w:rsid w:val="00ED633D"/>
    <w:rsid w:val="00ED6345"/>
    <w:rsid w:val="00ED643F"/>
    <w:rsid w:val="00ED6443"/>
    <w:rsid w:val="00ED6677"/>
    <w:rsid w:val="00ED6684"/>
    <w:rsid w:val="00ED668D"/>
    <w:rsid w:val="00ED6750"/>
    <w:rsid w:val="00ED6820"/>
    <w:rsid w:val="00ED682D"/>
    <w:rsid w:val="00ED6947"/>
    <w:rsid w:val="00ED695A"/>
    <w:rsid w:val="00ED6AE9"/>
    <w:rsid w:val="00ED6BA5"/>
    <w:rsid w:val="00ED6BD8"/>
    <w:rsid w:val="00ED6C45"/>
    <w:rsid w:val="00ED6CAF"/>
    <w:rsid w:val="00ED6CE1"/>
    <w:rsid w:val="00ED6D76"/>
    <w:rsid w:val="00ED6D9A"/>
    <w:rsid w:val="00ED6D9E"/>
    <w:rsid w:val="00ED6DDC"/>
    <w:rsid w:val="00ED6DE1"/>
    <w:rsid w:val="00ED6E07"/>
    <w:rsid w:val="00ED6EC7"/>
    <w:rsid w:val="00ED6ED7"/>
    <w:rsid w:val="00ED7035"/>
    <w:rsid w:val="00ED7181"/>
    <w:rsid w:val="00ED7214"/>
    <w:rsid w:val="00ED7231"/>
    <w:rsid w:val="00ED7261"/>
    <w:rsid w:val="00ED72DF"/>
    <w:rsid w:val="00ED735A"/>
    <w:rsid w:val="00ED74BE"/>
    <w:rsid w:val="00ED753A"/>
    <w:rsid w:val="00ED759E"/>
    <w:rsid w:val="00ED7601"/>
    <w:rsid w:val="00ED76CC"/>
    <w:rsid w:val="00ED7759"/>
    <w:rsid w:val="00ED77D6"/>
    <w:rsid w:val="00ED78C2"/>
    <w:rsid w:val="00ED7936"/>
    <w:rsid w:val="00ED7959"/>
    <w:rsid w:val="00ED7CAF"/>
    <w:rsid w:val="00ED7D84"/>
    <w:rsid w:val="00ED7E26"/>
    <w:rsid w:val="00ED7E57"/>
    <w:rsid w:val="00ED7E98"/>
    <w:rsid w:val="00EE0007"/>
    <w:rsid w:val="00EE0124"/>
    <w:rsid w:val="00EE0271"/>
    <w:rsid w:val="00EE02F9"/>
    <w:rsid w:val="00EE038E"/>
    <w:rsid w:val="00EE0429"/>
    <w:rsid w:val="00EE0498"/>
    <w:rsid w:val="00EE0574"/>
    <w:rsid w:val="00EE0658"/>
    <w:rsid w:val="00EE06DB"/>
    <w:rsid w:val="00EE06F2"/>
    <w:rsid w:val="00EE08F1"/>
    <w:rsid w:val="00EE0BD0"/>
    <w:rsid w:val="00EE0C26"/>
    <w:rsid w:val="00EE0DA5"/>
    <w:rsid w:val="00EE0DD9"/>
    <w:rsid w:val="00EE0E62"/>
    <w:rsid w:val="00EE0F77"/>
    <w:rsid w:val="00EE0FE5"/>
    <w:rsid w:val="00EE1052"/>
    <w:rsid w:val="00EE1179"/>
    <w:rsid w:val="00EE1281"/>
    <w:rsid w:val="00EE134B"/>
    <w:rsid w:val="00EE14A0"/>
    <w:rsid w:val="00EE1596"/>
    <w:rsid w:val="00EE16AF"/>
    <w:rsid w:val="00EE174E"/>
    <w:rsid w:val="00EE1786"/>
    <w:rsid w:val="00EE17F7"/>
    <w:rsid w:val="00EE1946"/>
    <w:rsid w:val="00EE1960"/>
    <w:rsid w:val="00EE198A"/>
    <w:rsid w:val="00EE19B3"/>
    <w:rsid w:val="00EE1BA4"/>
    <w:rsid w:val="00EE1BCC"/>
    <w:rsid w:val="00EE1DD3"/>
    <w:rsid w:val="00EE1E6E"/>
    <w:rsid w:val="00EE1E71"/>
    <w:rsid w:val="00EE1ECC"/>
    <w:rsid w:val="00EE204E"/>
    <w:rsid w:val="00EE2148"/>
    <w:rsid w:val="00EE21AC"/>
    <w:rsid w:val="00EE21C1"/>
    <w:rsid w:val="00EE2281"/>
    <w:rsid w:val="00EE24EF"/>
    <w:rsid w:val="00EE2537"/>
    <w:rsid w:val="00EE2658"/>
    <w:rsid w:val="00EE26C8"/>
    <w:rsid w:val="00EE26DF"/>
    <w:rsid w:val="00EE2716"/>
    <w:rsid w:val="00EE278C"/>
    <w:rsid w:val="00EE2822"/>
    <w:rsid w:val="00EE28F3"/>
    <w:rsid w:val="00EE2A5F"/>
    <w:rsid w:val="00EE2A77"/>
    <w:rsid w:val="00EE2D4E"/>
    <w:rsid w:val="00EE2D5B"/>
    <w:rsid w:val="00EE2D9B"/>
    <w:rsid w:val="00EE2E32"/>
    <w:rsid w:val="00EE2EB9"/>
    <w:rsid w:val="00EE2F77"/>
    <w:rsid w:val="00EE3189"/>
    <w:rsid w:val="00EE31B4"/>
    <w:rsid w:val="00EE31D9"/>
    <w:rsid w:val="00EE31EC"/>
    <w:rsid w:val="00EE3213"/>
    <w:rsid w:val="00EE3215"/>
    <w:rsid w:val="00EE337B"/>
    <w:rsid w:val="00EE337C"/>
    <w:rsid w:val="00EE33C0"/>
    <w:rsid w:val="00EE3470"/>
    <w:rsid w:val="00EE35A4"/>
    <w:rsid w:val="00EE36FC"/>
    <w:rsid w:val="00EE391E"/>
    <w:rsid w:val="00EE3943"/>
    <w:rsid w:val="00EE39E3"/>
    <w:rsid w:val="00EE3A08"/>
    <w:rsid w:val="00EE3A1E"/>
    <w:rsid w:val="00EE3A85"/>
    <w:rsid w:val="00EE3A90"/>
    <w:rsid w:val="00EE3ADB"/>
    <w:rsid w:val="00EE3B9A"/>
    <w:rsid w:val="00EE3CE5"/>
    <w:rsid w:val="00EE3D13"/>
    <w:rsid w:val="00EE3E53"/>
    <w:rsid w:val="00EE3F63"/>
    <w:rsid w:val="00EE3F79"/>
    <w:rsid w:val="00EE3FD6"/>
    <w:rsid w:val="00EE40BC"/>
    <w:rsid w:val="00EE40CA"/>
    <w:rsid w:val="00EE4139"/>
    <w:rsid w:val="00EE417A"/>
    <w:rsid w:val="00EE430B"/>
    <w:rsid w:val="00EE442D"/>
    <w:rsid w:val="00EE4490"/>
    <w:rsid w:val="00EE44D5"/>
    <w:rsid w:val="00EE454E"/>
    <w:rsid w:val="00EE45F8"/>
    <w:rsid w:val="00EE4657"/>
    <w:rsid w:val="00EE46C2"/>
    <w:rsid w:val="00EE4829"/>
    <w:rsid w:val="00EE487B"/>
    <w:rsid w:val="00EE489E"/>
    <w:rsid w:val="00EE49F5"/>
    <w:rsid w:val="00EE4A54"/>
    <w:rsid w:val="00EE4B20"/>
    <w:rsid w:val="00EE4BC0"/>
    <w:rsid w:val="00EE4BEC"/>
    <w:rsid w:val="00EE4C0F"/>
    <w:rsid w:val="00EE4C1C"/>
    <w:rsid w:val="00EE4D14"/>
    <w:rsid w:val="00EE4DC0"/>
    <w:rsid w:val="00EE4EEF"/>
    <w:rsid w:val="00EE4F6E"/>
    <w:rsid w:val="00EE4FED"/>
    <w:rsid w:val="00EE5073"/>
    <w:rsid w:val="00EE508B"/>
    <w:rsid w:val="00EE5195"/>
    <w:rsid w:val="00EE5226"/>
    <w:rsid w:val="00EE5245"/>
    <w:rsid w:val="00EE525A"/>
    <w:rsid w:val="00EE535A"/>
    <w:rsid w:val="00EE536C"/>
    <w:rsid w:val="00EE53C6"/>
    <w:rsid w:val="00EE53C7"/>
    <w:rsid w:val="00EE5435"/>
    <w:rsid w:val="00EE5461"/>
    <w:rsid w:val="00EE5581"/>
    <w:rsid w:val="00EE5641"/>
    <w:rsid w:val="00EE5643"/>
    <w:rsid w:val="00EE5737"/>
    <w:rsid w:val="00EE57FB"/>
    <w:rsid w:val="00EE5876"/>
    <w:rsid w:val="00EE5A0D"/>
    <w:rsid w:val="00EE5A46"/>
    <w:rsid w:val="00EE5ABD"/>
    <w:rsid w:val="00EE5BF3"/>
    <w:rsid w:val="00EE5D14"/>
    <w:rsid w:val="00EE5D36"/>
    <w:rsid w:val="00EE5DD8"/>
    <w:rsid w:val="00EE5DDC"/>
    <w:rsid w:val="00EE5DDF"/>
    <w:rsid w:val="00EE5E3D"/>
    <w:rsid w:val="00EE5E7C"/>
    <w:rsid w:val="00EE5ECA"/>
    <w:rsid w:val="00EE5EEC"/>
    <w:rsid w:val="00EE607F"/>
    <w:rsid w:val="00EE60DB"/>
    <w:rsid w:val="00EE60FE"/>
    <w:rsid w:val="00EE6117"/>
    <w:rsid w:val="00EE6264"/>
    <w:rsid w:val="00EE62BA"/>
    <w:rsid w:val="00EE6354"/>
    <w:rsid w:val="00EE63A4"/>
    <w:rsid w:val="00EE640C"/>
    <w:rsid w:val="00EE6486"/>
    <w:rsid w:val="00EE64D1"/>
    <w:rsid w:val="00EE64E6"/>
    <w:rsid w:val="00EE65EE"/>
    <w:rsid w:val="00EE663C"/>
    <w:rsid w:val="00EE6832"/>
    <w:rsid w:val="00EE68B5"/>
    <w:rsid w:val="00EE68DD"/>
    <w:rsid w:val="00EE69DF"/>
    <w:rsid w:val="00EE69F8"/>
    <w:rsid w:val="00EE6A3B"/>
    <w:rsid w:val="00EE6B06"/>
    <w:rsid w:val="00EE6B6E"/>
    <w:rsid w:val="00EE6BB6"/>
    <w:rsid w:val="00EE6BEA"/>
    <w:rsid w:val="00EE6BF0"/>
    <w:rsid w:val="00EE6BF3"/>
    <w:rsid w:val="00EE6BF6"/>
    <w:rsid w:val="00EE6C0B"/>
    <w:rsid w:val="00EE6C9D"/>
    <w:rsid w:val="00EE6EA9"/>
    <w:rsid w:val="00EE6F78"/>
    <w:rsid w:val="00EE6FAA"/>
    <w:rsid w:val="00EE6FF5"/>
    <w:rsid w:val="00EE70D7"/>
    <w:rsid w:val="00EE71D9"/>
    <w:rsid w:val="00EE72E0"/>
    <w:rsid w:val="00EE7310"/>
    <w:rsid w:val="00EE7318"/>
    <w:rsid w:val="00EE7354"/>
    <w:rsid w:val="00EE748E"/>
    <w:rsid w:val="00EE7508"/>
    <w:rsid w:val="00EE756E"/>
    <w:rsid w:val="00EE75F8"/>
    <w:rsid w:val="00EE7609"/>
    <w:rsid w:val="00EE760E"/>
    <w:rsid w:val="00EE7626"/>
    <w:rsid w:val="00EE77A5"/>
    <w:rsid w:val="00EE788F"/>
    <w:rsid w:val="00EE79A6"/>
    <w:rsid w:val="00EE79F6"/>
    <w:rsid w:val="00EE7AAA"/>
    <w:rsid w:val="00EE7B7A"/>
    <w:rsid w:val="00EE7C91"/>
    <w:rsid w:val="00EE7DA9"/>
    <w:rsid w:val="00EE7DD3"/>
    <w:rsid w:val="00EE7DF9"/>
    <w:rsid w:val="00EE7EBB"/>
    <w:rsid w:val="00EE7F11"/>
    <w:rsid w:val="00EE7F3A"/>
    <w:rsid w:val="00EE7F64"/>
    <w:rsid w:val="00EE7F78"/>
    <w:rsid w:val="00EE7F87"/>
    <w:rsid w:val="00EE7FB3"/>
    <w:rsid w:val="00EF0019"/>
    <w:rsid w:val="00EF0065"/>
    <w:rsid w:val="00EF0114"/>
    <w:rsid w:val="00EF0125"/>
    <w:rsid w:val="00EF0138"/>
    <w:rsid w:val="00EF0154"/>
    <w:rsid w:val="00EF016B"/>
    <w:rsid w:val="00EF01F1"/>
    <w:rsid w:val="00EF0217"/>
    <w:rsid w:val="00EF0353"/>
    <w:rsid w:val="00EF03EE"/>
    <w:rsid w:val="00EF04A1"/>
    <w:rsid w:val="00EF04A5"/>
    <w:rsid w:val="00EF053E"/>
    <w:rsid w:val="00EF05C8"/>
    <w:rsid w:val="00EF0698"/>
    <w:rsid w:val="00EF06B2"/>
    <w:rsid w:val="00EF0706"/>
    <w:rsid w:val="00EF070E"/>
    <w:rsid w:val="00EF07DF"/>
    <w:rsid w:val="00EF0819"/>
    <w:rsid w:val="00EF0850"/>
    <w:rsid w:val="00EF087C"/>
    <w:rsid w:val="00EF0939"/>
    <w:rsid w:val="00EF0A50"/>
    <w:rsid w:val="00EF0B15"/>
    <w:rsid w:val="00EF0B69"/>
    <w:rsid w:val="00EF0C16"/>
    <w:rsid w:val="00EF0DF7"/>
    <w:rsid w:val="00EF0EA9"/>
    <w:rsid w:val="00EF0F60"/>
    <w:rsid w:val="00EF0F74"/>
    <w:rsid w:val="00EF0FA1"/>
    <w:rsid w:val="00EF0FBC"/>
    <w:rsid w:val="00EF0FC0"/>
    <w:rsid w:val="00EF1030"/>
    <w:rsid w:val="00EF11F4"/>
    <w:rsid w:val="00EF11F6"/>
    <w:rsid w:val="00EF12C5"/>
    <w:rsid w:val="00EF1486"/>
    <w:rsid w:val="00EF15A3"/>
    <w:rsid w:val="00EF16FE"/>
    <w:rsid w:val="00EF1755"/>
    <w:rsid w:val="00EF177E"/>
    <w:rsid w:val="00EF186E"/>
    <w:rsid w:val="00EF1AA3"/>
    <w:rsid w:val="00EF1AF9"/>
    <w:rsid w:val="00EF1B24"/>
    <w:rsid w:val="00EF1C70"/>
    <w:rsid w:val="00EF1C79"/>
    <w:rsid w:val="00EF1CB1"/>
    <w:rsid w:val="00EF1D21"/>
    <w:rsid w:val="00EF1D30"/>
    <w:rsid w:val="00EF1D70"/>
    <w:rsid w:val="00EF1E60"/>
    <w:rsid w:val="00EF1F3C"/>
    <w:rsid w:val="00EF1F41"/>
    <w:rsid w:val="00EF1FC8"/>
    <w:rsid w:val="00EF2082"/>
    <w:rsid w:val="00EF20EA"/>
    <w:rsid w:val="00EF2128"/>
    <w:rsid w:val="00EF21BA"/>
    <w:rsid w:val="00EF231F"/>
    <w:rsid w:val="00EF2322"/>
    <w:rsid w:val="00EF235B"/>
    <w:rsid w:val="00EF242D"/>
    <w:rsid w:val="00EF2473"/>
    <w:rsid w:val="00EF248E"/>
    <w:rsid w:val="00EF260A"/>
    <w:rsid w:val="00EF2648"/>
    <w:rsid w:val="00EF2675"/>
    <w:rsid w:val="00EF26CA"/>
    <w:rsid w:val="00EF26D7"/>
    <w:rsid w:val="00EF280C"/>
    <w:rsid w:val="00EF2846"/>
    <w:rsid w:val="00EF2866"/>
    <w:rsid w:val="00EF2920"/>
    <w:rsid w:val="00EF2A30"/>
    <w:rsid w:val="00EF2AD6"/>
    <w:rsid w:val="00EF2C9C"/>
    <w:rsid w:val="00EF2D0D"/>
    <w:rsid w:val="00EF2D57"/>
    <w:rsid w:val="00EF2D63"/>
    <w:rsid w:val="00EF2D97"/>
    <w:rsid w:val="00EF2FA2"/>
    <w:rsid w:val="00EF2FAB"/>
    <w:rsid w:val="00EF2FB6"/>
    <w:rsid w:val="00EF30EB"/>
    <w:rsid w:val="00EF310F"/>
    <w:rsid w:val="00EF313D"/>
    <w:rsid w:val="00EF3158"/>
    <w:rsid w:val="00EF322E"/>
    <w:rsid w:val="00EF33AC"/>
    <w:rsid w:val="00EF3415"/>
    <w:rsid w:val="00EF3420"/>
    <w:rsid w:val="00EF3474"/>
    <w:rsid w:val="00EF3500"/>
    <w:rsid w:val="00EF350F"/>
    <w:rsid w:val="00EF3532"/>
    <w:rsid w:val="00EF3542"/>
    <w:rsid w:val="00EF355F"/>
    <w:rsid w:val="00EF3578"/>
    <w:rsid w:val="00EF3666"/>
    <w:rsid w:val="00EF371D"/>
    <w:rsid w:val="00EF37B6"/>
    <w:rsid w:val="00EF3800"/>
    <w:rsid w:val="00EF3889"/>
    <w:rsid w:val="00EF38AC"/>
    <w:rsid w:val="00EF39E6"/>
    <w:rsid w:val="00EF3A64"/>
    <w:rsid w:val="00EF3ABB"/>
    <w:rsid w:val="00EF3AED"/>
    <w:rsid w:val="00EF3C61"/>
    <w:rsid w:val="00EF3CEA"/>
    <w:rsid w:val="00EF3D58"/>
    <w:rsid w:val="00EF3D93"/>
    <w:rsid w:val="00EF3E36"/>
    <w:rsid w:val="00EF3E90"/>
    <w:rsid w:val="00EF4022"/>
    <w:rsid w:val="00EF4096"/>
    <w:rsid w:val="00EF40D8"/>
    <w:rsid w:val="00EF41DA"/>
    <w:rsid w:val="00EF4216"/>
    <w:rsid w:val="00EF42AA"/>
    <w:rsid w:val="00EF4355"/>
    <w:rsid w:val="00EF43FC"/>
    <w:rsid w:val="00EF448F"/>
    <w:rsid w:val="00EF4514"/>
    <w:rsid w:val="00EF4526"/>
    <w:rsid w:val="00EF462A"/>
    <w:rsid w:val="00EF47EA"/>
    <w:rsid w:val="00EF480F"/>
    <w:rsid w:val="00EF4826"/>
    <w:rsid w:val="00EF482F"/>
    <w:rsid w:val="00EF491A"/>
    <w:rsid w:val="00EF49DC"/>
    <w:rsid w:val="00EF4AD8"/>
    <w:rsid w:val="00EF4AE8"/>
    <w:rsid w:val="00EF4B6E"/>
    <w:rsid w:val="00EF4B6F"/>
    <w:rsid w:val="00EF4BFC"/>
    <w:rsid w:val="00EF4C03"/>
    <w:rsid w:val="00EF4DE8"/>
    <w:rsid w:val="00EF4EE5"/>
    <w:rsid w:val="00EF4F53"/>
    <w:rsid w:val="00EF503A"/>
    <w:rsid w:val="00EF505C"/>
    <w:rsid w:val="00EF50F4"/>
    <w:rsid w:val="00EF511F"/>
    <w:rsid w:val="00EF5130"/>
    <w:rsid w:val="00EF5164"/>
    <w:rsid w:val="00EF5166"/>
    <w:rsid w:val="00EF5221"/>
    <w:rsid w:val="00EF5245"/>
    <w:rsid w:val="00EF5379"/>
    <w:rsid w:val="00EF539D"/>
    <w:rsid w:val="00EF5498"/>
    <w:rsid w:val="00EF55BF"/>
    <w:rsid w:val="00EF55C4"/>
    <w:rsid w:val="00EF56E0"/>
    <w:rsid w:val="00EF573E"/>
    <w:rsid w:val="00EF589C"/>
    <w:rsid w:val="00EF5967"/>
    <w:rsid w:val="00EF5A22"/>
    <w:rsid w:val="00EF5A68"/>
    <w:rsid w:val="00EF5ABD"/>
    <w:rsid w:val="00EF5AD3"/>
    <w:rsid w:val="00EF5AE7"/>
    <w:rsid w:val="00EF5B1E"/>
    <w:rsid w:val="00EF5B34"/>
    <w:rsid w:val="00EF5BD0"/>
    <w:rsid w:val="00EF5C1C"/>
    <w:rsid w:val="00EF5D8F"/>
    <w:rsid w:val="00EF5D9C"/>
    <w:rsid w:val="00EF5EB6"/>
    <w:rsid w:val="00EF5F83"/>
    <w:rsid w:val="00EF60D3"/>
    <w:rsid w:val="00EF614F"/>
    <w:rsid w:val="00EF6188"/>
    <w:rsid w:val="00EF61FB"/>
    <w:rsid w:val="00EF6244"/>
    <w:rsid w:val="00EF627C"/>
    <w:rsid w:val="00EF62A6"/>
    <w:rsid w:val="00EF6387"/>
    <w:rsid w:val="00EF63B7"/>
    <w:rsid w:val="00EF6402"/>
    <w:rsid w:val="00EF6409"/>
    <w:rsid w:val="00EF647A"/>
    <w:rsid w:val="00EF64C5"/>
    <w:rsid w:val="00EF6531"/>
    <w:rsid w:val="00EF6580"/>
    <w:rsid w:val="00EF663E"/>
    <w:rsid w:val="00EF6764"/>
    <w:rsid w:val="00EF6793"/>
    <w:rsid w:val="00EF6872"/>
    <w:rsid w:val="00EF6896"/>
    <w:rsid w:val="00EF693E"/>
    <w:rsid w:val="00EF6943"/>
    <w:rsid w:val="00EF6B4A"/>
    <w:rsid w:val="00EF6BAD"/>
    <w:rsid w:val="00EF6C77"/>
    <w:rsid w:val="00EF6CE3"/>
    <w:rsid w:val="00EF6D8C"/>
    <w:rsid w:val="00EF6EB7"/>
    <w:rsid w:val="00EF6ED7"/>
    <w:rsid w:val="00EF6F83"/>
    <w:rsid w:val="00EF6F9D"/>
    <w:rsid w:val="00EF7063"/>
    <w:rsid w:val="00EF7084"/>
    <w:rsid w:val="00EF7098"/>
    <w:rsid w:val="00EF70D6"/>
    <w:rsid w:val="00EF7115"/>
    <w:rsid w:val="00EF71B0"/>
    <w:rsid w:val="00EF71D8"/>
    <w:rsid w:val="00EF7365"/>
    <w:rsid w:val="00EF7387"/>
    <w:rsid w:val="00EF74D4"/>
    <w:rsid w:val="00EF74DD"/>
    <w:rsid w:val="00EF74E7"/>
    <w:rsid w:val="00EF7550"/>
    <w:rsid w:val="00EF766C"/>
    <w:rsid w:val="00EF7777"/>
    <w:rsid w:val="00EF77A2"/>
    <w:rsid w:val="00EF77EB"/>
    <w:rsid w:val="00EF780C"/>
    <w:rsid w:val="00EF793E"/>
    <w:rsid w:val="00EF7AB2"/>
    <w:rsid w:val="00EF7B97"/>
    <w:rsid w:val="00EF7BC7"/>
    <w:rsid w:val="00EF7C0F"/>
    <w:rsid w:val="00EF7CA9"/>
    <w:rsid w:val="00EF7CF2"/>
    <w:rsid w:val="00EF7D57"/>
    <w:rsid w:val="00EF7D89"/>
    <w:rsid w:val="00EF7D95"/>
    <w:rsid w:val="00EF7E47"/>
    <w:rsid w:val="00EF7E8A"/>
    <w:rsid w:val="00EF7EAF"/>
    <w:rsid w:val="00EF7F4B"/>
    <w:rsid w:val="00EF7F62"/>
    <w:rsid w:val="00EF7F82"/>
    <w:rsid w:val="00EF7FC9"/>
    <w:rsid w:val="00F00007"/>
    <w:rsid w:val="00F0009E"/>
    <w:rsid w:val="00F0019F"/>
    <w:rsid w:val="00F002C1"/>
    <w:rsid w:val="00F0060C"/>
    <w:rsid w:val="00F0078B"/>
    <w:rsid w:val="00F0078E"/>
    <w:rsid w:val="00F007DE"/>
    <w:rsid w:val="00F00852"/>
    <w:rsid w:val="00F00904"/>
    <w:rsid w:val="00F00A66"/>
    <w:rsid w:val="00F00B07"/>
    <w:rsid w:val="00F00B91"/>
    <w:rsid w:val="00F00CA7"/>
    <w:rsid w:val="00F00D06"/>
    <w:rsid w:val="00F00DCE"/>
    <w:rsid w:val="00F00F3C"/>
    <w:rsid w:val="00F00F89"/>
    <w:rsid w:val="00F01049"/>
    <w:rsid w:val="00F010A2"/>
    <w:rsid w:val="00F01147"/>
    <w:rsid w:val="00F01298"/>
    <w:rsid w:val="00F01329"/>
    <w:rsid w:val="00F0149D"/>
    <w:rsid w:val="00F014F2"/>
    <w:rsid w:val="00F017A1"/>
    <w:rsid w:val="00F01809"/>
    <w:rsid w:val="00F01850"/>
    <w:rsid w:val="00F0185B"/>
    <w:rsid w:val="00F018AF"/>
    <w:rsid w:val="00F019D7"/>
    <w:rsid w:val="00F019E9"/>
    <w:rsid w:val="00F01A37"/>
    <w:rsid w:val="00F01C10"/>
    <w:rsid w:val="00F01C90"/>
    <w:rsid w:val="00F01D5C"/>
    <w:rsid w:val="00F01DA3"/>
    <w:rsid w:val="00F01DD3"/>
    <w:rsid w:val="00F01E9F"/>
    <w:rsid w:val="00F01F8B"/>
    <w:rsid w:val="00F02169"/>
    <w:rsid w:val="00F02199"/>
    <w:rsid w:val="00F0222D"/>
    <w:rsid w:val="00F02231"/>
    <w:rsid w:val="00F02269"/>
    <w:rsid w:val="00F02314"/>
    <w:rsid w:val="00F02343"/>
    <w:rsid w:val="00F023B9"/>
    <w:rsid w:val="00F023BC"/>
    <w:rsid w:val="00F023F6"/>
    <w:rsid w:val="00F02516"/>
    <w:rsid w:val="00F02690"/>
    <w:rsid w:val="00F026F7"/>
    <w:rsid w:val="00F027FB"/>
    <w:rsid w:val="00F02923"/>
    <w:rsid w:val="00F02A59"/>
    <w:rsid w:val="00F02B67"/>
    <w:rsid w:val="00F02BA7"/>
    <w:rsid w:val="00F02C30"/>
    <w:rsid w:val="00F02C57"/>
    <w:rsid w:val="00F02F18"/>
    <w:rsid w:val="00F02F38"/>
    <w:rsid w:val="00F02F55"/>
    <w:rsid w:val="00F03025"/>
    <w:rsid w:val="00F03037"/>
    <w:rsid w:val="00F030C5"/>
    <w:rsid w:val="00F03211"/>
    <w:rsid w:val="00F0322A"/>
    <w:rsid w:val="00F0323C"/>
    <w:rsid w:val="00F032BD"/>
    <w:rsid w:val="00F032D4"/>
    <w:rsid w:val="00F0338F"/>
    <w:rsid w:val="00F0342D"/>
    <w:rsid w:val="00F0347E"/>
    <w:rsid w:val="00F0349A"/>
    <w:rsid w:val="00F034B7"/>
    <w:rsid w:val="00F034E7"/>
    <w:rsid w:val="00F035F6"/>
    <w:rsid w:val="00F036B6"/>
    <w:rsid w:val="00F036DA"/>
    <w:rsid w:val="00F036EB"/>
    <w:rsid w:val="00F0383A"/>
    <w:rsid w:val="00F038D5"/>
    <w:rsid w:val="00F038F2"/>
    <w:rsid w:val="00F0390D"/>
    <w:rsid w:val="00F03AC4"/>
    <w:rsid w:val="00F03B09"/>
    <w:rsid w:val="00F03B39"/>
    <w:rsid w:val="00F03B85"/>
    <w:rsid w:val="00F03C1D"/>
    <w:rsid w:val="00F03C74"/>
    <w:rsid w:val="00F03D3B"/>
    <w:rsid w:val="00F03DCF"/>
    <w:rsid w:val="00F03E27"/>
    <w:rsid w:val="00F03E4A"/>
    <w:rsid w:val="00F03E53"/>
    <w:rsid w:val="00F03E7E"/>
    <w:rsid w:val="00F03E93"/>
    <w:rsid w:val="00F03FBD"/>
    <w:rsid w:val="00F03FF6"/>
    <w:rsid w:val="00F04052"/>
    <w:rsid w:val="00F042B5"/>
    <w:rsid w:val="00F042F0"/>
    <w:rsid w:val="00F044A0"/>
    <w:rsid w:val="00F044F1"/>
    <w:rsid w:val="00F04687"/>
    <w:rsid w:val="00F046F8"/>
    <w:rsid w:val="00F04849"/>
    <w:rsid w:val="00F04859"/>
    <w:rsid w:val="00F0489F"/>
    <w:rsid w:val="00F048A5"/>
    <w:rsid w:val="00F048A7"/>
    <w:rsid w:val="00F048E3"/>
    <w:rsid w:val="00F04942"/>
    <w:rsid w:val="00F0495E"/>
    <w:rsid w:val="00F04A7E"/>
    <w:rsid w:val="00F04ADB"/>
    <w:rsid w:val="00F04BB2"/>
    <w:rsid w:val="00F04C06"/>
    <w:rsid w:val="00F04C24"/>
    <w:rsid w:val="00F04CB4"/>
    <w:rsid w:val="00F04D3B"/>
    <w:rsid w:val="00F04D8B"/>
    <w:rsid w:val="00F04E54"/>
    <w:rsid w:val="00F04FED"/>
    <w:rsid w:val="00F05116"/>
    <w:rsid w:val="00F0513F"/>
    <w:rsid w:val="00F05170"/>
    <w:rsid w:val="00F051B5"/>
    <w:rsid w:val="00F052AF"/>
    <w:rsid w:val="00F052BA"/>
    <w:rsid w:val="00F052F8"/>
    <w:rsid w:val="00F052F9"/>
    <w:rsid w:val="00F0531F"/>
    <w:rsid w:val="00F05403"/>
    <w:rsid w:val="00F0554A"/>
    <w:rsid w:val="00F055AA"/>
    <w:rsid w:val="00F056BE"/>
    <w:rsid w:val="00F0583B"/>
    <w:rsid w:val="00F0584B"/>
    <w:rsid w:val="00F0584E"/>
    <w:rsid w:val="00F05B66"/>
    <w:rsid w:val="00F05CC6"/>
    <w:rsid w:val="00F05E60"/>
    <w:rsid w:val="00F05EE3"/>
    <w:rsid w:val="00F05F0B"/>
    <w:rsid w:val="00F06058"/>
    <w:rsid w:val="00F060AC"/>
    <w:rsid w:val="00F06314"/>
    <w:rsid w:val="00F06324"/>
    <w:rsid w:val="00F06398"/>
    <w:rsid w:val="00F06411"/>
    <w:rsid w:val="00F06429"/>
    <w:rsid w:val="00F06431"/>
    <w:rsid w:val="00F06442"/>
    <w:rsid w:val="00F06479"/>
    <w:rsid w:val="00F06564"/>
    <w:rsid w:val="00F06673"/>
    <w:rsid w:val="00F06753"/>
    <w:rsid w:val="00F068DB"/>
    <w:rsid w:val="00F06961"/>
    <w:rsid w:val="00F06A68"/>
    <w:rsid w:val="00F06A6C"/>
    <w:rsid w:val="00F06B8B"/>
    <w:rsid w:val="00F06B8C"/>
    <w:rsid w:val="00F06C01"/>
    <w:rsid w:val="00F06D10"/>
    <w:rsid w:val="00F06EC1"/>
    <w:rsid w:val="00F07093"/>
    <w:rsid w:val="00F070CA"/>
    <w:rsid w:val="00F07131"/>
    <w:rsid w:val="00F07292"/>
    <w:rsid w:val="00F073D0"/>
    <w:rsid w:val="00F074CB"/>
    <w:rsid w:val="00F074F1"/>
    <w:rsid w:val="00F07799"/>
    <w:rsid w:val="00F077B1"/>
    <w:rsid w:val="00F0785B"/>
    <w:rsid w:val="00F079AF"/>
    <w:rsid w:val="00F07AB7"/>
    <w:rsid w:val="00F07C6D"/>
    <w:rsid w:val="00F07C8F"/>
    <w:rsid w:val="00F07D4C"/>
    <w:rsid w:val="00F07FDC"/>
    <w:rsid w:val="00F10021"/>
    <w:rsid w:val="00F100F8"/>
    <w:rsid w:val="00F10139"/>
    <w:rsid w:val="00F10167"/>
    <w:rsid w:val="00F1019C"/>
    <w:rsid w:val="00F101C1"/>
    <w:rsid w:val="00F1023D"/>
    <w:rsid w:val="00F10261"/>
    <w:rsid w:val="00F1026E"/>
    <w:rsid w:val="00F103AC"/>
    <w:rsid w:val="00F103C6"/>
    <w:rsid w:val="00F104AB"/>
    <w:rsid w:val="00F104F3"/>
    <w:rsid w:val="00F10587"/>
    <w:rsid w:val="00F10598"/>
    <w:rsid w:val="00F10622"/>
    <w:rsid w:val="00F10648"/>
    <w:rsid w:val="00F1066F"/>
    <w:rsid w:val="00F106F8"/>
    <w:rsid w:val="00F10718"/>
    <w:rsid w:val="00F10832"/>
    <w:rsid w:val="00F1088C"/>
    <w:rsid w:val="00F10919"/>
    <w:rsid w:val="00F10989"/>
    <w:rsid w:val="00F109A3"/>
    <w:rsid w:val="00F10A13"/>
    <w:rsid w:val="00F10A26"/>
    <w:rsid w:val="00F10A4D"/>
    <w:rsid w:val="00F10AA0"/>
    <w:rsid w:val="00F10B96"/>
    <w:rsid w:val="00F10BBF"/>
    <w:rsid w:val="00F10BC4"/>
    <w:rsid w:val="00F10C3B"/>
    <w:rsid w:val="00F10CA0"/>
    <w:rsid w:val="00F10CB0"/>
    <w:rsid w:val="00F10D40"/>
    <w:rsid w:val="00F10E3C"/>
    <w:rsid w:val="00F10EE9"/>
    <w:rsid w:val="00F10F79"/>
    <w:rsid w:val="00F10F80"/>
    <w:rsid w:val="00F11072"/>
    <w:rsid w:val="00F110BF"/>
    <w:rsid w:val="00F111EA"/>
    <w:rsid w:val="00F11271"/>
    <w:rsid w:val="00F11386"/>
    <w:rsid w:val="00F113B8"/>
    <w:rsid w:val="00F1147B"/>
    <w:rsid w:val="00F11500"/>
    <w:rsid w:val="00F1154E"/>
    <w:rsid w:val="00F11558"/>
    <w:rsid w:val="00F11576"/>
    <w:rsid w:val="00F1158D"/>
    <w:rsid w:val="00F115EC"/>
    <w:rsid w:val="00F1164F"/>
    <w:rsid w:val="00F116D5"/>
    <w:rsid w:val="00F11721"/>
    <w:rsid w:val="00F117D9"/>
    <w:rsid w:val="00F1182F"/>
    <w:rsid w:val="00F1188A"/>
    <w:rsid w:val="00F11910"/>
    <w:rsid w:val="00F11988"/>
    <w:rsid w:val="00F1198C"/>
    <w:rsid w:val="00F119B0"/>
    <w:rsid w:val="00F11A8C"/>
    <w:rsid w:val="00F11B2B"/>
    <w:rsid w:val="00F11BD2"/>
    <w:rsid w:val="00F11C94"/>
    <w:rsid w:val="00F11D76"/>
    <w:rsid w:val="00F11DEF"/>
    <w:rsid w:val="00F11E89"/>
    <w:rsid w:val="00F11E8E"/>
    <w:rsid w:val="00F11EA0"/>
    <w:rsid w:val="00F11F3A"/>
    <w:rsid w:val="00F11F70"/>
    <w:rsid w:val="00F11FD2"/>
    <w:rsid w:val="00F11FE4"/>
    <w:rsid w:val="00F120B8"/>
    <w:rsid w:val="00F120BD"/>
    <w:rsid w:val="00F1237D"/>
    <w:rsid w:val="00F12410"/>
    <w:rsid w:val="00F12492"/>
    <w:rsid w:val="00F124C6"/>
    <w:rsid w:val="00F124E0"/>
    <w:rsid w:val="00F1254B"/>
    <w:rsid w:val="00F12558"/>
    <w:rsid w:val="00F125D0"/>
    <w:rsid w:val="00F1265E"/>
    <w:rsid w:val="00F126EC"/>
    <w:rsid w:val="00F12707"/>
    <w:rsid w:val="00F12724"/>
    <w:rsid w:val="00F12743"/>
    <w:rsid w:val="00F1282E"/>
    <w:rsid w:val="00F1284D"/>
    <w:rsid w:val="00F1288C"/>
    <w:rsid w:val="00F12993"/>
    <w:rsid w:val="00F129D0"/>
    <w:rsid w:val="00F12AB5"/>
    <w:rsid w:val="00F12B60"/>
    <w:rsid w:val="00F12C33"/>
    <w:rsid w:val="00F12C65"/>
    <w:rsid w:val="00F12D0A"/>
    <w:rsid w:val="00F12D1D"/>
    <w:rsid w:val="00F12D26"/>
    <w:rsid w:val="00F12D5C"/>
    <w:rsid w:val="00F12DA4"/>
    <w:rsid w:val="00F12DAC"/>
    <w:rsid w:val="00F12E78"/>
    <w:rsid w:val="00F12E88"/>
    <w:rsid w:val="00F12F5C"/>
    <w:rsid w:val="00F1300D"/>
    <w:rsid w:val="00F1305A"/>
    <w:rsid w:val="00F1315B"/>
    <w:rsid w:val="00F13195"/>
    <w:rsid w:val="00F1327E"/>
    <w:rsid w:val="00F13291"/>
    <w:rsid w:val="00F133B3"/>
    <w:rsid w:val="00F134C2"/>
    <w:rsid w:val="00F134D0"/>
    <w:rsid w:val="00F13796"/>
    <w:rsid w:val="00F13873"/>
    <w:rsid w:val="00F139A2"/>
    <w:rsid w:val="00F13A2C"/>
    <w:rsid w:val="00F13AD8"/>
    <w:rsid w:val="00F13AF8"/>
    <w:rsid w:val="00F13B36"/>
    <w:rsid w:val="00F13B88"/>
    <w:rsid w:val="00F13C0E"/>
    <w:rsid w:val="00F13C20"/>
    <w:rsid w:val="00F13C75"/>
    <w:rsid w:val="00F13D34"/>
    <w:rsid w:val="00F13DD9"/>
    <w:rsid w:val="00F13E17"/>
    <w:rsid w:val="00F13EA8"/>
    <w:rsid w:val="00F13F3A"/>
    <w:rsid w:val="00F1411A"/>
    <w:rsid w:val="00F1413A"/>
    <w:rsid w:val="00F1415F"/>
    <w:rsid w:val="00F14201"/>
    <w:rsid w:val="00F143BF"/>
    <w:rsid w:val="00F143C0"/>
    <w:rsid w:val="00F14562"/>
    <w:rsid w:val="00F14654"/>
    <w:rsid w:val="00F146A5"/>
    <w:rsid w:val="00F1476A"/>
    <w:rsid w:val="00F14854"/>
    <w:rsid w:val="00F1489C"/>
    <w:rsid w:val="00F14999"/>
    <w:rsid w:val="00F149F0"/>
    <w:rsid w:val="00F14A7A"/>
    <w:rsid w:val="00F14B50"/>
    <w:rsid w:val="00F14B78"/>
    <w:rsid w:val="00F14D00"/>
    <w:rsid w:val="00F14E13"/>
    <w:rsid w:val="00F14E2B"/>
    <w:rsid w:val="00F14F58"/>
    <w:rsid w:val="00F14FA2"/>
    <w:rsid w:val="00F14FB9"/>
    <w:rsid w:val="00F1506B"/>
    <w:rsid w:val="00F1508C"/>
    <w:rsid w:val="00F1523C"/>
    <w:rsid w:val="00F1524F"/>
    <w:rsid w:val="00F152BB"/>
    <w:rsid w:val="00F1540C"/>
    <w:rsid w:val="00F1542C"/>
    <w:rsid w:val="00F15469"/>
    <w:rsid w:val="00F1558D"/>
    <w:rsid w:val="00F1578E"/>
    <w:rsid w:val="00F1596E"/>
    <w:rsid w:val="00F15A2C"/>
    <w:rsid w:val="00F15AB1"/>
    <w:rsid w:val="00F15ACA"/>
    <w:rsid w:val="00F15B61"/>
    <w:rsid w:val="00F15B76"/>
    <w:rsid w:val="00F15BAE"/>
    <w:rsid w:val="00F15C67"/>
    <w:rsid w:val="00F15CD4"/>
    <w:rsid w:val="00F15DCF"/>
    <w:rsid w:val="00F15ED6"/>
    <w:rsid w:val="00F15F07"/>
    <w:rsid w:val="00F15F0E"/>
    <w:rsid w:val="00F16006"/>
    <w:rsid w:val="00F16034"/>
    <w:rsid w:val="00F1615C"/>
    <w:rsid w:val="00F161A3"/>
    <w:rsid w:val="00F16212"/>
    <w:rsid w:val="00F16283"/>
    <w:rsid w:val="00F1630A"/>
    <w:rsid w:val="00F163AD"/>
    <w:rsid w:val="00F16432"/>
    <w:rsid w:val="00F164AE"/>
    <w:rsid w:val="00F164D0"/>
    <w:rsid w:val="00F1653B"/>
    <w:rsid w:val="00F165D2"/>
    <w:rsid w:val="00F16619"/>
    <w:rsid w:val="00F16626"/>
    <w:rsid w:val="00F16627"/>
    <w:rsid w:val="00F166D8"/>
    <w:rsid w:val="00F16765"/>
    <w:rsid w:val="00F16865"/>
    <w:rsid w:val="00F16921"/>
    <w:rsid w:val="00F1692F"/>
    <w:rsid w:val="00F16B0F"/>
    <w:rsid w:val="00F16CD2"/>
    <w:rsid w:val="00F16D04"/>
    <w:rsid w:val="00F16D52"/>
    <w:rsid w:val="00F16DAA"/>
    <w:rsid w:val="00F16E97"/>
    <w:rsid w:val="00F1700C"/>
    <w:rsid w:val="00F17033"/>
    <w:rsid w:val="00F17166"/>
    <w:rsid w:val="00F171F9"/>
    <w:rsid w:val="00F171FD"/>
    <w:rsid w:val="00F1724C"/>
    <w:rsid w:val="00F172CD"/>
    <w:rsid w:val="00F172FC"/>
    <w:rsid w:val="00F17316"/>
    <w:rsid w:val="00F17364"/>
    <w:rsid w:val="00F17399"/>
    <w:rsid w:val="00F173A9"/>
    <w:rsid w:val="00F174AB"/>
    <w:rsid w:val="00F174AC"/>
    <w:rsid w:val="00F1750C"/>
    <w:rsid w:val="00F175CD"/>
    <w:rsid w:val="00F175D5"/>
    <w:rsid w:val="00F17722"/>
    <w:rsid w:val="00F17761"/>
    <w:rsid w:val="00F1780C"/>
    <w:rsid w:val="00F178B1"/>
    <w:rsid w:val="00F17909"/>
    <w:rsid w:val="00F17ADE"/>
    <w:rsid w:val="00F17B0A"/>
    <w:rsid w:val="00F17CED"/>
    <w:rsid w:val="00F17CF1"/>
    <w:rsid w:val="00F17CF4"/>
    <w:rsid w:val="00F17ED0"/>
    <w:rsid w:val="00F17FFB"/>
    <w:rsid w:val="00F201C5"/>
    <w:rsid w:val="00F2024C"/>
    <w:rsid w:val="00F2024E"/>
    <w:rsid w:val="00F2025C"/>
    <w:rsid w:val="00F20388"/>
    <w:rsid w:val="00F203C5"/>
    <w:rsid w:val="00F20452"/>
    <w:rsid w:val="00F2045E"/>
    <w:rsid w:val="00F2047D"/>
    <w:rsid w:val="00F20584"/>
    <w:rsid w:val="00F2069F"/>
    <w:rsid w:val="00F206BA"/>
    <w:rsid w:val="00F206D4"/>
    <w:rsid w:val="00F2074D"/>
    <w:rsid w:val="00F20763"/>
    <w:rsid w:val="00F20917"/>
    <w:rsid w:val="00F20975"/>
    <w:rsid w:val="00F20A61"/>
    <w:rsid w:val="00F20BF6"/>
    <w:rsid w:val="00F20C15"/>
    <w:rsid w:val="00F20D1E"/>
    <w:rsid w:val="00F20D77"/>
    <w:rsid w:val="00F20E55"/>
    <w:rsid w:val="00F20F65"/>
    <w:rsid w:val="00F20FBC"/>
    <w:rsid w:val="00F20FFE"/>
    <w:rsid w:val="00F2107A"/>
    <w:rsid w:val="00F210C8"/>
    <w:rsid w:val="00F2116B"/>
    <w:rsid w:val="00F21216"/>
    <w:rsid w:val="00F21438"/>
    <w:rsid w:val="00F215B1"/>
    <w:rsid w:val="00F216BA"/>
    <w:rsid w:val="00F216E9"/>
    <w:rsid w:val="00F21717"/>
    <w:rsid w:val="00F21867"/>
    <w:rsid w:val="00F218C2"/>
    <w:rsid w:val="00F2197C"/>
    <w:rsid w:val="00F21B22"/>
    <w:rsid w:val="00F21E02"/>
    <w:rsid w:val="00F21F96"/>
    <w:rsid w:val="00F22048"/>
    <w:rsid w:val="00F22086"/>
    <w:rsid w:val="00F220B4"/>
    <w:rsid w:val="00F221BF"/>
    <w:rsid w:val="00F221C9"/>
    <w:rsid w:val="00F22269"/>
    <w:rsid w:val="00F2226C"/>
    <w:rsid w:val="00F22295"/>
    <w:rsid w:val="00F2237C"/>
    <w:rsid w:val="00F223F7"/>
    <w:rsid w:val="00F22509"/>
    <w:rsid w:val="00F22621"/>
    <w:rsid w:val="00F22702"/>
    <w:rsid w:val="00F227C8"/>
    <w:rsid w:val="00F22835"/>
    <w:rsid w:val="00F2286D"/>
    <w:rsid w:val="00F228E1"/>
    <w:rsid w:val="00F22B44"/>
    <w:rsid w:val="00F22BC4"/>
    <w:rsid w:val="00F22C28"/>
    <w:rsid w:val="00F22CD0"/>
    <w:rsid w:val="00F22CDB"/>
    <w:rsid w:val="00F22D5F"/>
    <w:rsid w:val="00F22E94"/>
    <w:rsid w:val="00F22E95"/>
    <w:rsid w:val="00F22FB0"/>
    <w:rsid w:val="00F230D7"/>
    <w:rsid w:val="00F23115"/>
    <w:rsid w:val="00F23280"/>
    <w:rsid w:val="00F233AB"/>
    <w:rsid w:val="00F233EE"/>
    <w:rsid w:val="00F2342C"/>
    <w:rsid w:val="00F234D6"/>
    <w:rsid w:val="00F235D9"/>
    <w:rsid w:val="00F2363D"/>
    <w:rsid w:val="00F23693"/>
    <w:rsid w:val="00F2375C"/>
    <w:rsid w:val="00F238A2"/>
    <w:rsid w:val="00F239D6"/>
    <w:rsid w:val="00F239E1"/>
    <w:rsid w:val="00F23A0F"/>
    <w:rsid w:val="00F23A56"/>
    <w:rsid w:val="00F23A5A"/>
    <w:rsid w:val="00F23B30"/>
    <w:rsid w:val="00F23B55"/>
    <w:rsid w:val="00F23BE3"/>
    <w:rsid w:val="00F23CB7"/>
    <w:rsid w:val="00F23D6F"/>
    <w:rsid w:val="00F23E9B"/>
    <w:rsid w:val="00F23FDE"/>
    <w:rsid w:val="00F24044"/>
    <w:rsid w:val="00F2404A"/>
    <w:rsid w:val="00F2419D"/>
    <w:rsid w:val="00F24226"/>
    <w:rsid w:val="00F24569"/>
    <w:rsid w:val="00F24626"/>
    <w:rsid w:val="00F246BD"/>
    <w:rsid w:val="00F246DA"/>
    <w:rsid w:val="00F2478D"/>
    <w:rsid w:val="00F2482F"/>
    <w:rsid w:val="00F248E2"/>
    <w:rsid w:val="00F2499E"/>
    <w:rsid w:val="00F24B4A"/>
    <w:rsid w:val="00F24BD5"/>
    <w:rsid w:val="00F24BF4"/>
    <w:rsid w:val="00F24C97"/>
    <w:rsid w:val="00F24DF3"/>
    <w:rsid w:val="00F24E43"/>
    <w:rsid w:val="00F2510B"/>
    <w:rsid w:val="00F2517B"/>
    <w:rsid w:val="00F251A1"/>
    <w:rsid w:val="00F25297"/>
    <w:rsid w:val="00F25365"/>
    <w:rsid w:val="00F2547C"/>
    <w:rsid w:val="00F255A1"/>
    <w:rsid w:val="00F2561C"/>
    <w:rsid w:val="00F25667"/>
    <w:rsid w:val="00F25678"/>
    <w:rsid w:val="00F256F2"/>
    <w:rsid w:val="00F25763"/>
    <w:rsid w:val="00F257B5"/>
    <w:rsid w:val="00F25808"/>
    <w:rsid w:val="00F25879"/>
    <w:rsid w:val="00F25908"/>
    <w:rsid w:val="00F25918"/>
    <w:rsid w:val="00F25950"/>
    <w:rsid w:val="00F259D5"/>
    <w:rsid w:val="00F25A0F"/>
    <w:rsid w:val="00F25A69"/>
    <w:rsid w:val="00F25BD9"/>
    <w:rsid w:val="00F25CCE"/>
    <w:rsid w:val="00F25D95"/>
    <w:rsid w:val="00F25DDA"/>
    <w:rsid w:val="00F25ECC"/>
    <w:rsid w:val="00F25F01"/>
    <w:rsid w:val="00F26018"/>
    <w:rsid w:val="00F2608F"/>
    <w:rsid w:val="00F2613A"/>
    <w:rsid w:val="00F26203"/>
    <w:rsid w:val="00F262BB"/>
    <w:rsid w:val="00F2649B"/>
    <w:rsid w:val="00F264DC"/>
    <w:rsid w:val="00F2659C"/>
    <w:rsid w:val="00F26629"/>
    <w:rsid w:val="00F266B6"/>
    <w:rsid w:val="00F268F0"/>
    <w:rsid w:val="00F26900"/>
    <w:rsid w:val="00F2695F"/>
    <w:rsid w:val="00F26973"/>
    <w:rsid w:val="00F26990"/>
    <w:rsid w:val="00F269DA"/>
    <w:rsid w:val="00F26A2A"/>
    <w:rsid w:val="00F26C68"/>
    <w:rsid w:val="00F26CED"/>
    <w:rsid w:val="00F26D4E"/>
    <w:rsid w:val="00F26EB9"/>
    <w:rsid w:val="00F27096"/>
    <w:rsid w:val="00F2720E"/>
    <w:rsid w:val="00F2731D"/>
    <w:rsid w:val="00F27360"/>
    <w:rsid w:val="00F27514"/>
    <w:rsid w:val="00F2752A"/>
    <w:rsid w:val="00F275CD"/>
    <w:rsid w:val="00F276D3"/>
    <w:rsid w:val="00F27703"/>
    <w:rsid w:val="00F27758"/>
    <w:rsid w:val="00F2776D"/>
    <w:rsid w:val="00F277F0"/>
    <w:rsid w:val="00F2787C"/>
    <w:rsid w:val="00F2799A"/>
    <w:rsid w:val="00F27A7E"/>
    <w:rsid w:val="00F27AB5"/>
    <w:rsid w:val="00F27ABA"/>
    <w:rsid w:val="00F27B49"/>
    <w:rsid w:val="00F27BC4"/>
    <w:rsid w:val="00F27D68"/>
    <w:rsid w:val="00F27DCE"/>
    <w:rsid w:val="00F27E88"/>
    <w:rsid w:val="00F27F08"/>
    <w:rsid w:val="00F3004B"/>
    <w:rsid w:val="00F300F6"/>
    <w:rsid w:val="00F30151"/>
    <w:rsid w:val="00F30155"/>
    <w:rsid w:val="00F30219"/>
    <w:rsid w:val="00F30272"/>
    <w:rsid w:val="00F30337"/>
    <w:rsid w:val="00F303FD"/>
    <w:rsid w:val="00F30414"/>
    <w:rsid w:val="00F305A0"/>
    <w:rsid w:val="00F3061E"/>
    <w:rsid w:val="00F30627"/>
    <w:rsid w:val="00F3063D"/>
    <w:rsid w:val="00F307AE"/>
    <w:rsid w:val="00F308A4"/>
    <w:rsid w:val="00F30928"/>
    <w:rsid w:val="00F3094B"/>
    <w:rsid w:val="00F30BAD"/>
    <w:rsid w:val="00F30C52"/>
    <w:rsid w:val="00F30C8E"/>
    <w:rsid w:val="00F30C94"/>
    <w:rsid w:val="00F30CD2"/>
    <w:rsid w:val="00F30D48"/>
    <w:rsid w:val="00F30E05"/>
    <w:rsid w:val="00F30E8D"/>
    <w:rsid w:val="00F30F4A"/>
    <w:rsid w:val="00F30FAE"/>
    <w:rsid w:val="00F3105E"/>
    <w:rsid w:val="00F3108F"/>
    <w:rsid w:val="00F310F7"/>
    <w:rsid w:val="00F3110C"/>
    <w:rsid w:val="00F31201"/>
    <w:rsid w:val="00F31283"/>
    <w:rsid w:val="00F3136C"/>
    <w:rsid w:val="00F31423"/>
    <w:rsid w:val="00F3143C"/>
    <w:rsid w:val="00F314AE"/>
    <w:rsid w:val="00F314F4"/>
    <w:rsid w:val="00F31505"/>
    <w:rsid w:val="00F3152F"/>
    <w:rsid w:val="00F31595"/>
    <w:rsid w:val="00F3159A"/>
    <w:rsid w:val="00F316B4"/>
    <w:rsid w:val="00F316D0"/>
    <w:rsid w:val="00F31708"/>
    <w:rsid w:val="00F3184B"/>
    <w:rsid w:val="00F31860"/>
    <w:rsid w:val="00F31938"/>
    <w:rsid w:val="00F31B45"/>
    <w:rsid w:val="00F31B83"/>
    <w:rsid w:val="00F31C8F"/>
    <w:rsid w:val="00F31CD0"/>
    <w:rsid w:val="00F31D5D"/>
    <w:rsid w:val="00F31E05"/>
    <w:rsid w:val="00F31F0E"/>
    <w:rsid w:val="00F32071"/>
    <w:rsid w:val="00F3211C"/>
    <w:rsid w:val="00F32156"/>
    <w:rsid w:val="00F32194"/>
    <w:rsid w:val="00F3219D"/>
    <w:rsid w:val="00F3225F"/>
    <w:rsid w:val="00F3235D"/>
    <w:rsid w:val="00F323B8"/>
    <w:rsid w:val="00F32420"/>
    <w:rsid w:val="00F3252F"/>
    <w:rsid w:val="00F325AF"/>
    <w:rsid w:val="00F326A6"/>
    <w:rsid w:val="00F32728"/>
    <w:rsid w:val="00F3285F"/>
    <w:rsid w:val="00F328AE"/>
    <w:rsid w:val="00F328BB"/>
    <w:rsid w:val="00F3296B"/>
    <w:rsid w:val="00F32C83"/>
    <w:rsid w:val="00F32CE0"/>
    <w:rsid w:val="00F32D43"/>
    <w:rsid w:val="00F32D6C"/>
    <w:rsid w:val="00F32E76"/>
    <w:rsid w:val="00F32FEB"/>
    <w:rsid w:val="00F3312B"/>
    <w:rsid w:val="00F33172"/>
    <w:rsid w:val="00F332A7"/>
    <w:rsid w:val="00F33416"/>
    <w:rsid w:val="00F33572"/>
    <w:rsid w:val="00F335E3"/>
    <w:rsid w:val="00F3373C"/>
    <w:rsid w:val="00F33772"/>
    <w:rsid w:val="00F337C2"/>
    <w:rsid w:val="00F337F4"/>
    <w:rsid w:val="00F33939"/>
    <w:rsid w:val="00F3393E"/>
    <w:rsid w:val="00F33A73"/>
    <w:rsid w:val="00F33BE4"/>
    <w:rsid w:val="00F33CD7"/>
    <w:rsid w:val="00F33E6B"/>
    <w:rsid w:val="00F33F89"/>
    <w:rsid w:val="00F34059"/>
    <w:rsid w:val="00F340E8"/>
    <w:rsid w:val="00F34140"/>
    <w:rsid w:val="00F34251"/>
    <w:rsid w:val="00F342AD"/>
    <w:rsid w:val="00F34306"/>
    <w:rsid w:val="00F34349"/>
    <w:rsid w:val="00F34400"/>
    <w:rsid w:val="00F345DB"/>
    <w:rsid w:val="00F345F9"/>
    <w:rsid w:val="00F3467D"/>
    <w:rsid w:val="00F34695"/>
    <w:rsid w:val="00F346E6"/>
    <w:rsid w:val="00F347AD"/>
    <w:rsid w:val="00F34837"/>
    <w:rsid w:val="00F34947"/>
    <w:rsid w:val="00F34A3B"/>
    <w:rsid w:val="00F34AA8"/>
    <w:rsid w:val="00F34BE0"/>
    <w:rsid w:val="00F34C63"/>
    <w:rsid w:val="00F34CCD"/>
    <w:rsid w:val="00F34D82"/>
    <w:rsid w:val="00F34D94"/>
    <w:rsid w:val="00F34EE3"/>
    <w:rsid w:val="00F34F3C"/>
    <w:rsid w:val="00F35016"/>
    <w:rsid w:val="00F35059"/>
    <w:rsid w:val="00F350AA"/>
    <w:rsid w:val="00F3515C"/>
    <w:rsid w:val="00F351C3"/>
    <w:rsid w:val="00F351C8"/>
    <w:rsid w:val="00F35217"/>
    <w:rsid w:val="00F35223"/>
    <w:rsid w:val="00F35262"/>
    <w:rsid w:val="00F352F1"/>
    <w:rsid w:val="00F3532A"/>
    <w:rsid w:val="00F3536A"/>
    <w:rsid w:val="00F353D8"/>
    <w:rsid w:val="00F35470"/>
    <w:rsid w:val="00F35491"/>
    <w:rsid w:val="00F355AA"/>
    <w:rsid w:val="00F35784"/>
    <w:rsid w:val="00F3580D"/>
    <w:rsid w:val="00F3583D"/>
    <w:rsid w:val="00F3586F"/>
    <w:rsid w:val="00F358A8"/>
    <w:rsid w:val="00F35A55"/>
    <w:rsid w:val="00F35A6A"/>
    <w:rsid w:val="00F35A95"/>
    <w:rsid w:val="00F35B1C"/>
    <w:rsid w:val="00F35BE5"/>
    <w:rsid w:val="00F35CE1"/>
    <w:rsid w:val="00F35DC4"/>
    <w:rsid w:val="00F35E44"/>
    <w:rsid w:val="00F35EF3"/>
    <w:rsid w:val="00F3603E"/>
    <w:rsid w:val="00F36050"/>
    <w:rsid w:val="00F36113"/>
    <w:rsid w:val="00F36168"/>
    <w:rsid w:val="00F36288"/>
    <w:rsid w:val="00F362DF"/>
    <w:rsid w:val="00F3644A"/>
    <w:rsid w:val="00F3646F"/>
    <w:rsid w:val="00F364D7"/>
    <w:rsid w:val="00F364DB"/>
    <w:rsid w:val="00F365E1"/>
    <w:rsid w:val="00F3660C"/>
    <w:rsid w:val="00F36616"/>
    <w:rsid w:val="00F366E6"/>
    <w:rsid w:val="00F366F8"/>
    <w:rsid w:val="00F36726"/>
    <w:rsid w:val="00F367D7"/>
    <w:rsid w:val="00F3689E"/>
    <w:rsid w:val="00F368D9"/>
    <w:rsid w:val="00F36A0A"/>
    <w:rsid w:val="00F36A61"/>
    <w:rsid w:val="00F36A6C"/>
    <w:rsid w:val="00F36B7D"/>
    <w:rsid w:val="00F36CCB"/>
    <w:rsid w:val="00F36DC7"/>
    <w:rsid w:val="00F36F5C"/>
    <w:rsid w:val="00F36FAE"/>
    <w:rsid w:val="00F36FC7"/>
    <w:rsid w:val="00F36FEB"/>
    <w:rsid w:val="00F37028"/>
    <w:rsid w:val="00F37091"/>
    <w:rsid w:val="00F37228"/>
    <w:rsid w:val="00F37268"/>
    <w:rsid w:val="00F372A7"/>
    <w:rsid w:val="00F37322"/>
    <w:rsid w:val="00F3745A"/>
    <w:rsid w:val="00F37460"/>
    <w:rsid w:val="00F37584"/>
    <w:rsid w:val="00F37786"/>
    <w:rsid w:val="00F37966"/>
    <w:rsid w:val="00F37ADF"/>
    <w:rsid w:val="00F37BED"/>
    <w:rsid w:val="00F37CAE"/>
    <w:rsid w:val="00F37D4B"/>
    <w:rsid w:val="00F37E08"/>
    <w:rsid w:val="00F37E90"/>
    <w:rsid w:val="00F37ED1"/>
    <w:rsid w:val="00F37EF2"/>
    <w:rsid w:val="00F37F39"/>
    <w:rsid w:val="00F37F7D"/>
    <w:rsid w:val="00F4002B"/>
    <w:rsid w:val="00F4003D"/>
    <w:rsid w:val="00F4029F"/>
    <w:rsid w:val="00F40376"/>
    <w:rsid w:val="00F4040C"/>
    <w:rsid w:val="00F40450"/>
    <w:rsid w:val="00F4047D"/>
    <w:rsid w:val="00F404F3"/>
    <w:rsid w:val="00F40500"/>
    <w:rsid w:val="00F40529"/>
    <w:rsid w:val="00F40649"/>
    <w:rsid w:val="00F4067E"/>
    <w:rsid w:val="00F4075E"/>
    <w:rsid w:val="00F4078F"/>
    <w:rsid w:val="00F407EA"/>
    <w:rsid w:val="00F407EC"/>
    <w:rsid w:val="00F40864"/>
    <w:rsid w:val="00F408BB"/>
    <w:rsid w:val="00F408C2"/>
    <w:rsid w:val="00F408D5"/>
    <w:rsid w:val="00F40905"/>
    <w:rsid w:val="00F40A83"/>
    <w:rsid w:val="00F40AAA"/>
    <w:rsid w:val="00F40B9F"/>
    <w:rsid w:val="00F40C63"/>
    <w:rsid w:val="00F40D5F"/>
    <w:rsid w:val="00F40DFF"/>
    <w:rsid w:val="00F40E99"/>
    <w:rsid w:val="00F41034"/>
    <w:rsid w:val="00F41077"/>
    <w:rsid w:val="00F41080"/>
    <w:rsid w:val="00F410E8"/>
    <w:rsid w:val="00F4116E"/>
    <w:rsid w:val="00F411B8"/>
    <w:rsid w:val="00F41345"/>
    <w:rsid w:val="00F41408"/>
    <w:rsid w:val="00F41424"/>
    <w:rsid w:val="00F414F8"/>
    <w:rsid w:val="00F41508"/>
    <w:rsid w:val="00F415B7"/>
    <w:rsid w:val="00F416D2"/>
    <w:rsid w:val="00F41737"/>
    <w:rsid w:val="00F417EE"/>
    <w:rsid w:val="00F4184B"/>
    <w:rsid w:val="00F418CF"/>
    <w:rsid w:val="00F41976"/>
    <w:rsid w:val="00F41A51"/>
    <w:rsid w:val="00F41B44"/>
    <w:rsid w:val="00F41B94"/>
    <w:rsid w:val="00F41BFF"/>
    <w:rsid w:val="00F41FDF"/>
    <w:rsid w:val="00F42068"/>
    <w:rsid w:val="00F420AA"/>
    <w:rsid w:val="00F420B1"/>
    <w:rsid w:val="00F420BB"/>
    <w:rsid w:val="00F4212A"/>
    <w:rsid w:val="00F4213A"/>
    <w:rsid w:val="00F421D8"/>
    <w:rsid w:val="00F42232"/>
    <w:rsid w:val="00F4223D"/>
    <w:rsid w:val="00F4224F"/>
    <w:rsid w:val="00F42434"/>
    <w:rsid w:val="00F4253A"/>
    <w:rsid w:val="00F4255C"/>
    <w:rsid w:val="00F426A4"/>
    <w:rsid w:val="00F42930"/>
    <w:rsid w:val="00F4296A"/>
    <w:rsid w:val="00F42A0C"/>
    <w:rsid w:val="00F42AF0"/>
    <w:rsid w:val="00F42BE0"/>
    <w:rsid w:val="00F42C9B"/>
    <w:rsid w:val="00F42CED"/>
    <w:rsid w:val="00F42DD5"/>
    <w:rsid w:val="00F42E86"/>
    <w:rsid w:val="00F42F60"/>
    <w:rsid w:val="00F42F83"/>
    <w:rsid w:val="00F42F9B"/>
    <w:rsid w:val="00F430E6"/>
    <w:rsid w:val="00F43149"/>
    <w:rsid w:val="00F431D9"/>
    <w:rsid w:val="00F43441"/>
    <w:rsid w:val="00F434C6"/>
    <w:rsid w:val="00F434EC"/>
    <w:rsid w:val="00F435F8"/>
    <w:rsid w:val="00F43638"/>
    <w:rsid w:val="00F43759"/>
    <w:rsid w:val="00F4378B"/>
    <w:rsid w:val="00F438E7"/>
    <w:rsid w:val="00F43916"/>
    <w:rsid w:val="00F439CE"/>
    <w:rsid w:val="00F43BE3"/>
    <w:rsid w:val="00F43CBF"/>
    <w:rsid w:val="00F43D00"/>
    <w:rsid w:val="00F43DFA"/>
    <w:rsid w:val="00F43E24"/>
    <w:rsid w:val="00F43F08"/>
    <w:rsid w:val="00F43F10"/>
    <w:rsid w:val="00F43F54"/>
    <w:rsid w:val="00F440B8"/>
    <w:rsid w:val="00F44261"/>
    <w:rsid w:val="00F44300"/>
    <w:rsid w:val="00F44356"/>
    <w:rsid w:val="00F44423"/>
    <w:rsid w:val="00F44425"/>
    <w:rsid w:val="00F445ED"/>
    <w:rsid w:val="00F445FD"/>
    <w:rsid w:val="00F44812"/>
    <w:rsid w:val="00F44895"/>
    <w:rsid w:val="00F448A8"/>
    <w:rsid w:val="00F448B1"/>
    <w:rsid w:val="00F449A3"/>
    <w:rsid w:val="00F44AD1"/>
    <w:rsid w:val="00F44B11"/>
    <w:rsid w:val="00F44BDE"/>
    <w:rsid w:val="00F44C06"/>
    <w:rsid w:val="00F44C59"/>
    <w:rsid w:val="00F44CB1"/>
    <w:rsid w:val="00F44D3A"/>
    <w:rsid w:val="00F44E56"/>
    <w:rsid w:val="00F44E72"/>
    <w:rsid w:val="00F44F82"/>
    <w:rsid w:val="00F44F9A"/>
    <w:rsid w:val="00F44FA0"/>
    <w:rsid w:val="00F44FE9"/>
    <w:rsid w:val="00F450DD"/>
    <w:rsid w:val="00F4510A"/>
    <w:rsid w:val="00F4510E"/>
    <w:rsid w:val="00F4512A"/>
    <w:rsid w:val="00F452AD"/>
    <w:rsid w:val="00F452C8"/>
    <w:rsid w:val="00F4533C"/>
    <w:rsid w:val="00F4546F"/>
    <w:rsid w:val="00F45628"/>
    <w:rsid w:val="00F45643"/>
    <w:rsid w:val="00F456BF"/>
    <w:rsid w:val="00F45741"/>
    <w:rsid w:val="00F457D7"/>
    <w:rsid w:val="00F45A6B"/>
    <w:rsid w:val="00F45A75"/>
    <w:rsid w:val="00F45ACF"/>
    <w:rsid w:val="00F45B38"/>
    <w:rsid w:val="00F45C8D"/>
    <w:rsid w:val="00F45D67"/>
    <w:rsid w:val="00F45E77"/>
    <w:rsid w:val="00F45F00"/>
    <w:rsid w:val="00F45F42"/>
    <w:rsid w:val="00F46074"/>
    <w:rsid w:val="00F460E4"/>
    <w:rsid w:val="00F460EA"/>
    <w:rsid w:val="00F4613B"/>
    <w:rsid w:val="00F46155"/>
    <w:rsid w:val="00F463D3"/>
    <w:rsid w:val="00F4652F"/>
    <w:rsid w:val="00F4666F"/>
    <w:rsid w:val="00F466C1"/>
    <w:rsid w:val="00F46715"/>
    <w:rsid w:val="00F469BE"/>
    <w:rsid w:val="00F46A88"/>
    <w:rsid w:val="00F46B8D"/>
    <w:rsid w:val="00F46C97"/>
    <w:rsid w:val="00F46DA9"/>
    <w:rsid w:val="00F46E48"/>
    <w:rsid w:val="00F46E91"/>
    <w:rsid w:val="00F46F8A"/>
    <w:rsid w:val="00F46F8E"/>
    <w:rsid w:val="00F4706F"/>
    <w:rsid w:val="00F470DB"/>
    <w:rsid w:val="00F4717A"/>
    <w:rsid w:val="00F471C9"/>
    <w:rsid w:val="00F472AF"/>
    <w:rsid w:val="00F47304"/>
    <w:rsid w:val="00F47542"/>
    <w:rsid w:val="00F4755E"/>
    <w:rsid w:val="00F4759A"/>
    <w:rsid w:val="00F476B6"/>
    <w:rsid w:val="00F4773E"/>
    <w:rsid w:val="00F478A8"/>
    <w:rsid w:val="00F479B3"/>
    <w:rsid w:val="00F479FE"/>
    <w:rsid w:val="00F47A7A"/>
    <w:rsid w:val="00F47AB5"/>
    <w:rsid w:val="00F47AD3"/>
    <w:rsid w:val="00F47B12"/>
    <w:rsid w:val="00F47BD0"/>
    <w:rsid w:val="00F47C96"/>
    <w:rsid w:val="00F47C9D"/>
    <w:rsid w:val="00F47DBA"/>
    <w:rsid w:val="00F47E7A"/>
    <w:rsid w:val="00F47E8E"/>
    <w:rsid w:val="00F47F50"/>
    <w:rsid w:val="00F47FA0"/>
    <w:rsid w:val="00F50237"/>
    <w:rsid w:val="00F502D3"/>
    <w:rsid w:val="00F502D5"/>
    <w:rsid w:val="00F502FE"/>
    <w:rsid w:val="00F5050C"/>
    <w:rsid w:val="00F50585"/>
    <w:rsid w:val="00F505DC"/>
    <w:rsid w:val="00F50684"/>
    <w:rsid w:val="00F506BB"/>
    <w:rsid w:val="00F507E6"/>
    <w:rsid w:val="00F507E9"/>
    <w:rsid w:val="00F50A59"/>
    <w:rsid w:val="00F50A67"/>
    <w:rsid w:val="00F50B51"/>
    <w:rsid w:val="00F50BEA"/>
    <w:rsid w:val="00F50EA2"/>
    <w:rsid w:val="00F50EBB"/>
    <w:rsid w:val="00F50F4C"/>
    <w:rsid w:val="00F50FC2"/>
    <w:rsid w:val="00F5102E"/>
    <w:rsid w:val="00F5114B"/>
    <w:rsid w:val="00F512D8"/>
    <w:rsid w:val="00F51427"/>
    <w:rsid w:val="00F51495"/>
    <w:rsid w:val="00F51535"/>
    <w:rsid w:val="00F51599"/>
    <w:rsid w:val="00F515E9"/>
    <w:rsid w:val="00F515EB"/>
    <w:rsid w:val="00F5165A"/>
    <w:rsid w:val="00F51694"/>
    <w:rsid w:val="00F516E3"/>
    <w:rsid w:val="00F5176B"/>
    <w:rsid w:val="00F517C0"/>
    <w:rsid w:val="00F5184C"/>
    <w:rsid w:val="00F51878"/>
    <w:rsid w:val="00F518FB"/>
    <w:rsid w:val="00F51A1B"/>
    <w:rsid w:val="00F51A2F"/>
    <w:rsid w:val="00F51AB0"/>
    <w:rsid w:val="00F51B55"/>
    <w:rsid w:val="00F51B9F"/>
    <w:rsid w:val="00F51D0F"/>
    <w:rsid w:val="00F51E0E"/>
    <w:rsid w:val="00F51E39"/>
    <w:rsid w:val="00F51E83"/>
    <w:rsid w:val="00F51EFB"/>
    <w:rsid w:val="00F51F5C"/>
    <w:rsid w:val="00F520F9"/>
    <w:rsid w:val="00F5213A"/>
    <w:rsid w:val="00F5215A"/>
    <w:rsid w:val="00F5215F"/>
    <w:rsid w:val="00F521B2"/>
    <w:rsid w:val="00F521FE"/>
    <w:rsid w:val="00F52286"/>
    <w:rsid w:val="00F5238A"/>
    <w:rsid w:val="00F525D0"/>
    <w:rsid w:val="00F52613"/>
    <w:rsid w:val="00F5275F"/>
    <w:rsid w:val="00F527D4"/>
    <w:rsid w:val="00F52833"/>
    <w:rsid w:val="00F528AF"/>
    <w:rsid w:val="00F528E8"/>
    <w:rsid w:val="00F52AB7"/>
    <w:rsid w:val="00F52ACC"/>
    <w:rsid w:val="00F52BAE"/>
    <w:rsid w:val="00F52BD9"/>
    <w:rsid w:val="00F52C85"/>
    <w:rsid w:val="00F52CA5"/>
    <w:rsid w:val="00F52CEE"/>
    <w:rsid w:val="00F52D37"/>
    <w:rsid w:val="00F52D42"/>
    <w:rsid w:val="00F52D45"/>
    <w:rsid w:val="00F52DCE"/>
    <w:rsid w:val="00F52E19"/>
    <w:rsid w:val="00F53155"/>
    <w:rsid w:val="00F53203"/>
    <w:rsid w:val="00F53243"/>
    <w:rsid w:val="00F53288"/>
    <w:rsid w:val="00F532AD"/>
    <w:rsid w:val="00F532D3"/>
    <w:rsid w:val="00F53353"/>
    <w:rsid w:val="00F533D5"/>
    <w:rsid w:val="00F5346B"/>
    <w:rsid w:val="00F534D3"/>
    <w:rsid w:val="00F53632"/>
    <w:rsid w:val="00F536B1"/>
    <w:rsid w:val="00F5374A"/>
    <w:rsid w:val="00F537CF"/>
    <w:rsid w:val="00F53873"/>
    <w:rsid w:val="00F538FE"/>
    <w:rsid w:val="00F5390E"/>
    <w:rsid w:val="00F539A4"/>
    <w:rsid w:val="00F539AC"/>
    <w:rsid w:val="00F53A8B"/>
    <w:rsid w:val="00F53B03"/>
    <w:rsid w:val="00F53B1C"/>
    <w:rsid w:val="00F53B3F"/>
    <w:rsid w:val="00F53C2C"/>
    <w:rsid w:val="00F53CB7"/>
    <w:rsid w:val="00F53CC6"/>
    <w:rsid w:val="00F53F74"/>
    <w:rsid w:val="00F53FC6"/>
    <w:rsid w:val="00F53FD3"/>
    <w:rsid w:val="00F5402F"/>
    <w:rsid w:val="00F5406D"/>
    <w:rsid w:val="00F5411C"/>
    <w:rsid w:val="00F541A3"/>
    <w:rsid w:val="00F5428E"/>
    <w:rsid w:val="00F542E7"/>
    <w:rsid w:val="00F54337"/>
    <w:rsid w:val="00F5438F"/>
    <w:rsid w:val="00F54483"/>
    <w:rsid w:val="00F54554"/>
    <w:rsid w:val="00F54604"/>
    <w:rsid w:val="00F54695"/>
    <w:rsid w:val="00F546CE"/>
    <w:rsid w:val="00F546DA"/>
    <w:rsid w:val="00F54770"/>
    <w:rsid w:val="00F54832"/>
    <w:rsid w:val="00F54868"/>
    <w:rsid w:val="00F5495C"/>
    <w:rsid w:val="00F549BA"/>
    <w:rsid w:val="00F54A7A"/>
    <w:rsid w:val="00F54A88"/>
    <w:rsid w:val="00F54A89"/>
    <w:rsid w:val="00F54ADB"/>
    <w:rsid w:val="00F54CCE"/>
    <w:rsid w:val="00F54CDF"/>
    <w:rsid w:val="00F54CF0"/>
    <w:rsid w:val="00F54F7D"/>
    <w:rsid w:val="00F54FAA"/>
    <w:rsid w:val="00F54FB5"/>
    <w:rsid w:val="00F55029"/>
    <w:rsid w:val="00F5505D"/>
    <w:rsid w:val="00F55098"/>
    <w:rsid w:val="00F550C8"/>
    <w:rsid w:val="00F550D6"/>
    <w:rsid w:val="00F553D5"/>
    <w:rsid w:val="00F5547C"/>
    <w:rsid w:val="00F554A8"/>
    <w:rsid w:val="00F554F4"/>
    <w:rsid w:val="00F55541"/>
    <w:rsid w:val="00F55569"/>
    <w:rsid w:val="00F557E6"/>
    <w:rsid w:val="00F55823"/>
    <w:rsid w:val="00F55847"/>
    <w:rsid w:val="00F5584A"/>
    <w:rsid w:val="00F55867"/>
    <w:rsid w:val="00F558DF"/>
    <w:rsid w:val="00F559AD"/>
    <w:rsid w:val="00F55BDA"/>
    <w:rsid w:val="00F55E2E"/>
    <w:rsid w:val="00F55F39"/>
    <w:rsid w:val="00F56053"/>
    <w:rsid w:val="00F56132"/>
    <w:rsid w:val="00F56252"/>
    <w:rsid w:val="00F562C3"/>
    <w:rsid w:val="00F563EE"/>
    <w:rsid w:val="00F56552"/>
    <w:rsid w:val="00F56575"/>
    <w:rsid w:val="00F5673A"/>
    <w:rsid w:val="00F567E1"/>
    <w:rsid w:val="00F56824"/>
    <w:rsid w:val="00F568D9"/>
    <w:rsid w:val="00F569FC"/>
    <w:rsid w:val="00F56AD4"/>
    <w:rsid w:val="00F56B7E"/>
    <w:rsid w:val="00F56C91"/>
    <w:rsid w:val="00F56CD8"/>
    <w:rsid w:val="00F56CE6"/>
    <w:rsid w:val="00F56D3D"/>
    <w:rsid w:val="00F56D6D"/>
    <w:rsid w:val="00F56D90"/>
    <w:rsid w:val="00F56E20"/>
    <w:rsid w:val="00F56EEC"/>
    <w:rsid w:val="00F56F54"/>
    <w:rsid w:val="00F56FF3"/>
    <w:rsid w:val="00F56FFC"/>
    <w:rsid w:val="00F57037"/>
    <w:rsid w:val="00F57091"/>
    <w:rsid w:val="00F5715C"/>
    <w:rsid w:val="00F571CF"/>
    <w:rsid w:val="00F57262"/>
    <w:rsid w:val="00F572FD"/>
    <w:rsid w:val="00F57329"/>
    <w:rsid w:val="00F57388"/>
    <w:rsid w:val="00F57498"/>
    <w:rsid w:val="00F574B4"/>
    <w:rsid w:val="00F57647"/>
    <w:rsid w:val="00F57733"/>
    <w:rsid w:val="00F57880"/>
    <w:rsid w:val="00F57885"/>
    <w:rsid w:val="00F578B6"/>
    <w:rsid w:val="00F57ABA"/>
    <w:rsid w:val="00F57AF6"/>
    <w:rsid w:val="00F57B54"/>
    <w:rsid w:val="00F57BA3"/>
    <w:rsid w:val="00F57CC6"/>
    <w:rsid w:val="00F57D09"/>
    <w:rsid w:val="00F57D32"/>
    <w:rsid w:val="00F57DD2"/>
    <w:rsid w:val="00F57DE4"/>
    <w:rsid w:val="00F57E0E"/>
    <w:rsid w:val="00F57E55"/>
    <w:rsid w:val="00F57E73"/>
    <w:rsid w:val="00F57F03"/>
    <w:rsid w:val="00F57F46"/>
    <w:rsid w:val="00F57F4F"/>
    <w:rsid w:val="00F57FAC"/>
    <w:rsid w:val="00F60057"/>
    <w:rsid w:val="00F6014D"/>
    <w:rsid w:val="00F60177"/>
    <w:rsid w:val="00F6024A"/>
    <w:rsid w:val="00F60275"/>
    <w:rsid w:val="00F603D4"/>
    <w:rsid w:val="00F6043B"/>
    <w:rsid w:val="00F60517"/>
    <w:rsid w:val="00F6055D"/>
    <w:rsid w:val="00F6064B"/>
    <w:rsid w:val="00F606D5"/>
    <w:rsid w:val="00F60812"/>
    <w:rsid w:val="00F60864"/>
    <w:rsid w:val="00F60891"/>
    <w:rsid w:val="00F608B6"/>
    <w:rsid w:val="00F6093D"/>
    <w:rsid w:val="00F6102B"/>
    <w:rsid w:val="00F61086"/>
    <w:rsid w:val="00F610EC"/>
    <w:rsid w:val="00F6111F"/>
    <w:rsid w:val="00F61136"/>
    <w:rsid w:val="00F612EF"/>
    <w:rsid w:val="00F61383"/>
    <w:rsid w:val="00F61455"/>
    <w:rsid w:val="00F6161D"/>
    <w:rsid w:val="00F616A0"/>
    <w:rsid w:val="00F6173A"/>
    <w:rsid w:val="00F617C2"/>
    <w:rsid w:val="00F6185E"/>
    <w:rsid w:val="00F6188F"/>
    <w:rsid w:val="00F618C5"/>
    <w:rsid w:val="00F618C8"/>
    <w:rsid w:val="00F61947"/>
    <w:rsid w:val="00F61BA3"/>
    <w:rsid w:val="00F61BEC"/>
    <w:rsid w:val="00F61C90"/>
    <w:rsid w:val="00F61CC5"/>
    <w:rsid w:val="00F61DA6"/>
    <w:rsid w:val="00F61E0D"/>
    <w:rsid w:val="00F61E91"/>
    <w:rsid w:val="00F61EAA"/>
    <w:rsid w:val="00F61EFE"/>
    <w:rsid w:val="00F61F0D"/>
    <w:rsid w:val="00F62047"/>
    <w:rsid w:val="00F620C7"/>
    <w:rsid w:val="00F620FB"/>
    <w:rsid w:val="00F6216B"/>
    <w:rsid w:val="00F62186"/>
    <w:rsid w:val="00F621E2"/>
    <w:rsid w:val="00F62218"/>
    <w:rsid w:val="00F6225B"/>
    <w:rsid w:val="00F6234B"/>
    <w:rsid w:val="00F62372"/>
    <w:rsid w:val="00F6251E"/>
    <w:rsid w:val="00F626AE"/>
    <w:rsid w:val="00F627BC"/>
    <w:rsid w:val="00F62933"/>
    <w:rsid w:val="00F629B9"/>
    <w:rsid w:val="00F62B5C"/>
    <w:rsid w:val="00F62CA8"/>
    <w:rsid w:val="00F62CF4"/>
    <w:rsid w:val="00F62D64"/>
    <w:rsid w:val="00F62D98"/>
    <w:rsid w:val="00F62EAE"/>
    <w:rsid w:val="00F62EC8"/>
    <w:rsid w:val="00F62EDC"/>
    <w:rsid w:val="00F62EF5"/>
    <w:rsid w:val="00F62FC2"/>
    <w:rsid w:val="00F62FF9"/>
    <w:rsid w:val="00F6306E"/>
    <w:rsid w:val="00F63091"/>
    <w:rsid w:val="00F630AF"/>
    <w:rsid w:val="00F631E7"/>
    <w:rsid w:val="00F6328F"/>
    <w:rsid w:val="00F63616"/>
    <w:rsid w:val="00F63764"/>
    <w:rsid w:val="00F637B7"/>
    <w:rsid w:val="00F637B9"/>
    <w:rsid w:val="00F639D5"/>
    <w:rsid w:val="00F63ADE"/>
    <w:rsid w:val="00F63ADF"/>
    <w:rsid w:val="00F63AEE"/>
    <w:rsid w:val="00F63E9D"/>
    <w:rsid w:val="00F63ED2"/>
    <w:rsid w:val="00F63F04"/>
    <w:rsid w:val="00F6403A"/>
    <w:rsid w:val="00F64051"/>
    <w:rsid w:val="00F64118"/>
    <w:rsid w:val="00F641B7"/>
    <w:rsid w:val="00F642AD"/>
    <w:rsid w:val="00F642CE"/>
    <w:rsid w:val="00F642E0"/>
    <w:rsid w:val="00F64373"/>
    <w:rsid w:val="00F64523"/>
    <w:rsid w:val="00F6454F"/>
    <w:rsid w:val="00F6475B"/>
    <w:rsid w:val="00F647D9"/>
    <w:rsid w:val="00F64AD8"/>
    <w:rsid w:val="00F64BA9"/>
    <w:rsid w:val="00F64BFD"/>
    <w:rsid w:val="00F64C62"/>
    <w:rsid w:val="00F64D00"/>
    <w:rsid w:val="00F64D0C"/>
    <w:rsid w:val="00F64D19"/>
    <w:rsid w:val="00F64F0A"/>
    <w:rsid w:val="00F6501C"/>
    <w:rsid w:val="00F650B3"/>
    <w:rsid w:val="00F650C9"/>
    <w:rsid w:val="00F650EA"/>
    <w:rsid w:val="00F652E5"/>
    <w:rsid w:val="00F65340"/>
    <w:rsid w:val="00F653AC"/>
    <w:rsid w:val="00F654C7"/>
    <w:rsid w:val="00F655B8"/>
    <w:rsid w:val="00F655F4"/>
    <w:rsid w:val="00F65758"/>
    <w:rsid w:val="00F65787"/>
    <w:rsid w:val="00F657D1"/>
    <w:rsid w:val="00F6589A"/>
    <w:rsid w:val="00F6592B"/>
    <w:rsid w:val="00F65973"/>
    <w:rsid w:val="00F65A00"/>
    <w:rsid w:val="00F65A77"/>
    <w:rsid w:val="00F65AC5"/>
    <w:rsid w:val="00F65B15"/>
    <w:rsid w:val="00F65B75"/>
    <w:rsid w:val="00F65BFB"/>
    <w:rsid w:val="00F65D82"/>
    <w:rsid w:val="00F65D94"/>
    <w:rsid w:val="00F65DB7"/>
    <w:rsid w:val="00F65ECB"/>
    <w:rsid w:val="00F65F22"/>
    <w:rsid w:val="00F65F8E"/>
    <w:rsid w:val="00F66080"/>
    <w:rsid w:val="00F66128"/>
    <w:rsid w:val="00F66144"/>
    <w:rsid w:val="00F661FF"/>
    <w:rsid w:val="00F66281"/>
    <w:rsid w:val="00F662CE"/>
    <w:rsid w:val="00F6631D"/>
    <w:rsid w:val="00F664AC"/>
    <w:rsid w:val="00F664F2"/>
    <w:rsid w:val="00F66530"/>
    <w:rsid w:val="00F6656A"/>
    <w:rsid w:val="00F666D1"/>
    <w:rsid w:val="00F66771"/>
    <w:rsid w:val="00F6681B"/>
    <w:rsid w:val="00F66B51"/>
    <w:rsid w:val="00F66B8B"/>
    <w:rsid w:val="00F66BF7"/>
    <w:rsid w:val="00F66C24"/>
    <w:rsid w:val="00F66DC1"/>
    <w:rsid w:val="00F66E7D"/>
    <w:rsid w:val="00F66E9E"/>
    <w:rsid w:val="00F66F24"/>
    <w:rsid w:val="00F66F44"/>
    <w:rsid w:val="00F66F58"/>
    <w:rsid w:val="00F67003"/>
    <w:rsid w:val="00F67054"/>
    <w:rsid w:val="00F67063"/>
    <w:rsid w:val="00F67086"/>
    <w:rsid w:val="00F6713F"/>
    <w:rsid w:val="00F67187"/>
    <w:rsid w:val="00F672BE"/>
    <w:rsid w:val="00F67391"/>
    <w:rsid w:val="00F673A2"/>
    <w:rsid w:val="00F673D4"/>
    <w:rsid w:val="00F674E6"/>
    <w:rsid w:val="00F67546"/>
    <w:rsid w:val="00F675DD"/>
    <w:rsid w:val="00F6766B"/>
    <w:rsid w:val="00F67712"/>
    <w:rsid w:val="00F67722"/>
    <w:rsid w:val="00F677E5"/>
    <w:rsid w:val="00F67808"/>
    <w:rsid w:val="00F67822"/>
    <w:rsid w:val="00F67975"/>
    <w:rsid w:val="00F67976"/>
    <w:rsid w:val="00F679CA"/>
    <w:rsid w:val="00F67A21"/>
    <w:rsid w:val="00F67E00"/>
    <w:rsid w:val="00F67E18"/>
    <w:rsid w:val="00F67E36"/>
    <w:rsid w:val="00F67F42"/>
    <w:rsid w:val="00F7000C"/>
    <w:rsid w:val="00F7013A"/>
    <w:rsid w:val="00F70606"/>
    <w:rsid w:val="00F706F4"/>
    <w:rsid w:val="00F707C0"/>
    <w:rsid w:val="00F70882"/>
    <w:rsid w:val="00F708C5"/>
    <w:rsid w:val="00F70A51"/>
    <w:rsid w:val="00F70A7B"/>
    <w:rsid w:val="00F70C77"/>
    <w:rsid w:val="00F70D95"/>
    <w:rsid w:val="00F70F8B"/>
    <w:rsid w:val="00F70FF8"/>
    <w:rsid w:val="00F71242"/>
    <w:rsid w:val="00F714BA"/>
    <w:rsid w:val="00F71519"/>
    <w:rsid w:val="00F716ED"/>
    <w:rsid w:val="00F7173B"/>
    <w:rsid w:val="00F718ED"/>
    <w:rsid w:val="00F71A7B"/>
    <w:rsid w:val="00F71AC1"/>
    <w:rsid w:val="00F71AD7"/>
    <w:rsid w:val="00F71AD9"/>
    <w:rsid w:val="00F71AE9"/>
    <w:rsid w:val="00F71B36"/>
    <w:rsid w:val="00F71B51"/>
    <w:rsid w:val="00F71B98"/>
    <w:rsid w:val="00F71C4C"/>
    <w:rsid w:val="00F71CC9"/>
    <w:rsid w:val="00F71E0F"/>
    <w:rsid w:val="00F71E5E"/>
    <w:rsid w:val="00F71EEA"/>
    <w:rsid w:val="00F71F3F"/>
    <w:rsid w:val="00F71F43"/>
    <w:rsid w:val="00F71FF1"/>
    <w:rsid w:val="00F72074"/>
    <w:rsid w:val="00F720A9"/>
    <w:rsid w:val="00F72185"/>
    <w:rsid w:val="00F721F5"/>
    <w:rsid w:val="00F721FB"/>
    <w:rsid w:val="00F7221B"/>
    <w:rsid w:val="00F72299"/>
    <w:rsid w:val="00F722E8"/>
    <w:rsid w:val="00F72305"/>
    <w:rsid w:val="00F723C2"/>
    <w:rsid w:val="00F72452"/>
    <w:rsid w:val="00F7246A"/>
    <w:rsid w:val="00F7256E"/>
    <w:rsid w:val="00F7264A"/>
    <w:rsid w:val="00F7266E"/>
    <w:rsid w:val="00F726AF"/>
    <w:rsid w:val="00F728A3"/>
    <w:rsid w:val="00F728C7"/>
    <w:rsid w:val="00F728F1"/>
    <w:rsid w:val="00F728FD"/>
    <w:rsid w:val="00F72939"/>
    <w:rsid w:val="00F72965"/>
    <w:rsid w:val="00F72968"/>
    <w:rsid w:val="00F72A3E"/>
    <w:rsid w:val="00F72AF3"/>
    <w:rsid w:val="00F72BF2"/>
    <w:rsid w:val="00F72CAF"/>
    <w:rsid w:val="00F72D02"/>
    <w:rsid w:val="00F72DBA"/>
    <w:rsid w:val="00F72F94"/>
    <w:rsid w:val="00F730A8"/>
    <w:rsid w:val="00F73195"/>
    <w:rsid w:val="00F732D1"/>
    <w:rsid w:val="00F7330B"/>
    <w:rsid w:val="00F7331A"/>
    <w:rsid w:val="00F73553"/>
    <w:rsid w:val="00F7356A"/>
    <w:rsid w:val="00F7361D"/>
    <w:rsid w:val="00F73657"/>
    <w:rsid w:val="00F73685"/>
    <w:rsid w:val="00F73859"/>
    <w:rsid w:val="00F73B33"/>
    <w:rsid w:val="00F73C03"/>
    <w:rsid w:val="00F73D8C"/>
    <w:rsid w:val="00F73E75"/>
    <w:rsid w:val="00F73FB1"/>
    <w:rsid w:val="00F73FE8"/>
    <w:rsid w:val="00F74008"/>
    <w:rsid w:val="00F741ED"/>
    <w:rsid w:val="00F74260"/>
    <w:rsid w:val="00F742B2"/>
    <w:rsid w:val="00F742E0"/>
    <w:rsid w:val="00F7440F"/>
    <w:rsid w:val="00F74546"/>
    <w:rsid w:val="00F7469C"/>
    <w:rsid w:val="00F746B8"/>
    <w:rsid w:val="00F746BA"/>
    <w:rsid w:val="00F747B7"/>
    <w:rsid w:val="00F7481D"/>
    <w:rsid w:val="00F74884"/>
    <w:rsid w:val="00F748F7"/>
    <w:rsid w:val="00F74937"/>
    <w:rsid w:val="00F7494E"/>
    <w:rsid w:val="00F7498F"/>
    <w:rsid w:val="00F74AAA"/>
    <w:rsid w:val="00F74AF2"/>
    <w:rsid w:val="00F74B51"/>
    <w:rsid w:val="00F74BCB"/>
    <w:rsid w:val="00F74BED"/>
    <w:rsid w:val="00F74C5E"/>
    <w:rsid w:val="00F74E15"/>
    <w:rsid w:val="00F74E79"/>
    <w:rsid w:val="00F74FBB"/>
    <w:rsid w:val="00F750F5"/>
    <w:rsid w:val="00F750F6"/>
    <w:rsid w:val="00F7523D"/>
    <w:rsid w:val="00F753C8"/>
    <w:rsid w:val="00F75425"/>
    <w:rsid w:val="00F7547F"/>
    <w:rsid w:val="00F75495"/>
    <w:rsid w:val="00F75507"/>
    <w:rsid w:val="00F7564C"/>
    <w:rsid w:val="00F7573E"/>
    <w:rsid w:val="00F757E9"/>
    <w:rsid w:val="00F757ED"/>
    <w:rsid w:val="00F757FD"/>
    <w:rsid w:val="00F758A1"/>
    <w:rsid w:val="00F758E9"/>
    <w:rsid w:val="00F7590D"/>
    <w:rsid w:val="00F75964"/>
    <w:rsid w:val="00F75996"/>
    <w:rsid w:val="00F759E0"/>
    <w:rsid w:val="00F759FD"/>
    <w:rsid w:val="00F75A2A"/>
    <w:rsid w:val="00F75A6E"/>
    <w:rsid w:val="00F75B77"/>
    <w:rsid w:val="00F75B98"/>
    <w:rsid w:val="00F75C7A"/>
    <w:rsid w:val="00F75CDC"/>
    <w:rsid w:val="00F75D03"/>
    <w:rsid w:val="00F75D2E"/>
    <w:rsid w:val="00F75E14"/>
    <w:rsid w:val="00F761B0"/>
    <w:rsid w:val="00F7631A"/>
    <w:rsid w:val="00F76464"/>
    <w:rsid w:val="00F76601"/>
    <w:rsid w:val="00F7661E"/>
    <w:rsid w:val="00F76793"/>
    <w:rsid w:val="00F7688D"/>
    <w:rsid w:val="00F768C0"/>
    <w:rsid w:val="00F76959"/>
    <w:rsid w:val="00F76A52"/>
    <w:rsid w:val="00F76BC5"/>
    <w:rsid w:val="00F76C92"/>
    <w:rsid w:val="00F76E2D"/>
    <w:rsid w:val="00F76E72"/>
    <w:rsid w:val="00F76F17"/>
    <w:rsid w:val="00F76F46"/>
    <w:rsid w:val="00F76F96"/>
    <w:rsid w:val="00F77084"/>
    <w:rsid w:val="00F77097"/>
    <w:rsid w:val="00F770DE"/>
    <w:rsid w:val="00F77177"/>
    <w:rsid w:val="00F771BA"/>
    <w:rsid w:val="00F771FD"/>
    <w:rsid w:val="00F77202"/>
    <w:rsid w:val="00F772D0"/>
    <w:rsid w:val="00F7732F"/>
    <w:rsid w:val="00F77513"/>
    <w:rsid w:val="00F77606"/>
    <w:rsid w:val="00F77621"/>
    <w:rsid w:val="00F776EE"/>
    <w:rsid w:val="00F776F7"/>
    <w:rsid w:val="00F7772B"/>
    <w:rsid w:val="00F77964"/>
    <w:rsid w:val="00F77965"/>
    <w:rsid w:val="00F77978"/>
    <w:rsid w:val="00F779DA"/>
    <w:rsid w:val="00F77A27"/>
    <w:rsid w:val="00F77AFF"/>
    <w:rsid w:val="00F77D38"/>
    <w:rsid w:val="00F77D41"/>
    <w:rsid w:val="00F77D48"/>
    <w:rsid w:val="00F77D6F"/>
    <w:rsid w:val="00F77E41"/>
    <w:rsid w:val="00F77E72"/>
    <w:rsid w:val="00F77EA5"/>
    <w:rsid w:val="00F801F1"/>
    <w:rsid w:val="00F8023A"/>
    <w:rsid w:val="00F80268"/>
    <w:rsid w:val="00F80443"/>
    <w:rsid w:val="00F8051A"/>
    <w:rsid w:val="00F80590"/>
    <w:rsid w:val="00F805D3"/>
    <w:rsid w:val="00F805F4"/>
    <w:rsid w:val="00F80668"/>
    <w:rsid w:val="00F806AA"/>
    <w:rsid w:val="00F806EB"/>
    <w:rsid w:val="00F80830"/>
    <w:rsid w:val="00F8083C"/>
    <w:rsid w:val="00F80871"/>
    <w:rsid w:val="00F808CC"/>
    <w:rsid w:val="00F80A82"/>
    <w:rsid w:val="00F80A98"/>
    <w:rsid w:val="00F80B90"/>
    <w:rsid w:val="00F80C5D"/>
    <w:rsid w:val="00F80ED3"/>
    <w:rsid w:val="00F80F2B"/>
    <w:rsid w:val="00F80F87"/>
    <w:rsid w:val="00F80FA6"/>
    <w:rsid w:val="00F80FCC"/>
    <w:rsid w:val="00F81032"/>
    <w:rsid w:val="00F810C3"/>
    <w:rsid w:val="00F8113B"/>
    <w:rsid w:val="00F8129E"/>
    <w:rsid w:val="00F81362"/>
    <w:rsid w:val="00F81434"/>
    <w:rsid w:val="00F81491"/>
    <w:rsid w:val="00F814F2"/>
    <w:rsid w:val="00F8162D"/>
    <w:rsid w:val="00F8169F"/>
    <w:rsid w:val="00F816F2"/>
    <w:rsid w:val="00F81757"/>
    <w:rsid w:val="00F81767"/>
    <w:rsid w:val="00F8181E"/>
    <w:rsid w:val="00F81897"/>
    <w:rsid w:val="00F8190D"/>
    <w:rsid w:val="00F81A88"/>
    <w:rsid w:val="00F81AD9"/>
    <w:rsid w:val="00F81C77"/>
    <w:rsid w:val="00F81D51"/>
    <w:rsid w:val="00F81D77"/>
    <w:rsid w:val="00F81E2B"/>
    <w:rsid w:val="00F81F0A"/>
    <w:rsid w:val="00F81F15"/>
    <w:rsid w:val="00F81FA7"/>
    <w:rsid w:val="00F8202C"/>
    <w:rsid w:val="00F820EB"/>
    <w:rsid w:val="00F82215"/>
    <w:rsid w:val="00F8227C"/>
    <w:rsid w:val="00F822E3"/>
    <w:rsid w:val="00F8230E"/>
    <w:rsid w:val="00F823C3"/>
    <w:rsid w:val="00F823CF"/>
    <w:rsid w:val="00F82432"/>
    <w:rsid w:val="00F824EA"/>
    <w:rsid w:val="00F82532"/>
    <w:rsid w:val="00F8257B"/>
    <w:rsid w:val="00F82782"/>
    <w:rsid w:val="00F82789"/>
    <w:rsid w:val="00F8282A"/>
    <w:rsid w:val="00F828CB"/>
    <w:rsid w:val="00F828EE"/>
    <w:rsid w:val="00F828EF"/>
    <w:rsid w:val="00F829EB"/>
    <w:rsid w:val="00F82C27"/>
    <w:rsid w:val="00F82C54"/>
    <w:rsid w:val="00F82CB8"/>
    <w:rsid w:val="00F82CD5"/>
    <w:rsid w:val="00F82D29"/>
    <w:rsid w:val="00F82EAD"/>
    <w:rsid w:val="00F82F55"/>
    <w:rsid w:val="00F82F68"/>
    <w:rsid w:val="00F83093"/>
    <w:rsid w:val="00F831C2"/>
    <w:rsid w:val="00F831CB"/>
    <w:rsid w:val="00F83233"/>
    <w:rsid w:val="00F8323D"/>
    <w:rsid w:val="00F832B5"/>
    <w:rsid w:val="00F832DF"/>
    <w:rsid w:val="00F83335"/>
    <w:rsid w:val="00F83430"/>
    <w:rsid w:val="00F834B4"/>
    <w:rsid w:val="00F834C2"/>
    <w:rsid w:val="00F834DD"/>
    <w:rsid w:val="00F83545"/>
    <w:rsid w:val="00F835BA"/>
    <w:rsid w:val="00F835CE"/>
    <w:rsid w:val="00F83671"/>
    <w:rsid w:val="00F83706"/>
    <w:rsid w:val="00F83875"/>
    <w:rsid w:val="00F8392B"/>
    <w:rsid w:val="00F83979"/>
    <w:rsid w:val="00F83B1A"/>
    <w:rsid w:val="00F83C5C"/>
    <w:rsid w:val="00F83D01"/>
    <w:rsid w:val="00F83D5F"/>
    <w:rsid w:val="00F83DF4"/>
    <w:rsid w:val="00F83F17"/>
    <w:rsid w:val="00F83FB3"/>
    <w:rsid w:val="00F84026"/>
    <w:rsid w:val="00F84074"/>
    <w:rsid w:val="00F840ED"/>
    <w:rsid w:val="00F841B5"/>
    <w:rsid w:val="00F843B1"/>
    <w:rsid w:val="00F843E9"/>
    <w:rsid w:val="00F84453"/>
    <w:rsid w:val="00F844CC"/>
    <w:rsid w:val="00F844EB"/>
    <w:rsid w:val="00F8450B"/>
    <w:rsid w:val="00F84518"/>
    <w:rsid w:val="00F84605"/>
    <w:rsid w:val="00F84654"/>
    <w:rsid w:val="00F84665"/>
    <w:rsid w:val="00F8482E"/>
    <w:rsid w:val="00F84871"/>
    <w:rsid w:val="00F84953"/>
    <w:rsid w:val="00F8496E"/>
    <w:rsid w:val="00F84A04"/>
    <w:rsid w:val="00F84A8D"/>
    <w:rsid w:val="00F84AEA"/>
    <w:rsid w:val="00F84B5E"/>
    <w:rsid w:val="00F84BCA"/>
    <w:rsid w:val="00F84C05"/>
    <w:rsid w:val="00F84C72"/>
    <w:rsid w:val="00F84C95"/>
    <w:rsid w:val="00F84C99"/>
    <w:rsid w:val="00F84CF5"/>
    <w:rsid w:val="00F84D52"/>
    <w:rsid w:val="00F84DB1"/>
    <w:rsid w:val="00F84DB8"/>
    <w:rsid w:val="00F84F88"/>
    <w:rsid w:val="00F8501D"/>
    <w:rsid w:val="00F8504F"/>
    <w:rsid w:val="00F85064"/>
    <w:rsid w:val="00F85070"/>
    <w:rsid w:val="00F850E8"/>
    <w:rsid w:val="00F85171"/>
    <w:rsid w:val="00F8527B"/>
    <w:rsid w:val="00F85281"/>
    <w:rsid w:val="00F85287"/>
    <w:rsid w:val="00F852F6"/>
    <w:rsid w:val="00F85314"/>
    <w:rsid w:val="00F85466"/>
    <w:rsid w:val="00F854D7"/>
    <w:rsid w:val="00F854EE"/>
    <w:rsid w:val="00F85649"/>
    <w:rsid w:val="00F85668"/>
    <w:rsid w:val="00F8568C"/>
    <w:rsid w:val="00F8588E"/>
    <w:rsid w:val="00F859D6"/>
    <w:rsid w:val="00F859FE"/>
    <w:rsid w:val="00F85A96"/>
    <w:rsid w:val="00F85B62"/>
    <w:rsid w:val="00F85BAC"/>
    <w:rsid w:val="00F85BBD"/>
    <w:rsid w:val="00F85C01"/>
    <w:rsid w:val="00F85C3F"/>
    <w:rsid w:val="00F85DED"/>
    <w:rsid w:val="00F85E77"/>
    <w:rsid w:val="00F85EC3"/>
    <w:rsid w:val="00F860BE"/>
    <w:rsid w:val="00F8613D"/>
    <w:rsid w:val="00F861B4"/>
    <w:rsid w:val="00F86218"/>
    <w:rsid w:val="00F86229"/>
    <w:rsid w:val="00F863AC"/>
    <w:rsid w:val="00F86437"/>
    <w:rsid w:val="00F8644B"/>
    <w:rsid w:val="00F86483"/>
    <w:rsid w:val="00F8649B"/>
    <w:rsid w:val="00F864AE"/>
    <w:rsid w:val="00F864E4"/>
    <w:rsid w:val="00F86641"/>
    <w:rsid w:val="00F866A8"/>
    <w:rsid w:val="00F8671E"/>
    <w:rsid w:val="00F86811"/>
    <w:rsid w:val="00F868B8"/>
    <w:rsid w:val="00F86A6D"/>
    <w:rsid w:val="00F86A7E"/>
    <w:rsid w:val="00F86B21"/>
    <w:rsid w:val="00F86C22"/>
    <w:rsid w:val="00F86C3A"/>
    <w:rsid w:val="00F86C42"/>
    <w:rsid w:val="00F86C61"/>
    <w:rsid w:val="00F86C74"/>
    <w:rsid w:val="00F86E81"/>
    <w:rsid w:val="00F86ECA"/>
    <w:rsid w:val="00F86FE1"/>
    <w:rsid w:val="00F870DB"/>
    <w:rsid w:val="00F870F2"/>
    <w:rsid w:val="00F87139"/>
    <w:rsid w:val="00F8713D"/>
    <w:rsid w:val="00F8720F"/>
    <w:rsid w:val="00F872A8"/>
    <w:rsid w:val="00F87338"/>
    <w:rsid w:val="00F873E8"/>
    <w:rsid w:val="00F873F8"/>
    <w:rsid w:val="00F8747A"/>
    <w:rsid w:val="00F874CF"/>
    <w:rsid w:val="00F874D2"/>
    <w:rsid w:val="00F874EA"/>
    <w:rsid w:val="00F87553"/>
    <w:rsid w:val="00F875C0"/>
    <w:rsid w:val="00F876B7"/>
    <w:rsid w:val="00F876F3"/>
    <w:rsid w:val="00F87731"/>
    <w:rsid w:val="00F877B4"/>
    <w:rsid w:val="00F877E5"/>
    <w:rsid w:val="00F878FE"/>
    <w:rsid w:val="00F87AA3"/>
    <w:rsid w:val="00F87B19"/>
    <w:rsid w:val="00F87B4F"/>
    <w:rsid w:val="00F87CD3"/>
    <w:rsid w:val="00F87D6F"/>
    <w:rsid w:val="00F87DBE"/>
    <w:rsid w:val="00F87E83"/>
    <w:rsid w:val="00F87EB4"/>
    <w:rsid w:val="00F87F9E"/>
    <w:rsid w:val="00F90106"/>
    <w:rsid w:val="00F9016B"/>
    <w:rsid w:val="00F90242"/>
    <w:rsid w:val="00F90287"/>
    <w:rsid w:val="00F902EB"/>
    <w:rsid w:val="00F904A3"/>
    <w:rsid w:val="00F904E8"/>
    <w:rsid w:val="00F905D9"/>
    <w:rsid w:val="00F906A8"/>
    <w:rsid w:val="00F90717"/>
    <w:rsid w:val="00F907BF"/>
    <w:rsid w:val="00F907FA"/>
    <w:rsid w:val="00F908B8"/>
    <w:rsid w:val="00F90995"/>
    <w:rsid w:val="00F909D0"/>
    <w:rsid w:val="00F90A10"/>
    <w:rsid w:val="00F90A89"/>
    <w:rsid w:val="00F90AFF"/>
    <w:rsid w:val="00F90C0E"/>
    <w:rsid w:val="00F90D8F"/>
    <w:rsid w:val="00F90DB6"/>
    <w:rsid w:val="00F90DD1"/>
    <w:rsid w:val="00F90E2D"/>
    <w:rsid w:val="00F90E36"/>
    <w:rsid w:val="00F91071"/>
    <w:rsid w:val="00F910A8"/>
    <w:rsid w:val="00F91268"/>
    <w:rsid w:val="00F91289"/>
    <w:rsid w:val="00F91318"/>
    <w:rsid w:val="00F91353"/>
    <w:rsid w:val="00F91414"/>
    <w:rsid w:val="00F9149D"/>
    <w:rsid w:val="00F914CE"/>
    <w:rsid w:val="00F915B3"/>
    <w:rsid w:val="00F91695"/>
    <w:rsid w:val="00F91810"/>
    <w:rsid w:val="00F9191B"/>
    <w:rsid w:val="00F91948"/>
    <w:rsid w:val="00F91974"/>
    <w:rsid w:val="00F91A3F"/>
    <w:rsid w:val="00F91A4D"/>
    <w:rsid w:val="00F91A6A"/>
    <w:rsid w:val="00F91A83"/>
    <w:rsid w:val="00F91B07"/>
    <w:rsid w:val="00F91B39"/>
    <w:rsid w:val="00F91B4C"/>
    <w:rsid w:val="00F91BF0"/>
    <w:rsid w:val="00F91C89"/>
    <w:rsid w:val="00F91CFA"/>
    <w:rsid w:val="00F91E0A"/>
    <w:rsid w:val="00F91E7F"/>
    <w:rsid w:val="00F91F6B"/>
    <w:rsid w:val="00F91F75"/>
    <w:rsid w:val="00F91FAF"/>
    <w:rsid w:val="00F920B9"/>
    <w:rsid w:val="00F92101"/>
    <w:rsid w:val="00F92204"/>
    <w:rsid w:val="00F9220C"/>
    <w:rsid w:val="00F9222A"/>
    <w:rsid w:val="00F92273"/>
    <w:rsid w:val="00F92279"/>
    <w:rsid w:val="00F92364"/>
    <w:rsid w:val="00F92394"/>
    <w:rsid w:val="00F92543"/>
    <w:rsid w:val="00F925BD"/>
    <w:rsid w:val="00F926C2"/>
    <w:rsid w:val="00F92732"/>
    <w:rsid w:val="00F927F5"/>
    <w:rsid w:val="00F92850"/>
    <w:rsid w:val="00F92873"/>
    <w:rsid w:val="00F92895"/>
    <w:rsid w:val="00F928B5"/>
    <w:rsid w:val="00F92A23"/>
    <w:rsid w:val="00F92A86"/>
    <w:rsid w:val="00F92BA0"/>
    <w:rsid w:val="00F92BE6"/>
    <w:rsid w:val="00F92BF2"/>
    <w:rsid w:val="00F92D04"/>
    <w:rsid w:val="00F92D3F"/>
    <w:rsid w:val="00F92D58"/>
    <w:rsid w:val="00F92E8A"/>
    <w:rsid w:val="00F92F74"/>
    <w:rsid w:val="00F93026"/>
    <w:rsid w:val="00F93097"/>
    <w:rsid w:val="00F930B6"/>
    <w:rsid w:val="00F93110"/>
    <w:rsid w:val="00F93131"/>
    <w:rsid w:val="00F9314D"/>
    <w:rsid w:val="00F931AE"/>
    <w:rsid w:val="00F931E2"/>
    <w:rsid w:val="00F932F2"/>
    <w:rsid w:val="00F93668"/>
    <w:rsid w:val="00F936F2"/>
    <w:rsid w:val="00F93843"/>
    <w:rsid w:val="00F93908"/>
    <w:rsid w:val="00F93948"/>
    <w:rsid w:val="00F939DE"/>
    <w:rsid w:val="00F93AC8"/>
    <w:rsid w:val="00F93ADA"/>
    <w:rsid w:val="00F93B23"/>
    <w:rsid w:val="00F93B65"/>
    <w:rsid w:val="00F93B8A"/>
    <w:rsid w:val="00F93B8C"/>
    <w:rsid w:val="00F93BED"/>
    <w:rsid w:val="00F93E37"/>
    <w:rsid w:val="00F93E4F"/>
    <w:rsid w:val="00F93ED5"/>
    <w:rsid w:val="00F93F48"/>
    <w:rsid w:val="00F93F6A"/>
    <w:rsid w:val="00F93FF3"/>
    <w:rsid w:val="00F9414F"/>
    <w:rsid w:val="00F9420E"/>
    <w:rsid w:val="00F94232"/>
    <w:rsid w:val="00F94254"/>
    <w:rsid w:val="00F942D3"/>
    <w:rsid w:val="00F9438C"/>
    <w:rsid w:val="00F945F2"/>
    <w:rsid w:val="00F945F9"/>
    <w:rsid w:val="00F94709"/>
    <w:rsid w:val="00F947F5"/>
    <w:rsid w:val="00F948EF"/>
    <w:rsid w:val="00F94995"/>
    <w:rsid w:val="00F949C0"/>
    <w:rsid w:val="00F94B02"/>
    <w:rsid w:val="00F94B15"/>
    <w:rsid w:val="00F94B3E"/>
    <w:rsid w:val="00F94BB6"/>
    <w:rsid w:val="00F94CD0"/>
    <w:rsid w:val="00F94D53"/>
    <w:rsid w:val="00F94D98"/>
    <w:rsid w:val="00F94DDD"/>
    <w:rsid w:val="00F94E13"/>
    <w:rsid w:val="00F9514B"/>
    <w:rsid w:val="00F9515F"/>
    <w:rsid w:val="00F951E9"/>
    <w:rsid w:val="00F952A4"/>
    <w:rsid w:val="00F95337"/>
    <w:rsid w:val="00F95381"/>
    <w:rsid w:val="00F9544A"/>
    <w:rsid w:val="00F955BC"/>
    <w:rsid w:val="00F955DF"/>
    <w:rsid w:val="00F957B0"/>
    <w:rsid w:val="00F95843"/>
    <w:rsid w:val="00F95927"/>
    <w:rsid w:val="00F95BAA"/>
    <w:rsid w:val="00F95BAE"/>
    <w:rsid w:val="00F95D83"/>
    <w:rsid w:val="00F95D8A"/>
    <w:rsid w:val="00F95DC4"/>
    <w:rsid w:val="00F95DEE"/>
    <w:rsid w:val="00F95E02"/>
    <w:rsid w:val="00F95F1D"/>
    <w:rsid w:val="00F95F72"/>
    <w:rsid w:val="00F96167"/>
    <w:rsid w:val="00F96531"/>
    <w:rsid w:val="00F96541"/>
    <w:rsid w:val="00F965D0"/>
    <w:rsid w:val="00F965EA"/>
    <w:rsid w:val="00F96847"/>
    <w:rsid w:val="00F9684A"/>
    <w:rsid w:val="00F9695E"/>
    <w:rsid w:val="00F969E8"/>
    <w:rsid w:val="00F96ACE"/>
    <w:rsid w:val="00F96BAE"/>
    <w:rsid w:val="00F96C51"/>
    <w:rsid w:val="00F96D8C"/>
    <w:rsid w:val="00F96D97"/>
    <w:rsid w:val="00F96DDF"/>
    <w:rsid w:val="00F96EF0"/>
    <w:rsid w:val="00F97045"/>
    <w:rsid w:val="00F9714B"/>
    <w:rsid w:val="00F971EA"/>
    <w:rsid w:val="00F97217"/>
    <w:rsid w:val="00F9730B"/>
    <w:rsid w:val="00F973C2"/>
    <w:rsid w:val="00F9750F"/>
    <w:rsid w:val="00F975AE"/>
    <w:rsid w:val="00F97616"/>
    <w:rsid w:val="00F97629"/>
    <w:rsid w:val="00F9762F"/>
    <w:rsid w:val="00F97749"/>
    <w:rsid w:val="00F97795"/>
    <w:rsid w:val="00F977D1"/>
    <w:rsid w:val="00F9798C"/>
    <w:rsid w:val="00F97A00"/>
    <w:rsid w:val="00F97A80"/>
    <w:rsid w:val="00F97B4A"/>
    <w:rsid w:val="00F97B50"/>
    <w:rsid w:val="00F97B92"/>
    <w:rsid w:val="00F97BA2"/>
    <w:rsid w:val="00F97C3E"/>
    <w:rsid w:val="00F97C5D"/>
    <w:rsid w:val="00F97DC7"/>
    <w:rsid w:val="00F97E70"/>
    <w:rsid w:val="00F97ED3"/>
    <w:rsid w:val="00F97F5F"/>
    <w:rsid w:val="00F97F8F"/>
    <w:rsid w:val="00FA0099"/>
    <w:rsid w:val="00FA01FF"/>
    <w:rsid w:val="00FA03DA"/>
    <w:rsid w:val="00FA042B"/>
    <w:rsid w:val="00FA046E"/>
    <w:rsid w:val="00FA060C"/>
    <w:rsid w:val="00FA076C"/>
    <w:rsid w:val="00FA07FC"/>
    <w:rsid w:val="00FA0807"/>
    <w:rsid w:val="00FA0825"/>
    <w:rsid w:val="00FA08AD"/>
    <w:rsid w:val="00FA08BB"/>
    <w:rsid w:val="00FA09A6"/>
    <w:rsid w:val="00FA0B4C"/>
    <w:rsid w:val="00FA0BB4"/>
    <w:rsid w:val="00FA0C13"/>
    <w:rsid w:val="00FA0C99"/>
    <w:rsid w:val="00FA0D16"/>
    <w:rsid w:val="00FA0DBC"/>
    <w:rsid w:val="00FA0DC8"/>
    <w:rsid w:val="00FA0E4C"/>
    <w:rsid w:val="00FA0E5B"/>
    <w:rsid w:val="00FA0F0F"/>
    <w:rsid w:val="00FA0F2D"/>
    <w:rsid w:val="00FA0F85"/>
    <w:rsid w:val="00FA0FD7"/>
    <w:rsid w:val="00FA0FE3"/>
    <w:rsid w:val="00FA1014"/>
    <w:rsid w:val="00FA107B"/>
    <w:rsid w:val="00FA10EF"/>
    <w:rsid w:val="00FA111D"/>
    <w:rsid w:val="00FA113D"/>
    <w:rsid w:val="00FA1154"/>
    <w:rsid w:val="00FA1214"/>
    <w:rsid w:val="00FA12A3"/>
    <w:rsid w:val="00FA12AA"/>
    <w:rsid w:val="00FA12B2"/>
    <w:rsid w:val="00FA12D4"/>
    <w:rsid w:val="00FA12E6"/>
    <w:rsid w:val="00FA1305"/>
    <w:rsid w:val="00FA1311"/>
    <w:rsid w:val="00FA1460"/>
    <w:rsid w:val="00FA1461"/>
    <w:rsid w:val="00FA1471"/>
    <w:rsid w:val="00FA14D1"/>
    <w:rsid w:val="00FA15B8"/>
    <w:rsid w:val="00FA15E2"/>
    <w:rsid w:val="00FA1696"/>
    <w:rsid w:val="00FA1971"/>
    <w:rsid w:val="00FA19E4"/>
    <w:rsid w:val="00FA1AF7"/>
    <w:rsid w:val="00FA1B09"/>
    <w:rsid w:val="00FA1B37"/>
    <w:rsid w:val="00FA1B4C"/>
    <w:rsid w:val="00FA1B5C"/>
    <w:rsid w:val="00FA1B6B"/>
    <w:rsid w:val="00FA1BFE"/>
    <w:rsid w:val="00FA1C1F"/>
    <w:rsid w:val="00FA1C51"/>
    <w:rsid w:val="00FA1C7B"/>
    <w:rsid w:val="00FA1C9D"/>
    <w:rsid w:val="00FA1D1F"/>
    <w:rsid w:val="00FA1DF1"/>
    <w:rsid w:val="00FA1E62"/>
    <w:rsid w:val="00FA1E8E"/>
    <w:rsid w:val="00FA1FBB"/>
    <w:rsid w:val="00FA20C0"/>
    <w:rsid w:val="00FA20C9"/>
    <w:rsid w:val="00FA20CF"/>
    <w:rsid w:val="00FA21C9"/>
    <w:rsid w:val="00FA2279"/>
    <w:rsid w:val="00FA2338"/>
    <w:rsid w:val="00FA2341"/>
    <w:rsid w:val="00FA23CF"/>
    <w:rsid w:val="00FA23F8"/>
    <w:rsid w:val="00FA24A6"/>
    <w:rsid w:val="00FA271E"/>
    <w:rsid w:val="00FA27BF"/>
    <w:rsid w:val="00FA281A"/>
    <w:rsid w:val="00FA2A07"/>
    <w:rsid w:val="00FA2A43"/>
    <w:rsid w:val="00FA2B2A"/>
    <w:rsid w:val="00FA2CD0"/>
    <w:rsid w:val="00FA2D0C"/>
    <w:rsid w:val="00FA2D10"/>
    <w:rsid w:val="00FA2D1C"/>
    <w:rsid w:val="00FA2D49"/>
    <w:rsid w:val="00FA2ECD"/>
    <w:rsid w:val="00FA2F27"/>
    <w:rsid w:val="00FA2F8E"/>
    <w:rsid w:val="00FA3102"/>
    <w:rsid w:val="00FA312B"/>
    <w:rsid w:val="00FA31D7"/>
    <w:rsid w:val="00FA32B4"/>
    <w:rsid w:val="00FA32CB"/>
    <w:rsid w:val="00FA3341"/>
    <w:rsid w:val="00FA3371"/>
    <w:rsid w:val="00FA33A4"/>
    <w:rsid w:val="00FA33B8"/>
    <w:rsid w:val="00FA34C3"/>
    <w:rsid w:val="00FA35A8"/>
    <w:rsid w:val="00FA35EC"/>
    <w:rsid w:val="00FA374E"/>
    <w:rsid w:val="00FA3861"/>
    <w:rsid w:val="00FA387D"/>
    <w:rsid w:val="00FA38FD"/>
    <w:rsid w:val="00FA3950"/>
    <w:rsid w:val="00FA3A8A"/>
    <w:rsid w:val="00FA3ADE"/>
    <w:rsid w:val="00FA3B41"/>
    <w:rsid w:val="00FA3C6A"/>
    <w:rsid w:val="00FA3CCB"/>
    <w:rsid w:val="00FA3DB1"/>
    <w:rsid w:val="00FA3EBD"/>
    <w:rsid w:val="00FA405C"/>
    <w:rsid w:val="00FA40CB"/>
    <w:rsid w:val="00FA414D"/>
    <w:rsid w:val="00FA4150"/>
    <w:rsid w:val="00FA4168"/>
    <w:rsid w:val="00FA41A5"/>
    <w:rsid w:val="00FA4435"/>
    <w:rsid w:val="00FA4635"/>
    <w:rsid w:val="00FA46A5"/>
    <w:rsid w:val="00FA4794"/>
    <w:rsid w:val="00FA489A"/>
    <w:rsid w:val="00FA4978"/>
    <w:rsid w:val="00FA4B64"/>
    <w:rsid w:val="00FA4B7F"/>
    <w:rsid w:val="00FA4BAA"/>
    <w:rsid w:val="00FA4C79"/>
    <w:rsid w:val="00FA4CCB"/>
    <w:rsid w:val="00FA4E9A"/>
    <w:rsid w:val="00FA4F2E"/>
    <w:rsid w:val="00FA504E"/>
    <w:rsid w:val="00FA50B4"/>
    <w:rsid w:val="00FA5375"/>
    <w:rsid w:val="00FA54CE"/>
    <w:rsid w:val="00FA54D7"/>
    <w:rsid w:val="00FA564B"/>
    <w:rsid w:val="00FA5662"/>
    <w:rsid w:val="00FA5766"/>
    <w:rsid w:val="00FA579C"/>
    <w:rsid w:val="00FA58F1"/>
    <w:rsid w:val="00FA591B"/>
    <w:rsid w:val="00FA59E5"/>
    <w:rsid w:val="00FA5BA4"/>
    <w:rsid w:val="00FA5CF6"/>
    <w:rsid w:val="00FA5CFC"/>
    <w:rsid w:val="00FA5DA9"/>
    <w:rsid w:val="00FA5DF1"/>
    <w:rsid w:val="00FA5EBC"/>
    <w:rsid w:val="00FA5F19"/>
    <w:rsid w:val="00FA5F4A"/>
    <w:rsid w:val="00FA5F81"/>
    <w:rsid w:val="00FA6056"/>
    <w:rsid w:val="00FA61DD"/>
    <w:rsid w:val="00FA623A"/>
    <w:rsid w:val="00FA629A"/>
    <w:rsid w:val="00FA62F6"/>
    <w:rsid w:val="00FA6416"/>
    <w:rsid w:val="00FA6437"/>
    <w:rsid w:val="00FA6484"/>
    <w:rsid w:val="00FA64B3"/>
    <w:rsid w:val="00FA64E9"/>
    <w:rsid w:val="00FA6522"/>
    <w:rsid w:val="00FA67EE"/>
    <w:rsid w:val="00FA67FA"/>
    <w:rsid w:val="00FA685F"/>
    <w:rsid w:val="00FA6891"/>
    <w:rsid w:val="00FA68F6"/>
    <w:rsid w:val="00FA6930"/>
    <w:rsid w:val="00FA69C6"/>
    <w:rsid w:val="00FA6AE2"/>
    <w:rsid w:val="00FA6B0B"/>
    <w:rsid w:val="00FA6B54"/>
    <w:rsid w:val="00FA6C51"/>
    <w:rsid w:val="00FA6DC1"/>
    <w:rsid w:val="00FA70AD"/>
    <w:rsid w:val="00FA70C8"/>
    <w:rsid w:val="00FA70D7"/>
    <w:rsid w:val="00FA710D"/>
    <w:rsid w:val="00FA717A"/>
    <w:rsid w:val="00FA7205"/>
    <w:rsid w:val="00FA7299"/>
    <w:rsid w:val="00FA74C0"/>
    <w:rsid w:val="00FA75B5"/>
    <w:rsid w:val="00FA7609"/>
    <w:rsid w:val="00FA7784"/>
    <w:rsid w:val="00FA77A6"/>
    <w:rsid w:val="00FA7842"/>
    <w:rsid w:val="00FA785B"/>
    <w:rsid w:val="00FA7C2B"/>
    <w:rsid w:val="00FA7C58"/>
    <w:rsid w:val="00FA7D7D"/>
    <w:rsid w:val="00FA7DE8"/>
    <w:rsid w:val="00FA7FB4"/>
    <w:rsid w:val="00FB0124"/>
    <w:rsid w:val="00FB0126"/>
    <w:rsid w:val="00FB0143"/>
    <w:rsid w:val="00FB014D"/>
    <w:rsid w:val="00FB019E"/>
    <w:rsid w:val="00FB0201"/>
    <w:rsid w:val="00FB042A"/>
    <w:rsid w:val="00FB0507"/>
    <w:rsid w:val="00FB0510"/>
    <w:rsid w:val="00FB0599"/>
    <w:rsid w:val="00FB05FB"/>
    <w:rsid w:val="00FB0815"/>
    <w:rsid w:val="00FB0838"/>
    <w:rsid w:val="00FB094C"/>
    <w:rsid w:val="00FB09FC"/>
    <w:rsid w:val="00FB0A21"/>
    <w:rsid w:val="00FB0A40"/>
    <w:rsid w:val="00FB0B66"/>
    <w:rsid w:val="00FB0CF2"/>
    <w:rsid w:val="00FB0D42"/>
    <w:rsid w:val="00FB0DBD"/>
    <w:rsid w:val="00FB0E33"/>
    <w:rsid w:val="00FB0E55"/>
    <w:rsid w:val="00FB0E80"/>
    <w:rsid w:val="00FB0EB5"/>
    <w:rsid w:val="00FB0EC8"/>
    <w:rsid w:val="00FB0FC9"/>
    <w:rsid w:val="00FB1041"/>
    <w:rsid w:val="00FB10CD"/>
    <w:rsid w:val="00FB11CC"/>
    <w:rsid w:val="00FB1231"/>
    <w:rsid w:val="00FB1305"/>
    <w:rsid w:val="00FB143D"/>
    <w:rsid w:val="00FB152E"/>
    <w:rsid w:val="00FB15E9"/>
    <w:rsid w:val="00FB15FE"/>
    <w:rsid w:val="00FB1712"/>
    <w:rsid w:val="00FB1774"/>
    <w:rsid w:val="00FB178C"/>
    <w:rsid w:val="00FB17A6"/>
    <w:rsid w:val="00FB17AD"/>
    <w:rsid w:val="00FB17E2"/>
    <w:rsid w:val="00FB1815"/>
    <w:rsid w:val="00FB1822"/>
    <w:rsid w:val="00FB1885"/>
    <w:rsid w:val="00FB193B"/>
    <w:rsid w:val="00FB197F"/>
    <w:rsid w:val="00FB1A25"/>
    <w:rsid w:val="00FB1A7A"/>
    <w:rsid w:val="00FB1A90"/>
    <w:rsid w:val="00FB1B4F"/>
    <w:rsid w:val="00FB1BAD"/>
    <w:rsid w:val="00FB1C1D"/>
    <w:rsid w:val="00FB1CA2"/>
    <w:rsid w:val="00FB1CCD"/>
    <w:rsid w:val="00FB1D4B"/>
    <w:rsid w:val="00FB1DAE"/>
    <w:rsid w:val="00FB1E3D"/>
    <w:rsid w:val="00FB1E58"/>
    <w:rsid w:val="00FB1E99"/>
    <w:rsid w:val="00FB2030"/>
    <w:rsid w:val="00FB219D"/>
    <w:rsid w:val="00FB228A"/>
    <w:rsid w:val="00FB238A"/>
    <w:rsid w:val="00FB2438"/>
    <w:rsid w:val="00FB24A3"/>
    <w:rsid w:val="00FB24B2"/>
    <w:rsid w:val="00FB2500"/>
    <w:rsid w:val="00FB2604"/>
    <w:rsid w:val="00FB2775"/>
    <w:rsid w:val="00FB27BA"/>
    <w:rsid w:val="00FB27EC"/>
    <w:rsid w:val="00FB27F5"/>
    <w:rsid w:val="00FB287B"/>
    <w:rsid w:val="00FB28EC"/>
    <w:rsid w:val="00FB2936"/>
    <w:rsid w:val="00FB29DD"/>
    <w:rsid w:val="00FB2A4F"/>
    <w:rsid w:val="00FB2B44"/>
    <w:rsid w:val="00FB2B73"/>
    <w:rsid w:val="00FB2BED"/>
    <w:rsid w:val="00FB2D29"/>
    <w:rsid w:val="00FB2D80"/>
    <w:rsid w:val="00FB2DA5"/>
    <w:rsid w:val="00FB2EA2"/>
    <w:rsid w:val="00FB319A"/>
    <w:rsid w:val="00FB31CF"/>
    <w:rsid w:val="00FB31E3"/>
    <w:rsid w:val="00FB31FE"/>
    <w:rsid w:val="00FB323C"/>
    <w:rsid w:val="00FB3302"/>
    <w:rsid w:val="00FB3314"/>
    <w:rsid w:val="00FB3385"/>
    <w:rsid w:val="00FB3578"/>
    <w:rsid w:val="00FB374C"/>
    <w:rsid w:val="00FB3889"/>
    <w:rsid w:val="00FB3953"/>
    <w:rsid w:val="00FB3A94"/>
    <w:rsid w:val="00FB3B28"/>
    <w:rsid w:val="00FB3BB1"/>
    <w:rsid w:val="00FB3C77"/>
    <w:rsid w:val="00FB3CA4"/>
    <w:rsid w:val="00FB3D18"/>
    <w:rsid w:val="00FB3D92"/>
    <w:rsid w:val="00FB3DB0"/>
    <w:rsid w:val="00FB3DEB"/>
    <w:rsid w:val="00FB3DF5"/>
    <w:rsid w:val="00FB3E04"/>
    <w:rsid w:val="00FB3E2B"/>
    <w:rsid w:val="00FB3E41"/>
    <w:rsid w:val="00FB3EAA"/>
    <w:rsid w:val="00FB3EE8"/>
    <w:rsid w:val="00FB3F19"/>
    <w:rsid w:val="00FB3F53"/>
    <w:rsid w:val="00FB3F60"/>
    <w:rsid w:val="00FB3FB0"/>
    <w:rsid w:val="00FB4003"/>
    <w:rsid w:val="00FB402D"/>
    <w:rsid w:val="00FB408A"/>
    <w:rsid w:val="00FB410E"/>
    <w:rsid w:val="00FB411D"/>
    <w:rsid w:val="00FB41F7"/>
    <w:rsid w:val="00FB4354"/>
    <w:rsid w:val="00FB45B3"/>
    <w:rsid w:val="00FB45DA"/>
    <w:rsid w:val="00FB4746"/>
    <w:rsid w:val="00FB47A7"/>
    <w:rsid w:val="00FB4935"/>
    <w:rsid w:val="00FB4C16"/>
    <w:rsid w:val="00FB4C37"/>
    <w:rsid w:val="00FB4C4A"/>
    <w:rsid w:val="00FB4C55"/>
    <w:rsid w:val="00FB4D88"/>
    <w:rsid w:val="00FB4E39"/>
    <w:rsid w:val="00FB4E84"/>
    <w:rsid w:val="00FB4ED2"/>
    <w:rsid w:val="00FB4EDC"/>
    <w:rsid w:val="00FB4F95"/>
    <w:rsid w:val="00FB5014"/>
    <w:rsid w:val="00FB5096"/>
    <w:rsid w:val="00FB513F"/>
    <w:rsid w:val="00FB51FE"/>
    <w:rsid w:val="00FB5301"/>
    <w:rsid w:val="00FB53CF"/>
    <w:rsid w:val="00FB5515"/>
    <w:rsid w:val="00FB558D"/>
    <w:rsid w:val="00FB5693"/>
    <w:rsid w:val="00FB56C9"/>
    <w:rsid w:val="00FB5755"/>
    <w:rsid w:val="00FB582A"/>
    <w:rsid w:val="00FB5840"/>
    <w:rsid w:val="00FB58C4"/>
    <w:rsid w:val="00FB5900"/>
    <w:rsid w:val="00FB59EE"/>
    <w:rsid w:val="00FB5A4A"/>
    <w:rsid w:val="00FB5B45"/>
    <w:rsid w:val="00FB5BDC"/>
    <w:rsid w:val="00FB5CC1"/>
    <w:rsid w:val="00FB5EBB"/>
    <w:rsid w:val="00FB5ED7"/>
    <w:rsid w:val="00FB5F1B"/>
    <w:rsid w:val="00FB5F6C"/>
    <w:rsid w:val="00FB5F7E"/>
    <w:rsid w:val="00FB5FAD"/>
    <w:rsid w:val="00FB6148"/>
    <w:rsid w:val="00FB620D"/>
    <w:rsid w:val="00FB62EB"/>
    <w:rsid w:val="00FB6328"/>
    <w:rsid w:val="00FB6390"/>
    <w:rsid w:val="00FB63D3"/>
    <w:rsid w:val="00FB63E3"/>
    <w:rsid w:val="00FB6507"/>
    <w:rsid w:val="00FB654A"/>
    <w:rsid w:val="00FB6568"/>
    <w:rsid w:val="00FB664A"/>
    <w:rsid w:val="00FB6807"/>
    <w:rsid w:val="00FB68A1"/>
    <w:rsid w:val="00FB68B7"/>
    <w:rsid w:val="00FB6935"/>
    <w:rsid w:val="00FB6953"/>
    <w:rsid w:val="00FB6A38"/>
    <w:rsid w:val="00FB6A62"/>
    <w:rsid w:val="00FB6AC0"/>
    <w:rsid w:val="00FB6AC7"/>
    <w:rsid w:val="00FB6B31"/>
    <w:rsid w:val="00FB6B77"/>
    <w:rsid w:val="00FB6B85"/>
    <w:rsid w:val="00FB6C03"/>
    <w:rsid w:val="00FB6C3A"/>
    <w:rsid w:val="00FB6C5B"/>
    <w:rsid w:val="00FB6CF4"/>
    <w:rsid w:val="00FB6D5E"/>
    <w:rsid w:val="00FB6DA7"/>
    <w:rsid w:val="00FB6DF5"/>
    <w:rsid w:val="00FB6E8E"/>
    <w:rsid w:val="00FB6F1F"/>
    <w:rsid w:val="00FB6F67"/>
    <w:rsid w:val="00FB6F79"/>
    <w:rsid w:val="00FB6FED"/>
    <w:rsid w:val="00FB704B"/>
    <w:rsid w:val="00FB70A5"/>
    <w:rsid w:val="00FB70DF"/>
    <w:rsid w:val="00FB71B6"/>
    <w:rsid w:val="00FB72EE"/>
    <w:rsid w:val="00FB731A"/>
    <w:rsid w:val="00FB733C"/>
    <w:rsid w:val="00FB7366"/>
    <w:rsid w:val="00FB73CE"/>
    <w:rsid w:val="00FB756A"/>
    <w:rsid w:val="00FB7679"/>
    <w:rsid w:val="00FB776A"/>
    <w:rsid w:val="00FB78A7"/>
    <w:rsid w:val="00FB7914"/>
    <w:rsid w:val="00FB7925"/>
    <w:rsid w:val="00FB7947"/>
    <w:rsid w:val="00FB7D40"/>
    <w:rsid w:val="00FB7E7A"/>
    <w:rsid w:val="00FB7F20"/>
    <w:rsid w:val="00FB7F80"/>
    <w:rsid w:val="00FC0093"/>
    <w:rsid w:val="00FC00F1"/>
    <w:rsid w:val="00FC0181"/>
    <w:rsid w:val="00FC03ED"/>
    <w:rsid w:val="00FC0523"/>
    <w:rsid w:val="00FC0558"/>
    <w:rsid w:val="00FC057F"/>
    <w:rsid w:val="00FC0621"/>
    <w:rsid w:val="00FC0676"/>
    <w:rsid w:val="00FC06B1"/>
    <w:rsid w:val="00FC07D3"/>
    <w:rsid w:val="00FC0878"/>
    <w:rsid w:val="00FC091D"/>
    <w:rsid w:val="00FC0A3C"/>
    <w:rsid w:val="00FC0AD7"/>
    <w:rsid w:val="00FC0AF5"/>
    <w:rsid w:val="00FC0B0B"/>
    <w:rsid w:val="00FC0B32"/>
    <w:rsid w:val="00FC0B3F"/>
    <w:rsid w:val="00FC0B99"/>
    <w:rsid w:val="00FC0B9E"/>
    <w:rsid w:val="00FC0BC9"/>
    <w:rsid w:val="00FC0C3B"/>
    <w:rsid w:val="00FC0C66"/>
    <w:rsid w:val="00FC0C7D"/>
    <w:rsid w:val="00FC0E25"/>
    <w:rsid w:val="00FC10AE"/>
    <w:rsid w:val="00FC10DE"/>
    <w:rsid w:val="00FC1403"/>
    <w:rsid w:val="00FC1427"/>
    <w:rsid w:val="00FC142E"/>
    <w:rsid w:val="00FC1437"/>
    <w:rsid w:val="00FC1539"/>
    <w:rsid w:val="00FC1598"/>
    <w:rsid w:val="00FC15AA"/>
    <w:rsid w:val="00FC163A"/>
    <w:rsid w:val="00FC169B"/>
    <w:rsid w:val="00FC16A2"/>
    <w:rsid w:val="00FC17E7"/>
    <w:rsid w:val="00FC18AC"/>
    <w:rsid w:val="00FC1956"/>
    <w:rsid w:val="00FC19B4"/>
    <w:rsid w:val="00FC19E3"/>
    <w:rsid w:val="00FC1A83"/>
    <w:rsid w:val="00FC1B53"/>
    <w:rsid w:val="00FC1B57"/>
    <w:rsid w:val="00FC1BEC"/>
    <w:rsid w:val="00FC1C56"/>
    <w:rsid w:val="00FC1C89"/>
    <w:rsid w:val="00FC1CC7"/>
    <w:rsid w:val="00FC1CE2"/>
    <w:rsid w:val="00FC1CE5"/>
    <w:rsid w:val="00FC1D28"/>
    <w:rsid w:val="00FC1D79"/>
    <w:rsid w:val="00FC1DDC"/>
    <w:rsid w:val="00FC1FF0"/>
    <w:rsid w:val="00FC20E7"/>
    <w:rsid w:val="00FC217F"/>
    <w:rsid w:val="00FC2181"/>
    <w:rsid w:val="00FC230E"/>
    <w:rsid w:val="00FC232E"/>
    <w:rsid w:val="00FC23D7"/>
    <w:rsid w:val="00FC243C"/>
    <w:rsid w:val="00FC245B"/>
    <w:rsid w:val="00FC24A7"/>
    <w:rsid w:val="00FC25BC"/>
    <w:rsid w:val="00FC2624"/>
    <w:rsid w:val="00FC27EC"/>
    <w:rsid w:val="00FC27FC"/>
    <w:rsid w:val="00FC2860"/>
    <w:rsid w:val="00FC2869"/>
    <w:rsid w:val="00FC294C"/>
    <w:rsid w:val="00FC29C6"/>
    <w:rsid w:val="00FC2A7D"/>
    <w:rsid w:val="00FC2A92"/>
    <w:rsid w:val="00FC2AC7"/>
    <w:rsid w:val="00FC2AED"/>
    <w:rsid w:val="00FC2B01"/>
    <w:rsid w:val="00FC2BD5"/>
    <w:rsid w:val="00FC2C2D"/>
    <w:rsid w:val="00FC2C7D"/>
    <w:rsid w:val="00FC2CD6"/>
    <w:rsid w:val="00FC2D3F"/>
    <w:rsid w:val="00FC2D5F"/>
    <w:rsid w:val="00FC2D83"/>
    <w:rsid w:val="00FC2E08"/>
    <w:rsid w:val="00FC2E9D"/>
    <w:rsid w:val="00FC2ECC"/>
    <w:rsid w:val="00FC2F62"/>
    <w:rsid w:val="00FC2FCE"/>
    <w:rsid w:val="00FC309A"/>
    <w:rsid w:val="00FC30B1"/>
    <w:rsid w:val="00FC30ED"/>
    <w:rsid w:val="00FC3110"/>
    <w:rsid w:val="00FC31C2"/>
    <w:rsid w:val="00FC320E"/>
    <w:rsid w:val="00FC33CB"/>
    <w:rsid w:val="00FC3416"/>
    <w:rsid w:val="00FC341E"/>
    <w:rsid w:val="00FC3454"/>
    <w:rsid w:val="00FC363F"/>
    <w:rsid w:val="00FC36A9"/>
    <w:rsid w:val="00FC3735"/>
    <w:rsid w:val="00FC376A"/>
    <w:rsid w:val="00FC37ED"/>
    <w:rsid w:val="00FC37FA"/>
    <w:rsid w:val="00FC3895"/>
    <w:rsid w:val="00FC38A3"/>
    <w:rsid w:val="00FC38B7"/>
    <w:rsid w:val="00FC3A46"/>
    <w:rsid w:val="00FC3A67"/>
    <w:rsid w:val="00FC3ADD"/>
    <w:rsid w:val="00FC3BC7"/>
    <w:rsid w:val="00FC3C42"/>
    <w:rsid w:val="00FC3C6B"/>
    <w:rsid w:val="00FC3C6C"/>
    <w:rsid w:val="00FC3C96"/>
    <w:rsid w:val="00FC3DB2"/>
    <w:rsid w:val="00FC3E3B"/>
    <w:rsid w:val="00FC3F42"/>
    <w:rsid w:val="00FC3F4F"/>
    <w:rsid w:val="00FC3FB5"/>
    <w:rsid w:val="00FC400E"/>
    <w:rsid w:val="00FC406B"/>
    <w:rsid w:val="00FC4080"/>
    <w:rsid w:val="00FC4101"/>
    <w:rsid w:val="00FC42A3"/>
    <w:rsid w:val="00FC42AA"/>
    <w:rsid w:val="00FC42AC"/>
    <w:rsid w:val="00FC42B4"/>
    <w:rsid w:val="00FC445E"/>
    <w:rsid w:val="00FC44B4"/>
    <w:rsid w:val="00FC454C"/>
    <w:rsid w:val="00FC4583"/>
    <w:rsid w:val="00FC461F"/>
    <w:rsid w:val="00FC481A"/>
    <w:rsid w:val="00FC49D6"/>
    <w:rsid w:val="00FC49EF"/>
    <w:rsid w:val="00FC4ABF"/>
    <w:rsid w:val="00FC4B4A"/>
    <w:rsid w:val="00FC4CC6"/>
    <w:rsid w:val="00FC4E47"/>
    <w:rsid w:val="00FC4E4A"/>
    <w:rsid w:val="00FC4F5D"/>
    <w:rsid w:val="00FC4FEF"/>
    <w:rsid w:val="00FC5045"/>
    <w:rsid w:val="00FC50EC"/>
    <w:rsid w:val="00FC5132"/>
    <w:rsid w:val="00FC51B0"/>
    <w:rsid w:val="00FC5269"/>
    <w:rsid w:val="00FC52F3"/>
    <w:rsid w:val="00FC53CA"/>
    <w:rsid w:val="00FC5465"/>
    <w:rsid w:val="00FC5603"/>
    <w:rsid w:val="00FC5701"/>
    <w:rsid w:val="00FC577E"/>
    <w:rsid w:val="00FC57B0"/>
    <w:rsid w:val="00FC57D1"/>
    <w:rsid w:val="00FC59ED"/>
    <w:rsid w:val="00FC59F0"/>
    <w:rsid w:val="00FC5A88"/>
    <w:rsid w:val="00FC5AA5"/>
    <w:rsid w:val="00FC5B08"/>
    <w:rsid w:val="00FC5BA7"/>
    <w:rsid w:val="00FC5C26"/>
    <w:rsid w:val="00FC5D0D"/>
    <w:rsid w:val="00FC5D4D"/>
    <w:rsid w:val="00FC5DED"/>
    <w:rsid w:val="00FC5ED6"/>
    <w:rsid w:val="00FC5EE4"/>
    <w:rsid w:val="00FC5EFD"/>
    <w:rsid w:val="00FC5F98"/>
    <w:rsid w:val="00FC6155"/>
    <w:rsid w:val="00FC618C"/>
    <w:rsid w:val="00FC621A"/>
    <w:rsid w:val="00FC62B7"/>
    <w:rsid w:val="00FC62DB"/>
    <w:rsid w:val="00FC6300"/>
    <w:rsid w:val="00FC636B"/>
    <w:rsid w:val="00FC6385"/>
    <w:rsid w:val="00FC63F8"/>
    <w:rsid w:val="00FC6409"/>
    <w:rsid w:val="00FC6443"/>
    <w:rsid w:val="00FC66C5"/>
    <w:rsid w:val="00FC67EB"/>
    <w:rsid w:val="00FC687D"/>
    <w:rsid w:val="00FC6931"/>
    <w:rsid w:val="00FC6A6C"/>
    <w:rsid w:val="00FC6AF2"/>
    <w:rsid w:val="00FC6C41"/>
    <w:rsid w:val="00FC6E40"/>
    <w:rsid w:val="00FC6ED5"/>
    <w:rsid w:val="00FC6FAE"/>
    <w:rsid w:val="00FC6FBD"/>
    <w:rsid w:val="00FC6FDC"/>
    <w:rsid w:val="00FC6FE4"/>
    <w:rsid w:val="00FC7069"/>
    <w:rsid w:val="00FC719C"/>
    <w:rsid w:val="00FC7261"/>
    <w:rsid w:val="00FC7274"/>
    <w:rsid w:val="00FC72E1"/>
    <w:rsid w:val="00FC72FC"/>
    <w:rsid w:val="00FC742D"/>
    <w:rsid w:val="00FC7738"/>
    <w:rsid w:val="00FC7772"/>
    <w:rsid w:val="00FC77C6"/>
    <w:rsid w:val="00FC77DA"/>
    <w:rsid w:val="00FC77E5"/>
    <w:rsid w:val="00FC7909"/>
    <w:rsid w:val="00FC797E"/>
    <w:rsid w:val="00FC7A5E"/>
    <w:rsid w:val="00FC7A70"/>
    <w:rsid w:val="00FC7BF8"/>
    <w:rsid w:val="00FC7C40"/>
    <w:rsid w:val="00FC7D20"/>
    <w:rsid w:val="00FC7D7A"/>
    <w:rsid w:val="00FC7DA4"/>
    <w:rsid w:val="00FC7E08"/>
    <w:rsid w:val="00FC7E8E"/>
    <w:rsid w:val="00FD0211"/>
    <w:rsid w:val="00FD0273"/>
    <w:rsid w:val="00FD02BD"/>
    <w:rsid w:val="00FD03E2"/>
    <w:rsid w:val="00FD053A"/>
    <w:rsid w:val="00FD057A"/>
    <w:rsid w:val="00FD068D"/>
    <w:rsid w:val="00FD0729"/>
    <w:rsid w:val="00FD088B"/>
    <w:rsid w:val="00FD08BB"/>
    <w:rsid w:val="00FD0989"/>
    <w:rsid w:val="00FD0AB8"/>
    <w:rsid w:val="00FD0AEF"/>
    <w:rsid w:val="00FD0B16"/>
    <w:rsid w:val="00FD0B28"/>
    <w:rsid w:val="00FD0B56"/>
    <w:rsid w:val="00FD0B91"/>
    <w:rsid w:val="00FD0CC1"/>
    <w:rsid w:val="00FD0E43"/>
    <w:rsid w:val="00FD0E7D"/>
    <w:rsid w:val="00FD0EDC"/>
    <w:rsid w:val="00FD0EEE"/>
    <w:rsid w:val="00FD0F0E"/>
    <w:rsid w:val="00FD1094"/>
    <w:rsid w:val="00FD1137"/>
    <w:rsid w:val="00FD11D6"/>
    <w:rsid w:val="00FD1342"/>
    <w:rsid w:val="00FD1375"/>
    <w:rsid w:val="00FD138E"/>
    <w:rsid w:val="00FD1414"/>
    <w:rsid w:val="00FD1570"/>
    <w:rsid w:val="00FD16B3"/>
    <w:rsid w:val="00FD17BA"/>
    <w:rsid w:val="00FD1B27"/>
    <w:rsid w:val="00FD1BDD"/>
    <w:rsid w:val="00FD1CF9"/>
    <w:rsid w:val="00FD1D1A"/>
    <w:rsid w:val="00FD1E00"/>
    <w:rsid w:val="00FD1E66"/>
    <w:rsid w:val="00FD1E73"/>
    <w:rsid w:val="00FD203C"/>
    <w:rsid w:val="00FD215A"/>
    <w:rsid w:val="00FD221C"/>
    <w:rsid w:val="00FD224E"/>
    <w:rsid w:val="00FD236C"/>
    <w:rsid w:val="00FD238F"/>
    <w:rsid w:val="00FD23C1"/>
    <w:rsid w:val="00FD23C7"/>
    <w:rsid w:val="00FD240E"/>
    <w:rsid w:val="00FD248B"/>
    <w:rsid w:val="00FD24EA"/>
    <w:rsid w:val="00FD24F0"/>
    <w:rsid w:val="00FD2561"/>
    <w:rsid w:val="00FD2674"/>
    <w:rsid w:val="00FD267F"/>
    <w:rsid w:val="00FD26BE"/>
    <w:rsid w:val="00FD2719"/>
    <w:rsid w:val="00FD298E"/>
    <w:rsid w:val="00FD29E0"/>
    <w:rsid w:val="00FD29EA"/>
    <w:rsid w:val="00FD2A21"/>
    <w:rsid w:val="00FD2A4B"/>
    <w:rsid w:val="00FD2A53"/>
    <w:rsid w:val="00FD2A69"/>
    <w:rsid w:val="00FD2A6A"/>
    <w:rsid w:val="00FD2A8F"/>
    <w:rsid w:val="00FD2B08"/>
    <w:rsid w:val="00FD2BA2"/>
    <w:rsid w:val="00FD2C66"/>
    <w:rsid w:val="00FD2C9D"/>
    <w:rsid w:val="00FD2CEB"/>
    <w:rsid w:val="00FD2D0C"/>
    <w:rsid w:val="00FD2DDF"/>
    <w:rsid w:val="00FD2EBE"/>
    <w:rsid w:val="00FD2ECE"/>
    <w:rsid w:val="00FD2F74"/>
    <w:rsid w:val="00FD2FDD"/>
    <w:rsid w:val="00FD2FF1"/>
    <w:rsid w:val="00FD318F"/>
    <w:rsid w:val="00FD31A4"/>
    <w:rsid w:val="00FD3213"/>
    <w:rsid w:val="00FD33CD"/>
    <w:rsid w:val="00FD33CF"/>
    <w:rsid w:val="00FD3460"/>
    <w:rsid w:val="00FD346E"/>
    <w:rsid w:val="00FD35BB"/>
    <w:rsid w:val="00FD35E0"/>
    <w:rsid w:val="00FD3692"/>
    <w:rsid w:val="00FD36D5"/>
    <w:rsid w:val="00FD375E"/>
    <w:rsid w:val="00FD37CA"/>
    <w:rsid w:val="00FD37EE"/>
    <w:rsid w:val="00FD38E0"/>
    <w:rsid w:val="00FD3904"/>
    <w:rsid w:val="00FD39B5"/>
    <w:rsid w:val="00FD39F9"/>
    <w:rsid w:val="00FD3ADB"/>
    <w:rsid w:val="00FD3AED"/>
    <w:rsid w:val="00FD3B94"/>
    <w:rsid w:val="00FD3BC0"/>
    <w:rsid w:val="00FD3BEB"/>
    <w:rsid w:val="00FD3C35"/>
    <w:rsid w:val="00FD3C63"/>
    <w:rsid w:val="00FD3CD4"/>
    <w:rsid w:val="00FD3DC3"/>
    <w:rsid w:val="00FD3DE7"/>
    <w:rsid w:val="00FD3E46"/>
    <w:rsid w:val="00FD3FE0"/>
    <w:rsid w:val="00FD4053"/>
    <w:rsid w:val="00FD4080"/>
    <w:rsid w:val="00FD40DD"/>
    <w:rsid w:val="00FD40E7"/>
    <w:rsid w:val="00FD414D"/>
    <w:rsid w:val="00FD4153"/>
    <w:rsid w:val="00FD4220"/>
    <w:rsid w:val="00FD423B"/>
    <w:rsid w:val="00FD433F"/>
    <w:rsid w:val="00FD4342"/>
    <w:rsid w:val="00FD43B2"/>
    <w:rsid w:val="00FD43B3"/>
    <w:rsid w:val="00FD44C5"/>
    <w:rsid w:val="00FD44E1"/>
    <w:rsid w:val="00FD44F5"/>
    <w:rsid w:val="00FD45EF"/>
    <w:rsid w:val="00FD4814"/>
    <w:rsid w:val="00FD4852"/>
    <w:rsid w:val="00FD48FB"/>
    <w:rsid w:val="00FD4979"/>
    <w:rsid w:val="00FD4B67"/>
    <w:rsid w:val="00FD4BB7"/>
    <w:rsid w:val="00FD4BFC"/>
    <w:rsid w:val="00FD4C1B"/>
    <w:rsid w:val="00FD4C95"/>
    <w:rsid w:val="00FD4CDF"/>
    <w:rsid w:val="00FD4DE8"/>
    <w:rsid w:val="00FD4DFF"/>
    <w:rsid w:val="00FD4E81"/>
    <w:rsid w:val="00FD4EBA"/>
    <w:rsid w:val="00FD4F27"/>
    <w:rsid w:val="00FD4FC2"/>
    <w:rsid w:val="00FD509E"/>
    <w:rsid w:val="00FD5157"/>
    <w:rsid w:val="00FD51F9"/>
    <w:rsid w:val="00FD5395"/>
    <w:rsid w:val="00FD53EB"/>
    <w:rsid w:val="00FD544A"/>
    <w:rsid w:val="00FD5462"/>
    <w:rsid w:val="00FD54AD"/>
    <w:rsid w:val="00FD54BE"/>
    <w:rsid w:val="00FD55A9"/>
    <w:rsid w:val="00FD5631"/>
    <w:rsid w:val="00FD57B2"/>
    <w:rsid w:val="00FD585F"/>
    <w:rsid w:val="00FD5890"/>
    <w:rsid w:val="00FD590A"/>
    <w:rsid w:val="00FD5925"/>
    <w:rsid w:val="00FD59CA"/>
    <w:rsid w:val="00FD59EE"/>
    <w:rsid w:val="00FD5A9A"/>
    <w:rsid w:val="00FD5AAE"/>
    <w:rsid w:val="00FD5BA0"/>
    <w:rsid w:val="00FD5C24"/>
    <w:rsid w:val="00FD5C82"/>
    <w:rsid w:val="00FD5CDA"/>
    <w:rsid w:val="00FD5D62"/>
    <w:rsid w:val="00FD5DA8"/>
    <w:rsid w:val="00FD5E1D"/>
    <w:rsid w:val="00FD5FB0"/>
    <w:rsid w:val="00FD60C9"/>
    <w:rsid w:val="00FD6187"/>
    <w:rsid w:val="00FD61B6"/>
    <w:rsid w:val="00FD6295"/>
    <w:rsid w:val="00FD62A8"/>
    <w:rsid w:val="00FD6304"/>
    <w:rsid w:val="00FD6468"/>
    <w:rsid w:val="00FD64B4"/>
    <w:rsid w:val="00FD651C"/>
    <w:rsid w:val="00FD6524"/>
    <w:rsid w:val="00FD6765"/>
    <w:rsid w:val="00FD67B4"/>
    <w:rsid w:val="00FD691C"/>
    <w:rsid w:val="00FD693F"/>
    <w:rsid w:val="00FD6975"/>
    <w:rsid w:val="00FD699C"/>
    <w:rsid w:val="00FD69A7"/>
    <w:rsid w:val="00FD6AD9"/>
    <w:rsid w:val="00FD6B7B"/>
    <w:rsid w:val="00FD6C0A"/>
    <w:rsid w:val="00FD6F4C"/>
    <w:rsid w:val="00FD6F8D"/>
    <w:rsid w:val="00FD70A4"/>
    <w:rsid w:val="00FD70FE"/>
    <w:rsid w:val="00FD7187"/>
    <w:rsid w:val="00FD71E4"/>
    <w:rsid w:val="00FD71E5"/>
    <w:rsid w:val="00FD72A0"/>
    <w:rsid w:val="00FD7357"/>
    <w:rsid w:val="00FD73BD"/>
    <w:rsid w:val="00FD7485"/>
    <w:rsid w:val="00FD74D0"/>
    <w:rsid w:val="00FD765D"/>
    <w:rsid w:val="00FD76FB"/>
    <w:rsid w:val="00FD77AF"/>
    <w:rsid w:val="00FD781A"/>
    <w:rsid w:val="00FD783E"/>
    <w:rsid w:val="00FD78BF"/>
    <w:rsid w:val="00FD79B4"/>
    <w:rsid w:val="00FD7A09"/>
    <w:rsid w:val="00FD7A3A"/>
    <w:rsid w:val="00FD7A86"/>
    <w:rsid w:val="00FD7C0C"/>
    <w:rsid w:val="00FD7C48"/>
    <w:rsid w:val="00FD7CDC"/>
    <w:rsid w:val="00FD7E63"/>
    <w:rsid w:val="00FD7F5F"/>
    <w:rsid w:val="00FE0007"/>
    <w:rsid w:val="00FE010E"/>
    <w:rsid w:val="00FE02D3"/>
    <w:rsid w:val="00FE02DC"/>
    <w:rsid w:val="00FE02E6"/>
    <w:rsid w:val="00FE0304"/>
    <w:rsid w:val="00FE0363"/>
    <w:rsid w:val="00FE04D8"/>
    <w:rsid w:val="00FE0642"/>
    <w:rsid w:val="00FE06AB"/>
    <w:rsid w:val="00FE0721"/>
    <w:rsid w:val="00FE07B9"/>
    <w:rsid w:val="00FE07FB"/>
    <w:rsid w:val="00FE08E4"/>
    <w:rsid w:val="00FE092E"/>
    <w:rsid w:val="00FE0942"/>
    <w:rsid w:val="00FE0945"/>
    <w:rsid w:val="00FE0986"/>
    <w:rsid w:val="00FE098D"/>
    <w:rsid w:val="00FE0A39"/>
    <w:rsid w:val="00FE0ABD"/>
    <w:rsid w:val="00FE0B5B"/>
    <w:rsid w:val="00FE0D0D"/>
    <w:rsid w:val="00FE0E55"/>
    <w:rsid w:val="00FE0E8C"/>
    <w:rsid w:val="00FE0F61"/>
    <w:rsid w:val="00FE0F8B"/>
    <w:rsid w:val="00FE100C"/>
    <w:rsid w:val="00FE1114"/>
    <w:rsid w:val="00FE1118"/>
    <w:rsid w:val="00FE1136"/>
    <w:rsid w:val="00FE1153"/>
    <w:rsid w:val="00FE122B"/>
    <w:rsid w:val="00FE1233"/>
    <w:rsid w:val="00FE1268"/>
    <w:rsid w:val="00FE1273"/>
    <w:rsid w:val="00FE12FC"/>
    <w:rsid w:val="00FE1315"/>
    <w:rsid w:val="00FE13C0"/>
    <w:rsid w:val="00FE13F6"/>
    <w:rsid w:val="00FE1656"/>
    <w:rsid w:val="00FE1659"/>
    <w:rsid w:val="00FE1671"/>
    <w:rsid w:val="00FE16B2"/>
    <w:rsid w:val="00FE17FC"/>
    <w:rsid w:val="00FE18F0"/>
    <w:rsid w:val="00FE1913"/>
    <w:rsid w:val="00FE1A1E"/>
    <w:rsid w:val="00FE1A7B"/>
    <w:rsid w:val="00FE1C03"/>
    <w:rsid w:val="00FE1D25"/>
    <w:rsid w:val="00FE1D73"/>
    <w:rsid w:val="00FE1DF7"/>
    <w:rsid w:val="00FE1E7B"/>
    <w:rsid w:val="00FE1E8D"/>
    <w:rsid w:val="00FE1F1F"/>
    <w:rsid w:val="00FE1F6F"/>
    <w:rsid w:val="00FE1F8E"/>
    <w:rsid w:val="00FE1FE6"/>
    <w:rsid w:val="00FE210E"/>
    <w:rsid w:val="00FE2339"/>
    <w:rsid w:val="00FE2358"/>
    <w:rsid w:val="00FE2390"/>
    <w:rsid w:val="00FE2564"/>
    <w:rsid w:val="00FE26A5"/>
    <w:rsid w:val="00FE26DC"/>
    <w:rsid w:val="00FE271E"/>
    <w:rsid w:val="00FE2752"/>
    <w:rsid w:val="00FE2776"/>
    <w:rsid w:val="00FE281B"/>
    <w:rsid w:val="00FE28F7"/>
    <w:rsid w:val="00FE29BE"/>
    <w:rsid w:val="00FE2AA0"/>
    <w:rsid w:val="00FE2AA3"/>
    <w:rsid w:val="00FE2AAE"/>
    <w:rsid w:val="00FE2B67"/>
    <w:rsid w:val="00FE2B8E"/>
    <w:rsid w:val="00FE2E98"/>
    <w:rsid w:val="00FE2F3E"/>
    <w:rsid w:val="00FE2FA0"/>
    <w:rsid w:val="00FE3121"/>
    <w:rsid w:val="00FE3136"/>
    <w:rsid w:val="00FE3198"/>
    <w:rsid w:val="00FE31A4"/>
    <w:rsid w:val="00FE32E8"/>
    <w:rsid w:val="00FE33A7"/>
    <w:rsid w:val="00FE347B"/>
    <w:rsid w:val="00FE34F8"/>
    <w:rsid w:val="00FE35D9"/>
    <w:rsid w:val="00FE3764"/>
    <w:rsid w:val="00FE3940"/>
    <w:rsid w:val="00FE39B5"/>
    <w:rsid w:val="00FE3A9C"/>
    <w:rsid w:val="00FE3B35"/>
    <w:rsid w:val="00FE3B60"/>
    <w:rsid w:val="00FE3B6E"/>
    <w:rsid w:val="00FE3C12"/>
    <w:rsid w:val="00FE3D72"/>
    <w:rsid w:val="00FE3E72"/>
    <w:rsid w:val="00FE3EB2"/>
    <w:rsid w:val="00FE40E5"/>
    <w:rsid w:val="00FE4274"/>
    <w:rsid w:val="00FE42E5"/>
    <w:rsid w:val="00FE4330"/>
    <w:rsid w:val="00FE43CF"/>
    <w:rsid w:val="00FE44FF"/>
    <w:rsid w:val="00FE4642"/>
    <w:rsid w:val="00FE4739"/>
    <w:rsid w:val="00FE47E3"/>
    <w:rsid w:val="00FE4816"/>
    <w:rsid w:val="00FE48C8"/>
    <w:rsid w:val="00FE4929"/>
    <w:rsid w:val="00FE4A42"/>
    <w:rsid w:val="00FE4A4B"/>
    <w:rsid w:val="00FE4BFF"/>
    <w:rsid w:val="00FE4C03"/>
    <w:rsid w:val="00FE4C94"/>
    <w:rsid w:val="00FE4D7F"/>
    <w:rsid w:val="00FE4DB2"/>
    <w:rsid w:val="00FE4DCD"/>
    <w:rsid w:val="00FE4DF4"/>
    <w:rsid w:val="00FE4EA3"/>
    <w:rsid w:val="00FE4F6E"/>
    <w:rsid w:val="00FE4F88"/>
    <w:rsid w:val="00FE509D"/>
    <w:rsid w:val="00FE526B"/>
    <w:rsid w:val="00FE53C6"/>
    <w:rsid w:val="00FE53D3"/>
    <w:rsid w:val="00FE53EA"/>
    <w:rsid w:val="00FE53F1"/>
    <w:rsid w:val="00FE545C"/>
    <w:rsid w:val="00FE550F"/>
    <w:rsid w:val="00FE5638"/>
    <w:rsid w:val="00FE5662"/>
    <w:rsid w:val="00FE56AA"/>
    <w:rsid w:val="00FE57B1"/>
    <w:rsid w:val="00FE5808"/>
    <w:rsid w:val="00FE5896"/>
    <w:rsid w:val="00FE5993"/>
    <w:rsid w:val="00FE5AA4"/>
    <w:rsid w:val="00FE5AD0"/>
    <w:rsid w:val="00FE5B1F"/>
    <w:rsid w:val="00FE5BAB"/>
    <w:rsid w:val="00FE5CC0"/>
    <w:rsid w:val="00FE5E0A"/>
    <w:rsid w:val="00FE5F35"/>
    <w:rsid w:val="00FE5FE9"/>
    <w:rsid w:val="00FE64CF"/>
    <w:rsid w:val="00FE65BD"/>
    <w:rsid w:val="00FE65F0"/>
    <w:rsid w:val="00FE674D"/>
    <w:rsid w:val="00FE681D"/>
    <w:rsid w:val="00FE6920"/>
    <w:rsid w:val="00FE69EE"/>
    <w:rsid w:val="00FE69F1"/>
    <w:rsid w:val="00FE6A57"/>
    <w:rsid w:val="00FE6B70"/>
    <w:rsid w:val="00FE6BDB"/>
    <w:rsid w:val="00FE6C15"/>
    <w:rsid w:val="00FE6C27"/>
    <w:rsid w:val="00FE6C28"/>
    <w:rsid w:val="00FE6D2D"/>
    <w:rsid w:val="00FE6D64"/>
    <w:rsid w:val="00FE6D7E"/>
    <w:rsid w:val="00FE6DAE"/>
    <w:rsid w:val="00FE6DB2"/>
    <w:rsid w:val="00FE6EBC"/>
    <w:rsid w:val="00FE6F31"/>
    <w:rsid w:val="00FE6F9D"/>
    <w:rsid w:val="00FE709C"/>
    <w:rsid w:val="00FE7244"/>
    <w:rsid w:val="00FE73D5"/>
    <w:rsid w:val="00FE7406"/>
    <w:rsid w:val="00FE7444"/>
    <w:rsid w:val="00FE74DF"/>
    <w:rsid w:val="00FE752D"/>
    <w:rsid w:val="00FE75B2"/>
    <w:rsid w:val="00FE75E1"/>
    <w:rsid w:val="00FE7658"/>
    <w:rsid w:val="00FE770D"/>
    <w:rsid w:val="00FE772A"/>
    <w:rsid w:val="00FE7823"/>
    <w:rsid w:val="00FE790D"/>
    <w:rsid w:val="00FE79A6"/>
    <w:rsid w:val="00FE79B2"/>
    <w:rsid w:val="00FE7A9D"/>
    <w:rsid w:val="00FE7AC2"/>
    <w:rsid w:val="00FE7B0F"/>
    <w:rsid w:val="00FE7B28"/>
    <w:rsid w:val="00FE7B8B"/>
    <w:rsid w:val="00FE7BE3"/>
    <w:rsid w:val="00FE7BEE"/>
    <w:rsid w:val="00FE7CB2"/>
    <w:rsid w:val="00FE7D8C"/>
    <w:rsid w:val="00FE7E91"/>
    <w:rsid w:val="00FE7EF8"/>
    <w:rsid w:val="00FE7F3A"/>
    <w:rsid w:val="00FF00D2"/>
    <w:rsid w:val="00FF00E6"/>
    <w:rsid w:val="00FF0218"/>
    <w:rsid w:val="00FF0289"/>
    <w:rsid w:val="00FF035E"/>
    <w:rsid w:val="00FF0393"/>
    <w:rsid w:val="00FF03B4"/>
    <w:rsid w:val="00FF03C2"/>
    <w:rsid w:val="00FF0510"/>
    <w:rsid w:val="00FF05FC"/>
    <w:rsid w:val="00FF062D"/>
    <w:rsid w:val="00FF06D2"/>
    <w:rsid w:val="00FF0739"/>
    <w:rsid w:val="00FF0788"/>
    <w:rsid w:val="00FF0791"/>
    <w:rsid w:val="00FF07E0"/>
    <w:rsid w:val="00FF084D"/>
    <w:rsid w:val="00FF0887"/>
    <w:rsid w:val="00FF0ADF"/>
    <w:rsid w:val="00FF0B44"/>
    <w:rsid w:val="00FF0B69"/>
    <w:rsid w:val="00FF0CDE"/>
    <w:rsid w:val="00FF0DBD"/>
    <w:rsid w:val="00FF0EC0"/>
    <w:rsid w:val="00FF0EE0"/>
    <w:rsid w:val="00FF0F86"/>
    <w:rsid w:val="00FF0F87"/>
    <w:rsid w:val="00FF10F7"/>
    <w:rsid w:val="00FF119E"/>
    <w:rsid w:val="00FF11A2"/>
    <w:rsid w:val="00FF11D7"/>
    <w:rsid w:val="00FF124B"/>
    <w:rsid w:val="00FF1320"/>
    <w:rsid w:val="00FF13F7"/>
    <w:rsid w:val="00FF14F8"/>
    <w:rsid w:val="00FF1726"/>
    <w:rsid w:val="00FF177C"/>
    <w:rsid w:val="00FF1815"/>
    <w:rsid w:val="00FF194F"/>
    <w:rsid w:val="00FF19C1"/>
    <w:rsid w:val="00FF19DC"/>
    <w:rsid w:val="00FF1A62"/>
    <w:rsid w:val="00FF1B1D"/>
    <w:rsid w:val="00FF1B39"/>
    <w:rsid w:val="00FF1BA4"/>
    <w:rsid w:val="00FF1C30"/>
    <w:rsid w:val="00FF1DB3"/>
    <w:rsid w:val="00FF1DC8"/>
    <w:rsid w:val="00FF1E6E"/>
    <w:rsid w:val="00FF1E80"/>
    <w:rsid w:val="00FF1EC8"/>
    <w:rsid w:val="00FF1F95"/>
    <w:rsid w:val="00FF206C"/>
    <w:rsid w:val="00FF2100"/>
    <w:rsid w:val="00FF2162"/>
    <w:rsid w:val="00FF217E"/>
    <w:rsid w:val="00FF223B"/>
    <w:rsid w:val="00FF22A7"/>
    <w:rsid w:val="00FF22BC"/>
    <w:rsid w:val="00FF22C2"/>
    <w:rsid w:val="00FF22D4"/>
    <w:rsid w:val="00FF22F4"/>
    <w:rsid w:val="00FF2315"/>
    <w:rsid w:val="00FF2404"/>
    <w:rsid w:val="00FF255C"/>
    <w:rsid w:val="00FF25ED"/>
    <w:rsid w:val="00FF2726"/>
    <w:rsid w:val="00FF272E"/>
    <w:rsid w:val="00FF27BE"/>
    <w:rsid w:val="00FF27F8"/>
    <w:rsid w:val="00FF28F4"/>
    <w:rsid w:val="00FF295B"/>
    <w:rsid w:val="00FF2977"/>
    <w:rsid w:val="00FF2ADB"/>
    <w:rsid w:val="00FF2AEB"/>
    <w:rsid w:val="00FF2B51"/>
    <w:rsid w:val="00FF2BBB"/>
    <w:rsid w:val="00FF2C45"/>
    <w:rsid w:val="00FF2C5F"/>
    <w:rsid w:val="00FF2CCA"/>
    <w:rsid w:val="00FF2D1C"/>
    <w:rsid w:val="00FF2DAA"/>
    <w:rsid w:val="00FF2EEE"/>
    <w:rsid w:val="00FF2FDB"/>
    <w:rsid w:val="00FF2FED"/>
    <w:rsid w:val="00FF3014"/>
    <w:rsid w:val="00FF3169"/>
    <w:rsid w:val="00FF32A3"/>
    <w:rsid w:val="00FF3310"/>
    <w:rsid w:val="00FF3348"/>
    <w:rsid w:val="00FF34F7"/>
    <w:rsid w:val="00FF3538"/>
    <w:rsid w:val="00FF360B"/>
    <w:rsid w:val="00FF36EC"/>
    <w:rsid w:val="00FF370C"/>
    <w:rsid w:val="00FF373B"/>
    <w:rsid w:val="00FF37BF"/>
    <w:rsid w:val="00FF3871"/>
    <w:rsid w:val="00FF38C2"/>
    <w:rsid w:val="00FF3919"/>
    <w:rsid w:val="00FF3957"/>
    <w:rsid w:val="00FF398A"/>
    <w:rsid w:val="00FF3991"/>
    <w:rsid w:val="00FF3A07"/>
    <w:rsid w:val="00FF3A3D"/>
    <w:rsid w:val="00FF3B53"/>
    <w:rsid w:val="00FF3BE8"/>
    <w:rsid w:val="00FF3C17"/>
    <w:rsid w:val="00FF3C7B"/>
    <w:rsid w:val="00FF3C8D"/>
    <w:rsid w:val="00FF3E5C"/>
    <w:rsid w:val="00FF3FEA"/>
    <w:rsid w:val="00FF4007"/>
    <w:rsid w:val="00FF40A5"/>
    <w:rsid w:val="00FF40BD"/>
    <w:rsid w:val="00FF40CE"/>
    <w:rsid w:val="00FF41BA"/>
    <w:rsid w:val="00FF4241"/>
    <w:rsid w:val="00FF4290"/>
    <w:rsid w:val="00FF43FE"/>
    <w:rsid w:val="00FF444D"/>
    <w:rsid w:val="00FF44CC"/>
    <w:rsid w:val="00FF44F3"/>
    <w:rsid w:val="00FF45C6"/>
    <w:rsid w:val="00FF460C"/>
    <w:rsid w:val="00FF46FA"/>
    <w:rsid w:val="00FF470D"/>
    <w:rsid w:val="00FF476F"/>
    <w:rsid w:val="00FF4771"/>
    <w:rsid w:val="00FF488C"/>
    <w:rsid w:val="00FF48B9"/>
    <w:rsid w:val="00FF48BB"/>
    <w:rsid w:val="00FF48D5"/>
    <w:rsid w:val="00FF48EA"/>
    <w:rsid w:val="00FF4918"/>
    <w:rsid w:val="00FF49ED"/>
    <w:rsid w:val="00FF49F9"/>
    <w:rsid w:val="00FF4B44"/>
    <w:rsid w:val="00FF4BA8"/>
    <w:rsid w:val="00FF4BE1"/>
    <w:rsid w:val="00FF4C68"/>
    <w:rsid w:val="00FF4C83"/>
    <w:rsid w:val="00FF4DC2"/>
    <w:rsid w:val="00FF4DD1"/>
    <w:rsid w:val="00FF501C"/>
    <w:rsid w:val="00FF5060"/>
    <w:rsid w:val="00FF508C"/>
    <w:rsid w:val="00FF5093"/>
    <w:rsid w:val="00FF516B"/>
    <w:rsid w:val="00FF51C3"/>
    <w:rsid w:val="00FF5219"/>
    <w:rsid w:val="00FF533C"/>
    <w:rsid w:val="00FF5358"/>
    <w:rsid w:val="00FF53FF"/>
    <w:rsid w:val="00FF5479"/>
    <w:rsid w:val="00FF54EF"/>
    <w:rsid w:val="00FF5503"/>
    <w:rsid w:val="00FF5616"/>
    <w:rsid w:val="00FF5621"/>
    <w:rsid w:val="00FF5634"/>
    <w:rsid w:val="00FF5644"/>
    <w:rsid w:val="00FF5692"/>
    <w:rsid w:val="00FF59CB"/>
    <w:rsid w:val="00FF5B2B"/>
    <w:rsid w:val="00FF5B6A"/>
    <w:rsid w:val="00FF5BF6"/>
    <w:rsid w:val="00FF5C39"/>
    <w:rsid w:val="00FF5C87"/>
    <w:rsid w:val="00FF5D50"/>
    <w:rsid w:val="00FF5D70"/>
    <w:rsid w:val="00FF5E40"/>
    <w:rsid w:val="00FF5EFA"/>
    <w:rsid w:val="00FF5F27"/>
    <w:rsid w:val="00FF5F6F"/>
    <w:rsid w:val="00FF6078"/>
    <w:rsid w:val="00FF6189"/>
    <w:rsid w:val="00FF61B5"/>
    <w:rsid w:val="00FF61C1"/>
    <w:rsid w:val="00FF633C"/>
    <w:rsid w:val="00FF63E5"/>
    <w:rsid w:val="00FF645B"/>
    <w:rsid w:val="00FF64AE"/>
    <w:rsid w:val="00FF64BF"/>
    <w:rsid w:val="00FF6587"/>
    <w:rsid w:val="00FF65EE"/>
    <w:rsid w:val="00FF6646"/>
    <w:rsid w:val="00FF66B8"/>
    <w:rsid w:val="00FF66BC"/>
    <w:rsid w:val="00FF675D"/>
    <w:rsid w:val="00FF682D"/>
    <w:rsid w:val="00FF6896"/>
    <w:rsid w:val="00FF68FC"/>
    <w:rsid w:val="00FF6923"/>
    <w:rsid w:val="00FF69AA"/>
    <w:rsid w:val="00FF6A33"/>
    <w:rsid w:val="00FF6AA0"/>
    <w:rsid w:val="00FF6AA6"/>
    <w:rsid w:val="00FF6C44"/>
    <w:rsid w:val="00FF6D5E"/>
    <w:rsid w:val="00FF6DA9"/>
    <w:rsid w:val="00FF6DB3"/>
    <w:rsid w:val="00FF6DD8"/>
    <w:rsid w:val="00FF6E75"/>
    <w:rsid w:val="00FF7043"/>
    <w:rsid w:val="00FF70B9"/>
    <w:rsid w:val="00FF7174"/>
    <w:rsid w:val="00FF7177"/>
    <w:rsid w:val="00FF7303"/>
    <w:rsid w:val="00FF7325"/>
    <w:rsid w:val="00FF7376"/>
    <w:rsid w:val="00FF73E4"/>
    <w:rsid w:val="00FF7441"/>
    <w:rsid w:val="00FF751E"/>
    <w:rsid w:val="00FF758E"/>
    <w:rsid w:val="00FF75D0"/>
    <w:rsid w:val="00FF7688"/>
    <w:rsid w:val="00FF76AF"/>
    <w:rsid w:val="00FF76D9"/>
    <w:rsid w:val="00FF7788"/>
    <w:rsid w:val="00FF77FE"/>
    <w:rsid w:val="00FF7807"/>
    <w:rsid w:val="00FF782A"/>
    <w:rsid w:val="00FF7838"/>
    <w:rsid w:val="00FF79B0"/>
    <w:rsid w:val="00FF7A0C"/>
    <w:rsid w:val="00FF7A16"/>
    <w:rsid w:val="00FF7ACA"/>
    <w:rsid w:val="00FF7C9F"/>
    <w:rsid w:val="00FF7DC1"/>
    <w:rsid w:val="00FF7F13"/>
    <w:rsid w:val="00FF7F1A"/>
    <w:rsid w:val="010BEC7C"/>
    <w:rsid w:val="014F0987"/>
    <w:rsid w:val="0154755F"/>
    <w:rsid w:val="0189F315"/>
    <w:rsid w:val="0194E590"/>
    <w:rsid w:val="019E439C"/>
    <w:rsid w:val="01FD4AF4"/>
    <w:rsid w:val="02C4C7E0"/>
    <w:rsid w:val="02C696C9"/>
    <w:rsid w:val="036A6821"/>
    <w:rsid w:val="038FF3A9"/>
    <w:rsid w:val="039C90B2"/>
    <w:rsid w:val="04216E93"/>
    <w:rsid w:val="045B8B5A"/>
    <w:rsid w:val="045F2144"/>
    <w:rsid w:val="046DE223"/>
    <w:rsid w:val="04C7C4D8"/>
    <w:rsid w:val="05326E2C"/>
    <w:rsid w:val="056B3759"/>
    <w:rsid w:val="05B0BD81"/>
    <w:rsid w:val="05E75117"/>
    <w:rsid w:val="062F3F6E"/>
    <w:rsid w:val="0665501F"/>
    <w:rsid w:val="066EA346"/>
    <w:rsid w:val="067FAF76"/>
    <w:rsid w:val="068B2A28"/>
    <w:rsid w:val="0698E1BB"/>
    <w:rsid w:val="072DDFF5"/>
    <w:rsid w:val="0738256F"/>
    <w:rsid w:val="0751D0B1"/>
    <w:rsid w:val="076BAA4A"/>
    <w:rsid w:val="076BEAEE"/>
    <w:rsid w:val="07DEFCC9"/>
    <w:rsid w:val="0804AAE0"/>
    <w:rsid w:val="0825C048"/>
    <w:rsid w:val="0835E8D3"/>
    <w:rsid w:val="0843BC1F"/>
    <w:rsid w:val="09257E75"/>
    <w:rsid w:val="099CB2DC"/>
    <w:rsid w:val="09A32DC8"/>
    <w:rsid w:val="0A04D943"/>
    <w:rsid w:val="0A5E7717"/>
    <w:rsid w:val="0AC2C957"/>
    <w:rsid w:val="0AE6F302"/>
    <w:rsid w:val="0B020369"/>
    <w:rsid w:val="0B1E7C80"/>
    <w:rsid w:val="0B30F9ED"/>
    <w:rsid w:val="0B32585D"/>
    <w:rsid w:val="0C77B560"/>
    <w:rsid w:val="0CDB91E1"/>
    <w:rsid w:val="0CDCDA37"/>
    <w:rsid w:val="0E2EDEC5"/>
    <w:rsid w:val="0E7B5404"/>
    <w:rsid w:val="0E82F6AA"/>
    <w:rsid w:val="0E9BC306"/>
    <w:rsid w:val="0F221683"/>
    <w:rsid w:val="0F7C62C3"/>
    <w:rsid w:val="0F8755E7"/>
    <w:rsid w:val="0FB41462"/>
    <w:rsid w:val="1016995E"/>
    <w:rsid w:val="1080E5FD"/>
    <w:rsid w:val="10CF73A0"/>
    <w:rsid w:val="10E8A3D2"/>
    <w:rsid w:val="114D1D73"/>
    <w:rsid w:val="115FC84F"/>
    <w:rsid w:val="11B774C6"/>
    <w:rsid w:val="1230A8DD"/>
    <w:rsid w:val="12F47456"/>
    <w:rsid w:val="133AEE90"/>
    <w:rsid w:val="13B039DD"/>
    <w:rsid w:val="142C190A"/>
    <w:rsid w:val="143BF455"/>
    <w:rsid w:val="1447E007"/>
    <w:rsid w:val="144B082F"/>
    <w:rsid w:val="144D8A8A"/>
    <w:rsid w:val="1485DD70"/>
    <w:rsid w:val="148C6603"/>
    <w:rsid w:val="14B1249F"/>
    <w:rsid w:val="14BD139C"/>
    <w:rsid w:val="1533576F"/>
    <w:rsid w:val="158204E7"/>
    <w:rsid w:val="16007E31"/>
    <w:rsid w:val="16D2B994"/>
    <w:rsid w:val="16DCDD1F"/>
    <w:rsid w:val="16FE3866"/>
    <w:rsid w:val="17008064"/>
    <w:rsid w:val="17C6F9ED"/>
    <w:rsid w:val="1871B100"/>
    <w:rsid w:val="190E02A8"/>
    <w:rsid w:val="19464609"/>
    <w:rsid w:val="19C652F0"/>
    <w:rsid w:val="1A2E6FDB"/>
    <w:rsid w:val="1A7ABC66"/>
    <w:rsid w:val="1A80D533"/>
    <w:rsid w:val="1ADA4CF7"/>
    <w:rsid w:val="1B909EB9"/>
    <w:rsid w:val="1C14EED6"/>
    <w:rsid w:val="1C2448F5"/>
    <w:rsid w:val="1CA8C481"/>
    <w:rsid w:val="1CD85766"/>
    <w:rsid w:val="1D0295A4"/>
    <w:rsid w:val="1D0555C4"/>
    <w:rsid w:val="1D2F8128"/>
    <w:rsid w:val="1D7E3382"/>
    <w:rsid w:val="1DA87CD6"/>
    <w:rsid w:val="1E1AA35E"/>
    <w:rsid w:val="1E413BC4"/>
    <w:rsid w:val="1E47F238"/>
    <w:rsid w:val="1EA2CC8B"/>
    <w:rsid w:val="1EE50F91"/>
    <w:rsid w:val="1F2F5A0E"/>
    <w:rsid w:val="1F783ED9"/>
    <w:rsid w:val="200B1A3A"/>
    <w:rsid w:val="20324A78"/>
    <w:rsid w:val="20AE0A0E"/>
    <w:rsid w:val="20C8DA8C"/>
    <w:rsid w:val="20CAD67E"/>
    <w:rsid w:val="20DE8D70"/>
    <w:rsid w:val="2129B6D4"/>
    <w:rsid w:val="2189487E"/>
    <w:rsid w:val="21949119"/>
    <w:rsid w:val="21A83A7B"/>
    <w:rsid w:val="21C9D0B9"/>
    <w:rsid w:val="221725A8"/>
    <w:rsid w:val="22212C74"/>
    <w:rsid w:val="222988B5"/>
    <w:rsid w:val="223938D7"/>
    <w:rsid w:val="228D57F9"/>
    <w:rsid w:val="22B57C70"/>
    <w:rsid w:val="232D6BDA"/>
    <w:rsid w:val="233883AA"/>
    <w:rsid w:val="23D1E036"/>
    <w:rsid w:val="23D44EBB"/>
    <w:rsid w:val="2432E1E0"/>
    <w:rsid w:val="246C9F21"/>
    <w:rsid w:val="24A0EE0A"/>
    <w:rsid w:val="24B0BC84"/>
    <w:rsid w:val="25704039"/>
    <w:rsid w:val="25E4CF19"/>
    <w:rsid w:val="25FC5B95"/>
    <w:rsid w:val="264BAA76"/>
    <w:rsid w:val="265AF61D"/>
    <w:rsid w:val="26C6462D"/>
    <w:rsid w:val="26DDF6AA"/>
    <w:rsid w:val="26E43CD4"/>
    <w:rsid w:val="275EA002"/>
    <w:rsid w:val="27633762"/>
    <w:rsid w:val="27B32DD8"/>
    <w:rsid w:val="27CACF57"/>
    <w:rsid w:val="284FD880"/>
    <w:rsid w:val="28A0A5B6"/>
    <w:rsid w:val="2908E4A8"/>
    <w:rsid w:val="2916CDAB"/>
    <w:rsid w:val="29289B49"/>
    <w:rsid w:val="29A6202D"/>
    <w:rsid w:val="29F137BF"/>
    <w:rsid w:val="2A7B2212"/>
    <w:rsid w:val="2AA42F9E"/>
    <w:rsid w:val="2AB9F9F2"/>
    <w:rsid w:val="2B077D3E"/>
    <w:rsid w:val="2B558200"/>
    <w:rsid w:val="2B7F8ADA"/>
    <w:rsid w:val="2C3EAE7B"/>
    <w:rsid w:val="2CE0CC5E"/>
    <w:rsid w:val="2D16EDDB"/>
    <w:rsid w:val="2DD0613C"/>
    <w:rsid w:val="2E37BCCE"/>
    <w:rsid w:val="2E3DC655"/>
    <w:rsid w:val="2F07131F"/>
    <w:rsid w:val="2F2D8515"/>
    <w:rsid w:val="2F39B2CD"/>
    <w:rsid w:val="2F49C190"/>
    <w:rsid w:val="307FD666"/>
    <w:rsid w:val="309E337E"/>
    <w:rsid w:val="30B6FB73"/>
    <w:rsid w:val="30B77FA6"/>
    <w:rsid w:val="30EBBEF6"/>
    <w:rsid w:val="31B5133C"/>
    <w:rsid w:val="32222A94"/>
    <w:rsid w:val="322E0C1A"/>
    <w:rsid w:val="32442609"/>
    <w:rsid w:val="336F4B75"/>
    <w:rsid w:val="350180A2"/>
    <w:rsid w:val="3520BA0A"/>
    <w:rsid w:val="353ECD4B"/>
    <w:rsid w:val="3552E744"/>
    <w:rsid w:val="35A85C16"/>
    <w:rsid w:val="35FC9E86"/>
    <w:rsid w:val="361AE529"/>
    <w:rsid w:val="362F4AD1"/>
    <w:rsid w:val="36A3A28E"/>
    <w:rsid w:val="381A801B"/>
    <w:rsid w:val="38858BEA"/>
    <w:rsid w:val="38AC7B06"/>
    <w:rsid w:val="38F6A879"/>
    <w:rsid w:val="395948F5"/>
    <w:rsid w:val="39668442"/>
    <w:rsid w:val="3A09099A"/>
    <w:rsid w:val="3B1638F2"/>
    <w:rsid w:val="3BC1751C"/>
    <w:rsid w:val="3CA62BFC"/>
    <w:rsid w:val="3DA34C13"/>
    <w:rsid w:val="3DA8594E"/>
    <w:rsid w:val="3DB0C7D6"/>
    <w:rsid w:val="3DD41DF3"/>
    <w:rsid w:val="3DD60ABB"/>
    <w:rsid w:val="3DD7C802"/>
    <w:rsid w:val="3E18ACB1"/>
    <w:rsid w:val="3E1DBF44"/>
    <w:rsid w:val="3E6F6365"/>
    <w:rsid w:val="3EBFF4B4"/>
    <w:rsid w:val="3EF4598D"/>
    <w:rsid w:val="3F0B7E10"/>
    <w:rsid w:val="3FB36FDD"/>
    <w:rsid w:val="3FC1FB68"/>
    <w:rsid w:val="4000523F"/>
    <w:rsid w:val="4024BF19"/>
    <w:rsid w:val="4068901D"/>
    <w:rsid w:val="4096A64C"/>
    <w:rsid w:val="40DDC442"/>
    <w:rsid w:val="40F61D2C"/>
    <w:rsid w:val="40F64822"/>
    <w:rsid w:val="4109DA44"/>
    <w:rsid w:val="41471BA6"/>
    <w:rsid w:val="41485384"/>
    <w:rsid w:val="4149BF96"/>
    <w:rsid w:val="4172DB00"/>
    <w:rsid w:val="419A8B4E"/>
    <w:rsid w:val="41D31CF3"/>
    <w:rsid w:val="41F71373"/>
    <w:rsid w:val="42681A08"/>
    <w:rsid w:val="42ACF41B"/>
    <w:rsid w:val="42CF069C"/>
    <w:rsid w:val="4385B25B"/>
    <w:rsid w:val="4406EBB4"/>
    <w:rsid w:val="4428C7E0"/>
    <w:rsid w:val="446D6197"/>
    <w:rsid w:val="44800BAC"/>
    <w:rsid w:val="4484729C"/>
    <w:rsid w:val="449332AE"/>
    <w:rsid w:val="44991D37"/>
    <w:rsid w:val="44AD202D"/>
    <w:rsid w:val="454FCC81"/>
    <w:rsid w:val="455FFC9B"/>
    <w:rsid w:val="45F486F1"/>
    <w:rsid w:val="4618224C"/>
    <w:rsid w:val="471B5F1D"/>
    <w:rsid w:val="471F3CD9"/>
    <w:rsid w:val="4720422F"/>
    <w:rsid w:val="475E8BFE"/>
    <w:rsid w:val="47D621EB"/>
    <w:rsid w:val="47DCD996"/>
    <w:rsid w:val="47EE1F3F"/>
    <w:rsid w:val="48427B6A"/>
    <w:rsid w:val="4869CAC6"/>
    <w:rsid w:val="48952058"/>
    <w:rsid w:val="4978530B"/>
    <w:rsid w:val="49B5CB57"/>
    <w:rsid w:val="49E67D05"/>
    <w:rsid w:val="4B34875E"/>
    <w:rsid w:val="4B6EBCBE"/>
    <w:rsid w:val="4B7A42C1"/>
    <w:rsid w:val="4C12864C"/>
    <w:rsid w:val="4C6F35A3"/>
    <w:rsid w:val="4C7F62C2"/>
    <w:rsid w:val="4CB4F1CB"/>
    <w:rsid w:val="4D8944B1"/>
    <w:rsid w:val="4DC5A7E1"/>
    <w:rsid w:val="4E0AF46C"/>
    <w:rsid w:val="4E4E218D"/>
    <w:rsid w:val="4E5C0FF8"/>
    <w:rsid w:val="4E82796C"/>
    <w:rsid w:val="4EAED621"/>
    <w:rsid w:val="4EC084D1"/>
    <w:rsid w:val="4EE7BD4E"/>
    <w:rsid w:val="4EECD3DB"/>
    <w:rsid w:val="4EEF731B"/>
    <w:rsid w:val="4F09A0D6"/>
    <w:rsid w:val="4F5FB0A0"/>
    <w:rsid w:val="4FA193A3"/>
    <w:rsid w:val="4FCAA496"/>
    <w:rsid w:val="50EC0EA0"/>
    <w:rsid w:val="5122AA59"/>
    <w:rsid w:val="512EDE32"/>
    <w:rsid w:val="516D05B0"/>
    <w:rsid w:val="51D2569C"/>
    <w:rsid w:val="52093538"/>
    <w:rsid w:val="520BD373"/>
    <w:rsid w:val="5243DB57"/>
    <w:rsid w:val="524961BE"/>
    <w:rsid w:val="5278EE01"/>
    <w:rsid w:val="52AD145F"/>
    <w:rsid w:val="52F268DE"/>
    <w:rsid w:val="533C4802"/>
    <w:rsid w:val="5375691E"/>
    <w:rsid w:val="53F058BB"/>
    <w:rsid w:val="5404B137"/>
    <w:rsid w:val="5409B49B"/>
    <w:rsid w:val="5457E17F"/>
    <w:rsid w:val="548E3036"/>
    <w:rsid w:val="54C13FFA"/>
    <w:rsid w:val="56618047"/>
    <w:rsid w:val="56639D2F"/>
    <w:rsid w:val="572D9CDF"/>
    <w:rsid w:val="57375F7D"/>
    <w:rsid w:val="57522BFA"/>
    <w:rsid w:val="57577829"/>
    <w:rsid w:val="5772BF5B"/>
    <w:rsid w:val="57A6B9B9"/>
    <w:rsid w:val="57F2B969"/>
    <w:rsid w:val="58941125"/>
    <w:rsid w:val="58948019"/>
    <w:rsid w:val="589A1DC7"/>
    <w:rsid w:val="58FECB23"/>
    <w:rsid w:val="59560DFC"/>
    <w:rsid w:val="5A00627B"/>
    <w:rsid w:val="5A0B7E7C"/>
    <w:rsid w:val="5A25F8DE"/>
    <w:rsid w:val="5A2822A2"/>
    <w:rsid w:val="5A37ECA8"/>
    <w:rsid w:val="5A513852"/>
    <w:rsid w:val="5A9E9338"/>
    <w:rsid w:val="5AC3F789"/>
    <w:rsid w:val="5AC5CE19"/>
    <w:rsid w:val="5ACE920E"/>
    <w:rsid w:val="5AE2F73F"/>
    <w:rsid w:val="5BEA70A0"/>
    <w:rsid w:val="5BEBC833"/>
    <w:rsid w:val="5C006788"/>
    <w:rsid w:val="5C2E8852"/>
    <w:rsid w:val="5C4A3F98"/>
    <w:rsid w:val="5CF9F7D4"/>
    <w:rsid w:val="5D8B8FC4"/>
    <w:rsid w:val="5DA38AC7"/>
    <w:rsid w:val="5DD07C4F"/>
    <w:rsid w:val="5E149375"/>
    <w:rsid w:val="5E871B66"/>
    <w:rsid w:val="5E9619BA"/>
    <w:rsid w:val="5ED8F6E9"/>
    <w:rsid w:val="5F1E59F0"/>
    <w:rsid w:val="5F4183D0"/>
    <w:rsid w:val="5F4B0D84"/>
    <w:rsid w:val="5F7E4570"/>
    <w:rsid w:val="5F873E31"/>
    <w:rsid w:val="60254F09"/>
    <w:rsid w:val="6032AA54"/>
    <w:rsid w:val="60B6EDCC"/>
    <w:rsid w:val="60CDCD4D"/>
    <w:rsid w:val="60DBEBD7"/>
    <w:rsid w:val="614B3624"/>
    <w:rsid w:val="6197F41D"/>
    <w:rsid w:val="61AB68DD"/>
    <w:rsid w:val="61DE4A1F"/>
    <w:rsid w:val="62172BAE"/>
    <w:rsid w:val="62364058"/>
    <w:rsid w:val="6245730B"/>
    <w:rsid w:val="626F9130"/>
    <w:rsid w:val="632BAF11"/>
    <w:rsid w:val="63363A39"/>
    <w:rsid w:val="6393C755"/>
    <w:rsid w:val="63E2D094"/>
    <w:rsid w:val="646C6367"/>
    <w:rsid w:val="64BFD095"/>
    <w:rsid w:val="64E2F799"/>
    <w:rsid w:val="651F9E76"/>
    <w:rsid w:val="6539F53C"/>
    <w:rsid w:val="65A21573"/>
    <w:rsid w:val="6613E3AD"/>
    <w:rsid w:val="6634EA3C"/>
    <w:rsid w:val="6741D0E4"/>
    <w:rsid w:val="678A5772"/>
    <w:rsid w:val="67CA2961"/>
    <w:rsid w:val="681D7B8A"/>
    <w:rsid w:val="68A4CE9D"/>
    <w:rsid w:val="68C0EAE3"/>
    <w:rsid w:val="68CB76D1"/>
    <w:rsid w:val="68EF6C97"/>
    <w:rsid w:val="6923B904"/>
    <w:rsid w:val="6950DF62"/>
    <w:rsid w:val="69E692FE"/>
    <w:rsid w:val="6AD8CF05"/>
    <w:rsid w:val="6BE32EA2"/>
    <w:rsid w:val="6CEF820C"/>
    <w:rsid w:val="6D263384"/>
    <w:rsid w:val="6D9E0CEB"/>
    <w:rsid w:val="6DFFC8A8"/>
    <w:rsid w:val="6E1E47C1"/>
    <w:rsid w:val="6E2C301A"/>
    <w:rsid w:val="6EBB5575"/>
    <w:rsid w:val="6ECF4AA9"/>
    <w:rsid w:val="6EFE18AD"/>
    <w:rsid w:val="6F722B4B"/>
    <w:rsid w:val="6FA770D8"/>
    <w:rsid w:val="70186C44"/>
    <w:rsid w:val="703F7317"/>
    <w:rsid w:val="71276914"/>
    <w:rsid w:val="7140CAD3"/>
    <w:rsid w:val="71684007"/>
    <w:rsid w:val="720DA043"/>
    <w:rsid w:val="727BE8D1"/>
    <w:rsid w:val="72B0E219"/>
    <w:rsid w:val="72F66B0C"/>
    <w:rsid w:val="733C96E5"/>
    <w:rsid w:val="740BD040"/>
    <w:rsid w:val="74882583"/>
    <w:rsid w:val="74C707D7"/>
    <w:rsid w:val="753D12D1"/>
    <w:rsid w:val="75762DEA"/>
    <w:rsid w:val="75EAA6FA"/>
    <w:rsid w:val="76A676AE"/>
    <w:rsid w:val="770FCC5A"/>
    <w:rsid w:val="779A9C83"/>
    <w:rsid w:val="77A50FA5"/>
    <w:rsid w:val="77E6EFC5"/>
    <w:rsid w:val="77F1BF6E"/>
    <w:rsid w:val="782E803F"/>
    <w:rsid w:val="78D79263"/>
    <w:rsid w:val="78F4D4EE"/>
    <w:rsid w:val="79851349"/>
    <w:rsid w:val="7A7ABA52"/>
    <w:rsid w:val="7AF78881"/>
    <w:rsid w:val="7B527477"/>
    <w:rsid w:val="7BA57165"/>
    <w:rsid w:val="7BB43912"/>
    <w:rsid w:val="7C1CB0C9"/>
    <w:rsid w:val="7C668D39"/>
    <w:rsid w:val="7D548FEB"/>
    <w:rsid w:val="7DAF40E3"/>
    <w:rsid w:val="7E54B2C1"/>
    <w:rsid w:val="7E7EE9DB"/>
    <w:rsid w:val="7E977A27"/>
    <w:rsid w:val="7EB834A8"/>
    <w:rsid w:val="7ED92B5E"/>
    <w:rsid w:val="7F41EAD7"/>
    <w:rsid w:val="7F88F5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8C4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136"/>
    <w:pPr>
      <w:spacing w:before="120"/>
    </w:pPr>
    <w:rPr>
      <w:rFonts w:ascii="Franklin Gothic Book" w:hAnsi="Franklin Gothic Book"/>
    </w:rPr>
  </w:style>
  <w:style w:type="paragraph" w:styleId="Heading1">
    <w:name w:val="heading 1"/>
    <w:basedOn w:val="Normal"/>
    <w:next w:val="Normal"/>
    <w:link w:val="Heading1Char"/>
    <w:uiPriority w:val="9"/>
    <w:qFormat/>
    <w:rsid w:val="001531D6"/>
    <w:pPr>
      <w:keepNext/>
      <w:keepLines/>
      <w:pBdr>
        <w:bottom w:val="single" w:sz="4" w:space="1" w:color="auto"/>
      </w:pBdr>
      <w:spacing w:before="600" w:after="480" w:line="240" w:lineRule="auto"/>
      <w:outlineLvl w:val="0"/>
    </w:pPr>
    <w:rPr>
      <w:rFonts w:ascii="Franklin Gothic Medium" w:eastAsiaTheme="majorEastAsia" w:hAnsi="Franklin Gothic Medium" w:cstheme="majorBidi"/>
      <w:sz w:val="44"/>
      <w:szCs w:val="32"/>
    </w:rPr>
  </w:style>
  <w:style w:type="paragraph" w:styleId="Heading2">
    <w:name w:val="heading 2"/>
    <w:basedOn w:val="Normal"/>
    <w:next w:val="Normal"/>
    <w:link w:val="Heading2Char"/>
    <w:uiPriority w:val="9"/>
    <w:unhideWhenUsed/>
    <w:qFormat/>
    <w:rsid w:val="001531D6"/>
    <w:pPr>
      <w:keepNext/>
      <w:keepLines/>
      <w:spacing w:before="360" w:after="24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5103C5"/>
    <w:pPr>
      <w:keepNext/>
      <w:keepLines/>
      <w:tabs>
        <w:tab w:val="left" w:pos="851"/>
      </w:tabs>
      <w:spacing w:before="360" w:after="200" w:line="240" w:lineRule="auto"/>
      <w:outlineLvl w:val="2"/>
    </w:pPr>
    <w:rPr>
      <w:rFonts w:ascii="Franklin Gothic Medium" w:eastAsiaTheme="majorEastAsia" w:hAnsi="Franklin Gothic Medium" w:cstheme="majorBidi"/>
      <w:sz w:val="24"/>
      <w:szCs w:val="24"/>
    </w:rPr>
  </w:style>
  <w:style w:type="paragraph" w:styleId="Heading4">
    <w:name w:val="heading 4"/>
    <w:basedOn w:val="Heading3"/>
    <w:next w:val="Normal"/>
    <w:link w:val="Heading4Char"/>
    <w:uiPriority w:val="9"/>
    <w:unhideWhenUsed/>
    <w:qFormat/>
    <w:rsid w:val="00A776A4"/>
    <w:pPr>
      <w:outlineLvl w:val="3"/>
    </w:pPr>
    <w:rPr>
      <w:i/>
    </w:rPr>
  </w:style>
  <w:style w:type="paragraph" w:styleId="Heading5">
    <w:name w:val="heading 5"/>
    <w:basedOn w:val="Heading4"/>
    <w:next w:val="Normal"/>
    <w:link w:val="Heading5Char"/>
    <w:uiPriority w:val="9"/>
    <w:unhideWhenUsed/>
    <w:qFormat/>
    <w:rsid w:val="009D2925"/>
    <w:pPr>
      <w:outlineLvl w:val="4"/>
    </w:pPr>
  </w:style>
  <w:style w:type="paragraph" w:styleId="Heading6">
    <w:name w:val="heading 6"/>
    <w:basedOn w:val="Normal"/>
    <w:next w:val="Normal"/>
    <w:link w:val="Heading6Char"/>
    <w:uiPriority w:val="9"/>
    <w:unhideWhenUsed/>
    <w:qFormat/>
    <w:rsid w:val="00BD2AA1"/>
    <w:pPr>
      <w:keepNext/>
      <w:keepLines/>
      <w:spacing w:before="40" w:after="0" w:line="276" w:lineRule="auto"/>
      <w:ind w:left="1152" w:hanging="1152"/>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qFormat/>
    <w:rsid w:val="003E7773"/>
    <w:pPr>
      <w:spacing w:before="40" w:after="40" w:line="240" w:lineRule="auto"/>
    </w:pPr>
    <w:rPr>
      <w:rFonts w:ascii="Arial Narrow" w:hAnsi="Arial Narrow"/>
      <w:sz w:val="20"/>
    </w:rPr>
  </w:style>
  <w:style w:type="paragraph" w:customStyle="1" w:styleId="TableHeading">
    <w:name w:val="TableHeading"/>
    <w:basedOn w:val="Normal"/>
    <w:link w:val="TableHeadingChar"/>
    <w:qFormat/>
    <w:rsid w:val="00B151CF"/>
    <w:pPr>
      <w:keepNext/>
      <w:spacing w:after="60" w:line="240" w:lineRule="auto"/>
    </w:pPr>
    <w:rPr>
      <w:rFonts w:ascii="Arial Narrow" w:hAnsi="Arial Narrow"/>
      <w:b/>
      <w:sz w:val="20"/>
    </w:rPr>
  </w:style>
  <w:style w:type="paragraph" w:styleId="CommentText">
    <w:name w:val="annotation text"/>
    <w:basedOn w:val="Normal"/>
    <w:link w:val="CommentTextChar"/>
    <w:uiPriority w:val="99"/>
    <w:unhideWhenUsed/>
    <w:rsid w:val="003E7773"/>
    <w:pPr>
      <w:spacing w:after="240" w:line="240" w:lineRule="auto"/>
    </w:pPr>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rsid w:val="003E7773"/>
    <w:rPr>
      <w:rFonts w:ascii="Calibri" w:eastAsia="Times New Roman" w:hAnsi="Calibri" w:cs="Times New Roman"/>
      <w:color w:val="000000"/>
      <w:szCs w:val="24"/>
      <w:lang w:eastAsia="en-AU"/>
    </w:rPr>
  </w:style>
  <w:style w:type="character" w:styleId="CommentReference">
    <w:name w:val="annotation reference"/>
    <w:aliases w:val="Table Title"/>
    <w:basedOn w:val="DefaultParagraphFont"/>
    <w:uiPriority w:val="99"/>
    <w:unhideWhenUsed/>
    <w:qFormat/>
    <w:rsid w:val="003E7773"/>
    <w:rPr>
      <w:sz w:val="16"/>
      <w:szCs w:val="16"/>
    </w:rPr>
  </w:style>
  <w:style w:type="character" w:customStyle="1" w:styleId="TableTextChar">
    <w:name w:val="Table Text Char"/>
    <w:basedOn w:val="DefaultParagraphFont"/>
    <w:link w:val="TableText"/>
    <w:qFormat/>
    <w:rsid w:val="003E7773"/>
    <w:rPr>
      <w:rFonts w:ascii="Arial Narrow" w:hAnsi="Arial Narrow"/>
      <w:sz w:val="20"/>
    </w:rPr>
  </w:style>
  <w:style w:type="character" w:customStyle="1" w:styleId="TableHeadingChar">
    <w:name w:val="TableHeading Char"/>
    <w:link w:val="TableHeading"/>
    <w:rsid w:val="00B151CF"/>
    <w:rPr>
      <w:rFonts w:ascii="Arial Narrow" w:hAnsi="Arial Narrow"/>
      <w:b/>
      <w:sz w:val="20"/>
    </w:rPr>
  </w:style>
  <w:style w:type="paragraph" w:styleId="BalloonText">
    <w:name w:val="Balloon Text"/>
    <w:basedOn w:val="Normal"/>
    <w:link w:val="BalloonTextChar"/>
    <w:uiPriority w:val="99"/>
    <w:semiHidden/>
    <w:unhideWhenUsed/>
    <w:rsid w:val="003E7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7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773"/>
    <w:pPr>
      <w:spacing w:after="160"/>
    </w:pPr>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3E7773"/>
    <w:rPr>
      <w:rFonts w:ascii="Calibri" w:eastAsia="Times New Roman" w:hAnsi="Calibri" w:cs="Times New Roman"/>
      <w:b/>
      <w:bCs/>
      <w:color w:val="000000"/>
      <w:sz w:val="20"/>
      <w:szCs w:val="20"/>
      <w:lang w:eastAsia="en-AU"/>
    </w:rPr>
  </w:style>
  <w:style w:type="character" w:customStyle="1" w:styleId="Heading1Char">
    <w:name w:val="Heading 1 Char"/>
    <w:basedOn w:val="DefaultParagraphFont"/>
    <w:link w:val="Heading1"/>
    <w:uiPriority w:val="9"/>
    <w:rsid w:val="001531D6"/>
    <w:rPr>
      <w:rFonts w:ascii="Franklin Gothic Medium" w:eastAsiaTheme="majorEastAsia" w:hAnsi="Franklin Gothic Medium" w:cstheme="majorBidi"/>
      <w:sz w:val="44"/>
      <w:szCs w:val="32"/>
    </w:rPr>
  </w:style>
  <w:style w:type="character" w:customStyle="1" w:styleId="Heading2Char">
    <w:name w:val="Heading 2 Char"/>
    <w:basedOn w:val="DefaultParagraphFont"/>
    <w:link w:val="Heading2"/>
    <w:uiPriority w:val="9"/>
    <w:rsid w:val="001531D6"/>
    <w:rPr>
      <w:rFonts w:ascii="Franklin Gothic Medium" w:eastAsiaTheme="majorEastAsia" w:hAnsi="Franklin Gothic Medium" w:cstheme="majorBidi"/>
      <w:color w:val="000000" w:themeColor="text1"/>
      <w:sz w:val="32"/>
      <w:szCs w:val="26"/>
    </w:rPr>
  </w:style>
  <w:style w:type="character" w:customStyle="1" w:styleId="Heading3Char">
    <w:name w:val="Heading 3 Char"/>
    <w:basedOn w:val="DefaultParagraphFont"/>
    <w:link w:val="Heading3"/>
    <w:uiPriority w:val="9"/>
    <w:rsid w:val="005103C5"/>
    <w:rPr>
      <w:rFonts w:ascii="Franklin Gothic Medium" w:eastAsiaTheme="majorEastAsia" w:hAnsi="Franklin Gothic Medium" w:cstheme="majorBidi"/>
      <w:sz w:val="24"/>
      <w:szCs w:val="24"/>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9A06F4"/>
    <w:pPr>
      <w:keepNext/>
      <w:spacing w:before="360" w:after="120" w:line="240" w:lineRule="auto"/>
    </w:pPr>
    <w:rPr>
      <w:rFonts w:ascii="Arial Narrow" w:eastAsia="Times New Roman" w:hAnsi="Arial Narrow" w:cs="Times New Roman"/>
      <w:b/>
      <w:bCs/>
      <w:sz w:val="20"/>
      <w:szCs w:val="20"/>
    </w:rPr>
  </w:style>
  <w:style w:type="table" w:customStyle="1" w:styleId="TableGrid1">
    <w:name w:val="Table Grid1"/>
    <w:basedOn w:val="TableNormal"/>
    <w:next w:val="TableGrid"/>
    <w:locked/>
    <w:rsid w:val="00CA528A"/>
    <w:pPr>
      <w:spacing w:before="40" w:after="40" w:line="240" w:lineRule="auto"/>
    </w:pPr>
    <w:rPr>
      <w:rFonts w:ascii="Arial Narrow" w:eastAsia="Times New Roman" w:hAnsi="Arial Narrow" w:cs="Times New Roman"/>
      <w:sz w:val="20"/>
      <w:szCs w:val="20"/>
      <w:lang w:eastAsia="en-AU"/>
    </w:rPr>
    <w:tblPr/>
    <w:tblStylePr w:type="firstRow">
      <w:rPr>
        <w:rFonts w:ascii="Arial Narrow" w:hAnsi="Arial Narrow"/>
        <w:b w:val="0"/>
        <w:sz w:val="20"/>
      </w:rPr>
    </w:tblStyle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9A06F4"/>
    <w:rPr>
      <w:rFonts w:ascii="Arial Narrow" w:eastAsia="Times New Roman" w:hAnsi="Arial Narrow" w:cs="Times New Roman"/>
      <w:b/>
      <w:bCs/>
      <w:sz w:val="20"/>
      <w:szCs w:val="20"/>
    </w:rPr>
  </w:style>
  <w:style w:type="table" w:styleId="TableGrid">
    <w:name w:val="Table Grid"/>
    <w:aliases w:val="Summary box,Table Gridbeth,RTI AMCP Table,new style,ASD Table,HealthConsult,PBAC table,HTAtableplain,Lash Style Table,CMA Table Template"/>
    <w:basedOn w:val="TableNormal"/>
    <w:uiPriority w:val="39"/>
    <w:rsid w:val="00CA528A"/>
    <w:pPr>
      <w:spacing w:after="0" w:line="240" w:lineRule="auto"/>
    </w:pPr>
    <w:tblPr/>
  </w:style>
  <w:style w:type="paragraph" w:customStyle="1" w:styleId="TableFigNote">
    <w:name w:val="TableFigNote"/>
    <w:basedOn w:val="Normal"/>
    <w:qFormat/>
    <w:rsid w:val="00CA528A"/>
    <w:pPr>
      <w:spacing w:after="360" w:line="240" w:lineRule="auto"/>
      <w:contextualSpacing/>
    </w:pPr>
    <w:rPr>
      <w:sz w:val="18"/>
    </w:rPr>
  </w:style>
  <w:style w:type="paragraph" w:styleId="ListParagraph">
    <w:name w:val="List Paragraph"/>
    <w:aliases w:val="Numbered para,BulletPoints,Bulletr List Paragraph,Use Case List Paragraph,lp1,Figure_name,List Paragraph1,Numbered Indented Text,Bullet- First level,List NUmber,Listenabsatz1,List Paragraph11,Style 2,TOC style,List Paragraph2,Number_1,new"/>
    <w:basedOn w:val="Normal"/>
    <w:link w:val="ListParagraphChar"/>
    <w:uiPriority w:val="34"/>
    <w:qFormat/>
    <w:rsid w:val="00724F92"/>
    <w:pPr>
      <w:ind w:left="720"/>
      <w:contextualSpacing/>
    </w:pPr>
  </w:style>
  <w:style w:type="character" w:styleId="Strong">
    <w:name w:val="Strong"/>
    <w:basedOn w:val="DefaultParagraphFont"/>
    <w:uiPriority w:val="22"/>
    <w:qFormat/>
    <w:rsid w:val="00FD17BA"/>
    <w:rPr>
      <w:b/>
      <w:bCs/>
    </w:rPr>
  </w:style>
  <w:style w:type="paragraph" w:customStyle="1" w:styleId="TableName">
    <w:name w:val="TableName"/>
    <w:basedOn w:val="Normal"/>
    <w:qFormat/>
    <w:rsid w:val="00FD17BA"/>
    <w:pPr>
      <w:keepNext/>
      <w:spacing w:after="240" w:line="240" w:lineRule="auto"/>
      <w:ind w:left="1418" w:hanging="1418"/>
    </w:pPr>
    <w:rPr>
      <w:rFonts w:ascii="Franklin Gothic Medium" w:hAnsi="Franklin Gothic Medium"/>
    </w:rPr>
  </w:style>
  <w:style w:type="paragraph" w:customStyle="1" w:styleId="TableFigNoteHangingLast">
    <w:name w:val="TableFigNoteHanging Last"/>
    <w:basedOn w:val="TableFigNote"/>
    <w:qFormat/>
    <w:rsid w:val="00FD17BA"/>
    <w:pPr>
      <w:ind w:left="142" w:hanging="142"/>
    </w:pPr>
  </w:style>
  <w:style w:type="paragraph" w:customStyle="1" w:styleId="TableTextCA">
    <w:name w:val="Table Text CA"/>
    <w:basedOn w:val="TableText"/>
    <w:qFormat/>
    <w:rsid w:val="00FD17BA"/>
    <w:pPr>
      <w:jc w:val="center"/>
    </w:pPr>
  </w:style>
  <w:style w:type="paragraph" w:customStyle="1" w:styleId="TableHeadingCA">
    <w:name w:val="Table Heading CA"/>
    <w:basedOn w:val="TableHeading0"/>
    <w:qFormat/>
    <w:rsid w:val="00FD17BA"/>
    <w:pPr>
      <w:jc w:val="center"/>
    </w:pPr>
  </w:style>
  <w:style w:type="paragraph" w:customStyle="1" w:styleId="TableHeading0">
    <w:name w:val="Table Heading"/>
    <w:basedOn w:val="Normal"/>
    <w:qFormat/>
    <w:rsid w:val="00FD17BA"/>
    <w:pPr>
      <w:spacing w:after="60" w:line="240" w:lineRule="auto"/>
    </w:pPr>
    <w:rPr>
      <w:rFonts w:ascii="Arial Narrow" w:hAnsi="Arial Narrow"/>
      <w:b/>
      <w:sz w:val="20"/>
    </w:rPr>
  </w:style>
  <w:style w:type="paragraph" w:customStyle="1" w:styleId="TableFigNoteLast">
    <w:name w:val="TableFigNote Last"/>
    <w:basedOn w:val="TableFigNote"/>
    <w:qFormat/>
    <w:rsid w:val="00FD17BA"/>
  </w:style>
  <w:style w:type="character" w:customStyle="1" w:styleId="Heading4Char">
    <w:name w:val="Heading 4 Char"/>
    <w:basedOn w:val="DefaultParagraphFont"/>
    <w:link w:val="Heading4"/>
    <w:uiPriority w:val="9"/>
    <w:rsid w:val="00A776A4"/>
    <w:rPr>
      <w:rFonts w:ascii="Franklin Gothic Medium" w:eastAsiaTheme="majorEastAsia" w:hAnsi="Franklin Gothic Medium" w:cstheme="majorBidi"/>
      <w:i/>
      <w:sz w:val="24"/>
      <w:szCs w:val="24"/>
    </w:rPr>
  </w:style>
  <w:style w:type="paragraph" w:customStyle="1" w:styleId="2ChapterText">
    <w:name w:val="2ChapterText"/>
    <w:basedOn w:val="Normal"/>
    <w:qFormat/>
    <w:rsid w:val="00004F7F"/>
    <w:rPr>
      <w:shd w:val="clear" w:color="auto" w:fill="BDD6EE" w:themeFill="accent1" w:themeFillTint="66"/>
    </w:rPr>
  </w:style>
  <w:style w:type="paragraph" w:customStyle="1" w:styleId="1ExplanatoryText">
    <w:name w:val="1ExplanatoryText"/>
    <w:basedOn w:val="Normal"/>
    <w:qFormat/>
    <w:rsid w:val="00225833"/>
    <w:pPr>
      <w:shd w:val="clear" w:color="auto" w:fill="C5E0B3" w:themeFill="accent6" w:themeFillTint="66"/>
    </w:pPr>
  </w:style>
  <w:style w:type="character" w:styleId="Hyperlink">
    <w:name w:val="Hyperlink"/>
    <w:basedOn w:val="DefaultParagraphFont"/>
    <w:uiPriority w:val="99"/>
    <w:unhideWhenUsed/>
    <w:rsid w:val="00997BA8"/>
    <w:rPr>
      <w:color w:val="0070C0"/>
      <w:u w:val="single"/>
    </w:rPr>
  </w:style>
  <w:style w:type="paragraph" w:styleId="TOC1">
    <w:name w:val="toc 1"/>
    <w:basedOn w:val="Normal"/>
    <w:next w:val="Normal"/>
    <w:autoRedefine/>
    <w:uiPriority w:val="39"/>
    <w:unhideWhenUsed/>
    <w:rsid w:val="00C91651"/>
    <w:pPr>
      <w:tabs>
        <w:tab w:val="left" w:pos="1100"/>
        <w:tab w:val="left" w:pos="1531"/>
        <w:tab w:val="right" w:leader="dot" w:pos="9010"/>
      </w:tabs>
      <w:spacing w:after="100" w:line="240" w:lineRule="auto"/>
    </w:pPr>
    <w:rPr>
      <w:rFonts w:asciiTheme="minorHAnsi" w:hAnsiTheme="minorHAnsi"/>
      <w:b/>
    </w:rPr>
  </w:style>
  <w:style w:type="paragraph" w:styleId="TOC2">
    <w:name w:val="toc 2"/>
    <w:basedOn w:val="Normal"/>
    <w:next w:val="Normal"/>
    <w:autoRedefine/>
    <w:uiPriority w:val="39"/>
    <w:unhideWhenUsed/>
    <w:rsid w:val="00944087"/>
    <w:pPr>
      <w:tabs>
        <w:tab w:val="left" w:pos="1089"/>
        <w:tab w:val="right" w:leader="dot" w:pos="9010"/>
      </w:tabs>
      <w:spacing w:after="100" w:line="240" w:lineRule="auto"/>
    </w:pPr>
    <w:rPr>
      <w:rFonts w:asciiTheme="minorHAnsi" w:hAnsiTheme="minorHAnsi"/>
    </w:rPr>
  </w:style>
  <w:style w:type="paragraph" w:styleId="TOC3">
    <w:name w:val="toc 3"/>
    <w:basedOn w:val="Normal"/>
    <w:next w:val="Normal"/>
    <w:autoRedefine/>
    <w:uiPriority w:val="39"/>
    <w:unhideWhenUsed/>
    <w:rsid w:val="0088445B"/>
    <w:pPr>
      <w:spacing w:after="100" w:line="240" w:lineRule="auto"/>
      <w:ind w:left="720"/>
    </w:pPr>
    <w:rPr>
      <w:rFonts w:asciiTheme="minorHAnsi" w:hAnsiTheme="minorHAnsi"/>
    </w:rPr>
  </w:style>
  <w:style w:type="character" w:styleId="FollowedHyperlink">
    <w:name w:val="FollowedHyperlink"/>
    <w:basedOn w:val="DefaultParagraphFont"/>
    <w:uiPriority w:val="99"/>
    <w:semiHidden/>
    <w:unhideWhenUsed/>
    <w:rsid w:val="0088445B"/>
    <w:rPr>
      <w:color w:val="954F72" w:themeColor="followedHyperlink"/>
      <w:u w:val="single"/>
    </w:rPr>
  </w:style>
  <w:style w:type="paragraph" w:styleId="TOC9">
    <w:name w:val="toc 9"/>
    <w:basedOn w:val="Normal"/>
    <w:next w:val="Normal"/>
    <w:autoRedefine/>
    <w:uiPriority w:val="39"/>
    <w:unhideWhenUsed/>
    <w:rsid w:val="00AF3D39"/>
    <w:pPr>
      <w:spacing w:after="100"/>
      <w:ind w:left="1760"/>
    </w:pPr>
  </w:style>
  <w:style w:type="paragraph" w:styleId="Date">
    <w:name w:val="Date"/>
    <w:basedOn w:val="Normal"/>
    <w:next w:val="Normal"/>
    <w:link w:val="DateChar"/>
    <w:rsid w:val="000870B6"/>
    <w:pPr>
      <w:spacing w:before="1134" w:after="800"/>
      <w:ind w:left="4536"/>
    </w:pPr>
    <w:rPr>
      <w:rFonts w:ascii="Arial" w:eastAsia="Times New Roman" w:hAnsi="Arial" w:cs="Tahoma"/>
      <w:b/>
      <w:sz w:val="36"/>
      <w:lang w:eastAsia="en-AU"/>
    </w:rPr>
  </w:style>
  <w:style w:type="character" w:customStyle="1" w:styleId="DateChar">
    <w:name w:val="Date Char"/>
    <w:basedOn w:val="DefaultParagraphFont"/>
    <w:link w:val="Date"/>
    <w:rsid w:val="000870B6"/>
    <w:rPr>
      <w:rFonts w:ascii="Arial" w:eastAsia="Times New Roman" w:hAnsi="Arial" w:cs="Tahoma"/>
      <w:b/>
      <w:sz w:val="36"/>
      <w:lang w:eastAsia="en-AU"/>
    </w:rPr>
  </w:style>
  <w:style w:type="paragraph" w:customStyle="1" w:styleId="PublicationTitle">
    <w:name w:val="PublicationTitle"/>
    <w:basedOn w:val="Normal"/>
    <w:rsid w:val="000870B6"/>
    <w:pPr>
      <w:tabs>
        <w:tab w:val="left" w:pos="4536"/>
      </w:tabs>
      <w:spacing w:before="4536" w:after="800" w:line="480" w:lineRule="exact"/>
      <w:ind w:left="4536" w:right="113"/>
      <w:jc w:val="right"/>
    </w:pPr>
    <w:rPr>
      <w:rFonts w:ascii="Arial" w:eastAsia="Times New Roman" w:hAnsi="Arial" w:cs="Tahoma"/>
      <w:b/>
      <w:i/>
      <w:sz w:val="44"/>
      <w:lang w:eastAsia="en-AU"/>
    </w:rPr>
  </w:style>
  <w:style w:type="paragraph" w:customStyle="1" w:styleId="Sub-title">
    <w:name w:val="Sub-title"/>
    <w:basedOn w:val="Normal"/>
    <w:locked/>
    <w:rsid w:val="00401DBF"/>
    <w:pPr>
      <w:spacing w:before="1701"/>
      <w:ind w:left="4536"/>
    </w:pPr>
    <w:rPr>
      <w:rFonts w:ascii="Arial" w:eastAsia="Times New Roman" w:hAnsi="Arial" w:cs="Tahoma"/>
      <w:b/>
      <w:sz w:val="32"/>
      <w:lang w:eastAsia="en-AU"/>
    </w:rPr>
  </w:style>
  <w:style w:type="paragraph" w:customStyle="1" w:styleId="Nnumberedlist">
    <w:name w:val="Nnumbered list"/>
    <w:basedOn w:val="Normal"/>
    <w:rsid w:val="00AF3D39"/>
    <w:pPr>
      <w:numPr>
        <w:numId w:val="1"/>
      </w:numPr>
      <w:jc w:val="both"/>
    </w:pPr>
    <w:rPr>
      <w:rFonts w:ascii="Calibri" w:eastAsia="Times New Roman" w:hAnsi="Calibri" w:cs="Tahoma"/>
      <w:lang w:eastAsia="en-AU"/>
    </w:rPr>
  </w:style>
  <w:style w:type="paragraph" w:styleId="TOCHeading">
    <w:name w:val="TOC Heading"/>
    <w:basedOn w:val="Heading1"/>
    <w:next w:val="Normal"/>
    <w:uiPriority w:val="39"/>
    <w:unhideWhenUsed/>
    <w:qFormat/>
    <w:rsid w:val="00DE7099"/>
    <w:pPr>
      <w:pBdr>
        <w:bottom w:val="none" w:sz="0" w:space="0" w:color="auto"/>
      </w:pBdr>
      <w:spacing w:before="240" w:after="0" w:line="259" w:lineRule="auto"/>
      <w:outlineLvl w:val="9"/>
    </w:pPr>
    <w:rPr>
      <w:rFonts w:asciiTheme="majorHAnsi" w:hAnsiTheme="majorHAnsi"/>
      <w:color w:val="2E74B5" w:themeColor="accent1" w:themeShade="BF"/>
      <w:sz w:val="32"/>
      <w:lang w:val="en-US"/>
    </w:rPr>
  </w:style>
  <w:style w:type="paragraph" w:styleId="TOC4">
    <w:name w:val="toc 4"/>
    <w:basedOn w:val="Normal"/>
    <w:next w:val="Normal"/>
    <w:autoRedefine/>
    <w:uiPriority w:val="39"/>
    <w:unhideWhenUsed/>
    <w:rsid w:val="00DE7099"/>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E7099"/>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E7099"/>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E7099"/>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E7099"/>
    <w:pPr>
      <w:spacing w:after="100"/>
      <w:ind w:left="1540"/>
    </w:pPr>
    <w:rPr>
      <w:rFonts w:asciiTheme="minorHAnsi" w:eastAsiaTheme="minorEastAsia" w:hAnsiTheme="minorHAnsi"/>
      <w:lang w:eastAsia="en-AU"/>
    </w:rPr>
  </w:style>
  <w:style w:type="paragraph" w:customStyle="1" w:styleId="In-tableHeading">
    <w:name w:val="In-table Heading"/>
    <w:qFormat/>
    <w:rsid w:val="000472D4"/>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qFormat/>
    <w:rsid w:val="003F4E71"/>
    <w:pPr>
      <w:tabs>
        <w:tab w:val="left" w:pos="284"/>
      </w:tabs>
      <w:spacing w:after="0" w:line="240" w:lineRule="auto"/>
      <w:jc w:val="both"/>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3F4E71"/>
    <w:rPr>
      <w:rFonts w:ascii="Arial Narrow" w:eastAsia="Times New Roman" w:hAnsi="Arial Narrow" w:cs="Arial"/>
      <w:snapToGrid w:val="0"/>
      <w:sz w:val="18"/>
      <w:lang w:eastAsia="en-AU"/>
    </w:rPr>
  </w:style>
  <w:style w:type="character" w:styleId="Emphasis">
    <w:name w:val="Emphasis"/>
    <w:uiPriority w:val="20"/>
    <w:qFormat/>
    <w:rsid w:val="00566298"/>
    <w:rPr>
      <w:i/>
      <w:iCs/>
    </w:rPr>
  </w:style>
  <w:style w:type="paragraph" w:styleId="Header">
    <w:name w:val="header"/>
    <w:basedOn w:val="Normal"/>
    <w:link w:val="HeaderChar"/>
    <w:uiPriority w:val="99"/>
    <w:unhideWhenUsed/>
    <w:rsid w:val="00B62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DF2"/>
    <w:rPr>
      <w:rFonts w:ascii="Franklin Gothic Book" w:hAnsi="Franklin Gothic Book"/>
    </w:rPr>
  </w:style>
  <w:style w:type="paragraph" w:styleId="Footer">
    <w:name w:val="footer"/>
    <w:basedOn w:val="Normal"/>
    <w:link w:val="FooterChar"/>
    <w:uiPriority w:val="99"/>
    <w:unhideWhenUsed/>
    <w:rsid w:val="00B6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DF2"/>
    <w:rPr>
      <w:rFonts w:ascii="Franklin Gothic Book" w:hAnsi="Franklin Gothic Book"/>
    </w:rPr>
  </w:style>
  <w:style w:type="paragraph" w:customStyle="1" w:styleId="Tablenotes">
    <w:name w:val="Tablenotes"/>
    <w:basedOn w:val="Normal"/>
    <w:link w:val="TablenotesChar"/>
    <w:qFormat/>
    <w:rsid w:val="00242F4E"/>
    <w:pPr>
      <w:widowControl w:val="0"/>
      <w:spacing w:after="120" w:line="240" w:lineRule="auto"/>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242F4E"/>
    <w:rPr>
      <w:rFonts w:ascii="Arial Narrow" w:eastAsia="Times New Roman" w:hAnsi="Arial Narrow" w:cs="Arial"/>
      <w:snapToGrid w:val="0"/>
      <w:sz w:val="18"/>
      <w:szCs w:val="20"/>
    </w:rPr>
  </w:style>
  <w:style w:type="character" w:customStyle="1" w:styleId="ListParagraphChar">
    <w:name w:val="List Paragraph Char"/>
    <w:aliases w:val="Numbered para Char,BulletPoints Char,Bulletr List Paragraph Char,Use Case List Paragraph Char,lp1 Char,Figure_name Char,List Paragraph1 Char,Numbered Indented Text Char,Bullet- First level Char,List NUmber Char,Listenabsatz1 Char"/>
    <w:basedOn w:val="DefaultParagraphFont"/>
    <w:link w:val="ListParagraph"/>
    <w:uiPriority w:val="34"/>
    <w:rsid w:val="00A454B3"/>
    <w:rPr>
      <w:rFonts w:ascii="Franklin Gothic Book" w:hAnsi="Franklin Gothic Book"/>
    </w:rPr>
  </w:style>
  <w:style w:type="table" w:customStyle="1" w:styleId="TableGridLight1">
    <w:name w:val="Table Grid Light1"/>
    <w:basedOn w:val="TableNormal"/>
    <w:uiPriority w:val="40"/>
    <w:rsid w:val="00BA59FB"/>
    <w:pPr>
      <w:spacing w:after="0" w:line="240" w:lineRule="auto"/>
    </w:pPr>
    <w:rPr>
      <w:lang w:val="en-US"/>
    </w:rPr>
    <w:tblPr/>
  </w:style>
  <w:style w:type="paragraph" w:customStyle="1" w:styleId="Bullet">
    <w:name w:val="Bullet"/>
    <w:basedOn w:val="Normal"/>
    <w:qFormat/>
    <w:rsid w:val="00BA59FB"/>
    <w:pPr>
      <w:numPr>
        <w:numId w:val="2"/>
      </w:numPr>
      <w:spacing w:after="120" w:line="240" w:lineRule="auto"/>
    </w:pPr>
    <w:rPr>
      <w:rFonts w:asciiTheme="minorHAnsi" w:hAnsiTheme="minorHAnsi"/>
    </w:rPr>
  </w:style>
  <w:style w:type="paragraph" w:customStyle="1" w:styleId="TableFigureHeading">
    <w:name w:val="Table/Figure Heading"/>
    <w:next w:val="In-tableHeading"/>
    <w:link w:val="TableFigureHeadingChar"/>
    <w:qFormat/>
    <w:rsid w:val="00F257B5"/>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257B5"/>
    <w:rPr>
      <w:rFonts w:ascii="Arial Narrow" w:eastAsiaTheme="majorEastAsia" w:hAnsi="Arial Narrow" w:cstheme="majorBidi"/>
      <w:b/>
      <w:bCs/>
      <w:sz w:val="20"/>
      <w:szCs w:val="24"/>
      <w:lang w:eastAsia="en-AU"/>
    </w:rPr>
  </w:style>
  <w:style w:type="paragraph" w:customStyle="1" w:styleId="Tabletext0">
    <w:name w:val="Table text"/>
    <w:basedOn w:val="Normal"/>
    <w:link w:val="TabletextChar0"/>
    <w:qFormat/>
    <w:rsid w:val="008C2FE5"/>
    <w:pPr>
      <w:spacing w:before="40" w:after="0" w:line="240" w:lineRule="auto"/>
      <w:jc w:val="both"/>
    </w:pPr>
    <w:rPr>
      <w:rFonts w:ascii="Arial Narrow" w:eastAsia="Times New Roman" w:hAnsi="Arial Narrow" w:cs="Tahoma"/>
      <w:sz w:val="20"/>
      <w:szCs w:val="20"/>
      <w:lang w:eastAsia="en-AU"/>
    </w:rPr>
  </w:style>
  <w:style w:type="character" w:customStyle="1" w:styleId="TabletextChar0">
    <w:name w:val="Table text Char"/>
    <w:link w:val="Tabletext0"/>
    <w:rsid w:val="008C2FE5"/>
    <w:rPr>
      <w:rFonts w:ascii="Arial Narrow" w:eastAsia="Times New Roman" w:hAnsi="Arial Narrow" w:cs="Tahoma"/>
      <w:sz w:val="20"/>
      <w:szCs w:val="20"/>
      <w:lang w:eastAsia="en-AU"/>
    </w:rPr>
  </w:style>
  <w:style w:type="paragraph" w:customStyle="1" w:styleId="Tablenotes0">
    <w:name w:val="Table notes"/>
    <w:basedOn w:val="Normal"/>
    <w:link w:val="TablenotesChar0"/>
    <w:qFormat/>
    <w:rsid w:val="001B2CD4"/>
    <w:pPr>
      <w:spacing w:after="240"/>
      <w:contextualSpacing/>
      <w:jc w:val="both"/>
    </w:pPr>
    <w:rPr>
      <w:rFonts w:ascii="Arial Narrow" w:hAnsi="Arial Narrow" w:cs="Arial"/>
      <w:sz w:val="18"/>
    </w:rPr>
  </w:style>
  <w:style w:type="character" w:customStyle="1" w:styleId="TablenotesChar0">
    <w:name w:val="Table notes Char"/>
    <w:basedOn w:val="DefaultParagraphFont"/>
    <w:link w:val="Tablenotes0"/>
    <w:rsid w:val="001B2CD4"/>
    <w:rPr>
      <w:rFonts w:ascii="Arial Narrow" w:hAnsi="Arial Narrow" w:cs="Arial"/>
      <w:sz w:val="18"/>
    </w:rPr>
  </w:style>
  <w:style w:type="numbering" w:customStyle="1" w:styleId="ESSectionheading-numbered">
    <w:name w:val="ES. Section heading - numbered"/>
    <w:uiPriority w:val="99"/>
    <w:rsid w:val="002A4084"/>
    <w:pPr>
      <w:numPr>
        <w:numId w:val="3"/>
      </w:numPr>
    </w:pPr>
  </w:style>
  <w:style w:type="paragraph" w:customStyle="1" w:styleId="2-SectionHeading">
    <w:name w:val="2-Section Heading"/>
    <w:qFormat/>
    <w:rsid w:val="005131D3"/>
    <w:pPr>
      <w:keepNext/>
      <w:numPr>
        <w:numId w:val="4"/>
      </w:numPr>
      <w:spacing w:before="240" w:after="120" w:line="240" w:lineRule="auto"/>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5131D3"/>
    <w:pPr>
      <w:numPr>
        <w:ilvl w:val="1"/>
        <w:numId w:val="4"/>
      </w:numPr>
      <w:spacing w:after="120" w:line="240" w:lineRule="auto"/>
      <w:contextualSpacing w:val="0"/>
      <w:jc w:val="both"/>
    </w:pPr>
    <w:rPr>
      <w:rFonts w:asciiTheme="minorHAnsi" w:eastAsia="Times New Roman" w:hAnsiTheme="minorHAnsi" w:cs="Arial"/>
      <w:snapToGrid w:val="0"/>
      <w:sz w:val="24"/>
      <w:szCs w:val="24"/>
      <w:lang w:eastAsia="en-AU"/>
    </w:rPr>
  </w:style>
  <w:style w:type="paragraph" w:customStyle="1" w:styleId="BoxName">
    <w:name w:val="Box Name"/>
    <w:basedOn w:val="Normal"/>
    <w:qFormat/>
    <w:rsid w:val="002B667C"/>
    <w:pPr>
      <w:pBdr>
        <w:top w:val="single" w:sz="4" w:space="4" w:color="auto"/>
        <w:left w:val="single" w:sz="4" w:space="4" w:color="auto"/>
        <w:bottom w:val="single" w:sz="4" w:space="4" w:color="auto"/>
        <w:right w:val="single" w:sz="4" w:space="4" w:color="auto"/>
      </w:pBdr>
      <w:spacing w:after="120" w:line="240" w:lineRule="auto"/>
    </w:pPr>
    <w:rPr>
      <w:rFonts w:ascii="Franklin Gothic Medium" w:hAnsi="Franklin Gothic Medium"/>
      <w:sz w:val="21"/>
    </w:rPr>
  </w:style>
  <w:style w:type="character" w:customStyle="1" w:styleId="InstructionBulletpointChar">
    <w:name w:val="Instruction Bullet point Char"/>
    <w:basedOn w:val="DefaultParagraphFont"/>
    <w:link w:val="InstructionBulletpoint"/>
    <w:uiPriority w:val="3"/>
    <w:locked/>
    <w:rsid w:val="00107DCD"/>
    <w:rPr>
      <w:rFonts w:ascii="Calibri" w:hAnsi="Calibri" w:cs="Calibri"/>
      <w:color w:val="0070C0"/>
      <w:sz w:val="24"/>
    </w:rPr>
  </w:style>
  <w:style w:type="paragraph" w:customStyle="1" w:styleId="InstructionBulletpoint">
    <w:name w:val="Instruction Bullet point"/>
    <w:basedOn w:val="Normal"/>
    <w:link w:val="InstructionBulletpointChar"/>
    <w:uiPriority w:val="3"/>
    <w:qFormat/>
    <w:rsid w:val="00107DCD"/>
    <w:pPr>
      <w:numPr>
        <w:numId w:val="5"/>
      </w:numPr>
      <w:spacing w:after="120" w:line="240" w:lineRule="auto"/>
      <w:ind w:left="714" w:hanging="357"/>
    </w:pPr>
    <w:rPr>
      <w:rFonts w:ascii="Calibri" w:hAnsi="Calibri" w:cs="Calibri"/>
      <w:color w:val="0070C0"/>
      <w:sz w:val="24"/>
    </w:rPr>
  </w:style>
  <w:style w:type="character" w:customStyle="1" w:styleId="TableFooterChar">
    <w:name w:val="Table Footer Char"/>
    <w:link w:val="TableFooter"/>
    <w:locked/>
    <w:rsid w:val="007B0880"/>
    <w:rPr>
      <w:rFonts w:ascii="Arial Narrow" w:eastAsia="Times New Roman" w:hAnsi="Arial Narrow" w:cs="Arial"/>
      <w:sz w:val="18"/>
      <w:szCs w:val="20"/>
    </w:rPr>
  </w:style>
  <w:style w:type="paragraph" w:customStyle="1" w:styleId="TableFooter">
    <w:name w:val="Table Footer"/>
    <w:basedOn w:val="Normal"/>
    <w:link w:val="TableFooterChar"/>
    <w:qFormat/>
    <w:rsid w:val="007B0880"/>
    <w:pPr>
      <w:widowControl w:val="0"/>
      <w:snapToGrid w:val="0"/>
      <w:spacing w:after="240" w:line="240" w:lineRule="auto"/>
      <w:contextualSpacing/>
      <w:jc w:val="both"/>
    </w:pPr>
    <w:rPr>
      <w:rFonts w:ascii="Arial Narrow" w:eastAsia="Times New Roman" w:hAnsi="Arial Narrow" w:cs="Arial"/>
      <w:sz w:val="18"/>
      <w:szCs w:val="20"/>
    </w:rPr>
  </w:style>
  <w:style w:type="table" w:customStyle="1" w:styleId="PBACTableStyle">
    <w:name w:val="PBAC Table Style"/>
    <w:basedOn w:val="TableGrid10"/>
    <w:uiPriority w:val="99"/>
    <w:rsid w:val="007B0880"/>
    <w:pPr>
      <w:widowControl w:val="0"/>
      <w:spacing w:before="120" w:after="0" w:line="240" w:lineRule="auto"/>
      <w:contextualSpacing/>
      <w:jc w:val="center"/>
    </w:pPr>
    <w:rPr>
      <w:rFonts w:ascii="Arial Narrow" w:hAnsi="Arial Narrow"/>
      <w:color w:val="000000" w:themeColor="text1"/>
      <w:sz w:val="20"/>
      <w:szCs w:val="20"/>
      <w:lang w:val="en-US" w:eastAsia="en-AU" w:bidi="th-TH"/>
    </w:rPr>
    <w:tbl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Arial Narrow" w:hAnsi="Arial Narrow" w:hint="default"/>
        <w:b/>
        <w:sz w:val="20"/>
        <w:szCs w:val="20"/>
      </w:rPr>
    </w:tblStylePr>
    <w:tblStylePr w:type="lastRow">
      <w:rPr>
        <w:i/>
        <w:iCs/>
      </w:rPr>
    </w:tblStylePr>
    <w:tblStylePr w:type="firstCol">
      <w:pPr>
        <w:wordWrap/>
        <w:spacing w:beforeLines="0" w:before="100" w:beforeAutospacing="1" w:afterLines="0" w:after="100" w:afterAutospacing="1" w:line="240" w:lineRule="auto"/>
        <w:ind w:leftChars="0" w:left="0" w:rightChars="0" w:right="0"/>
        <w:contextualSpacing/>
        <w:jc w:val="left"/>
      </w:pPr>
      <w:rPr>
        <w:rFonts w:ascii="Arial Narrow" w:hAnsi="Arial Narrow"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Arial Narrow" w:hAnsi="Arial Narrow" w:hint="default"/>
        <w:i/>
        <w:iCs/>
        <w:sz w:val="20"/>
        <w:szCs w:val="20"/>
      </w:rPr>
    </w:tblStylePr>
  </w:style>
  <w:style w:type="table" w:styleId="TableGrid10">
    <w:name w:val="Table Grid 1"/>
    <w:basedOn w:val="TableNormal"/>
    <w:uiPriority w:val="99"/>
    <w:semiHidden/>
    <w:unhideWhenUsed/>
    <w:rsid w:val="007B0880"/>
    <w:tblPr/>
    <w:tblStylePr w:type="lastRow">
      <w:rPr>
        <w:i/>
        <w:iCs/>
      </w:rPr>
    </w:tblStylePr>
    <w:tblStylePr w:type="lastCol">
      <w:rPr>
        <w:i/>
        <w:iCs/>
      </w:rPr>
    </w:tblStylePr>
  </w:style>
  <w:style w:type="character" w:customStyle="1" w:styleId="MSACESParagraphChar">
    <w:name w:val="MSAC ES Paragraph Char"/>
    <w:basedOn w:val="DefaultParagraphFont"/>
    <w:link w:val="MSACESParagraph"/>
    <w:uiPriority w:val="1"/>
    <w:locked/>
    <w:rsid w:val="000B720C"/>
    <w:rPr>
      <w:rFonts w:ascii="Times New Roman" w:hAnsi="Times New Roman" w:cs="Times New Roman"/>
      <w:sz w:val="24"/>
    </w:rPr>
  </w:style>
  <w:style w:type="paragraph" w:customStyle="1" w:styleId="MSACESParagraph">
    <w:name w:val="MSAC ES Paragraph"/>
    <w:link w:val="MSACESParagraphChar"/>
    <w:uiPriority w:val="1"/>
    <w:qFormat/>
    <w:rsid w:val="000B720C"/>
    <w:pPr>
      <w:spacing w:after="240" w:line="240" w:lineRule="auto"/>
    </w:pPr>
    <w:rPr>
      <w:rFonts w:ascii="Times New Roman" w:hAnsi="Times New Roman" w:cs="Times New Roman"/>
      <w:sz w:val="24"/>
    </w:rPr>
  </w:style>
  <w:style w:type="paragraph" w:styleId="FootnoteText">
    <w:name w:val="footnote text"/>
    <w:basedOn w:val="Normal"/>
    <w:link w:val="FootnoteTextChar"/>
    <w:uiPriority w:val="99"/>
    <w:unhideWhenUsed/>
    <w:rsid w:val="00804632"/>
    <w:pPr>
      <w:spacing w:after="0" w:line="240" w:lineRule="auto"/>
    </w:pPr>
    <w:rPr>
      <w:rFonts w:asciiTheme="minorHAnsi" w:hAnsiTheme="minorHAnsi"/>
      <w:sz w:val="18"/>
      <w:szCs w:val="20"/>
    </w:rPr>
  </w:style>
  <w:style w:type="character" w:customStyle="1" w:styleId="FootnoteTextChar">
    <w:name w:val="Footnote Text Char"/>
    <w:basedOn w:val="DefaultParagraphFont"/>
    <w:link w:val="FootnoteText"/>
    <w:uiPriority w:val="99"/>
    <w:rsid w:val="00804632"/>
    <w:rPr>
      <w:sz w:val="18"/>
      <w:szCs w:val="20"/>
    </w:rPr>
  </w:style>
  <w:style w:type="character" w:styleId="FootnoteReference">
    <w:name w:val="footnote reference"/>
    <w:basedOn w:val="DefaultParagraphFont"/>
    <w:unhideWhenUsed/>
    <w:rsid w:val="00804632"/>
    <w:rPr>
      <w:vertAlign w:val="superscript"/>
    </w:rPr>
  </w:style>
  <w:style w:type="paragraph" w:customStyle="1" w:styleId="TableFigNoteHanging">
    <w:name w:val="TableFigNoteHanging"/>
    <w:basedOn w:val="TableFigNoteHangingLast"/>
    <w:qFormat/>
    <w:rsid w:val="00804632"/>
    <w:pPr>
      <w:spacing w:after="0"/>
      <w:contextualSpacing w:val="0"/>
    </w:pPr>
    <w:rPr>
      <w:rFonts w:asciiTheme="minorHAnsi" w:hAnsiTheme="minorHAnsi"/>
    </w:rPr>
  </w:style>
  <w:style w:type="table" w:customStyle="1" w:styleId="TableGrid2">
    <w:name w:val="Table Grid2"/>
    <w:basedOn w:val="TableNormal"/>
    <w:next w:val="TableGrid"/>
    <w:uiPriority w:val="59"/>
    <w:rsid w:val="00804632"/>
    <w:pPr>
      <w:spacing w:after="240" w:line="240" w:lineRule="auto"/>
      <w:ind w:left="720"/>
    </w:pPr>
    <w:rPr>
      <w:rFonts w:ascii="Times New Roman" w:eastAsia="Times New Roman" w:hAnsi="Times New Roman" w:cs="Times New Roman"/>
      <w:sz w:val="20"/>
      <w:szCs w:val="20"/>
      <w:lang w:eastAsia="en-AU"/>
    </w:rPr>
    <w:tblPr/>
  </w:style>
  <w:style w:type="paragraph" w:customStyle="1" w:styleId="Summaryboxheading">
    <w:name w:val="Summary box heading"/>
    <w:basedOn w:val="Normal"/>
    <w:rsid w:val="00666A58"/>
    <w:pPr>
      <w:spacing w:after="100" w:afterAutospacing="1"/>
      <w:jc w:val="both"/>
    </w:pPr>
    <w:rPr>
      <w:rFonts w:ascii="Arial Narrow" w:eastAsia="Times New Roman" w:hAnsi="Arial Narrow" w:cs="Tahoma"/>
      <w:b/>
      <w:lang w:eastAsia="en-AU"/>
    </w:rPr>
  </w:style>
  <w:style w:type="paragraph" w:customStyle="1" w:styleId="TableText1">
    <w:name w:val="TableText"/>
    <w:basedOn w:val="Normal"/>
    <w:link w:val="TableTextChar1"/>
    <w:rsid w:val="001C2A48"/>
    <w:pPr>
      <w:keepNext/>
      <w:spacing w:before="40" w:after="40"/>
      <w:jc w:val="both"/>
    </w:pPr>
    <w:rPr>
      <w:rFonts w:ascii="Arial Narrow" w:eastAsia="Times New Roman" w:hAnsi="Arial Narrow" w:cs="Tahoma"/>
      <w:sz w:val="18"/>
      <w:lang w:eastAsia="en-AU"/>
    </w:rPr>
  </w:style>
  <w:style w:type="character" w:customStyle="1" w:styleId="TableTextChar1">
    <w:name w:val="TableText Char"/>
    <w:link w:val="TableText1"/>
    <w:rsid w:val="001C2A48"/>
    <w:rPr>
      <w:rFonts w:ascii="Arial Narrow" w:eastAsia="Times New Roman" w:hAnsi="Arial Narrow" w:cs="Tahoma"/>
      <w:sz w:val="18"/>
      <w:lang w:eastAsia="en-AU"/>
    </w:rPr>
  </w:style>
  <w:style w:type="paragraph" w:customStyle="1" w:styleId="References">
    <w:name w:val="References"/>
    <w:basedOn w:val="Normal"/>
    <w:rsid w:val="001C2A48"/>
    <w:pPr>
      <w:keepLines/>
      <w:spacing w:after="240" w:line="312" w:lineRule="auto"/>
      <w:ind w:left="1440" w:hanging="720"/>
    </w:pPr>
    <w:rPr>
      <w:rFonts w:ascii="Calibri" w:eastAsia="Times New Roman" w:hAnsi="Calibri" w:cs="Tahoma"/>
      <w:lang w:eastAsia="en-AU"/>
    </w:rPr>
  </w:style>
  <w:style w:type="paragraph" w:styleId="Title">
    <w:name w:val="Title"/>
    <w:basedOn w:val="Normal"/>
    <w:next w:val="Normal"/>
    <w:link w:val="TitleChar"/>
    <w:qFormat/>
    <w:rsid w:val="00772829"/>
    <w:pPr>
      <w:spacing w:before="480" w:after="240" w:line="240" w:lineRule="auto"/>
      <w:jc w:val="center"/>
    </w:pPr>
    <w:rPr>
      <w:rFonts w:ascii="Arial" w:eastAsia="Times New Roman" w:hAnsi="Arial" w:cs="Arial"/>
      <w:b/>
      <w:bCs/>
      <w:color w:val="000080"/>
      <w:sz w:val="36"/>
      <w:szCs w:val="36"/>
      <w:lang w:eastAsia="en-AU"/>
    </w:rPr>
  </w:style>
  <w:style w:type="character" w:customStyle="1" w:styleId="TitleChar">
    <w:name w:val="Title Char"/>
    <w:basedOn w:val="DefaultParagraphFont"/>
    <w:link w:val="Title"/>
    <w:rsid w:val="00772829"/>
    <w:rPr>
      <w:rFonts w:ascii="Arial" w:eastAsia="Times New Roman" w:hAnsi="Arial" w:cs="Arial"/>
      <w:b/>
      <w:bCs/>
      <w:color w:val="000080"/>
      <w:sz w:val="36"/>
      <w:szCs w:val="36"/>
      <w:lang w:eastAsia="en-AU"/>
    </w:rPr>
  </w:style>
  <w:style w:type="paragraph" w:styleId="Subtitle">
    <w:name w:val="Subtitle"/>
    <w:basedOn w:val="Normal"/>
    <w:next w:val="Normal"/>
    <w:link w:val="SubtitleChar"/>
    <w:qFormat/>
    <w:rsid w:val="00772829"/>
    <w:pPr>
      <w:spacing w:after="240" w:line="240" w:lineRule="auto"/>
      <w:jc w:val="center"/>
    </w:pPr>
    <w:rPr>
      <w:rFonts w:ascii="Arial" w:eastAsia="Times New Roman" w:hAnsi="Arial" w:cs="Arial"/>
      <w:b/>
      <w:bCs/>
      <w:i/>
      <w:color w:val="000080"/>
      <w:sz w:val="28"/>
      <w:szCs w:val="28"/>
      <w:lang w:eastAsia="en-AU"/>
    </w:rPr>
  </w:style>
  <w:style w:type="character" w:customStyle="1" w:styleId="SubtitleChar">
    <w:name w:val="Subtitle Char"/>
    <w:basedOn w:val="DefaultParagraphFont"/>
    <w:link w:val="Subtitle"/>
    <w:rsid w:val="00772829"/>
    <w:rPr>
      <w:rFonts w:ascii="Arial" w:eastAsia="Times New Roman" w:hAnsi="Arial" w:cs="Arial"/>
      <w:b/>
      <w:bCs/>
      <w:i/>
      <w:color w:val="000080"/>
      <w:sz w:val="28"/>
      <w:szCs w:val="28"/>
      <w:lang w:eastAsia="en-AU"/>
    </w:rPr>
  </w:style>
  <w:style w:type="paragraph" w:customStyle="1" w:styleId="ESHeading1">
    <w:name w:val="ES Heading1"/>
    <w:basedOn w:val="Heading2"/>
    <w:next w:val="Normal"/>
    <w:qFormat/>
    <w:rsid w:val="002C70CE"/>
    <w:pPr>
      <w:numPr>
        <w:numId w:val="6"/>
      </w:numPr>
      <w:spacing w:before="240"/>
      <w:ind w:left="2154" w:hanging="357"/>
    </w:pPr>
  </w:style>
  <w:style w:type="paragraph" w:customStyle="1" w:styleId="NormalBeforeBullet">
    <w:name w:val="Normal Before Bullet"/>
    <w:basedOn w:val="Normal"/>
    <w:qFormat/>
    <w:rsid w:val="00091C59"/>
    <w:pPr>
      <w:keepNext/>
      <w:spacing w:after="120" w:line="240" w:lineRule="auto"/>
    </w:pPr>
    <w:rPr>
      <w:rFonts w:asciiTheme="minorHAnsi" w:hAnsiTheme="minorHAnsi"/>
    </w:rPr>
  </w:style>
  <w:style w:type="paragraph" w:customStyle="1" w:styleId="Dash">
    <w:name w:val="Dash"/>
    <w:basedOn w:val="Bullet"/>
    <w:qFormat/>
    <w:rsid w:val="00091C59"/>
    <w:pPr>
      <w:numPr>
        <w:numId w:val="7"/>
      </w:numPr>
      <w:spacing w:after="40"/>
      <w:ind w:left="714" w:hanging="357"/>
    </w:pPr>
  </w:style>
  <w:style w:type="paragraph" w:customStyle="1" w:styleId="Instructionaltext">
    <w:name w:val="Instructional text"/>
    <w:basedOn w:val="Normal"/>
    <w:link w:val="InstructionaltextChar"/>
    <w:qFormat/>
    <w:rsid w:val="00E436A2"/>
    <w:rPr>
      <w:color w:val="258221"/>
    </w:rPr>
  </w:style>
  <w:style w:type="character" w:customStyle="1" w:styleId="UnresolvedMention1">
    <w:name w:val="Unresolved Mention1"/>
    <w:basedOn w:val="DefaultParagraphFont"/>
    <w:uiPriority w:val="99"/>
    <w:semiHidden/>
    <w:unhideWhenUsed/>
    <w:rsid w:val="00997BA8"/>
    <w:rPr>
      <w:color w:val="605E5C"/>
      <w:shd w:val="clear" w:color="auto" w:fill="E1DFDD"/>
    </w:rPr>
  </w:style>
  <w:style w:type="character" w:customStyle="1" w:styleId="InstructionaltextChar">
    <w:name w:val="Instructional text Char"/>
    <w:basedOn w:val="DefaultParagraphFont"/>
    <w:link w:val="Instructionaltext"/>
    <w:rsid w:val="00DF39E9"/>
    <w:rPr>
      <w:rFonts w:ascii="Franklin Gothic Book" w:hAnsi="Franklin Gothic Book"/>
      <w:color w:val="258221"/>
    </w:rPr>
  </w:style>
  <w:style w:type="paragraph" w:customStyle="1" w:styleId="Instructionaltext-bullet">
    <w:name w:val="Instructional text - bullet"/>
    <w:basedOn w:val="Instructionaltext"/>
    <w:qFormat/>
    <w:rsid w:val="002463A6"/>
    <w:pPr>
      <w:numPr>
        <w:numId w:val="8"/>
      </w:numPr>
      <w:spacing w:before="0" w:after="0"/>
    </w:pPr>
  </w:style>
  <w:style w:type="paragraph" w:customStyle="1" w:styleId="Instructionaltext-afterfiguretable">
    <w:name w:val="Instructional text - after figure/table"/>
    <w:basedOn w:val="Instructionaltext"/>
    <w:qFormat/>
    <w:rsid w:val="00B151CF"/>
    <w:pPr>
      <w:spacing w:before="360"/>
    </w:pPr>
  </w:style>
  <w:style w:type="paragraph" w:customStyle="1" w:styleId="Guidelinescross-ref">
    <w:name w:val="Guidelines cross-ref"/>
    <w:basedOn w:val="Normal"/>
    <w:qFormat/>
    <w:rsid w:val="005B7D6C"/>
    <w:pPr>
      <w:spacing w:before="240" w:after="240"/>
    </w:pPr>
    <w:rPr>
      <w:b/>
      <w:color w:val="0070C0"/>
      <w:sz w:val="24"/>
    </w:rPr>
  </w:style>
  <w:style w:type="paragraph" w:styleId="Revision">
    <w:name w:val="Revision"/>
    <w:hidden/>
    <w:uiPriority w:val="99"/>
    <w:semiHidden/>
    <w:rsid w:val="00610ABA"/>
    <w:pPr>
      <w:spacing w:after="0" w:line="240" w:lineRule="auto"/>
    </w:pPr>
    <w:rPr>
      <w:rFonts w:ascii="Franklin Gothic Book" w:hAnsi="Franklin Gothic Book"/>
    </w:rPr>
  </w:style>
  <w:style w:type="character" w:customStyle="1" w:styleId="UnresolvedMention2">
    <w:name w:val="Unresolved Mention2"/>
    <w:basedOn w:val="DefaultParagraphFont"/>
    <w:uiPriority w:val="99"/>
    <w:semiHidden/>
    <w:unhideWhenUsed/>
    <w:rsid w:val="00223664"/>
    <w:rPr>
      <w:color w:val="605E5C"/>
      <w:shd w:val="clear" w:color="auto" w:fill="E1DFDD"/>
    </w:rPr>
  </w:style>
  <w:style w:type="character" w:styleId="UnresolvedMention">
    <w:name w:val="Unresolved Mention"/>
    <w:basedOn w:val="DefaultParagraphFont"/>
    <w:uiPriority w:val="99"/>
    <w:unhideWhenUsed/>
    <w:rsid w:val="00D13865"/>
    <w:rPr>
      <w:color w:val="605E5C"/>
      <w:shd w:val="clear" w:color="auto" w:fill="E1DFDD"/>
    </w:rPr>
  </w:style>
  <w:style w:type="paragraph" w:customStyle="1" w:styleId="Tableheading1">
    <w:name w:val="Table heading"/>
    <w:basedOn w:val="Normal"/>
    <w:qFormat/>
    <w:rsid w:val="000B22EC"/>
    <w:pPr>
      <w:spacing w:before="0" w:after="0" w:line="276" w:lineRule="auto"/>
      <w:jc w:val="both"/>
    </w:pPr>
    <w:rPr>
      <w:rFonts w:ascii="Arial Narrow" w:hAnsi="Arial Narrow" w:cs="Calibri"/>
      <w:b/>
      <w:bCs/>
      <w:kern w:val="2"/>
      <w:sz w:val="20"/>
      <w:szCs w:val="20"/>
      <w14:ligatures w14:val="standardContextual"/>
    </w:rPr>
  </w:style>
  <w:style w:type="paragraph" w:customStyle="1" w:styleId="Normalnum1">
    <w:name w:val="Normal num 1"/>
    <w:basedOn w:val="Normal"/>
    <w:qFormat/>
    <w:rsid w:val="006150E5"/>
    <w:pPr>
      <w:numPr>
        <w:numId w:val="10"/>
      </w:numPr>
      <w:contextualSpacing/>
    </w:pPr>
    <w:rPr>
      <w:rFonts w:eastAsia="Calibri" w:cs="Arial"/>
    </w:rPr>
  </w:style>
  <w:style w:type="paragraph" w:customStyle="1" w:styleId="Tablebullet1">
    <w:name w:val="Table bullet 1"/>
    <w:basedOn w:val="Tabletext0"/>
    <w:qFormat/>
    <w:rsid w:val="00724EF0"/>
    <w:pPr>
      <w:numPr>
        <w:numId w:val="9"/>
      </w:numPr>
      <w:spacing w:before="0" w:line="276" w:lineRule="auto"/>
      <w:ind w:left="360"/>
    </w:pPr>
    <w:rPr>
      <w:rFonts w:eastAsiaTheme="minorHAnsi" w:cs="Calibri"/>
      <w:kern w:val="2"/>
      <w:lang w:eastAsia="en-US"/>
      <w14:ligatures w14:val="standardContextual"/>
    </w:rPr>
  </w:style>
  <w:style w:type="paragraph" w:customStyle="1" w:styleId="Tablebullet2">
    <w:name w:val="Table bullet 2"/>
    <w:basedOn w:val="Tablebullet1"/>
    <w:qFormat/>
    <w:rsid w:val="00E176F2"/>
    <w:pPr>
      <w:numPr>
        <w:ilvl w:val="1"/>
      </w:numPr>
      <w:ind w:left="723"/>
    </w:pPr>
  </w:style>
  <w:style w:type="character" w:styleId="Mention">
    <w:name w:val="Mention"/>
    <w:basedOn w:val="DefaultParagraphFont"/>
    <w:uiPriority w:val="99"/>
    <w:unhideWhenUsed/>
    <w:rsid w:val="004025D9"/>
    <w:rPr>
      <w:color w:val="2B579A"/>
      <w:shd w:val="clear" w:color="auto" w:fill="E1DFDD"/>
    </w:rPr>
  </w:style>
  <w:style w:type="paragraph" w:customStyle="1" w:styleId="Tablefooter0">
    <w:name w:val="Table footer"/>
    <w:basedOn w:val="Normal"/>
    <w:qFormat/>
    <w:rsid w:val="0054798A"/>
    <w:pPr>
      <w:spacing w:before="0" w:after="0" w:line="276" w:lineRule="auto"/>
    </w:pPr>
    <w:rPr>
      <w:rFonts w:ascii="Arial Narrow" w:eastAsia="Times New Roman" w:hAnsi="Arial Narrow" w:cs="Tahoma"/>
      <w:sz w:val="18"/>
      <w:szCs w:val="18"/>
      <w:lang w:eastAsia="en-AU"/>
    </w:rPr>
  </w:style>
  <w:style w:type="table" w:customStyle="1" w:styleId="HTATableshaded">
    <w:name w:val="HTA Table shaded"/>
    <w:basedOn w:val="TableNormal"/>
    <w:rsid w:val="00EF42AA"/>
    <w:pPr>
      <w:spacing w:before="40" w:after="20" w:line="240" w:lineRule="auto"/>
    </w:pPr>
    <w:rPr>
      <w:rFonts w:ascii="Calibri" w:eastAsia="Times New Roman" w:hAnsi="Calibri" w:cs="Times New Roman"/>
      <w:sz w:val="18"/>
      <w:szCs w:val="18"/>
      <w:lang w:eastAsia="en-AU"/>
    </w:rPr>
    <w:tblPr/>
    <w:tblStylePr w:type="firstRow">
      <w:rPr>
        <w:rFonts w:ascii="Calibri" w:hAnsi="Calibri" w:cs="Calibri" w:hint="default"/>
        <w:b w:val="0"/>
        <w:sz w:val="22"/>
        <w:szCs w:val="22"/>
      </w:rPr>
    </w:tblStylePr>
  </w:style>
  <w:style w:type="paragraph" w:customStyle="1" w:styleId="EndNoteBibliography">
    <w:name w:val="EndNote Bibliography"/>
    <w:basedOn w:val="Normal"/>
    <w:link w:val="EndNoteBibliographyChar"/>
    <w:rsid w:val="002E4B48"/>
    <w:pPr>
      <w:spacing w:line="240" w:lineRule="auto"/>
    </w:pPr>
    <w:rPr>
      <w:rFonts w:ascii="Arial Narrow" w:eastAsia="SimSun" w:hAnsi="Arial Narrow"/>
      <w:noProof/>
      <w:sz w:val="18"/>
      <w:lang w:val="en-US"/>
    </w:rPr>
  </w:style>
  <w:style w:type="character" w:customStyle="1" w:styleId="EndNoteBibliographyChar">
    <w:name w:val="EndNote Bibliography Char"/>
    <w:basedOn w:val="DefaultParagraphFont"/>
    <w:link w:val="EndNoteBibliography"/>
    <w:rsid w:val="002E4B48"/>
    <w:rPr>
      <w:rFonts w:ascii="Arial Narrow" w:eastAsia="SimSun" w:hAnsi="Arial Narrow"/>
      <w:noProof/>
      <w:sz w:val="18"/>
      <w:lang w:val="en-US"/>
    </w:rPr>
  </w:style>
  <w:style w:type="paragraph" w:customStyle="1" w:styleId="EndNoteBibliographyTitle">
    <w:name w:val="EndNote Bibliography Title"/>
    <w:basedOn w:val="Normal"/>
    <w:link w:val="EndNoteBibliographyTitleChar"/>
    <w:rsid w:val="002E4B48"/>
    <w:pPr>
      <w:spacing w:after="0"/>
      <w:jc w:val="center"/>
    </w:pPr>
    <w:rPr>
      <w:rFonts w:ascii="Arial Narrow" w:hAnsi="Arial Narrow"/>
      <w:noProof/>
      <w:sz w:val="18"/>
      <w:lang w:val="en-US"/>
    </w:rPr>
  </w:style>
  <w:style w:type="character" w:customStyle="1" w:styleId="EndNoteBibliographyTitleChar">
    <w:name w:val="EndNote Bibliography Title Char"/>
    <w:basedOn w:val="EndNoteBibliographyChar"/>
    <w:link w:val="EndNoteBibliographyTitle"/>
    <w:rsid w:val="002E4B48"/>
    <w:rPr>
      <w:rFonts w:ascii="Arial Narrow" w:eastAsia="SimSun" w:hAnsi="Arial Narrow"/>
      <w:noProof/>
      <w:sz w:val="18"/>
      <w:lang w:val="en-US"/>
    </w:rPr>
  </w:style>
  <w:style w:type="character" w:customStyle="1" w:styleId="Heading5Char">
    <w:name w:val="Heading 5 Char"/>
    <w:basedOn w:val="DefaultParagraphFont"/>
    <w:link w:val="Heading5"/>
    <w:uiPriority w:val="9"/>
    <w:rsid w:val="00E73C71"/>
    <w:rPr>
      <w:rFonts w:ascii="Franklin Gothic Medium" w:eastAsiaTheme="majorEastAsia" w:hAnsi="Franklin Gothic Medium" w:cstheme="majorBidi"/>
      <w:i/>
      <w:sz w:val="24"/>
      <w:szCs w:val="24"/>
    </w:rPr>
  </w:style>
  <w:style w:type="paragraph" w:customStyle="1" w:styleId="Normalbold">
    <w:name w:val="Normal bold"/>
    <w:basedOn w:val="Normal"/>
    <w:next w:val="Normal"/>
    <w:qFormat/>
    <w:rsid w:val="00BF09C4"/>
    <w:pPr>
      <w:keepNext/>
    </w:pPr>
    <w:rPr>
      <w:b/>
      <w:bCs/>
    </w:rPr>
  </w:style>
  <w:style w:type="paragraph" w:customStyle="1" w:styleId="Default">
    <w:name w:val="Default"/>
    <w:rsid w:val="00D470B8"/>
    <w:pPr>
      <w:autoSpaceDE w:val="0"/>
      <w:autoSpaceDN w:val="0"/>
      <w:adjustRightInd w:val="0"/>
      <w:spacing w:after="0" w:line="240" w:lineRule="auto"/>
    </w:pPr>
    <w:rPr>
      <w:rFonts w:ascii="Calibri" w:hAnsi="Calibri" w:cs="Calibri"/>
      <w:color w:val="000000"/>
      <w:sz w:val="24"/>
      <w:szCs w:val="24"/>
    </w:rPr>
  </w:style>
  <w:style w:type="paragraph" w:customStyle="1" w:styleId="Tabletab1">
    <w:name w:val="Table tab 1"/>
    <w:basedOn w:val="Tabletext0"/>
    <w:qFormat/>
    <w:rsid w:val="0056514D"/>
    <w:pPr>
      <w:ind w:left="283"/>
    </w:pPr>
  </w:style>
  <w:style w:type="paragraph" w:customStyle="1" w:styleId="Tableunderline">
    <w:name w:val="Table underline"/>
    <w:basedOn w:val="Tabletext0"/>
    <w:next w:val="Tabletext0"/>
    <w:link w:val="TableunderlineChar"/>
    <w:qFormat/>
    <w:rsid w:val="00021D4E"/>
    <w:rPr>
      <w:u w:val="single"/>
      <w:lang w:val="en-US"/>
    </w:rPr>
  </w:style>
  <w:style w:type="character" w:customStyle="1" w:styleId="TableunderlineChar">
    <w:name w:val="Table underline Char"/>
    <w:basedOn w:val="TabletextChar0"/>
    <w:link w:val="Tableunderline"/>
    <w:rsid w:val="00021D4E"/>
    <w:rPr>
      <w:rFonts w:ascii="Arial Narrow" w:eastAsia="Times New Roman" w:hAnsi="Arial Narrow" w:cs="Tahoma"/>
      <w:sz w:val="20"/>
      <w:szCs w:val="20"/>
      <w:u w:val="single"/>
      <w:lang w:val="en-US" w:eastAsia="en-AU"/>
    </w:rPr>
  </w:style>
  <w:style w:type="character" w:customStyle="1" w:styleId="content">
    <w:name w:val="content"/>
    <w:basedOn w:val="DefaultParagraphFont"/>
    <w:rsid w:val="00B6548E"/>
  </w:style>
  <w:style w:type="character" w:customStyle="1" w:styleId="prev-value">
    <w:name w:val="prev-value"/>
    <w:basedOn w:val="DefaultParagraphFont"/>
    <w:rsid w:val="00B6548E"/>
  </w:style>
  <w:style w:type="character" w:customStyle="1" w:styleId="effect">
    <w:name w:val="effect"/>
    <w:basedOn w:val="DefaultParagraphFont"/>
    <w:rsid w:val="00B6548E"/>
  </w:style>
  <w:style w:type="character" w:customStyle="1" w:styleId="quality-sign">
    <w:name w:val="quality-sign"/>
    <w:basedOn w:val="DefaultParagraphFont"/>
    <w:rsid w:val="00B6548E"/>
  </w:style>
  <w:style w:type="character" w:customStyle="1" w:styleId="quality-text">
    <w:name w:val="quality-text"/>
    <w:basedOn w:val="DefaultParagraphFont"/>
    <w:rsid w:val="00B6548E"/>
  </w:style>
  <w:style w:type="character" w:customStyle="1" w:styleId="label">
    <w:name w:val="label"/>
    <w:basedOn w:val="DefaultParagraphFont"/>
    <w:rsid w:val="00B6548E"/>
  </w:style>
  <w:style w:type="character" w:customStyle="1" w:styleId="cell-value">
    <w:name w:val="cell-value"/>
    <w:basedOn w:val="DefaultParagraphFont"/>
    <w:rsid w:val="00B6548E"/>
  </w:style>
  <w:style w:type="character" w:customStyle="1" w:styleId="cell">
    <w:name w:val="cell"/>
    <w:basedOn w:val="DefaultParagraphFont"/>
    <w:rsid w:val="00B6548E"/>
  </w:style>
  <w:style w:type="character" w:customStyle="1" w:styleId="block">
    <w:name w:val="block"/>
    <w:basedOn w:val="DefaultParagraphFont"/>
    <w:rsid w:val="00B6548E"/>
  </w:style>
  <w:style w:type="character" w:customStyle="1" w:styleId="comma">
    <w:name w:val="comma"/>
    <w:basedOn w:val="DefaultParagraphFont"/>
    <w:rsid w:val="00B6548E"/>
  </w:style>
  <w:style w:type="character" w:styleId="PlaceholderText">
    <w:name w:val="Placeholder Text"/>
    <w:basedOn w:val="DefaultParagraphFont"/>
    <w:uiPriority w:val="99"/>
    <w:semiHidden/>
    <w:rsid w:val="00B6548E"/>
    <w:rPr>
      <w:color w:val="666666"/>
    </w:rPr>
  </w:style>
  <w:style w:type="character" w:customStyle="1" w:styleId="3-BodyTextChar">
    <w:name w:val="3-Body Text Char"/>
    <w:basedOn w:val="DefaultParagraphFont"/>
    <w:link w:val="3-BodyText"/>
    <w:rsid w:val="00B6548E"/>
    <w:rPr>
      <w:rFonts w:eastAsia="Times New Roman" w:cs="Arial"/>
      <w:snapToGrid w:val="0"/>
      <w:sz w:val="24"/>
      <w:szCs w:val="24"/>
      <w:lang w:eastAsia="en-AU"/>
    </w:rPr>
  </w:style>
  <w:style w:type="paragraph" w:customStyle="1" w:styleId="Normalbullet1">
    <w:name w:val="Normal bullet 1"/>
    <w:basedOn w:val="ListParagraph"/>
    <w:qFormat/>
    <w:rsid w:val="007C05F4"/>
    <w:pPr>
      <w:numPr>
        <w:numId w:val="11"/>
      </w:numPr>
      <w:spacing w:after="0" w:line="240" w:lineRule="auto"/>
    </w:pPr>
  </w:style>
  <w:style w:type="paragraph" w:styleId="BodyText">
    <w:name w:val="Body Text"/>
    <w:basedOn w:val="Normal"/>
    <w:link w:val="BodyTextChar"/>
    <w:uiPriority w:val="1"/>
    <w:qFormat/>
    <w:rsid w:val="00540671"/>
    <w:pPr>
      <w:widowControl w:val="0"/>
      <w:autoSpaceDE w:val="0"/>
      <w:autoSpaceDN w:val="0"/>
      <w:spacing w:before="0" w:after="120" w:line="240" w:lineRule="auto"/>
      <w:ind w:left="115"/>
    </w:pPr>
    <w:rPr>
      <w:rFonts w:ascii="Arial" w:eastAsia="Arial" w:hAnsi="Arial" w:cs="Arial"/>
      <w:sz w:val="20"/>
      <w:szCs w:val="20"/>
      <w:lang w:eastAsia="en-AU" w:bidi="en-AU"/>
    </w:rPr>
  </w:style>
  <w:style w:type="character" w:customStyle="1" w:styleId="BodyTextChar">
    <w:name w:val="Body Text Char"/>
    <w:basedOn w:val="DefaultParagraphFont"/>
    <w:link w:val="BodyText"/>
    <w:uiPriority w:val="1"/>
    <w:rsid w:val="00540671"/>
    <w:rPr>
      <w:rFonts w:ascii="Arial" w:eastAsia="Arial" w:hAnsi="Arial" w:cs="Arial"/>
      <w:sz w:val="20"/>
      <w:szCs w:val="20"/>
      <w:lang w:eastAsia="en-AU" w:bidi="en-AU"/>
    </w:rPr>
  </w:style>
  <w:style w:type="character" w:customStyle="1" w:styleId="normaltextrun">
    <w:name w:val="normaltextrun"/>
    <w:basedOn w:val="DefaultParagraphFont"/>
    <w:rsid w:val="004E0688"/>
  </w:style>
  <w:style w:type="character" w:customStyle="1" w:styleId="eop">
    <w:name w:val="eop"/>
    <w:basedOn w:val="DefaultParagraphFont"/>
    <w:rsid w:val="004E0688"/>
  </w:style>
  <w:style w:type="character" w:customStyle="1" w:styleId="Heading6Char">
    <w:name w:val="Heading 6 Char"/>
    <w:basedOn w:val="DefaultParagraphFont"/>
    <w:link w:val="Heading6"/>
    <w:uiPriority w:val="9"/>
    <w:rsid w:val="00BD2AA1"/>
    <w:rPr>
      <w:rFonts w:asciiTheme="majorHAnsi" w:eastAsiaTheme="majorEastAsia" w:hAnsiTheme="majorHAnsi" w:cstheme="majorBidi"/>
      <w:color w:val="1F4D78" w:themeColor="accent1" w:themeShade="7F"/>
    </w:rPr>
  </w:style>
  <w:style w:type="paragraph" w:customStyle="1" w:styleId="pf0">
    <w:name w:val="pf0"/>
    <w:basedOn w:val="Normal"/>
    <w:rsid w:val="00BD2AA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BD2AA1"/>
    <w:rPr>
      <w:rFonts w:ascii="Segoe UI" w:hAnsi="Segoe UI" w:cs="Segoe UI" w:hint="default"/>
      <w:sz w:val="18"/>
      <w:szCs w:val="18"/>
    </w:rPr>
  </w:style>
  <w:style w:type="character" w:customStyle="1" w:styleId="cf11">
    <w:name w:val="cf11"/>
    <w:basedOn w:val="DefaultParagraphFont"/>
    <w:rsid w:val="00BD2AA1"/>
    <w:rPr>
      <w:rFonts w:ascii="Segoe UI" w:hAnsi="Segoe UI" w:cs="Segoe UI" w:hint="default"/>
      <w:sz w:val="18"/>
      <w:szCs w:val="18"/>
      <w:vertAlign w:val="superscript"/>
    </w:rPr>
  </w:style>
  <w:style w:type="table" w:styleId="GridTable1Light">
    <w:name w:val="Grid Table 1 Light"/>
    <w:basedOn w:val="TableNormal"/>
    <w:uiPriority w:val="46"/>
    <w:rsid w:val="00FA24A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rsid w:val="00861E1C"/>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7Colourful">
    <w:name w:val="Grid Table 7 Colorful"/>
    <w:basedOn w:val="TableNormal"/>
    <w:uiPriority w:val="52"/>
    <w:rsid w:val="00861E1C"/>
    <w:pPr>
      <w:spacing w:after="0" w:line="240" w:lineRule="auto"/>
    </w:pPr>
    <w:rPr>
      <w:color w:val="000000" w:themeColor="text1"/>
    </w:rP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GridTable3">
    <w:name w:val="Grid Table 3"/>
    <w:basedOn w:val="TableNormal"/>
    <w:uiPriority w:val="48"/>
    <w:rsid w:val="004C5610"/>
    <w:pPr>
      <w:spacing w:after="0" w:line="240" w:lineRule="auto"/>
    </w:pPr>
    <w:tblPr/>
    <w:tblStylePr w:type="firstRow">
      <w:rPr>
        <w:b/>
        <w:bCs/>
      </w:rPr>
    </w:tblStylePr>
    <w:tblStylePr w:type="lastRow">
      <w:rPr>
        <w:b/>
        <w:bCs/>
      </w:rPr>
    </w:tblStylePr>
    <w:tblStylePr w:type="firstCol">
      <w:pPr>
        <w:jc w:val="right"/>
      </w:pPr>
      <w:rPr>
        <w:i/>
        <w:iCs/>
      </w:rPr>
    </w:tblStylePr>
    <w:tblStylePr w:type="lastCol">
      <w:rPr>
        <w:i/>
        <w:iCs/>
      </w:rPr>
    </w:tblStylePr>
  </w:style>
  <w:style w:type="table" w:styleId="GridTable2">
    <w:name w:val="Grid Table 2"/>
    <w:basedOn w:val="TableNormal"/>
    <w:uiPriority w:val="47"/>
    <w:rsid w:val="004C5610"/>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GridTable4">
    <w:name w:val="Grid Table 4"/>
    <w:basedOn w:val="TableNormal"/>
    <w:uiPriority w:val="49"/>
    <w:rsid w:val="00382D56"/>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6Colourful">
    <w:name w:val="Grid Table 6 Colorful"/>
    <w:basedOn w:val="TableNormal"/>
    <w:uiPriority w:val="51"/>
    <w:rsid w:val="00BD4566"/>
    <w:pPr>
      <w:spacing w:after="0" w:line="240" w:lineRule="auto"/>
    </w:pPr>
    <w:rPr>
      <w:color w:val="000000" w:themeColor="text1"/>
    </w:rPr>
    <w:tblPr/>
    <w:tblStylePr w:type="firstRow">
      <w:rPr>
        <w:b/>
        <w:bCs/>
      </w:rPr>
    </w:tblStylePr>
    <w:tblStylePr w:type="lastRow">
      <w:rPr>
        <w:b/>
        <w:bCs/>
      </w:rPr>
    </w:tblStylePr>
    <w:tblStylePr w:type="firstCol">
      <w:rPr>
        <w:b/>
        <w:bCs/>
      </w:rPr>
    </w:tblStylePr>
    <w:tblStylePr w:type="lastCol">
      <w:rPr>
        <w:b/>
        <w:bCs/>
      </w:rPr>
    </w:tblStylePr>
  </w:style>
  <w:style w:type="table" w:styleId="TableGridLight">
    <w:name w:val="Grid Table Light"/>
    <w:basedOn w:val="TableNormal"/>
    <w:uiPriority w:val="40"/>
    <w:rsid w:val="002405D2"/>
    <w:pPr>
      <w:spacing w:after="0" w:line="240" w:lineRule="auto"/>
    </w:pPr>
    <w:tblPr/>
  </w:style>
  <w:style w:type="table" w:styleId="PlainTable1">
    <w:name w:val="Plain Table 1"/>
    <w:basedOn w:val="TableNormal"/>
    <w:uiPriority w:val="41"/>
    <w:rsid w:val="00552987"/>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1">
    <w:name w:val="Grid Table 1 Light Accent 1"/>
    <w:basedOn w:val="TableNormal"/>
    <w:uiPriority w:val="46"/>
    <w:rsid w:val="00961624"/>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unhideWhenUsed/>
    <w:rsid w:val="00FE7A9D"/>
    <w:rPr>
      <w:rFonts w:ascii="Times New Roman" w:hAnsi="Times New Roman" w:cs="Times New Roman"/>
      <w:sz w:val="24"/>
      <w:szCs w:val="24"/>
    </w:rPr>
  </w:style>
  <w:style w:type="paragraph" w:customStyle="1" w:styleId="paragraph">
    <w:name w:val="paragraph"/>
    <w:basedOn w:val="Normal"/>
    <w:rsid w:val="003448D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ulletBeforeDash">
    <w:name w:val="BulletBeforeDash"/>
    <w:basedOn w:val="Normal"/>
    <w:rsid w:val="006E4295"/>
    <w:pPr>
      <w:numPr>
        <w:numId w:val="15"/>
      </w:numPr>
      <w:spacing w:before="0" w:after="0" w:line="240" w:lineRule="auto"/>
    </w:pPr>
    <w:rPr>
      <w:rFonts w:eastAsia="Times New Roman" w:cs="Times New Roman"/>
      <w:color w:val="000000"/>
      <w:szCs w:val="20"/>
      <w:lang w:eastAsia="en-AU"/>
    </w:rPr>
  </w:style>
  <w:style w:type="paragraph" w:customStyle="1" w:styleId="BulletLast">
    <w:name w:val="BulletLast"/>
    <w:basedOn w:val="Bullet"/>
    <w:qFormat/>
    <w:rsid w:val="006E4295"/>
    <w:pPr>
      <w:tabs>
        <w:tab w:val="num" w:pos="360"/>
      </w:tabs>
      <w:spacing w:before="0" w:after="240"/>
      <w:ind w:left="360"/>
    </w:pPr>
    <w:rPr>
      <w:rFonts w:ascii="Franklin Gothic Book" w:eastAsia="Times New Roman" w:hAnsi="Franklin Gothic Book" w:cs="Times New Roman"/>
      <w:color w:val="000000"/>
      <w:szCs w:val="20"/>
      <w:lang w:eastAsia="en-AU"/>
    </w:rPr>
  </w:style>
  <w:style w:type="paragraph" w:customStyle="1" w:styleId="NormalBeforeBullet0">
    <w:name w:val="NormalBeforeBullet"/>
    <w:basedOn w:val="Normal"/>
    <w:qFormat/>
    <w:rsid w:val="006E4295"/>
    <w:pPr>
      <w:keepNext/>
      <w:spacing w:before="0" w:after="120" w:line="240" w:lineRule="auto"/>
    </w:pPr>
    <w:rPr>
      <w:rFonts w:eastAsia="Times New Roman" w:cs="Times New Roman"/>
      <w:color w:val="000000"/>
      <w:szCs w:val="20"/>
      <w:lang w:eastAsia="en-AU"/>
    </w:rPr>
  </w:style>
  <w:style w:type="table" w:customStyle="1" w:styleId="CMATableTemplate1">
    <w:name w:val="CMA Table Template1"/>
    <w:basedOn w:val="TableNormal"/>
    <w:next w:val="TableGrid"/>
    <w:uiPriority w:val="39"/>
    <w:rsid w:val="007E721E"/>
    <w:pPr>
      <w:widowControl w:val="0"/>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MATableTemplate2">
    <w:name w:val="CMA Table Template2"/>
    <w:basedOn w:val="TableNormal"/>
    <w:next w:val="TableGrid"/>
    <w:uiPriority w:val="39"/>
    <w:rsid w:val="00E51652"/>
    <w:pPr>
      <w:spacing w:after="0" w:line="240" w:lineRule="auto"/>
    </w:pPr>
    <w:rPr>
      <w:kern w:val="2"/>
      <w:sz w:val="24"/>
      <w:szCs w:val="24"/>
      <w:lang w:val="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MATableTemplate3">
    <w:name w:val="CMA Table Template3"/>
    <w:basedOn w:val="TableNormal"/>
    <w:next w:val="TableGrid"/>
    <w:uiPriority w:val="39"/>
    <w:rsid w:val="00E51652"/>
    <w:pPr>
      <w:spacing w:after="0" w:line="240" w:lineRule="auto"/>
    </w:pPr>
    <w:rPr>
      <w:kern w:val="2"/>
      <w:sz w:val="24"/>
      <w:szCs w:val="24"/>
      <w:lang w:val="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MATableTemplate4">
    <w:name w:val="CMA Table Template4"/>
    <w:basedOn w:val="TableNormal"/>
    <w:next w:val="TableGrid"/>
    <w:uiPriority w:val="39"/>
    <w:rsid w:val="00E51652"/>
    <w:pPr>
      <w:spacing w:after="0" w:line="240" w:lineRule="auto"/>
    </w:pPr>
    <w:rPr>
      <w:kern w:val="2"/>
      <w:sz w:val="24"/>
      <w:szCs w:val="24"/>
      <w:lang w:val="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MATableTemplate5">
    <w:name w:val="CMA Table Template5"/>
    <w:basedOn w:val="TableNormal"/>
    <w:next w:val="TableGrid"/>
    <w:uiPriority w:val="39"/>
    <w:rsid w:val="00E51652"/>
    <w:pPr>
      <w:spacing w:after="0" w:line="240" w:lineRule="auto"/>
    </w:pPr>
    <w:rPr>
      <w:kern w:val="2"/>
      <w:sz w:val="24"/>
      <w:szCs w:val="24"/>
      <w:lang w:val="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ection3-footnot1">
    <w:name w:val="Section 3- footnot1"/>
    <w:basedOn w:val="TableNormal"/>
    <w:next w:val="TableGrid"/>
    <w:uiPriority w:val="59"/>
    <w:rsid w:val="002361D0"/>
    <w:pPr>
      <w:spacing w:after="0" w:line="240" w:lineRule="auto"/>
    </w:pPr>
    <w:tblPr/>
  </w:style>
  <w:style w:type="table" w:customStyle="1" w:styleId="HTAtableplain1">
    <w:name w:val="HTAtableplain1"/>
    <w:basedOn w:val="TableNormal"/>
    <w:next w:val="TableGrid"/>
    <w:rsid w:val="00DC4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5403">
      <w:bodyDiv w:val="1"/>
      <w:marLeft w:val="0"/>
      <w:marRight w:val="0"/>
      <w:marTop w:val="0"/>
      <w:marBottom w:val="0"/>
      <w:divBdr>
        <w:top w:val="none" w:sz="0" w:space="0" w:color="auto"/>
        <w:left w:val="none" w:sz="0" w:space="0" w:color="auto"/>
        <w:bottom w:val="none" w:sz="0" w:space="0" w:color="auto"/>
        <w:right w:val="none" w:sz="0" w:space="0" w:color="auto"/>
      </w:divBdr>
    </w:div>
    <w:div w:id="57827476">
      <w:bodyDiv w:val="1"/>
      <w:marLeft w:val="0"/>
      <w:marRight w:val="0"/>
      <w:marTop w:val="0"/>
      <w:marBottom w:val="0"/>
      <w:divBdr>
        <w:top w:val="none" w:sz="0" w:space="0" w:color="auto"/>
        <w:left w:val="none" w:sz="0" w:space="0" w:color="auto"/>
        <w:bottom w:val="none" w:sz="0" w:space="0" w:color="auto"/>
        <w:right w:val="none" w:sz="0" w:space="0" w:color="auto"/>
      </w:divBdr>
    </w:div>
    <w:div w:id="71003114">
      <w:bodyDiv w:val="1"/>
      <w:marLeft w:val="0"/>
      <w:marRight w:val="0"/>
      <w:marTop w:val="0"/>
      <w:marBottom w:val="0"/>
      <w:divBdr>
        <w:top w:val="none" w:sz="0" w:space="0" w:color="auto"/>
        <w:left w:val="none" w:sz="0" w:space="0" w:color="auto"/>
        <w:bottom w:val="none" w:sz="0" w:space="0" w:color="auto"/>
        <w:right w:val="none" w:sz="0" w:space="0" w:color="auto"/>
      </w:divBdr>
    </w:div>
    <w:div w:id="74130392">
      <w:bodyDiv w:val="1"/>
      <w:marLeft w:val="0"/>
      <w:marRight w:val="0"/>
      <w:marTop w:val="0"/>
      <w:marBottom w:val="0"/>
      <w:divBdr>
        <w:top w:val="none" w:sz="0" w:space="0" w:color="auto"/>
        <w:left w:val="none" w:sz="0" w:space="0" w:color="auto"/>
        <w:bottom w:val="none" w:sz="0" w:space="0" w:color="auto"/>
        <w:right w:val="none" w:sz="0" w:space="0" w:color="auto"/>
      </w:divBdr>
    </w:div>
    <w:div w:id="78604478">
      <w:bodyDiv w:val="1"/>
      <w:marLeft w:val="0"/>
      <w:marRight w:val="0"/>
      <w:marTop w:val="0"/>
      <w:marBottom w:val="0"/>
      <w:divBdr>
        <w:top w:val="none" w:sz="0" w:space="0" w:color="auto"/>
        <w:left w:val="none" w:sz="0" w:space="0" w:color="auto"/>
        <w:bottom w:val="none" w:sz="0" w:space="0" w:color="auto"/>
        <w:right w:val="none" w:sz="0" w:space="0" w:color="auto"/>
      </w:divBdr>
    </w:div>
    <w:div w:id="82335863">
      <w:bodyDiv w:val="1"/>
      <w:marLeft w:val="0"/>
      <w:marRight w:val="0"/>
      <w:marTop w:val="0"/>
      <w:marBottom w:val="0"/>
      <w:divBdr>
        <w:top w:val="none" w:sz="0" w:space="0" w:color="auto"/>
        <w:left w:val="none" w:sz="0" w:space="0" w:color="auto"/>
        <w:bottom w:val="none" w:sz="0" w:space="0" w:color="auto"/>
        <w:right w:val="none" w:sz="0" w:space="0" w:color="auto"/>
      </w:divBdr>
      <w:divsChild>
        <w:div w:id="29427189">
          <w:marLeft w:val="0"/>
          <w:marRight w:val="0"/>
          <w:marTop w:val="0"/>
          <w:marBottom w:val="0"/>
          <w:divBdr>
            <w:top w:val="none" w:sz="0" w:space="0" w:color="auto"/>
            <w:left w:val="none" w:sz="0" w:space="0" w:color="auto"/>
            <w:bottom w:val="none" w:sz="0" w:space="0" w:color="auto"/>
            <w:right w:val="none" w:sz="0" w:space="0" w:color="auto"/>
          </w:divBdr>
        </w:div>
        <w:div w:id="347099928">
          <w:marLeft w:val="0"/>
          <w:marRight w:val="0"/>
          <w:marTop w:val="0"/>
          <w:marBottom w:val="0"/>
          <w:divBdr>
            <w:top w:val="none" w:sz="0" w:space="0" w:color="auto"/>
            <w:left w:val="none" w:sz="0" w:space="0" w:color="auto"/>
            <w:bottom w:val="none" w:sz="0" w:space="0" w:color="auto"/>
            <w:right w:val="none" w:sz="0" w:space="0" w:color="auto"/>
          </w:divBdr>
        </w:div>
        <w:div w:id="663819245">
          <w:marLeft w:val="0"/>
          <w:marRight w:val="0"/>
          <w:marTop w:val="0"/>
          <w:marBottom w:val="0"/>
          <w:divBdr>
            <w:top w:val="none" w:sz="0" w:space="0" w:color="auto"/>
            <w:left w:val="none" w:sz="0" w:space="0" w:color="auto"/>
            <w:bottom w:val="none" w:sz="0" w:space="0" w:color="auto"/>
            <w:right w:val="none" w:sz="0" w:space="0" w:color="auto"/>
          </w:divBdr>
        </w:div>
        <w:div w:id="911355268">
          <w:marLeft w:val="0"/>
          <w:marRight w:val="0"/>
          <w:marTop w:val="0"/>
          <w:marBottom w:val="0"/>
          <w:divBdr>
            <w:top w:val="none" w:sz="0" w:space="0" w:color="auto"/>
            <w:left w:val="none" w:sz="0" w:space="0" w:color="auto"/>
            <w:bottom w:val="none" w:sz="0" w:space="0" w:color="auto"/>
            <w:right w:val="none" w:sz="0" w:space="0" w:color="auto"/>
          </w:divBdr>
        </w:div>
        <w:div w:id="1667319390">
          <w:marLeft w:val="0"/>
          <w:marRight w:val="0"/>
          <w:marTop w:val="0"/>
          <w:marBottom w:val="0"/>
          <w:divBdr>
            <w:top w:val="none" w:sz="0" w:space="0" w:color="auto"/>
            <w:left w:val="none" w:sz="0" w:space="0" w:color="auto"/>
            <w:bottom w:val="none" w:sz="0" w:space="0" w:color="auto"/>
            <w:right w:val="none" w:sz="0" w:space="0" w:color="auto"/>
          </w:divBdr>
        </w:div>
        <w:div w:id="1725644388">
          <w:marLeft w:val="0"/>
          <w:marRight w:val="0"/>
          <w:marTop w:val="0"/>
          <w:marBottom w:val="0"/>
          <w:divBdr>
            <w:top w:val="none" w:sz="0" w:space="0" w:color="auto"/>
            <w:left w:val="none" w:sz="0" w:space="0" w:color="auto"/>
            <w:bottom w:val="none" w:sz="0" w:space="0" w:color="auto"/>
            <w:right w:val="none" w:sz="0" w:space="0" w:color="auto"/>
          </w:divBdr>
        </w:div>
      </w:divsChild>
    </w:div>
    <w:div w:id="93938028">
      <w:bodyDiv w:val="1"/>
      <w:marLeft w:val="0"/>
      <w:marRight w:val="0"/>
      <w:marTop w:val="0"/>
      <w:marBottom w:val="0"/>
      <w:divBdr>
        <w:top w:val="none" w:sz="0" w:space="0" w:color="auto"/>
        <w:left w:val="none" w:sz="0" w:space="0" w:color="auto"/>
        <w:bottom w:val="none" w:sz="0" w:space="0" w:color="auto"/>
        <w:right w:val="none" w:sz="0" w:space="0" w:color="auto"/>
      </w:divBdr>
    </w:div>
    <w:div w:id="113911434">
      <w:bodyDiv w:val="1"/>
      <w:marLeft w:val="0"/>
      <w:marRight w:val="0"/>
      <w:marTop w:val="0"/>
      <w:marBottom w:val="0"/>
      <w:divBdr>
        <w:top w:val="none" w:sz="0" w:space="0" w:color="auto"/>
        <w:left w:val="none" w:sz="0" w:space="0" w:color="auto"/>
        <w:bottom w:val="none" w:sz="0" w:space="0" w:color="auto"/>
        <w:right w:val="none" w:sz="0" w:space="0" w:color="auto"/>
      </w:divBdr>
    </w:div>
    <w:div w:id="114102665">
      <w:bodyDiv w:val="1"/>
      <w:marLeft w:val="0"/>
      <w:marRight w:val="0"/>
      <w:marTop w:val="0"/>
      <w:marBottom w:val="0"/>
      <w:divBdr>
        <w:top w:val="none" w:sz="0" w:space="0" w:color="auto"/>
        <w:left w:val="none" w:sz="0" w:space="0" w:color="auto"/>
        <w:bottom w:val="none" w:sz="0" w:space="0" w:color="auto"/>
        <w:right w:val="none" w:sz="0" w:space="0" w:color="auto"/>
      </w:divBdr>
    </w:div>
    <w:div w:id="134641011">
      <w:bodyDiv w:val="1"/>
      <w:marLeft w:val="0"/>
      <w:marRight w:val="0"/>
      <w:marTop w:val="0"/>
      <w:marBottom w:val="0"/>
      <w:divBdr>
        <w:top w:val="none" w:sz="0" w:space="0" w:color="auto"/>
        <w:left w:val="none" w:sz="0" w:space="0" w:color="auto"/>
        <w:bottom w:val="none" w:sz="0" w:space="0" w:color="auto"/>
        <w:right w:val="none" w:sz="0" w:space="0" w:color="auto"/>
      </w:divBdr>
      <w:divsChild>
        <w:div w:id="788738802">
          <w:marLeft w:val="0"/>
          <w:marRight w:val="0"/>
          <w:marTop w:val="0"/>
          <w:marBottom w:val="0"/>
          <w:divBdr>
            <w:top w:val="none" w:sz="0" w:space="0" w:color="auto"/>
            <w:left w:val="none" w:sz="0" w:space="0" w:color="auto"/>
            <w:bottom w:val="none" w:sz="0" w:space="0" w:color="auto"/>
            <w:right w:val="none" w:sz="0" w:space="0" w:color="auto"/>
          </w:divBdr>
          <w:divsChild>
            <w:div w:id="1224439524">
              <w:marLeft w:val="0"/>
              <w:marRight w:val="0"/>
              <w:marTop w:val="0"/>
              <w:marBottom w:val="0"/>
              <w:divBdr>
                <w:top w:val="none" w:sz="0" w:space="0" w:color="auto"/>
                <w:left w:val="none" w:sz="0" w:space="0" w:color="auto"/>
                <w:bottom w:val="none" w:sz="0" w:space="0" w:color="auto"/>
                <w:right w:val="none" w:sz="0" w:space="0" w:color="auto"/>
              </w:divBdr>
              <w:divsChild>
                <w:div w:id="444739005">
                  <w:marLeft w:val="0"/>
                  <w:marRight w:val="0"/>
                  <w:marTop w:val="0"/>
                  <w:marBottom w:val="0"/>
                  <w:divBdr>
                    <w:top w:val="none" w:sz="0" w:space="0" w:color="auto"/>
                    <w:left w:val="none" w:sz="0" w:space="0" w:color="auto"/>
                    <w:bottom w:val="none" w:sz="0" w:space="0" w:color="auto"/>
                    <w:right w:val="none" w:sz="0" w:space="0" w:color="auto"/>
                  </w:divBdr>
                  <w:divsChild>
                    <w:div w:id="471942690">
                      <w:marLeft w:val="0"/>
                      <w:marRight w:val="0"/>
                      <w:marTop w:val="0"/>
                      <w:marBottom w:val="0"/>
                      <w:divBdr>
                        <w:top w:val="none" w:sz="0" w:space="0" w:color="auto"/>
                        <w:left w:val="none" w:sz="0" w:space="0" w:color="auto"/>
                        <w:bottom w:val="none" w:sz="0" w:space="0" w:color="auto"/>
                        <w:right w:val="none" w:sz="0" w:space="0" w:color="auto"/>
                      </w:divBdr>
                      <w:divsChild>
                        <w:div w:id="481427917">
                          <w:marLeft w:val="0"/>
                          <w:marRight w:val="0"/>
                          <w:marTop w:val="0"/>
                          <w:marBottom w:val="0"/>
                          <w:divBdr>
                            <w:top w:val="none" w:sz="0" w:space="0" w:color="auto"/>
                            <w:left w:val="none" w:sz="0" w:space="0" w:color="auto"/>
                            <w:bottom w:val="none" w:sz="0" w:space="0" w:color="auto"/>
                            <w:right w:val="none" w:sz="0" w:space="0" w:color="auto"/>
                          </w:divBdr>
                          <w:divsChild>
                            <w:div w:id="1968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62364">
      <w:bodyDiv w:val="1"/>
      <w:marLeft w:val="0"/>
      <w:marRight w:val="0"/>
      <w:marTop w:val="0"/>
      <w:marBottom w:val="0"/>
      <w:divBdr>
        <w:top w:val="none" w:sz="0" w:space="0" w:color="auto"/>
        <w:left w:val="none" w:sz="0" w:space="0" w:color="auto"/>
        <w:bottom w:val="none" w:sz="0" w:space="0" w:color="auto"/>
        <w:right w:val="none" w:sz="0" w:space="0" w:color="auto"/>
      </w:divBdr>
    </w:div>
    <w:div w:id="151719357">
      <w:bodyDiv w:val="1"/>
      <w:marLeft w:val="0"/>
      <w:marRight w:val="0"/>
      <w:marTop w:val="0"/>
      <w:marBottom w:val="0"/>
      <w:divBdr>
        <w:top w:val="none" w:sz="0" w:space="0" w:color="auto"/>
        <w:left w:val="none" w:sz="0" w:space="0" w:color="auto"/>
        <w:bottom w:val="none" w:sz="0" w:space="0" w:color="auto"/>
        <w:right w:val="none" w:sz="0" w:space="0" w:color="auto"/>
      </w:divBdr>
    </w:div>
    <w:div w:id="174998036">
      <w:bodyDiv w:val="1"/>
      <w:marLeft w:val="0"/>
      <w:marRight w:val="0"/>
      <w:marTop w:val="0"/>
      <w:marBottom w:val="0"/>
      <w:divBdr>
        <w:top w:val="none" w:sz="0" w:space="0" w:color="auto"/>
        <w:left w:val="none" w:sz="0" w:space="0" w:color="auto"/>
        <w:bottom w:val="none" w:sz="0" w:space="0" w:color="auto"/>
        <w:right w:val="none" w:sz="0" w:space="0" w:color="auto"/>
      </w:divBdr>
    </w:div>
    <w:div w:id="184029289">
      <w:bodyDiv w:val="1"/>
      <w:marLeft w:val="0"/>
      <w:marRight w:val="0"/>
      <w:marTop w:val="0"/>
      <w:marBottom w:val="0"/>
      <w:divBdr>
        <w:top w:val="none" w:sz="0" w:space="0" w:color="auto"/>
        <w:left w:val="none" w:sz="0" w:space="0" w:color="auto"/>
        <w:bottom w:val="none" w:sz="0" w:space="0" w:color="auto"/>
        <w:right w:val="none" w:sz="0" w:space="0" w:color="auto"/>
      </w:divBdr>
    </w:div>
    <w:div w:id="206991689">
      <w:bodyDiv w:val="1"/>
      <w:marLeft w:val="0"/>
      <w:marRight w:val="0"/>
      <w:marTop w:val="0"/>
      <w:marBottom w:val="0"/>
      <w:divBdr>
        <w:top w:val="none" w:sz="0" w:space="0" w:color="auto"/>
        <w:left w:val="none" w:sz="0" w:space="0" w:color="auto"/>
        <w:bottom w:val="none" w:sz="0" w:space="0" w:color="auto"/>
        <w:right w:val="none" w:sz="0" w:space="0" w:color="auto"/>
      </w:divBdr>
    </w:div>
    <w:div w:id="208105476">
      <w:bodyDiv w:val="1"/>
      <w:marLeft w:val="0"/>
      <w:marRight w:val="0"/>
      <w:marTop w:val="0"/>
      <w:marBottom w:val="0"/>
      <w:divBdr>
        <w:top w:val="none" w:sz="0" w:space="0" w:color="auto"/>
        <w:left w:val="none" w:sz="0" w:space="0" w:color="auto"/>
        <w:bottom w:val="none" w:sz="0" w:space="0" w:color="auto"/>
        <w:right w:val="none" w:sz="0" w:space="0" w:color="auto"/>
      </w:divBdr>
    </w:div>
    <w:div w:id="208610040">
      <w:bodyDiv w:val="1"/>
      <w:marLeft w:val="0"/>
      <w:marRight w:val="0"/>
      <w:marTop w:val="0"/>
      <w:marBottom w:val="0"/>
      <w:divBdr>
        <w:top w:val="none" w:sz="0" w:space="0" w:color="auto"/>
        <w:left w:val="none" w:sz="0" w:space="0" w:color="auto"/>
        <w:bottom w:val="none" w:sz="0" w:space="0" w:color="auto"/>
        <w:right w:val="none" w:sz="0" w:space="0" w:color="auto"/>
      </w:divBdr>
    </w:div>
    <w:div w:id="217858247">
      <w:bodyDiv w:val="1"/>
      <w:marLeft w:val="0"/>
      <w:marRight w:val="0"/>
      <w:marTop w:val="0"/>
      <w:marBottom w:val="0"/>
      <w:divBdr>
        <w:top w:val="none" w:sz="0" w:space="0" w:color="auto"/>
        <w:left w:val="none" w:sz="0" w:space="0" w:color="auto"/>
        <w:bottom w:val="none" w:sz="0" w:space="0" w:color="auto"/>
        <w:right w:val="none" w:sz="0" w:space="0" w:color="auto"/>
      </w:divBdr>
    </w:div>
    <w:div w:id="240987840">
      <w:bodyDiv w:val="1"/>
      <w:marLeft w:val="0"/>
      <w:marRight w:val="0"/>
      <w:marTop w:val="0"/>
      <w:marBottom w:val="0"/>
      <w:divBdr>
        <w:top w:val="none" w:sz="0" w:space="0" w:color="auto"/>
        <w:left w:val="none" w:sz="0" w:space="0" w:color="auto"/>
        <w:bottom w:val="none" w:sz="0" w:space="0" w:color="auto"/>
        <w:right w:val="none" w:sz="0" w:space="0" w:color="auto"/>
      </w:divBdr>
    </w:div>
    <w:div w:id="257178995">
      <w:bodyDiv w:val="1"/>
      <w:marLeft w:val="0"/>
      <w:marRight w:val="0"/>
      <w:marTop w:val="0"/>
      <w:marBottom w:val="0"/>
      <w:divBdr>
        <w:top w:val="none" w:sz="0" w:space="0" w:color="auto"/>
        <w:left w:val="none" w:sz="0" w:space="0" w:color="auto"/>
        <w:bottom w:val="none" w:sz="0" w:space="0" w:color="auto"/>
        <w:right w:val="none" w:sz="0" w:space="0" w:color="auto"/>
      </w:divBdr>
    </w:div>
    <w:div w:id="259148225">
      <w:bodyDiv w:val="1"/>
      <w:marLeft w:val="0"/>
      <w:marRight w:val="0"/>
      <w:marTop w:val="0"/>
      <w:marBottom w:val="0"/>
      <w:divBdr>
        <w:top w:val="none" w:sz="0" w:space="0" w:color="auto"/>
        <w:left w:val="none" w:sz="0" w:space="0" w:color="auto"/>
        <w:bottom w:val="none" w:sz="0" w:space="0" w:color="auto"/>
        <w:right w:val="none" w:sz="0" w:space="0" w:color="auto"/>
      </w:divBdr>
    </w:div>
    <w:div w:id="283922891">
      <w:bodyDiv w:val="1"/>
      <w:marLeft w:val="0"/>
      <w:marRight w:val="0"/>
      <w:marTop w:val="0"/>
      <w:marBottom w:val="0"/>
      <w:divBdr>
        <w:top w:val="none" w:sz="0" w:space="0" w:color="auto"/>
        <w:left w:val="none" w:sz="0" w:space="0" w:color="auto"/>
        <w:bottom w:val="none" w:sz="0" w:space="0" w:color="auto"/>
        <w:right w:val="none" w:sz="0" w:space="0" w:color="auto"/>
      </w:divBdr>
    </w:div>
    <w:div w:id="292833374">
      <w:bodyDiv w:val="1"/>
      <w:marLeft w:val="0"/>
      <w:marRight w:val="0"/>
      <w:marTop w:val="0"/>
      <w:marBottom w:val="0"/>
      <w:divBdr>
        <w:top w:val="none" w:sz="0" w:space="0" w:color="auto"/>
        <w:left w:val="none" w:sz="0" w:space="0" w:color="auto"/>
        <w:bottom w:val="none" w:sz="0" w:space="0" w:color="auto"/>
        <w:right w:val="none" w:sz="0" w:space="0" w:color="auto"/>
      </w:divBdr>
      <w:divsChild>
        <w:div w:id="249773206">
          <w:marLeft w:val="0"/>
          <w:marRight w:val="0"/>
          <w:marTop w:val="0"/>
          <w:marBottom w:val="0"/>
          <w:divBdr>
            <w:top w:val="none" w:sz="0" w:space="0" w:color="auto"/>
            <w:left w:val="none" w:sz="0" w:space="0" w:color="auto"/>
            <w:bottom w:val="none" w:sz="0" w:space="0" w:color="auto"/>
            <w:right w:val="none" w:sz="0" w:space="0" w:color="auto"/>
          </w:divBdr>
        </w:div>
        <w:div w:id="778641972">
          <w:marLeft w:val="0"/>
          <w:marRight w:val="0"/>
          <w:marTop w:val="0"/>
          <w:marBottom w:val="0"/>
          <w:divBdr>
            <w:top w:val="none" w:sz="0" w:space="0" w:color="auto"/>
            <w:left w:val="none" w:sz="0" w:space="0" w:color="auto"/>
            <w:bottom w:val="none" w:sz="0" w:space="0" w:color="auto"/>
            <w:right w:val="none" w:sz="0" w:space="0" w:color="auto"/>
          </w:divBdr>
        </w:div>
        <w:div w:id="838035712">
          <w:marLeft w:val="0"/>
          <w:marRight w:val="0"/>
          <w:marTop w:val="0"/>
          <w:marBottom w:val="0"/>
          <w:divBdr>
            <w:top w:val="none" w:sz="0" w:space="0" w:color="auto"/>
            <w:left w:val="none" w:sz="0" w:space="0" w:color="auto"/>
            <w:bottom w:val="none" w:sz="0" w:space="0" w:color="auto"/>
            <w:right w:val="none" w:sz="0" w:space="0" w:color="auto"/>
          </w:divBdr>
        </w:div>
        <w:div w:id="1262567014">
          <w:marLeft w:val="0"/>
          <w:marRight w:val="0"/>
          <w:marTop w:val="0"/>
          <w:marBottom w:val="0"/>
          <w:divBdr>
            <w:top w:val="none" w:sz="0" w:space="0" w:color="auto"/>
            <w:left w:val="none" w:sz="0" w:space="0" w:color="auto"/>
            <w:bottom w:val="none" w:sz="0" w:space="0" w:color="auto"/>
            <w:right w:val="none" w:sz="0" w:space="0" w:color="auto"/>
          </w:divBdr>
        </w:div>
        <w:div w:id="1443963256">
          <w:marLeft w:val="0"/>
          <w:marRight w:val="0"/>
          <w:marTop w:val="0"/>
          <w:marBottom w:val="0"/>
          <w:divBdr>
            <w:top w:val="none" w:sz="0" w:space="0" w:color="auto"/>
            <w:left w:val="none" w:sz="0" w:space="0" w:color="auto"/>
            <w:bottom w:val="none" w:sz="0" w:space="0" w:color="auto"/>
            <w:right w:val="none" w:sz="0" w:space="0" w:color="auto"/>
          </w:divBdr>
        </w:div>
        <w:div w:id="1711298358">
          <w:marLeft w:val="0"/>
          <w:marRight w:val="0"/>
          <w:marTop w:val="0"/>
          <w:marBottom w:val="0"/>
          <w:divBdr>
            <w:top w:val="none" w:sz="0" w:space="0" w:color="auto"/>
            <w:left w:val="none" w:sz="0" w:space="0" w:color="auto"/>
            <w:bottom w:val="none" w:sz="0" w:space="0" w:color="auto"/>
            <w:right w:val="none" w:sz="0" w:space="0" w:color="auto"/>
          </w:divBdr>
        </w:div>
      </w:divsChild>
    </w:div>
    <w:div w:id="310790775">
      <w:bodyDiv w:val="1"/>
      <w:marLeft w:val="0"/>
      <w:marRight w:val="0"/>
      <w:marTop w:val="0"/>
      <w:marBottom w:val="0"/>
      <w:divBdr>
        <w:top w:val="none" w:sz="0" w:space="0" w:color="auto"/>
        <w:left w:val="none" w:sz="0" w:space="0" w:color="auto"/>
        <w:bottom w:val="none" w:sz="0" w:space="0" w:color="auto"/>
        <w:right w:val="none" w:sz="0" w:space="0" w:color="auto"/>
      </w:divBdr>
    </w:div>
    <w:div w:id="324170077">
      <w:bodyDiv w:val="1"/>
      <w:marLeft w:val="0"/>
      <w:marRight w:val="0"/>
      <w:marTop w:val="0"/>
      <w:marBottom w:val="0"/>
      <w:divBdr>
        <w:top w:val="none" w:sz="0" w:space="0" w:color="auto"/>
        <w:left w:val="none" w:sz="0" w:space="0" w:color="auto"/>
        <w:bottom w:val="none" w:sz="0" w:space="0" w:color="auto"/>
        <w:right w:val="none" w:sz="0" w:space="0" w:color="auto"/>
      </w:divBdr>
    </w:div>
    <w:div w:id="366880817">
      <w:bodyDiv w:val="1"/>
      <w:marLeft w:val="0"/>
      <w:marRight w:val="0"/>
      <w:marTop w:val="0"/>
      <w:marBottom w:val="0"/>
      <w:divBdr>
        <w:top w:val="none" w:sz="0" w:space="0" w:color="auto"/>
        <w:left w:val="none" w:sz="0" w:space="0" w:color="auto"/>
        <w:bottom w:val="none" w:sz="0" w:space="0" w:color="auto"/>
        <w:right w:val="none" w:sz="0" w:space="0" w:color="auto"/>
      </w:divBdr>
    </w:div>
    <w:div w:id="381249859">
      <w:bodyDiv w:val="1"/>
      <w:marLeft w:val="0"/>
      <w:marRight w:val="0"/>
      <w:marTop w:val="0"/>
      <w:marBottom w:val="0"/>
      <w:divBdr>
        <w:top w:val="none" w:sz="0" w:space="0" w:color="auto"/>
        <w:left w:val="none" w:sz="0" w:space="0" w:color="auto"/>
        <w:bottom w:val="none" w:sz="0" w:space="0" w:color="auto"/>
        <w:right w:val="none" w:sz="0" w:space="0" w:color="auto"/>
      </w:divBdr>
    </w:div>
    <w:div w:id="382877263">
      <w:bodyDiv w:val="1"/>
      <w:marLeft w:val="0"/>
      <w:marRight w:val="0"/>
      <w:marTop w:val="0"/>
      <w:marBottom w:val="0"/>
      <w:divBdr>
        <w:top w:val="none" w:sz="0" w:space="0" w:color="auto"/>
        <w:left w:val="none" w:sz="0" w:space="0" w:color="auto"/>
        <w:bottom w:val="none" w:sz="0" w:space="0" w:color="auto"/>
        <w:right w:val="none" w:sz="0" w:space="0" w:color="auto"/>
      </w:divBdr>
    </w:div>
    <w:div w:id="384065762">
      <w:bodyDiv w:val="1"/>
      <w:marLeft w:val="0"/>
      <w:marRight w:val="0"/>
      <w:marTop w:val="0"/>
      <w:marBottom w:val="0"/>
      <w:divBdr>
        <w:top w:val="none" w:sz="0" w:space="0" w:color="auto"/>
        <w:left w:val="none" w:sz="0" w:space="0" w:color="auto"/>
        <w:bottom w:val="none" w:sz="0" w:space="0" w:color="auto"/>
        <w:right w:val="none" w:sz="0" w:space="0" w:color="auto"/>
      </w:divBdr>
    </w:div>
    <w:div w:id="388959748">
      <w:bodyDiv w:val="1"/>
      <w:marLeft w:val="0"/>
      <w:marRight w:val="0"/>
      <w:marTop w:val="0"/>
      <w:marBottom w:val="0"/>
      <w:divBdr>
        <w:top w:val="none" w:sz="0" w:space="0" w:color="auto"/>
        <w:left w:val="none" w:sz="0" w:space="0" w:color="auto"/>
        <w:bottom w:val="none" w:sz="0" w:space="0" w:color="auto"/>
        <w:right w:val="none" w:sz="0" w:space="0" w:color="auto"/>
      </w:divBdr>
    </w:div>
    <w:div w:id="393283070">
      <w:bodyDiv w:val="1"/>
      <w:marLeft w:val="0"/>
      <w:marRight w:val="0"/>
      <w:marTop w:val="0"/>
      <w:marBottom w:val="0"/>
      <w:divBdr>
        <w:top w:val="none" w:sz="0" w:space="0" w:color="auto"/>
        <w:left w:val="none" w:sz="0" w:space="0" w:color="auto"/>
        <w:bottom w:val="none" w:sz="0" w:space="0" w:color="auto"/>
        <w:right w:val="none" w:sz="0" w:space="0" w:color="auto"/>
      </w:divBdr>
    </w:div>
    <w:div w:id="414280912">
      <w:bodyDiv w:val="1"/>
      <w:marLeft w:val="0"/>
      <w:marRight w:val="0"/>
      <w:marTop w:val="0"/>
      <w:marBottom w:val="0"/>
      <w:divBdr>
        <w:top w:val="none" w:sz="0" w:space="0" w:color="auto"/>
        <w:left w:val="none" w:sz="0" w:space="0" w:color="auto"/>
        <w:bottom w:val="none" w:sz="0" w:space="0" w:color="auto"/>
        <w:right w:val="none" w:sz="0" w:space="0" w:color="auto"/>
      </w:divBdr>
    </w:div>
    <w:div w:id="425276192">
      <w:bodyDiv w:val="1"/>
      <w:marLeft w:val="0"/>
      <w:marRight w:val="0"/>
      <w:marTop w:val="0"/>
      <w:marBottom w:val="0"/>
      <w:divBdr>
        <w:top w:val="none" w:sz="0" w:space="0" w:color="auto"/>
        <w:left w:val="none" w:sz="0" w:space="0" w:color="auto"/>
        <w:bottom w:val="none" w:sz="0" w:space="0" w:color="auto"/>
        <w:right w:val="none" w:sz="0" w:space="0" w:color="auto"/>
      </w:divBdr>
    </w:div>
    <w:div w:id="429400374">
      <w:bodyDiv w:val="1"/>
      <w:marLeft w:val="0"/>
      <w:marRight w:val="0"/>
      <w:marTop w:val="0"/>
      <w:marBottom w:val="0"/>
      <w:divBdr>
        <w:top w:val="none" w:sz="0" w:space="0" w:color="auto"/>
        <w:left w:val="none" w:sz="0" w:space="0" w:color="auto"/>
        <w:bottom w:val="none" w:sz="0" w:space="0" w:color="auto"/>
        <w:right w:val="none" w:sz="0" w:space="0" w:color="auto"/>
      </w:divBdr>
    </w:div>
    <w:div w:id="445393862">
      <w:bodyDiv w:val="1"/>
      <w:marLeft w:val="0"/>
      <w:marRight w:val="0"/>
      <w:marTop w:val="0"/>
      <w:marBottom w:val="0"/>
      <w:divBdr>
        <w:top w:val="none" w:sz="0" w:space="0" w:color="auto"/>
        <w:left w:val="none" w:sz="0" w:space="0" w:color="auto"/>
        <w:bottom w:val="none" w:sz="0" w:space="0" w:color="auto"/>
        <w:right w:val="none" w:sz="0" w:space="0" w:color="auto"/>
      </w:divBdr>
    </w:div>
    <w:div w:id="465398457">
      <w:bodyDiv w:val="1"/>
      <w:marLeft w:val="0"/>
      <w:marRight w:val="0"/>
      <w:marTop w:val="0"/>
      <w:marBottom w:val="0"/>
      <w:divBdr>
        <w:top w:val="none" w:sz="0" w:space="0" w:color="auto"/>
        <w:left w:val="none" w:sz="0" w:space="0" w:color="auto"/>
        <w:bottom w:val="none" w:sz="0" w:space="0" w:color="auto"/>
        <w:right w:val="none" w:sz="0" w:space="0" w:color="auto"/>
      </w:divBdr>
    </w:div>
    <w:div w:id="497383534">
      <w:bodyDiv w:val="1"/>
      <w:marLeft w:val="0"/>
      <w:marRight w:val="0"/>
      <w:marTop w:val="0"/>
      <w:marBottom w:val="0"/>
      <w:divBdr>
        <w:top w:val="none" w:sz="0" w:space="0" w:color="auto"/>
        <w:left w:val="none" w:sz="0" w:space="0" w:color="auto"/>
        <w:bottom w:val="none" w:sz="0" w:space="0" w:color="auto"/>
        <w:right w:val="none" w:sz="0" w:space="0" w:color="auto"/>
      </w:divBdr>
    </w:div>
    <w:div w:id="541865528">
      <w:bodyDiv w:val="1"/>
      <w:marLeft w:val="0"/>
      <w:marRight w:val="0"/>
      <w:marTop w:val="0"/>
      <w:marBottom w:val="0"/>
      <w:divBdr>
        <w:top w:val="none" w:sz="0" w:space="0" w:color="auto"/>
        <w:left w:val="none" w:sz="0" w:space="0" w:color="auto"/>
        <w:bottom w:val="none" w:sz="0" w:space="0" w:color="auto"/>
        <w:right w:val="none" w:sz="0" w:space="0" w:color="auto"/>
      </w:divBdr>
    </w:div>
    <w:div w:id="547684622">
      <w:bodyDiv w:val="1"/>
      <w:marLeft w:val="0"/>
      <w:marRight w:val="0"/>
      <w:marTop w:val="0"/>
      <w:marBottom w:val="0"/>
      <w:divBdr>
        <w:top w:val="none" w:sz="0" w:space="0" w:color="auto"/>
        <w:left w:val="none" w:sz="0" w:space="0" w:color="auto"/>
        <w:bottom w:val="none" w:sz="0" w:space="0" w:color="auto"/>
        <w:right w:val="none" w:sz="0" w:space="0" w:color="auto"/>
      </w:divBdr>
    </w:div>
    <w:div w:id="553857340">
      <w:bodyDiv w:val="1"/>
      <w:marLeft w:val="0"/>
      <w:marRight w:val="0"/>
      <w:marTop w:val="0"/>
      <w:marBottom w:val="0"/>
      <w:divBdr>
        <w:top w:val="none" w:sz="0" w:space="0" w:color="auto"/>
        <w:left w:val="none" w:sz="0" w:space="0" w:color="auto"/>
        <w:bottom w:val="none" w:sz="0" w:space="0" w:color="auto"/>
        <w:right w:val="none" w:sz="0" w:space="0" w:color="auto"/>
      </w:divBdr>
    </w:div>
    <w:div w:id="556208906">
      <w:bodyDiv w:val="1"/>
      <w:marLeft w:val="0"/>
      <w:marRight w:val="0"/>
      <w:marTop w:val="0"/>
      <w:marBottom w:val="0"/>
      <w:divBdr>
        <w:top w:val="none" w:sz="0" w:space="0" w:color="auto"/>
        <w:left w:val="none" w:sz="0" w:space="0" w:color="auto"/>
        <w:bottom w:val="none" w:sz="0" w:space="0" w:color="auto"/>
        <w:right w:val="none" w:sz="0" w:space="0" w:color="auto"/>
      </w:divBdr>
    </w:div>
    <w:div w:id="556817332">
      <w:bodyDiv w:val="1"/>
      <w:marLeft w:val="0"/>
      <w:marRight w:val="0"/>
      <w:marTop w:val="0"/>
      <w:marBottom w:val="0"/>
      <w:divBdr>
        <w:top w:val="none" w:sz="0" w:space="0" w:color="auto"/>
        <w:left w:val="none" w:sz="0" w:space="0" w:color="auto"/>
        <w:bottom w:val="none" w:sz="0" w:space="0" w:color="auto"/>
        <w:right w:val="none" w:sz="0" w:space="0" w:color="auto"/>
      </w:divBdr>
      <w:divsChild>
        <w:div w:id="1732997726">
          <w:marLeft w:val="0"/>
          <w:marRight w:val="0"/>
          <w:marTop w:val="0"/>
          <w:marBottom w:val="0"/>
          <w:divBdr>
            <w:top w:val="none" w:sz="0" w:space="0" w:color="auto"/>
            <w:left w:val="none" w:sz="0" w:space="0" w:color="auto"/>
            <w:bottom w:val="none" w:sz="0" w:space="0" w:color="auto"/>
            <w:right w:val="none" w:sz="0" w:space="0" w:color="auto"/>
          </w:divBdr>
          <w:divsChild>
            <w:div w:id="33045698">
              <w:marLeft w:val="0"/>
              <w:marRight w:val="0"/>
              <w:marTop w:val="0"/>
              <w:marBottom w:val="0"/>
              <w:divBdr>
                <w:top w:val="none" w:sz="0" w:space="0" w:color="auto"/>
                <w:left w:val="none" w:sz="0" w:space="0" w:color="auto"/>
                <w:bottom w:val="none" w:sz="0" w:space="0" w:color="auto"/>
                <w:right w:val="none" w:sz="0" w:space="0" w:color="auto"/>
              </w:divBdr>
              <w:divsChild>
                <w:div w:id="811870901">
                  <w:marLeft w:val="0"/>
                  <w:marRight w:val="0"/>
                  <w:marTop w:val="0"/>
                  <w:marBottom w:val="0"/>
                  <w:divBdr>
                    <w:top w:val="none" w:sz="0" w:space="0" w:color="auto"/>
                    <w:left w:val="none" w:sz="0" w:space="0" w:color="auto"/>
                    <w:bottom w:val="none" w:sz="0" w:space="0" w:color="auto"/>
                    <w:right w:val="none" w:sz="0" w:space="0" w:color="auto"/>
                  </w:divBdr>
                  <w:divsChild>
                    <w:div w:id="1809056222">
                      <w:marLeft w:val="0"/>
                      <w:marRight w:val="0"/>
                      <w:marTop w:val="0"/>
                      <w:marBottom w:val="0"/>
                      <w:divBdr>
                        <w:top w:val="none" w:sz="0" w:space="0" w:color="auto"/>
                        <w:left w:val="none" w:sz="0" w:space="0" w:color="auto"/>
                        <w:bottom w:val="none" w:sz="0" w:space="0" w:color="auto"/>
                        <w:right w:val="none" w:sz="0" w:space="0" w:color="auto"/>
                      </w:divBdr>
                      <w:divsChild>
                        <w:div w:id="677922343">
                          <w:marLeft w:val="0"/>
                          <w:marRight w:val="0"/>
                          <w:marTop w:val="0"/>
                          <w:marBottom w:val="0"/>
                          <w:divBdr>
                            <w:top w:val="none" w:sz="0" w:space="0" w:color="auto"/>
                            <w:left w:val="none" w:sz="0" w:space="0" w:color="auto"/>
                            <w:bottom w:val="none" w:sz="0" w:space="0" w:color="auto"/>
                            <w:right w:val="none" w:sz="0" w:space="0" w:color="auto"/>
                          </w:divBdr>
                          <w:divsChild>
                            <w:div w:id="19805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798868">
      <w:bodyDiv w:val="1"/>
      <w:marLeft w:val="0"/>
      <w:marRight w:val="0"/>
      <w:marTop w:val="0"/>
      <w:marBottom w:val="0"/>
      <w:divBdr>
        <w:top w:val="none" w:sz="0" w:space="0" w:color="auto"/>
        <w:left w:val="none" w:sz="0" w:space="0" w:color="auto"/>
        <w:bottom w:val="none" w:sz="0" w:space="0" w:color="auto"/>
        <w:right w:val="none" w:sz="0" w:space="0" w:color="auto"/>
      </w:divBdr>
    </w:div>
    <w:div w:id="650017405">
      <w:bodyDiv w:val="1"/>
      <w:marLeft w:val="0"/>
      <w:marRight w:val="0"/>
      <w:marTop w:val="0"/>
      <w:marBottom w:val="0"/>
      <w:divBdr>
        <w:top w:val="none" w:sz="0" w:space="0" w:color="auto"/>
        <w:left w:val="none" w:sz="0" w:space="0" w:color="auto"/>
        <w:bottom w:val="none" w:sz="0" w:space="0" w:color="auto"/>
        <w:right w:val="none" w:sz="0" w:space="0" w:color="auto"/>
      </w:divBdr>
    </w:div>
    <w:div w:id="664824514">
      <w:bodyDiv w:val="1"/>
      <w:marLeft w:val="0"/>
      <w:marRight w:val="0"/>
      <w:marTop w:val="0"/>
      <w:marBottom w:val="0"/>
      <w:divBdr>
        <w:top w:val="none" w:sz="0" w:space="0" w:color="auto"/>
        <w:left w:val="none" w:sz="0" w:space="0" w:color="auto"/>
        <w:bottom w:val="none" w:sz="0" w:space="0" w:color="auto"/>
        <w:right w:val="none" w:sz="0" w:space="0" w:color="auto"/>
      </w:divBdr>
    </w:div>
    <w:div w:id="676229872">
      <w:bodyDiv w:val="1"/>
      <w:marLeft w:val="0"/>
      <w:marRight w:val="0"/>
      <w:marTop w:val="0"/>
      <w:marBottom w:val="0"/>
      <w:divBdr>
        <w:top w:val="none" w:sz="0" w:space="0" w:color="auto"/>
        <w:left w:val="none" w:sz="0" w:space="0" w:color="auto"/>
        <w:bottom w:val="none" w:sz="0" w:space="0" w:color="auto"/>
        <w:right w:val="none" w:sz="0" w:space="0" w:color="auto"/>
      </w:divBdr>
    </w:div>
    <w:div w:id="704138024">
      <w:bodyDiv w:val="1"/>
      <w:marLeft w:val="0"/>
      <w:marRight w:val="0"/>
      <w:marTop w:val="0"/>
      <w:marBottom w:val="0"/>
      <w:divBdr>
        <w:top w:val="none" w:sz="0" w:space="0" w:color="auto"/>
        <w:left w:val="none" w:sz="0" w:space="0" w:color="auto"/>
        <w:bottom w:val="none" w:sz="0" w:space="0" w:color="auto"/>
        <w:right w:val="none" w:sz="0" w:space="0" w:color="auto"/>
      </w:divBdr>
      <w:divsChild>
        <w:div w:id="43452354">
          <w:marLeft w:val="0"/>
          <w:marRight w:val="0"/>
          <w:marTop w:val="0"/>
          <w:marBottom w:val="0"/>
          <w:divBdr>
            <w:top w:val="none" w:sz="0" w:space="0" w:color="auto"/>
            <w:left w:val="none" w:sz="0" w:space="0" w:color="auto"/>
            <w:bottom w:val="none" w:sz="0" w:space="0" w:color="auto"/>
            <w:right w:val="none" w:sz="0" w:space="0" w:color="auto"/>
          </w:divBdr>
          <w:divsChild>
            <w:div w:id="1289313266">
              <w:marLeft w:val="0"/>
              <w:marRight w:val="0"/>
              <w:marTop w:val="0"/>
              <w:marBottom w:val="0"/>
              <w:divBdr>
                <w:top w:val="none" w:sz="0" w:space="0" w:color="auto"/>
                <w:left w:val="none" w:sz="0" w:space="0" w:color="auto"/>
                <w:bottom w:val="none" w:sz="0" w:space="0" w:color="auto"/>
                <w:right w:val="none" w:sz="0" w:space="0" w:color="auto"/>
              </w:divBdr>
            </w:div>
          </w:divsChild>
        </w:div>
        <w:div w:id="487745291">
          <w:marLeft w:val="0"/>
          <w:marRight w:val="0"/>
          <w:marTop w:val="0"/>
          <w:marBottom w:val="0"/>
          <w:divBdr>
            <w:top w:val="none" w:sz="0" w:space="0" w:color="auto"/>
            <w:left w:val="none" w:sz="0" w:space="0" w:color="auto"/>
            <w:bottom w:val="none" w:sz="0" w:space="0" w:color="auto"/>
            <w:right w:val="none" w:sz="0" w:space="0" w:color="auto"/>
          </w:divBdr>
          <w:divsChild>
            <w:div w:id="581723384">
              <w:marLeft w:val="0"/>
              <w:marRight w:val="0"/>
              <w:marTop w:val="0"/>
              <w:marBottom w:val="0"/>
              <w:divBdr>
                <w:top w:val="none" w:sz="0" w:space="0" w:color="auto"/>
                <w:left w:val="none" w:sz="0" w:space="0" w:color="auto"/>
                <w:bottom w:val="none" w:sz="0" w:space="0" w:color="auto"/>
                <w:right w:val="none" w:sz="0" w:space="0" w:color="auto"/>
              </w:divBdr>
            </w:div>
          </w:divsChild>
        </w:div>
        <w:div w:id="673460730">
          <w:marLeft w:val="0"/>
          <w:marRight w:val="0"/>
          <w:marTop w:val="0"/>
          <w:marBottom w:val="0"/>
          <w:divBdr>
            <w:top w:val="none" w:sz="0" w:space="0" w:color="auto"/>
            <w:left w:val="none" w:sz="0" w:space="0" w:color="auto"/>
            <w:bottom w:val="none" w:sz="0" w:space="0" w:color="auto"/>
            <w:right w:val="none" w:sz="0" w:space="0" w:color="auto"/>
          </w:divBdr>
          <w:divsChild>
            <w:div w:id="155146784">
              <w:marLeft w:val="0"/>
              <w:marRight w:val="0"/>
              <w:marTop w:val="0"/>
              <w:marBottom w:val="0"/>
              <w:divBdr>
                <w:top w:val="none" w:sz="0" w:space="0" w:color="auto"/>
                <w:left w:val="none" w:sz="0" w:space="0" w:color="auto"/>
                <w:bottom w:val="none" w:sz="0" w:space="0" w:color="auto"/>
                <w:right w:val="none" w:sz="0" w:space="0" w:color="auto"/>
              </w:divBdr>
            </w:div>
          </w:divsChild>
        </w:div>
        <w:div w:id="778599210">
          <w:marLeft w:val="0"/>
          <w:marRight w:val="0"/>
          <w:marTop w:val="0"/>
          <w:marBottom w:val="0"/>
          <w:divBdr>
            <w:top w:val="none" w:sz="0" w:space="0" w:color="auto"/>
            <w:left w:val="none" w:sz="0" w:space="0" w:color="auto"/>
            <w:bottom w:val="none" w:sz="0" w:space="0" w:color="auto"/>
            <w:right w:val="none" w:sz="0" w:space="0" w:color="auto"/>
          </w:divBdr>
          <w:divsChild>
            <w:div w:id="293562426">
              <w:marLeft w:val="0"/>
              <w:marRight w:val="0"/>
              <w:marTop w:val="0"/>
              <w:marBottom w:val="0"/>
              <w:divBdr>
                <w:top w:val="none" w:sz="0" w:space="0" w:color="auto"/>
                <w:left w:val="none" w:sz="0" w:space="0" w:color="auto"/>
                <w:bottom w:val="none" w:sz="0" w:space="0" w:color="auto"/>
                <w:right w:val="none" w:sz="0" w:space="0" w:color="auto"/>
              </w:divBdr>
            </w:div>
            <w:div w:id="1335954136">
              <w:marLeft w:val="0"/>
              <w:marRight w:val="0"/>
              <w:marTop w:val="0"/>
              <w:marBottom w:val="0"/>
              <w:divBdr>
                <w:top w:val="none" w:sz="0" w:space="0" w:color="auto"/>
                <w:left w:val="none" w:sz="0" w:space="0" w:color="auto"/>
                <w:bottom w:val="none" w:sz="0" w:space="0" w:color="auto"/>
                <w:right w:val="none" w:sz="0" w:space="0" w:color="auto"/>
              </w:divBdr>
            </w:div>
            <w:div w:id="1698308914">
              <w:marLeft w:val="0"/>
              <w:marRight w:val="0"/>
              <w:marTop w:val="0"/>
              <w:marBottom w:val="0"/>
              <w:divBdr>
                <w:top w:val="none" w:sz="0" w:space="0" w:color="auto"/>
                <w:left w:val="none" w:sz="0" w:space="0" w:color="auto"/>
                <w:bottom w:val="none" w:sz="0" w:space="0" w:color="auto"/>
                <w:right w:val="none" w:sz="0" w:space="0" w:color="auto"/>
              </w:divBdr>
            </w:div>
          </w:divsChild>
        </w:div>
        <w:div w:id="1207763515">
          <w:marLeft w:val="0"/>
          <w:marRight w:val="0"/>
          <w:marTop w:val="0"/>
          <w:marBottom w:val="0"/>
          <w:divBdr>
            <w:top w:val="none" w:sz="0" w:space="0" w:color="auto"/>
            <w:left w:val="none" w:sz="0" w:space="0" w:color="auto"/>
            <w:bottom w:val="none" w:sz="0" w:space="0" w:color="auto"/>
            <w:right w:val="none" w:sz="0" w:space="0" w:color="auto"/>
          </w:divBdr>
          <w:divsChild>
            <w:div w:id="879123084">
              <w:marLeft w:val="0"/>
              <w:marRight w:val="0"/>
              <w:marTop w:val="0"/>
              <w:marBottom w:val="0"/>
              <w:divBdr>
                <w:top w:val="none" w:sz="0" w:space="0" w:color="auto"/>
                <w:left w:val="none" w:sz="0" w:space="0" w:color="auto"/>
                <w:bottom w:val="none" w:sz="0" w:space="0" w:color="auto"/>
                <w:right w:val="none" w:sz="0" w:space="0" w:color="auto"/>
              </w:divBdr>
            </w:div>
          </w:divsChild>
        </w:div>
        <w:div w:id="1602372363">
          <w:marLeft w:val="0"/>
          <w:marRight w:val="0"/>
          <w:marTop w:val="0"/>
          <w:marBottom w:val="0"/>
          <w:divBdr>
            <w:top w:val="none" w:sz="0" w:space="0" w:color="auto"/>
            <w:left w:val="none" w:sz="0" w:space="0" w:color="auto"/>
            <w:bottom w:val="none" w:sz="0" w:space="0" w:color="auto"/>
            <w:right w:val="none" w:sz="0" w:space="0" w:color="auto"/>
          </w:divBdr>
          <w:divsChild>
            <w:div w:id="902980881">
              <w:marLeft w:val="0"/>
              <w:marRight w:val="0"/>
              <w:marTop w:val="0"/>
              <w:marBottom w:val="0"/>
              <w:divBdr>
                <w:top w:val="none" w:sz="0" w:space="0" w:color="auto"/>
                <w:left w:val="none" w:sz="0" w:space="0" w:color="auto"/>
                <w:bottom w:val="none" w:sz="0" w:space="0" w:color="auto"/>
                <w:right w:val="none" w:sz="0" w:space="0" w:color="auto"/>
              </w:divBdr>
            </w:div>
          </w:divsChild>
        </w:div>
        <w:div w:id="1773815655">
          <w:marLeft w:val="0"/>
          <w:marRight w:val="0"/>
          <w:marTop w:val="0"/>
          <w:marBottom w:val="0"/>
          <w:divBdr>
            <w:top w:val="none" w:sz="0" w:space="0" w:color="auto"/>
            <w:left w:val="none" w:sz="0" w:space="0" w:color="auto"/>
            <w:bottom w:val="none" w:sz="0" w:space="0" w:color="auto"/>
            <w:right w:val="none" w:sz="0" w:space="0" w:color="auto"/>
          </w:divBdr>
          <w:divsChild>
            <w:div w:id="389615967">
              <w:marLeft w:val="0"/>
              <w:marRight w:val="0"/>
              <w:marTop w:val="0"/>
              <w:marBottom w:val="0"/>
              <w:divBdr>
                <w:top w:val="none" w:sz="0" w:space="0" w:color="auto"/>
                <w:left w:val="none" w:sz="0" w:space="0" w:color="auto"/>
                <w:bottom w:val="none" w:sz="0" w:space="0" w:color="auto"/>
                <w:right w:val="none" w:sz="0" w:space="0" w:color="auto"/>
              </w:divBdr>
            </w:div>
          </w:divsChild>
        </w:div>
        <w:div w:id="1982733842">
          <w:marLeft w:val="0"/>
          <w:marRight w:val="0"/>
          <w:marTop w:val="0"/>
          <w:marBottom w:val="0"/>
          <w:divBdr>
            <w:top w:val="none" w:sz="0" w:space="0" w:color="auto"/>
            <w:left w:val="none" w:sz="0" w:space="0" w:color="auto"/>
            <w:bottom w:val="none" w:sz="0" w:space="0" w:color="auto"/>
            <w:right w:val="none" w:sz="0" w:space="0" w:color="auto"/>
          </w:divBdr>
          <w:divsChild>
            <w:div w:id="7372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9662">
      <w:bodyDiv w:val="1"/>
      <w:marLeft w:val="0"/>
      <w:marRight w:val="0"/>
      <w:marTop w:val="0"/>
      <w:marBottom w:val="0"/>
      <w:divBdr>
        <w:top w:val="none" w:sz="0" w:space="0" w:color="auto"/>
        <w:left w:val="none" w:sz="0" w:space="0" w:color="auto"/>
        <w:bottom w:val="none" w:sz="0" w:space="0" w:color="auto"/>
        <w:right w:val="none" w:sz="0" w:space="0" w:color="auto"/>
      </w:divBdr>
    </w:div>
    <w:div w:id="732461557">
      <w:bodyDiv w:val="1"/>
      <w:marLeft w:val="0"/>
      <w:marRight w:val="0"/>
      <w:marTop w:val="0"/>
      <w:marBottom w:val="0"/>
      <w:divBdr>
        <w:top w:val="none" w:sz="0" w:space="0" w:color="auto"/>
        <w:left w:val="none" w:sz="0" w:space="0" w:color="auto"/>
        <w:bottom w:val="none" w:sz="0" w:space="0" w:color="auto"/>
        <w:right w:val="none" w:sz="0" w:space="0" w:color="auto"/>
      </w:divBdr>
    </w:div>
    <w:div w:id="733554141">
      <w:bodyDiv w:val="1"/>
      <w:marLeft w:val="0"/>
      <w:marRight w:val="0"/>
      <w:marTop w:val="0"/>
      <w:marBottom w:val="0"/>
      <w:divBdr>
        <w:top w:val="none" w:sz="0" w:space="0" w:color="auto"/>
        <w:left w:val="none" w:sz="0" w:space="0" w:color="auto"/>
        <w:bottom w:val="none" w:sz="0" w:space="0" w:color="auto"/>
        <w:right w:val="none" w:sz="0" w:space="0" w:color="auto"/>
      </w:divBdr>
    </w:div>
    <w:div w:id="742414918">
      <w:bodyDiv w:val="1"/>
      <w:marLeft w:val="0"/>
      <w:marRight w:val="0"/>
      <w:marTop w:val="0"/>
      <w:marBottom w:val="0"/>
      <w:divBdr>
        <w:top w:val="none" w:sz="0" w:space="0" w:color="auto"/>
        <w:left w:val="none" w:sz="0" w:space="0" w:color="auto"/>
        <w:bottom w:val="none" w:sz="0" w:space="0" w:color="auto"/>
        <w:right w:val="none" w:sz="0" w:space="0" w:color="auto"/>
      </w:divBdr>
    </w:div>
    <w:div w:id="752312662">
      <w:bodyDiv w:val="1"/>
      <w:marLeft w:val="0"/>
      <w:marRight w:val="0"/>
      <w:marTop w:val="0"/>
      <w:marBottom w:val="0"/>
      <w:divBdr>
        <w:top w:val="none" w:sz="0" w:space="0" w:color="auto"/>
        <w:left w:val="none" w:sz="0" w:space="0" w:color="auto"/>
        <w:bottom w:val="none" w:sz="0" w:space="0" w:color="auto"/>
        <w:right w:val="none" w:sz="0" w:space="0" w:color="auto"/>
      </w:divBdr>
    </w:div>
    <w:div w:id="755132283">
      <w:bodyDiv w:val="1"/>
      <w:marLeft w:val="0"/>
      <w:marRight w:val="0"/>
      <w:marTop w:val="0"/>
      <w:marBottom w:val="0"/>
      <w:divBdr>
        <w:top w:val="none" w:sz="0" w:space="0" w:color="auto"/>
        <w:left w:val="none" w:sz="0" w:space="0" w:color="auto"/>
        <w:bottom w:val="none" w:sz="0" w:space="0" w:color="auto"/>
        <w:right w:val="none" w:sz="0" w:space="0" w:color="auto"/>
      </w:divBdr>
    </w:div>
    <w:div w:id="773743653">
      <w:bodyDiv w:val="1"/>
      <w:marLeft w:val="0"/>
      <w:marRight w:val="0"/>
      <w:marTop w:val="0"/>
      <w:marBottom w:val="0"/>
      <w:divBdr>
        <w:top w:val="none" w:sz="0" w:space="0" w:color="auto"/>
        <w:left w:val="none" w:sz="0" w:space="0" w:color="auto"/>
        <w:bottom w:val="none" w:sz="0" w:space="0" w:color="auto"/>
        <w:right w:val="none" w:sz="0" w:space="0" w:color="auto"/>
      </w:divBdr>
      <w:divsChild>
        <w:div w:id="872619476">
          <w:marLeft w:val="0"/>
          <w:marRight w:val="0"/>
          <w:marTop w:val="0"/>
          <w:marBottom w:val="0"/>
          <w:divBdr>
            <w:top w:val="none" w:sz="0" w:space="0" w:color="auto"/>
            <w:left w:val="none" w:sz="0" w:space="0" w:color="auto"/>
            <w:bottom w:val="none" w:sz="0" w:space="0" w:color="auto"/>
            <w:right w:val="none" w:sz="0" w:space="0" w:color="auto"/>
          </w:divBdr>
        </w:div>
        <w:div w:id="1128627641">
          <w:marLeft w:val="0"/>
          <w:marRight w:val="0"/>
          <w:marTop w:val="0"/>
          <w:marBottom w:val="0"/>
          <w:divBdr>
            <w:top w:val="none" w:sz="0" w:space="0" w:color="auto"/>
            <w:left w:val="none" w:sz="0" w:space="0" w:color="auto"/>
            <w:bottom w:val="none" w:sz="0" w:space="0" w:color="auto"/>
            <w:right w:val="none" w:sz="0" w:space="0" w:color="auto"/>
          </w:divBdr>
        </w:div>
        <w:div w:id="1152142389">
          <w:marLeft w:val="0"/>
          <w:marRight w:val="0"/>
          <w:marTop w:val="0"/>
          <w:marBottom w:val="0"/>
          <w:divBdr>
            <w:top w:val="none" w:sz="0" w:space="0" w:color="auto"/>
            <w:left w:val="none" w:sz="0" w:space="0" w:color="auto"/>
            <w:bottom w:val="none" w:sz="0" w:space="0" w:color="auto"/>
            <w:right w:val="none" w:sz="0" w:space="0" w:color="auto"/>
          </w:divBdr>
        </w:div>
        <w:div w:id="1162039117">
          <w:marLeft w:val="0"/>
          <w:marRight w:val="0"/>
          <w:marTop w:val="0"/>
          <w:marBottom w:val="0"/>
          <w:divBdr>
            <w:top w:val="none" w:sz="0" w:space="0" w:color="auto"/>
            <w:left w:val="none" w:sz="0" w:space="0" w:color="auto"/>
            <w:bottom w:val="none" w:sz="0" w:space="0" w:color="auto"/>
            <w:right w:val="none" w:sz="0" w:space="0" w:color="auto"/>
          </w:divBdr>
        </w:div>
        <w:div w:id="1503542985">
          <w:marLeft w:val="0"/>
          <w:marRight w:val="0"/>
          <w:marTop w:val="0"/>
          <w:marBottom w:val="0"/>
          <w:divBdr>
            <w:top w:val="none" w:sz="0" w:space="0" w:color="auto"/>
            <w:left w:val="none" w:sz="0" w:space="0" w:color="auto"/>
            <w:bottom w:val="none" w:sz="0" w:space="0" w:color="auto"/>
            <w:right w:val="none" w:sz="0" w:space="0" w:color="auto"/>
          </w:divBdr>
        </w:div>
        <w:div w:id="1607152281">
          <w:marLeft w:val="0"/>
          <w:marRight w:val="0"/>
          <w:marTop w:val="0"/>
          <w:marBottom w:val="0"/>
          <w:divBdr>
            <w:top w:val="none" w:sz="0" w:space="0" w:color="auto"/>
            <w:left w:val="none" w:sz="0" w:space="0" w:color="auto"/>
            <w:bottom w:val="none" w:sz="0" w:space="0" w:color="auto"/>
            <w:right w:val="none" w:sz="0" w:space="0" w:color="auto"/>
          </w:divBdr>
        </w:div>
      </w:divsChild>
    </w:div>
    <w:div w:id="777799600">
      <w:bodyDiv w:val="1"/>
      <w:marLeft w:val="0"/>
      <w:marRight w:val="0"/>
      <w:marTop w:val="0"/>
      <w:marBottom w:val="0"/>
      <w:divBdr>
        <w:top w:val="none" w:sz="0" w:space="0" w:color="auto"/>
        <w:left w:val="none" w:sz="0" w:space="0" w:color="auto"/>
        <w:bottom w:val="none" w:sz="0" w:space="0" w:color="auto"/>
        <w:right w:val="none" w:sz="0" w:space="0" w:color="auto"/>
      </w:divBdr>
    </w:div>
    <w:div w:id="811557349">
      <w:bodyDiv w:val="1"/>
      <w:marLeft w:val="0"/>
      <w:marRight w:val="0"/>
      <w:marTop w:val="0"/>
      <w:marBottom w:val="0"/>
      <w:divBdr>
        <w:top w:val="none" w:sz="0" w:space="0" w:color="auto"/>
        <w:left w:val="none" w:sz="0" w:space="0" w:color="auto"/>
        <w:bottom w:val="none" w:sz="0" w:space="0" w:color="auto"/>
        <w:right w:val="none" w:sz="0" w:space="0" w:color="auto"/>
      </w:divBdr>
    </w:div>
    <w:div w:id="815755281">
      <w:bodyDiv w:val="1"/>
      <w:marLeft w:val="0"/>
      <w:marRight w:val="0"/>
      <w:marTop w:val="0"/>
      <w:marBottom w:val="0"/>
      <w:divBdr>
        <w:top w:val="none" w:sz="0" w:space="0" w:color="auto"/>
        <w:left w:val="none" w:sz="0" w:space="0" w:color="auto"/>
        <w:bottom w:val="none" w:sz="0" w:space="0" w:color="auto"/>
        <w:right w:val="none" w:sz="0" w:space="0" w:color="auto"/>
      </w:divBdr>
    </w:div>
    <w:div w:id="819152709">
      <w:bodyDiv w:val="1"/>
      <w:marLeft w:val="0"/>
      <w:marRight w:val="0"/>
      <w:marTop w:val="0"/>
      <w:marBottom w:val="0"/>
      <w:divBdr>
        <w:top w:val="none" w:sz="0" w:space="0" w:color="auto"/>
        <w:left w:val="none" w:sz="0" w:space="0" w:color="auto"/>
        <w:bottom w:val="none" w:sz="0" w:space="0" w:color="auto"/>
        <w:right w:val="none" w:sz="0" w:space="0" w:color="auto"/>
      </w:divBdr>
    </w:div>
    <w:div w:id="819158575">
      <w:bodyDiv w:val="1"/>
      <w:marLeft w:val="0"/>
      <w:marRight w:val="0"/>
      <w:marTop w:val="0"/>
      <w:marBottom w:val="0"/>
      <w:divBdr>
        <w:top w:val="none" w:sz="0" w:space="0" w:color="auto"/>
        <w:left w:val="none" w:sz="0" w:space="0" w:color="auto"/>
        <w:bottom w:val="none" w:sz="0" w:space="0" w:color="auto"/>
        <w:right w:val="none" w:sz="0" w:space="0" w:color="auto"/>
      </w:divBdr>
    </w:div>
    <w:div w:id="850949379">
      <w:bodyDiv w:val="1"/>
      <w:marLeft w:val="0"/>
      <w:marRight w:val="0"/>
      <w:marTop w:val="0"/>
      <w:marBottom w:val="0"/>
      <w:divBdr>
        <w:top w:val="none" w:sz="0" w:space="0" w:color="auto"/>
        <w:left w:val="none" w:sz="0" w:space="0" w:color="auto"/>
        <w:bottom w:val="none" w:sz="0" w:space="0" w:color="auto"/>
        <w:right w:val="none" w:sz="0" w:space="0" w:color="auto"/>
      </w:divBdr>
    </w:div>
    <w:div w:id="854076503">
      <w:bodyDiv w:val="1"/>
      <w:marLeft w:val="0"/>
      <w:marRight w:val="0"/>
      <w:marTop w:val="0"/>
      <w:marBottom w:val="0"/>
      <w:divBdr>
        <w:top w:val="none" w:sz="0" w:space="0" w:color="auto"/>
        <w:left w:val="none" w:sz="0" w:space="0" w:color="auto"/>
        <w:bottom w:val="none" w:sz="0" w:space="0" w:color="auto"/>
        <w:right w:val="none" w:sz="0" w:space="0" w:color="auto"/>
      </w:divBdr>
    </w:div>
    <w:div w:id="883716246">
      <w:bodyDiv w:val="1"/>
      <w:marLeft w:val="0"/>
      <w:marRight w:val="0"/>
      <w:marTop w:val="0"/>
      <w:marBottom w:val="0"/>
      <w:divBdr>
        <w:top w:val="none" w:sz="0" w:space="0" w:color="auto"/>
        <w:left w:val="none" w:sz="0" w:space="0" w:color="auto"/>
        <w:bottom w:val="none" w:sz="0" w:space="0" w:color="auto"/>
        <w:right w:val="none" w:sz="0" w:space="0" w:color="auto"/>
      </w:divBdr>
    </w:div>
    <w:div w:id="888498381">
      <w:bodyDiv w:val="1"/>
      <w:marLeft w:val="0"/>
      <w:marRight w:val="0"/>
      <w:marTop w:val="0"/>
      <w:marBottom w:val="0"/>
      <w:divBdr>
        <w:top w:val="none" w:sz="0" w:space="0" w:color="auto"/>
        <w:left w:val="none" w:sz="0" w:space="0" w:color="auto"/>
        <w:bottom w:val="none" w:sz="0" w:space="0" w:color="auto"/>
        <w:right w:val="none" w:sz="0" w:space="0" w:color="auto"/>
      </w:divBdr>
    </w:div>
    <w:div w:id="912742429">
      <w:bodyDiv w:val="1"/>
      <w:marLeft w:val="0"/>
      <w:marRight w:val="0"/>
      <w:marTop w:val="0"/>
      <w:marBottom w:val="0"/>
      <w:divBdr>
        <w:top w:val="none" w:sz="0" w:space="0" w:color="auto"/>
        <w:left w:val="none" w:sz="0" w:space="0" w:color="auto"/>
        <w:bottom w:val="none" w:sz="0" w:space="0" w:color="auto"/>
        <w:right w:val="none" w:sz="0" w:space="0" w:color="auto"/>
      </w:divBdr>
    </w:div>
    <w:div w:id="921065123">
      <w:bodyDiv w:val="1"/>
      <w:marLeft w:val="0"/>
      <w:marRight w:val="0"/>
      <w:marTop w:val="0"/>
      <w:marBottom w:val="0"/>
      <w:divBdr>
        <w:top w:val="none" w:sz="0" w:space="0" w:color="auto"/>
        <w:left w:val="none" w:sz="0" w:space="0" w:color="auto"/>
        <w:bottom w:val="none" w:sz="0" w:space="0" w:color="auto"/>
        <w:right w:val="none" w:sz="0" w:space="0" w:color="auto"/>
      </w:divBdr>
    </w:div>
    <w:div w:id="944847599">
      <w:bodyDiv w:val="1"/>
      <w:marLeft w:val="0"/>
      <w:marRight w:val="0"/>
      <w:marTop w:val="0"/>
      <w:marBottom w:val="0"/>
      <w:divBdr>
        <w:top w:val="none" w:sz="0" w:space="0" w:color="auto"/>
        <w:left w:val="none" w:sz="0" w:space="0" w:color="auto"/>
        <w:bottom w:val="none" w:sz="0" w:space="0" w:color="auto"/>
        <w:right w:val="none" w:sz="0" w:space="0" w:color="auto"/>
      </w:divBdr>
    </w:div>
    <w:div w:id="950010891">
      <w:bodyDiv w:val="1"/>
      <w:marLeft w:val="0"/>
      <w:marRight w:val="0"/>
      <w:marTop w:val="0"/>
      <w:marBottom w:val="0"/>
      <w:divBdr>
        <w:top w:val="none" w:sz="0" w:space="0" w:color="auto"/>
        <w:left w:val="none" w:sz="0" w:space="0" w:color="auto"/>
        <w:bottom w:val="none" w:sz="0" w:space="0" w:color="auto"/>
        <w:right w:val="none" w:sz="0" w:space="0" w:color="auto"/>
      </w:divBdr>
    </w:div>
    <w:div w:id="955793770">
      <w:bodyDiv w:val="1"/>
      <w:marLeft w:val="0"/>
      <w:marRight w:val="0"/>
      <w:marTop w:val="0"/>
      <w:marBottom w:val="0"/>
      <w:divBdr>
        <w:top w:val="none" w:sz="0" w:space="0" w:color="auto"/>
        <w:left w:val="none" w:sz="0" w:space="0" w:color="auto"/>
        <w:bottom w:val="none" w:sz="0" w:space="0" w:color="auto"/>
        <w:right w:val="none" w:sz="0" w:space="0" w:color="auto"/>
      </w:divBdr>
    </w:div>
    <w:div w:id="976447681">
      <w:bodyDiv w:val="1"/>
      <w:marLeft w:val="0"/>
      <w:marRight w:val="0"/>
      <w:marTop w:val="0"/>
      <w:marBottom w:val="0"/>
      <w:divBdr>
        <w:top w:val="none" w:sz="0" w:space="0" w:color="auto"/>
        <w:left w:val="none" w:sz="0" w:space="0" w:color="auto"/>
        <w:bottom w:val="none" w:sz="0" w:space="0" w:color="auto"/>
        <w:right w:val="none" w:sz="0" w:space="0" w:color="auto"/>
      </w:divBdr>
    </w:div>
    <w:div w:id="1009060201">
      <w:bodyDiv w:val="1"/>
      <w:marLeft w:val="0"/>
      <w:marRight w:val="0"/>
      <w:marTop w:val="0"/>
      <w:marBottom w:val="0"/>
      <w:divBdr>
        <w:top w:val="none" w:sz="0" w:space="0" w:color="auto"/>
        <w:left w:val="none" w:sz="0" w:space="0" w:color="auto"/>
        <w:bottom w:val="none" w:sz="0" w:space="0" w:color="auto"/>
        <w:right w:val="none" w:sz="0" w:space="0" w:color="auto"/>
      </w:divBdr>
    </w:div>
    <w:div w:id="1019160309">
      <w:bodyDiv w:val="1"/>
      <w:marLeft w:val="0"/>
      <w:marRight w:val="0"/>
      <w:marTop w:val="0"/>
      <w:marBottom w:val="0"/>
      <w:divBdr>
        <w:top w:val="none" w:sz="0" w:space="0" w:color="auto"/>
        <w:left w:val="none" w:sz="0" w:space="0" w:color="auto"/>
        <w:bottom w:val="none" w:sz="0" w:space="0" w:color="auto"/>
        <w:right w:val="none" w:sz="0" w:space="0" w:color="auto"/>
      </w:divBdr>
    </w:div>
    <w:div w:id="1020736845">
      <w:bodyDiv w:val="1"/>
      <w:marLeft w:val="0"/>
      <w:marRight w:val="0"/>
      <w:marTop w:val="0"/>
      <w:marBottom w:val="0"/>
      <w:divBdr>
        <w:top w:val="none" w:sz="0" w:space="0" w:color="auto"/>
        <w:left w:val="none" w:sz="0" w:space="0" w:color="auto"/>
        <w:bottom w:val="none" w:sz="0" w:space="0" w:color="auto"/>
        <w:right w:val="none" w:sz="0" w:space="0" w:color="auto"/>
      </w:divBdr>
    </w:div>
    <w:div w:id="1025860359">
      <w:bodyDiv w:val="1"/>
      <w:marLeft w:val="0"/>
      <w:marRight w:val="0"/>
      <w:marTop w:val="0"/>
      <w:marBottom w:val="0"/>
      <w:divBdr>
        <w:top w:val="none" w:sz="0" w:space="0" w:color="auto"/>
        <w:left w:val="none" w:sz="0" w:space="0" w:color="auto"/>
        <w:bottom w:val="none" w:sz="0" w:space="0" w:color="auto"/>
        <w:right w:val="none" w:sz="0" w:space="0" w:color="auto"/>
      </w:divBdr>
    </w:div>
    <w:div w:id="1037241155">
      <w:bodyDiv w:val="1"/>
      <w:marLeft w:val="0"/>
      <w:marRight w:val="0"/>
      <w:marTop w:val="0"/>
      <w:marBottom w:val="0"/>
      <w:divBdr>
        <w:top w:val="none" w:sz="0" w:space="0" w:color="auto"/>
        <w:left w:val="none" w:sz="0" w:space="0" w:color="auto"/>
        <w:bottom w:val="none" w:sz="0" w:space="0" w:color="auto"/>
        <w:right w:val="none" w:sz="0" w:space="0" w:color="auto"/>
      </w:divBdr>
    </w:div>
    <w:div w:id="1049263880">
      <w:bodyDiv w:val="1"/>
      <w:marLeft w:val="0"/>
      <w:marRight w:val="0"/>
      <w:marTop w:val="0"/>
      <w:marBottom w:val="0"/>
      <w:divBdr>
        <w:top w:val="none" w:sz="0" w:space="0" w:color="auto"/>
        <w:left w:val="none" w:sz="0" w:space="0" w:color="auto"/>
        <w:bottom w:val="none" w:sz="0" w:space="0" w:color="auto"/>
        <w:right w:val="none" w:sz="0" w:space="0" w:color="auto"/>
      </w:divBdr>
    </w:div>
    <w:div w:id="1056589192">
      <w:bodyDiv w:val="1"/>
      <w:marLeft w:val="0"/>
      <w:marRight w:val="0"/>
      <w:marTop w:val="0"/>
      <w:marBottom w:val="0"/>
      <w:divBdr>
        <w:top w:val="none" w:sz="0" w:space="0" w:color="auto"/>
        <w:left w:val="none" w:sz="0" w:space="0" w:color="auto"/>
        <w:bottom w:val="none" w:sz="0" w:space="0" w:color="auto"/>
        <w:right w:val="none" w:sz="0" w:space="0" w:color="auto"/>
      </w:divBdr>
    </w:div>
    <w:div w:id="1115448293">
      <w:bodyDiv w:val="1"/>
      <w:marLeft w:val="0"/>
      <w:marRight w:val="0"/>
      <w:marTop w:val="0"/>
      <w:marBottom w:val="0"/>
      <w:divBdr>
        <w:top w:val="none" w:sz="0" w:space="0" w:color="auto"/>
        <w:left w:val="none" w:sz="0" w:space="0" w:color="auto"/>
        <w:bottom w:val="none" w:sz="0" w:space="0" w:color="auto"/>
        <w:right w:val="none" w:sz="0" w:space="0" w:color="auto"/>
      </w:divBdr>
    </w:div>
    <w:div w:id="1117408241">
      <w:bodyDiv w:val="1"/>
      <w:marLeft w:val="0"/>
      <w:marRight w:val="0"/>
      <w:marTop w:val="0"/>
      <w:marBottom w:val="0"/>
      <w:divBdr>
        <w:top w:val="none" w:sz="0" w:space="0" w:color="auto"/>
        <w:left w:val="none" w:sz="0" w:space="0" w:color="auto"/>
        <w:bottom w:val="none" w:sz="0" w:space="0" w:color="auto"/>
        <w:right w:val="none" w:sz="0" w:space="0" w:color="auto"/>
      </w:divBdr>
    </w:div>
    <w:div w:id="1120564909">
      <w:bodyDiv w:val="1"/>
      <w:marLeft w:val="0"/>
      <w:marRight w:val="0"/>
      <w:marTop w:val="0"/>
      <w:marBottom w:val="0"/>
      <w:divBdr>
        <w:top w:val="none" w:sz="0" w:space="0" w:color="auto"/>
        <w:left w:val="none" w:sz="0" w:space="0" w:color="auto"/>
        <w:bottom w:val="none" w:sz="0" w:space="0" w:color="auto"/>
        <w:right w:val="none" w:sz="0" w:space="0" w:color="auto"/>
      </w:divBdr>
    </w:div>
    <w:div w:id="1128354348">
      <w:bodyDiv w:val="1"/>
      <w:marLeft w:val="0"/>
      <w:marRight w:val="0"/>
      <w:marTop w:val="0"/>
      <w:marBottom w:val="0"/>
      <w:divBdr>
        <w:top w:val="none" w:sz="0" w:space="0" w:color="auto"/>
        <w:left w:val="none" w:sz="0" w:space="0" w:color="auto"/>
        <w:bottom w:val="none" w:sz="0" w:space="0" w:color="auto"/>
        <w:right w:val="none" w:sz="0" w:space="0" w:color="auto"/>
      </w:divBdr>
    </w:div>
    <w:div w:id="1140272256">
      <w:bodyDiv w:val="1"/>
      <w:marLeft w:val="0"/>
      <w:marRight w:val="0"/>
      <w:marTop w:val="0"/>
      <w:marBottom w:val="0"/>
      <w:divBdr>
        <w:top w:val="none" w:sz="0" w:space="0" w:color="auto"/>
        <w:left w:val="none" w:sz="0" w:space="0" w:color="auto"/>
        <w:bottom w:val="none" w:sz="0" w:space="0" w:color="auto"/>
        <w:right w:val="none" w:sz="0" w:space="0" w:color="auto"/>
      </w:divBdr>
    </w:div>
    <w:div w:id="1171220333">
      <w:bodyDiv w:val="1"/>
      <w:marLeft w:val="0"/>
      <w:marRight w:val="0"/>
      <w:marTop w:val="0"/>
      <w:marBottom w:val="0"/>
      <w:divBdr>
        <w:top w:val="none" w:sz="0" w:space="0" w:color="auto"/>
        <w:left w:val="none" w:sz="0" w:space="0" w:color="auto"/>
        <w:bottom w:val="none" w:sz="0" w:space="0" w:color="auto"/>
        <w:right w:val="none" w:sz="0" w:space="0" w:color="auto"/>
      </w:divBdr>
    </w:div>
    <w:div w:id="1176842948">
      <w:bodyDiv w:val="1"/>
      <w:marLeft w:val="0"/>
      <w:marRight w:val="0"/>
      <w:marTop w:val="0"/>
      <w:marBottom w:val="0"/>
      <w:divBdr>
        <w:top w:val="none" w:sz="0" w:space="0" w:color="auto"/>
        <w:left w:val="none" w:sz="0" w:space="0" w:color="auto"/>
        <w:bottom w:val="none" w:sz="0" w:space="0" w:color="auto"/>
        <w:right w:val="none" w:sz="0" w:space="0" w:color="auto"/>
      </w:divBdr>
    </w:div>
    <w:div w:id="1181168557">
      <w:bodyDiv w:val="1"/>
      <w:marLeft w:val="0"/>
      <w:marRight w:val="0"/>
      <w:marTop w:val="0"/>
      <w:marBottom w:val="0"/>
      <w:divBdr>
        <w:top w:val="none" w:sz="0" w:space="0" w:color="auto"/>
        <w:left w:val="none" w:sz="0" w:space="0" w:color="auto"/>
        <w:bottom w:val="none" w:sz="0" w:space="0" w:color="auto"/>
        <w:right w:val="none" w:sz="0" w:space="0" w:color="auto"/>
      </w:divBdr>
      <w:divsChild>
        <w:div w:id="19167704">
          <w:marLeft w:val="0"/>
          <w:marRight w:val="0"/>
          <w:marTop w:val="0"/>
          <w:marBottom w:val="0"/>
          <w:divBdr>
            <w:top w:val="none" w:sz="0" w:space="0" w:color="auto"/>
            <w:left w:val="none" w:sz="0" w:space="0" w:color="auto"/>
            <w:bottom w:val="none" w:sz="0" w:space="0" w:color="auto"/>
            <w:right w:val="none" w:sz="0" w:space="0" w:color="auto"/>
          </w:divBdr>
        </w:div>
        <w:div w:id="469857974">
          <w:marLeft w:val="0"/>
          <w:marRight w:val="0"/>
          <w:marTop w:val="0"/>
          <w:marBottom w:val="0"/>
          <w:divBdr>
            <w:top w:val="none" w:sz="0" w:space="0" w:color="auto"/>
            <w:left w:val="none" w:sz="0" w:space="0" w:color="auto"/>
            <w:bottom w:val="none" w:sz="0" w:space="0" w:color="auto"/>
            <w:right w:val="none" w:sz="0" w:space="0" w:color="auto"/>
          </w:divBdr>
        </w:div>
        <w:div w:id="1869294809">
          <w:marLeft w:val="0"/>
          <w:marRight w:val="0"/>
          <w:marTop w:val="0"/>
          <w:marBottom w:val="0"/>
          <w:divBdr>
            <w:top w:val="none" w:sz="0" w:space="0" w:color="auto"/>
            <w:left w:val="none" w:sz="0" w:space="0" w:color="auto"/>
            <w:bottom w:val="none" w:sz="0" w:space="0" w:color="auto"/>
            <w:right w:val="none" w:sz="0" w:space="0" w:color="auto"/>
          </w:divBdr>
        </w:div>
      </w:divsChild>
    </w:div>
    <w:div w:id="1202522795">
      <w:bodyDiv w:val="1"/>
      <w:marLeft w:val="0"/>
      <w:marRight w:val="0"/>
      <w:marTop w:val="0"/>
      <w:marBottom w:val="0"/>
      <w:divBdr>
        <w:top w:val="none" w:sz="0" w:space="0" w:color="auto"/>
        <w:left w:val="none" w:sz="0" w:space="0" w:color="auto"/>
        <w:bottom w:val="none" w:sz="0" w:space="0" w:color="auto"/>
        <w:right w:val="none" w:sz="0" w:space="0" w:color="auto"/>
      </w:divBdr>
    </w:div>
    <w:div w:id="1217856167">
      <w:bodyDiv w:val="1"/>
      <w:marLeft w:val="0"/>
      <w:marRight w:val="0"/>
      <w:marTop w:val="0"/>
      <w:marBottom w:val="0"/>
      <w:divBdr>
        <w:top w:val="none" w:sz="0" w:space="0" w:color="auto"/>
        <w:left w:val="none" w:sz="0" w:space="0" w:color="auto"/>
        <w:bottom w:val="none" w:sz="0" w:space="0" w:color="auto"/>
        <w:right w:val="none" w:sz="0" w:space="0" w:color="auto"/>
      </w:divBdr>
    </w:div>
    <w:div w:id="1224098787">
      <w:bodyDiv w:val="1"/>
      <w:marLeft w:val="0"/>
      <w:marRight w:val="0"/>
      <w:marTop w:val="0"/>
      <w:marBottom w:val="0"/>
      <w:divBdr>
        <w:top w:val="none" w:sz="0" w:space="0" w:color="auto"/>
        <w:left w:val="none" w:sz="0" w:space="0" w:color="auto"/>
        <w:bottom w:val="none" w:sz="0" w:space="0" w:color="auto"/>
        <w:right w:val="none" w:sz="0" w:space="0" w:color="auto"/>
      </w:divBdr>
    </w:div>
    <w:div w:id="1229151570">
      <w:bodyDiv w:val="1"/>
      <w:marLeft w:val="0"/>
      <w:marRight w:val="0"/>
      <w:marTop w:val="0"/>
      <w:marBottom w:val="0"/>
      <w:divBdr>
        <w:top w:val="none" w:sz="0" w:space="0" w:color="auto"/>
        <w:left w:val="none" w:sz="0" w:space="0" w:color="auto"/>
        <w:bottom w:val="none" w:sz="0" w:space="0" w:color="auto"/>
        <w:right w:val="none" w:sz="0" w:space="0" w:color="auto"/>
      </w:divBdr>
    </w:div>
    <w:div w:id="1244218186">
      <w:bodyDiv w:val="1"/>
      <w:marLeft w:val="0"/>
      <w:marRight w:val="0"/>
      <w:marTop w:val="0"/>
      <w:marBottom w:val="0"/>
      <w:divBdr>
        <w:top w:val="none" w:sz="0" w:space="0" w:color="auto"/>
        <w:left w:val="none" w:sz="0" w:space="0" w:color="auto"/>
        <w:bottom w:val="none" w:sz="0" w:space="0" w:color="auto"/>
        <w:right w:val="none" w:sz="0" w:space="0" w:color="auto"/>
      </w:divBdr>
    </w:div>
    <w:div w:id="1256019463">
      <w:bodyDiv w:val="1"/>
      <w:marLeft w:val="0"/>
      <w:marRight w:val="0"/>
      <w:marTop w:val="0"/>
      <w:marBottom w:val="0"/>
      <w:divBdr>
        <w:top w:val="none" w:sz="0" w:space="0" w:color="auto"/>
        <w:left w:val="none" w:sz="0" w:space="0" w:color="auto"/>
        <w:bottom w:val="none" w:sz="0" w:space="0" w:color="auto"/>
        <w:right w:val="none" w:sz="0" w:space="0" w:color="auto"/>
      </w:divBdr>
    </w:div>
    <w:div w:id="1257448350">
      <w:bodyDiv w:val="1"/>
      <w:marLeft w:val="0"/>
      <w:marRight w:val="0"/>
      <w:marTop w:val="0"/>
      <w:marBottom w:val="0"/>
      <w:divBdr>
        <w:top w:val="none" w:sz="0" w:space="0" w:color="auto"/>
        <w:left w:val="none" w:sz="0" w:space="0" w:color="auto"/>
        <w:bottom w:val="none" w:sz="0" w:space="0" w:color="auto"/>
        <w:right w:val="none" w:sz="0" w:space="0" w:color="auto"/>
      </w:divBdr>
    </w:div>
    <w:div w:id="1260408255">
      <w:bodyDiv w:val="1"/>
      <w:marLeft w:val="0"/>
      <w:marRight w:val="0"/>
      <w:marTop w:val="0"/>
      <w:marBottom w:val="0"/>
      <w:divBdr>
        <w:top w:val="none" w:sz="0" w:space="0" w:color="auto"/>
        <w:left w:val="none" w:sz="0" w:space="0" w:color="auto"/>
        <w:bottom w:val="none" w:sz="0" w:space="0" w:color="auto"/>
        <w:right w:val="none" w:sz="0" w:space="0" w:color="auto"/>
      </w:divBdr>
    </w:div>
    <w:div w:id="1261797108">
      <w:bodyDiv w:val="1"/>
      <w:marLeft w:val="0"/>
      <w:marRight w:val="0"/>
      <w:marTop w:val="0"/>
      <w:marBottom w:val="0"/>
      <w:divBdr>
        <w:top w:val="none" w:sz="0" w:space="0" w:color="auto"/>
        <w:left w:val="none" w:sz="0" w:space="0" w:color="auto"/>
        <w:bottom w:val="none" w:sz="0" w:space="0" w:color="auto"/>
        <w:right w:val="none" w:sz="0" w:space="0" w:color="auto"/>
      </w:divBdr>
    </w:div>
    <w:div w:id="1276138518">
      <w:bodyDiv w:val="1"/>
      <w:marLeft w:val="0"/>
      <w:marRight w:val="0"/>
      <w:marTop w:val="0"/>
      <w:marBottom w:val="0"/>
      <w:divBdr>
        <w:top w:val="none" w:sz="0" w:space="0" w:color="auto"/>
        <w:left w:val="none" w:sz="0" w:space="0" w:color="auto"/>
        <w:bottom w:val="none" w:sz="0" w:space="0" w:color="auto"/>
        <w:right w:val="none" w:sz="0" w:space="0" w:color="auto"/>
      </w:divBdr>
    </w:div>
    <w:div w:id="1285310076">
      <w:bodyDiv w:val="1"/>
      <w:marLeft w:val="0"/>
      <w:marRight w:val="0"/>
      <w:marTop w:val="0"/>
      <w:marBottom w:val="0"/>
      <w:divBdr>
        <w:top w:val="none" w:sz="0" w:space="0" w:color="auto"/>
        <w:left w:val="none" w:sz="0" w:space="0" w:color="auto"/>
        <w:bottom w:val="none" w:sz="0" w:space="0" w:color="auto"/>
        <w:right w:val="none" w:sz="0" w:space="0" w:color="auto"/>
      </w:divBdr>
    </w:div>
    <w:div w:id="1291789928">
      <w:bodyDiv w:val="1"/>
      <w:marLeft w:val="0"/>
      <w:marRight w:val="0"/>
      <w:marTop w:val="0"/>
      <w:marBottom w:val="0"/>
      <w:divBdr>
        <w:top w:val="none" w:sz="0" w:space="0" w:color="auto"/>
        <w:left w:val="none" w:sz="0" w:space="0" w:color="auto"/>
        <w:bottom w:val="none" w:sz="0" w:space="0" w:color="auto"/>
        <w:right w:val="none" w:sz="0" w:space="0" w:color="auto"/>
      </w:divBdr>
    </w:div>
    <w:div w:id="1309745875">
      <w:bodyDiv w:val="1"/>
      <w:marLeft w:val="0"/>
      <w:marRight w:val="0"/>
      <w:marTop w:val="0"/>
      <w:marBottom w:val="0"/>
      <w:divBdr>
        <w:top w:val="none" w:sz="0" w:space="0" w:color="auto"/>
        <w:left w:val="none" w:sz="0" w:space="0" w:color="auto"/>
        <w:bottom w:val="none" w:sz="0" w:space="0" w:color="auto"/>
        <w:right w:val="none" w:sz="0" w:space="0" w:color="auto"/>
      </w:divBdr>
    </w:div>
    <w:div w:id="1320118329">
      <w:bodyDiv w:val="1"/>
      <w:marLeft w:val="0"/>
      <w:marRight w:val="0"/>
      <w:marTop w:val="0"/>
      <w:marBottom w:val="0"/>
      <w:divBdr>
        <w:top w:val="none" w:sz="0" w:space="0" w:color="auto"/>
        <w:left w:val="none" w:sz="0" w:space="0" w:color="auto"/>
        <w:bottom w:val="none" w:sz="0" w:space="0" w:color="auto"/>
        <w:right w:val="none" w:sz="0" w:space="0" w:color="auto"/>
      </w:divBdr>
    </w:div>
    <w:div w:id="1338461236">
      <w:bodyDiv w:val="1"/>
      <w:marLeft w:val="0"/>
      <w:marRight w:val="0"/>
      <w:marTop w:val="0"/>
      <w:marBottom w:val="0"/>
      <w:divBdr>
        <w:top w:val="none" w:sz="0" w:space="0" w:color="auto"/>
        <w:left w:val="none" w:sz="0" w:space="0" w:color="auto"/>
        <w:bottom w:val="none" w:sz="0" w:space="0" w:color="auto"/>
        <w:right w:val="none" w:sz="0" w:space="0" w:color="auto"/>
      </w:divBdr>
    </w:div>
    <w:div w:id="1338843963">
      <w:bodyDiv w:val="1"/>
      <w:marLeft w:val="0"/>
      <w:marRight w:val="0"/>
      <w:marTop w:val="0"/>
      <w:marBottom w:val="0"/>
      <w:divBdr>
        <w:top w:val="none" w:sz="0" w:space="0" w:color="auto"/>
        <w:left w:val="none" w:sz="0" w:space="0" w:color="auto"/>
        <w:bottom w:val="none" w:sz="0" w:space="0" w:color="auto"/>
        <w:right w:val="none" w:sz="0" w:space="0" w:color="auto"/>
      </w:divBdr>
    </w:div>
    <w:div w:id="1339045467">
      <w:bodyDiv w:val="1"/>
      <w:marLeft w:val="0"/>
      <w:marRight w:val="0"/>
      <w:marTop w:val="0"/>
      <w:marBottom w:val="0"/>
      <w:divBdr>
        <w:top w:val="none" w:sz="0" w:space="0" w:color="auto"/>
        <w:left w:val="none" w:sz="0" w:space="0" w:color="auto"/>
        <w:bottom w:val="none" w:sz="0" w:space="0" w:color="auto"/>
        <w:right w:val="none" w:sz="0" w:space="0" w:color="auto"/>
      </w:divBdr>
    </w:div>
    <w:div w:id="1339187439">
      <w:bodyDiv w:val="1"/>
      <w:marLeft w:val="0"/>
      <w:marRight w:val="0"/>
      <w:marTop w:val="0"/>
      <w:marBottom w:val="0"/>
      <w:divBdr>
        <w:top w:val="none" w:sz="0" w:space="0" w:color="auto"/>
        <w:left w:val="none" w:sz="0" w:space="0" w:color="auto"/>
        <w:bottom w:val="none" w:sz="0" w:space="0" w:color="auto"/>
        <w:right w:val="none" w:sz="0" w:space="0" w:color="auto"/>
      </w:divBdr>
      <w:divsChild>
        <w:div w:id="615330595">
          <w:marLeft w:val="0"/>
          <w:marRight w:val="0"/>
          <w:marTop w:val="0"/>
          <w:marBottom w:val="0"/>
          <w:divBdr>
            <w:top w:val="none" w:sz="0" w:space="0" w:color="auto"/>
            <w:left w:val="none" w:sz="0" w:space="0" w:color="auto"/>
            <w:bottom w:val="none" w:sz="0" w:space="0" w:color="auto"/>
            <w:right w:val="none" w:sz="0" w:space="0" w:color="auto"/>
          </w:divBdr>
        </w:div>
        <w:div w:id="1824202814">
          <w:marLeft w:val="0"/>
          <w:marRight w:val="0"/>
          <w:marTop w:val="0"/>
          <w:marBottom w:val="0"/>
          <w:divBdr>
            <w:top w:val="none" w:sz="0" w:space="0" w:color="auto"/>
            <w:left w:val="none" w:sz="0" w:space="0" w:color="auto"/>
            <w:bottom w:val="none" w:sz="0" w:space="0" w:color="auto"/>
            <w:right w:val="none" w:sz="0" w:space="0" w:color="auto"/>
          </w:divBdr>
        </w:div>
        <w:div w:id="1992056233">
          <w:marLeft w:val="0"/>
          <w:marRight w:val="0"/>
          <w:marTop w:val="0"/>
          <w:marBottom w:val="0"/>
          <w:divBdr>
            <w:top w:val="none" w:sz="0" w:space="0" w:color="auto"/>
            <w:left w:val="none" w:sz="0" w:space="0" w:color="auto"/>
            <w:bottom w:val="none" w:sz="0" w:space="0" w:color="auto"/>
            <w:right w:val="none" w:sz="0" w:space="0" w:color="auto"/>
          </w:divBdr>
        </w:div>
      </w:divsChild>
    </w:div>
    <w:div w:id="1382824793">
      <w:bodyDiv w:val="1"/>
      <w:marLeft w:val="0"/>
      <w:marRight w:val="0"/>
      <w:marTop w:val="0"/>
      <w:marBottom w:val="0"/>
      <w:divBdr>
        <w:top w:val="none" w:sz="0" w:space="0" w:color="auto"/>
        <w:left w:val="none" w:sz="0" w:space="0" w:color="auto"/>
        <w:bottom w:val="none" w:sz="0" w:space="0" w:color="auto"/>
        <w:right w:val="none" w:sz="0" w:space="0" w:color="auto"/>
      </w:divBdr>
    </w:div>
    <w:div w:id="1385258699">
      <w:bodyDiv w:val="1"/>
      <w:marLeft w:val="0"/>
      <w:marRight w:val="0"/>
      <w:marTop w:val="0"/>
      <w:marBottom w:val="0"/>
      <w:divBdr>
        <w:top w:val="none" w:sz="0" w:space="0" w:color="auto"/>
        <w:left w:val="none" w:sz="0" w:space="0" w:color="auto"/>
        <w:bottom w:val="none" w:sz="0" w:space="0" w:color="auto"/>
        <w:right w:val="none" w:sz="0" w:space="0" w:color="auto"/>
      </w:divBdr>
    </w:div>
    <w:div w:id="1411778870">
      <w:bodyDiv w:val="1"/>
      <w:marLeft w:val="0"/>
      <w:marRight w:val="0"/>
      <w:marTop w:val="0"/>
      <w:marBottom w:val="0"/>
      <w:divBdr>
        <w:top w:val="none" w:sz="0" w:space="0" w:color="auto"/>
        <w:left w:val="none" w:sz="0" w:space="0" w:color="auto"/>
        <w:bottom w:val="none" w:sz="0" w:space="0" w:color="auto"/>
        <w:right w:val="none" w:sz="0" w:space="0" w:color="auto"/>
      </w:divBdr>
    </w:div>
    <w:div w:id="1446773369">
      <w:bodyDiv w:val="1"/>
      <w:marLeft w:val="0"/>
      <w:marRight w:val="0"/>
      <w:marTop w:val="0"/>
      <w:marBottom w:val="0"/>
      <w:divBdr>
        <w:top w:val="none" w:sz="0" w:space="0" w:color="auto"/>
        <w:left w:val="none" w:sz="0" w:space="0" w:color="auto"/>
        <w:bottom w:val="none" w:sz="0" w:space="0" w:color="auto"/>
        <w:right w:val="none" w:sz="0" w:space="0" w:color="auto"/>
      </w:divBdr>
    </w:div>
    <w:div w:id="1446995807">
      <w:bodyDiv w:val="1"/>
      <w:marLeft w:val="0"/>
      <w:marRight w:val="0"/>
      <w:marTop w:val="0"/>
      <w:marBottom w:val="0"/>
      <w:divBdr>
        <w:top w:val="none" w:sz="0" w:space="0" w:color="auto"/>
        <w:left w:val="none" w:sz="0" w:space="0" w:color="auto"/>
        <w:bottom w:val="none" w:sz="0" w:space="0" w:color="auto"/>
        <w:right w:val="none" w:sz="0" w:space="0" w:color="auto"/>
      </w:divBdr>
    </w:div>
    <w:div w:id="1463307564">
      <w:bodyDiv w:val="1"/>
      <w:marLeft w:val="0"/>
      <w:marRight w:val="0"/>
      <w:marTop w:val="0"/>
      <w:marBottom w:val="0"/>
      <w:divBdr>
        <w:top w:val="none" w:sz="0" w:space="0" w:color="auto"/>
        <w:left w:val="none" w:sz="0" w:space="0" w:color="auto"/>
        <w:bottom w:val="none" w:sz="0" w:space="0" w:color="auto"/>
        <w:right w:val="none" w:sz="0" w:space="0" w:color="auto"/>
      </w:divBdr>
    </w:div>
    <w:div w:id="1483543428">
      <w:bodyDiv w:val="1"/>
      <w:marLeft w:val="0"/>
      <w:marRight w:val="0"/>
      <w:marTop w:val="0"/>
      <w:marBottom w:val="0"/>
      <w:divBdr>
        <w:top w:val="none" w:sz="0" w:space="0" w:color="auto"/>
        <w:left w:val="none" w:sz="0" w:space="0" w:color="auto"/>
        <w:bottom w:val="none" w:sz="0" w:space="0" w:color="auto"/>
        <w:right w:val="none" w:sz="0" w:space="0" w:color="auto"/>
      </w:divBdr>
    </w:div>
    <w:div w:id="1499348101">
      <w:bodyDiv w:val="1"/>
      <w:marLeft w:val="0"/>
      <w:marRight w:val="0"/>
      <w:marTop w:val="0"/>
      <w:marBottom w:val="0"/>
      <w:divBdr>
        <w:top w:val="none" w:sz="0" w:space="0" w:color="auto"/>
        <w:left w:val="none" w:sz="0" w:space="0" w:color="auto"/>
        <w:bottom w:val="none" w:sz="0" w:space="0" w:color="auto"/>
        <w:right w:val="none" w:sz="0" w:space="0" w:color="auto"/>
      </w:divBdr>
    </w:div>
    <w:div w:id="1534686216">
      <w:bodyDiv w:val="1"/>
      <w:marLeft w:val="0"/>
      <w:marRight w:val="0"/>
      <w:marTop w:val="0"/>
      <w:marBottom w:val="0"/>
      <w:divBdr>
        <w:top w:val="none" w:sz="0" w:space="0" w:color="auto"/>
        <w:left w:val="none" w:sz="0" w:space="0" w:color="auto"/>
        <w:bottom w:val="none" w:sz="0" w:space="0" w:color="auto"/>
        <w:right w:val="none" w:sz="0" w:space="0" w:color="auto"/>
      </w:divBdr>
    </w:div>
    <w:div w:id="1540047849">
      <w:bodyDiv w:val="1"/>
      <w:marLeft w:val="0"/>
      <w:marRight w:val="0"/>
      <w:marTop w:val="0"/>
      <w:marBottom w:val="0"/>
      <w:divBdr>
        <w:top w:val="none" w:sz="0" w:space="0" w:color="auto"/>
        <w:left w:val="none" w:sz="0" w:space="0" w:color="auto"/>
        <w:bottom w:val="none" w:sz="0" w:space="0" w:color="auto"/>
        <w:right w:val="none" w:sz="0" w:space="0" w:color="auto"/>
      </w:divBdr>
    </w:div>
    <w:div w:id="1586257040">
      <w:bodyDiv w:val="1"/>
      <w:marLeft w:val="0"/>
      <w:marRight w:val="0"/>
      <w:marTop w:val="0"/>
      <w:marBottom w:val="0"/>
      <w:divBdr>
        <w:top w:val="none" w:sz="0" w:space="0" w:color="auto"/>
        <w:left w:val="none" w:sz="0" w:space="0" w:color="auto"/>
        <w:bottom w:val="none" w:sz="0" w:space="0" w:color="auto"/>
        <w:right w:val="none" w:sz="0" w:space="0" w:color="auto"/>
      </w:divBdr>
    </w:div>
    <w:div w:id="1590624353">
      <w:bodyDiv w:val="1"/>
      <w:marLeft w:val="0"/>
      <w:marRight w:val="0"/>
      <w:marTop w:val="0"/>
      <w:marBottom w:val="0"/>
      <w:divBdr>
        <w:top w:val="none" w:sz="0" w:space="0" w:color="auto"/>
        <w:left w:val="none" w:sz="0" w:space="0" w:color="auto"/>
        <w:bottom w:val="none" w:sz="0" w:space="0" w:color="auto"/>
        <w:right w:val="none" w:sz="0" w:space="0" w:color="auto"/>
      </w:divBdr>
    </w:div>
    <w:div w:id="1596087102">
      <w:bodyDiv w:val="1"/>
      <w:marLeft w:val="0"/>
      <w:marRight w:val="0"/>
      <w:marTop w:val="0"/>
      <w:marBottom w:val="0"/>
      <w:divBdr>
        <w:top w:val="none" w:sz="0" w:space="0" w:color="auto"/>
        <w:left w:val="none" w:sz="0" w:space="0" w:color="auto"/>
        <w:bottom w:val="none" w:sz="0" w:space="0" w:color="auto"/>
        <w:right w:val="none" w:sz="0" w:space="0" w:color="auto"/>
      </w:divBdr>
    </w:div>
    <w:div w:id="1606306867">
      <w:bodyDiv w:val="1"/>
      <w:marLeft w:val="0"/>
      <w:marRight w:val="0"/>
      <w:marTop w:val="0"/>
      <w:marBottom w:val="0"/>
      <w:divBdr>
        <w:top w:val="none" w:sz="0" w:space="0" w:color="auto"/>
        <w:left w:val="none" w:sz="0" w:space="0" w:color="auto"/>
        <w:bottom w:val="none" w:sz="0" w:space="0" w:color="auto"/>
        <w:right w:val="none" w:sz="0" w:space="0" w:color="auto"/>
      </w:divBdr>
    </w:div>
    <w:div w:id="1616328491">
      <w:bodyDiv w:val="1"/>
      <w:marLeft w:val="0"/>
      <w:marRight w:val="0"/>
      <w:marTop w:val="0"/>
      <w:marBottom w:val="0"/>
      <w:divBdr>
        <w:top w:val="none" w:sz="0" w:space="0" w:color="auto"/>
        <w:left w:val="none" w:sz="0" w:space="0" w:color="auto"/>
        <w:bottom w:val="none" w:sz="0" w:space="0" w:color="auto"/>
        <w:right w:val="none" w:sz="0" w:space="0" w:color="auto"/>
      </w:divBdr>
    </w:div>
    <w:div w:id="1656181121">
      <w:bodyDiv w:val="1"/>
      <w:marLeft w:val="0"/>
      <w:marRight w:val="0"/>
      <w:marTop w:val="0"/>
      <w:marBottom w:val="0"/>
      <w:divBdr>
        <w:top w:val="none" w:sz="0" w:space="0" w:color="auto"/>
        <w:left w:val="none" w:sz="0" w:space="0" w:color="auto"/>
        <w:bottom w:val="none" w:sz="0" w:space="0" w:color="auto"/>
        <w:right w:val="none" w:sz="0" w:space="0" w:color="auto"/>
      </w:divBdr>
    </w:div>
    <w:div w:id="1698315961">
      <w:bodyDiv w:val="1"/>
      <w:marLeft w:val="0"/>
      <w:marRight w:val="0"/>
      <w:marTop w:val="0"/>
      <w:marBottom w:val="0"/>
      <w:divBdr>
        <w:top w:val="none" w:sz="0" w:space="0" w:color="auto"/>
        <w:left w:val="none" w:sz="0" w:space="0" w:color="auto"/>
        <w:bottom w:val="none" w:sz="0" w:space="0" w:color="auto"/>
        <w:right w:val="none" w:sz="0" w:space="0" w:color="auto"/>
      </w:divBdr>
    </w:div>
    <w:div w:id="1704018966">
      <w:bodyDiv w:val="1"/>
      <w:marLeft w:val="0"/>
      <w:marRight w:val="0"/>
      <w:marTop w:val="0"/>
      <w:marBottom w:val="0"/>
      <w:divBdr>
        <w:top w:val="none" w:sz="0" w:space="0" w:color="auto"/>
        <w:left w:val="none" w:sz="0" w:space="0" w:color="auto"/>
        <w:bottom w:val="none" w:sz="0" w:space="0" w:color="auto"/>
        <w:right w:val="none" w:sz="0" w:space="0" w:color="auto"/>
      </w:divBdr>
    </w:div>
    <w:div w:id="1744067124">
      <w:bodyDiv w:val="1"/>
      <w:marLeft w:val="0"/>
      <w:marRight w:val="0"/>
      <w:marTop w:val="0"/>
      <w:marBottom w:val="0"/>
      <w:divBdr>
        <w:top w:val="none" w:sz="0" w:space="0" w:color="auto"/>
        <w:left w:val="none" w:sz="0" w:space="0" w:color="auto"/>
        <w:bottom w:val="none" w:sz="0" w:space="0" w:color="auto"/>
        <w:right w:val="none" w:sz="0" w:space="0" w:color="auto"/>
      </w:divBdr>
    </w:div>
    <w:div w:id="1788546982">
      <w:bodyDiv w:val="1"/>
      <w:marLeft w:val="0"/>
      <w:marRight w:val="0"/>
      <w:marTop w:val="0"/>
      <w:marBottom w:val="0"/>
      <w:divBdr>
        <w:top w:val="none" w:sz="0" w:space="0" w:color="auto"/>
        <w:left w:val="none" w:sz="0" w:space="0" w:color="auto"/>
        <w:bottom w:val="none" w:sz="0" w:space="0" w:color="auto"/>
        <w:right w:val="none" w:sz="0" w:space="0" w:color="auto"/>
      </w:divBdr>
    </w:div>
    <w:div w:id="1788818186">
      <w:bodyDiv w:val="1"/>
      <w:marLeft w:val="0"/>
      <w:marRight w:val="0"/>
      <w:marTop w:val="0"/>
      <w:marBottom w:val="0"/>
      <w:divBdr>
        <w:top w:val="none" w:sz="0" w:space="0" w:color="auto"/>
        <w:left w:val="none" w:sz="0" w:space="0" w:color="auto"/>
        <w:bottom w:val="none" w:sz="0" w:space="0" w:color="auto"/>
        <w:right w:val="none" w:sz="0" w:space="0" w:color="auto"/>
      </w:divBdr>
    </w:div>
    <w:div w:id="1812365276">
      <w:bodyDiv w:val="1"/>
      <w:marLeft w:val="0"/>
      <w:marRight w:val="0"/>
      <w:marTop w:val="0"/>
      <w:marBottom w:val="0"/>
      <w:divBdr>
        <w:top w:val="none" w:sz="0" w:space="0" w:color="auto"/>
        <w:left w:val="none" w:sz="0" w:space="0" w:color="auto"/>
        <w:bottom w:val="none" w:sz="0" w:space="0" w:color="auto"/>
        <w:right w:val="none" w:sz="0" w:space="0" w:color="auto"/>
      </w:divBdr>
    </w:div>
    <w:div w:id="1821579227">
      <w:bodyDiv w:val="1"/>
      <w:marLeft w:val="0"/>
      <w:marRight w:val="0"/>
      <w:marTop w:val="0"/>
      <w:marBottom w:val="0"/>
      <w:divBdr>
        <w:top w:val="none" w:sz="0" w:space="0" w:color="auto"/>
        <w:left w:val="none" w:sz="0" w:space="0" w:color="auto"/>
        <w:bottom w:val="none" w:sz="0" w:space="0" w:color="auto"/>
        <w:right w:val="none" w:sz="0" w:space="0" w:color="auto"/>
      </w:divBdr>
    </w:div>
    <w:div w:id="1825900015">
      <w:bodyDiv w:val="1"/>
      <w:marLeft w:val="0"/>
      <w:marRight w:val="0"/>
      <w:marTop w:val="0"/>
      <w:marBottom w:val="0"/>
      <w:divBdr>
        <w:top w:val="none" w:sz="0" w:space="0" w:color="auto"/>
        <w:left w:val="none" w:sz="0" w:space="0" w:color="auto"/>
        <w:bottom w:val="none" w:sz="0" w:space="0" w:color="auto"/>
        <w:right w:val="none" w:sz="0" w:space="0" w:color="auto"/>
      </w:divBdr>
    </w:div>
    <w:div w:id="1835143431">
      <w:bodyDiv w:val="1"/>
      <w:marLeft w:val="0"/>
      <w:marRight w:val="0"/>
      <w:marTop w:val="0"/>
      <w:marBottom w:val="0"/>
      <w:divBdr>
        <w:top w:val="none" w:sz="0" w:space="0" w:color="auto"/>
        <w:left w:val="none" w:sz="0" w:space="0" w:color="auto"/>
        <w:bottom w:val="none" w:sz="0" w:space="0" w:color="auto"/>
        <w:right w:val="none" w:sz="0" w:space="0" w:color="auto"/>
      </w:divBdr>
      <w:divsChild>
        <w:div w:id="419252983">
          <w:marLeft w:val="0"/>
          <w:marRight w:val="0"/>
          <w:marTop w:val="0"/>
          <w:marBottom w:val="0"/>
          <w:divBdr>
            <w:top w:val="none" w:sz="0" w:space="0" w:color="auto"/>
            <w:left w:val="none" w:sz="0" w:space="0" w:color="auto"/>
            <w:bottom w:val="none" w:sz="0" w:space="0" w:color="auto"/>
            <w:right w:val="none" w:sz="0" w:space="0" w:color="auto"/>
          </w:divBdr>
          <w:divsChild>
            <w:div w:id="464810663">
              <w:marLeft w:val="0"/>
              <w:marRight w:val="0"/>
              <w:marTop w:val="0"/>
              <w:marBottom w:val="0"/>
              <w:divBdr>
                <w:top w:val="none" w:sz="0" w:space="0" w:color="auto"/>
                <w:left w:val="none" w:sz="0" w:space="0" w:color="auto"/>
                <w:bottom w:val="none" w:sz="0" w:space="0" w:color="auto"/>
                <w:right w:val="none" w:sz="0" w:space="0" w:color="auto"/>
              </w:divBdr>
            </w:div>
          </w:divsChild>
        </w:div>
        <w:div w:id="522330779">
          <w:marLeft w:val="0"/>
          <w:marRight w:val="0"/>
          <w:marTop w:val="0"/>
          <w:marBottom w:val="0"/>
          <w:divBdr>
            <w:top w:val="none" w:sz="0" w:space="0" w:color="auto"/>
            <w:left w:val="none" w:sz="0" w:space="0" w:color="auto"/>
            <w:bottom w:val="none" w:sz="0" w:space="0" w:color="auto"/>
            <w:right w:val="none" w:sz="0" w:space="0" w:color="auto"/>
          </w:divBdr>
          <w:divsChild>
            <w:div w:id="1191802469">
              <w:marLeft w:val="0"/>
              <w:marRight w:val="0"/>
              <w:marTop w:val="0"/>
              <w:marBottom w:val="0"/>
              <w:divBdr>
                <w:top w:val="none" w:sz="0" w:space="0" w:color="auto"/>
                <w:left w:val="none" w:sz="0" w:space="0" w:color="auto"/>
                <w:bottom w:val="none" w:sz="0" w:space="0" w:color="auto"/>
                <w:right w:val="none" w:sz="0" w:space="0" w:color="auto"/>
              </w:divBdr>
            </w:div>
          </w:divsChild>
        </w:div>
        <w:div w:id="619650388">
          <w:marLeft w:val="0"/>
          <w:marRight w:val="0"/>
          <w:marTop w:val="0"/>
          <w:marBottom w:val="0"/>
          <w:divBdr>
            <w:top w:val="none" w:sz="0" w:space="0" w:color="auto"/>
            <w:left w:val="none" w:sz="0" w:space="0" w:color="auto"/>
            <w:bottom w:val="none" w:sz="0" w:space="0" w:color="auto"/>
            <w:right w:val="none" w:sz="0" w:space="0" w:color="auto"/>
          </w:divBdr>
          <w:divsChild>
            <w:div w:id="951860182">
              <w:marLeft w:val="0"/>
              <w:marRight w:val="0"/>
              <w:marTop w:val="0"/>
              <w:marBottom w:val="0"/>
              <w:divBdr>
                <w:top w:val="none" w:sz="0" w:space="0" w:color="auto"/>
                <w:left w:val="none" w:sz="0" w:space="0" w:color="auto"/>
                <w:bottom w:val="none" w:sz="0" w:space="0" w:color="auto"/>
                <w:right w:val="none" w:sz="0" w:space="0" w:color="auto"/>
              </w:divBdr>
            </w:div>
          </w:divsChild>
        </w:div>
        <w:div w:id="678238566">
          <w:marLeft w:val="0"/>
          <w:marRight w:val="0"/>
          <w:marTop w:val="0"/>
          <w:marBottom w:val="0"/>
          <w:divBdr>
            <w:top w:val="none" w:sz="0" w:space="0" w:color="auto"/>
            <w:left w:val="none" w:sz="0" w:space="0" w:color="auto"/>
            <w:bottom w:val="none" w:sz="0" w:space="0" w:color="auto"/>
            <w:right w:val="none" w:sz="0" w:space="0" w:color="auto"/>
          </w:divBdr>
          <w:divsChild>
            <w:div w:id="327178891">
              <w:marLeft w:val="0"/>
              <w:marRight w:val="0"/>
              <w:marTop w:val="0"/>
              <w:marBottom w:val="0"/>
              <w:divBdr>
                <w:top w:val="none" w:sz="0" w:space="0" w:color="auto"/>
                <w:left w:val="none" w:sz="0" w:space="0" w:color="auto"/>
                <w:bottom w:val="none" w:sz="0" w:space="0" w:color="auto"/>
                <w:right w:val="none" w:sz="0" w:space="0" w:color="auto"/>
              </w:divBdr>
            </w:div>
            <w:div w:id="334037151">
              <w:marLeft w:val="0"/>
              <w:marRight w:val="0"/>
              <w:marTop w:val="0"/>
              <w:marBottom w:val="0"/>
              <w:divBdr>
                <w:top w:val="none" w:sz="0" w:space="0" w:color="auto"/>
                <w:left w:val="none" w:sz="0" w:space="0" w:color="auto"/>
                <w:bottom w:val="none" w:sz="0" w:space="0" w:color="auto"/>
                <w:right w:val="none" w:sz="0" w:space="0" w:color="auto"/>
              </w:divBdr>
            </w:div>
            <w:div w:id="1736053275">
              <w:marLeft w:val="0"/>
              <w:marRight w:val="0"/>
              <w:marTop w:val="0"/>
              <w:marBottom w:val="0"/>
              <w:divBdr>
                <w:top w:val="none" w:sz="0" w:space="0" w:color="auto"/>
                <w:left w:val="none" w:sz="0" w:space="0" w:color="auto"/>
                <w:bottom w:val="none" w:sz="0" w:space="0" w:color="auto"/>
                <w:right w:val="none" w:sz="0" w:space="0" w:color="auto"/>
              </w:divBdr>
            </w:div>
          </w:divsChild>
        </w:div>
        <w:div w:id="1310206579">
          <w:marLeft w:val="0"/>
          <w:marRight w:val="0"/>
          <w:marTop w:val="0"/>
          <w:marBottom w:val="0"/>
          <w:divBdr>
            <w:top w:val="none" w:sz="0" w:space="0" w:color="auto"/>
            <w:left w:val="none" w:sz="0" w:space="0" w:color="auto"/>
            <w:bottom w:val="none" w:sz="0" w:space="0" w:color="auto"/>
            <w:right w:val="none" w:sz="0" w:space="0" w:color="auto"/>
          </w:divBdr>
          <w:divsChild>
            <w:div w:id="553779676">
              <w:marLeft w:val="0"/>
              <w:marRight w:val="0"/>
              <w:marTop w:val="0"/>
              <w:marBottom w:val="0"/>
              <w:divBdr>
                <w:top w:val="none" w:sz="0" w:space="0" w:color="auto"/>
                <w:left w:val="none" w:sz="0" w:space="0" w:color="auto"/>
                <w:bottom w:val="none" w:sz="0" w:space="0" w:color="auto"/>
                <w:right w:val="none" w:sz="0" w:space="0" w:color="auto"/>
              </w:divBdr>
            </w:div>
          </w:divsChild>
        </w:div>
        <w:div w:id="1600479870">
          <w:marLeft w:val="0"/>
          <w:marRight w:val="0"/>
          <w:marTop w:val="0"/>
          <w:marBottom w:val="0"/>
          <w:divBdr>
            <w:top w:val="none" w:sz="0" w:space="0" w:color="auto"/>
            <w:left w:val="none" w:sz="0" w:space="0" w:color="auto"/>
            <w:bottom w:val="none" w:sz="0" w:space="0" w:color="auto"/>
            <w:right w:val="none" w:sz="0" w:space="0" w:color="auto"/>
          </w:divBdr>
          <w:divsChild>
            <w:div w:id="684942269">
              <w:marLeft w:val="0"/>
              <w:marRight w:val="0"/>
              <w:marTop w:val="0"/>
              <w:marBottom w:val="0"/>
              <w:divBdr>
                <w:top w:val="none" w:sz="0" w:space="0" w:color="auto"/>
                <w:left w:val="none" w:sz="0" w:space="0" w:color="auto"/>
                <w:bottom w:val="none" w:sz="0" w:space="0" w:color="auto"/>
                <w:right w:val="none" w:sz="0" w:space="0" w:color="auto"/>
              </w:divBdr>
            </w:div>
          </w:divsChild>
        </w:div>
        <w:div w:id="1689719280">
          <w:marLeft w:val="0"/>
          <w:marRight w:val="0"/>
          <w:marTop w:val="0"/>
          <w:marBottom w:val="0"/>
          <w:divBdr>
            <w:top w:val="none" w:sz="0" w:space="0" w:color="auto"/>
            <w:left w:val="none" w:sz="0" w:space="0" w:color="auto"/>
            <w:bottom w:val="none" w:sz="0" w:space="0" w:color="auto"/>
            <w:right w:val="none" w:sz="0" w:space="0" w:color="auto"/>
          </w:divBdr>
          <w:divsChild>
            <w:div w:id="527990438">
              <w:marLeft w:val="0"/>
              <w:marRight w:val="0"/>
              <w:marTop w:val="0"/>
              <w:marBottom w:val="0"/>
              <w:divBdr>
                <w:top w:val="none" w:sz="0" w:space="0" w:color="auto"/>
                <w:left w:val="none" w:sz="0" w:space="0" w:color="auto"/>
                <w:bottom w:val="none" w:sz="0" w:space="0" w:color="auto"/>
                <w:right w:val="none" w:sz="0" w:space="0" w:color="auto"/>
              </w:divBdr>
            </w:div>
          </w:divsChild>
        </w:div>
        <w:div w:id="2115511493">
          <w:marLeft w:val="0"/>
          <w:marRight w:val="0"/>
          <w:marTop w:val="0"/>
          <w:marBottom w:val="0"/>
          <w:divBdr>
            <w:top w:val="none" w:sz="0" w:space="0" w:color="auto"/>
            <w:left w:val="none" w:sz="0" w:space="0" w:color="auto"/>
            <w:bottom w:val="none" w:sz="0" w:space="0" w:color="auto"/>
            <w:right w:val="none" w:sz="0" w:space="0" w:color="auto"/>
          </w:divBdr>
          <w:divsChild>
            <w:div w:id="1913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1648">
      <w:bodyDiv w:val="1"/>
      <w:marLeft w:val="0"/>
      <w:marRight w:val="0"/>
      <w:marTop w:val="0"/>
      <w:marBottom w:val="0"/>
      <w:divBdr>
        <w:top w:val="none" w:sz="0" w:space="0" w:color="auto"/>
        <w:left w:val="none" w:sz="0" w:space="0" w:color="auto"/>
        <w:bottom w:val="none" w:sz="0" w:space="0" w:color="auto"/>
        <w:right w:val="none" w:sz="0" w:space="0" w:color="auto"/>
      </w:divBdr>
    </w:div>
    <w:div w:id="1843932555">
      <w:bodyDiv w:val="1"/>
      <w:marLeft w:val="0"/>
      <w:marRight w:val="0"/>
      <w:marTop w:val="0"/>
      <w:marBottom w:val="0"/>
      <w:divBdr>
        <w:top w:val="none" w:sz="0" w:space="0" w:color="auto"/>
        <w:left w:val="none" w:sz="0" w:space="0" w:color="auto"/>
        <w:bottom w:val="none" w:sz="0" w:space="0" w:color="auto"/>
        <w:right w:val="none" w:sz="0" w:space="0" w:color="auto"/>
      </w:divBdr>
    </w:div>
    <w:div w:id="1872720001">
      <w:bodyDiv w:val="1"/>
      <w:marLeft w:val="0"/>
      <w:marRight w:val="0"/>
      <w:marTop w:val="0"/>
      <w:marBottom w:val="0"/>
      <w:divBdr>
        <w:top w:val="none" w:sz="0" w:space="0" w:color="auto"/>
        <w:left w:val="none" w:sz="0" w:space="0" w:color="auto"/>
        <w:bottom w:val="none" w:sz="0" w:space="0" w:color="auto"/>
        <w:right w:val="none" w:sz="0" w:space="0" w:color="auto"/>
      </w:divBdr>
    </w:div>
    <w:div w:id="1890531436">
      <w:bodyDiv w:val="1"/>
      <w:marLeft w:val="0"/>
      <w:marRight w:val="0"/>
      <w:marTop w:val="0"/>
      <w:marBottom w:val="0"/>
      <w:divBdr>
        <w:top w:val="none" w:sz="0" w:space="0" w:color="auto"/>
        <w:left w:val="none" w:sz="0" w:space="0" w:color="auto"/>
        <w:bottom w:val="none" w:sz="0" w:space="0" w:color="auto"/>
        <w:right w:val="none" w:sz="0" w:space="0" w:color="auto"/>
      </w:divBdr>
    </w:div>
    <w:div w:id="1897084583">
      <w:bodyDiv w:val="1"/>
      <w:marLeft w:val="0"/>
      <w:marRight w:val="0"/>
      <w:marTop w:val="0"/>
      <w:marBottom w:val="0"/>
      <w:divBdr>
        <w:top w:val="none" w:sz="0" w:space="0" w:color="auto"/>
        <w:left w:val="none" w:sz="0" w:space="0" w:color="auto"/>
        <w:bottom w:val="none" w:sz="0" w:space="0" w:color="auto"/>
        <w:right w:val="none" w:sz="0" w:space="0" w:color="auto"/>
      </w:divBdr>
    </w:div>
    <w:div w:id="1909994972">
      <w:bodyDiv w:val="1"/>
      <w:marLeft w:val="0"/>
      <w:marRight w:val="0"/>
      <w:marTop w:val="0"/>
      <w:marBottom w:val="0"/>
      <w:divBdr>
        <w:top w:val="none" w:sz="0" w:space="0" w:color="auto"/>
        <w:left w:val="none" w:sz="0" w:space="0" w:color="auto"/>
        <w:bottom w:val="none" w:sz="0" w:space="0" w:color="auto"/>
        <w:right w:val="none" w:sz="0" w:space="0" w:color="auto"/>
      </w:divBdr>
    </w:div>
    <w:div w:id="1966886888">
      <w:bodyDiv w:val="1"/>
      <w:marLeft w:val="0"/>
      <w:marRight w:val="0"/>
      <w:marTop w:val="0"/>
      <w:marBottom w:val="0"/>
      <w:divBdr>
        <w:top w:val="none" w:sz="0" w:space="0" w:color="auto"/>
        <w:left w:val="none" w:sz="0" w:space="0" w:color="auto"/>
        <w:bottom w:val="none" w:sz="0" w:space="0" w:color="auto"/>
        <w:right w:val="none" w:sz="0" w:space="0" w:color="auto"/>
      </w:divBdr>
    </w:div>
    <w:div w:id="1993366414">
      <w:bodyDiv w:val="1"/>
      <w:marLeft w:val="0"/>
      <w:marRight w:val="0"/>
      <w:marTop w:val="0"/>
      <w:marBottom w:val="0"/>
      <w:divBdr>
        <w:top w:val="none" w:sz="0" w:space="0" w:color="auto"/>
        <w:left w:val="none" w:sz="0" w:space="0" w:color="auto"/>
        <w:bottom w:val="none" w:sz="0" w:space="0" w:color="auto"/>
        <w:right w:val="none" w:sz="0" w:space="0" w:color="auto"/>
      </w:divBdr>
    </w:div>
    <w:div w:id="2008900477">
      <w:bodyDiv w:val="1"/>
      <w:marLeft w:val="0"/>
      <w:marRight w:val="0"/>
      <w:marTop w:val="0"/>
      <w:marBottom w:val="0"/>
      <w:divBdr>
        <w:top w:val="none" w:sz="0" w:space="0" w:color="auto"/>
        <w:left w:val="none" w:sz="0" w:space="0" w:color="auto"/>
        <w:bottom w:val="none" w:sz="0" w:space="0" w:color="auto"/>
        <w:right w:val="none" w:sz="0" w:space="0" w:color="auto"/>
      </w:divBdr>
    </w:div>
    <w:div w:id="2010130949">
      <w:bodyDiv w:val="1"/>
      <w:marLeft w:val="0"/>
      <w:marRight w:val="0"/>
      <w:marTop w:val="0"/>
      <w:marBottom w:val="0"/>
      <w:divBdr>
        <w:top w:val="none" w:sz="0" w:space="0" w:color="auto"/>
        <w:left w:val="none" w:sz="0" w:space="0" w:color="auto"/>
        <w:bottom w:val="none" w:sz="0" w:space="0" w:color="auto"/>
        <w:right w:val="none" w:sz="0" w:space="0" w:color="auto"/>
      </w:divBdr>
    </w:div>
    <w:div w:id="2068530871">
      <w:bodyDiv w:val="1"/>
      <w:marLeft w:val="0"/>
      <w:marRight w:val="0"/>
      <w:marTop w:val="0"/>
      <w:marBottom w:val="0"/>
      <w:divBdr>
        <w:top w:val="none" w:sz="0" w:space="0" w:color="auto"/>
        <w:left w:val="none" w:sz="0" w:space="0" w:color="auto"/>
        <w:bottom w:val="none" w:sz="0" w:space="0" w:color="auto"/>
        <w:right w:val="none" w:sz="0" w:space="0" w:color="auto"/>
      </w:divBdr>
    </w:div>
    <w:div w:id="2104757405">
      <w:bodyDiv w:val="1"/>
      <w:marLeft w:val="0"/>
      <w:marRight w:val="0"/>
      <w:marTop w:val="0"/>
      <w:marBottom w:val="0"/>
      <w:divBdr>
        <w:top w:val="none" w:sz="0" w:space="0" w:color="auto"/>
        <w:left w:val="none" w:sz="0" w:space="0" w:color="auto"/>
        <w:bottom w:val="none" w:sz="0" w:space="0" w:color="auto"/>
        <w:right w:val="none" w:sz="0" w:space="0" w:color="auto"/>
      </w:divBdr>
    </w:div>
    <w:div w:id="213123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sac.gov.au/" TargetMode="External"/><Relationship Id="rId24" Type="http://schemas.openxmlformats.org/officeDocument/2006/relationships/hyperlink" Target="http://msac.gov.au/internet/msac/publishing.nsf/Content/Home-1"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user-swndwmf.cld.bz/ESTRO-2025-Abstract-Book/4431/" TargetMode="External"/><Relationship Id="rId7" Type="http://schemas.openxmlformats.org/officeDocument/2006/relationships/hyperlink" Target="https://www.thelancet.com/journals/lanonc/article/PIIS1470-2045(25)00612-6/abstract" TargetMode="External"/><Relationship Id="rId2" Type="http://schemas.openxmlformats.org/officeDocument/2006/relationships/hyperlink" Target="https://clinicaltrials.gov/study/NCT05640999" TargetMode="External"/><Relationship Id="rId1" Type="http://schemas.openxmlformats.org/officeDocument/2006/relationships/hyperlink" Target="https://www.aihw.gov.au/reports/cancer/cancer-data-in-australia/contents/cancer-incidence-by-age-visualisation" TargetMode="External"/><Relationship Id="rId6" Type="http://schemas.openxmlformats.org/officeDocument/2006/relationships/hyperlink" Target="https://guidelines.esgo.org/media/2025/09/ESGO-ESTRO-ESP-Guidelines-for-EC_-LO-July-2025.pdf" TargetMode="External"/><Relationship Id="rId5" Type="http://schemas.openxmlformats.org/officeDocument/2006/relationships/hyperlink" Target="https://www9.health.gov.au/mbs/fullDisplay.cfm?type=item&amp;q=72847&amp;qt=ItemID" TargetMode="External"/><Relationship Id="rId4" Type="http://schemas.openxmlformats.org/officeDocument/2006/relationships/hyperlink" Target="https://www9.health.gov.au/mbs/fullDisplay.cfm?type=item&amp;q=72846&amp;qt=i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Jon23</b:Tag>
    <b:SourceType>JournalArticle</b:SourceType>
    <b:Guid>{1F6BD03B-9F6A-4C91-8BE7-D7F353985885}</b:Guid>
    <b:Title>FIGO staging of endometrial cancer: 2023</b:Title>
    <b:Year>2023</b:Year>
    <b:Author>
      <b:Author>
        <b:NameList>
          <b:Person>
            <b:Last>Jonathan S. Berek</b:Last>
            <b:First>Xavier</b:First>
            <b:Middle>Matias-Guiu, Carien Creutzberg, Christina Fotopoulou, David Gaffney, Sean Kehoe, Kristina Lindemann, David Mutch, Nicole Concin, Endometrial Cancer Staging Subcommittee, FIGO Women's Cancer Committee</b:Middle>
          </b:Person>
        </b:NameList>
      </b:Author>
    </b:Author>
    <b:JournalName>International Journal of Gynecology &amp; Obstetrics</b:JournalName>
    <b:Pages>383-394</b:Pages>
    <b:Volume>162</b:Volume>
    <b:Issue>2</b:Issue>
    <b:DOI>https://doi.org/10.1002/ijgo.14923</b:DOI>
    <b:RefOrder>1</b:RefOrder>
  </b:Source>
  <b:Source>
    <b:Tag>Abu23</b:Tag>
    <b:SourceType>JournalArticle</b:SourceType>
    <b:Guid>{1A243140-7AF7-4811-A29C-5C8BB085A2B0}</b:Guid>
    <b:Author>
      <b:Author>
        <b:NameList>
          <b:Person>
            <b:Last>Abu-Rustum</b:Last>
            <b:First>N.,</b:First>
            <b:Middle>Yashar, C., Arend, R., Barber, E., Bradley, K., Brooks, R., Campos, S. M., Chino, J., Chon, H. S., Chu, C., Crispens, M. A., Damast, S., Fisher, C. M., Frederick, P., Gaffney, D. K., Giuntoli, R., II, Han, E., Holmes, J., Howitt, B. E., Le</b:Middle>
          </b:Person>
        </b:NameList>
      </b:Author>
    </b:Author>
    <b:Title>Uterine Neoplasms, Version 1.2023, NCCN Clinical Practice Guidelines in Oncology</b:Title>
    <b:JournalName>Journal of the National Comprehensive Cancer Network</b:JournalName>
    <b:Year>2023</b:Year>
    <b:Pages>181-209</b:Pages>
    <b:Volume>21</b:Volume>
    <b:Issue>2</b:Issue>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13b557-581c-46d3-8cc7-77c65017dc6f">
      <Terms xmlns="http://schemas.microsoft.com/office/infopath/2007/PartnerControls"/>
    </lcf76f155ced4ddcb4097134ff3c332f>
    <TaxCatchAll xmlns="e7d54a9e-4aca-451b-99db-b94fe438e9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4A37BE997BE34FBB7D5057D341D123" ma:contentTypeVersion="14" ma:contentTypeDescription="Create a new document." ma:contentTypeScope="" ma:versionID="d0803639e3b14a1b5fe5efce3e9a7be0">
  <xsd:schema xmlns:xsd="http://www.w3.org/2001/XMLSchema" xmlns:xs="http://www.w3.org/2001/XMLSchema" xmlns:p="http://schemas.microsoft.com/office/2006/metadata/properties" xmlns:ns2="7513b557-581c-46d3-8cc7-77c65017dc6f" xmlns:ns3="e7d54a9e-4aca-451b-99db-b94fe438e987" targetNamespace="http://schemas.microsoft.com/office/2006/metadata/properties" ma:root="true" ma:fieldsID="124831d27a8e0cd56fbacb95874fe705" ns2:_="" ns3:_="">
    <xsd:import namespace="7513b557-581c-46d3-8cc7-77c65017dc6f"/>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3b557-581c-46d3-8cc7-77c65017d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b094059-5103-4cd0-8820-a17a44f45f06}"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4C2370-5289-4874-A625-715AAAB3CD58}">
  <ds:schemaRefs>
    <ds:schemaRef ds:uri="http://schemas.openxmlformats.org/officeDocument/2006/bibliography"/>
  </ds:schemaRefs>
</ds:datastoreItem>
</file>

<file path=customXml/itemProps2.xml><?xml version="1.0" encoding="utf-8"?>
<ds:datastoreItem xmlns:ds="http://schemas.openxmlformats.org/officeDocument/2006/customXml" ds:itemID="{952911FA-1FDF-445B-9234-6CE85B787B35}">
  <ds:schemaRefs>
    <ds:schemaRef ds:uri="http://schemas.microsoft.com/office/2006/metadata/properties"/>
    <ds:schemaRef ds:uri="http://schemas.microsoft.com/office/infopath/2007/PartnerControls"/>
    <ds:schemaRef ds:uri="7513b557-581c-46d3-8cc7-77c65017dc6f"/>
    <ds:schemaRef ds:uri="e7d54a9e-4aca-451b-99db-b94fe438e987"/>
  </ds:schemaRefs>
</ds:datastoreItem>
</file>

<file path=customXml/itemProps3.xml><?xml version="1.0" encoding="utf-8"?>
<ds:datastoreItem xmlns:ds="http://schemas.openxmlformats.org/officeDocument/2006/customXml" ds:itemID="{2921AC7E-6C2D-4196-86E6-C06379659F73}">
  <ds:schemaRefs>
    <ds:schemaRef ds:uri="http://schemas.microsoft.com/sharepoint/v3/contenttype/forms"/>
  </ds:schemaRefs>
</ds:datastoreItem>
</file>

<file path=customXml/itemProps4.xml><?xml version="1.0" encoding="utf-8"?>
<ds:datastoreItem xmlns:ds="http://schemas.openxmlformats.org/officeDocument/2006/customXml" ds:itemID="{0274BD40-3227-46FD-8E7C-0AA9B46B6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3b557-581c-46d3-8cc7-77c65017dc6f"/>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20625</Words>
  <Characters>116330</Characters>
  <Application>Microsoft Office Word</Application>
  <DocSecurity>2</DocSecurity>
  <Lines>3061</Lines>
  <Paragraphs>1928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2026-06-02T02:57:00Z</dcterms:created>
  <dcterms:modified xsi:type="dcterms:W3CDTF">2026-06-02T04:29:00Z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5fdca5c3,6b9e9173,417c044d</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1973f79f,56edfb3b,b4c0101</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2026-06-02T02:58:26Z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5fd82dc1-76c2-4c5d-9b38-ce231579869d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0x0101005E4A37BE997BE34FBB7D5057D341D123</vt:lpwstr>
  </property>
  <property fmtid="{D5CDD505-2E9C-101B-9397-08002B2CF9AE}" pid="18" name="docLang">
    <vt:lpwstr>en</vt:lpwstr>
  </property>
</Properties>
</file>