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66732" w14:textId="0E18B9BA" w:rsidR="0060677F" w:rsidRPr="00055104" w:rsidRDefault="030D7EAB" w:rsidP="00055104">
      <w:pPr>
        <w:pStyle w:val="Heading1"/>
        <w:pBdr>
          <w:bottom w:val="none" w:sz="0" w:space="0" w:color="auto"/>
        </w:pBdr>
        <w:spacing w:before="0" w:after="360"/>
        <w:ind w:left="788"/>
        <w:jc w:val="center"/>
        <w:rPr>
          <w:rFonts w:ascii="Arial" w:hAnsi="Arial" w:cs="Arial"/>
          <w:b/>
          <w:color w:val="000080"/>
          <w:sz w:val="36"/>
        </w:rPr>
      </w:pPr>
      <w:r w:rsidRPr="5ACDB55B">
        <w:rPr>
          <w:rFonts w:ascii="Arial" w:eastAsiaTheme="majorEastAsia" w:hAnsi="Arial" w:cs="Arial"/>
          <w:b/>
          <w:color w:val="000080"/>
          <w:sz w:val="36"/>
          <w:lang w:eastAsia="en-US"/>
        </w:rPr>
        <w:t xml:space="preserve">Medical Services Advisory Committee (MSAC) </w:t>
      </w:r>
      <w:r w:rsidR="00055104" w:rsidRPr="005B6EFD">
        <w:rPr>
          <w:rFonts w:ascii="Arial" w:hAnsi="Arial" w:cs="Arial"/>
          <w:b/>
          <w:color w:val="000080"/>
          <w:sz w:val="36"/>
          <w:lang w:eastAsia="en-US"/>
        </w:rPr>
        <w:t>Public Summary Document</w:t>
      </w:r>
    </w:p>
    <w:p w14:paraId="6957F3F0" w14:textId="419FC932" w:rsidR="00F94314" w:rsidRPr="005534AD" w:rsidRDefault="00F94314" w:rsidP="00BD78F6">
      <w:pPr>
        <w:spacing w:after="240"/>
        <w:jc w:val="center"/>
        <w:rPr>
          <w:rFonts w:ascii="Arial" w:hAnsi="Arial" w:cs="Arial"/>
          <w:b/>
          <w:bCs/>
          <w:i/>
          <w:iCs/>
          <w:color w:val="000080"/>
          <w:sz w:val="28"/>
          <w:szCs w:val="28"/>
        </w:rPr>
      </w:pPr>
      <w:r w:rsidRPr="005534AD">
        <w:rPr>
          <w:rFonts w:ascii="Arial" w:hAnsi="Arial" w:cs="Arial"/>
          <w:b/>
          <w:bCs/>
          <w:i/>
          <w:iCs/>
          <w:color w:val="000080"/>
          <w:sz w:val="28"/>
          <w:szCs w:val="28"/>
        </w:rPr>
        <w:t>Application No</w:t>
      </w:r>
      <w:r w:rsidR="005534AD" w:rsidRPr="005534AD">
        <w:rPr>
          <w:rFonts w:ascii="Arial" w:hAnsi="Arial" w:cs="Arial"/>
          <w:b/>
          <w:bCs/>
          <w:i/>
          <w:iCs/>
          <w:color w:val="000080"/>
          <w:sz w:val="28"/>
          <w:szCs w:val="28"/>
        </w:rPr>
        <w:t xml:space="preserve">. </w:t>
      </w:r>
      <w:r w:rsidR="009E4EC0" w:rsidRPr="009E4EC0">
        <w:rPr>
          <w:rFonts w:ascii="Arial" w:hAnsi="Arial" w:cs="Arial"/>
          <w:b/>
          <w:bCs/>
          <w:i/>
          <w:iCs/>
          <w:color w:val="000080"/>
          <w:sz w:val="28"/>
          <w:szCs w:val="28"/>
        </w:rPr>
        <w:t>1796</w:t>
      </w:r>
      <w:r w:rsidR="005534AD" w:rsidRPr="009E4EC0">
        <w:rPr>
          <w:rFonts w:ascii="Arial" w:hAnsi="Arial" w:cs="Arial"/>
          <w:b/>
          <w:bCs/>
          <w:i/>
          <w:iCs/>
          <w:color w:val="000080"/>
          <w:sz w:val="28"/>
          <w:szCs w:val="28"/>
        </w:rPr>
        <w:t xml:space="preserve"> – </w:t>
      </w:r>
      <w:r w:rsidR="009E4EC0" w:rsidRPr="009E4EC0">
        <w:rPr>
          <w:rFonts w:ascii="Arial" w:hAnsi="Arial" w:cs="Arial"/>
          <w:b/>
          <w:bCs/>
          <w:i/>
          <w:iCs/>
          <w:color w:val="000080"/>
          <w:sz w:val="28"/>
          <w:szCs w:val="28"/>
        </w:rPr>
        <w:t>ADAMTS13 testing for the diagnosis of thrombotic thrombocytopenic purpura (TTP)</w:t>
      </w:r>
    </w:p>
    <w:p w14:paraId="6E362FB4" w14:textId="617352E6" w:rsidR="004E320F" w:rsidRDefault="00BD78F6" w:rsidP="00F05F65">
      <w:pPr>
        <w:pStyle w:val="BodyText"/>
        <w:tabs>
          <w:tab w:val="left" w:pos="3686"/>
        </w:tabs>
        <w:spacing w:after="240"/>
        <w:ind w:left="3686" w:hanging="3686"/>
        <w:rPr>
          <w:rFonts w:ascii="Arial" w:hAnsi="Arial" w:cs="Arial"/>
          <w:b/>
          <w:bCs/>
        </w:rPr>
      </w:pPr>
      <w:r w:rsidRPr="00A860CC">
        <w:rPr>
          <w:rFonts w:ascii="Arial" w:hAnsi="Arial" w:cs="Arial"/>
          <w:b/>
          <w:bCs/>
        </w:rPr>
        <w:t>Applicant</w:t>
      </w:r>
      <w:r w:rsidR="00762A85" w:rsidRPr="00A860CC">
        <w:rPr>
          <w:rFonts w:ascii="Arial" w:hAnsi="Arial" w:cs="Arial"/>
          <w:b/>
          <w:bCs/>
        </w:rPr>
        <w:t>:</w:t>
      </w:r>
      <w:r w:rsidRPr="00A860CC">
        <w:rPr>
          <w:rFonts w:ascii="Arial" w:hAnsi="Arial" w:cs="Arial"/>
          <w:b/>
          <w:bCs/>
        </w:rPr>
        <w:tab/>
      </w:r>
      <w:r w:rsidR="00F05F65" w:rsidRPr="00F05F65">
        <w:rPr>
          <w:rFonts w:ascii="Arial" w:hAnsi="Arial" w:cs="Arial"/>
          <w:b/>
          <w:bCs/>
        </w:rPr>
        <w:t>The Royal College of Pathologists of Australasia (RCPA)</w:t>
      </w:r>
    </w:p>
    <w:p w14:paraId="2FD0ED59" w14:textId="6C243AAA" w:rsidR="002E2BAD" w:rsidRDefault="00A860CC" w:rsidP="002E2BAD">
      <w:pPr>
        <w:pStyle w:val="BodyText"/>
        <w:tabs>
          <w:tab w:val="left" w:pos="3686"/>
        </w:tabs>
        <w:spacing w:after="240"/>
        <w:rPr>
          <w:rFonts w:ascii="Arial" w:hAnsi="Arial" w:cs="Arial"/>
          <w:b/>
          <w:bCs/>
        </w:rPr>
      </w:pPr>
      <w:r>
        <w:rPr>
          <w:rFonts w:ascii="Arial" w:hAnsi="Arial" w:cs="Arial"/>
          <w:b/>
          <w:bCs/>
        </w:rPr>
        <w:t xml:space="preserve">Date of </w:t>
      </w:r>
      <w:r w:rsidR="00055104">
        <w:rPr>
          <w:rFonts w:ascii="Arial" w:hAnsi="Arial" w:cs="Arial"/>
          <w:b/>
          <w:bCs/>
        </w:rPr>
        <w:t>MSAC</w:t>
      </w:r>
      <w:r>
        <w:rPr>
          <w:rFonts w:ascii="Arial" w:hAnsi="Arial" w:cs="Arial"/>
          <w:b/>
          <w:bCs/>
        </w:rPr>
        <w:t xml:space="preserve"> consideration</w:t>
      </w:r>
      <w:r w:rsidR="0091197D">
        <w:rPr>
          <w:rFonts w:ascii="Arial" w:hAnsi="Arial" w:cs="Arial"/>
          <w:b/>
          <w:bCs/>
        </w:rPr>
        <w:tab/>
      </w:r>
      <w:r w:rsidR="00055104">
        <w:rPr>
          <w:rFonts w:ascii="Arial" w:hAnsi="Arial" w:cs="Arial"/>
          <w:b/>
          <w:bCs/>
        </w:rPr>
        <w:t>1 April</w:t>
      </w:r>
      <w:r w:rsidR="00751F83">
        <w:rPr>
          <w:rFonts w:ascii="Arial" w:hAnsi="Arial" w:cs="Arial"/>
          <w:b/>
          <w:bCs/>
        </w:rPr>
        <w:t xml:space="preserve"> 2026</w:t>
      </w:r>
    </w:p>
    <w:p w14:paraId="536E2B80" w14:textId="2FAE6FB7" w:rsidR="00055104" w:rsidRPr="00055104" w:rsidRDefault="00055104" w:rsidP="00055104">
      <w:pPr>
        <w:spacing w:before="0" w:after="200"/>
        <w:rPr>
          <w:rFonts w:eastAsiaTheme="minorHAnsi" w:cstheme="minorBidi"/>
          <w:color w:val="0000FF"/>
          <w:u w:val="single"/>
          <w:lang w:eastAsia="en-US"/>
        </w:rPr>
      </w:pPr>
      <w:bookmarkStart w:id="0" w:name="_Hlk194308493"/>
      <w:r w:rsidRPr="005B6EFD">
        <w:rPr>
          <w:rFonts w:eastAsiaTheme="minorHAnsi" w:cstheme="minorBidi"/>
          <w:lang w:eastAsia="en-US"/>
        </w:rPr>
        <w:t xml:space="preserve">Context for decision: MSAC makes its advice in accordance with its Terms of Reference, </w:t>
      </w:r>
      <w:hyperlink r:id="rId11" w:tooltip="Link to Medical Services Advisory Committee website" w:history="1">
        <w:r w:rsidRPr="005B6EFD">
          <w:rPr>
            <w:rFonts w:eastAsiaTheme="minorHAnsi" w:cstheme="minorBidi"/>
            <w:color w:val="007BB8"/>
            <w:u w:val="single"/>
            <w:lang w:eastAsia="en-US"/>
          </w:rPr>
          <w:t>visit the MSAC website</w:t>
        </w:r>
      </w:hyperlink>
      <w:bookmarkEnd w:id="0"/>
    </w:p>
    <w:p w14:paraId="03172954" w14:textId="4F237972" w:rsidR="00E87D4B" w:rsidRDefault="006B4E47" w:rsidP="00055104">
      <w:pPr>
        <w:pStyle w:val="ExecSumHeading2"/>
        <w:numPr>
          <w:ilvl w:val="0"/>
          <w:numId w:val="36"/>
        </w:numPr>
        <w:ind w:hanging="720"/>
      </w:pPr>
      <w:bookmarkStart w:id="1" w:name="_Toc216879515"/>
      <w:r>
        <w:t>Purpose of application</w:t>
      </w:r>
      <w:bookmarkEnd w:id="1"/>
    </w:p>
    <w:p w14:paraId="08928FDE" w14:textId="5A100B59" w:rsidR="00D769EA" w:rsidRDefault="00D769EA" w:rsidP="00D769EA">
      <w:pPr>
        <w:spacing w:after="240"/>
        <w:rPr>
          <w:iCs/>
        </w:rPr>
      </w:pPr>
      <w:bookmarkStart w:id="2" w:name="_Hlk69734469"/>
      <w:r w:rsidRPr="009A3778">
        <w:rPr>
          <w:iCs/>
        </w:rPr>
        <w:t xml:space="preserve">An application requesting </w:t>
      </w:r>
      <w:r w:rsidRPr="00504B86">
        <w:rPr>
          <w:iCs/>
        </w:rPr>
        <w:t>Medicare Benefits Schedule (MBS) listing o</w:t>
      </w:r>
      <w:r w:rsidRPr="009A3778">
        <w:rPr>
          <w:iCs/>
        </w:rPr>
        <w:t xml:space="preserve">f </w:t>
      </w:r>
      <w:r w:rsidR="00504B86">
        <w:rPr>
          <w:iCs/>
        </w:rPr>
        <w:t>ADAMTS13 testing</w:t>
      </w:r>
      <w:r w:rsidR="00F53850">
        <w:rPr>
          <w:iCs/>
        </w:rPr>
        <w:t xml:space="preserve"> (</w:t>
      </w:r>
      <w:r w:rsidR="00F53850">
        <w:t>ADAMTS13 activity testing,</w:t>
      </w:r>
      <w:r w:rsidR="00CC7FD2">
        <w:t xml:space="preserve"> anti-</w:t>
      </w:r>
      <w:r w:rsidR="00F53850">
        <w:t xml:space="preserve">ADAMTS13 autoantibodies testing and </w:t>
      </w:r>
      <w:r w:rsidR="00F53850" w:rsidRPr="00C934C2">
        <w:rPr>
          <w:i/>
        </w:rPr>
        <w:t>ADAMTS13</w:t>
      </w:r>
      <w:r w:rsidR="00F53850" w:rsidRPr="00C934C2">
        <w:rPr>
          <w:iCs/>
        </w:rPr>
        <w:t xml:space="preserve"> genetic testing</w:t>
      </w:r>
      <w:r w:rsidR="00CC7FD2">
        <w:rPr>
          <w:iCs/>
        </w:rPr>
        <w:t xml:space="preserve">) </w:t>
      </w:r>
      <w:r w:rsidRPr="009A3778">
        <w:rPr>
          <w:iCs/>
        </w:rPr>
        <w:t xml:space="preserve">for </w:t>
      </w:r>
      <w:r w:rsidR="00BE1FC9">
        <w:rPr>
          <w:iCs/>
        </w:rPr>
        <w:t xml:space="preserve">the diagnosis of thrombotic </w:t>
      </w:r>
      <w:r w:rsidR="00F419B5" w:rsidRPr="00B644D9">
        <w:t>thrombocytopenic purpura</w:t>
      </w:r>
      <w:r w:rsidR="00F419B5">
        <w:t xml:space="preserve"> (TTP)</w:t>
      </w:r>
      <w:r w:rsidRPr="009A3778">
        <w:rPr>
          <w:iCs/>
        </w:rPr>
        <w:t xml:space="preserve"> was received from the</w:t>
      </w:r>
      <w:r w:rsidR="000E793A" w:rsidRPr="000E793A">
        <w:rPr>
          <w:iCs/>
        </w:rPr>
        <w:t xml:space="preserve"> Royal College of Pathologists of Australasia (RCPA)</w:t>
      </w:r>
      <w:r w:rsidR="000E793A">
        <w:rPr>
          <w:iCs/>
        </w:rPr>
        <w:t xml:space="preserve"> </w:t>
      </w:r>
      <w:r w:rsidRPr="009A3778">
        <w:rPr>
          <w:iCs/>
        </w:rPr>
        <w:t>by the Department of Health</w:t>
      </w:r>
      <w:r w:rsidR="00A31DF9">
        <w:rPr>
          <w:iCs/>
        </w:rPr>
        <w:t>, Disability and Ageing</w:t>
      </w:r>
      <w:r w:rsidRPr="009A3778">
        <w:rPr>
          <w:iCs/>
        </w:rPr>
        <w:t>.</w:t>
      </w:r>
    </w:p>
    <w:p w14:paraId="7EF44DC6" w14:textId="4402C373" w:rsidR="0048525A" w:rsidRDefault="00CC0330" w:rsidP="00D769EA">
      <w:pPr>
        <w:spacing w:after="240"/>
        <w:rPr>
          <w:iCs/>
        </w:rPr>
      </w:pPr>
      <w:r>
        <w:t>T</w:t>
      </w:r>
      <w:r w:rsidRPr="00FE5395">
        <w:t>hrombotic microangiopath</w:t>
      </w:r>
      <w:r>
        <w:t xml:space="preserve">ies (TMAs) are a group of disorders characterised by </w:t>
      </w:r>
      <w:r w:rsidRPr="004171E1">
        <w:t xml:space="preserve">endothelial injury </w:t>
      </w:r>
      <w:r>
        <w:t>with</w:t>
      </w:r>
      <w:r w:rsidRPr="004171E1">
        <w:t>in the microcirculation</w:t>
      </w:r>
      <w:r>
        <w:t>.</w:t>
      </w:r>
      <w:r w:rsidRPr="00E6356D">
        <w:t xml:space="preserve"> </w:t>
      </w:r>
      <w:r>
        <w:t xml:space="preserve">TTP is a rare type of TMA caused by markedly reduced activity of the ADAMTS13 enzyme. This deficiency is usually due to autoantibodies to the ADAMTS13 protein (immune-mediated TTP, iTTP), but it can also result from homozygous or compound heterozygous pathogenic </w:t>
      </w:r>
      <w:r w:rsidR="00AF0F7E">
        <w:t xml:space="preserve">or likely pathogenic </w:t>
      </w:r>
      <w:r>
        <w:t xml:space="preserve">variants in the </w:t>
      </w:r>
      <w:r w:rsidRPr="00682BB3">
        <w:rPr>
          <w:i/>
          <w:iCs/>
        </w:rPr>
        <w:t>ADAMTS13</w:t>
      </w:r>
      <w:r>
        <w:t xml:space="preserve"> gene (congenital T</w:t>
      </w:r>
      <w:r w:rsidR="3A9BFF7B">
        <w:t>TP</w:t>
      </w:r>
      <w:r>
        <w:t xml:space="preserve">, cTTP). Clinically, TTP typically presents as an abrupt onset illness with relatively non-specific signs and symptoms, yet it has the potential for rapid progression and life-threatening complications. The mainstay treatment </w:t>
      </w:r>
      <w:r w:rsidR="00E6329E">
        <w:t xml:space="preserve">for acute episodes </w:t>
      </w:r>
      <w:r>
        <w:t>is plasma exchange therapy (PEX)</w:t>
      </w:r>
      <w:r>
        <w:rPr>
          <w:iCs/>
        </w:rPr>
        <w:t>, which both replenishes</w:t>
      </w:r>
      <w:r w:rsidRPr="00A76F40">
        <w:rPr>
          <w:iCs/>
        </w:rPr>
        <w:t xml:space="preserve"> ADAMTS13 activity and </w:t>
      </w:r>
      <w:r>
        <w:rPr>
          <w:iCs/>
        </w:rPr>
        <w:t xml:space="preserve">removes the circulating </w:t>
      </w:r>
      <w:r w:rsidRPr="00A76F40">
        <w:rPr>
          <w:iCs/>
        </w:rPr>
        <w:t>anti-ADAMTS13 antibodies</w:t>
      </w:r>
      <w:r>
        <w:rPr>
          <w:iCs/>
        </w:rPr>
        <w:t xml:space="preserve"> that mediate TTP in the majority of cases.</w:t>
      </w:r>
      <w:r w:rsidR="00E6329E">
        <w:rPr>
          <w:iCs/>
        </w:rPr>
        <w:t xml:space="preserve"> PEX is supplemented with immune </w:t>
      </w:r>
      <w:r w:rsidR="003163B5">
        <w:rPr>
          <w:iCs/>
        </w:rPr>
        <w:t>modulation</w:t>
      </w:r>
      <w:r w:rsidR="00BB24E2">
        <w:rPr>
          <w:iCs/>
        </w:rPr>
        <w:t xml:space="preserve"> therapy</w:t>
      </w:r>
      <w:r w:rsidR="003163B5">
        <w:rPr>
          <w:iCs/>
        </w:rPr>
        <w:t>.</w:t>
      </w:r>
    </w:p>
    <w:p w14:paraId="533B9A07" w14:textId="77777777" w:rsidR="003A41CA" w:rsidRDefault="003A41CA" w:rsidP="003A41CA">
      <w:pPr>
        <w:pStyle w:val="BodyText"/>
      </w:pPr>
      <w:r>
        <w:t>The diagnostic purpose of each test is as follows:</w:t>
      </w:r>
    </w:p>
    <w:p w14:paraId="3090D4C9" w14:textId="4D5A7A73" w:rsidR="003A41CA" w:rsidRDefault="003A41CA" w:rsidP="003A41CA">
      <w:pPr>
        <w:pStyle w:val="Bulletpoint"/>
      </w:pPr>
      <w:r>
        <w:t xml:space="preserve">ADAMTS13 activity test – </w:t>
      </w:r>
      <w:r w:rsidR="000803E3">
        <w:t xml:space="preserve">to </w:t>
      </w:r>
      <w:r>
        <w:t>rapidly identify patients with life-threatening deficiency of ADAMTS13 activity to ensure more targeted use of a complex and invasive treatment (PEX) in patients at</w:t>
      </w:r>
      <w:r w:rsidR="00D9152A">
        <w:t>-</w:t>
      </w:r>
      <w:r>
        <w:t>risk (</w:t>
      </w:r>
      <w:r w:rsidR="000730FD">
        <w:t xml:space="preserve">those with </w:t>
      </w:r>
      <w:r>
        <w:t xml:space="preserve">TTP) and avoid </w:t>
      </w:r>
      <w:r w:rsidR="001367DE">
        <w:t>its use</w:t>
      </w:r>
      <w:r>
        <w:t xml:space="preserve"> in patients who do not require it (</w:t>
      </w:r>
      <w:r w:rsidR="001D19CE">
        <w:t>for example</w:t>
      </w:r>
      <w:r w:rsidR="00DC1CFD">
        <w:t xml:space="preserve"> </w:t>
      </w:r>
      <w:r w:rsidR="002F49DF">
        <w:t xml:space="preserve">those with </w:t>
      </w:r>
      <w:r w:rsidR="00DC1CFD">
        <w:t xml:space="preserve">atypical </w:t>
      </w:r>
      <w:r w:rsidR="00DC1CFD" w:rsidRPr="00DC1CFD">
        <w:t>haemolytic uraemic syndrome</w:t>
      </w:r>
      <w:r>
        <w:t xml:space="preserve"> </w:t>
      </w:r>
      <w:r w:rsidR="00DC1CFD">
        <w:t>(</w:t>
      </w:r>
      <w:r>
        <w:t>aHUS</w:t>
      </w:r>
      <w:r w:rsidR="00472FAC">
        <w:t>)</w:t>
      </w:r>
      <w:r>
        <w:t>)</w:t>
      </w:r>
      <w:r w:rsidR="001367DE">
        <w:t>.</w:t>
      </w:r>
    </w:p>
    <w:p w14:paraId="3F3FFF7B" w14:textId="1E12A7E4" w:rsidR="003A41CA" w:rsidRDefault="3C77654F" w:rsidP="003A41CA">
      <w:pPr>
        <w:pStyle w:val="Bulletpoint"/>
      </w:pPr>
      <w:r>
        <w:t xml:space="preserve">anti-ADAMTS13 autoantibody test – </w:t>
      </w:r>
      <w:r w:rsidR="7D5D0556">
        <w:t xml:space="preserve">to </w:t>
      </w:r>
      <w:r>
        <w:t xml:space="preserve">identify </w:t>
      </w:r>
      <w:r w:rsidR="1875C26C">
        <w:t xml:space="preserve">a </w:t>
      </w:r>
      <w:r>
        <w:t xml:space="preserve">small subset of TTP patients for whom the </w:t>
      </w:r>
      <w:r w:rsidR="7C74DA42">
        <w:t xml:space="preserve">ADAMTS13 activity </w:t>
      </w:r>
      <w:r>
        <w:t>deficiency is not antibody</w:t>
      </w:r>
      <w:r w:rsidR="7D5D0556">
        <w:t>-</w:t>
      </w:r>
      <w:r>
        <w:t xml:space="preserve">mediated (suspected cTTP) and </w:t>
      </w:r>
      <w:r w:rsidR="45A4EE57">
        <w:t xml:space="preserve">therefore </w:t>
      </w:r>
      <w:r>
        <w:t>can safely cease PEX</w:t>
      </w:r>
      <w:r w:rsidR="45A4EE57">
        <w:t xml:space="preserve"> therapy.</w:t>
      </w:r>
    </w:p>
    <w:p w14:paraId="1538F112" w14:textId="33D90AB5" w:rsidR="003A41CA" w:rsidRDefault="4A3D4D19" w:rsidP="003A41CA">
      <w:pPr>
        <w:pStyle w:val="Bulletpoint"/>
      </w:pPr>
      <w:r w:rsidRPr="70304D37">
        <w:rPr>
          <w:i/>
          <w:iCs/>
        </w:rPr>
        <w:t xml:space="preserve">ADAMTS13 </w:t>
      </w:r>
      <w:r w:rsidR="3C77654F">
        <w:t xml:space="preserve">genetic test – </w:t>
      </w:r>
      <w:r w:rsidR="45A4EE57">
        <w:t xml:space="preserve">to </w:t>
      </w:r>
      <w:r w:rsidR="3C77654F">
        <w:t xml:space="preserve">confirm a diagnosis of cTTP to provide more certainty about appropriate treatment and prophylaxis in both the </w:t>
      </w:r>
      <w:r w:rsidR="76063DED">
        <w:t>affected individual</w:t>
      </w:r>
      <w:r w:rsidR="3C77654F">
        <w:t xml:space="preserve"> and first-degree </w:t>
      </w:r>
      <w:r w:rsidR="2DED6C62">
        <w:t xml:space="preserve">biological </w:t>
      </w:r>
      <w:r w:rsidR="008C3605">
        <w:t>relatives</w:t>
      </w:r>
      <w:r w:rsidR="70D72B1E">
        <w:t xml:space="preserve"> of probands</w:t>
      </w:r>
      <w:r w:rsidR="3C77654F">
        <w:t>.</w:t>
      </w:r>
    </w:p>
    <w:p w14:paraId="4484FBC8" w14:textId="7ED3D468" w:rsidR="003A41CA" w:rsidRDefault="00F20D6E" w:rsidP="00913947">
      <w:pPr>
        <w:pStyle w:val="Bulletpoint"/>
      </w:pPr>
      <w:r>
        <w:t xml:space="preserve">The ADAMTS13 activity test </w:t>
      </w:r>
      <w:r w:rsidR="00CF3D0C">
        <w:t xml:space="preserve">can also be used to </w:t>
      </w:r>
      <w:r w:rsidR="005A6BCB">
        <w:t xml:space="preserve">monitor </w:t>
      </w:r>
      <w:r w:rsidR="003A41CA">
        <w:t xml:space="preserve">patients </w:t>
      </w:r>
      <w:r w:rsidR="003A41CA" w:rsidDel="003E23FE">
        <w:t xml:space="preserve">with TTP </w:t>
      </w:r>
      <w:r w:rsidR="006B6A93">
        <w:t>after</w:t>
      </w:r>
      <w:r w:rsidR="00EC7ED3">
        <w:t xml:space="preserve"> the </w:t>
      </w:r>
      <w:r w:rsidR="00BD7F8F">
        <w:t>acute phase</w:t>
      </w:r>
      <w:r w:rsidR="00570100">
        <w:t xml:space="preserve"> to </w:t>
      </w:r>
      <w:r w:rsidR="00BE5327">
        <w:t>identify relapse</w:t>
      </w:r>
      <w:r w:rsidR="003A41CA">
        <w:t>.</w:t>
      </w:r>
    </w:p>
    <w:p w14:paraId="0B4375D3" w14:textId="0C3794DD" w:rsidR="007D47BE" w:rsidRDefault="007D47BE" w:rsidP="008C229E">
      <w:pPr>
        <w:keepNext/>
        <w:spacing w:after="120"/>
        <w:rPr>
          <w:iCs/>
        </w:rPr>
      </w:pPr>
      <w:r>
        <w:rPr>
          <w:iCs/>
        </w:rPr>
        <w:lastRenderedPageBreak/>
        <w:t>The application includes 3 PICO Sets:</w:t>
      </w:r>
    </w:p>
    <w:p w14:paraId="6775F803" w14:textId="2B647C44" w:rsidR="007D47BE" w:rsidRDefault="007D47BE" w:rsidP="00267F3D">
      <w:pPr>
        <w:pStyle w:val="ListParagraph"/>
        <w:numPr>
          <w:ilvl w:val="0"/>
          <w:numId w:val="5"/>
        </w:numPr>
      </w:pPr>
      <w:r w:rsidRPr="007D47BE">
        <w:rPr>
          <w:b/>
          <w:bCs/>
        </w:rPr>
        <w:t>PICO Set 1:</w:t>
      </w:r>
      <w:r>
        <w:t xml:space="preserve"> patients presenting with symptoms and signs suggestive of TMA and clinical and laboratory features indicating risk for TTP. The 3 ADAMTS13 tests are proposed to be undertaken sequentially to diagnose TTP and then to differentiate iTTP from cTTP;</w:t>
      </w:r>
      <w:r w:rsidRPr="007D2936">
        <w:t xml:space="preserve"> </w:t>
      </w:r>
      <w:r>
        <w:t xml:space="preserve">the populations that are tested with the second and third tests are a subset of the starting population. </w:t>
      </w:r>
    </w:p>
    <w:p w14:paraId="53C7AAFE" w14:textId="42E009DB" w:rsidR="007D47BE" w:rsidRPr="005C1669" w:rsidRDefault="07664B1D" w:rsidP="00267F3D">
      <w:pPr>
        <w:pStyle w:val="ListParagraph"/>
        <w:numPr>
          <w:ilvl w:val="0"/>
          <w:numId w:val="5"/>
        </w:numPr>
        <w:spacing w:after="240"/>
      </w:pPr>
      <w:r w:rsidRPr="70304D37">
        <w:rPr>
          <w:b/>
          <w:bCs/>
        </w:rPr>
        <w:t>PICO Set 2:</w:t>
      </w:r>
      <w:r>
        <w:t xml:space="preserve"> </w:t>
      </w:r>
      <w:r w:rsidRPr="70304D37">
        <w:rPr>
          <w:i/>
          <w:iCs/>
        </w:rPr>
        <w:t>ADAMTS13</w:t>
      </w:r>
      <w:r>
        <w:t xml:space="preserve"> genetic testing </w:t>
      </w:r>
      <w:r w:rsidR="2B71EEFB">
        <w:t xml:space="preserve">in </w:t>
      </w:r>
      <w:r>
        <w:t xml:space="preserve">first-degree biological </w:t>
      </w:r>
      <w:r w:rsidR="008C3605">
        <w:t>relatives</w:t>
      </w:r>
      <w:r>
        <w:t xml:space="preserve"> of individuals with confirmed cTTP</w:t>
      </w:r>
      <w:r w:rsidR="7DC34CA9">
        <w:t xml:space="preserve"> (probands)</w:t>
      </w:r>
      <w:r w:rsidR="3BCED312">
        <w:t>.</w:t>
      </w:r>
    </w:p>
    <w:p w14:paraId="70C4CA7A" w14:textId="43CF39DE" w:rsidR="00CB5FC0" w:rsidRPr="00055104" w:rsidRDefault="008E538A" w:rsidP="00267F3D">
      <w:pPr>
        <w:pStyle w:val="ListParagraph"/>
        <w:numPr>
          <w:ilvl w:val="0"/>
          <w:numId w:val="5"/>
        </w:numPr>
        <w:spacing w:after="240"/>
        <w:rPr>
          <w:iCs/>
        </w:rPr>
      </w:pPr>
      <w:r w:rsidRPr="008E538A">
        <w:rPr>
          <w:b/>
          <w:bCs/>
          <w:iCs/>
        </w:rPr>
        <w:t xml:space="preserve">PICO Set 3: </w:t>
      </w:r>
      <w:r>
        <w:t>monitoring using ADAMTS13 activity testing during the post-acute and chronic phase in patients with a confirmed diagnosis of TTP.</w:t>
      </w:r>
    </w:p>
    <w:p w14:paraId="07AE0076" w14:textId="77777777" w:rsidR="00055104" w:rsidRPr="005B6EFD" w:rsidRDefault="00055104" w:rsidP="00055104">
      <w:pPr>
        <w:pStyle w:val="ExecSumHeading2"/>
        <w:numPr>
          <w:ilvl w:val="0"/>
          <w:numId w:val="36"/>
        </w:numPr>
        <w:ind w:hanging="720"/>
      </w:pPr>
      <w:r w:rsidRPr="005B6EFD">
        <w:t>MSAC’s advice to the Minister</w:t>
      </w:r>
    </w:p>
    <w:p w14:paraId="18103792" w14:textId="7D93682D" w:rsidR="00C13832" w:rsidRPr="00AF07D0" w:rsidRDefault="00620156" w:rsidP="00C13832">
      <w:r w:rsidRPr="00D81A81">
        <w:t>After considering the strength of the available evidence in relation to comparative safety, clinical effectiveness</w:t>
      </w:r>
      <w:r>
        <w:t xml:space="preserve">, </w:t>
      </w:r>
      <w:r w:rsidRPr="00D81A81">
        <w:t>cost-effectiveness</w:t>
      </w:r>
      <w:r>
        <w:t xml:space="preserve"> and total cost</w:t>
      </w:r>
      <w:r w:rsidRPr="00D81A81">
        <w:t xml:space="preserve">, </w:t>
      </w:r>
      <w:r w:rsidR="00C13832" w:rsidRPr="00AF07D0">
        <w:t xml:space="preserve">MSAC supported the creation of new Medicare Benefits Schedule (MBS) items for ADAMTS13 activity, anti-ADAMTS13 autoantibody and </w:t>
      </w:r>
      <w:r w:rsidR="00C13832" w:rsidRPr="00AF07D0">
        <w:rPr>
          <w:i/>
          <w:iCs/>
        </w:rPr>
        <w:t>ADAMTS13</w:t>
      </w:r>
      <w:r w:rsidR="00C13832" w:rsidRPr="00AF07D0">
        <w:t xml:space="preserve"> genetic testing for the diagnosis of thrombotic thrombocytopenic purpura (TTP) in affected individuals and</w:t>
      </w:r>
      <w:r w:rsidR="00C13832" w:rsidRPr="066309E4">
        <w:t>,</w:t>
      </w:r>
      <w:r w:rsidR="00C13832" w:rsidRPr="00AF07D0">
        <w:t xml:space="preserve"> where appropriate, targeted </w:t>
      </w:r>
      <w:r w:rsidR="00C13832" w:rsidRPr="2263F69B">
        <w:rPr>
          <w:i/>
          <w:iCs/>
        </w:rPr>
        <w:t>ADAMTS13</w:t>
      </w:r>
      <w:r w:rsidR="00C13832" w:rsidRPr="00AF07D0">
        <w:t xml:space="preserve"> genetic testing of first-degree biological relatives. MSAC considered that there was a clinical need for improved diagnosis of this rare disease, which is often fatal if not treated promptly and requires different management depending on whether </w:t>
      </w:r>
      <w:r w:rsidR="00C13832">
        <w:t xml:space="preserve">testing identifies </w:t>
      </w:r>
      <w:r w:rsidR="00C13832" w:rsidRPr="00AF07D0">
        <w:t xml:space="preserve">the disease </w:t>
      </w:r>
      <w:r w:rsidR="00C13832">
        <w:t>a</w:t>
      </w:r>
      <w:r w:rsidR="00C13832" w:rsidRPr="00AF07D0">
        <w:t xml:space="preserve">s immune-mediated (iTTP) or congenital (cTTP). </w:t>
      </w:r>
      <w:r w:rsidR="00C13832">
        <w:t xml:space="preserve">In addition, the ability for ADAMTS13 testing to exclude TTP was also informative and can confirm eligibility for medicines listed on the Pharmaceutical Benefits Scheme for the treatment of </w:t>
      </w:r>
      <w:r w:rsidR="00C13832" w:rsidRPr="00E4202F">
        <w:t>atypical haemolytic uraemic syndrome</w:t>
      </w:r>
      <w:r w:rsidR="00C13832">
        <w:t xml:space="preserve">. </w:t>
      </w:r>
      <w:r w:rsidR="00C13832" w:rsidRPr="00AF07D0">
        <w:t xml:space="preserve">MSAC acknowledged that due to the rarity of </w:t>
      </w:r>
      <w:r w:rsidR="00C13832">
        <w:t>T</w:t>
      </w:r>
      <w:r w:rsidR="0FE52073">
        <w:t>TP</w:t>
      </w:r>
      <w:r w:rsidR="00C13832" w:rsidRPr="00AF07D0">
        <w:t xml:space="preserve"> there were limitations in the evidence base for ADAMTS13 testing in the diagnostic setting. However, MSAC considered that </w:t>
      </w:r>
      <w:r w:rsidR="00C13832">
        <w:t>the available evidence demonstrated</w:t>
      </w:r>
      <w:r w:rsidR="00C13832" w:rsidRPr="00AF07D0">
        <w:t xml:space="preserve"> that ADAMTS13 testing for diagnosis of TTP had superior clinical effectiveness compared with no testing, and that accurate differentiation of iTT</w:t>
      </w:r>
      <w:r w:rsidR="00C13832">
        <w:t>P</w:t>
      </w:r>
      <w:r w:rsidR="00C13832" w:rsidRPr="00AF07D0">
        <w:t xml:space="preserve"> or cTTP would lead to a change in management and improved health outcomes. MSAC considered that ADAMTS13 testing for diagnosis of TTP was cost-effective and the financial impact to the MBS would be modest but that the proposed fees for ADAMTS13 testing were high. MSAC recommended the fees be reduced to $400 for the ADAMTS13 activity test </w:t>
      </w:r>
      <w:r w:rsidR="00C13832" w:rsidRPr="460F6DA7">
        <w:t xml:space="preserve">and </w:t>
      </w:r>
      <w:r w:rsidR="00C13832" w:rsidRPr="00AF07D0">
        <w:t xml:space="preserve">$1000 for the </w:t>
      </w:r>
      <w:r w:rsidR="00C13832" w:rsidRPr="2263F69B">
        <w:rPr>
          <w:i/>
          <w:iCs/>
        </w:rPr>
        <w:t>ADAMTS13</w:t>
      </w:r>
      <w:r w:rsidR="00C13832" w:rsidRPr="00AF07D0">
        <w:t xml:space="preserve"> genetic test for affected individuals</w:t>
      </w:r>
      <w:r w:rsidR="00C13832">
        <w:t>. MSAC requested</w:t>
      </w:r>
      <w:r w:rsidR="00C13832" w:rsidRPr="00AF07D0">
        <w:t xml:space="preserve"> the department to propose a reduced fee for the anti-ADAMTS13 autoantibody test that aligns with existing MBS items.  </w:t>
      </w:r>
    </w:p>
    <w:p w14:paraId="0FE8D391" w14:textId="238418DA" w:rsidR="00620156" w:rsidRPr="00620156" w:rsidRDefault="591ED675" w:rsidP="70304D37">
      <w:pPr>
        <w:rPr>
          <w:color w:val="4472C4" w:themeColor="accent1"/>
        </w:rPr>
      </w:pPr>
      <w:r>
        <w:t>MSAC did not support public funding of monitoring ADAMTS13 activity during remission to prevent or reduce recurrence</w:t>
      </w:r>
      <w:r w:rsidR="685E8B4E">
        <w:t xml:space="preserve"> or relapse of TTP</w:t>
      </w:r>
      <w:r>
        <w:t>. MSAC considered there were critical limitations and gaps in the evidence base for monitoring ADAMTS13 activity</w:t>
      </w:r>
      <w:r w:rsidR="0423A3D4">
        <w:t xml:space="preserve"> in this setting</w:t>
      </w:r>
      <w:r>
        <w:t>. MSAC concluded that there was insufficient evidence and significant uncertainty regarding the frequency, duration and comparative effectiveness of monitoring ADAMTS13 activity during remission. Accordingly, MSAC considered the estimated utilisation and comparative cost-effectiveness for ADAMTS13 activity testing in the monitoring setting to be highly uncertain and financial impact to be likely underestimated. MSAC considered that any reapplication would need to present sufficient evidence to support the claimed benefits for monitoring ADAMTS13 activity during remission.</w:t>
      </w:r>
    </w:p>
    <w:tbl>
      <w:tblPr>
        <w:tblStyle w:val="Section3-footno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55104" w:rsidRPr="005B6EFD" w14:paraId="3CDC478A" w14:textId="77777777" w:rsidTr="0F93A181">
        <w:trPr>
          <w:tblHeader/>
        </w:trPr>
        <w:tc>
          <w:tcPr>
            <w:tcW w:w="9016" w:type="dxa"/>
          </w:tcPr>
          <w:p w14:paraId="7838FA03" w14:textId="77777777" w:rsidR="00055104" w:rsidRPr="005B6EFD" w:rsidRDefault="00055104">
            <w:pPr>
              <w:keepNext/>
              <w:keepLines/>
              <w:spacing w:before="40" w:after="40"/>
              <w:rPr>
                <w:rFonts w:eastAsia="Calibri"/>
                <w:b/>
                <w:bCs/>
                <w:lang w:eastAsia="en-US"/>
              </w:rPr>
            </w:pPr>
            <w:r w:rsidRPr="005B6EFD">
              <w:rPr>
                <w:rFonts w:eastAsiaTheme="minorHAnsi"/>
                <w:b/>
                <w:bCs/>
                <w:lang w:eastAsia="en-US"/>
              </w:rPr>
              <w:t>Consumer summary</w:t>
            </w:r>
          </w:p>
        </w:tc>
      </w:tr>
      <w:tr w:rsidR="00055104" w:rsidRPr="005B6EFD" w14:paraId="110F9B34" w14:textId="77777777" w:rsidTr="0F93A181">
        <w:tc>
          <w:tcPr>
            <w:tcW w:w="9016" w:type="dxa"/>
          </w:tcPr>
          <w:p w14:paraId="1A3F0265" w14:textId="2831889E" w:rsidR="0036580D" w:rsidRDefault="0036580D" w:rsidP="0036580D">
            <w:r w:rsidRPr="00AF46D8">
              <w:t xml:space="preserve">This application from </w:t>
            </w:r>
            <w:r>
              <w:t>the Royal College of Pathologists of Australasia</w:t>
            </w:r>
            <w:r w:rsidRPr="00AF46D8">
              <w:t xml:space="preserve"> </w:t>
            </w:r>
            <w:r w:rsidR="00965840" w:rsidRPr="00AF46D8">
              <w:t>request</w:t>
            </w:r>
            <w:r w:rsidR="00965840">
              <w:t>ed</w:t>
            </w:r>
            <w:r w:rsidR="00965840" w:rsidRPr="00AF46D8">
              <w:t xml:space="preserve"> </w:t>
            </w:r>
            <w:r w:rsidRPr="00AF46D8">
              <w:t>Medicare Benefits Schedule (MBS) listing of</w:t>
            </w:r>
            <w:r>
              <w:t xml:space="preserve"> ADAMTS13 testing for the diagnosis of thrombotic thrombocytopenic purpura (TTP).</w:t>
            </w:r>
          </w:p>
          <w:p w14:paraId="7E4BA6A4" w14:textId="77777777" w:rsidR="0036580D" w:rsidRDefault="0036580D" w:rsidP="0036580D">
            <w:r>
              <w:lastRenderedPageBreak/>
              <w:t>TTP is a blood disorder in which small clots form in blood vessels throughout the body. These clots can limit or block the flow of blood to organs such as the brain, kidneys or heart. They can also lead to bruising and bleeding under the skin. TTP is very rare, but it is life-threatening if not treated quickly.</w:t>
            </w:r>
          </w:p>
          <w:p w14:paraId="3744EC7F" w14:textId="5B24400A" w:rsidR="0036580D" w:rsidRDefault="0036580D" w:rsidP="0036580D">
            <w:r>
              <w:t xml:space="preserve">TTP occurs when the body does not have the right amount of a protein called ADAMTS13. This </w:t>
            </w:r>
            <w:r w:rsidR="00D6778A">
              <w:t>is often</w:t>
            </w:r>
            <w:r>
              <w:t xml:space="preserve"> because </w:t>
            </w:r>
            <w:r w:rsidR="00D6778A">
              <w:t xml:space="preserve">the immune system </w:t>
            </w:r>
            <w:r w:rsidR="001C20D5">
              <w:t xml:space="preserve">makes antibodies that mistakenly target and </w:t>
            </w:r>
            <w:r w:rsidR="00D6778A">
              <w:t>attack the ADAMTS13 protein</w:t>
            </w:r>
            <w:r w:rsidR="008528D9">
              <w:t>, which</w:t>
            </w:r>
            <w:r w:rsidR="00D6778A">
              <w:t xml:space="preserve"> stops it from working properly (immune-mediated TTP). </w:t>
            </w:r>
            <w:r w:rsidR="008F4B55">
              <w:t xml:space="preserve">In </w:t>
            </w:r>
            <w:r w:rsidR="00012753">
              <w:t xml:space="preserve">rare cases, </w:t>
            </w:r>
            <w:r w:rsidR="00225082">
              <w:t xml:space="preserve">the person </w:t>
            </w:r>
            <w:r w:rsidR="009C14BF">
              <w:t xml:space="preserve">has </w:t>
            </w:r>
            <w:r>
              <w:t>a varia</w:t>
            </w:r>
            <w:r w:rsidR="009C14BF">
              <w:t>n</w:t>
            </w:r>
            <w:r>
              <w:t xml:space="preserve">t in </w:t>
            </w:r>
            <w:r w:rsidR="00BE740A">
              <w:t xml:space="preserve">both </w:t>
            </w:r>
            <w:r w:rsidR="0055228D">
              <w:t xml:space="preserve">their </w:t>
            </w:r>
            <w:r w:rsidR="00BE740A">
              <w:t xml:space="preserve">copies of </w:t>
            </w:r>
            <w:r>
              <w:t xml:space="preserve">the </w:t>
            </w:r>
            <w:r w:rsidRPr="5476E802">
              <w:rPr>
                <w:i/>
                <w:iCs/>
              </w:rPr>
              <w:t>ADAMTS13</w:t>
            </w:r>
            <w:r w:rsidR="005A2A2D">
              <w:t xml:space="preserve"> gene</w:t>
            </w:r>
            <w:r w:rsidR="0099755D">
              <w:t>, which</w:t>
            </w:r>
            <w:r w:rsidR="005A2A2D">
              <w:t xml:space="preserve"> </w:t>
            </w:r>
            <w:r w:rsidR="0099755D">
              <w:t>means the</w:t>
            </w:r>
            <w:r w:rsidR="00135C2D">
              <w:t>ir</w:t>
            </w:r>
            <w:r w:rsidR="0055228D">
              <w:t xml:space="preserve"> body cannot make</w:t>
            </w:r>
            <w:r w:rsidR="00104096">
              <w:t xml:space="preserve"> ADAMTS13 </w:t>
            </w:r>
            <w:r w:rsidR="00A31E4D">
              <w:t>protein</w:t>
            </w:r>
            <w:r w:rsidR="00104096">
              <w:t xml:space="preserve"> </w:t>
            </w:r>
            <w:r w:rsidR="0055228D">
              <w:t>that</w:t>
            </w:r>
            <w:r w:rsidR="00104096">
              <w:t xml:space="preserve"> work</w:t>
            </w:r>
            <w:r w:rsidR="0055228D">
              <w:t>s</w:t>
            </w:r>
            <w:r w:rsidR="00104096">
              <w:t xml:space="preserve"> properly</w:t>
            </w:r>
            <w:r w:rsidR="00FC40C5">
              <w:t xml:space="preserve"> (congenital TTP)</w:t>
            </w:r>
            <w:r w:rsidR="00104096">
              <w:t>.</w:t>
            </w:r>
          </w:p>
          <w:p w14:paraId="625B22C5" w14:textId="34030289" w:rsidR="00BA2C61" w:rsidRDefault="78B42586" w:rsidP="0036580D">
            <w:r>
              <w:t>Three types of</w:t>
            </w:r>
            <w:r w:rsidR="3A52B060">
              <w:t xml:space="preserve"> ADAMTS13 testing</w:t>
            </w:r>
            <w:r w:rsidR="7F88E7A3">
              <w:t xml:space="preserve"> were proposed </w:t>
            </w:r>
            <w:r w:rsidR="3A52B060">
              <w:t xml:space="preserve">to diagnose people who have symptoms of TTP. </w:t>
            </w:r>
            <w:r w:rsidR="7F88E7A3">
              <w:t xml:space="preserve">The first, ADAMTS13 </w:t>
            </w:r>
            <w:r w:rsidR="7F88E7A3" w:rsidRPr="0F93A181">
              <w:rPr>
                <w:u w:val="single"/>
              </w:rPr>
              <w:t>activity</w:t>
            </w:r>
            <w:r w:rsidR="7F88E7A3" w:rsidRPr="0F93A181">
              <w:rPr>
                <w:i/>
                <w:iCs/>
              </w:rPr>
              <w:t xml:space="preserve"> </w:t>
            </w:r>
            <w:r w:rsidR="7F88E7A3">
              <w:t xml:space="preserve">test, checks if the </w:t>
            </w:r>
            <w:r w:rsidR="36E89D8D">
              <w:t>patient’s ADAMTS13</w:t>
            </w:r>
            <w:r w:rsidR="14C05DBE">
              <w:t xml:space="preserve"> protein</w:t>
            </w:r>
            <w:r w:rsidR="36E89D8D">
              <w:t xml:space="preserve"> is working</w:t>
            </w:r>
            <w:r w:rsidR="3A138B8C">
              <w:t xml:space="preserve"> properly</w:t>
            </w:r>
            <w:r w:rsidR="36E89D8D">
              <w:t xml:space="preserve">. </w:t>
            </w:r>
            <w:r w:rsidR="1AEF876D">
              <w:t>If the activity is less than 10%, this confirms a patient has TTP. The second test</w:t>
            </w:r>
            <w:r w:rsidR="16B5EA71">
              <w:t>, an</w:t>
            </w:r>
            <w:r w:rsidR="78316080">
              <w:t>ti</w:t>
            </w:r>
            <w:r w:rsidR="16B5EA71">
              <w:t xml:space="preserve">-ADAMTS13 </w:t>
            </w:r>
            <w:r w:rsidR="16B5EA71" w:rsidRPr="0F93A181">
              <w:rPr>
                <w:u w:val="single"/>
              </w:rPr>
              <w:t>autoantibody</w:t>
            </w:r>
            <w:r w:rsidR="16B5EA71">
              <w:t xml:space="preserve"> test, looks to see if the patient</w:t>
            </w:r>
            <w:r w:rsidR="14C05DBE">
              <w:t>’s immune system is producing antibodies that attack the ADAMTS13 protein</w:t>
            </w:r>
            <w:r w:rsidR="72B17902">
              <w:t xml:space="preserve">. </w:t>
            </w:r>
            <w:r w:rsidR="2746749D">
              <w:t>T</w:t>
            </w:r>
            <w:r w:rsidR="78316080">
              <w:t>h</w:t>
            </w:r>
            <w:r w:rsidR="6A419931">
              <w:t xml:space="preserve">is </w:t>
            </w:r>
            <w:r w:rsidR="20F82831">
              <w:t xml:space="preserve">shows </w:t>
            </w:r>
            <w:r w:rsidR="6A419931">
              <w:t xml:space="preserve">whether </w:t>
            </w:r>
            <w:r w:rsidR="409E9DE4">
              <w:t>the</w:t>
            </w:r>
            <w:r w:rsidR="6A419931">
              <w:t xml:space="preserve"> patient has immune-mediated TTP. If </w:t>
            </w:r>
            <w:r w:rsidR="16ADF236">
              <w:t>the second test is negative</w:t>
            </w:r>
            <w:r w:rsidR="00022F1D">
              <w:t>,</w:t>
            </w:r>
            <w:r w:rsidR="16ADF236">
              <w:t xml:space="preserve"> </w:t>
            </w:r>
            <w:r w:rsidR="409E9DE4">
              <w:t xml:space="preserve">the </w:t>
            </w:r>
            <w:r w:rsidR="16ADF236">
              <w:t>patient then ha</w:t>
            </w:r>
            <w:r w:rsidR="409E9DE4">
              <w:t>s</w:t>
            </w:r>
            <w:r w:rsidR="16ADF236">
              <w:t xml:space="preserve"> the third test, </w:t>
            </w:r>
            <w:r w:rsidR="16ADF236" w:rsidRPr="0F93A181">
              <w:rPr>
                <w:i/>
                <w:iCs/>
              </w:rPr>
              <w:t xml:space="preserve">ADAMTS13 </w:t>
            </w:r>
            <w:r w:rsidR="16ADF236" w:rsidRPr="0F93A181">
              <w:rPr>
                <w:u w:val="single"/>
              </w:rPr>
              <w:t>genetic</w:t>
            </w:r>
            <w:r w:rsidR="16ADF236">
              <w:t xml:space="preserve"> testing to see if </w:t>
            </w:r>
            <w:r w:rsidR="5FC1F72F">
              <w:t>the</w:t>
            </w:r>
            <w:r w:rsidR="20F82831">
              <w:t>y have</w:t>
            </w:r>
            <w:r w:rsidR="5FC1F72F">
              <w:t xml:space="preserve"> a</w:t>
            </w:r>
            <w:r w:rsidR="5855A69A">
              <w:t>ny</w:t>
            </w:r>
            <w:r w:rsidR="5FC1F72F">
              <w:t xml:space="preserve"> variant</w:t>
            </w:r>
            <w:r w:rsidR="5F4278E2">
              <w:t>s</w:t>
            </w:r>
            <w:r w:rsidR="5FC1F72F">
              <w:t xml:space="preserve"> in their </w:t>
            </w:r>
            <w:r w:rsidR="5FC1F72F" w:rsidRPr="0F93A181">
              <w:rPr>
                <w:i/>
                <w:iCs/>
              </w:rPr>
              <w:t xml:space="preserve">ADAMTS13 </w:t>
            </w:r>
            <w:r w:rsidR="5FC1F72F">
              <w:t>gene</w:t>
            </w:r>
            <w:r w:rsidR="241F4F24">
              <w:t xml:space="preserve">. </w:t>
            </w:r>
            <w:r w:rsidR="5C6DC820">
              <w:t>T</w:t>
            </w:r>
            <w:r w:rsidR="20F82831">
              <w:t>his shows whether</w:t>
            </w:r>
            <w:r w:rsidR="1196D673">
              <w:t xml:space="preserve"> they have congenital TTP</w:t>
            </w:r>
            <w:r w:rsidR="6F3A05ED">
              <w:t>, which is managed differently from</w:t>
            </w:r>
            <w:r w:rsidR="750B8E30">
              <w:t xml:space="preserve"> </w:t>
            </w:r>
            <w:r w:rsidR="1B1CDA7A">
              <w:t>immune-mediate</w:t>
            </w:r>
            <w:r w:rsidR="34F09435">
              <w:t>d</w:t>
            </w:r>
            <w:r w:rsidR="1B1CDA7A">
              <w:t xml:space="preserve"> TTP</w:t>
            </w:r>
            <w:r w:rsidR="61C2C23B">
              <w:t>.</w:t>
            </w:r>
            <w:r w:rsidR="1B1CDA7A">
              <w:t xml:space="preserve"> </w:t>
            </w:r>
            <w:r w:rsidR="1FCFBCE6">
              <w:t xml:space="preserve">Because </w:t>
            </w:r>
            <w:r w:rsidR="1196D673">
              <w:t xml:space="preserve">congenital TTP can be </w:t>
            </w:r>
            <w:r w:rsidR="4CE52B22">
              <w:t>inherited, t</w:t>
            </w:r>
            <w:r w:rsidR="3A52B060">
              <w:t xml:space="preserve">he application also </w:t>
            </w:r>
            <w:r w:rsidR="4CE52B22">
              <w:t xml:space="preserve">included </w:t>
            </w:r>
            <w:r w:rsidR="3A52B060">
              <w:t>genetic testing of first-degree relatives</w:t>
            </w:r>
            <w:r w:rsidR="00917B45">
              <w:t xml:space="preserve"> (parents, children and siblings)</w:t>
            </w:r>
            <w:r w:rsidR="3A52B060">
              <w:t xml:space="preserve"> </w:t>
            </w:r>
            <w:r w:rsidR="2308179F">
              <w:t xml:space="preserve">when the patient with symptoms </w:t>
            </w:r>
            <w:r w:rsidR="1C37A907">
              <w:t xml:space="preserve">is found to have </w:t>
            </w:r>
            <w:r w:rsidR="5DEC0205">
              <w:t>one or more</w:t>
            </w:r>
            <w:r w:rsidR="1C37A907">
              <w:t xml:space="preserve"> </w:t>
            </w:r>
            <w:r w:rsidR="4808B958">
              <w:t xml:space="preserve">serious </w:t>
            </w:r>
            <w:r w:rsidR="1C37A907">
              <w:t>genetic variant</w:t>
            </w:r>
            <w:r w:rsidR="46380C26">
              <w:t>s</w:t>
            </w:r>
            <w:r w:rsidR="1C37A907">
              <w:t xml:space="preserve"> </w:t>
            </w:r>
            <w:r w:rsidR="3A52B060">
              <w:t>(called cascade testing)</w:t>
            </w:r>
            <w:r w:rsidR="50CE8328">
              <w:t xml:space="preserve">. This shows </w:t>
            </w:r>
            <w:r w:rsidR="3A52B060">
              <w:t>whether they</w:t>
            </w:r>
            <w:r w:rsidR="58C3E07E">
              <w:t xml:space="preserve"> have</w:t>
            </w:r>
            <w:r w:rsidR="3A52B060">
              <w:t xml:space="preserve"> the </w:t>
            </w:r>
            <w:r w:rsidR="58C3E07E">
              <w:t xml:space="preserve">same </w:t>
            </w:r>
            <w:r w:rsidR="3A52B060">
              <w:t>genetic variant</w:t>
            </w:r>
            <w:r w:rsidR="0CFC3233">
              <w:t>(s)</w:t>
            </w:r>
            <w:r w:rsidR="3A52B060">
              <w:t xml:space="preserve"> for TTP. </w:t>
            </w:r>
          </w:p>
          <w:p w14:paraId="6A3194FB" w14:textId="67911F5A" w:rsidR="0036580D" w:rsidRDefault="0036580D" w:rsidP="0036580D">
            <w:r>
              <w:t xml:space="preserve">MSAC considered that </w:t>
            </w:r>
            <w:r w:rsidR="0004008C">
              <w:t>ADAMTS13</w:t>
            </w:r>
            <w:r w:rsidR="009054E0">
              <w:t xml:space="preserve"> </w:t>
            </w:r>
            <w:r>
              <w:t xml:space="preserve">testing </w:t>
            </w:r>
            <w:r w:rsidR="0004008C">
              <w:t>to diagnose TTP</w:t>
            </w:r>
            <w:r w:rsidR="003A06C6">
              <w:t>, including differentiating between immune-mediated and congenital TTP,</w:t>
            </w:r>
            <w:r w:rsidR="009054E0">
              <w:t xml:space="preserve"> </w:t>
            </w:r>
            <w:r>
              <w:t>was safe and effective, consistent with best practice guidelines and will improve clinical care for these people. The tests were also good value for money, although MSAC recommended some changes to the proposed fees to bring them in line with other similar items on the MBS.</w:t>
            </w:r>
          </w:p>
          <w:p w14:paraId="0B2D6104" w14:textId="6D80EBB5" w:rsidR="0036580D" w:rsidRPr="00C057FC" w:rsidRDefault="3A52B060" w:rsidP="0036580D">
            <w:pPr>
              <w:rPr>
                <w:color w:val="4472C4" w:themeColor="accent1"/>
              </w:rPr>
            </w:pPr>
            <w:r>
              <w:t xml:space="preserve">ADAMTS13 </w:t>
            </w:r>
            <w:r w:rsidR="185BCA0D" w:rsidRPr="0F93A181">
              <w:rPr>
                <w:i/>
                <w:iCs/>
              </w:rPr>
              <w:t xml:space="preserve">activity </w:t>
            </w:r>
            <w:r>
              <w:t>testing</w:t>
            </w:r>
            <w:r w:rsidR="750CA9E5">
              <w:t xml:space="preserve"> was also proposed</w:t>
            </w:r>
            <w:r>
              <w:t xml:space="preserve"> for monitoring </w:t>
            </w:r>
            <w:r w:rsidR="1D613E47">
              <w:t xml:space="preserve">patients, after they have </w:t>
            </w:r>
            <w:r>
              <w:t>been diagnosed with TTP</w:t>
            </w:r>
            <w:r w:rsidR="1D613E47">
              <w:t>,</w:t>
            </w:r>
            <w:r>
              <w:t xml:space="preserve"> </w:t>
            </w:r>
            <w:r w:rsidR="0DB3D9BB">
              <w:t xml:space="preserve">to check if they have responded to treatment and/or </w:t>
            </w:r>
            <w:r w:rsidR="4128AAC6">
              <w:t xml:space="preserve">to </w:t>
            </w:r>
            <w:r w:rsidR="0DB3D9BB">
              <w:t>predict if they are at risk of relapse.</w:t>
            </w:r>
            <w:r w:rsidR="1D613E47">
              <w:t xml:space="preserve"> </w:t>
            </w:r>
            <w:r>
              <w:t xml:space="preserve">MSAC considered that there was not enough evidence to </w:t>
            </w:r>
            <w:r w:rsidR="00FE620E">
              <w:t xml:space="preserve">show </w:t>
            </w:r>
            <w:r>
              <w:t xml:space="preserve">that </w:t>
            </w:r>
            <w:r w:rsidR="1AD48CB3">
              <w:t>monitoring</w:t>
            </w:r>
            <w:r w:rsidR="08575FCF">
              <w:t xml:space="preserve"> </w:t>
            </w:r>
            <w:r w:rsidR="79644795">
              <w:t>impro</w:t>
            </w:r>
            <w:r w:rsidR="7831D8FB">
              <w:t>ved outcomes for the patient such as reduced relapse</w:t>
            </w:r>
            <w:r>
              <w:t>.</w:t>
            </w:r>
            <w:r w:rsidR="00FE620E">
              <w:t xml:space="preserve"> There </w:t>
            </w:r>
            <w:r w:rsidR="00FB55D1">
              <w:t>were not many studies to</w:t>
            </w:r>
            <w:r>
              <w:t xml:space="preserve"> </w:t>
            </w:r>
            <w:r w:rsidR="00FE620E">
              <w:t>inform how often the test should be done</w:t>
            </w:r>
            <w:r w:rsidR="00FB55D1">
              <w:t xml:space="preserve">. </w:t>
            </w:r>
            <w:r w:rsidR="0D224C0B">
              <w:t xml:space="preserve">MSAC considered the level of uncertainty </w:t>
            </w:r>
            <w:r w:rsidR="76762529">
              <w:t xml:space="preserve">in this setting </w:t>
            </w:r>
            <w:r w:rsidR="0D224C0B">
              <w:t xml:space="preserve">was unacceptably high and could not determine if </w:t>
            </w:r>
            <w:r w:rsidR="47DE5A71">
              <w:t>monitoring patients</w:t>
            </w:r>
            <w:r>
              <w:t xml:space="preserve"> would be good value for money. Therefore, MSAC did not support</w:t>
            </w:r>
            <w:r w:rsidR="47DE5A71">
              <w:t xml:space="preserve"> public funding for </w:t>
            </w:r>
            <w:r>
              <w:t xml:space="preserve">ADAMTS13 testing </w:t>
            </w:r>
            <w:r w:rsidR="782B11F4">
              <w:t xml:space="preserve">used </w:t>
            </w:r>
            <w:r>
              <w:t>for monitoring.</w:t>
            </w:r>
          </w:p>
          <w:p w14:paraId="66EF8548" w14:textId="77777777" w:rsidR="0036580D" w:rsidRPr="00AF46D8" w:rsidRDefault="0036580D" w:rsidP="0036580D">
            <w:pPr>
              <w:pStyle w:val="Heading3"/>
              <w:numPr>
                <w:ilvl w:val="0"/>
                <w:numId w:val="0"/>
              </w:numPr>
            </w:pPr>
            <w:r w:rsidRPr="00AF46D8">
              <w:t>MSAC’s advice to the Commonwealth Minister for Health</w:t>
            </w:r>
            <w:r>
              <w:t>, Disability and Ageing</w:t>
            </w:r>
          </w:p>
          <w:p w14:paraId="0DD90928" w14:textId="0CDBE999" w:rsidR="0036580D" w:rsidRDefault="0036580D" w:rsidP="0036580D">
            <w:r w:rsidRPr="00AF46D8">
              <w:t>MSAC supported</w:t>
            </w:r>
            <w:r w:rsidR="002251B7">
              <w:t xml:space="preserve"> MBS</w:t>
            </w:r>
            <w:r>
              <w:t xml:space="preserve"> listing of ADAMTS13 </w:t>
            </w:r>
            <w:r w:rsidR="00C47968">
              <w:t xml:space="preserve">(activity, autoantibody and genetic) </w:t>
            </w:r>
            <w:r>
              <w:t>testing for diagnosis of TTP and genetic testing of family members.</w:t>
            </w:r>
            <w:r w:rsidR="001E5CE6">
              <w:t xml:space="preserve"> MSAC considered ADAMTS13 testing </w:t>
            </w:r>
            <w:r w:rsidR="00FF18D7">
              <w:t>for diagnosis of TTP would improve the clinical care of patients</w:t>
            </w:r>
            <w:r w:rsidR="003479D3">
              <w:t xml:space="preserve"> with this rare disease </w:t>
            </w:r>
            <w:r w:rsidR="00383A11">
              <w:t>and</w:t>
            </w:r>
            <w:r w:rsidR="0048129F">
              <w:t xml:space="preserve"> would be good value for money</w:t>
            </w:r>
            <w:r w:rsidR="00E8524B">
              <w:t xml:space="preserve"> based on revised fees</w:t>
            </w:r>
            <w:r>
              <w:t>.</w:t>
            </w:r>
          </w:p>
          <w:p w14:paraId="0EA5FE0B" w14:textId="2039DCBB" w:rsidR="00055104" w:rsidRPr="005B6EFD" w:rsidRDefault="0036580D" w:rsidP="0036580D">
            <w:r>
              <w:t xml:space="preserve">MSAC did not support listing of ADAMTS13 testing for monitoring people with TTP, because there was not enough evidence </w:t>
            </w:r>
            <w:r w:rsidR="00324732">
              <w:t>that this would improve outcomes for patients</w:t>
            </w:r>
            <w:r w:rsidR="39095932">
              <w:t xml:space="preserve">, </w:t>
            </w:r>
            <w:r w:rsidR="00324732">
              <w:t xml:space="preserve">or to </w:t>
            </w:r>
            <w:r w:rsidR="0A4D0DD8">
              <w:t xml:space="preserve">guide </w:t>
            </w:r>
            <w:r w:rsidR="00A11AC0">
              <w:t xml:space="preserve">how often patients should be </w:t>
            </w:r>
            <w:r w:rsidR="000A1668">
              <w:t>tested</w:t>
            </w:r>
            <w:r>
              <w:t>.</w:t>
            </w:r>
          </w:p>
        </w:tc>
      </w:tr>
    </w:tbl>
    <w:p w14:paraId="1EC1DE01" w14:textId="77777777" w:rsidR="00055104" w:rsidRPr="005B6EFD" w:rsidRDefault="00055104" w:rsidP="00A32551">
      <w:pPr>
        <w:pStyle w:val="ExecSumHeading2"/>
        <w:keepLines/>
        <w:numPr>
          <w:ilvl w:val="0"/>
          <w:numId w:val="36"/>
        </w:numPr>
        <w:ind w:hanging="720"/>
      </w:pPr>
      <w:r w:rsidRPr="005B6EFD">
        <w:lastRenderedPageBreak/>
        <w:t>Summary of consideration and rationale for MSAC’s advice</w:t>
      </w:r>
    </w:p>
    <w:p w14:paraId="31CDFC55" w14:textId="4C83979C" w:rsidR="00F02494" w:rsidRDefault="00ED4628" w:rsidP="000D070A">
      <w:pPr>
        <w:spacing w:after="240"/>
      </w:pPr>
      <w:r w:rsidRPr="000D070A">
        <w:t xml:space="preserve">MSAC noted that this application from the RCPA requested MBS listing of ADAMTS13 testing (including ADAMTS13 activity testing, anti-ADAMTS13 autoantibodies testing and </w:t>
      </w:r>
      <w:r w:rsidRPr="000D070A">
        <w:rPr>
          <w:i/>
          <w:iCs/>
        </w:rPr>
        <w:t>ADAMTS13</w:t>
      </w:r>
      <w:r w:rsidRPr="000D070A">
        <w:t xml:space="preserve"> genetic testing) to diagnose TTP.</w:t>
      </w:r>
      <w:r>
        <w:t xml:space="preserve"> MSAC noted that the 3 tests were used sequentially to first diagnose TTP (activity test), then to differentiate iTTP (autoantibody test) or cTT</w:t>
      </w:r>
      <w:r w:rsidR="00A313AB">
        <w:t>P</w:t>
      </w:r>
      <w:r>
        <w:t xml:space="preserve"> (genetic test), and if appropriate, cascade genetic testing of first-degree relatives (PICO set 1 &amp;</w:t>
      </w:r>
      <w:r w:rsidR="001C1AD3">
        <w:t xml:space="preserve"> </w:t>
      </w:r>
      <w:r>
        <w:t xml:space="preserve">2). MSAC also noted the application proposed monitoring </w:t>
      </w:r>
      <w:r w:rsidRPr="0025722D">
        <w:t>ADAMTS13 activity</w:t>
      </w:r>
      <w:r>
        <w:t>,</w:t>
      </w:r>
      <w:r w:rsidRPr="0025722D">
        <w:t xml:space="preserve"> </w:t>
      </w:r>
      <w:r>
        <w:t xml:space="preserve">in patients diagnosed with TTP, </w:t>
      </w:r>
      <w:r w:rsidRPr="001661D6">
        <w:t>to prevent or reduce recurrence, exacerbation and relapse</w:t>
      </w:r>
      <w:r>
        <w:t xml:space="preserve"> (PICO set 3).</w:t>
      </w:r>
      <w:r w:rsidR="00F02494">
        <w:t xml:space="preserve"> </w:t>
      </w:r>
    </w:p>
    <w:p w14:paraId="1A57436A" w14:textId="3FF6F8F7" w:rsidR="009C7306" w:rsidRDefault="00E470C4" w:rsidP="006C5DD3">
      <w:pPr>
        <w:spacing w:after="240"/>
      </w:pPr>
      <w:r w:rsidRPr="000D070A">
        <w:t>MSAC</w:t>
      </w:r>
      <w:r w:rsidR="000E7D60">
        <w:t xml:space="preserve"> acknowledged</w:t>
      </w:r>
      <w:r w:rsidRPr="000D070A">
        <w:t xml:space="preserve"> that</w:t>
      </w:r>
      <w:r w:rsidR="007F39FA">
        <w:t xml:space="preserve"> the diagnostic algorithm and criteria </w:t>
      </w:r>
      <w:r w:rsidR="00605904">
        <w:t xml:space="preserve">for </w:t>
      </w:r>
      <w:r w:rsidRPr="000D070A">
        <w:t>ADAMTS13 testing</w:t>
      </w:r>
      <w:r w:rsidR="00605904">
        <w:t xml:space="preserve"> to diagnose TTP is well established and</w:t>
      </w:r>
      <w:r w:rsidRPr="000D070A">
        <w:t xml:space="preserve"> already </w:t>
      </w:r>
      <w:r w:rsidR="00F242BB">
        <w:t xml:space="preserve">utilised </w:t>
      </w:r>
      <w:r w:rsidRPr="000D070A">
        <w:t>in Australia</w:t>
      </w:r>
      <w:r w:rsidR="00C26E9C">
        <w:t xml:space="preserve">. </w:t>
      </w:r>
      <w:r w:rsidR="00F242BB">
        <w:t xml:space="preserve">Further, </w:t>
      </w:r>
      <w:r w:rsidR="00C26E9C">
        <w:t>the ability for ADAMTS13 testing to exclude TTP was also informative</w:t>
      </w:r>
      <w:r w:rsidR="00EF25ED">
        <w:t xml:space="preserve">, as this </w:t>
      </w:r>
      <w:r w:rsidR="00E26FD7">
        <w:t xml:space="preserve">can </w:t>
      </w:r>
      <w:r w:rsidR="002A4A4C">
        <w:t xml:space="preserve">confirm eligibility </w:t>
      </w:r>
      <w:r w:rsidR="00720BBA">
        <w:t xml:space="preserve">to access </w:t>
      </w:r>
      <w:r w:rsidR="002A4A4C">
        <w:t>for medicines listed on the Pharmaceutical Benefits Scheme for the treatment</w:t>
      </w:r>
      <w:r w:rsidR="00EF25ED">
        <w:t xml:space="preserve"> </w:t>
      </w:r>
      <w:r w:rsidR="002A4A4C">
        <w:t xml:space="preserve">of </w:t>
      </w:r>
      <w:r w:rsidRPr="000D070A">
        <w:t>atypical haemolytic uraemic syndrome (aHUS).</w:t>
      </w:r>
      <w:r w:rsidR="0050639D">
        <w:t xml:space="preserve"> MSAC noted </w:t>
      </w:r>
      <w:r w:rsidR="00631131">
        <w:t xml:space="preserve">that </w:t>
      </w:r>
      <w:r w:rsidR="001C5D89">
        <w:t xml:space="preserve">although </w:t>
      </w:r>
      <w:r w:rsidR="00631131">
        <w:t xml:space="preserve">guidelines also </w:t>
      </w:r>
      <w:r w:rsidR="00FA170C">
        <w:t xml:space="preserve">recommended </w:t>
      </w:r>
      <w:r w:rsidR="001C5D89">
        <w:t>monitoring ADAMTS13 activity to prevent recurrence or relapse,</w:t>
      </w:r>
      <w:r w:rsidR="00FA170C">
        <w:t xml:space="preserve"> </w:t>
      </w:r>
      <w:r w:rsidR="001C5D89">
        <w:t>these recommendations are</w:t>
      </w:r>
      <w:r w:rsidR="00FA170C">
        <w:t xml:space="preserve"> based on expert opinion as the evidence for monitoring is less established.  </w:t>
      </w:r>
    </w:p>
    <w:p w14:paraId="2529D08C" w14:textId="40A34E6E" w:rsidR="00CB690A" w:rsidRPr="000D070A" w:rsidRDefault="00CB690A" w:rsidP="006C5DD3">
      <w:pPr>
        <w:spacing w:after="240"/>
      </w:pPr>
      <w:r w:rsidRPr="000D070A">
        <w:t>The applicant was granted a hearing</w:t>
      </w:r>
      <w:r>
        <w:t xml:space="preserve"> to</w:t>
      </w:r>
      <w:r w:rsidRPr="000D070A">
        <w:t xml:space="preserve"> </w:t>
      </w:r>
      <w:r>
        <w:t>address queries</w:t>
      </w:r>
      <w:r w:rsidRPr="000D070A">
        <w:t xml:space="preserve"> from MSAC. </w:t>
      </w:r>
      <w:r>
        <w:t xml:space="preserve">During the hearing, MSAC heard from the </w:t>
      </w:r>
      <w:r w:rsidRPr="000D070A">
        <w:t xml:space="preserve">applicant that </w:t>
      </w:r>
      <w:r>
        <w:t xml:space="preserve">although cTTP is an ultra-rare disease and only a few individuals would utilise the </w:t>
      </w:r>
      <w:r w:rsidRPr="000D070A">
        <w:t xml:space="preserve">cascade </w:t>
      </w:r>
      <w:r>
        <w:t xml:space="preserve">genetic </w:t>
      </w:r>
      <w:r w:rsidRPr="000D070A">
        <w:t xml:space="preserve">testing </w:t>
      </w:r>
      <w:r>
        <w:t xml:space="preserve">item, identifying that a relative also has a variant in the </w:t>
      </w:r>
      <w:r>
        <w:rPr>
          <w:i/>
          <w:iCs/>
        </w:rPr>
        <w:t>ADAMTS13</w:t>
      </w:r>
      <w:r>
        <w:t xml:space="preserve"> gene provides highly impactful information. As an example, the applicant highlighted that some patients do not manifest TTP without a trigger and that pregnancy-associated changes in ADAMTS13 activity can trigger TTP onset with potentially disastrous consequences for both the mother and fetus. In this scenario, cascade testing is critical for identifying at-risk relatives and providing </w:t>
      </w:r>
      <w:r w:rsidRPr="000D070A">
        <w:t>appropriate counselling and management</w:t>
      </w:r>
      <w:r>
        <w:t xml:space="preserve"> during pregnancy</w:t>
      </w:r>
      <w:r w:rsidRPr="000D070A">
        <w:t>.</w:t>
      </w:r>
      <w:r w:rsidRPr="00CD7A25">
        <w:t xml:space="preserve"> </w:t>
      </w:r>
      <w:r>
        <w:t xml:space="preserve">MSAC sought the applicant’s views on the lack of evidence for ADAMTS13 testing in the monitoring setting and whether there are any forthcoming trials in this space. </w:t>
      </w:r>
      <w:r w:rsidRPr="000D070A">
        <w:t>The applicant confirmed that</w:t>
      </w:r>
      <w:r w:rsidR="00E00788">
        <w:t>, to their knowledge,</w:t>
      </w:r>
      <w:r w:rsidRPr="000D070A">
        <w:t xml:space="preserve"> no studies were underway or planned to expand the evidence base for ADAMTS13 testing for monitoring purposes, and any further information on monitoring would come from registry data.</w:t>
      </w:r>
      <w:r>
        <w:t xml:space="preserve"> In response to MSAC’s queries regarding the proposed fees for the testing items, the applicant</w:t>
      </w:r>
      <w:r w:rsidRPr="000D070A">
        <w:t xml:space="preserve"> </w:t>
      </w:r>
      <w:r>
        <w:t>acknowledged</w:t>
      </w:r>
      <w:r w:rsidRPr="000D070A">
        <w:t xml:space="preserve"> that the proposed fee for the activity test (item AAAA) was higher than other similar activity tests on the MBS to account for cartridge-based testing </w:t>
      </w:r>
      <w:r>
        <w:t>costs (</w:t>
      </w:r>
      <w:r w:rsidRPr="000D070A">
        <w:t>using the HemosIL AcuStar machine</w:t>
      </w:r>
      <w:r>
        <w:t>)</w:t>
      </w:r>
      <w:r w:rsidRPr="000D070A">
        <w:t xml:space="preserve">, which is more costly but provides a faster turnaround time than other methods. The applicant noted that patients in rural and remote areas experience challenges accessing these tests in a timely way because testing is </w:t>
      </w:r>
      <w:r>
        <w:t xml:space="preserve">currently </w:t>
      </w:r>
      <w:r w:rsidRPr="000D070A">
        <w:t xml:space="preserve">centralised, and it was unclear whether laboratories in these areas would expand their services to include ADAMTS13 testing </w:t>
      </w:r>
      <w:r>
        <w:t>that would be rarely requested given TTP is a rare disease</w:t>
      </w:r>
      <w:r w:rsidRPr="000D070A">
        <w:t xml:space="preserve">. The applicant also acknowledged that the proposed fee for the genetic test was higher than other similar genetic tests on the MBS, and the proposed fee was informed by correspondence with laboratories in Australia who perform the test. </w:t>
      </w:r>
    </w:p>
    <w:p w14:paraId="4A0DF454" w14:textId="54964D60" w:rsidR="000D070A" w:rsidRPr="000D070A" w:rsidRDefault="000D070A" w:rsidP="007608BC">
      <w:pPr>
        <w:keepNext/>
        <w:keepLines/>
      </w:pPr>
      <w:r>
        <w:lastRenderedPageBreak/>
        <w:t>MSAC noted the consultation feedback received from one organisation</w:t>
      </w:r>
      <w:r w:rsidR="72F290A7">
        <w:t xml:space="preserve"> (Takeda Pharmaceutical Australia Pty Ltd [Takeda])</w:t>
      </w:r>
      <w:r>
        <w:t xml:space="preserve"> and one individual before the ESC meeting, as well as letters of support from 3 </w:t>
      </w:r>
      <w:r w:rsidR="51DE840C">
        <w:t xml:space="preserve">professional </w:t>
      </w:r>
      <w:r>
        <w:t>organisations provided with the application.</w:t>
      </w:r>
      <w:r w:rsidR="3A2B17C4">
        <w:t xml:space="preserve"> MSAC </w:t>
      </w:r>
      <w:r w:rsidR="72F290A7">
        <w:t xml:space="preserve">noted that the input from Takeda referred to </w:t>
      </w:r>
      <w:r w:rsidR="628BC457">
        <w:t xml:space="preserve">a submission </w:t>
      </w:r>
      <w:r w:rsidR="4788F1A3">
        <w:t xml:space="preserve">to the Pharmaceutical Benefits Advisory Committee seeking PBS-listing </w:t>
      </w:r>
      <w:r w:rsidR="76F72B81">
        <w:t>of</w:t>
      </w:r>
      <w:r w:rsidR="72F290A7">
        <w:t xml:space="preserve"> </w:t>
      </w:r>
      <w:r w:rsidR="628BC457">
        <w:t xml:space="preserve">Adzynma for the treatment of ADAMTS13 deficiency in adults and children with cTTP. MSAC noted that </w:t>
      </w:r>
      <w:r w:rsidR="3E6A1F46">
        <w:t xml:space="preserve">this treatment may require ADAMTS13 testing for both diagnosis of cTTP and monitoring of ADAMTS13 activity </w:t>
      </w:r>
      <w:r w:rsidR="17FE927F">
        <w:t>to tailor the dose and to screen for potential immunogenicity and inhibitor development</w:t>
      </w:r>
      <w:r w:rsidR="040CE75D">
        <w:t>.</w:t>
      </w:r>
      <w:r w:rsidRPr="70304D37">
        <w:rPr>
          <w:rStyle w:val="FootnoteReference"/>
        </w:rPr>
        <w:footnoteReference w:id="2"/>
      </w:r>
      <w:r w:rsidR="040CE75D">
        <w:t xml:space="preserve"> This may provide </w:t>
      </w:r>
      <w:r w:rsidR="297BCDD0">
        <w:t xml:space="preserve">support for the need for ADAMTS13 activity monitoring, but </w:t>
      </w:r>
      <w:r w:rsidR="73A5584A">
        <w:t>the application before MSAC did not present or assess the codependen</w:t>
      </w:r>
      <w:r w:rsidR="7F1263E4">
        <w:t>cy</w:t>
      </w:r>
      <w:r w:rsidR="73A5584A">
        <w:t xml:space="preserve"> of Adzynma and ADAMTS13 testing</w:t>
      </w:r>
      <w:r w:rsidR="37093452">
        <w:t>, and as such MSAC did not provide any advice in this regard</w:t>
      </w:r>
      <w:r w:rsidR="73A5584A">
        <w:t xml:space="preserve">. </w:t>
      </w:r>
    </w:p>
    <w:p w14:paraId="2899B1A5" w14:textId="2316264A" w:rsidR="00AD4A00" w:rsidRDefault="00CF5023" w:rsidP="000D070A">
      <w:pPr>
        <w:spacing w:after="240"/>
      </w:pPr>
      <w:r>
        <w:t>Regarding the evidence for the comparative safety and effectiveness of</w:t>
      </w:r>
      <w:r w:rsidR="00A22DFF">
        <w:t xml:space="preserve"> ADAMTS13 testing in the diagnostic setting (</w:t>
      </w:r>
      <w:r w:rsidR="000D070A">
        <w:t xml:space="preserve">PICO sets 1 </w:t>
      </w:r>
      <w:r w:rsidR="00A22DFF">
        <w:t>&amp;</w:t>
      </w:r>
      <w:r w:rsidR="004E6DF7">
        <w:t xml:space="preserve"> 2</w:t>
      </w:r>
      <w:r w:rsidR="000D070A">
        <w:t xml:space="preserve">), </w:t>
      </w:r>
      <w:r w:rsidR="004E6DF7">
        <w:t>MSAC acknowledged that due to the rarity of T</w:t>
      </w:r>
      <w:r w:rsidR="25EE3F01">
        <w:t>T</w:t>
      </w:r>
      <w:r w:rsidR="004E6DF7">
        <w:t>P there were limitations in the evidence base. However,</w:t>
      </w:r>
      <w:r w:rsidR="004144CE">
        <w:t xml:space="preserve"> </w:t>
      </w:r>
      <w:r w:rsidR="000D070A">
        <w:t xml:space="preserve">MSAC agreed with ESC that </w:t>
      </w:r>
      <w:r w:rsidR="00BC21D0">
        <w:t>there</w:t>
      </w:r>
      <w:r w:rsidR="00903DE5">
        <w:t xml:space="preserve"> </w:t>
      </w:r>
      <w:r w:rsidR="0091220D">
        <w:t>was no evidence of harm from the testing</w:t>
      </w:r>
      <w:r w:rsidR="00FB3492">
        <w:t xml:space="preserve"> and that concerns regarding the pote</w:t>
      </w:r>
      <w:r w:rsidR="006A7777">
        <w:t xml:space="preserve">ntial risk for false positives with the Acustar ADAMTS13 activity test would be mitigated by </w:t>
      </w:r>
      <w:r w:rsidR="00C214FF">
        <w:t xml:space="preserve">other clinical and laboratory </w:t>
      </w:r>
      <w:r w:rsidR="00BC406D">
        <w:t>results</w:t>
      </w:r>
      <w:r w:rsidR="006F1ED4">
        <w:t xml:space="preserve"> that would inform </w:t>
      </w:r>
      <w:r w:rsidR="0040629D">
        <w:t>patient management</w:t>
      </w:r>
      <w:r w:rsidR="00BC406D">
        <w:t>.</w:t>
      </w:r>
      <w:r w:rsidR="006A7777">
        <w:t xml:space="preserve"> </w:t>
      </w:r>
      <w:r w:rsidR="00BC406D">
        <w:t xml:space="preserve">MSAC considered there was reasonable evidence to </w:t>
      </w:r>
      <w:r w:rsidR="00182B43">
        <w:t>demonstrate that ADAMTS13 testing for diagnosis of TTP had superior clinical effectiveness compared with no testing, and that accurate differentiation of iTTP or cTTP would lead to a change in management and improved health outcomes.</w:t>
      </w:r>
      <w:r w:rsidR="00FB3492">
        <w:t xml:space="preserve"> </w:t>
      </w:r>
      <w:r w:rsidR="0091220D">
        <w:t xml:space="preserve"> </w:t>
      </w:r>
    </w:p>
    <w:p w14:paraId="200F1718" w14:textId="36DF5ACA" w:rsidR="00AD4A00" w:rsidRDefault="00EA6C40" w:rsidP="000D070A">
      <w:pPr>
        <w:spacing w:after="240"/>
      </w:pPr>
      <w:r>
        <w:t>In the monitoring setting (</w:t>
      </w:r>
      <w:r w:rsidR="00C06C72" w:rsidRPr="000D070A">
        <w:t>PICO set 3</w:t>
      </w:r>
      <w:r>
        <w:t>)</w:t>
      </w:r>
      <w:r w:rsidR="00C06C72" w:rsidRPr="000D070A">
        <w:t>, MSAC</w:t>
      </w:r>
      <w:r w:rsidR="00B62E62">
        <w:t xml:space="preserve"> noted</w:t>
      </w:r>
      <w:r w:rsidR="00C06C72" w:rsidRPr="000D070A">
        <w:t xml:space="preserve"> th</w:t>
      </w:r>
      <w:r w:rsidR="00584E53">
        <w:t>e critical</w:t>
      </w:r>
      <w:r w:rsidR="00C06C72" w:rsidRPr="000D070A">
        <w:t xml:space="preserve"> </w:t>
      </w:r>
      <w:r w:rsidR="002F78C7">
        <w:t>limitations and gaps in the</w:t>
      </w:r>
      <w:r w:rsidR="00C06C72" w:rsidRPr="000D070A">
        <w:t xml:space="preserve"> evidence</w:t>
      </w:r>
      <w:r w:rsidR="008459A0">
        <w:t xml:space="preserve"> base for monitoring ADAMTS13 activity to prevent relapse or recurrence</w:t>
      </w:r>
      <w:r w:rsidR="00C06C72" w:rsidRPr="000D070A">
        <w:t>.</w:t>
      </w:r>
      <w:r w:rsidR="00584E53">
        <w:t xml:space="preserve"> As such, MSAC </w:t>
      </w:r>
      <w:r w:rsidR="00584E53" w:rsidRPr="000D070A">
        <w:t xml:space="preserve">agreed with ESC that there was </w:t>
      </w:r>
      <w:r w:rsidR="00F913C1" w:rsidRPr="000749D8">
        <w:t xml:space="preserve">insufficient evidence </w:t>
      </w:r>
      <w:r w:rsidR="00B01A8F">
        <w:t xml:space="preserve">that </w:t>
      </w:r>
      <w:r w:rsidR="00B01A8F" w:rsidRPr="00B01A8F">
        <w:t>monitoring ADAMTS13</w:t>
      </w:r>
      <w:r w:rsidR="00B01A8F">
        <w:t xml:space="preserve"> during remission would </w:t>
      </w:r>
      <w:r w:rsidR="00271160">
        <w:t>improve health outcomes. MSAC considered there was</w:t>
      </w:r>
      <w:r w:rsidR="004135B4">
        <w:t xml:space="preserve"> </w:t>
      </w:r>
      <w:r w:rsidR="00B0101F">
        <w:t>a high level of u</w:t>
      </w:r>
      <w:r w:rsidR="00F913C1" w:rsidRPr="000749D8">
        <w:t>ncertainty regarding the frequency</w:t>
      </w:r>
      <w:r w:rsidR="00271160">
        <w:t xml:space="preserve"> and</w:t>
      </w:r>
      <w:r w:rsidR="00F913C1" w:rsidRPr="000749D8">
        <w:t xml:space="preserve"> duration of monitoring ADAMTS13 activity during remission</w:t>
      </w:r>
      <w:r w:rsidR="002F78C7">
        <w:t>.</w:t>
      </w:r>
      <w:r w:rsidR="00F913C1" w:rsidRPr="000D070A">
        <w:t xml:space="preserve"> </w:t>
      </w:r>
    </w:p>
    <w:p w14:paraId="370B2480" w14:textId="41D6C149" w:rsidR="000D070A" w:rsidRPr="000D070A" w:rsidRDefault="00D9472B" w:rsidP="000D070A">
      <w:pPr>
        <w:spacing w:after="240"/>
      </w:pPr>
      <w:r>
        <w:t>Regarding the comparative cost-effectiveness of ADAMTS13 testing for diagnosis,</w:t>
      </w:r>
      <w:r w:rsidR="00C06C72">
        <w:t xml:space="preserve"> </w:t>
      </w:r>
      <w:r w:rsidR="000D070A" w:rsidRPr="000D070A">
        <w:t xml:space="preserve">MSAC noted that the economic evaluation for </w:t>
      </w:r>
      <w:r w:rsidR="00483CE4">
        <w:t>ADAMTS13 activity and autoantibody testing</w:t>
      </w:r>
      <w:r w:rsidR="000D070A" w:rsidRPr="000D070A">
        <w:t xml:space="preserve"> indicated that ADAMTS13 testing would be cost saving </w:t>
      </w:r>
      <w:r w:rsidR="00483CE4">
        <w:t>(</w:t>
      </w:r>
      <w:r w:rsidR="00AF719E">
        <w:t>-$3,071)</w:t>
      </w:r>
      <w:r w:rsidR="00EA3DE5">
        <w:t>. T</w:t>
      </w:r>
      <w:r w:rsidR="007135E1">
        <w:t>his cost-saving increase</w:t>
      </w:r>
      <w:r w:rsidR="00EA3DE5">
        <w:t>d</w:t>
      </w:r>
      <w:r w:rsidR="007135E1">
        <w:t xml:space="preserve"> </w:t>
      </w:r>
      <w:r w:rsidR="00655BBC">
        <w:t xml:space="preserve">(to -$3,371) </w:t>
      </w:r>
      <w:r w:rsidR="007135E1">
        <w:t xml:space="preserve">when </w:t>
      </w:r>
      <w:r w:rsidR="0090603A">
        <w:t>using a fee of $400 for the ADAMTS13 activity test (instead of the proposed $700 fee)</w:t>
      </w:r>
      <w:r w:rsidR="00DD777F">
        <w:t xml:space="preserve"> </w:t>
      </w:r>
      <w:r w:rsidR="00DD777F" w:rsidRPr="000D070A">
        <w:t xml:space="preserve">based on </w:t>
      </w:r>
      <w:r w:rsidR="00FF6DB7">
        <w:t>a</w:t>
      </w:r>
      <w:r w:rsidR="00DD777F" w:rsidRPr="000D070A">
        <w:t xml:space="preserve"> published laboratory fee for urgent </w:t>
      </w:r>
      <w:r w:rsidR="00DD777F">
        <w:t xml:space="preserve">ADAMTS13 activity </w:t>
      </w:r>
      <w:r w:rsidR="00DD777F" w:rsidRPr="000D070A">
        <w:t>testing</w:t>
      </w:r>
      <w:r w:rsidR="000D070A" w:rsidRPr="000D070A">
        <w:t xml:space="preserve">. </w:t>
      </w:r>
      <w:r w:rsidR="00643FA9">
        <w:t xml:space="preserve">For </w:t>
      </w:r>
      <w:r w:rsidR="00643FA9" w:rsidRPr="009D72E0">
        <w:rPr>
          <w:i/>
          <w:iCs/>
        </w:rPr>
        <w:t xml:space="preserve">ADAMTS13 </w:t>
      </w:r>
      <w:r w:rsidR="00643FA9">
        <w:t>genetic testing, the economic</w:t>
      </w:r>
      <w:r w:rsidR="000D070A" w:rsidRPr="000D070A">
        <w:t xml:space="preserve"> </w:t>
      </w:r>
      <w:r w:rsidR="006E0511">
        <w:t xml:space="preserve">evaluation </w:t>
      </w:r>
      <w:r w:rsidR="000D070A" w:rsidRPr="000D070A">
        <w:t xml:space="preserve">resulted in an incremental cost-effectiveness ratio (ICER) of $1,237 per proband for </w:t>
      </w:r>
      <w:r w:rsidR="00A914C6">
        <w:t>affected individual</w:t>
      </w:r>
      <w:r w:rsidR="00A914C6" w:rsidRPr="000D070A">
        <w:t xml:space="preserve"> </w:t>
      </w:r>
      <w:r w:rsidR="000D070A" w:rsidRPr="000D070A">
        <w:t xml:space="preserve">testing and $1,298 per proband/biallelic sibling for combined </w:t>
      </w:r>
      <w:r w:rsidR="00A914C6">
        <w:t>affected individual</w:t>
      </w:r>
      <w:r w:rsidR="00A914C6" w:rsidRPr="000D070A">
        <w:t xml:space="preserve"> </w:t>
      </w:r>
      <w:r w:rsidR="000D070A" w:rsidRPr="000D070A">
        <w:t>and cascade testing</w:t>
      </w:r>
      <w:r w:rsidR="00D24305">
        <w:t>. These ICERs reduced to $1</w:t>
      </w:r>
      <w:r w:rsidR="007F37F8">
        <w:t xml:space="preserve">,031 and $1,125 respectively, when using a fee of $1000 for the </w:t>
      </w:r>
      <w:r w:rsidR="007F37F8">
        <w:rPr>
          <w:i/>
          <w:iCs/>
        </w:rPr>
        <w:t>ADAMT</w:t>
      </w:r>
      <w:r w:rsidR="001363FC">
        <w:rPr>
          <w:i/>
          <w:iCs/>
        </w:rPr>
        <w:t xml:space="preserve">S13 </w:t>
      </w:r>
      <w:r w:rsidR="001363FC">
        <w:t xml:space="preserve">genetic test for </w:t>
      </w:r>
      <w:r w:rsidR="00A914C6">
        <w:t xml:space="preserve">affected individuals </w:t>
      </w:r>
      <w:r w:rsidR="001363FC">
        <w:t>(item CCCC)</w:t>
      </w:r>
      <w:r w:rsidR="00D85249">
        <w:t xml:space="preserve">, </w:t>
      </w:r>
      <w:r w:rsidR="00065BDF">
        <w:t>consistent</w:t>
      </w:r>
      <w:r w:rsidR="00026895">
        <w:t xml:space="preserve"> with </w:t>
      </w:r>
      <w:r w:rsidR="00DC2B9E">
        <w:t xml:space="preserve">existing MBS items of similar complexity (instead of the proposed </w:t>
      </w:r>
      <w:r w:rsidR="0088148A">
        <w:t>$1200 fee).</w:t>
      </w:r>
      <w:r w:rsidR="00986846">
        <w:t xml:space="preserve"> </w:t>
      </w:r>
      <w:r w:rsidR="000D070A" w:rsidRPr="000D070A">
        <w:t>MSAC considered</w:t>
      </w:r>
      <w:r w:rsidR="00D85249">
        <w:t xml:space="preserve"> the </w:t>
      </w:r>
      <w:r w:rsidR="00643FA9">
        <w:t>ICER</w:t>
      </w:r>
      <w:r w:rsidR="0088148A">
        <w:t>s</w:t>
      </w:r>
      <w:r w:rsidR="00BF0B28">
        <w:t xml:space="preserve"> </w:t>
      </w:r>
      <w:r w:rsidR="00AA11B1">
        <w:t xml:space="preserve">(using the revised fees) </w:t>
      </w:r>
      <w:r w:rsidR="00BF0B28">
        <w:t>acceptable and demonstrated the cost-effectiveness of</w:t>
      </w:r>
      <w:r w:rsidR="007D7426">
        <w:t xml:space="preserve"> </w:t>
      </w:r>
      <w:r w:rsidR="00BF0B28">
        <w:t>ADAMTS13 testing in the diagnostic setting</w:t>
      </w:r>
      <w:r w:rsidR="000D070A" w:rsidRPr="000D070A">
        <w:t xml:space="preserve">. </w:t>
      </w:r>
    </w:p>
    <w:p w14:paraId="7988876E" w14:textId="503F8E9E" w:rsidR="006B1630" w:rsidRDefault="75BC2558" w:rsidP="000D070A">
      <w:pPr>
        <w:spacing w:after="240"/>
      </w:pPr>
      <w:r>
        <w:t>Regarding the cost-effectiveness of ADAM</w:t>
      </w:r>
      <w:r w:rsidR="6D1C00AF">
        <w:t>T</w:t>
      </w:r>
      <w:r>
        <w:t>S13 testing</w:t>
      </w:r>
      <w:r w:rsidR="34F74815">
        <w:t xml:space="preserve"> in</w:t>
      </w:r>
      <w:r>
        <w:t xml:space="preserve"> the monitoring setting,</w:t>
      </w:r>
      <w:r w:rsidR="03372ABE">
        <w:t xml:space="preserve"> </w:t>
      </w:r>
      <w:r w:rsidR="000D070A">
        <w:t xml:space="preserve">MSAC noted that </w:t>
      </w:r>
      <w:r>
        <w:t>critical limitations in the clinical evidence base</w:t>
      </w:r>
      <w:r w:rsidR="000D070A">
        <w:t xml:space="preserve"> </w:t>
      </w:r>
      <w:r w:rsidR="07775AA0">
        <w:t>c</w:t>
      </w:r>
      <w:r>
        <w:t>reate</w:t>
      </w:r>
      <w:r w:rsidR="04C16C30">
        <w:t>d</w:t>
      </w:r>
      <w:r>
        <w:t xml:space="preserve"> </w:t>
      </w:r>
      <w:r w:rsidR="7EF22347">
        <w:t xml:space="preserve">an </w:t>
      </w:r>
      <w:r w:rsidR="5DDF657F">
        <w:t xml:space="preserve">unacceptably high </w:t>
      </w:r>
      <w:r w:rsidR="0BA53A04">
        <w:t xml:space="preserve">level of </w:t>
      </w:r>
      <w:r w:rsidR="5DDF657F">
        <w:t xml:space="preserve">uncertainty in the economic </w:t>
      </w:r>
      <w:r w:rsidR="2B6E10BA">
        <w:t>evaluation</w:t>
      </w:r>
      <w:r w:rsidR="000D070A">
        <w:t xml:space="preserve">. </w:t>
      </w:r>
      <w:r w:rsidR="2B6E10BA">
        <w:t xml:space="preserve">MSAC </w:t>
      </w:r>
      <w:r w:rsidR="260A7CBE">
        <w:t xml:space="preserve">considered </w:t>
      </w:r>
      <w:r w:rsidR="2B6E10BA">
        <w:t xml:space="preserve">the </w:t>
      </w:r>
      <w:r w:rsidR="2317399A">
        <w:t>estimated</w:t>
      </w:r>
      <w:r w:rsidR="3D4783F2">
        <w:t xml:space="preserve"> incremental cost per additional clinical recurrence avoided </w:t>
      </w:r>
      <w:r w:rsidR="2B6E10BA">
        <w:t>over 2 years of $106,710</w:t>
      </w:r>
      <w:r w:rsidR="5E9761FB">
        <w:t xml:space="preserve"> to be highly uncertain</w:t>
      </w:r>
      <w:r w:rsidR="2B6E10BA">
        <w:t xml:space="preserve">. </w:t>
      </w:r>
      <w:r w:rsidR="5DDF657F">
        <w:t xml:space="preserve">MSAC </w:t>
      </w:r>
      <w:r w:rsidR="5DDF657F">
        <w:lastRenderedPageBreak/>
        <w:t xml:space="preserve">noted that </w:t>
      </w:r>
      <w:r w:rsidR="63F25E49">
        <w:t>one</w:t>
      </w:r>
      <w:r w:rsidR="04D98FFF">
        <w:t>-</w:t>
      </w:r>
      <w:r w:rsidR="63F25E49">
        <w:t xml:space="preserve">way and two-way </w:t>
      </w:r>
      <w:r w:rsidR="5DDF657F">
        <w:t>sensitivity</w:t>
      </w:r>
      <w:r w:rsidR="000D070A">
        <w:t xml:space="preserve"> analys</w:t>
      </w:r>
      <w:r w:rsidR="63F25E49">
        <w:t>e</w:t>
      </w:r>
      <w:r w:rsidR="000D070A">
        <w:t>s</w:t>
      </w:r>
      <w:r w:rsidR="63F25E49">
        <w:t>, varying</w:t>
      </w:r>
      <w:r w:rsidR="4557FEEA">
        <w:t xml:space="preserve"> the</w:t>
      </w:r>
      <w:r w:rsidR="63F25E49">
        <w:t xml:space="preserve"> </w:t>
      </w:r>
      <w:r w:rsidR="4E3EAE02">
        <w:t xml:space="preserve">frequency of testing, cost of PEX and number of </w:t>
      </w:r>
      <w:r w:rsidR="4557FEEA">
        <w:t>d</w:t>
      </w:r>
      <w:r w:rsidR="4E3EAE02">
        <w:t>ays o</w:t>
      </w:r>
      <w:r w:rsidR="4557FEEA">
        <w:t>n</w:t>
      </w:r>
      <w:r w:rsidR="4E3EAE02">
        <w:t xml:space="preserve"> PEX,</w:t>
      </w:r>
      <w:r w:rsidR="000D070A">
        <w:t xml:space="preserve"> further highlighted </w:t>
      </w:r>
      <w:r w:rsidR="26A729C1">
        <w:t xml:space="preserve">that the estimated </w:t>
      </w:r>
      <w:r w:rsidR="351873EF">
        <w:t>ICER was highly uncertain</w:t>
      </w:r>
      <w:r w:rsidR="000D070A">
        <w:t xml:space="preserve">. </w:t>
      </w:r>
    </w:p>
    <w:p w14:paraId="41841346" w14:textId="27732CBA" w:rsidR="000D070A" w:rsidRPr="000D070A" w:rsidRDefault="006B1630" w:rsidP="000D070A">
      <w:pPr>
        <w:spacing w:after="240"/>
      </w:pPr>
      <w:r w:rsidRPr="000D070A">
        <w:t>MSAC noted that the</w:t>
      </w:r>
      <w:r w:rsidR="00E828D2">
        <w:t xml:space="preserve"> </w:t>
      </w:r>
      <w:r w:rsidR="00E736A6">
        <w:t>estimated</w:t>
      </w:r>
      <w:r w:rsidRPr="000D070A">
        <w:t xml:space="preserve"> financial impact of </w:t>
      </w:r>
      <w:r w:rsidR="0021759E">
        <w:t xml:space="preserve">MBS </w:t>
      </w:r>
      <w:r w:rsidRPr="000D070A">
        <w:t>listing</w:t>
      </w:r>
      <w:r w:rsidR="0021759E">
        <w:t>s for</w:t>
      </w:r>
      <w:r w:rsidRPr="000D070A">
        <w:t xml:space="preserve"> </w:t>
      </w:r>
      <w:r w:rsidR="001E2AFA">
        <w:t>ADAMTS13 testing for diagnosis</w:t>
      </w:r>
      <w:r w:rsidR="00973738">
        <w:t>, including cascade testing</w:t>
      </w:r>
      <w:r w:rsidR="00F34C8B">
        <w:t>,</w:t>
      </w:r>
      <w:r w:rsidR="001E2AFA">
        <w:t xml:space="preserve"> (</w:t>
      </w:r>
      <w:r w:rsidRPr="000D070A">
        <w:t>PICO sets 1 and 2</w:t>
      </w:r>
      <w:r w:rsidR="001E2AFA">
        <w:t>)</w:t>
      </w:r>
      <w:r w:rsidRPr="000D070A">
        <w:t xml:space="preserve"> w</w:t>
      </w:r>
      <w:r w:rsidR="00C8461F">
        <w:t>as</w:t>
      </w:r>
      <w:r w:rsidRPr="000D070A">
        <w:t xml:space="preserve"> </w:t>
      </w:r>
      <w:r w:rsidR="00F34C8B">
        <w:t>~$250,000 per year</w:t>
      </w:r>
      <w:r w:rsidR="00E736A6">
        <w:t xml:space="preserve"> and </w:t>
      </w:r>
      <w:r w:rsidR="009754AC">
        <w:t>would be lower (~$170,000 per year</w:t>
      </w:r>
      <w:r w:rsidR="00F34C8B">
        <w:t xml:space="preserve">) </w:t>
      </w:r>
      <w:r w:rsidR="009754AC">
        <w:t>using the revised fees for the ADAMTS13 activity</w:t>
      </w:r>
      <w:r w:rsidR="00112DE3">
        <w:t xml:space="preserve"> ($400)</w:t>
      </w:r>
      <w:r w:rsidR="009754AC">
        <w:t xml:space="preserve"> and </w:t>
      </w:r>
      <w:r w:rsidR="009754AC">
        <w:rPr>
          <w:i/>
          <w:iCs/>
        </w:rPr>
        <w:t xml:space="preserve">ADAMTS13 </w:t>
      </w:r>
      <w:r w:rsidR="009754AC">
        <w:t>genet</w:t>
      </w:r>
      <w:r w:rsidR="00112DE3">
        <w:t>ic ($1000) tests. MSAC consider</w:t>
      </w:r>
      <w:r w:rsidR="003A3817">
        <w:t>ed</w:t>
      </w:r>
      <w:r w:rsidR="00112DE3">
        <w:t xml:space="preserve"> th</w:t>
      </w:r>
      <w:r w:rsidR="002E6445">
        <w:t xml:space="preserve">e estimates for ADAMTS13 testing for diagnosis to be modest </w:t>
      </w:r>
      <w:r w:rsidRPr="000D070A">
        <w:t xml:space="preserve">and acceptable. </w:t>
      </w:r>
      <w:r w:rsidR="00F34C8B">
        <w:t xml:space="preserve">However, </w:t>
      </w:r>
      <w:r w:rsidR="000D070A" w:rsidRPr="000D070A">
        <w:t xml:space="preserve">MSAC noted that the </w:t>
      </w:r>
      <w:r w:rsidR="00E828D2">
        <w:t xml:space="preserve">estimated </w:t>
      </w:r>
      <w:r w:rsidR="000D070A" w:rsidRPr="000D070A">
        <w:t xml:space="preserve">financial impact of </w:t>
      </w:r>
      <w:r w:rsidR="00E828D2">
        <w:t xml:space="preserve">listing </w:t>
      </w:r>
      <w:r w:rsidR="000D070A" w:rsidRPr="000D070A">
        <w:t xml:space="preserve">ADAMTS13 </w:t>
      </w:r>
      <w:r w:rsidR="00E828D2">
        <w:t xml:space="preserve">testing for </w:t>
      </w:r>
      <w:r w:rsidR="000D070A" w:rsidRPr="000D070A">
        <w:t>monitoring</w:t>
      </w:r>
      <w:r w:rsidR="00E828D2">
        <w:t xml:space="preserve"> on the MB</w:t>
      </w:r>
      <w:r w:rsidR="00E736A6">
        <w:t>S was sig</w:t>
      </w:r>
      <w:r w:rsidR="00631778">
        <w:t>nificant</w:t>
      </w:r>
      <w:r w:rsidR="00FC42C3">
        <w:t>ly higher</w:t>
      </w:r>
      <w:r w:rsidR="00631778">
        <w:t xml:space="preserve"> (</w:t>
      </w:r>
      <w:r w:rsidR="00C46655">
        <w:t>~</w:t>
      </w:r>
      <w:r w:rsidR="003A3817">
        <w:t>$</w:t>
      </w:r>
      <w:r w:rsidR="00C46655">
        <w:t>1million per year</w:t>
      </w:r>
      <w:r w:rsidR="00FC42C3">
        <w:t>)</w:t>
      </w:r>
      <w:r w:rsidR="000D070A" w:rsidRPr="000D070A">
        <w:t xml:space="preserve"> </w:t>
      </w:r>
      <w:r w:rsidR="006D087B">
        <w:t xml:space="preserve">and </w:t>
      </w:r>
      <w:r w:rsidR="00B46936">
        <w:t>could be higher than estimated due to the uncertainty regarding the frequency and duration of monitoring</w:t>
      </w:r>
      <w:r w:rsidR="000D070A" w:rsidRPr="000D070A">
        <w:t xml:space="preserve">. </w:t>
      </w:r>
    </w:p>
    <w:p w14:paraId="02E436EE" w14:textId="5A7D1BC9" w:rsidR="000D070A" w:rsidRPr="000D070A" w:rsidRDefault="148A06F1" w:rsidP="000D070A">
      <w:pPr>
        <w:spacing w:after="240"/>
      </w:pPr>
      <w:r>
        <w:t xml:space="preserve">Regarding the proposed MBS items, </w:t>
      </w:r>
      <w:r w:rsidR="000D070A">
        <w:t>MSAC confirmed that the MBS item descriptors should be method</w:t>
      </w:r>
      <w:r w:rsidR="12F45786">
        <w:t>-</w:t>
      </w:r>
      <w:r w:rsidR="000D070A">
        <w:t xml:space="preserve">agnostic. Given </w:t>
      </w:r>
      <w:r w:rsidR="6069CC0E">
        <w:t>t</w:t>
      </w:r>
      <w:r w:rsidR="76DA329C">
        <w:t xml:space="preserve">he lack of evidence </w:t>
      </w:r>
      <w:r w:rsidR="7080A10A">
        <w:t>for</w:t>
      </w:r>
      <w:r w:rsidR="000D070A">
        <w:t xml:space="preserve"> ADAMTS13 testing for monitoring purposes, </w:t>
      </w:r>
      <w:r w:rsidR="7080A10A">
        <w:t xml:space="preserve">MSAC recommended that </w:t>
      </w:r>
      <w:r w:rsidR="000D070A">
        <w:t xml:space="preserve">item AAAA should </w:t>
      </w:r>
      <w:r w:rsidR="79C781FC">
        <w:t>not include</w:t>
      </w:r>
      <w:r w:rsidR="000D070A">
        <w:t xml:space="preserve"> monitoring and</w:t>
      </w:r>
      <w:r w:rsidR="1CD81AF2">
        <w:t xml:space="preserve"> should</w:t>
      </w:r>
      <w:r w:rsidR="000D070A">
        <w:t xml:space="preserve"> specify testing ‘for the diagnosis of suspected thrombotic microangiopathy’ rather ‘investigation of suspected thrombotic microangiopathy’, as this would preclude use of testing to investigate relapse (that is, monitoring). MSAC also </w:t>
      </w:r>
      <w:r w:rsidR="1CD81AF2">
        <w:t xml:space="preserve">recommended </w:t>
      </w:r>
      <w:r w:rsidR="000D070A">
        <w:t xml:space="preserve">that item DDDD (cascade testing) should be requested by a specialist or consultant physician (not ‘or on behalf of’). </w:t>
      </w:r>
    </w:p>
    <w:p w14:paraId="13759AAB" w14:textId="2300DDB5" w:rsidR="00D10F28" w:rsidRDefault="000D070A" w:rsidP="000D070A">
      <w:pPr>
        <w:spacing w:after="240"/>
      </w:pPr>
      <w:r w:rsidRPr="000D070A">
        <w:t xml:space="preserve">Regarding the proposed fees, </w:t>
      </w:r>
      <w:r w:rsidR="00AE6F2B">
        <w:t>for i</w:t>
      </w:r>
      <w:r w:rsidRPr="000D070A">
        <w:t>tem AAAA (ADAMTS13 activity testing)</w:t>
      </w:r>
      <w:r w:rsidR="00AE6F2B">
        <w:t xml:space="preserve">, </w:t>
      </w:r>
      <w:r w:rsidR="00AE6F2B" w:rsidRPr="000D070A">
        <w:t>MSAC considered</w:t>
      </w:r>
      <w:r w:rsidRPr="000D070A">
        <w:t xml:space="preserve"> the fee proposed by the applicant </w:t>
      </w:r>
      <w:r w:rsidR="00532A15">
        <w:t>(</w:t>
      </w:r>
      <w:r w:rsidRPr="000D070A">
        <w:t>$700</w:t>
      </w:r>
      <w:r w:rsidR="00532A15">
        <w:t xml:space="preserve">) was too high. </w:t>
      </w:r>
      <w:r w:rsidR="002B4680">
        <w:t xml:space="preserve">MSAC </w:t>
      </w:r>
      <w:r w:rsidR="00F33503">
        <w:t xml:space="preserve">recommended </w:t>
      </w:r>
      <w:r w:rsidR="002B4680">
        <w:t xml:space="preserve">a lower fee, $400, in line with </w:t>
      </w:r>
      <w:r w:rsidRPr="000D070A">
        <w:t>published laboratory fee for urgent testing.</w:t>
      </w:r>
      <w:r w:rsidR="00F33503">
        <w:t xml:space="preserve"> For</w:t>
      </w:r>
      <w:r w:rsidR="0089390C">
        <w:t xml:space="preserve"> i</w:t>
      </w:r>
      <w:r w:rsidRPr="000D070A">
        <w:t>tem BBBB (autoantibody testing)</w:t>
      </w:r>
      <w:r w:rsidR="0089390C">
        <w:t xml:space="preserve">, </w:t>
      </w:r>
      <w:r w:rsidRPr="000D070A">
        <w:t xml:space="preserve">MSAC considered that the proposed fee of $1,050 was high and requested the </w:t>
      </w:r>
      <w:r w:rsidR="005A27D1">
        <w:t>d</w:t>
      </w:r>
      <w:r w:rsidRPr="000D070A">
        <w:t xml:space="preserve">epartment review </w:t>
      </w:r>
      <w:r w:rsidR="0089390C">
        <w:t>the fee and proposed a revised fee</w:t>
      </w:r>
      <w:r w:rsidRPr="000D070A">
        <w:t xml:space="preserve"> </w:t>
      </w:r>
      <w:r w:rsidR="0008552C" w:rsidRPr="00AF07D0">
        <w:t>that aligns with existing</w:t>
      </w:r>
      <w:r w:rsidR="00BF70A9">
        <w:t xml:space="preserve"> similar</w:t>
      </w:r>
      <w:r w:rsidR="0008552C" w:rsidRPr="00AF07D0">
        <w:t xml:space="preserve"> MBS items</w:t>
      </w:r>
      <w:r w:rsidR="00BF70A9">
        <w:t xml:space="preserve">. </w:t>
      </w:r>
      <w:r w:rsidR="00C667CE" w:rsidRPr="000D070A">
        <w:t>MSAC noted</w:t>
      </w:r>
      <w:r w:rsidR="00BF70A9">
        <w:t xml:space="preserve"> that the department could</w:t>
      </w:r>
      <w:r w:rsidR="00C667CE" w:rsidRPr="000D070A">
        <w:t xml:space="preserve"> </w:t>
      </w:r>
      <w:r w:rsidR="005A27D1">
        <w:t xml:space="preserve">present the revised fee (and revised </w:t>
      </w:r>
      <w:r w:rsidR="00C667CE" w:rsidRPr="000D070A">
        <w:t xml:space="preserve">financial </w:t>
      </w:r>
      <w:r w:rsidR="000E2D1A">
        <w:t>ana</w:t>
      </w:r>
      <w:r w:rsidR="002B4680">
        <w:t>lysi</w:t>
      </w:r>
      <w:r w:rsidR="001E5F1A">
        <w:t>s using the revised fees) to the MSAC Executive</w:t>
      </w:r>
      <w:r w:rsidR="00C667CE" w:rsidRPr="000D070A">
        <w:t>.</w:t>
      </w:r>
      <w:r w:rsidR="00154F8C">
        <w:t xml:space="preserve"> For i</w:t>
      </w:r>
      <w:r w:rsidRPr="000D070A">
        <w:t xml:space="preserve">tem CCCC (genetic testing for </w:t>
      </w:r>
      <w:r w:rsidR="007358A7">
        <w:t>affected individuals</w:t>
      </w:r>
      <w:r w:rsidRPr="000D070A">
        <w:t>)</w:t>
      </w:r>
      <w:r w:rsidR="00154F8C">
        <w:t xml:space="preserve">, </w:t>
      </w:r>
      <w:r w:rsidR="00860533">
        <w:t xml:space="preserve">MSAC </w:t>
      </w:r>
      <w:r w:rsidR="00430BB2">
        <w:t>recommended the fee</w:t>
      </w:r>
      <w:r w:rsidR="00860533">
        <w:t xml:space="preserve"> should be $1000 (instead of </w:t>
      </w:r>
      <w:r w:rsidRPr="000D070A">
        <w:t>$1,200</w:t>
      </w:r>
      <w:r w:rsidR="00860533">
        <w:t xml:space="preserve"> as proposed by the applicant)</w:t>
      </w:r>
      <w:r w:rsidRPr="000D070A">
        <w:t xml:space="preserve">, in line with </w:t>
      </w:r>
      <w:r w:rsidR="00860533">
        <w:t xml:space="preserve">existing </w:t>
      </w:r>
      <w:r w:rsidRPr="000D070A">
        <w:t xml:space="preserve">MBS </w:t>
      </w:r>
      <w:r w:rsidR="00860533">
        <w:t xml:space="preserve">items of similar complexity (e.g. MBS </w:t>
      </w:r>
      <w:r w:rsidRPr="000D070A">
        <w:t>item 73304</w:t>
      </w:r>
      <w:r w:rsidR="00860533">
        <w:t xml:space="preserve"> for </w:t>
      </w:r>
      <w:r w:rsidRPr="000D070A">
        <w:t xml:space="preserve">germline </w:t>
      </w:r>
      <w:r w:rsidRPr="000D070A">
        <w:rPr>
          <w:i/>
          <w:iCs/>
        </w:rPr>
        <w:t>BRCA1/2</w:t>
      </w:r>
      <w:r w:rsidRPr="000D070A">
        <w:t xml:space="preserve"> testing).</w:t>
      </w:r>
      <w:r w:rsidR="00860533">
        <w:t xml:space="preserve"> </w:t>
      </w:r>
      <w:r w:rsidRPr="000D070A">
        <w:t xml:space="preserve">MSAC considered the proposed fee of $400 </w:t>
      </w:r>
      <w:r w:rsidR="00860533">
        <w:t>for i</w:t>
      </w:r>
      <w:r w:rsidR="00860533" w:rsidRPr="000D070A">
        <w:t xml:space="preserve">tem DDDD (cascade testing) </w:t>
      </w:r>
      <w:r w:rsidRPr="000D070A">
        <w:t>was acceptable.</w:t>
      </w:r>
      <w:r w:rsidR="00CA60F4">
        <w:t xml:space="preserve"> </w:t>
      </w:r>
      <w:r w:rsidRPr="000D070A">
        <w:t>MSAC approved MBS item descriptors</w:t>
      </w:r>
      <w:r w:rsidR="00EB457A">
        <w:t xml:space="preserve"> </w:t>
      </w:r>
      <w:r w:rsidR="00CA60F4">
        <w:t xml:space="preserve">are </w:t>
      </w:r>
      <w:r w:rsidR="00EB457A">
        <w:t xml:space="preserve">shown in </w:t>
      </w:r>
      <w:r w:rsidR="00D10F28">
        <w:t xml:space="preserve">table 1 below. </w:t>
      </w:r>
    </w:p>
    <w:p w14:paraId="180B2A0E" w14:textId="205B84D5" w:rsidR="00E30D15" w:rsidRDefault="00D10F28" w:rsidP="00E30D15">
      <w:pPr>
        <w:spacing w:after="240"/>
      </w:pPr>
      <w:r>
        <w:t xml:space="preserve">Overall, </w:t>
      </w:r>
      <w:r w:rsidRPr="00AF07D0">
        <w:t xml:space="preserve">MSAC considered that there was a clinical need for improved diagnosis of this rare disease, which is often fatal if not treated promptly and requires different management depending on whether </w:t>
      </w:r>
      <w:r>
        <w:t xml:space="preserve">testing identifies </w:t>
      </w:r>
      <w:r w:rsidRPr="00AF07D0">
        <w:t xml:space="preserve">the disease </w:t>
      </w:r>
      <w:r>
        <w:t>a</w:t>
      </w:r>
      <w:r w:rsidRPr="00AF07D0">
        <w:t xml:space="preserve">s immune-mediated (iTTP) or congenital (cTTP). </w:t>
      </w:r>
      <w:r>
        <w:t>Further, the available evidence demonstrated</w:t>
      </w:r>
      <w:r w:rsidRPr="00AF07D0">
        <w:t xml:space="preserve"> that ADAMTS13 testing for diagnosis of TTP had superior clinical effectiveness</w:t>
      </w:r>
      <w:r>
        <w:t xml:space="preserve">, was </w:t>
      </w:r>
      <w:r w:rsidRPr="00AF07D0">
        <w:t xml:space="preserve">cost-effective and </w:t>
      </w:r>
      <w:r>
        <w:t>would have a modes</w:t>
      </w:r>
      <w:r w:rsidR="00515977">
        <w:t>t</w:t>
      </w:r>
      <w:r>
        <w:t xml:space="preserve"> </w:t>
      </w:r>
      <w:r w:rsidRPr="00AF07D0">
        <w:t>financial impact to the MBS</w:t>
      </w:r>
      <w:r>
        <w:t xml:space="preserve"> using the reduced fees for ADAMTS13 activity and genetic testing recommended by MSAC, and reduction of the </w:t>
      </w:r>
      <w:r w:rsidRPr="00AF07D0">
        <w:t xml:space="preserve">anti-ADAMTS13 autoantibody test </w:t>
      </w:r>
      <w:r>
        <w:t>fee to align</w:t>
      </w:r>
      <w:r w:rsidRPr="00AF07D0">
        <w:t xml:space="preserve"> with </w:t>
      </w:r>
      <w:r>
        <w:t xml:space="preserve">similar </w:t>
      </w:r>
      <w:r w:rsidRPr="00AF07D0">
        <w:t>existing MBS items.</w:t>
      </w:r>
      <w:r>
        <w:t xml:space="preserve"> Therefore, MSAC supported MBS listing for ADAMTS13 testing for the diagnosis of TTP. </w:t>
      </w:r>
    </w:p>
    <w:p w14:paraId="0AE96282" w14:textId="0ABB6570" w:rsidR="00A14F43" w:rsidRPr="00A0793E" w:rsidRDefault="00A14F43" w:rsidP="00E30D15">
      <w:pPr>
        <w:spacing w:after="240"/>
      </w:pPr>
      <w:r w:rsidRPr="00A0793E">
        <w:t xml:space="preserve">MSAC did not support </w:t>
      </w:r>
      <w:r w:rsidR="004C7325" w:rsidRPr="00A0793E">
        <w:t>public funding</w:t>
      </w:r>
      <w:r w:rsidRPr="00A0793E">
        <w:t xml:space="preserve"> for </w:t>
      </w:r>
      <w:r w:rsidR="00BE2ACF" w:rsidRPr="00A0793E">
        <w:t xml:space="preserve">monitoring </w:t>
      </w:r>
      <w:r w:rsidR="00C37492" w:rsidRPr="00A0793E">
        <w:t xml:space="preserve">ADAMTS13 </w:t>
      </w:r>
      <w:r w:rsidR="00BE2ACF" w:rsidRPr="00A0793E">
        <w:t>activity during remission (</w:t>
      </w:r>
      <w:r w:rsidRPr="00A0793E">
        <w:t>PICO set 3</w:t>
      </w:r>
      <w:r w:rsidR="00BE2ACF" w:rsidRPr="00A0793E">
        <w:t>)</w:t>
      </w:r>
      <w:r w:rsidR="004C7325" w:rsidRPr="00A0793E">
        <w:t xml:space="preserve">. </w:t>
      </w:r>
      <w:r w:rsidR="00585EE7" w:rsidRPr="00A0793E">
        <w:t xml:space="preserve">Due to the critical limitations and gaps in the clinical evidence, </w:t>
      </w:r>
      <w:r w:rsidR="004C7325" w:rsidRPr="00A0793E">
        <w:t xml:space="preserve">MSAC </w:t>
      </w:r>
      <w:r w:rsidRPr="00A0793E">
        <w:t>concluded that</w:t>
      </w:r>
      <w:r w:rsidR="00585EE7" w:rsidRPr="00A0793E">
        <w:t xml:space="preserve"> there was </w:t>
      </w:r>
      <w:r w:rsidR="00585EE7" w:rsidRPr="004F1459">
        <w:t>insufficient evidence and significant uncertainty regarding the frequency, duration and comparative effectiveness of monitoring ADAMTS13 activity during remission.</w:t>
      </w:r>
      <w:r w:rsidR="00585EE7" w:rsidRPr="00A0793E">
        <w:t xml:space="preserve"> </w:t>
      </w:r>
      <w:r w:rsidR="00ED14D3" w:rsidRPr="00A0793E">
        <w:t>This created</w:t>
      </w:r>
      <w:r w:rsidR="00AD5DB2" w:rsidRPr="00A0793E">
        <w:t xml:space="preserve"> unacceptably </w:t>
      </w:r>
      <w:r w:rsidR="00ED14D3" w:rsidRPr="00A0793E">
        <w:t>high</w:t>
      </w:r>
      <w:r w:rsidR="2B6C1E4F" w:rsidRPr="00A0793E">
        <w:t xml:space="preserve"> </w:t>
      </w:r>
      <w:r w:rsidR="00ED14D3" w:rsidRPr="00A0793E">
        <w:t>uncertainty in the estimated cost-effectiveness</w:t>
      </w:r>
      <w:r w:rsidR="00AD5DB2" w:rsidRPr="00A0793E">
        <w:t xml:space="preserve">, utilisation and financial </w:t>
      </w:r>
      <w:r w:rsidR="00880243" w:rsidRPr="00A0793E">
        <w:t xml:space="preserve">impact. </w:t>
      </w:r>
      <w:r w:rsidR="00880243" w:rsidRPr="004F1459">
        <w:t>MSAC considered that</w:t>
      </w:r>
      <w:r w:rsidRPr="004F1459">
        <w:t xml:space="preserve"> any </w:t>
      </w:r>
      <w:r w:rsidR="00880243" w:rsidRPr="004F1459">
        <w:t>reapplication for public funding for monitoring ADAMTS13 activity during remission</w:t>
      </w:r>
      <w:r w:rsidRPr="004F1459">
        <w:t xml:space="preserve"> would need to </w:t>
      </w:r>
      <w:r w:rsidR="00FF6BD8" w:rsidRPr="004F1459">
        <w:t>present sufficient evidence to support the claimed benefits for</w:t>
      </w:r>
      <w:r w:rsidRPr="004F1459">
        <w:t xml:space="preserve"> this indication.</w:t>
      </w:r>
    </w:p>
    <w:p w14:paraId="36097E32" w14:textId="70B17A7C" w:rsidR="001B1815" w:rsidRPr="00A0793E" w:rsidRDefault="006473A7" w:rsidP="006473A7">
      <w:pPr>
        <w:spacing w:after="240"/>
      </w:pPr>
      <w:r w:rsidRPr="00A0793E">
        <w:lastRenderedPageBreak/>
        <w:t xml:space="preserve">MSAC recommended that the Pharmaceutical Benefits Advisory Committee (PBAC) be informed of MSAC’s recommendations for this application, </w:t>
      </w:r>
      <w:r w:rsidR="006B00BF" w:rsidRPr="00A0793E">
        <w:t xml:space="preserve">which maybe of relevance </w:t>
      </w:r>
      <w:r w:rsidR="00806EF6" w:rsidRPr="00A0793E">
        <w:t>in relation to</w:t>
      </w:r>
      <w:r w:rsidR="001B1815" w:rsidRPr="00A0793E">
        <w:t>:</w:t>
      </w:r>
    </w:p>
    <w:p w14:paraId="2F0ADC0E" w14:textId="331BEF3E" w:rsidR="00F00EBE" w:rsidRPr="004F1459" w:rsidRDefault="00962C64" w:rsidP="001B1815">
      <w:pPr>
        <w:pStyle w:val="ListParagraph"/>
        <w:numPr>
          <w:ilvl w:val="0"/>
          <w:numId w:val="42"/>
        </w:numPr>
        <w:spacing w:after="240"/>
      </w:pPr>
      <w:r w:rsidRPr="004F1459">
        <w:t>PBS-listed medicines for the treatment of aHUS</w:t>
      </w:r>
      <w:r w:rsidR="001B1815" w:rsidRPr="004F1459">
        <w:t xml:space="preserve"> </w:t>
      </w:r>
      <w:r w:rsidR="00AC197C" w:rsidRPr="004F1459">
        <w:t xml:space="preserve">where </w:t>
      </w:r>
      <w:r w:rsidR="000C5356" w:rsidRPr="004F1459">
        <w:t>ADAMTS13 activ</w:t>
      </w:r>
      <w:r w:rsidR="002E08E5" w:rsidRPr="004F1459">
        <w:t>i</w:t>
      </w:r>
      <w:r w:rsidR="000C5356" w:rsidRPr="004F1459">
        <w:t xml:space="preserve">ty </w:t>
      </w:r>
      <w:r w:rsidR="002E08E5" w:rsidRPr="004F1459">
        <w:t xml:space="preserve">testing </w:t>
      </w:r>
      <w:r w:rsidR="00AC197C" w:rsidRPr="004F1459">
        <w:t>is a pre</w:t>
      </w:r>
      <w:r w:rsidR="00526870" w:rsidRPr="004F1459">
        <w:t>re</w:t>
      </w:r>
      <w:r w:rsidR="00AC197C" w:rsidRPr="004F1459">
        <w:t>quis</w:t>
      </w:r>
      <w:r w:rsidR="00762C8A" w:rsidRPr="004F1459">
        <w:t>i</w:t>
      </w:r>
      <w:r w:rsidR="00AC197C" w:rsidRPr="004F1459">
        <w:t xml:space="preserve">te for </w:t>
      </w:r>
      <w:r w:rsidR="00ED349B" w:rsidRPr="004F1459">
        <w:t>accessing these treatments.</w:t>
      </w:r>
    </w:p>
    <w:p w14:paraId="5B94E20E" w14:textId="16A604FC" w:rsidR="00D10F28" w:rsidRDefault="006B7C04" w:rsidP="00F45C72">
      <w:pPr>
        <w:pStyle w:val="ListParagraph"/>
        <w:numPr>
          <w:ilvl w:val="0"/>
          <w:numId w:val="42"/>
        </w:numPr>
        <w:spacing w:after="240"/>
      </w:pPr>
      <w:r w:rsidRPr="004F1459">
        <w:t xml:space="preserve">PBAC submission by Takeda for </w:t>
      </w:r>
      <w:r w:rsidR="00CF5650" w:rsidRPr="004F1459">
        <w:t xml:space="preserve">Adzynma for the treatment </w:t>
      </w:r>
      <w:r w:rsidR="006B212D" w:rsidRPr="004F1459">
        <w:t>ADAMTS13 defici</w:t>
      </w:r>
      <w:r w:rsidR="00836130" w:rsidRPr="004F1459">
        <w:t xml:space="preserve">ency in adults and children with </w:t>
      </w:r>
      <w:r w:rsidR="006B212D" w:rsidRPr="004F1459">
        <w:t>cTT</w:t>
      </w:r>
      <w:r w:rsidR="00526870" w:rsidRPr="004F1459">
        <w:t>P</w:t>
      </w:r>
      <w:r w:rsidR="006B212D" w:rsidRPr="004F1459">
        <w:t xml:space="preserve"> </w:t>
      </w:r>
      <w:r w:rsidR="00ED349B" w:rsidRPr="004F1459">
        <w:t xml:space="preserve">– </w:t>
      </w:r>
      <w:r w:rsidR="00F6342A" w:rsidRPr="004F1459">
        <w:t xml:space="preserve">which may require ADAMTS13 testing for both diagnosis but also monitoring </w:t>
      </w:r>
      <w:r w:rsidR="00AE6322" w:rsidRPr="004F1459">
        <w:t xml:space="preserve">(to tailor dosing). </w:t>
      </w:r>
    </w:p>
    <w:p w14:paraId="12F277A2" w14:textId="5718B1D9" w:rsidR="00C61A4C" w:rsidRDefault="00C61A4C" w:rsidP="00C61A4C">
      <w:pPr>
        <w:spacing w:after="240"/>
        <w:rPr>
          <w:u w:val="single"/>
        </w:rPr>
      </w:pPr>
      <w:r>
        <w:rPr>
          <w:u w:val="single"/>
        </w:rPr>
        <w:t>Post-MSAC update</w:t>
      </w:r>
    </w:p>
    <w:p w14:paraId="241A6122" w14:textId="623849D7" w:rsidR="00711EF8" w:rsidRPr="00C85F2C" w:rsidRDefault="004A2474" w:rsidP="00C61A4C">
      <w:pPr>
        <w:spacing w:after="240"/>
      </w:pPr>
      <w:r w:rsidRPr="00C85F2C">
        <w:t>The department presented a re</w:t>
      </w:r>
      <w:r w:rsidR="00A521FE" w:rsidRPr="00C85F2C">
        <w:t xml:space="preserve">vised fee of </w:t>
      </w:r>
      <w:r w:rsidR="00E72875" w:rsidRPr="00C85F2C">
        <w:t>$630</w:t>
      </w:r>
      <w:r w:rsidR="00EE57B2" w:rsidRPr="00C85F2C">
        <w:t xml:space="preserve"> for </w:t>
      </w:r>
      <w:r w:rsidR="005A3BB7" w:rsidRPr="00C85F2C">
        <w:t>item BBBB (autoantibody testing)</w:t>
      </w:r>
      <w:r w:rsidR="00EE57B2" w:rsidRPr="00C85F2C">
        <w:t xml:space="preserve"> to the MSAC Executive at its May 2026 meeting. The </w:t>
      </w:r>
      <w:r w:rsidR="005A3BB7" w:rsidRPr="00C85F2C">
        <w:t>revised fee was based on</w:t>
      </w:r>
      <w:r w:rsidR="004405D7" w:rsidRPr="00C85F2C">
        <w:t xml:space="preserve"> targeted</w:t>
      </w:r>
      <w:r w:rsidR="005A3BB7" w:rsidRPr="00C85F2C">
        <w:t xml:space="preserve"> </w:t>
      </w:r>
      <w:r w:rsidR="00EB42B0" w:rsidRPr="00C85F2C">
        <w:t xml:space="preserve">consultation with </w:t>
      </w:r>
      <w:r w:rsidR="004405D7" w:rsidRPr="00C85F2C">
        <w:t>key stakeholders and with reference to existing items and publicly available information.</w:t>
      </w:r>
      <w:r w:rsidR="00A90797" w:rsidRPr="00C85F2C">
        <w:t xml:space="preserve"> </w:t>
      </w:r>
      <w:r w:rsidR="00EE68A4" w:rsidRPr="00C85F2C">
        <w:t>The input noted that a quantitative test would be more helpful for clinicians, and that to provide a comprehensive quantitative result it is expected that the test to be performed would include a Bethesda assay followed by a manual Enzyme-Linked Immunosorbent Assay (ELISA).</w:t>
      </w:r>
      <w:r w:rsidR="0035051A" w:rsidRPr="00C85F2C">
        <w:t xml:space="preserve"> The MSAC Executive noted that while MSAC requested a proposed fee aligned to existing MBS items, using the fees for MBS items 65150 and 65159 as a benchmark may not adequately reflect the full range of clinical scenarios for anti-ADAMTS13 autoantibody testing and that the testing is likely to entail both a Bethesda assay and an ELISA assay. The MSAC Executive noted that reducing the schedule fee from $1,050 to $630 would reduce in-hospital MBS benefits from $787.50 to $472.50 per service and would reduce the estimated financial impact to the MBS by 40% to $37,800 in 2032-33 for 80 tests. Overall, the MSAC Executive supported an MBS schedule fee of $630 for anti-ADAMTS13 autoantibody testing (item BBBB).</w:t>
      </w:r>
    </w:p>
    <w:p w14:paraId="5D915322" w14:textId="7144CDD7" w:rsidR="000D070A" w:rsidRPr="000D070A" w:rsidRDefault="00F01CE7" w:rsidP="00F45C72">
      <w:pPr>
        <w:pStyle w:val="Caption"/>
      </w:pPr>
      <w:r>
        <w:t>Table </w:t>
      </w:r>
      <w:r>
        <w:fldChar w:fldCharType="begin"/>
      </w:r>
      <w:r>
        <w:instrText>SEQ Table \* ARABIC</w:instrText>
      </w:r>
      <w:r>
        <w:fldChar w:fldCharType="separate"/>
      </w:r>
      <w:r w:rsidR="00716875">
        <w:rPr>
          <w:noProof/>
        </w:rPr>
        <w:t>1</w:t>
      </w:r>
      <w:r>
        <w:fldChar w:fldCharType="end"/>
      </w:r>
      <w:r>
        <w:t xml:space="preserve"> MSAC supported MBS items for </w:t>
      </w:r>
      <w:r w:rsidR="00CE338E" w:rsidRPr="00CE338E">
        <w:t>ADAMTS13</w:t>
      </w:r>
      <w:r w:rsidR="00CE338E">
        <w:t xml:space="preserve"> (activity, autoantibody, genetic and cascade</w:t>
      </w:r>
      <w:r w:rsidR="0087776A">
        <w:t>)</w:t>
      </w:r>
      <w:r w:rsidR="00CE338E">
        <w:t xml:space="preserve"> testing</w:t>
      </w:r>
      <w:r w:rsidR="0087776A">
        <w:t xml:space="preserve"> for diagnosis of TTP.</w:t>
      </w:r>
      <w:r w:rsidR="00CE338E">
        <w:t xml:space="preserve"> </w:t>
      </w:r>
    </w:p>
    <w:tbl>
      <w:tblPr>
        <w:tblW w:w="0" w:type="auto"/>
        <w:tblLook w:val="04A0" w:firstRow="1" w:lastRow="0" w:firstColumn="1" w:lastColumn="0" w:noHBand="0" w:noVBand="1"/>
      </w:tblPr>
      <w:tblGrid>
        <w:gridCol w:w="9016"/>
      </w:tblGrid>
      <w:tr w:rsidR="000D070A" w:rsidRPr="00085053" w14:paraId="4DEB24AA" w14:textId="77777777" w:rsidTr="59EB02AA">
        <w:tc>
          <w:tcPr>
            <w:tcW w:w="9016" w:type="dxa"/>
            <w:tcBorders>
              <w:top w:val="single" w:sz="4" w:space="0" w:color="auto"/>
              <w:left w:val="single" w:sz="4" w:space="0" w:color="auto"/>
              <w:bottom w:val="single" w:sz="4" w:space="0" w:color="auto"/>
              <w:right w:val="single" w:sz="4" w:space="0" w:color="auto"/>
            </w:tcBorders>
            <w:hideMark/>
          </w:tcPr>
          <w:p w14:paraId="2B2F3AAF" w14:textId="77777777" w:rsidR="000D070A" w:rsidRPr="00085053" w:rsidRDefault="000D070A" w:rsidP="00BA2B7C">
            <w:pPr>
              <w:pStyle w:val="011TableHeading"/>
              <w:rPr>
                <w:b w:val="0"/>
                <w:bCs/>
                <w:szCs w:val="20"/>
              </w:rPr>
            </w:pPr>
            <w:r w:rsidRPr="00BA2B7C">
              <w:rPr>
                <w:rFonts w:cstheme="minorHAnsi"/>
                <w:bCs/>
                <w:szCs w:val="20"/>
                <w:lang w:val="en-US"/>
              </w:rPr>
              <w:t>Category 6 – PATHOLOGY SERVICES</w:t>
            </w:r>
          </w:p>
        </w:tc>
      </w:tr>
      <w:tr w:rsidR="000D070A" w:rsidRPr="00085053" w14:paraId="0F2933E0" w14:textId="77777777" w:rsidTr="59EB02AA">
        <w:tc>
          <w:tcPr>
            <w:tcW w:w="9016" w:type="dxa"/>
            <w:tcBorders>
              <w:top w:val="single" w:sz="4" w:space="0" w:color="auto"/>
              <w:left w:val="single" w:sz="4" w:space="0" w:color="auto"/>
              <w:bottom w:val="single" w:sz="4" w:space="0" w:color="auto"/>
              <w:right w:val="single" w:sz="4" w:space="0" w:color="auto"/>
            </w:tcBorders>
          </w:tcPr>
          <w:p w14:paraId="50EA6679" w14:textId="77777777" w:rsidR="000D070A" w:rsidRPr="00464921" w:rsidRDefault="000D070A" w:rsidP="00464921">
            <w:pPr>
              <w:pStyle w:val="051Tabletext229pt"/>
              <w:ind w:left="720"/>
              <w:jc w:val="right"/>
              <w:rPr>
                <w:rFonts w:ascii="Arial Narrow" w:hAnsi="Arial Narrow" w:cstheme="minorHAnsi"/>
                <w:b/>
                <w:bCs/>
                <w:sz w:val="20"/>
                <w:szCs w:val="20"/>
                <w:lang w:val="en-US"/>
              </w:rPr>
            </w:pPr>
            <w:r w:rsidRPr="00464921">
              <w:rPr>
                <w:rFonts w:ascii="Arial Narrow" w:hAnsi="Arial Narrow" w:cstheme="minorHAnsi"/>
                <w:b/>
                <w:bCs/>
                <w:sz w:val="20"/>
                <w:szCs w:val="20"/>
                <w:lang w:val="en-US"/>
              </w:rPr>
              <w:t>Group P1 Haematology</w:t>
            </w:r>
          </w:p>
          <w:p w14:paraId="4B6A0C32" w14:textId="77777777" w:rsidR="000D070A" w:rsidRPr="00464921" w:rsidRDefault="000D070A" w:rsidP="00464921">
            <w:pPr>
              <w:pStyle w:val="051Tabletext229pt"/>
              <w:jc w:val="both"/>
              <w:rPr>
                <w:rFonts w:ascii="Arial Narrow" w:hAnsi="Arial Narrow" w:cstheme="minorHAnsi"/>
                <w:sz w:val="20"/>
                <w:szCs w:val="20"/>
                <w:lang w:val="en-US"/>
              </w:rPr>
            </w:pPr>
            <w:r w:rsidRPr="00464921">
              <w:rPr>
                <w:rFonts w:ascii="Arial Narrow" w:hAnsi="Arial Narrow" w:cstheme="minorHAnsi"/>
                <w:sz w:val="20"/>
                <w:szCs w:val="20"/>
                <w:lang w:val="en-US"/>
              </w:rPr>
              <w:t>MBS item AAAA</w:t>
            </w:r>
          </w:p>
          <w:p w14:paraId="6953168B" w14:textId="5837CBAF" w:rsidR="000D070A" w:rsidRPr="00085053" w:rsidRDefault="000D070A" w:rsidP="006516D9">
            <w:pPr>
              <w:spacing w:before="40" w:after="40" w:line="240" w:lineRule="auto"/>
              <w:rPr>
                <w:rFonts w:ascii="Arial Narrow" w:hAnsi="Arial Narrow"/>
                <w:sz w:val="20"/>
                <w:szCs w:val="20"/>
              </w:rPr>
            </w:pPr>
            <w:r w:rsidRPr="00085053">
              <w:rPr>
                <w:rFonts w:ascii="Arial Narrow" w:hAnsi="Arial Narrow"/>
                <w:sz w:val="20"/>
                <w:szCs w:val="20"/>
                <w:lang w:val="en-US"/>
              </w:rPr>
              <w:t xml:space="preserve">Quantitation of ADAMTS13 activity for the </w:t>
            </w:r>
            <w:r w:rsidR="15EDAFFB" w:rsidRPr="065B1E04">
              <w:rPr>
                <w:rFonts w:ascii="Arial Narrow" w:hAnsi="Arial Narrow"/>
                <w:sz w:val="20"/>
                <w:szCs w:val="20"/>
                <w:lang w:val="en-US"/>
              </w:rPr>
              <w:t>diagnosis</w:t>
            </w:r>
            <w:r w:rsidRPr="00085053">
              <w:rPr>
                <w:rFonts w:ascii="Arial Narrow" w:hAnsi="Arial Narrow"/>
                <w:sz w:val="20"/>
                <w:szCs w:val="20"/>
                <w:lang w:val="en-US"/>
              </w:rPr>
              <w:t xml:space="preserve"> of suspected thrombotic microangiopathy (TMA). </w:t>
            </w:r>
          </w:p>
          <w:p w14:paraId="6F724E0D" w14:textId="77777777" w:rsidR="000D070A" w:rsidRPr="00085053" w:rsidRDefault="000D070A" w:rsidP="00464921">
            <w:pPr>
              <w:pStyle w:val="061Tabletext62"/>
              <w:rPr>
                <w:szCs w:val="20"/>
              </w:rPr>
            </w:pPr>
            <w:r w:rsidRPr="00464921">
              <w:rPr>
                <w:rFonts w:cstheme="minorHAnsi"/>
                <w:szCs w:val="20"/>
                <w:lang w:val="en-US"/>
              </w:rPr>
              <w:t>Rule 3 exemption applies</w:t>
            </w:r>
          </w:p>
        </w:tc>
      </w:tr>
      <w:tr w:rsidR="000D070A" w:rsidRPr="00085053" w14:paraId="36A44C6C" w14:textId="77777777" w:rsidTr="59EB02AA">
        <w:tc>
          <w:tcPr>
            <w:tcW w:w="9016" w:type="dxa"/>
            <w:tcBorders>
              <w:top w:val="single" w:sz="4" w:space="0" w:color="auto"/>
              <w:left w:val="single" w:sz="4" w:space="0" w:color="auto"/>
              <w:bottom w:val="single" w:sz="4" w:space="0" w:color="auto"/>
              <w:right w:val="single" w:sz="4" w:space="0" w:color="auto"/>
            </w:tcBorders>
            <w:hideMark/>
          </w:tcPr>
          <w:p w14:paraId="3AB7C243" w14:textId="77777777" w:rsidR="000D070A" w:rsidRPr="00085053" w:rsidRDefault="000D070A" w:rsidP="003E5DF3">
            <w:pPr>
              <w:pStyle w:val="061Tabletext62"/>
              <w:rPr>
                <w:szCs w:val="20"/>
              </w:rPr>
            </w:pPr>
            <w:r w:rsidRPr="003E5DF3">
              <w:rPr>
                <w:rFonts w:cstheme="minorBidi"/>
                <w:lang w:val="en-US"/>
              </w:rPr>
              <w:t>Proposed fee: $400   Benefit: 75% = $300   85% = $340</w:t>
            </w:r>
          </w:p>
        </w:tc>
      </w:tr>
      <w:tr w:rsidR="000D070A" w:rsidRPr="00085053" w14:paraId="05F90268" w14:textId="77777777" w:rsidTr="59EB02AA">
        <w:tc>
          <w:tcPr>
            <w:tcW w:w="9016" w:type="dxa"/>
            <w:tcBorders>
              <w:top w:val="single" w:sz="4" w:space="0" w:color="auto"/>
              <w:left w:val="single" w:sz="4" w:space="0" w:color="auto"/>
              <w:bottom w:val="single" w:sz="4" w:space="0" w:color="auto"/>
              <w:right w:val="single" w:sz="4" w:space="0" w:color="auto"/>
            </w:tcBorders>
          </w:tcPr>
          <w:p w14:paraId="58149B08" w14:textId="77777777" w:rsidR="000D070A" w:rsidRPr="004962C9" w:rsidRDefault="000D070A" w:rsidP="004962C9">
            <w:pPr>
              <w:pStyle w:val="051Tabletext229pt"/>
              <w:ind w:left="720"/>
              <w:jc w:val="right"/>
              <w:rPr>
                <w:rFonts w:ascii="Arial Narrow" w:hAnsi="Arial Narrow" w:cstheme="minorHAnsi"/>
                <w:b/>
                <w:bCs/>
                <w:sz w:val="20"/>
                <w:szCs w:val="20"/>
                <w:lang w:val="en-US"/>
              </w:rPr>
            </w:pPr>
            <w:r w:rsidRPr="004962C9">
              <w:rPr>
                <w:rFonts w:ascii="Arial Narrow" w:hAnsi="Arial Narrow" w:cstheme="minorHAnsi"/>
                <w:b/>
                <w:bCs/>
                <w:sz w:val="20"/>
                <w:szCs w:val="20"/>
                <w:lang w:val="en-US"/>
              </w:rPr>
              <w:t>Group P1 Haematology</w:t>
            </w:r>
          </w:p>
          <w:p w14:paraId="298C6CE8" w14:textId="77777777" w:rsidR="000D070A" w:rsidRPr="00085053" w:rsidRDefault="000D070A" w:rsidP="006516D9">
            <w:pPr>
              <w:spacing w:before="40" w:after="40" w:line="240" w:lineRule="auto"/>
              <w:rPr>
                <w:rFonts w:ascii="Arial Narrow" w:hAnsi="Arial Narrow"/>
                <w:sz w:val="20"/>
                <w:szCs w:val="20"/>
              </w:rPr>
            </w:pPr>
            <w:r w:rsidRPr="00085053">
              <w:rPr>
                <w:rFonts w:ascii="Arial Narrow" w:hAnsi="Arial Narrow"/>
                <w:sz w:val="20"/>
                <w:szCs w:val="20"/>
              </w:rPr>
              <w:t>MBS item BBBB</w:t>
            </w:r>
          </w:p>
          <w:p w14:paraId="684251CC" w14:textId="77777777" w:rsidR="000D070A" w:rsidRPr="00085053" w:rsidRDefault="000D070A" w:rsidP="006516D9">
            <w:pPr>
              <w:spacing w:before="40" w:after="40" w:line="240" w:lineRule="auto"/>
              <w:rPr>
                <w:rFonts w:ascii="Arial Narrow" w:hAnsi="Arial Narrow"/>
                <w:sz w:val="20"/>
                <w:szCs w:val="20"/>
              </w:rPr>
            </w:pPr>
            <w:r w:rsidRPr="00085053">
              <w:rPr>
                <w:rFonts w:ascii="Arial Narrow" w:hAnsi="Arial Narrow"/>
                <w:sz w:val="20"/>
                <w:szCs w:val="20"/>
              </w:rPr>
              <w:t>Anti-ADAMTS13 autoantibody testing in patients presenting with suspected thrombotic thrombocytopenic purpura (TTP) where a service described under MBS item AAAA indicated reduced ADAMTS13 activity.</w:t>
            </w:r>
          </w:p>
          <w:p w14:paraId="3215B622" w14:textId="77777777" w:rsidR="000D070A" w:rsidRPr="00085053" w:rsidRDefault="000D070A" w:rsidP="007A7B19">
            <w:pPr>
              <w:pStyle w:val="061Tabletext62"/>
              <w:rPr>
                <w:szCs w:val="20"/>
              </w:rPr>
            </w:pPr>
            <w:r w:rsidRPr="007A7B19">
              <w:rPr>
                <w:rFonts w:cstheme="minorHAnsi"/>
                <w:szCs w:val="20"/>
                <w:lang w:val="en-US"/>
              </w:rPr>
              <w:t>Once per episode</w:t>
            </w:r>
          </w:p>
        </w:tc>
      </w:tr>
      <w:tr w:rsidR="000D070A" w:rsidRPr="00085053" w14:paraId="2E495477" w14:textId="77777777" w:rsidTr="59EB02AA">
        <w:tc>
          <w:tcPr>
            <w:tcW w:w="9016" w:type="dxa"/>
            <w:tcBorders>
              <w:top w:val="single" w:sz="4" w:space="0" w:color="auto"/>
              <w:left w:val="single" w:sz="4" w:space="0" w:color="auto"/>
              <w:bottom w:val="single" w:sz="4" w:space="0" w:color="auto"/>
              <w:right w:val="single" w:sz="4" w:space="0" w:color="auto"/>
            </w:tcBorders>
            <w:hideMark/>
          </w:tcPr>
          <w:p w14:paraId="3CDE1145" w14:textId="113099C4" w:rsidR="000D070A" w:rsidRPr="00085053" w:rsidRDefault="000D070A" w:rsidP="004962C9">
            <w:pPr>
              <w:pStyle w:val="061Tabletext62"/>
              <w:rPr>
                <w:szCs w:val="20"/>
              </w:rPr>
            </w:pPr>
            <w:r w:rsidRPr="004962C9">
              <w:rPr>
                <w:rFonts w:cstheme="minorBidi"/>
                <w:lang w:val="en-US"/>
              </w:rPr>
              <w:t>Proposed fee: $</w:t>
            </w:r>
            <w:r w:rsidR="002C490B">
              <w:rPr>
                <w:rFonts w:cstheme="minorBidi"/>
                <w:lang w:val="en-US"/>
              </w:rPr>
              <w:t>630</w:t>
            </w:r>
            <w:r w:rsidR="002C490B" w:rsidRPr="004962C9">
              <w:rPr>
                <w:rFonts w:cstheme="minorBidi"/>
                <w:lang w:val="en-US"/>
              </w:rPr>
              <w:t xml:space="preserve">   </w:t>
            </w:r>
            <w:r w:rsidRPr="004962C9">
              <w:rPr>
                <w:rFonts w:cstheme="minorBidi"/>
                <w:lang w:val="en-US"/>
              </w:rPr>
              <w:t>Benefit: 75% = $</w:t>
            </w:r>
            <w:r w:rsidR="00052D64">
              <w:rPr>
                <w:rFonts w:cstheme="minorBidi"/>
                <w:lang w:val="en-US"/>
              </w:rPr>
              <w:t>472.50</w:t>
            </w:r>
            <w:r w:rsidR="00052D64" w:rsidRPr="004962C9">
              <w:rPr>
                <w:rFonts w:cstheme="minorBidi"/>
                <w:lang w:val="en-US"/>
              </w:rPr>
              <w:t xml:space="preserve">   </w:t>
            </w:r>
            <w:r w:rsidRPr="004962C9">
              <w:rPr>
                <w:rFonts w:cstheme="minorBidi"/>
                <w:lang w:val="en-US"/>
              </w:rPr>
              <w:t>85% = $</w:t>
            </w:r>
            <w:r w:rsidR="00657442">
              <w:rPr>
                <w:rFonts w:cstheme="minorBidi"/>
                <w:lang w:val="en-US"/>
              </w:rPr>
              <w:t>535.50</w:t>
            </w:r>
          </w:p>
        </w:tc>
      </w:tr>
      <w:tr w:rsidR="000D070A" w:rsidRPr="00085053" w14:paraId="4B5B1817" w14:textId="77777777" w:rsidTr="59EB02AA">
        <w:tc>
          <w:tcPr>
            <w:tcW w:w="9016" w:type="dxa"/>
            <w:tcBorders>
              <w:top w:val="single" w:sz="4" w:space="0" w:color="auto"/>
              <w:left w:val="single" w:sz="4" w:space="0" w:color="auto"/>
              <w:bottom w:val="single" w:sz="4" w:space="0" w:color="auto"/>
              <w:right w:val="single" w:sz="4" w:space="0" w:color="auto"/>
            </w:tcBorders>
          </w:tcPr>
          <w:p w14:paraId="4E3A2F3F" w14:textId="77777777" w:rsidR="000D070A" w:rsidRPr="004962C9" w:rsidRDefault="000D070A" w:rsidP="004962C9">
            <w:pPr>
              <w:pStyle w:val="051Tabletext229pt"/>
              <w:ind w:left="720"/>
              <w:jc w:val="right"/>
              <w:rPr>
                <w:rFonts w:ascii="Arial Narrow" w:hAnsi="Arial Narrow" w:cstheme="minorHAnsi"/>
                <w:b/>
                <w:bCs/>
                <w:sz w:val="20"/>
                <w:szCs w:val="20"/>
                <w:lang w:val="en-US"/>
              </w:rPr>
            </w:pPr>
            <w:r w:rsidRPr="004962C9">
              <w:rPr>
                <w:rFonts w:ascii="Arial Narrow" w:hAnsi="Arial Narrow" w:cstheme="minorHAnsi"/>
                <w:b/>
                <w:bCs/>
                <w:sz w:val="20"/>
                <w:szCs w:val="20"/>
                <w:lang w:val="en-US"/>
              </w:rPr>
              <w:t>Group P7 Genetics</w:t>
            </w:r>
          </w:p>
          <w:p w14:paraId="293371CF" w14:textId="77777777" w:rsidR="000D070A" w:rsidRPr="00085053" w:rsidRDefault="000D070A" w:rsidP="00C85F2C">
            <w:pPr>
              <w:spacing w:before="0" w:after="40" w:line="240" w:lineRule="auto"/>
              <w:rPr>
                <w:rFonts w:ascii="Arial Narrow" w:hAnsi="Arial Narrow"/>
                <w:sz w:val="20"/>
                <w:szCs w:val="20"/>
              </w:rPr>
            </w:pPr>
            <w:r w:rsidRPr="00085053">
              <w:rPr>
                <w:rFonts w:ascii="Arial Narrow" w:hAnsi="Arial Narrow"/>
                <w:sz w:val="20"/>
                <w:szCs w:val="20"/>
              </w:rPr>
              <w:t>MBS item CCCC</w:t>
            </w:r>
          </w:p>
          <w:p w14:paraId="1CD8509D" w14:textId="77777777" w:rsidR="000D070A" w:rsidRPr="00085053" w:rsidRDefault="000D070A" w:rsidP="006516D9">
            <w:pPr>
              <w:spacing w:before="40" w:after="40" w:line="240" w:lineRule="auto"/>
              <w:rPr>
                <w:rFonts w:ascii="Arial Narrow" w:hAnsi="Arial Narrow"/>
                <w:sz w:val="20"/>
                <w:szCs w:val="20"/>
              </w:rPr>
            </w:pPr>
            <w:r w:rsidRPr="00085053">
              <w:rPr>
                <w:rFonts w:ascii="Arial Narrow" w:hAnsi="Arial Narrow"/>
                <w:sz w:val="20"/>
                <w:szCs w:val="20"/>
              </w:rPr>
              <w:t>Characterisation of variant(s) in the ADAMTS13 gene in a patient who has symptoms suggestive of congenital thrombotic thrombocytopenic purpura (cTTP) where:</w:t>
            </w:r>
          </w:p>
          <w:p w14:paraId="31995693" w14:textId="77777777" w:rsidR="000D070A" w:rsidRPr="00085053" w:rsidRDefault="000D070A" w:rsidP="006516D9">
            <w:pPr>
              <w:numPr>
                <w:ilvl w:val="0"/>
                <w:numId w:val="39"/>
              </w:numPr>
              <w:spacing w:before="40" w:after="40" w:line="240" w:lineRule="auto"/>
              <w:rPr>
                <w:rFonts w:ascii="Arial Narrow" w:hAnsi="Arial Narrow"/>
                <w:sz w:val="20"/>
                <w:szCs w:val="20"/>
              </w:rPr>
            </w:pPr>
            <w:r w:rsidRPr="00085053">
              <w:rPr>
                <w:rFonts w:ascii="Arial Narrow" w:hAnsi="Arial Narrow"/>
                <w:sz w:val="20"/>
                <w:szCs w:val="20"/>
              </w:rPr>
              <w:t>testing has indicated reduced ADAMTS13 activity, and</w:t>
            </w:r>
          </w:p>
          <w:p w14:paraId="629B2070" w14:textId="77777777" w:rsidR="000D070A" w:rsidRPr="00085053" w:rsidRDefault="000D070A" w:rsidP="006516D9">
            <w:pPr>
              <w:numPr>
                <w:ilvl w:val="0"/>
                <w:numId w:val="39"/>
              </w:numPr>
              <w:spacing w:before="40" w:after="40" w:line="240" w:lineRule="auto"/>
              <w:rPr>
                <w:rFonts w:ascii="Arial Narrow" w:hAnsi="Arial Narrow"/>
                <w:sz w:val="20"/>
                <w:szCs w:val="20"/>
              </w:rPr>
            </w:pPr>
            <w:r w:rsidRPr="00085053">
              <w:rPr>
                <w:rFonts w:ascii="Arial Narrow" w:hAnsi="Arial Narrow"/>
                <w:sz w:val="20"/>
                <w:szCs w:val="20"/>
              </w:rPr>
              <w:t>testing has indicated an absence of anti-ADAMTS13 antibodies, and</w:t>
            </w:r>
          </w:p>
          <w:p w14:paraId="74385D20" w14:textId="77777777" w:rsidR="000D070A" w:rsidRPr="00085053" w:rsidRDefault="000D070A" w:rsidP="006516D9">
            <w:pPr>
              <w:numPr>
                <w:ilvl w:val="0"/>
                <w:numId w:val="39"/>
              </w:numPr>
              <w:spacing w:before="40" w:after="40" w:line="240" w:lineRule="auto"/>
              <w:rPr>
                <w:rFonts w:ascii="Arial Narrow" w:hAnsi="Arial Narrow"/>
                <w:sz w:val="20"/>
                <w:szCs w:val="20"/>
              </w:rPr>
            </w:pPr>
            <w:r w:rsidRPr="00085053">
              <w:rPr>
                <w:rFonts w:ascii="Arial Narrow" w:hAnsi="Arial Narrow"/>
                <w:sz w:val="20"/>
                <w:szCs w:val="20"/>
              </w:rPr>
              <w:t>requested by a specialist or consultant physician</w:t>
            </w:r>
          </w:p>
          <w:p w14:paraId="507C4B21" w14:textId="77777777" w:rsidR="000D070A" w:rsidRPr="00085053" w:rsidRDefault="000D070A" w:rsidP="007A7B19">
            <w:pPr>
              <w:pStyle w:val="061Tabletext62"/>
              <w:rPr>
                <w:szCs w:val="20"/>
              </w:rPr>
            </w:pPr>
            <w:r w:rsidRPr="007A7B19">
              <w:rPr>
                <w:rFonts w:cstheme="minorHAnsi"/>
                <w:szCs w:val="20"/>
                <w:lang w:val="en-US"/>
              </w:rPr>
              <w:t>Available once per lifetime</w:t>
            </w:r>
          </w:p>
        </w:tc>
      </w:tr>
      <w:tr w:rsidR="000D070A" w:rsidRPr="00085053" w14:paraId="2E29C7FA" w14:textId="77777777" w:rsidTr="59EB02AA">
        <w:tc>
          <w:tcPr>
            <w:tcW w:w="9016" w:type="dxa"/>
            <w:tcBorders>
              <w:top w:val="single" w:sz="4" w:space="0" w:color="auto"/>
              <w:left w:val="single" w:sz="4" w:space="0" w:color="auto"/>
              <w:bottom w:val="single" w:sz="4" w:space="0" w:color="auto"/>
              <w:right w:val="single" w:sz="4" w:space="0" w:color="auto"/>
            </w:tcBorders>
            <w:hideMark/>
          </w:tcPr>
          <w:p w14:paraId="00B801CD" w14:textId="2475A6AE" w:rsidR="000D070A" w:rsidRPr="00085053" w:rsidRDefault="000D070A" w:rsidP="004962C9">
            <w:pPr>
              <w:pStyle w:val="061Tabletext62"/>
            </w:pPr>
            <w:r w:rsidRPr="59EB02AA">
              <w:rPr>
                <w:rFonts w:cstheme="minorBidi"/>
                <w:lang w:val="en-US"/>
              </w:rPr>
              <w:lastRenderedPageBreak/>
              <w:t>Proposed fee: $1,000   Benefit: 75% = $750   85% = $8</w:t>
            </w:r>
            <w:r w:rsidR="5BE84D46" w:rsidRPr="59EB02AA">
              <w:rPr>
                <w:rFonts w:cstheme="minorBidi"/>
                <w:lang w:val="en-US"/>
              </w:rPr>
              <w:t>95.5</w:t>
            </w:r>
            <w:r w:rsidR="00C85F2C">
              <w:rPr>
                <w:rFonts w:cstheme="minorBidi"/>
                <w:lang w:val="en-US"/>
              </w:rPr>
              <w:t>0</w:t>
            </w:r>
          </w:p>
        </w:tc>
      </w:tr>
      <w:tr w:rsidR="000D070A" w:rsidRPr="00085053" w14:paraId="0236C289" w14:textId="77777777" w:rsidTr="59EB02AA">
        <w:trPr>
          <w:cantSplit/>
        </w:trPr>
        <w:tc>
          <w:tcPr>
            <w:tcW w:w="9016" w:type="dxa"/>
            <w:tcBorders>
              <w:top w:val="single" w:sz="4" w:space="0" w:color="auto"/>
              <w:left w:val="single" w:sz="4" w:space="0" w:color="auto"/>
              <w:bottom w:val="single" w:sz="4" w:space="0" w:color="auto"/>
              <w:right w:val="single" w:sz="4" w:space="0" w:color="auto"/>
            </w:tcBorders>
          </w:tcPr>
          <w:p w14:paraId="13E985A2" w14:textId="77777777" w:rsidR="000D070A" w:rsidRPr="004962C9" w:rsidRDefault="000D070A" w:rsidP="004962C9">
            <w:pPr>
              <w:pStyle w:val="051Tabletext229pt"/>
              <w:ind w:left="720"/>
              <w:jc w:val="right"/>
              <w:rPr>
                <w:rFonts w:ascii="Arial Narrow" w:hAnsi="Arial Narrow" w:cstheme="minorHAnsi"/>
                <w:b/>
                <w:bCs/>
                <w:sz w:val="20"/>
                <w:szCs w:val="20"/>
                <w:lang w:val="en-US"/>
              </w:rPr>
            </w:pPr>
            <w:r w:rsidRPr="004962C9">
              <w:rPr>
                <w:rFonts w:ascii="Arial Narrow" w:hAnsi="Arial Narrow" w:cstheme="minorHAnsi"/>
                <w:b/>
                <w:bCs/>
                <w:sz w:val="20"/>
                <w:szCs w:val="20"/>
                <w:lang w:val="en-US"/>
              </w:rPr>
              <w:t>Group P7 Genetics</w:t>
            </w:r>
          </w:p>
          <w:p w14:paraId="00B86598" w14:textId="77777777" w:rsidR="000D070A" w:rsidRPr="00085053" w:rsidRDefault="000D070A" w:rsidP="006516D9">
            <w:pPr>
              <w:spacing w:before="40" w:after="40" w:line="240" w:lineRule="auto"/>
              <w:rPr>
                <w:rFonts w:ascii="Arial Narrow" w:hAnsi="Arial Narrow"/>
                <w:sz w:val="20"/>
                <w:szCs w:val="20"/>
              </w:rPr>
            </w:pPr>
            <w:r w:rsidRPr="00085053">
              <w:rPr>
                <w:rFonts w:ascii="Arial Narrow" w:hAnsi="Arial Narrow"/>
                <w:sz w:val="20"/>
                <w:szCs w:val="20"/>
              </w:rPr>
              <w:t>MBS item DDDD</w:t>
            </w:r>
          </w:p>
          <w:p w14:paraId="4938B081" w14:textId="77777777" w:rsidR="000D070A" w:rsidRPr="00085053" w:rsidRDefault="000D070A" w:rsidP="006516D9">
            <w:pPr>
              <w:spacing w:before="40" w:after="40" w:line="240" w:lineRule="auto"/>
              <w:rPr>
                <w:rFonts w:ascii="Arial Narrow" w:hAnsi="Arial Narrow"/>
                <w:sz w:val="20"/>
                <w:szCs w:val="20"/>
              </w:rPr>
            </w:pPr>
            <w:r w:rsidRPr="00085053">
              <w:rPr>
                <w:rFonts w:ascii="Arial Narrow" w:hAnsi="Arial Narrow"/>
                <w:sz w:val="20"/>
                <w:szCs w:val="20"/>
              </w:rPr>
              <w:t>Characterisation of variant(s) in the ADAMTS13 gene in a patient who:</w:t>
            </w:r>
          </w:p>
          <w:p w14:paraId="1ED82ED0" w14:textId="0F7A9333" w:rsidR="000D070A" w:rsidRPr="00085053" w:rsidRDefault="000D070A" w:rsidP="006516D9">
            <w:pPr>
              <w:numPr>
                <w:ilvl w:val="0"/>
                <w:numId w:val="40"/>
              </w:numPr>
              <w:spacing w:before="40" w:after="40" w:line="240" w:lineRule="auto"/>
              <w:rPr>
                <w:rFonts w:ascii="Arial Narrow" w:hAnsi="Arial Narrow"/>
                <w:sz w:val="20"/>
                <w:szCs w:val="20"/>
              </w:rPr>
            </w:pPr>
            <w:r w:rsidRPr="3EA7617C">
              <w:rPr>
                <w:rFonts w:ascii="Arial Narrow" w:hAnsi="Arial Narrow"/>
                <w:sz w:val="20"/>
                <w:szCs w:val="20"/>
              </w:rPr>
              <w:t xml:space="preserve">is a first-degree biological relative of a patient </w:t>
            </w:r>
            <w:r w:rsidR="1D93C5F6" w:rsidRPr="3EA7617C">
              <w:rPr>
                <w:rFonts w:ascii="Arial Narrow" w:hAnsi="Arial Narrow"/>
                <w:sz w:val="20"/>
                <w:szCs w:val="20"/>
              </w:rPr>
              <w:t xml:space="preserve">with cTTP </w:t>
            </w:r>
            <w:r w:rsidRPr="3EA7617C">
              <w:rPr>
                <w:rFonts w:ascii="Arial Narrow" w:hAnsi="Arial Narrow"/>
                <w:sz w:val="20"/>
                <w:szCs w:val="20"/>
              </w:rPr>
              <w:t>found to have  pathogenic or likely pathogenic variants in the ADAMTS13 gene</w:t>
            </w:r>
          </w:p>
          <w:p w14:paraId="6688B541" w14:textId="77777777" w:rsidR="000D070A" w:rsidRPr="00085053" w:rsidRDefault="000D070A" w:rsidP="006516D9">
            <w:pPr>
              <w:numPr>
                <w:ilvl w:val="0"/>
                <w:numId w:val="40"/>
              </w:numPr>
              <w:spacing w:before="40" w:after="40" w:line="240" w:lineRule="auto"/>
              <w:rPr>
                <w:rFonts w:ascii="Arial Narrow" w:hAnsi="Arial Narrow"/>
                <w:sz w:val="20"/>
                <w:szCs w:val="20"/>
              </w:rPr>
            </w:pPr>
            <w:r w:rsidRPr="00085053">
              <w:rPr>
                <w:rFonts w:ascii="Arial Narrow" w:hAnsi="Arial Narrow"/>
                <w:sz w:val="20"/>
                <w:szCs w:val="20"/>
              </w:rPr>
              <w:t>has not previously received a service to which item CCCC applies</w:t>
            </w:r>
          </w:p>
          <w:p w14:paraId="259E7AB2" w14:textId="77777777" w:rsidR="000D070A" w:rsidRPr="00085053" w:rsidRDefault="000D070A" w:rsidP="006516D9">
            <w:pPr>
              <w:spacing w:before="40" w:after="40" w:line="240" w:lineRule="auto"/>
              <w:rPr>
                <w:rFonts w:ascii="Arial Narrow" w:hAnsi="Arial Narrow"/>
                <w:sz w:val="20"/>
                <w:szCs w:val="20"/>
              </w:rPr>
            </w:pPr>
            <w:r w:rsidRPr="00085053">
              <w:rPr>
                <w:rFonts w:ascii="Arial Narrow" w:hAnsi="Arial Narrow"/>
                <w:sz w:val="20"/>
                <w:szCs w:val="20"/>
              </w:rPr>
              <w:t>requested by a specialist or consultant physician.</w:t>
            </w:r>
          </w:p>
          <w:p w14:paraId="64B4ABFC" w14:textId="77777777" w:rsidR="000D070A" w:rsidRPr="00085053" w:rsidRDefault="000D070A" w:rsidP="007A7B19">
            <w:pPr>
              <w:pStyle w:val="061Tabletext62"/>
              <w:rPr>
                <w:szCs w:val="20"/>
              </w:rPr>
            </w:pPr>
            <w:r w:rsidRPr="007A7B19">
              <w:rPr>
                <w:rFonts w:cstheme="minorHAnsi"/>
                <w:szCs w:val="20"/>
                <w:lang w:val="en-US"/>
              </w:rPr>
              <w:t>Available once per lifetime</w:t>
            </w:r>
          </w:p>
        </w:tc>
      </w:tr>
      <w:tr w:rsidR="000D070A" w:rsidRPr="00085053" w14:paraId="4B4E78A4" w14:textId="77777777" w:rsidTr="59EB02AA">
        <w:trPr>
          <w:cantSplit/>
        </w:trPr>
        <w:tc>
          <w:tcPr>
            <w:tcW w:w="9016" w:type="dxa"/>
            <w:tcBorders>
              <w:top w:val="single" w:sz="4" w:space="0" w:color="auto"/>
              <w:left w:val="single" w:sz="4" w:space="0" w:color="auto"/>
              <w:bottom w:val="single" w:sz="4" w:space="0" w:color="auto"/>
              <w:right w:val="single" w:sz="4" w:space="0" w:color="auto"/>
            </w:tcBorders>
            <w:hideMark/>
          </w:tcPr>
          <w:p w14:paraId="09D1A909" w14:textId="77777777" w:rsidR="000D070A" w:rsidRPr="00085053" w:rsidRDefault="000D070A" w:rsidP="004962C9">
            <w:pPr>
              <w:pStyle w:val="061Tabletext62"/>
              <w:rPr>
                <w:szCs w:val="20"/>
              </w:rPr>
            </w:pPr>
            <w:r w:rsidRPr="004962C9">
              <w:rPr>
                <w:rFonts w:cstheme="minorBidi"/>
                <w:lang w:val="en-US"/>
              </w:rPr>
              <w:t>Proposed fee: $400   Benefit: 75% = $300   85% = $340</w:t>
            </w:r>
          </w:p>
        </w:tc>
      </w:tr>
    </w:tbl>
    <w:p w14:paraId="48F586D4" w14:textId="771A9493" w:rsidR="00742FD9" w:rsidRDefault="00742FD9" w:rsidP="00055104">
      <w:pPr>
        <w:pStyle w:val="ExecSumHeading2"/>
        <w:numPr>
          <w:ilvl w:val="0"/>
          <w:numId w:val="36"/>
        </w:numPr>
        <w:ind w:hanging="720"/>
      </w:pPr>
      <w:bookmarkStart w:id="3" w:name="_Toc216879516"/>
      <w:bookmarkEnd w:id="2"/>
      <w:r>
        <w:t>Background</w:t>
      </w:r>
      <w:bookmarkEnd w:id="3"/>
    </w:p>
    <w:p w14:paraId="757857A2" w14:textId="57B4CE89" w:rsidR="000E793A" w:rsidRDefault="000E793A" w:rsidP="000E793A">
      <w:pPr>
        <w:pStyle w:val="BodyText"/>
      </w:pPr>
      <w:r>
        <w:t xml:space="preserve">MSAC has not previously considered </w:t>
      </w:r>
      <w:r w:rsidR="004D4E41">
        <w:t>ADAMTS13 testing for the diagnosis of TTP</w:t>
      </w:r>
      <w:r w:rsidR="00B82A49">
        <w:t>, either as a stand-alone application to MSAC or as part of a co-dependent application to PBAC and MSAC</w:t>
      </w:r>
      <w:r w:rsidR="004D4E41">
        <w:t>.</w:t>
      </w:r>
    </w:p>
    <w:p w14:paraId="02644B4A" w14:textId="592AA781" w:rsidR="000C5688" w:rsidRDefault="00D022CB" w:rsidP="002A6B97">
      <w:pPr>
        <w:pStyle w:val="BodyText"/>
        <w:spacing w:after="0"/>
      </w:pPr>
      <w:r>
        <w:t xml:space="preserve">The </w:t>
      </w:r>
      <w:r w:rsidR="00F915E6">
        <w:t>Pharmaceutical Benefits Advisory Committee (PBAC)</w:t>
      </w:r>
      <w:r w:rsidR="006C4FE8">
        <w:t xml:space="preserve">, however, </w:t>
      </w:r>
      <w:r w:rsidR="00F915E6">
        <w:t>has assessed</w:t>
      </w:r>
      <w:r w:rsidR="006C4FE8">
        <w:t xml:space="preserve"> a few </w:t>
      </w:r>
      <w:r w:rsidR="00E35C3D">
        <w:t xml:space="preserve">relevant </w:t>
      </w:r>
      <w:r w:rsidR="006C4FE8">
        <w:t>medicines</w:t>
      </w:r>
      <w:r w:rsidR="00DB2EE8">
        <w:t xml:space="preserve">: </w:t>
      </w:r>
      <w:r w:rsidR="0060112D">
        <w:t xml:space="preserve">eculizumab </w:t>
      </w:r>
      <w:r w:rsidR="000D31B0">
        <w:t xml:space="preserve">for aHUS </w:t>
      </w:r>
      <w:r w:rsidR="0060112D">
        <w:t>(</w:t>
      </w:r>
      <w:r w:rsidR="00E35C3D">
        <w:t>March 2014</w:t>
      </w:r>
      <w:r w:rsidR="001838BB">
        <w:t>, recommended</w:t>
      </w:r>
      <w:r w:rsidR="00E35C3D">
        <w:t xml:space="preserve">), </w:t>
      </w:r>
      <w:r w:rsidR="00F915E6">
        <w:t>caplacizumab for TT</w:t>
      </w:r>
      <w:r w:rsidR="000C5688">
        <w:t>P</w:t>
      </w:r>
      <w:r w:rsidR="00F915E6">
        <w:t xml:space="preserve"> (July 2020, not </w:t>
      </w:r>
      <w:r w:rsidR="000C5688">
        <w:t>recommended</w:t>
      </w:r>
      <w:r w:rsidR="00F915E6">
        <w:t>) and ravulizumab for aHUS (July 2023</w:t>
      </w:r>
      <w:r w:rsidR="001A20B8">
        <w:t>,</w:t>
      </w:r>
      <w:r w:rsidR="00F915E6">
        <w:t xml:space="preserve"> recommended). </w:t>
      </w:r>
      <w:r w:rsidR="000C5688">
        <w:t xml:space="preserve">In </w:t>
      </w:r>
      <w:r w:rsidR="00A43933">
        <w:t xml:space="preserve">its consideration of </w:t>
      </w:r>
      <w:r w:rsidR="00A70A09">
        <w:t>eculizumab</w:t>
      </w:r>
      <w:r w:rsidR="00E129F7">
        <w:t xml:space="preserve"> in March 2014</w:t>
      </w:r>
      <w:r w:rsidR="0052765A">
        <w:t xml:space="preserve">, </w:t>
      </w:r>
      <w:r w:rsidR="000C5688">
        <w:t xml:space="preserve">the PBAC </w:t>
      </w:r>
      <w:r w:rsidR="00EB2B32">
        <w:t xml:space="preserve">considered </w:t>
      </w:r>
      <w:r w:rsidR="000C5688">
        <w:t>that:</w:t>
      </w:r>
    </w:p>
    <w:p w14:paraId="40E729FD" w14:textId="01523D4C" w:rsidR="000C5688" w:rsidRDefault="000C5688" w:rsidP="00EE46D3">
      <w:pPr>
        <w:spacing w:before="0"/>
        <w:ind w:left="720"/>
      </w:pPr>
      <w:r>
        <w:t>"there are a number of uncertainties regarding the diagnosis of aHUS, including the role of genetic testing, the positive and negative predictive values for the tests for ADAMTS-13 and STEC</w:t>
      </w:r>
      <w:r w:rsidR="00EE49F7">
        <w:t xml:space="preserve"> (</w:t>
      </w:r>
      <w:r w:rsidR="00EE49F7" w:rsidRPr="00EE49F7">
        <w:t xml:space="preserve">Shiga toxigenic </w:t>
      </w:r>
      <w:r w:rsidR="00EE49F7" w:rsidRPr="008B785A">
        <w:rPr>
          <w:i/>
          <w:iCs/>
        </w:rPr>
        <w:t>Escherichia coli</w:t>
      </w:r>
      <w:r w:rsidR="00EE49F7">
        <w:t>)</w:t>
      </w:r>
      <w:r>
        <w:t>, and whether the spectrum of disease is different between the thresholds for ADAMTS-13 activity of &gt;5% and &gt;10%”</w:t>
      </w:r>
      <w:r w:rsidR="00EB2B32">
        <w:t xml:space="preserve"> (p</w:t>
      </w:r>
      <w:r w:rsidR="002B7F94">
        <w:t>3 of Public Summary Document</w:t>
      </w:r>
      <w:r w:rsidR="00A52D9C">
        <w:t xml:space="preserve"> for eculizumab, March 2014 PBAC meeting).</w:t>
      </w:r>
    </w:p>
    <w:p w14:paraId="2A2DA4CA" w14:textId="56F941C6" w:rsidR="00795296" w:rsidRPr="000E793A" w:rsidRDefault="001470AB" w:rsidP="002A6B97">
      <w:r>
        <w:t xml:space="preserve">To initiate eculizumab </w:t>
      </w:r>
      <w:r w:rsidR="002F3E12">
        <w:t>treatment for aHUS, t</w:t>
      </w:r>
      <w:r w:rsidR="00C41F68">
        <w:t xml:space="preserve">he current PBS restrictions </w:t>
      </w:r>
      <w:r w:rsidR="00C01B42">
        <w:t xml:space="preserve">require that </w:t>
      </w:r>
      <w:r w:rsidR="00CB2898">
        <w:t xml:space="preserve">a </w:t>
      </w:r>
      <w:r w:rsidR="00B01D41">
        <w:t>p</w:t>
      </w:r>
      <w:r w:rsidR="00C41F68" w:rsidRPr="00C41F68">
        <w:t>atient must have ADAMTS-13 activity of greater than or equal to 10% on a blood sample taken prior to plasma exchange or infusion; or, if ADAMTS-13 activity was not collected prior to plasma exchange or infusion, patient must have platelet counts of greater than 30x10</w:t>
      </w:r>
      <w:r w:rsidR="00C41F68" w:rsidRPr="002A6B97">
        <w:rPr>
          <w:vertAlign w:val="superscript"/>
        </w:rPr>
        <w:t>9</w:t>
      </w:r>
      <w:r w:rsidR="00C41F68" w:rsidRPr="00C41F68">
        <w:t>/L and a serum creatinine of greater than 150 mol/L</w:t>
      </w:r>
      <w:r w:rsidR="0097592A">
        <w:t>.</w:t>
      </w:r>
    </w:p>
    <w:p w14:paraId="7F96E871" w14:textId="0A6419EF" w:rsidR="00742FD9" w:rsidRDefault="00742FD9" w:rsidP="00055104">
      <w:pPr>
        <w:pStyle w:val="ExecSumHeading2"/>
        <w:numPr>
          <w:ilvl w:val="0"/>
          <w:numId w:val="36"/>
        </w:numPr>
        <w:ind w:hanging="720"/>
      </w:pPr>
      <w:bookmarkStart w:id="4" w:name="_Toc216879517"/>
      <w:r>
        <w:t>Prerequisites to implementation of any funding</w:t>
      </w:r>
      <w:r w:rsidR="00E502D1">
        <w:t xml:space="preserve"> advice</w:t>
      </w:r>
      <w:bookmarkEnd w:id="4"/>
    </w:p>
    <w:p w14:paraId="45092FEE" w14:textId="4F623305" w:rsidR="0032278E" w:rsidRPr="0032278E" w:rsidRDefault="0032278E" w:rsidP="0032278E">
      <w:pPr>
        <w:pStyle w:val="BodyText"/>
      </w:pPr>
      <w:r>
        <w:t>According to the applicant, ADAMTS13 testing does not need to be included in the Australian Register of Therapeutic Goods (ARTG).</w:t>
      </w:r>
      <w:r w:rsidR="00397B28" w:rsidRPr="00397B28">
        <w:t xml:space="preserve"> Testing would be delivered only by approved practising pathologists with appropriate scope of practice in National Association of Testing Authorities (NATA) Accredited Pathology Laboratories (as defined in MBS Pathology table) by referral only by registered medical practitioners (non-pathologists) in line with other tests in the MBS Pathology Table.</w:t>
      </w:r>
    </w:p>
    <w:p w14:paraId="5A00883B" w14:textId="2ED4A135" w:rsidR="00742FD9" w:rsidRDefault="00E502D1" w:rsidP="00055104">
      <w:pPr>
        <w:pStyle w:val="ExecSumHeading2"/>
        <w:numPr>
          <w:ilvl w:val="0"/>
          <w:numId w:val="36"/>
        </w:numPr>
        <w:ind w:hanging="720"/>
      </w:pPr>
      <w:bookmarkStart w:id="5" w:name="_Toc216879518"/>
      <w:r>
        <w:t>Proposal for public funding</w:t>
      </w:r>
      <w:bookmarkEnd w:id="5"/>
    </w:p>
    <w:p w14:paraId="4478BD00" w14:textId="753B42BE" w:rsidR="00477F58" w:rsidRDefault="00D70B6D" w:rsidP="002A6B97">
      <w:pPr>
        <w:spacing w:after="0"/>
      </w:pPr>
      <w:r>
        <w:t>Four new MBS items for ADAMTS13 testing are proposed</w:t>
      </w:r>
      <w:r w:rsidR="00B04F42">
        <w:t xml:space="preserve"> (</w:t>
      </w:r>
      <w:r w:rsidR="00B04F42">
        <w:fldChar w:fldCharType="begin"/>
      </w:r>
      <w:r w:rsidR="00B04F42">
        <w:instrText xml:space="preserve"> REF _Ref203659897 \h </w:instrText>
      </w:r>
      <w:r w:rsidR="00B04F42">
        <w:fldChar w:fldCharType="separate"/>
      </w:r>
      <w:r w:rsidR="00716875">
        <w:t>Table </w:t>
      </w:r>
      <w:r w:rsidR="00716875">
        <w:rPr>
          <w:noProof/>
        </w:rPr>
        <w:t>2</w:t>
      </w:r>
      <w:r w:rsidR="00B04F42">
        <w:fldChar w:fldCharType="end"/>
      </w:r>
      <w:r w:rsidR="00B04F42">
        <w:t>)</w:t>
      </w:r>
      <w:r w:rsidR="00477F58">
        <w:t>. In contrast to the MBS items proposed in the application, these items:</w:t>
      </w:r>
    </w:p>
    <w:p w14:paraId="66F786E2" w14:textId="7CC6AB6C" w:rsidR="00477F58" w:rsidRDefault="00477F58" w:rsidP="00267F3D">
      <w:pPr>
        <w:pStyle w:val="BodyText"/>
        <w:numPr>
          <w:ilvl w:val="0"/>
          <w:numId w:val="18"/>
        </w:numPr>
        <w:spacing w:before="0"/>
        <w:ind w:left="777" w:hanging="357"/>
        <w:contextualSpacing/>
      </w:pPr>
      <w:r>
        <w:t xml:space="preserve">integrate ADAMTS13 </w:t>
      </w:r>
      <w:r w:rsidR="00833658">
        <w:t xml:space="preserve">activity </w:t>
      </w:r>
      <w:r>
        <w:t>quantitation for both diagnostic and monitoring purposes into a single item</w:t>
      </w:r>
      <w:r w:rsidR="00C0545F">
        <w:t>;</w:t>
      </w:r>
    </w:p>
    <w:p w14:paraId="40FE7CCB" w14:textId="6CAB3D47" w:rsidR="00477F58" w:rsidRDefault="00477F58" w:rsidP="00267F3D">
      <w:pPr>
        <w:pStyle w:val="BodyText"/>
        <w:numPr>
          <w:ilvl w:val="0"/>
          <w:numId w:val="18"/>
        </w:numPr>
        <w:ind w:left="777" w:hanging="357"/>
        <w:contextualSpacing/>
      </w:pPr>
      <w:r>
        <w:lastRenderedPageBreak/>
        <w:t xml:space="preserve">broaden the indication for ADAMTS13 activity testing to </w:t>
      </w:r>
      <w:r w:rsidR="00953FF4">
        <w:t xml:space="preserve">include </w:t>
      </w:r>
      <w:r>
        <w:t xml:space="preserve">suspected TMA, thereby encompassing patients with aHUS </w:t>
      </w:r>
      <w:r w:rsidR="007327B3">
        <w:t>who may be eligible for</w:t>
      </w:r>
      <w:r>
        <w:t xml:space="preserve"> therapies</w:t>
      </w:r>
      <w:r w:rsidR="008D0931">
        <w:t xml:space="preserve"> </w:t>
      </w:r>
      <w:r w:rsidR="00032E80">
        <w:t xml:space="preserve">listed </w:t>
      </w:r>
      <w:r w:rsidR="008D0931">
        <w:t>on the Pharmaceutical Benefits Scheme (PBS)</w:t>
      </w:r>
      <w:r w:rsidR="00C0545F">
        <w:t>;</w:t>
      </w:r>
    </w:p>
    <w:p w14:paraId="7E0658C6" w14:textId="77777777" w:rsidR="00477F58" w:rsidRDefault="00477F58" w:rsidP="00267F3D">
      <w:pPr>
        <w:pStyle w:val="BodyText"/>
        <w:numPr>
          <w:ilvl w:val="0"/>
          <w:numId w:val="18"/>
        </w:numPr>
      </w:pPr>
      <w:r>
        <w:t>restrict the use of monitoring to patients with TTP.</w:t>
      </w:r>
    </w:p>
    <w:p w14:paraId="6053863E" w14:textId="0DF2B8A9" w:rsidR="003B5C25" w:rsidRPr="007323D9" w:rsidRDefault="00D66B45" w:rsidP="003B5C25">
      <w:pPr>
        <w:pStyle w:val="BodyText"/>
      </w:pPr>
      <w:r w:rsidRPr="007323D9">
        <w:t xml:space="preserve">The item descriptors in </w:t>
      </w:r>
      <w:r w:rsidRPr="007323D9">
        <w:fldChar w:fldCharType="begin"/>
      </w:r>
      <w:r w:rsidRPr="007323D9">
        <w:instrText xml:space="preserve"> REF _Ref203659897 \h </w:instrText>
      </w:r>
      <w:r w:rsidR="0095742F" w:rsidRPr="007323D9">
        <w:instrText xml:space="preserve"> \* MERGEFORMAT </w:instrText>
      </w:r>
      <w:r w:rsidRPr="007323D9">
        <w:fldChar w:fldCharType="separate"/>
      </w:r>
      <w:r w:rsidR="00716875">
        <w:t>Table 2</w:t>
      </w:r>
      <w:r w:rsidRPr="007323D9">
        <w:fldChar w:fldCharType="end"/>
      </w:r>
      <w:r w:rsidRPr="007323D9">
        <w:t xml:space="preserve"> incorporate </w:t>
      </w:r>
      <w:r w:rsidR="00E63900" w:rsidRPr="007323D9">
        <w:t xml:space="preserve">amendments advised by ESC. However, ESC also </w:t>
      </w:r>
      <w:r w:rsidR="0095742F" w:rsidRPr="007323D9">
        <w:t xml:space="preserve">noted that MSAC may wish to consider: </w:t>
      </w:r>
    </w:p>
    <w:p w14:paraId="71726B73" w14:textId="0E56922B" w:rsidR="0095742F" w:rsidRPr="007323D9" w:rsidRDefault="00B77080" w:rsidP="0095742F">
      <w:pPr>
        <w:pStyle w:val="BodyText"/>
        <w:numPr>
          <w:ilvl w:val="0"/>
          <w:numId w:val="34"/>
        </w:numPr>
      </w:pPr>
      <w:r w:rsidRPr="007323D9">
        <w:t xml:space="preserve">separating </w:t>
      </w:r>
      <w:r w:rsidR="0096783B" w:rsidRPr="007323D9">
        <w:t xml:space="preserve">diagnostic testing </w:t>
      </w:r>
      <w:r w:rsidR="009A40C4" w:rsidRPr="007323D9">
        <w:t>from remission monitoring testing (</w:t>
      </w:r>
      <w:r w:rsidR="00622C80" w:rsidRPr="007323D9">
        <w:t>item AAAA)</w:t>
      </w:r>
    </w:p>
    <w:p w14:paraId="45048C22" w14:textId="62E30322" w:rsidR="00622C80" w:rsidRDefault="00665B6D" w:rsidP="000722EB">
      <w:pPr>
        <w:pStyle w:val="BodyText"/>
        <w:numPr>
          <w:ilvl w:val="0"/>
          <w:numId w:val="34"/>
        </w:numPr>
      </w:pPr>
      <w:r w:rsidRPr="007323D9">
        <w:t xml:space="preserve">removing ‘on behalf of’ </w:t>
      </w:r>
      <w:r w:rsidR="00A34FCB" w:rsidRPr="007323D9">
        <w:t xml:space="preserve">a specialist or consultant </w:t>
      </w:r>
      <w:r w:rsidR="004656D0" w:rsidRPr="007323D9">
        <w:t>physician (item DDDD).</w:t>
      </w:r>
      <w:r w:rsidRPr="007323D9">
        <w:t xml:space="preserve"> </w:t>
      </w:r>
    </w:p>
    <w:p w14:paraId="6241D2FB" w14:textId="12A9D855" w:rsidR="00BC5365" w:rsidRPr="0081399F" w:rsidRDefault="0081399F" w:rsidP="00BC5365">
      <w:pPr>
        <w:pStyle w:val="BodyText"/>
        <w:rPr>
          <w:i/>
          <w:iCs/>
        </w:rPr>
      </w:pPr>
      <w:r>
        <w:rPr>
          <w:i/>
          <w:iCs/>
        </w:rPr>
        <w:t>MSAC recommended removing ‘monitoring’ from item AAAA and removing ‘on behalf of’</w:t>
      </w:r>
      <w:r w:rsidR="00F559A4">
        <w:rPr>
          <w:i/>
          <w:iCs/>
        </w:rPr>
        <w:t xml:space="preserve"> a specialis</w:t>
      </w:r>
      <w:r w:rsidR="002F25B4">
        <w:rPr>
          <w:i/>
          <w:iCs/>
        </w:rPr>
        <w:t>t</w:t>
      </w:r>
      <w:r w:rsidR="00F559A4">
        <w:rPr>
          <w:i/>
          <w:iCs/>
        </w:rPr>
        <w:t xml:space="preserve"> or consultant physician in item DDDD – see section 3 and Table 1.</w:t>
      </w:r>
    </w:p>
    <w:p w14:paraId="47A72F15" w14:textId="288C9CC6" w:rsidR="00290492" w:rsidRDefault="00CE6DC4" w:rsidP="00290492">
      <w:pPr>
        <w:pStyle w:val="Caption"/>
      </w:pPr>
      <w:bookmarkStart w:id="6" w:name="_Ref203659897"/>
      <w:r>
        <w:t>Table </w:t>
      </w:r>
      <w:r>
        <w:fldChar w:fldCharType="begin"/>
      </w:r>
      <w:r>
        <w:instrText>SEQ Table \* ARABIC</w:instrText>
      </w:r>
      <w:r>
        <w:fldChar w:fldCharType="separate"/>
      </w:r>
      <w:r w:rsidR="00716875">
        <w:rPr>
          <w:noProof/>
        </w:rPr>
        <w:t>2</w:t>
      </w:r>
      <w:r>
        <w:fldChar w:fldCharType="end"/>
      </w:r>
      <w:bookmarkEnd w:id="6"/>
      <w:r w:rsidR="00290492">
        <w:tab/>
      </w:r>
      <w:r w:rsidR="008B005B">
        <w:t>P</w:t>
      </w:r>
      <w:r w:rsidR="00290492" w:rsidRPr="00C25DA0">
        <w:t>roposed</w:t>
      </w:r>
      <w:r w:rsidR="008B005B">
        <w:t xml:space="preserve"> new</w:t>
      </w:r>
      <w:r w:rsidR="00290492" w:rsidRPr="00C25DA0">
        <w:t xml:space="preserve"> MBS item</w:t>
      </w:r>
      <w:r w:rsidR="008B005B">
        <w:t>s</w:t>
      </w:r>
      <w:r w:rsidR="001846A8">
        <w:t xml:space="preserve"> (post ESC consideration)</w:t>
      </w:r>
      <w:r w:rsidR="001E020A">
        <w:t xml:space="preserve"> </w:t>
      </w:r>
    </w:p>
    <w:tbl>
      <w:tblPr>
        <w:tblStyle w:val="TableGrid3"/>
        <w:tblW w:w="0" w:type="auto"/>
        <w:tblInd w:w="-3" w:type="dxa"/>
        <w:tblLook w:val="04A0" w:firstRow="1" w:lastRow="0" w:firstColumn="1" w:lastColumn="0" w:noHBand="0" w:noVBand="1"/>
        <w:tblCaption w:val="Proposed new MBS items"/>
        <w:tblDescription w:val="Proposed item descriptors for 4 MBS items: ADAMTS13 activity test, anti-ADAMT13 autiantibody test, index patient genetic test and cascade test."/>
      </w:tblPr>
      <w:tblGrid>
        <w:gridCol w:w="9016"/>
      </w:tblGrid>
      <w:tr w:rsidR="008B005B" w:rsidRPr="00CE28E3" w14:paraId="2EFDBE8A" w14:textId="77777777" w:rsidTr="257AE78C">
        <w:trPr>
          <w:cnfStyle w:val="100000000000" w:firstRow="1" w:lastRow="0" w:firstColumn="0" w:lastColumn="0" w:oddVBand="0" w:evenVBand="0" w:oddHBand="0" w:evenHBand="0" w:firstRowFirstColumn="0" w:firstRowLastColumn="0" w:lastRowFirstColumn="0" w:lastRowLastColumn="0"/>
          <w:trHeight w:val="350"/>
        </w:trPr>
        <w:tc>
          <w:tcPr>
            <w:tcW w:w="9016" w:type="dxa"/>
          </w:tcPr>
          <w:p w14:paraId="70DED0D0" w14:textId="77777777" w:rsidR="008B005B" w:rsidRPr="00170D5B" w:rsidRDefault="008B005B" w:rsidP="00210FFA">
            <w:pPr>
              <w:pStyle w:val="011TableHeading"/>
            </w:pPr>
            <w:r w:rsidRPr="003F0E9A">
              <w:rPr>
                <w:rFonts w:cstheme="minorHAnsi"/>
                <w:bCs/>
                <w:szCs w:val="20"/>
              </w:rPr>
              <w:t>Category 6 – PATHOLOGY SERVICES</w:t>
            </w:r>
          </w:p>
        </w:tc>
      </w:tr>
      <w:tr w:rsidR="008B005B" w:rsidRPr="00CE28E3" w14:paraId="0E266500" w14:textId="77777777" w:rsidTr="257AE78C">
        <w:tc>
          <w:tcPr>
            <w:tcW w:w="9016" w:type="dxa"/>
          </w:tcPr>
          <w:p w14:paraId="57837B17" w14:textId="77777777" w:rsidR="008B005B" w:rsidRPr="003F0E9A" w:rsidRDefault="008B005B" w:rsidP="00210FFA">
            <w:pPr>
              <w:pStyle w:val="051Tabletext229pt"/>
              <w:ind w:left="720"/>
              <w:jc w:val="right"/>
              <w:rPr>
                <w:rFonts w:cstheme="minorHAnsi"/>
                <w:b/>
                <w:bCs/>
                <w:sz w:val="20"/>
                <w:szCs w:val="20"/>
              </w:rPr>
            </w:pPr>
            <w:r w:rsidRPr="003F0E9A">
              <w:rPr>
                <w:rFonts w:cstheme="minorHAnsi"/>
                <w:b/>
                <w:bCs/>
                <w:sz w:val="20"/>
                <w:szCs w:val="20"/>
              </w:rPr>
              <w:t>Group P1 Haematology</w:t>
            </w:r>
          </w:p>
          <w:p w14:paraId="6A15FBB7" w14:textId="77777777" w:rsidR="008B005B" w:rsidRPr="003F0E9A" w:rsidRDefault="008B005B" w:rsidP="00210FFA">
            <w:pPr>
              <w:pStyle w:val="051Tabletext229pt"/>
              <w:jc w:val="both"/>
              <w:rPr>
                <w:rFonts w:cstheme="minorHAnsi"/>
                <w:sz w:val="20"/>
                <w:szCs w:val="20"/>
              </w:rPr>
            </w:pPr>
            <w:r w:rsidRPr="003F0E9A">
              <w:rPr>
                <w:rFonts w:cstheme="minorHAnsi"/>
                <w:sz w:val="20"/>
                <w:szCs w:val="20"/>
              </w:rPr>
              <w:t>MBS item AAAA</w:t>
            </w:r>
            <w:r>
              <w:rPr>
                <w:rFonts w:cstheme="minorHAnsi"/>
                <w:sz w:val="20"/>
                <w:szCs w:val="20"/>
              </w:rPr>
              <w:t xml:space="preserve"> (combined with EEEE)</w:t>
            </w:r>
          </w:p>
          <w:p w14:paraId="68669DEE" w14:textId="3FBE33FB" w:rsidR="008B005B" w:rsidRDefault="008B005B" w:rsidP="00210FFA">
            <w:pPr>
              <w:pStyle w:val="051Tabletext229pt"/>
              <w:jc w:val="both"/>
              <w:rPr>
                <w:rFonts w:cstheme="minorHAnsi"/>
                <w:sz w:val="20"/>
                <w:szCs w:val="20"/>
              </w:rPr>
            </w:pPr>
            <w:r w:rsidRPr="003F0AC4">
              <w:rPr>
                <w:rFonts w:cstheme="minorHAnsi"/>
                <w:sz w:val="20"/>
                <w:szCs w:val="20"/>
              </w:rPr>
              <w:t xml:space="preserve">Quantitation of ADAMTS13 activity </w:t>
            </w:r>
            <w:r>
              <w:rPr>
                <w:rFonts w:cstheme="minorHAnsi"/>
                <w:sz w:val="20"/>
                <w:szCs w:val="20"/>
              </w:rPr>
              <w:t xml:space="preserve">for the investigation of suspected thrombotic microangiopathy (TMA) or monitoring of diagnosed </w:t>
            </w:r>
            <w:r w:rsidRPr="003F0AC4">
              <w:rPr>
                <w:rFonts w:cstheme="minorHAnsi"/>
                <w:sz w:val="20"/>
                <w:szCs w:val="20"/>
              </w:rPr>
              <w:t>thrombotic thrombocytopenic purpura (TTP)</w:t>
            </w:r>
          </w:p>
          <w:p w14:paraId="43C5965E" w14:textId="77777777" w:rsidR="008B005B" w:rsidRPr="00C0345A" w:rsidRDefault="008B005B" w:rsidP="00210FFA">
            <w:pPr>
              <w:pStyle w:val="061Tabletext62"/>
            </w:pPr>
            <w:r>
              <w:rPr>
                <w:rFonts w:cstheme="minorHAnsi"/>
                <w:szCs w:val="20"/>
              </w:rPr>
              <w:t>Rule 3 exemption applies</w:t>
            </w:r>
          </w:p>
        </w:tc>
      </w:tr>
      <w:tr w:rsidR="008B005B" w:rsidRPr="00CE28E3" w14:paraId="20F60EA4" w14:textId="77777777" w:rsidTr="257AE78C">
        <w:trPr>
          <w:trHeight w:val="223"/>
        </w:trPr>
        <w:tc>
          <w:tcPr>
            <w:tcW w:w="9016" w:type="dxa"/>
          </w:tcPr>
          <w:p w14:paraId="71FD6419" w14:textId="4C2790F8" w:rsidR="008B005B" w:rsidRPr="00E3330E" w:rsidRDefault="008B005B" w:rsidP="00210FFA">
            <w:pPr>
              <w:pStyle w:val="061Tabletext62"/>
            </w:pPr>
            <w:r w:rsidRPr="55F1428D">
              <w:rPr>
                <w:rFonts w:cstheme="minorBidi"/>
              </w:rPr>
              <w:t>Proposed fee: $700</w:t>
            </w:r>
            <w:r w:rsidR="00621FCC" w:rsidRPr="55F1428D">
              <w:rPr>
                <w:rFonts w:cstheme="minorBidi"/>
              </w:rPr>
              <w:t>.00</w:t>
            </w:r>
            <w:r w:rsidRPr="55F1428D">
              <w:rPr>
                <w:rFonts w:cstheme="minorBidi"/>
              </w:rPr>
              <w:t xml:space="preserve">   Benefit: 75% = $525.00   </w:t>
            </w:r>
            <w:r w:rsidR="00865430">
              <w:rPr>
                <w:rFonts w:cstheme="minorBidi"/>
              </w:rPr>
              <w:t>85</w:t>
            </w:r>
            <w:r w:rsidR="00E1017F">
              <w:rPr>
                <w:rFonts w:cstheme="minorBidi"/>
              </w:rPr>
              <w:t xml:space="preserve">% </w:t>
            </w:r>
            <w:proofErr w:type="gramStart"/>
            <w:r w:rsidR="00E1017F">
              <w:rPr>
                <w:rFonts w:cstheme="minorBidi"/>
              </w:rPr>
              <w:t>=</w:t>
            </w:r>
            <w:r w:rsidR="00C8138F">
              <w:rPr>
                <w:rFonts w:cstheme="minorBidi"/>
              </w:rPr>
              <w:t xml:space="preserve">  </w:t>
            </w:r>
            <w:r w:rsidR="00CA6545" w:rsidRPr="00580C20">
              <w:rPr>
                <w:rFonts w:cstheme="minorHAnsi"/>
                <w:strike/>
                <w:szCs w:val="20"/>
              </w:rPr>
              <w:t>$</w:t>
            </w:r>
            <w:proofErr w:type="gramEnd"/>
            <w:r w:rsidR="00CA6545" w:rsidRPr="00580C20">
              <w:rPr>
                <w:rFonts w:cstheme="minorHAnsi"/>
                <w:strike/>
                <w:szCs w:val="20"/>
              </w:rPr>
              <w:t>597.60</w:t>
            </w:r>
            <w:r w:rsidR="00CA6545" w:rsidRPr="00580C20">
              <w:rPr>
                <w:rFonts w:cstheme="minorHAnsi"/>
                <w:color w:val="4472C4" w:themeColor="accent1"/>
                <w:szCs w:val="20"/>
              </w:rPr>
              <w:t xml:space="preserve"> $595.50</w:t>
            </w:r>
          </w:p>
        </w:tc>
      </w:tr>
      <w:tr w:rsidR="008B005B" w:rsidRPr="00CE28E3" w14:paraId="39D2EEA1" w14:textId="77777777" w:rsidTr="257AE78C">
        <w:trPr>
          <w:trHeight w:val="223"/>
        </w:trPr>
        <w:tc>
          <w:tcPr>
            <w:tcW w:w="9016" w:type="dxa"/>
          </w:tcPr>
          <w:p w14:paraId="1A9C714A" w14:textId="77777777" w:rsidR="008B005B" w:rsidRPr="003F0E9A" w:rsidRDefault="008B005B" w:rsidP="00210FFA">
            <w:pPr>
              <w:pStyle w:val="051Tabletext229pt"/>
              <w:ind w:left="720"/>
              <w:jc w:val="right"/>
              <w:rPr>
                <w:rFonts w:cstheme="minorHAnsi"/>
                <w:b/>
                <w:bCs/>
                <w:sz w:val="20"/>
                <w:szCs w:val="20"/>
              </w:rPr>
            </w:pPr>
            <w:r w:rsidRPr="003F0E9A">
              <w:rPr>
                <w:rFonts w:cstheme="minorHAnsi"/>
                <w:b/>
                <w:bCs/>
                <w:sz w:val="20"/>
                <w:szCs w:val="20"/>
              </w:rPr>
              <w:t>Group P1 Haematology</w:t>
            </w:r>
          </w:p>
          <w:p w14:paraId="7EB2D0D6" w14:textId="77777777" w:rsidR="008B005B" w:rsidRPr="003F0E9A" w:rsidRDefault="008B005B" w:rsidP="00210FFA">
            <w:pPr>
              <w:pStyle w:val="051Tabletext229pt"/>
              <w:rPr>
                <w:rFonts w:cstheme="minorHAnsi"/>
                <w:sz w:val="20"/>
                <w:szCs w:val="20"/>
              </w:rPr>
            </w:pPr>
            <w:r w:rsidRPr="003F0E9A">
              <w:rPr>
                <w:rFonts w:cstheme="minorHAnsi"/>
                <w:sz w:val="20"/>
                <w:szCs w:val="20"/>
              </w:rPr>
              <w:t>MBS item BBBB</w:t>
            </w:r>
          </w:p>
          <w:p w14:paraId="2D02A159" w14:textId="7C466B63" w:rsidR="008B005B" w:rsidRPr="003F0AC4" w:rsidRDefault="1F6C8F8C" w:rsidP="5ACDB55B">
            <w:pPr>
              <w:spacing w:before="40" w:after="40" w:line="240" w:lineRule="auto"/>
              <w:rPr>
                <w:rFonts w:ascii="Arial Narrow" w:hAnsi="Arial Narrow" w:cstheme="minorBidi"/>
                <w:sz w:val="20"/>
                <w:szCs w:val="20"/>
              </w:rPr>
            </w:pPr>
            <w:r w:rsidRPr="5ACDB55B">
              <w:rPr>
                <w:rFonts w:ascii="Arial Narrow" w:hAnsi="Arial Narrow" w:cstheme="minorBidi"/>
                <w:sz w:val="20"/>
                <w:szCs w:val="20"/>
              </w:rPr>
              <w:t xml:space="preserve">Anti-ADAMTS13 autoantibody testing in patients presenting with suspected thrombotic thrombocytopenic purpura (TTP) where </w:t>
            </w:r>
            <w:r w:rsidR="700D157D" w:rsidRPr="5ACDB55B">
              <w:rPr>
                <w:rFonts w:ascii="Arial Narrow" w:hAnsi="Arial Narrow" w:cstheme="minorBidi"/>
                <w:sz w:val="20"/>
                <w:szCs w:val="20"/>
              </w:rPr>
              <w:t>a service described under</w:t>
            </w:r>
            <w:r w:rsidR="4D7A8DA6" w:rsidRPr="5ACDB55B">
              <w:rPr>
                <w:rFonts w:ascii="Arial Narrow" w:hAnsi="Arial Narrow" w:cstheme="minorBidi"/>
                <w:sz w:val="20"/>
                <w:szCs w:val="20"/>
              </w:rPr>
              <w:t xml:space="preserve"> MBS</w:t>
            </w:r>
            <w:r w:rsidR="2203E95C" w:rsidRPr="5ACDB55B">
              <w:rPr>
                <w:rFonts w:ascii="Arial Narrow" w:hAnsi="Arial Narrow" w:cstheme="minorBidi"/>
                <w:sz w:val="20"/>
                <w:szCs w:val="20"/>
              </w:rPr>
              <w:t xml:space="preserve"> item AAAA</w:t>
            </w:r>
            <w:r w:rsidRPr="5ACDB55B">
              <w:rPr>
                <w:rFonts w:ascii="Arial Narrow" w:hAnsi="Arial Narrow" w:cstheme="minorBidi"/>
                <w:sz w:val="20"/>
                <w:szCs w:val="20"/>
              </w:rPr>
              <w:t xml:space="preserve"> indicated reduced ADAMTS13 activity</w:t>
            </w:r>
          </w:p>
          <w:p w14:paraId="58F493B2" w14:textId="77777777" w:rsidR="008B005B" w:rsidRPr="003F0E9A" w:rsidRDefault="008B005B" w:rsidP="00210FFA">
            <w:pPr>
              <w:pStyle w:val="061Tabletext62"/>
              <w:rPr>
                <w:rFonts w:cstheme="minorHAnsi"/>
                <w:szCs w:val="20"/>
              </w:rPr>
            </w:pPr>
            <w:r w:rsidRPr="003F0AC4">
              <w:rPr>
                <w:rFonts w:cstheme="minorHAnsi"/>
                <w:szCs w:val="20"/>
              </w:rPr>
              <w:t>Once per episode</w:t>
            </w:r>
          </w:p>
        </w:tc>
      </w:tr>
      <w:tr w:rsidR="008B005B" w:rsidRPr="00CE28E3" w14:paraId="24287885" w14:textId="77777777" w:rsidTr="257AE78C">
        <w:trPr>
          <w:trHeight w:val="223"/>
        </w:trPr>
        <w:tc>
          <w:tcPr>
            <w:tcW w:w="9016" w:type="dxa"/>
          </w:tcPr>
          <w:p w14:paraId="6C195D98" w14:textId="73C79F0F" w:rsidR="008B005B" w:rsidRPr="003F0E9A" w:rsidRDefault="008B005B" w:rsidP="00210FFA">
            <w:pPr>
              <w:pStyle w:val="061Tabletext62"/>
              <w:rPr>
                <w:rFonts w:cstheme="minorHAnsi"/>
                <w:szCs w:val="20"/>
              </w:rPr>
            </w:pPr>
            <w:r w:rsidRPr="003F0E9A">
              <w:rPr>
                <w:rFonts w:cstheme="minorHAnsi"/>
                <w:szCs w:val="20"/>
              </w:rPr>
              <w:t>Proposed fee: $1,050</w:t>
            </w:r>
            <w:r w:rsidR="00621FCC">
              <w:rPr>
                <w:rFonts w:cstheme="minorHAnsi"/>
                <w:szCs w:val="20"/>
              </w:rPr>
              <w:t>.00</w:t>
            </w:r>
            <w:r w:rsidRPr="003F0E9A">
              <w:rPr>
                <w:rFonts w:cstheme="minorHAnsi"/>
                <w:szCs w:val="20"/>
              </w:rPr>
              <w:t xml:space="preserve">   Benefit: 75% = 787.50   85% = </w:t>
            </w:r>
            <w:r w:rsidR="00CA6545" w:rsidRPr="00580C20">
              <w:rPr>
                <w:rFonts w:cstheme="minorHAnsi"/>
                <w:strike/>
                <w:szCs w:val="20"/>
              </w:rPr>
              <w:t>$947.60</w:t>
            </w:r>
            <w:r w:rsidR="00CA6545">
              <w:rPr>
                <w:rFonts w:cstheme="minorHAnsi"/>
                <w:szCs w:val="20"/>
              </w:rPr>
              <w:t xml:space="preserve"> </w:t>
            </w:r>
            <w:r w:rsidR="00CA6545">
              <w:rPr>
                <w:rFonts w:cstheme="minorHAnsi"/>
                <w:color w:val="4472C4" w:themeColor="accent1"/>
                <w:szCs w:val="20"/>
              </w:rPr>
              <w:t>$945.50</w:t>
            </w:r>
          </w:p>
        </w:tc>
      </w:tr>
      <w:tr w:rsidR="008B005B" w:rsidRPr="00CE28E3" w14:paraId="53381E94" w14:textId="77777777" w:rsidTr="257AE78C">
        <w:trPr>
          <w:trHeight w:val="223"/>
        </w:trPr>
        <w:tc>
          <w:tcPr>
            <w:tcW w:w="9016" w:type="dxa"/>
          </w:tcPr>
          <w:p w14:paraId="3FA45A29" w14:textId="77777777" w:rsidR="008B005B" w:rsidRPr="003F0E9A" w:rsidRDefault="008B005B" w:rsidP="00210FFA">
            <w:pPr>
              <w:pStyle w:val="051Tabletext229pt"/>
              <w:ind w:left="720"/>
              <w:jc w:val="right"/>
              <w:rPr>
                <w:rFonts w:cstheme="minorHAnsi"/>
                <w:b/>
                <w:bCs/>
                <w:sz w:val="20"/>
                <w:szCs w:val="20"/>
              </w:rPr>
            </w:pPr>
            <w:r w:rsidRPr="003F0E9A">
              <w:rPr>
                <w:rFonts w:cstheme="minorHAnsi"/>
                <w:b/>
                <w:bCs/>
                <w:sz w:val="20"/>
                <w:szCs w:val="20"/>
              </w:rPr>
              <w:t>Group P7 Genetics</w:t>
            </w:r>
          </w:p>
          <w:p w14:paraId="1F23BA8D" w14:textId="77777777" w:rsidR="008B005B" w:rsidRPr="003F0AC4" w:rsidRDefault="008B005B" w:rsidP="00210FFA">
            <w:pPr>
              <w:spacing w:before="40" w:after="40" w:line="240" w:lineRule="auto"/>
              <w:rPr>
                <w:rFonts w:ascii="Arial Narrow" w:hAnsi="Arial Narrow" w:cstheme="minorHAnsi"/>
                <w:sz w:val="20"/>
                <w:szCs w:val="20"/>
              </w:rPr>
            </w:pPr>
            <w:r w:rsidRPr="003F0AC4">
              <w:rPr>
                <w:rFonts w:ascii="Arial Narrow" w:hAnsi="Arial Narrow" w:cstheme="minorHAnsi"/>
                <w:sz w:val="20"/>
                <w:szCs w:val="20"/>
              </w:rPr>
              <w:t>MBS item CCCC</w:t>
            </w:r>
          </w:p>
          <w:p w14:paraId="62617185" w14:textId="4A89D201" w:rsidR="008B005B" w:rsidRPr="00163587" w:rsidRDefault="1F6C8F8C" w:rsidP="000F2695">
            <w:pPr>
              <w:pStyle w:val="ListParagraph"/>
              <w:spacing w:before="40" w:after="40" w:line="240" w:lineRule="auto"/>
              <w:ind w:left="0"/>
              <w:rPr>
                <w:rFonts w:ascii="Arial Narrow" w:hAnsi="Arial Narrow" w:cstheme="minorHAnsi"/>
                <w:sz w:val="20"/>
                <w:szCs w:val="20"/>
              </w:rPr>
            </w:pPr>
            <w:r w:rsidRPr="00163587">
              <w:rPr>
                <w:rFonts w:ascii="Arial Narrow" w:hAnsi="Arial Narrow"/>
                <w:sz w:val="20"/>
                <w:szCs w:val="20"/>
              </w:rPr>
              <w:t xml:space="preserve">Characterisation of variant(s) in the </w:t>
            </w:r>
            <w:r w:rsidRPr="00163587">
              <w:rPr>
                <w:rFonts w:ascii="Arial Narrow" w:hAnsi="Arial Narrow"/>
                <w:i/>
                <w:iCs/>
                <w:sz w:val="20"/>
                <w:szCs w:val="20"/>
              </w:rPr>
              <w:t>ADAMTS13</w:t>
            </w:r>
            <w:r w:rsidRPr="00163587">
              <w:rPr>
                <w:rFonts w:ascii="Arial Narrow" w:hAnsi="Arial Narrow"/>
                <w:sz w:val="20"/>
                <w:szCs w:val="20"/>
              </w:rPr>
              <w:t xml:space="preserve"> gene in a patient who</w:t>
            </w:r>
            <w:r w:rsidR="00163587" w:rsidRPr="00163587">
              <w:rPr>
                <w:rFonts w:ascii="Arial Narrow" w:hAnsi="Arial Narrow"/>
                <w:sz w:val="20"/>
                <w:szCs w:val="20"/>
              </w:rPr>
              <w:t xml:space="preserve"> </w:t>
            </w:r>
            <w:r w:rsidRPr="00163587">
              <w:rPr>
                <w:rStyle w:val="051Tabletext229ptChar"/>
                <w:rFonts w:ascii="Arial Narrow" w:eastAsia="Calibri" w:hAnsi="Arial Narrow"/>
                <w:sz w:val="20"/>
                <w:szCs w:val="20"/>
              </w:rPr>
              <w:t>has symptoms suggestive of</w:t>
            </w:r>
            <w:r w:rsidR="4D4496B0" w:rsidRPr="00163587">
              <w:rPr>
                <w:rStyle w:val="051Tabletext229ptChar"/>
                <w:rFonts w:ascii="Arial Narrow" w:eastAsia="Calibri" w:hAnsi="Arial Narrow"/>
                <w:sz w:val="20"/>
                <w:szCs w:val="20"/>
              </w:rPr>
              <w:t xml:space="preserve"> congenital</w:t>
            </w:r>
            <w:r w:rsidRPr="00163587">
              <w:rPr>
                <w:rStyle w:val="051Tabletext229ptChar"/>
                <w:rFonts w:ascii="Arial Narrow" w:eastAsia="Calibri" w:hAnsi="Arial Narrow"/>
                <w:sz w:val="20"/>
                <w:szCs w:val="20"/>
              </w:rPr>
              <w:t xml:space="preserve"> thrombotic thrombocytopenic purpura (</w:t>
            </w:r>
            <w:r w:rsidR="2C231097" w:rsidRPr="00163587">
              <w:rPr>
                <w:rStyle w:val="051Tabletext229ptChar"/>
                <w:rFonts w:ascii="Arial Narrow" w:eastAsia="Calibri" w:hAnsi="Arial Narrow"/>
                <w:sz w:val="20"/>
                <w:szCs w:val="20"/>
              </w:rPr>
              <w:t>c</w:t>
            </w:r>
            <w:r w:rsidRPr="00163587">
              <w:rPr>
                <w:rStyle w:val="051Tabletext229ptChar"/>
                <w:rFonts w:ascii="Arial Narrow" w:eastAsia="Calibri" w:hAnsi="Arial Narrow"/>
                <w:sz w:val="20"/>
                <w:szCs w:val="20"/>
              </w:rPr>
              <w:t xml:space="preserve">TTP) </w:t>
            </w:r>
            <w:r w:rsidRPr="00163587">
              <w:rPr>
                <w:rFonts w:ascii="Arial Narrow" w:hAnsi="Arial Narrow"/>
                <w:sz w:val="20"/>
                <w:szCs w:val="20"/>
              </w:rPr>
              <w:t xml:space="preserve">where testing has indicated reduced </w:t>
            </w:r>
            <w:r w:rsidRPr="00163587">
              <w:rPr>
                <w:rStyle w:val="051Tabletext229ptChar"/>
                <w:rFonts w:ascii="Arial Narrow" w:eastAsia="Calibri" w:hAnsi="Arial Narrow"/>
                <w:sz w:val="20"/>
                <w:szCs w:val="20"/>
              </w:rPr>
              <w:t>ADAMTS13 activity and</w:t>
            </w:r>
            <w:r w:rsidRPr="00163587">
              <w:rPr>
                <w:rFonts w:ascii="Arial Narrow" w:hAnsi="Arial Narrow"/>
                <w:sz w:val="20"/>
                <w:szCs w:val="20"/>
              </w:rPr>
              <w:t xml:space="preserve"> an absence of anti-ADAMTS13 antibodies</w:t>
            </w:r>
            <w:r w:rsidR="481E7103" w:rsidRPr="00163587">
              <w:rPr>
                <w:rFonts w:ascii="Arial Narrow" w:hAnsi="Arial Narrow"/>
                <w:sz w:val="20"/>
                <w:szCs w:val="20"/>
              </w:rPr>
              <w:t>,</w:t>
            </w:r>
            <w:r w:rsidR="000F2695" w:rsidRPr="00163587">
              <w:rPr>
                <w:rFonts w:ascii="Arial Narrow" w:hAnsi="Arial Narrow" w:cstheme="minorHAnsi"/>
                <w:sz w:val="20"/>
                <w:szCs w:val="20"/>
              </w:rPr>
              <w:t xml:space="preserve"> </w:t>
            </w:r>
            <w:r w:rsidR="008B005B" w:rsidRPr="00163587">
              <w:rPr>
                <w:rFonts w:ascii="Arial Narrow" w:hAnsi="Arial Narrow" w:cstheme="minorHAnsi"/>
                <w:sz w:val="20"/>
                <w:szCs w:val="20"/>
              </w:rPr>
              <w:t>requested by a specialist or consultant physician.</w:t>
            </w:r>
          </w:p>
          <w:p w14:paraId="4F4CDFF2" w14:textId="77777777" w:rsidR="008B005B" w:rsidRPr="003F0E9A" w:rsidRDefault="008B005B" w:rsidP="00210FFA">
            <w:pPr>
              <w:pStyle w:val="061Tabletext62"/>
              <w:rPr>
                <w:rFonts w:cstheme="minorHAnsi"/>
                <w:szCs w:val="20"/>
              </w:rPr>
            </w:pPr>
            <w:r w:rsidRPr="00163587">
              <w:rPr>
                <w:rFonts w:cstheme="minorHAnsi"/>
                <w:szCs w:val="20"/>
              </w:rPr>
              <w:t>Available once per lifetime</w:t>
            </w:r>
          </w:p>
        </w:tc>
      </w:tr>
      <w:tr w:rsidR="008B005B" w:rsidRPr="00CE28E3" w14:paraId="5419C294" w14:textId="77777777" w:rsidTr="257AE78C">
        <w:trPr>
          <w:trHeight w:val="223"/>
        </w:trPr>
        <w:tc>
          <w:tcPr>
            <w:tcW w:w="9016" w:type="dxa"/>
          </w:tcPr>
          <w:p w14:paraId="2AFA018A" w14:textId="4C2E0533" w:rsidR="008B005B" w:rsidRPr="003F0E9A" w:rsidRDefault="008B005B" w:rsidP="00210FFA">
            <w:pPr>
              <w:pStyle w:val="061Tabletext62"/>
              <w:rPr>
                <w:rFonts w:cstheme="minorHAnsi"/>
                <w:szCs w:val="20"/>
              </w:rPr>
            </w:pPr>
            <w:r w:rsidRPr="003F0E9A">
              <w:rPr>
                <w:rFonts w:cstheme="minorHAnsi"/>
                <w:szCs w:val="20"/>
              </w:rPr>
              <w:t>Proposed fee: $1,200</w:t>
            </w:r>
            <w:r w:rsidR="00621FCC">
              <w:rPr>
                <w:rFonts w:cstheme="minorHAnsi"/>
                <w:szCs w:val="20"/>
              </w:rPr>
              <w:t>.00</w:t>
            </w:r>
            <w:r w:rsidRPr="003F0E9A">
              <w:rPr>
                <w:rFonts w:cstheme="minorHAnsi"/>
                <w:szCs w:val="20"/>
              </w:rPr>
              <w:t xml:space="preserve">   Benefit: 75% = $900</w:t>
            </w:r>
            <w:r w:rsidR="00621FCC">
              <w:rPr>
                <w:rFonts w:cstheme="minorHAnsi"/>
                <w:szCs w:val="20"/>
              </w:rPr>
              <w:t>.00</w:t>
            </w:r>
            <w:r w:rsidRPr="003F0E9A">
              <w:rPr>
                <w:rFonts w:cstheme="minorHAnsi"/>
                <w:szCs w:val="20"/>
              </w:rPr>
              <w:t xml:space="preserve">   85% = </w:t>
            </w:r>
            <w:r w:rsidR="00CA6545" w:rsidRPr="00580C20">
              <w:rPr>
                <w:rFonts w:cstheme="minorHAnsi"/>
                <w:strike/>
                <w:szCs w:val="20"/>
              </w:rPr>
              <w:t>$1,097.60</w:t>
            </w:r>
            <w:r w:rsidR="00CA6545">
              <w:rPr>
                <w:rFonts w:cstheme="minorHAnsi"/>
                <w:szCs w:val="20"/>
              </w:rPr>
              <w:t xml:space="preserve"> </w:t>
            </w:r>
            <w:r w:rsidR="00CA6545">
              <w:rPr>
                <w:rFonts w:cstheme="minorHAnsi"/>
                <w:color w:val="4472C4" w:themeColor="accent1"/>
                <w:szCs w:val="20"/>
              </w:rPr>
              <w:t>$1,095.50</w:t>
            </w:r>
          </w:p>
        </w:tc>
      </w:tr>
      <w:tr w:rsidR="008B005B" w:rsidRPr="00CE28E3" w14:paraId="55F43500" w14:textId="77777777" w:rsidTr="257AE78C">
        <w:trPr>
          <w:trHeight w:val="223"/>
        </w:trPr>
        <w:tc>
          <w:tcPr>
            <w:tcW w:w="9016" w:type="dxa"/>
          </w:tcPr>
          <w:p w14:paraId="7B4A917C" w14:textId="77777777" w:rsidR="008B005B" w:rsidRPr="003F0E9A" w:rsidRDefault="008B005B" w:rsidP="00210FFA">
            <w:pPr>
              <w:pStyle w:val="051Tabletext229pt"/>
              <w:ind w:left="720"/>
              <w:jc w:val="right"/>
              <w:rPr>
                <w:rFonts w:cstheme="minorHAnsi"/>
                <w:b/>
                <w:bCs/>
                <w:sz w:val="20"/>
                <w:szCs w:val="20"/>
              </w:rPr>
            </w:pPr>
            <w:r w:rsidRPr="003F0E9A">
              <w:rPr>
                <w:rFonts w:cstheme="minorHAnsi"/>
                <w:b/>
                <w:bCs/>
                <w:sz w:val="20"/>
                <w:szCs w:val="20"/>
              </w:rPr>
              <w:t>Group P7 Genetics</w:t>
            </w:r>
          </w:p>
          <w:p w14:paraId="76BC4D8F" w14:textId="77777777" w:rsidR="008B005B" w:rsidRPr="003F0AC4" w:rsidRDefault="008B005B" w:rsidP="00210FFA">
            <w:pPr>
              <w:spacing w:before="40" w:after="40" w:line="240" w:lineRule="auto"/>
              <w:rPr>
                <w:rFonts w:ascii="Arial Narrow" w:hAnsi="Arial Narrow" w:cstheme="minorHAnsi"/>
                <w:sz w:val="20"/>
                <w:szCs w:val="20"/>
              </w:rPr>
            </w:pPr>
            <w:r w:rsidRPr="003F0AC4">
              <w:rPr>
                <w:rFonts w:ascii="Arial Narrow" w:hAnsi="Arial Narrow" w:cstheme="minorHAnsi"/>
                <w:sz w:val="20"/>
                <w:szCs w:val="20"/>
              </w:rPr>
              <w:t>MBS item DDDD</w:t>
            </w:r>
          </w:p>
          <w:p w14:paraId="30F86F8B" w14:textId="77777777" w:rsidR="008B005B" w:rsidRPr="003F0AC4" w:rsidRDefault="008B005B" w:rsidP="00210FFA">
            <w:pPr>
              <w:spacing w:before="40" w:after="40" w:line="240" w:lineRule="auto"/>
              <w:rPr>
                <w:rFonts w:ascii="Arial Narrow" w:hAnsi="Arial Narrow" w:cstheme="minorHAnsi"/>
                <w:sz w:val="20"/>
                <w:szCs w:val="20"/>
              </w:rPr>
            </w:pPr>
            <w:r>
              <w:rPr>
                <w:rFonts w:ascii="Arial Narrow" w:hAnsi="Arial Narrow" w:cstheme="minorHAnsi"/>
                <w:sz w:val="20"/>
                <w:szCs w:val="20"/>
              </w:rPr>
              <w:t>Characterisation of</w:t>
            </w:r>
            <w:r w:rsidRPr="003F0AC4">
              <w:rPr>
                <w:rFonts w:ascii="Arial Narrow" w:hAnsi="Arial Narrow" w:cstheme="minorHAnsi"/>
                <w:sz w:val="20"/>
                <w:szCs w:val="20"/>
              </w:rPr>
              <w:t xml:space="preserve"> variant(s) in the </w:t>
            </w:r>
            <w:r w:rsidRPr="003F0AC4">
              <w:rPr>
                <w:rFonts w:ascii="Arial Narrow" w:hAnsi="Arial Narrow" w:cstheme="minorHAnsi"/>
                <w:i/>
                <w:iCs/>
                <w:sz w:val="20"/>
                <w:szCs w:val="20"/>
              </w:rPr>
              <w:t>ADAMTS13</w:t>
            </w:r>
            <w:r w:rsidRPr="003F0AC4">
              <w:rPr>
                <w:rFonts w:ascii="Arial Narrow" w:hAnsi="Arial Narrow" w:cstheme="minorHAnsi"/>
                <w:sz w:val="20"/>
                <w:szCs w:val="20"/>
              </w:rPr>
              <w:t xml:space="preserve"> gene</w:t>
            </w:r>
            <w:r>
              <w:rPr>
                <w:rFonts w:ascii="Arial Narrow" w:hAnsi="Arial Narrow" w:cstheme="minorHAnsi"/>
                <w:sz w:val="20"/>
                <w:szCs w:val="20"/>
              </w:rPr>
              <w:t xml:space="preserve"> in a person who:</w:t>
            </w:r>
            <w:r w:rsidRPr="003F0AC4">
              <w:rPr>
                <w:rFonts w:ascii="Arial Narrow" w:hAnsi="Arial Narrow" w:cstheme="minorHAnsi"/>
                <w:sz w:val="20"/>
                <w:szCs w:val="20"/>
              </w:rPr>
              <w:t xml:space="preserve"> </w:t>
            </w:r>
          </w:p>
          <w:p w14:paraId="45DC066E" w14:textId="1787DEF0" w:rsidR="008B005B" w:rsidRPr="003F0AC4" w:rsidRDefault="008B005B" w:rsidP="00267F3D">
            <w:pPr>
              <w:pStyle w:val="ListParagraph"/>
              <w:numPr>
                <w:ilvl w:val="0"/>
                <w:numId w:val="17"/>
              </w:numPr>
              <w:spacing w:before="40" w:after="40" w:line="240" w:lineRule="auto"/>
              <w:rPr>
                <w:rFonts w:ascii="Arial Narrow" w:hAnsi="Arial Narrow" w:cstheme="minorHAnsi"/>
                <w:sz w:val="20"/>
                <w:szCs w:val="20"/>
              </w:rPr>
            </w:pPr>
            <w:r>
              <w:rPr>
                <w:rFonts w:ascii="Arial Narrow" w:hAnsi="Arial Narrow" w:cstheme="minorHAnsi"/>
                <w:sz w:val="20"/>
                <w:szCs w:val="20"/>
              </w:rPr>
              <w:t>is</w:t>
            </w:r>
            <w:r w:rsidRPr="003F0AC4">
              <w:rPr>
                <w:rFonts w:ascii="Arial Narrow" w:hAnsi="Arial Narrow" w:cstheme="minorHAnsi"/>
                <w:sz w:val="20"/>
                <w:szCs w:val="20"/>
              </w:rPr>
              <w:t xml:space="preserve"> a first-degree </w:t>
            </w:r>
            <w:r>
              <w:rPr>
                <w:rFonts w:ascii="Arial Narrow" w:hAnsi="Arial Narrow" w:cstheme="minorHAnsi"/>
                <w:sz w:val="20"/>
                <w:szCs w:val="20"/>
              </w:rPr>
              <w:t xml:space="preserve">biological </w:t>
            </w:r>
            <w:r w:rsidRPr="003F0AC4">
              <w:rPr>
                <w:rFonts w:ascii="Arial Narrow" w:hAnsi="Arial Narrow" w:cstheme="minorHAnsi"/>
                <w:sz w:val="20"/>
                <w:szCs w:val="20"/>
              </w:rPr>
              <w:t xml:space="preserve">relative </w:t>
            </w:r>
            <w:r>
              <w:rPr>
                <w:rFonts w:ascii="Arial Narrow" w:hAnsi="Arial Narrow" w:cstheme="minorHAnsi"/>
                <w:sz w:val="20"/>
                <w:szCs w:val="20"/>
              </w:rPr>
              <w:t>of a patient found to have a</w:t>
            </w:r>
            <w:r w:rsidR="005812EE">
              <w:rPr>
                <w:rFonts w:ascii="Arial Narrow" w:hAnsi="Arial Narrow" w:cstheme="minorHAnsi"/>
                <w:sz w:val="20"/>
                <w:szCs w:val="20"/>
              </w:rPr>
              <w:t xml:space="preserve"> pathogenic or</w:t>
            </w:r>
            <w:r>
              <w:rPr>
                <w:rFonts w:ascii="Arial Narrow" w:hAnsi="Arial Narrow" w:cstheme="minorHAnsi"/>
                <w:sz w:val="20"/>
                <w:szCs w:val="20"/>
              </w:rPr>
              <w:t xml:space="preserve"> likely pathogenic variant(s) in the </w:t>
            </w:r>
            <w:r w:rsidRPr="0015347A">
              <w:rPr>
                <w:rFonts w:ascii="Arial Narrow" w:hAnsi="Arial Narrow" w:cstheme="minorHAnsi"/>
                <w:i/>
                <w:iCs/>
                <w:sz w:val="20"/>
                <w:szCs w:val="20"/>
              </w:rPr>
              <w:t>ADAMTS13</w:t>
            </w:r>
            <w:r>
              <w:rPr>
                <w:rFonts w:ascii="Arial Narrow" w:hAnsi="Arial Narrow" w:cstheme="minorHAnsi"/>
                <w:sz w:val="20"/>
                <w:szCs w:val="20"/>
              </w:rPr>
              <w:t xml:space="preserve"> gene</w:t>
            </w:r>
          </w:p>
          <w:p w14:paraId="24EF891F" w14:textId="77777777" w:rsidR="008B005B" w:rsidRPr="009A11D6" w:rsidRDefault="008B005B" w:rsidP="00267F3D">
            <w:pPr>
              <w:pStyle w:val="ListParagraph"/>
              <w:numPr>
                <w:ilvl w:val="0"/>
                <w:numId w:val="17"/>
              </w:numPr>
              <w:spacing w:before="40" w:after="40" w:line="240" w:lineRule="auto"/>
              <w:rPr>
                <w:rFonts w:ascii="Arial Narrow" w:hAnsi="Arial Narrow" w:cstheme="minorHAnsi"/>
                <w:sz w:val="20"/>
                <w:szCs w:val="20"/>
              </w:rPr>
            </w:pPr>
            <w:r>
              <w:rPr>
                <w:rFonts w:ascii="Arial Narrow" w:hAnsi="Arial Narrow" w:cstheme="minorHAnsi"/>
                <w:sz w:val="20"/>
                <w:szCs w:val="20"/>
              </w:rPr>
              <w:t xml:space="preserve">has not previously received a service to which </w:t>
            </w:r>
            <w:r w:rsidRPr="003F0AC4">
              <w:rPr>
                <w:rFonts w:ascii="Arial Narrow" w:hAnsi="Arial Narrow" w:cstheme="minorHAnsi"/>
                <w:sz w:val="20"/>
                <w:szCs w:val="20"/>
              </w:rPr>
              <w:t>item CCCC</w:t>
            </w:r>
            <w:r>
              <w:rPr>
                <w:rFonts w:ascii="Arial Narrow" w:hAnsi="Arial Narrow" w:cstheme="minorHAnsi"/>
                <w:sz w:val="20"/>
                <w:szCs w:val="20"/>
              </w:rPr>
              <w:t xml:space="preserve"> applies</w:t>
            </w:r>
          </w:p>
          <w:p w14:paraId="146C37F7" w14:textId="77777777" w:rsidR="008B005B" w:rsidRDefault="008B005B" w:rsidP="257AE78C">
            <w:pPr>
              <w:pStyle w:val="051Tabletext229pt"/>
              <w:rPr>
                <w:rFonts w:cstheme="minorBidi"/>
                <w:sz w:val="20"/>
                <w:szCs w:val="20"/>
              </w:rPr>
            </w:pPr>
            <w:r w:rsidRPr="257AE78C">
              <w:rPr>
                <w:rFonts w:cstheme="minorBidi"/>
                <w:sz w:val="20"/>
                <w:szCs w:val="20"/>
              </w:rPr>
              <w:t>requested by or on behalf of a specialist or consultant physician.</w:t>
            </w:r>
          </w:p>
          <w:p w14:paraId="16ABC012" w14:textId="77777777" w:rsidR="008B005B" w:rsidRPr="003F0E9A" w:rsidRDefault="008B005B" w:rsidP="00210FFA">
            <w:pPr>
              <w:pStyle w:val="061Tabletext62"/>
              <w:rPr>
                <w:rFonts w:cstheme="minorHAnsi"/>
                <w:szCs w:val="20"/>
              </w:rPr>
            </w:pPr>
            <w:r w:rsidRPr="003F0AC4">
              <w:rPr>
                <w:rFonts w:cstheme="minorHAnsi"/>
                <w:szCs w:val="20"/>
              </w:rPr>
              <w:t>Available once per lifetime</w:t>
            </w:r>
          </w:p>
        </w:tc>
      </w:tr>
      <w:tr w:rsidR="008B005B" w:rsidRPr="00CE28E3" w14:paraId="2A961426" w14:textId="77777777" w:rsidTr="257AE78C">
        <w:trPr>
          <w:trHeight w:val="223"/>
        </w:trPr>
        <w:tc>
          <w:tcPr>
            <w:tcW w:w="9016" w:type="dxa"/>
          </w:tcPr>
          <w:p w14:paraId="14A21F43" w14:textId="79A6AA7C" w:rsidR="008B005B" w:rsidRPr="003F0E9A" w:rsidRDefault="008B005B" w:rsidP="00210FFA">
            <w:pPr>
              <w:pStyle w:val="061Tabletext62"/>
              <w:rPr>
                <w:rFonts w:cstheme="minorHAnsi"/>
                <w:szCs w:val="20"/>
              </w:rPr>
            </w:pPr>
            <w:r w:rsidRPr="003F0E9A">
              <w:rPr>
                <w:rFonts w:cstheme="minorHAnsi"/>
                <w:szCs w:val="20"/>
              </w:rPr>
              <w:t xml:space="preserve">Proposed fee: </w:t>
            </w:r>
            <w:r w:rsidRPr="00255FB4">
              <w:rPr>
                <w:rFonts w:cstheme="minorHAnsi"/>
                <w:strike/>
                <w:szCs w:val="20"/>
              </w:rPr>
              <w:t>$1,200</w:t>
            </w:r>
            <w:r w:rsidR="00FD363C">
              <w:rPr>
                <w:rFonts w:cstheme="minorHAnsi"/>
                <w:strike/>
                <w:szCs w:val="20"/>
              </w:rPr>
              <w:t>.00</w:t>
            </w:r>
            <w:r w:rsidRPr="003F0E9A">
              <w:rPr>
                <w:rFonts w:cstheme="minorHAnsi"/>
                <w:szCs w:val="20"/>
              </w:rPr>
              <w:t xml:space="preserve"> </w:t>
            </w:r>
            <w:r w:rsidRPr="00255FB4">
              <w:rPr>
                <w:rFonts w:cstheme="minorHAnsi"/>
                <w:color w:val="4472C4" w:themeColor="accent1"/>
                <w:szCs w:val="20"/>
              </w:rPr>
              <w:t>$400</w:t>
            </w:r>
            <w:r w:rsidR="00621FCC">
              <w:rPr>
                <w:rFonts w:cstheme="minorHAnsi"/>
                <w:color w:val="4472C4" w:themeColor="accent1"/>
                <w:szCs w:val="20"/>
              </w:rPr>
              <w:t>.00</w:t>
            </w:r>
            <w:r w:rsidRPr="003F0E9A">
              <w:rPr>
                <w:rFonts w:cstheme="minorHAnsi"/>
                <w:szCs w:val="20"/>
              </w:rPr>
              <w:t xml:space="preserve"> Benefit: 75% = </w:t>
            </w:r>
            <w:r w:rsidRPr="00435727">
              <w:rPr>
                <w:rFonts w:cstheme="minorHAnsi"/>
                <w:strike/>
                <w:szCs w:val="20"/>
              </w:rPr>
              <w:t>$900</w:t>
            </w:r>
            <w:r w:rsidR="00FD363C">
              <w:rPr>
                <w:rFonts w:cstheme="minorHAnsi"/>
                <w:strike/>
                <w:szCs w:val="20"/>
              </w:rPr>
              <w:t>.00</w:t>
            </w:r>
            <w:r w:rsidRPr="003F0E9A">
              <w:rPr>
                <w:rFonts w:cstheme="minorHAnsi"/>
                <w:szCs w:val="20"/>
              </w:rPr>
              <w:t xml:space="preserve"> </w:t>
            </w:r>
            <w:r w:rsidRPr="00391C05">
              <w:rPr>
                <w:rFonts w:cstheme="minorHAnsi"/>
                <w:color w:val="4472C4" w:themeColor="accent1"/>
                <w:szCs w:val="20"/>
              </w:rPr>
              <w:t>$</w:t>
            </w:r>
            <w:r>
              <w:rPr>
                <w:rFonts w:cstheme="minorHAnsi"/>
                <w:color w:val="4472C4" w:themeColor="accent1"/>
                <w:szCs w:val="20"/>
              </w:rPr>
              <w:t>3</w:t>
            </w:r>
            <w:r w:rsidRPr="00255FB4">
              <w:rPr>
                <w:rFonts w:cstheme="minorHAnsi"/>
                <w:color w:val="4472C4" w:themeColor="accent1"/>
                <w:szCs w:val="20"/>
              </w:rPr>
              <w:t>00</w:t>
            </w:r>
            <w:r w:rsidR="00621FCC">
              <w:rPr>
                <w:rFonts w:cstheme="minorHAnsi"/>
                <w:color w:val="4472C4" w:themeColor="accent1"/>
                <w:szCs w:val="20"/>
              </w:rPr>
              <w:t>.00</w:t>
            </w:r>
            <w:r w:rsidRPr="003F0E9A">
              <w:rPr>
                <w:rFonts w:cstheme="minorHAnsi"/>
                <w:szCs w:val="20"/>
              </w:rPr>
              <w:t xml:space="preserve"> 85% = </w:t>
            </w:r>
            <w:r w:rsidRPr="00435727">
              <w:rPr>
                <w:rFonts w:cstheme="minorHAnsi"/>
                <w:strike/>
                <w:szCs w:val="20"/>
              </w:rPr>
              <w:t>$1,097.60</w:t>
            </w:r>
            <w:r>
              <w:rPr>
                <w:rFonts w:cstheme="minorHAnsi"/>
                <w:szCs w:val="20"/>
              </w:rPr>
              <w:t xml:space="preserve"> </w:t>
            </w:r>
            <w:r w:rsidRPr="00255FB4">
              <w:rPr>
                <w:rFonts w:cstheme="minorHAnsi"/>
                <w:color w:val="4472C4" w:themeColor="accent1"/>
                <w:szCs w:val="20"/>
              </w:rPr>
              <w:t>$</w:t>
            </w:r>
            <w:r>
              <w:rPr>
                <w:rFonts w:cstheme="minorHAnsi"/>
                <w:color w:val="4472C4" w:themeColor="accent1"/>
                <w:szCs w:val="20"/>
              </w:rPr>
              <w:t>34</w:t>
            </w:r>
            <w:r w:rsidRPr="00255FB4">
              <w:rPr>
                <w:rFonts w:cstheme="minorHAnsi"/>
                <w:color w:val="4472C4" w:themeColor="accent1"/>
                <w:szCs w:val="20"/>
              </w:rPr>
              <w:t>0</w:t>
            </w:r>
            <w:r w:rsidR="00621FCC">
              <w:rPr>
                <w:rFonts w:cstheme="minorHAnsi"/>
                <w:color w:val="4472C4" w:themeColor="accent1"/>
                <w:szCs w:val="20"/>
              </w:rPr>
              <w:t>.00</w:t>
            </w:r>
          </w:p>
        </w:tc>
      </w:tr>
    </w:tbl>
    <w:p w14:paraId="47568E3A" w14:textId="680A59CD" w:rsidR="008B005B" w:rsidRDefault="008B005B" w:rsidP="006A74B1">
      <w:pPr>
        <w:pStyle w:val="101Tablefootnotes"/>
        <w:rPr>
          <w:rFonts w:eastAsia="Arial Narrow"/>
        </w:rPr>
      </w:pPr>
      <w:r>
        <w:rPr>
          <w:rFonts w:eastAsia="Arial Narrow"/>
        </w:rPr>
        <w:lastRenderedPageBreak/>
        <w:t xml:space="preserve">Source: </w:t>
      </w:r>
      <w:r>
        <w:t>Table 11 of ratified PICO confirmation for Application 1796</w:t>
      </w:r>
      <w:r>
        <w:rPr>
          <w:rFonts w:eastAsia="Arial Narrow"/>
        </w:rPr>
        <w:t>.</w:t>
      </w:r>
    </w:p>
    <w:p w14:paraId="5E9B143F" w14:textId="771B11C0" w:rsidR="008B005B" w:rsidRDefault="004D1430" w:rsidP="006A74B1">
      <w:pPr>
        <w:pStyle w:val="101Tablefootnotes"/>
        <w:rPr>
          <w:rFonts w:eastAsia="Arial Narrow"/>
        </w:rPr>
      </w:pPr>
      <w:r>
        <w:rPr>
          <w:rFonts w:eastAsia="Arial Narrow"/>
        </w:rPr>
        <w:t>MBS = Medicare Benefits Schedule</w:t>
      </w:r>
      <w:r w:rsidR="008B005B">
        <w:rPr>
          <w:rFonts w:eastAsia="Arial Narrow"/>
        </w:rPr>
        <w:t>.</w:t>
      </w:r>
    </w:p>
    <w:p w14:paraId="0C032424" w14:textId="161CFEDD" w:rsidR="008E5F6E" w:rsidRDefault="008B005B" w:rsidP="008E5F6E">
      <w:pPr>
        <w:pStyle w:val="111Tablefootnoteslast-nostick"/>
        <w:spacing w:after="0"/>
        <w:rPr>
          <w:rFonts w:eastAsia="Arial Narrow"/>
        </w:rPr>
      </w:pPr>
      <w:r w:rsidRPr="6477669F">
        <w:rPr>
          <w:rFonts w:eastAsia="Arial Narrow"/>
        </w:rPr>
        <w:t xml:space="preserve">85% benefit reflects the 1 November </w:t>
      </w:r>
      <w:r w:rsidR="00A9781F">
        <w:rPr>
          <w:rFonts w:eastAsia="Arial Narrow"/>
        </w:rPr>
        <w:t>2025</w:t>
      </w:r>
      <w:r w:rsidR="00A9781F" w:rsidRPr="6477669F">
        <w:rPr>
          <w:rFonts w:eastAsia="Arial Narrow"/>
        </w:rPr>
        <w:t xml:space="preserve"> Greatest Permissible Gap (GPG) of $</w:t>
      </w:r>
      <w:r w:rsidR="00A9781F">
        <w:rPr>
          <w:rFonts w:eastAsia="Arial Narrow"/>
        </w:rPr>
        <w:t>104.50 and therefore differs to the fees in the ratified PICO confirmation</w:t>
      </w:r>
      <w:r w:rsidRPr="6477669F">
        <w:rPr>
          <w:rFonts w:eastAsia="Arial Narrow"/>
        </w:rPr>
        <w:t>. All out-of-hospital Medicare services that have an MBS fee of $</w:t>
      </w:r>
      <w:r>
        <w:rPr>
          <w:rFonts w:eastAsia="Arial Narrow"/>
        </w:rPr>
        <w:t>6</w:t>
      </w:r>
      <w:r w:rsidR="00EC3DD0">
        <w:rPr>
          <w:rFonts w:eastAsia="Arial Narrow"/>
        </w:rPr>
        <w:t>97</w:t>
      </w:r>
      <w:r>
        <w:rPr>
          <w:rFonts w:eastAsia="Arial Narrow"/>
        </w:rPr>
        <w:t>.00</w:t>
      </w:r>
      <w:r w:rsidRPr="6477669F">
        <w:rPr>
          <w:rFonts w:eastAsia="Arial Narrow"/>
        </w:rPr>
        <w:t xml:space="preserve"> or more will attract a benefit that is greater than 85% of the MBS fee – being the schedule fee less the GPG amount. The GPG amount is indexed annually on 1 November in line with the Consumer Price Index (CPI) (June quarter).</w:t>
      </w:r>
      <w:r>
        <w:rPr>
          <w:rFonts w:eastAsia="Arial Narrow"/>
        </w:rPr>
        <w:t xml:space="preserve"> </w:t>
      </w:r>
    </w:p>
    <w:p w14:paraId="7E64922B" w14:textId="3D34D993" w:rsidR="008B005B" w:rsidRPr="00094EB8" w:rsidRDefault="009B0934" w:rsidP="006A74B1">
      <w:pPr>
        <w:pStyle w:val="111Tablefootnoteslast-nostick"/>
        <w:rPr>
          <w:rFonts w:eastAsia="Arial Narrow"/>
        </w:rPr>
      </w:pPr>
      <w:r>
        <w:rPr>
          <w:rFonts w:eastAsia="Arial Narrow"/>
        </w:rPr>
        <w:t>Changes to fees were made by the assessment group following ratification of the PICO confirmation,</w:t>
      </w:r>
      <w:r w:rsidRPr="00D42B1B">
        <w:rPr>
          <w:rFonts w:eastAsia="Arial Narrow"/>
        </w:rPr>
        <w:t xml:space="preserve"> </w:t>
      </w:r>
      <w:r>
        <w:rPr>
          <w:rFonts w:eastAsia="Arial Narrow"/>
        </w:rPr>
        <w:t xml:space="preserve">to reflect updated GPG and post-PASC advice on the fee for item DDDD (see </w:t>
      </w:r>
      <w:hyperlink r:id="rId12" w:history="1">
        <w:r w:rsidRPr="00C85F2C">
          <w:rPr>
            <w:rStyle w:val="Hyperlink"/>
            <w:rFonts w:eastAsia="Arial Narrow"/>
            <w:color w:val="007BB8"/>
            <w:lang w:val="en-US"/>
          </w:rPr>
          <w:t>MSAC 1796 PICO</w:t>
        </w:r>
      </w:hyperlink>
      <w:r>
        <w:rPr>
          <w:rFonts w:eastAsia="Arial Narrow"/>
        </w:rPr>
        <w:t xml:space="preserve">, pg 38), </w:t>
      </w:r>
      <w:r w:rsidR="006B4CDF">
        <w:rPr>
          <w:rFonts w:eastAsia="Arial Narrow"/>
        </w:rPr>
        <w:t xml:space="preserve">these </w:t>
      </w:r>
      <w:r>
        <w:rPr>
          <w:rFonts w:eastAsia="Arial Narrow"/>
        </w:rPr>
        <w:t xml:space="preserve">are shown with </w:t>
      </w:r>
      <w:r w:rsidRPr="00913947">
        <w:rPr>
          <w:rFonts w:eastAsia="Arial Narrow"/>
          <w:strike/>
        </w:rPr>
        <w:t>strikethrough</w:t>
      </w:r>
      <w:r>
        <w:rPr>
          <w:rFonts w:eastAsia="Arial Narrow"/>
        </w:rPr>
        <w:t xml:space="preserve"> and </w:t>
      </w:r>
      <w:r w:rsidRPr="00913947">
        <w:rPr>
          <w:rFonts w:eastAsia="Arial Narrow"/>
          <w:color w:val="4472C4" w:themeColor="accent1"/>
        </w:rPr>
        <w:t>blue</w:t>
      </w:r>
      <w:r>
        <w:rPr>
          <w:rFonts w:eastAsia="Arial Narrow"/>
        </w:rPr>
        <w:t xml:space="preserve"> text.</w:t>
      </w:r>
    </w:p>
    <w:p w14:paraId="25ED49B9" w14:textId="0F7DB3DD" w:rsidR="0083570B" w:rsidRDefault="001E4871" w:rsidP="00531C7E">
      <w:pPr>
        <w:pStyle w:val="BodyText"/>
      </w:pPr>
      <w:r>
        <w:t xml:space="preserve">ADAMTS13 test volumes </w:t>
      </w:r>
      <w:r w:rsidR="005063CD">
        <w:t xml:space="preserve">from 3 Australian pathology laboratories </w:t>
      </w:r>
      <w:r>
        <w:t xml:space="preserve">were provided by the applicant </w:t>
      </w:r>
      <w:r w:rsidR="0028430B">
        <w:t xml:space="preserve">and show that ADAMTS13 testing is </w:t>
      </w:r>
      <w:r w:rsidR="001B53F4">
        <w:t xml:space="preserve">currently </w:t>
      </w:r>
      <w:r w:rsidR="0028430B">
        <w:t xml:space="preserve">in routine use. </w:t>
      </w:r>
      <w:r w:rsidR="008B675C">
        <w:t xml:space="preserve">During an acute episode, patients </w:t>
      </w:r>
      <w:r w:rsidR="00C21CF5">
        <w:t xml:space="preserve">may present at emergency </w:t>
      </w:r>
      <w:r w:rsidR="06584737">
        <w:t xml:space="preserve">department </w:t>
      </w:r>
      <w:r w:rsidR="00C21CF5">
        <w:t xml:space="preserve">or </w:t>
      </w:r>
      <w:r w:rsidR="0019360B">
        <w:t>are</w:t>
      </w:r>
      <w:r w:rsidR="008B675C">
        <w:t xml:space="preserve"> </w:t>
      </w:r>
      <w:r w:rsidR="001B53F4">
        <w:t>hospitalised,</w:t>
      </w:r>
      <w:r w:rsidR="008237AE">
        <w:t xml:space="preserve"> and </w:t>
      </w:r>
      <w:r w:rsidR="008B675C">
        <w:t xml:space="preserve">testing </w:t>
      </w:r>
      <w:r w:rsidR="00B25BA3">
        <w:t>is</w:t>
      </w:r>
      <w:r w:rsidR="008B675C">
        <w:t xml:space="preserve"> undertaken urgently</w:t>
      </w:r>
      <w:r w:rsidR="00084933">
        <w:t>.</w:t>
      </w:r>
      <w:r w:rsidR="008237AE">
        <w:t xml:space="preserve"> </w:t>
      </w:r>
      <w:r w:rsidR="00084933">
        <w:t>D</w:t>
      </w:r>
      <w:r w:rsidR="008237AE">
        <w:t xml:space="preserve">uring </w:t>
      </w:r>
      <w:r w:rsidR="00E436E1">
        <w:t>remission</w:t>
      </w:r>
      <w:r w:rsidR="00C76B4C">
        <w:t>,</w:t>
      </w:r>
      <w:r w:rsidR="008237AE">
        <w:t xml:space="preserve"> testing </w:t>
      </w:r>
      <w:r w:rsidR="00B25BA3">
        <w:t>is</w:t>
      </w:r>
      <w:r w:rsidR="008237AE">
        <w:t xml:space="preserve"> conducted on an out-patient basis during routine follow-up. </w:t>
      </w:r>
      <w:r w:rsidR="00B25BA3">
        <w:t xml:space="preserve">MBS funding may reduce out-of-pocket costs </w:t>
      </w:r>
      <w:r w:rsidR="007B6CDA">
        <w:t>for</w:t>
      </w:r>
      <w:r w:rsidR="00B25BA3">
        <w:t xml:space="preserve"> patients and </w:t>
      </w:r>
      <w:r w:rsidR="008814F4">
        <w:t xml:space="preserve">could shift </w:t>
      </w:r>
      <w:r w:rsidR="00E6132C">
        <w:t>costs during inpatient episodes from state/territory budgets to the Commonwealth.</w:t>
      </w:r>
    </w:p>
    <w:p w14:paraId="1BEC3100" w14:textId="1B05923D" w:rsidR="00531C7E" w:rsidRDefault="00531C7E" w:rsidP="00531C7E">
      <w:pPr>
        <w:pStyle w:val="BodyText"/>
      </w:pPr>
      <w:r>
        <w:t xml:space="preserve">The proposed fee </w:t>
      </w:r>
      <w:r w:rsidR="00607C94">
        <w:t>of $</w:t>
      </w:r>
      <w:r w:rsidR="00A42368">
        <w:t xml:space="preserve">700 </w:t>
      </w:r>
      <w:r>
        <w:t xml:space="preserve">for ADAMTS13 activity testing (proposed item AAAA) is designed to cover the cost implications of the test across the spectrum of clinical </w:t>
      </w:r>
      <w:r w:rsidDel="00F206CD">
        <w:t>scenarios (</w:t>
      </w:r>
      <w:r w:rsidR="00F206CD">
        <w:t>urgent</w:t>
      </w:r>
      <w:r>
        <w:t xml:space="preserve"> test</w:t>
      </w:r>
      <w:r w:rsidR="00EE3CFF">
        <w:t>ing</w:t>
      </w:r>
      <w:r>
        <w:t xml:space="preserve"> </w:t>
      </w:r>
      <w:r w:rsidR="00F206CD">
        <w:t>for diagnosis and</w:t>
      </w:r>
      <w:r>
        <w:t xml:space="preserve"> batched </w:t>
      </w:r>
      <w:r w:rsidR="00F206CD">
        <w:t xml:space="preserve">testing for </w:t>
      </w:r>
      <w:r>
        <w:t>monitoring</w:t>
      </w:r>
      <w:r w:rsidR="00D005F1">
        <w:t>)</w:t>
      </w:r>
      <w:r>
        <w:t xml:space="preserve"> while consolidating these into a single MBS item to reduce administrative burden. Although </w:t>
      </w:r>
      <w:r w:rsidRPr="00E17F39">
        <w:t>at least one laboratory publicly advertises a lower fee,</w:t>
      </w:r>
      <w:r>
        <w:t xml:space="preserve"> the applicant contends that</w:t>
      </w:r>
      <w:r w:rsidRPr="00E17F39">
        <w:t xml:space="preserve"> this reflects a restricted service; samples must arrive before 1</w:t>
      </w:r>
      <w:r>
        <w:t> </w:t>
      </w:r>
      <w:r w:rsidRPr="00E17F39">
        <w:t>pm, testing is performed in 2 to 3 weekly batches, and there is no weekend or after-hours service</w:t>
      </w:r>
      <w:r>
        <w:t>. Consequently</w:t>
      </w:r>
      <w:r w:rsidRPr="00E17F39">
        <w:t>, the</w:t>
      </w:r>
      <w:r>
        <w:t xml:space="preserve"> service does not offer </w:t>
      </w:r>
      <w:r w:rsidRPr="00E17F39">
        <w:t xml:space="preserve">true </w:t>
      </w:r>
      <w:r>
        <w:t>‘</w:t>
      </w:r>
      <w:r w:rsidRPr="00E17F39">
        <w:t>urgent</w:t>
      </w:r>
      <w:r>
        <w:t>’</w:t>
      </w:r>
      <w:r w:rsidRPr="00E17F39">
        <w:t xml:space="preserve"> testing</w:t>
      </w:r>
      <w:r w:rsidR="00CA4A3F">
        <w:t xml:space="preserve"> that would warrant higher reimbursement</w:t>
      </w:r>
      <w:r>
        <w:t>.</w:t>
      </w:r>
    </w:p>
    <w:p w14:paraId="4F2089FE" w14:textId="77777777" w:rsidR="00531C7E" w:rsidRDefault="00531C7E" w:rsidP="00531C7E">
      <w:pPr>
        <w:pStyle w:val="BodyText"/>
      </w:pPr>
      <w:r>
        <w:t>Anti-ADAMTS13 autoantibody testing costs (proposed item BBBB) are titre dependent. The average cost per test is clustered around $980–$1,140. The applicant contends that setting a flat fee of $1,050 ensures cost recovery across the full range of clinical scenarios, while avoiding the complexity and inequity of variable patient billing.</w:t>
      </w:r>
    </w:p>
    <w:p w14:paraId="2E5AA992" w14:textId="4CA834A0" w:rsidR="00531C7E" w:rsidRDefault="00531C7E" w:rsidP="00531C7E">
      <w:pPr>
        <w:pStyle w:val="BodyText"/>
      </w:pPr>
      <w:r w:rsidRPr="00F82F2F">
        <w:t xml:space="preserve">For </w:t>
      </w:r>
      <w:r>
        <w:rPr>
          <w:i/>
          <w:iCs/>
        </w:rPr>
        <w:t xml:space="preserve">ADAMTS13 </w:t>
      </w:r>
      <w:r w:rsidRPr="00F82F2F">
        <w:t xml:space="preserve">genetic testing </w:t>
      </w:r>
      <w:r>
        <w:t xml:space="preserve">of </w:t>
      </w:r>
      <w:r w:rsidR="00606AA9">
        <w:t>affected individuals</w:t>
      </w:r>
      <w:r w:rsidRPr="00F82F2F">
        <w:t xml:space="preserve"> (</w:t>
      </w:r>
      <w:r>
        <w:t>proposed item CCCC</w:t>
      </w:r>
      <w:r w:rsidRPr="00F82F2F">
        <w:t xml:space="preserve">), the use of a multi-gene panel such as </w:t>
      </w:r>
      <w:r>
        <w:t>a</w:t>
      </w:r>
      <w:r w:rsidRPr="00F82F2F">
        <w:t xml:space="preserve"> TMA panel would require similar services to those provided by the existing MBS items 73354, 73298, and 73296</w:t>
      </w:r>
      <w:r>
        <w:t>, which have a benefit of $1,200</w:t>
      </w:r>
      <w:r w:rsidRPr="00F82F2F">
        <w:t>.</w:t>
      </w:r>
      <w:r>
        <w:t xml:space="preserve"> Existing items for the sequencing of a single gene range from $400 (e.g. items 73411, 73452) to $1,200 (e.g. items 73405, 73454). Therefore, the requested benefit of $1,200 for </w:t>
      </w:r>
      <w:r w:rsidR="2C6D56DD">
        <w:t>affected individual</w:t>
      </w:r>
      <w:r>
        <w:t xml:space="preserve"> testing in PICO Set 1 is at the higher end of similar MBS services for single-gene sequencing. </w:t>
      </w:r>
    </w:p>
    <w:p w14:paraId="672806C6" w14:textId="5B32E19F" w:rsidR="00531C7E" w:rsidRDefault="00531C7E" w:rsidP="00531C7E">
      <w:pPr>
        <w:pStyle w:val="BodyText"/>
      </w:pPr>
      <w:r>
        <w:t>The applicant noted</w:t>
      </w:r>
      <w:r w:rsidRPr="005C7D19">
        <w:t xml:space="preserve"> </w:t>
      </w:r>
      <w:r>
        <w:t>that</w:t>
      </w:r>
      <w:r w:rsidRPr="005C7D19">
        <w:t xml:space="preserve"> lab</w:t>
      </w:r>
      <w:r>
        <w:t>oratorie</w:t>
      </w:r>
      <w:r w:rsidRPr="005C7D19">
        <w:t>s conduct</w:t>
      </w:r>
      <w:r>
        <w:t>ing</w:t>
      </w:r>
      <w:r w:rsidRPr="005C7D19">
        <w:t xml:space="preserve"> TMA panels estimate costs ranging from $850 to $1</w:t>
      </w:r>
      <w:r>
        <w:t>,</w:t>
      </w:r>
      <w:r w:rsidRPr="005C7D19">
        <w:t>820</w:t>
      </w:r>
      <w:r>
        <w:t>,</w:t>
      </w:r>
      <w:r w:rsidRPr="005C7D19">
        <w:t xml:space="preserve"> depending on the method and size of the panel</w:t>
      </w:r>
      <w:r>
        <w:t>. T</w:t>
      </w:r>
      <w:r w:rsidRPr="005C7D19">
        <w:t>he proposed fee of $1,200 is aimed at ensuring national availability of testing, without tying access to a single laboratory’s discounted pricing.</w:t>
      </w:r>
      <w:r>
        <w:t xml:space="preserve"> This range of pricing may include services for the proposed whole exome sequencing (WES) option. </w:t>
      </w:r>
      <w:r>
        <w:rPr>
          <w:lang w:val="en-GB"/>
        </w:rPr>
        <w:t xml:space="preserve">As the majority of </w:t>
      </w:r>
      <w:r w:rsidRPr="00DC3A33">
        <w:rPr>
          <w:i/>
          <w:iCs/>
        </w:rPr>
        <w:t>ADAMTS13</w:t>
      </w:r>
      <w:r>
        <w:t xml:space="preserve"> variants are private and largely </w:t>
      </w:r>
      <w:r w:rsidRPr="00C35B8F">
        <w:t xml:space="preserve">single-nucleotide </w:t>
      </w:r>
      <w:r>
        <w:t>changes or small insertions/deletions located in exons and flanking intronic regions rather than structural variants, sequencing of exons plus intron/exon boundaries (targeted exome sequencing) is usually sufficient for their detection. This can be achieved by single gene sequencing or as part of a next-generation sequencing (NGS) panel. WES is a more expensive service and does not provide additional value to the diagnosis of cTTP.</w:t>
      </w:r>
    </w:p>
    <w:p w14:paraId="0598D7BD" w14:textId="24D2D3AB" w:rsidR="00531C7E" w:rsidRPr="00934A2F" w:rsidRDefault="00531C7E" w:rsidP="00531C7E">
      <w:pPr>
        <w:pStyle w:val="BodyText"/>
        <w:rPr>
          <w:iCs/>
        </w:rPr>
      </w:pPr>
      <w:r>
        <w:t xml:space="preserve">Cascade testing (proposed item DDDD) can be achieved by </w:t>
      </w:r>
      <w:r w:rsidR="0071465E">
        <w:t>polymerase chain reaction (</w:t>
      </w:r>
      <w:r>
        <w:t>PCR</w:t>
      </w:r>
      <w:r w:rsidR="0071465E">
        <w:t>)</w:t>
      </w:r>
      <w:r>
        <w:t xml:space="preserve"> </w:t>
      </w:r>
      <w:r w:rsidR="00242666">
        <w:t>testing for</w:t>
      </w:r>
      <w:r>
        <w:t xml:space="preserve"> variants identified in the proband. The </w:t>
      </w:r>
      <w:r w:rsidR="005F44D7">
        <w:t xml:space="preserve">revised </w:t>
      </w:r>
      <w:r>
        <w:t xml:space="preserve">fee </w:t>
      </w:r>
      <w:r w:rsidR="00325CD9">
        <w:t xml:space="preserve">of $400 </w:t>
      </w:r>
      <w:r w:rsidR="003D284E">
        <w:t xml:space="preserve">post-PASC </w:t>
      </w:r>
      <w:r>
        <w:t xml:space="preserve">is consistent with similar MBS services for </w:t>
      </w:r>
      <w:r w:rsidR="00242666">
        <w:t xml:space="preserve">cascade </w:t>
      </w:r>
      <w:r>
        <w:t>testing (items 73299,</w:t>
      </w:r>
      <w:r w:rsidRPr="00E7003E">
        <w:t xml:space="preserve"> 73353</w:t>
      </w:r>
      <w:r>
        <w:t>, 73363</w:t>
      </w:r>
      <w:r>
        <w:rPr>
          <w:iCs/>
        </w:rPr>
        <w:t xml:space="preserve">, 73417, 73443, 73462). </w:t>
      </w:r>
      <w:r>
        <w:rPr>
          <w:lang w:val="en-US"/>
        </w:rPr>
        <w:t>MBS item Associated Notes PN.0.23, states that testing of biological relatives should only be performed after written informed consent and pre-test genetic counselling, noting further counselling may be necessary after test results are received.</w:t>
      </w:r>
    </w:p>
    <w:p w14:paraId="1530A0C1" w14:textId="5E554B8A" w:rsidR="001668E4" w:rsidRPr="00094EB8" w:rsidRDefault="00CC5E7F" w:rsidP="006A74B1">
      <w:pPr>
        <w:pStyle w:val="BodyText"/>
        <w:rPr>
          <w:rFonts w:eastAsia="Arial Narrow"/>
        </w:rPr>
      </w:pPr>
      <w:r>
        <w:lastRenderedPageBreak/>
        <w:t>There is scope for use of the proposed MBS item for differential diagnosis of aHUS and cTTP if it is included on an NGS TMA panel</w:t>
      </w:r>
      <w:r w:rsidR="00BE59A0">
        <w:t>,</w:t>
      </w:r>
      <w:r w:rsidR="004443D9">
        <w:t xml:space="preserve"> as </w:t>
      </w:r>
      <w:r w:rsidR="00C05D67">
        <w:t xml:space="preserve">aHUS patients </w:t>
      </w:r>
      <w:r w:rsidR="003534B2">
        <w:t xml:space="preserve">frequently have </w:t>
      </w:r>
      <w:r w:rsidR="004443D9">
        <w:t>reduced ADAMTS13 activity</w:t>
      </w:r>
      <w:r w:rsidR="003534B2">
        <w:t xml:space="preserve">, albeit not </w:t>
      </w:r>
      <w:r w:rsidR="00136F74">
        <w:t xml:space="preserve">less than </w:t>
      </w:r>
      <w:r w:rsidR="003534B2">
        <w:t>10%</w:t>
      </w:r>
      <w:r>
        <w:t>.</w:t>
      </w:r>
      <w:r w:rsidR="00DC5749">
        <w:t xml:space="preserve"> </w:t>
      </w:r>
      <w:r w:rsidR="00DC5749" w:rsidRPr="00FB50A7">
        <w:t xml:space="preserve">Some authors have suggested that </w:t>
      </w:r>
      <w:r w:rsidR="00DC5749">
        <w:t xml:space="preserve">where inherited TMAs are suspected, </w:t>
      </w:r>
      <w:r w:rsidR="00DC5749" w:rsidRPr="00FB50A7">
        <w:t xml:space="preserve">testing for variants in both complement-related genes and </w:t>
      </w:r>
      <w:r w:rsidR="00DC5749">
        <w:t xml:space="preserve">the </w:t>
      </w:r>
      <w:r w:rsidR="00DC5749" w:rsidRPr="00FB50A7">
        <w:rPr>
          <w:i/>
          <w:iCs/>
        </w:rPr>
        <w:t>ADAMTS13</w:t>
      </w:r>
      <w:r w:rsidR="00DC5749" w:rsidRPr="00A52AD2">
        <w:rPr>
          <w:i/>
          <w:iCs/>
        </w:rPr>
        <w:t xml:space="preserve"> </w:t>
      </w:r>
      <w:r w:rsidR="00DC5749" w:rsidRPr="00362996">
        <w:t>gene</w:t>
      </w:r>
      <w:r w:rsidR="00DC5749" w:rsidRPr="00FB50A7">
        <w:t xml:space="preserve"> should occur at least as a second-line investigation after complement testing, or, where multi-gene panels are available, as part of first-line testing (i.e. within a TMA panel).</w:t>
      </w:r>
      <w:r w:rsidR="004E2A94">
        <w:t xml:space="preserve"> The applicant’s experts noted </w:t>
      </w:r>
      <w:r w:rsidR="004E2A94" w:rsidRPr="0069373E">
        <w:t xml:space="preserve">a TMA panel has utility outside of solely identifying an </w:t>
      </w:r>
      <w:r w:rsidR="004E2A94" w:rsidRPr="003010D0">
        <w:rPr>
          <w:i/>
        </w:rPr>
        <w:t>ADAMTS13</w:t>
      </w:r>
      <w:r w:rsidR="004E2A94" w:rsidRPr="0069373E">
        <w:t xml:space="preserve"> variant</w:t>
      </w:r>
      <w:r w:rsidR="0049281B">
        <w:t xml:space="preserve">, </w:t>
      </w:r>
      <w:r w:rsidR="00133545">
        <w:t xml:space="preserve">while acknowledging </w:t>
      </w:r>
      <w:r w:rsidR="00133545" w:rsidRPr="0069373E">
        <w:t xml:space="preserve">benefits </w:t>
      </w:r>
      <w:r w:rsidR="00133545">
        <w:t xml:space="preserve">from such broader utility </w:t>
      </w:r>
      <w:r w:rsidR="00133545" w:rsidRPr="0069373E">
        <w:t xml:space="preserve">will not be captured in the clinical or cost-effectiveness analyses conducted for this </w:t>
      </w:r>
      <w:r w:rsidR="00133545">
        <w:t>DCAR</w:t>
      </w:r>
      <w:r w:rsidR="0018521E">
        <w:t>.</w:t>
      </w:r>
    </w:p>
    <w:p w14:paraId="45056C5E" w14:textId="2426B178" w:rsidR="00742FD9" w:rsidRDefault="00E502D1" w:rsidP="00055104">
      <w:pPr>
        <w:pStyle w:val="ExecSumHeading2"/>
        <w:numPr>
          <w:ilvl w:val="0"/>
          <w:numId w:val="36"/>
        </w:numPr>
        <w:ind w:hanging="720"/>
      </w:pPr>
      <w:bookmarkStart w:id="7" w:name="_Toc216879519"/>
      <w:r>
        <w:t>Population</w:t>
      </w:r>
      <w:bookmarkEnd w:id="7"/>
    </w:p>
    <w:p w14:paraId="4B4F1F33" w14:textId="08F0234C" w:rsidR="00401379" w:rsidRDefault="00401379" w:rsidP="00401379">
      <w:pPr>
        <w:pStyle w:val="BodyText"/>
      </w:pPr>
      <w:r>
        <w:t xml:space="preserve">The ratified PICO confirmation specified </w:t>
      </w:r>
      <w:r w:rsidR="002E4D32">
        <w:t>3 PICO Sets</w:t>
      </w:r>
      <w:r w:rsidR="00E37B32">
        <w:t>:</w:t>
      </w:r>
      <w:r w:rsidR="002E4D32">
        <w:t xml:space="preserve"> PICO Set 1 for diagnosis of TTP, PICO Set 2 for diagnosis in first-degree </w:t>
      </w:r>
      <w:r w:rsidR="00685B36">
        <w:t>biolo</w:t>
      </w:r>
      <w:r w:rsidR="001944C2">
        <w:t xml:space="preserve">gical </w:t>
      </w:r>
      <w:r w:rsidR="008C3605">
        <w:t>relatives</w:t>
      </w:r>
      <w:r w:rsidR="002E4D32">
        <w:t xml:space="preserve"> of patients with cTTP</w:t>
      </w:r>
      <w:r w:rsidR="00E37B32">
        <w:t>,</w:t>
      </w:r>
      <w:r w:rsidR="002E4D32">
        <w:t xml:space="preserve"> and PICO Set 3 for monitoring. </w:t>
      </w:r>
    </w:p>
    <w:p w14:paraId="2F9E039E" w14:textId="05565D2A" w:rsidR="002E4D32" w:rsidRDefault="0070109B" w:rsidP="0070109B">
      <w:pPr>
        <w:pStyle w:val="ExecSumHeading3"/>
      </w:pPr>
      <w:bookmarkStart w:id="8" w:name="_Toc216879520"/>
      <w:r>
        <w:t>PICO Set 1</w:t>
      </w:r>
      <w:bookmarkEnd w:id="8"/>
    </w:p>
    <w:p w14:paraId="10313932" w14:textId="4428BFF5" w:rsidR="00F50904" w:rsidRDefault="00343C93" w:rsidP="00DF6D10">
      <w:pPr>
        <w:pStyle w:val="BodyText"/>
        <w:rPr>
          <w:lang w:val="en-US"/>
        </w:rPr>
      </w:pPr>
      <w:r w:rsidRPr="003C7F40">
        <w:rPr>
          <w:lang w:val="en-US"/>
        </w:rPr>
        <w:t xml:space="preserve">The </w:t>
      </w:r>
      <w:r w:rsidR="00BD04C2">
        <w:rPr>
          <w:lang w:val="en-US"/>
        </w:rPr>
        <w:t xml:space="preserve">proposed </w:t>
      </w:r>
      <w:r w:rsidRPr="003C7F40">
        <w:rPr>
          <w:lang w:val="en-US"/>
        </w:rPr>
        <w:t xml:space="preserve">intervention (ADAMTS13 testing) is additional to the current diagnosis and management of TTP. </w:t>
      </w:r>
    </w:p>
    <w:p w14:paraId="5C0C77D2" w14:textId="55008668" w:rsidR="00005C63" w:rsidRDefault="004147C6" w:rsidP="002A6B97">
      <w:pPr>
        <w:pStyle w:val="BodyText"/>
        <w:spacing w:after="0"/>
      </w:pPr>
      <w:r w:rsidRPr="00F150D5">
        <w:t>The population for PICO Set 1 is patients presenting with</w:t>
      </w:r>
      <w:r w:rsidR="00650CC5">
        <w:t xml:space="preserve"> </w:t>
      </w:r>
      <w:r w:rsidRPr="00F150D5">
        <w:t>symptoms and signs suggestive of TMA</w:t>
      </w:r>
      <w:r w:rsidR="00005C63">
        <w:t>,</w:t>
      </w:r>
    </w:p>
    <w:p w14:paraId="655DA4BB" w14:textId="5CD8D9D1" w:rsidR="00005C63" w:rsidRDefault="00005C63" w:rsidP="00267F3D">
      <w:pPr>
        <w:pStyle w:val="ListParagraph"/>
        <w:numPr>
          <w:ilvl w:val="0"/>
          <w:numId w:val="6"/>
        </w:numPr>
        <w:spacing w:before="0"/>
        <w:ind w:left="714" w:hanging="357"/>
      </w:pPr>
      <w:r>
        <w:t>thrombocytopenia</w:t>
      </w:r>
      <w:r w:rsidR="005E6B5F">
        <w:t>,</w:t>
      </w:r>
      <w:r>
        <w:t xml:space="preserve"> </w:t>
      </w:r>
    </w:p>
    <w:p w14:paraId="548573EC" w14:textId="77777777" w:rsidR="00005C63" w:rsidRDefault="00005C63" w:rsidP="00267F3D">
      <w:pPr>
        <w:pStyle w:val="ListParagraph"/>
        <w:numPr>
          <w:ilvl w:val="0"/>
          <w:numId w:val="6"/>
        </w:numPr>
      </w:pPr>
      <w:r>
        <w:t xml:space="preserve">microangiopathic haemolytic anaemia (MAHA) with red cell fragments (schistocytes) and </w:t>
      </w:r>
    </w:p>
    <w:p w14:paraId="200A0592" w14:textId="77777777" w:rsidR="00005C63" w:rsidRDefault="00005C63" w:rsidP="00267F3D">
      <w:pPr>
        <w:pStyle w:val="ListParagraph"/>
        <w:numPr>
          <w:ilvl w:val="0"/>
          <w:numId w:val="6"/>
        </w:numPr>
      </w:pPr>
      <w:r>
        <w:t>clinical and laboratory abnormalities attributable to organ-specific dysfunction.</w:t>
      </w:r>
    </w:p>
    <w:p w14:paraId="6C534E44" w14:textId="062915E6" w:rsidR="007E3D96" w:rsidRDefault="00005C63" w:rsidP="00005C63">
      <w:r>
        <w:t>The population is also defined by</w:t>
      </w:r>
      <w:r w:rsidR="00DF6D10">
        <w:t xml:space="preserve"> </w:t>
      </w:r>
      <w:r w:rsidR="004147C6" w:rsidRPr="00F150D5">
        <w:t xml:space="preserve">a PLASMIC score &gt;4. </w:t>
      </w:r>
      <w:r w:rsidR="00661D72">
        <w:t>The PLASMIC scoring system is based on clinical and laboratory criteria</w:t>
      </w:r>
      <w:r w:rsidR="000B142F">
        <w:t xml:space="preserve">. It </w:t>
      </w:r>
      <w:r w:rsidR="00661D72">
        <w:t>is</w:t>
      </w:r>
      <w:r w:rsidR="000B142F">
        <w:t xml:space="preserve"> a</w:t>
      </w:r>
      <w:r w:rsidR="00661D72">
        <w:t xml:space="preserve"> </w:t>
      </w:r>
      <w:r w:rsidR="00EF3F4E">
        <w:t xml:space="preserve">clinical prediction tool primarily </w:t>
      </w:r>
      <w:r w:rsidR="00661D72">
        <w:t xml:space="preserve">used </w:t>
      </w:r>
      <w:r w:rsidR="00EF3F4E">
        <w:t xml:space="preserve">by clinicians </w:t>
      </w:r>
      <w:r w:rsidR="00D31AD1">
        <w:t xml:space="preserve">in hospital settings </w:t>
      </w:r>
      <w:r w:rsidR="00661D72">
        <w:t xml:space="preserve">to </w:t>
      </w:r>
      <w:r w:rsidR="007E3D96">
        <w:t>identify patients with a</w:t>
      </w:r>
      <w:r w:rsidR="000830CC">
        <w:t xml:space="preserve"> greater</w:t>
      </w:r>
      <w:r w:rsidR="007E3D96">
        <w:t xml:space="preserve"> likelihood of having TTP.</w:t>
      </w:r>
      <w:r w:rsidR="000830CC">
        <w:t xml:space="preserve"> </w:t>
      </w:r>
      <w:r w:rsidR="00567566">
        <w:t>P</w:t>
      </w:r>
      <w:r w:rsidR="000830CC">
        <w:t xml:space="preserve">atients who meet these criteria </w:t>
      </w:r>
      <w:r w:rsidR="00567566">
        <w:t xml:space="preserve">commence </w:t>
      </w:r>
      <w:r w:rsidR="006B091C">
        <w:t xml:space="preserve">PEX </w:t>
      </w:r>
      <w:r w:rsidR="00EE2053">
        <w:t xml:space="preserve">and </w:t>
      </w:r>
      <w:r w:rsidR="00EE2053" w:rsidRPr="00A10BAF">
        <w:rPr>
          <w:b/>
          <w:bCs/>
        </w:rPr>
        <w:t>ADAMTS13 activity testing</w:t>
      </w:r>
      <w:r w:rsidR="00EE2053">
        <w:t xml:space="preserve">. </w:t>
      </w:r>
      <w:r w:rsidR="00EE2053">
        <w:rPr>
          <w:lang w:val="en-US"/>
        </w:rPr>
        <w:t>B</w:t>
      </w:r>
      <w:r w:rsidR="00EE2053" w:rsidRPr="003C7F40">
        <w:rPr>
          <w:lang w:val="en-US"/>
        </w:rPr>
        <w:t>lood samples for ADAMTS13 testing are taken prior to the initiation of PEX therapy; however, treatment is not delayed while awaiting the results.</w:t>
      </w:r>
    </w:p>
    <w:p w14:paraId="3FFCD121" w14:textId="2E594FB3" w:rsidR="00A10BAF" w:rsidRDefault="00A10BAF" w:rsidP="00A86AE0">
      <w:pPr>
        <w:pStyle w:val="BodyText"/>
      </w:pPr>
      <w:r w:rsidRPr="00A10BAF">
        <w:t>An ADAMTS13 activity level of &lt;10% confirms a diagnosis of TTP and these patients remain on PEX (&lt;10% supports a diagnosis of TTP, although 1% is more typically observed in these patients). An ADAMTS13 activity level ≥10% excludes a diagnosis of TTP and these patients can safely cease PEX</w:t>
      </w:r>
      <w:r w:rsidR="00FD0D53">
        <w:t xml:space="preserve">. If </w:t>
      </w:r>
      <w:r w:rsidRPr="00A10BAF">
        <w:t>further testing confirm</w:t>
      </w:r>
      <w:r w:rsidR="00FD0D53">
        <w:t>s</w:t>
      </w:r>
      <w:r w:rsidRPr="00A10BAF">
        <w:t xml:space="preserve"> a diagnosis of</w:t>
      </w:r>
      <w:r w:rsidR="00A86AE0">
        <w:t xml:space="preserve"> </w:t>
      </w:r>
      <w:r w:rsidRPr="00A10BAF">
        <w:t>aHUS, these patients would be considered for PBS-listed complement inhibitors (eculizumab or ravulizumab)</w:t>
      </w:r>
      <w:r w:rsidR="00FD0D53">
        <w:t xml:space="preserve"> where ADAMTS13 activity </w:t>
      </w:r>
      <w:r w:rsidR="000578AE">
        <w:t xml:space="preserve">≥10% </w:t>
      </w:r>
      <w:r w:rsidR="00FD0D53">
        <w:t>is a requirement</w:t>
      </w:r>
      <w:r w:rsidR="00A86AE0">
        <w:t xml:space="preserve"> for access</w:t>
      </w:r>
      <w:r w:rsidRPr="00A10BAF">
        <w:t xml:space="preserve">. </w:t>
      </w:r>
    </w:p>
    <w:p w14:paraId="117C412E" w14:textId="453F769F" w:rsidR="000F50C0" w:rsidRDefault="000F50C0" w:rsidP="000F50C0">
      <w:pPr>
        <w:rPr>
          <w:lang w:val="en-GB"/>
        </w:rPr>
      </w:pPr>
      <w:r w:rsidRPr="00554A74">
        <w:rPr>
          <w:lang w:val="en-GB"/>
        </w:rPr>
        <w:t xml:space="preserve">Patients with confirmed TTP are the population who undergo </w:t>
      </w:r>
      <w:r w:rsidRPr="000F50C0">
        <w:rPr>
          <w:b/>
          <w:bCs/>
          <w:lang w:val="en-GB"/>
        </w:rPr>
        <w:t>anti-ADAMTS13 autoantibody testing</w:t>
      </w:r>
      <w:r w:rsidRPr="00554A74">
        <w:rPr>
          <w:lang w:val="en-GB"/>
        </w:rPr>
        <w:t xml:space="preserve"> to distinguish those with iTTP</w:t>
      </w:r>
      <w:r w:rsidR="00D32222">
        <w:rPr>
          <w:lang w:val="en-GB"/>
        </w:rPr>
        <w:t xml:space="preserve"> (</w:t>
      </w:r>
      <w:r w:rsidR="00893AB9">
        <w:rPr>
          <w:lang w:val="en-GB"/>
        </w:rPr>
        <w:t>positive autoantibodies)</w:t>
      </w:r>
      <w:r w:rsidRPr="00554A74">
        <w:rPr>
          <w:lang w:val="en-GB"/>
        </w:rPr>
        <w:t xml:space="preserve"> from suspected cTTP</w:t>
      </w:r>
      <w:r w:rsidR="00893AB9">
        <w:rPr>
          <w:lang w:val="en-GB"/>
        </w:rPr>
        <w:t xml:space="preserve"> (no autoantibodies)</w:t>
      </w:r>
      <w:r w:rsidRPr="00554A74">
        <w:rPr>
          <w:lang w:val="en-GB"/>
        </w:rPr>
        <w:t xml:space="preserve">. This is important because PEX is continued </w:t>
      </w:r>
      <w:r w:rsidR="00DB68FE">
        <w:rPr>
          <w:lang w:val="en-GB"/>
        </w:rPr>
        <w:t>in patients with</w:t>
      </w:r>
      <w:r w:rsidR="00DB68FE" w:rsidRPr="00554A74">
        <w:rPr>
          <w:lang w:val="en-GB"/>
        </w:rPr>
        <w:t xml:space="preserve"> </w:t>
      </w:r>
      <w:r w:rsidRPr="00554A74">
        <w:rPr>
          <w:lang w:val="en-GB"/>
        </w:rPr>
        <w:t xml:space="preserve">iTTP to </w:t>
      </w:r>
      <w:r w:rsidR="006038D7">
        <w:rPr>
          <w:lang w:val="en-GB"/>
        </w:rPr>
        <w:t>remove</w:t>
      </w:r>
      <w:r w:rsidR="006038D7" w:rsidRPr="00554A74">
        <w:rPr>
          <w:lang w:val="en-GB"/>
        </w:rPr>
        <w:t xml:space="preserve"> </w:t>
      </w:r>
      <w:r w:rsidRPr="00554A74">
        <w:rPr>
          <w:lang w:val="en-GB"/>
        </w:rPr>
        <w:t xml:space="preserve">anti-ADAMTS13 antibodies </w:t>
      </w:r>
      <w:r w:rsidR="00B8266F">
        <w:rPr>
          <w:lang w:val="en-GB"/>
        </w:rPr>
        <w:t>and restore enzyme activity, whereas it is</w:t>
      </w:r>
      <w:r w:rsidR="00B8266F" w:rsidRPr="00554A74">
        <w:rPr>
          <w:lang w:val="en-GB"/>
        </w:rPr>
        <w:t xml:space="preserve"> </w:t>
      </w:r>
      <w:r w:rsidRPr="00554A74">
        <w:rPr>
          <w:lang w:val="en-GB"/>
        </w:rPr>
        <w:t xml:space="preserve">discontinued </w:t>
      </w:r>
      <w:r w:rsidR="00B8266F">
        <w:rPr>
          <w:lang w:val="en-GB"/>
        </w:rPr>
        <w:t>in</w:t>
      </w:r>
      <w:r w:rsidRPr="00554A74">
        <w:rPr>
          <w:lang w:val="en-GB"/>
        </w:rPr>
        <w:t xml:space="preserve"> suspected cTTP</w:t>
      </w:r>
      <w:r w:rsidR="00B8266F">
        <w:rPr>
          <w:lang w:val="en-GB"/>
        </w:rPr>
        <w:t>, where</w:t>
      </w:r>
      <w:r w:rsidRPr="00554A74">
        <w:rPr>
          <w:lang w:val="en-GB"/>
        </w:rPr>
        <w:t xml:space="preserve"> the pathology is not immune-mediated.</w:t>
      </w:r>
    </w:p>
    <w:p w14:paraId="543CA177" w14:textId="31412CBD" w:rsidR="00273AC2" w:rsidRDefault="00273AC2" w:rsidP="000F50C0">
      <w:pPr>
        <w:rPr>
          <w:lang w:val="en-GB"/>
        </w:rPr>
      </w:pPr>
      <w:r w:rsidRPr="00554A74">
        <w:rPr>
          <w:lang w:val="en-GB"/>
        </w:rPr>
        <w:t xml:space="preserve">Only those patients with suspected cTTP would be eligible for </w:t>
      </w:r>
      <w:r w:rsidRPr="00273AC2">
        <w:rPr>
          <w:b/>
          <w:bCs/>
          <w:i/>
          <w:iCs/>
          <w:lang w:val="en-GB"/>
        </w:rPr>
        <w:t>ADAMTS13</w:t>
      </w:r>
      <w:r w:rsidRPr="00273AC2">
        <w:rPr>
          <w:b/>
          <w:bCs/>
          <w:lang w:val="en-GB"/>
        </w:rPr>
        <w:t xml:space="preserve"> genetic testing</w:t>
      </w:r>
      <w:r w:rsidR="00F34EEA">
        <w:rPr>
          <w:b/>
          <w:bCs/>
          <w:lang w:val="en-GB"/>
        </w:rPr>
        <w:t xml:space="preserve">. </w:t>
      </w:r>
      <w:r w:rsidR="00F34EEA" w:rsidRPr="00554A74">
        <w:rPr>
          <w:lang w:val="en-GB"/>
        </w:rPr>
        <w:t xml:space="preserve">Unlike the earlier </w:t>
      </w:r>
      <w:r w:rsidR="00A737BA">
        <w:rPr>
          <w:lang w:val="en-GB"/>
        </w:rPr>
        <w:t xml:space="preserve">ADAMTS13 activity and anti-ADAMTS13 autoantibody </w:t>
      </w:r>
      <w:r w:rsidR="00F34EEA" w:rsidRPr="00554A74">
        <w:rPr>
          <w:lang w:val="en-GB"/>
        </w:rPr>
        <w:t xml:space="preserve">tests in the diagnostic pathway, </w:t>
      </w:r>
      <w:r w:rsidR="00F34EEA" w:rsidRPr="005C4484">
        <w:rPr>
          <w:i/>
          <w:iCs/>
          <w:lang w:val="en-GB"/>
        </w:rPr>
        <w:t>ADAMTS13</w:t>
      </w:r>
      <w:r w:rsidR="00F34EEA" w:rsidRPr="00554A74">
        <w:rPr>
          <w:lang w:val="en-GB"/>
        </w:rPr>
        <w:t xml:space="preserve"> genetic testing occurs once a clinical response has been achieved and where ADAMTS13 activity levels remain persistently low</w:t>
      </w:r>
      <w:r w:rsidR="00F71667">
        <w:rPr>
          <w:lang w:val="en-GB"/>
        </w:rPr>
        <w:t>.</w:t>
      </w:r>
      <w:r w:rsidR="00F34EEA">
        <w:rPr>
          <w:lang w:val="en-GB"/>
        </w:rPr>
        <w:t xml:space="preserve"> </w:t>
      </w:r>
      <w:r w:rsidR="00F71667">
        <w:rPr>
          <w:lang w:val="en-GB"/>
        </w:rPr>
        <w:t>T</w:t>
      </w:r>
      <w:r w:rsidR="00101703">
        <w:rPr>
          <w:lang w:val="en-GB"/>
        </w:rPr>
        <w:t xml:space="preserve">his </w:t>
      </w:r>
      <w:r w:rsidR="0064252B">
        <w:rPr>
          <w:lang w:val="en-GB"/>
        </w:rPr>
        <w:t>contrasts with</w:t>
      </w:r>
      <w:r w:rsidR="00F34EEA">
        <w:rPr>
          <w:lang w:val="en-GB"/>
        </w:rPr>
        <w:t xml:space="preserve"> the earlier tests </w:t>
      </w:r>
      <w:r w:rsidR="00101703">
        <w:rPr>
          <w:lang w:val="en-GB"/>
        </w:rPr>
        <w:t xml:space="preserve">that </w:t>
      </w:r>
      <w:r w:rsidR="00F34EEA">
        <w:rPr>
          <w:lang w:val="en-GB"/>
        </w:rPr>
        <w:t xml:space="preserve">occur during an acute episode when patients are hospitalised. </w:t>
      </w:r>
    </w:p>
    <w:p w14:paraId="513D8EDE" w14:textId="06DAB747" w:rsidR="0001157F" w:rsidRDefault="00FA29D3" w:rsidP="002A6B97">
      <w:pPr>
        <w:spacing w:after="0"/>
      </w:pPr>
      <w:r>
        <w:t>In</w:t>
      </w:r>
      <w:r w:rsidR="0001157F">
        <w:t xml:space="preserve"> Australian laboratories, one of the following 3 ADAMTS13 activity assay tests </w:t>
      </w:r>
      <w:r w:rsidR="004D0D6C">
        <w:t>are</w:t>
      </w:r>
      <w:r w:rsidR="0001157F">
        <w:t xml:space="preserve"> typically used:</w:t>
      </w:r>
    </w:p>
    <w:p w14:paraId="419ECA38" w14:textId="77777777" w:rsidR="0001157F" w:rsidRDefault="0001157F" w:rsidP="00267F3D">
      <w:pPr>
        <w:pStyle w:val="ListParagraph"/>
        <w:numPr>
          <w:ilvl w:val="0"/>
          <w:numId w:val="7"/>
        </w:numPr>
        <w:spacing w:before="0"/>
        <w:ind w:left="1077"/>
      </w:pPr>
      <w:r>
        <w:lastRenderedPageBreak/>
        <w:t>enzyme-linked immunosorbent assay (ELISA)</w:t>
      </w:r>
    </w:p>
    <w:p w14:paraId="03C08B95" w14:textId="77777777" w:rsidR="0001157F" w:rsidRDefault="0001157F" w:rsidP="00267F3D">
      <w:pPr>
        <w:pStyle w:val="ListParagraph"/>
        <w:numPr>
          <w:ilvl w:val="0"/>
          <w:numId w:val="7"/>
        </w:numPr>
      </w:pPr>
      <w:r>
        <w:t xml:space="preserve">fluorescence resonance energy transfer assay (FRETS-VWF73) </w:t>
      </w:r>
    </w:p>
    <w:p w14:paraId="0CB78050" w14:textId="58BFF8C3" w:rsidR="0001157F" w:rsidRDefault="0001157F" w:rsidP="00267F3D">
      <w:pPr>
        <w:pStyle w:val="ListParagraph"/>
        <w:numPr>
          <w:ilvl w:val="0"/>
          <w:numId w:val="7"/>
        </w:numPr>
      </w:pPr>
      <w:r>
        <w:t>chemiluminescence immunoassay (CLIA).</w:t>
      </w:r>
    </w:p>
    <w:p w14:paraId="587FAE49" w14:textId="41C4E35D" w:rsidR="0001682C" w:rsidRDefault="00A75222" w:rsidP="000F50C0">
      <w:r>
        <w:t>The CLIA test is typically performed with HemosIL AcuStar instrumentation</w:t>
      </w:r>
      <w:r>
        <w:rPr>
          <w:rStyle w:val="FootnoteReference"/>
        </w:rPr>
        <w:footnoteReference w:id="3"/>
      </w:r>
      <w:r>
        <w:t xml:space="preserve"> and is supplied as a fully automated commercial kit. CLIA testing of ADAMTS13 activity with AcuStar typically has a more rapid turn-around time compared to the ELISA or FRETS-VWF73 tests, which are likely to involve batch runs with other tests in pathology laboratories.</w:t>
      </w:r>
      <w:r w:rsidR="00482D75" w:rsidRPr="00482D75">
        <w:t xml:space="preserve"> </w:t>
      </w:r>
      <w:r w:rsidR="00482D75">
        <w:t>In Australia</w:t>
      </w:r>
      <w:r w:rsidR="0086545D">
        <w:t>,</w:t>
      </w:r>
      <w:r w:rsidR="00482D75">
        <w:t xml:space="preserve"> ADAMTS13 activity testing is performed almost exclusively on the AcuStar platform. MBS funding is not sought for a specific ADAMTS13 activity assay, and ongoing development of commercial tests is anticipated.</w:t>
      </w:r>
    </w:p>
    <w:p w14:paraId="5950C316" w14:textId="02855098" w:rsidR="001B30A1" w:rsidRPr="00D2679A" w:rsidRDefault="0071183B" w:rsidP="000F50C0">
      <w:r>
        <w:t>The Therapeutic Goods Administration (TGA) issued notifications for HemosIL AcuStar ADAMTS13 activity testing in February 2022 and again in August 2024</w:t>
      </w:r>
      <w:r>
        <w:rPr>
          <w:rStyle w:val="FootnoteReference"/>
        </w:rPr>
        <w:footnoteReference w:id="4"/>
      </w:r>
      <w:r>
        <w:t xml:space="preserve">, following findings that AcuStar ADAMTS13 activity testing produced a relatively high rate of false positives around the diagnostic threshold compared to the FRETS-VWF73 test (i.e. returning values &lt;10% when other tests found &gt;10%). For this reason, </w:t>
      </w:r>
      <w:r w:rsidR="0072445A">
        <w:t xml:space="preserve">the diagnostic accuracy of CLIA AcuStar </w:t>
      </w:r>
      <w:r w:rsidR="00C37DF3">
        <w:t>compared to a clinical reference standard of ELISA or FRETS-VWF73 was also considered in the assessment.</w:t>
      </w:r>
    </w:p>
    <w:p w14:paraId="54B47B47" w14:textId="569E5D6F" w:rsidR="000F50C0" w:rsidRDefault="00101703" w:rsidP="00101703">
      <w:pPr>
        <w:pStyle w:val="ExecSumHeading3"/>
      </w:pPr>
      <w:bookmarkStart w:id="9" w:name="_Toc216879521"/>
      <w:r>
        <w:t>PICO Set 2</w:t>
      </w:r>
      <w:bookmarkEnd w:id="9"/>
    </w:p>
    <w:p w14:paraId="2425D9F5" w14:textId="07036A02" w:rsidR="00101703" w:rsidRDefault="00101703" w:rsidP="00101703">
      <w:pPr>
        <w:pStyle w:val="BodyText"/>
      </w:pPr>
      <w:r>
        <w:t xml:space="preserve">PICO Set 2 is for </w:t>
      </w:r>
      <w:r w:rsidRPr="3EA7617C">
        <w:rPr>
          <w:i/>
          <w:iCs/>
        </w:rPr>
        <w:t>ADAMTS13</w:t>
      </w:r>
      <w:r>
        <w:t xml:space="preserve"> genetic testing </w:t>
      </w:r>
      <w:r w:rsidR="001A7316">
        <w:t>in the</w:t>
      </w:r>
      <w:r>
        <w:t xml:space="preserve"> first-degree biological </w:t>
      </w:r>
      <w:r w:rsidR="00CA348F">
        <w:t>relatives</w:t>
      </w:r>
      <w:r w:rsidR="001A7316">
        <w:t xml:space="preserve"> of probands (i.e. those affected individuals who </w:t>
      </w:r>
      <w:r w:rsidR="000915C8">
        <w:t>have been</w:t>
      </w:r>
      <w:r w:rsidR="001A7316">
        <w:t xml:space="preserve"> found </w:t>
      </w:r>
      <w:r w:rsidR="000915C8">
        <w:t>to have a relevant pathogenic or likely pathogenic genetic variant</w:t>
      </w:r>
      <w:r w:rsidR="1A491557">
        <w:t>s</w:t>
      </w:r>
      <w:r w:rsidR="000915C8">
        <w:t>)</w:t>
      </w:r>
      <w:r w:rsidR="00E53504">
        <w:t>.</w:t>
      </w:r>
      <w:r>
        <w:t xml:space="preserve"> </w:t>
      </w:r>
      <w:r w:rsidR="00E53504">
        <w:t>P</w:t>
      </w:r>
      <w:r>
        <w:t>ASC confirm</w:t>
      </w:r>
      <w:r w:rsidR="00E53504">
        <w:t>ed</w:t>
      </w:r>
      <w:r>
        <w:t xml:space="preserve"> siblings are the </w:t>
      </w:r>
      <w:r w:rsidR="00F75DD2">
        <w:t xml:space="preserve">most </w:t>
      </w:r>
      <w:r>
        <w:t xml:space="preserve">relevant population for </w:t>
      </w:r>
      <w:r w:rsidR="001A7316">
        <w:t xml:space="preserve">cascade </w:t>
      </w:r>
      <w:r>
        <w:t>testing.</w:t>
      </w:r>
      <w:r w:rsidR="00694606">
        <w:t xml:space="preserve"> cTTP disease onset can occur from childhood (including neonatal presentation) through to later decades</w:t>
      </w:r>
      <w:r w:rsidR="00126801">
        <w:t>.</w:t>
      </w:r>
      <w:r w:rsidR="00694606">
        <w:t xml:space="preserve"> </w:t>
      </w:r>
      <w:r w:rsidR="00126801">
        <w:t>T</w:t>
      </w:r>
      <w:r w:rsidR="00694606">
        <w:t>riggering events for acute episodes include pregnancy, bacterial and viral infections, neoplasia, autoimmune disorders, and exposure to certain drugs</w:t>
      </w:r>
      <w:r w:rsidR="00044C5A">
        <w:t xml:space="preserve">. </w:t>
      </w:r>
    </w:p>
    <w:p w14:paraId="67D763DD" w14:textId="60B1A635" w:rsidR="00875520" w:rsidRDefault="00875520" w:rsidP="00875520">
      <w:pPr>
        <w:pStyle w:val="ExecSumHeading3"/>
      </w:pPr>
      <w:bookmarkStart w:id="10" w:name="_Toc216879522"/>
      <w:r>
        <w:t>PICO Set 3</w:t>
      </w:r>
      <w:bookmarkEnd w:id="10"/>
    </w:p>
    <w:p w14:paraId="0D8D3E93" w14:textId="5360151C" w:rsidR="00DA284A" w:rsidRDefault="00875520" w:rsidP="002A6B97">
      <w:pPr>
        <w:pStyle w:val="BodyText"/>
        <w:spacing w:after="0"/>
      </w:pPr>
      <w:r w:rsidRPr="00875520">
        <w:t>The population for PICO Set 3 is patients with a confirmed diagnosis of TTP</w:t>
      </w:r>
      <w:r w:rsidR="002E167A">
        <w:t xml:space="preserve"> (iTTP, cTTP)</w:t>
      </w:r>
      <w:r w:rsidR="00682498">
        <w:t xml:space="preserve">. </w:t>
      </w:r>
      <w:r w:rsidR="00DA284A">
        <w:t>Monitoring ADAMTS13 activity is proposed to occur at varying frequencies as patients move from an acute episode to remission. Monitoring is intended to prevent or reduce recurrence, exacerbation and relapse</w:t>
      </w:r>
      <w:r w:rsidR="00F20B12">
        <w:t>.</w:t>
      </w:r>
      <w:r w:rsidR="00DA284A">
        <w:t xml:space="preserve"> </w:t>
      </w:r>
      <w:r w:rsidR="00F20B12">
        <w:t>T</w:t>
      </w:r>
      <w:r w:rsidR="00DA284A">
        <w:t xml:space="preserve">hese </w:t>
      </w:r>
      <w:r w:rsidR="001E4363">
        <w:t>have been defined</w:t>
      </w:r>
      <w:r w:rsidR="00DA284A">
        <w:t xml:space="preserve"> as:</w:t>
      </w:r>
    </w:p>
    <w:p w14:paraId="7EA64FDC" w14:textId="77777777" w:rsidR="00DA284A" w:rsidRDefault="00DA284A" w:rsidP="00267F3D">
      <w:pPr>
        <w:pStyle w:val="ListParagraph"/>
        <w:numPr>
          <w:ilvl w:val="0"/>
          <w:numId w:val="21"/>
        </w:numPr>
        <w:spacing w:before="0" w:after="120" w:line="276" w:lineRule="auto"/>
      </w:pPr>
      <w:r>
        <w:t>Recurrence – new decrease in the platelet count that necessitates the re-initiation of PEX after normalisation of the platelet count had occurred.</w:t>
      </w:r>
    </w:p>
    <w:p w14:paraId="4D52AF8B" w14:textId="4B8058CA" w:rsidR="00DA284A" w:rsidRDefault="00DA284A" w:rsidP="00267F3D">
      <w:pPr>
        <w:pStyle w:val="ListParagraph"/>
        <w:numPr>
          <w:ilvl w:val="0"/>
          <w:numId w:val="21"/>
        </w:numPr>
        <w:spacing w:before="0" w:after="120" w:line="276" w:lineRule="auto"/>
      </w:pPr>
      <w:r>
        <w:t>Exacerbation – a recurrence that occurs within 30</w:t>
      </w:r>
      <w:r w:rsidR="006F7B2B">
        <w:t> </w:t>
      </w:r>
      <w:r>
        <w:t xml:space="preserve">days after the last PEX. </w:t>
      </w:r>
    </w:p>
    <w:p w14:paraId="782554D0" w14:textId="0EEBF058" w:rsidR="00DA284A" w:rsidRPr="007A2FC1" w:rsidRDefault="00DA284A" w:rsidP="00267F3D">
      <w:pPr>
        <w:pStyle w:val="ListParagraph"/>
        <w:numPr>
          <w:ilvl w:val="0"/>
          <w:numId w:val="21"/>
        </w:numPr>
        <w:spacing w:before="0" w:after="120" w:line="276" w:lineRule="auto"/>
      </w:pPr>
      <w:r>
        <w:t>Relapse – a recurrence that occurs more than 30</w:t>
      </w:r>
      <w:r w:rsidR="006F7B2B">
        <w:t> </w:t>
      </w:r>
      <w:r>
        <w:t>days after cessation of PEX.</w:t>
      </w:r>
    </w:p>
    <w:p w14:paraId="06D0A66C" w14:textId="50FFA9FA" w:rsidR="00DA284A" w:rsidRPr="00875520" w:rsidRDefault="005842A8" w:rsidP="00875520">
      <w:pPr>
        <w:pStyle w:val="BodyText"/>
      </w:pPr>
      <w:r>
        <w:t>Because of</w:t>
      </w:r>
      <w:r w:rsidR="0014191D">
        <w:t xml:space="preserve"> the increased availability of ADAMTS13 activity measurement, and the range of new and emerging therapies for TTP (rituximab, caplacizumab</w:t>
      </w:r>
      <w:r w:rsidR="000D3670">
        <w:rPr>
          <w:rStyle w:val="FootnoteReference"/>
        </w:rPr>
        <w:footnoteReference w:id="5"/>
      </w:r>
      <w:r w:rsidR="006F044E">
        <w:t>,</w:t>
      </w:r>
      <w:r w:rsidR="0014191D">
        <w:t xml:space="preserve"> and recombinant ADAMTS13</w:t>
      </w:r>
      <w:r w:rsidR="00205AFF">
        <w:rPr>
          <w:rStyle w:val="FootnoteReference"/>
        </w:rPr>
        <w:footnoteReference w:id="6"/>
      </w:r>
      <w:r w:rsidR="0014191D">
        <w:t>), an international working group developed updated consensus definitions for iTTP outcomes</w:t>
      </w:r>
      <w:r w:rsidR="004F3AE5">
        <w:t xml:space="preserve"> (Cuker et al. 2021)</w:t>
      </w:r>
      <w:r w:rsidR="0014191D">
        <w:t>. The original definitions were based on platelet count and lactate dehydrogenase levels</w:t>
      </w:r>
      <w:r w:rsidR="004B0C9C" w:rsidRPr="004B0C9C">
        <w:t xml:space="preserve"> </w:t>
      </w:r>
      <w:r w:rsidR="004B0C9C">
        <w:t>while the revised definitions incorporate ADAMTS13 activity levels</w:t>
      </w:r>
      <w:r w:rsidR="00650E17" w:rsidRPr="00650E17">
        <w:t xml:space="preserve"> </w:t>
      </w:r>
      <w:r w:rsidR="00650E17">
        <w:t>and make a distinction between ADAMTS13 remission/ relapse</w:t>
      </w:r>
      <w:r w:rsidR="003338FC">
        <w:t xml:space="preserve"> (ADAMTS activity &lt;20%)</w:t>
      </w:r>
      <w:r w:rsidR="00650E17">
        <w:t xml:space="preserve"> and clinical remission/ relapse</w:t>
      </w:r>
      <w:r>
        <w:t xml:space="preserve"> (platelet count </w:t>
      </w:r>
      <w:r w:rsidRPr="00DE1719">
        <w:t>to &lt;150</w:t>
      </w:r>
      <w:r w:rsidR="00C16DE0">
        <w:t> </w:t>
      </w:r>
      <w:r w:rsidRPr="00DE1719">
        <w:t>×</w:t>
      </w:r>
      <w:r w:rsidR="00C16DE0">
        <w:t> </w:t>
      </w:r>
      <w:r w:rsidRPr="00DE1719">
        <w:t>10</w:t>
      </w:r>
      <w:r w:rsidRPr="00DE1719">
        <w:rPr>
          <w:vertAlign w:val="superscript"/>
        </w:rPr>
        <w:t>9</w:t>
      </w:r>
      <w:r w:rsidRPr="00DE1719">
        <w:t>/L</w:t>
      </w:r>
      <w:r>
        <w:t>)</w:t>
      </w:r>
      <w:r w:rsidR="00653AE0">
        <w:t xml:space="preserve">. The authors state ‘by distinguishing between clinical and ADAMTS13 remission and relapse, our definitions acknowledge the primacy of ADAMTS13 activity as a predictor of clinical exacerbation and clinical relapse and as a means of guiding </w:t>
      </w:r>
      <w:r w:rsidR="00653AE0">
        <w:lastRenderedPageBreak/>
        <w:t>therapeutic decisions’. However, they also acknowledge that the definitions have yet to be prospectively validated.</w:t>
      </w:r>
    </w:p>
    <w:p w14:paraId="386A86B5" w14:textId="0C73D4D7" w:rsidR="00742FD9" w:rsidRDefault="00E502D1" w:rsidP="00055104">
      <w:pPr>
        <w:pStyle w:val="ExecSumHeading2"/>
        <w:numPr>
          <w:ilvl w:val="0"/>
          <w:numId w:val="36"/>
        </w:numPr>
        <w:ind w:hanging="720"/>
      </w:pPr>
      <w:bookmarkStart w:id="11" w:name="_Toc216879523"/>
      <w:r>
        <w:t>Comparator</w:t>
      </w:r>
      <w:bookmarkEnd w:id="11"/>
    </w:p>
    <w:p w14:paraId="265BE9E7" w14:textId="77777777" w:rsidR="002656CA" w:rsidRDefault="002656CA" w:rsidP="002656CA">
      <w:pPr>
        <w:pStyle w:val="BodyText"/>
      </w:pPr>
      <w:r>
        <w:t xml:space="preserve">In all PICO Sets, the comparator is no ADAMTS13 testing and standard investigative and medical management. None of the 3 intervention tests are proposed as replacements to currently available investigative technology and therefore they are additional tests in the clinical management of TTP. </w:t>
      </w:r>
    </w:p>
    <w:p w14:paraId="3BBF182A" w14:textId="44E0715D" w:rsidR="002656CA" w:rsidRDefault="7A5BDEB6" w:rsidP="002656CA">
      <w:pPr>
        <w:pStyle w:val="BodyText"/>
      </w:pPr>
      <w:r>
        <w:t xml:space="preserve">Currently there are many tests that should be conducted when a patient presents with suspected TTP. While these are necessary, they are not sufficient to establish a definitive diagnosis of TTP. These standard tests (e.g. low platelets, </w:t>
      </w:r>
      <w:r w:rsidR="3286DBD5">
        <w:t xml:space="preserve">blood film examination, </w:t>
      </w:r>
      <w:r>
        <w:t>markers of haemolysis</w:t>
      </w:r>
      <w:r w:rsidR="112BC5CC">
        <w:t>,</w:t>
      </w:r>
      <w:r>
        <w:t xml:space="preserve"> etc.) would be routinely done in public hospitals where there is suspicion of TTP.</w:t>
      </w:r>
    </w:p>
    <w:p w14:paraId="3529148B" w14:textId="7AE3C472" w:rsidR="00B52D0C" w:rsidRDefault="00FD2910" w:rsidP="00B52D0C">
      <w:r>
        <w:t>Cascade t</w:t>
      </w:r>
      <w:r w:rsidR="00B52D0C" w:rsidRPr="00B446C8">
        <w:t xml:space="preserve">esting of first-degree </w:t>
      </w:r>
      <w:r w:rsidR="00491E2E">
        <w:t xml:space="preserve">biological </w:t>
      </w:r>
      <w:r w:rsidR="00CA348F">
        <w:t>relatives</w:t>
      </w:r>
      <w:r w:rsidR="00B52D0C" w:rsidRPr="00B446C8">
        <w:t xml:space="preserve"> is not currently offered but clinical assessment may be used if symptoms are present.</w:t>
      </w:r>
    </w:p>
    <w:p w14:paraId="0405F51D" w14:textId="5F98D606" w:rsidR="00B52D0C" w:rsidRDefault="00B52D0C" w:rsidP="00B52D0C">
      <w:r>
        <w:t>M</w:t>
      </w:r>
      <w:r w:rsidRPr="00712A35">
        <w:t>onitoring is currently undertaken using clinical history and laboratory testing</w:t>
      </w:r>
      <w:r>
        <w:t xml:space="preserve"> of platelet counts</w:t>
      </w:r>
      <w:r w:rsidRPr="00712A35">
        <w:t xml:space="preserve"> to identify acute flares.</w:t>
      </w:r>
      <w:r>
        <w:t xml:space="preserve"> ADAMTS13 activity testing is additional to</w:t>
      </w:r>
      <w:r w:rsidR="004914B1">
        <w:t>,</w:t>
      </w:r>
      <w:r>
        <w:t xml:space="preserve"> and not a replacement for</w:t>
      </w:r>
      <w:r w:rsidR="004914B1">
        <w:t>,</w:t>
      </w:r>
      <w:r>
        <w:t xml:space="preserve"> </w:t>
      </w:r>
      <w:r w:rsidR="0011344E">
        <w:t>laboratory testing of platelet counts.</w:t>
      </w:r>
    </w:p>
    <w:p w14:paraId="72BC180D" w14:textId="77777777" w:rsidR="00055104" w:rsidRPr="005B6EFD" w:rsidRDefault="00055104" w:rsidP="00055104">
      <w:pPr>
        <w:pStyle w:val="ExecSumHeading2"/>
        <w:keepLines/>
        <w:numPr>
          <w:ilvl w:val="0"/>
          <w:numId w:val="36"/>
        </w:numPr>
        <w:ind w:hanging="720"/>
      </w:pPr>
      <w:r w:rsidRPr="005B6EFD">
        <w:t xml:space="preserve">Summary of public consultation input </w:t>
      </w:r>
    </w:p>
    <w:p w14:paraId="34F3A48F" w14:textId="77777777" w:rsidR="00055104" w:rsidRPr="005B6EFD" w:rsidRDefault="00055104" w:rsidP="00055104">
      <w:pPr>
        <w:keepNext/>
        <w:keepLines/>
        <w:rPr>
          <w:rFonts w:eastAsiaTheme="minorHAnsi"/>
        </w:rPr>
      </w:pPr>
      <w:r w:rsidRPr="005B6EFD">
        <w:rPr>
          <w:rFonts w:eastAsiaTheme="minorHAnsi"/>
        </w:rPr>
        <w:t xml:space="preserve">Consultation input was welcomed from: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0"/>
        <w:gridCol w:w="1230"/>
      </w:tblGrid>
      <w:tr w:rsidR="00055104" w:rsidRPr="00055104" w14:paraId="335D5B22" w14:textId="77777777" w:rsidTr="00055104">
        <w:trPr>
          <w:trHeight w:val="726"/>
        </w:trPr>
        <w:tc>
          <w:tcPr>
            <w:tcW w:w="7780" w:type="dxa"/>
            <w:tcBorders>
              <w:top w:val="single" w:sz="6" w:space="0" w:color="000000"/>
              <w:left w:val="single" w:sz="6" w:space="0" w:color="000000"/>
              <w:bottom w:val="single" w:sz="6" w:space="0" w:color="auto"/>
              <w:right w:val="single" w:sz="6" w:space="0" w:color="auto"/>
            </w:tcBorders>
            <w:shd w:val="clear" w:color="auto" w:fill="D1D1D1"/>
            <w:vAlign w:val="center"/>
            <w:hideMark/>
          </w:tcPr>
          <w:p w14:paraId="0F9E5367" w14:textId="77777777" w:rsidR="00055104" w:rsidRPr="00055104" w:rsidRDefault="00055104" w:rsidP="00055104">
            <w:pPr>
              <w:keepNext/>
              <w:keepLines/>
              <w:spacing w:before="40" w:after="40"/>
            </w:pPr>
            <w:r w:rsidRPr="00055104">
              <w:rPr>
                <w:b/>
                <w:bCs/>
              </w:rPr>
              <w:t>1796 – ADAMTS13 testing for the diagnosis of thrombotic thrombocytopenic purpura (TTP)</w:t>
            </w:r>
            <w:r w:rsidRPr="00055104">
              <w:t> </w:t>
            </w:r>
          </w:p>
        </w:tc>
        <w:tc>
          <w:tcPr>
            <w:tcW w:w="1230" w:type="dxa"/>
            <w:tcBorders>
              <w:top w:val="single" w:sz="6" w:space="0" w:color="000000"/>
              <w:left w:val="nil"/>
              <w:bottom w:val="single" w:sz="6" w:space="0" w:color="auto"/>
              <w:right w:val="single" w:sz="6" w:space="0" w:color="000000"/>
            </w:tcBorders>
            <w:shd w:val="clear" w:color="auto" w:fill="D1D1D1"/>
            <w:vAlign w:val="center"/>
            <w:hideMark/>
          </w:tcPr>
          <w:p w14:paraId="47F23EBB" w14:textId="77777777" w:rsidR="00055104" w:rsidRPr="00055104" w:rsidRDefault="00055104" w:rsidP="00055104">
            <w:pPr>
              <w:keepNext/>
              <w:keepLines/>
              <w:spacing w:before="40" w:after="40"/>
            </w:pPr>
            <w:r w:rsidRPr="00055104">
              <w:rPr>
                <w:b/>
                <w:bCs/>
              </w:rPr>
              <w:t>No. of Inputs Received</w:t>
            </w:r>
            <w:r w:rsidRPr="00055104">
              <w:rPr>
                <w:rFonts w:ascii="Arial" w:hAnsi="Arial" w:cs="Arial"/>
              </w:rPr>
              <w:t> </w:t>
            </w:r>
            <w:r w:rsidRPr="00055104">
              <w:t> </w:t>
            </w:r>
          </w:p>
        </w:tc>
      </w:tr>
      <w:tr w:rsidR="00055104" w:rsidRPr="00055104" w14:paraId="3FF7E6DC" w14:textId="77777777" w:rsidTr="00055104">
        <w:trPr>
          <w:trHeight w:val="336"/>
        </w:trPr>
        <w:tc>
          <w:tcPr>
            <w:tcW w:w="9010" w:type="dxa"/>
            <w:gridSpan w:val="2"/>
            <w:tcBorders>
              <w:top w:val="single" w:sz="6" w:space="0" w:color="auto"/>
              <w:left w:val="single" w:sz="6" w:space="0" w:color="000000"/>
              <w:bottom w:val="single" w:sz="6" w:space="0" w:color="auto"/>
              <w:right w:val="single" w:sz="6" w:space="0" w:color="000000"/>
            </w:tcBorders>
            <w:shd w:val="clear" w:color="auto" w:fill="E8E8E8"/>
            <w:vAlign w:val="center"/>
            <w:hideMark/>
          </w:tcPr>
          <w:p w14:paraId="1F7E00F8" w14:textId="77777777" w:rsidR="00055104" w:rsidRPr="00055104" w:rsidRDefault="00055104" w:rsidP="00055104">
            <w:pPr>
              <w:keepNext/>
              <w:keepLines/>
              <w:spacing w:before="40" w:after="40"/>
            </w:pPr>
            <w:r w:rsidRPr="00055104">
              <w:rPr>
                <w:b/>
                <w:bCs/>
              </w:rPr>
              <w:t>Organisations (1)</w:t>
            </w:r>
            <w:r w:rsidRPr="00055104">
              <w:rPr>
                <w:rFonts w:ascii="Arial" w:hAnsi="Arial" w:cs="Arial"/>
              </w:rPr>
              <w:t> </w:t>
            </w:r>
            <w:r w:rsidRPr="00055104">
              <w:t> </w:t>
            </w:r>
          </w:p>
        </w:tc>
      </w:tr>
      <w:tr w:rsidR="00055104" w:rsidRPr="00055104" w14:paraId="61F55ECE" w14:textId="77777777" w:rsidTr="00055104">
        <w:trPr>
          <w:trHeight w:val="750"/>
        </w:trPr>
        <w:tc>
          <w:tcPr>
            <w:tcW w:w="7780" w:type="dxa"/>
            <w:tcBorders>
              <w:top w:val="nil"/>
              <w:left w:val="single" w:sz="6" w:space="0" w:color="000000"/>
              <w:bottom w:val="single" w:sz="6" w:space="0" w:color="auto"/>
              <w:right w:val="single" w:sz="6" w:space="0" w:color="auto"/>
            </w:tcBorders>
            <w:vAlign w:val="center"/>
            <w:hideMark/>
          </w:tcPr>
          <w:p w14:paraId="74FE42A5" w14:textId="77777777" w:rsidR="00055104" w:rsidRPr="00055104" w:rsidRDefault="00055104" w:rsidP="00055104">
            <w:pPr>
              <w:keepNext/>
              <w:keepLines/>
              <w:spacing w:before="40" w:after="40"/>
            </w:pPr>
            <w:r w:rsidRPr="00055104">
              <w:t>I am providing input on behalf of a medical, health, or other (non-consumer) organisation. For example, input on behalf of a group of clinicians, research organisation, professional college, or from an organisation that produces a similar service or technology.</w:t>
            </w:r>
            <w:r w:rsidRPr="00055104">
              <w:rPr>
                <w:rFonts w:ascii="Arial" w:hAnsi="Arial" w:cs="Arial"/>
              </w:rPr>
              <w:t> </w:t>
            </w:r>
            <w:r w:rsidRPr="00055104">
              <w:t> </w:t>
            </w:r>
          </w:p>
        </w:tc>
        <w:tc>
          <w:tcPr>
            <w:tcW w:w="1230" w:type="dxa"/>
            <w:tcBorders>
              <w:top w:val="nil"/>
              <w:left w:val="nil"/>
              <w:bottom w:val="single" w:sz="6" w:space="0" w:color="auto"/>
              <w:right w:val="single" w:sz="6" w:space="0" w:color="000000"/>
            </w:tcBorders>
            <w:vAlign w:val="center"/>
            <w:hideMark/>
          </w:tcPr>
          <w:p w14:paraId="594FB591" w14:textId="77777777" w:rsidR="00055104" w:rsidRPr="00055104" w:rsidRDefault="00055104" w:rsidP="00055104">
            <w:pPr>
              <w:keepNext/>
              <w:keepLines/>
              <w:spacing w:before="40" w:after="40"/>
            </w:pPr>
            <w:r w:rsidRPr="00055104">
              <w:t>1 </w:t>
            </w:r>
          </w:p>
        </w:tc>
      </w:tr>
      <w:tr w:rsidR="00055104" w:rsidRPr="00055104" w14:paraId="2B2E6FF5" w14:textId="77777777" w:rsidTr="00055104">
        <w:trPr>
          <w:trHeight w:val="300"/>
        </w:trPr>
        <w:tc>
          <w:tcPr>
            <w:tcW w:w="9010" w:type="dxa"/>
            <w:gridSpan w:val="2"/>
            <w:tcBorders>
              <w:top w:val="single" w:sz="6" w:space="0" w:color="auto"/>
              <w:left w:val="single" w:sz="6" w:space="0" w:color="000000"/>
              <w:bottom w:val="single" w:sz="6" w:space="0" w:color="auto"/>
              <w:right w:val="single" w:sz="6" w:space="0" w:color="000000"/>
            </w:tcBorders>
            <w:shd w:val="clear" w:color="auto" w:fill="E8E8E8"/>
            <w:vAlign w:val="center"/>
            <w:hideMark/>
          </w:tcPr>
          <w:p w14:paraId="1D42EA97" w14:textId="5FCDFF31" w:rsidR="00055104" w:rsidRPr="00055104" w:rsidRDefault="00055104" w:rsidP="00055104">
            <w:pPr>
              <w:keepNext/>
              <w:keepLines/>
              <w:spacing w:before="40" w:after="40"/>
            </w:pPr>
            <w:r w:rsidRPr="00055104">
              <w:rPr>
                <w:b/>
                <w:bCs/>
              </w:rPr>
              <w:t>Health Professionals (</w:t>
            </w:r>
            <w:r w:rsidR="00FD0C02">
              <w:rPr>
                <w:b/>
                <w:bCs/>
              </w:rPr>
              <w:t>1</w:t>
            </w:r>
            <w:r w:rsidRPr="00055104">
              <w:rPr>
                <w:b/>
                <w:bCs/>
              </w:rPr>
              <w:t>)</w:t>
            </w:r>
            <w:r w:rsidRPr="00055104">
              <w:rPr>
                <w:rFonts w:ascii="Arial" w:hAnsi="Arial" w:cs="Arial"/>
              </w:rPr>
              <w:t> </w:t>
            </w:r>
            <w:r w:rsidRPr="00055104">
              <w:t> </w:t>
            </w:r>
          </w:p>
        </w:tc>
      </w:tr>
      <w:tr w:rsidR="00055104" w:rsidRPr="00055104" w14:paraId="6D89789B" w14:textId="77777777" w:rsidTr="00055104">
        <w:trPr>
          <w:trHeight w:val="300"/>
        </w:trPr>
        <w:tc>
          <w:tcPr>
            <w:tcW w:w="7780" w:type="dxa"/>
            <w:tcBorders>
              <w:top w:val="nil"/>
              <w:left w:val="single" w:sz="6" w:space="0" w:color="000000"/>
              <w:bottom w:val="single" w:sz="6" w:space="0" w:color="auto"/>
              <w:right w:val="single" w:sz="6" w:space="0" w:color="auto"/>
            </w:tcBorders>
            <w:vAlign w:val="center"/>
            <w:hideMark/>
          </w:tcPr>
          <w:p w14:paraId="2F89E053" w14:textId="77777777" w:rsidR="00055104" w:rsidRPr="00055104" w:rsidRDefault="00055104" w:rsidP="00055104">
            <w:pPr>
              <w:keepNext/>
              <w:keepLines/>
              <w:spacing w:before="40" w:after="40"/>
            </w:pPr>
            <w:r w:rsidRPr="00055104">
              <w:t>I am a health professional or health academic working in the area.</w:t>
            </w:r>
            <w:r w:rsidRPr="00055104">
              <w:rPr>
                <w:rFonts w:ascii="Arial" w:hAnsi="Arial" w:cs="Arial"/>
              </w:rPr>
              <w:t> </w:t>
            </w:r>
            <w:r w:rsidRPr="00055104">
              <w:t> </w:t>
            </w:r>
          </w:p>
        </w:tc>
        <w:tc>
          <w:tcPr>
            <w:tcW w:w="1230" w:type="dxa"/>
            <w:tcBorders>
              <w:top w:val="nil"/>
              <w:left w:val="nil"/>
              <w:bottom w:val="single" w:sz="6" w:space="0" w:color="auto"/>
              <w:right w:val="single" w:sz="6" w:space="0" w:color="000000"/>
            </w:tcBorders>
            <w:vAlign w:val="center"/>
            <w:hideMark/>
          </w:tcPr>
          <w:p w14:paraId="576F8D38" w14:textId="77777777" w:rsidR="00055104" w:rsidRPr="00055104" w:rsidRDefault="00055104" w:rsidP="00055104">
            <w:pPr>
              <w:keepNext/>
              <w:keepLines/>
              <w:spacing w:before="40" w:after="40"/>
            </w:pPr>
            <w:r w:rsidRPr="00055104">
              <w:t>1 </w:t>
            </w:r>
          </w:p>
        </w:tc>
      </w:tr>
      <w:tr w:rsidR="00055104" w:rsidRPr="00055104" w14:paraId="098D0B26" w14:textId="77777777" w:rsidTr="00055104">
        <w:trPr>
          <w:trHeight w:val="285"/>
        </w:trPr>
        <w:tc>
          <w:tcPr>
            <w:tcW w:w="7780" w:type="dxa"/>
            <w:tcBorders>
              <w:top w:val="nil"/>
              <w:left w:val="single" w:sz="6" w:space="0" w:color="000000"/>
              <w:bottom w:val="single" w:sz="6" w:space="0" w:color="000000"/>
              <w:right w:val="single" w:sz="6" w:space="0" w:color="auto"/>
            </w:tcBorders>
            <w:vAlign w:val="center"/>
            <w:hideMark/>
          </w:tcPr>
          <w:p w14:paraId="17AA8343" w14:textId="77777777" w:rsidR="00055104" w:rsidRPr="00055104" w:rsidRDefault="00055104" w:rsidP="00055104">
            <w:pPr>
              <w:keepNext/>
              <w:keepLines/>
              <w:spacing w:before="40" w:after="40"/>
            </w:pPr>
            <w:r w:rsidRPr="00055104">
              <w:rPr>
                <w:b/>
                <w:bCs/>
              </w:rPr>
              <w:t>Grand Total</w:t>
            </w:r>
            <w:r w:rsidRPr="00055104">
              <w:rPr>
                <w:rFonts w:ascii="Arial" w:hAnsi="Arial" w:cs="Arial"/>
              </w:rPr>
              <w:t> </w:t>
            </w:r>
            <w:r w:rsidRPr="00055104">
              <w:t> </w:t>
            </w:r>
          </w:p>
        </w:tc>
        <w:tc>
          <w:tcPr>
            <w:tcW w:w="1230" w:type="dxa"/>
            <w:tcBorders>
              <w:top w:val="nil"/>
              <w:left w:val="nil"/>
              <w:bottom w:val="single" w:sz="6" w:space="0" w:color="000000"/>
              <w:right w:val="single" w:sz="6" w:space="0" w:color="000000"/>
            </w:tcBorders>
            <w:vAlign w:val="center"/>
            <w:hideMark/>
          </w:tcPr>
          <w:p w14:paraId="037A654E" w14:textId="77777777" w:rsidR="00055104" w:rsidRPr="00055104" w:rsidRDefault="00055104" w:rsidP="00055104">
            <w:pPr>
              <w:keepNext/>
              <w:keepLines/>
              <w:spacing w:before="40" w:after="40"/>
            </w:pPr>
            <w:r w:rsidRPr="00055104">
              <w:rPr>
                <w:b/>
                <w:bCs/>
              </w:rPr>
              <w:t>2</w:t>
            </w:r>
            <w:r w:rsidRPr="00055104">
              <w:t> </w:t>
            </w:r>
          </w:p>
        </w:tc>
      </w:tr>
    </w:tbl>
    <w:p w14:paraId="03AC184B" w14:textId="2D5F1F18" w:rsidR="00055104" w:rsidRPr="00055104" w:rsidRDefault="00055104" w:rsidP="00055104">
      <w:pPr>
        <w:keepNext/>
        <w:keepLines/>
        <w:spacing w:before="240"/>
      </w:pPr>
      <w:r w:rsidRPr="00055104">
        <w:t>MSAC received consultation input from the following organisation: </w:t>
      </w:r>
    </w:p>
    <w:p w14:paraId="5AD58CE7" w14:textId="4A229FF4" w:rsidR="00055104" w:rsidRPr="00055104" w:rsidRDefault="00055104" w:rsidP="00055104">
      <w:pPr>
        <w:keepNext/>
        <w:keepLines/>
        <w:numPr>
          <w:ilvl w:val="0"/>
          <w:numId w:val="37"/>
        </w:numPr>
      </w:pPr>
      <w:r w:rsidRPr="00055104">
        <w:t>Takeda Pharmaceutical Australia Pty Ltd (Takeda) </w:t>
      </w:r>
    </w:p>
    <w:p w14:paraId="4D8B5EFF" w14:textId="77777777" w:rsidR="00055104" w:rsidRPr="00055104" w:rsidRDefault="00055104" w:rsidP="00055104">
      <w:r w:rsidRPr="00055104">
        <w:rPr>
          <w:b/>
          <w:bCs/>
        </w:rPr>
        <w:t>Level of support for public funding </w:t>
      </w:r>
      <w:r w:rsidRPr="00055104">
        <w:t> </w:t>
      </w:r>
    </w:p>
    <w:p w14:paraId="76C837BF" w14:textId="3EE25436" w:rsidR="00055104" w:rsidRPr="00055104" w:rsidRDefault="00055104" w:rsidP="00055104">
      <w:r w:rsidRPr="00055104">
        <w:t>The input from Takeda was strongly supportive of Medicare Benefits Schedule (MBS) listing of ADAMTS13 testing for the diagnosis of thrombotic thrombocytopenic purpura (TTP). The consultation input</w:t>
      </w:r>
      <w:r w:rsidR="00FD2910">
        <w:t xml:space="preserve"> </w:t>
      </w:r>
      <w:r w:rsidRPr="00055104">
        <w:t>from a health professional supported the need</w:t>
      </w:r>
      <w:r w:rsidR="00FD2910">
        <w:t xml:space="preserve"> </w:t>
      </w:r>
      <w:r w:rsidRPr="00055104">
        <w:t>for</w:t>
      </w:r>
      <w:r w:rsidR="00FD2910">
        <w:t xml:space="preserve"> </w:t>
      </w:r>
      <w:r w:rsidRPr="00055104">
        <w:t>ADAMTS13</w:t>
      </w:r>
      <w:r w:rsidR="00FD2910">
        <w:t xml:space="preserve"> </w:t>
      </w:r>
      <w:r w:rsidRPr="00055104">
        <w:t>testing,</w:t>
      </w:r>
      <w:r w:rsidR="00FD2910">
        <w:t xml:space="preserve"> </w:t>
      </w:r>
      <w:r w:rsidRPr="00055104">
        <w:t>but</w:t>
      </w:r>
      <w:r w:rsidR="00FD2910">
        <w:t xml:space="preserve"> </w:t>
      </w:r>
      <w:r w:rsidRPr="00055104">
        <w:t>raised concerns with the proposed MBS funding for a pathology service that would predominantly be provided in hospitals in the public system.  </w:t>
      </w:r>
    </w:p>
    <w:p w14:paraId="7A0F95CA" w14:textId="77777777" w:rsidR="00055104" w:rsidRPr="00055104" w:rsidRDefault="00055104" w:rsidP="00C85F2C">
      <w:pPr>
        <w:keepNext/>
        <w:keepLines/>
      </w:pPr>
      <w:r w:rsidRPr="00055104">
        <w:rPr>
          <w:b/>
          <w:bCs/>
        </w:rPr>
        <w:lastRenderedPageBreak/>
        <w:t>Perceived Advantages </w:t>
      </w:r>
      <w:r w:rsidRPr="00055104">
        <w:t> </w:t>
      </w:r>
    </w:p>
    <w:p w14:paraId="42F26CE1" w14:textId="411AE002" w:rsidR="00055104" w:rsidRPr="00055104" w:rsidRDefault="00055104" w:rsidP="00C85F2C">
      <w:pPr>
        <w:keepNext/>
        <w:keepLines/>
      </w:pPr>
      <w:r w:rsidRPr="00055104">
        <w:t>The consultation input noted that T</w:t>
      </w:r>
      <w:r w:rsidR="002C3AB6">
        <w:t>T</w:t>
      </w:r>
      <w:r w:rsidRPr="00055104">
        <w:t>P is a serious medical condition with a high mortality rate (approximately 90%) if untreated or not identified early. Testing would reduce the time to diagnosis and any prospective treatments.  </w:t>
      </w:r>
    </w:p>
    <w:p w14:paraId="6947CF60" w14:textId="77777777" w:rsidR="00055104" w:rsidRPr="00055104" w:rsidRDefault="00055104" w:rsidP="00055104">
      <w:r w:rsidRPr="00055104">
        <w:rPr>
          <w:b/>
          <w:bCs/>
        </w:rPr>
        <w:t>Perceived Disadvantages</w:t>
      </w:r>
      <w:r w:rsidRPr="00055104">
        <w:t> </w:t>
      </w:r>
    </w:p>
    <w:p w14:paraId="02EB7556" w14:textId="77777777" w:rsidR="00055104" w:rsidRPr="00055104" w:rsidRDefault="00055104" w:rsidP="00055104">
      <w:r w:rsidRPr="00055104">
        <w:t>The consultation input did not identify any disadvantages of ADAMTS13 testing. </w:t>
      </w:r>
    </w:p>
    <w:p w14:paraId="1E012775" w14:textId="77777777" w:rsidR="00055104" w:rsidRPr="00055104" w:rsidRDefault="00055104" w:rsidP="00055104">
      <w:r w:rsidRPr="00055104">
        <w:rPr>
          <w:b/>
          <w:bCs/>
        </w:rPr>
        <w:t>Support for Implementation and Issues </w:t>
      </w:r>
      <w:r w:rsidRPr="00055104">
        <w:t> </w:t>
      </w:r>
    </w:p>
    <w:p w14:paraId="02B19C0C" w14:textId="3538B230" w:rsidR="00055104" w:rsidRPr="00330A0A" w:rsidRDefault="00055104" w:rsidP="00B52D0C">
      <w:r w:rsidRPr="00055104">
        <w:t>Input from a health professional stated that TTP is a serious condition that is usually managed in large metropolitan hospitals and predominately in the public system. The input highlighted that public patients in public hospitals would not be eligible for MBS funding for their pathology services. The input considered that for non-urgent testing, such as </w:t>
      </w:r>
      <w:r w:rsidRPr="00055104">
        <w:rPr>
          <w:i/>
          <w:iCs/>
        </w:rPr>
        <w:t>ADAMTS13</w:t>
      </w:r>
      <w:r w:rsidRPr="00055104">
        <w:t> genetic testing that was relatively low in volume and required specific expertise, it would be more cost effective to have one reference laboratory in Australia for this service, rather than multiple private and public laboratories providing the service. </w:t>
      </w:r>
    </w:p>
    <w:p w14:paraId="410A68DF" w14:textId="7D94E270" w:rsidR="00742FD9" w:rsidRDefault="00B0441B" w:rsidP="00055104">
      <w:pPr>
        <w:pStyle w:val="ExecSumHeading2"/>
        <w:keepLines/>
        <w:numPr>
          <w:ilvl w:val="0"/>
          <w:numId w:val="36"/>
        </w:numPr>
        <w:ind w:hanging="720"/>
      </w:pPr>
      <w:bookmarkStart w:id="12" w:name="_Toc216879524"/>
      <w:r>
        <w:t>Characteristics of the evidence base</w:t>
      </w:r>
      <w:bookmarkEnd w:id="12"/>
    </w:p>
    <w:p w14:paraId="6DB0F96E" w14:textId="30290971" w:rsidR="00BF0B88" w:rsidRDefault="003F32EA" w:rsidP="00BF0B88">
      <w:pPr>
        <w:pStyle w:val="BodyText"/>
      </w:pPr>
      <w:bookmarkStart w:id="13" w:name="_Ref203660482"/>
      <w:r>
        <w:t>Although PICO Set 1 included all 3 tests,</w:t>
      </w:r>
      <w:r w:rsidR="00922044">
        <w:t xml:space="preserve"> </w:t>
      </w:r>
      <w:r w:rsidR="00015B75">
        <w:t>PASC agreed</w:t>
      </w:r>
      <w:r w:rsidR="00922044">
        <w:t xml:space="preserve"> to </w:t>
      </w:r>
      <w:r w:rsidR="00015B75">
        <w:t>a refined assessment approach for</w:t>
      </w:r>
      <w:r>
        <w:t xml:space="preserve"> </w:t>
      </w:r>
      <w:r w:rsidR="008F1261" w:rsidRPr="00922044">
        <w:rPr>
          <w:i/>
          <w:iCs/>
        </w:rPr>
        <w:t>ADAMTS13</w:t>
      </w:r>
      <w:r w:rsidR="008F1261">
        <w:t xml:space="preserve"> </w:t>
      </w:r>
      <w:r w:rsidR="00922044">
        <w:t xml:space="preserve">genetic testing in both </w:t>
      </w:r>
      <w:r w:rsidR="002C3AB6">
        <w:t>affected individuals</w:t>
      </w:r>
      <w:r w:rsidR="00922044">
        <w:t xml:space="preserve"> (PICO Set 1) and </w:t>
      </w:r>
      <w:r w:rsidR="006161BC">
        <w:t xml:space="preserve">first-degree biological </w:t>
      </w:r>
      <w:r w:rsidR="004C68E9">
        <w:t>relatives</w:t>
      </w:r>
      <w:r w:rsidR="00922044">
        <w:t xml:space="preserve"> (PICO Set 2)</w:t>
      </w:r>
      <w:r w:rsidR="006D63C6">
        <w:t xml:space="preserve">. </w:t>
      </w:r>
      <w:r w:rsidR="00CD14E5">
        <w:t>For this reason,</w:t>
      </w:r>
      <w:r w:rsidR="006D63C6">
        <w:t xml:space="preserve"> genetic testing </w:t>
      </w:r>
      <w:r w:rsidR="00922044">
        <w:t>w</w:t>
      </w:r>
      <w:r w:rsidR="00883C69">
        <w:t>as</w:t>
      </w:r>
      <w:r w:rsidR="00922044">
        <w:t xml:space="preserve"> considered separately to ADAMTS13 activity testing and </w:t>
      </w:r>
      <w:r w:rsidR="00956565">
        <w:t>anti-</w:t>
      </w:r>
      <w:r w:rsidR="00922044">
        <w:t>ADAMTS13 autoantibody testing for diagnosis.</w:t>
      </w:r>
    </w:p>
    <w:p w14:paraId="14D16CFC" w14:textId="24DB5050" w:rsidR="00415F9C" w:rsidRDefault="00415F9C" w:rsidP="00BF0B88">
      <w:pPr>
        <w:pStyle w:val="BodyText"/>
      </w:pPr>
      <w:r>
        <w:t>The key feature</w:t>
      </w:r>
      <w:r w:rsidR="00956D54">
        <w:t>s</w:t>
      </w:r>
      <w:r>
        <w:t xml:space="preserve"> of the included evidence for PICO Set 1 (</w:t>
      </w:r>
      <w:r w:rsidR="00956565">
        <w:t xml:space="preserve">ADAMTS13 activity testing and anti-ADAMTS13 autoantibody testing) </w:t>
      </w:r>
      <w:r w:rsidR="00F30D72">
        <w:t xml:space="preserve">are summarised in </w:t>
      </w:r>
      <w:r w:rsidR="00F30D72">
        <w:fldChar w:fldCharType="begin"/>
      </w:r>
      <w:r w:rsidR="00F30D72">
        <w:instrText xml:space="preserve"> REF _Ref212992622 \h </w:instrText>
      </w:r>
      <w:r w:rsidR="00F30D72">
        <w:fldChar w:fldCharType="separate"/>
      </w:r>
      <w:r w:rsidR="00716875">
        <w:t>Table </w:t>
      </w:r>
      <w:r w:rsidR="00716875">
        <w:rPr>
          <w:noProof/>
        </w:rPr>
        <w:t>3</w:t>
      </w:r>
      <w:r w:rsidR="00F30D72">
        <w:fldChar w:fldCharType="end"/>
      </w:r>
      <w:r w:rsidR="00F30D72">
        <w:t xml:space="preserve">. </w:t>
      </w:r>
      <w:r w:rsidR="004B3E85">
        <w:t>No direct from test to health outcomes evidence was identified</w:t>
      </w:r>
      <w:r w:rsidR="006B1079">
        <w:t xml:space="preserve">. </w:t>
      </w:r>
      <w:r w:rsidR="0092375B">
        <w:t>However,</w:t>
      </w:r>
      <w:r w:rsidR="004B3E85">
        <w:t xml:space="preserve"> </w:t>
      </w:r>
      <w:r w:rsidR="000C20E4">
        <w:t>ADAMTS13 testing is required</w:t>
      </w:r>
      <w:r w:rsidR="00D9249C">
        <w:t xml:space="preserve"> to exclude a diagnosis of T</w:t>
      </w:r>
      <w:r w:rsidR="002C3AB6">
        <w:t>T</w:t>
      </w:r>
      <w:r w:rsidR="00D9249C">
        <w:t>P before patients can</w:t>
      </w:r>
      <w:r w:rsidR="004B3E85">
        <w:t xml:space="preserve"> </w:t>
      </w:r>
      <w:r w:rsidR="00BE2E6E">
        <w:t>access treatment for aHUS through the PBS.</w:t>
      </w:r>
    </w:p>
    <w:p w14:paraId="29EB9D2D" w14:textId="181B1AB3" w:rsidR="00A54222" w:rsidRDefault="003E258B" w:rsidP="00BF0B88">
      <w:pPr>
        <w:pStyle w:val="BodyText"/>
      </w:pPr>
      <w:r>
        <w:t>Seven studies were included that assessed the test accuracy of ADAMTS13 activity testing against the reference standard of clinical diagnosis</w:t>
      </w:r>
      <w:r w:rsidR="002442D6">
        <w:t xml:space="preserve"> (</w:t>
      </w:r>
      <w:r w:rsidR="003F71E4">
        <w:t>Dimopoulos et al. 2022</w:t>
      </w:r>
      <w:r w:rsidR="00D16B74">
        <w:t>;</w:t>
      </w:r>
      <w:r w:rsidR="003F71E4">
        <w:t xml:space="preserve"> Martin et al. 2021</w:t>
      </w:r>
      <w:r w:rsidR="00D16B74">
        <w:t>;</w:t>
      </w:r>
      <w:r w:rsidR="003F71E4">
        <w:t xml:space="preserve"> Page et al. 2017</w:t>
      </w:r>
      <w:r w:rsidR="00D16B74">
        <w:t>;</w:t>
      </w:r>
      <w:r w:rsidR="003F71E4">
        <w:t xml:space="preserve"> Bendapudi et al. 2015</w:t>
      </w:r>
      <w:r w:rsidR="00D16B74">
        <w:t>;</w:t>
      </w:r>
      <w:r w:rsidR="003F71E4">
        <w:t xml:space="preserve"> Barrows et al</w:t>
      </w:r>
      <w:r w:rsidR="00E9794C">
        <w:t>.</w:t>
      </w:r>
      <w:r w:rsidR="003F71E4">
        <w:t xml:space="preserve"> 2014</w:t>
      </w:r>
      <w:r w:rsidR="00D16B74">
        <w:t>;</w:t>
      </w:r>
      <w:r w:rsidR="003F71E4">
        <w:t xml:space="preserve"> Garizio et al. 2012</w:t>
      </w:r>
      <w:r w:rsidR="00D16B74">
        <w:t>;</w:t>
      </w:r>
      <w:r w:rsidR="00E11AA8">
        <w:t xml:space="preserve"> Groot et al. 2006)</w:t>
      </w:r>
      <w:r w:rsidR="001E6157">
        <w:t>.</w:t>
      </w:r>
      <w:r w:rsidR="00E11AA8">
        <w:t xml:space="preserve"> </w:t>
      </w:r>
      <w:r w:rsidR="001E6157">
        <w:t>T</w:t>
      </w:r>
      <w:r w:rsidR="00E11AA8">
        <w:t>wo of these studies also assessed the test accuracy of anti-ADAMTS13 autoantibody testing against the reference standard of clinical diagnosis (Martin et al</w:t>
      </w:r>
      <w:r w:rsidR="00663F70">
        <w:t>.</w:t>
      </w:r>
      <w:r w:rsidR="0068188A">
        <w:t xml:space="preserve"> 2021</w:t>
      </w:r>
      <w:r w:rsidR="00D16B74">
        <w:t>;</w:t>
      </w:r>
      <w:r w:rsidR="0068188A">
        <w:t xml:space="preserve"> </w:t>
      </w:r>
      <w:r w:rsidR="00E11AA8">
        <w:t>Barrows et al. 2014)</w:t>
      </w:r>
      <w:r w:rsidR="0068188A">
        <w:t>.</w:t>
      </w:r>
      <w:r w:rsidR="006306F8">
        <w:t xml:space="preserve"> Due to the limited </w:t>
      </w:r>
      <w:r w:rsidR="006D7F86">
        <w:t xml:space="preserve">evidence base for the test accuracy of anti-ADAMTS13 autoantibody testing, </w:t>
      </w:r>
      <w:r w:rsidR="00B2410C">
        <w:t xml:space="preserve">studies reporting </w:t>
      </w:r>
      <w:r w:rsidR="006D7F86">
        <w:t xml:space="preserve">diagnostic </w:t>
      </w:r>
      <w:r w:rsidR="002F2D78">
        <w:t xml:space="preserve">yield </w:t>
      </w:r>
      <w:r w:rsidR="00B2410C">
        <w:t xml:space="preserve">were also included </w:t>
      </w:r>
      <w:r w:rsidR="00307A6D">
        <w:t>for this test</w:t>
      </w:r>
      <w:r w:rsidR="00126E06">
        <w:t xml:space="preserve"> (</w:t>
      </w:r>
      <w:r w:rsidR="00B2410C">
        <w:t>Mancini et al. 2022</w:t>
      </w:r>
      <w:r w:rsidR="00D16B74">
        <w:t>;</w:t>
      </w:r>
      <w:r w:rsidR="00B2410C">
        <w:t xml:space="preserve"> Dos Santos et al. 2021</w:t>
      </w:r>
      <w:r w:rsidR="00D16B74">
        <w:t>;</w:t>
      </w:r>
      <w:r w:rsidR="00B2410C">
        <w:t xml:space="preserve"> Martin et al. 2021</w:t>
      </w:r>
      <w:r w:rsidR="00D16B74">
        <w:t>;</w:t>
      </w:r>
      <w:r w:rsidR="00B2410C">
        <w:t xml:space="preserve"> Page et al. 2017</w:t>
      </w:r>
      <w:r w:rsidR="00D16B74">
        <w:t>;</w:t>
      </w:r>
      <w:r w:rsidR="00B2410C">
        <w:t xml:space="preserve"> Mariotte et al. 2016</w:t>
      </w:r>
      <w:r w:rsidR="00D16B74">
        <w:t>;</w:t>
      </w:r>
      <w:r w:rsidR="00B2410C">
        <w:t xml:space="preserve"> </w:t>
      </w:r>
      <w:r w:rsidR="00375410">
        <w:t>Barrows et al. 2014;</w:t>
      </w:r>
      <w:r w:rsidR="00B2410C">
        <w:t xml:space="preserve"> Kremer Hovinga et al. 2010</w:t>
      </w:r>
      <w:r w:rsidR="00CB5C34">
        <w:t>)</w:t>
      </w:r>
      <w:r w:rsidR="00E15CFC">
        <w:t>.</w:t>
      </w:r>
    </w:p>
    <w:p w14:paraId="655313CA" w14:textId="192BC4CA" w:rsidR="0068188A" w:rsidRDefault="003662AE" w:rsidP="00BF0B88">
      <w:pPr>
        <w:pStyle w:val="BodyText"/>
      </w:pPr>
      <w:r>
        <w:t xml:space="preserve">Three studies were included that assessed the test accuracy of </w:t>
      </w:r>
      <w:r w:rsidR="00CA0E18">
        <w:t>ADAMTS13 activity using the CLIA AcuStar assay compared to the clinical utility standard of FRETS-VWF73 or ELISA (</w:t>
      </w:r>
      <w:r w:rsidR="008F4CB9">
        <w:t>Singh et al. 2023</w:t>
      </w:r>
      <w:r w:rsidR="00CC3CAC">
        <w:t>;</w:t>
      </w:r>
      <w:r w:rsidR="008F4CB9">
        <w:t xml:space="preserve"> </w:t>
      </w:r>
      <w:r w:rsidR="00CA0E18">
        <w:t>Dimopoulos et al. 2022</w:t>
      </w:r>
      <w:r w:rsidR="00CC3CAC">
        <w:t>;</w:t>
      </w:r>
      <w:r w:rsidR="00CA0E18">
        <w:t xml:space="preserve"> Falcinelli et al</w:t>
      </w:r>
      <w:r w:rsidR="00F860CF">
        <w:t>.</w:t>
      </w:r>
      <w:r w:rsidR="00CA0E18">
        <w:t xml:space="preserve"> 2021</w:t>
      </w:r>
      <w:r w:rsidR="008F4CB9">
        <w:t xml:space="preserve">). These were supplemented by 7 additional studies that were </w:t>
      </w:r>
      <w:r w:rsidR="0096052D">
        <w:t>in mixed (diagnostic and monitoring) populations (Beranger et al. 2021</w:t>
      </w:r>
      <w:r w:rsidR="00CC3CAC">
        <w:t>;</w:t>
      </w:r>
      <w:r w:rsidR="0096052D">
        <w:t xml:space="preserve"> Favaloro et al. 2021</w:t>
      </w:r>
      <w:r w:rsidR="0026237B">
        <w:t>a</w:t>
      </w:r>
      <w:r w:rsidR="00CC3CAC">
        <w:t>;</w:t>
      </w:r>
      <w:r w:rsidR="0096052D">
        <w:t xml:space="preserve"> Stratmann et al. 2020) </w:t>
      </w:r>
      <w:r w:rsidR="00521A0B">
        <w:t>and</w:t>
      </w:r>
      <w:r w:rsidR="008E7E32">
        <w:t>/or</w:t>
      </w:r>
      <w:r w:rsidR="00521A0B">
        <w:t xml:space="preserve"> used a case-control design (Favresse et al. 2018</w:t>
      </w:r>
      <w:r w:rsidR="00CC3CAC">
        <w:t>;</w:t>
      </w:r>
      <w:r w:rsidR="00521A0B">
        <w:t xml:space="preserve"> Irsara et al. 2023</w:t>
      </w:r>
      <w:r w:rsidR="00CC3CAC">
        <w:t>;</w:t>
      </w:r>
      <w:r w:rsidR="00521A0B">
        <w:t xml:space="preserve"> Pascual et al. 2021</w:t>
      </w:r>
      <w:r w:rsidR="00CC3CAC">
        <w:t>;</w:t>
      </w:r>
      <w:r w:rsidR="00521A0B">
        <w:t xml:space="preserve"> </w:t>
      </w:r>
      <w:r w:rsidR="00E51A64">
        <w:t xml:space="preserve">Valsecchi et al. 2019). </w:t>
      </w:r>
      <w:r w:rsidR="00E74704">
        <w:t xml:space="preserve">A recent systematic review of rapid ADAMTS13 activity testing compared to </w:t>
      </w:r>
      <w:r w:rsidR="002A35AC">
        <w:t xml:space="preserve">standard ADAMTS13 activity testing (Deshpande et al. 2025) included an additional 5 studies that were either unpublished or </w:t>
      </w:r>
      <w:r w:rsidR="004D138A">
        <w:t>conference abstracts; these were excluded</w:t>
      </w:r>
      <w:r w:rsidR="00586C7C">
        <w:t xml:space="preserve"> in accordance with MSAC guidelines</w:t>
      </w:r>
      <w:r w:rsidR="004D138A">
        <w:t>.</w:t>
      </w:r>
    </w:p>
    <w:p w14:paraId="7C40170E" w14:textId="5269AA00" w:rsidR="008E7E32" w:rsidRDefault="008E7E32" w:rsidP="00BF0B88">
      <w:pPr>
        <w:pStyle w:val="BodyText"/>
      </w:pPr>
      <w:r>
        <w:t xml:space="preserve">No studies met the inclusion criteria for assessing change in management following the introduction of ADAMTS13 testing compared to no ADAMTS13 testing. </w:t>
      </w:r>
      <w:r w:rsidR="00CF4EB6">
        <w:t>Three</w:t>
      </w:r>
      <w:r w:rsidRPr="00CE28E3">
        <w:t xml:space="preserve"> studies met the inclusion criteria for assess</w:t>
      </w:r>
      <w:r>
        <w:t>ing</w:t>
      </w:r>
      <w:r w:rsidRPr="00CE28E3">
        <w:t xml:space="preserve"> change in management</w:t>
      </w:r>
      <w:r>
        <w:t xml:space="preserve"> following</w:t>
      </w:r>
      <w:r w:rsidRPr="00707C18">
        <w:t xml:space="preserve"> </w:t>
      </w:r>
      <w:r>
        <w:t xml:space="preserve">the introduction of rapid </w:t>
      </w:r>
      <w:r>
        <w:lastRenderedPageBreak/>
        <w:t>ADAMTS13 activity testing compared to standard ADAMTS13 activity testing (Connell et al. 2016</w:t>
      </w:r>
      <w:r w:rsidR="007F7C67">
        <w:t>;</w:t>
      </w:r>
      <w:r>
        <w:t xml:space="preserve"> Martin et al. 2016</w:t>
      </w:r>
      <w:r w:rsidR="007F7C67">
        <w:t>;</w:t>
      </w:r>
      <w:r>
        <w:t xml:space="preserve"> Yoshii et al. 2017).</w:t>
      </w:r>
    </w:p>
    <w:p w14:paraId="41D9FA02" w14:textId="0AF7A3DF" w:rsidR="00406137" w:rsidRDefault="00CE6DC4" w:rsidP="00A94658">
      <w:pPr>
        <w:pStyle w:val="Caption"/>
        <w:keepLines/>
        <w:rPr>
          <w:lang w:val="en-US"/>
        </w:rPr>
      </w:pPr>
      <w:bookmarkStart w:id="14" w:name="_Ref212992622"/>
      <w:r>
        <w:t>Table </w:t>
      </w:r>
      <w:r>
        <w:fldChar w:fldCharType="begin"/>
      </w:r>
      <w:r>
        <w:instrText>SEQ Table \* ARABIC</w:instrText>
      </w:r>
      <w:r>
        <w:fldChar w:fldCharType="separate"/>
      </w:r>
      <w:r w:rsidR="00716875">
        <w:rPr>
          <w:noProof/>
        </w:rPr>
        <w:t>3</w:t>
      </w:r>
      <w:r>
        <w:fldChar w:fldCharType="end"/>
      </w:r>
      <w:bookmarkEnd w:id="13"/>
      <w:bookmarkEnd w:id="14"/>
      <w:r w:rsidR="00406137">
        <w:tab/>
      </w:r>
      <w:r w:rsidR="00406137" w:rsidRPr="00290492">
        <w:rPr>
          <w:lang w:val="en-US"/>
        </w:rPr>
        <w:t>Key features of the included evidence</w:t>
      </w:r>
      <w:r w:rsidR="00C7064B">
        <w:rPr>
          <w:lang w:val="en-US"/>
        </w:rPr>
        <w:t xml:space="preserve"> </w:t>
      </w:r>
      <w:r w:rsidR="007D3038">
        <w:rPr>
          <w:lang w:val="en-US"/>
        </w:rPr>
        <w:t xml:space="preserve">for </w:t>
      </w:r>
      <w:r w:rsidR="00C7064B">
        <w:rPr>
          <w:lang w:val="en-US"/>
        </w:rPr>
        <w:t>PICO Set 1 (ADAMTS13 activity testing and anti-ADAMTS13 autoantibody testing for diagnosis)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features of the included evidence for PICO Set 1 (ADAMTS13 activity testing and anti-ADAMTS13 autoantibody testing for diagnosis)"/>
        <w:tblDescription w:val="Summary of the nature of the evidence base for ADAMTS13 activity and auto-antibody test performance measures."/>
      </w:tblPr>
      <w:tblGrid>
        <w:gridCol w:w="1816"/>
        <w:gridCol w:w="3141"/>
        <w:gridCol w:w="1984"/>
        <w:gridCol w:w="2075"/>
      </w:tblGrid>
      <w:tr w:rsidR="00406137" w:rsidRPr="0029683A" w14:paraId="4656CA39" w14:textId="77777777" w:rsidTr="002A6B97">
        <w:trPr>
          <w:tblHeader/>
        </w:trPr>
        <w:tc>
          <w:tcPr>
            <w:tcW w:w="1007" w:type="pct"/>
            <w:tcBorders>
              <w:top w:val="single" w:sz="4" w:space="0" w:color="auto"/>
              <w:left w:val="single" w:sz="4" w:space="0" w:color="auto"/>
              <w:bottom w:val="single" w:sz="4" w:space="0" w:color="auto"/>
              <w:right w:val="single" w:sz="4" w:space="0" w:color="auto"/>
            </w:tcBorders>
            <w:vAlign w:val="bottom"/>
          </w:tcPr>
          <w:p w14:paraId="6258E4B6" w14:textId="77777777" w:rsidR="00406137" w:rsidRPr="0029683A" w:rsidRDefault="00406137" w:rsidP="00A94658">
            <w:pPr>
              <w:pStyle w:val="011TableHeading"/>
              <w:keepLines/>
            </w:pPr>
            <w:bookmarkStart w:id="15" w:name="_Hlk68276288"/>
            <w:r w:rsidRPr="0029683A">
              <w:t>Criterion</w:t>
            </w:r>
          </w:p>
        </w:tc>
        <w:tc>
          <w:tcPr>
            <w:tcW w:w="1742" w:type="pct"/>
            <w:tcBorders>
              <w:top w:val="single" w:sz="4" w:space="0" w:color="auto"/>
              <w:left w:val="single" w:sz="4" w:space="0" w:color="auto"/>
              <w:bottom w:val="single" w:sz="4" w:space="0" w:color="auto"/>
              <w:right w:val="single" w:sz="4" w:space="0" w:color="auto"/>
            </w:tcBorders>
            <w:vAlign w:val="bottom"/>
            <w:hideMark/>
          </w:tcPr>
          <w:p w14:paraId="074AF502" w14:textId="77777777" w:rsidR="00406137" w:rsidRPr="0029683A" w:rsidRDefault="00406137" w:rsidP="00A94658">
            <w:pPr>
              <w:pStyle w:val="011TableHeading"/>
              <w:keepLines/>
            </w:pPr>
            <w:r w:rsidRPr="0029683A">
              <w:t>Type of evidence supplied</w:t>
            </w:r>
          </w:p>
        </w:tc>
        <w:tc>
          <w:tcPr>
            <w:tcW w:w="1100" w:type="pct"/>
            <w:tcBorders>
              <w:top w:val="single" w:sz="4" w:space="0" w:color="auto"/>
              <w:left w:val="single" w:sz="4" w:space="0" w:color="auto"/>
              <w:bottom w:val="single" w:sz="4" w:space="0" w:color="auto"/>
              <w:right w:val="single" w:sz="4" w:space="0" w:color="auto"/>
            </w:tcBorders>
            <w:vAlign w:val="bottom"/>
            <w:hideMark/>
          </w:tcPr>
          <w:p w14:paraId="61A60DDD" w14:textId="77777777" w:rsidR="00406137" w:rsidRPr="0029683A" w:rsidRDefault="00406137" w:rsidP="00A94658">
            <w:pPr>
              <w:pStyle w:val="011TableHeading"/>
              <w:keepLines/>
            </w:pPr>
            <w:r w:rsidRPr="0029683A">
              <w:t>Extent of evidence supplied</w:t>
            </w:r>
          </w:p>
        </w:tc>
        <w:tc>
          <w:tcPr>
            <w:tcW w:w="1151" w:type="pct"/>
            <w:tcBorders>
              <w:top w:val="single" w:sz="4" w:space="0" w:color="auto"/>
              <w:left w:val="single" w:sz="4" w:space="0" w:color="auto"/>
              <w:bottom w:val="single" w:sz="4" w:space="0" w:color="auto"/>
              <w:right w:val="single" w:sz="4" w:space="0" w:color="auto"/>
            </w:tcBorders>
            <w:vAlign w:val="bottom"/>
            <w:hideMark/>
          </w:tcPr>
          <w:p w14:paraId="3A6EC3B5" w14:textId="77777777" w:rsidR="00406137" w:rsidRPr="0029683A" w:rsidRDefault="00406137" w:rsidP="00A94658">
            <w:pPr>
              <w:pStyle w:val="011TableHeading"/>
              <w:keepLines/>
            </w:pPr>
            <w:r w:rsidRPr="0029683A">
              <w:t>Overall risk of bias in evidence base</w:t>
            </w:r>
          </w:p>
        </w:tc>
      </w:tr>
      <w:tr w:rsidR="000B36C5" w:rsidRPr="0029683A" w14:paraId="12467AD4" w14:textId="77777777" w:rsidTr="002A6B97">
        <w:tc>
          <w:tcPr>
            <w:tcW w:w="1007" w:type="pct"/>
            <w:tcBorders>
              <w:top w:val="single" w:sz="4" w:space="0" w:color="auto"/>
              <w:left w:val="single" w:sz="4" w:space="0" w:color="auto"/>
              <w:bottom w:val="single" w:sz="4" w:space="0" w:color="auto"/>
              <w:right w:val="single" w:sz="4" w:space="0" w:color="auto"/>
            </w:tcBorders>
            <w:hideMark/>
          </w:tcPr>
          <w:p w14:paraId="0A98D3E3" w14:textId="070D776E" w:rsidR="000B36C5" w:rsidRPr="0029683A" w:rsidRDefault="000B36C5" w:rsidP="00A94658">
            <w:pPr>
              <w:pStyle w:val="051Tabletext22"/>
              <w:keepNext/>
              <w:keepLines/>
            </w:pPr>
            <w:r w:rsidRPr="0029683A">
              <w:t xml:space="preserve">Accuracy and performance </w:t>
            </w:r>
            <w:r w:rsidR="00A07977">
              <w:t xml:space="preserve">of </w:t>
            </w:r>
            <w:r w:rsidR="00623A96">
              <w:t>ADAMTS13 activity test</w:t>
            </w:r>
            <w:r w:rsidRPr="0029683A">
              <w:t xml:space="preserve"> (cross-sectional accuracy)</w:t>
            </w:r>
          </w:p>
        </w:tc>
        <w:tc>
          <w:tcPr>
            <w:tcW w:w="1742" w:type="pct"/>
            <w:tcBorders>
              <w:top w:val="single" w:sz="4" w:space="0" w:color="auto"/>
              <w:left w:val="single" w:sz="4" w:space="0" w:color="auto"/>
              <w:bottom w:val="single" w:sz="4" w:space="0" w:color="auto"/>
              <w:right w:val="single" w:sz="4" w:space="0" w:color="auto"/>
            </w:tcBorders>
            <w:hideMark/>
          </w:tcPr>
          <w:p w14:paraId="24056383" w14:textId="27B87932" w:rsidR="000B36C5" w:rsidRPr="000D14BD" w:rsidRDefault="00F34A88" w:rsidP="00A94658">
            <w:pPr>
              <w:pStyle w:val="TableText"/>
              <w:keepNext/>
              <w:keepLines/>
            </w:pPr>
            <w:r w:rsidRPr="00280C69">
              <w:t>Cross-sectional diagnostic accuracy studies of index te</w:t>
            </w:r>
            <w:r w:rsidR="001077E8">
              <w:t>s</w:t>
            </w:r>
            <w:r w:rsidRPr="00280C69">
              <w:t>t compared to reference standard.</w:t>
            </w:r>
          </w:p>
        </w:tc>
        <w:tc>
          <w:tcPr>
            <w:tcW w:w="1100" w:type="pct"/>
            <w:tcBorders>
              <w:top w:val="single" w:sz="4" w:space="0" w:color="auto"/>
              <w:left w:val="single" w:sz="4" w:space="0" w:color="auto"/>
              <w:bottom w:val="single" w:sz="4" w:space="0" w:color="auto"/>
              <w:right w:val="single" w:sz="4" w:space="0" w:color="auto"/>
            </w:tcBorders>
            <w:hideMark/>
          </w:tcPr>
          <w:p w14:paraId="7DC76D55" w14:textId="29E16318" w:rsidR="00E97517" w:rsidRPr="0029683A" w:rsidRDefault="002167FB" w:rsidP="00A94658">
            <w:pPr>
              <w:pStyle w:val="TableText"/>
              <w:keepNext/>
              <w:keepLines/>
            </w:pPr>
            <w:sdt>
              <w:sdtPr>
                <w:id w:val="1454910707"/>
                <w14:checkbox>
                  <w14:checked w14:val="1"/>
                  <w14:checkedState w14:val="2612" w14:font="MS Gothic"/>
                  <w14:uncheckedState w14:val="2610" w14:font="MS Gothic"/>
                </w14:checkbox>
              </w:sdtPr>
              <w:sdtEndPr/>
              <w:sdtContent>
                <w:r w:rsidR="0005514D" w:rsidRPr="00280C69">
                  <w:rPr>
                    <w:rFonts w:ascii="Segoe UI Symbol" w:hAnsi="Segoe UI Symbol" w:cs="Segoe UI Symbol"/>
                  </w:rPr>
                  <w:t>☒</w:t>
                </w:r>
              </w:sdtContent>
            </w:sdt>
            <w:r w:rsidR="0005514D" w:rsidRPr="00280C69">
              <w:tab/>
              <w:t>k</w:t>
            </w:r>
            <w:r w:rsidR="0005514D">
              <w:t> </w:t>
            </w:r>
            <w:r w:rsidR="0005514D" w:rsidRPr="00280C69">
              <w:t>=</w:t>
            </w:r>
            <w:r w:rsidR="0005514D">
              <w:t> </w:t>
            </w:r>
            <w:r w:rsidR="0089707A">
              <w:t>7</w:t>
            </w:r>
            <w:r w:rsidR="00E3357D" w:rsidRPr="0029683A">
              <w:tab/>
            </w:r>
            <w:r w:rsidR="0005514D" w:rsidRPr="00280C69">
              <w:t>n</w:t>
            </w:r>
            <w:r w:rsidR="0005514D">
              <w:t> </w:t>
            </w:r>
            <w:r w:rsidR="0005514D" w:rsidRPr="00280C69">
              <w:t>=</w:t>
            </w:r>
            <w:r w:rsidR="0005514D">
              <w:t> </w:t>
            </w:r>
            <w:r w:rsidR="00C9076E" w:rsidRPr="00C9076E">
              <w:t>1,184</w:t>
            </w:r>
          </w:p>
        </w:tc>
        <w:tc>
          <w:tcPr>
            <w:tcW w:w="1151" w:type="pct"/>
            <w:tcBorders>
              <w:top w:val="single" w:sz="4" w:space="0" w:color="auto"/>
              <w:left w:val="single" w:sz="4" w:space="0" w:color="auto"/>
              <w:bottom w:val="single" w:sz="4" w:space="0" w:color="auto"/>
              <w:right w:val="single" w:sz="4" w:space="0" w:color="auto"/>
            </w:tcBorders>
            <w:hideMark/>
          </w:tcPr>
          <w:p w14:paraId="66BA406D" w14:textId="31929C5E" w:rsidR="000B36C5" w:rsidRPr="00535812" w:rsidRDefault="00B00D44" w:rsidP="00A94658">
            <w:pPr>
              <w:pStyle w:val="051Tabletext22"/>
              <w:keepNext/>
              <w:keepLines/>
            </w:pPr>
            <w:r w:rsidRPr="00280C69">
              <w:t xml:space="preserve">QUADAS-2: </w:t>
            </w:r>
            <w:r>
              <w:t>most critical</w:t>
            </w:r>
            <w:r w:rsidRPr="00280C69">
              <w:t xml:space="preserve"> risk of bias</w:t>
            </w:r>
            <w:r>
              <w:t xml:space="preserve"> across all studies is the inclusion of the index test in the reference standard</w:t>
            </w:r>
          </w:p>
        </w:tc>
      </w:tr>
      <w:tr w:rsidR="00623A96" w:rsidRPr="0029683A" w14:paraId="17D1DEA8" w14:textId="77777777" w:rsidTr="002A6B97">
        <w:tc>
          <w:tcPr>
            <w:tcW w:w="1007" w:type="pct"/>
            <w:tcBorders>
              <w:top w:val="single" w:sz="4" w:space="0" w:color="auto"/>
              <w:left w:val="single" w:sz="4" w:space="0" w:color="auto"/>
              <w:bottom w:val="single" w:sz="4" w:space="0" w:color="auto"/>
              <w:right w:val="single" w:sz="4" w:space="0" w:color="auto"/>
            </w:tcBorders>
            <w:hideMark/>
          </w:tcPr>
          <w:p w14:paraId="3B0EA2AB" w14:textId="11F9FD9C" w:rsidR="00623A96" w:rsidRPr="0029683A" w:rsidRDefault="00623A96" w:rsidP="00A94658">
            <w:pPr>
              <w:pStyle w:val="051Tabletext22"/>
              <w:keepNext/>
              <w:keepLines/>
            </w:pPr>
            <w:r w:rsidRPr="0029683A">
              <w:t xml:space="preserve">Accuracy and performance of </w:t>
            </w:r>
            <w:r w:rsidR="00D2682B">
              <w:t>CLIA AcuStar assay</w:t>
            </w:r>
            <w:r w:rsidRPr="0029683A">
              <w:t xml:space="preserve"> (cross-sectional accuracy)</w:t>
            </w:r>
          </w:p>
        </w:tc>
        <w:tc>
          <w:tcPr>
            <w:tcW w:w="1742" w:type="pct"/>
            <w:tcBorders>
              <w:top w:val="single" w:sz="4" w:space="0" w:color="auto"/>
              <w:left w:val="single" w:sz="4" w:space="0" w:color="auto"/>
              <w:bottom w:val="single" w:sz="4" w:space="0" w:color="auto"/>
              <w:right w:val="single" w:sz="4" w:space="0" w:color="auto"/>
            </w:tcBorders>
            <w:hideMark/>
          </w:tcPr>
          <w:p w14:paraId="27FDF8DC" w14:textId="23B87BAA" w:rsidR="00623A96" w:rsidRDefault="00623A96" w:rsidP="00A94658">
            <w:pPr>
              <w:pStyle w:val="TableText"/>
              <w:keepNext/>
              <w:keepLines/>
            </w:pPr>
            <w:r w:rsidRPr="00280C69">
              <w:t>Cross-sectional diagnostic accuracy studies of index te</w:t>
            </w:r>
            <w:r w:rsidR="001077E8">
              <w:t>s</w:t>
            </w:r>
            <w:r w:rsidRPr="00280C69">
              <w:t xml:space="preserve">t compared to </w:t>
            </w:r>
            <w:r>
              <w:t>clinical utility standard</w:t>
            </w:r>
            <w:r w:rsidR="000D14BD">
              <w:t>.</w:t>
            </w:r>
          </w:p>
          <w:p w14:paraId="12ACCC1C" w14:textId="780EC123" w:rsidR="00AD7A71" w:rsidRPr="00031CC3" w:rsidRDefault="00AD7A71" w:rsidP="00A94658">
            <w:pPr>
              <w:pStyle w:val="TableText"/>
              <w:keepNext/>
              <w:keepLines/>
            </w:pPr>
            <w:r>
              <w:t>Additional studies in either mix</w:t>
            </w:r>
            <w:r w:rsidR="00F05C18">
              <w:t>ed</w:t>
            </w:r>
            <w:r>
              <w:t xml:space="preserve"> diagnostic and monitoring populations and/or case-control designs.</w:t>
            </w:r>
          </w:p>
        </w:tc>
        <w:tc>
          <w:tcPr>
            <w:tcW w:w="1100" w:type="pct"/>
            <w:tcBorders>
              <w:top w:val="single" w:sz="4" w:space="0" w:color="auto"/>
              <w:left w:val="single" w:sz="4" w:space="0" w:color="auto"/>
              <w:bottom w:val="single" w:sz="4" w:space="0" w:color="auto"/>
              <w:right w:val="single" w:sz="4" w:space="0" w:color="auto"/>
            </w:tcBorders>
            <w:hideMark/>
          </w:tcPr>
          <w:p w14:paraId="0A1EFC42" w14:textId="207EC9CE" w:rsidR="00623A96" w:rsidRPr="00280C69" w:rsidRDefault="00B00D44" w:rsidP="00A94658">
            <w:pPr>
              <w:pStyle w:val="TableText"/>
              <w:keepNext/>
              <w:keepLines/>
            </w:pPr>
            <w:r>
              <w:t>Cross-sectional</w:t>
            </w:r>
            <w:r w:rsidR="00623A96">
              <w:br/>
            </w:r>
            <w:sdt>
              <w:sdtPr>
                <w:id w:val="1814372799"/>
                <w14:checkbox>
                  <w14:checked w14:val="1"/>
                  <w14:checkedState w14:val="2612" w14:font="MS Gothic"/>
                  <w14:uncheckedState w14:val="2610" w14:font="MS Gothic"/>
                </w14:checkbox>
              </w:sdtPr>
              <w:sdtEndPr/>
              <w:sdtContent>
                <w:r w:rsidR="00623A96" w:rsidRPr="00280C69">
                  <w:rPr>
                    <w:rFonts w:ascii="Segoe UI Symbol" w:hAnsi="Segoe UI Symbol" w:cs="Segoe UI Symbol"/>
                  </w:rPr>
                  <w:t>☒</w:t>
                </w:r>
              </w:sdtContent>
            </w:sdt>
            <w:r w:rsidR="00623A96" w:rsidRPr="00280C69">
              <w:tab/>
              <w:t>k</w:t>
            </w:r>
            <w:r w:rsidR="00623A96">
              <w:t> </w:t>
            </w:r>
            <w:r w:rsidR="00623A96" w:rsidRPr="00280C69">
              <w:t>=</w:t>
            </w:r>
            <w:r w:rsidR="00623A96">
              <w:t> </w:t>
            </w:r>
            <w:r w:rsidR="003C7379">
              <w:t>3</w:t>
            </w:r>
            <w:r w:rsidR="00E3357D" w:rsidRPr="0029683A">
              <w:tab/>
            </w:r>
            <w:r w:rsidR="00623A96" w:rsidRPr="00280C69">
              <w:t>n</w:t>
            </w:r>
            <w:r w:rsidR="00623A96">
              <w:t> </w:t>
            </w:r>
            <w:r w:rsidR="00623A96" w:rsidRPr="00280C69">
              <w:t>=</w:t>
            </w:r>
            <w:r w:rsidR="00623A96">
              <w:t> </w:t>
            </w:r>
            <w:r w:rsidR="00DF157C">
              <w:t>290</w:t>
            </w:r>
          </w:p>
          <w:p w14:paraId="21709E16" w14:textId="169DE444" w:rsidR="00623A96" w:rsidRPr="0029683A" w:rsidRDefault="00AD7A71" w:rsidP="00A94658">
            <w:pPr>
              <w:pStyle w:val="051Tabletext22"/>
              <w:keepNext/>
              <w:keepLines/>
            </w:pPr>
            <w:r>
              <w:t>Additional studies</w:t>
            </w:r>
            <w:r w:rsidR="00623A96">
              <w:t xml:space="preserve"> </w:t>
            </w:r>
            <w:r w:rsidR="00623A96">
              <w:br/>
            </w:r>
            <w:sdt>
              <w:sdtPr>
                <w:id w:val="-574274143"/>
                <w14:checkbox>
                  <w14:checked w14:val="1"/>
                  <w14:checkedState w14:val="2612" w14:font="MS Gothic"/>
                  <w14:uncheckedState w14:val="2610" w14:font="MS Gothic"/>
                </w14:checkbox>
              </w:sdtPr>
              <w:sdtEndPr/>
              <w:sdtContent>
                <w:r w:rsidR="00623A96" w:rsidRPr="00280C69">
                  <w:rPr>
                    <w:rFonts w:ascii="Segoe UI Symbol" w:hAnsi="Segoe UI Symbol" w:cs="Segoe UI Symbol"/>
                  </w:rPr>
                  <w:t>☒</w:t>
                </w:r>
              </w:sdtContent>
            </w:sdt>
            <w:r w:rsidR="00623A96" w:rsidRPr="00280C69">
              <w:tab/>
              <w:t>k</w:t>
            </w:r>
            <w:r w:rsidR="00623A96">
              <w:t> </w:t>
            </w:r>
            <w:r w:rsidR="00623A96" w:rsidRPr="00280C69">
              <w:t>=</w:t>
            </w:r>
            <w:r w:rsidR="00623A96">
              <w:t> </w:t>
            </w:r>
            <w:r>
              <w:t>7</w:t>
            </w:r>
            <w:r w:rsidR="00E3357D" w:rsidRPr="0029683A">
              <w:tab/>
            </w:r>
            <w:r w:rsidR="00623A96" w:rsidRPr="00280C69">
              <w:t>n</w:t>
            </w:r>
            <w:r w:rsidR="00623A96">
              <w:t> </w:t>
            </w:r>
            <w:r w:rsidR="00623A96" w:rsidRPr="00280C69">
              <w:t>=</w:t>
            </w:r>
            <w:r w:rsidR="00623A96">
              <w:t> </w:t>
            </w:r>
            <w:r w:rsidR="00E619B5" w:rsidRPr="00280C69">
              <w:t>1</w:t>
            </w:r>
            <w:r w:rsidR="00E619B5">
              <w:t>,785</w:t>
            </w:r>
          </w:p>
        </w:tc>
        <w:tc>
          <w:tcPr>
            <w:tcW w:w="1151" w:type="pct"/>
            <w:tcBorders>
              <w:top w:val="single" w:sz="4" w:space="0" w:color="auto"/>
              <w:left w:val="single" w:sz="4" w:space="0" w:color="auto"/>
              <w:bottom w:val="single" w:sz="4" w:space="0" w:color="auto"/>
              <w:right w:val="single" w:sz="4" w:space="0" w:color="auto"/>
            </w:tcBorders>
            <w:hideMark/>
          </w:tcPr>
          <w:p w14:paraId="6D19FF97" w14:textId="671652A5" w:rsidR="00623A96" w:rsidRDefault="00DF157C" w:rsidP="00A94658">
            <w:pPr>
              <w:pStyle w:val="051Tabletext22"/>
              <w:keepNext/>
              <w:keepLines/>
            </w:pPr>
            <w:r w:rsidRPr="00280C69">
              <w:t xml:space="preserve">QUADAS-2: </w:t>
            </w:r>
            <w:r w:rsidR="009D4763">
              <w:t>low or unclear risk of bias in all domains (cross-sectional studies only)</w:t>
            </w:r>
            <w:r w:rsidR="00E807DD">
              <w:t>.</w:t>
            </w:r>
          </w:p>
          <w:p w14:paraId="786D653D" w14:textId="457E70ED" w:rsidR="00AD7A71" w:rsidRPr="00AD7A71" w:rsidRDefault="00AD7A71" w:rsidP="00A94658">
            <w:pPr>
              <w:pStyle w:val="051Tabletext22"/>
              <w:keepNext/>
              <w:keepLines/>
            </w:pPr>
            <w:r w:rsidRPr="00AD7A71">
              <w:t>Not assessed for additional studies.</w:t>
            </w:r>
          </w:p>
        </w:tc>
      </w:tr>
      <w:tr w:rsidR="00623A96" w:rsidRPr="0029683A" w14:paraId="5C45CCB2" w14:textId="77777777" w:rsidTr="002A6B97">
        <w:tc>
          <w:tcPr>
            <w:tcW w:w="1007" w:type="pct"/>
            <w:tcBorders>
              <w:top w:val="single" w:sz="4" w:space="0" w:color="auto"/>
              <w:left w:val="single" w:sz="4" w:space="0" w:color="auto"/>
              <w:bottom w:val="single" w:sz="4" w:space="0" w:color="auto"/>
              <w:right w:val="single" w:sz="4" w:space="0" w:color="auto"/>
            </w:tcBorders>
            <w:hideMark/>
          </w:tcPr>
          <w:p w14:paraId="3DAE07DF" w14:textId="20DF459A" w:rsidR="00623A96" w:rsidRPr="0029683A" w:rsidRDefault="00623A96" w:rsidP="00A94658">
            <w:pPr>
              <w:pStyle w:val="051Tabletext22"/>
              <w:keepNext/>
              <w:keepLines/>
            </w:pPr>
            <w:r w:rsidRPr="0029683A">
              <w:t xml:space="preserve">Accuracy and performance of </w:t>
            </w:r>
            <w:r w:rsidR="00D2682B">
              <w:t>anti-ADAMTS13 autoantibody</w:t>
            </w:r>
            <w:r w:rsidRPr="0029683A">
              <w:t xml:space="preserve"> test (cross-sectional accuracy</w:t>
            </w:r>
            <w:r w:rsidR="0089707A">
              <w:t xml:space="preserve"> and diagnostic yield</w:t>
            </w:r>
            <w:r w:rsidRPr="0029683A">
              <w:t>)</w:t>
            </w:r>
          </w:p>
        </w:tc>
        <w:tc>
          <w:tcPr>
            <w:tcW w:w="1742" w:type="pct"/>
            <w:tcBorders>
              <w:top w:val="single" w:sz="4" w:space="0" w:color="auto"/>
              <w:left w:val="single" w:sz="4" w:space="0" w:color="auto"/>
              <w:bottom w:val="single" w:sz="4" w:space="0" w:color="auto"/>
              <w:right w:val="single" w:sz="4" w:space="0" w:color="auto"/>
            </w:tcBorders>
            <w:hideMark/>
          </w:tcPr>
          <w:p w14:paraId="5870C463" w14:textId="0CFCD977" w:rsidR="00623A96" w:rsidRPr="00280C69" w:rsidRDefault="00623A96" w:rsidP="00A94658">
            <w:pPr>
              <w:pStyle w:val="TableText"/>
              <w:keepNext/>
              <w:keepLines/>
            </w:pPr>
            <w:r w:rsidRPr="00280C69">
              <w:t>Cross-sectional diagnostic accuracy studies of index te</w:t>
            </w:r>
            <w:r w:rsidR="001077E8">
              <w:t>s</w:t>
            </w:r>
            <w:r w:rsidRPr="00280C69">
              <w:t>t compared to reference standard.</w:t>
            </w:r>
          </w:p>
          <w:p w14:paraId="42D5ABD6" w14:textId="5784239B" w:rsidR="00623A96" w:rsidRPr="00E619B5" w:rsidRDefault="006F6A4F" w:rsidP="00A94658">
            <w:pPr>
              <w:pStyle w:val="TableText"/>
              <w:keepNext/>
              <w:keepLines/>
            </w:pPr>
            <w:r>
              <w:t>Additional studies of d</w:t>
            </w:r>
            <w:r w:rsidR="00623A96">
              <w:t xml:space="preserve">iagnostic </w:t>
            </w:r>
            <w:r w:rsidR="001955C1">
              <w:t>y</w:t>
            </w:r>
            <w:r w:rsidR="00623A96">
              <w:t>ield</w:t>
            </w:r>
            <w:r w:rsidR="001955C1">
              <w:t>.</w:t>
            </w:r>
          </w:p>
        </w:tc>
        <w:tc>
          <w:tcPr>
            <w:tcW w:w="1100" w:type="pct"/>
            <w:tcBorders>
              <w:top w:val="single" w:sz="4" w:space="0" w:color="auto"/>
              <w:left w:val="single" w:sz="4" w:space="0" w:color="auto"/>
              <w:bottom w:val="single" w:sz="4" w:space="0" w:color="auto"/>
              <w:right w:val="single" w:sz="4" w:space="0" w:color="auto"/>
            </w:tcBorders>
            <w:hideMark/>
          </w:tcPr>
          <w:p w14:paraId="1A2DFE4C" w14:textId="43C36E13" w:rsidR="00623A96" w:rsidRPr="00280C69" w:rsidRDefault="001C4BA3" w:rsidP="00A94658">
            <w:pPr>
              <w:pStyle w:val="TableText"/>
              <w:keepNext/>
              <w:keepLines/>
            </w:pPr>
            <w:r>
              <w:t>Diagnostic accuracy</w:t>
            </w:r>
            <w:r w:rsidR="00623A96">
              <w:br/>
            </w:r>
            <w:sdt>
              <w:sdtPr>
                <w:id w:val="-760299721"/>
                <w14:checkbox>
                  <w14:checked w14:val="1"/>
                  <w14:checkedState w14:val="2612" w14:font="MS Gothic"/>
                  <w14:uncheckedState w14:val="2610" w14:font="MS Gothic"/>
                </w14:checkbox>
              </w:sdtPr>
              <w:sdtEndPr/>
              <w:sdtContent>
                <w:r w:rsidR="00623A96" w:rsidRPr="00280C69">
                  <w:rPr>
                    <w:rFonts w:ascii="Segoe UI Symbol" w:hAnsi="Segoe UI Symbol" w:cs="Segoe UI Symbol"/>
                  </w:rPr>
                  <w:t>☒</w:t>
                </w:r>
              </w:sdtContent>
            </w:sdt>
            <w:r w:rsidR="00623A96" w:rsidRPr="00280C69">
              <w:tab/>
              <w:t>k</w:t>
            </w:r>
            <w:r w:rsidR="00623A96">
              <w:t> </w:t>
            </w:r>
            <w:r w:rsidR="00623A96" w:rsidRPr="00280C69">
              <w:t>=</w:t>
            </w:r>
            <w:r w:rsidR="00623A96">
              <w:t> </w:t>
            </w:r>
            <w:r w:rsidR="00623A96" w:rsidRPr="00280C69">
              <w:t>2</w:t>
            </w:r>
            <w:r w:rsidR="00E3357D" w:rsidRPr="0029683A">
              <w:tab/>
            </w:r>
            <w:r w:rsidR="00623A96" w:rsidRPr="00280C69">
              <w:t>n</w:t>
            </w:r>
            <w:r w:rsidR="00623A96">
              <w:t> </w:t>
            </w:r>
            <w:r w:rsidR="00623A96" w:rsidRPr="00280C69">
              <w:t>=</w:t>
            </w:r>
            <w:r w:rsidR="00623A96">
              <w:t> </w:t>
            </w:r>
            <w:r w:rsidR="00DC6BC8">
              <w:t>46</w:t>
            </w:r>
          </w:p>
          <w:p w14:paraId="0ADA06CC" w14:textId="6DB609E8" w:rsidR="00623A96" w:rsidRPr="0029683A" w:rsidRDefault="00FA7612" w:rsidP="00A94658">
            <w:pPr>
              <w:pStyle w:val="051Tabletext22"/>
              <w:keepNext/>
              <w:keepLines/>
            </w:pPr>
            <w:r>
              <w:t>Diagnostic yield</w:t>
            </w:r>
            <w:r w:rsidR="00623A96">
              <w:t xml:space="preserve"> </w:t>
            </w:r>
            <w:r w:rsidR="00623A96">
              <w:br/>
            </w:r>
            <w:sdt>
              <w:sdtPr>
                <w:id w:val="-172649056"/>
                <w14:checkbox>
                  <w14:checked w14:val="1"/>
                  <w14:checkedState w14:val="2612" w14:font="MS Gothic"/>
                  <w14:uncheckedState w14:val="2610" w14:font="MS Gothic"/>
                </w14:checkbox>
              </w:sdtPr>
              <w:sdtEndPr/>
              <w:sdtContent>
                <w:r w:rsidR="00623A96" w:rsidRPr="00280C69">
                  <w:rPr>
                    <w:rFonts w:ascii="Segoe UI Symbol" w:hAnsi="Segoe UI Symbol" w:cs="Segoe UI Symbol"/>
                  </w:rPr>
                  <w:t>☒</w:t>
                </w:r>
              </w:sdtContent>
            </w:sdt>
            <w:r w:rsidR="00623A96" w:rsidRPr="00280C69">
              <w:tab/>
              <w:t>k</w:t>
            </w:r>
            <w:r w:rsidR="00623A96">
              <w:t> </w:t>
            </w:r>
            <w:r w:rsidR="00623A96" w:rsidRPr="00280C69">
              <w:t>=</w:t>
            </w:r>
            <w:r w:rsidR="00623A96">
              <w:t> </w:t>
            </w:r>
            <w:r w:rsidR="00AE3875">
              <w:t>7</w:t>
            </w:r>
            <w:r w:rsidR="00E3357D" w:rsidRPr="0029683A">
              <w:tab/>
            </w:r>
            <w:r w:rsidR="00623A96" w:rsidRPr="00280C69">
              <w:t>n</w:t>
            </w:r>
            <w:r w:rsidR="00623A96">
              <w:t> </w:t>
            </w:r>
            <w:r w:rsidR="00623A96" w:rsidRPr="00280C69">
              <w:t>=</w:t>
            </w:r>
            <w:r w:rsidR="00623A96">
              <w:t> </w:t>
            </w:r>
            <w:r w:rsidR="00A67AB2">
              <w:t>1,066</w:t>
            </w:r>
          </w:p>
        </w:tc>
        <w:tc>
          <w:tcPr>
            <w:tcW w:w="1151" w:type="pct"/>
            <w:tcBorders>
              <w:top w:val="single" w:sz="4" w:space="0" w:color="auto"/>
              <w:left w:val="single" w:sz="4" w:space="0" w:color="auto"/>
              <w:bottom w:val="single" w:sz="4" w:space="0" w:color="auto"/>
              <w:right w:val="single" w:sz="4" w:space="0" w:color="auto"/>
            </w:tcBorders>
            <w:hideMark/>
          </w:tcPr>
          <w:p w14:paraId="5DE6FC47" w14:textId="5E6D79F4" w:rsidR="00623A96" w:rsidRDefault="00F311E2" w:rsidP="00A94658">
            <w:pPr>
              <w:pStyle w:val="051Tabletext22"/>
              <w:keepNext/>
              <w:keepLines/>
            </w:pPr>
            <w:r>
              <w:t xml:space="preserve">QUADAS-2: </w:t>
            </w:r>
            <w:r w:rsidR="004B67FE">
              <w:t>not repeated (studies assessed for ADAMTS13 activity testing)</w:t>
            </w:r>
            <w:r w:rsidR="00E807DD">
              <w:t>.</w:t>
            </w:r>
          </w:p>
          <w:p w14:paraId="69437754" w14:textId="2BA8318F" w:rsidR="004B67FE" w:rsidRPr="00F311E2" w:rsidRDefault="004B67FE" w:rsidP="00A94658">
            <w:pPr>
              <w:pStyle w:val="051Tabletext22"/>
              <w:keepNext/>
              <w:keepLines/>
            </w:pPr>
            <w:r>
              <w:t>Diagnostic yield studies not assessed.</w:t>
            </w:r>
          </w:p>
        </w:tc>
      </w:tr>
      <w:tr w:rsidR="000B36C5" w:rsidRPr="0029683A" w14:paraId="458CD772" w14:textId="77777777" w:rsidTr="002A6B97">
        <w:tc>
          <w:tcPr>
            <w:tcW w:w="1007" w:type="pct"/>
            <w:tcBorders>
              <w:top w:val="single" w:sz="4" w:space="0" w:color="auto"/>
              <w:left w:val="single" w:sz="4" w:space="0" w:color="auto"/>
              <w:bottom w:val="single" w:sz="4" w:space="0" w:color="auto"/>
              <w:right w:val="single" w:sz="4" w:space="0" w:color="auto"/>
            </w:tcBorders>
            <w:hideMark/>
          </w:tcPr>
          <w:p w14:paraId="68C101CF" w14:textId="492835F8" w:rsidR="000B36C5" w:rsidRPr="0029683A" w:rsidRDefault="00486F02" w:rsidP="00A94658">
            <w:pPr>
              <w:pStyle w:val="051Tabletext22"/>
              <w:keepNext/>
              <w:keepLines/>
            </w:pPr>
            <w:r>
              <w:t>Change in patient management</w:t>
            </w:r>
          </w:p>
        </w:tc>
        <w:tc>
          <w:tcPr>
            <w:tcW w:w="1742" w:type="pct"/>
            <w:tcBorders>
              <w:top w:val="single" w:sz="4" w:space="0" w:color="auto"/>
              <w:left w:val="single" w:sz="4" w:space="0" w:color="auto"/>
              <w:bottom w:val="single" w:sz="4" w:space="0" w:color="auto"/>
              <w:right w:val="single" w:sz="4" w:space="0" w:color="auto"/>
            </w:tcBorders>
            <w:hideMark/>
          </w:tcPr>
          <w:p w14:paraId="52ECCE72" w14:textId="5C16970E" w:rsidR="00697D9E" w:rsidRDefault="00697D9E" w:rsidP="00A94658">
            <w:pPr>
              <w:pStyle w:val="051Tabletext22"/>
              <w:keepNext/>
              <w:keepLines/>
            </w:pPr>
            <w:r>
              <w:t>No studies met inclusion criteria for ADAMTS13 testing compared to no ADAMTS13 testing.</w:t>
            </w:r>
          </w:p>
          <w:p w14:paraId="4F6F4DA5" w14:textId="67268005" w:rsidR="000B36C5" w:rsidRPr="00290492" w:rsidRDefault="00955D3D" w:rsidP="00A94658">
            <w:pPr>
              <w:pStyle w:val="051Tabletext22"/>
              <w:keepNext/>
              <w:keepLines/>
            </w:pPr>
            <w:r>
              <w:t xml:space="preserve">3 </w:t>
            </w:r>
            <w:r w:rsidR="00697D9E">
              <w:t>comparative cohorts with historical controls compared rapid ADAMTS13 activity testing with standard ADAMTS13 activity testing.</w:t>
            </w:r>
          </w:p>
        </w:tc>
        <w:tc>
          <w:tcPr>
            <w:tcW w:w="1100" w:type="pct"/>
            <w:tcBorders>
              <w:top w:val="single" w:sz="4" w:space="0" w:color="auto"/>
              <w:left w:val="single" w:sz="4" w:space="0" w:color="auto"/>
              <w:bottom w:val="single" w:sz="4" w:space="0" w:color="auto"/>
              <w:right w:val="single" w:sz="4" w:space="0" w:color="auto"/>
            </w:tcBorders>
            <w:hideMark/>
          </w:tcPr>
          <w:p w14:paraId="7C029EE9" w14:textId="387FE8BC" w:rsidR="000B36C5" w:rsidRPr="0029683A" w:rsidRDefault="002167FB" w:rsidP="00A94658">
            <w:pPr>
              <w:pStyle w:val="051Tabletext22"/>
              <w:keepNext/>
              <w:keepLines/>
            </w:pPr>
            <w:sdt>
              <w:sdtPr>
                <w:id w:val="-1943214893"/>
                <w14:checkbox>
                  <w14:checked w14:val="1"/>
                  <w14:checkedState w14:val="2612" w14:font="MS Gothic"/>
                  <w14:uncheckedState w14:val="2610" w14:font="MS Gothic"/>
                </w14:checkbox>
              </w:sdtPr>
              <w:sdtEndPr/>
              <w:sdtContent>
                <w:r w:rsidR="0053439B">
                  <w:rPr>
                    <w:rFonts w:ascii="MS Gothic" w:eastAsia="MS Gothic" w:hAnsi="MS Gothic" w:hint="eastAsia"/>
                  </w:rPr>
                  <w:t>☒</w:t>
                </w:r>
              </w:sdtContent>
            </w:sdt>
            <w:r w:rsidR="000B36C5" w:rsidRPr="0029683A">
              <w:tab/>
              <w:t>k</w:t>
            </w:r>
            <w:r w:rsidR="00491C32">
              <w:t> </w:t>
            </w:r>
            <w:r w:rsidR="000B36C5" w:rsidRPr="0029683A">
              <w:t>=</w:t>
            </w:r>
            <w:r w:rsidR="00491C32">
              <w:t> </w:t>
            </w:r>
            <w:r w:rsidR="0053439B">
              <w:t>3</w:t>
            </w:r>
            <w:r w:rsidR="00E3357D" w:rsidRPr="0029683A">
              <w:tab/>
            </w:r>
            <w:r w:rsidR="000B36C5" w:rsidRPr="0029683A">
              <w:t>n</w:t>
            </w:r>
            <w:r w:rsidR="000A2561">
              <w:t> </w:t>
            </w:r>
            <w:r w:rsidR="000B36C5" w:rsidRPr="0029683A">
              <w:t>=</w:t>
            </w:r>
            <w:r w:rsidR="000A2561">
              <w:t> </w:t>
            </w:r>
            <w:r w:rsidR="001C67ED">
              <w:t>339</w:t>
            </w:r>
          </w:p>
        </w:tc>
        <w:tc>
          <w:tcPr>
            <w:tcW w:w="1151" w:type="pct"/>
            <w:tcBorders>
              <w:top w:val="single" w:sz="4" w:space="0" w:color="auto"/>
              <w:left w:val="single" w:sz="4" w:space="0" w:color="auto"/>
              <w:bottom w:val="single" w:sz="4" w:space="0" w:color="auto"/>
              <w:right w:val="single" w:sz="4" w:space="0" w:color="auto"/>
            </w:tcBorders>
            <w:hideMark/>
          </w:tcPr>
          <w:p w14:paraId="0B974709" w14:textId="07B9E5BF" w:rsidR="000B36C5" w:rsidRPr="00E807DD" w:rsidRDefault="00B8428A" w:rsidP="00A94658">
            <w:pPr>
              <w:pStyle w:val="051Tabletext22"/>
              <w:keepNext/>
              <w:keepLines/>
            </w:pPr>
            <w:r>
              <w:t xml:space="preserve">SIGN </w:t>
            </w:r>
            <w:r w:rsidR="00697D9E">
              <w:t>checklist for cohort studies: acceptable quality (2 studies) and low quality (1 study)</w:t>
            </w:r>
          </w:p>
        </w:tc>
      </w:tr>
      <w:tr w:rsidR="000B36C5" w:rsidRPr="0029683A" w14:paraId="43CA2927" w14:textId="77777777" w:rsidTr="002A6B97">
        <w:tc>
          <w:tcPr>
            <w:tcW w:w="1007" w:type="pct"/>
            <w:tcBorders>
              <w:top w:val="single" w:sz="4" w:space="0" w:color="auto"/>
              <w:left w:val="single" w:sz="4" w:space="0" w:color="auto"/>
              <w:bottom w:val="single" w:sz="4" w:space="0" w:color="auto"/>
              <w:right w:val="single" w:sz="4" w:space="0" w:color="auto"/>
            </w:tcBorders>
            <w:hideMark/>
          </w:tcPr>
          <w:p w14:paraId="47320C93" w14:textId="77777777" w:rsidR="000B36C5" w:rsidRPr="0029683A" w:rsidRDefault="000B36C5" w:rsidP="00A94658">
            <w:pPr>
              <w:pStyle w:val="051Tabletext22"/>
              <w:keepNext/>
              <w:keepLines/>
            </w:pPr>
            <w:r w:rsidRPr="0029683A">
              <w:t xml:space="preserve">Health outcomes  </w:t>
            </w:r>
          </w:p>
        </w:tc>
        <w:tc>
          <w:tcPr>
            <w:tcW w:w="1742" w:type="pct"/>
            <w:tcBorders>
              <w:top w:val="single" w:sz="4" w:space="0" w:color="auto"/>
              <w:left w:val="single" w:sz="4" w:space="0" w:color="auto"/>
              <w:bottom w:val="single" w:sz="4" w:space="0" w:color="auto"/>
              <w:right w:val="single" w:sz="4" w:space="0" w:color="auto"/>
            </w:tcBorders>
          </w:tcPr>
          <w:p w14:paraId="3070910F" w14:textId="348C8B9B" w:rsidR="000B36C5" w:rsidRDefault="00E66752" w:rsidP="00A94658">
            <w:pPr>
              <w:pStyle w:val="051Tabletext22"/>
              <w:keepNext/>
              <w:keepLines/>
            </w:pPr>
            <w:r>
              <w:t>No studies</w:t>
            </w:r>
            <w:r w:rsidR="00527527">
              <w:t xml:space="preserve"> met inclusion criteria for direct evidence. </w:t>
            </w:r>
          </w:p>
          <w:p w14:paraId="6BBC77A5" w14:textId="28694735" w:rsidR="00527527" w:rsidRDefault="002B6DBE" w:rsidP="00A94658">
            <w:pPr>
              <w:pStyle w:val="051Tabletext22"/>
              <w:keepNext/>
              <w:keepLines/>
            </w:pPr>
            <w:r>
              <w:t>One systematic review (</w:t>
            </w:r>
            <w:r w:rsidR="00DE2122">
              <w:t xml:space="preserve">summarising 2 RCTs) </w:t>
            </w:r>
            <w:r w:rsidR="00040DC8">
              <w:t xml:space="preserve">and one </w:t>
            </w:r>
            <w:r w:rsidR="00C82249">
              <w:t>registry study (4 publications) provide information on effectiveness and safety of PEX.</w:t>
            </w:r>
          </w:p>
          <w:p w14:paraId="66194D46" w14:textId="12EB5EAC" w:rsidR="00E763C3" w:rsidRPr="00E66752" w:rsidRDefault="00E763C3" w:rsidP="00A94658">
            <w:pPr>
              <w:pStyle w:val="051Tabletext22"/>
              <w:keepNext/>
              <w:keepLines/>
            </w:pPr>
            <w:r>
              <w:t>Two evidence</w:t>
            </w:r>
            <w:r w:rsidR="004B2E7F">
              <w:t>-</w:t>
            </w:r>
            <w:r>
              <w:t>based clinical</w:t>
            </w:r>
            <w:r w:rsidR="004B2E7F">
              <w:t xml:space="preserve"> </w:t>
            </w:r>
            <w:r>
              <w:t xml:space="preserve">practice guidelines provide </w:t>
            </w:r>
            <w:r w:rsidR="00A479F0">
              <w:t xml:space="preserve">information on effectiveness </w:t>
            </w:r>
            <w:r w:rsidR="004B2E7F">
              <w:t xml:space="preserve">and safety </w:t>
            </w:r>
            <w:r w:rsidR="00A479F0">
              <w:t>of other therapies for TTP and aHUS.</w:t>
            </w:r>
          </w:p>
        </w:tc>
        <w:tc>
          <w:tcPr>
            <w:tcW w:w="1100" w:type="pct"/>
            <w:tcBorders>
              <w:top w:val="single" w:sz="4" w:space="0" w:color="auto"/>
              <w:left w:val="single" w:sz="4" w:space="0" w:color="auto"/>
              <w:bottom w:val="single" w:sz="4" w:space="0" w:color="auto"/>
              <w:right w:val="single" w:sz="4" w:space="0" w:color="auto"/>
            </w:tcBorders>
          </w:tcPr>
          <w:p w14:paraId="01E8C5E3" w14:textId="102BE47E" w:rsidR="00AB66D5" w:rsidRPr="00280C69" w:rsidRDefault="00845D22" w:rsidP="00A94658">
            <w:pPr>
              <w:pStyle w:val="TableText"/>
              <w:keepNext/>
              <w:keepLines/>
            </w:pPr>
            <w:r>
              <w:t>Systematic review</w:t>
            </w:r>
            <w:r w:rsidR="00AB66D5">
              <w:br/>
            </w:r>
            <w:sdt>
              <w:sdtPr>
                <w:id w:val="623113301"/>
                <w14:checkbox>
                  <w14:checked w14:val="1"/>
                  <w14:checkedState w14:val="2612" w14:font="MS Gothic"/>
                  <w14:uncheckedState w14:val="2610" w14:font="MS Gothic"/>
                </w14:checkbox>
              </w:sdtPr>
              <w:sdtEndPr/>
              <w:sdtContent>
                <w:r w:rsidR="00AB66D5" w:rsidRPr="00280C69">
                  <w:rPr>
                    <w:rFonts w:ascii="Segoe UI Symbol" w:hAnsi="Segoe UI Symbol" w:cs="Segoe UI Symbol"/>
                  </w:rPr>
                  <w:t>☒</w:t>
                </w:r>
              </w:sdtContent>
            </w:sdt>
            <w:r w:rsidR="00AB66D5" w:rsidRPr="00280C69">
              <w:tab/>
              <w:t>k</w:t>
            </w:r>
            <w:r w:rsidR="00AB66D5">
              <w:t> </w:t>
            </w:r>
            <w:r w:rsidR="00AB66D5" w:rsidRPr="00280C69">
              <w:t>=</w:t>
            </w:r>
            <w:r w:rsidR="00AB66D5">
              <w:t> </w:t>
            </w:r>
            <w:r w:rsidR="00AB66D5" w:rsidRPr="00280C69">
              <w:t>2</w:t>
            </w:r>
            <w:r w:rsidR="00E3357D" w:rsidRPr="0029683A">
              <w:tab/>
            </w:r>
            <w:r w:rsidR="00AB66D5" w:rsidRPr="00280C69">
              <w:t>n</w:t>
            </w:r>
            <w:r w:rsidR="00AB66D5">
              <w:t> </w:t>
            </w:r>
            <w:r w:rsidR="00AB66D5" w:rsidRPr="00280C69">
              <w:t>=</w:t>
            </w:r>
            <w:r w:rsidR="00AB66D5">
              <w:t> </w:t>
            </w:r>
            <w:r w:rsidR="00207256">
              <w:t>142</w:t>
            </w:r>
          </w:p>
          <w:p w14:paraId="37FAED28" w14:textId="7F6E6C58" w:rsidR="000B36C5" w:rsidRPr="0029683A" w:rsidRDefault="00845D22" w:rsidP="00A94658">
            <w:pPr>
              <w:pStyle w:val="051Tabletext22"/>
              <w:keepNext/>
              <w:keepLines/>
            </w:pPr>
            <w:r>
              <w:t>Registry</w:t>
            </w:r>
            <w:r w:rsidR="00AB66D5">
              <w:t xml:space="preserve"> </w:t>
            </w:r>
            <w:r w:rsidR="00AB66D5">
              <w:br/>
            </w:r>
            <w:sdt>
              <w:sdtPr>
                <w:id w:val="-647437914"/>
                <w14:checkbox>
                  <w14:checked w14:val="1"/>
                  <w14:checkedState w14:val="2612" w14:font="MS Gothic"/>
                  <w14:uncheckedState w14:val="2610" w14:font="MS Gothic"/>
                </w14:checkbox>
              </w:sdtPr>
              <w:sdtEndPr/>
              <w:sdtContent>
                <w:r w:rsidR="00AB66D5" w:rsidRPr="00280C69">
                  <w:rPr>
                    <w:rFonts w:ascii="Segoe UI Symbol" w:hAnsi="Segoe UI Symbol" w:cs="Segoe UI Symbol"/>
                  </w:rPr>
                  <w:t>☒</w:t>
                </w:r>
              </w:sdtContent>
            </w:sdt>
            <w:r w:rsidR="00AB66D5" w:rsidRPr="00280C69">
              <w:tab/>
              <w:t>k</w:t>
            </w:r>
            <w:r w:rsidR="00AB66D5">
              <w:t> </w:t>
            </w:r>
            <w:r w:rsidR="00AB66D5" w:rsidRPr="00280C69">
              <w:t>=</w:t>
            </w:r>
            <w:r w:rsidR="00AB66D5">
              <w:t> </w:t>
            </w:r>
            <w:r w:rsidR="00032F2E">
              <w:t>1</w:t>
            </w:r>
            <w:r w:rsidR="00376093" w:rsidRPr="0029683A">
              <w:tab/>
            </w:r>
            <w:r w:rsidR="00AB66D5" w:rsidRPr="00280C69">
              <w:t>n</w:t>
            </w:r>
            <w:r w:rsidR="00AB66D5">
              <w:t> </w:t>
            </w:r>
            <w:r w:rsidR="00AB66D5" w:rsidRPr="00280C69">
              <w:t>=</w:t>
            </w:r>
            <w:r w:rsidR="00AB66D5">
              <w:t> </w:t>
            </w:r>
            <w:r w:rsidR="00032F2E">
              <w:t>3,42</w:t>
            </w:r>
          </w:p>
        </w:tc>
        <w:tc>
          <w:tcPr>
            <w:tcW w:w="1151" w:type="pct"/>
            <w:tcBorders>
              <w:top w:val="single" w:sz="4" w:space="0" w:color="auto"/>
              <w:left w:val="single" w:sz="4" w:space="0" w:color="auto"/>
              <w:bottom w:val="single" w:sz="4" w:space="0" w:color="auto"/>
              <w:right w:val="single" w:sz="4" w:space="0" w:color="auto"/>
            </w:tcBorders>
          </w:tcPr>
          <w:p w14:paraId="3068E947" w14:textId="24D0C130" w:rsidR="000B36C5" w:rsidRPr="00E66752" w:rsidRDefault="00E66752" w:rsidP="00A94658">
            <w:pPr>
              <w:pStyle w:val="051Tabletext22"/>
              <w:keepNext/>
              <w:keepLines/>
            </w:pPr>
            <w:r>
              <w:t>Not done</w:t>
            </w:r>
          </w:p>
        </w:tc>
      </w:tr>
    </w:tbl>
    <w:bookmarkEnd w:id="15"/>
    <w:p w14:paraId="57B64F62" w14:textId="3AB228E1" w:rsidR="00406137" w:rsidRPr="00B8428A" w:rsidRDefault="0049075B" w:rsidP="00A94658">
      <w:pPr>
        <w:pStyle w:val="111Tablefootnoteslast-nostick"/>
        <w:keepNext/>
        <w:keepLines/>
        <w:rPr>
          <w:lang w:val="en-AU"/>
        </w:rPr>
      </w:pPr>
      <w:r w:rsidRPr="0049075B">
        <w:t>aHUS = atypical haemolytic uraemic syndrome;</w:t>
      </w:r>
      <w:r w:rsidR="00B25F4E">
        <w:t xml:space="preserve"> </w:t>
      </w:r>
      <w:r w:rsidR="00412B59">
        <w:t xml:space="preserve">CLIA = </w:t>
      </w:r>
      <w:r w:rsidR="00815A43" w:rsidRPr="00815A43">
        <w:t>chemiluminescence immunoassay</w:t>
      </w:r>
      <w:r w:rsidR="00815A43">
        <w:t>;</w:t>
      </w:r>
      <w:r w:rsidR="00815A43" w:rsidRPr="00815A43">
        <w:t xml:space="preserve"> </w:t>
      </w:r>
      <w:r w:rsidRPr="0049075B">
        <w:t xml:space="preserve">PEX = </w:t>
      </w:r>
      <w:r w:rsidR="00722673">
        <w:t>p</w:t>
      </w:r>
      <w:r w:rsidRPr="0049075B">
        <w:t>lasma exchange therapy;</w:t>
      </w:r>
      <w:r w:rsidR="00B25F4E">
        <w:t xml:space="preserve"> </w:t>
      </w:r>
      <w:r w:rsidRPr="0049075B">
        <w:t>PICO = Population, Intervention, Comparator, Outcomes;</w:t>
      </w:r>
      <w:r w:rsidR="00B25F4E" w:rsidRPr="00153EB5">
        <w:rPr>
          <w:szCs w:val="18"/>
        </w:rPr>
        <w:t xml:space="preserve"> k</w:t>
      </w:r>
      <w:r w:rsidR="001B007C">
        <w:rPr>
          <w:szCs w:val="18"/>
        </w:rPr>
        <w:t xml:space="preserve"> </w:t>
      </w:r>
      <w:r w:rsidR="00B25F4E" w:rsidRPr="00290492">
        <w:t>=</w:t>
      </w:r>
      <w:r w:rsidR="001B007C">
        <w:t xml:space="preserve"> </w:t>
      </w:r>
      <w:r w:rsidR="00B25F4E" w:rsidRPr="00290492">
        <w:t>number of studies</w:t>
      </w:r>
      <w:r w:rsidR="001027F3">
        <w:t>;</w:t>
      </w:r>
      <w:r w:rsidR="00B25F4E" w:rsidRPr="00290492">
        <w:t xml:space="preserve"> n</w:t>
      </w:r>
      <w:r w:rsidR="001027F3">
        <w:t xml:space="preserve"> </w:t>
      </w:r>
      <w:r w:rsidR="00B25F4E" w:rsidRPr="00290492">
        <w:t>=</w:t>
      </w:r>
      <w:r w:rsidR="001027F3">
        <w:t xml:space="preserve"> </w:t>
      </w:r>
      <w:r w:rsidR="00B25F4E" w:rsidRPr="00290492">
        <w:t>number of patients</w:t>
      </w:r>
      <w:r w:rsidR="00B25F4E">
        <w:t>;</w:t>
      </w:r>
      <w:r w:rsidR="00B8428A" w:rsidRPr="00B8428A">
        <w:t xml:space="preserve"> </w:t>
      </w:r>
      <w:r w:rsidR="00B8428A">
        <w:t xml:space="preserve">QUADAS-2 = </w:t>
      </w:r>
      <w:r w:rsidR="00722673">
        <w:t>Q</w:t>
      </w:r>
      <w:r w:rsidR="00B8428A">
        <w:t xml:space="preserve">uality </w:t>
      </w:r>
      <w:r w:rsidR="00722673">
        <w:t>A</w:t>
      </w:r>
      <w:r w:rsidR="00B8428A">
        <w:t xml:space="preserve">ssessment of </w:t>
      </w:r>
      <w:r w:rsidR="00722673">
        <w:t>D</w:t>
      </w:r>
      <w:r w:rsidR="00B8428A">
        <w:t xml:space="preserve">iagnostic </w:t>
      </w:r>
      <w:r w:rsidR="00722673">
        <w:t>A</w:t>
      </w:r>
      <w:r w:rsidR="00B8428A">
        <w:t xml:space="preserve">ccuracy </w:t>
      </w:r>
      <w:r w:rsidR="00722673">
        <w:t>S</w:t>
      </w:r>
      <w:r w:rsidR="00B8428A">
        <w:t>tudies tool for comparison of an index test with a reference standard;</w:t>
      </w:r>
      <w:r w:rsidR="00B25F4E">
        <w:t xml:space="preserve"> </w:t>
      </w:r>
      <w:r w:rsidRPr="0049075B">
        <w:t>RCT = randomised controlled trial;</w:t>
      </w:r>
      <w:r w:rsidR="00B8428A" w:rsidRPr="00B8428A">
        <w:t xml:space="preserve"> </w:t>
      </w:r>
      <w:r w:rsidR="00B8428A">
        <w:t>SIGN = Scottish Intercollegiate Guidelines Network;</w:t>
      </w:r>
      <w:r w:rsidR="00B25F4E">
        <w:t xml:space="preserve"> </w:t>
      </w:r>
      <w:r w:rsidRPr="0049075B">
        <w:t>TTP = thrombotic thrombocytopenic purpura</w:t>
      </w:r>
      <w:r w:rsidR="00B25F4E">
        <w:t>.</w:t>
      </w:r>
    </w:p>
    <w:p w14:paraId="3723109A" w14:textId="7F3B78BF" w:rsidR="000A7059" w:rsidRPr="00423FE5" w:rsidRDefault="00234D9A" w:rsidP="00406137">
      <w:pPr>
        <w:pStyle w:val="BodyText"/>
      </w:pPr>
      <w:r>
        <w:t>The key features of the included evidence for PICO Set 1 (</w:t>
      </w:r>
      <w:r w:rsidR="00D92DAB">
        <w:t xml:space="preserve">diagnostic </w:t>
      </w:r>
      <w:r>
        <w:rPr>
          <w:i/>
          <w:iCs/>
        </w:rPr>
        <w:t>ADAMTS13</w:t>
      </w:r>
      <w:r>
        <w:t xml:space="preserve"> genetic testing) are presented in </w:t>
      </w:r>
      <w:r>
        <w:fldChar w:fldCharType="begin"/>
      </w:r>
      <w:r>
        <w:instrText xml:space="preserve"> REF _Ref213054236 \h </w:instrText>
      </w:r>
      <w:r>
        <w:fldChar w:fldCharType="separate"/>
      </w:r>
      <w:r w:rsidR="00716875">
        <w:t>Table </w:t>
      </w:r>
      <w:r w:rsidR="00716875">
        <w:rPr>
          <w:noProof/>
        </w:rPr>
        <w:t>4</w:t>
      </w:r>
      <w:r>
        <w:fldChar w:fldCharType="end"/>
      </w:r>
      <w:r w:rsidR="005A1D5D">
        <w:t>.</w:t>
      </w:r>
      <w:r w:rsidR="007A063F">
        <w:t xml:space="preserve"> A pragmatic approach to </w:t>
      </w:r>
      <w:r w:rsidR="0070446A">
        <w:t xml:space="preserve">the assessment of </w:t>
      </w:r>
      <w:r w:rsidR="0070446A">
        <w:rPr>
          <w:i/>
          <w:iCs/>
        </w:rPr>
        <w:t xml:space="preserve">ADAMTS13 </w:t>
      </w:r>
      <w:r w:rsidR="0070446A">
        <w:t>genetic testing was accepted by PASC</w:t>
      </w:r>
      <w:r w:rsidR="004F438B">
        <w:t xml:space="preserve">. Three studies were included </w:t>
      </w:r>
      <w:r w:rsidR="002F2D78">
        <w:t>that reported diagnostic yield (</w:t>
      </w:r>
      <w:r w:rsidR="00B90AA2">
        <w:t>Alwan et al. 2019</w:t>
      </w:r>
      <w:r w:rsidR="007C74B3">
        <w:t>;</w:t>
      </w:r>
      <w:r w:rsidR="00B90AA2">
        <w:t xml:space="preserve"> Fujimura et al. 2010</w:t>
      </w:r>
      <w:r w:rsidR="007C74B3">
        <w:t>;</w:t>
      </w:r>
      <w:r w:rsidR="00B90AA2">
        <w:t xml:space="preserve"> Mariotte et al. 2016)</w:t>
      </w:r>
      <w:r w:rsidR="00E630B7">
        <w:t xml:space="preserve">. These were supplemented by </w:t>
      </w:r>
      <w:r w:rsidR="00A62589">
        <w:t xml:space="preserve">case </w:t>
      </w:r>
      <w:r w:rsidR="003005F0">
        <w:t xml:space="preserve">series, case reports and registry studies </w:t>
      </w:r>
      <w:r w:rsidR="0012051B">
        <w:t xml:space="preserve">in a </w:t>
      </w:r>
      <w:r w:rsidR="00D409B3">
        <w:t xml:space="preserve">narrative assessment of </w:t>
      </w:r>
      <w:r w:rsidR="00423FE5">
        <w:t>patient management (Ferrari et al. 2019</w:t>
      </w:r>
      <w:r w:rsidR="007B4C1B">
        <w:t>;</w:t>
      </w:r>
      <w:r w:rsidR="00423FE5">
        <w:t xml:space="preserve"> Hamroun et al. 2023</w:t>
      </w:r>
      <w:r w:rsidR="007B4C1B">
        <w:t>;</w:t>
      </w:r>
      <w:r w:rsidR="00423FE5">
        <w:t xml:space="preserve"> Kim et al. 2016</w:t>
      </w:r>
      <w:r w:rsidR="007B4C1B">
        <w:t>;</w:t>
      </w:r>
      <w:r w:rsidR="00423FE5">
        <w:t xml:space="preserve"> Rashid et al. 2020</w:t>
      </w:r>
      <w:r w:rsidR="007B4C1B">
        <w:t>;</w:t>
      </w:r>
      <w:r w:rsidR="00423FE5">
        <w:t xml:space="preserve"> Tarasco et al. 2021) and outcomes </w:t>
      </w:r>
      <w:r w:rsidR="002246E4">
        <w:t>(Alwan et al. 2019</w:t>
      </w:r>
      <w:r w:rsidR="007B4C1B">
        <w:t>;</w:t>
      </w:r>
      <w:r w:rsidR="002246E4">
        <w:t xml:space="preserve"> Hamroun et al. 2023</w:t>
      </w:r>
      <w:r w:rsidR="007B4C1B">
        <w:t>;</w:t>
      </w:r>
      <w:r w:rsidR="002246E4">
        <w:t xml:space="preserve"> Tarasco et al. 2021)</w:t>
      </w:r>
      <w:r w:rsidR="00423FE5">
        <w:t>.</w:t>
      </w:r>
    </w:p>
    <w:p w14:paraId="391F1C54" w14:textId="50448CAA" w:rsidR="000A7059" w:rsidRDefault="000A7059" w:rsidP="000A7059">
      <w:pPr>
        <w:pStyle w:val="Caption"/>
        <w:rPr>
          <w:lang w:val="en-US"/>
        </w:rPr>
      </w:pPr>
      <w:bookmarkStart w:id="16" w:name="_Ref213054236"/>
      <w:r>
        <w:lastRenderedPageBreak/>
        <w:t>Table </w:t>
      </w:r>
      <w:r>
        <w:fldChar w:fldCharType="begin"/>
      </w:r>
      <w:r>
        <w:instrText>SEQ Table \* ARABIC</w:instrText>
      </w:r>
      <w:r>
        <w:fldChar w:fldCharType="separate"/>
      </w:r>
      <w:r w:rsidR="00716875">
        <w:rPr>
          <w:noProof/>
        </w:rPr>
        <w:t>4</w:t>
      </w:r>
      <w:r>
        <w:fldChar w:fldCharType="end"/>
      </w:r>
      <w:bookmarkEnd w:id="16"/>
      <w:r>
        <w:tab/>
      </w:r>
      <w:r w:rsidRPr="00290492">
        <w:rPr>
          <w:lang w:val="en-US"/>
        </w:rPr>
        <w:t xml:space="preserve">Key features of included evidence </w:t>
      </w:r>
      <w:r w:rsidR="00C9345C">
        <w:rPr>
          <w:lang w:val="en-US"/>
        </w:rPr>
        <w:t>for</w:t>
      </w:r>
      <w:r w:rsidR="00E8379F" w:rsidRPr="00290492">
        <w:rPr>
          <w:lang w:val="en-US"/>
        </w:rPr>
        <w:t xml:space="preserve"> </w:t>
      </w:r>
      <w:r w:rsidR="00F06512" w:rsidRPr="00C9345C">
        <w:rPr>
          <w:i/>
          <w:iCs w:val="0"/>
          <w:lang w:val="en-US"/>
        </w:rPr>
        <w:t>ADAMTS13</w:t>
      </w:r>
      <w:r w:rsidR="00F06512">
        <w:rPr>
          <w:lang w:val="en-US"/>
        </w:rPr>
        <w:t xml:space="preserve"> </w:t>
      </w:r>
      <w:r w:rsidR="00F6322C">
        <w:rPr>
          <w:lang w:val="en-US"/>
        </w:rPr>
        <w:t xml:space="preserve">genetic testing </w:t>
      </w:r>
      <w:r w:rsidR="007B2B91">
        <w:rPr>
          <w:lang w:val="en-US"/>
        </w:rPr>
        <w:t>of</w:t>
      </w:r>
      <w:r w:rsidR="00F6322C">
        <w:rPr>
          <w:lang w:val="en-US"/>
        </w:rPr>
        <w:t xml:space="preserve"> </w:t>
      </w:r>
      <w:r w:rsidR="008A7F43">
        <w:rPr>
          <w:lang w:val="en-US"/>
        </w:rPr>
        <w:t>affected individuals</w:t>
      </w:r>
      <w:r w:rsidR="00F6322C">
        <w:rPr>
          <w:lang w:val="en-US"/>
        </w:rPr>
        <w:t xml:space="preserve"> </w:t>
      </w:r>
      <w:r w:rsidR="00A92D83">
        <w:rPr>
          <w:lang w:val="en-US"/>
        </w:rPr>
        <w:t>(PICO Set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features of included evidence for ADAMTS13 genetic testing of index patients (PICO Set 1)"/>
        <w:tblDescription w:val="Summary of the nature of the evidence base for ADAMTS13 genetic test diagnostic yield for index patients."/>
      </w:tblPr>
      <w:tblGrid>
        <w:gridCol w:w="1555"/>
        <w:gridCol w:w="2977"/>
        <w:gridCol w:w="1700"/>
        <w:gridCol w:w="2784"/>
      </w:tblGrid>
      <w:tr w:rsidR="000502BD" w:rsidRPr="0029683A" w14:paraId="6FA6FEB6" w14:textId="77777777" w:rsidTr="002A6B97">
        <w:trPr>
          <w:tblHeader/>
        </w:trPr>
        <w:tc>
          <w:tcPr>
            <w:tcW w:w="862" w:type="pct"/>
            <w:tcBorders>
              <w:top w:val="single" w:sz="4" w:space="0" w:color="auto"/>
              <w:left w:val="single" w:sz="4" w:space="0" w:color="auto"/>
              <w:bottom w:val="single" w:sz="4" w:space="0" w:color="auto"/>
              <w:right w:val="single" w:sz="4" w:space="0" w:color="auto"/>
            </w:tcBorders>
          </w:tcPr>
          <w:p w14:paraId="798E8220" w14:textId="77777777" w:rsidR="000A7059" w:rsidRPr="0029683A" w:rsidRDefault="000A7059" w:rsidP="00A549EA">
            <w:pPr>
              <w:pStyle w:val="011TableHeading"/>
            </w:pPr>
            <w:r w:rsidRPr="0029683A">
              <w:t>Criterion</w:t>
            </w:r>
          </w:p>
        </w:tc>
        <w:tc>
          <w:tcPr>
            <w:tcW w:w="1651" w:type="pct"/>
            <w:tcBorders>
              <w:top w:val="single" w:sz="4" w:space="0" w:color="auto"/>
              <w:left w:val="single" w:sz="4" w:space="0" w:color="auto"/>
              <w:bottom w:val="single" w:sz="4" w:space="0" w:color="auto"/>
              <w:right w:val="single" w:sz="4" w:space="0" w:color="auto"/>
            </w:tcBorders>
            <w:hideMark/>
          </w:tcPr>
          <w:p w14:paraId="6B230DFE" w14:textId="77777777" w:rsidR="000A7059" w:rsidRPr="0029683A" w:rsidRDefault="000A7059" w:rsidP="00A549EA">
            <w:pPr>
              <w:pStyle w:val="011TableHeading"/>
            </w:pPr>
            <w:r w:rsidRPr="0029683A">
              <w:t>Type of evidence supplied</w:t>
            </w:r>
          </w:p>
        </w:tc>
        <w:tc>
          <w:tcPr>
            <w:tcW w:w="943" w:type="pct"/>
            <w:tcBorders>
              <w:top w:val="single" w:sz="4" w:space="0" w:color="auto"/>
              <w:left w:val="single" w:sz="4" w:space="0" w:color="auto"/>
              <w:bottom w:val="single" w:sz="4" w:space="0" w:color="auto"/>
              <w:right w:val="single" w:sz="4" w:space="0" w:color="auto"/>
            </w:tcBorders>
            <w:hideMark/>
          </w:tcPr>
          <w:p w14:paraId="3ADCB997" w14:textId="77777777" w:rsidR="000A7059" w:rsidRPr="0029683A" w:rsidRDefault="000A7059" w:rsidP="00A549EA">
            <w:pPr>
              <w:pStyle w:val="011TableHeading"/>
            </w:pPr>
            <w:r w:rsidRPr="0029683A">
              <w:t>Extent of evidence supplied</w:t>
            </w:r>
          </w:p>
        </w:tc>
        <w:tc>
          <w:tcPr>
            <w:tcW w:w="1544" w:type="pct"/>
            <w:tcBorders>
              <w:top w:val="single" w:sz="4" w:space="0" w:color="auto"/>
              <w:left w:val="single" w:sz="4" w:space="0" w:color="auto"/>
              <w:bottom w:val="single" w:sz="4" w:space="0" w:color="auto"/>
              <w:right w:val="single" w:sz="4" w:space="0" w:color="auto"/>
            </w:tcBorders>
            <w:hideMark/>
          </w:tcPr>
          <w:p w14:paraId="40C8BA7C" w14:textId="77777777" w:rsidR="000A7059" w:rsidRPr="0029683A" w:rsidRDefault="000A7059" w:rsidP="00A549EA">
            <w:pPr>
              <w:pStyle w:val="011TableHeading"/>
            </w:pPr>
            <w:r w:rsidRPr="0029683A">
              <w:t>Overall risk of bias in evidence base</w:t>
            </w:r>
          </w:p>
        </w:tc>
      </w:tr>
      <w:tr w:rsidR="000502BD" w:rsidRPr="0029683A" w14:paraId="5AE5A0F6" w14:textId="77777777" w:rsidTr="000502BD">
        <w:tc>
          <w:tcPr>
            <w:tcW w:w="862" w:type="pct"/>
            <w:tcBorders>
              <w:top w:val="single" w:sz="4" w:space="0" w:color="auto"/>
              <w:left w:val="single" w:sz="4" w:space="0" w:color="auto"/>
              <w:bottom w:val="single" w:sz="4" w:space="0" w:color="auto"/>
              <w:right w:val="single" w:sz="4" w:space="0" w:color="auto"/>
            </w:tcBorders>
            <w:hideMark/>
          </w:tcPr>
          <w:p w14:paraId="748679E2" w14:textId="7E9C62DA" w:rsidR="000A7059" w:rsidRPr="0029683A" w:rsidRDefault="001770C7" w:rsidP="00210FFA">
            <w:pPr>
              <w:pStyle w:val="051Tabletext22"/>
            </w:pPr>
            <w:r>
              <w:t>Diagnostic yield</w:t>
            </w:r>
            <w:r w:rsidR="00E33B19">
              <w:t xml:space="preserve"> of </w:t>
            </w:r>
            <w:r w:rsidR="00E33B19" w:rsidRPr="00F5696F">
              <w:rPr>
                <w:i/>
              </w:rPr>
              <w:t>ADAMTS13</w:t>
            </w:r>
            <w:r w:rsidR="00E33B19">
              <w:t xml:space="preserve"> genetic testing in </w:t>
            </w:r>
            <w:r w:rsidR="008A7F43">
              <w:t>affected individuals</w:t>
            </w:r>
          </w:p>
        </w:tc>
        <w:tc>
          <w:tcPr>
            <w:tcW w:w="1651" w:type="pct"/>
            <w:tcBorders>
              <w:top w:val="single" w:sz="4" w:space="0" w:color="auto"/>
              <w:left w:val="single" w:sz="4" w:space="0" w:color="auto"/>
              <w:bottom w:val="single" w:sz="4" w:space="0" w:color="auto"/>
              <w:right w:val="single" w:sz="4" w:space="0" w:color="auto"/>
            </w:tcBorders>
            <w:hideMark/>
          </w:tcPr>
          <w:p w14:paraId="65FED759" w14:textId="76CD22E7" w:rsidR="000A7059" w:rsidRPr="00541990" w:rsidRDefault="00541990" w:rsidP="00210FFA">
            <w:pPr>
              <w:pStyle w:val="051Tabletext22"/>
            </w:pPr>
            <w:r>
              <w:t>Cross</w:t>
            </w:r>
            <w:r w:rsidR="00BF5913">
              <w:t>-</w:t>
            </w:r>
            <w:r>
              <w:t xml:space="preserve">sectional studies of </w:t>
            </w:r>
            <w:r w:rsidR="00BF5913">
              <w:t>patient registries</w:t>
            </w:r>
            <w:r w:rsidR="00B51A85">
              <w:t>.</w:t>
            </w:r>
          </w:p>
        </w:tc>
        <w:tc>
          <w:tcPr>
            <w:tcW w:w="943" w:type="pct"/>
            <w:tcBorders>
              <w:top w:val="single" w:sz="4" w:space="0" w:color="auto"/>
              <w:left w:val="single" w:sz="4" w:space="0" w:color="auto"/>
              <w:bottom w:val="single" w:sz="4" w:space="0" w:color="auto"/>
              <w:right w:val="single" w:sz="4" w:space="0" w:color="auto"/>
            </w:tcBorders>
            <w:hideMark/>
          </w:tcPr>
          <w:p w14:paraId="35CA1FBD" w14:textId="79642CBC" w:rsidR="00185384" w:rsidRPr="001228C4" w:rsidRDefault="00185384" w:rsidP="00210FFA">
            <w:pPr>
              <w:pStyle w:val="051Tabletext22"/>
              <w:rPr>
                <w:b/>
                <w:bCs/>
              </w:rPr>
            </w:pPr>
            <w:r w:rsidRPr="001228C4">
              <w:rPr>
                <w:b/>
                <w:bCs/>
              </w:rPr>
              <w:t>Diagnostic yield</w:t>
            </w:r>
          </w:p>
          <w:p w14:paraId="7C986219" w14:textId="66344959" w:rsidR="000A7059" w:rsidRPr="0029683A" w:rsidRDefault="002167FB" w:rsidP="00210FFA">
            <w:pPr>
              <w:pStyle w:val="051Tabletext22"/>
            </w:pPr>
            <w:sdt>
              <w:sdtPr>
                <w:id w:val="2048253318"/>
                <w14:checkbox>
                  <w14:checked w14:val="1"/>
                  <w14:checkedState w14:val="2612" w14:font="MS Gothic"/>
                  <w14:uncheckedState w14:val="2610" w14:font="MS Gothic"/>
                </w14:checkbox>
              </w:sdtPr>
              <w:sdtEndPr/>
              <w:sdtContent>
                <w:r w:rsidR="00102B6D">
                  <w:rPr>
                    <w:rFonts w:ascii="MS Gothic" w:eastAsia="MS Gothic" w:hAnsi="MS Gothic" w:hint="eastAsia"/>
                  </w:rPr>
                  <w:t>☒</w:t>
                </w:r>
              </w:sdtContent>
            </w:sdt>
            <w:r w:rsidR="000A7059" w:rsidRPr="0029683A">
              <w:tab/>
              <w:t>k</w:t>
            </w:r>
            <w:r w:rsidR="007C74B3">
              <w:t> </w:t>
            </w:r>
            <w:r w:rsidR="000A7059" w:rsidRPr="0029683A">
              <w:t>=</w:t>
            </w:r>
            <w:r w:rsidR="007C74B3">
              <w:t> </w:t>
            </w:r>
            <w:r w:rsidR="00102B6D">
              <w:t>3</w:t>
            </w:r>
            <w:r w:rsidR="000A7059" w:rsidRPr="0029683A">
              <w:tab/>
              <w:t>n</w:t>
            </w:r>
            <w:r w:rsidR="007C74B3">
              <w:t> </w:t>
            </w:r>
            <w:r w:rsidR="000A7059" w:rsidRPr="0029683A">
              <w:t>=</w:t>
            </w:r>
            <w:r w:rsidR="007C74B3">
              <w:t> </w:t>
            </w:r>
            <w:r w:rsidR="00AB7AEC">
              <w:t>159</w:t>
            </w:r>
          </w:p>
        </w:tc>
        <w:tc>
          <w:tcPr>
            <w:tcW w:w="1544" w:type="pct"/>
            <w:tcBorders>
              <w:top w:val="single" w:sz="4" w:space="0" w:color="auto"/>
              <w:left w:val="single" w:sz="4" w:space="0" w:color="auto"/>
              <w:bottom w:val="single" w:sz="4" w:space="0" w:color="auto"/>
              <w:right w:val="single" w:sz="4" w:space="0" w:color="auto"/>
            </w:tcBorders>
            <w:hideMark/>
          </w:tcPr>
          <w:p w14:paraId="7CF84114" w14:textId="31B704AE" w:rsidR="000A7059" w:rsidRPr="005D08FA" w:rsidRDefault="00C550FB" w:rsidP="00210FFA">
            <w:pPr>
              <w:pStyle w:val="051Tabletext22"/>
            </w:pPr>
            <w:r w:rsidRPr="00300D42">
              <w:t>Institute of Health Economics (IHE) Quality Appraisal of Case Series Studies Checklist</w:t>
            </w:r>
            <w:r w:rsidR="005D08FA">
              <w:t>: m</w:t>
            </w:r>
            <w:r w:rsidR="00B605F4">
              <w:t>ost critical</w:t>
            </w:r>
            <w:r w:rsidR="006A5529">
              <w:t xml:space="preserve"> </w:t>
            </w:r>
            <w:r w:rsidR="006A5529" w:rsidRPr="00280C69">
              <w:t>risk of bias</w:t>
            </w:r>
            <w:r w:rsidR="006A5529">
              <w:t xml:space="preserve"> across all studies is the </w:t>
            </w:r>
            <w:r w:rsidR="006D3869">
              <w:t>criteria used to</w:t>
            </w:r>
            <w:r w:rsidR="006A5529">
              <w:t xml:space="preserve"> </w:t>
            </w:r>
            <w:r w:rsidR="006D3869">
              <w:t>define</w:t>
            </w:r>
            <w:r w:rsidR="00860974">
              <w:t xml:space="preserve"> </w:t>
            </w:r>
            <w:r w:rsidR="00416B56">
              <w:t xml:space="preserve">patients </w:t>
            </w:r>
            <w:r w:rsidR="006D3869">
              <w:t>with</w:t>
            </w:r>
            <w:r w:rsidR="00416B56">
              <w:t xml:space="preserve"> suspected cTTP.</w:t>
            </w:r>
          </w:p>
        </w:tc>
      </w:tr>
      <w:tr w:rsidR="000502BD" w:rsidRPr="0029683A" w14:paraId="2213A94F" w14:textId="77777777" w:rsidTr="000502BD">
        <w:tc>
          <w:tcPr>
            <w:tcW w:w="862" w:type="pct"/>
            <w:tcBorders>
              <w:top w:val="single" w:sz="4" w:space="0" w:color="auto"/>
              <w:left w:val="single" w:sz="4" w:space="0" w:color="auto"/>
              <w:bottom w:val="single" w:sz="4" w:space="0" w:color="auto"/>
              <w:right w:val="single" w:sz="4" w:space="0" w:color="auto"/>
            </w:tcBorders>
            <w:hideMark/>
          </w:tcPr>
          <w:p w14:paraId="26FC1C24" w14:textId="01819980" w:rsidR="000A7059" w:rsidRPr="0029683A" w:rsidRDefault="000A7059" w:rsidP="00210FFA">
            <w:pPr>
              <w:pStyle w:val="051Tabletext22"/>
            </w:pPr>
            <w:r w:rsidRPr="0029683A">
              <w:t>Change in patient management</w:t>
            </w:r>
          </w:p>
        </w:tc>
        <w:tc>
          <w:tcPr>
            <w:tcW w:w="1651" w:type="pct"/>
            <w:tcBorders>
              <w:top w:val="single" w:sz="4" w:space="0" w:color="auto"/>
              <w:left w:val="single" w:sz="4" w:space="0" w:color="auto"/>
              <w:bottom w:val="single" w:sz="4" w:space="0" w:color="auto"/>
              <w:right w:val="single" w:sz="4" w:space="0" w:color="auto"/>
            </w:tcBorders>
            <w:hideMark/>
          </w:tcPr>
          <w:p w14:paraId="1223153A" w14:textId="54D2231B" w:rsidR="00EC6A02" w:rsidRPr="00B73BAA" w:rsidRDefault="00A6737F" w:rsidP="00EC6A02">
            <w:pPr>
              <w:pStyle w:val="051Tabletext22"/>
            </w:pPr>
            <w:r>
              <w:t>No evidence identified</w:t>
            </w:r>
            <w:r w:rsidR="000E71D2">
              <w:t xml:space="preserve"> (and </w:t>
            </w:r>
            <w:r w:rsidR="00897C5E">
              <w:t>not required</w:t>
            </w:r>
            <w:r w:rsidR="000E71D2">
              <w:t xml:space="preserve"> for this expedited </w:t>
            </w:r>
            <w:r w:rsidR="009D0298" w:rsidRPr="009D0298">
              <w:t>approach</w:t>
            </w:r>
            <w:r w:rsidR="000E71D2">
              <w:t>)</w:t>
            </w:r>
            <w:r w:rsidR="00B51A85">
              <w:t>.</w:t>
            </w:r>
          </w:p>
          <w:p w14:paraId="30D052F1" w14:textId="1C99B05B" w:rsidR="000A7059" w:rsidRPr="009D0298" w:rsidRDefault="00EC6A02" w:rsidP="00EC6A02">
            <w:pPr>
              <w:pStyle w:val="061Tabletext62"/>
            </w:pPr>
            <w:r>
              <w:t>Illustrative studies: case series, case reports and cross-sectional study of patient registry</w:t>
            </w:r>
            <w:r w:rsidR="00B51A85">
              <w:t>.</w:t>
            </w:r>
          </w:p>
        </w:tc>
        <w:tc>
          <w:tcPr>
            <w:tcW w:w="943" w:type="pct"/>
            <w:tcBorders>
              <w:top w:val="single" w:sz="4" w:space="0" w:color="auto"/>
              <w:left w:val="single" w:sz="4" w:space="0" w:color="auto"/>
              <w:bottom w:val="single" w:sz="4" w:space="0" w:color="auto"/>
              <w:right w:val="single" w:sz="4" w:space="0" w:color="auto"/>
            </w:tcBorders>
            <w:hideMark/>
          </w:tcPr>
          <w:p w14:paraId="1B304659" w14:textId="121FB926" w:rsidR="00EC6A02" w:rsidRDefault="002167FB" w:rsidP="00EC6A02">
            <w:pPr>
              <w:pStyle w:val="051Tabletext22"/>
            </w:pPr>
            <w:sdt>
              <w:sdtPr>
                <w:id w:val="1995141228"/>
                <w14:checkbox>
                  <w14:checked w14:val="0"/>
                  <w14:checkedState w14:val="2612" w14:font="MS Gothic"/>
                  <w14:uncheckedState w14:val="2610" w14:font="MS Gothic"/>
                </w14:checkbox>
              </w:sdtPr>
              <w:sdtEndPr/>
              <w:sdtContent>
                <w:r w:rsidR="00AB1A32">
                  <w:rPr>
                    <w:rFonts w:ascii="MS Gothic" w:eastAsia="MS Gothic" w:hAnsi="MS Gothic" w:hint="eastAsia"/>
                  </w:rPr>
                  <w:t>☐</w:t>
                </w:r>
              </w:sdtContent>
            </w:sdt>
            <w:r w:rsidR="00EC6A02" w:rsidRPr="0029683A">
              <w:tab/>
              <w:t>k</w:t>
            </w:r>
            <w:r w:rsidR="007C74B3">
              <w:t> </w:t>
            </w:r>
            <w:r w:rsidR="00EC6A02" w:rsidRPr="0029683A">
              <w:t>=</w:t>
            </w:r>
            <w:r w:rsidR="007C74B3">
              <w:t> </w:t>
            </w:r>
            <w:r w:rsidR="00EC6A02">
              <w:t>0</w:t>
            </w:r>
            <w:r w:rsidR="00EC6A02" w:rsidRPr="0029683A">
              <w:tab/>
              <w:t>n</w:t>
            </w:r>
            <w:r w:rsidR="007C74B3">
              <w:t> </w:t>
            </w:r>
            <w:r w:rsidR="00EC6A02" w:rsidRPr="0029683A">
              <w:t>=</w:t>
            </w:r>
            <w:r w:rsidR="007C74B3">
              <w:t> </w:t>
            </w:r>
            <w:r w:rsidR="00EC6A02">
              <w:t>0</w:t>
            </w:r>
          </w:p>
          <w:p w14:paraId="17F48CFF" w14:textId="51F2B7D8" w:rsidR="008A3E22" w:rsidRPr="002A38D2" w:rsidRDefault="0052146A" w:rsidP="002A38D2">
            <w:pPr>
              <w:pStyle w:val="061Tabletext62"/>
              <w:rPr>
                <w:b/>
                <w:bCs/>
              </w:rPr>
            </w:pPr>
            <w:r w:rsidRPr="002A38D2">
              <w:rPr>
                <w:b/>
                <w:bCs/>
              </w:rPr>
              <w:t xml:space="preserve">Illustrative </w:t>
            </w:r>
            <w:r w:rsidR="00B73BAA" w:rsidRPr="002A38D2">
              <w:rPr>
                <w:b/>
                <w:bCs/>
              </w:rPr>
              <w:t>studies</w:t>
            </w:r>
          </w:p>
          <w:p w14:paraId="430AB46D" w14:textId="363543E5" w:rsidR="000A7059" w:rsidRPr="0029683A" w:rsidRDefault="002167FB" w:rsidP="00210FFA">
            <w:pPr>
              <w:pStyle w:val="051Tabletext22"/>
            </w:pPr>
            <w:sdt>
              <w:sdtPr>
                <w:id w:val="-1390876921"/>
                <w14:checkbox>
                  <w14:checked w14:val="1"/>
                  <w14:checkedState w14:val="2612" w14:font="MS Gothic"/>
                  <w14:uncheckedState w14:val="2610" w14:font="MS Gothic"/>
                </w14:checkbox>
              </w:sdtPr>
              <w:sdtEndPr/>
              <w:sdtContent>
                <w:r w:rsidR="002C1DD3">
                  <w:rPr>
                    <w:rFonts w:ascii="MS Gothic" w:eastAsia="MS Gothic" w:hAnsi="MS Gothic" w:hint="eastAsia"/>
                  </w:rPr>
                  <w:t>☒</w:t>
                </w:r>
              </w:sdtContent>
            </w:sdt>
            <w:r w:rsidR="002C1DD3" w:rsidRPr="0029683A">
              <w:tab/>
              <w:t>k</w:t>
            </w:r>
            <w:r w:rsidR="007C74B3">
              <w:t> </w:t>
            </w:r>
            <w:r w:rsidR="002C1DD3" w:rsidRPr="0029683A">
              <w:t>=</w:t>
            </w:r>
            <w:r w:rsidR="007C74B3">
              <w:t> </w:t>
            </w:r>
            <w:r w:rsidR="00C32803">
              <w:t>5</w:t>
            </w:r>
            <w:r w:rsidR="002C1DD3" w:rsidRPr="0029683A">
              <w:tab/>
              <w:t>n</w:t>
            </w:r>
            <w:r w:rsidR="007C74B3">
              <w:t> </w:t>
            </w:r>
            <w:r w:rsidR="002C1DD3" w:rsidRPr="0029683A">
              <w:t>=</w:t>
            </w:r>
            <w:r w:rsidR="007C74B3">
              <w:t> </w:t>
            </w:r>
            <w:r w:rsidR="0010430D">
              <w:t>98</w:t>
            </w:r>
          </w:p>
        </w:tc>
        <w:tc>
          <w:tcPr>
            <w:tcW w:w="1544" w:type="pct"/>
            <w:tcBorders>
              <w:top w:val="single" w:sz="4" w:space="0" w:color="auto"/>
              <w:left w:val="single" w:sz="4" w:space="0" w:color="auto"/>
              <w:bottom w:val="single" w:sz="4" w:space="0" w:color="auto"/>
              <w:right w:val="single" w:sz="4" w:space="0" w:color="auto"/>
            </w:tcBorders>
            <w:hideMark/>
          </w:tcPr>
          <w:p w14:paraId="0CB8A160" w14:textId="6F73FB09" w:rsidR="000A7059" w:rsidRPr="002C1DD3" w:rsidRDefault="00E0203B" w:rsidP="00210FFA">
            <w:pPr>
              <w:pStyle w:val="051Tabletext22"/>
            </w:pPr>
            <w:r w:rsidRPr="002C1DD3">
              <w:t>Not done as stud</w:t>
            </w:r>
            <w:r>
              <w:t>ies</w:t>
            </w:r>
            <w:r w:rsidRPr="002C1DD3">
              <w:t xml:space="preserve"> did not meet inclusion criteria</w:t>
            </w:r>
            <w:r>
              <w:t xml:space="preserve"> and </w:t>
            </w:r>
            <w:r w:rsidR="00800F15">
              <w:t xml:space="preserve">are supplemental to </w:t>
            </w:r>
            <w:r>
              <w:t>expedited approach.</w:t>
            </w:r>
          </w:p>
        </w:tc>
      </w:tr>
      <w:tr w:rsidR="000502BD" w:rsidRPr="0029683A" w14:paraId="7A3DE32E" w14:textId="77777777" w:rsidTr="000502BD">
        <w:tc>
          <w:tcPr>
            <w:tcW w:w="862" w:type="pct"/>
            <w:tcBorders>
              <w:top w:val="single" w:sz="4" w:space="0" w:color="auto"/>
              <w:left w:val="single" w:sz="4" w:space="0" w:color="auto"/>
              <w:bottom w:val="single" w:sz="4" w:space="0" w:color="auto"/>
              <w:right w:val="single" w:sz="4" w:space="0" w:color="auto"/>
            </w:tcBorders>
            <w:hideMark/>
          </w:tcPr>
          <w:p w14:paraId="6752EF79" w14:textId="58A80793" w:rsidR="000A7059" w:rsidRPr="0029683A" w:rsidRDefault="000A7059" w:rsidP="00210FFA">
            <w:pPr>
              <w:pStyle w:val="051Tabletext22"/>
            </w:pPr>
            <w:r w:rsidRPr="0029683A">
              <w:t>Health outcomes</w:t>
            </w:r>
          </w:p>
        </w:tc>
        <w:tc>
          <w:tcPr>
            <w:tcW w:w="1651" w:type="pct"/>
            <w:tcBorders>
              <w:top w:val="single" w:sz="4" w:space="0" w:color="auto"/>
              <w:left w:val="single" w:sz="4" w:space="0" w:color="auto"/>
              <w:bottom w:val="single" w:sz="4" w:space="0" w:color="auto"/>
              <w:right w:val="single" w:sz="4" w:space="0" w:color="auto"/>
            </w:tcBorders>
          </w:tcPr>
          <w:p w14:paraId="4B222F25" w14:textId="4F0F5BF7" w:rsidR="00B12D44" w:rsidRPr="00B73BAA" w:rsidRDefault="009D0298" w:rsidP="00B12D44">
            <w:pPr>
              <w:pStyle w:val="051Tabletext22"/>
            </w:pPr>
            <w:r w:rsidRPr="009D0298">
              <w:t xml:space="preserve">No evidence identified (and </w:t>
            </w:r>
            <w:r w:rsidR="00897C5E">
              <w:t>not required</w:t>
            </w:r>
            <w:r w:rsidRPr="009D0298">
              <w:t xml:space="preserve"> for this expedited approach)</w:t>
            </w:r>
            <w:r w:rsidR="00B51A85">
              <w:t>.</w:t>
            </w:r>
          </w:p>
          <w:p w14:paraId="73B9E280" w14:textId="1B47E275" w:rsidR="000A7059" w:rsidRPr="009D0298" w:rsidRDefault="00B12D44" w:rsidP="00B12D44">
            <w:pPr>
              <w:pStyle w:val="061Tabletext62"/>
            </w:pPr>
            <w:r>
              <w:t xml:space="preserve">Illustrative studies: </w:t>
            </w:r>
            <w:r w:rsidR="00EC6A02">
              <w:t>c</w:t>
            </w:r>
            <w:r w:rsidR="002C1DD3">
              <w:t>ase series</w:t>
            </w:r>
            <w:r w:rsidR="003E68F9">
              <w:t xml:space="preserve"> and cross-sectional study of patient registries</w:t>
            </w:r>
            <w:r w:rsidR="00B51A85">
              <w:t>.</w:t>
            </w:r>
          </w:p>
        </w:tc>
        <w:tc>
          <w:tcPr>
            <w:tcW w:w="943" w:type="pct"/>
            <w:tcBorders>
              <w:top w:val="single" w:sz="4" w:space="0" w:color="auto"/>
              <w:left w:val="single" w:sz="4" w:space="0" w:color="auto"/>
              <w:bottom w:val="single" w:sz="4" w:space="0" w:color="auto"/>
              <w:right w:val="single" w:sz="4" w:space="0" w:color="auto"/>
            </w:tcBorders>
          </w:tcPr>
          <w:p w14:paraId="3B6B0507" w14:textId="59B488A7" w:rsidR="00EC6A02" w:rsidRDefault="002167FB" w:rsidP="00EC6A02">
            <w:pPr>
              <w:pStyle w:val="051Tabletext22"/>
            </w:pPr>
            <w:sdt>
              <w:sdtPr>
                <w:id w:val="-724756090"/>
                <w14:checkbox>
                  <w14:checked w14:val="0"/>
                  <w14:checkedState w14:val="2612" w14:font="MS Gothic"/>
                  <w14:uncheckedState w14:val="2610" w14:font="MS Gothic"/>
                </w14:checkbox>
              </w:sdtPr>
              <w:sdtEndPr/>
              <w:sdtContent>
                <w:r w:rsidR="00AB1A32">
                  <w:rPr>
                    <w:rFonts w:ascii="MS Gothic" w:eastAsia="MS Gothic" w:hAnsi="MS Gothic" w:hint="eastAsia"/>
                  </w:rPr>
                  <w:t>☐</w:t>
                </w:r>
              </w:sdtContent>
            </w:sdt>
            <w:r w:rsidR="00EC6A02" w:rsidRPr="0029683A">
              <w:tab/>
            </w:r>
            <w:r w:rsidR="007C74B3">
              <w:t> </w:t>
            </w:r>
            <w:r w:rsidR="00EC6A02" w:rsidRPr="0029683A">
              <w:t>k=</w:t>
            </w:r>
            <w:r w:rsidR="007C74B3">
              <w:t> </w:t>
            </w:r>
            <w:r w:rsidR="00EC6A02">
              <w:t>0</w:t>
            </w:r>
            <w:r w:rsidR="00EC6A02" w:rsidRPr="0029683A">
              <w:tab/>
              <w:t>n</w:t>
            </w:r>
            <w:r w:rsidR="007C74B3">
              <w:t> </w:t>
            </w:r>
            <w:r w:rsidR="00EC6A02" w:rsidRPr="0029683A">
              <w:t>=</w:t>
            </w:r>
            <w:r w:rsidR="007C74B3">
              <w:t> </w:t>
            </w:r>
            <w:r w:rsidR="00EC6A02">
              <w:t>0</w:t>
            </w:r>
          </w:p>
          <w:p w14:paraId="5A15F6AC" w14:textId="57BC2D96" w:rsidR="00B73BAA" w:rsidRPr="002A38D2" w:rsidRDefault="002A38D2" w:rsidP="002A38D2">
            <w:pPr>
              <w:pStyle w:val="061Tabletext62"/>
              <w:rPr>
                <w:b/>
                <w:bCs/>
              </w:rPr>
            </w:pPr>
            <w:r w:rsidRPr="002A38D2">
              <w:rPr>
                <w:b/>
                <w:bCs/>
              </w:rPr>
              <w:t xml:space="preserve">Illustrative </w:t>
            </w:r>
            <w:r w:rsidR="00B73BAA" w:rsidRPr="002A38D2">
              <w:rPr>
                <w:b/>
                <w:bCs/>
              </w:rPr>
              <w:t>studies</w:t>
            </w:r>
          </w:p>
          <w:p w14:paraId="70EF505D" w14:textId="7189F0A3" w:rsidR="000A7059" w:rsidRPr="0029683A" w:rsidRDefault="002167FB" w:rsidP="00210FFA">
            <w:pPr>
              <w:pStyle w:val="051Tabletext22"/>
            </w:pPr>
            <w:sdt>
              <w:sdtPr>
                <w:id w:val="-1608419266"/>
                <w14:checkbox>
                  <w14:checked w14:val="1"/>
                  <w14:checkedState w14:val="2612" w14:font="MS Gothic"/>
                  <w14:uncheckedState w14:val="2610" w14:font="MS Gothic"/>
                </w14:checkbox>
              </w:sdtPr>
              <w:sdtEndPr/>
              <w:sdtContent>
                <w:r w:rsidR="002C1DD3">
                  <w:rPr>
                    <w:rFonts w:ascii="MS Gothic" w:eastAsia="MS Gothic" w:hAnsi="MS Gothic" w:hint="eastAsia"/>
                  </w:rPr>
                  <w:t>☒</w:t>
                </w:r>
              </w:sdtContent>
            </w:sdt>
            <w:r w:rsidR="002C1DD3" w:rsidRPr="0029683A">
              <w:tab/>
              <w:t>k</w:t>
            </w:r>
            <w:r w:rsidR="007C74B3">
              <w:t> </w:t>
            </w:r>
            <w:r w:rsidR="002C1DD3" w:rsidRPr="0029683A">
              <w:t>=</w:t>
            </w:r>
            <w:r w:rsidR="007C74B3">
              <w:t> </w:t>
            </w:r>
            <w:r w:rsidR="001040D4">
              <w:t>3</w:t>
            </w:r>
            <w:r w:rsidR="002C1DD3" w:rsidRPr="0029683A">
              <w:tab/>
              <w:t>n</w:t>
            </w:r>
            <w:r w:rsidR="007C74B3">
              <w:t> </w:t>
            </w:r>
            <w:r w:rsidR="002C1DD3" w:rsidRPr="0029683A">
              <w:t>=</w:t>
            </w:r>
            <w:r w:rsidR="007C74B3">
              <w:t> </w:t>
            </w:r>
            <w:r w:rsidR="008725B7">
              <w:t>167</w:t>
            </w:r>
          </w:p>
        </w:tc>
        <w:tc>
          <w:tcPr>
            <w:tcW w:w="1544" w:type="pct"/>
            <w:tcBorders>
              <w:top w:val="single" w:sz="4" w:space="0" w:color="auto"/>
              <w:left w:val="single" w:sz="4" w:space="0" w:color="auto"/>
              <w:bottom w:val="single" w:sz="4" w:space="0" w:color="auto"/>
              <w:right w:val="single" w:sz="4" w:space="0" w:color="auto"/>
            </w:tcBorders>
            <w:hideMark/>
          </w:tcPr>
          <w:p w14:paraId="27EAEAC9" w14:textId="34B1B6C4" w:rsidR="000A7059" w:rsidRPr="00887CA8" w:rsidRDefault="00E0203B" w:rsidP="00210FFA">
            <w:pPr>
              <w:pStyle w:val="051Tabletext22"/>
            </w:pPr>
            <w:r w:rsidRPr="002C1DD3">
              <w:t>Not done as stud</w:t>
            </w:r>
            <w:r>
              <w:t>ies</w:t>
            </w:r>
            <w:r w:rsidRPr="002C1DD3">
              <w:t xml:space="preserve"> did not meet inclusion criteria</w:t>
            </w:r>
            <w:r>
              <w:t xml:space="preserve"> and </w:t>
            </w:r>
            <w:r w:rsidR="00800F15">
              <w:t>are supplemental to</w:t>
            </w:r>
            <w:r>
              <w:t xml:space="preserve"> expedited approach.</w:t>
            </w:r>
          </w:p>
        </w:tc>
      </w:tr>
    </w:tbl>
    <w:p w14:paraId="0B11CE8E" w14:textId="69BA5B74" w:rsidR="000A7059" w:rsidRDefault="00407DF0" w:rsidP="00AE0544">
      <w:pPr>
        <w:pStyle w:val="111Tablefootnoteslast-nostick"/>
      </w:pPr>
      <w:r w:rsidRPr="00BA0457">
        <w:t xml:space="preserve">cTTP = congenital thrombotic thrombocytopenic purpura; </w:t>
      </w:r>
      <w:r w:rsidR="007448F6" w:rsidRPr="00290492">
        <w:t>k</w:t>
      </w:r>
      <w:r w:rsidR="009B36B7">
        <w:t xml:space="preserve"> </w:t>
      </w:r>
      <w:r w:rsidR="000A7059" w:rsidRPr="00290492">
        <w:t>=number of studies</w:t>
      </w:r>
      <w:r w:rsidR="009B36B7">
        <w:t>;</w:t>
      </w:r>
      <w:r w:rsidR="000A7059" w:rsidRPr="00290492">
        <w:t xml:space="preserve"> n</w:t>
      </w:r>
      <w:r w:rsidR="009B36B7">
        <w:t xml:space="preserve"> </w:t>
      </w:r>
      <w:r w:rsidR="000A7059" w:rsidRPr="00290492">
        <w:t>=</w:t>
      </w:r>
      <w:r w:rsidR="009B36B7">
        <w:t xml:space="preserve"> </w:t>
      </w:r>
      <w:r w:rsidR="000A7059" w:rsidRPr="00290492">
        <w:t>number of patients</w:t>
      </w:r>
      <w:r w:rsidR="00731C23">
        <w:t xml:space="preserve">; </w:t>
      </w:r>
      <w:r w:rsidR="00731C23" w:rsidRPr="0049075B">
        <w:t>PICO = Population, Intervention, Comparator, Outcomes</w:t>
      </w:r>
      <w:r w:rsidR="009B36B7">
        <w:t>.</w:t>
      </w:r>
    </w:p>
    <w:p w14:paraId="2B554A9F" w14:textId="7A2DA72F" w:rsidR="00215235" w:rsidRPr="00183886" w:rsidRDefault="00215235" w:rsidP="00215235">
      <w:pPr>
        <w:pStyle w:val="BodyText"/>
      </w:pPr>
      <w:r>
        <w:t>The key features of the included evidence for PICO Set 2 (</w:t>
      </w:r>
      <w:r>
        <w:rPr>
          <w:i/>
          <w:iCs/>
        </w:rPr>
        <w:t xml:space="preserve">ADAMTS13 </w:t>
      </w:r>
      <w:r>
        <w:t>genetic testing</w:t>
      </w:r>
      <w:r w:rsidR="00D92DAB">
        <w:t xml:space="preserve"> in </w:t>
      </w:r>
      <w:r w:rsidR="00F80DC9">
        <w:t xml:space="preserve">first-degree biological </w:t>
      </w:r>
      <w:r w:rsidR="004C68E9">
        <w:t>relatives</w:t>
      </w:r>
      <w:r>
        <w:t xml:space="preserve">) are presented in </w:t>
      </w:r>
      <w:r>
        <w:fldChar w:fldCharType="begin"/>
      </w:r>
      <w:r>
        <w:instrText xml:space="preserve"> REF _Ref213055253 \h </w:instrText>
      </w:r>
      <w:r>
        <w:fldChar w:fldCharType="separate"/>
      </w:r>
      <w:r w:rsidR="00716875">
        <w:t xml:space="preserve">Table </w:t>
      </w:r>
      <w:r w:rsidR="00716875">
        <w:rPr>
          <w:noProof/>
        </w:rPr>
        <w:t>5</w:t>
      </w:r>
      <w:r>
        <w:fldChar w:fldCharType="end"/>
      </w:r>
      <w:r>
        <w:t xml:space="preserve">. No studies reported diagnostic yield in </w:t>
      </w:r>
      <w:r w:rsidR="004C68E9">
        <w:t>relatives</w:t>
      </w:r>
      <w:r>
        <w:t>, so this was discussed narratively using case reports and registry studies (Bennett et al. 2014</w:t>
      </w:r>
      <w:r w:rsidR="006C3A40">
        <w:t>;</w:t>
      </w:r>
      <w:r>
        <w:t xml:space="preserve"> Kim et al. 2016</w:t>
      </w:r>
      <w:r w:rsidR="006C3A40">
        <w:t>;</w:t>
      </w:r>
      <w:r>
        <w:t xml:space="preserve"> Tarasco et al. 2021.) as was change of management (Kim et al. 2016).</w:t>
      </w:r>
    </w:p>
    <w:p w14:paraId="142D4A09" w14:textId="0AC9A5D0" w:rsidR="00333093" w:rsidRDefault="000A7059" w:rsidP="007B2B91">
      <w:pPr>
        <w:pStyle w:val="Caption"/>
        <w:rPr>
          <w:sz w:val="18"/>
          <w:lang w:val="en-US"/>
        </w:rPr>
      </w:pPr>
      <w:bookmarkStart w:id="17" w:name="_Ref213055253"/>
      <w:r>
        <w:t>Table</w:t>
      </w:r>
      <w:r w:rsidR="007B2B91">
        <w:t xml:space="preserve"> </w:t>
      </w:r>
      <w:r>
        <w:fldChar w:fldCharType="begin"/>
      </w:r>
      <w:r>
        <w:instrText>SEQ Table \* ARABIC</w:instrText>
      </w:r>
      <w:r>
        <w:fldChar w:fldCharType="separate"/>
      </w:r>
      <w:r w:rsidR="00716875">
        <w:rPr>
          <w:noProof/>
        </w:rPr>
        <w:t>5</w:t>
      </w:r>
      <w:r>
        <w:fldChar w:fldCharType="end"/>
      </w:r>
      <w:bookmarkEnd w:id="17"/>
      <w:r>
        <w:tab/>
      </w:r>
      <w:r w:rsidRPr="00290492">
        <w:rPr>
          <w:lang w:val="en-US"/>
        </w:rPr>
        <w:t xml:space="preserve">Key features of </w:t>
      </w:r>
      <w:r w:rsidR="0041181C" w:rsidRPr="00290492">
        <w:rPr>
          <w:lang w:val="en-US"/>
        </w:rPr>
        <w:t xml:space="preserve">included evidence </w:t>
      </w:r>
      <w:r w:rsidR="0041181C">
        <w:rPr>
          <w:lang w:val="en-US"/>
        </w:rPr>
        <w:t>for</w:t>
      </w:r>
      <w:r w:rsidR="0041181C" w:rsidRPr="00290492">
        <w:rPr>
          <w:lang w:val="en-US"/>
        </w:rPr>
        <w:t xml:space="preserve"> </w:t>
      </w:r>
      <w:r w:rsidR="0041181C" w:rsidRPr="00C9345C">
        <w:rPr>
          <w:i/>
          <w:iCs w:val="0"/>
          <w:lang w:val="en-US"/>
        </w:rPr>
        <w:t>ADAMTS13</w:t>
      </w:r>
      <w:r w:rsidR="0041181C">
        <w:rPr>
          <w:lang w:val="en-US"/>
        </w:rPr>
        <w:t xml:space="preserve"> genetic testing of </w:t>
      </w:r>
      <w:r w:rsidR="002B3BF4">
        <w:rPr>
          <w:lang w:val="en-US"/>
        </w:rPr>
        <w:t xml:space="preserve">first-degree biological </w:t>
      </w:r>
      <w:r w:rsidR="004C68E9">
        <w:rPr>
          <w:lang w:val="en-US"/>
        </w:rPr>
        <w:t>relatives</w:t>
      </w:r>
      <w:r w:rsidR="0041181C">
        <w:rPr>
          <w:lang w:val="en-US"/>
        </w:rPr>
        <w:t xml:space="preserve"> (PICO Set 2)</w:t>
      </w:r>
    </w:p>
    <w:tbl>
      <w:tblPr>
        <w:tblStyle w:val="TableGrid3"/>
        <w:tblW w:w="5000" w:type="pct"/>
        <w:tblInd w:w="0" w:type="dxa"/>
        <w:tblLook w:val="04A0" w:firstRow="1" w:lastRow="0" w:firstColumn="1" w:lastColumn="0" w:noHBand="0" w:noVBand="1"/>
        <w:tblCaption w:val="Key features of included evidence for ADAMTS13 genetic testing of siblings (PICO Set 2)"/>
        <w:tblDescription w:val="Summary of the nature of the evidence base for ADAMTS13 genetic test diagnostic yield for first-degree siblings."/>
      </w:tblPr>
      <w:tblGrid>
        <w:gridCol w:w="1696"/>
        <w:gridCol w:w="3120"/>
        <w:gridCol w:w="1962"/>
        <w:gridCol w:w="2238"/>
      </w:tblGrid>
      <w:tr w:rsidR="009855CE" w:rsidRPr="0029683A" w14:paraId="3BA12D35" w14:textId="77777777" w:rsidTr="009855CE">
        <w:trPr>
          <w:cnfStyle w:val="100000000000" w:firstRow="1" w:lastRow="0" w:firstColumn="0" w:lastColumn="0" w:oddVBand="0" w:evenVBand="0" w:oddHBand="0" w:evenHBand="0" w:firstRowFirstColumn="0" w:firstRowLastColumn="0" w:lastRowFirstColumn="0" w:lastRowLastColumn="0"/>
        </w:trPr>
        <w:tc>
          <w:tcPr>
            <w:tcW w:w="941" w:type="pct"/>
          </w:tcPr>
          <w:p w14:paraId="310EFF15" w14:textId="77777777" w:rsidR="00333093" w:rsidRPr="0029683A" w:rsidRDefault="00333093">
            <w:pPr>
              <w:pStyle w:val="011TableHeading"/>
            </w:pPr>
            <w:r w:rsidRPr="0029683A">
              <w:t>Criterion</w:t>
            </w:r>
          </w:p>
        </w:tc>
        <w:tc>
          <w:tcPr>
            <w:tcW w:w="1730" w:type="pct"/>
            <w:hideMark/>
          </w:tcPr>
          <w:p w14:paraId="275C882C" w14:textId="77777777" w:rsidR="00333093" w:rsidRPr="0029683A" w:rsidRDefault="00333093">
            <w:pPr>
              <w:pStyle w:val="011TableHeading"/>
            </w:pPr>
            <w:r w:rsidRPr="0029683A">
              <w:t>Type of evidence supplied</w:t>
            </w:r>
          </w:p>
        </w:tc>
        <w:tc>
          <w:tcPr>
            <w:tcW w:w="1088" w:type="pct"/>
            <w:hideMark/>
          </w:tcPr>
          <w:p w14:paraId="23E0CBAA" w14:textId="77777777" w:rsidR="00333093" w:rsidRPr="0029683A" w:rsidRDefault="00333093">
            <w:pPr>
              <w:pStyle w:val="011TableHeading"/>
            </w:pPr>
            <w:r w:rsidRPr="0029683A">
              <w:t>Extent of evidence supplied</w:t>
            </w:r>
          </w:p>
        </w:tc>
        <w:tc>
          <w:tcPr>
            <w:tcW w:w="1242" w:type="pct"/>
            <w:hideMark/>
          </w:tcPr>
          <w:p w14:paraId="01F1FDC5" w14:textId="77777777" w:rsidR="00333093" w:rsidRPr="0029683A" w:rsidRDefault="00333093">
            <w:pPr>
              <w:pStyle w:val="011TableHeading"/>
            </w:pPr>
            <w:r w:rsidRPr="0029683A">
              <w:t>Overall risk of bias in evidence base</w:t>
            </w:r>
          </w:p>
        </w:tc>
      </w:tr>
      <w:tr w:rsidR="009855CE" w:rsidRPr="0029683A" w14:paraId="10EDF70F" w14:textId="77777777" w:rsidTr="009855CE">
        <w:tc>
          <w:tcPr>
            <w:tcW w:w="941" w:type="pct"/>
            <w:hideMark/>
          </w:tcPr>
          <w:p w14:paraId="3ABF280A" w14:textId="34BFEE8B" w:rsidR="00333093" w:rsidRPr="0029683A" w:rsidRDefault="00333093">
            <w:pPr>
              <w:pStyle w:val="051Tabletext22"/>
            </w:pPr>
            <w:r>
              <w:t xml:space="preserve">Diagnostic yield of </w:t>
            </w:r>
            <w:r w:rsidRPr="00F5696F">
              <w:rPr>
                <w:i/>
              </w:rPr>
              <w:t>ADAMTS13</w:t>
            </w:r>
            <w:r>
              <w:t xml:space="preserve"> genetic testing in first-degree </w:t>
            </w:r>
            <w:r w:rsidR="00B45FEB">
              <w:t xml:space="preserve">biological </w:t>
            </w:r>
            <w:r w:rsidR="004C68E9">
              <w:t>relatives</w:t>
            </w:r>
          </w:p>
        </w:tc>
        <w:tc>
          <w:tcPr>
            <w:tcW w:w="1730" w:type="pct"/>
            <w:hideMark/>
          </w:tcPr>
          <w:p w14:paraId="417E1AFC" w14:textId="3EF57F34" w:rsidR="00060334" w:rsidRDefault="00060334">
            <w:pPr>
              <w:pStyle w:val="051Tabletext22"/>
            </w:pPr>
            <w:r>
              <w:t xml:space="preserve">No evidence identified for </w:t>
            </w:r>
            <w:r w:rsidR="002D0124">
              <w:t>diagnostic yield</w:t>
            </w:r>
            <w:r w:rsidR="006F10D4">
              <w:t>.</w:t>
            </w:r>
          </w:p>
          <w:p w14:paraId="526FCE4A" w14:textId="2D9EC4ED" w:rsidR="00333093" w:rsidRPr="00B63C85" w:rsidRDefault="0020064E" w:rsidP="002D0124">
            <w:pPr>
              <w:pStyle w:val="061Tabletext62"/>
            </w:pPr>
            <w:r>
              <w:t>Illustrative studies: c</w:t>
            </w:r>
            <w:r w:rsidR="002300F0">
              <w:t xml:space="preserve">ase reports and </w:t>
            </w:r>
            <w:r w:rsidR="00583EA2">
              <w:t>cross-sectional study of patient registr</w:t>
            </w:r>
            <w:r>
              <w:t>y</w:t>
            </w:r>
            <w:r w:rsidR="006F10D4">
              <w:t>.</w:t>
            </w:r>
          </w:p>
        </w:tc>
        <w:tc>
          <w:tcPr>
            <w:tcW w:w="1088" w:type="pct"/>
            <w:hideMark/>
          </w:tcPr>
          <w:p w14:paraId="27575D60" w14:textId="4E4E7328" w:rsidR="00EA69F4" w:rsidRDefault="002167FB">
            <w:pPr>
              <w:pStyle w:val="051Tabletext22"/>
            </w:pPr>
            <w:sdt>
              <w:sdtPr>
                <w:id w:val="-1092853928"/>
                <w14:checkbox>
                  <w14:checked w14:val="0"/>
                  <w14:checkedState w14:val="2612" w14:font="MS Gothic"/>
                  <w14:uncheckedState w14:val="2610" w14:font="MS Gothic"/>
                </w14:checkbox>
              </w:sdtPr>
              <w:sdtEndPr/>
              <w:sdtContent>
                <w:r w:rsidR="00100BAA">
                  <w:rPr>
                    <w:rFonts w:ascii="MS Gothic" w:eastAsia="MS Gothic" w:hAnsi="MS Gothic" w:hint="eastAsia"/>
                  </w:rPr>
                  <w:t>☐</w:t>
                </w:r>
              </w:sdtContent>
            </w:sdt>
            <w:r w:rsidR="00333093" w:rsidRPr="0029683A">
              <w:tab/>
              <w:t>k</w:t>
            </w:r>
            <w:r w:rsidR="007C74B3">
              <w:t> </w:t>
            </w:r>
            <w:r w:rsidR="00333093" w:rsidRPr="0029683A">
              <w:t>=</w:t>
            </w:r>
            <w:r w:rsidR="007C74B3">
              <w:t> </w:t>
            </w:r>
            <w:r w:rsidR="00333093">
              <w:t>0</w:t>
            </w:r>
            <w:r w:rsidR="00333093" w:rsidRPr="0029683A">
              <w:tab/>
              <w:t>n</w:t>
            </w:r>
            <w:r w:rsidR="007C74B3">
              <w:t> </w:t>
            </w:r>
            <w:r w:rsidR="00333093" w:rsidRPr="0029683A">
              <w:t>=</w:t>
            </w:r>
            <w:r w:rsidR="007C74B3">
              <w:t> </w:t>
            </w:r>
            <w:r w:rsidR="00333093">
              <w:t>0</w:t>
            </w:r>
          </w:p>
          <w:p w14:paraId="394FC4A0" w14:textId="7001FEFE" w:rsidR="00EA69F4" w:rsidRPr="002A38D2" w:rsidRDefault="002A38D2" w:rsidP="002A38D2">
            <w:pPr>
              <w:pStyle w:val="061Tabletext62"/>
              <w:rPr>
                <w:b/>
                <w:bCs/>
              </w:rPr>
            </w:pPr>
            <w:r w:rsidRPr="002A38D2">
              <w:rPr>
                <w:b/>
                <w:bCs/>
              </w:rPr>
              <w:t>Illustrative</w:t>
            </w:r>
            <w:r w:rsidR="00EA69F4" w:rsidRPr="002A38D2">
              <w:rPr>
                <w:b/>
                <w:bCs/>
              </w:rPr>
              <w:t xml:space="preserve"> studies</w:t>
            </w:r>
          </w:p>
          <w:p w14:paraId="2649D1BD" w14:textId="51672EC0" w:rsidR="00EA69F4" w:rsidRPr="0029683A" w:rsidRDefault="002167FB" w:rsidP="00064CBD">
            <w:pPr>
              <w:pStyle w:val="051Tabletext22"/>
            </w:pPr>
            <w:sdt>
              <w:sdtPr>
                <w:id w:val="841273295"/>
                <w14:checkbox>
                  <w14:checked w14:val="1"/>
                  <w14:checkedState w14:val="2612" w14:font="MS Gothic"/>
                  <w14:uncheckedState w14:val="2610" w14:font="MS Gothic"/>
                </w14:checkbox>
              </w:sdtPr>
              <w:sdtEndPr/>
              <w:sdtContent>
                <w:r w:rsidR="007C78A7">
                  <w:rPr>
                    <w:rFonts w:ascii="MS Gothic" w:eastAsia="MS Gothic" w:hAnsi="MS Gothic" w:hint="eastAsia"/>
                  </w:rPr>
                  <w:t>☒</w:t>
                </w:r>
              </w:sdtContent>
            </w:sdt>
            <w:r w:rsidR="007C78A7" w:rsidRPr="0029683A">
              <w:tab/>
              <w:t>k</w:t>
            </w:r>
            <w:r w:rsidR="007C78A7">
              <w:t> </w:t>
            </w:r>
            <w:r w:rsidR="007C78A7" w:rsidRPr="0029683A">
              <w:t>=</w:t>
            </w:r>
            <w:r w:rsidR="007C78A7">
              <w:t> 3</w:t>
            </w:r>
            <w:r w:rsidR="007C78A7" w:rsidRPr="0029683A">
              <w:tab/>
              <w:t>n</w:t>
            </w:r>
            <w:r w:rsidR="007C78A7">
              <w:t> </w:t>
            </w:r>
            <w:r w:rsidR="007C78A7" w:rsidRPr="0029683A">
              <w:t>=</w:t>
            </w:r>
            <w:r w:rsidR="007C78A7">
              <w:t> 99</w:t>
            </w:r>
          </w:p>
        </w:tc>
        <w:tc>
          <w:tcPr>
            <w:tcW w:w="1242" w:type="pct"/>
            <w:hideMark/>
          </w:tcPr>
          <w:p w14:paraId="790005DD" w14:textId="5190824C" w:rsidR="00333093" w:rsidRPr="00B63C85" w:rsidRDefault="00333093">
            <w:pPr>
              <w:pStyle w:val="051Tabletext22"/>
            </w:pPr>
            <w:r>
              <w:t>N</w:t>
            </w:r>
            <w:r w:rsidR="00A8045D">
              <w:t>ot done as studies did not meet inclusion criteria</w:t>
            </w:r>
            <w:r w:rsidR="00286847">
              <w:t xml:space="preserve"> and are supplemental to expedited approach.</w:t>
            </w:r>
          </w:p>
        </w:tc>
      </w:tr>
      <w:tr w:rsidR="009855CE" w:rsidRPr="0029683A" w14:paraId="7D10E962" w14:textId="77777777" w:rsidTr="009855CE">
        <w:tc>
          <w:tcPr>
            <w:tcW w:w="941" w:type="pct"/>
            <w:hideMark/>
          </w:tcPr>
          <w:p w14:paraId="0E57EF19" w14:textId="466C3559" w:rsidR="00333093" w:rsidRPr="0029683A" w:rsidRDefault="00333093">
            <w:pPr>
              <w:pStyle w:val="051Tabletext22"/>
            </w:pPr>
            <w:r w:rsidRPr="0029683A">
              <w:t>Change in patient management</w:t>
            </w:r>
          </w:p>
        </w:tc>
        <w:tc>
          <w:tcPr>
            <w:tcW w:w="1730" w:type="pct"/>
            <w:hideMark/>
          </w:tcPr>
          <w:p w14:paraId="5E7C5AFC" w14:textId="7CAA557E" w:rsidR="00333093" w:rsidRPr="009D0298" w:rsidRDefault="00333093">
            <w:pPr>
              <w:pStyle w:val="051Tabletext22"/>
            </w:pPr>
            <w:r>
              <w:t>No evidence identified (and</w:t>
            </w:r>
            <w:r w:rsidR="00CF7EB4">
              <w:t xml:space="preserve"> not required</w:t>
            </w:r>
            <w:r>
              <w:t xml:space="preserve"> for this expedited </w:t>
            </w:r>
            <w:r w:rsidRPr="009D0298">
              <w:t>approach</w:t>
            </w:r>
            <w:r>
              <w:t>)</w:t>
            </w:r>
            <w:r w:rsidR="006F10D4">
              <w:t>.</w:t>
            </w:r>
          </w:p>
        </w:tc>
        <w:tc>
          <w:tcPr>
            <w:tcW w:w="1088" w:type="pct"/>
            <w:hideMark/>
          </w:tcPr>
          <w:p w14:paraId="05B2F387" w14:textId="50C68BB2" w:rsidR="002A38D2" w:rsidRDefault="002167FB" w:rsidP="002A38D2">
            <w:pPr>
              <w:pStyle w:val="051Tabletext22"/>
            </w:pPr>
            <w:sdt>
              <w:sdtPr>
                <w:id w:val="-667485377"/>
                <w14:checkbox>
                  <w14:checked w14:val="0"/>
                  <w14:checkedState w14:val="2612" w14:font="MS Gothic"/>
                  <w14:uncheckedState w14:val="2610" w14:font="MS Gothic"/>
                </w14:checkbox>
              </w:sdtPr>
              <w:sdtEndPr/>
              <w:sdtContent>
                <w:r w:rsidR="00100BAA">
                  <w:rPr>
                    <w:rFonts w:ascii="MS Gothic" w:eastAsia="MS Gothic" w:hAnsi="MS Gothic" w:hint="eastAsia"/>
                  </w:rPr>
                  <w:t>☐</w:t>
                </w:r>
              </w:sdtContent>
            </w:sdt>
            <w:r w:rsidR="003B356D" w:rsidRPr="0029683A">
              <w:tab/>
              <w:t>k</w:t>
            </w:r>
            <w:r w:rsidR="007C74B3">
              <w:t> </w:t>
            </w:r>
            <w:r w:rsidR="003B356D" w:rsidRPr="0029683A">
              <w:t>=</w:t>
            </w:r>
            <w:r w:rsidR="007C74B3">
              <w:t> </w:t>
            </w:r>
            <w:r w:rsidR="003B356D">
              <w:t>0</w:t>
            </w:r>
            <w:r w:rsidR="003B356D" w:rsidRPr="0029683A">
              <w:tab/>
              <w:t>n</w:t>
            </w:r>
            <w:r w:rsidR="007C74B3">
              <w:t> </w:t>
            </w:r>
            <w:r w:rsidR="003B356D" w:rsidRPr="0029683A">
              <w:t>=</w:t>
            </w:r>
            <w:r w:rsidR="007C74B3">
              <w:t> </w:t>
            </w:r>
            <w:r w:rsidR="003B356D">
              <w:t>0</w:t>
            </w:r>
          </w:p>
          <w:p w14:paraId="0AF32180" w14:textId="4A8C6A34" w:rsidR="00015BC4" w:rsidRPr="00015BC4" w:rsidRDefault="00015BC4" w:rsidP="00015BC4">
            <w:pPr>
              <w:pStyle w:val="061Tabletext62"/>
              <w:rPr>
                <w:b/>
                <w:bCs/>
              </w:rPr>
            </w:pPr>
            <w:r w:rsidRPr="002A38D2">
              <w:rPr>
                <w:b/>
                <w:bCs/>
              </w:rPr>
              <w:t>Illustrative studies</w:t>
            </w:r>
          </w:p>
          <w:p w14:paraId="63BB6BA2" w14:textId="744839F0" w:rsidR="00333093" w:rsidRPr="0029683A" w:rsidRDefault="002167FB" w:rsidP="00100BAA">
            <w:pPr>
              <w:pStyle w:val="051Tabletext229pt"/>
            </w:pPr>
            <w:sdt>
              <w:sdtPr>
                <w:id w:val="903421414"/>
                <w14:checkbox>
                  <w14:checked w14:val="1"/>
                  <w14:checkedState w14:val="2612" w14:font="MS Gothic"/>
                  <w14:uncheckedState w14:val="2610" w14:font="MS Gothic"/>
                </w14:checkbox>
              </w:sdtPr>
              <w:sdtEndPr/>
              <w:sdtContent>
                <w:r w:rsidR="007C78A7">
                  <w:rPr>
                    <w:rFonts w:ascii="MS Gothic" w:eastAsia="MS Gothic" w:hAnsi="MS Gothic" w:hint="eastAsia"/>
                  </w:rPr>
                  <w:t>☒</w:t>
                </w:r>
              </w:sdtContent>
            </w:sdt>
            <w:r w:rsidR="007C78A7" w:rsidRPr="0029683A">
              <w:tab/>
              <w:t>k</w:t>
            </w:r>
            <w:r w:rsidR="007C78A7">
              <w:t> </w:t>
            </w:r>
            <w:r w:rsidR="007C78A7" w:rsidRPr="0029683A">
              <w:t>=</w:t>
            </w:r>
            <w:r w:rsidR="007C78A7">
              <w:t> 1</w:t>
            </w:r>
            <w:r w:rsidR="007C78A7" w:rsidRPr="0029683A">
              <w:tab/>
              <w:t>n</w:t>
            </w:r>
            <w:r w:rsidR="007C78A7">
              <w:t> </w:t>
            </w:r>
            <w:r w:rsidR="007C78A7" w:rsidRPr="0029683A">
              <w:t>=</w:t>
            </w:r>
            <w:r w:rsidR="007C78A7">
              <w:t> 2</w:t>
            </w:r>
          </w:p>
        </w:tc>
        <w:tc>
          <w:tcPr>
            <w:tcW w:w="1242" w:type="pct"/>
            <w:hideMark/>
          </w:tcPr>
          <w:p w14:paraId="281D09E2" w14:textId="6A65D534" w:rsidR="00333093" w:rsidRPr="00516CD9" w:rsidRDefault="00516CD9" w:rsidP="00516CD9">
            <w:pPr>
              <w:pStyle w:val="051Tabletext22"/>
            </w:pPr>
            <w:r w:rsidRPr="002C1DD3">
              <w:t>Not done as stud</w:t>
            </w:r>
            <w:r w:rsidR="00920C7E">
              <w:t>y</w:t>
            </w:r>
            <w:r w:rsidRPr="002C1DD3">
              <w:t xml:space="preserve"> did not meet inclusion criteria</w:t>
            </w:r>
            <w:r>
              <w:t xml:space="preserve"> and are supplemental to expedited approach</w:t>
            </w:r>
            <w:r w:rsidR="00920C7E">
              <w:t>.</w:t>
            </w:r>
          </w:p>
        </w:tc>
      </w:tr>
      <w:tr w:rsidR="009855CE" w:rsidRPr="0029683A" w14:paraId="6FAF35D0" w14:textId="77777777" w:rsidTr="009855CE">
        <w:tc>
          <w:tcPr>
            <w:tcW w:w="941" w:type="pct"/>
            <w:hideMark/>
          </w:tcPr>
          <w:p w14:paraId="0CD63CFB" w14:textId="0F23DE4A" w:rsidR="00333093" w:rsidRPr="0029683A" w:rsidRDefault="00333093">
            <w:pPr>
              <w:pStyle w:val="051Tabletext22"/>
            </w:pPr>
            <w:r w:rsidRPr="0029683A">
              <w:t>Health outcomes</w:t>
            </w:r>
          </w:p>
        </w:tc>
        <w:tc>
          <w:tcPr>
            <w:tcW w:w="1730" w:type="pct"/>
          </w:tcPr>
          <w:p w14:paraId="11EE1DB6" w14:textId="6E137CDE" w:rsidR="00333093" w:rsidRPr="009D0298" w:rsidRDefault="00333093">
            <w:pPr>
              <w:pStyle w:val="051Tabletext22"/>
            </w:pPr>
            <w:r w:rsidRPr="009D0298">
              <w:t xml:space="preserve">No evidence identified (and </w:t>
            </w:r>
            <w:r w:rsidR="00CF7EB4">
              <w:t>not required</w:t>
            </w:r>
            <w:r w:rsidRPr="009D0298">
              <w:t xml:space="preserve"> for this expedited approach)</w:t>
            </w:r>
            <w:r w:rsidR="006F10D4">
              <w:t>.</w:t>
            </w:r>
          </w:p>
        </w:tc>
        <w:tc>
          <w:tcPr>
            <w:tcW w:w="1088" w:type="pct"/>
          </w:tcPr>
          <w:p w14:paraId="76F68F41" w14:textId="160E2C47" w:rsidR="00333093" w:rsidRPr="0029683A" w:rsidRDefault="002167FB">
            <w:pPr>
              <w:pStyle w:val="051Tabletext22"/>
            </w:pPr>
            <w:sdt>
              <w:sdtPr>
                <w:id w:val="-919782441"/>
                <w14:checkbox>
                  <w14:checked w14:val="0"/>
                  <w14:checkedState w14:val="2612" w14:font="MS Gothic"/>
                  <w14:uncheckedState w14:val="2610" w14:font="MS Gothic"/>
                </w14:checkbox>
              </w:sdtPr>
              <w:sdtEndPr/>
              <w:sdtContent>
                <w:r w:rsidR="00100BAA">
                  <w:rPr>
                    <w:rFonts w:ascii="MS Gothic" w:eastAsia="MS Gothic" w:hAnsi="MS Gothic" w:hint="eastAsia"/>
                  </w:rPr>
                  <w:t>☐</w:t>
                </w:r>
              </w:sdtContent>
            </w:sdt>
            <w:r w:rsidR="00064CBD" w:rsidRPr="0029683A">
              <w:tab/>
              <w:t>k</w:t>
            </w:r>
            <w:r w:rsidR="007C74B3">
              <w:t> </w:t>
            </w:r>
            <w:r w:rsidR="00064CBD" w:rsidRPr="0029683A">
              <w:t>=</w:t>
            </w:r>
            <w:r w:rsidR="007C74B3">
              <w:t> </w:t>
            </w:r>
            <w:r w:rsidR="00064CBD">
              <w:t>0</w:t>
            </w:r>
            <w:r w:rsidR="00064CBD" w:rsidRPr="0029683A">
              <w:tab/>
              <w:t>n</w:t>
            </w:r>
            <w:r w:rsidR="007C74B3">
              <w:t> </w:t>
            </w:r>
            <w:r w:rsidR="00064CBD" w:rsidRPr="0029683A">
              <w:t>=</w:t>
            </w:r>
            <w:r w:rsidR="007C74B3">
              <w:t> </w:t>
            </w:r>
            <w:r w:rsidR="00064CBD">
              <w:t>0</w:t>
            </w:r>
          </w:p>
        </w:tc>
        <w:tc>
          <w:tcPr>
            <w:tcW w:w="1242" w:type="pct"/>
            <w:hideMark/>
          </w:tcPr>
          <w:p w14:paraId="6BE29D08" w14:textId="77777777" w:rsidR="00333093" w:rsidRPr="006F10D4" w:rsidRDefault="00333093">
            <w:pPr>
              <w:pStyle w:val="051Tabletext22"/>
            </w:pPr>
            <w:r>
              <w:t>N/A</w:t>
            </w:r>
          </w:p>
        </w:tc>
      </w:tr>
    </w:tbl>
    <w:p w14:paraId="011C040F" w14:textId="42627874" w:rsidR="00333093" w:rsidRPr="002D3479" w:rsidRDefault="007448F6" w:rsidP="00AE0544">
      <w:pPr>
        <w:pStyle w:val="111Tablefootnoteslast-nostick"/>
      </w:pPr>
      <w:r w:rsidRPr="00290492">
        <w:t>k</w:t>
      </w:r>
      <w:r w:rsidR="009B36B7">
        <w:t xml:space="preserve"> </w:t>
      </w:r>
      <w:r w:rsidR="00275A59" w:rsidRPr="00290492">
        <w:t>=</w:t>
      </w:r>
      <w:r w:rsidR="009B36B7">
        <w:t xml:space="preserve"> </w:t>
      </w:r>
      <w:r w:rsidR="00275A59" w:rsidRPr="00290492">
        <w:t>number of studies</w:t>
      </w:r>
      <w:r w:rsidR="009B36B7">
        <w:t>;</w:t>
      </w:r>
      <w:r w:rsidR="00275A59" w:rsidRPr="00290492">
        <w:t xml:space="preserve"> n</w:t>
      </w:r>
      <w:r w:rsidR="009B36B7">
        <w:t xml:space="preserve"> </w:t>
      </w:r>
      <w:r w:rsidR="00275A59" w:rsidRPr="00290492">
        <w:t>=</w:t>
      </w:r>
      <w:r w:rsidR="009B36B7">
        <w:t xml:space="preserve"> </w:t>
      </w:r>
      <w:r w:rsidR="00275A59" w:rsidRPr="00290492">
        <w:t>number of patients</w:t>
      </w:r>
      <w:r w:rsidR="009B36B7">
        <w:t>; N/A = not applicable</w:t>
      </w:r>
      <w:r w:rsidR="004C0C87">
        <w:t xml:space="preserve">; </w:t>
      </w:r>
      <w:r w:rsidR="004C0C87" w:rsidRPr="0049075B">
        <w:t>PICO = Population, Intervention, Comparator, Outcomes</w:t>
      </w:r>
      <w:r w:rsidR="009B36B7">
        <w:t>.</w:t>
      </w:r>
    </w:p>
    <w:p w14:paraId="4BFFEFDD" w14:textId="74FA9049" w:rsidR="000A6EED" w:rsidRDefault="005A7288" w:rsidP="000A6EED">
      <w:pPr>
        <w:pStyle w:val="BodyText"/>
      </w:pPr>
      <w:r>
        <w:t xml:space="preserve">The key features of the included evidence for PICO Set 3 (ADAMTS13 activity testing for </w:t>
      </w:r>
      <w:r w:rsidR="00B9761D">
        <w:t xml:space="preserve">monitoring) are presented in </w:t>
      </w:r>
      <w:r w:rsidR="007606F4">
        <w:fldChar w:fldCharType="begin"/>
      </w:r>
      <w:r w:rsidR="007606F4">
        <w:instrText xml:space="preserve"> REF _Ref213056719 \h </w:instrText>
      </w:r>
      <w:r w:rsidR="007606F4">
        <w:fldChar w:fldCharType="separate"/>
      </w:r>
      <w:r w:rsidR="00716875">
        <w:t>Table </w:t>
      </w:r>
      <w:r w:rsidR="00716875">
        <w:rPr>
          <w:noProof/>
        </w:rPr>
        <w:t>6</w:t>
      </w:r>
      <w:r w:rsidR="007606F4">
        <w:fldChar w:fldCharType="end"/>
      </w:r>
      <w:r w:rsidR="007606F4">
        <w:t>.</w:t>
      </w:r>
      <w:r w:rsidR="00247174">
        <w:t xml:space="preserve"> Two studies (3 publications) reported direct test to health outcomes evidence</w:t>
      </w:r>
      <w:r w:rsidR="00EA5099">
        <w:t xml:space="preserve">; one reported the outcomes of using pre-emptive rituximab treatment </w:t>
      </w:r>
      <w:r w:rsidR="007F57CA">
        <w:t>in patients with low ADAMTS13 activity (Jestin et al. 2018</w:t>
      </w:r>
      <w:r w:rsidR="00DD49F1">
        <w:t>;</w:t>
      </w:r>
      <w:r w:rsidR="007F57CA">
        <w:t xml:space="preserve"> Hie et al. 2014)</w:t>
      </w:r>
      <w:r w:rsidR="0094577A">
        <w:t xml:space="preserve"> but did not report outcomes for patients with normal ADAMTS13 activity</w:t>
      </w:r>
      <w:r w:rsidR="00715875">
        <w:t xml:space="preserve"> </w:t>
      </w:r>
      <w:r w:rsidR="00AC2C98">
        <w:t xml:space="preserve">and therefore did not fully capture the </w:t>
      </w:r>
      <w:r w:rsidR="00271735">
        <w:lastRenderedPageBreak/>
        <w:t>effectiveness of monitoring. The other study was in pregnant women and was very small (Hamroun et al. 2013</w:t>
      </w:r>
      <w:r w:rsidR="00DD49F1">
        <w:t>;</w:t>
      </w:r>
      <w:r w:rsidR="00271735">
        <w:t xml:space="preserve"> n=13).</w:t>
      </w:r>
    </w:p>
    <w:p w14:paraId="0323325E" w14:textId="5B5771C8" w:rsidR="00271735" w:rsidRDefault="006912FA" w:rsidP="000A6EED">
      <w:pPr>
        <w:pStyle w:val="BodyText"/>
      </w:pPr>
      <w:r>
        <w:rPr>
          <w:lang w:val="en-US"/>
        </w:rPr>
        <w:t xml:space="preserve">Ten studies met the inclusion criteria for </w:t>
      </w:r>
      <w:r w:rsidR="00006F3E">
        <w:rPr>
          <w:lang w:val="en-US"/>
        </w:rPr>
        <w:t>assessing the incremental</w:t>
      </w:r>
      <w:r>
        <w:rPr>
          <w:lang w:val="en-US"/>
        </w:rPr>
        <w:t xml:space="preserve"> longitudinal accuracy</w:t>
      </w:r>
      <w:r w:rsidR="00006F3E" w:rsidRPr="00006F3E">
        <w:t xml:space="preserve"> </w:t>
      </w:r>
      <w:r w:rsidR="00006F3E" w:rsidRPr="00CE28E3">
        <w:t xml:space="preserve">of </w:t>
      </w:r>
      <w:r w:rsidR="00006F3E" w:rsidRPr="001B06AC">
        <w:t xml:space="preserve">ADAMTS13 activity testing </w:t>
      </w:r>
      <w:r w:rsidR="00006F3E" w:rsidRPr="00CE28E3">
        <w:t xml:space="preserve">compared to </w:t>
      </w:r>
      <w:r w:rsidR="00006F3E">
        <w:t>current clinical practice (</w:t>
      </w:r>
      <w:r w:rsidR="00E444D7">
        <w:t>Dutt et al. 2021</w:t>
      </w:r>
      <w:r w:rsidR="00F860CF">
        <w:t>;</w:t>
      </w:r>
      <w:r w:rsidR="00E444D7">
        <w:t xml:space="preserve"> Schieppati et al. 2020</w:t>
      </w:r>
      <w:r w:rsidR="00F860CF">
        <w:t>;</w:t>
      </w:r>
      <w:r w:rsidR="00E444D7">
        <w:t xml:space="preserve"> Scully et al. 2019</w:t>
      </w:r>
      <w:r w:rsidR="00F860CF">
        <w:t>;</w:t>
      </w:r>
      <w:r w:rsidR="00E444D7">
        <w:t xml:space="preserve"> Sui et al. 2019</w:t>
      </w:r>
      <w:r w:rsidR="00F860CF">
        <w:t>;</w:t>
      </w:r>
      <w:r w:rsidR="00E444D7">
        <w:t xml:space="preserve"> Upreti et al. 2019</w:t>
      </w:r>
      <w:r w:rsidR="00F860CF">
        <w:t>;</w:t>
      </w:r>
      <w:r w:rsidR="00E444D7">
        <w:t xml:space="preserve"> Page et al. 2016</w:t>
      </w:r>
      <w:r w:rsidR="00F860CF">
        <w:t>;</w:t>
      </w:r>
      <w:r w:rsidR="00E444D7">
        <w:t xml:space="preserve"> Ferrari et al. 2014</w:t>
      </w:r>
      <w:r w:rsidR="00F860CF">
        <w:t>;</w:t>
      </w:r>
      <w:r w:rsidR="00E444D7">
        <w:t xml:space="preserve"> Bettoni et al. 2012</w:t>
      </w:r>
      <w:r w:rsidR="00F860CF">
        <w:t>;</w:t>
      </w:r>
      <w:r w:rsidR="00E444D7">
        <w:t xml:space="preserve"> Peyvandi et al. 2008</w:t>
      </w:r>
      <w:r w:rsidR="00F860CF">
        <w:t>;</w:t>
      </w:r>
      <w:r w:rsidR="00E444D7">
        <w:t xml:space="preserve"> Ferrari et al. 2007).</w:t>
      </w:r>
    </w:p>
    <w:p w14:paraId="62D06F77" w14:textId="482EC40B" w:rsidR="00341083" w:rsidRPr="000A6EED" w:rsidRDefault="00341083" w:rsidP="000A6EED">
      <w:pPr>
        <w:pStyle w:val="BodyText"/>
        <w:rPr>
          <w:lang w:val="en-US"/>
        </w:rPr>
      </w:pPr>
      <w:r>
        <w:t xml:space="preserve">Three </w:t>
      </w:r>
      <w:r w:rsidR="00EC0B5E">
        <w:t>descriptive observational</w:t>
      </w:r>
      <w:r>
        <w:t xml:space="preserve"> studies were included in the linked evidence approach for change in patient management (</w:t>
      </w:r>
      <w:r w:rsidR="004D7566" w:rsidRPr="004D7566">
        <w:t>Völker</w:t>
      </w:r>
      <w:r w:rsidR="004D7566">
        <w:t xml:space="preserve"> et al.</w:t>
      </w:r>
      <w:r w:rsidR="004D7566" w:rsidRPr="004D7566">
        <w:t xml:space="preserve"> 2020</w:t>
      </w:r>
      <w:r w:rsidR="00F860CF">
        <w:t>;</w:t>
      </w:r>
      <w:r w:rsidR="00CC6FC9">
        <w:t xml:space="preserve"> Doyle et al. 2023</w:t>
      </w:r>
      <w:r w:rsidR="00F860CF">
        <w:t>;</w:t>
      </w:r>
      <w:r w:rsidR="00CC6FC9">
        <w:t xml:space="preserve"> Knovich et al. 2012)</w:t>
      </w:r>
      <w:r w:rsidR="00EC0B5E">
        <w:t xml:space="preserve"> and evidence</w:t>
      </w:r>
      <w:r w:rsidR="0094535D">
        <w:t>-</w:t>
      </w:r>
      <w:r w:rsidR="00EC0B5E">
        <w:t xml:space="preserve">based clinical practice guidelines </w:t>
      </w:r>
      <w:r w:rsidR="00CD307F">
        <w:t xml:space="preserve">informed </w:t>
      </w:r>
      <w:r w:rsidR="00EF2E68">
        <w:t>a narrative discussion of patient health outcomes.</w:t>
      </w:r>
    </w:p>
    <w:p w14:paraId="45D7D5DA" w14:textId="26BD590F" w:rsidR="000A7059" w:rsidRDefault="000A7059" w:rsidP="000A7059">
      <w:pPr>
        <w:pStyle w:val="Caption"/>
        <w:rPr>
          <w:lang w:val="en-US"/>
        </w:rPr>
      </w:pPr>
      <w:bookmarkStart w:id="18" w:name="_Ref213056719"/>
      <w:r>
        <w:t>Table </w:t>
      </w:r>
      <w:r>
        <w:fldChar w:fldCharType="begin"/>
      </w:r>
      <w:r>
        <w:instrText>SEQ Table \* ARABIC</w:instrText>
      </w:r>
      <w:r>
        <w:fldChar w:fldCharType="separate"/>
      </w:r>
      <w:r w:rsidR="00716875">
        <w:rPr>
          <w:noProof/>
        </w:rPr>
        <w:t>6</w:t>
      </w:r>
      <w:r>
        <w:fldChar w:fldCharType="end"/>
      </w:r>
      <w:bookmarkEnd w:id="18"/>
      <w:r>
        <w:tab/>
      </w:r>
      <w:r w:rsidRPr="00290492">
        <w:rPr>
          <w:lang w:val="en-US"/>
        </w:rPr>
        <w:t xml:space="preserve">Key features of the included evidence </w:t>
      </w:r>
      <w:r w:rsidR="00B04028">
        <w:rPr>
          <w:lang w:val="en-US"/>
        </w:rPr>
        <w:t>for PICO Set 3 (ADAMTS13 activity testing for monitoring)</w:t>
      </w:r>
      <w:r w:rsidRPr="00290492">
        <w:rPr>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features of the included evidence for PICO Set 3 (ADAMTS13 activity testing for monitoring)"/>
        <w:tblDescription w:val="Summary of the nature of the evidence base for ADAMTS13 activity test performance for monitoring."/>
      </w:tblPr>
      <w:tblGrid>
        <w:gridCol w:w="1820"/>
        <w:gridCol w:w="3278"/>
        <w:gridCol w:w="1702"/>
        <w:gridCol w:w="2216"/>
      </w:tblGrid>
      <w:tr w:rsidR="000A7059" w:rsidRPr="0029683A" w14:paraId="3453650E" w14:textId="77777777" w:rsidTr="002A6B97">
        <w:trPr>
          <w:tblHeader/>
        </w:trPr>
        <w:tc>
          <w:tcPr>
            <w:tcW w:w="1009" w:type="pct"/>
            <w:tcBorders>
              <w:top w:val="single" w:sz="4" w:space="0" w:color="auto"/>
              <w:left w:val="single" w:sz="4" w:space="0" w:color="auto"/>
              <w:bottom w:val="single" w:sz="4" w:space="0" w:color="auto"/>
              <w:right w:val="single" w:sz="4" w:space="0" w:color="auto"/>
            </w:tcBorders>
          </w:tcPr>
          <w:p w14:paraId="0433D973" w14:textId="77777777" w:rsidR="000A7059" w:rsidRPr="0029683A" w:rsidRDefault="000A7059" w:rsidP="00A549EA">
            <w:pPr>
              <w:pStyle w:val="011TableHeading"/>
            </w:pPr>
            <w:r w:rsidRPr="0029683A">
              <w:t>Criterion</w:t>
            </w:r>
          </w:p>
        </w:tc>
        <w:tc>
          <w:tcPr>
            <w:tcW w:w="1818" w:type="pct"/>
            <w:tcBorders>
              <w:top w:val="single" w:sz="4" w:space="0" w:color="auto"/>
              <w:left w:val="single" w:sz="4" w:space="0" w:color="auto"/>
              <w:bottom w:val="single" w:sz="4" w:space="0" w:color="auto"/>
              <w:right w:val="single" w:sz="4" w:space="0" w:color="auto"/>
            </w:tcBorders>
            <w:hideMark/>
          </w:tcPr>
          <w:p w14:paraId="5429CEAB" w14:textId="77777777" w:rsidR="000A7059" w:rsidRPr="0029683A" w:rsidRDefault="000A7059" w:rsidP="00A549EA">
            <w:pPr>
              <w:pStyle w:val="011TableHeading"/>
            </w:pPr>
            <w:r w:rsidRPr="0029683A">
              <w:t>Type of evidence supplied</w:t>
            </w:r>
          </w:p>
        </w:tc>
        <w:tc>
          <w:tcPr>
            <w:tcW w:w="944" w:type="pct"/>
            <w:tcBorders>
              <w:top w:val="single" w:sz="4" w:space="0" w:color="auto"/>
              <w:left w:val="single" w:sz="4" w:space="0" w:color="auto"/>
              <w:bottom w:val="single" w:sz="4" w:space="0" w:color="auto"/>
              <w:right w:val="single" w:sz="4" w:space="0" w:color="auto"/>
            </w:tcBorders>
            <w:hideMark/>
          </w:tcPr>
          <w:p w14:paraId="62EA514F" w14:textId="77777777" w:rsidR="000A7059" w:rsidRPr="0029683A" w:rsidRDefault="000A7059" w:rsidP="00A549EA">
            <w:pPr>
              <w:pStyle w:val="011TableHeading"/>
            </w:pPr>
            <w:r w:rsidRPr="0029683A">
              <w:t>Extent of evidence supplied</w:t>
            </w:r>
          </w:p>
        </w:tc>
        <w:tc>
          <w:tcPr>
            <w:tcW w:w="1229" w:type="pct"/>
            <w:tcBorders>
              <w:top w:val="single" w:sz="4" w:space="0" w:color="auto"/>
              <w:left w:val="single" w:sz="4" w:space="0" w:color="auto"/>
              <w:bottom w:val="single" w:sz="4" w:space="0" w:color="auto"/>
              <w:right w:val="single" w:sz="4" w:space="0" w:color="auto"/>
            </w:tcBorders>
            <w:hideMark/>
          </w:tcPr>
          <w:p w14:paraId="523E1FB6" w14:textId="77777777" w:rsidR="000A7059" w:rsidRPr="0029683A" w:rsidRDefault="000A7059" w:rsidP="00A549EA">
            <w:pPr>
              <w:pStyle w:val="011TableHeading"/>
            </w:pPr>
            <w:r w:rsidRPr="0029683A">
              <w:t>Overall risk of bias in evidence base</w:t>
            </w:r>
          </w:p>
        </w:tc>
      </w:tr>
      <w:tr w:rsidR="002D09EB" w:rsidRPr="0029683A" w14:paraId="2313C502" w14:textId="77777777" w:rsidTr="002A6B97">
        <w:tc>
          <w:tcPr>
            <w:tcW w:w="1009" w:type="pct"/>
            <w:tcBorders>
              <w:top w:val="single" w:sz="4" w:space="0" w:color="auto"/>
              <w:left w:val="single" w:sz="4" w:space="0" w:color="auto"/>
              <w:bottom w:val="single" w:sz="4" w:space="0" w:color="auto"/>
              <w:right w:val="single" w:sz="4" w:space="0" w:color="auto"/>
            </w:tcBorders>
          </w:tcPr>
          <w:p w14:paraId="056094B2" w14:textId="015CEE63" w:rsidR="002D09EB" w:rsidRPr="0029683A" w:rsidRDefault="00A163C5" w:rsidP="002D09EB">
            <w:pPr>
              <w:pStyle w:val="051Tabletext22"/>
            </w:pPr>
            <w:r>
              <w:t>Direct test to health outcomes evidence</w:t>
            </w:r>
          </w:p>
        </w:tc>
        <w:tc>
          <w:tcPr>
            <w:tcW w:w="1818" w:type="pct"/>
            <w:tcBorders>
              <w:top w:val="single" w:sz="4" w:space="0" w:color="auto"/>
              <w:left w:val="single" w:sz="4" w:space="0" w:color="auto"/>
              <w:bottom w:val="single" w:sz="4" w:space="0" w:color="auto"/>
              <w:right w:val="single" w:sz="4" w:space="0" w:color="auto"/>
            </w:tcBorders>
          </w:tcPr>
          <w:p w14:paraId="653531B3" w14:textId="255CB443" w:rsidR="002D09EB" w:rsidRPr="0029683A" w:rsidRDefault="00F8662D" w:rsidP="002D09EB">
            <w:pPr>
              <w:pStyle w:val="051Tabletext22"/>
            </w:pPr>
            <w:r>
              <w:t>Comparative cohorts with historic controls</w:t>
            </w:r>
            <w:r w:rsidR="006F10D4">
              <w:t>.</w:t>
            </w:r>
          </w:p>
        </w:tc>
        <w:tc>
          <w:tcPr>
            <w:tcW w:w="944" w:type="pct"/>
            <w:tcBorders>
              <w:top w:val="single" w:sz="4" w:space="0" w:color="auto"/>
              <w:left w:val="single" w:sz="4" w:space="0" w:color="auto"/>
              <w:bottom w:val="single" w:sz="4" w:space="0" w:color="auto"/>
              <w:right w:val="single" w:sz="4" w:space="0" w:color="auto"/>
            </w:tcBorders>
          </w:tcPr>
          <w:p w14:paraId="44C09358" w14:textId="13AA0C01" w:rsidR="002D09EB" w:rsidRPr="0029683A" w:rsidRDefault="002167FB" w:rsidP="002D09EB">
            <w:pPr>
              <w:pStyle w:val="051Tabletext22"/>
            </w:pPr>
            <w:sdt>
              <w:sdtPr>
                <w:id w:val="-744261679"/>
                <w14:checkbox>
                  <w14:checked w14:val="1"/>
                  <w14:checkedState w14:val="2612" w14:font="MS Gothic"/>
                  <w14:uncheckedState w14:val="2610" w14:font="MS Gothic"/>
                </w14:checkbox>
              </w:sdtPr>
              <w:sdtEndPr/>
              <w:sdtContent>
                <w:r w:rsidR="008F4C49">
                  <w:rPr>
                    <w:rFonts w:ascii="MS Gothic" w:eastAsia="MS Gothic" w:hAnsi="MS Gothic" w:hint="eastAsia"/>
                  </w:rPr>
                  <w:t>☒</w:t>
                </w:r>
              </w:sdtContent>
            </w:sdt>
            <w:r w:rsidR="00F8662D" w:rsidRPr="0029683A">
              <w:tab/>
              <w:t>k</w:t>
            </w:r>
            <w:r w:rsidR="007C74B3">
              <w:t> </w:t>
            </w:r>
            <w:r w:rsidR="00F8662D" w:rsidRPr="0029683A">
              <w:t>=</w:t>
            </w:r>
            <w:r w:rsidR="007C74B3">
              <w:t> </w:t>
            </w:r>
            <w:r w:rsidR="00244F5B">
              <w:t>2</w:t>
            </w:r>
            <w:r w:rsidR="00F8662D" w:rsidRPr="0029683A">
              <w:tab/>
              <w:t>n</w:t>
            </w:r>
            <w:r w:rsidR="007C74B3">
              <w:t> </w:t>
            </w:r>
            <w:r w:rsidR="00F8662D" w:rsidRPr="0029683A">
              <w:t>=</w:t>
            </w:r>
            <w:r w:rsidR="007C74B3">
              <w:t> </w:t>
            </w:r>
            <w:r w:rsidR="008F4C49">
              <w:t>128</w:t>
            </w:r>
          </w:p>
        </w:tc>
        <w:tc>
          <w:tcPr>
            <w:tcW w:w="1229" w:type="pct"/>
            <w:tcBorders>
              <w:top w:val="single" w:sz="4" w:space="0" w:color="auto"/>
              <w:left w:val="single" w:sz="4" w:space="0" w:color="auto"/>
              <w:bottom w:val="single" w:sz="4" w:space="0" w:color="auto"/>
              <w:right w:val="single" w:sz="4" w:space="0" w:color="auto"/>
            </w:tcBorders>
          </w:tcPr>
          <w:p w14:paraId="2AE15F5A" w14:textId="0D4B5DD2" w:rsidR="002D09EB" w:rsidRPr="0029683A" w:rsidRDefault="00153141" w:rsidP="002D09EB">
            <w:pPr>
              <w:pStyle w:val="051Tabletext22"/>
            </w:pPr>
            <w:r>
              <w:t>Low level evidence. Risk of bias not formally assessed.</w:t>
            </w:r>
          </w:p>
        </w:tc>
      </w:tr>
      <w:tr w:rsidR="000A7059" w:rsidRPr="0029683A" w14:paraId="798BB0C9" w14:textId="77777777" w:rsidTr="002A6B97">
        <w:tc>
          <w:tcPr>
            <w:tcW w:w="1009" w:type="pct"/>
            <w:tcBorders>
              <w:top w:val="single" w:sz="4" w:space="0" w:color="auto"/>
              <w:left w:val="single" w:sz="4" w:space="0" w:color="auto"/>
              <w:bottom w:val="single" w:sz="4" w:space="0" w:color="auto"/>
              <w:right w:val="single" w:sz="4" w:space="0" w:color="auto"/>
            </w:tcBorders>
            <w:hideMark/>
          </w:tcPr>
          <w:p w14:paraId="273916C7" w14:textId="06CFF55E" w:rsidR="000A7059" w:rsidRPr="0029683A" w:rsidRDefault="00267BFE" w:rsidP="00210FFA">
            <w:pPr>
              <w:pStyle w:val="051Tabletext22"/>
            </w:pPr>
            <w:r>
              <w:rPr>
                <w:rFonts w:cs="Arial"/>
                <w:sz w:val="18"/>
              </w:rPr>
              <w:t>P</w:t>
            </w:r>
            <w:r w:rsidRPr="0029683A">
              <w:t>rognostic</w:t>
            </w:r>
            <w:r w:rsidR="000A7059" w:rsidRPr="0029683A">
              <w:t xml:space="preserve"> evidence (longitudinal accuracy)</w:t>
            </w:r>
          </w:p>
        </w:tc>
        <w:tc>
          <w:tcPr>
            <w:tcW w:w="1818" w:type="pct"/>
            <w:tcBorders>
              <w:top w:val="single" w:sz="4" w:space="0" w:color="auto"/>
              <w:left w:val="single" w:sz="4" w:space="0" w:color="auto"/>
              <w:bottom w:val="single" w:sz="4" w:space="0" w:color="auto"/>
              <w:right w:val="single" w:sz="4" w:space="0" w:color="auto"/>
            </w:tcBorders>
            <w:hideMark/>
          </w:tcPr>
          <w:p w14:paraId="542B8797" w14:textId="66C66A81" w:rsidR="000A7059" w:rsidRPr="00183DF6" w:rsidRDefault="00247217" w:rsidP="00210FFA">
            <w:pPr>
              <w:pStyle w:val="051Tabletext22"/>
            </w:pPr>
            <w:r w:rsidRPr="00183DF6">
              <w:t xml:space="preserve">Single-arm cohort </w:t>
            </w:r>
            <w:r w:rsidR="00EF6761" w:rsidRPr="00183DF6">
              <w:t xml:space="preserve">studies reporting </w:t>
            </w:r>
            <w:r w:rsidR="00183DF6" w:rsidRPr="00183DF6">
              <w:t>predictive outcomes of ADAMTS13 during treatment or remission</w:t>
            </w:r>
            <w:r w:rsidR="006F10D4">
              <w:t>.</w:t>
            </w:r>
          </w:p>
        </w:tc>
        <w:tc>
          <w:tcPr>
            <w:tcW w:w="944" w:type="pct"/>
            <w:tcBorders>
              <w:top w:val="single" w:sz="4" w:space="0" w:color="auto"/>
              <w:left w:val="single" w:sz="4" w:space="0" w:color="auto"/>
              <w:bottom w:val="single" w:sz="4" w:space="0" w:color="auto"/>
              <w:right w:val="single" w:sz="4" w:space="0" w:color="auto"/>
            </w:tcBorders>
            <w:hideMark/>
          </w:tcPr>
          <w:p w14:paraId="24FD87A5" w14:textId="3EA2C8ED" w:rsidR="000A7059" w:rsidRPr="0029683A" w:rsidRDefault="002167FB" w:rsidP="00210FFA">
            <w:pPr>
              <w:pStyle w:val="051Tabletext22"/>
            </w:pPr>
            <w:sdt>
              <w:sdtPr>
                <w:id w:val="-1429268255"/>
                <w14:checkbox>
                  <w14:checked w14:val="1"/>
                  <w14:checkedState w14:val="2612" w14:font="MS Gothic"/>
                  <w14:uncheckedState w14:val="2610" w14:font="MS Gothic"/>
                </w14:checkbox>
              </w:sdtPr>
              <w:sdtEndPr/>
              <w:sdtContent>
                <w:r w:rsidR="00D804BB">
                  <w:rPr>
                    <w:rFonts w:ascii="MS Gothic" w:eastAsia="MS Gothic" w:hAnsi="MS Gothic" w:hint="eastAsia"/>
                  </w:rPr>
                  <w:t>☒</w:t>
                </w:r>
              </w:sdtContent>
            </w:sdt>
            <w:r w:rsidR="000A7059" w:rsidRPr="0029683A">
              <w:tab/>
              <w:t>k</w:t>
            </w:r>
            <w:r w:rsidR="007C74B3">
              <w:t> </w:t>
            </w:r>
            <w:r w:rsidR="000A7059" w:rsidRPr="0029683A">
              <w:t>=</w:t>
            </w:r>
            <w:r w:rsidR="007C74B3">
              <w:t> </w:t>
            </w:r>
            <w:r w:rsidR="00D804BB">
              <w:t>10</w:t>
            </w:r>
            <w:r w:rsidR="000A7059" w:rsidRPr="0029683A">
              <w:tab/>
              <w:t>n</w:t>
            </w:r>
            <w:r w:rsidR="007C74B3">
              <w:t> </w:t>
            </w:r>
            <w:r w:rsidR="000A7059" w:rsidRPr="0029683A">
              <w:t>=</w:t>
            </w:r>
            <w:r w:rsidR="007C74B3">
              <w:t> </w:t>
            </w:r>
            <w:r w:rsidR="00267BFE">
              <w:t>865</w:t>
            </w:r>
          </w:p>
        </w:tc>
        <w:tc>
          <w:tcPr>
            <w:tcW w:w="1229" w:type="pct"/>
            <w:tcBorders>
              <w:top w:val="single" w:sz="4" w:space="0" w:color="auto"/>
              <w:left w:val="single" w:sz="4" w:space="0" w:color="auto"/>
              <w:bottom w:val="single" w:sz="4" w:space="0" w:color="auto"/>
              <w:right w:val="single" w:sz="4" w:space="0" w:color="auto"/>
            </w:tcBorders>
            <w:hideMark/>
          </w:tcPr>
          <w:p w14:paraId="2D498BFA" w14:textId="5A4C4053" w:rsidR="000A7059" w:rsidRPr="00206BC6" w:rsidRDefault="00206BC6" w:rsidP="00210FFA">
            <w:pPr>
              <w:pStyle w:val="051Tabletext22"/>
            </w:pPr>
            <w:r>
              <w:t>QU</w:t>
            </w:r>
            <w:r w:rsidR="002816DC">
              <w:t>A</w:t>
            </w:r>
            <w:r>
              <w:t>PAS</w:t>
            </w:r>
            <w:r w:rsidR="00404698">
              <w:t xml:space="preserve">: studies at high risk in flow and timing and analysis </w:t>
            </w:r>
            <w:r w:rsidR="00C4371F">
              <w:t>domains</w:t>
            </w:r>
            <w:r w:rsidR="00404698">
              <w:t xml:space="preserve"> due to retrospective designs</w:t>
            </w:r>
            <w:r w:rsidR="006F10D4">
              <w:t>.</w:t>
            </w:r>
          </w:p>
        </w:tc>
      </w:tr>
      <w:tr w:rsidR="000A7059" w:rsidRPr="0029683A" w14:paraId="0E74AD4F" w14:textId="77777777" w:rsidTr="002A6B97">
        <w:tc>
          <w:tcPr>
            <w:tcW w:w="1009" w:type="pct"/>
            <w:tcBorders>
              <w:top w:val="single" w:sz="4" w:space="0" w:color="auto"/>
              <w:left w:val="single" w:sz="4" w:space="0" w:color="auto"/>
              <w:bottom w:val="single" w:sz="4" w:space="0" w:color="auto"/>
              <w:right w:val="single" w:sz="4" w:space="0" w:color="auto"/>
            </w:tcBorders>
            <w:hideMark/>
          </w:tcPr>
          <w:p w14:paraId="7F0A0D58" w14:textId="2EBACD1C" w:rsidR="000A7059" w:rsidRPr="0029683A" w:rsidRDefault="000A7059" w:rsidP="00210FFA">
            <w:pPr>
              <w:pStyle w:val="051Tabletext22"/>
            </w:pPr>
            <w:r w:rsidRPr="0029683A">
              <w:t>Change in patient management</w:t>
            </w:r>
          </w:p>
        </w:tc>
        <w:tc>
          <w:tcPr>
            <w:tcW w:w="1818" w:type="pct"/>
            <w:tcBorders>
              <w:top w:val="single" w:sz="4" w:space="0" w:color="auto"/>
              <w:left w:val="single" w:sz="4" w:space="0" w:color="auto"/>
              <w:bottom w:val="single" w:sz="4" w:space="0" w:color="auto"/>
              <w:right w:val="single" w:sz="4" w:space="0" w:color="auto"/>
            </w:tcBorders>
            <w:hideMark/>
          </w:tcPr>
          <w:p w14:paraId="3FAEF2C3" w14:textId="5697D240" w:rsidR="000A7059" w:rsidRPr="005862BB" w:rsidRDefault="002F7E4D" w:rsidP="00210FFA">
            <w:pPr>
              <w:pStyle w:val="051Tabletext22"/>
            </w:pPr>
            <w:r>
              <w:t>Descriptive observational studies</w:t>
            </w:r>
            <w:r w:rsidR="006F10D4">
              <w:t>.</w:t>
            </w:r>
          </w:p>
        </w:tc>
        <w:tc>
          <w:tcPr>
            <w:tcW w:w="944" w:type="pct"/>
            <w:tcBorders>
              <w:top w:val="single" w:sz="4" w:space="0" w:color="auto"/>
              <w:left w:val="single" w:sz="4" w:space="0" w:color="auto"/>
              <w:bottom w:val="single" w:sz="4" w:space="0" w:color="auto"/>
              <w:right w:val="single" w:sz="4" w:space="0" w:color="auto"/>
            </w:tcBorders>
            <w:hideMark/>
          </w:tcPr>
          <w:p w14:paraId="35A3FE2E" w14:textId="75FF6CE0" w:rsidR="000A7059" w:rsidRPr="0029683A" w:rsidRDefault="002167FB" w:rsidP="00210FFA">
            <w:pPr>
              <w:pStyle w:val="051Tabletext22"/>
            </w:pPr>
            <w:sdt>
              <w:sdtPr>
                <w:id w:val="-972665488"/>
                <w14:checkbox>
                  <w14:checked w14:val="1"/>
                  <w14:checkedState w14:val="2612" w14:font="MS Gothic"/>
                  <w14:uncheckedState w14:val="2610" w14:font="MS Gothic"/>
                </w14:checkbox>
              </w:sdtPr>
              <w:sdtEndPr/>
              <w:sdtContent>
                <w:r w:rsidR="005862BB">
                  <w:rPr>
                    <w:rFonts w:ascii="MS Gothic" w:eastAsia="MS Gothic" w:hAnsi="MS Gothic" w:hint="eastAsia"/>
                  </w:rPr>
                  <w:t>☒</w:t>
                </w:r>
              </w:sdtContent>
            </w:sdt>
            <w:r w:rsidR="000A7059" w:rsidRPr="0029683A">
              <w:tab/>
              <w:t>k</w:t>
            </w:r>
            <w:r w:rsidR="007C74B3">
              <w:t> </w:t>
            </w:r>
            <w:r w:rsidR="000A7059" w:rsidRPr="0029683A">
              <w:t>=</w:t>
            </w:r>
            <w:r w:rsidR="007C74B3">
              <w:t> </w:t>
            </w:r>
            <w:r w:rsidR="005862BB">
              <w:t>3</w:t>
            </w:r>
            <w:r w:rsidR="000A7059" w:rsidRPr="0029683A">
              <w:tab/>
              <w:t>n</w:t>
            </w:r>
            <w:r w:rsidR="007C74B3">
              <w:t> </w:t>
            </w:r>
            <w:r w:rsidR="000A7059" w:rsidRPr="0029683A">
              <w:t>=</w:t>
            </w:r>
            <w:r w:rsidR="007C74B3">
              <w:t> </w:t>
            </w:r>
            <w:r w:rsidR="00382D16">
              <w:t>531</w:t>
            </w:r>
          </w:p>
        </w:tc>
        <w:tc>
          <w:tcPr>
            <w:tcW w:w="1229" w:type="pct"/>
            <w:tcBorders>
              <w:top w:val="single" w:sz="4" w:space="0" w:color="auto"/>
              <w:left w:val="single" w:sz="4" w:space="0" w:color="auto"/>
              <w:bottom w:val="single" w:sz="4" w:space="0" w:color="auto"/>
              <w:right w:val="single" w:sz="4" w:space="0" w:color="auto"/>
            </w:tcBorders>
            <w:hideMark/>
          </w:tcPr>
          <w:p w14:paraId="6F5AEE4B" w14:textId="2BA37A6B" w:rsidR="000A7059" w:rsidRPr="002F7E4D" w:rsidRDefault="002F7E4D" w:rsidP="00210FFA">
            <w:pPr>
              <w:pStyle w:val="051Tabletext22"/>
            </w:pPr>
            <w:r w:rsidRPr="002F7E4D">
              <w:t>Not assessed due to low level evidence</w:t>
            </w:r>
            <w:r w:rsidR="006F10D4">
              <w:t>.</w:t>
            </w:r>
          </w:p>
        </w:tc>
      </w:tr>
      <w:tr w:rsidR="000A7059" w:rsidRPr="0029683A" w14:paraId="218B7476" w14:textId="77777777" w:rsidTr="002A6B97">
        <w:tc>
          <w:tcPr>
            <w:tcW w:w="1009" w:type="pct"/>
            <w:tcBorders>
              <w:top w:val="single" w:sz="4" w:space="0" w:color="auto"/>
              <w:left w:val="single" w:sz="4" w:space="0" w:color="auto"/>
              <w:bottom w:val="single" w:sz="4" w:space="0" w:color="auto"/>
              <w:right w:val="single" w:sz="4" w:space="0" w:color="auto"/>
            </w:tcBorders>
            <w:hideMark/>
          </w:tcPr>
          <w:p w14:paraId="2D295F21" w14:textId="23A8274F" w:rsidR="000A7059" w:rsidRPr="0029683A" w:rsidRDefault="000A7059" w:rsidP="00210FFA">
            <w:pPr>
              <w:pStyle w:val="051Tabletext22"/>
            </w:pPr>
            <w:r w:rsidRPr="0029683A">
              <w:t>Health outcomes</w:t>
            </w:r>
          </w:p>
        </w:tc>
        <w:tc>
          <w:tcPr>
            <w:tcW w:w="1818" w:type="pct"/>
            <w:tcBorders>
              <w:top w:val="single" w:sz="4" w:space="0" w:color="auto"/>
              <w:left w:val="single" w:sz="4" w:space="0" w:color="auto"/>
              <w:bottom w:val="single" w:sz="4" w:space="0" w:color="auto"/>
              <w:right w:val="single" w:sz="4" w:space="0" w:color="auto"/>
            </w:tcBorders>
          </w:tcPr>
          <w:p w14:paraId="27334E01" w14:textId="250F681C" w:rsidR="000A7059" w:rsidRPr="009E7C47" w:rsidRDefault="001A1385" w:rsidP="00210FFA">
            <w:pPr>
              <w:pStyle w:val="051Tabletext22"/>
            </w:pPr>
            <w:r w:rsidRPr="009E7C47">
              <w:t>Evidence</w:t>
            </w:r>
            <w:r w:rsidR="006F10D4">
              <w:t>-</w:t>
            </w:r>
            <w:r w:rsidRPr="009E7C47">
              <w:t>based clinical practice guidelines were used to inform likely health outcomes.</w:t>
            </w:r>
          </w:p>
        </w:tc>
        <w:tc>
          <w:tcPr>
            <w:tcW w:w="944" w:type="pct"/>
            <w:tcBorders>
              <w:top w:val="single" w:sz="4" w:space="0" w:color="auto"/>
              <w:left w:val="single" w:sz="4" w:space="0" w:color="auto"/>
              <w:bottom w:val="single" w:sz="4" w:space="0" w:color="auto"/>
              <w:right w:val="single" w:sz="4" w:space="0" w:color="auto"/>
            </w:tcBorders>
          </w:tcPr>
          <w:p w14:paraId="35756888" w14:textId="44C204AD" w:rsidR="000A7059" w:rsidRPr="0029683A" w:rsidRDefault="002167FB" w:rsidP="00210FFA">
            <w:pPr>
              <w:pStyle w:val="051Tabletext22"/>
            </w:pPr>
            <w:sdt>
              <w:sdtPr>
                <w:id w:val="-1612589960"/>
                <w14:checkbox>
                  <w14:checked w14:val="0"/>
                  <w14:checkedState w14:val="2612" w14:font="MS Gothic"/>
                  <w14:uncheckedState w14:val="2610" w14:font="MS Gothic"/>
                </w14:checkbox>
              </w:sdtPr>
              <w:sdtEndPr/>
              <w:sdtContent>
                <w:r w:rsidR="00B17A63">
                  <w:rPr>
                    <w:rFonts w:ascii="MS Gothic" w:eastAsia="MS Gothic" w:hAnsi="MS Gothic" w:hint="eastAsia"/>
                  </w:rPr>
                  <w:t>☐</w:t>
                </w:r>
              </w:sdtContent>
            </w:sdt>
            <w:r w:rsidR="00B17A63" w:rsidRPr="0029683A">
              <w:tab/>
              <w:t>k</w:t>
            </w:r>
            <w:r w:rsidR="00B17A63">
              <w:t> </w:t>
            </w:r>
            <w:r w:rsidR="00B17A63" w:rsidRPr="0029683A">
              <w:t>=</w:t>
            </w:r>
            <w:r w:rsidR="00B17A63">
              <w:t> 0</w:t>
            </w:r>
            <w:r w:rsidR="00B17A63" w:rsidRPr="0029683A">
              <w:tab/>
              <w:t>n</w:t>
            </w:r>
            <w:r w:rsidR="00B17A63">
              <w:t> </w:t>
            </w:r>
            <w:r w:rsidR="00B17A63" w:rsidRPr="0029683A">
              <w:t>=</w:t>
            </w:r>
            <w:r w:rsidR="00B17A63">
              <w:t> 0</w:t>
            </w:r>
          </w:p>
        </w:tc>
        <w:tc>
          <w:tcPr>
            <w:tcW w:w="1229" w:type="pct"/>
            <w:tcBorders>
              <w:top w:val="single" w:sz="4" w:space="0" w:color="auto"/>
              <w:left w:val="single" w:sz="4" w:space="0" w:color="auto"/>
              <w:bottom w:val="single" w:sz="4" w:space="0" w:color="auto"/>
              <w:right w:val="single" w:sz="4" w:space="0" w:color="auto"/>
            </w:tcBorders>
            <w:hideMark/>
          </w:tcPr>
          <w:p w14:paraId="7437F3A8" w14:textId="57A4C254" w:rsidR="000A7059" w:rsidRPr="00867107" w:rsidRDefault="00867107" w:rsidP="00210FFA">
            <w:pPr>
              <w:pStyle w:val="051Tabletext22"/>
            </w:pPr>
            <w:r w:rsidRPr="00867107">
              <w:t>N/A</w:t>
            </w:r>
          </w:p>
        </w:tc>
      </w:tr>
    </w:tbl>
    <w:p w14:paraId="7D655565" w14:textId="754CC480" w:rsidR="000A7059" w:rsidRDefault="002167FB" w:rsidP="0009789B">
      <w:pPr>
        <w:pStyle w:val="111Tablefootnoteslast-nostick"/>
      </w:pPr>
      <w:sdt>
        <w:sdtPr>
          <w:rPr>
            <w:rFonts w:ascii="Arial" w:hAnsi="Arial" w:cs="Arial"/>
            <w:szCs w:val="18"/>
          </w:rPr>
          <w:id w:val="569934174"/>
          <w14:checkbox>
            <w14:checked w14:val="0"/>
            <w14:checkedState w14:val="2612" w14:font="MS Gothic"/>
            <w14:uncheckedState w14:val="2610" w14:font="MS Gothic"/>
          </w14:checkbox>
        </w:sdtPr>
        <w:sdtEndPr>
          <w:rPr>
            <w:rFonts w:ascii="Arial Narrow" w:hAnsi="Arial Narrow" w:cs="Times New Roman"/>
            <w:szCs w:val="22"/>
          </w:rPr>
        </w:sdtEndPr>
        <w:sdtContent/>
      </w:sdt>
      <w:r w:rsidR="00DC0C56" w:rsidRPr="00290492">
        <w:t>k</w:t>
      </w:r>
      <w:r w:rsidR="007448F6">
        <w:t xml:space="preserve"> </w:t>
      </w:r>
      <w:r w:rsidR="00DC0C56" w:rsidRPr="00290492">
        <w:t>=</w:t>
      </w:r>
      <w:r w:rsidR="007448F6">
        <w:t xml:space="preserve"> </w:t>
      </w:r>
      <w:r w:rsidR="00DC0C56" w:rsidRPr="00290492">
        <w:t>number of studies</w:t>
      </w:r>
      <w:r w:rsidR="00050C71">
        <w:t>;</w:t>
      </w:r>
      <w:r w:rsidR="00DC0C56" w:rsidRPr="00290492">
        <w:t xml:space="preserve"> </w:t>
      </w:r>
      <w:r w:rsidR="00DC0C56">
        <w:t>N/A = not applicable;</w:t>
      </w:r>
      <w:r w:rsidR="00DC0C56" w:rsidRPr="00290492">
        <w:t xml:space="preserve"> n</w:t>
      </w:r>
      <w:r w:rsidR="003F4B45">
        <w:t xml:space="preserve"> </w:t>
      </w:r>
      <w:r w:rsidR="00DC0C56" w:rsidRPr="00290492">
        <w:t>=</w:t>
      </w:r>
      <w:r w:rsidR="003F4B45">
        <w:t xml:space="preserve"> </w:t>
      </w:r>
      <w:r w:rsidR="00DC0C56" w:rsidRPr="00290492">
        <w:t>number of patients</w:t>
      </w:r>
      <w:r w:rsidR="00896BFC">
        <w:t>;</w:t>
      </w:r>
      <w:r w:rsidR="00DC0C56">
        <w:t xml:space="preserve"> </w:t>
      </w:r>
      <w:r w:rsidR="004C0C87" w:rsidRPr="0049075B">
        <w:t>PICO = Population, Intervention, Comparator, Outcomes;</w:t>
      </w:r>
      <w:r w:rsidR="004C0C87" w:rsidRPr="00153EB5">
        <w:rPr>
          <w:szCs w:val="18"/>
        </w:rPr>
        <w:t xml:space="preserve"> </w:t>
      </w:r>
      <w:r w:rsidR="00DC0C56">
        <w:t>QUAPAS = Quality Assessment of Prognostic Accuracy Studies.</w:t>
      </w:r>
    </w:p>
    <w:p w14:paraId="51A45C97" w14:textId="2C507770" w:rsidR="00AF4976" w:rsidRPr="00AF4976" w:rsidRDefault="00055104" w:rsidP="00AF4976">
      <w:pPr>
        <w:pStyle w:val="BodyText"/>
        <w:rPr>
          <w:lang w:val="en-US"/>
        </w:rPr>
      </w:pPr>
      <w:r>
        <w:rPr>
          <w:lang w:val="en-US"/>
        </w:rPr>
        <w:t>Although</w:t>
      </w:r>
      <w:r w:rsidR="001B47CF" w:rsidRPr="25C52D84">
        <w:rPr>
          <w:lang w:val="en-US"/>
        </w:rPr>
        <w:t xml:space="preserve"> </w:t>
      </w:r>
      <w:r w:rsidR="2E48D80B" w:rsidRPr="25C52D84">
        <w:rPr>
          <w:lang w:val="en-US"/>
        </w:rPr>
        <w:t xml:space="preserve">TTP is a rare condition, there was a large volume of </w:t>
      </w:r>
      <w:r w:rsidR="001B47CF">
        <w:rPr>
          <w:lang w:val="en-US"/>
        </w:rPr>
        <w:t>evidence but these were</w:t>
      </w:r>
      <w:r w:rsidR="2E48D80B" w:rsidRPr="25C52D84">
        <w:rPr>
          <w:lang w:val="en-US"/>
        </w:rPr>
        <w:t xml:space="preserve"> predomina</w:t>
      </w:r>
      <w:r w:rsidR="6B142C16" w:rsidRPr="25C52D84">
        <w:rPr>
          <w:lang w:val="en-US"/>
        </w:rPr>
        <w:t>n</w:t>
      </w:r>
      <w:r w:rsidR="2E48D80B" w:rsidRPr="25C52D84">
        <w:rPr>
          <w:lang w:val="en-US"/>
        </w:rPr>
        <w:t xml:space="preserve">tly </w:t>
      </w:r>
      <w:r w:rsidR="75BCF95F" w:rsidRPr="25C52D84">
        <w:rPr>
          <w:lang w:val="en-US"/>
        </w:rPr>
        <w:t>retrospective studies from registries</w:t>
      </w:r>
      <w:r w:rsidR="45373029" w:rsidRPr="25C52D84">
        <w:rPr>
          <w:lang w:val="en-US"/>
        </w:rPr>
        <w:t xml:space="preserve"> overseas</w:t>
      </w:r>
      <w:r w:rsidR="75BCF95F" w:rsidRPr="25C52D84">
        <w:rPr>
          <w:lang w:val="en-US"/>
        </w:rPr>
        <w:t xml:space="preserve">. </w:t>
      </w:r>
      <w:r w:rsidR="4A0D9A6B" w:rsidRPr="25C52D84">
        <w:rPr>
          <w:lang w:val="en-US"/>
        </w:rPr>
        <w:t>However,</w:t>
      </w:r>
      <w:r w:rsidR="1E8FEC98" w:rsidRPr="25C52D84">
        <w:rPr>
          <w:lang w:val="en-US"/>
        </w:rPr>
        <w:t xml:space="preserve"> interpretation of</w:t>
      </w:r>
      <w:r w:rsidR="4A0D9A6B" w:rsidRPr="25C52D84">
        <w:rPr>
          <w:lang w:val="en-US"/>
        </w:rPr>
        <w:t xml:space="preserve"> </w:t>
      </w:r>
      <w:r w:rsidR="180A2C07" w:rsidRPr="25C52D84">
        <w:rPr>
          <w:lang w:val="en-US"/>
        </w:rPr>
        <w:t>the</w:t>
      </w:r>
      <w:r w:rsidR="79CBE33F" w:rsidRPr="25C52D84">
        <w:rPr>
          <w:lang w:val="en-US"/>
        </w:rPr>
        <w:t xml:space="preserve"> evidence base was complicated by </w:t>
      </w:r>
      <w:r w:rsidR="14F97969" w:rsidRPr="25C52D84">
        <w:rPr>
          <w:lang w:val="en-US"/>
        </w:rPr>
        <w:t>changing diagnostic</w:t>
      </w:r>
      <w:r w:rsidR="79CBE33F" w:rsidRPr="25C52D84">
        <w:rPr>
          <w:lang w:val="en-US"/>
        </w:rPr>
        <w:t xml:space="preserve"> </w:t>
      </w:r>
      <w:r w:rsidR="41DA5E58" w:rsidRPr="25C52D84">
        <w:rPr>
          <w:lang w:val="en-US"/>
        </w:rPr>
        <w:t xml:space="preserve">criteria informed by </w:t>
      </w:r>
      <w:r w:rsidR="16AB8359" w:rsidRPr="25C52D84">
        <w:rPr>
          <w:lang w:val="en-US"/>
        </w:rPr>
        <w:t xml:space="preserve">the </w:t>
      </w:r>
      <w:r w:rsidR="41DA5E58" w:rsidRPr="25C52D84">
        <w:rPr>
          <w:lang w:val="en-US"/>
        </w:rPr>
        <w:t xml:space="preserve">evolving understanding of the biological mechanisms of the condition. </w:t>
      </w:r>
      <w:r w:rsidR="4D5CE56F" w:rsidRPr="25C52D84">
        <w:rPr>
          <w:lang w:val="en-US"/>
        </w:rPr>
        <w:t xml:space="preserve">Newer evidence defined TTP by the absence of ADAMTS13 activity, </w:t>
      </w:r>
      <w:r w:rsidR="383DC9F0" w:rsidRPr="25C52D84">
        <w:rPr>
          <w:lang w:val="en-US"/>
        </w:rPr>
        <w:t>thereby incorporating the index text in the reference standard</w:t>
      </w:r>
      <w:r w:rsidR="0F3BB14E" w:rsidRPr="25C52D84">
        <w:rPr>
          <w:lang w:val="en-US"/>
        </w:rPr>
        <w:t xml:space="preserve">, whereas older evidence </w:t>
      </w:r>
      <w:r w:rsidR="26BAFD9A" w:rsidRPr="25C52D84">
        <w:rPr>
          <w:lang w:val="en-US"/>
        </w:rPr>
        <w:t xml:space="preserve">tended to </w:t>
      </w:r>
      <w:r w:rsidR="0F3BB14E" w:rsidRPr="25C52D84">
        <w:rPr>
          <w:lang w:val="en-US"/>
        </w:rPr>
        <w:t xml:space="preserve">include a range of </w:t>
      </w:r>
      <w:r w:rsidR="5F2508F0" w:rsidRPr="25C52D84">
        <w:rPr>
          <w:lang w:val="en-US"/>
        </w:rPr>
        <w:t>secondary TMAs within the TTP dia</w:t>
      </w:r>
      <w:r w:rsidR="26BAFD9A" w:rsidRPr="25C52D84">
        <w:rPr>
          <w:lang w:val="en-US"/>
        </w:rPr>
        <w:t xml:space="preserve">gnosis </w:t>
      </w:r>
      <w:r w:rsidR="09531A5A" w:rsidRPr="25C52D84">
        <w:rPr>
          <w:lang w:val="en-US"/>
        </w:rPr>
        <w:t>(e.g. drug-associated TMA</w:t>
      </w:r>
      <w:r w:rsidR="6D78949A" w:rsidRPr="25C52D84">
        <w:rPr>
          <w:lang w:val="en-US"/>
        </w:rPr>
        <w:t>).</w:t>
      </w:r>
    </w:p>
    <w:p w14:paraId="0810382C" w14:textId="3A1991B9" w:rsidR="00742FD9" w:rsidRDefault="00B0441B" w:rsidP="00055104">
      <w:pPr>
        <w:pStyle w:val="ExecSumHeading2"/>
        <w:keepLines/>
        <w:numPr>
          <w:ilvl w:val="0"/>
          <w:numId w:val="36"/>
        </w:numPr>
        <w:ind w:hanging="720"/>
      </w:pPr>
      <w:bookmarkStart w:id="19" w:name="_Toc216879525"/>
      <w:r>
        <w:t>Comparative safety</w:t>
      </w:r>
      <w:bookmarkEnd w:id="19"/>
    </w:p>
    <w:p w14:paraId="73B32C4B" w14:textId="6E328200" w:rsidR="006F24B7" w:rsidRPr="006F24B7" w:rsidRDefault="006F24B7" w:rsidP="006F24B7">
      <w:pPr>
        <w:pStyle w:val="BodyText"/>
      </w:pPr>
      <w:r>
        <w:t xml:space="preserve">No comparative studies met the inclusion criteria and reported safety outcomes. </w:t>
      </w:r>
      <w:r w:rsidR="00DC1458">
        <w:t>ADAMTS13 testing (all tests) require a standard venepuncture blood test that is unlikely to cause direct harm to the patient.</w:t>
      </w:r>
      <w:r w:rsidR="00255A7B">
        <w:t xml:space="preserve"> There are no direct harms from </w:t>
      </w:r>
      <w:r w:rsidR="0051648E">
        <w:t xml:space="preserve">laboratory </w:t>
      </w:r>
      <w:r w:rsidR="00255A7B">
        <w:t>testing.</w:t>
      </w:r>
    </w:p>
    <w:p w14:paraId="7E3F6549" w14:textId="0091FE37" w:rsidR="00255A7B" w:rsidRPr="006F24B7" w:rsidRDefault="0029214E" w:rsidP="006F24B7">
      <w:pPr>
        <w:pStyle w:val="BodyText"/>
      </w:pPr>
      <w:r>
        <w:t>All tests, in all PICO Sets, are proposed to guide treatment decision</w:t>
      </w:r>
      <w:r w:rsidR="00D354DE">
        <w:t>s</w:t>
      </w:r>
      <w:r>
        <w:t xml:space="preserve"> and therefore to alter patient management. </w:t>
      </w:r>
    </w:p>
    <w:p w14:paraId="48D6CB04" w14:textId="45FA41AA" w:rsidR="00377410" w:rsidRDefault="00B95984" w:rsidP="006F24B7">
      <w:pPr>
        <w:pStyle w:val="BodyText"/>
      </w:pPr>
      <w:r>
        <w:t>In PICO Set 1 (diagnosis)</w:t>
      </w:r>
      <w:r w:rsidR="00110165">
        <w:t>,</w:t>
      </w:r>
      <w:r>
        <w:t xml:space="preserve"> </w:t>
      </w:r>
      <w:r w:rsidR="00B0095B">
        <w:t xml:space="preserve">ADAMTS13 testing is proposed to improve </w:t>
      </w:r>
      <w:r w:rsidR="00901DCF">
        <w:t xml:space="preserve">patient </w:t>
      </w:r>
      <w:r w:rsidR="00B0095B">
        <w:t xml:space="preserve">safety by reducing </w:t>
      </w:r>
      <w:r w:rsidR="00C67E86">
        <w:t xml:space="preserve">unnecessary </w:t>
      </w:r>
      <w:r w:rsidR="00B0095B">
        <w:t>exposure to PEX</w:t>
      </w:r>
      <w:r w:rsidR="00181E09">
        <w:t xml:space="preserve">, particularly in cases </w:t>
      </w:r>
      <w:r w:rsidR="008743EE">
        <w:t xml:space="preserve">where ADAMTS13 activity testing excludes a diagnosis of TTP. </w:t>
      </w:r>
      <w:r w:rsidR="00A54568">
        <w:t>However, the potential for f</w:t>
      </w:r>
      <w:r w:rsidR="00166908">
        <w:t xml:space="preserve">alse-positive or false-negative </w:t>
      </w:r>
      <w:r w:rsidR="00FF5D75">
        <w:t>diagnos</w:t>
      </w:r>
      <w:r w:rsidR="00A73E0D">
        <w:t>is</w:t>
      </w:r>
      <w:r w:rsidR="00166908">
        <w:t xml:space="preserve"> </w:t>
      </w:r>
      <w:r w:rsidR="00FF5D75">
        <w:t>introduces a risk of clinical</w:t>
      </w:r>
      <w:r w:rsidR="00166908">
        <w:t xml:space="preserve"> harm</w:t>
      </w:r>
      <w:r w:rsidR="00CF2941">
        <w:t>. Such inaccuracies may lead to the initiation</w:t>
      </w:r>
      <w:r w:rsidR="00166908">
        <w:t xml:space="preserve"> of inappropriate treatment or </w:t>
      </w:r>
      <w:r w:rsidR="006A358B">
        <w:t>the omission or delay of necessary therapeutic interventions</w:t>
      </w:r>
      <w:r w:rsidR="00166908">
        <w:t xml:space="preserve">. </w:t>
      </w:r>
    </w:p>
    <w:p w14:paraId="56654918" w14:textId="4DF65377" w:rsidR="002E4083" w:rsidRPr="006F24B7" w:rsidRDefault="00166908" w:rsidP="006F24B7">
      <w:pPr>
        <w:pStyle w:val="BodyText"/>
      </w:pPr>
      <w:r>
        <w:lastRenderedPageBreak/>
        <w:t>A false-positive ADAMTS13 activity test could lead to a diagnosis of TTP that is subsequently not supported clinically. In this case, patients would continue to receive PEX unnecessarily and potentially would have delayed appropriate treatment. False-positive findings tend to occur in patients who have severe systemic disorders, commonly infections and/or sepsis</w:t>
      </w:r>
      <w:r w:rsidR="00377410">
        <w:t>.</w:t>
      </w:r>
      <w:r w:rsidR="00377410" w:rsidRPr="00377410">
        <w:t xml:space="preserve"> </w:t>
      </w:r>
      <w:r w:rsidR="00377410">
        <w:t>Delayed diagnosis in these patients is expected to be harmful; however, the ADAMTS13 activity results are not interpreted in isolation and failure to respond to PEX, negative anti-ADAMTS13 autoantibody findings, or other clinical findings may all lead to an appropriate diagnosis despite reduced ADAMTS13 activity.</w:t>
      </w:r>
    </w:p>
    <w:p w14:paraId="371B9322" w14:textId="78DB875E" w:rsidR="00377410" w:rsidRPr="006F24B7" w:rsidRDefault="00377410" w:rsidP="006F24B7">
      <w:pPr>
        <w:pStyle w:val="BodyText"/>
      </w:pPr>
      <w:r>
        <w:t>False-negative ADAMTS13 activity results were also reported. Most affected patients had activity levels within the equivocal range (10–30%) and tested positive for anti-ADAMTS13 autoantibodies. This finding suggests that subsequent anti-ADAMTS13 autoantibody testing is a critical component of the diagnostic pathway and should not be restricted to patients with ADAMTS13 activity levels &lt;10%</w:t>
      </w:r>
      <w:r w:rsidR="008C417C" w:rsidRPr="008C417C">
        <w:t xml:space="preserve"> </w:t>
      </w:r>
      <w:r w:rsidR="008C417C">
        <w:t>but should be performed in all patients with reduced or equivocal ADAMTS13 activity, particularly when there is a high pre-test probability of TTP.</w:t>
      </w:r>
    </w:p>
    <w:p w14:paraId="092B87D2" w14:textId="338A79FD" w:rsidR="004F4FF9" w:rsidRPr="006F24B7" w:rsidRDefault="004F4FF9" w:rsidP="006F24B7">
      <w:pPr>
        <w:pStyle w:val="BodyText"/>
      </w:pPr>
      <w:r>
        <w:t>Overall, the risk of harm associated with ADAMTS13 testing is considered low, as the testing proposed is not performed in isolation but as part of a broader panel of investigations that are undertaken during acute TMA presentations. The introduction and appropriate use of ADAMTS13 activity testing is likely to improve the targeting of therapy, due to its high sensitivity and specificity. Moreover, false-positive or false-negative results are likely to be identified through correlation with clinical information provided by other concurrent or subsequent tests.</w:t>
      </w:r>
    </w:p>
    <w:p w14:paraId="548A424B" w14:textId="29661DF7" w:rsidR="00C955C8" w:rsidRPr="00963D49" w:rsidRDefault="00C955C8" w:rsidP="006F24B7">
      <w:pPr>
        <w:pStyle w:val="BodyText"/>
      </w:pPr>
      <w:r>
        <w:t xml:space="preserve">For PICO Set 2, </w:t>
      </w:r>
      <w:r w:rsidR="00963D49">
        <w:rPr>
          <w:i/>
          <w:iCs/>
        </w:rPr>
        <w:t>ADAMTS13</w:t>
      </w:r>
      <w:r w:rsidR="00963D49">
        <w:t xml:space="preserve"> genetic testing in </w:t>
      </w:r>
      <w:r w:rsidR="00B45FEB">
        <w:t>first-degree biological</w:t>
      </w:r>
      <w:r w:rsidR="00963D49">
        <w:t xml:space="preserve"> </w:t>
      </w:r>
      <w:r w:rsidR="004C68E9">
        <w:t>relatives</w:t>
      </w:r>
      <w:r w:rsidR="00963D49">
        <w:t xml:space="preserve"> is expected to be safe</w:t>
      </w:r>
      <w:r w:rsidR="006453C9">
        <w:t>r than no</w:t>
      </w:r>
      <w:r w:rsidR="00963D49">
        <w:t xml:space="preserve"> </w:t>
      </w:r>
      <w:r w:rsidR="00F73FDA">
        <w:t>intervention, given</w:t>
      </w:r>
      <w:r w:rsidR="00963D49">
        <w:t xml:space="preserve"> there are </w:t>
      </w:r>
      <w:r w:rsidR="00584469">
        <w:t>effective treatments for cTTP</w:t>
      </w:r>
      <w:r w:rsidR="008615C9">
        <w:t>.</w:t>
      </w:r>
      <w:r w:rsidR="00584469">
        <w:t xml:space="preserve"> </w:t>
      </w:r>
      <w:r w:rsidR="008615C9">
        <w:t>I</w:t>
      </w:r>
      <w:r w:rsidR="00D348B4">
        <w:t xml:space="preserve">dentification of cTTP in an asymptomatic sibling enables </w:t>
      </w:r>
      <w:r w:rsidR="001D48FF">
        <w:t>appropriate and timely therapy, whether prophylactic or during an acute presentation. Furthermore, the value of</w:t>
      </w:r>
      <w:r w:rsidR="00E72FC2">
        <w:t xml:space="preserve"> knowing is expected to be high for </w:t>
      </w:r>
      <w:r w:rsidR="004C68E9">
        <w:t>relatives</w:t>
      </w:r>
      <w:r w:rsidR="00E72FC2">
        <w:t xml:space="preserve"> who receive a negative diagnosis</w:t>
      </w:r>
      <w:r w:rsidR="001010AD">
        <w:t xml:space="preserve">, providing freedom from anxiety. </w:t>
      </w:r>
    </w:p>
    <w:p w14:paraId="5FC87E38" w14:textId="6477DF9B" w:rsidR="001010AD" w:rsidRPr="00963D49" w:rsidRDefault="001010AD" w:rsidP="006F24B7">
      <w:pPr>
        <w:pStyle w:val="BodyText"/>
      </w:pPr>
      <w:r>
        <w:t>For PICO Set 3</w:t>
      </w:r>
      <w:r w:rsidR="00820D88">
        <w:t>,</w:t>
      </w:r>
      <w:r w:rsidR="00EA71F1" w:rsidRPr="00EA71F1">
        <w:t xml:space="preserve"> </w:t>
      </w:r>
      <w:r w:rsidR="00EA71F1">
        <w:t>ADAMTS13 activity testing during remission is for the purpose of initiating treatment earlier (pre-emptively) to reduce the risk of an acute clinical relapse</w:t>
      </w:r>
      <w:r w:rsidR="00521DDC">
        <w:t xml:space="preserve">. </w:t>
      </w:r>
      <w:r w:rsidR="007A7FBA">
        <w:t xml:space="preserve">Rituximab is the </w:t>
      </w:r>
      <w:r w:rsidR="00340E46">
        <w:t>standard therapeutic agent used in this context</w:t>
      </w:r>
      <w:r w:rsidR="007A7FBA">
        <w:t xml:space="preserve"> and</w:t>
      </w:r>
      <w:r w:rsidR="00955E69">
        <w:t>, while generally well tolerated,</w:t>
      </w:r>
      <w:r w:rsidR="007A7FBA">
        <w:t xml:space="preserve"> is associated with adverse events</w:t>
      </w:r>
      <w:r w:rsidR="004D75D7">
        <w:t xml:space="preserve">. The </w:t>
      </w:r>
      <w:r w:rsidR="00D35848">
        <w:t>potential for</w:t>
      </w:r>
      <w:r w:rsidR="004D75D7">
        <w:t xml:space="preserve"> treatment-related harm in asymptomatic </w:t>
      </w:r>
      <w:r w:rsidR="00B403E9">
        <w:t>individuals</w:t>
      </w:r>
      <w:r w:rsidR="004D75D7">
        <w:t xml:space="preserve"> </w:t>
      </w:r>
      <w:r w:rsidR="00B403E9">
        <w:t>must</w:t>
      </w:r>
      <w:r w:rsidR="004D75D7">
        <w:t xml:space="preserve"> be</w:t>
      </w:r>
      <w:r w:rsidR="00B403E9">
        <w:t xml:space="preserve"> carefully</w:t>
      </w:r>
      <w:r w:rsidR="004D75D7">
        <w:t xml:space="preserve"> weighed against the risk of relapse, </w:t>
      </w:r>
      <w:r w:rsidR="003D60C2">
        <w:t>which carries si</w:t>
      </w:r>
      <w:r w:rsidR="0007003F">
        <w:t>gnificant</w:t>
      </w:r>
      <w:r w:rsidR="004D75D7">
        <w:t xml:space="preserve"> safety </w:t>
      </w:r>
      <w:r w:rsidR="0007003F">
        <w:t xml:space="preserve">concerns, </w:t>
      </w:r>
      <w:r w:rsidR="004D75D7">
        <w:t xml:space="preserve">including morbidity and mortality from the </w:t>
      </w:r>
      <w:r w:rsidR="008D0C91">
        <w:t xml:space="preserve">acute </w:t>
      </w:r>
      <w:r w:rsidR="004D75D7">
        <w:t>episode itself and the risk of adverse events associated with PEX treatment.</w:t>
      </w:r>
      <w:r w:rsidR="000125EB">
        <w:t xml:space="preserve"> </w:t>
      </w:r>
      <w:r w:rsidR="00AA5D49">
        <w:t xml:space="preserve">The overall safety </w:t>
      </w:r>
      <w:r w:rsidR="000125EB">
        <w:t xml:space="preserve">of </w:t>
      </w:r>
      <w:r w:rsidR="00AA5D49">
        <w:t>ADAMTS13 activity testing</w:t>
      </w:r>
      <w:r w:rsidR="000125EB">
        <w:t xml:space="preserve"> </w:t>
      </w:r>
      <w:r w:rsidR="00A842F9">
        <w:t>and management of</w:t>
      </w:r>
      <w:r w:rsidR="000125EB">
        <w:t xml:space="preserve"> this indication</w:t>
      </w:r>
      <w:r w:rsidR="00EB4866">
        <w:t xml:space="preserve"> compared with symptomatic </w:t>
      </w:r>
      <w:r w:rsidR="003F43FF">
        <w:t>management</w:t>
      </w:r>
      <w:r w:rsidR="000125EB">
        <w:t xml:space="preserve"> </w:t>
      </w:r>
      <w:r w:rsidR="008F4769">
        <w:t xml:space="preserve">remains </w:t>
      </w:r>
      <w:r w:rsidR="000125EB">
        <w:t>uncertain.</w:t>
      </w:r>
    </w:p>
    <w:p w14:paraId="4E81E0C6" w14:textId="0EB1FB5C" w:rsidR="000125EB" w:rsidRPr="00963D49" w:rsidRDefault="0332525D" w:rsidP="006F24B7">
      <w:pPr>
        <w:pStyle w:val="BodyText"/>
      </w:pPr>
      <w:r>
        <w:t xml:space="preserve">ADAMTS13 activity testing is also used </w:t>
      </w:r>
      <w:r w:rsidR="579802D8">
        <w:t>for monitoring during and immediately following an acute iTTP episode</w:t>
      </w:r>
      <w:r w:rsidR="526A5DBB">
        <w:t>,</w:t>
      </w:r>
      <w:r w:rsidR="5C9B3A13">
        <w:t xml:space="preserve"> enabling treatment</w:t>
      </w:r>
      <w:r w:rsidR="359CB1FA">
        <w:t xml:space="preserve"> regimen</w:t>
      </w:r>
      <w:r w:rsidR="5C9B3A13">
        <w:t>s (</w:t>
      </w:r>
      <w:r w:rsidR="6846E729">
        <w:t xml:space="preserve">such as </w:t>
      </w:r>
      <w:r w:rsidR="5C9B3A13">
        <w:t xml:space="preserve">immunotherapy) to be tailored </w:t>
      </w:r>
      <w:r w:rsidR="6846E729">
        <w:t xml:space="preserve">according </w:t>
      </w:r>
      <w:r w:rsidR="5C9B3A13">
        <w:t xml:space="preserve">to </w:t>
      </w:r>
      <w:r w:rsidR="6846E729">
        <w:t xml:space="preserve">therapeutic </w:t>
      </w:r>
      <w:r w:rsidR="5C9B3A13">
        <w:t xml:space="preserve">response. </w:t>
      </w:r>
      <w:r w:rsidR="1CD52B46">
        <w:t xml:space="preserve">This is likely to improve safety by reducing </w:t>
      </w:r>
      <w:r w:rsidR="31047707">
        <w:t xml:space="preserve">unnecessary </w:t>
      </w:r>
      <w:r w:rsidR="1CD52B46">
        <w:t xml:space="preserve">exposure to treatment </w:t>
      </w:r>
      <w:r w:rsidR="01960FC6">
        <w:t>in</w:t>
      </w:r>
      <w:r w:rsidR="1CD52B46">
        <w:t xml:space="preserve"> patient</w:t>
      </w:r>
      <w:r w:rsidR="01960FC6">
        <w:t>s who</w:t>
      </w:r>
      <w:r w:rsidR="1CD52B46">
        <w:t xml:space="preserve"> </w:t>
      </w:r>
      <w:r w:rsidR="402E2E81">
        <w:t>ha</w:t>
      </w:r>
      <w:r w:rsidR="01960FC6">
        <w:t>ve</w:t>
      </w:r>
      <w:r w:rsidR="402E2E81">
        <w:t xml:space="preserve"> achieved a response</w:t>
      </w:r>
      <w:r w:rsidR="01960FC6">
        <w:t>,</w:t>
      </w:r>
      <w:r w:rsidR="402E2E81">
        <w:t xml:space="preserve"> or </w:t>
      </w:r>
      <w:r w:rsidR="46A7A12B">
        <w:t xml:space="preserve">by </w:t>
      </w:r>
      <w:r w:rsidR="402E2E81">
        <w:t>extend</w:t>
      </w:r>
      <w:r w:rsidR="554E127B">
        <w:t>ing treatment</w:t>
      </w:r>
      <w:r w:rsidR="402E2E81">
        <w:t xml:space="preserve"> </w:t>
      </w:r>
      <w:r w:rsidR="46A7A12B">
        <w:t xml:space="preserve">in cases </w:t>
      </w:r>
      <w:r w:rsidR="402E2E81">
        <w:t>where the risk of exacerbation or relapse is</w:t>
      </w:r>
      <w:r w:rsidR="5C9B3A13">
        <w:t xml:space="preserve"> </w:t>
      </w:r>
      <w:r w:rsidR="554E127B">
        <w:t xml:space="preserve">high. </w:t>
      </w:r>
    </w:p>
    <w:p w14:paraId="5C9968C0" w14:textId="3DC929BA" w:rsidR="00742FD9" w:rsidRDefault="00B0441B" w:rsidP="00055104">
      <w:pPr>
        <w:pStyle w:val="ExecSumHeading2"/>
        <w:keepLines/>
        <w:numPr>
          <w:ilvl w:val="0"/>
          <w:numId w:val="36"/>
        </w:numPr>
        <w:ind w:hanging="720"/>
      </w:pPr>
      <w:bookmarkStart w:id="20" w:name="_Toc216879526"/>
      <w:r>
        <w:t>Comparative effectiveness</w:t>
      </w:r>
      <w:bookmarkEnd w:id="20"/>
    </w:p>
    <w:p w14:paraId="16466DCD" w14:textId="3ED19459" w:rsidR="00A554FF" w:rsidRPr="00A554FF" w:rsidRDefault="000E43A6" w:rsidP="000E43A6">
      <w:pPr>
        <w:pStyle w:val="ExecSumHeading3"/>
      </w:pPr>
      <w:bookmarkStart w:id="21" w:name="_Toc216879527"/>
      <w:r>
        <w:t>PICO Set 1</w:t>
      </w:r>
      <w:r w:rsidR="00C735E9">
        <w:t>: ADAMTS13 activity and anti-ADAMTS13 autoantibody testing for diagnosis</w:t>
      </w:r>
      <w:bookmarkEnd w:id="21"/>
    </w:p>
    <w:p w14:paraId="26FEE28F" w14:textId="754CD7A4" w:rsidR="00C06F20" w:rsidRDefault="00C06F20" w:rsidP="00C06F20">
      <w:pPr>
        <w:pStyle w:val="ExecSumHeading4"/>
      </w:pPr>
      <w:r>
        <w:t>Test accuracy</w:t>
      </w:r>
    </w:p>
    <w:p w14:paraId="0D3B162E" w14:textId="5C5749C3" w:rsidR="00054C82" w:rsidRPr="00054C82" w:rsidRDefault="00054C82" w:rsidP="00054C82">
      <w:pPr>
        <w:pStyle w:val="BodyText"/>
      </w:pPr>
      <w:r>
        <w:t>The diagnostic accuracy of ADAMTS13 activity testing compared to the final clinical diagnosis was reported in 7 studies and is presented in</w:t>
      </w:r>
      <w:r w:rsidR="00D078F1">
        <w:t xml:space="preserve"> </w:t>
      </w:r>
      <w:r w:rsidR="00D078F1">
        <w:fldChar w:fldCharType="begin"/>
      </w:r>
      <w:r w:rsidR="00D078F1">
        <w:instrText xml:space="preserve"> REF _Ref213064476 \h </w:instrText>
      </w:r>
      <w:r w:rsidR="00D078F1">
        <w:fldChar w:fldCharType="separate"/>
      </w:r>
      <w:r w:rsidR="00716875">
        <w:t xml:space="preserve">Figure </w:t>
      </w:r>
      <w:r w:rsidR="00716875">
        <w:rPr>
          <w:noProof/>
        </w:rPr>
        <w:t>1</w:t>
      </w:r>
      <w:r w:rsidR="00D078F1">
        <w:fldChar w:fldCharType="end"/>
      </w:r>
      <w:r w:rsidR="00D078F1">
        <w:t>.</w:t>
      </w:r>
      <w:r w:rsidR="00357C5F">
        <w:t xml:space="preserve"> Sensitivity and specificity were </w:t>
      </w:r>
      <w:r w:rsidR="00DA6AB9">
        <w:t xml:space="preserve">very high across all studies (range 0.83 to 1.00 and </w:t>
      </w:r>
      <w:r w:rsidR="00D75A46">
        <w:t>0.94 to 1.00 respectively)</w:t>
      </w:r>
      <w:r w:rsidR="009831BB">
        <w:t xml:space="preserve"> and tended to be higher in </w:t>
      </w:r>
      <w:r w:rsidR="009831BB">
        <w:lastRenderedPageBreak/>
        <w:t xml:space="preserve">more recent studies. This may reflect changes in the clinical classification of TTP that now aligns diagnosis more closely </w:t>
      </w:r>
      <w:r w:rsidR="00C70157">
        <w:t xml:space="preserve">with </w:t>
      </w:r>
      <w:r w:rsidR="009831BB">
        <w:t>ADAMTS13 levels.</w:t>
      </w:r>
      <w:r w:rsidR="00545AAA">
        <w:t xml:space="preserve"> </w:t>
      </w:r>
    </w:p>
    <w:p w14:paraId="5DBB73C3" w14:textId="694645BC" w:rsidR="00D841E8" w:rsidRPr="00054C82" w:rsidRDefault="0087218D" w:rsidP="00054C82">
      <w:pPr>
        <w:pStyle w:val="BodyText"/>
      </w:pPr>
      <w:r>
        <w:t>D</w:t>
      </w:r>
      <w:r w:rsidR="00D841E8">
        <w:t>iscordant results were tabulated.</w:t>
      </w:r>
      <w:r w:rsidR="00D841E8" w:rsidRPr="00D841E8">
        <w:t xml:space="preserve"> </w:t>
      </w:r>
      <w:r w:rsidR="00D841E8">
        <w:t xml:space="preserve">All patients with false-positive findings had severe systemic disorders, most commonly infections and/or sepsis. </w:t>
      </w:r>
      <w:r w:rsidR="00992418">
        <w:t>Patients with false</w:t>
      </w:r>
      <w:r w:rsidR="002F6108">
        <w:t>-</w:t>
      </w:r>
      <w:r w:rsidR="00992418">
        <w:t xml:space="preserve">negative </w:t>
      </w:r>
      <w:r w:rsidR="002F6108">
        <w:t xml:space="preserve">findings </w:t>
      </w:r>
      <w:r w:rsidR="00DE2495">
        <w:t>were more variable</w:t>
      </w:r>
      <w:r w:rsidR="006F13D9">
        <w:t>;</w:t>
      </w:r>
      <w:r w:rsidR="00C06781">
        <w:t xml:space="preserve"> 4 </w:t>
      </w:r>
      <w:r w:rsidR="003035E0">
        <w:t xml:space="preserve">of 12 </w:t>
      </w:r>
      <w:r w:rsidR="001E5937">
        <w:t xml:space="preserve">reported cases </w:t>
      </w:r>
      <w:r w:rsidR="00C06781">
        <w:t>ha</w:t>
      </w:r>
      <w:r w:rsidR="00CA59AF">
        <w:t>d</w:t>
      </w:r>
      <w:r w:rsidR="00C06781">
        <w:t xml:space="preserve"> </w:t>
      </w:r>
      <w:r w:rsidR="003035E0">
        <w:t xml:space="preserve">an </w:t>
      </w:r>
      <w:r w:rsidR="00C06781">
        <w:t xml:space="preserve">ADAMTS13 activity </w:t>
      </w:r>
      <w:r w:rsidR="003035E0">
        <w:t xml:space="preserve">level &lt;20% </w:t>
      </w:r>
      <w:r w:rsidR="00C06781">
        <w:t>(a value that may be considered indeterminate</w:t>
      </w:r>
      <w:r w:rsidR="00725212">
        <w:t xml:space="preserve"> and warrant anti-ADAMTS13 autoantibody testing</w:t>
      </w:r>
      <w:r w:rsidR="00C06781">
        <w:t>)</w:t>
      </w:r>
      <w:r w:rsidR="00725212">
        <w:t>. Two patients in Page et al. (2017)</w:t>
      </w:r>
      <w:r w:rsidR="00C3552C">
        <w:t xml:space="preserve"> had high levels of ADAMTS13 activity and were diagnosed with iTTP during subsequent relapses</w:t>
      </w:r>
      <w:r w:rsidR="00F83AFB">
        <w:t>.</w:t>
      </w:r>
    </w:p>
    <w:p w14:paraId="0EC0BE4C" w14:textId="721FB704" w:rsidR="00C06F20" w:rsidRPr="00C06F20" w:rsidRDefault="0091466A" w:rsidP="00424707">
      <w:pPr>
        <w:pStyle w:val="BodyText"/>
        <w:spacing w:after="0"/>
      </w:pPr>
      <w:r>
        <w:rPr>
          <w:rFonts w:eastAsiaTheme="minorHAnsi"/>
          <w:noProof/>
        </w:rPr>
        <w:drawing>
          <wp:inline distT="0" distB="0" distL="0" distR="0" wp14:anchorId="59C1DB3C" wp14:editId="181DA618">
            <wp:extent cx="5731510" cy="944849"/>
            <wp:effectExtent l="19050" t="19050" r="21590" b="27305"/>
            <wp:docPr id="2" name="Picture 2" descr="Forest plot of diagnostic accuracy data comparing ADAMTS13 activity testing (FRETS-VWF73 or ELISA) against final clinical diagno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rest plot of diagnostic accuracy data comparing ADAMTS13 activity testing (FRETS-VWF73 or ELISA) against final clinical diagnosis"/>
                    <pic:cNvPicPr/>
                  </pic:nvPicPr>
                  <pic:blipFill>
                    <a:blip r:embed="rId13">
                      <a:extLst>
                        <a:ext uri="{28A0092B-C50C-407E-A947-70E740481C1C}">
                          <a14:useLocalDpi xmlns:a14="http://schemas.microsoft.com/office/drawing/2010/main" val="0"/>
                        </a:ext>
                      </a:extLst>
                    </a:blip>
                    <a:stretch>
                      <a:fillRect/>
                    </a:stretch>
                  </pic:blipFill>
                  <pic:spPr>
                    <a:xfrm>
                      <a:off x="0" y="0"/>
                      <a:ext cx="5731510" cy="944849"/>
                    </a:xfrm>
                    <a:prstGeom prst="rect">
                      <a:avLst/>
                    </a:prstGeom>
                    <a:ln>
                      <a:solidFill>
                        <a:schemeClr val="tx1"/>
                      </a:solidFill>
                    </a:ln>
                  </pic:spPr>
                </pic:pic>
              </a:graphicData>
            </a:graphic>
          </wp:inline>
        </w:drawing>
      </w:r>
    </w:p>
    <w:p w14:paraId="4771FDEE" w14:textId="71C6866D" w:rsidR="00FC5C53" w:rsidRDefault="00FC5C53" w:rsidP="00FC5C53">
      <w:pPr>
        <w:pStyle w:val="Caption"/>
        <w:spacing w:before="0" w:after="0"/>
      </w:pPr>
      <w:bookmarkStart w:id="22" w:name="_Ref213064476"/>
      <w:r>
        <w:t xml:space="preserve">Figure </w:t>
      </w:r>
      <w:r>
        <w:fldChar w:fldCharType="begin"/>
      </w:r>
      <w:r>
        <w:instrText>SEQ Figure \* ARABIC</w:instrText>
      </w:r>
      <w:r>
        <w:fldChar w:fldCharType="separate"/>
      </w:r>
      <w:r w:rsidR="00716875">
        <w:rPr>
          <w:noProof/>
        </w:rPr>
        <w:t>1</w:t>
      </w:r>
      <w:r>
        <w:fldChar w:fldCharType="end"/>
      </w:r>
      <w:bookmarkEnd w:id="22"/>
      <w:r>
        <w:tab/>
        <w:t>Forest plot of diagnostic accuracy data comparing ADAMTS13 activity testing (FRETS-VWF73 or ELISA) against final clinical diagnosis</w:t>
      </w:r>
    </w:p>
    <w:p w14:paraId="6015EAB7" w14:textId="77777777" w:rsidR="0091466A" w:rsidRPr="00DD42F0" w:rsidRDefault="0091466A" w:rsidP="0091466A">
      <w:pPr>
        <w:pStyle w:val="111Tablefootnoteslast-nostick"/>
        <w:rPr>
          <w:rFonts w:eastAsiaTheme="minorHAnsi"/>
        </w:rPr>
      </w:pPr>
      <w:r>
        <w:rPr>
          <w:rFonts w:eastAsiaTheme="minorHAnsi"/>
        </w:rPr>
        <w:t xml:space="preserve">CI = confidence interval; </w:t>
      </w:r>
      <w:r>
        <w:t xml:space="preserve">ELISA = </w:t>
      </w:r>
      <w:r w:rsidRPr="00C13CCA">
        <w:t>enzyme-linked immunosorbent assay</w:t>
      </w:r>
      <w:r>
        <w:t>;</w:t>
      </w:r>
      <w:r w:rsidRPr="004B1BF0">
        <w:t xml:space="preserve"> </w:t>
      </w:r>
      <w:r>
        <w:rPr>
          <w:rFonts w:eastAsiaTheme="minorHAnsi"/>
        </w:rPr>
        <w:t xml:space="preserve">FN = false negative; FP = false positive; </w:t>
      </w:r>
      <w:r>
        <w:t xml:space="preserve">FRETS = </w:t>
      </w:r>
      <w:r w:rsidRPr="004B1BF0">
        <w:t>fluorescence resonance energy transfer assay</w:t>
      </w:r>
      <w:r>
        <w:t>;</w:t>
      </w:r>
      <w:r>
        <w:rPr>
          <w:rFonts w:eastAsiaTheme="minorHAnsi"/>
        </w:rPr>
        <w:t xml:space="preserve"> TN = true negative; TP = true positive.</w:t>
      </w:r>
    </w:p>
    <w:p w14:paraId="4A921FAF" w14:textId="66708644" w:rsidR="0091466A" w:rsidRPr="00C06F20" w:rsidRDefault="00B42868" w:rsidP="00C06F20">
      <w:pPr>
        <w:pStyle w:val="BodyText"/>
      </w:pPr>
      <w:r>
        <w:t xml:space="preserve">The diagnostic accuracy of automated ADAMTS13 activity (CLIA AcuStar) testing compared to the clinical utility standard </w:t>
      </w:r>
      <w:r w:rsidR="005F4863">
        <w:t>(ELISA or FRETS-VWF73)</w:t>
      </w:r>
      <w:r>
        <w:t xml:space="preserve"> was reported in 3 studies and is presented in</w:t>
      </w:r>
      <w:r w:rsidR="005F4863">
        <w:t xml:space="preserve"> </w:t>
      </w:r>
      <w:r w:rsidR="005F4863">
        <w:fldChar w:fldCharType="begin"/>
      </w:r>
      <w:r w:rsidR="005F4863">
        <w:instrText xml:space="preserve"> REF _Ref213065626 \h </w:instrText>
      </w:r>
      <w:r w:rsidR="005F4863">
        <w:fldChar w:fldCharType="separate"/>
      </w:r>
      <w:r w:rsidR="00716875">
        <w:t xml:space="preserve">Figure </w:t>
      </w:r>
      <w:r w:rsidR="00716875">
        <w:rPr>
          <w:noProof/>
        </w:rPr>
        <w:t>2</w:t>
      </w:r>
      <w:r w:rsidR="005F4863">
        <w:fldChar w:fldCharType="end"/>
      </w:r>
      <w:r w:rsidR="005F4863">
        <w:t>.</w:t>
      </w:r>
      <w:r w:rsidR="000D4DB5">
        <w:t xml:space="preserve"> The accuracy of CLIA AcuStar was almost perfect in 2 studies. The</w:t>
      </w:r>
      <w:r w:rsidR="000D4DB5" w:rsidDel="006B407C">
        <w:t xml:space="preserve"> </w:t>
      </w:r>
      <w:r w:rsidR="000D4DB5">
        <w:t>one false</w:t>
      </w:r>
      <w:r w:rsidR="00F957FE">
        <w:t>-</w:t>
      </w:r>
      <w:r w:rsidR="000D4DB5">
        <w:t xml:space="preserve">positive </w:t>
      </w:r>
      <w:r w:rsidR="00136B1E">
        <w:t>result</w:t>
      </w:r>
      <w:r w:rsidR="000D4DB5">
        <w:t xml:space="preserve"> reported in Dimopoulos et al. (2022) was clinically classified as TTP and had a FRETS-VWF73 activity of 10%</w:t>
      </w:r>
      <w:r w:rsidR="00136B1E">
        <w:t>.</w:t>
      </w:r>
      <w:r w:rsidR="000D4DB5">
        <w:t xml:space="preserve"> </w:t>
      </w:r>
      <w:r w:rsidR="00136B1E">
        <w:t>T</w:t>
      </w:r>
      <w:r w:rsidR="000D4DB5">
        <w:t>herefore</w:t>
      </w:r>
      <w:r w:rsidR="00136B1E">
        <w:t>,</w:t>
      </w:r>
      <w:r w:rsidR="000D4DB5">
        <w:t xml:space="preserve"> compared to the reference standard, CLIA AcuStar performed better than FRETS-VWF73 in this study.</w:t>
      </w:r>
    </w:p>
    <w:p w14:paraId="0D1966DA" w14:textId="0892A134" w:rsidR="000D4DB5" w:rsidRDefault="000D4DB5" w:rsidP="00C06F20">
      <w:pPr>
        <w:pStyle w:val="BodyText"/>
      </w:pPr>
      <w:r>
        <w:t xml:space="preserve">The Singh et al. (2023) study reported 5 false positives with CLIA AcuStar leading to lower specificity. The 5 false positives appear to have been reported in 4 patients (i.e. 1 patient provided 2 diagnostic samples). Three of these patients had sepsis and none had </w:t>
      </w:r>
      <w:r w:rsidR="00785F9B">
        <w:t>anti-ADAMTS13 autoantibody</w:t>
      </w:r>
      <w:r>
        <w:t xml:space="preserve"> results above the reference range</w:t>
      </w:r>
      <w:r w:rsidR="003A4C6E">
        <w:t>.</w:t>
      </w:r>
    </w:p>
    <w:p w14:paraId="72A79739" w14:textId="1F6ACC9E" w:rsidR="00E418BD" w:rsidRDefault="00E418BD" w:rsidP="00C06F20">
      <w:pPr>
        <w:pStyle w:val="BodyText"/>
      </w:pPr>
      <w:r>
        <w:t>The prevalence of TTP in Singh et al. (2023) was 41%, higher than the other included studies, which ranged from 7</w:t>
      </w:r>
      <w:r w:rsidR="00216C7F">
        <w:t>%</w:t>
      </w:r>
      <w:r>
        <w:t xml:space="preserve"> to 35% with a median of 24%. It was also one of the smallest included studies (32 samples). The higher prevalence may translate to a higher number of samples likely to be misclassified, and a smaller study size may have contributed to greater variability in the findings. Both factors could explain the considerably lower specificity of this study compared with all other included studies. Nevertheless, the study highlights that AcuStar has the potential to return results that differ from FRETS-VWF73</w:t>
      </w:r>
      <w:r w:rsidR="00584FB9">
        <w:t xml:space="preserve"> and is the basis for the TGA notifications for AcuStar ADAMTS13 activity testing in February 2022 and again in August 2024</w:t>
      </w:r>
      <w:r w:rsidR="00584FB9">
        <w:rPr>
          <w:rStyle w:val="FootnoteReference"/>
        </w:rPr>
        <w:footnoteReference w:id="7"/>
      </w:r>
      <w:r>
        <w:t>.</w:t>
      </w:r>
    </w:p>
    <w:p w14:paraId="7D16E22A" w14:textId="29A27C14" w:rsidR="005F4863" w:rsidRPr="00C06F20" w:rsidRDefault="005F4863" w:rsidP="00424707">
      <w:pPr>
        <w:pStyle w:val="BodyText"/>
        <w:spacing w:after="0"/>
      </w:pPr>
      <w:r>
        <w:rPr>
          <w:noProof/>
        </w:rPr>
        <w:drawing>
          <wp:inline distT="0" distB="0" distL="0" distR="0" wp14:anchorId="597EC3D6" wp14:editId="05AF725C">
            <wp:extent cx="5731510" cy="599103"/>
            <wp:effectExtent l="19050" t="19050" r="21590" b="10795"/>
            <wp:docPr id="4" name="Picture 4" descr="Forest plot of diagnostic accuracy data comparing automated ADAMTS13 activity testing (CLIA AcuStar) against the clinical utility standard (FRETS-VWF73 or EL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orest plot of diagnostic accuracy data comparing automated ADAMTS13 activity testing (CLIA AcuStar) against the clinical utility standard (FRETS-VWF73 or ELISA)"/>
                    <pic:cNvPicPr/>
                  </pic:nvPicPr>
                  <pic:blipFill>
                    <a:blip r:embed="rId14">
                      <a:extLst>
                        <a:ext uri="{28A0092B-C50C-407E-A947-70E740481C1C}">
                          <a14:useLocalDpi xmlns:a14="http://schemas.microsoft.com/office/drawing/2010/main" val="0"/>
                        </a:ext>
                      </a:extLst>
                    </a:blip>
                    <a:stretch>
                      <a:fillRect/>
                    </a:stretch>
                  </pic:blipFill>
                  <pic:spPr>
                    <a:xfrm>
                      <a:off x="0" y="0"/>
                      <a:ext cx="5731510" cy="599103"/>
                    </a:xfrm>
                    <a:prstGeom prst="rect">
                      <a:avLst/>
                    </a:prstGeom>
                    <a:ln>
                      <a:solidFill>
                        <a:schemeClr val="tx1"/>
                      </a:solidFill>
                    </a:ln>
                  </pic:spPr>
                </pic:pic>
              </a:graphicData>
            </a:graphic>
          </wp:inline>
        </w:drawing>
      </w:r>
    </w:p>
    <w:p w14:paraId="47B55695" w14:textId="426C1A72" w:rsidR="00FC5C53" w:rsidRDefault="00FC5C53" w:rsidP="00FC5C53">
      <w:pPr>
        <w:pStyle w:val="Caption"/>
        <w:spacing w:before="0" w:after="0"/>
      </w:pPr>
      <w:bookmarkStart w:id="23" w:name="_Ref213065626"/>
      <w:r>
        <w:t xml:space="preserve">Figure </w:t>
      </w:r>
      <w:r>
        <w:fldChar w:fldCharType="begin"/>
      </w:r>
      <w:r>
        <w:instrText>SEQ Figure \* ARABIC</w:instrText>
      </w:r>
      <w:r>
        <w:fldChar w:fldCharType="separate"/>
      </w:r>
      <w:r w:rsidR="00716875">
        <w:rPr>
          <w:noProof/>
        </w:rPr>
        <w:t>2</w:t>
      </w:r>
      <w:r>
        <w:fldChar w:fldCharType="end"/>
      </w:r>
      <w:bookmarkEnd w:id="23"/>
      <w:r>
        <w:tab/>
        <w:t>Forest plot of diagnostic accuracy data comparing automated ADAMTS13 activity testing (CLIA AcuStar) against the clinical utility standard (FRETS-VWF73 or ELISA)</w:t>
      </w:r>
    </w:p>
    <w:p w14:paraId="002B151D" w14:textId="77777777" w:rsidR="005F4863" w:rsidRPr="00DD42F0" w:rsidRDefault="005F4863" w:rsidP="005F4863">
      <w:pPr>
        <w:pStyle w:val="111Tablefootnoteslast-nostick"/>
        <w:rPr>
          <w:rFonts w:eastAsiaTheme="minorHAnsi"/>
        </w:rPr>
      </w:pPr>
      <w:r>
        <w:rPr>
          <w:rFonts w:eastAsiaTheme="minorHAnsi"/>
        </w:rPr>
        <w:t xml:space="preserve">CI = confidence interval; </w:t>
      </w:r>
      <w:r>
        <w:t xml:space="preserve">CLIA = </w:t>
      </w:r>
      <w:r w:rsidRPr="00C4784D">
        <w:t>chemiluminescence immunoassay</w:t>
      </w:r>
      <w:r>
        <w:t xml:space="preserve">; ELISA = </w:t>
      </w:r>
      <w:r w:rsidRPr="00C13CCA">
        <w:t>enzyme-linked immunosorbent assay</w:t>
      </w:r>
      <w:r>
        <w:t>;</w:t>
      </w:r>
      <w:r w:rsidRPr="004B1BF0">
        <w:t xml:space="preserve"> </w:t>
      </w:r>
      <w:r>
        <w:rPr>
          <w:rFonts w:eastAsiaTheme="minorHAnsi"/>
        </w:rPr>
        <w:t xml:space="preserve">FN = false negative; FP = false positive; </w:t>
      </w:r>
      <w:r>
        <w:t xml:space="preserve">FRETS = </w:t>
      </w:r>
      <w:r w:rsidRPr="004B1BF0">
        <w:t>fluorescence resonance energy transfer assay</w:t>
      </w:r>
      <w:r>
        <w:t>;</w:t>
      </w:r>
      <w:r>
        <w:rPr>
          <w:rFonts w:eastAsiaTheme="minorHAnsi"/>
        </w:rPr>
        <w:t xml:space="preserve"> TN = true negative; TP = true positive.</w:t>
      </w:r>
    </w:p>
    <w:p w14:paraId="76401655" w14:textId="433F9FFF" w:rsidR="005F4863" w:rsidRDefault="00805A35" w:rsidP="00584FB9">
      <w:pPr>
        <w:pStyle w:val="BodyText"/>
      </w:pPr>
      <w:r>
        <w:lastRenderedPageBreak/>
        <w:t>T</w:t>
      </w:r>
      <w:r w:rsidR="00584FB9">
        <w:t xml:space="preserve">here is a broader body of evidence for the test performance of CLIA AcuStar compared to ELISA or FRETS-VWF73 </w:t>
      </w:r>
      <w:r>
        <w:t>when the population</w:t>
      </w:r>
      <w:r w:rsidR="00584FB9">
        <w:t xml:space="preserve"> </w:t>
      </w:r>
      <w:r w:rsidR="00BF16B1">
        <w:t>is not restricted to diagnosis and case</w:t>
      </w:r>
      <w:r w:rsidR="00A230C5">
        <w:t>-</w:t>
      </w:r>
      <w:r w:rsidR="00BF16B1">
        <w:t xml:space="preserve">control designs are included. This is expected to increase the diagnostic accuracy of the </w:t>
      </w:r>
      <w:r w:rsidR="00641D2D">
        <w:t>index test</w:t>
      </w:r>
      <w:r w:rsidR="00C30D35">
        <w:t>;</w:t>
      </w:r>
      <w:r w:rsidR="00641D2D">
        <w:t xml:space="preserve"> however, </w:t>
      </w:r>
      <w:r w:rsidR="00115181">
        <w:t xml:space="preserve">it was included as supplementary </w:t>
      </w:r>
      <w:r w:rsidR="00175825">
        <w:t>evidence</w:t>
      </w:r>
      <w:r w:rsidR="00115181">
        <w:t xml:space="preserve">. </w:t>
      </w:r>
      <w:r w:rsidR="001665F6">
        <w:t>Under these broader inclusion criteria</w:t>
      </w:r>
      <w:r w:rsidR="00185C3C">
        <w:t>,</w:t>
      </w:r>
      <w:r w:rsidR="001665F6">
        <w:t xml:space="preserve"> the sensitivity of CLIA AcuStar compared to </w:t>
      </w:r>
      <w:r w:rsidR="00A45F6E">
        <w:t xml:space="preserve">FRETS-VWF73 ranged </w:t>
      </w:r>
      <w:r w:rsidR="00AC1375">
        <w:t>across</w:t>
      </w:r>
      <w:r w:rsidR="00CF00D3">
        <w:t xml:space="preserve"> 7 studies </w:t>
      </w:r>
      <w:r w:rsidR="00A45F6E">
        <w:t xml:space="preserve">from 0.93 to 1.00 and the specificity ranged from </w:t>
      </w:r>
      <w:r w:rsidR="0020777E">
        <w:t>0.74 to 1.00</w:t>
      </w:r>
      <w:r w:rsidR="00185C3C">
        <w:t>.</w:t>
      </w:r>
      <w:r w:rsidR="009A135F">
        <w:t xml:space="preserve"> Compared to ELISA, the sensitivity ranged </w:t>
      </w:r>
      <w:r w:rsidR="00AC1375">
        <w:t>across</w:t>
      </w:r>
      <w:r w:rsidR="00CF00D3">
        <w:t xml:space="preserve"> 5 studies </w:t>
      </w:r>
      <w:r w:rsidR="009A135F">
        <w:t xml:space="preserve">from 0.89 to 1.00 and the specificity ranged from </w:t>
      </w:r>
      <w:r w:rsidR="00A3606B">
        <w:t xml:space="preserve">0.94 to 1.00. </w:t>
      </w:r>
    </w:p>
    <w:p w14:paraId="15974628" w14:textId="26057950" w:rsidR="005F4863" w:rsidRDefault="004A7C9C" w:rsidP="000A6BF2">
      <w:pPr>
        <w:pStyle w:val="BodyText"/>
      </w:pPr>
      <w:r>
        <w:t>T</w:t>
      </w:r>
      <w:r w:rsidR="000A6BF2">
        <w:t xml:space="preserve">he diagnostic accuracy of </w:t>
      </w:r>
      <w:r w:rsidR="003318A0">
        <w:t xml:space="preserve">anti-ADAMTS13 autoantibody testing </w:t>
      </w:r>
      <w:r w:rsidR="00A92468">
        <w:t>was reported in 2 studies</w:t>
      </w:r>
      <w:r w:rsidR="00DA7B37">
        <w:t xml:space="preserve"> (</w:t>
      </w:r>
      <w:r w:rsidR="00DA7B37">
        <w:fldChar w:fldCharType="begin"/>
      </w:r>
      <w:r w:rsidR="00DA7B37">
        <w:instrText xml:space="preserve"> REF _Ref213066620 \h </w:instrText>
      </w:r>
      <w:r w:rsidR="00DA7B37">
        <w:fldChar w:fldCharType="separate"/>
      </w:r>
      <w:r w:rsidR="00716875">
        <w:t xml:space="preserve">Figure </w:t>
      </w:r>
      <w:r w:rsidR="00716875">
        <w:rPr>
          <w:noProof/>
        </w:rPr>
        <w:t>3</w:t>
      </w:r>
      <w:r w:rsidR="00DA7B37">
        <w:fldChar w:fldCharType="end"/>
      </w:r>
      <w:r w:rsidR="00DA7B37">
        <w:t>)</w:t>
      </w:r>
      <w:r>
        <w:t xml:space="preserve">. </w:t>
      </w:r>
      <w:r w:rsidR="002D68B4">
        <w:t>Both</w:t>
      </w:r>
      <w:r w:rsidR="004B0540" w:rsidRPr="004B0540">
        <w:t xml:space="preserve"> were retrospective cohorts spanning 5 or more years; however, the </w:t>
      </w:r>
      <w:r w:rsidR="00926449">
        <w:t xml:space="preserve">total </w:t>
      </w:r>
      <w:r w:rsidR="004B0540" w:rsidRPr="004B0540">
        <w:t>number of included patients was small due to TTP being a rare condition. No false positives were identified, leading to perfect specificity</w:t>
      </w:r>
      <w:r w:rsidR="0091015E">
        <w:t>,</w:t>
      </w:r>
      <w:r w:rsidR="004B0540" w:rsidRPr="004B0540">
        <w:t xml:space="preserve"> albeit with very wide confidence intervals. One false negative was reported; the patient had an indeterminant </w:t>
      </w:r>
      <w:r w:rsidR="00785F9B">
        <w:t>anti-ADAMTS13 autoantibody</w:t>
      </w:r>
      <w:r w:rsidR="004B0540" w:rsidRPr="004B0540">
        <w:t xml:space="preserve"> level. Of the </w:t>
      </w:r>
      <w:r w:rsidR="00D50AFC">
        <w:t>12</w:t>
      </w:r>
      <w:r w:rsidR="004B0540" w:rsidRPr="004B0540">
        <w:t xml:space="preserve"> true negatives, 3 patients were diagnosed as cTTP </w:t>
      </w:r>
      <w:r w:rsidR="008E6D7F">
        <w:t xml:space="preserve">and one </w:t>
      </w:r>
      <w:r w:rsidR="004B0540" w:rsidRPr="004B0540">
        <w:t xml:space="preserve">had an ADAMTS13 activity of 10% and concurrent sepsis. The remaining 8 true negatives had ADAMTS13 activity </w:t>
      </w:r>
      <w:r w:rsidR="002F449E">
        <w:t xml:space="preserve">levels </w:t>
      </w:r>
      <w:r w:rsidR="004B0540" w:rsidRPr="004B0540">
        <w:t>&gt;10% and &lt;30%.</w:t>
      </w:r>
    </w:p>
    <w:p w14:paraId="78B43AAB" w14:textId="0E09FC57" w:rsidR="004A7C9C" w:rsidRDefault="004A7C9C" w:rsidP="00B936EA">
      <w:pPr>
        <w:pStyle w:val="BodyText"/>
        <w:keepNext/>
        <w:spacing w:after="0"/>
      </w:pPr>
      <w:r>
        <w:rPr>
          <w:noProof/>
        </w:rPr>
        <w:drawing>
          <wp:inline distT="0" distB="0" distL="0" distR="0" wp14:anchorId="30223E85" wp14:editId="461961E2">
            <wp:extent cx="5731510" cy="536575"/>
            <wp:effectExtent l="19050" t="19050" r="21590" b="15875"/>
            <wp:docPr id="5" name="Picture 5" descr="Forest plot of diagnostic accuracy data comparing anti-ADAMTS13 antibody testing against final clinical diagno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orest plot of diagnostic accuracy data comparing anti-ADAMTS13 antibody testing against final clinical diagnosis"/>
                    <pic:cNvPicPr/>
                  </pic:nvPicPr>
                  <pic:blipFill>
                    <a:blip r:embed="rId15">
                      <a:extLst>
                        <a:ext uri="{28A0092B-C50C-407E-A947-70E740481C1C}">
                          <a14:useLocalDpi xmlns:a14="http://schemas.microsoft.com/office/drawing/2010/main" val="0"/>
                        </a:ext>
                      </a:extLst>
                    </a:blip>
                    <a:stretch>
                      <a:fillRect/>
                    </a:stretch>
                  </pic:blipFill>
                  <pic:spPr>
                    <a:xfrm>
                      <a:off x="0" y="0"/>
                      <a:ext cx="5731510" cy="536575"/>
                    </a:xfrm>
                    <a:prstGeom prst="rect">
                      <a:avLst/>
                    </a:prstGeom>
                    <a:ln>
                      <a:solidFill>
                        <a:schemeClr val="tx1"/>
                      </a:solidFill>
                    </a:ln>
                  </pic:spPr>
                </pic:pic>
              </a:graphicData>
            </a:graphic>
          </wp:inline>
        </w:drawing>
      </w:r>
    </w:p>
    <w:p w14:paraId="539F4099" w14:textId="418C1B6F" w:rsidR="0076672F" w:rsidRDefault="0076672F" w:rsidP="0076672F">
      <w:pPr>
        <w:pStyle w:val="Caption"/>
        <w:spacing w:before="0" w:after="0"/>
      </w:pPr>
      <w:bookmarkStart w:id="24" w:name="_Ref213066620"/>
      <w:r>
        <w:t xml:space="preserve">Figure </w:t>
      </w:r>
      <w:r>
        <w:fldChar w:fldCharType="begin"/>
      </w:r>
      <w:r>
        <w:instrText>SEQ Figure \* ARABIC</w:instrText>
      </w:r>
      <w:r>
        <w:fldChar w:fldCharType="separate"/>
      </w:r>
      <w:r w:rsidR="00716875">
        <w:rPr>
          <w:noProof/>
        </w:rPr>
        <w:t>3</w:t>
      </w:r>
      <w:r>
        <w:fldChar w:fldCharType="end"/>
      </w:r>
      <w:bookmarkEnd w:id="24"/>
      <w:r>
        <w:tab/>
        <w:t>Forest plot of diagnostic accuracy data comparing anti-ADAMTS13 autoantibody testing against final clinical diagnosis</w:t>
      </w:r>
    </w:p>
    <w:p w14:paraId="24CC5A9B" w14:textId="77777777" w:rsidR="004A7C9C" w:rsidRPr="00DD42F0" w:rsidRDefault="004A7C9C" w:rsidP="004A7C9C">
      <w:pPr>
        <w:pStyle w:val="111Tablefootnoteslast-nostick"/>
        <w:rPr>
          <w:rFonts w:eastAsiaTheme="minorHAnsi"/>
        </w:rPr>
      </w:pPr>
      <w:r>
        <w:rPr>
          <w:rFonts w:eastAsiaTheme="minorHAnsi"/>
        </w:rPr>
        <w:t>CI = confidence interval; FN = false negative; FP = false positive; TN = true negative; TP = true positive.</w:t>
      </w:r>
    </w:p>
    <w:p w14:paraId="4C918F6A" w14:textId="1D610803" w:rsidR="004A7C9C" w:rsidRDefault="004549EF" w:rsidP="004549EF">
      <w:pPr>
        <w:pStyle w:val="ExecSumHeading4"/>
      </w:pPr>
      <w:r>
        <w:t>Change in management</w:t>
      </w:r>
    </w:p>
    <w:p w14:paraId="5EBF994F" w14:textId="1638EB56" w:rsidR="004549EF" w:rsidRPr="004549EF" w:rsidRDefault="00012F6C" w:rsidP="004549EF">
      <w:pPr>
        <w:pStyle w:val="BodyText"/>
      </w:pPr>
      <w:r>
        <w:t xml:space="preserve">No studies </w:t>
      </w:r>
      <w:r w:rsidR="00C91EB4">
        <w:t xml:space="preserve">met the inclusion criteria for change of management </w:t>
      </w:r>
      <w:r w:rsidR="00EC0485">
        <w:t xml:space="preserve">following the introduction of ADAMTS13 testing compared to no ADAMTS13 testing. ADAMTS13 testing </w:t>
      </w:r>
      <w:r w:rsidR="00F72B03">
        <w:t>forms an integral component</w:t>
      </w:r>
      <w:r w:rsidR="00EC0485">
        <w:t xml:space="preserve"> of the diagnostic criteria for TTP and is </w:t>
      </w:r>
      <w:r w:rsidR="00F72B03">
        <w:t>widely adopted in routine</w:t>
      </w:r>
      <w:r w:rsidR="00EC0485">
        <w:t xml:space="preserve"> clinical practice.</w:t>
      </w:r>
    </w:p>
    <w:p w14:paraId="1C29E235" w14:textId="6E8F2CB2" w:rsidR="0033747F" w:rsidRDefault="00291FBA" w:rsidP="004549EF">
      <w:pPr>
        <w:pStyle w:val="BodyText"/>
      </w:pPr>
      <w:r>
        <w:t xml:space="preserve">Three studies </w:t>
      </w:r>
      <w:r w:rsidR="007657DE" w:rsidRPr="00CE28E3">
        <w:t>met the inclusion criteria for assess</w:t>
      </w:r>
      <w:r w:rsidR="007657DE">
        <w:t>ing</w:t>
      </w:r>
      <w:r w:rsidR="007657DE" w:rsidRPr="00CE28E3">
        <w:t xml:space="preserve"> change in management</w:t>
      </w:r>
      <w:r w:rsidR="007657DE">
        <w:t xml:space="preserve"> following</w:t>
      </w:r>
      <w:r w:rsidR="007657DE" w:rsidRPr="00707C18">
        <w:t xml:space="preserve"> </w:t>
      </w:r>
      <w:r w:rsidR="007657DE">
        <w:t>the introduction of rapid ADAMTS13 activity testing compared to standard ADAMTS13 activity testing</w:t>
      </w:r>
      <w:r w:rsidR="00B37190">
        <w:t xml:space="preserve"> (mean difference of 60 hours for test turn around). </w:t>
      </w:r>
      <w:r w:rsidR="00960676">
        <w:t xml:space="preserve">The studies varied in their clinical </w:t>
      </w:r>
      <w:r w:rsidR="00647F5A">
        <w:t>algorithm and patient populations</w:t>
      </w:r>
      <w:r w:rsidR="00796589">
        <w:t xml:space="preserve">. </w:t>
      </w:r>
    </w:p>
    <w:p w14:paraId="6A3A8F31" w14:textId="73B5E1AD" w:rsidR="00EC0485" w:rsidRPr="004549EF" w:rsidRDefault="0033747F" w:rsidP="004549EF">
      <w:pPr>
        <w:pStyle w:val="BodyText"/>
      </w:pPr>
      <w:r>
        <w:t xml:space="preserve">Martin et al. (2016) included 14 patients and </w:t>
      </w:r>
      <w:r w:rsidR="0049606E">
        <w:t xml:space="preserve">is </w:t>
      </w:r>
      <w:r>
        <w:t xml:space="preserve">therefore underpowered for key outcomes. </w:t>
      </w:r>
      <w:r w:rsidR="002D094D">
        <w:t xml:space="preserve">The study by </w:t>
      </w:r>
      <w:r>
        <w:t xml:space="preserve">Yoshii et al. </w:t>
      </w:r>
      <w:r w:rsidR="0049606E">
        <w:t>(</w:t>
      </w:r>
      <w:r>
        <w:t>2017</w:t>
      </w:r>
      <w:r w:rsidR="0049606E">
        <w:t>)</w:t>
      </w:r>
      <w:r>
        <w:t xml:space="preserve"> only included patients with </w:t>
      </w:r>
      <w:r w:rsidR="00684B17">
        <w:t xml:space="preserve">confirmed </w:t>
      </w:r>
      <w:r>
        <w:t>TTP</w:t>
      </w:r>
      <w:r w:rsidR="00961B71">
        <w:t xml:space="preserve"> and therefore does not </w:t>
      </w:r>
      <w:r w:rsidR="00684B17">
        <w:t>capture the broader clinical utility</w:t>
      </w:r>
      <w:r w:rsidR="00961B71">
        <w:t xml:space="preserve"> of ADAMTS13 testing</w:t>
      </w:r>
      <w:r w:rsidR="00684B17">
        <w:t xml:space="preserve">, </w:t>
      </w:r>
      <w:r w:rsidR="00961B71">
        <w:t xml:space="preserve">which is avoiding </w:t>
      </w:r>
      <w:r w:rsidR="00F05A97">
        <w:t xml:space="preserve">unnecessary </w:t>
      </w:r>
      <w:r w:rsidR="00961B71">
        <w:t>PEX in patients without TTP.</w:t>
      </w:r>
      <w:r w:rsidR="008D0947">
        <w:t xml:space="preserve"> </w:t>
      </w:r>
      <w:r w:rsidR="003D2640">
        <w:t>R</w:t>
      </w:r>
      <w:r w:rsidR="008D0947">
        <w:t xml:space="preserve">esults from Connell et al. </w:t>
      </w:r>
      <w:r w:rsidR="006308AE">
        <w:t>(</w:t>
      </w:r>
      <w:r w:rsidR="008D0947">
        <w:t>2016</w:t>
      </w:r>
      <w:r w:rsidR="006308AE">
        <w:t>)</w:t>
      </w:r>
      <w:r w:rsidR="008D0947">
        <w:t xml:space="preserve"> are summarised in </w:t>
      </w:r>
      <w:r w:rsidR="00F63EE3">
        <w:fldChar w:fldCharType="begin"/>
      </w:r>
      <w:r w:rsidR="00F63EE3">
        <w:instrText xml:space="preserve"> REF _Ref213068098 \h </w:instrText>
      </w:r>
      <w:r w:rsidR="00F63EE3">
        <w:fldChar w:fldCharType="separate"/>
      </w:r>
      <w:r w:rsidR="00716875">
        <w:t xml:space="preserve">Table </w:t>
      </w:r>
      <w:r w:rsidR="00716875">
        <w:rPr>
          <w:noProof/>
        </w:rPr>
        <w:t>7</w:t>
      </w:r>
      <w:r w:rsidR="00F63EE3">
        <w:fldChar w:fldCharType="end"/>
      </w:r>
      <w:r w:rsidR="00F63EE3">
        <w:t>.</w:t>
      </w:r>
      <w:r w:rsidR="003D7DCE">
        <w:t xml:space="preserve"> </w:t>
      </w:r>
      <w:r w:rsidR="003D7DCE">
        <w:rPr>
          <w:lang w:val="en-US"/>
        </w:rPr>
        <w:t xml:space="preserve">The study reported fewer patients initiating PEX and fewer procedures per patient where rapid ADAMTS13 activity testing was used. There was no difference in mortality. The findings support the clinical </w:t>
      </w:r>
      <w:r w:rsidR="004056A8">
        <w:rPr>
          <w:lang w:val="en-US"/>
        </w:rPr>
        <w:t>assertion</w:t>
      </w:r>
      <w:r w:rsidR="003D7DCE">
        <w:rPr>
          <w:lang w:val="en-US"/>
        </w:rPr>
        <w:t xml:space="preserve"> that earlier ADAMTS13 activity tes</w:t>
      </w:r>
      <w:r w:rsidR="0034761F">
        <w:rPr>
          <w:lang w:val="en-US"/>
        </w:rPr>
        <w:t>t</w:t>
      </w:r>
      <w:r w:rsidR="004056A8">
        <w:rPr>
          <w:lang w:val="en-US"/>
        </w:rPr>
        <w:t>ing</w:t>
      </w:r>
      <w:r w:rsidR="003D7DCE">
        <w:rPr>
          <w:lang w:val="en-US"/>
        </w:rPr>
        <w:t xml:space="preserve"> reduce</w:t>
      </w:r>
      <w:r w:rsidR="004056A8">
        <w:rPr>
          <w:lang w:val="en-US"/>
        </w:rPr>
        <w:t>s</w:t>
      </w:r>
      <w:r w:rsidR="003D7DCE">
        <w:rPr>
          <w:lang w:val="en-US"/>
        </w:rPr>
        <w:t xml:space="preserve"> PEX utilisation whe</w:t>
      </w:r>
      <w:r w:rsidR="00796BAC">
        <w:rPr>
          <w:lang w:val="en-US"/>
        </w:rPr>
        <w:t>n</w:t>
      </w:r>
      <w:r w:rsidR="003D7DCE">
        <w:rPr>
          <w:lang w:val="en-US"/>
        </w:rPr>
        <w:t xml:space="preserve"> TTP is excluded.</w:t>
      </w:r>
    </w:p>
    <w:p w14:paraId="6EE97CBD" w14:textId="36ECCF7E" w:rsidR="009C4C92" w:rsidRDefault="009C4C92" w:rsidP="0096781E">
      <w:pPr>
        <w:pStyle w:val="Caption"/>
      </w:pPr>
      <w:bookmarkStart w:id="25" w:name="_Ref213068098"/>
      <w:r>
        <w:lastRenderedPageBreak/>
        <w:t xml:space="preserve">Table </w:t>
      </w:r>
      <w:r>
        <w:fldChar w:fldCharType="begin"/>
      </w:r>
      <w:r>
        <w:instrText>SEQ Table \* ARABIC</w:instrText>
      </w:r>
      <w:r>
        <w:fldChar w:fldCharType="separate"/>
      </w:r>
      <w:r w:rsidR="00716875">
        <w:rPr>
          <w:noProof/>
        </w:rPr>
        <w:t>7</w:t>
      </w:r>
      <w:r>
        <w:fldChar w:fldCharType="end"/>
      </w:r>
      <w:bookmarkEnd w:id="25"/>
      <w:r>
        <w:tab/>
      </w:r>
      <w:r w:rsidR="00A2338A">
        <w:t>Change to PEX management and mor</w:t>
      </w:r>
      <w:r w:rsidR="0096781E">
        <w:t>tality comparing rapid ADAMTS13 activity testing and standard ADAMTS13 activity testing (Connell et al. 2016)</w:t>
      </w:r>
    </w:p>
    <w:tbl>
      <w:tblPr>
        <w:tblStyle w:val="TableGrid3"/>
        <w:tblW w:w="5000" w:type="pct"/>
        <w:tblInd w:w="-3" w:type="dxa"/>
        <w:tblLook w:val="04A0" w:firstRow="1" w:lastRow="0" w:firstColumn="1" w:lastColumn="0" w:noHBand="0" w:noVBand="1"/>
        <w:tblCaption w:val="Change to PEX management and mortality comparing rapid ADAMTS13 activity testing and standard ADAMTS13 activity testin"/>
        <w:tblDescription w:val="Number of patients who received PEX, Mean number of PEX procedures and 30-day mortality data from Connell et al. 2016.&#10;"/>
      </w:tblPr>
      <w:tblGrid>
        <w:gridCol w:w="1984"/>
        <w:gridCol w:w="1709"/>
        <w:gridCol w:w="1841"/>
        <w:gridCol w:w="1742"/>
        <w:gridCol w:w="1740"/>
      </w:tblGrid>
      <w:tr w:rsidR="003D7409" w14:paraId="77E2BD67" w14:textId="77777777" w:rsidTr="00907025">
        <w:trPr>
          <w:cnfStyle w:val="100000000000" w:firstRow="1" w:lastRow="0" w:firstColumn="0" w:lastColumn="0" w:oddVBand="0" w:evenVBand="0" w:oddHBand="0" w:evenHBand="0" w:firstRowFirstColumn="0" w:firstRowLastColumn="0" w:lastRowFirstColumn="0" w:lastRowLastColumn="0"/>
        </w:trPr>
        <w:tc>
          <w:tcPr>
            <w:tcW w:w="1100" w:type="pct"/>
          </w:tcPr>
          <w:p w14:paraId="0B1F7807" w14:textId="482F658C" w:rsidR="003D7409" w:rsidRDefault="003D7409" w:rsidP="00723AFD">
            <w:pPr>
              <w:pStyle w:val="011TableHeading"/>
            </w:pPr>
            <w:r>
              <w:t>Outcome</w:t>
            </w:r>
          </w:p>
        </w:tc>
        <w:tc>
          <w:tcPr>
            <w:tcW w:w="948" w:type="pct"/>
            <w:vAlign w:val="center"/>
          </w:tcPr>
          <w:p w14:paraId="514C6462" w14:textId="7B624ABD" w:rsidR="003D7409" w:rsidRDefault="00913475" w:rsidP="002A6B97">
            <w:pPr>
              <w:pStyle w:val="011TableHeading"/>
              <w:jc w:val="center"/>
            </w:pPr>
            <w:r>
              <w:t>R</w:t>
            </w:r>
            <w:r w:rsidRPr="00913475">
              <w:t>apid ADAMTS13 activity testing</w:t>
            </w:r>
          </w:p>
        </w:tc>
        <w:tc>
          <w:tcPr>
            <w:tcW w:w="1021" w:type="pct"/>
            <w:vAlign w:val="center"/>
          </w:tcPr>
          <w:p w14:paraId="7AB3D425" w14:textId="04DA2F79" w:rsidR="003D7409" w:rsidRDefault="00913475" w:rsidP="002A6B97">
            <w:pPr>
              <w:pStyle w:val="011TableHeading"/>
              <w:jc w:val="center"/>
            </w:pPr>
            <w:r>
              <w:t>S</w:t>
            </w:r>
            <w:r w:rsidRPr="00913475">
              <w:t>tandard ADAMTS13 activity testing</w:t>
            </w:r>
          </w:p>
        </w:tc>
        <w:tc>
          <w:tcPr>
            <w:tcW w:w="966" w:type="pct"/>
            <w:vAlign w:val="center"/>
          </w:tcPr>
          <w:p w14:paraId="5FDE99C2" w14:textId="128DA3B5" w:rsidR="003D7409" w:rsidRDefault="003D7409" w:rsidP="002A6B97">
            <w:pPr>
              <w:pStyle w:val="011TableHeading"/>
              <w:jc w:val="center"/>
            </w:pPr>
            <w:r>
              <w:t>Absolute difference</w:t>
            </w:r>
            <w:r>
              <w:br/>
              <w:t>[95% CI]</w:t>
            </w:r>
          </w:p>
        </w:tc>
        <w:tc>
          <w:tcPr>
            <w:tcW w:w="966" w:type="pct"/>
            <w:vAlign w:val="center"/>
          </w:tcPr>
          <w:p w14:paraId="79BD8D4D" w14:textId="07152098" w:rsidR="003D7409" w:rsidRDefault="003D7409" w:rsidP="002A6B97">
            <w:pPr>
              <w:pStyle w:val="011TableHeading"/>
              <w:jc w:val="center"/>
            </w:pPr>
            <w:r>
              <w:t>Relative difference [95% CI]</w:t>
            </w:r>
          </w:p>
        </w:tc>
      </w:tr>
      <w:tr w:rsidR="003D7409" w14:paraId="250B835A" w14:textId="77777777" w:rsidTr="00907025">
        <w:tc>
          <w:tcPr>
            <w:tcW w:w="1100" w:type="pct"/>
          </w:tcPr>
          <w:p w14:paraId="201DD33C" w14:textId="38EBB425" w:rsidR="003D7409" w:rsidRDefault="003D7409" w:rsidP="00954F4F">
            <w:pPr>
              <w:pStyle w:val="031Tablesubheading"/>
            </w:pPr>
            <w:r>
              <w:t xml:space="preserve">Number of </w:t>
            </w:r>
            <w:r w:rsidR="00EC730E">
              <w:t>patients who received PEX</w:t>
            </w:r>
            <w:r w:rsidR="00823ED4">
              <w:t>,</w:t>
            </w:r>
            <w:r>
              <w:t xml:space="preserve"> n/N (%)</w:t>
            </w:r>
          </w:p>
        </w:tc>
        <w:tc>
          <w:tcPr>
            <w:tcW w:w="948" w:type="pct"/>
            <w:vAlign w:val="center"/>
          </w:tcPr>
          <w:p w14:paraId="333D7772" w14:textId="77777777" w:rsidR="003D7409" w:rsidRDefault="003D7409" w:rsidP="002A6B97">
            <w:pPr>
              <w:pStyle w:val="051Tabletext22"/>
              <w:jc w:val="center"/>
            </w:pPr>
            <w:r>
              <w:t>12/28 (43%)</w:t>
            </w:r>
          </w:p>
        </w:tc>
        <w:tc>
          <w:tcPr>
            <w:tcW w:w="1021" w:type="pct"/>
            <w:vAlign w:val="center"/>
          </w:tcPr>
          <w:p w14:paraId="581C114D" w14:textId="77777777" w:rsidR="003D7409" w:rsidRDefault="003D7409" w:rsidP="002A6B97">
            <w:pPr>
              <w:pStyle w:val="051Tabletext22"/>
              <w:jc w:val="center"/>
            </w:pPr>
            <w:r>
              <w:t>32/32 (100%)</w:t>
            </w:r>
          </w:p>
        </w:tc>
        <w:tc>
          <w:tcPr>
            <w:tcW w:w="966" w:type="pct"/>
            <w:vAlign w:val="center"/>
          </w:tcPr>
          <w:p w14:paraId="47D09C5A" w14:textId="77777777" w:rsidR="003D7409" w:rsidRDefault="003D7409" w:rsidP="002A6B97">
            <w:pPr>
              <w:pStyle w:val="051Tabletext22"/>
              <w:jc w:val="center"/>
            </w:pPr>
            <w:r>
              <w:t>-0.57 [-0.76, -0.39]</w:t>
            </w:r>
          </w:p>
        </w:tc>
        <w:tc>
          <w:tcPr>
            <w:tcW w:w="966" w:type="pct"/>
            <w:vAlign w:val="center"/>
          </w:tcPr>
          <w:p w14:paraId="290AF952" w14:textId="77777777" w:rsidR="003D7409" w:rsidRDefault="003D7409" w:rsidP="002A6B97">
            <w:pPr>
              <w:pStyle w:val="051Tabletext22"/>
              <w:jc w:val="center"/>
            </w:pPr>
            <w:r>
              <w:t>0.44 [0.29, 0.67]</w:t>
            </w:r>
          </w:p>
        </w:tc>
      </w:tr>
      <w:tr w:rsidR="003D7409" w14:paraId="4297941A" w14:textId="77777777" w:rsidTr="00907025">
        <w:tc>
          <w:tcPr>
            <w:tcW w:w="1100" w:type="pct"/>
          </w:tcPr>
          <w:p w14:paraId="35BCF18C" w14:textId="77777777" w:rsidR="000669B3" w:rsidRDefault="003C006C" w:rsidP="00954F4F">
            <w:pPr>
              <w:pStyle w:val="031Tablesubheading"/>
            </w:pPr>
            <w:r>
              <w:t>Mean number of PEX procedures</w:t>
            </w:r>
          </w:p>
          <w:p w14:paraId="45BACEE3" w14:textId="15850303" w:rsidR="003D7409" w:rsidRDefault="00954F4F" w:rsidP="00954F4F">
            <w:pPr>
              <w:pStyle w:val="031Tablesubheading"/>
            </w:pPr>
            <w:r>
              <w:t>mean ± SD (range)</w:t>
            </w:r>
          </w:p>
        </w:tc>
        <w:tc>
          <w:tcPr>
            <w:tcW w:w="948" w:type="pct"/>
            <w:vAlign w:val="center"/>
          </w:tcPr>
          <w:p w14:paraId="2A9FC756" w14:textId="215360F3" w:rsidR="003D7409" w:rsidRPr="00211F18" w:rsidRDefault="000669B3" w:rsidP="002A6B97">
            <w:pPr>
              <w:pStyle w:val="051Tabletext22"/>
              <w:jc w:val="center"/>
            </w:pPr>
            <w:r w:rsidRPr="00295026">
              <w:t xml:space="preserve">5.3 </w:t>
            </w:r>
            <w:r>
              <w:t xml:space="preserve">± NR </w:t>
            </w:r>
            <w:r w:rsidRPr="00295026">
              <w:t>(0</w:t>
            </w:r>
            <w:r>
              <w:t>–</w:t>
            </w:r>
            <w:r w:rsidRPr="00295026">
              <w:t>35)</w:t>
            </w:r>
          </w:p>
        </w:tc>
        <w:tc>
          <w:tcPr>
            <w:tcW w:w="1021" w:type="pct"/>
            <w:vAlign w:val="center"/>
          </w:tcPr>
          <w:p w14:paraId="4EAF0529" w14:textId="228DF9C8" w:rsidR="003D7409" w:rsidRDefault="000669B3" w:rsidP="002A6B97">
            <w:pPr>
              <w:pStyle w:val="051Tabletext22"/>
              <w:jc w:val="center"/>
            </w:pPr>
            <w:r w:rsidRPr="00955811">
              <w:t xml:space="preserve">14.1 </w:t>
            </w:r>
            <w:r>
              <w:t xml:space="preserve">± NR </w:t>
            </w:r>
            <w:r w:rsidRPr="00955811">
              <w:t>(1</w:t>
            </w:r>
            <w:r>
              <w:t>–</w:t>
            </w:r>
            <w:r w:rsidRPr="00955811">
              <w:t>38</w:t>
            </w:r>
            <w:r>
              <w:t>)</w:t>
            </w:r>
          </w:p>
        </w:tc>
        <w:tc>
          <w:tcPr>
            <w:tcW w:w="966" w:type="pct"/>
            <w:vAlign w:val="center"/>
          </w:tcPr>
          <w:p w14:paraId="2B65C459" w14:textId="0BE2FEF0" w:rsidR="003D7409" w:rsidRDefault="000669B3" w:rsidP="002A6B97">
            <w:pPr>
              <w:pStyle w:val="051Tabletext22"/>
              <w:jc w:val="center"/>
            </w:pPr>
            <w:r>
              <w:t>-8.8 (NR)</w:t>
            </w:r>
            <w:r w:rsidRPr="00284CBA">
              <w:rPr>
                <w:sz w:val="18"/>
                <w:szCs w:val="20"/>
                <w:vertAlign w:val="superscript"/>
              </w:rPr>
              <w:t>a</w:t>
            </w:r>
          </w:p>
        </w:tc>
        <w:tc>
          <w:tcPr>
            <w:tcW w:w="966" w:type="pct"/>
            <w:vAlign w:val="center"/>
          </w:tcPr>
          <w:p w14:paraId="7A2A449F" w14:textId="5C0E55A8" w:rsidR="003D7409" w:rsidRDefault="000669B3" w:rsidP="002A6B97">
            <w:pPr>
              <w:pStyle w:val="051Tabletext22"/>
              <w:jc w:val="center"/>
            </w:pPr>
            <w:r>
              <w:t>-</w:t>
            </w:r>
          </w:p>
        </w:tc>
      </w:tr>
      <w:tr w:rsidR="004F53EB" w14:paraId="17B7B626" w14:textId="77777777" w:rsidTr="00907025">
        <w:tc>
          <w:tcPr>
            <w:tcW w:w="1100" w:type="pct"/>
          </w:tcPr>
          <w:p w14:paraId="596E28F2" w14:textId="09A55075" w:rsidR="004F53EB" w:rsidRDefault="004F53EB" w:rsidP="00823ED4">
            <w:pPr>
              <w:pStyle w:val="031Tablesubheading"/>
            </w:pPr>
            <w:r>
              <w:t>30-day mortality</w:t>
            </w:r>
            <w:r w:rsidR="00823ED4">
              <w:t xml:space="preserve">, </w:t>
            </w:r>
            <w:r>
              <w:t>n/N (%)</w:t>
            </w:r>
          </w:p>
        </w:tc>
        <w:tc>
          <w:tcPr>
            <w:tcW w:w="948" w:type="pct"/>
            <w:vAlign w:val="center"/>
          </w:tcPr>
          <w:p w14:paraId="7225A454" w14:textId="260C569F" w:rsidR="004F53EB" w:rsidRPr="00295026" w:rsidRDefault="00823ED4" w:rsidP="002A6B97">
            <w:pPr>
              <w:pStyle w:val="051Tabletext22"/>
              <w:jc w:val="center"/>
            </w:pPr>
            <w:r>
              <w:t>6/28 (21.4%)</w:t>
            </w:r>
            <w:r w:rsidRPr="00F63EE3">
              <w:rPr>
                <w:vertAlign w:val="superscript"/>
              </w:rPr>
              <w:t>b</w:t>
            </w:r>
            <w:r w:rsidDel="00823ED4">
              <w:t xml:space="preserve"> </w:t>
            </w:r>
          </w:p>
        </w:tc>
        <w:tc>
          <w:tcPr>
            <w:tcW w:w="1021" w:type="pct"/>
            <w:vAlign w:val="center"/>
          </w:tcPr>
          <w:p w14:paraId="291E113E" w14:textId="0BE8406D" w:rsidR="004F53EB" w:rsidRPr="00955811" w:rsidRDefault="00823ED4" w:rsidP="002A6B97">
            <w:pPr>
              <w:pStyle w:val="051Tabletext22"/>
              <w:jc w:val="center"/>
            </w:pPr>
            <w:r>
              <w:t>7/32 (21.9%)</w:t>
            </w:r>
          </w:p>
        </w:tc>
        <w:tc>
          <w:tcPr>
            <w:tcW w:w="966" w:type="pct"/>
            <w:vAlign w:val="center"/>
          </w:tcPr>
          <w:p w14:paraId="01885291" w14:textId="4A3856D4" w:rsidR="004F53EB" w:rsidRDefault="009C4C92" w:rsidP="002A6B97">
            <w:pPr>
              <w:pStyle w:val="051Tabletext22"/>
              <w:jc w:val="center"/>
            </w:pPr>
            <w:r>
              <w:t>-</w:t>
            </w:r>
          </w:p>
        </w:tc>
        <w:tc>
          <w:tcPr>
            <w:tcW w:w="966" w:type="pct"/>
            <w:vAlign w:val="center"/>
          </w:tcPr>
          <w:p w14:paraId="65D42C63" w14:textId="7C841A41" w:rsidR="004F53EB" w:rsidRDefault="009C4C92" w:rsidP="002A6B97">
            <w:pPr>
              <w:pStyle w:val="051Tabletext22"/>
              <w:jc w:val="center"/>
            </w:pPr>
            <w:r>
              <w:t>-</w:t>
            </w:r>
          </w:p>
        </w:tc>
      </w:tr>
    </w:tbl>
    <w:p w14:paraId="1E3B1C7E" w14:textId="6D6B3AF7" w:rsidR="0035764C" w:rsidRPr="0089438F" w:rsidRDefault="0035764C" w:rsidP="0035764C">
      <w:pPr>
        <w:pStyle w:val="101Tablefootnotes"/>
      </w:pPr>
      <w:r>
        <w:t>CI = confidence interval; NR = not reported</w:t>
      </w:r>
      <w:r w:rsidR="007A7F90">
        <w:t>;</w:t>
      </w:r>
      <w:r>
        <w:t xml:space="preserve"> PEX = plasma exchange therapy; SD = standard deviation.</w:t>
      </w:r>
    </w:p>
    <w:p w14:paraId="5CC0C212" w14:textId="77777777" w:rsidR="0035764C" w:rsidRPr="00465F65" w:rsidRDefault="0035764C" w:rsidP="0035764C">
      <w:pPr>
        <w:pStyle w:val="111Tablefootnoteslast-nostick"/>
        <w:spacing w:after="0"/>
        <w:rPr>
          <w:rStyle w:val="101TablefootnotesChar"/>
        </w:rPr>
      </w:pPr>
      <w:r w:rsidRPr="004472F9">
        <w:t>a.</w:t>
      </w:r>
      <w:r>
        <w:t xml:space="preserve"> Study reported statistically significant difference (p=</w:t>
      </w:r>
      <w:r w:rsidRPr="004472F9">
        <w:t>0.0008</w:t>
      </w:r>
      <w:r>
        <w:t xml:space="preserve">) using an interrupted time series regression analysis that included weight </w:t>
      </w:r>
      <w:r w:rsidRPr="00465F65">
        <w:rPr>
          <w:rStyle w:val="101TablefootnotesChar"/>
        </w:rPr>
        <w:t xml:space="preserve">and haematocrit as variables as these determine plasma dose. </w:t>
      </w:r>
    </w:p>
    <w:p w14:paraId="3DD0A43A" w14:textId="775E3BA4" w:rsidR="008D0947" w:rsidRPr="004549EF" w:rsidRDefault="00F63EE3" w:rsidP="00FA4789">
      <w:pPr>
        <w:pStyle w:val="111Tablefootnoteslast-nostick"/>
      </w:pPr>
      <w:r>
        <w:t xml:space="preserve">b. Difference was not </w:t>
      </w:r>
      <w:r w:rsidR="00AE1963">
        <w:t xml:space="preserve">statistically </w:t>
      </w:r>
      <w:r>
        <w:t>significant, p=</w:t>
      </w:r>
      <w:r w:rsidRPr="00F63EE3">
        <w:t>0.9659</w:t>
      </w:r>
      <w:r>
        <w:t>.</w:t>
      </w:r>
    </w:p>
    <w:p w14:paraId="548F6D1A" w14:textId="0E2F34E7" w:rsidR="00FA4789" w:rsidRDefault="004344CD" w:rsidP="004344CD">
      <w:pPr>
        <w:pStyle w:val="ExecSumHeading4"/>
      </w:pPr>
      <w:r>
        <w:t>Health outcomes</w:t>
      </w:r>
    </w:p>
    <w:p w14:paraId="63A763CF" w14:textId="64EACA5C" w:rsidR="004344CD" w:rsidRPr="004344CD" w:rsidRDefault="00D53AF3" w:rsidP="004344CD">
      <w:pPr>
        <w:pStyle w:val="BodyText"/>
      </w:pPr>
      <w:r>
        <w:t xml:space="preserve">In a large registry of 342 </w:t>
      </w:r>
      <w:r w:rsidR="00902CAE">
        <w:t>TMA</w:t>
      </w:r>
      <w:r>
        <w:t xml:space="preserve"> patients treated with PEX</w:t>
      </w:r>
      <w:r w:rsidR="00E15CB9">
        <w:t xml:space="preserve"> from 1996 to 2014, </w:t>
      </w:r>
      <w:r w:rsidR="00E15CB9">
        <w:rPr>
          <w:lang w:val="en-US"/>
        </w:rPr>
        <w:t>7 deaths were attributed to catheter-related PEX complications</w:t>
      </w:r>
      <w:r w:rsidR="0087471F">
        <w:rPr>
          <w:lang w:val="en-US"/>
        </w:rPr>
        <w:t xml:space="preserve"> (McClain et al. 2014)</w:t>
      </w:r>
      <w:r w:rsidR="00E15CB9">
        <w:rPr>
          <w:lang w:val="en-US"/>
        </w:rPr>
        <w:t>. The most common nonfatal major complications were systemic infections (37 patients) and thrombosis (24 patients).</w:t>
      </w:r>
      <w:r w:rsidR="0049195E">
        <w:rPr>
          <w:lang w:val="en-US"/>
        </w:rPr>
        <w:t xml:space="preserve"> Overall, 23% of patients experienced a major PEX-related complication</w:t>
      </w:r>
      <w:r w:rsidR="00795EEA">
        <w:rPr>
          <w:lang w:val="en-US"/>
        </w:rPr>
        <w:t xml:space="preserve">. Therefore, reducing the duration of unnecessary PEX </w:t>
      </w:r>
      <w:r w:rsidR="00902CAE">
        <w:rPr>
          <w:lang w:val="en-US"/>
        </w:rPr>
        <w:t>(i.e</w:t>
      </w:r>
      <w:r w:rsidR="00BC3568">
        <w:rPr>
          <w:lang w:val="en-US"/>
        </w:rPr>
        <w:t>.</w:t>
      </w:r>
      <w:r w:rsidR="00902CAE">
        <w:rPr>
          <w:lang w:val="en-US"/>
        </w:rPr>
        <w:t xml:space="preserve"> in patients without TTP) </w:t>
      </w:r>
      <w:r w:rsidR="00795EEA">
        <w:rPr>
          <w:lang w:val="en-US"/>
        </w:rPr>
        <w:t xml:space="preserve">is </w:t>
      </w:r>
      <w:r w:rsidR="00711A84">
        <w:rPr>
          <w:lang w:val="en-US"/>
        </w:rPr>
        <w:t xml:space="preserve">expected to </w:t>
      </w:r>
      <w:r w:rsidR="00902CAE">
        <w:rPr>
          <w:lang w:val="en-US"/>
        </w:rPr>
        <w:t xml:space="preserve">reduce harm. </w:t>
      </w:r>
    </w:p>
    <w:p w14:paraId="3C11F167" w14:textId="5EB1FEA6" w:rsidR="00FA4789" w:rsidRDefault="0079375C" w:rsidP="00FA4789">
      <w:pPr>
        <w:pStyle w:val="BodyText"/>
      </w:pPr>
      <w:r>
        <w:t xml:space="preserve">Guidelines are consistent in recommendations for the treatment of TTP and these differ to those recommended for non-TTP TMAs. </w:t>
      </w:r>
      <w:r w:rsidR="00893410">
        <w:t xml:space="preserve">Earlier and more accurate diagnosis is expected to have clinical benefit </w:t>
      </w:r>
      <w:r w:rsidR="007F6369">
        <w:t xml:space="preserve">through </w:t>
      </w:r>
      <w:r w:rsidR="00AD5BD4">
        <w:t>earlier initiation of</w:t>
      </w:r>
      <w:r w:rsidR="007F6369">
        <w:t xml:space="preserve"> appropriate treatment.</w:t>
      </w:r>
    </w:p>
    <w:p w14:paraId="1FB8B99A" w14:textId="52FB059B" w:rsidR="00FA4789" w:rsidRPr="004549EF" w:rsidRDefault="00FA4789" w:rsidP="00FA4789">
      <w:pPr>
        <w:pStyle w:val="ExecSumHeading4"/>
      </w:pPr>
      <w:r>
        <w:t>Clinical claim</w:t>
      </w:r>
    </w:p>
    <w:p w14:paraId="6FC0AF61" w14:textId="2FA034F7" w:rsidR="00D77459" w:rsidRPr="00D77459" w:rsidRDefault="00D77459" w:rsidP="00D77459">
      <w:pPr>
        <w:pStyle w:val="BodyText"/>
      </w:pPr>
      <w:r>
        <w:t xml:space="preserve">The clinical claims for ADAMTS13 activity testing and anti-ADAMTS13 autoantibody testing in the diagnosis of TTP </w:t>
      </w:r>
      <w:r w:rsidR="001901F6">
        <w:t xml:space="preserve">are summarised in </w:t>
      </w:r>
      <w:r w:rsidR="001901F6">
        <w:fldChar w:fldCharType="begin"/>
      </w:r>
      <w:r w:rsidR="001901F6">
        <w:instrText xml:space="preserve"> REF _Ref213068892 \h </w:instrText>
      </w:r>
      <w:r w:rsidR="001901F6">
        <w:fldChar w:fldCharType="separate"/>
      </w:r>
      <w:r w:rsidR="00716875">
        <w:t xml:space="preserve">Table </w:t>
      </w:r>
      <w:r w:rsidR="00716875">
        <w:rPr>
          <w:noProof/>
        </w:rPr>
        <w:t>8</w:t>
      </w:r>
      <w:r w:rsidR="001901F6">
        <w:fldChar w:fldCharType="end"/>
      </w:r>
      <w:r w:rsidR="001901F6">
        <w:t xml:space="preserve">. </w:t>
      </w:r>
      <w:r w:rsidR="00BC2D17">
        <w:t xml:space="preserve">The tests result in superior safety and effectiveness </w:t>
      </w:r>
      <w:r w:rsidR="00D71C28">
        <w:t xml:space="preserve">in </w:t>
      </w:r>
      <w:r w:rsidR="00BC2D17">
        <w:t xml:space="preserve">the </w:t>
      </w:r>
      <w:r w:rsidR="00161DF7">
        <w:t xml:space="preserve">diagnosis of TTP </w:t>
      </w:r>
      <w:r w:rsidR="00D71C28">
        <w:t xml:space="preserve">among </w:t>
      </w:r>
      <w:r w:rsidR="00161DF7">
        <w:t xml:space="preserve">patients </w:t>
      </w:r>
      <w:r w:rsidR="005A64E4">
        <w:t xml:space="preserve">presenting </w:t>
      </w:r>
      <w:r w:rsidR="00161DF7">
        <w:t xml:space="preserve">with TMA and </w:t>
      </w:r>
      <w:r w:rsidR="00FA41B0">
        <w:t xml:space="preserve">a </w:t>
      </w:r>
      <w:r w:rsidR="00161DF7">
        <w:t xml:space="preserve">high clinical suspicion of TTP. </w:t>
      </w:r>
    </w:p>
    <w:p w14:paraId="1FF598DA" w14:textId="37F2371A" w:rsidR="001901F6" w:rsidRDefault="001901F6" w:rsidP="001901F6">
      <w:pPr>
        <w:pStyle w:val="Caption"/>
      </w:pPr>
      <w:bookmarkStart w:id="26" w:name="_Ref213068892"/>
      <w:r>
        <w:lastRenderedPageBreak/>
        <w:t xml:space="preserve">Table </w:t>
      </w:r>
      <w:r>
        <w:fldChar w:fldCharType="begin"/>
      </w:r>
      <w:r>
        <w:instrText>SEQ Table \* ARABIC</w:instrText>
      </w:r>
      <w:r>
        <w:fldChar w:fldCharType="separate"/>
      </w:r>
      <w:r w:rsidR="00716875">
        <w:rPr>
          <w:noProof/>
        </w:rPr>
        <w:t>8</w:t>
      </w:r>
      <w:r>
        <w:fldChar w:fldCharType="end"/>
      </w:r>
      <w:bookmarkEnd w:id="26"/>
      <w:r>
        <w:tab/>
      </w:r>
      <w:r w:rsidRPr="00CE28E3">
        <w:t xml:space="preserve">Synthesis of the evidence and evidence gaps </w:t>
      </w:r>
      <w:r w:rsidR="00036FEB">
        <w:t xml:space="preserve">for </w:t>
      </w:r>
      <w:r w:rsidR="00ED1260">
        <w:t xml:space="preserve">diagnostic </w:t>
      </w:r>
      <w:r w:rsidR="00036FEB">
        <w:t>ADAMTS13 activity testing and anti-ADAMTS13 autoantibody testing</w:t>
      </w:r>
      <w:r w:rsidR="002C6259">
        <w:t xml:space="preserve"> (PICO Set 1)</w:t>
      </w:r>
    </w:p>
    <w:tbl>
      <w:tblPr>
        <w:tblStyle w:val="TableGrid3"/>
        <w:tblW w:w="5000" w:type="pct"/>
        <w:tblInd w:w="-3" w:type="dxa"/>
        <w:tblLook w:val="04A0" w:firstRow="1" w:lastRow="0" w:firstColumn="1" w:lastColumn="0" w:noHBand="0" w:noVBand="1"/>
        <w:tblCaption w:val="Synthesis of the evidence and evidence gaps linking the investigative technology and health outcomes"/>
        <w:tblDescription w:val="Interpretation and key uncertainties for each evidence component in the linked evidence framework."/>
      </w:tblPr>
      <w:tblGrid>
        <w:gridCol w:w="2125"/>
        <w:gridCol w:w="6891"/>
      </w:tblGrid>
      <w:tr w:rsidR="004E232D" w:rsidRPr="00A039E1" w14:paraId="46FDEA13" w14:textId="77777777" w:rsidTr="00907025">
        <w:trPr>
          <w:cnfStyle w:val="100000000000" w:firstRow="1" w:lastRow="0" w:firstColumn="0" w:lastColumn="0" w:oddVBand="0" w:evenVBand="0" w:oddHBand="0" w:evenHBand="0" w:firstRowFirstColumn="0" w:firstRowLastColumn="0" w:lastRowFirstColumn="0" w:lastRowLastColumn="0"/>
        </w:trPr>
        <w:tc>
          <w:tcPr>
            <w:tcW w:w="2125" w:type="dxa"/>
          </w:tcPr>
          <w:p w14:paraId="224283A5" w14:textId="77777777" w:rsidR="004E232D" w:rsidRPr="00D14853" w:rsidRDefault="004E232D" w:rsidP="00F71038">
            <w:pPr>
              <w:pStyle w:val="011TableHeading"/>
              <w:rPr>
                <w:szCs w:val="20"/>
              </w:rPr>
            </w:pPr>
            <w:r w:rsidRPr="00D14853">
              <w:rPr>
                <w:szCs w:val="20"/>
              </w:rPr>
              <w:t>Evidence component of the assessment</w:t>
            </w:r>
          </w:p>
        </w:tc>
        <w:tc>
          <w:tcPr>
            <w:tcW w:w="6891" w:type="dxa"/>
          </w:tcPr>
          <w:p w14:paraId="6CC1198B" w14:textId="77777777" w:rsidR="004E232D" w:rsidRPr="00D14853" w:rsidRDefault="004E232D" w:rsidP="00F71038">
            <w:pPr>
              <w:pStyle w:val="011TableHeading"/>
              <w:rPr>
                <w:szCs w:val="20"/>
              </w:rPr>
            </w:pPr>
            <w:r w:rsidRPr="00D14853">
              <w:rPr>
                <w:szCs w:val="20"/>
              </w:rPr>
              <w:t>Interpretation and key uncertainties</w:t>
            </w:r>
          </w:p>
        </w:tc>
      </w:tr>
      <w:tr w:rsidR="004E232D" w:rsidRPr="00A039E1" w14:paraId="5DE70B7F" w14:textId="77777777" w:rsidTr="00907025">
        <w:tc>
          <w:tcPr>
            <w:tcW w:w="2125" w:type="dxa"/>
          </w:tcPr>
          <w:p w14:paraId="1609A90E" w14:textId="77777777" w:rsidR="004E232D" w:rsidRPr="00D14853" w:rsidRDefault="004E232D" w:rsidP="00F71038">
            <w:pPr>
              <w:pStyle w:val="051Tabletext22"/>
              <w:keepNext/>
              <w:rPr>
                <w:szCs w:val="20"/>
              </w:rPr>
            </w:pPr>
            <w:r w:rsidRPr="00D14853">
              <w:rPr>
                <w:szCs w:val="20"/>
              </w:rPr>
              <w:t>Test accuracy</w:t>
            </w:r>
          </w:p>
        </w:tc>
        <w:tc>
          <w:tcPr>
            <w:tcW w:w="6891" w:type="dxa"/>
          </w:tcPr>
          <w:p w14:paraId="0BA742E0" w14:textId="77777777" w:rsidR="004E232D" w:rsidRDefault="004E232D" w:rsidP="00F71038">
            <w:pPr>
              <w:pStyle w:val="051Tabletext22"/>
              <w:keepNext/>
              <w:rPr>
                <w:szCs w:val="20"/>
              </w:rPr>
            </w:pPr>
            <w:r w:rsidRPr="00C20F2F">
              <w:rPr>
                <w:b/>
                <w:bCs/>
                <w:szCs w:val="20"/>
              </w:rPr>
              <w:t>ADAMTS13 activity testing</w:t>
            </w:r>
            <w:r>
              <w:rPr>
                <w:szCs w:val="20"/>
              </w:rPr>
              <w:t xml:space="preserve"> demonstrates high sensitivity and specificity compared to clinical diagnosis without ADAMTS13 activity testing (</w:t>
            </w:r>
            <w:r w:rsidRPr="00C20F2F">
              <w:rPr>
                <w:i/>
                <w:iCs/>
                <w:szCs w:val="20"/>
              </w:rPr>
              <w:t>moderate certainty</w:t>
            </w:r>
            <w:r>
              <w:rPr>
                <w:szCs w:val="20"/>
              </w:rPr>
              <w:t>).</w:t>
            </w:r>
          </w:p>
          <w:p w14:paraId="2ABD351D" w14:textId="77777777" w:rsidR="004E232D" w:rsidRDefault="004E232D" w:rsidP="00F71038">
            <w:pPr>
              <w:pStyle w:val="051Tabletext22"/>
              <w:keepNext/>
              <w:rPr>
                <w:szCs w:val="20"/>
              </w:rPr>
            </w:pPr>
            <w:r w:rsidRPr="00C20F2F">
              <w:rPr>
                <w:b/>
                <w:bCs/>
                <w:szCs w:val="20"/>
              </w:rPr>
              <w:t>Anti-ADAMTS13 autoantibody testing</w:t>
            </w:r>
            <w:r>
              <w:rPr>
                <w:szCs w:val="20"/>
              </w:rPr>
              <w:t xml:space="preserve"> demonstrates high sensitivity and specificity compared to clinical diagnosis without anti-ADAMTS13 autoantibody testing (</w:t>
            </w:r>
            <w:r w:rsidRPr="00AC43E2">
              <w:rPr>
                <w:i/>
                <w:iCs/>
                <w:szCs w:val="20"/>
              </w:rPr>
              <w:t>very</w:t>
            </w:r>
            <w:r>
              <w:rPr>
                <w:szCs w:val="20"/>
              </w:rPr>
              <w:t xml:space="preserve"> </w:t>
            </w:r>
            <w:r w:rsidRPr="00C20F2F">
              <w:rPr>
                <w:i/>
                <w:iCs/>
                <w:szCs w:val="20"/>
              </w:rPr>
              <w:t>low certainty</w:t>
            </w:r>
            <w:r>
              <w:rPr>
                <w:szCs w:val="20"/>
              </w:rPr>
              <w:t>).</w:t>
            </w:r>
          </w:p>
          <w:p w14:paraId="37AB53AE" w14:textId="77777777" w:rsidR="004E232D" w:rsidRDefault="004E232D" w:rsidP="00F71038">
            <w:pPr>
              <w:pStyle w:val="051Tabletext22"/>
              <w:keepNext/>
              <w:rPr>
                <w:szCs w:val="20"/>
              </w:rPr>
            </w:pPr>
            <w:r w:rsidRPr="00065E49">
              <w:rPr>
                <w:b/>
                <w:bCs/>
                <w:szCs w:val="20"/>
              </w:rPr>
              <w:t>Combined testing</w:t>
            </w:r>
            <w:r>
              <w:rPr>
                <w:szCs w:val="20"/>
              </w:rPr>
              <w:t xml:space="preserve"> with ADAMTS13 activity and anti-ADAMTS13 autoantibody assays provides higher diagnostic accuracy than either test alone, as the antibody can identify cases with false-negative ADAMTS13 activity results.</w:t>
            </w:r>
          </w:p>
          <w:p w14:paraId="42B61240" w14:textId="77777777" w:rsidR="004E232D" w:rsidRPr="00D14853" w:rsidRDefault="004E232D" w:rsidP="00F71038">
            <w:pPr>
              <w:pStyle w:val="051Tabletext22"/>
              <w:keepNext/>
              <w:rPr>
                <w:szCs w:val="20"/>
              </w:rPr>
            </w:pPr>
            <w:r w:rsidRPr="006D3897">
              <w:rPr>
                <w:b/>
                <w:bCs/>
                <w:szCs w:val="20"/>
              </w:rPr>
              <w:t>CLIA AcuStar</w:t>
            </w:r>
            <w:r>
              <w:rPr>
                <w:szCs w:val="20"/>
              </w:rPr>
              <w:t xml:space="preserve"> demonstrates high accuracy and concordance with clinical utility standards (ELISA or FRETS VWF73), although occasional discrepancies occur, mostly in patients with systemic conditions and/or a low clinical suspicion of TTP. </w:t>
            </w:r>
          </w:p>
        </w:tc>
      </w:tr>
      <w:tr w:rsidR="004E232D" w:rsidRPr="00A039E1" w14:paraId="7AE5CB48" w14:textId="77777777" w:rsidTr="00907025">
        <w:tc>
          <w:tcPr>
            <w:tcW w:w="2125" w:type="dxa"/>
          </w:tcPr>
          <w:p w14:paraId="03B0F6B5" w14:textId="77777777" w:rsidR="004E232D" w:rsidRPr="00D14853" w:rsidRDefault="004E232D" w:rsidP="00F71038">
            <w:pPr>
              <w:pStyle w:val="051Tabletext22"/>
              <w:rPr>
                <w:szCs w:val="20"/>
              </w:rPr>
            </w:pPr>
            <w:r w:rsidRPr="00D14853">
              <w:rPr>
                <w:szCs w:val="20"/>
              </w:rPr>
              <w:t>Change in management</w:t>
            </w:r>
          </w:p>
        </w:tc>
        <w:tc>
          <w:tcPr>
            <w:tcW w:w="6891" w:type="dxa"/>
          </w:tcPr>
          <w:p w14:paraId="36F542FD" w14:textId="327CF35B" w:rsidR="004E232D" w:rsidRDefault="004E232D" w:rsidP="00F71038">
            <w:pPr>
              <w:pStyle w:val="051Tabletext22"/>
              <w:rPr>
                <w:szCs w:val="20"/>
              </w:rPr>
            </w:pPr>
            <w:r w:rsidRPr="001F3FA0">
              <w:rPr>
                <w:szCs w:val="20"/>
              </w:rPr>
              <w:t>Rapid ADAMTS13 testing</w:t>
            </w:r>
            <w:r>
              <w:rPr>
                <w:szCs w:val="20"/>
              </w:rPr>
              <w:t xml:space="preserve"> is associated with reduced PEX utilisation and/or shorter treatment duration without an increase in mortality (</w:t>
            </w:r>
            <w:r w:rsidRPr="00717B27">
              <w:rPr>
                <w:i/>
                <w:iCs/>
                <w:szCs w:val="20"/>
              </w:rPr>
              <w:t>low level evidence</w:t>
            </w:r>
            <w:r>
              <w:rPr>
                <w:szCs w:val="20"/>
              </w:rPr>
              <w:t>).</w:t>
            </w:r>
          </w:p>
          <w:p w14:paraId="7A17B774" w14:textId="243B4FBF" w:rsidR="004E232D" w:rsidRPr="00D14853" w:rsidRDefault="004E232D" w:rsidP="00F71038">
            <w:pPr>
              <w:pStyle w:val="051Tabletext22"/>
              <w:rPr>
                <w:szCs w:val="20"/>
              </w:rPr>
            </w:pPr>
            <w:r>
              <w:rPr>
                <w:szCs w:val="20"/>
              </w:rPr>
              <w:t>Requirement for ADAMTS13 activity testing to access PBS-funded therapies</w:t>
            </w:r>
            <w:r w:rsidR="00032684">
              <w:rPr>
                <w:szCs w:val="20"/>
              </w:rPr>
              <w:t xml:space="preserve"> (eculizumab and ravulizumab)</w:t>
            </w:r>
            <w:r>
              <w:rPr>
                <w:szCs w:val="20"/>
              </w:rPr>
              <w:t xml:space="preserve"> for </w:t>
            </w:r>
            <w:r w:rsidR="00E635A6">
              <w:rPr>
                <w:szCs w:val="20"/>
              </w:rPr>
              <w:t>a</w:t>
            </w:r>
            <w:r>
              <w:rPr>
                <w:szCs w:val="20"/>
              </w:rPr>
              <w:t>HUS.</w:t>
            </w:r>
          </w:p>
        </w:tc>
      </w:tr>
      <w:tr w:rsidR="004E232D" w:rsidRPr="00A039E1" w14:paraId="36E7765F" w14:textId="77777777" w:rsidTr="00907025">
        <w:tc>
          <w:tcPr>
            <w:tcW w:w="2125" w:type="dxa"/>
          </w:tcPr>
          <w:p w14:paraId="5CB489F5" w14:textId="77777777" w:rsidR="004E232D" w:rsidRPr="00D14853" w:rsidRDefault="004E232D" w:rsidP="00F71038">
            <w:pPr>
              <w:pStyle w:val="051Tabletext22"/>
              <w:rPr>
                <w:szCs w:val="20"/>
              </w:rPr>
            </w:pPr>
            <w:r w:rsidRPr="00D14853">
              <w:rPr>
                <w:szCs w:val="20"/>
              </w:rPr>
              <w:t>Health outcomes</w:t>
            </w:r>
          </w:p>
        </w:tc>
        <w:tc>
          <w:tcPr>
            <w:tcW w:w="6891" w:type="dxa"/>
          </w:tcPr>
          <w:p w14:paraId="151D5F23" w14:textId="2B5C82C8" w:rsidR="004E232D" w:rsidRDefault="004E232D" w:rsidP="00F71038">
            <w:pPr>
              <w:pStyle w:val="051Tabletext22"/>
              <w:rPr>
                <w:szCs w:val="20"/>
              </w:rPr>
            </w:pPr>
            <w:r w:rsidRPr="001F3FA0">
              <w:rPr>
                <w:szCs w:val="20"/>
              </w:rPr>
              <w:t>PEX</w:t>
            </w:r>
            <w:r>
              <w:rPr>
                <w:szCs w:val="20"/>
              </w:rPr>
              <w:t xml:space="preserve"> is effective in the treatment of </w:t>
            </w:r>
            <w:r w:rsidR="00BD1AAD">
              <w:rPr>
                <w:szCs w:val="20"/>
              </w:rPr>
              <w:t>i</w:t>
            </w:r>
            <w:r>
              <w:rPr>
                <w:szCs w:val="20"/>
              </w:rPr>
              <w:t xml:space="preserve">TTP but not complement-mediated </w:t>
            </w:r>
            <w:r w:rsidR="00D11589">
              <w:rPr>
                <w:szCs w:val="20"/>
              </w:rPr>
              <w:t>a</w:t>
            </w:r>
            <w:r>
              <w:rPr>
                <w:szCs w:val="20"/>
              </w:rPr>
              <w:t xml:space="preserve">HUS, for which </w:t>
            </w:r>
            <w:r w:rsidRPr="001F3FA0">
              <w:rPr>
                <w:szCs w:val="20"/>
              </w:rPr>
              <w:t>eculizumab</w:t>
            </w:r>
            <w:r w:rsidR="004804C1">
              <w:rPr>
                <w:szCs w:val="20"/>
              </w:rPr>
              <w:t xml:space="preserve"> </w:t>
            </w:r>
            <w:r w:rsidR="004804C1">
              <w:t>or ravulizumab</w:t>
            </w:r>
            <w:r>
              <w:rPr>
                <w:szCs w:val="20"/>
              </w:rPr>
              <w:t xml:space="preserve"> is the recommended therapy</w:t>
            </w:r>
            <w:r w:rsidR="00F22003">
              <w:rPr>
                <w:szCs w:val="20"/>
              </w:rPr>
              <w:t>,</w:t>
            </w:r>
            <w:r w:rsidR="000D6B8E">
              <w:rPr>
                <w:szCs w:val="20"/>
              </w:rPr>
              <w:t xml:space="preserve"> or </w:t>
            </w:r>
            <w:proofErr w:type="spellStart"/>
            <w:r w:rsidR="000D6B8E">
              <w:rPr>
                <w:szCs w:val="20"/>
              </w:rPr>
              <w:t>cTTP</w:t>
            </w:r>
            <w:proofErr w:type="spellEnd"/>
            <w:r w:rsidR="000D6B8E">
              <w:rPr>
                <w:szCs w:val="20"/>
              </w:rPr>
              <w:t xml:space="preserve"> where plasma infusion is sufficient</w:t>
            </w:r>
            <w:r>
              <w:rPr>
                <w:szCs w:val="20"/>
              </w:rPr>
              <w:t>.</w:t>
            </w:r>
          </w:p>
          <w:p w14:paraId="22D7811B" w14:textId="77777777" w:rsidR="004E232D" w:rsidRDefault="004E232D" w:rsidP="00F71038">
            <w:pPr>
              <w:pStyle w:val="051Tabletext22"/>
              <w:rPr>
                <w:szCs w:val="20"/>
              </w:rPr>
            </w:pPr>
            <w:r w:rsidRPr="001F3FA0">
              <w:rPr>
                <w:szCs w:val="20"/>
              </w:rPr>
              <w:t>PEX</w:t>
            </w:r>
            <w:r>
              <w:rPr>
                <w:szCs w:val="20"/>
              </w:rPr>
              <w:t xml:space="preserve"> is associated with major complications in approximately 23% of patients with TMA, most commonly related to catheter use.</w:t>
            </w:r>
          </w:p>
          <w:p w14:paraId="4080B5E9" w14:textId="1A09F8B2" w:rsidR="004E232D" w:rsidRDefault="004E232D" w:rsidP="00F71038">
            <w:pPr>
              <w:pStyle w:val="051Tabletext22"/>
              <w:rPr>
                <w:szCs w:val="20"/>
              </w:rPr>
            </w:pPr>
            <w:r w:rsidRPr="001F3FA0">
              <w:rPr>
                <w:szCs w:val="20"/>
              </w:rPr>
              <w:t xml:space="preserve">Targeted therapies for </w:t>
            </w:r>
            <w:r w:rsidR="00F859F4">
              <w:rPr>
                <w:szCs w:val="20"/>
              </w:rPr>
              <w:t>i</w:t>
            </w:r>
            <w:r w:rsidRPr="001F3FA0">
              <w:rPr>
                <w:szCs w:val="20"/>
              </w:rPr>
              <w:t>TTP</w:t>
            </w:r>
            <w:r>
              <w:rPr>
                <w:szCs w:val="20"/>
              </w:rPr>
              <w:t xml:space="preserve"> include corticosteroids, rituximab and caplacizumab. </w:t>
            </w:r>
          </w:p>
          <w:p w14:paraId="47B99DCC" w14:textId="76ABA397" w:rsidR="004E232D" w:rsidRPr="00D14853" w:rsidRDefault="004E232D" w:rsidP="00F71038">
            <w:pPr>
              <w:pStyle w:val="051Tabletext22"/>
              <w:rPr>
                <w:szCs w:val="20"/>
              </w:rPr>
            </w:pPr>
            <w:r w:rsidRPr="001F3FA0">
              <w:rPr>
                <w:szCs w:val="20"/>
              </w:rPr>
              <w:t>Accurate differentiation</w:t>
            </w:r>
            <w:r>
              <w:rPr>
                <w:szCs w:val="20"/>
              </w:rPr>
              <w:t xml:space="preserve"> between iTTP, cTTP</w:t>
            </w:r>
            <w:r w:rsidDel="00A81915">
              <w:rPr>
                <w:szCs w:val="20"/>
              </w:rPr>
              <w:t xml:space="preserve"> </w:t>
            </w:r>
            <w:r>
              <w:rPr>
                <w:szCs w:val="20"/>
              </w:rPr>
              <w:t xml:space="preserve">and </w:t>
            </w:r>
            <w:r w:rsidR="00BD1AAD">
              <w:rPr>
                <w:szCs w:val="20"/>
              </w:rPr>
              <w:t>a</w:t>
            </w:r>
            <w:r>
              <w:rPr>
                <w:szCs w:val="20"/>
              </w:rPr>
              <w:t xml:space="preserve">HUS is expected to lead to more appropriate use of therapies for these conditions, particularly reducing uptake of PEX where it is not clinically indicated. </w:t>
            </w:r>
          </w:p>
        </w:tc>
      </w:tr>
      <w:tr w:rsidR="004E232D" w:rsidRPr="00A039E1" w14:paraId="43035033" w14:textId="77777777" w:rsidTr="00907025">
        <w:tc>
          <w:tcPr>
            <w:tcW w:w="2125" w:type="dxa"/>
          </w:tcPr>
          <w:p w14:paraId="68B4FD7D" w14:textId="77777777" w:rsidR="004E232D" w:rsidRPr="00D14853" w:rsidRDefault="004E232D" w:rsidP="00F71038">
            <w:pPr>
              <w:pStyle w:val="051Tabletext22"/>
              <w:rPr>
                <w:szCs w:val="20"/>
              </w:rPr>
            </w:pPr>
            <w:r w:rsidRPr="00D14853">
              <w:rPr>
                <w:szCs w:val="20"/>
              </w:rPr>
              <w:t>Safety of the test</w:t>
            </w:r>
          </w:p>
        </w:tc>
        <w:tc>
          <w:tcPr>
            <w:tcW w:w="6891" w:type="dxa"/>
          </w:tcPr>
          <w:p w14:paraId="026DA298" w14:textId="77777777" w:rsidR="004E232D" w:rsidRPr="00D14853" w:rsidRDefault="004E232D" w:rsidP="00F71038">
            <w:pPr>
              <w:pStyle w:val="051Tabletext22"/>
              <w:rPr>
                <w:szCs w:val="20"/>
              </w:rPr>
            </w:pPr>
            <w:r w:rsidRPr="0057746C">
              <w:rPr>
                <w:szCs w:val="20"/>
              </w:rPr>
              <w:t>No evidence of harm</w:t>
            </w:r>
            <w:r>
              <w:rPr>
                <w:szCs w:val="20"/>
              </w:rPr>
              <w:t xml:space="preserve"> </w:t>
            </w:r>
            <w:r w:rsidRPr="00FD3DB7">
              <w:rPr>
                <w:szCs w:val="20"/>
              </w:rPr>
              <w:t>associated with ADAMTS13 activity or anti-ADAMTS13 autoantibody testing was identified</w:t>
            </w:r>
            <w:r>
              <w:rPr>
                <w:szCs w:val="20"/>
              </w:rPr>
              <w:t>.</w:t>
            </w:r>
          </w:p>
        </w:tc>
      </w:tr>
      <w:tr w:rsidR="004E232D" w:rsidRPr="00A039E1" w14:paraId="7D1E944F" w14:textId="77777777" w:rsidTr="00907025">
        <w:tc>
          <w:tcPr>
            <w:tcW w:w="2125" w:type="dxa"/>
          </w:tcPr>
          <w:p w14:paraId="71288A18" w14:textId="77777777" w:rsidR="004E232D" w:rsidRPr="00D14853" w:rsidRDefault="004E232D" w:rsidP="00F71038">
            <w:pPr>
              <w:pStyle w:val="051Tabletext22"/>
              <w:rPr>
                <w:szCs w:val="20"/>
              </w:rPr>
            </w:pPr>
            <w:r w:rsidRPr="00D14853">
              <w:rPr>
                <w:szCs w:val="20"/>
              </w:rPr>
              <w:t>Safety of the treatment</w:t>
            </w:r>
          </w:p>
        </w:tc>
        <w:tc>
          <w:tcPr>
            <w:tcW w:w="6891" w:type="dxa"/>
          </w:tcPr>
          <w:p w14:paraId="3B46BC32" w14:textId="77777777" w:rsidR="004E232D" w:rsidRDefault="004E232D" w:rsidP="00F71038">
            <w:pPr>
              <w:pStyle w:val="051Tabletext22"/>
              <w:rPr>
                <w:szCs w:val="20"/>
              </w:rPr>
            </w:pPr>
            <w:r w:rsidRPr="001F3FA0">
              <w:rPr>
                <w:szCs w:val="20"/>
              </w:rPr>
              <w:t>Use of ADAMTS13 testing</w:t>
            </w:r>
            <w:r w:rsidRPr="001A4E3C">
              <w:rPr>
                <w:szCs w:val="20"/>
              </w:rPr>
              <w:t xml:space="preserve"> may improve safety by reducing</w:t>
            </w:r>
            <w:r>
              <w:rPr>
                <w:szCs w:val="20"/>
              </w:rPr>
              <w:t xml:space="preserve"> inappropriate PEX and </w:t>
            </w:r>
            <w:r w:rsidRPr="001A4E3C">
              <w:rPr>
                <w:szCs w:val="20"/>
              </w:rPr>
              <w:t>ensuring patients receive the most</w:t>
            </w:r>
            <w:r>
              <w:rPr>
                <w:szCs w:val="20"/>
              </w:rPr>
              <w:t xml:space="preserve"> appropriate therapy.</w:t>
            </w:r>
          </w:p>
          <w:p w14:paraId="23AE9F36" w14:textId="77777777" w:rsidR="004E232D" w:rsidRPr="00D14853" w:rsidRDefault="004E232D" w:rsidP="00F71038">
            <w:pPr>
              <w:pStyle w:val="051Tabletext22"/>
              <w:rPr>
                <w:szCs w:val="20"/>
              </w:rPr>
            </w:pPr>
            <w:r w:rsidRPr="001F3FA0">
              <w:rPr>
                <w:szCs w:val="20"/>
              </w:rPr>
              <w:t>Potential harms</w:t>
            </w:r>
            <w:r>
              <w:rPr>
                <w:szCs w:val="20"/>
              </w:rPr>
              <w:t xml:space="preserve"> exist for patients with a low clinical suspicion of TTP who receive false-positive results, which could delay treatment for underlying systemic conditions (e.g. sepsis).</w:t>
            </w:r>
          </w:p>
        </w:tc>
      </w:tr>
      <w:tr w:rsidR="004E232D" w:rsidRPr="00A039E1" w14:paraId="7651A2C4" w14:textId="77777777" w:rsidTr="00907025">
        <w:tc>
          <w:tcPr>
            <w:tcW w:w="2125" w:type="dxa"/>
          </w:tcPr>
          <w:p w14:paraId="192C95A9" w14:textId="77777777" w:rsidR="004E232D" w:rsidRPr="00AB3C24" w:rsidRDefault="004E232D" w:rsidP="00F71038">
            <w:pPr>
              <w:pStyle w:val="051Tabletext22"/>
              <w:rPr>
                <w:i/>
                <w:iCs/>
                <w:szCs w:val="20"/>
              </w:rPr>
            </w:pPr>
            <w:r w:rsidRPr="00AB3C24">
              <w:rPr>
                <w:i/>
                <w:iCs/>
                <w:szCs w:val="20"/>
              </w:rPr>
              <w:t>Overall assessment of the evidence</w:t>
            </w:r>
          </w:p>
        </w:tc>
        <w:tc>
          <w:tcPr>
            <w:tcW w:w="6891" w:type="dxa"/>
          </w:tcPr>
          <w:p w14:paraId="5E762AB7" w14:textId="77777777" w:rsidR="004E232D" w:rsidRPr="00AB3C24" w:rsidRDefault="004E232D" w:rsidP="00F71038">
            <w:pPr>
              <w:pStyle w:val="051Tabletext22"/>
              <w:rPr>
                <w:i/>
                <w:iCs/>
                <w:szCs w:val="20"/>
              </w:rPr>
            </w:pPr>
            <w:r w:rsidRPr="00AC43E2">
              <w:rPr>
                <w:b/>
                <w:i/>
                <w:szCs w:val="20"/>
              </w:rPr>
              <w:t>Superior</w:t>
            </w:r>
            <w:r>
              <w:rPr>
                <w:i/>
                <w:iCs/>
                <w:szCs w:val="20"/>
              </w:rPr>
              <w:t xml:space="preserve"> for both safety and effectiveness</w:t>
            </w:r>
          </w:p>
        </w:tc>
      </w:tr>
    </w:tbl>
    <w:p w14:paraId="15CF7674" w14:textId="53487EEB" w:rsidR="00591F06" w:rsidRPr="00591F06" w:rsidRDefault="00161DF7" w:rsidP="00161DF7">
      <w:pPr>
        <w:pStyle w:val="111Tablefootnoteslast-nostick"/>
      </w:pPr>
      <w:r>
        <w:t>CLIA = chemiluminescence immunoassay; cTTP = congenital TTP; ELISA = enzyme-linked immunosorbent assay; FRETS-VWF73 = ADAMTS13 fluorescence resonance energy transfer assay; HUS = haemolytic uraemic syndrome; iTTP = immune-mediated TTP; PBS = Pharmaceutical Benefits Scheme; PEX = plasma exchange therapy; TMA = thrombotic microangiopathy; TTP = thrombotic thrombocytopenic purpura.</w:t>
      </w:r>
    </w:p>
    <w:p w14:paraId="1F1F3297" w14:textId="6D175FEE" w:rsidR="0087278F" w:rsidRDefault="004259DD" w:rsidP="00423B90">
      <w:pPr>
        <w:pStyle w:val="ExecSumHeading3"/>
      </w:pPr>
      <w:bookmarkStart w:id="27" w:name="_Toc216879528"/>
      <w:r>
        <w:t>PICO Set 1 &amp; 2</w:t>
      </w:r>
      <w:r w:rsidR="00F20DEF">
        <w:t xml:space="preserve">: </w:t>
      </w:r>
      <w:r w:rsidR="00F20DEF">
        <w:rPr>
          <w:i/>
          <w:iCs/>
        </w:rPr>
        <w:t xml:space="preserve">ADAMTS13 </w:t>
      </w:r>
      <w:r w:rsidR="004A2511">
        <w:t>g</w:t>
      </w:r>
      <w:r w:rsidR="0087278F">
        <w:t>enetic testing</w:t>
      </w:r>
      <w:bookmarkEnd w:id="27"/>
    </w:p>
    <w:p w14:paraId="457FDF1C" w14:textId="62FFD1CC" w:rsidR="001918E5" w:rsidRDefault="00E234B7" w:rsidP="0087278F">
      <w:pPr>
        <w:pStyle w:val="BodyText"/>
      </w:pPr>
      <w:r>
        <w:t xml:space="preserve">Comparative effectiveness is not relevant </w:t>
      </w:r>
      <w:r w:rsidR="00E8061C">
        <w:t>for the genetic tests as t</w:t>
      </w:r>
      <w:r w:rsidR="0087278F">
        <w:t xml:space="preserve">he PICO confirmation specified a refined assessment approach </w:t>
      </w:r>
      <w:r w:rsidR="001918E5">
        <w:t>that es</w:t>
      </w:r>
      <w:r w:rsidR="0037199A">
        <w:t>timates diagnostic yield for use in a cost per diagnosis analysis.</w:t>
      </w:r>
    </w:p>
    <w:p w14:paraId="4BF2C5D1" w14:textId="12D79939" w:rsidR="0087278F" w:rsidRPr="00CE28E3" w:rsidRDefault="0087278F" w:rsidP="0087278F">
      <w:pPr>
        <w:pStyle w:val="Bulletpoint"/>
      </w:pPr>
      <w:r>
        <w:t xml:space="preserve">PICO Set 1 – </w:t>
      </w:r>
      <w:r w:rsidR="001C5A49">
        <w:t xml:space="preserve">diagnostic yield </w:t>
      </w:r>
      <w:r w:rsidR="001615A3">
        <w:t xml:space="preserve">in </w:t>
      </w:r>
      <w:r w:rsidR="00A705B2">
        <w:t>affected individuals</w:t>
      </w:r>
      <w:r w:rsidR="001615A3">
        <w:t xml:space="preserve"> with suspected cTTP</w:t>
      </w:r>
    </w:p>
    <w:p w14:paraId="3B9BC90E" w14:textId="6584FBAE" w:rsidR="0087278F" w:rsidRPr="00CE28E3" w:rsidRDefault="0087278F" w:rsidP="0087278F">
      <w:pPr>
        <w:pStyle w:val="Bulletpoint"/>
      </w:pPr>
      <w:r>
        <w:t xml:space="preserve">PICO Set 2 – </w:t>
      </w:r>
      <w:r w:rsidR="00B233B0">
        <w:t>diagnostic yield among</w:t>
      </w:r>
      <w:r>
        <w:t xml:space="preserve"> </w:t>
      </w:r>
      <w:r w:rsidR="00B233B0">
        <w:t xml:space="preserve">first-degree </w:t>
      </w:r>
      <w:r w:rsidR="00624F8D">
        <w:t xml:space="preserve">biological </w:t>
      </w:r>
      <w:r w:rsidR="004C68E9">
        <w:t>relatives</w:t>
      </w:r>
      <w:r w:rsidR="003258CC">
        <w:t xml:space="preserve"> of proband</w:t>
      </w:r>
      <w:r w:rsidR="00A705B2">
        <w:t>s</w:t>
      </w:r>
      <w:r>
        <w:t>.</w:t>
      </w:r>
    </w:p>
    <w:p w14:paraId="213CD70B" w14:textId="07575CD4" w:rsidR="00EA3C67" w:rsidRPr="00CE28E3" w:rsidRDefault="00652D6C" w:rsidP="00262F05">
      <w:pPr>
        <w:pStyle w:val="ExecSumHeading4"/>
        <w:keepNext/>
      </w:pPr>
      <w:r>
        <w:lastRenderedPageBreak/>
        <w:t xml:space="preserve">Genetic testing of </w:t>
      </w:r>
      <w:r w:rsidR="00A705B2">
        <w:t>affected individuals</w:t>
      </w:r>
      <w:r>
        <w:t xml:space="preserve"> – PICO Set 1</w:t>
      </w:r>
    </w:p>
    <w:p w14:paraId="42F02111" w14:textId="7FF8576A" w:rsidR="00361D3D" w:rsidRPr="003251C2" w:rsidRDefault="008F4C80" w:rsidP="00067254">
      <w:pPr>
        <w:pStyle w:val="BodyText"/>
      </w:pPr>
      <w:r>
        <w:t xml:space="preserve">Three registry studies were used to </w:t>
      </w:r>
      <w:r w:rsidR="0030355E">
        <w:t xml:space="preserve">estimate diagnostic yield in </w:t>
      </w:r>
      <w:r w:rsidR="00A705B2">
        <w:t>affected individuals</w:t>
      </w:r>
      <w:r w:rsidR="0030355E">
        <w:t xml:space="preserve"> (Alwan et al. 2019; Fujimura et al. </w:t>
      </w:r>
      <w:r w:rsidR="002D5D06">
        <w:t>2010; Mariotte et al. 2016</w:t>
      </w:r>
      <w:r w:rsidR="0030355E">
        <w:t xml:space="preserve">). </w:t>
      </w:r>
      <w:r w:rsidR="0085105F">
        <w:t>A</w:t>
      </w:r>
      <w:r w:rsidR="00F604C7">
        <w:t xml:space="preserve"> </w:t>
      </w:r>
      <w:r w:rsidR="0085105F">
        <w:t xml:space="preserve">diagnostic yield </w:t>
      </w:r>
      <w:r w:rsidR="00F604C7">
        <w:t xml:space="preserve">of 97% was </w:t>
      </w:r>
      <w:r w:rsidR="00074360">
        <w:t xml:space="preserve">derived </w:t>
      </w:r>
      <w:r w:rsidR="002D5D06">
        <w:t>from the study considered most applicable</w:t>
      </w:r>
      <w:r w:rsidR="00803C89">
        <w:t xml:space="preserve"> in terms of suspected cTTP cohort definition</w:t>
      </w:r>
      <w:r w:rsidR="004B4551">
        <w:t xml:space="preserve"> (Fujimura et al. 2010)</w:t>
      </w:r>
      <w:r w:rsidR="00CD4031">
        <w:t>, and this was used for the economic evaluation</w:t>
      </w:r>
      <w:r w:rsidR="005670D4">
        <w:t xml:space="preserve"> of cost per diagnosis</w:t>
      </w:r>
      <w:r w:rsidR="00803C89">
        <w:t>.</w:t>
      </w:r>
      <w:r w:rsidR="00702C97">
        <w:t xml:space="preserve"> </w:t>
      </w:r>
      <w:r w:rsidR="004B4551">
        <w:t>Diagnostic yield</w:t>
      </w:r>
      <w:r w:rsidR="00702C97">
        <w:t xml:space="preserve"> may be as high as 100% where the suspected cTTP cohort is more stringently defined, and may be as low as </w:t>
      </w:r>
      <w:r w:rsidR="000E2C02">
        <w:t xml:space="preserve">72% </w:t>
      </w:r>
      <w:r w:rsidR="00AC4D2D">
        <w:t>where the testing includes relatives of probands</w:t>
      </w:r>
      <w:r w:rsidR="00DC55C1">
        <w:t>.</w:t>
      </w:r>
    </w:p>
    <w:p w14:paraId="5E5EC7C2" w14:textId="6CB06FFD" w:rsidR="00652D6C" w:rsidRDefault="00652D6C" w:rsidP="00262F05">
      <w:pPr>
        <w:pStyle w:val="ExecSumHeading4"/>
        <w:keepNext/>
      </w:pPr>
      <w:r>
        <w:t xml:space="preserve">Genetic testing of </w:t>
      </w:r>
      <w:r w:rsidR="008148BC">
        <w:t xml:space="preserve">first-degree </w:t>
      </w:r>
      <w:r w:rsidR="00574C5F">
        <w:t>biological</w:t>
      </w:r>
      <w:r w:rsidR="008148BC">
        <w:t xml:space="preserve"> </w:t>
      </w:r>
      <w:r w:rsidR="004C68E9">
        <w:t>relatives</w:t>
      </w:r>
      <w:r w:rsidR="008148BC">
        <w:t xml:space="preserve"> – PICO Set 2</w:t>
      </w:r>
    </w:p>
    <w:p w14:paraId="65EDBFB6" w14:textId="71DAF4E7" w:rsidR="008148BC" w:rsidRPr="008148BC" w:rsidRDefault="00773B01" w:rsidP="00796A85">
      <w:pPr>
        <w:pStyle w:val="BodyText"/>
      </w:pPr>
      <w:r>
        <w:t xml:space="preserve">No studies were identified that reported data relevant to diagnostic yield for genetic testing in first-degree </w:t>
      </w:r>
      <w:r w:rsidR="00574C5F">
        <w:t xml:space="preserve">biological </w:t>
      </w:r>
      <w:r w:rsidR="004C68E9">
        <w:t>relatives</w:t>
      </w:r>
      <w:r>
        <w:t xml:space="preserve"> or relatives. </w:t>
      </w:r>
      <w:r w:rsidR="00382297">
        <w:t xml:space="preserve">A diagnostic yield of 25% was inferred, based on </w:t>
      </w:r>
      <w:r w:rsidR="005437A5">
        <w:t xml:space="preserve">a Mendelian inheritance pattern for an autosomal recessive disorder, noting </w:t>
      </w:r>
      <w:r w:rsidR="007C15A0">
        <w:t xml:space="preserve">any bias in </w:t>
      </w:r>
      <w:r w:rsidR="00F931F4">
        <w:t xml:space="preserve">sibling selection for testing arising from </w:t>
      </w:r>
      <w:r w:rsidR="00AB2E02">
        <w:t xml:space="preserve">the presence of </w:t>
      </w:r>
      <w:r w:rsidR="00892EDC">
        <w:t>non-overt symptoms will increase th</w:t>
      </w:r>
      <w:r w:rsidR="006A691F">
        <w:t>e diagnostic yield.</w:t>
      </w:r>
      <w:r w:rsidR="000B1A30">
        <w:t xml:space="preserve"> This value was used for the economic evaluation of cost per diagnosis.</w:t>
      </w:r>
    </w:p>
    <w:p w14:paraId="42F807EE" w14:textId="77777777" w:rsidR="00106A6B" w:rsidRPr="00223664" w:rsidRDefault="00106A6B" w:rsidP="00067254">
      <w:pPr>
        <w:pStyle w:val="ExecSumHeading4"/>
      </w:pPr>
      <w:r w:rsidRPr="00223664">
        <w:t>Clinical claim</w:t>
      </w:r>
    </w:p>
    <w:p w14:paraId="4EA3428D" w14:textId="730E586B" w:rsidR="00827151" w:rsidRDefault="00E3591B" w:rsidP="00055104">
      <w:pPr>
        <w:pStyle w:val="BodyText"/>
      </w:pPr>
      <w:r>
        <w:t xml:space="preserve">The clinical claims for </w:t>
      </w:r>
      <w:r w:rsidRPr="00E3591B">
        <w:rPr>
          <w:i/>
          <w:iCs/>
        </w:rPr>
        <w:t>ADAMTS13</w:t>
      </w:r>
      <w:r>
        <w:t xml:space="preserve"> genetic testing are summarised in </w:t>
      </w:r>
      <w:r>
        <w:fldChar w:fldCharType="begin"/>
      </w:r>
      <w:r>
        <w:instrText xml:space="preserve"> REF _Ref213171984 \h </w:instrText>
      </w:r>
      <w:r>
        <w:fldChar w:fldCharType="separate"/>
      </w:r>
      <w:r w:rsidR="00716875">
        <w:t xml:space="preserve">Table </w:t>
      </w:r>
      <w:r w:rsidR="00716875">
        <w:rPr>
          <w:noProof/>
        </w:rPr>
        <w:t>9</w:t>
      </w:r>
      <w:r>
        <w:fldChar w:fldCharType="end"/>
      </w:r>
      <w:r>
        <w:t xml:space="preserve"> (</w:t>
      </w:r>
      <w:r w:rsidR="00E53F63">
        <w:t>affected individuals</w:t>
      </w:r>
      <w:r w:rsidR="0095730A">
        <w:t xml:space="preserve">) and </w:t>
      </w:r>
      <w:r w:rsidR="0095730A">
        <w:fldChar w:fldCharType="begin"/>
      </w:r>
      <w:r w:rsidR="0095730A">
        <w:instrText xml:space="preserve"> REF _Ref213172022 \h </w:instrText>
      </w:r>
      <w:r w:rsidR="0095730A">
        <w:fldChar w:fldCharType="separate"/>
      </w:r>
      <w:r w:rsidR="00716875">
        <w:t xml:space="preserve">Table </w:t>
      </w:r>
      <w:r w:rsidR="00716875">
        <w:rPr>
          <w:noProof/>
        </w:rPr>
        <w:t>10</w:t>
      </w:r>
      <w:r w:rsidR="0095730A">
        <w:fldChar w:fldCharType="end"/>
      </w:r>
      <w:r w:rsidR="0095730A">
        <w:t xml:space="preserve"> (cascade testing in first-degree </w:t>
      </w:r>
      <w:r w:rsidR="00A56195">
        <w:t xml:space="preserve">biological </w:t>
      </w:r>
      <w:r w:rsidR="004C68E9">
        <w:t>relatives</w:t>
      </w:r>
      <w:r w:rsidR="00CF61C0">
        <w:t xml:space="preserve">). </w:t>
      </w:r>
      <w:r w:rsidR="0061018F">
        <w:t xml:space="preserve">Compared with no genetic testing, </w:t>
      </w:r>
      <w:r w:rsidR="005654AA" w:rsidRPr="00E3591B">
        <w:rPr>
          <w:i/>
          <w:iCs/>
        </w:rPr>
        <w:t>ADAMTS13</w:t>
      </w:r>
      <w:r w:rsidR="005654AA">
        <w:t xml:space="preserve"> genetic testing </w:t>
      </w:r>
      <w:r w:rsidR="00673E21">
        <w:t xml:space="preserve">in </w:t>
      </w:r>
      <w:r w:rsidR="00E53F63">
        <w:t>affected individuals</w:t>
      </w:r>
      <w:r w:rsidR="00673E21">
        <w:t xml:space="preserve"> with suspected cTTP </w:t>
      </w:r>
      <w:r w:rsidR="00450D23">
        <w:t>is</w:t>
      </w:r>
      <w:r w:rsidR="00102A62">
        <w:t xml:space="preserve"> superior </w:t>
      </w:r>
      <w:r w:rsidR="001027B3">
        <w:t xml:space="preserve">with respect to </w:t>
      </w:r>
      <w:r w:rsidR="0061018F">
        <w:t>safety and effectiveness</w:t>
      </w:r>
      <w:r w:rsidR="00673E21">
        <w:t>.</w:t>
      </w:r>
      <w:r w:rsidR="00450D23">
        <w:t xml:space="preserve"> </w:t>
      </w:r>
      <w:r w:rsidR="0014455B" w:rsidRPr="00EC1AD4">
        <w:rPr>
          <w:i/>
          <w:iCs/>
        </w:rPr>
        <w:t>ADAMTS13</w:t>
      </w:r>
      <w:r w:rsidR="0014455B">
        <w:t xml:space="preserve"> genetic testing in first-degree </w:t>
      </w:r>
      <w:r w:rsidR="00A56195">
        <w:t xml:space="preserve">biological </w:t>
      </w:r>
      <w:r w:rsidR="004C68E9">
        <w:t>relatives</w:t>
      </w:r>
      <w:r w:rsidR="0014455B">
        <w:t xml:space="preserve"> of identified cTTP probands is </w:t>
      </w:r>
      <w:r w:rsidR="00FB749C">
        <w:t xml:space="preserve">also </w:t>
      </w:r>
      <w:r w:rsidR="0014455B">
        <w:t>superior to no testing with respect to safety and clinical effectiveness.</w:t>
      </w:r>
      <w:r w:rsidR="00827151">
        <w:br w:type="page"/>
      </w:r>
    </w:p>
    <w:p w14:paraId="20F2F568" w14:textId="59680EB3" w:rsidR="005C0422" w:rsidRDefault="006A0877" w:rsidP="006A0877">
      <w:pPr>
        <w:pStyle w:val="Caption"/>
      </w:pPr>
      <w:bookmarkStart w:id="28" w:name="_Ref213171984"/>
      <w:r>
        <w:lastRenderedPageBreak/>
        <w:t xml:space="preserve">Table </w:t>
      </w:r>
      <w:r>
        <w:fldChar w:fldCharType="begin"/>
      </w:r>
      <w:r>
        <w:instrText>SEQ Table \* ARABIC</w:instrText>
      </w:r>
      <w:r>
        <w:fldChar w:fldCharType="separate"/>
      </w:r>
      <w:r w:rsidR="00716875">
        <w:rPr>
          <w:noProof/>
        </w:rPr>
        <w:t>9</w:t>
      </w:r>
      <w:r>
        <w:fldChar w:fldCharType="end"/>
      </w:r>
      <w:bookmarkEnd w:id="28"/>
      <w:r>
        <w:tab/>
      </w:r>
      <w:r w:rsidRPr="00CE28E3">
        <w:t>Synthesis of the evidence and evidence gaps</w:t>
      </w:r>
      <w:r>
        <w:t xml:space="preserve"> for </w:t>
      </w:r>
      <w:r w:rsidR="002908B8" w:rsidRPr="002908B8">
        <w:rPr>
          <w:i/>
          <w:iCs w:val="0"/>
        </w:rPr>
        <w:t xml:space="preserve">ADAMTS13 </w:t>
      </w:r>
      <w:r>
        <w:t xml:space="preserve">genetic testing </w:t>
      </w:r>
      <w:r w:rsidR="002908B8">
        <w:t xml:space="preserve">of </w:t>
      </w:r>
      <w:r w:rsidR="00E53F63">
        <w:t>affected individuals</w:t>
      </w:r>
      <w:r w:rsidR="00E80ADD">
        <w:t xml:space="preserve"> (PICO Set </w:t>
      </w:r>
      <w:r w:rsidR="006453E4">
        <w:t>1</w:t>
      </w:r>
      <w:r w:rsidR="00E80ADD">
        <w:t>)</w:t>
      </w:r>
    </w:p>
    <w:tbl>
      <w:tblPr>
        <w:tblStyle w:val="TableGrid3"/>
        <w:tblW w:w="5000" w:type="pct"/>
        <w:tblInd w:w="-3" w:type="dxa"/>
        <w:tblLook w:val="04A0" w:firstRow="1" w:lastRow="0" w:firstColumn="1" w:lastColumn="0" w:noHBand="0" w:noVBand="1"/>
        <w:tblCaption w:val="Synthesis of the evidence and evidence gaps for ADAMTS13 genetic testing of index patients (PICO Set 1)"/>
        <w:tblDescription w:val="Interpretation and key uncertainties for each evidence component in the linked evidence framework."/>
      </w:tblPr>
      <w:tblGrid>
        <w:gridCol w:w="1841"/>
        <w:gridCol w:w="7175"/>
      </w:tblGrid>
      <w:tr w:rsidR="006A0877" w:rsidRPr="00074AD8" w14:paraId="6584377F" w14:textId="77777777">
        <w:trPr>
          <w:cnfStyle w:val="100000000000" w:firstRow="1" w:lastRow="0" w:firstColumn="0" w:lastColumn="0" w:oddVBand="0" w:evenVBand="0" w:oddHBand="0" w:evenHBand="0" w:firstRowFirstColumn="0" w:firstRowLastColumn="0" w:lastRowFirstColumn="0" w:lastRowLastColumn="0"/>
        </w:trPr>
        <w:tc>
          <w:tcPr>
            <w:tcW w:w="1841" w:type="dxa"/>
          </w:tcPr>
          <w:p w14:paraId="44E90CF2" w14:textId="77777777" w:rsidR="006A0877" w:rsidRPr="00074AD8" w:rsidRDefault="006A0877">
            <w:pPr>
              <w:pStyle w:val="011TableHeading"/>
              <w:rPr>
                <w:szCs w:val="20"/>
              </w:rPr>
            </w:pPr>
            <w:r w:rsidRPr="00074AD8">
              <w:rPr>
                <w:szCs w:val="20"/>
              </w:rPr>
              <w:t>Evidence component of the assessment</w:t>
            </w:r>
          </w:p>
        </w:tc>
        <w:tc>
          <w:tcPr>
            <w:tcW w:w="7175" w:type="dxa"/>
          </w:tcPr>
          <w:p w14:paraId="3BA28990" w14:textId="77777777" w:rsidR="006A0877" w:rsidRPr="00074AD8" w:rsidRDefault="006A0877">
            <w:pPr>
              <w:pStyle w:val="011TableHeading"/>
              <w:rPr>
                <w:szCs w:val="20"/>
              </w:rPr>
            </w:pPr>
            <w:r w:rsidRPr="00074AD8">
              <w:rPr>
                <w:szCs w:val="20"/>
              </w:rPr>
              <w:t>Interpretation and key uncertainties</w:t>
            </w:r>
          </w:p>
        </w:tc>
      </w:tr>
      <w:tr w:rsidR="006A0877" w:rsidRPr="00074AD8" w14:paraId="00FD1CB0" w14:textId="77777777">
        <w:tc>
          <w:tcPr>
            <w:tcW w:w="1841" w:type="dxa"/>
          </w:tcPr>
          <w:p w14:paraId="1C51E957" w14:textId="77777777" w:rsidR="006A0877" w:rsidRPr="00074AD8" w:rsidRDefault="006A0877">
            <w:pPr>
              <w:pStyle w:val="051Tabletext22"/>
              <w:rPr>
                <w:szCs w:val="20"/>
              </w:rPr>
            </w:pPr>
            <w:r w:rsidRPr="00074AD8">
              <w:rPr>
                <w:szCs w:val="20"/>
              </w:rPr>
              <w:t>Diagnostic yield</w:t>
            </w:r>
          </w:p>
        </w:tc>
        <w:tc>
          <w:tcPr>
            <w:tcW w:w="7175" w:type="dxa"/>
          </w:tcPr>
          <w:p w14:paraId="0D717F28" w14:textId="77777777" w:rsidR="006A0877" w:rsidRPr="00074AD8" w:rsidRDefault="006A0877">
            <w:pPr>
              <w:pStyle w:val="051Tabletext22"/>
              <w:rPr>
                <w:szCs w:val="20"/>
              </w:rPr>
            </w:pPr>
            <w:r w:rsidRPr="00074AD8">
              <w:rPr>
                <w:szCs w:val="20"/>
              </w:rPr>
              <w:t xml:space="preserve">No studies </w:t>
            </w:r>
            <w:r>
              <w:rPr>
                <w:szCs w:val="20"/>
              </w:rPr>
              <w:t xml:space="preserve">specifically </w:t>
            </w:r>
            <w:r w:rsidRPr="00074AD8">
              <w:rPr>
                <w:szCs w:val="20"/>
              </w:rPr>
              <w:t xml:space="preserve">designed to determine </w:t>
            </w:r>
            <w:r>
              <w:rPr>
                <w:szCs w:val="20"/>
              </w:rPr>
              <w:t xml:space="preserve">the </w:t>
            </w:r>
            <w:r w:rsidRPr="00074AD8">
              <w:rPr>
                <w:szCs w:val="20"/>
              </w:rPr>
              <w:t>diagnostic yield of genetic testing in the PICO population were identified.</w:t>
            </w:r>
          </w:p>
          <w:p w14:paraId="5627DF1F" w14:textId="61907B73" w:rsidR="006A0877" w:rsidRPr="00074AD8" w:rsidRDefault="006A0877">
            <w:pPr>
              <w:pStyle w:val="061Tabletext62"/>
              <w:rPr>
                <w:szCs w:val="20"/>
              </w:rPr>
            </w:pPr>
            <w:r w:rsidRPr="00074AD8">
              <w:rPr>
                <w:szCs w:val="20"/>
              </w:rPr>
              <w:t xml:space="preserve">The best available evidence suggests a high diagnostic yield </w:t>
            </w:r>
            <w:r>
              <w:rPr>
                <w:szCs w:val="20"/>
              </w:rPr>
              <w:t>for</w:t>
            </w:r>
            <w:r w:rsidRPr="00074AD8">
              <w:rPr>
                <w:szCs w:val="20"/>
              </w:rPr>
              <w:t xml:space="preserve"> </w:t>
            </w:r>
            <w:r w:rsidRPr="00AD4433">
              <w:rPr>
                <w:i/>
                <w:szCs w:val="20"/>
              </w:rPr>
              <w:t>ADAMTS13</w:t>
            </w:r>
            <w:r w:rsidRPr="00074AD8">
              <w:rPr>
                <w:szCs w:val="20"/>
              </w:rPr>
              <w:t xml:space="preserve"> genetic testing in </w:t>
            </w:r>
            <w:r w:rsidR="00E53F63">
              <w:rPr>
                <w:szCs w:val="20"/>
              </w:rPr>
              <w:t>affected individuals</w:t>
            </w:r>
            <w:r w:rsidRPr="00074AD8">
              <w:rPr>
                <w:szCs w:val="20"/>
              </w:rPr>
              <w:t xml:space="preserve"> </w:t>
            </w:r>
            <w:r w:rsidRPr="007F3AFC">
              <w:rPr>
                <w:i/>
                <w:szCs w:val="20"/>
              </w:rPr>
              <w:t>(very low certainty)</w:t>
            </w:r>
            <w:r w:rsidRPr="00074AD8">
              <w:rPr>
                <w:szCs w:val="20"/>
              </w:rPr>
              <w:t xml:space="preserve">, although </w:t>
            </w:r>
            <w:r>
              <w:rPr>
                <w:szCs w:val="20"/>
              </w:rPr>
              <w:t xml:space="preserve">the reported </w:t>
            </w:r>
            <w:r w:rsidRPr="00074AD8">
              <w:rPr>
                <w:szCs w:val="20"/>
              </w:rPr>
              <w:t>estimates may over</w:t>
            </w:r>
            <w:r>
              <w:rPr>
                <w:szCs w:val="20"/>
              </w:rPr>
              <w:t>state the</w:t>
            </w:r>
            <w:r w:rsidRPr="00074AD8">
              <w:rPr>
                <w:szCs w:val="20"/>
              </w:rPr>
              <w:t xml:space="preserve"> diagnostic yield in the intended population due to a likely </w:t>
            </w:r>
            <w:r>
              <w:rPr>
                <w:szCs w:val="20"/>
              </w:rPr>
              <w:t>overrepresentation</w:t>
            </w:r>
            <w:r w:rsidRPr="00074AD8">
              <w:rPr>
                <w:szCs w:val="20"/>
              </w:rPr>
              <w:t xml:space="preserve"> of probands in the test cohort</w:t>
            </w:r>
            <w:r>
              <w:rPr>
                <w:szCs w:val="20"/>
              </w:rPr>
              <w:t>s</w:t>
            </w:r>
            <w:r w:rsidRPr="00074AD8">
              <w:rPr>
                <w:szCs w:val="20"/>
              </w:rPr>
              <w:t>.</w:t>
            </w:r>
          </w:p>
          <w:p w14:paraId="52A78DF0" w14:textId="5288CDB9" w:rsidR="006A0877" w:rsidRPr="00074AD8" w:rsidRDefault="006A0877">
            <w:pPr>
              <w:pStyle w:val="061Tabletext62"/>
              <w:rPr>
                <w:szCs w:val="20"/>
              </w:rPr>
            </w:pPr>
            <w:r>
              <w:rPr>
                <w:szCs w:val="20"/>
              </w:rPr>
              <w:t>G</w:t>
            </w:r>
            <w:r w:rsidRPr="00074AD8">
              <w:rPr>
                <w:szCs w:val="20"/>
              </w:rPr>
              <w:t xml:space="preserve">enetic testing for </w:t>
            </w:r>
            <w:r w:rsidRPr="001646B0">
              <w:rPr>
                <w:i/>
                <w:iCs/>
                <w:szCs w:val="20"/>
              </w:rPr>
              <w:t>ADAMTS13</w:t>
            </w:r>
            <w:r w:rsidRPr="00074AD8">
              <w:rPr>
                <w:szCs w:val="20"/>
              </w:rPr>
              <w:t xml:space="preserve"> variants in </w:t>
            </w:r>
            <w:r w:rsidR="00E53F63">
              <w:rPr>
                <w:szCs w:val="20"/>
              </w:rPr>
              <w:t>affected individuals</w:t>
            </w:r>
            <w:r>
              <w:rPr>
                <w:szCs w:val="20"/>
              </w:rPr>
              <w:t>, when used to</w:t>
            </w:r>
            <w:r w:rsidRPr="00074AD8">
              <w:rPr>
                <w:szCs w:val="20"/>
              </w:rPr>
              <w:t xml:space="preserve"> confirm suspected cTTP</w:t>
            </w:r>
            <w:r>
              <w:rPr>
                <w:szCs w:val="20"/>
              </w:rPr>
              <w:t>,</w:t>
            </w:r>
            <w:r w:rsidRPr="00074AD8">
              <w:rPr>
                <w:szCs w:val="20"/>
              </w:rPr>
              <w:t xml:space="preserve"> </w:t>
            </w:r>
            <w:r>
              <w:rPr>
                <w:szCs w:val="20"/>
              </w:rPr>
              <w:t>demonstrates</w:t>
            </w:r>
            <w:r w:rsidRPr="00074AD8">
              <w:rPr>
                <w:szCs w:val="20"/>
              </w:rPr>
              <w:t xml:space="preserve"> a diagnostic yield of </w:t>
            </w:r>
            <w:r>
              <w:rPr>
                <w:szCs w:val="20"/>
              </w:rPr>
              <w:t xml:space="preserve">approximately </w:t>
            </w:r>
            <w:r w:rsidRPr="00074AD8">
              <w:rPr>
                <w:szCs w:val="20"/>
              </w:rPr>
              <w:t>97%</w:t>
            </w:r>
            <w:r>
              <w:rPr>
                <w:szCs w:val="20"/>
              </w:rPr>
              <w:t>,</w:t>
            </w:r>
            <w:r w:rsidRPr="00074AD8">
              <w:rPr>
                <w:szCs w:val="20"/>
              </w:rPr>
              <w:t xml:space="preserve"> </w:t>
            </w:r>
            <w:r>
              <w:rPr>
                <w:szCs w:val="20"/>
              </w:rPr>
              <w:t xml:space="preserve">with a reported </w:t>
            </w:r>
            <w:r w:rsidRPr="00074AD8">
              <w:rPr>
                <w:szCs w:val="20"/>
              </w:rPr>
              <w:t xml:space="preserve">range </w:t>
            </w:r>
            <w:r>
              <w:rPr>
                <w:szCs w:val="20"/>
              </w:rPr>
              <w:t xml:space="preserve">of </w:t>
            </w:r>
            <w:r w:rsidRPr="00074AD8">
              <w:rPr>
                <w:szCs w:val="20"/>
              </w:rPr>
              <w:t>72%</w:t>
            </w:r>
            <w:r>
              <w:rPr>
                <w:szCs w:val="20"/>
              </w:rPr>
              <w:t xml:space="preserve"> to </w:t>
            </w:r>
            <w:r w:rsidRPr="00074AD8">
              <w:rPr>
                <w:szCs w:val="20"/>
              </w:rPr>
              <w:t>100%.</w:t>
            </w:r>
          </w:p>
        </w:tc>
      </w:tr>
      <w:tr w:rsidR="006A0877" w:rsidRPr="00074AD8" w14:paraId="1E7D067B" w14:textId="77777777">
        <w:tc>
          <w:tcPr>
            <w:tcW w:w="1841" w:type="dxa"/>
          </w:tcPr>
          <w:p w14:paraId="09424004" w14:textId="77777777" w:rsidR="006A0877" w:rsidRPr="00074AD8" w:rsidRDefault="006A0877">
            <w:pPr>
              <w:pStyle w:val="051Tabletext22"/>
              <w:rPr>
                <w:szCs w:val="20"/>
              </w:rPr>
            </w:pPr>
            <w:r w:rsidRPr="00074AD8">
              <w:rPr>
                <w:szCs w:val="20"/>
              </w:rPr>
              <w:t>Change in management</w:t>
            </w:r>
          </w:p>
        </w:tc>
        <w:tc>
          <w:tcPr>
            <w:tcW w:w="7175" w:type="dxa"/>
          </w:tcPr>
          <w:p w14:paraId="4D9E9625" w14:textId="54B3F56B" w:rsidR="006A0877" w:rsidRPr="00074AD8" w:rsidRDefault="006A0877">
            <w:pPr>
              <w:pStyle w:val="051Tabletext22"/>
              <w:rPr>
                <w:szCs w:val="20"/>
              </w:rPr>
            </w:pPr>
            <w:r w:rsidRPr="00074AD8">
              <w:rPr>
                <w:szCs w:val="20"/>
              </w:rPr>
              <w:t xml:space="preserve">According to clinical practice guidelines, </w:t>
            </w:r>
            <w:r>
              <w:rPr>
                <w:szCs w:val="20"/>
              </w:rPr>
              <w:t>in the absence of genetic</w:t>
            </w:r>
            <w:r w:rsidRPr="00074AD8">
              <w:rPr>
                <w:szCs w:val="20"/>
              </w:rPr>
              <w:t xml:space="preserve"> test</w:t>
            </w:r>
            <w:r>
              <w:rPr>
                <w:szCs w:val="20"/>
              </w:rPr>
              <w:t>ing</w:t>
            </w:r>
            <w:r w:rsidRPr="00074AD8">
              <w:rPr>
                <w:szCs w:val="20"/>
              </w:rPr>
              <w:t xml:space="preserve">, </w:t>
            </w:r>
            <w:r>
              <w:rPr>
                <w:szCs w:val="20"/>
              </w:rPr>
              <w:t xml:space="preserve">patients with </w:t>
            </w:r>
            <w:r w:rsidRPr="00074AD8">
              <w:rPr>
                <w:szCs w:val="20"/>
              </w:rPr>
              <w:t xml:space="preserve">suspected cTTP are managed based on </w:t>
            </w:r>
            <w:r>
              <w:rPr>
                <w:szCs w:val="20"/>
              </w:rPr>
              <w:t xml:space="preserve">their </w:t>
            </w:r>
            <w:r w:rsidRPr="00074AD8">
              <w:rPr>
                <w:szCs w:val="20"/>
              </w:rPr>
              <w:t>response to treatment</w:t>
            </w:r>
            <w:r>
              <w:rPr>
                <w:szCs w:val="20"/>
              </w:rPr>
              <w:t>,</w:t>
            </w:r>
            <w:r w:rsidRPr="00074AD8">
              <w:rPr>
                <w:szCs w:val="20"/>
              </w:rPr>
              <w:t xml:space="preserve"> and some may </w:t>
            </w:r>
            <w:r>
              <w:rPr>
                <w:szCs w:val="20"/>
              </w:rPr>
              <w:t>receive</w:t>
            </w:r>
            <w:r w:rsidRPr="00074AD8">
              <w:rPr>
                <w:szCs w:val="20"/>
              </w:rPr>
              <w:t xml:space="preserve"> prophylaxis. In some circumstances, </w:t>
            </w:r>
            <w:r w:rsidRPr="001646B0">
              <w:rPr>
                <w:i/>
                <w:iCs/>
                <w:szCs w:val="20"/>
              </w:rPr>
              <w:t xml:space="preserve">ADAMTS13 </w:t>
            </w:r>
            <w:r w:rsidRPr="00074AD8">
              <w:rPr>
                <w:szCs w:val="20"/>
              </w:rPr>
              <w:t xml:space="preserve">genetic testing in </w:t>
            </w:r>
            <w:r w:rsidR="00E53F63">
              <w:rPr>
                <w:szCs w:val="20"/>
              </w:rPr>
              <w:t>affected individuals</w:t>
            </w:r>
            <w:r w:rsidRPr="00074AD8">
              <w:rPr>
                <w:szCs w:val="20"/>
              </w:rPr>
              <w:t xml:space="preserve"> may lead to a change in management </w:t>
            </w:r>
            <w:r>
              <w:rPr>
                <w:szCs w:val="20"/>
              </w:rPr>
              <w:t>by enabling</w:t>
            </w:r>
            <w:r w:rsidRPr="00074AD8">
              <w:rPr>
                <w:szCs w:val="20"/>
              </w:rPr>
              <w:t xml:space="preserve"> timely and appropriate treatment of </w:t>
            </w:r>
            <w:r>
              <w:rPr>
                <w:szCs w:val="20"/>
              </w:rPr>
              <w:t>future</w:t>
            </w:r>
            <w:r w:rsidRPr="00074AD8">
              <w:rPr>
                <w:szCs w:val="20"/>
              </w:rPr>
              <w:t xml:space="preserve"> acute episodes or support</w:t>
            </w:r>
            <w:r>
              <w:rPr>
                <w:szCs w:val="20"/>
              </w:rPr>
              <w:t>ing</w:t>
            </w:r>
            <w:r w:rsidRPr="00074AD8">
              <w:rPr>
                <w:szCs w:val="20"/>
              </w:rPr>
              <w:t xml:space="preserve"> access to prophyla</w:t>
            </w:r>
            <w:r>
              <w:rPr>
                <w:szCs w:val="20"/>
              </w:rPr>
              <w:t>ctic therapy</w:t>
            </w:r>
            <w:r w:rsidRPr="00074AD8">
              <w:rPr>
                <w:szCs w:val="20"/>
              </w:rPr>
              <w:t xml:space="preserve"> </w:t>
            </w:r>
            <w:r w:rsidRPr="007F3AFC">
              <w:rPr>
                <w:i/>
                <w:szCs w:val="20"/>
              </w:rPr>
              <w:t>(low level evidence)</w:t>
            </w:r>
            <w:r w:rsidRPr="00074AD8">
              <w:rPr>
                <w:szCs w:val="20"/>
              </w:rPr>
              <w:t>.</w:t>
            </w:r>
          </w:p>
          <w:p w14:paraId="57F2F3BA" w14:textId="580E72D3" w:rsidR="006A0877" w:rsidRPr="00074AD8" w:rsidRDefault="006A0877">
            <w:pPr>
              <w:pStyle w:val="061Tabletext62"/>
              <w:rPr>
                <w:szCs w:val="20"/>
              </w:rPr>
            </w:pPr>
            <w:r w:rsidRPr="00074AD8">
              <w:rPr>
                <w:szCs w:val="20"/>
              </w:rPr>
              <w:t>Genetic testing can provide diagnostic certainty, which is important in the context of decision</w:t>
            </w:r>
            <w:r w:rsidR="00D66D1E">
              <w:rPr>
                <w:szCs w:val="20"/>
              </w:rPr>
              <w:t>-</w:t>
            </w:r>
            <w:r w:rsidRPr="00074AD8">
              <w:rPr>
                <w:szCs w:val="20"/>
              </w:rPr>
              <w:t>making about lifelong prophylaxis.</w:t>
            </w:r>
          </w:p>
        </w:tc>
      </w:tr>
      <w:tr w:rsidR="006A0877" w:rsidRPr="00074AD8" w14:paraId="3C1B9DA2" w14:textId="77777777">
        <w:tc>
          <w:tcPr>
            <w:tcW w:w="1841" w:type="dxa"/>
          </w:tcPr>
          <w:p w14:paraId="3D6E6357" w14:textId="77777777" w:rsidR="006A0877" w:rsidRPr="00074AD8" w:rsidRDefault="006A0877">
            <w:pPr>
              <w:pStyle w:val="051Tabletext22"/>
              <w:rPr>
                <w:szCs w:val="20"/>
              </w:rPr>
            </w:pPr>
            <w:r w:rsidRPr="00074AD8">
              <w:rPr>
                <w:szCs w:val="20"/>
              </w:rPr>
              <w:t>Health outcomes</w:t>
            </w:r>
          </w:p>
        </w:tc>
        <w:tc>
          <w:tcPr>
            <w:tcW w:w="7175" w:type="dxa"/>
          </w:tcPr>
          <w:p w14:paraId="4EE5E575" w14:textId="77777777" w:rsidR="006A0877" w:rsidRPr="00074AD8" w:rsidRDefault="006A0877">
            <w:pPr>
              <w:pStyle w:val="051Tabletext22"/>
              <w:rPr>
                <w:szCs w:val="20"/>
              </w:rPr>
            </w:pPr>
            <w:r w:rsidRPr="00074AD8">
              <w:rPr>
                <w:szCs w:val="20"/>
              </w:rPr>
              <w:t>The best available evidence</w:t>
            </w:r>
            <w:r>
              <w:rPr>
                <w:szCs w:val="20"/>
              </w:rPr>
              <w:t xml:space="preserve"> </w:t>
            </w:r>
            <w:r w:rsidRPr="005E16B8">
              <w:rPr>
                <w:i/>
                <w:szCs w:val="20"/>
              </w:rPr>
              <w:t>(low level)</w:t>
            </w:r>
            <w:r w:rsidRPr="00074AD8">
              <w:rPr>
                <w:szCs w:val="20"/>
              </w:rPr>
              <w:t xml:space="preserve"> indicates </w:t>
            </w:r>
            <w:r>
              <w:rPr>
                <w:szCs w:val="20"/>
              </w:rPr>
              <w:t xml:space="preserve">that </w:t>
            </w:r>
            <w:r w:rsidRPr="00074AD8">
              <w:rPr>
                <w:szCs w:val="20"/>
              </w:rPr>
              <w:t xml:space="preserve">access to prophylaxis reduces morbidity (non-overt symptoms, stroke, ischaemic organ damage) and the incidence of acute episodes </w:t>
            </w:r>
            <w:r>
              <w:rPr>
                <w:szCs w:val="20"/>
              </w:rPr>
              <w:t>during</w:t>
            </w:r>
            <w:r w:rsidRPr="00074AD8">
              <w:rPr>
                <w:szCs w:val="20"/>
              </w:rPr>
              <w:t xml:space="preserve"> pregnancy. </w:t>
            </w:r>
          </w:p>
          <w:p w14:paraId="64A0A613" w14:textId="183AAE6E" w:rsidR="006A0877" w:rsidRPr="00074AD8" w:rsidRDefault="006A0877">
            <w:pPr>
              <w:pStyle w:val="061Tabletext62"/>
              <w:rPr>
                <w:szCs w:val="20"/>
              </w:rPr>
            </w:pPr>
            <w:r w:rsidRPr="00074AD8">
              <w:rPr>
                <w:szCs w:val="20"/>
              </w:rPr>
              <w:t xml:space="preserve">Australian and international </w:t>
            </w:r>
            <w:r>
              <w:rPr>
                <w:szCs w:val="20"/>
              </w:rPr>
              <w:t xml:space="preserve">clinical practice </w:t>
            </w:r>
            <w:r w:rsidRPr="00074AD8">
              <w:rPr>
                <w:szCs w:val="20"/>
              </w:rPr>
              <w:t>guidelines</w:t>
            </w:r>
            <w:r>
              <w:rPr>
                <w:szCs w:val="20"/>
              </w:rPr>
              <w:t xml:space="preserve"> support the use of prophylaxis in patients with suspected cTTP. As a result</w:t>
            </w:r>
            <w:r w:rsidRPr="00074AD8">
              <w:rPr>
                <w:szCs w:val="20"/>
              </w:rPr>
              <w:t xml:space="preserve">, the </w:t>
            </w:r>
            <w:r>
              <w:rPr>
                <w:szCs w:val="20"/>
              </w:rPr>
              <w:t xml:space="preserve">incremental diagnostic value of </w:t>
            </w:r>
            <w:r w:rsidRPr="001646B0">
              <w:rPr>
                <w:i/>
                <w:iCs/>
                <w:szCs w:val="20"/>
              </w:rPr>
              <w:t>ADAMTS13</w:t>
            </w:r>
            <w:r>
              <w:rPr>
                <w:szCs w:val="20"/>
              </w:rPr>
              <w:t xml:space="preserve"> </w:t>
            </w:r>
            <w:r w:rsidRPr="00074AD8">
              <w:rPr>
                <w:szCs w:val="20"/>
              </w:rPr>
              <w:t>genetic test</w:t>
            </w:r>
            <w:r>
              <w:rPr>
                <w:szCs w:val="20"/>
              </w:rPr>
              <w:t>ing</w:t>
            </w:r>
            <w:r w:rsidRPr="00074AD8">
              <w:rPr>
                <w:szCs w:val="20"/>
              </w:rPr>
              <w:t xml:space="preserve"> may </w:t>
            </w:r>
            <w:r>
              <w:rPr>
                <w:szCs w:val="20"/>
              </w:rPr>
              <w:t xml:space="preserve">be </w:t>
            </w:r>
            <w:r w:rsidRPr="00074AD8">
              <w:rPr>
                <w:szCs w:val="20"/>
              </w:rPr>
              <w:t xml:space="preserve">limited for many </w:t>
            </w:r>
            <w:r w:rsidR="00E53F63">
              <w:rPr>
                <w:szCs w:val="20"/>
              </w:rPr>
              <w:t>affected individuals</w:t>
            </w:r>
            <w:r w:rsidRPr="00074AD8">
              <w:rPr>
                <w:szCs w:val="20"/>
              </w:rPr>
              <w:t>.</w:t>
            </w:r>
          </w:p>
          <w:p w14:paraId="02100850" w14:textId="321248FF" w:rsidR="006A0877" w:rsidRPr="00074AD8" w:rsidRDefault="006A0877">
            <w:pPr>
              <w:pStyle w:val="061Tabletext62"/>
              <w:rPr>
                <w:szCs w:val="20"/>
              </w:rPr>
            </w:pPr>
            <w:r>
              <w:rPr>
                <w:szCs w:val="20"/>
              </w:rPr>
              <w:t>However, w</w:t>
            </w:r>
            <w:r w:rsidRPr="00074AD8">
              <w:rPr>
                <w:szCs w:val="20"/>
              </w:rPr>
              <w:t xml:space="preserve">here a proband has first-degree </w:t>
            </w:r>
            <w:r w:rsidR="002A657A">
              <w:rPr>
                <w:szCs w:val="20"/>
              </w:rPr>
              <w:t>biological</w:t>
            </w:r>
            <w:r w:rsidRPr="00074AD8">
              <w:rPr>
                <w:szCs w:val="20"/>
              </w:rPr>
              <w:t xml:space="preserve"> </w:t>
            </w:r>
            <w:r w:rsidR="0065761F">
              <w:rPr>
                <w:szCs w:val="20"/>
              </w:rPr>
              <w:t>relatives</w:t>
            </w:r>
            <w:r w:rsidRPr="00074AD8">
              <w:rPr>
                <w:szCs w:val="20"/>
              </w:rPr>
              <w:t xml:space="preserve">, the </w:t>
            </w:r>
            <w:r>
              <w:rPr>
                <w:szCs w:val="20"/>
              </w:rPr>
              <w:t xml:space="preserve">genetic test may offer greater </w:t>
            </w:r>
            <w:r w:rsidRPr="00074AD8">
              <w:rPr>
                <w:szCs w:val="20"/>
              </w:rPr>
              <w:t xml:space="preserve">incremental </w:t>
            </w:r>
            <w:r>
              <w:rPr>
                <w:szCs w:val="20"/>
              </w:rPr>
              <w:t>diag</w:t>
            </w:r>
            <w:r w:rsidRPr="00074AD8">
              <w:rPr>
                <w:szCs w:val="20"/>
              </w:rPr>
              <w:t>nostic value</w:t>
            </w:r>
            <w:r>
              <w:rPr>
                <w:szCs w:val="20"/>
              </w:rPr>
              <w:t>. This is particularly relevant for</w:t>
            </w:r>
            <w:r w:rsidRPr="00074AD8">
              <w:rPr>
                <w:szCs w:val="20"/>
              </w:rPr>
              <w:t xml:space="preserve"> cascade testing</w:t>
            </w:r>
            <w:r>
              <w:rPr>
                <w:szCs w:val="20"/>
              </w:rPr>
              <w:t>, which can inform early diagnosis and management</w:t>
            </w:r>
            <w:r w:rsidRPr="00074AD8">
              <w:rPr>
                <w:szCs w:val="20"/>
              </w:rPr>
              <w:t xml:space="preserve"> </w:t>
            </w:r>
            <w:r>
              <w:rPr>
                <w:szCs w:val="20"/>
              </w:rPr>
              <w:t>in at-risk family members</w:t>
            </w:r>
            <w:r w:rsidRPr="00074AD8">
              <w:rPr>
                <w:szCs w:val="20"/>
              </w:rPr>
              <w:t>.</w:t>
            </w:r>
          </w:p>
        </w:tc>
      </w:tr>
      <w:tr w:rsidR="006A0877" w:rsidRPr="00074AD8" w14:paraId="2758CC62" w14:textId="77777777">
        <w:tc>
          <w:tcPr>
            <w:tcW w:w="1841" w:type="dxa"/>
          </w:tcPr>
          <w:p w14:paraId="0A7B2F04" w14:textId="77777777" w:rsidR="006A0877" w:rsidRPr="00074AD8" w:rsidRDefault="006A0877">
            <w:pPr>
              <w:pStyle w:val="051Tabletext22"/>
              <w:rPr>
                <w:szCs w:val="20"/>
              </w:rPr>
            </w:pPr>
            <w:r w:rsidRPr="00074AD8">
              <w:rPr>
                <w:szCs w:val="20"/>
              </w:rPr>
              <w:t>Safety of the test</w:t>
            </w:r>
          </w:p>
        </w:tc>
        <w:tc>
          <w:tcPr>
            <w:tcW w:w="7175" w:type="dxa"/>
          </w:tcPr>
          <w:p w14:paraId="32C76ACB" w14:textId="250B0ED0" w:rsidR="006A0877" w:rsidRPr="00074AD8" w:rsidRDefault="006A0877">
            <w:pPr>
              <w:pStyle w:val="051Tabletext22"/>
              <w:rPr>
                <w:szCs w:val="20"/>
              </w:rPr>
            </w:pPr>
            <w:r w:rsidRPr="00074AD8">
              <w:rPr>
                <w:szCs w:val="20"/>
              </w:rPr>
              <w:t xml:space="preserve">No evidence of </w:t>
            </w:r>
            <w:r>
              <w:rPr>
                <w:szCs w:val="20"/>
              </w:rPr>
              <w:t xml:space="preserve">direct </w:t>
            </w:r>
            <w:r w:rsidRPr="00074AD8">
              <w:rPr>
                <w:szCs w:val="20"/>
              </w:rPr>
              <w:t xml:space="preserve">harms associated with </w:t>
            </w:r>
            <w:r w:rsidRPr="00081E9B">
              <w:rPr>
                <w:i/>
                <w:iCs/>
                <w:szCs w:val="20"/>
              </w:rPr>
              <w:t>ADAMTS13</w:t>
            </w:r>
            <w:r w:rsidRPr="00074AD8">
              <w:rPr>
                <w:szCs w:val="20"/>
              </w:rPr>
              <w:t xml:space="preserve"> genetic testing </w:t>
            </w:r>
            <w:r>
              <w:rPr>
                <w:szCs w:val="20"/>
              </w:rPr>
              <w:t>in</w:t>
            </w:r>
            <w:r w:rsidRPr="00074AD8">
              <w:rPr>
                <w:szCs w:val="20"/>
              </w:rPr>
              <w:t xml:space="preserve"> </w:t>
            </w:r>
            <w:r w:rsidR="00FD5699">
              <w:rPr>
                <w:szCs w:val="20"/>
              </w:rPr>
              <w:t>affected individuals</w:t>
            </w:r>
            <w:r w:rsidRPr="00074AD8">
              <w:rPr>
                <w:szCs w:val="20"/>
              </w:rPr>
              <w:t xml:space="preserve"> was identified.</w:t>
            </w:r>
          </w:p>
        </w:tc>
      </w:tr>
      <w:tr w:rsidR="006A0877" w:rsidRPr="00074AD8" w14:paraId="528C5E82" w14:textId="77777777">
        <w:tc>
          <w:tcPr>
            <w:tcW w:w="1841" w:type="dxa"/>
          </w:tcPr>
          <w:p w14:paraId="14A58EE4" w14:textId="77777777" w:rsidR="006A0877" w:rsidRPr="00074AD8" w:rsidRDefault="006A0877">
            <w:pPr>
              <w:pStyle w:val="051Tabletext22"/>
              <w:rPr>
                <w:szCs w:val="20"/>
              </w:rPr>
            </w:pPr>
            <w:r w:rsidRPr="00074AD8">
              <w:rPr>
                <w:szCs w:val="20"/>
              </w:rPr>
              <w:t>Safety of the treatment</w:t>
            </w:r>
          </w:p>
        </w:tc>
        <w:tc>
          <w:tcPr>
            <w:tcW w:w="7175" w:type="dxa"/>
          </w:tcPr>
          <w:p w14:paraId="2E6778A7" w14:textId="3EC60D53" w:rsidR="006A0877" w:rsidRPr="00074AD8" w:rsidRDefault="006A0877">
            <w:pPr>
              <w:pStyle w:val="051Tabletext22"/>
              <w:rPr>
                <w:szCs w:val="20"/>
              </w:rPr>
            </w:pPr>
            <w:r w:rsidRPr="00074AD8">
              <w:rPr>
                <w:szCs w:val="20"/>
              </w:rPr>
              <w:t xml:space="preserve">Use of </w:t>
            </w:r>
            <w:r w:rsidRPr="00081E9B">
              <w:rPr>
                <w:i/>
                <w:iCs/>
                <w:szCs w:val="20"/>
              </w:rPr>
              <w:t>ADAMTS13</w:t>
            </w:r>
            <w:r w:rsidRPr="00074AD8">
              <w:rPr>
                <w:szCs w:val="20"/>
              </w:rPr>
              <w:t xml:space="preserve"> genetic testing in </w:t>
            </w:r>
            <w:r w:rsidR="001D004B">
              <w:rPr>
                <w:szCs w:val="20"/>
              </w:rPr>
              <w:t>affected individuals</w:t>
            </w:r>
            <w:r w:rsidRPr="00074AD8">
              <w:rPr>
                <w:szCs w:val="20"/>
              </w:rPr>
              <w:t xml:space="preserve"> may improve </w:t>
            </w:r>
            <w:r>
              <w:rPr>
                <w:szCs w:val="20"/>
              </w:rPr>
              <w:t xml:space="preserve">treatment </w:t>
            </w:r>
            <w:r w:rsidRPr="00074AD8">
              <w:rPr>
                <w:szCs w:val="20"/>
              </w:rPr>
              <w:t xml:space="preserve">safety by supporting </w:t>
            </w:r>
            <w:r>
              <w:rPr>
                <w:szCs w:val="20"/>
              </w:rPr>
              <w:t xml:space="preserve">the appropriate use of </w:t>
            </w:r>
            <w:r w:rsidRPr="00074AD8">
              <w:rPr>
                <w:szCs w:val="20"/>
              </w:rPr>
              <w:t xml:space="preserve">prophylaxis, </w:t>
            </w:r>
            <w:r>
              <w:rPr>
                <w:szCs w:val="20"/>
              </w:rPr>
              <w:t>which can</w:t>
            </w:r>
            <w:r w:rsidRPr="00074AD8">
              <w:rPr>
                <w:szCs w:val="20"/>
              </w:rPr>
              <w:t xml:space="preserve"> reduc</w:t>
            </w:r>
            <w:r>
              <w:rPr>
                <w:szCs w:val="20"/>
              </w:rPr>
              <w:t>e</w:t>
            </w:r>
            <w:r w:rsidRPr="00074AD8">
              <w:rPr>
                <w:szCs w:val="20"/>
              </w:rPr>
              <w:t xml:space="preserve"> morbidity and mortality</w:t>
            </w:r>
            <w:r>
              <w:rPr>
                <w:szCs w:val="20"/>
              </w:rPr>
              <w:t xml:space="preserve"> associated with cTTP</w:t>
            </w:r>
            <w:r w:rsidRPr="00074AD8">
              <w:rPr>
                <w:szCs w:val="20"/>
              </w:rPr>
              <w:t>.</w:t>
            </w:r>
          </w:p>
        </w:tc>
      </w:tr>
      <w:tr w:rsidR="006A0877" w:rsidRPr="00074AD8" w14:paraId="23C66FEE" w14:textId="77777777">
        <w:tc>
          <w:tcPr>
            <w:tcW w:w="1841" w:type="dxa"/>
          </w:tcPr>
          <w:p w14:paraId="6E1271C6" w14:textId="77777777" w:rsidR="006A0877" w:rsidRPr="00074AD8" w:rsidRDefault="006A0877">
            <w:pPr>
              <w:pStyle w:val="051Tabletext22"/>
              <w:rPr>
                <w:szCs w:val="20"/>
              </w:rPr>
            </w:pPr>
            <w:r w:rsidRPr="00074AD8">
              <w:rPr>
                <w:szCs w:val="20"/>
              </w:rPr>
              <w:t>Value of knowing</w:t>
            </w:r>
          </w:p>
        </w:tc>
        <w:tc>
          <w:tcPr>
            <w:tcW w:w="7175" w:type="dxa"/>
          </w:tcPr>
          <w:p w14:paraId="54A39CE2" w14:textId="77777777" w:rsidR="006A0877" w:rsidRPr="00074AD8" w:rsidRDefault="006A0877">
            <w:pPr>
              <w:pStyle w:val="051Tabletext22"/>
              <w:rPr>
                <w:szCs w:val="20"/>
              </w:rPr>
            </w:pPr>
            <w:r w:rsidRPr="00074AD8">
              <w:rPr>
                <w:szCs w:val="20"/>
              </w:rPr>
              <w:t xml:space="preserve">A </w:t>
            </w:r>
            <w:r>
              <w:rPr>
                <w:szCs w:val="20"/>
              </w:rPr>
              <w:t>confirmed genetic</w:t>
            </w:r>
            <w:r w:rsidRPr="00074AD8">
              <w:rPr>
                <w:szCs w:val="20"/>
              </w:rPr>
              <w:t xml:space="preserve"> diagnosis can</w:t>
            </w:r>
            <w:r>
              <w:rPr>
                <w:szCs w:val="20"/>
              </w:rPr>
              <w:t xml:space="preserve"> provide</w:t>
            </w:r>
            <w:r w:rsidRPr="00074AD8">
              <w:rPr>
                <w:szCs w:val="20"/>
              </w:rPr>
              <w:t xml:space="preserve"> reassur</w:t>
            </w:r>
            <w:r>
              <w:rPr>
                <w:szCs w:val="20"/>
              </w:rPr>
              <w:t>ance</w:t>
            </w:r>
            <w:r w:rsidRPr="00074AD8">
              <w:rPr>
                <w:szCs w:val="20"/>
              </w:rPr>
              <w:t xml:space="preserve"> </w:t>
            </w:r>
            <w:r>
              <w:rPr>
                <w:szCs w:val="20"/>
              </w:rPr>
              <w:t xml:space="preserve">to </w:t>
            </w:r>
            <w:r w:rsidRPr="00074AD8">
              <w:rPr>
                <w:szCs w:val="20"/>
              </w:rPr>
              <w:t>patients</w:t>
            </w:r>
            <w:r>
              <w:rPr>
                <w:szCs w:val="20"/>
              </w:rPr>
              <w:t>,</w:t>
            </w:r>
            <w:r w:rsidRPr="00074AD8">
              <w:rPr>
                <w:szCs w:val="20"/>
              </w:rPr>
              <w:t xml:space="preserve"> </w:t>
            </w:r>
            <w:r>
              <w:rPr>
                <w:szCs w:val="20"/>
              </w:rPr>
              <w:t>particularly in relation to</w:t>
            </w:r>
            <w:r w:rsidRPr="00074AD8">
              <w:rPr>
                <w:szCs w:val="20"/>
              </w:rPr>
              <w:t xml:space="preserve"> decisions </w:t>
            </w:r>
            <w:r>
              <w:rPr>
                <w:szCs w:val="20"/>
              </w:rPr>
              <w:t>about initiating</w:t>
            </w:r>
            <w:r w:rsidRPr="00074AD8">
              <w:rPr>
                <w:szCs w:val="20"/>
              </w:rPr>
              <w:t xml:space="preserve"> prophylaxis</w:t>
            </w:r>
            <w:r>
              <w:rPr>
                <w:szCs w:val="20"/>
              </w:rPr>
              <w:t xml:space="preserve">. It also supports timely </w:t>
            </w:r>
            <w:r w:rsidRPr="00074AD8">
              <w:rPr>
                <w:szCs w:val="20"/>
              </w:rPr>
              <w:t xml:space="preserve">access to appropriate therapy </w:t>
            </w:r>
            <w:r>
              <w:rPr>
                <w:szCs w:val="20"/>
              </w:rPr>
              <w:t>during</w:t>
            </w:r>
            <w:r w:rsidRPr="00074AD8">
              <w:rPr>
                <w:szCs w:val="20"/>
              </w:rPr>
              <w:t xml:space="preserve"> acute episodes</w:t>
            </w:r>
            <w:r>
              <w:rPr>
                <w:szCs w:val="20"/>
              </w:rPr>
              <w:t>, regardless of the clinical setting</w:t>
            </w:r>
            <w:r w:rsidRPr="00074AD8">
              <w:rPr>
                <w:szCs w:val="20"/>
              </w:rPr>
              <w:t>.</w:t>
            </w:r>
          </w:p>
        </w:tc>
      </w:tr>
      <w:tr w:rsidR="006A0877" w:rsidRPr="00074AD8" w14:paraId="5AA8787D" w14:textId="77777777">
        <w:tc>
          <w:tcPr>
            <w:tcW w:w="1841" w:type="dxa"/>
          </w:tcPr>
          <w:p w14:paraId="0EC0D189" w14:textId="77777777" w:rsidR="006A0877" w:rsidRPr="00074AD8" w:rsidRDefault="006A0877">
            <w:pPr>
              <w:pStyle w:val="051Tabletext22"/>
              <w:rPr>
                <w:szCs w:val="20"/>
              </w:rPr>
            </w:pPr>
            <w:r w:rsidRPr="00074AD8">
              <w:rPr>
                <w:szCs w:val="20"/>
              </w:rPr>
              <w:t>Overall assessment of the evidence</w:t>
            </w:r>
          </w:p>
        </w:tc>
        <w:tc>
          <w:tcPr>
            <w:tcW w:w="7175" w:type="dxa"/>
          </w:tcPr>
          <w:p w14:paraId="1633209B" w14:textId="77777777" w:rsidR="006A0877" w:rsidRPr="00074AD8" w:rsidRDefault="006A0877">
            <w:pPr>
              <w:pStyle w:val="051Tabletext22"/>
              <w:rPr>
                <w:szCs w:val="20"/>
              </w:rPr>
            </w:pPr>
            <w:r w:rsidRPr="0056050B">
              <w:rPr>
                <w:b/>
                <w:bCs/>
                <w:i/>
                <w:iCs/>
                <w:szCs w:val="20"/>
              </w:rPr>
              <w:t>Superior</w:t>
            </w:r>
            <w:r w:rsidRPr="0056050B">
              <w:rPr>
                <w:i/>
                <w:iCs/>
                <w:szCs w:val="20"/>
              </w:rPr>
              <w:t xml:space="preserve"> for both safety and effectiveness</w:t>
            </w:r>
            <w:r>
              <w:rPr>
                <w:szCs w:val="20"/>
              </w:rPr>
              <w:t>.</w:t>
            </w:r>
          </w:p>
          <w:p w14:paraId="427697C0" w14:textId="77777777" w:rsidR="006A0877" w:rsidRPr="00074AD8" w:rsidRDefault="006A0877">
            <w:pPr>
              <w:pStyle w:val="061Tabletext62"/>
              <w:rPr>
                <w:szCs w:val="20"/>
              </w:rPr>
            </w:pPr>
            <w:r w:rsidRPr="00074AD8">
              <w:rPr>
                <w:szCs w:val="20"/>
              </w:rPr>
              <w:t xml:space="preserve">This assessment is based on </w:t>
            </w:r>
            <w:r>
              <w:rPr>
                <w:szCs w:val="20"/>
              </w:rPr>
              <w:t>single-arm observational</w:t>
            </w:r>
            <w:r w:rsidRPr="00074AD8">
              <w:rPr>
                <w:szCs w:val="20"/>
              </w:rPr>
              <w:t xml:space="preserve"> studies and clinical practice guidelines.</w:t>
            </w:r>
          </w:p>
        </w:tc>
      </w:tr>
    </w:tbl>
    <w:p w14:paraId="0C234827" w14:textId="77777777" w:rsidR="006A0877" w:rsidRDefault="006A0877" w:rsidP="006A0877">
      <w:pPr>
        <w:pStyle w:val="111Tablefootnoteslast-nostick"/>
      </w:pPr>
      <w:r w:rsidRPr="00AA2355">
        <w:t xml:space="preserve">cTTP = congenital </w:t>
      </w:r>
      <w:r w:rsidRPr="001E3F1F">
        <w:t>thrombotic thrombocytopenic purpura</w:t>
      </w:r>
      <w:r>
        <w:t>.</w:t>
      </w:r>
    </w:p>
    <w:p w14:paraId="409D1BD8" w14:textId="518A3ADC" w:rsidR="002908B8" w:rsidRDefault="002908B8" w:rsidP="002908B8">
      <w:pPr>
        <w:pStyle w:val="Caption"/>
      </w:pPr>
      <w:bookmarkStart w:id="29" w:name="_Ref213172022"/>
      <w:r>
        <w:lastRenderedPageBreak/>
        <w:t xml:space="preserve">Table </w:t>
      </w:r>
      <w:r>
        <w:fldChar w:fldCharType="begin"/>
      </w:r>
      <w:r>
        <w:instrText>SEQ Table \* ARABIC</w:instrText>
      </w:r>
      <w:r>
        <w:fldChar w:fldCharType="separate"/>
      </w:r>
      <w:r w:rsidR="00716875">
        <w:rPr>
          <w:noProof/>
        </w:rPr>
        <w:t>10</w:t>
      </w:r>
      <w:r>
        <w:fldChar w:fldCharType="end"/>
      </w:r>
      <w:bookmarkEnd w:id="29"/>
      <w:r>
        <w:tab/>
      </w:r>
      <w:r w:rsidRPr="00CE28E3">
        <w:t>Synthesis of the evidence and evidence gaps</w:t>
      </w:r>
      <w:r>
        <w:t xml:space="preserve"> for </w:t>
      </w:r>
      <w:r w:rsidRPr="002908B8">
        <w:rPr>
          <w:i/>
          <w:iCs w:val="0"/>
        </w:rPr>
        <w:t xml:space="preserve">ADAMTS13 </w:t>
      </w:r>
      <w:r w:rsidR="006453E4">
        <w:t>cascade</w:t>
      </w:r>
      <w:r>
        <w:t xml:space="preserve"> testing </w:t>
      </w:r>
      <w:r w:rsidR="006453E4">
        <w:t xml:space="preserve">(PICO Set </w:t>
      </w:r>
      <w:r w:rsidR="002C6259">
        <w:t>2)</w:t>
      </w:r>
    </w:p>
    <w:tbl>
      <w:tblPr>
        <w:tblStyle w:val="TableGrid3"/>
        <w:tblW w:w="5000" w:type="pct"/>
        <w:tblInd w:w="-3" w:type="dxa"/>
        <w:tblLook w:val="04A0" w:firstRow="1" w:lastRow="0" w:firstColumn="1" w:lastColumn="0" w:noHBand="0" w:noVBand="1"/>
        <w:tblCaption w:val="Synthesis of the evidence and evidence gaps for ADAMTS13 cascade testing (PICO Set 2)"/>
        <w:tblDescription w:val="Interpretation and key uncertainties for each evidence component in the linked evidence framework."/>
      </w:tblPr>
      <w:tblGrid>
        <w:gridCol w:w="1841"/>
        <w:gridCol w:w="7175"/>
      </w:tblGrid>
      <w:tr w:rsidR="002908B8" w:rsidRPr="00894FBD" w14:paraId="30C6E5C5" w14:textId="77777777" w:rsidTr="00457727">
        <w:trPr>
          <w:cnfStyle w:val="100000000000" w:firstRow="1" w:lastRow="0" w:firstColumn="0" w:lastColumn="0" w:oddVBand="0" w:evenVBand="0" w:oddHBand="0" w:evenHBand="0" w:firstRowFirstColumn="0" w:firstRowLastColumn="0" w:lastRowFirstColumn="0" w:lastRowLastColumn="0"/>
        </w:trPr>
        <w:tc>
          <w:tcPr>
            <w:tcW w:w="1841" w:type="dxa"/>
          </w:tcPr>
          <w:p w14:paraId="4C167EB2" w14:textId="77777777" w:rsidR="002908B8" w:rsidRPr="00D94C0A" w:rsidRDefault="002908B8">
            <w:pPr>
              <w:pStyle w:val="011TableHeading"/>
              <w:rPr>
                <w:szCs w:val="20"/>
              </w:rPr>
            </w:pPr>
            <w:r w:rsidRPr="00D94C0A">
              <w:rPr>
                <w:szCs w:val="20"/>
              </w:rPr>
              <w:t>Evidence component of the assessment</w:t>
            </w:r>
          </w:p>
        </w:tc>
        <w:tc>
          <w:tcPr>
            <w:tcW w:w="7175" w:type="dxa"/>
          </w:tcPr>
          <w:p w14:paraId="16074AA2" w14:textId="77777777" w:rsidR="002908B8" w:rsidRPr="00D94C0A" w:rsidRDefault="002908B8">
            <w:pPr>
              <w:pStyle w:val="011TableHeading"/>
              <w:rPr>
                <w:szCs w:val="20"/>
              </w:rPr>
            </w:pPr>
            <w:r w:rsidRPr="00D94C0A">
              <w:rPr>
                <w:szCs w:val="20"/>
              </w:rPr>
              <w:t>Interpretation and key uncertainties</w:t>
            </w:r>
          </w:p>
        </w:tc>
      </w:tr>
      <w:tr w:rsidR="002908B8" w:rsidRPr="00894FBD" w14:paraId="46B08CFB" w14:textId="77777777" w:rsidTr="00457727">
        <w:tc>
          <w:tcPr>
            <w:tcW w:w="1841" w:type="dxa"/>
          </w:tcPr>
          <w:p w14:paraId="596983E4" w14:textId="77777777" w:rsidR="002908B8" w:rsidRPr="00D94C0A" w:rsidRDefault="002908B8">
            <w:pPr>
              <w:pStyle w:val="051Tabletext22"/>
              <w:keepNext/>
              <w:rPr>
                <w:szCs w:val="20"/>
              </w:rPr>
            </w:pPr>
            <w:r w:rsidRPr="00D94C0A">
              <w:rPr>
                <w:szCs w:val="20"/>
              </w:rPr>
              <w:t>Diagnostic yield</w:t>
            </w:r>
          </w:p>
        </w:tc>
        <w:tc>
          <w:tcPr>
            <w:tcW w:w="7175" w:type="dxa"/>
          </w:tcPr>
          <w:p w14:paraId="3FF5AD0D" w14:textId="77777777" w:rsidR="002908B8" w:rsidRPr="00D94C0A" w:rsidRDefault="002908B8">
            <w:pPr>
              <w:pStyle w:val="051Tabletext22"/>
              <w:keepNext/>
              <w:rPr>
                <w:szCs w:val="20"/>
              </w:rPr>
            </w:pPr>
            <w:r w:rsidRPr="00D94C0A">
              <w:rPr>
                <w:szCs w:val="20"/>
              </w:rPr>
              <w:t xml:space="preserve">No studies </w:t>
            </w:r>
            <w:r>
              <w:rPr>
                <w:szCs w:val="20"/>
              </w:rPr>
              <w:t>evaluating the</w:t>
            </w:r>
            <w:r w:rsidRPr="00D94C0A">
              <w:rPr>
                <w:szCs w:val="20"/>
              </w:rPr>
              <w:t xml:space="preserve"> diagnostic yield </w:t>
            </w:r>
            <w:r>
              <w:rPr>
                <w:szCs w:val="20"/>
              </w:rPr>
              <w:t xml:space="preserve">of cascade testing for </w:t>
            </w:r>
            <w:r w:rsidRPr="00081E9B">
              <w:rPr>
                <w:i/>
                <w:iCs/>
                <w:szCs w:val="20"/>
              </w:rPr>
              <w:t>ADAMTS13</w:t>
            </w:r>
            <w:r>
              <w:rPr>
                <w:szCs w:val="20"/>
              </w:rPr>
              <w:t xml:space="preserve"> variants </w:t>
            </w:r>
            <w:r w:rsidRPr="00D94C0A">
              <w:rPr>
                <w:szCs w:val="20"/>
              </w:rPr>
              <w:t>were identified.</w:t>
            </w:r>
          </w:p>
          <w:p w14:paraId="4EFCA2CA" w14:textId="642E3547" w:rsidR="002908B8" w:rsidRPr="00D94C0A" w:rsidRDefault="002908B8">
            <w:pPr>
              <w:pStyle w:val="061Tabletext62"/>
              <w:rPr>
                <w:szCs w:val="20"/>
              </w:rPr>
            </w:pPr>
            <w:r w:rsidRPr="00D94C0A">
              <w:rPr>
                <w:szCs w:val="20"/>
              </w:rPr>
              <w:t>One single-family study confirmed the expected 25% yield of biallelic siblings</w:t>
            </w:r>
            <w:r>
              <w:rPr>
                <w:szCs w:val="20"/>
              </w:rPr>
              <w:t>, consistent</w:t>
            </w:r>
            <w:r w:rsidRPr="00D94C0A">
              <w:rPr>
                <w:szCs w:val="20"/>
              </w:rPr>
              <w:t xml:space="preserve"> with Mendelian inheritance patterns of an autosomal recessive condition. While this </w:t>
            </w:r>
            <w:r>
              <w:rPr>
                <w:szCs w:val="20"/>
              </w:rPr>
              <w:t>represents a conservative</w:t>
            </w:r>
            <w:r w:rsidRPr="00D94C0A">
              <w:rPr>
                <w:szCs w:val="20"/>
              </w:rPr>
              <w:t xml:space="preserve"> estimate, selective testing of symptomatic </w:t>
            </w:r>
            <w:r w:rsidR="0065761F">
              <w:rPr>
                <w:szCs w:val="20"/>
              </w:rPr>
              <w:t>relatives</w:t>
            </w:r>
            <w:r w:rsidRPr="00D94C0A">
              <w:rPr>
                <w:szCs w:val="20"/>
              </w:rPr>
              <w:t xml:space="preserve"> may increase the yield of cTTP diagnoses. </w:t>
            </w:r>
          </w:p>
          <w:p w14:paraId="4CFDFBC5" w14:textId="141C2535" w:rsidR="002908B8" w:rsidRPr="00D94C0A" w:rsidRDefault="002908B8">
            <w:pPr>
              <w:pStyle w:val="061Tabletext62"/>
              <w:rPr>
                <w:szCs w:val="20"/>
              </w:rPr>
            </w:pPr>
            <w:r w:rsidRPr="00D94C0A">
              <w:rPr>
                <w:szCs w:val="20"/>
              </w:rPr>
              <w:t xml:space="preserve">A negative result </w:t>
            </w:r>
            <w:r>
              <w:rPr>
                <w:szCs w:val="20"/>
              </w:rPr>
              <w:t xml:space="preserve">in cascade testing </w:t>
            </w:r>
            <w:r w:rsidRPr="00D94C0A">
              <w:rPr>
                <w:szCs w:val="20"/>
              </w:rPr>
              <w:t xml:space="preserve">provides value </w:t>
            </w:r>
            <w:r>
              <w:rPr>
                <w:szCs w:val="20"/>
              </w:rPr>
              <w:t xml:space="preserve">through diagnostic certainty, particularly in ruling out disease in at-risk </w:t>
            </w:r>
            <w:r w:rsidR="0065761F">
              <w:rPr>
                <w:szCs w:val="20"/>
              </w:rPr>
              <w:t>relatives</w:t>
            </w:r>
            <w:r>
              <w:rPr>
                <w:szCs w:val="20"/>
              </w:rPr>
              <w:t>.</w:t>
            </w:r>
            <w:r w:rsidRPr="00D94C0A">
              <w:rPr>
                <w:szCs w:val="20"/>
              </w:rPr>
              <w:t xml:space="preserve"> </w:t>
            </w:r>
            <w:r>
              <w:rPr>
                <w:szCs w:val="20"/>
              </w:rPr>
              <w:t>I</w:t>
            </w:r>
            <w:r w:rsidRPr="00D94C0A">
              <w:rPr>
                <w:szCs w:val="20"/>
              </w:rPr>
              <w:t xml:space="preserve">n this context, the diagnostic yield </w:t>
            </w:r>
            <w:r>
              <w:rPr>
                <w:szCs w:val="20"/>
              </w:rPr>
              <w:t>can be considered</w:t>
            </w:r>
            <w:r w:rsidRPr="00D94C0A">
              <w:rPr>
                <w:szCs w:val="20"/>
              </w:rPr>
              <w:t xml:space="preserve"> 100%.</w:t>
            </w:r>
          </w:p>
        </w:tc>
      </w:tr>
      <w:tr w:rsidR="002908B8" w:rsidRPr="00894FBD" w14:paraId="270A07D9" w14:textId="77777777" w:rsidTr="00457727">
        <w:tc>
          <w:tcPr>
            <w:tcW w:w="1841" w:type="dxa"/>
          </w:tcPr>
          <w:p w14:paraId="7E1D5FE8" w14:textId="77777777" w:rsidR="002908B8" w:rsidRPr="00D94C0A" w:rsidRDefault="002908B8">
            <w:pPr>
              <w:pStyle w:val="051Tabletext22"/>
              <w:keepNext/>
              <w:rPr>
                <w:szCs w:val="20"/>
              </w:rPr>
            </w:pPr>
            <w:r w:rsidRPr="00D94C0A">
              <w:rPr>
                <w:szCs w:val="20"/>
              </w:rPr>
              <w:t>Change in management</w:t>
            </w:r>
          </w:p>
        </w:tc>
        <w:tc>
          <w:tcPr>
            <w:tcW w:w="7175" w:type="dxa"/>
          </w:tcPr>
          <w:p w14:paraId="47F5489B" w14:textId="77777777" w:rsidR="002908B8" w:rsidRPr="00D94C0A" w:rsidRDefault="002908B8">
            <w:pPr>
              <w:pStyle w:val="051Tabletext22"/>
              <w:keepNext/>
              <w:rPr>
                <w:szCs w:val="20"/>
              </w:rPr>
            </w:pPr>
            <w:r w:rsidRPr="00D94C0A">
              <w:rPr>
                <w:szCs w:val="20"/>
              </w:rPr>
              <w:t xml:space="preserve">No studies </w:t>
            </w:r>
            <w:r>
              <w:rPr>
                <w:szCs w:val="20"/>
              </w:rPr>
              <w:t>specifically evaluating</w:t>
            </w:r>
            <w:r w:rsidRPr="00D94C0A">
              <w:rPr>
                <w:szCs w:val="20"/>
              </w:rPr>
              <w:t xml:space="preserve"> change in management </w:t>
            </w:r>
            <w:r>
              <w:rPr>
                <w:szCs w:val="20"/>
              </w:rPr>
              <w:t xml:space="preserve">resulting from </w:t>
            </w:r>
            <w:r w:rsidRPr="00D94C0A">
              <w:rPr>
                <w:szCs w:val="20"/>
              </w:rPr>
              <w:t>cascade testing</w:t>
            </w:r>
            <w:r>
              <w:rPr>
                <w:szCs w:val="20"/>
              </w:rPr>
              <w:t xml:space="preserve"> </w:t>
            </w:r>
            <w:r w:rsidRPr="00D94C0A">
              <w:rPr>
                <w:szCs w:val="20"/>
              </w:rPr>
              <w:t>were identified. Limited descriptive evidence was found in case reports.</w:t>
            </w:r>
          </w:p>
          <w:p w14:paraId="27EF4FEE" w14:textId="77777777" w:rsidR="002908B8" w:rsidRDefault="002908B8">
            <w:pPr>
              <w:pStyle w:val="061Tabletext62"/>
              <w:rPr>
                <w:szCs w:val="20"/>
              </w:rPr>
            </w:pPr>
            <w:r>
              <w:rPr>
                <w:szCs w:val="20"/>
              </w:rPr>
              <w:t xml:space="preserve">A </w:t>
            </w:r>
            <w:r w:rsidRPr="00D94C0A">
              <w:rPr>
                <w:szCs w:val="20"/>
              </w:rPr>
              <w:t xml:space="preserve">confirmed cTTP diagnosis </w:t>
            </w:r>
            <w:r>
              <w:rPr>
                <w:szCs w:val="20"/>
              </w:rPr>
              <w:t xml:space="preserve">through </w:t>
            </w:r>
            <w:r w:rsidRPr="00D94C0A">
              <w:rPr>
                <w:i/>
                <w:iCs/>
                <w:szCs w:val="20"/>
              </w:rPr>
              <w:t>ADAMTS13</w:t>
            </w:r>
            <w:r w:rsidRPr="00D94C0A">
              <w:rPr>
                <w:szCs w:val="20"/>
              </w:rPr>
              <w:t xml:space="preserve"> genetic testing can </w:t>
            </w:r>
            <w:r>
              <w:rPr>
                <w:szCs w:val="20"/>
              </w:rPr>
              <w:t>support</w:t>
            </w:r>
            <w:r w:rsidRPr="00D94C0A">
              <w:rPr>
                <w:szCs w:val="20"/>
              </w:rPr>
              <w:t xml:space="preserve"> timely and appropriate therapy in the event of an acute attack and can inform strategies for prophylaxis where necessary.</w:t>
            </w:r>
          </w:p>
          <w:p w14:paraId="22DA2D56" w14:textId="0423D6A1" w:rsidR="002908B8" w:rsidRPr="00D94C0A" w:rsidRDefault="002908B8">
            <w:pPr>
              <w:pStyle w:val="061Tabletext62"/>
              <w:rPr>
                <w:szCs w:val="20"/>
              </w:rPr>
            </w:pPr>
            <w:r>
              <w:rPr>
                <w:szCs w:val="20"/>
              </w:rPr>
              <w:t xml:space="preserve">The incremental diagnostic value of a positive cTTP diagnosis in </w:t>
            </w:r>
            <w:r w:rsidR="0065761F">
              <w:rPr>
                <w:szCs w:val="20"/>
              </w:rPr>
              <w:t>relatives</w:t>
            </w:r>
            <w:r>
              <w:rPr>
                <w:szCs w:val="20"/>
              </w:rPr>
              <w:t xml:space="preserve"> prior to disease onset may be greater than in </w:t>
            </w:r>
            <w:r w:rsidR="009175FF">
              <w:rPr>
                <w:szCs w:val="20"/>
              </w:rPr>
              <w:t>probands</w:t>
            </w:r>
            <w:r>
              <w:rPr>
                <w:szCs w:val="20"/>
              </w:rPr>
              <w:t xml:space="preserve">, as </w:t>
            </w:r>
            <w:r w:rsidR="0065761F">
              <w:rPr>
                <w:szCs w:val="20"/>
              </w:rPr>
              <w:t>relatives</w:t>
            </w:r>
            <w:r>
              <w:rPr>
                <w:szCs w:val="20"/>
              </w:rPr>
              <w:t xml:space="preserve"> do not have response-to-treatment information to guide management. Early identification enables prompt access to appropriate treatment at disease onset and consideration of primary prophylaxis.</w:t>
            </w:r>
          </w:p>
        </w:tc>
      </w:tr>
      <w:tr w:rsidR="002908B8" w:rsidRPr="00894FBD" w14:paraId="6832F0E2" w14:textId="77777777" w:rsidTr="00457727">
        <w:tc>
          <w:tcPr>
            <w:tcW w:w="1841" w:type="dxa"/>
          </w:tcPr>
          <w:p w14:paraId="46DBCDDF" w14:textId="77777777" w:rsidR="002908B8" w:rsidRPr="00D94C0A" w:rsidRDefault="002908B8">
            <w:pPr>
              <w:pStyle w:val="051Tabletext22"/>
              <w:keepNext/>
              <w:rPr>
                <w:szCs w:val="20"/>
              </w:rPr>
            </w:pPr>
            <w:r w:rsidRPr="00D94C0A">
              <w:rPr>
                <w:szCs w:val="20"/>
              </w:rPr>
              <w:t>Health outcomes</w:t>
            </w:r>
          </w:p>
        </w:tc>
        <w:tc>
          <w:tcPr>
            <w:tcW w:w="7175" w:type="dxa"/>
          </w:tcPr>
          <w:p w14:paraId="7975CD22" w14:textId="4FC30E5B" w:rsidR="002908B8" w:rsidRDefault="002908B8">
            <w:pPr>
              <w:pStyle w:val="051Tabletext22"/>
              <w:keepNext/>
              <w:rPr>
                <w:szCs w:val="20"/>
              </w:rPr>
            </w:pPr>
            <w:r w:rsidRPr="00D94C0A">
              <w:rPr>
                <w:szCs w:val="20"/>
              </w:rPr>
              <w:t xml:space="preserve">No studies </w:t>
            </w:r>
            <w:r>
              <w:rPr>
                <w:szCs w:val="20"/>
              </w:rPr>
              <w:t>evaluating</w:t>
            </w:r>
            <w:r w:rsidRPr="00D94C0A">
              <w:rPr>
                <w:szCs w:val="20"/>
              </w:rPr>
              <w:t xml:space="preserve"> change in management </w:t>
            </w:r>
            <w:r>
              <w:rPr>
                <w:szCs w:val="20"/>
              </w:rPr>
              <w:t xml:space="preserve">from cascade testing </w:t>
            </w:r>
            <w:r w:rsidRPr="00D94C0A">
              <w:rPr>
                <w:szCs w:val="20"/>
              </w:rPr>
              <w:t>were identified</w:t>
            </w:r>
            <w:r>
              <w:rPr>
                <w:szCs w:val="20"/>
              </w:rPr>
              <w:t>, and only l</w:t>
            </w:r>
            <w:r w:rsidRPr="00D94C0A">
              <w:rPr>
                <w:szCs w:val="20"/>
              </w:rPr>
              <w:t>imited descriptive evidence was found in case reports.</w:t>
            </w:r>
            <w:r>
              <w:rPr>
                <w:szCs w:val="20"/>
              </w:rPr>
              <w:t xml:space="preserve"> Additionally, n</w:t>
            </w:r>
            <w:r w:rsidRPr="00D94C0A">
              <w:rPr>
                <w:szCs w:val="20"/>
              </w:rPr>
              <w:t xml:space="preserve">o studies </w:t>
            </w:r>
            <w:r>
              <w:rPr>
                <w:szCs w:val="20"/>
              </w:rPr>
              <w:t xml:space="preserve">were found assessing the use </w:t>
            </w:r>
            <w:r w:rsidRPr="00D94C0A">
              <w:rPr>
                <w:szCs w:val="20"/>
              </w:rPr>
              <w:t>of pre-emptive prophylaxis upon diagnosis prior to symptom onset</w:t>
            </w:r>
            <w:r>
              <w:rPr>
                <w:szCs w:val="20"/>
              </w:rPr>
              <w:t xml:space="preserve"> in </w:t>
            </w:r>
            <w:r w:rsidR="0065761F">
              <w:rPr>
                <w:szCs w:val="20"/>
              </w:rPr>
              <w:t>relatives</w:t>
            </w:r>
            <w:r w:rsidRPr="00D94C0A">
              <w:rPr>
                <w:szCs w:val="20"/>
              </w:rPr>
              <w:t>.</w:t>
            </w:r>
          </w:p>
          <w:p w14:paraId="374B8B7C" w14:textId="77A67CB9" w:rsidR="002908B8" w:rsidRPr="00D94C0A" w:rsidRDefault="002908B8">
            <w:pPr>
              <w:pStyle w:val="061Tabletext62"/>
              <w:rPr>
                <w:szCs w:val="20"/>
              </w:rPr>
            </w:pPr>
            <w:r w:rsidRPr="00353F8C">
              <w:rPr>
                <w:szCs w:val="20"/>
              </w:rPr>
              <w:t xml:space="preserve">The best available evidence </w:t>
            </w:r>
            <w:r w:rsidRPr="00C2179B">
              <w:rPr>
                <w:i/>
                <w:szCs w:val="20"/>
              </w:rPr>
              <w:t>(low level)</w:t>
            </w:r>
            <w:r>
              <w:rPr>
                <w:szCs w:val="20"/>
              </w:rPr>
              <w:t>, derived</w:t>
            </w:r>
            <w:r w:rsidRPr="00353F8C">
              <w:rPr>
                <w:szCs w:val="20"/>
              </w:rPr>
              <w:t xml:space="preserve"> </w:t>
            </w:r>
            <w:r>
              <w:rPr>
                <w:szCs w:val="20"/>
              </w:rPr>
              <w:t xml:space="preserve">from </w:t>
            </w:r>
            <w:r w:rsidR="00AB7452">
              <w:rPr>
                <w:szCs w:val="20"/>
              </w:rPr>
              <w:t>affected individual</w:t>
            </w:r>
            <w:r>
              <w:rPr>
                <w:szCs w:val="20"/>
              </w:rPr>
              <w:t xml:space="preserve"> testing, also applies to </w:t>
            </w:r>
            <w:r w:rsidR="0065761F">
              <w:rPr>
                <w:szCs w:val="20"/>
              </w:rPr>
              <w:t>relatives</w:t>
            </w:r>
            <w:r>
              <w:rPr>
                <w:szCs w:val="20"/>
              </w:rPr>
              <w:t xml:space="preserve"> with confirmed cTTP. It </w:t>
            </w:r>
            <w:r w:rsidRPr="00353F8C">
              <w:rPr>
                <w:szCs w:val="20"/>
              </w:rPr>
              <w:t xml:space="preserve">indicates </w:t>
            </w:r>
            <w:r>
              <w:rPr>
                <w:szCs w:val="20"/>
              </w:rPr>
              <w:t xml:space="preserve">that </w:t>
            </w:r>
            <w:r w:rsidRPr="00353F8C">
              <w:rPr>
                <w:szCs w:val="20"/>
              </w:rPr>
              <w:t xml:space="preserve">access to prophylaxis </w:t>
            </w:r>
            <w:r>
              <w:rPr>
                <w:szCs w:val="20"/>
              </w:rPr>
              <w:t xml:space="preserve">can </w:t>
            </w:r>
            <w:r w:rsidRPr="00353F8C">
              <w:rPr>
                <w:szCs w:val="20"/>
              </w:rPr>
              <w:t xml:space="preserve">reduce morbidity (non-overt symptoms, stroke, ischaemic organ damage) and the incidence of acute episodes </w:t>
            </w:r>
            <w:r>
              <w:rPr>
                <w:szCs w:val="20"/>
              </w:rPr>
              <w:t>during</w:t>
            </w:r>
            <w:r w:rsidRPr="00353F8C">
              <w:rPr>
                <w:szCs w:val="20"/>
              </w:rPr>
              <w:t xml:space="preserve"> pregnancy. </w:t>
            </w:r>
          </w:p>
        </w:tc>
      </w:tr>
      <w:tr w:rsidR="002908B8" w:rsidRPr="00D94C0A" w14:paraId="2EA080C9" w14:textId="77777777" w:rsidTr="00457727">
        <w:tc>
          <w:tcPr>
            <w:tcW w:w="1841" w:type="dxa"/>
          </w:tcPr>
          <w:p w14:paraId="054FE9F8" w14:textId="77777777" w:rsidR="002908B8" w:rsidRPr="00D94C0A" w:rsidRDefault="002908B8">
            <w:pPr>
              <w:pStyle w:val="051Tabletext22"/>
              <w:rPr>
                <w:szCs w:val="20"/>
              </w:rPr>
            </w:pPr>
            <w:r w:rsidRPr="00D94C0A">
              <w:rPr>
                <w:szCs w:val="20"/>
              </w:rPr>
              <w:t>Value of knowing</w:t>
            </w:r>
          </w:p>
        </w:tc>
        <w:tc>
          <w:tcPr>
            <w:tcW w:w="7175" w:type="dxa"/>
          </w:tcPr>
          <w:p w14:paraId="65CF76BB" w14:textId="58181549" w:rsidR="002908B8" w:rsidRPr="00D94C0A" w:rsidRDefault="003231D5">
            <w:pPr>
              <w:pStyle w:val="051Tabletext22"/>
              <w:rPr>
                <w:szCs w:val="20"/>
              </w:rPr>
            </w:pPr>
            <w:r>
              <w:rPr>
                <w:szCs w:val="20"/>
              </w:rPr>
              <w:t>The absence of a</w:t>
            </w:r>
            <w:r w:rsidR="002908B8" w:rsidRPr="00D94C0A">
              <w:rPr>
                <w:szCs w:val="20"/>
              </w:rPr>
              <w:t xml:space="preserve"> </w:t>
            </w:r>
            <w:r w:rsidR="002908B8">
              <w:rPr>
                <w:szCs w:val="20"/>
              </w:rPr>
              <w:t xml:space="preserve">genetic </w:t>
            </w:r>
            <w:r w:rsidR="002908B8" w:rsidRPr="00D94C0A">
              <w:rPr>
                <w:szCs w:val="20"/>
              </w:rPr>
              <w:t xml:space="preserve">diagnosis can </w:t>
            </w:r>
            <w:r w:rsidR="002908B8">
              <w:rPr>
                <w:szCs w:val="20"/>
              </w:rPr>
              <w:t>provide significant reassurance to individuals, alleviating</w:t>
            </w:r>
            <w:r w:rsidR="002908B8" w:rsidRPr="00D94C0A">
              <w:rPr>
                <w:szCs w:val="20"/>
              </w:rPr>
              <w:t xml:space="preserve"> </w:t>
            </w:r>
            <w:r w:rsidR="002908B8">
              <w:rPr>
                <w:szCs w:val="20"/>
              </w:rPr>
              <w:t>concerns about</w:t>
            </w:r>
            <w:r w:rsidR="002908B8" w:rsidRPr="00D94C0A">
              <w:rPr>
                <w:szCs w:val="20"/>
              </w:rPr>
              <w:t xml:space="preserve"> potential disease onset</w:t>
            </w:r>
            <w:r w:rsidR="002908B8">
              <w:rPr>
                <w:szCs w:val="20"/>
              </w:rPr>
              <w:t xml:space="preserve"> and its associated risks, including morbidity and mortality</w:t>
            </w:r>
            <w:r w:rsidR="002908B8" w:rsidRPr="00D94C0A">
              <w:rPr>
                <w:szCs w:val="20"/>
              </w:rPr>
              <w:t xml:space="preserve">. </w:t>
            </w:r>
          </w:p>
          <w:p w14:paraId="630AC124" w14:textId="49A5A182" w:rsidR="002908B8" w:rsidRPr="00D94C0A" w:rsidRDefault="002908B8">
            <w:pPr>
              <w:pStyle w:val="061Tabletext62"/>
              <w:rPr>
                <w:szCs w:val="20"/>
              </w:rPr>
            </w:pPr>
            <w:r w:rsidRPr="00D94C0A">
              <w:rPr>
                <w:szCs w:val="20"/>
              </w:rPr>
              <w:t xml:space="preserve">A diagnosis </w:t>
            </w:r>
            <w:r w:rsidR="001C4862">
              <w:rPr>
                <w:szCs w:val="20"/>
              </w:rPr>
              <w:t xml:space="preserve">of a genetic condition </w:t>
            </w:r>
            <w:r w:rsidRPr="00D94C0A">
              <w:rPr>
                <w:szCs w:val="20"/>
              </w:rPr>
              <w:t xml:space="preserve">can </w:t>
            </w:r>
            <w:r>
              <w:rPr>
                <w:szCs w:val="20"/>
              </w:rPr>
              <w:t>support informed</w:t>
            </w:r>
            <w:r w:rsidRPr="00D94C0A">
              <w:rPr>
                <w:szCs w:val="20"/>
              </w:rPr>
              <w:t xml:space="preserve"> decision</w:t>
            </w:r>
            <w:r w:rsidR="00D66D1E">
              <w:rPr>
                <w:szCs w:val="20"/>
              </w:rPr>
              <w:t>-</w:t>
            </w:r>
            <w:r>
              <w:rPr>
                <w:szCs w:val="20"/>
              </w:rPr>
              <w:t>making</w:t>
            </w:r>
            <w:r w:rsidRPr="00D94C0A">
              <w:rPr>
                <w:szCs w:val="20"/>
              </w:rPr>
              <w:t xml:space="preserve"> </w:t>
            </w:r>
            <w:r>
              <w:rPr>
                <w:szCs w:val="20"/>
              </w:rPr>
              <w:t>regarding</w:t>
            </w:r>
            <w:r w:rsidRPr="00D94C0A">
              <w:rPr>
                <w:szCs w:val="20"/>
              </w:rPr>
              <w:t xml:space="preserve"> prophylaxis and </w:t>
            </w:r>
            <w:r>
              <w:rPr>
                <w:szCs w:val="20"/>
              </w:rPr>
              <w:t xml:space="preserve">ensure timely </w:t>
            </w:r>
            <w:r w:rsidRPr="00D94C0A">
              <w:rPr>
                <w:szCs w:val="20"/>
              </w:rPr>
              <w:t xml:space="preserve">access to appropriate therapy </w:t>
            </w:r>
            <w:r>
              <w:rPr>
                <w:szCs w:val="20"/>
              </w:rPr>
              <w:t>during</w:t>
            </w:r>
            <w:r w:rsidRPr="00D94C0A">
              <w:rPr>
                <w:szCs w:val="20"/>
              </w:rPr>
              <w:t xml:space="preserve"> acute episodes</w:t>
            </w:r>
            <w:r>
              <w:rPr>
                <w:szCs w:val="20"/>
              </w:rPr>
              <w:t>, contributing to a sense of preparedness and control</w:t>
            </w:r>
            <w:r w:rsidRPr="00D94C0A">
              <w:rPr>
                <w:szCs w:val="20"/>
              </w:rPr>
              <w:t>.</w:t>
            </w:r>
          </w:p>
        </w:tc>
      </w:tr>
      <w:tr w:rsidR="002908B8" w:rsidRPr="00894FBD" w14:paraId="2479C2F4" w14:textId="77777777" w:rsidTr="00457727">
        <w:tc>
          <w:tcPr>
            <w:tcW w:w="1841" w:type="dxa"/>
          </w:tcPr>
          <w:p w14:paraId="5E79586A" w14:textId="77777777" w:rsidR="002908B8" w:rsidRPr="00D94C0A" w:rsidRDefault="002908B8">
            <w:pPr>
              <w:pStyle w:val="051Tabletext22"/>
              <w:keepNext/>
              <w:rPr>
                <w:szCs w:val="20"/>
              </w:rPr>
            </w:pPr>
            <w:r w:rsidRPr="00D94C0A">
              <w:rPr>
                <w:szCs w:val="20"/>
              </w:rPr>
              <w:t>Safety of the test</w:t>
            </w:r>
          </w:p>
        </w:tc>
        <w:tc>
          <w:tcPr>
            <w:tcW w:w="7175" w:type="dxa"/>
          </w:tcPr>
          <w:p w14:paraId="7041B997" w14:textId="28F61C04" w:rsidR="002908B8" w:rsidRPr="00D94C0A" w:rsidRDefault="002908B8">
            <w:pPr>
              <w:pStyle w:val="051Tabletext22"/>
              <w:keepNext/>
              <w:rPr>
                <w:szCs w:val="20"/>
              </w:rPr>
            </w:pPr>
            <w:r w:rsidRPr="00D94C0A">
              <w:rPr>
                <w:szCs w:val="20"/>
              </w:rPr>
              <w:t xml:space="preserve">No evidence of </w:t>
            </w:r>
            <w:r>
              <w:rPr>
                <w:szCs w:val="20"/>
              </w:rPr>
              <w:t xml:space="preserve">direct </w:t>
            </w:r>
            <w:r w:rsidRPr="00D94C0A">
              <w:rPr>
                <w:szCs w:val="20"/>
              </w:rPr>
              <w:t xml:space="preserve">harms associated with </w:t>
            </w:r>
            <w:r w:rsidRPr="00D94C0A">
              <w:rPr>
                <w:i/>
                <w:iCs/>
                <w:szCs w:val="20"/>
              </w:rPr>
              <w:t>ADAMTS13</w:t>
            </w:r>
            <w:r w:rsidRPr="00D94C0A">
              <w:rPr>
                <w:szCs w:val="20"/>
              </w:rPr>
              <w:t xml:space="preserve"> genetic testing </w:t>
            </w:r>
            <w:r>
              <w:rPr>
                <w:szCs w:val="20"/>
              </w:rPr>
              <w:t>in</w:t>
            </w:r>
            <w:r w:rsidRPr="00D94C0A">
              <w:rPr>
                <w:szCs w:val="20"/>
              </w:rPr>
              <w:t xml:space="preserve"> </w:t>
            </w:r>
            <w:r w:rsidR="00021A74">
              <w:rPr>
                <w:szCs w:val="20"/>
              </w:rPr>
              <w:t>biological relatives</w:t>
            </w:r>
            <w:r w:rsidRPr="00D94C0A">
              <w:rPr>
                <w:szCs w:val="20"/>
              </w:rPr>
              <w:t xml:space="preserve"> was identified.</w:t>
            </w:r>
          </w:p>
        </w:tc>
      </w:tr>
      <w:tr w:rsidR="002908B8" w:rsidRPr="00894FBD" w14:paraId="15233E57" w14:textId="77777777" w:rsidTr="00457727">
        <w:tc>
          <w:tcPr>
            <w:tcW w:w="1841" w:type="dxa"/>
          </w:tcPr>
          <w:p w14:paraId="6E38D019" w14:textId="77777777" w:rsidR="002908B8" w:rsidRPr="00D94C0A" w:rsidRDefault="002908B8">
            <w:pPr>
              <w:pStyle w:val="051Tabletext22"/>
              <w:keepNext/>
              <w:rPr>
                <w:szCs w:val="20"/>
              </w:rPr>
            </w:pPr>
            <w:r w:rsidRPr="00D94C0A">
              <w:rPr>
                <w:szCs w:val="20"/>
              </w:rPr>
              <w:t>Safety of the treatment</w:t>
            </w:r>
          </w:p>
        </w:tc>
        <w:tc>
          <w:tcPr>
            <w:tcW w:w="7175" w:type="dxa"/>
          </w:tcPr>
          <w:p w14:paraId="14943789" w14:textId="23D46DEB" w:rsidR="002908B8" w:rsidRPr="00D94C0A" w:rsidRDefault="002908B8">
            <w:pPr>
              <w:pStyle w:val="051Tabletext22"/>
              <w:keepNext/>
              <w:rPr>
                <w:szCs w:val="20"/>
              </w:rPr>
            </w:pPr>
            <w:r w:rsidRPr="00D94C0A">
              <w:rPr>
                <w:szCs w:val="20"/>
              </w:rPr>
              <w:t xml:space="preserve">Use of </w:t>
            </w:r>
            <w:r w:rsidRPr="00081E9B">
              <w:rPr>
                <w:i/>
                <w:iCs/>
                <w:szCs w:val="20"/>
              </w:rPr>
              <w:t>ADAMTS13</w:t>
            </w:r>
            <w:r w:rsidRPr="00D94C0A">
              <w:rPr>
                <w:szCs w:val="20"/>
              </w:rPr>
              <w:t xml:space="preserve"> genetic testing in </w:t>
            </w:r>
            <w:r w:rsidR="003F3B32">
              <w:rPr>
                <w:szCs w:val="20"/>
              </w:rPr>
              <w:t>biological relatives</w:t>
            </w:r>
            <w:r w:rsidRPr="00D94C0A">
              <w:rPr>
                <w:szCs w:val="20"/>
              </w:rPr>
              <w:t xml:space="preserve"> may improve </w:t>
            </w:r>
            <w:r>
              <w:rPr>
                <w:szCs w:val="20"/>
              </w:rPr>
              <w:t xml:space="preserve">treatment </w:t>
            </w:r>
            <w:r w:rsidRPr="00D94C0A">
              <w:rPr>
                <w:szCs w:val="20"/>
              </w:rPr>
              <w:t xml:space="preserve">safety by supporting </w:t>
            </w:r>
            <w:r>
              <w:rPr>
                <w:szCs w:val="20"/>
              </w:rPr>
              <w:t xml:space="preserve">the appropriate use of </w:t>
            </w:r>
            <w:r w:rsidRPr="00D94C0A">
              <w:rPr>
                <w:szCs w:val="20"/>
              </w:rPr>
              <w:t xml:space="preserve">prophylaxis, </w:t>
            </w:r>
            <w:r>
              <w:rPr>
                <w:szCs w:val="20"/>
              </w:rPr>
              <w:t xml:space="preserve">which can </w:t>
            </w:r>
            <w:r w:rsidRPr="00D94C0A">
              <w:rPr>
                <w:szCs w:val="20"/>
              </w:rPr>
              <w:t>reduc</w:t>
            </w:r>
            <w:r>
              <w:rPr>
                <w:szCs w:val="20"/>
              </w:rPr>
              <w:t>e</w:t>
            </w:r>
            <w:r w:rsidRPr="00D94C0A">
              <w:rPr>
                <w:szCs w:val="20"/>
              </w:rPr>
              <w:t xml:space="preserve"> morbidity and mortality</w:t>
            </w:r>
            <w:r>
              <w:rPr>
                <w:szCs w:val="20"/>
              </w:rPr>
              <w:t xml:space="preserve"> associated with cTTP</w:t>
            </w:r>
            <w:r w:rsidRPr="00D94C0A">
              <w:rPr>
                <w:szCs w:val="20"/>
              </w:rPr>
              <w:t>.</w:t>
            </w:r>
          </w:p>
        </w:tc>
      </w:tr>
      <w:tr w:rsidR="002908B8" w:rsidRPr="00894FBD" w14:paraId="2821CCFC" w14:textId="77777777" w:rsidTr="00457727">
        <w:tc>
          <w:tcPr>
            <w:tcW w:w="1841" w:type="dxa"/>
          </w:tcPr>
          <w:p w14:paraId="041B5298" w14:textId="77777777" w:rsidR="002908B8" w:rsidRPr="00D94C0A" w:rsidRDefault="002908B8">
            <w:pPr>
              <w:pStyle w:val="051Tabletext22"/>
              <w:keepNext/>
              <w:rPr>
                <w:i/>
                <w:szCs w:val="20"/>
              </w:rPr>
            </w:pPr>
            <w:r w:rsidRPr="00D94C0A">
              <w:rPr>
                <w:i/>
                <w:szCs w:val="20"/>
              </w:rPr>
              <w:t>Overall assessment of the evidence</w:t>
            </w:r>
          </w:p>
        </w:tc>
        <w:tc>
          <w:tcPr>
            <w:tcW w:w="7175" w:type="dxa"/>
          </w:tcPr>
          <w:p w14:paraId="273C5388" w14:textId="77777777" w:rsidR="002908B8" w:rsidRPr="00D94C0A" w:rsidRDefault="002908B8">
            <w:pPr>
              <w:pStyle w:val="051Tabletext22"/>
              <w:keepNext/>
              <w:rPr>
                <w:i/>
                <w:szCs w:val="20"/>
              </w:rPr>
            </w:pPr>
            <w:r w:rsidRPr="00D94C0A">
              <w:rPr>
                <w:b/>
                <w:bCs/>
                <w:i/>
                <w:szCs w:val="20"/>
              </w:rPr>
              <w:t>Superior</w:t>
            </w:r>
            <w:r w:rsidRPr="00D94C0A">
              <w:rPr>
                <w:i/>
                <w:szCs w:val="20"/>
              </w:rPr>
              <w:t xml:space="preserve"> for both safety and effectiveness</w:t>
            </w:r>
            <w:r>
              <w:rPr>
                <w:i/>
                <w:szCs w:val="20"/>
              </w:rPr>
              <w:t>.</w:t>
            </w:r>
          </w:p>
          <w:p w14:paraId="505D58BB" w14:textId="77777777" w:rsidR="002908B8" w:rsidRPr="00D94C0A" w:rsidRDefault="002908B8">
            <w:pPr>
              <w:pStyle w:val="061Tabletext62"/>
              <w:rPr>
                <w:i/>
                <w:szCs w:val="20"/>
              </w:rPr>
            </w:pPr>
            <w:r w:rsidRPr="00D94C0A">
              <w:rPr>
                <w:szCs w:val="20"/>
              </w:rPr>
              <w:t xml:space="preserve">This assessment is based on </w:t>
            </w:r>
            <w:r>
              <w:rPr>
                <w:szCs w:val="20"/>
              </w:rPr>
              <w:t>observational</w:t>
            </w:r>
            <w:r w:rsidRPr="00D94C0A">
              <w:rPr>
                <w:szCs w:val="20"/>
              </w:rPr>
              <w:t xml:space="preserve"> studies</w:t>
            </w:r>
            <w:r>
              <w:rPr>
                <w:szCs w:val="20"/>
              </w:rPr>
              <w:t>, including</w:t>
            </w:r>
            <w:r w:rsidRPr="008F36F4">
              <w:rPr>
                <w:szCs w:val="20"/>
              </w:rPr>
              <w:t xml:space="preserve"> case reports</w:t>
            </w:r>
            <w:r w:rsidRPr="00D94C0A">
              <w:rPr>
                <w:szCs w:val="20"/>
              </w:rPr>
              <w:t xml:space="preserve"> and clinical practice guidelines</w:t>
            </w:r>
            <w:r w:rsidRPr="00D94C0A">
              <w:rPr>
                <w:i/>
                <w:szCs w:val="20"/>
              </w:rPr>
              <w:t>.</w:t>
            </w:r>
          </w:p>
        </w:tc>
      </w:tr>
    </w:tbl>
    <w:p w14:paraId="33C1AB3A" w14:textId="77777777" w:rsidR="002908B8" w:rsidRPr="009F7F5D" w:rsidRDefault="002908B8" w:rsidP="002908B8">
      <w:pPr>
        <w:pStyle w:val="111Tablefootnoteslast-nostick"/>
      </w:pPr>
      <w:r w:rsidRPr="00AA2355">
        <w:t xml:space="preserve">cTTP = congenital </w:t>
      </w:r>
      <w:r w:rsidRPr="001E3F1F">
        <w:t>thrombotic thrombocytopenic purpura</w:t>
      </w:r>
      <w:r>
        <w:t>.</w:t>
      </w:r>
    </w:p>
    <w:p w14:paraId="66464831" w14:textId="64EDC0EB" w:rsidR="002A3880" w:rsidRDefault="002A3880" w:rsidP="00B74371">
      <w:pPr>
        <w:pStyle w:val="ExecSumHeading3"/>
        <w:keepLines/>
      </w:pPr>
      <w:bookmarkStart w:id="30" w:name="_Toc216879529"/>
      <w:r>
        <w:lastRenderedPageBreak/>
        <w:t>PICO Set 3: ADAMTS13 activity testing for monitoring</w:t>
      </w:r>
      <w:bookmarkEnd w:id="30"/>
    </w:p>
    <w:p w14:paraId="04BADCE5" w14:textId="4DF0A942" w:rsidR="003B10C4" w:rsidRPr="003B10C4" w:rsidRDefault="003B10C4" w:rsidP="00B74371">
      <w:pPr>
        <w:pStyle w:val="ExecSumHeading4"/>
        <w:keepNext/>
        <w:keepLines/>
      </w:pPr>
      <w:r>
        <w:t>Direct test to health outcomes evidence</w:t>
      </w:r>
    </w:p>
    <w:p w14:paraId="6BE65B88" w14:textId="57F49343" w:rsidR="00CC3B97" w:rsidRDefault="00CC3B97" w:rsidP="00B74371">
      <w:pPr>
        <w:pStyle w:val="BodyText"/>
        <w:keepNext/>
        <w:keepLines/>
      </w:pPr>
      <w:r>
        <w:t xml:space="preserve">One study (2 publications) partially met the inclusion criteria </w:t>
      </w:r>
      <w:r w:rsidR="003B10C4">
        <w:t>for assessing the direct health outcomes o</w:t>
      </w:r>
      <w:r w:rsidR="00511849">
        <w:t>f monitoring during remission</w:t>
      </w:r>
      <w:r w:rsidR="00823A8F">
        <w:t xml:space="preserve">. The study (Jestin et al. 2018; Hie et al. 2014) </w:t>
      </w:r>
      <w:r w:rsidR="00BE2FE8">
        <w:t>included</w:t>
      </w:r>
      <w:r w:rsidR="00823A8F">
        <w:t xml:space="preserve"> patients</w:t>
      </w:r>
      <w:r w:rsidR="00823A8F" w:rsidRPr="00823A8F">
        <w:t xml:space="preserve"> </w:t>
      </w:r>
      <w:r w:rsidR="00823A8F">
        <w:t xml:space="preserve">with a decline in ADAMTS13 activity levels (&lt;10%) during clinical and haematological remission </w:t>
      </w:r>
      <w:r w:rsidR="00BE2FE8">
        <w:t xml:space="preserve">and compared those </w:t>
      </w:r>
      <w:r w:rsidR="00823A8F">
        <w:t xml:space="preserve">who received pre-emptive rituximab </w:t>
      </w:r>
      <w:r w:rsidR="00964F90">
        <w:t>(</w:t>
      </w:r>
      <w:r w:rsidR="002F7CE9">
        <w:t>92</w:t>
      </w:r>
      <w:r w:rsidR="00964F90">
        <w:t xml:space="preserve"> patients) </w:t>
      </w:r>
      <w:r w:rsidR="00BE2FE8">
        <w:t xml:space="preserve">against </w:t>
      </w:r>
      <w:r w:rsidR="00823A8F">
        <w:t>those who did not receive pre-emptive treatment</w:t>
      </w:r>
      <w:r w:rsidR="00C75621">
        <w:t xml:space="preserve"> (23 patients)</w:t>
      </w:r>
      <w:r w:rsidR="00823A8F">
        <w:t>. The comparison group comprised patients treated either in an earlier time period (8 patients) or at a centre that did not manage patients with pre-emptive rituximab (10 patients).</w:t>
      </w:r>
    </w:p>
    <w:p w14:paraId="36F73D97" w14:textId="3C9747F8" w:rsidR="00251920" w:rsidRDefault="00933A28" w:rsidP="00807CCF">
      <w:pPr>
        <w:pStyle w:val="BodyText"/>
      </w:pPr>
      <w:r>
        <w:t>Although</w:t>
      </w:r>
      <w:r w:rsidR="00251920">
        <w:t xml:space="preserve"> pre-emptive administration of rituximab</w:t>
      </w:r>
      <w:r w:rsidR="00721BAC">
        <w:t xml:space="preserve"> is </w:t>
      </w:r>
      <w:r w:rsidR="00B53F1D">
        <w:t xml:space="preserve">a clinically </w:t>
      </w:r>
      <w:r w:rsidR="00721BAC">
        <w:t>applicable</w:t>
      </w:r>
      <w:r w:rsidR="00B53F1D">
        <w:t xml:space="preserve"> treatment strategy</w:t>
      </w:r>
      <w:r w:rsidR="00721BAC">
        <w:t xml:space="preserve">, the study evaluated </w:t>
      </w:r>
      <w:r w:rsidR="00B53F1D">
        <w:t xml:space="preserve">its </w:t>
      </w:r>
      <w:r w:rsidR="00721BAC">
        <w:t xml:space="preserve">effectiveness </w:t>
      </w:r>
      <w:r w:rsidR="00B53F1D">
        <w:t>exclusively</w:t>
      </w:r>
      <w:r w:rsidR="00721BAC">
        <w:t xml:space="preserve"> in </w:t>
      </w:r>
      <w:r w:rsidR="00CD0D27">
        <w:t xml:space="preserve">patients who </w:t>
      </w:r>
      <w:r w:rsidR="00721BAC">
        <w:t>test</w:t>
      </w:r>
      <w:r w:rsidR="00CD0D27">
        <w:t>ed</w:t>
      </w:r>
      <w:r w:rsidR="00721BAC">
        <w:t xml:space="preserve"> positive </w:t>
      </w:r>
      <w:r w:rsidR="00CD0D27">
        <w:t xml:space="preserve">for </w:t>
      </w:r>
      <w:r w:rsidR="00721BAC">
        <w:t>ADAMTS13 activity &lt;10%</w:t>
      </w:r>
      <w:r w:rsidR="00CD0D27">
        <w:t>.</w:t>
      </w:r>
      <w:r w:rsidR="00721BAC">
        <w:t xml:space="preserve"> </w:t>
      </w:r>
      <w:r w:rsidR="00CD0D27">
        <w:t>Consequently</w:t>
      </w:r>
      <w:r w:rsidR="00721BAC">
        <w:t xml:space="preserve">, </w:t>
      </w:r>
      <w:r w:rsidR="008219AE" w:rsidRPr="008219AE">
        <w:t>it does not assess the broader clinical utility of monitoring all patients during remission and initiating treatment selectively based on test results</w:t>
      </w:r>
      <w:r w:rsidR="00721BAC">
        <w:t>.</w:t>
      </w:r>
    </w:p>
    <w:p w14:paraId="5E9542A3" w14:textId="0E1D2923" w:rsidR="00B51A51" w:rsidRDefault="00322545" w:rsidP="00807CCF">
      <w:pPr>
        <w:pStyle w:val="BodyText"/>
      </w:pPr>
      <w:r>
        <w:t xml:space="preserve">The relapse rate in rituximab treated patients was </w:t>
      </w:r>
      <w:r w:rsidR="00F83041">
        <w:t>lower than in the comparator</w:t>
      </w:r>
      <w:r w:rsidR="006D287A">
        <w:t xml:space="preserve"> group</w:t>
      </w:r>
      <w:r w:rsidR="009E4B49">
        <w:t>.</w:t>
      </w:r>
      <w:r w:rsidR="00091306">
        <w:t xml:space="preserve"> </w:t>
      </w:r>
      <w:r w:rsidR="009E4B49">
        <w:t>I</w:t>
      </w:r>
      <w:r w:rsidR="00091306">
        <w:t>n Kaplan-Meier analysis, the Log Rank test for relapse free survival was statistically significant in favour of the intervention (p&lt;0.001)</w:t>
      </w:r>
      <w:r w:rsidR="004E1E0A">
        <w:t xml:space="preserve">. Outcomes in the test-negative </w:t>
      </w:r>
      <w:r w:rsidR="009427A8">
        <w:t xml:space="preserve">population </w:t>
      </w:r>
      <w:r w:rsidR="00ED3583">
        <w:t>could be inferred from the earlier publication of a smaller sample (Hie et al. 2014)</w:t>
      </w:r>
      <w:r w:rsidR="007C2298">
        <w:t>.</w:t>
      </w:r>
      <w:r w:rsidR="009C4149">
        <w:t xml:space="preserve"> </w:t>
      </w:r>
      <w:r w:rsidR="00A746D1">
        <w:t xml:space="preserve">This publication reported that </w:t>
      </w:r>
      <w:r w:rsidR="00A746D1">
        <w:rPr>
          <w:lang w:val="en-US"/>
        </w:rPr>
        <w:t>185/233 (79.4%) of patients were test negative (ADAMTS13 activity ≥10%) and not treated with rituximab. Of these patients, 20.5% relapsed over a median follow</w:t>
      </w:r>
      <w:r w:rsidR="00DC3998">
        <w:rPr>
          <w:lang w:val="en-US"/>
        </w:rPr>
        <w:t>-</w:t>
      </w:r>
      <w:r w:rsidR="00A746D1">
        <w:rPr>
          <w:lang w:val="en-US"/>
        </w:rPr>
        <w:t xml:space="preserve">up of 24 months </w:t>
      </w:r>
      <w:r w:rsidR="00C834D6">
        <w:rPr>
          <w:lang w:val="en-US"/>
        </w:rPr>
        <w:t>(</w:t>
      </w:r>
      <w:r w:rsidR="00C834D6">
        <w:rPr>
          <w:lang w:val="en-US"/>
        </w:rPr>
        <w:fldChar w:fldCharType="begin"/>
      </w:r>
      <w:r w:rsidR="00C834D6">
        <w:rPr>
          <w:lang w:val="en-US"/>
        </w:rPr>
        <w:instrText xml:space="preserve"> REF _Ref213079225 \h </w:instrText>
      </w:r>
      <w:r w:rsidR="00C834D6">
        <w:rPr>
          <w:lang w:val="en-US"/>
        </w:rPr>
      </w:r>
      <w:r w:rsidR="00C834D6">
        <w:rPr>
          <w:lang w:val="en-US"/>
        </w:rPr>
        <w:fldChar w:fldCharType="separate"/>
      </w:r>
      <w:r w:rsidR="00716875">
        <w:t xml:space="preserve">Figure </w:t>
      </w:r>
      <w:r w:rsidR="00716875">
        <w:rPr>
          <w:noProof/>
        </w:rPr>
        <w:t>4</w:t>
      </w:r>
      <w:r w:rsidR="00C834D6">
        <w:rPr>
          <w:lang w:val="en-US"/>
        </w:rPr>
        <w:fldChar w:fldCharType="end"/>
      </w:r>
      <w:r w:rsidR="00C834D6">
        <w:rPr>
          <w:lang w:val="en-US"/>
        </w:rPr>
        <w:t xml:space="preserve">). This </w:t>
      </w:r>
      <w:r w:rsidR="00D11F35">
        <w:rPr>
          <w:lang w:val="en-US"/>
        </w:rPr>
        <w:t>relapse rate</w:t>
      </w:r>
      <w:r w:rsidR="00C834D6">
        <w:rPr>
          <w:lang w:val="en-US"/>
        </w:rPr>
        <w:t xml:space="preserve"> is higher than</w:t>
      </w:r>
      <w:r w:rsidR="00B1650B" w:rsidDel="00F4372A">
        <w:rPr>
          <w:lang w:val="en-US"/>
        </w:rPr>
        <w:t xml:space="preserve"> </w:t>
      </w:r>
      <w:r w:rsidR="0073366F">
        <w:rPr>
          <w:lang w:val="en-US"/>
        </w:rPr>
        <w:t>that observed in</w:t>
      </w:r>
      <w:r w:rsidR="00B1650B">
        <w:rPr>
          <w:lang w:val="en-US"/>
        </w:rPr>
        <w:t xml:space="preserve"> </w:t>
      </w:r>
      <w:r w:rsidR="00F4372A">
        <w:rPr>
          <w:lang w:val="en-US"/>
        </w:rPr>
        <w:t>test-</w:t>
      </w:r>
      <w:r w:rsidR="00B1650B">
        <w:rPr>
          <w:lang w:val="en-US"/>
        </w:rPr>
        <w:t xml:space="preserve">positive </w:t>
      </w:r>
      <w:r w:rsidR="00F4372A">
        <w:rPr>
          <w:lang w:val="en-US"/>
        </w:rPr>
        <w:t>patients</w:t>
      </w:r>
      <w:r w:rsidR="00B1650B">
        <w:rPr>
          <w:lang w:val="en-US"/>
        </w:rPr>
        <w:t xml:space="preserve"> (ADAMTS13 activity &lt;10%) </w:t>
      </w:r>
      <w:r w:rsidR="00F1427E">
        <w:rPr>
          <w:lang w:val="en-US"/>
        </w:rPr>
        <w:t>who received</w:t>
      </w:r>
      <w:r w:rsidR="00B1650B">
        <w:rPr>
          <w:lang w:val="en-US"/>
        </w:rPr>
        <w:t xml:space="preserve"> rituximab</w:t>
      </w:r>
      <w:r w:rsidR="00F1427E">
        <w:rPr>
          <w:lang w:val="en-US"/>
        </w:rPr>
        <w:t>,</w:t>
      </w:r>
      <w:r w:rsidR="00B1650B">
        <w:rPr>
          <w:lang w:val="en-US"/>
        </w:rPr>
        <w:t xml:space="preserve"> and lower than test</w:t>
      </w:r>
      <w:r w:rsidR="00F1427E">
        <w:rPr>
          <w:lang w:val="en-US"/>
        </w:rPr>
        <w:t>-</w:t>
      </w:r>
      <w:r w:rsidR="00B1650B">
        <w:rPr>
          <w:lang w:val="en-US"/>
        </w:rPr>
        <w:t xml:space="preserve">positive patients </w:t>
      </w:r>
      <w:r w:rsidR="00F45A5B">
        <w:rPr>
          <w:lang w:val="en-US"/>
        </w:rPr>
        <w:t xml:space="preserve">who did </w:t>
      </w:r>
      <w:r w:rsidR="00B1650B">
        <w:rPr>
          <w:lang w:val="en-US"/>
        </w:rPr>
        <w:t xml:space="preserve">not </w:t>
      </w:r>
      <w:r w:rsidR="00F45A5B">
        <w:rPr>
          <w:lang w:val="en-US"/>
        </w:rPr>
        <w:t>receive</w:t>
      </w:r>
      <w:r w:rsidR="00B1650B">
        <w:rPr>
          <w:lang w:val="en-US"/>
        </w:rPr>
        <w:t xml:space="preserve"> rituximab</w:t>
      </w:r>
      <w:r w:rsidR="00F45A5B">
        <w:rPr>
          <w:lang w:val="en-US"/>
        </w:rPr>
        <w:t>.</w:t>
      </w:r>
      <w:r w:rsidR="00B1650B">
        <w:rPr>
          <w:lang w:val="en-US"/>
        </w:rPr>
        <w:t xml:space="preserve"> </w:t>
      </w:r>
      <w:r w:rsidR="00F45A5B">
        <w:rPr>
          <w:lang w:val="en-US"/>
        </w:rPr>
        <w:t>H</w:t>
      </w:r>
      <w:r w:rsidR="00B1650B">
        <w:rPr>
          <w:lang w:val="en-US"/>
        </w:rPr>
        <w:t>owever</w:t>
      </w:r>
      <w:r w:rsidR="00F45A5B">
        <w:rPr>
          <w:lang w:val="en-US"/>
        </w:rPr>
        <w:t>,</w:t>
      </w:r>
      <w:r w:rsidR="00B1650B">
        <w:rPr>
          <w:lang w:val="en-US"/>
        </w:rPr>
        <w:t xml:space="preserve"> the</w:t>
      </w:r>
      <w:r w:rsidR="00F45A5B">
        <w:rPr>
          <w:lang w:val="en-US"/>
        </w:rPr>
        <w:t>se</w:t>
      </w:r>
      <w:r w:rsidR="00B1650B">
        <w:rPr>
          <w:lang w:val="en-US"/>
        </w:rPr>
        <w:t xml:space="preserve"> </w:t>
      </w:r>
      <w:r w:rsidR="00F45A5B">
        <w:rPr>
          <w:lang w:val="en-US"/>
        </w:rPr>
        <w:t xml:space="preserve">comparisons </w:t>
      </w:r>
      <w:r w:rsidR="00DD554E">
        <w:rPr>
          <w:lang w:val="en-US"/>
        </w:rPr>
        <w:t xml:space="preserve">should be interpreted cautiously </w:t>
      </w:r>
      <w:r w:rsidR="0069434B">
        <w:rPr>
          <w:lang w:val="en-US"/>
        </w:rPr>
        <w:t xml:space="preserve">due to differences in </w:t>
      </w:r>
      <w:r w:rsidR="00DD554E">
        <w:rPr>
          <w:lang w:val="en-US"/>
        </w:rPr>
        <w:t xml:space="preserve">the </w:t>
      </w:r>
      <w:r w:rsidR="00FA145A">
        <w:rPr>
          <w:lang w:val="en-US"/>
        </w:rPr>
        <w:t xml:space="preserve">duration </w:t>
      </w:r>
      <w:r w:rsidR="00DD554E">
        <w:rPr>
          <w:lang w:val="en-US"/>
        </w:rPr>
        <w:t>of follow</w:t>
      </w:r>
      <w:r w:rsidR="00DC3998">
        <w:rPr>
          <w:lang w:val="en-US"/>
        </w:rPr>
        <w:t>-</w:t>
      </w:r>
      <w:r w:rsidR="00DD554E">
        <w:rPr>
          <w:lang w:val="en-US"/>
        </w:rPr>
        <w:t>up.</w:t>
      </w:r>
    </w:p>
    <w:p w14:paraId="6369A550" w14:textId="77777777" w:rsidR="00F561B4" w:rsidRDefault="00F561B4" w:rsidP="00F0065F">
      <w:pPr>
        <w:pStyle w:val="BodyText"/>
        <w:pBdr>
          <w:top w:val="single" w:sz="4" w:space="1" w:color="auto"/>
          <w:left w:val="single" w:sz="4" w:space="4" w:color="auto"/>
          <w:bottom w:val="single" w:sz="4" w:space="1" w:color="auto"/>
          <w:right w:val="single" w:sz="4" w:space="4" w:color="auto"/>
        </w:pBdr>
        <w:spacing w:after="40"/>
        <w:jc w:val="center"/>
        <w:rPr>
          <w:lang w:val="en-US"/>
        </w:rPr>
      </w:pPr>
      <w:r>
        <w:rPr>
          <w:noProof/>
          <w:lang w:val="en-US"/>
        </w:rPr>
        <w:drawing>
          <wp:inline distT="0" distB="0" distL="0" distR="0" wp14:anchorId="4D437D7E" wp14:editId="7D399748">
            <wp:extent cx="4626591" cy="3781632"/>
            <wp:effectExtent l="0" t="0" r="3175" b="0"/>
            <wp:docPr id="6" name="Picture 20" descr="Outcomes in test-positive (ADAMTS13 activity &lt;10%) and test-negative (ADAMTS13 activity ≥10%) patients in Hie et al.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0" descr="Outcomes in test-positive (ADAMTS13 activity &lt;10%) and test-negative (ADAMTS13 activity ≥10%) patients in Hie et al. (20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4881" cy="3788408"/>
                    </a:xfrm>
                    <a:prstGeom prst="rect">
                      <a:avLst/>
                    </a:prstGeom>
                    <a:noFill/>
                  </pic:spPr>
                </pic:pic>
              </a:graphicData>
            </a:graphic>
          </wp:inline>
        </w:drawing>
      </w:r>
    </w:p>
    <w:p w14:paraId="4047F2F5" w14:textId="516FE7AE" w:rsidR="0076672F" w:rsidRDefault="0076672F" w:rsidP="0076672F">
      <w:pPr>
        <w:pStyle w:val="Caption"/>
        <w:spacing w:before="0" w:after="0"/>
      </w:pPr>
      <w:bookmarkStart w:id="31" w:name="_Ref213079225"/>
      <w:r>
        <w:t xml:space="preserve">Figure </w:t>
      </w:r>
      <w:r>
        <w:fldChar w:fldCharType="begin"/>
      </w:r>
      <w:r>
        <w:instrText>SEQ Figure \* ARABIC</w:instrText>
      </w:r>
      <w:r>
        <w:fldChar w:fldCharType="separate"/>
      </w:r>
      <w:r w:rsidR="00716875">
        <w:rPr>
          <w:noProof/>
        </w:rPr>
        <w:t>4</w:t>
      </w:r>
      <w:r>
        <w:fldChar w:fldCharType="end"/>
      </w:r>
      <w:bookmarkEnd w:id="31"/>
      <w:r>
        <w:tab/>
        <w:t>Outcomes in test-positive (ADAMTS13 activity &lt;10%) and test-negative (ADAMTS13 activity ≥10%) patients in Hie et al. (2014)</w:t>
      </w:r>
    </w:p>
    <w:p w14:paraId="4D878798" w14:textId="2E623369" w:rsidR="00F561B4" w:rsidRDefault="00F561B4" w:rsidP="00913947">
      <w:pPr>
        <w:pStyle w:val="091TableRightAligned00"/>
        <w:jc w:val="left"/>
      </w:pPr>
      <w:r>
        <w:t>iTTP = immune-mediated thrombotic thrombocytopenic purpura; IQR = interquartile range.</w:t>
      </w:r>
    </w:p>
    <w:p w14:paraId="5527C360" w14:textId="38239464" w:rsidR="00A15C11" w:rsidRPr="00A15C11" w:rsidRDefault="00A15C11" w:rsidP="00A15C11">
      <w:pPr>
        <w:pStyle w:val="111Tablefootnoteslast-nostick"/>
      </w:pPr>
      <w:r>
        <w:t>This data was used for the economic analysis.</w:t>
      </w:r>
    </w:p>
    <w:p w14:paraId="72E15432" w14:textId="7791B276" w:rsidR="00D67D63" w:rsidRDefault="00575AC9" w:rsidP="00807CCF">
      <w:pPr>
        <w:pStyle w:val="BodyText"/>
      </w:pPr>
      <w:r>
        <w:lastRenderedPageBreak/>
        <w:t xml:space="preserve">One study met the inclusion criteria for assessing the </w:t>
      </w:r>
      <w:r w:rsidR="00C734B5">
        <w:t xml:space="preserve">direct </w:t>
      </w:r>
      <w:r w:rsidR="00A76920">
        <w:t xml:space="preserve">health outcomes of </w:t>
      </w:r>
      <w:r w:rsidR="00DF7770">
        <w:t xml:space="preserve">ADAMTS13 activity monitoring during pregnancy compared to no ADAMTS13 activity monitoring </w:t>
      </w:r>
      <w:r w:rsidR="0002511F">
        <w:t xml:space="preserve">(i.e. </w:t>
      </w:r>
      <w:r w:rsidR="00D96328">
        <w:t>clinical management based on platelet count and symptoms</w:t>
      </w:r>
      <w:r w:rsidR="0002511F">
        <w:t>)</w:t>
      </w:r>
      <w:r w:rsidR="00D96328">
        <w:t xml:space="preserve"> (Hamroun et al. 2023). Th</w:t>
      </w:r>
      <w:r w:rsidR="00E223D0">
        <w:t>is</w:t>
      </w:r>
      <w:r w:rsidR="00D96328">
        <w:t xml:space="preserve"> </w:t>
      </w:r>
      <w:r w:rsidR="00247A67">
        <w:t>small study included pregnant women with iTTP (n=6) and cTTP (n=7)</w:t>
      </w:r>
      <w:r w:rsidR="00E223D0">
        <w:t>,</w:t>
      </w:r>
      <w:r w:rsidR="00247A67">
        <w:t xml:space="preserve"> compar</w:t>
      </w:r>
      <w:r w:rsidR="0068767A">
        <w:t>ing</w:t>
      </w:r>
      <w:r w:rsidR="00247A67">
        <w:t xml:space="preserve"> </w:t>
      </w:r>
      <w:r w:rsidR="0068767A">
        <w:t>outcomes between</w:t>
      </w:r>
      <w:r w:rsidR="00247A67">
        <w:t xml:space="preserve"> index </w:t>
      </w:r>
      <w:r w:rsidR="00CE1162">
        <w:t>pregnanc</w:t>
      </w:r>
      <w:r w:rsidR="00937D52">
        <w:t>ies</w:t>
      </w:r>
      <w:r w:rsidR="00CE1162">
        <w:t xml:space="preserve"> </w:t>
      </w:r>
      <w:r w:rsidR="00937D52">
        <w:t>(during which ADAMTS13 activity was not monitored)</w:t>
      </w:r>
      <w:r w:rsidR="00CE1162">
        <w:t xml:space="preserve"> </w:t>
      </w:r>
      <w:r w:rsidR="00995965">
        <w:t xml:space="preserve">and </w:t>
      </w:r>
      <w:r w:rsidR="00CE1162">
        <w:t>subsequent pregnancies</w:t>
      </w:r>
      <w:r w:rsidR="00995965">
        <w:t xml:space="preserve"> that were monitored</w:t>
      </w:r>
      <w:r w:rsidR="00CE1162">
        <w:t xml:space="preserve">. </w:t>
      </w:r>
      <w:r w:rsidR="00E677A9">
        <w:t>Maternal and perinatal o</w:t>
      </w:r>
      <w:r w:rsidR="00CE1162">
        <w:t xml:space="preserve">utcomes </w:t>
      </w:r>
      <w:r w:rsidR="004B241C">
        <w:t xml:space="preserve">were </w:t>
      </w:r>
      <w:r w:rsidR="00B20A83">
        <w:t>improved in monitored pregnancies</w:t>
      </w:r>
      <w:r w:rsidR="005F70BA">
        <w:t>.</w:t>
      </w:r>
      <w:r w:rsidR="004B241C">
        <w:t xml:space="preserve"> </w:t>
      </w:r>
      <w:r w:rsidR="005F70BA">
        <w:t>H</w:t>
      </w:r>
      <w:r w:rsidR="004B241C">
        <w:t>owever</w:t>
      </w:r>
      <w:r w:rsidR="00986516">
        <w:t>,</w:t>
      </w:r>
      <w:r w:rsidR="00807CCF">
        <w:t xml:space="preserve"> the results are not specific to ADAMTS13 activity monitoring as the index and comparator pregnancies differed more broadly ADAMTS13 activity was not monitored frequently during pregnancy</w:t>
      </w:r>
      <w:r w:rsidR="005F70BA">
        <w:t>,</w:t>
      </w:r>
      <w:r w:rsidR="00807CCF">
        <w:t xml:space="preserve"> and no treatment changes were </w:t>
      </w:r>
      <w:r w:rsidR="00506192">
        <w:t xml:space="preserve">reported to have been made in response </w:t>
      </w:r>
      <w:r w:rsidR="00807CCF">
        <w:t xml:space="preserve">to reduced ADAMTS13 levels. </w:t>
      </w:r>
    </w:p>
    <w:p w14:paraId="2D4F24BB" w14:textId="77777777" w:rsidR="00C6687F" w:rsidRDefault="00C6687F" w:rsidP="00C6687F">
      <w:pPr>
        <w:pStyle w:val="ExecSumHeading4"/>
      </w:pPr>
      <w:r>
        <w:t>Longitudinal accuracy</w:t>
      </w:r>
    </w:p>
    <w:p w14:paraId="716AFC92" w14:textId="3AC4DD8F" w:rsidR="00B700D7" w:rsidRDefault="00BD2F7A" w:rsidP="00BD2F7A">
      <w:pPr>
        <w:pStyle w:val="BodyText"/>
      </w:pPr>
      <w:r>
        <w:t>Eight s</w:t>
      </w:r>
      <w:r w:rsidRPr="00A846E9">
        <w:t>tudies reported data that could be extracted into a 2</w:t>
      </w:r>
      <w:r>
        <w:t>-</w:t>
      </w:r>
      <w:r w:rsidRPr="00A846E9">
        <w:t>by</w:t>
      </w:r>
      <w:r>
        <w:t>-</w:t>
      </w:r>
      <w:r w:rsidRPr="00A846E9">
        <w:t>2 table to generate</w:t>
      </w:r>
      <w:r>
        <w:t xml:space="preserve"> positive and negative predictive values.</w:t>
      </w:r>
      <w:r w:rsidR="00E36AAB" w:rsidRPr="00E36AAB">
        <w:t xml:space="preserve"> </w:t>
      </w:r>
      <w:r w:rsidR="00E36AAB" w:rsidRPr="00F91C37">
        <w:t>The most common outcome was relapse. The prevalence of relapse varied from 4</w:t>
      </w:r>
      <w:r w:rsidR="00A130C3">
        <w:t>%</w:t>
      </w:r>
      <w:r w:rsidR="00E36AAB" w:rsidRPr="00F91C37">
        <w:t xml:space="preserve"> to 33% with the variation largely attributable to the variable length of follow</w:t>
      </w:r>
      <w:r w:rsidR="00DC3998">
        <w:t>-</w:t>
      </w:r>
      <w:r w:rsidR="00E36AAB" w:rsidRPr="00F91C37">
        <w:t xml:space="preserve">up. </w:t>
      </w:r>
      <w:r w:rsidR="00E36AAB">
        <w:t>In most cases</w:t>
      </w:r>
      <w:r w:rsidR="00A130C3">
        <w:t>,</w:t>
      </w:r>
      <w:r w:rsidR="00E36AAB">
        <w:t xml:space="preserve"> the measurement of ADAMTS13 activity was early in remission, even where follow</w:t>
      </w:r>
      <w:r w:rsidR="00DC3998">
        <w:t>-</w:t>
      </w:r>
      <w:r w:rsidR="00E36AAB">
        <w:t>up was extensive</w:t>
      </w:r>
      <w:r w:rsidR="00B700D7">
        <w:t>.</w:t>
      </w:r>
    </w:p>
    <w:p w14:paraId="4C1E68FC" w14:textId="10D746B7" w:rsidR="00691787" w:rsidRDefault="00B700D7" w:rsidP="00BD2F7A">
      <w:pPr>
        <w:pStyle w:val="BodyText"/>
      </w:pPr>
      <w:r>
        <w:t>For studies with shorter follow</w:t>
      </w:r>
      <w:r w:rsidR="00DC3998">
        <w:t>-</w:t>
      </w:r>
      <w:r>
        <w:t>up (1 to 18 months; Scully et al. 2019; Dutt et al. 2021; Ferrari et al. 2007), ADAMTS13 activity testing at initial remission had a very high negative predictive value, suggesting that ADAMTS13 activity above the diagnostic threshold has good predictive value for identifying patients at low risk of relapse. However, the positive predictive value of ADAMTS13 activity was low, indicating that although almost all relapses were in this group, ADAMTS13 activity below the diagnostic threshold is a poor predictor of relapse</w:t>
      </w:r>
      <w:r w:rsidR="004F36FA">
        <w:t xml:space="preserve"> (</w:t>
      </w:r>
      <w:r w:rsidR="004F36FA">
        <w:fldChar w:fldCharType="begin"/>
      </w:r>
      <w:r w:rsidR="004F36FA">
        <w:instrText xml:space="preserve"> REF _Ref213080167 \h </w:instrText>
      </w:r>
      <w:r w:rsidR="004F36FA">
        <w:fldChar w:fldCharType="separate"/>
      </w:r>
      <w:r w:rsidR="00716875">
        <w:t xml:space="preserve">Table </w:t>
      </w:r>
      <w:r w:rsidR="00716875">
        <w:rPr>
          <w:noProof/>
        </w:rPr>
        <w:t>11</w:t>
      </w:r>
      <w:r w:rsidR="004F36FA">
        <w:fldChar w:fldCharType="end"/>
      </w:r>
      <w:r w:rsidR="004F36FA">
        <w:t>)</w:t>
      </w:r>
      <w:r>
        <w:t>.</w:t>
      </w:r>
      <w:r w:rsidR="00C90D68">
        <w:t xml:space="preserve"> Two of these studies (Scully et al. 2019; Dutt et al. 2021) reported exacerbations separately to relapses with very similar findings in terms of</w:t>
      </w:r>
      <w:r w:rsidR="004309B4">
        <w:t xml:space="preserve"> (low)</w:t>
      </w:r>
      <w:r w:rsidR="00C90D68">
        <w:t xml:space="preserve"> positive and </w:t>
      </w:r>
      <w:r w:rsidR="004309B4">
        <w:t xml:space="preserve">(high) </w:t>
      </w:r>
      <w:r w:rsidR="00C90D68">
        <w:t>negative predictive value for both outcomes.</w:t>
      </w:r>
    </w:p>
    <w:p w14:paraId="226FB974" w14:textId="31807F61" w:rsidR="00877796" w:rsidRDefault="00877796" w:rsidP="00877796">
      <w:pPr>
        <w:pStyle w:val="Caption"/>
      </w:pPr>
      <w:bookmarkStart w:id="32" w:name="_Ref213080167"/>
      <w:r>
        <w:t xml:space="preserve">Table </w:t>
      </w:r>
      <w:r>
        <w:fldChar w:fldCharType="begin"/>
      </w:r>
      <w:r>
        <w:instrText>SEQ Table \* ARABIC</w:instrText>
      </w:r>
      <w:r>
        <w:fldChar w:fldCharType="separate"/>
      </w:r>
      <w:r w:rsidR="00716875">
        <w:rPr>
          <w:noProof/>
        </w:rPr>
        <w:t>11</w:t>
      </w:r>
      <w:r>
        <w:fldChar w:fldCharType="end"/>
      </w:r>
      <w:bookmarkEnd w:id="32"/>
      <w:r>
        <w:tab/>
      </w:r>
      <w:r w:rsidR="003A3640">
        <w:t xml:space="preserve">Longitudinal accuracy of ADAMTS13 activity testing during treatment or early remission for predicting relapse </w:t>
      </w:r>
      <w:r w:rsidR="0094740E">
        <w:t>(up to 18 months)</w:t>
      </w:r>
    </w:p>
    <w:tbl>
      <w:tblPr>
        <w:tblStyle w:val="TableGrid3"/>
        <w:tblW w:w="0" w:type="auto"/>
        <w:tblInd w:w="-3" w:type="dxa"/>
        <w:tblLook w:val="04A0" w:firstRow="1" w:lastRow="0" w:firstColumn="1" w:lastColumn="0" w:noHBand="0" w:noVBand="1"/>
        <w:tblCaption w:val="Longitudinal accuracy of ADAMTS13 activity testing during treatment or early remission for predicting relapse (up to 18 months)"/>
        <w:tblDescription w:val="Longitudinal accuracy data for three studies of monitoring."/>
      </w:tblPr>
      <w:tblGrid>
        <w:gridCol w:w="603"/>
        <w:gridCol w:w="825"/>
        <w:gridCol w:w="502"/>
        <w:gridCol w:w="1066"/>
        <w:gridCol w:w="1133"/>
        <w:gridCol w:w="1134"/>
        <w:gridCol w:w="958"/>
        <w:gridCol w:w="1044"/>
        <w:gridCol w:w="992"/>
        <w:gridCol w:w="762"/>
      </w:tblGrid>
      <w:tr w:rsidR="00877796" w14:paraId="2A7AF591" w14:textId="77777777" w:rsidTr="00C72EEE">
        <w:trPr>
          <w:cnfStyle w:val="100000000000" w:firstRow="1" w:lastRow="0" w:firstColumn="0" w:lastColumn="0" w:oddVBand="0" w:evenVBand="0" w:oddHBand="0" w:evenHBand="0" w:firstRowFirstColumn="0" w:firstRowLastColumn="0" w:lastRowFirstColumn="0" w:lastRowLastColumn="0"/>
        </w:trPr>
        <w:tc>
          <w:tcPr>
            <w:tcW w:w="0" w:type="auto"/>
          </w:tcPr>
          <w:p w14:paraId="77D88748" w14:textId="2E8EF0B8" w:rsidR="00877796" w:rsidRPr="0000156E" w:rsidRDefault="00877796" w:rsidP="00877796">
            <w:pPr>
              <w:pStyle w:val="011TableHeading"/>
            </w:pPr>
            <w:r w:rsidRPr="0000156E">
              <w:t>Study ID</w:t>
            </w:r>
          </w:p>
        </w:tc>
        <w:tc>
          <w:tcPr>
            <w:tcW w:w="0" w:type="auto"/>
          </w:tcPr>
          <w:p w14:paraId="48CAD3EF" w14:textId="3CB59F3B" w:rsidR="00877796" w:rsidRDefault="00877796" w:rsidP="00877796">
            <w:pPr>
              <w:pStyle w:val="011TableHeading"/>
            </w:pPr>
            <w:r>
              <w:t>Outcome</w:t>
            </w:r>
          </w:p>
        </w:tc>
        <w:tc>
          <w:tcPr>
            <w:tcW w:w="0" w:type="auto"/>
          </w:tcPr>
          <w:p w14:paraId="28315E8D" w14:textId="1EAA72DA" w:rsidR="00877796" w:rsidRDefault="00877796" w:rsidP="00877796">
            <w:pPr>
              <w:pStyle w:val="011TableHeading"/>
            </w:pPr>
            <w:r>
              <w:t>Cut-off</w:t>
            </w:r>
          </w:p>
        </w:tc>
        <w:tc>
          <w:tcPr>
            <w:tcW w:w="1040" w:type="dxa"/>
          </w:tcPr>
          <w:p w14:paraId="09052230" w14:textId="2D7E6089" w:rsidR="00877796" w:rsidRDefault="00877796" w:rsidP="00877796">
            <w:pPr>
              <w:pStyle w:val="011TableHeading"/>
            </w:pPr>
            <w:r>
              <w:t xml:space="preserve">Time of </w:t>
            </w:r>
            <w:r w:rsidR="00AD2D44">
              <w:t>testing</w:t>
            </w:r>
          </w:p>
        </w:tc>
        <w:tc>
          <w:tcPr>
            <w:tcW w:w="1133" w:type="dxa"/>
          </w:tcPr>
          <w:p w14:paraId="24FD528C" w14:textId="3081A9EA" w:rsidR="00877796" w:rsidRDefault="00877796" w:rsidP="00877796">
            <w:pPr>
              <w:pStyle w:val="011TableHeading"/>
            </w:pPr>
            <w:r>
              <w:t>Outcome in test positive</w:t>
            </w:r>
            <w:r>
              <w:br/>
              <w:t>n/N</w:t>
            </w:r>
          </w:p>
        </w:tc>
        <w:tc>
          <w:tcPr>
            <w:tcW w:w="1134" w:type="dxa"/>
          </w:tcPr>
          <w:p w14:paraId="255486CC" w14:textId="79603D1D" w:rsidR="00877796" w:rsidRPr="00343AF9" w:rsidRDefault="00877796" w:rsidP="00877796">
            <w:pPr>
              <w:pStyle w:val="011TableHeading"/>
            </w:pPr>
            <w:r>
              <w:t>Outcome in test negative</w:t>
            </w:r>
            <w:r>
              <w:br/>
              <w:t>n/N</w:t>
            </w:r>
          </w:p>
        </w:tc>
        <w:tc>
          <w:tcPr>
            <w:tcW w:w="958" w:type="dxa"/>
          </w:tcPr>
          <w:p w14:paraId="36C413F4" w14:textId="17F004ED" w:rsidR="00877796" w:rsidRDefault="00877796" w:rsidP="00877796">
            <w:pPr>
              <w:pStyle w:val="011TableHeading"/>
            </w:pPr>
            <w:r>
              <w:t>PPV</w:t>
            </w:r>
            <w:r w:rsidR="008B7509">
              <w:br/>
            </w:r>
            <w:r>
              <w:t>(95% CI)</w:t>
            </w:r>
          </w:p>
        </w:tc>
        <w:tc>
          <w:tcPr>
            <w:tcW w:w="1044" w:type="dxa"/>
          </w:tcPr>
          <w:p w14:paraId="1B3E5B4C" w14:textId="6B2455D0" w:rsidR="00877796" w:rsidRDefault="00877796" w:rsidP="00877796">
            <w:pPr>
              <w:pStyle w:val="011TableHeading"/>
            </w:pPr>
            <w:r>
              <w:t>NPV</w:t>
            </w:r>
            <w:r w:rsidR="008B7509">
              <w:br/>
            </w:r>
            <w:r>
              <w:t>(95% CI)</w:t>
            </w:r>
          </w:p>
        </w:tc>
        <w:tc>
          <w:tcPr>
            <w:tcW w:w="0" w:type="auto"/>
          </w:tcPr>
          <w:p w14:paraId="42413C6A" w14:textId="36C50039" w:rsidR="00877796" w:rsidRDefault="00877796" w:rsidP="00877796">
            <w:pPr>
              <w:pStyle w:val="011TableHeading"/>
            </w:pPr>
            <w:r>
              <w:t>Prevalence (%)</w:t>
            </w:r>
          </w:p>
        </w:tc>
        <w:tc>
          <w:tcPr>
            <w:tcW w:w="0" w:type="auto"/>
          </w:tcPr>
          <w:p w14:paraId="5BB78520" w14:textId="4D02B3A6" w:rsidR="00877796" w:rsidRDefault="00877796" w:rsidP="00877796">
            <w:pPr>
              <w:pStyle w:val="011TableHeading"/>
            </w:pPr>
            <w:r>
              <w:t>Follow</w:t>
            </w:r>
            <w:r w:rsidR="00DC3998">
              <w:t>-</w:t>
            </w:r>
            <w:r>
              <w:t>up</w:t>
            </w:r>
          </w:p>
        </w:tc>
      </w:tr>
      <w:tr w:rsidR="00691787" w14:paraId="367C4AB3" w14:textId="77777777" w:rsidTr="00C72EEE">
        <w:tc>
          <w:tcPr>
            <w:tcW w:w="0" w:type="auto"/>
          </w:tcPr>
          <w:p w14:paraId="45AE7439" w14:textId="77777777" w:rsidR="00691787" w:rsidRPr="0000156E" w:rsidRDefault="00691787">
            <w:pPr>
              <w:pStyle w:val="051Tabletext229pt"/>
            </w:pPr>
            <w:r w:rsidRPr="0000156E">
              <w:t>Scully, 2019</w:t>
            </w:r>
          </w:p>
        </w:tc>
        <w:tc>
          <w:tcPr>
            <w:tcW w:w="0" w:type="auto"/>
          </w:tcPr>
          <w:p w14:paraId="50AD7F08" w14:textId="77777777" w:rsidR="00691787" w:rsidRPr="0000156E" w:rsidRDefault="00691787">
            <w:pPr>
              <w:pStyle w:val="051Tabletext229pt"/>
            </w:pPr>
            <w:r>
              <w:t>Relapse</w:t>
            </w:r>
          </w:p>
        </w:tc>
        <w:tc>
          <w:tcPr>
            <w:tcW w:w="0" w:type="auto"/>
          </w:tcPr>
          <w:p w14:paraId="2AEF24F5" w14:textId="77777777" w:rsidR="00691787" w:rsidRPr="0000156E" w:rsidRDefault="00691787">
            <w:pPr>
              <w:pStyle w:val="051Tabletext229pt"/>
            </w:pPr>
            <w:r>
              <w:t>&lt;10%</w:t>
            </w:r>
          </w:p>
        </w:tc>
        <w:tc>
          <w:tcPr>
            <w:tcW w:w="1040" w:type="dxa"/>
          </w:tcPr>
          <w:p w14:paraId="336996AF" w14:textId="70C3BFFE" w:rsidR="00691787" w:rsidRDefault="00691787">
            <w:pPr>
              <w:pStyle w:val="051Tabletext229pt"/>
            </w:pPr>
            <w:r>
              <w:t>At the end of treatment (capla</w:t>
            </w:r>
            <w:r w:rsidR="00B57017">
              <w:t>ci</w:t>
            </w:r>
            <w:r>
              <w:t>zumab or placebo)</w:t>
            </w:r>
          </w:p>
        </w:tc>
        <w:tc>
          <w:tcPr>
            <w:tcW w:w="1133" w:type="dxa"/>
          </w:tcPr>
          <w:p w14:paraId="74C67C95" w14:textId="77777777" w:rsidR="00691787" w:rsidRDefault="00691787">
            <w:pPr>
              <w:pStyle w:val="051Tabletext229pt"/>
            </w:pPr>
            <w:r>
              <w:t>9/29</w:t>
            </w:r>
          </w:p>
        </w:tc>
        <w:tc>
          <w:tcPr>
            <w:tcW w:w="1134" w:type="dxa"/>
          </w:tcPr>
          <w:p w14:paraId="7DA64521" w14:textId="77777777" w:rsidR="00691787" w:rsidRPr="00343AF9" w:rsidRDefault="00691787">
            <w:pPr>
              <w:pStyle w:val="051Tabletext229pt"/>
            </w:pPr>
            <w:r w:rsidRPr="00343AF9">
              <w:t>0/91</w:t>
            </w:r>
          </w:p>
        </w:tc>
        <w:tc>
          <w:tcPr>
            <w:tcW w:w="958" w:type="dxa"/>
          </w:tcPr>
          <w:p w14:paraId="6EB6FD7E" w14:textId="53165675" w:rsidR="00691787" w:rsidRPr="0000156E" w:rsidRDefault="00691787">
            <w:pPr>
              <w:pStyle w:val="051Tabletext229pt"/>
            </w:pPr>
            <w:r>
              <w:t>0.31</w:t>
            </w:r>
            <w:r w:rsidR="008B7509">
              <w:br/>
            </w:r>
            <w:r>
              <w:t>(017, 0.49)</w:t>
            </w:r>
          </w:p>
        </w:tc>
        <w:tc>
          <w:tcPr>
            <w:tcW w:w="1044" w:type="dxa"/>
          </w:tcPr>
          <w:p w14:paraId="7D27CA5F" w14:textId="4D13F33A" w:rsidR="00691787" w:rsidRPr="0000156E" w:rsidRDefault="00691787">
            <w:pPr>
              <w:pStyle w:val="051Tabletext229pt"/>
            </w:pPr>
            <w:r>
              <w:t>1.00</w:t>
            </w:r>
            <w:r w:rsidR="008B7509">
              <w:br/>
            </w:r>
            <w:r>
              <w:t>(0.96, 1.00)</w:t>
            </w:r>
          </w:p>
        </w:tc>
        <w:tc>
          <w:tcPr>
            <w:tcW w:w="0" w:type="auto"/>
          </w:tcPr>
          <w:p w14:paraId="7A8BAB99" w14:textId="77777777" w:rsidR="00691787" w:rsidRPr="0000156E" w:rsidRDefault="00691787">
            <w:pPr>
              <w:pStyle w:val="051Tabletext229pt"/>
            </w:pPr>
            <w:r>
              <w:t>8%</w:t>
            </w:r>
          </w:p>
        </w:tc>
        <w:tc>
          <w:tcPr>
            <w:tcW w:w="0" w:type="auto"/>
          </w:tcPr>
          <w:p w14:paraId="5B430DFB" w14:textId="088B710D" w:rsidR="00691787" w:rsidRDefault="00691787">
            <w:pPr>
              <w:pStyle w:val="051Tabletext229pt"/>
            </w:pPr>
            <w:r>
              <w:t>28 d post-treatment</w:t>
            </w:r>
          </w:p>
        </w:tc>
      </w:tr>
      <w:tr w:rsidR="00691787" w14:paraId="2E8E550F" w14:textId="77777777" w:rsidTr="00C72EEE">
        <w:tc>
          <w:tcPr>
            <w:tcW w:w="0" w:type="auto"/>
          </w:tcPr>
          <w:p w14:paraId="594A79CF" w14:textId="77777777" w:rsidR="00691787" w:rsidRPr="0000156E" w:rsidRDefault="00691787">
            <w:pPr>
              <w:pStyle w:val="051Tabletext229pt"/>
            </w:pPr>
            <w:r>
              <w:t>Dutt, 2021</w:t>
            </w:r>
          </w:p>
        </w:tc>
        <w:tc>
          <w:tcPr>
            <w:tcW w:w="0" w:type="auto"/>
          </w:tcPr>
          <w:p w14:paraId="192FF0AA" w14:textId="77777777" w:rsidR="00691787" w:rsidRPr="0000156E" w:rsidRDefault="00691787">
            <w:pPr>
              <w:pStyle w:val="051Tabletext229pt"/>
            </w:pPr>
            <w:r>
              <w:t>Relapse</w:t>
            </w:r>
          </w:p>
        </w:tc>
        <w:tc>
          <w:tcPr>
            <w:tcW w:w="0" w:type="auto"/>
          </w:tcPr>
          <w:p w14:paraId="5F3063E7" w14:textId="77777777" w:rsidR="00691787" w:rsidRPr="0000156E" w:rsidRDefault="00691787">
            <w:pPr>
              <w:pStyle w:val="051Tabletext229pt"/>
            </w:pPr>
            <w:r>
              <w:t>&lt;10%</w:t>
            </w:r>
          </w:p>
        </w:tc>
        <w:tc>
          <w:tcPr>
            <w:tcW w:w="1040" w:type="dxa"/>
          </w:tcPr>
          <w:p w14:paraId="5E756CF5" w14:textId="77777777" w:rsidR="00691787" w:rsidRDefault="00691787">
            <w:pPr>
              <w:pStyle w:val="051Tabletext229pt"/>
            </w:pPr>
            <w:r>
              <w:t>At completion of PEX</w:t>
            </w:r>
          </w:p>
        </w:tc>
        <w:tc>
          <w:tcPr>
            <w:tcW w:w="1133" w:type="dxa"/>
          </w:tcPr>
          <w:p w14:paraId="59E1DD40" w14:textId="77777777" w:rsidR="00691787" w:rsidRDefault="00691787">
            <w:pPr>
              <w:pStyle w:val="051Tabletext229pt"/>
            </w:pPr>
            <w:r>
              <w:t>3/37</w:t>
            </w:r>
          </w:p>
        </w:tc>
        <w:tc>
          <w:tcPr>
            <w:tcW w:w="1134" w:type="dxa"/>
          </w:tcPr>
          <w:p w14:paraId="48F1CFD1" w14:textId="77777777" w:rsidR="00691787" w:rsidRDefault="00691787">
            <w:pPr>
              <w:pStyle w:val="051Tabletext229pt"/>
            </w:pPr>
            <w:r>
              <w:t>0/39</w:t>
            </w:r>
          </w:p>
        </w:tc>
        <w:tc>
          <w:tcPr>
            <w:tcW w:w="958" w:type="dxa"/>
          </w:tcPr>
          <w:p w14:paraId="7FBE7085" w14:textId="4EE0EF1D" w:rsidR="00691787" w:rsidRPr="0000156E" w:rsidRDefault="00691787">
            <w:pPr>
              <w:pStyle w:val="051Tabletext229pt"/>
            </w:pPr>
            <w:r>
              <w:t>0.08</w:t>
            </w:r>
            <w:r w:rsidR="008B7509">
              <w:br/>
            </w:r>
            <w:r>
              <w:t>(0.03, 0.21)</w:t>
            </w:r>
          </w:p>
        </w:tc>
        <w:tc>
          <w:tcPr>
            <w:tcW w:w="1044" w:type="dxa"/>
          </w:tcPr>
          <w:p w14:paraId="47EF9839" w14:textId="2F45B374" w:rsidR="00691787" w:rsidRPr="0000156E" w:rsidRDefault="00691787">
            <w:pPr>
              <w:pStyle w:val="051Tabletext229pt"/>
            </w:pPr>
            <w:r>
              <w:t>1.00</w:t>
            </w:r>
            <w:r w:rsidR="008B7509">
              <w:br/>
            </w:r>
            <w:r>
              <w:t>(0.91, 1.00)</w:t>
            </w:r>
          </w:p>
        </w:tc>
        <w:tc>
          <w:tcPr>
            <w:tcW w:w="0" w:type="auto"/>
          </w:tcPr>
          <w:p w14:paraId="4DAFB0ED" w14:textId="77777777" w:rsidR="00691787" w:rsidRPr="0000156E" w:rsidRDefault="00691787">
            <w:pPr>
              <w:pStyle w:val="051Tabletext229pt"/>
            </w:pPr>
            <w:r>
              <w:t>4%</w:t>
            </w:r>
          </w:p>
        </w:tc>
        <w:tc>
          <w:tcPr>
            <w:tcW w:w="0" w:type="auto"/>
          </w:tcPr>
          <w:p w14:paraId="6823555A" w14:textId="77777777" w:rsidR="00691787" w:rsidRDefault="00691787">
            <w:pPr>
              <w:pStyle w:val="051Tabletext229pt"/>
            </w:pPr>
            <w:r>
              <w:t>80 d (IQR 59, 166)</w:t>
            </w:r>
          </w:p>
        </w:tc>
      </w:tr>
      <w:tr w:rsidR="00691787" w14:paraId="04F31C29" w14:textId="77777777" w:rsidTr="00C72EEE">
        <w:tc>
          <w:tcPr>
            <w:tcW w:w="0" w:type="auto"/>
          </w:tcPr>
          <w:p w14:paraId="2561E17D" w14:textId="77777777" w:rsidR="00691787" w:rsidRPr="0000156E" w:rsidRDefault="00691787">
            <w:pPr>
              <w:pStyle w:val="051Tabletext229pt"/>
            </w:pPr>
            <w:r>
              <w:t>Ferrari, 2007</w:t>
            </w:r>
          </w:p>
        </w:tc>
        <w:tc>
          <w:tcPr>
            <w:tcW w:w="0" w:type="auto"/>
          </w:tcPr>
          <w:p w14:paraId="3714455D" w14:textId="77777777" w:rsidR="00691787" w:rsidRDefault="00691787">
            <w:pPr>
              <w:pStyle w:val="051Tabletext229pt"/>
            </w:pPr>
            <w:r>
              <w:t>Relapse</w:t>
            </w:r>
          </w:p>
        </w:tc>
        <w:tc>
          <w:tcPr>
            <w:tcW w:w="0" w:type="auto"/>
          </w:tcPr>
          <w:p w14:paraId="1FB5C92B" w14:textId="77777777" w:rsidR="00691787" w:rsidRDefault="00691787">
            <w:pPr>
              <w:pStyle w:val="051Tabletext229pt"/>
            </w:pPr>
            <w:r>
              <w:t>&lt;5%</w:t>
            </w:r>
          </w:p>
        </w:tc>
        <w:tc>
          <w:tcPr>
            <w:tcW w:w="1040" w:type="dxa"/>
          </w:tcPr>
          <w:p w14:paraId="1BF33BEF" w14:textId="77777777" w:rsidR="00691787" w:rsidRDefault="00691787">
            <w:pPr>
              <w:pStyle w:val="051Tabletext229pt"/>
            </w:pPr>
            <w:r>
              <w:t>At initial remission</w:t>
            </w:r>
          </w:p>
        </w:tc>
        <w:tc>
          <w:tcPr>
            <w:tcW w:w="1133" w:type="dxa"/>
          </w:tcPr>
          <w:p w14:paraId="5D4EF3F9" w14:textId="77777777" w:rsidR="00691787" w:rsidRDefault="00691787">
            <w:pPr>
              <w:pStyle w:val="051Tabletext229pt"/>
            </w:pPr>
            <w:r>
              <w:t>5/13</w:t>
            </w:r>
          </w:p>
        </w:tc>
        <w:tc>
          <w:tcPr>
            <w:tcW w:w="1134" w:type="dxa"/>
          </w:tcPr>
          <w:p w14:paraId="38F2817B" w14:textId="77777777" w:rsidR="00691787" w:rsidRDefault="00691787">
            <w:pPr>
              <w:pStyle w:val="051Tabletext229pt"/>
            </w:pPr>
            <w:r>
              <w:t>1/19</w:t>
            </w:r>
          </w:p>
        </w:tc>
        <w:tc>
          <w:tcPr>
            <w:tcW w:w="958" w:type="dxa"/>
          </w:tcPr>
          <w:p w14:paraId="4A5E2659" w14:textId="7AB424A3" w:rsidR="00691787" w:rsidRDefault="00691787">
            <w:pPr>
              <w:pStyle w:val="051Tabletext229pt"/>
            </w:pPr>
            <w:r>
              <w:t>0.38</w:t>
            </w:r>
            <w:r w:rsidR="008B7509">
              <w:br/>
            </w:r>
            <w:r>
              <w:t>(0.18, 0.64)</w:t>
            </w:r>
          </w:p>
        </w:tc>
        <w:tc>
          <w:tcPr>
            <w:tcW w:w="1044" w:type="dxa"/>
          </w:tcPr>
          <w:p w14:paraId="18F1F5EF" w14:textId="40C805B5" w:rsidR="00691787" w:rsidRDefault="00691787">
            <w:pPr>
              <w:pStyle w:val="051Tabletext229pt"/>
            </w:pPr>
            <w:r>
              <w:t>0.95</w:t>
            </w:r>
            <w:r w:rsidR="008B7509">
              <w:br/>
            </w:r>
            <w:r>
              <w:t>(0.75, 0.99)</w:t>
            </w:r>
          </w:p>
        </w:tc>
        <w:tc>
          <w:tcPr>
            <w:tcW w:w="0" w:type="auto"/>
          </w:tcPr>
          <w:p w14:paraId="15747DE3" w14:textId="77777777" w:rsidR="00691787" w:rsidRDefault="00691787">
            <w:pPr>
              <w:pStyle w:val="051Tabletext229pt"/>
            </w:pPr>
            <w:r>
              <w:t>19%</w:t>
            </w:r>
          </w:p>
        </w:tc>
        <w:tc>
          <w:tcPr>
            <w:tcW w:w="0" w:type="auto"/>
          </w:tcPr>
          <w:p w14:paraId="310E1973" w14:textId="77777777" w:rsidR="00691787" w:rsidRDefault="00691787">
            <w:pPr>
              <w:pStyle w:val="051Tabletext229pt"/>
            </w:pPr>
            <w:r>
              <w:t>18 mo</w:t>
            </w:r>
          </w:p>
        </w:tc>
      </w:tr>
    </w:tbl>
    <w:p w14:paraId="2951BCA9" w14:textId="1EB1AD3A" w:rsidR="001379B3" w:rsidRDefault="001379B3" w:rsidP="00035BD4">
      <w:pPr>
        <w:pStyle w:val="111Tablefootnoteslast-nostick"/>
      </w:pPr>
      <w:r>
        <w:t xml:space="preserve">CI = confidence interval; d = days; mo = months; </w:t>
      </w:r>
      <w:r w:rsidR="00DF02D6">
        <w:t xml:space="preserve">IQR = </w:t>
      </w:r>
      <w:r w:rsidR="005A4125">
        <w:t>interquartile range</w:t>
      </w:r>
      <w:r w:rsidR="00DF02D6">
        <w:t xml:space="preserve">; </w:t>
      </w:r>
      <w:r>
        <w:t>NPV = negative predictive value; PEX = plasma exchange therapy; PPV = positive predictive value.</w:t>
      </w:r>
    </w:p>
    <w:p w14:paraId="2910E1DF" w14:textId="51C2244F" w:rsidR="00807CCF" w:rsidRDefault="00035BD4" w:rsidP="00BD2F7A">
      <w:pPr>
        <w:pStyle w:val="BodyText"/>
      </w:pPr>
      <w:r w:rsidRPr="00035BD4">
        <w:t>Three studies followed patients for longer than 18 months (Peyvandi et al. 2008; Bettoni et al. 2012; Schieppati et al. 2020). The informativeness of ADAMTS13 activity measured at initial relapse or an unspecified timepoint over this period remains uncertain, as ADAMTS13 activity levels may change over time (hence the proposal for repeated monitoring). Nevertheless, relapse rates, although higher overall compared to studies with shorter follow</w:t>
      </w:r>
      <w:r w:rsidR="00DC3998">
        <w:t>-</w:t>
      </w:r>
      <w:r w:rsidRPr="00035BD4">
        <w:t>up, remained higher in test</w:t>
      </w:r>
      <w:r w:rsidR="001C6052">
        <w:t>-</w:t>
      </w:r>
      <w:r w:rsidRPr="00035BD4">
        <w:t>positive than test</w:t>
      </w:r>
      <w:r w:rsidR="001C6052">
        <w:t>-</w:t>
      </w:r>
      <w:r w:rsidRPr="00035BD4">
        <w:t>negative patients. However, the negative predictive value declined</w:t>
      </w:r>
      <w:r w:rsidR="00D21B62">
        <w:t xml:space="preserve"> (range </w:t>
      </w:r>
      <w:r w:rsidR="00D21B62">
        <w:lastRenderedPageBreak/>
        <w:t>0.75 to 0.79)</w:t>
      </w:r>
      <w:r w:rsidRPr="00035BD4">
        <w:t>, and the positive predictive value increased</w:t>
      </w:r>
      <w:r w:rsidR="00D21B62">
        <w:t xml:space="preserve"> (range 0.</w:t>
      </w:r>
      <w:r w:rsidR="001273B3">
        <w:t>38 to 0.47)</w:t>
      </w:r>
      <w:r w:rsidRPr="00035BD4">
        <w:t xml:space="preserve"> suggesting limited value for ADAMTS13 activity at remission for predicting relapse over this longer time frame.</w:t>
      </w:r>
    </w:p>
    <w:p w14:paraId="084E0213" w14:textId="2E3028FC" w:rsidR="00D708C3" w:rsidRDefault="00926364" w:rsidP="00BD2F7A">
      <w:pPr>
        <w:pStyle w:val="BodyText"/>
      </w:pPr>
      <w:r>
        <w:t>Evidence from</w:t>
      </w:r>
      <w:r w:rsidR="00D708C3">
        <w:t xml:space="preserve"> studies </w:t>
      </w:r>
      <w:r>
        <w:t xml:space="preserve">evaluating </w:t>
      </w:r>
      <w:r w:rsidR="00D708C3">
        <w:t>ADAMTS13 activity monitoring during acute iTTP episode</w:t>
      </w:r>
      <w:r>
        <w:t>s</w:t>
      </w:r>
      <w:r w:rsidR="00D708C3">
        <w:t xml:space="preserve"> suggest that the test is responsive to treatment. Two studies reported median ADAMTS13 activity values over </w:t>
      </w:r>
      <w:r w:rsidR="00564FF1">
        <w:t xml:space="preserve">the course of </w:t>
      </w:r>
      <w:r w:rsidR="00D708C3">
        <w:t>acute treatment (Dutt et al. 2021; Sui et al. 2019)</w:t>
      </w:r>
      <w:r w:rsidR="00EE5F29">
        <w:t>.</w:t>
      </w:r>
      <w:r w:rsidR="00D708C3">
        <w:t xml:space="preserve"> </w:t>
      </w:r>
      <w:r w:rsidR="00EE5F29">
        <w:t>A</w:t>
      </w:r>
      <w:r w:rsidR="00D708C3">
        <w:t xml:space="preserve">lthough the </w:t>
      </w:r>
      <w:r w:rsidR="00E73190">
        <w:t>timing of measurements</w:t>
      </w:r>
      <w:r w:rsidR="00D708C3">
        <w:t xml:space="preserve"> differed, the overall pattern of increasing </w:t>
      </w:r>
      <w:r w:rsidR="004370D4">
        <w:t>ADAMTS13 activity</w:t>
      </w:r>
      <w:r w:rsidR="00D708C3">
        <w:t xml:space="preserve"> supports the responsiveness of the test to treatment</w:t>
      </w:r>
      <w:r w:rsidR="00352EB0">
        <w:t>.</w:t>
      </w:r>
      <w:r w:rsidR="000C4896" w:rsidRPr="000C4896">
        <w:t xml:space="preserve"> </w:t>
      </w:r>
      <w:r w:rsidR="000C4896">
        <w:t>Similarly, patients in remission with low ADAMTS13 activity treated with rituximab demonstrate an ADAMTS13 response.</w:t>
      </w:r>
    </w:p>
    <w:p w14:paraId="2B3316D0" w14:textId="3C09061F" w:rsidR="000F75F5" w:rsidRDefault="000F75F5" w:rsidP="00BD2F7A">
      <w:pPr>
        <w:pStyle w:val="BodyText"/>
      </w:pPr>
      <w:r>
        <w:t>There are less data regarding the detectability of long-term change. Page et al. (2016) presented serial ADAMTS13 activity measurements during remission of 8 patients selected to illustrate different patterns. They reported that 17 of 57 (30%) patients had a remission ADAMTS13 activity &lt;10% and 10 of these patients relapsed. Two patients who relapsed had spontaneous recovery of remission ADAMTS13 activity to 55% and 96% for 2 years before they relapsed. For the 7 patients who did not relapse, median follow</w:t>
      </w:r>
      <w:r w:rsidR="00DC3998">
        <w:t>-</w:t>
      </w:r>
      <w:r>
        <w:t>up after remission ADAMTS13 activity &lt;10% was 5.8 years (range 4.5 to 12.1)</w:t>
      </w:r>
      <w:r w:rsidR="00855669">
        <w:t>,</w:t>
      </w:r>
      <w:r>
        <w:t xml:space="preserve"> with some patients exhibiting severe ADAMTS13 deficiency without relapse for many years. No patients whose ADAMTS13 activity was always ≥60% relapsed. The authors concluded that their findings were consistent with previous observations that iTTP and cTTP patients may have prolonged periods of severe ADAMTS13 activity deficiency without an acute episode and they noted that the clinical course of individual patients is unpredictable.</w:t>
      </w:r>
    </w:p>
    <w:p w14:paraId="72A26F0D" w14:textId="79C2580F" w:rsidR="009362EB" w:rsidRDefault="009362EB" w:rsidP="00BD2F7A">
      <w:pPr>
        <w:pStyle w:val="BodyText"/>
      </w:pPr>
      <w:r>
        <w:t xml:space="preserve">One study reported on stroke in iTTP patients during remission (Upreti et al. 2019). </w:t>
      </w:r>
      <w:r w:rsidR="006B1EA2">
        <w:t>Stroke was associated with below normal levels of ADAMTS13 activity (≤70%) (p=0.007).</w:t>
      </w:r>
      <w:r w:rsidR="000F75F5">
        <w:t xml:space="preserve"> This </w:t>
      </w:r>
      <w:r w:rsidR="000834A9">
        <w:t>raises the possibility that low levels of ADAMTS13 activity</w:t>
      </w:r>
      <w:r w:rsidR="00277F94">
        <w:t xml:space="preserve"> are associated with health effects beyond risk of relapse</w:t>
      </w:r>
      <w:r w:rsidR="004208BF">
        <w:t xml:space="preserve"> and the treatment to raise the levels may</w:t>
      </w:r>
      <w:r w:rsidR="00050309">
        <w:t xml:space="preserve"> </w:t>
      </w:r>
      <w:r w:rsidR="00484E9C">
        <w:t>lead to additional health benefits not captured in the DCAR.</w:t>
      </w:r>
    </w:p>
    <w:p w14:paraId="39F96537" w14:textId="11F2CA0D" w:rsidR="00D34F16" w:rsidRDefault="005D0D40" w:rsidP="00D34F16">
      <w:pPr>
        <w:pStyle w:val="ExecSumHeading4"/>
      </w:pPr>
      <w:r>
        <w:t>Change in management</w:t>
      </w:r>
    </w:p>
    <w:p w14:paraId="5010185B" w14:textId="6087D567" w:rsidR="00F96E53" w:rsidRDefault="00A77F0E" w:rsidP="005D0D40">
      <w:pPr>
        <w:pStyle w:val="BodyText"/>
      </w:pPr>
      <w:r>
        <w:t>Three</w:t>
      </w:r>
      <w:r w:rsidRPr="00CE28E3">
        <w:t xml:space="preserve"> studies met the inclusion criteria for assess</w:t>
      </w:r>
      <w:r>
        <w:t>ing</w:t>
      </w:r>
      <w:r w:rsidRPr="00CE28E3">
        <w:t xml:space="preserve"> change in management</w:t>
      </w:r>
      <w:r>
        <w:t xml:space="preserve"> following</w:t>
      </w:r>
      <w:r w:rsidRPr="00707C18">
        <w:t xml:space="preserve"> </w:t>
      </w:r>
      <w:r>
        <w:t xml:space="preserve">ADAMTS13 activity monitoring; the studies were descriptive observational studies and </w:t>
      </w:r>
      <w:r w:rsidR="00CD51F0">
        <w:t>provide a very low level of evidence</w:t>
      </w:r>
      <w:r w:rsidRPr="00CE28E3">
        <w:t>.</w:t>
      </w:r>
      <w:r>
        <w:t xml:space="preserve"> </w:t>
      </w:r>
    </w:p>
    <w:p w14:paraId="0BD55D3A" w14:textId="279C4CB8" w:rsidR="00FC23E2" w:rsidRDefault="00A77F0E" w:rsidP="005D0D40">
      <w:pPr>
        <w:pStyle w:val="BodyText"/>
      </w:pPr>
      <w:r>
        <w:t>One study considered the use of ADAMTS13 activity monitoring for treatment decisions in the acute and post-acute phase (V</w:t>
      </w:r>
      <w:r w:rsidRPr="00154105">
        <w:t>ö</w:t>
      </w:r>
      <w:r>
        <w:t>lker et al. 2020)</w:t>
      </w:r>
      <w:r w:rsidR="00FC23E2">
        <w:t>.</w:t>
      </w:r>
      <w:r w:rsidR="00261AD4" w:rsidRPr="00261AD4">
        <w:t xml:space="preserve"> </w:t>
      </w:r>
      <w:r w:rsidR="00261AD4">
        <w:t>Caplacizumab was stopped before day 30 in 35 instances in 31 patients (if it was stopped and resumed later due to exacerbation or relapse, time to normalisation was measured again). Treatment was stopped based on a platelet-guided approach in 20 of these instances, of which 9 (45%) experienced disease exacerbation. In 15 instances, treatment was stopped based on ADAMTS13 activity; none of these patients experienced exacerbation or relapse during the follow</w:t>
      </w:r>
      <w:r w:rsidR="00DC3998">
        <w:t>-</w:t>
      </w:r>
      <w:r w:rsidR="00261AD4">
        <w:t xml:space="preserve">up. </w:t>
      </w:r>
    </w:p>
    <w:p w14:paraId="2C5F7513" w14:textId="1A81EFC4" w:rsidR="005D0D40" w:rsidRDefault="00304C2F" w:rsidP="005D0D40">
      <w:pPr>
        <w:pStyle w:val="BodyText"/>
      </w:pPr>
      <w:r>
        <w:t>Two</w:t>
      </w:r>
      <w:r w:rsidR="00A77F0E">
        <w:t xml:space="preserve"> studies considered the use of ADAMTS13 activity for monitoring during long-term remission (Doyle et al. 2023; Knovich et al. 2012).</w:t>
      </w:r>
    </w:p>
    <w:p w14:paraId="6CCA6393" w14:textId="18527AA8" w:rsidR="00E65FA4" w:rsidRDefault="00A775FC" w:rsidP="00E65FA4">
      <w:pPr>
        <w:pStyle w:val="BodyText"/>
      </w:pPr>
      <w:r>
        <w:t>Doyle et al. (2023) included 443 patients from the UK TTP registry (30 sites) with more than 3 years of follow</w:t>
      </w:r>
      <w:r w:rsidR="00DC3998">
        <w:t>-</w:t>
      </w:r>
      <w:r>
        <w:t>up</w:t>
      </w:r>
      <w:r w:rsidR="009A7138">
        <w:t>.</w:t>
      </w:r>
      <w:r w:rsidR="00A75B62">
        <w:t xml:space="preserve"> ADAMTS13 relapses were treated with pre-emptive rituximab when activity levels were &lt;20% but higher thresholds may have been used if there was clinical concern. </w:t>
      </w:r>
      <w:r w:rsidR="00E65FA4">
        <w:t>To investigate the effect of modern TTP management (plasma exchange, steroids, and rituximab), the type of relapse for each patient was compared in those presenting up to 2012 (n=217) with those presenting after 2012 (n=226). There was a statistically significant reduction in patients having at least one episode of clinical relapse from 49 (23%)</w:t>
      </w:r>
      <w:r w:rsidR="00E65FA4" w:rsidDel="0058655A">
        <w:t xml:space="preserve"> </w:t>
      </w:r>
      <w:r w:rsidR="00E65FA4">
        <w:t xml:space="preserve">diagnosed before 2012 compared with 25 (11%) diagnosed after 2012. Conversely, there was an increase in ADAMTS13 relapses from 17 (8%) in the earlier time period in comparison with 37 (16%) in the later period </w:t>
      </w:r>
      <w:r w:rsidR="00E65FA4">
        <w:lastRenderedPageBreak/>
        <w:t xml:space="preserve">(p=0.0004). The authors attributed this to increased surveillance, including targeted monitoring and pre-emptive treatment. However, they did not report whether </w:t>
      </w:r>
      <w:r w:rsidR="00E65FA4" w:rsidDel="003E795D">
        <w:t>follow</w:t>
      </w:r>
      <w:r w:rsidR="00E65FA4">
        <w:t xml:space="preserve">-up duration or other characteristics differed between the two cohorts. </w:t>
      </w:r>
    </w:p>
    <w:p w14:paraId="0CE74A55" w14:textId="754FA201" w:rsidR="00A775FC" w:rsidRDefault="00B94DE4" w:rsidP="005D0D40">
      <w:pPr>
        <w:pStyle w:val="BodyText"/>
      </w:pPr>
      <w:r>
        <w:t>Knovich et al. (2012) describe routine monitoring at their institution and report that</w:t>
      </w:r>
      <w:r w:rsidR="0028333B" w:rsidRPr="0028333B">
        <w:t xml:space="preserve"> </w:t>
      </w:r>
      <w:r w:rsidR="0028333B">
        <w:t>since it became available, 28 patients have been treated for TTP</w:t>
      </w:r>
      <w:r w:rsidR="00871B92">
        <w:t xml:space="preserve"> and o</w:t>
      </w:r>
      <w:r w:rsidR="0028333B">
        <w:t>ne</w:t>
      </w:r>
      <w:r w:rsidR="0028333B" w:rsidDel="00894129">
        <w:t xml:space="preserve"> </w:t>
      </w:r>
      <w:r w:rsidR="0028333B">
        <w:t>relapsed</w:t>
      </w:r>
      <w:r w:rsidR="00871B92">
        <w:t>.</w:t>
      </w:r>
      <w:r w:rsidR="0028333B">
        <w:t xml:space="preserve"> </w:t>
      </w:r>
      <w:r w:rsidR="00871B92">
        <w:t>I</w:t>
      </w:r>
      <w:r w:rsidR="0028333B">
        <w:t xml:space="preserve">n contrast, the relapse rate </w:t>
      </w:r>
      <w:r w:rsidR="001633B3">
        <w:t>was</w:t>
      </w:r>
      <w:r w:rsidR="0028333B">
        <w:t xml:space="preserve"> approximately 30% in the 20 years before monitoring. The authors stated that serial ADAMTS13 measurements led to a modification of immune modulation treatment in 16 (57%) patients and an earlier cessation of PEX (rather than a taper) in the remaining 12 patients.</w:t>
      </w:r>
    </w:p>
    <w:p w14:paraId="3E814485" w14:textId="57D94006" w:rsidR="001633B3" w:rsidRDefault="001633B3" w:rsidP="001633B3">
      <w:pPr>
        <w:pStyle w:val="ExecSumHeading4"/>
      </w:pPr>
      <w:r>
        <w:t>Health outcomes</w:t>
      </w:r>
    </w:p>
    <w:p w14:paraId="1659FD43" w14:textId="581DB50D" w:rsidR="001633B3" w:rsidRDefault="00492829" w:rsidP="001633B3">
      <w:pPr>
        <w:pStyle w:val="BodyText"/>
      </w:pPr>
      <w:r>
        <w:t>No additional studies were included for the linked evidence of health outcomes.</w:t>
      </w:r>
      <w:r w:rsidR="0020420B">
        <w:t xml:space="preserve"> Treatments for acute iTTP </w:t>
      </w:r>
      <w:r w:rsidR="00C246B4">
        <w:t>are also applicable for exacerbations and relapse.</w:t>
      </w:r>
      <w:r w:rsidR="00FA22AE" w:rsidRPr="00FA22AE">
        <w:t xml:space="preserve"> </w:t>
      </w:r>
      <w:r w:rsidR="00FA22AE">
        <w:t>Evid</w:t>
      </w:r>
      <w:r w:rsidR="00F16A9E">
        <w:t>ence</w:t>
      </w:r>
      <w:r w:rsidR="00C07DC6">
        <w:t>-</w:t>
      </w:r>
      <w:r w:rsidR="00F16A9E">
        <w:t xml:space="preserve">based </w:t>
      </w:r>
      <w:r w:rsidR="00FA22AE">
        <w:t>guidelines recommend the use of rituximab where ADAMTS13 activity is low (&lt;20</w:t>
      </w:r>
      <w:r w:rsidR="006D2584">
        <w:t> </w:t>
      </w:r>
      <w:r w:rsidR="003F0FE8">
        <w:t>IU/dL</w:t>
      </w:r>
      <w:r w:rsidR="00FA22AE">
        <w:t xml:space="preserve"> in </w:t>
      </w:r>
      <w:r w:rsidR="00EA50E6">
        <w:t xml:space="preserve">current </w:t>
      </w:r>
      <w:r w:rsidR="003656E7" w:rsidRPr="003656E7">
        <w:t>British Society of Haematology</w:t>
      </w:r>
      <w:r w:rsidR="00FA22AE">
        <w:t xml:space="preserve"> guideline</w:t>
      </w:r>
      <w:r w:rsidR="003656E7">
        <w:t>s</w:t>
      </w:r>
      <w:r w:rsidR="00FA22AE">
        <w:t>;</w:t>
      </w:r>
      <w:r w:rsidR="00FA22AE" w:rsidDel="009867C7">
        <w:t xml:space="preserve"> </w:t>
      </w:r>
      <w:r w:rsidR="003F0FE8">
        <w:t xml:space="preserve">ADAMTS13 activity level </w:t>
      </w:r>
      <w:r w:rsidR="00FA22AE">
        <w:t xml:space="preserve">not specified in </w:t>
      </w:r>
      <w:r w:rsidR="002910A7" w:rsidRPr="002910A7">
        <w:t>International Society on Thrombosis and Haemostasis</w:t>
      </w:r>
      <w:r w:rsidR="00FA22AE">
        <w:t xml:space="preserve"> guideline</w:t>
      </w:r>
      <w:r w:rsidR="002910A7">
        <w:t>s</w:t>
      </w:r>
      <w:r w:rsidR="00FA22AE">
        <w:t>).</w:t>
      </w:r>
      <w:r w:rsidR="00F16A9E">
        <w:t xml:space="preserve"> </w:t>
      </w:r>
    </w:p>
    <w:p w14:paraId="40CF0038" w14:textId="7A4B00F0" w:rsidR="002812FA" w:rsidRDefault="002812FA" w:rsidP="002812FA">
      <w:pPr>
        <w:pStyle w:val="ExecSumHeading4"/>
      </w:pPr>
      <w:r>
        <w:t>Clinical claim</w:t>
      </w:r>
    </w:p>
    <w:p w14:paraId="1D35D237" w14:textId="694C99A4" w:rsidR="0094476D" w:rsidRPr="0094476D" w:rsidRDefault="0094476D" w:rsidP="0094476D">
      <w:pPr>
        <w:pStyle w:val="BodyText"/>
      </w:pPr>
      <w:r>
        <w:t>The clinical claims for</w:t>
      </w:r>
      <w:r w:rsidR="00DF1748">
        <w:t xml:space="preserve"> ADAMTS13 activity testing to monitor </w:t>
      </w:r>
      <w:r w:rsidR="005004DA">
        <w:t xml:space="preserve">disease during acute episodes and remission are </w:t>
      </w:r>
      <w:r w:rsidR="0013419F">
        <w:t xml:space="preserve">summarised in </w:t>
      </w:r>
      <w:r w:rsidR="003D060B">
        <w:fldChar w:fldCharType="begin"/>
      </w:r>
      <w:r w:rsidR="003D060B">
        <w:instrText xml:space="preserve"> REF _Ref213082818 \h </w:instrText>
      </w:r>
      <w:r w:rsidR="003D060B">
        <w:fldChar w:fldCharType="separate"/>
      </w:r>
      <w:r w:rsidR="00716875">
        <w:t xml:space="preserve">Table </w:t>
      </w:r>
      <w:r w:rsidR="00716875">
        <w:rPr>
          <w:noProof/>
        </w:rPr>
        <w:t>12</w:t>
      </w:r>
      <w:r w:rsidR="003D060B">
        <w:fldChar w:fldCharType="end"/>
      </w:r>
      <w:r w:rsidR="003D060B">
        <w:t xml:space="preserve">. </w:t>
      </w:r>
      <w:r w:rsidR="00875BE5">
        <w:t xml:space="preserve">During acute iTTP and early remission, monitoring with </w:t>
      </w:r>
      <w:r w:rsidR="003D060B">
        <w:t xml:space="preserve">ADAMTS13 activity </w:t>
      </w:r>
      <w:r w:rsidR="00875BE5">
        <w:t xml:space="preserve">testing </w:t>
      </w:r>
      <w:r w:rsidR="00A921C7">
        <w:t>is superior for both safety and effectiveness</w:t>
      </w:r>
      <w:r w:rsidR="008B48A8">
        <w:t>.</w:t>
      </w:r>
      <w:r w:rsidR="00A921C7">
        <w:t xml:space="preserve"> </w:t>
      </w:r>
      <w:r w:rsidR="008B48A8">
        <w:t>T</w:t>
      </w:r>
      <w:r w:rsidR="00A921C7">
        <w:t xml:space="preserve">here is insufficient evidence to determine the safety and effectiveness of ADAMTS13 activity monitoring during </w:t>
      </w:r>
      <w:r w:rsidR="0069607E">
        <w:t>late</w:t>
      </w:r>
      <w:r w:rsidR="00D20B6E">
        <w:t xml:space="preserve"> </w:t>
      </w:r>
      <w:r w:rsidR="00A921C7">
        <w:t xml:space="preserve">remission. </w:t>
      </w:r>
    </w:p>
    <w:p w14:paraId="4FD2CE53" w14:textId="46FE733B" w:rsidR="0013419F" w:rsidRDefault="0013419F" w:rsidP="0013419F">
      <w:pPr>
        <w:pStyle w:val="Caption"/>
      </w:pPr>
      <w:bookmarkStart w:id="33" w:name="_Ref213082818"/>
      <w:r>
        <w:lastRenderedPageBreak/>
        <w:t xml:space="preserve">Table </w:t>
      </w:r>
      <w:r>
        <w:fldChar w:fldCharType="begin"/>
      </w:r>
      <w:r>
        <w:instrText>SEQ Table \* ARABIC</w:instrText>
      </w:r>
      <w:r>
        <w:fldChar w:fldCharType="separate"/>
      </w:r>
      <w:r w:rsidR="00716875">
        <w:rPr>
          <w:noProof/>
        </w:rPr>
        <w:t>12</w:t>
      </w:r>
      <w:r>
        <w:fldChar w:fldCharType="end"/>
      </w:r>
      <w:bookmarkEnd w:id="33"/>
      <w:r>
        <w:tab/>
      </w:r>
      <w:r w:rsidR="003D060B" w:rsidRPr="00CE28E3">
        <w:t xml:space="preserve">Synthesis of the evidence and evidence gaps </w:t>
      </w:r>
      <w:r w:rsidR="007068B9">
        <w:t xml:space="preserve">for </w:t>
      </w:r>
      <w:r w:rsidR="00280FC6">
        <w:t xml:space="preserve">ADAMTS13 </w:t>
      </w:r>
      <w:r w:rsidR="004F7043">
        <w:t>activity testing for monitoring</w:t>
      </w:r>
      <w:r w:rsidR="002C6259">
        <w:t xml:space="preserve"> (PICO Set</w:t>
      </w:r>
      <w:r w:rsidR="008D4AE8">
        <w:t> </w:t>
      </w:r>
      <w:r w:rsidR="002C6259">
        <w:t>3)</w:t>
      </w:r>
    </w:p>
    <w:tbl>
      <w:tblPr>
        <w:tblStyle w:val="TableGrid3"/>
        <w:tblW w:w="5000" w:type="pct"/>
        <w:tblInd w:w="-3" w:type="dxa"/>
        <w:tblLook w:val="04A0" w:firstRow="1" w:lastRow="0" w:firstColumn="1" w:lastColumn="0" w:noHBand="0" w:noVBand="1"/>
        <w:tblCaption w:val="Synthesis of the evidence and evidence gaps linking the investigative technology and health outcomes"/>
        <w:tblDescription w:val="Interpretation and key uncertainties for each evidence component in the linked evidence framework."/>
      </w:tblPr>
      <w:tblGrid>
        <w:gridCol w:w="2125"/>
        <w:gridCol w:w="6891"/>
      </w:tblGrid>
      <w:tr w:rsidR="0094476D" w:rsidRPr="00CE28E3" w14:paraId="2F409F91" w14:textId="77777777" w:rsidTr="00E75F80">
        <w:trPr>
          <w:cnfStyle w:val="100000000000" w:firstRow="1" w:lastRow="0" w:firstColumn="0" w:lastColumn="0" w:oddVBand="0" w:evenVBand="0" w:oddHBand="0" w:evenHBand="0" w:firstRowFirstColumn="0" w:firstRowLastColumn="0" w:lastRowFirstColumn="0" w:lastRowLastColumn="0"/>
        </w:trPr>
        <w:tc>
          <w:tcPr>
            <w:tcW w:w="2125" w:type="dxa"/>
          </w:tcPr>
          <w:p w14:paraId="0EACEAE3" w14:textId="77777777" w:rsidR="0094476D" w:rsidRPr="00CE28E3" w:rsidRDefault="0094476D">
            <w:pPr>
              <w:pStyle w:val="011TableHeading"/>
            </w:pPr>
            <w:r w:rsidRPr="00CE28E3">
              <w:t>Evidence component of the assessment</w:t>
            </w:r>
          </w:p>
        </w:tc>
        <w:tc>
          <w:tcPr>
            <w:tcW w:w="6891" w:type="dxa"/>
          </w:tcPr>
          <w:p w14:paraId="1ABBBCA4" w14:textId="77777777" w:rsidR="0094476D" w:rsidRPr="00CE28E3" w:rsidRDefault="0094476D">
            <w:pPr>
              <w:pStyle w:val="011TableHeading"/>
            </w:pPr>
            <w:r w:rsidRPr="00CE28E3">
              <w:t>Interpretation and key uncertainties</w:t>
            </w:r>
          </w:p>
        </w:tc>
      </w:tr>
      <w:tr w:rsidR="0094476D" w:rsidRPr="00CE28E3" w14:paraId="3AE37DC0" w14:textId="77777777" w:rsidTr="00E75F80">
        <w:tc>
          <w:tcPr>
            <w:tcW w:w="2125" w:type="dxa"/>
          </w:tcPr>
          <w:p w14:paraId="5D365C29" w14:textId="209AB29F" w:rsidR="0094476D" w:rsidRPr="00CE28E3" w:rsidRDefault="0094476D">
            <w:pPr>
              <w:pStyle w:val="051Tabletext22"/>
              <w:keepNext/>
            </w:pPr>
            <w:r>
              <w:t>Direct evidence</w:t>
            </w:r>
          </w:p>
        </w:tc>
        <w:tc>
          <w:tcPr>
            <w:tcW w:w="6891" w:type="dxa"/>
          </w:tcPr>
          <w:p w14:paraId="097A6C9C" w14:textId="77777777" w:rsidR="0094476D" w:rsidRDefault="0094476D">
            <w:pPr>
              <w:pStyle w:val="051Tabletext22"/>
              <w:keepNext/>
            </w:pPr>
            <w:r>
              <w:rPr>
                <w:b/>
                <w:bCs/>
              </w:rPr>
              <w:t xml:space="preserve">Monitoring in remission: </w:t>
            </w:r>
            <w:r>
              <w:t>No direct evidence on whether relapse-free survival is improved in patients in remission who are monitored with ADAMTS13 activity testing compared to those monitored with clinical symptoms and platelet count.</w:t>
            </w:r>
          </w:p>
          <w:p w14:paraId="38A55CBD" w14:textId="4C94C04A" w:rsidR="0094476D" w:rsidRPr="00B86599" w:rsidRDefault="0094476D">
            <w:pPr>
              <w:pStyle w:val="051Tabletext22"/>
              <w:keepNext/>
            </w:pPr>
            <w:r>
              <w:t>Median relapse free survival is improved in patients who are treated with rituximab where ADAMTS13 activity levels are &lt;10% (</w:t>
            </w:r>
            <w:r>
              <w:rPr>
                <w:i/>
                <w:iCs/>
              </w:rPr>
              <w:t>low level evidence)</w:t>
            </w:r>
            <w:r w:rsidR="00424898">
              <w:rPr>
                <w:i/>
                <w:iCs/>
              </w:rPr>
              <w:t>.</w:t>
            </w:r>
            <w:r>
              <w:t xml:space="preserve"> </w:t>
            </w:r>
          </w:p>
        </w:tc>
      </w:tr>
      <w:tr w:rsidR="0094476D" w:rsidRPr="00CE28E3" w14:paraId="5832F877" w14:textId="77777777" w:rsidTr="00E75F80">
        <w:tc>
          <w:tcPr>
            <w:tcW w:w="2125" w:type="dxa"/>
          </w:tcPr>
          <w:p w14:paraId="445C0657" w14:textId="77777777" w:rsidR="0094476D" w:rsidRPr="00CE28E3" w:rsidRDefault="0094476D">
            <w:pPr>
              <w:pStyle w:val="051Tabletext22"/>
              <w:keepNext/>
            </w:pPr>
            <w:r w:rsidRPr="00CE28E3">
              <w:t>Test accuracy</w:t>
            </w:r>
          </w:p>
        </w:tc>
        <w:tc>
          <w:tcPr>
            <w:tcW w:w="6891" w:type="dxa"/>
          </w:tcPr>
          <w:p w14:paraId="196C1E69" w14:textId="01A1AA35" w:rsidR="0094476D" w:rsidRDefault="0094476D">
            <w:pPr>
              <w:pStyle w:val="051Tabletext22"/>
              <w:keepNext/>
              <w:rPr>
                <w:i/>
                <w:iCs/>
              </w:rPr>
            </w:pPr>
            <w:r>
              <w:rPr>
                <w:b/>
                <w:bCs/>
              </w:rPr>
              <w:t xml:space="preserve">Monitoring in acute iTTP and early remission: </w:t>
            </w:r>
            <w:r>
              <w:t xml:space="preserve">ADAMTS13 activity ≥10% strongly predicts remission during the first 12–18 months (high NPV); exacerbations and relapses occur most commonly where ADAMTS13 activity is &lt;10% but the predictive value is low (low NPV) </w:t>
            </w:r>
            <w:r>
              <w:rPr>
                <w:i/>
                <w:iCs/>
              </w:rPr>
              <w:t>(low level evidence)</w:t>
            </w:r>
            <w:r w:rsidR="00424898">
              <w:rPr>
                <w:i/>
                <w:iCs/>
              </w:rPr>
              <w:t>.</w:t>
            </w:r>
          </w:p>
          <w:p w14:paraId="63D75DB6" w14:textId="2BF3223A" w:rsidR="0094476D" w:rsidRPr="00AA0CC8" w:rsidRDefault="0094476D">
            <w:pPr>
              <w:pStyle w:val="051Tabletext22"/>
              <w:keepNext/>
              <w:rPr>
                <w:b/>
                <w:bCs/>
                <w:i/>
                <w:iCs/>
              </w:rPr>
            </w:pPr>
            <w:r>
              <w:rPr>
                <w:b/>
                <w:bCs/>
              </w:rPr>
              <w:t>Monitoring in remission</w:t>
            </w:r>
            <w:r w:rsidR="0063501B">
              <w:rPr>
                <w:b/>
                <w:bCs/>
              </w:rPr>
              <w:t xml:space="preserve"> (iTTP)</w:t>
            </w:r>
            <w:r>
              <w:rPr>
                <w:b/>
                <w:bCs/>
              </w:rPr>
              <w:t xml:space="preserve">: </w:t>
            </w:r>
            <w:r>
              <w:t xml:space="preserve">ADAMTS13 activity is associated with relapse but there is individual variation and the data are insufficient to draw conclusions on its predictive value. Reduced ADAMTS13 activity may be associated with a higher risk of stroke </w:t>
            </w:r>
            <w:r>
              <w:rPr>
                <w:i/>
                <w:iCs/>
              </w:rPr>
              <w:t>(very low level evidence)</w:t>
            </w:r>
            <w:r w:rsidR="00424898">
              <w:rPr>
                <w:i/>
                <w:iCs/>
              </w:rPr>
              <w:t>.</w:t>
            </w:r>
          </w:p>
        </w:tc>
      </w:tr>
      <w:tr w:rsidR="0094476D" w:rsidRPr="00CE28E3" w14:paraId="0ACD372E" w14:textId="77777777" w:rsidTr="00E75F80">
        <w:tc>
          <w:tcPr>
            <w:tcW w:w="2125" w:type="dxa"/>
          </w:tcPr>
          <w:p w14:paraId="3672D5E8" w14:textId="77777777" w:rsidR="0094476D" w:rsidRPr="00CE28E3" w:rsidRDefault="0094476D">
            <w:pPr>
              <w:pStyle w:val="051Tabletext22"/>
              <w:keepNext/>
            </w:pPr>
            <w:r w:rsidRPr="00CE28E3">
              <w:t>Change in management</w:t>
            </w:r>
          </w:p>
        </w:tc>
        <w:tc>
          <w:tcPr>
            <w:tcW w:w="6891" w:type="dxa"/>
          </w:tcPr>
          <w:p w14:paraId="6E84F59A" w14:textId="5117797E" w:rsidR="0094476D" w:rsidRDefault="0094476D">
            <w:pPr>
              <w:pStyle w:val="051Tabletext22"/>
              <w:keepNext/>
              <w:rPr>
                <w:i/>
                <w:iCs/>
              </w:rPr>
            </w:pPr>
            <w:r>
              <w:rPr>
                <w:b/>
                <w:bCs/>
              </w:rPr>
              <w:t xml:space="preserve">Monitoring in acute iTTP and early remission: </w:t>
            </w:r>
            <w:r>
              <w:t>ADAMTS13 activity testing results in treatment changes including reduced duration of PEX and caplacizum</w:t>
            </w:r>
            <w:r w:rsidR="00936564">
              <w:t>a</w:t>
            </w:r>
            <w:r>
              <w:t xml:space="preserve">b, changes to immunosuppressive therapies and extended duration of caplacizumab </w:t>
            </w:r>
            <w:r>
              <w:rPr>
                <w:i/>
                <w:iCs/>
              </w:rPr>
              <w:t>(low level evidence)</w:t>
            </w:r>
            <w:r w:rsidR="00424898">
              <w:rPr>
                <w:i/>
                <w:iCs/>
              </w:rPr>
              <w:t>.</w:t>
            </w:r>
          </w:p>
          <w:p w14:paraId="7DCF0A5B" w14:textId="74A3D097" w:rsidR="0094476D" w:rsidRPr="008D3C44" w:rsidRDefault="0094476D">
            <w:pPr>
              <w:pStyle w:val="051Tabletext22"/>
              <w:keepNext/>
              <w:rPr>
                <w:i/>
                <w:iCs/>
              </w:rPr>
            </w:pPr>
            <w:r>
              <w:rPr>
                <w:b/>
                <w:bCs/>
              </w:rPr>
              <w:t>Monitoring in remission</w:t>
            </w:r>
            <w:r w:rsidR="00476D0E">
              <w:rPr>
                <w:b/>
                <w:bCs/>
              </w:rPr>
              <w:t xml:space="preserve"> (iTTP)</w:t>
            </w:r>
            <w:r>
              <w:rPr>
                <w:b/>
                <w:bCs/>
              </w:rPr>
              <w:t xml:space="preserve">: </w:t>
            </w:r>
            <w:r>
              <w:t xml:space="preserve">ADAMTS13 activity testing results in treatment changes, mostly use of rituximab </w:t>
            </w:r>
            <w:r>
              <w:rPr>
                <w:i/>
                <w:iCs/>
              </w:rPr>
              <w:t>(low level evidence)</w:t>
            </w:r>
            <w:r w:rsidR="00AA5D25">
              <w:rPr>
                <w:i/>
                <w:iCs/>
              </w:rPr>
              <w:t>.</w:t>
            </w:r>
          </w:p>
        </w:tc>
      </w:tr>
      <w:tr w:rsidR="0094476D" w:rsidRPr="00CE28E3" w14:paraId="26C071D5" w14:textId="77777777" w:rsidTr="00E75F80">
        <w:tc>
          <w:tcPr>
            <w:tcW w:w="2125" w:type="dxa"/>
          </w:tcPr>
          <w:p w14:paraId="7DCA8565" w14:textId="77777777" w:rsidR="0094476D" w:rsidRPr="00CE28E3" w:rsidRDefault="0094476D">
            <w:pPr>
              <w:pStyle w:val="051Tabletext22"/>
              <w:keepNext/>
            </w:pPr>
            <w:r w:rsidRPr="00CE28E3">
              <w:t>Health outcomes</w:t>
            </w:r>
          </w:p>
        </w:tc>
        <w:tc>
          <w:tcPr>
            <w:tcW w:w="6891" w:type="dxa"/>
          </w:tcPr>
          <w:p w14:paraId="5D6C81E7" w14:textId="77777777" w:rsidR="0094476D" w:rsidRPr="00CE28E3" w:rsidRDefault="0094476D">
            <w:pPr>
              <w:pStyle w:val="051Tabletext22"/>
              <w:keepNext/>
            </w:pPr>
            <w:r>
              <w:t>Treatments for TTP relapse are the same as for an initial acute episode and are effective.</w:t>
            </w:r>
          </w:p>
        </w:tc>
      </w:tr>
      <w:tr w:rsidR="0094476D" w:rsidRPr="00CE28E3" w14:paraId="4DB60210" w14:textId="77777777" w:rsidTr="00E75F80">
        <w:tc>
          <w:tcPr>
            <w:tcW w:w="2125" w:type="dxa"/>
          </w:tcPr>
          <w:p w14:paraId="3FDBB5F8" w14:textId="77777777" w:rsidR="0094476D" w:rsidRPr="00CE28E3" w:rsidRDefault="0094476D">
            <w:pPr>
              <w:pStyle w:val="051Tabletext22"/>
              <w:keepNext/>
            </w:pPr>
            <w:r w:rsidRPr="00CE28E3">
              <w:t>Safety of the test</w:t>
            </w:r>
          </w:p>
        </w:tc>
        <w:tc>
          <w:tcPr>
            <w:tcW w:w="6891" w:type="dxa"/>
          </w:tcPr>
          <w:p w14:paraId="6AE0D0C5" w14:textId="77777777" w:rsidR="0094476D" w:rsidRPr="00CE28E3" w:rsidRDefault="0094476D">
            <w:pPr>
              <w:pStyle w:val="051Tabletext22"/>
              <w:keepNext/>
            </w:pPr>
            <w:r>
              <w:t>No evidence of harm associated with ADAMTS13 activity testing was identified.</w:t>
            </w:r>
          </w:p>
        </w:tc>
      </w:tr>
      <w:tr w:rsidR="0094476D" w:rsidRPr="00CE28E3" w14:paraId="18A1157D" w14:textId="77777777" w:rsidTr="00E75F80">
        <w:tc>
          <w:tcPr>
            <w:tcW w:w="2125" w:type="dxa"/>
          </w:tcPr>
          <w:p w14:paraId="5A79FA40" w14:textId="77777777" w:rsidR="0094476D" w:rsidRPr="00CE28E3" w:rsidRDefault="0094476D">
            <w:pPr>
              <w:pStyle w:val="051Tabletext22"/>
              <w:keepNext/>
            </w:pPr>
            <w:r w:rsidRPr="00CE28E3">
              <w:t>Safety of the treatment</w:t>
            </w:r>
          </w:p>
        </w:tc>
        <w:tc>
          <w:tcPr>
            <w:tcW w:w="6891" w:type="dxa"/>
          </w:tcPr>
          <w:p w14:paraId="14824C4F" w14:textId="77777777" w:rsidR="0094476D" w:rsidRDefault="0094476D">
            <w:pPr>
              <w:pStyle w:val="051Tabletext22"/>
              <w:keepNext/>
            </w:pPr>
            <w:r>
              <w:rPr>
                <w:b/>
                <w:bCs/>
              </w:rPr>
              <w:t xml:space="preserve">Monitoring in acute iTTP and early remission: </w:t>
            </w:r>
            <w:r w:rsidRPr="00D15926">
              <w:t xml:space="preserve">Use </w:t>
            </w:r>
            <w:r>
              <w:t>of ADAMTS13 activity monitoring during treatment may improve safety by reducing exposure to unnecessary treatments (PEX and caplacizumab). ADAMTS13 activity testing may reduce the risk of exacerbations and re-initiation of these treatments by extending the initial course of treatment where the response has been poor.</w:t>
            </w:r>
          </w:p>
          <w:p w14:paraId="65B62B1E" w14:textId="598E928D" w:rsidR="0094476D" w:rsidRPr="002C10C1" w:rsidRDefault="0094476D">
            <w:pPr>
              <w:pStyle w:val="051Tabletext22"/>
              <w:keepNext/>
            </w:pPr>
            <w:r>
              <w:rPr>
                <w:b/>
                <w:bCs/>
              </w:rPr>
              <w:t>Monitoring in remission</w:t>
            </w:r>
            <w:r w:rsidR="0063501B">
              <w:rPr>
                <w:b/>
                <w:bCs/>
              </w:rPr>
              <w:t xml:space="preserve"> (iTTP)</w:t>
            </w:r>
            <w:r>
              <w:rPr>
                <w:b/>
                <w:bCs/>
              </w:rPr>
              <w:t xml:space="preserve">: </w:t>
            </w:r>
            <w:r>
              <w:t>The safety of treatment with rituximab in response to low ADAMTS13 activity in remission is uncertain. For an individual patient, it would need to be balanced against the risk of iTTP relapse and the individual patient’s clinical history and preferences.</w:t>
            </w:r>
          </w:p>
        </w:tc>
      </w:tr>
      <w:tr w:rsidR="0094476D" w:rsidRPr="00CE28E3" w14:paraId="62E8B09D" w14:textId="77777777" w:rsidTr="00E75F80">
        <w:tc>
          <w:tcPr>
            <w:tcW w:w="2125" w:type="dxa"/>
          </w:tcPr>
          <w:p w14:paraId="76C20BFD" w14:textId="77777777" w:rsidR="0094476D" w:rsidRPr="00AC720A" w:rsidRDefault="0094476D">
            <w:pPr>
              <w:pStyle w:val="051Tabletext22"/>
              <w:keepNext/>
              <w:rPr>
                <w:i/>
              </w:rPr>
            </w:pPr>
            <w:r w:rsidRPr="00AC720A">
              <w:rPr>
                <w:i/>
              </w:rPr>
              <w:t>Overall assessment of the evidence</w:t>
            </w:r>
          </w:p>
        </w:tc>
        <w:tc>
          <w:tcPr>
            <w:tcW w:w="6891" w:type="dxa"/>
          </w:tcPr>
          <w:p w14:paraId="0D52CFDD" w14:textId="77777777" w:rsidR="0094476D" w:rsidRDefault="0094476D">
            <w:pPr>
              <w:pStyle w:val="051Tabletext22"/>
              <w:keepNext/>
              <w:rPr>
                <w:i/>
              </w:rPr>
            </w:pPr>
            <w:r w:rsidRPr="00B46EC5">
              <w:rPr>
                <w:b/>
                <w:bCs/>
                <w:i/>
              </w:rPr>
              <w:t xml:space="preserve">Superior </w:t>
            </w:r>
            <w:r>
              <w:rPr>
                <w:i/>
              </w:rPr>
              <w:t>for both safety and effectiveness for acute iTTP and early remission.</w:t>
            </w:r>
          </w:p>
          <w:p w14:paraId="3CFD1AF1" w14:textId="77777777" w:rsidR="0094476D" w:rsidRDefault="0094476D">
            <w:pPr>
              <w:pStyle w:val="051Tabletext22"/>
              <w:keepNext/>
              <w:rPr>
                <w:i/>
              </w:rPr>
            </w:pPr>
            <w:r>
              <w:rPr>
                <w:i/>
              </w:rPr>
              <w:t xml:space="preserve">Rituximab treatment of patients with low ADAMTS13 activity levels is </w:t>
            </w:r>
            <w:r w:rsidRPr="00D931D3">
              <w:rPr>
                <w:b/>
                <w:bCs/>
                <w:i/>
              </w:rPr>
              <w:t>superior</w:t>
            </w:r>
            <w:r>
              <w:rPr>
                <w:i/>
              </w:rPr>
              <w:t xml:space="preserve"> to no rituximab treatment for the outcome of relapse. </w:t>
            </w:r>
          </w:p>
          <w:p w14:paraId="54FF583B" w14:textId="77777777" w:rsidR="0094476D" w:rsidRPr="00C970CC" w:rsidRDefault="0094476D">
            <w:pPr>
              <w:pStyle w:val="051Tabletext22"/>
              <w:keepNext/>
              <w:rPr>
                <w:i/>
              </w:rPr>
            </w:pPr>
            <w:r>
              <w:rPr>
                <w:i/>
              </w:rPr>
              <w:t xml:space="preserve">There is </w:t>
            </w:r>
            <w:r w:rsidRPr="00D931D3">
              <w:rPr>
                <w:b/>
                <w:bCs/>
                <w:i/>
              </w:rPr>
              <w:t>insufficient evidence</w:t>
            </w:r>
            <w:r>
              <w:rPr>
                <w:i/>
              </w:rPr>
              <w:t xml:space="preserve"> to determine the safety and effectiveness of ADAMTS13 activity monitoring during remission. </w:t>
            </w:r>
          </w:p>
        </w:tc>
      </w:tr>
    </w:tbl>
    <w:p w14:paraId="25ABDAE8" w14:textId="339DD8DD" w:rsidR="002812FA" w:rsidRPr="002812FA" w:rsidRDefault="005C12E5" w:rsidP="005C12E5">
      <w:pPr>
        <w:pStyle w:val="111Tablefootnoteslast-nostick"/>
      </w:pPr>
      <w:r w:rsidRPr="0058272C">
        <w:t>iTTP = immune-mediated TTP;</w:t>
      </w:r>
      <w:r>
        <w:t xml:space="preserve"> </w:t>
      </w:r>
      <w:r w:rsidRPr="0058272C">
        <w:t>NPV = negative predictive value;</w:t>
      </w:r>
      <w:r>
        <w:t xml:space="preserve"> </w:t>
      </w:r>
      <w:r w:rsidRPr="0058272C">
        <w:t xml:space="preserve">PEX = </w:t>
      </w:r>
      <w:r>
        <w:t>p</w:t>
      </w:r>
      <w:r w:rsidRPr="0058272C">
        <w:t>lasma exchange therapy</w:t>
      </w:r>
      <w:r>
        <w:t xml:space="preserve">; </w:t>
      </w:r>
      <w:r w:rsidRPr="0058272C">
        <w:t>PPV = positive predictive value;</w:t>
      </w:r>
      <w:r>
        <w:t xml:space="preserve"> </w:t>
      </w:r>
      <w:r w:rsidRPr="0058272C">
        <w:t>TTP = thrombotic thrombocytopenic purpura</w:t>
      </w:r>
      <w:r>
        <w:t>.</w:t>
      </w:r>
    </w:p>
    <w:p w14:paraId="71A2A25E" w14:textId="18726C59" w:rsidR="00742FD9" w:rsidRDefault="00A978B0" w:rsidP="00055104">
      <w:pPr>
        <w:pStyle w:val="ExecSumHeading2"/>
        <w:keepLines/>
        <w:numPr>
          <w:ilvl w:val="0"/>
          <w:numId w:val="36"/>
        </w:numPr>
        <w:ind w:hanging="720"/>
      </w:pPr>
      <w:bookmarkStart w:id="34" w:name="_Toc216879530"/>
      <w:r>
        <w:t>Economic evaluation</w:t>
      </w:r>
      <w:bookmarkEnd w:id="34"/>
    </w:p>
    <w:p w14:paraId="729CE085" w14:textId="7309BB43" w:rsidR="00B424FB" w:rsidRPr="00B424FB" w:rsidRDefault="00B424FB" w:rsidP="00B424FB">
      <w:pPr>
        <w:pStyle w:val="ExecSumHeading3"/>
      </w:pPr>
      <w:bookmarkStart w:id="35" w:name="_Toc216879531"/>
      <w:r>
        <w:t xml:space="preserve">PICO Set 1: ADAMTS13 activity </w:t>
      </w:r>
      <w:r w:rsidR="000D001E">
        <w:t xml:space="preserve">and </w:t>
      </w:r>
      <w:r w:rsidR="00CD286A">
        <w:t>anti-ADAMTS13 auto</w:t>
      </w:r>
      <w:r w:rsidR="000D001E">
        <w:t xml:space="preserve">antibody </w:t>
      </w:r>
      <w:r>
        <w:t>testing for diagnosis</w:t>
      </w:r>
      <w:bookmarkEnd w:id="35"/>
      <w:r>
        <w:t xml:space="preserve"> </w:t>
      </w:r>
    </w:p>
    <w:p w14:paraId="6E91B15E" w14:textId="6983E695" w:rsidR="007D21E8" w:rsidRDefault="007D21E8" w:rsidP="007D21E8">
      <w:r>
        <w:t xml:space="preserve">An economic evaluation </w:t>
      </w:r>
      <w:r w:rsidR="00A07C13">
        <w:t>wa</w:t>
      </w:r>
      <w:r>
        <w:t xml:space="preserve">s conducted comparing </w:t>
      </w:r>
      <w:r w:rsidR="00A614F2">
        <w:t xml:space="preserve">2 </w:t>
      </w:r>
      <w:r>
        <w:t>scenario</w:t>
      </w:r>
      <w:r w:rsidR="00A614F2">
        <w:t>s:</w:t>
      </w:r>
      <w:r>
        <w:t xml:space="preserve"> </w:t>
      </w:r>
      <w:r w:rsidR="00A614F2">
        <w:t xml:space="preserve">one in which </w:t>
      </w:r>
      <w:r>
        <w:t xml:space="preserve">rapid </w:t>
      </w:r>
      <w:r w:rsidR="00006BD5">
        <w:t xml:space="preserve">ADAMTS13 activity </w:t>
      </w:r>
      <w:r>
        <w:t xml:space="preserve">testing is available to support </w:t>
      </w:r>
      <w:r w:rsidR="00A24E63">
        <w:t xml:space="preserve">the </w:t>
      </w:r>
      <w:r>
        <w:t>diagnosis of TTP</w:t>
      </w:r>
      <w:r w:rsidR="00A24E63">
        <w:t xml:space="preserve">, and one in which </w:t>
      </w:r>
      <w:r>
        <w:t>it is not.</w:t>
      </w:r>
    </w:p>
    <w:p w14:paraId="664E6299" w14:textId="18EF3BF6" w:rsidR="007D21E8" w:rsidRDefault="007D21E8" w:rsidP="007D21E8">
      <w:r>
        <w:t xml:space="preserve">The evaluation </w:t>
      </w:r>
      <w:r w:rsidR="007F135D">
        <w:t>wa</w:t>
      </w:r>
      <w:r>
        <w:t xml:space="preserve">s conducted for patients </w:t>
      </w:r>
      <w:r w:rsidR="000D6CAB">
        <w:t xml:space="preserve">with TMA </w:t>
      </w:r>
      <w:r>
        <w:t xml:space="preserve">where there </w:t>
      </w:r>
      <w:r w:rsidR="007C3C5F">
        <w:t>wa</w:t>
      </w:r>
      <w:r>
        <w:t xml:space="preserve">s a clinical suspicion of TTP, including a PLASMIC score &gt;4, who </w:t>
      </w:r>
      <w:r w:rsidR="002647B8">
        <w:t>were</w:t>
      </w:r>
      <w:r w:rsidR="002647B8">
        <w:t xml:space="preserve"> </w:t>
      </w:r>
      <w:r>
        <w:t>initiated on treatment with PEX.</w:t>
      </w:r>
    </w:p>
    <w:p w14:paraId="40E0F762" w14:textId="1FE7676B" w:rsidR="00887992" w:rsidRDefault="00887992" w:rsidP="00106A6B">
      <w:pPr>
        <w:pStyle w:val="Instructionaltext"/>
        <w:rPr>
          <w:rFonts w:eastAsia="Times New Roman" w:cs="Times New Roman"/>
          <w:color w:val="auto"/>
          <w:lang w:eastAsia="ja-JP"/>
        </w:rPr>
      </w:pPr>
      <w:r>
        <w:rPr>
          <w:rFonts w:eastAsia="Times New Roman" w:cs="Times New Roman"/>
          <w:color w:val="auto"/>
          <w:lang w:eastAsia="ja-JP"/>
        </w:rPr>
        <w:lastRenderedPageBreak/>
        <w:t>G</w:t>
      </w:r>
      <w:r w:rsidRPr="00887992">
        <w:rPr>
          <w:rFonts w:eastAsia="Times New Roman" w:cs="Times New Roman"/>
          <w:color w:val="auto"/>
          <w:lang w:eastAsia="ja-JP"/>
        </w:rPr>
        <w:t>iven the substantial resource use associated with PEX, it was considered likely that the proposed strategy (incorporating rapid assay testing for ADAMTS13 activity) could be a dominant approach, offering both improved clinical outcomes and lower overall costs compared to the alternative approach that omits testing. On this basis, a direct cost comparison (cost-minimisation analysis) was undertaken</w:t>
      </w:r>
      <w:r w:rsidR="007F5CD2">
        <w:rPr>
          <w:rFonts w:eastAsia="Times New Roman" w:cs="Times New Roman"/>
          <w:color w:val="auto"/>
          <w:lang w:eastAsia="ja-JP"/>
        </w:rPr>
        <w:t>.</w:t>
      </w:r>
      <w:r w:rsidRPr="00887992">
        <w:rPr>
          <w:rFonts w:eastAsia="Times New Roman" w:cs="Times New Roman"/>
          <w:color w:val="auto"/>
          <w:lang w:eastAsia="ja-JP"/>
        </w:rPr>
        <w:t xml:space="preserve"> </w:t>
      </w:r>
    </w:p>
    <w:p w14:paraId="641AF1ED" w14:textId="57B82D57" w:rsidR="007A3FA5" w:rsidRPr="003251C2" w:rsidRDefault="00C64656" w:rsidP="007A3FA5">
      <w:r>
        <w:fldChar w:fldCharType="begin"/>
      </w:r>
      <w:r>
        <w:instrText xml:space="preserve"> REF _Ref213157054 \h </w:instrText>
      </w:r>
      <w:r>
        <w:fldChar w:fldCharType="separate"/>
      </w:r>
      <w:r w:rsidR="00716875">
        <w:t>Table </w:t>
      </w:r>
      <w:r w:rsidR="00716875">
        <w:rPr>
          <w:noProof/>
        </w:rPr>
        <w:t>13</w:t>
      </w:r>
      <w:r>
        <w:fldChar w:fldCharType="end"/>
      </w:r>
      <w:r w:rsidR="007A3FA5">
        <w:t xml:space="preserve"> summarises the key features of the economic evaluation.</w:t>
      </w:r>
    </w:p>
    <w:p w14:paraId="78C0053C" w14:textId="5012FA53" w:rsidR="007A3FA5" w:rsidRPr="00CE28E3" w:rsidRDefault="007A3FA5" w:rsidP="007A3FA5">
      <w:pPr>
        <w:pStyle w:val="Caption"/>
      </w:pPr>
      <w:bookmarkStart w:id="36" w:name="_Ref213157054"/>
      <w:r>
        <w:t>Table </w:t>
      </w:r>
      <w:r>
        <w:fldChar w:fldCharType="begin"/>
      </w:r>
      <w:r>
        <w:instrText>SEQ Table \* ARABIC</w:instrText>
      </w:r>
      <w:r>
        <w:fldChar w:fldCharType="separate"/>
      </w:r>
      <w:r w:rsidR="00716875">
        <w:rPr>
          <w:noProof/>
        </w:rPr>
        <w:t>13</w:t>
      </w:r>
      <w:r>
        <w:fldChar w:fldCharType="end"/>
      </w:r>
      <w:bookmarkEnd w:id="36"/>
      <w:r w:rsidRPr="00CE28E3">
        <w:tab/>
        <w:t>Summary of the economic evaluation</w:t>
      </w:r>
      <w:r w:rsidR="002D6F29">
        <w:t>: rapid ADAMTS13 for diagnosis</w:t>
      </w:r>
      <w:r w:rsidRPr="00CE28E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the economic evaluation "/>
        <w:tblDescription w:val="This table describes the key constructs of the economic evaluation that is provided in the assessment report."/>
      </w:tblPr>
      <w:tblGrid>
        <w:gridCol w:w="2317"/>
        <w:gridCol w:w="6699"/>
      </w:tblGrid>
      <w:tr w:rsidR="00E65931" w:rsidRPr="00CE28E3" w14:paraId="475A40EA" w14:textId="77777777" w:rsidTr="00E65931">
        <w:trPr>
          <w:tblHeader/>
        </w:trPr>
        <w:tc>
          <w:tcPr>
            <w:tcW w:w="1285" w:type="pct"/>
          </w:tcPr>
          <w:p w14:paraId="7995BD76" w14:textId="77777777" w:rsidR="00E65931" w:rsidRPr="000449D1" w:rsidRDefault="00E65931" w:rsidP="00AE33B0">
            <w:pPr>
              <w:pStyle w:val="011TableHeading"/>
            </w:pPr>
            <w:r w:rsidRPr="000449D1">
              <w:t>Component</w:t>
            </w:r>
          </w:p>
        </w:tc>
        <w:tc>
          <w:tcPr>
            <w:tcW w:w="3715" w:type="pct"/>
          </w:tcPr>
          <w:p w14:paraId="00926303" w14:textId="77777777" w:rsidR="00E65931" w:rsidRPr="000449D1" w:rsidRDefault="00E65931" w:rsidP="00AE33B0">
            <w:pPr>
              <w:pStyle w:val="011TableHeading"/>
            </w:pPr>
            <w:r w:rsidRPr="000449D1">
              <w:t>Description</w:t>
            </w:r>
          </w:p>
        </w:tc>
      </w:tr>
      <w:tr w:rsidR="00E65931" w:rsidRPr="000449D1" w14:paraId="26AD2746" w14:textId="77777777" w:rsidTr="00E65931">
        <w:tc>
          <w:tcPr>
            <w:tcW w:w="1285" w:type="pct"/>
          </w:tcPr>
          <w:p w14:paraId="6C7936F2" w14:textId="77777777" w:rsidR="00E65931" w:rsidRPr="000449D1" w:rsidRDefault="00E65931" w:rsidP="00AE33B0">
            <w:pPr>
              <w:pStyle w:val="051Tabletext22"/>
              <w:keepNext/>
            </w:pPr>
            <w:r w:rsidRPr="000449D1">
              <w:t>Perspective</w:t>
            </w:r>
          </w:p>
        </w:tc>
        <w:tc>
          <w:tcPr>
            <w:tcW w:w="3715" w:type="pct"/>
          </w:tcPr>
          <w:p w14:paraId="013DD3A9" w14:textId="77777777" w:rsidR="00E65931" w:rsidRPr="000449D1" w:rsidRDefault="00E65931" w:rsidP="00AE33B0">
            <w:pPr>
              <w:pStyle w:val="051Tabletext22"/>
              <w:keepNext/>
            </w:pPr>
            <w:r>
              <w:t>Australian h</w:t>
            </w:r>
            <w:r w:rsidRPr="000449D1">
              <w:t>ealth care system perspective</w:t>
            </w:r>
          </w:p>
        </w:tc>
      </w:tr>
      <w:tr w:rsidR="00E65931" w:rsidRPr="000449D1" w14:paraId="32F01434" w14:textId="77777777" w:rsidTr="00E65931">
        <w:trPr>
          <w:tblHeader/>
        </w:trPr>
        <w:tc>
          <w:tcPr>
            <w:tcW w:w="1285" w:type="pct"/>
          </w:tcPr>
          <w:p w14:paraId="5BC87E4C" w14:textId="77777777" w:rsidR="00E65931" w:rsidRPr="000449D1" w:rsidRDefault="00E65931" w:rsidP="00AE33B0">
            <w:pPr>
              <w:pStyle w:val="051Tabletext22"/>
              <w:keepNext/>
            </w:pPr>
            <w:r w:rsidRPr="000449D1">
              <w:t>Population</w:t>
            </w:r>
          </w:p>
        </w:tc>
        <w:tc>
          <w:tcPr>
            <w:tcW w:w="3715" w:type="pct"/>
          </w:tcPr>
          <w:p w14:paraId="35A20998" w14:textId="4EB2C4D0" w:rsidR="00E65931" w:rsidRPr="00600C97" w:rsidRDefault="00E65931" w:rsidP="00AE33B0">
            <w:pPr>
              <w:pStyle w:val="051Tabletext22"/>
              <w:keepNext/>
            </w:pPr>
            <w:r w:rsidRPr="00D848AC">
              <w:t>Patients clinically suspected of having TTP, including a PLASMIC score &gt;</w:t>
            </w:r>
            <w:r>
              <w:t> </w:t>
            </w:r>
            <w:r w:rsidRPr="00D848AC">
              <w:t>4</w:t>
            </w:r>
            <w:r w:rsidRPr="003F7CD8">
              <w:rPr>
                <w:vertAlign w:val="superscript"/>
              </w:rPr>
              <w:t>a</w:t>
            </w:r>
          </w:p>
        </w:tc>
      </w:tr>
      <w:tr w:rsidR="00E65931" w:rsidRPr="000449D1" w14:paraId="66D75B24" w14:textId="77777777" w:rsidTr="00E65931">
        <w:tc>
          <w:tcPr>
            <w:tcW w:w="1285" w:type="pct"/>
          </w:tcPr>
          <w:p w14:paraId="3F43D579" w14:textId="77777777" w:rsidR="00E65931" w:rsidRPr="000449D1" w:rsidRDefault="00E65931" w:rsidP="00AE33B0">
            <w:pPr>
              <w:pStyle w:val="051Tabletext22"/>
              <w:keepNext/>
            </w:pPr>
            <w:r w:rsidRPr="000449D1">
              <w:t xml:space="preserve">Prior </w:t>
            </w:r>
            <w:r>
              <w:t>evaluation</w:t>
            </w:r>
          </w:p>
        </w:tc>
        <w:tc>
          <w:tcPr>
            <w:tcW w:w="3715" w:type="pct"/>
          </w:tcPr>
          <w:p w14:paraId="286160D8" w14:textId="1530110E" w:rsidR="00E65931" w:rsidRPr="000449D1" w:rsidRDefault="00E65931" w:rsidP="00AE33B0">
            <w:pPr>
              <w:pStyle w:val="051Tabletext22"/>
              <w:keepNext/>
            </w:pPr>
            <w:r>
              <w:t>PLASMIC score &gt; 4</w:t>
            </w:r>
            <w:r w:rsidRPr="003F7CD8">
              <w:rPr>
                <w:vertAlign w:val="superscript"/>
              </w:rPr>
              <w:t>a</w:t>
            </w:r>
          </w:p>
        </w:tc>
      </w:tr>
      <w:tr w:rsidR="00E65931" w:rsidRPr="000449D1" w14:paraId="751A4060" w14:textId="77777777" w:rsidTr="00E65931">
        <w:tc>
          <w:tcPr>
            <w:tcW w:w="1285" w:type="pct"/>
          </w:tcPr>
          <w:p w14:paraId="6ED05688" w14:textId="77777777" w:rsidR="00E65931" w:rsidRPr="000449D1" w:rsidRDefault="00E65931" w:rsidP="00AE33B0">
            <w:pPr>
              <w:pStyle w:val="051Tabletext22"/>
              <w:keepNext/>
            </w:pPr>
            <w:r>
              <w:t>Intervention</w:t>
            </w:r>
          </w:p>
        </w:tc>
        <w:tc>
          <w:tcPr>
            <w:tcW w:w="3715" w:type="pct"/>
          </w:tcPr>
          <w:p w14:paraId="4994932C" w14:textId="1FB09C6D" w:rsidR="00E65931" w:rsidRDefault="00E65931" w:rsidP="00AE33B0">
            <w:pPr>
              <w:pStyle w:val="051Tabletext22"/>
              <w:keepNext/>
            </w:pPr>
            <w:r>
              <w:t xml:space="preserve">Rapid assay testing for ADAMTS13 activity in addition to </w:t>
            </w:r>
            <w:r w:rsidR="00F76F39">
              <w:t xml:space="preserve">standard investigations and </w:t>
            </w:r>
            <w:r>
              <w:t>observation of clinical response to PEX</w:t>
            </w:r>
          </w:p>
        </w:tc>
      </w:tr>
      <w:tr w:rsidR="00E65931" w:rsidRPr="000449D1" w14:paraId="404971A3" w14:textId="77777777" w:rsidTr="00E65931">
        <w:tc>
          <w:tcPr>
            <w:tcW w:w="1285" w:type="pct"/>
          </w:tcPr>
          <w:p w14:paraId="0B24A1E2" w14:textId="77777777" w:rsidR="00E65931" w:rsidRPr="000449D1" w:rsidRDefault="00E65931" w:rsidP="00AE33B0">
            <w:pPr>
              <w:pStyle w:val="051Tabletext22"/>
              <w:keepNext/>
            </w:pPr>
            <w:r w:rsidRPr="000449D1">
              <w:t>Comparator</w:t>
            </w:r>
          </w:p>
        </w:tc>
        <w:tc>
          <w:tcPr>
            <w:tcW w:w="3715" w:type="pct"/>
          </w:tcPr>
          <w:p w14:paraId="17630A16" w14:textId="4A1620ED" w:rsidR="00E65931" w:rsidRPr="000449D1" w:rsidRDefault="00247DDA" w:rsidP="00AE33B0">
            <w:pPr>
              <w:pStyle w:val="051Tabletext22"/>
              <w:keepNext/>
            </w:pPr>
            <w:r>
              <w:t>Standard investigations and o</w:t>
            </w:r>
            <w:r w:rsidR="00E65931">
              <w:t>bservation of clinical response to PEX</w:t>
            </w:r>
          </w:p>
        </w:tc>
      </w:tr>
      <w:tr w:rsidR="00E65931" w:rsidRPr="000449D1" w14:paraId="1A5EAB70" w14:textId="77777777" w:rsidTr="00E65931">
        <w:tc>
          <w:tcPr>
            <w:tcW w:w="1285" w:type="pct"/>
          </w:tcPr>
          <w:p w14:paraId="5C995853" w14:textId="77777777" w:rsidR="00E65931" w:rsidRPr="000449D1" w:rsidRDefault="00E65931" w:rsidP="00AE33B0">
            <w:pPr>
              <w:pStyle w:val="051Tabletext22"/>
              <w:keepNext/>
            </w:pPr>
            <w:r w:rsidRPr="000449D1">
              <w:t>Type of analysis</w:t>
            </w:r>
          </w:p>
        </w:tc>
        <w:tc>
          <w:tcPr>
            <w:tcW w:w="3715" w:type="pct"/>
          </w:tcPr>
          <w:p w14:paraId="01DE4764" w14:textId="77777777" w:rsidR="00E65931" w:rsidRPr="000449D1" w:rsidRDefault="00E65931" w:rsidP="00AE33B0">
            <w:pPr>
              <w:pStyle w:val="051Tabletext22"/>
              <w:keepNext/>
            </w:pPr>
            <w:r>
              <w:t>Cost comparison (cost-minimisation analysis)</w:t>
            </w:r>
          </w:p>
        </w:tc>
      </w:tr>
      <w:tr w:rsidR="00E65931" w:rsidRPr="000449D1" w14:paraId="3376136D" w14:textId="77777777" w:rsidTr="00E65931">
        <w:tc>
          <w:tcPr>
            <w:tcW w:w="1285" w:type="pct"/>
          </w:tcPr>
          <w:p w14:paraId="3CE39B2A" w14:textId="77777777" w:rsidR="00E65931" w:rsidRPr="000449D1" w:rsidRDefault="00E65931" w:rsidP="00AE33B0">
            <w:pPr>
              <w:pStyle w:val="051Tabletext22"/>
              <w:keepNext/>
            </w:pPr>
            <w:r w:rsidRPr="000449D1">
              <w:t>Outcomes</w:t>
            </w:r>
          </w:p>
        </w:tc>
        <w:tc>
          <w:tcPr>
            <w:tcW w:w="3715" w:type="pct"/>
          </w:tcPr>
          <w:p w14:paraId="02C46BEF" w14:textId="77777777" w:rsidR="00E65931" w:rsidRPr="000449D1" w:rsidRDefault="00E65931" w:rsidP="00AE33B0">
            <w:pPr>
              <w:pStyle w:val="051Tabletext22"/>
              <w:keepNext/>
            </w:pPr>
            <w:r>
              <w:t xml:space="preserve">Time to </w:t>
            </w:r>
            <w:r w:rsidRPr="00C85822">
              <w:t>confirm</w:t>
            </w:r>
            <w:r>
              <w:t>ation</w:t>
            </w:r>
            <w:r w:rsidRPr="00C85822">
              <w:t xml:space="preserve"> or </w:t>
            </w:r>
            <w:r>
              <w:t>exclusion of</w:t>
            </w:r>
            <w:r w:rsidRPr="00C85822">
              <w:t xml:space="preserve"> a diagnosis of TTP</w:t>
            </w:r>
          </w:p>
        </w:tc>
      </w:tr>
      <w:tr w:rsidR="00E65931" w:rsidRPr="000449D1" w14:paraId="59020C19" w14:textId="77777777" w:rsidTr="00E65931">
        <w:tc>
          <w:tcPr>
            <w:tcW w:w="1285" w:type="pct"/>
          </w:tcPr>
          <w:p w14:paraId="53D3F8FD" w14:textId="77777777" w:rsidR="00E65931" w:rsidRPr="000449D1" w:rsidRDefault="00E65931" w:rsidP="00AE33B0">
            <w:pPr>
              <w:pStyle w:val="051Tabletext22"/>
              <w:keepNext/>
            </w:pPr>
            <w:r w:rsidRPr="000449D1">
              <w:t>Time horizon</w:t>
            </w:r>
          </w:p>
        </w:tc>
        <w:tc>
          <w:tcPr>
            <w:tcW w:w="3715" w:type="pct"/>
          </w:tcPr>
          <w:p w14:paraId="0603EB30" w14:textId="24ED90FD" w:rsidR="00E65931" w:rsidRPr="000449D1" w:rsidRDefault="00E65931" w:rsidP="00AE33B0">
            <w:pPr>
              <w:pStyle w:val="051Tabletext22"/>
              <w:keepNext/>
            </w:pPr>
            <w:r>
              <w:t>3 days (average time to confirmation or exclusion of a diagnosis of TTP in the absence of rapid assay testing for ADAMTS13 activity)</w:t>
            </w:r>
          </w:p>
        </w:tc>
      </w:tr>
      <w:tr w:rsidR="00E65931" w:rsidRPr="000449D1" w14:paraId="1A321DD1" w14:textId="77777777" w:rsidTr="00E65931">
        <w:tc>
          <w:tcPr>
            <w:tcW w:w="1285" w:type="pct"/>
          </w:tcPr>
          <w:p w14:paraId="3E97101F" w14:textId="77777777" w:rsidR="00E65931" w:rsidRPr="000449D1" w:rsidRDefault="00E65931" w:rsidP="00AE33B0">
            <w:pPr>
              <w:pStyle w:val="051Tabletext22"/>
              <w:keepNext/>
            </w:pPr>
            <w:r w:rsidRPr="000449D1">
              <w:t>Computational method</w:t>
            </w:r>
          </w:p>
        </w:tc>
        <w:tc>
          <w:tcPr>
            <w:tcW w:w="3715" w:type="pct"/>
          </w:tcPr>
          <w:p w14:paraId="44524476" w14:textId="77777777" w:rsidR="00E65931" w:rsidRPr="000449D1" w:rsidRDefault="00E65931" w:rsidP="00AE33B0">
            <w:pPr>
              <w:pStyle w:val="051Tabletext22"/>
              <w:keepNext/>
            </w:pPr>
            <w:r>
              <w:t>Cohort</w:t>
            </w:r>
            <w:r w:rsidRPr="000449D1">
              <w:t xml:space="preserve"> expected value</w:t>
            </w:r>
            <w:r>
              <w:t xml:space="preserve"> decision analysis</w:t>
            </w:r>
          </w:p>
        </w:tc>
      </w:tr>
      <w:tr w:rsidR="00E65931" w:rsidRPr="000449D1" w14:paraId="43214BDA" w14:textId="77777777" w:rsidTr="00E65931">
        <w:tc>
          <w:tcPr>
            <w:tcW w:w="1285" w:type="pct"/>
          </w:tcPr>
          <w:p w14:paraId="0FAE9A52" w14:textId="77777777" w:rsidR="00E65931" w:rsidRPr="000449D1" w:rsidRDefault="00E65931" w:rsidP="00AE33B0">
            <w:pPr>
              <w:pStyle w:val="051Tabletext22"/>
              <w:keepNext/>
            </w:pPr>
            <w:r w:rsidRPr="000449D1">
              <w:t>Generation of the base case</w:t>
            </w:r>
          </w:p>
        </w:tc>
        <w:tc>
          <w:tcPr>
            <w:tcW w:w="3715" w:type="pct"/>
          </w:tcPr>
          <w:p w14:paraId="3862E287" w14:textId="70EAFCF1" w:rsidR="00E65931" w:rsidRPr="000449D1" w:rsidRDefault="00E65931" w:rsidP="00AE33B0">
            <w:pPr>
              <w:pStyle w:val="051Tabletext22"/>
              <w:keepNext/>
            </w:pPr>
            <w:r>
              <w:t>Trial-based</w:t>
            </w:r>
            <w:r w:rsidR="00C76F24">
              <w:t xml:space="preserve"> (Dim</w:t>
            </w:r>
            <w:r w:rsidR="002C1996">
              <w:t>opoulos et al. 2022)</w:t>
            </w:r>
          </w:p>
        </w:tc>
      </w:tr>
      <w:tr w:rsidR="00E65931" w:rsidRPr="000449D1" w14:paraId="5272EB93" w14:textId="77777777" w:rsidTr="00E65931">
        <w:tc>
          <w:tcPr>
            <w:tcW w:w="1285" w:type="pct"/>
          </w:tcPr>
          <w:p w14:paraId="6F67C575" w14:textId="77777777" w:rsidR="00E65931" w:rsidRPr="000449D1" w:rsidRDefault="00E65931" w:rsidP="00AE33B0">
            <w:pPr>
              <w:pStyle w:val="051Tabletext22"/>
              <w:keepNext/>
            </w:pPr>
            <w:r w:rsidRPr="000449D1">
              <w:t>Health states</w:t>
            </w:r>
          </w:p>
        </w:tc>
        <w:tc>
          <w:tcPr>
            <w:tcW w:w="3715" w:type="pct"/>
          </w:tcPr>
          <w:p w14:paraId="7B0EFC7B" w14:textId="045490D9" w:rsidR="00E65931" w:rsidRPr="000449D1" w:rsidRDefault="00E65931" w:rsidP="00AE33B0">
            <w:pPr>
              <w:pStyle w:val="051Tabletext22"/>
              <w:keepNext/>
            </w:pPr>
            <w:r w:rsidRPr="00BE2662">
              <w:t>Model is a decision analysis. Terminal states in the model reflect either a confirmed diagnosis of TTP or exclusion of TTP diagnosis</w:t>
            </w:r>
          </w:p>
        </w:tc>
      </w:tr>
      <w:tr w:rsidR="00E65931" w:rsidRPr="000449D1" w14:paraId="59A2F8F5" w14:textId="77777777" w:rsidTr="00E65931">
        <w:tc>
          <w:tcPr>
            <w:tcW w:w="1285" w:type="pct"/>
          </w:tcPr>
          <w:p w14:paraId="1DC43ED2" w14:textId="77777777" w:rsidR="00E65931" w:rsidRPr="000449D1" w:rsidRDefault="00E65931" w:rsidP="00AE33B0">
            <w:pPr>
              <w:pStyle w:val="051Tabletext22"/>
              <w:keepNext/>
            </w:pPr>
            <w:r w:rsidRPr="000449D1">
              <w:t>Cycle length</w:t>
            </w:r>
          </w:p>
        </w:tc>
        <w:tc>
          <w:tcPr>
            <w:tcW w:w="3715" w:type="pct"/>
          </w:tcPr>
          <w:p w14:paraId="0CAABEA8" w14:textId="77777777" w:rsidR="00E65931" w:rsidRPr="000449D1" w:rsidRDefault="00E65931" w:rsidP="00AE33B0">
            <w:pPr>
              <w:pStyle w:val="051Tabletext22"/>
              <w:keepNext/>
            </w:pPr>
            <w:r>
              <w:t>Not applicable</w:t>
            </w:r>
          </w:p>
        </w:tc>
      </w:tr>
      <w:tr w:rsidR="00E65931" w:rsidRPr="000449D1" w14:paraId="52F055EA" w14:textId="77777777" w:rsidTr="00E65931">
        <w:tc>
          <w:tcPr>
            <w:tcW w:w="1285" w:type="pct"/>
          </w:tcPr>
          <w:p w14:paraId="5C35B74D" w14:textId="77777777" w:rsidR="00E65931" w:rsidRPr="000449D1" w:rsidRDefault="00E65931" w:rsidP="00AE33B0">
            <w:pPr>
              <w:pStyle w:val="051Tabletext22"/>
              <w:keepNext/>
            </w:pPr>
            <w:r w:rsidRPr="000449D1">
              <w:t>Transition probabilities</w:t>
            </w:r>
          </w:p>
        </w:tc>
        <w:tc>
          <w:tcPr>
            <w:tcW w:w="3715" w:type="pct"/>
          </w:tcPr>
          <w:p w14:paraId="13C5FF2F" w14:textId="66F58F6D" w:rsidR="00E65931" w:rsidRDefault="00E65931" w:rsidP="00AE33B0">
            <w:pPr>
              <w:pStyle w:val="051Tabletext22"/>
              <w:keepNext/>
            </w:pPr>
            <w:r w:rsidRPr="007A4C9E">
              <w:t>Prevalence of TTP in patients undergoing testing with rapid assay of ADAMTS13 activity</w:t>
            </w:r>
            <w:r>
              <w:t xml:space="preserve">, </w:t>
            </w:r>
            <w:r w:rsidRPr="007A4C9E">
              <w:t>sourced from</w:t>
            </w:r>
            <w:r w:rsidR="004E36CD">
              <w:t xml:space="preserve"> Table 1 of</w:t>
            </w:r>
            <w:r w:rsidRPr="007A4C9E">
              <w:t xml:space="preserve"> Dimopoulos et al. </w:t>
            </w:r>
            <w:r>
              <w:t>(</w:t>
            </w:r>
            <w:r w:rsidRPr="007A4C9E">
              <w:t>2022</w:t>
            </w:r>
            <w:r>
              <w:t>)</w:t>
            </w:r>
          </w:p>
          <w:p w14:paraId="2DDB6B5E" w14:textId="694B1FB5" w:rsidR="00E65931" w:rsidRDefault="00E65931" w:rsidP="00AE33B0">
            <w:pPr>
              <w:pStyle w:val="051Tabletext22"/>
              <w:keepNext/>
            </w:pPr>
            <w:r>
              <w:t>S</w:t>
            </w:r>
            <w:r w:rsidRPr="007A4C9E">
              <w:t xml:space="preserve">ensitivity and specificity of rapid assay testing of ADAMTS13 activity </w:t>
            </w:r>
            <w:r>
              <w:t xml:space="preserve">to inform diagnosis of TTP, </w:t>
            </w:r>
            <w:r w:rsidRPr="007A4C9E">
              <w:t xml:space="preserve">sourced from Dimopoulos et al. </w:t>
            </w:r>
            <w:r>
              <w:t>(</w:t>
            </w:r>
            <w:r w:rsidRPr="007A4C9E">
              <w:t>2022</w:t>
            </w:r>
            <w:r>
              <w:t>)</w:t>
            </w:r>
          </w:p>
          <w:p w14:paraId="55B2BEF4" w14:textId="11683B90" w:rsidR="00E65931" w:rsidRPr="000449D1" w:rsidRDefault="00E65931" w:rsidP="00AE33B0">
            <w:pPr>
              <w:pStyle w:val="051Tabletext22"/>
              <w:keepNext/>
            </w:pPr>
            <w:r>
              <w:t>Assumptions are made that: (i) results from the rapid assay testing are available within 1 day, and (ii) the time to confirmation/exclusion of a diagnosis in the absence of testing is 3 days (based on observed response to PEX)</w:t>
            </w:r>
          </w:p>
        </w:tc>
      </w:tr>
      <w:tr w:rsidR="00E65931" w:rsidRPr="000449D1" w14:paraId="148F2DE7" w14:textId="77777777" w:rsidTr="00E65931">
        <w:tc>
          <w:tcPr>
            <w:tcW w:w="1285" w:type="pct"/>
          </w:tcPr>
          <w:p w14:paraId="691CE326" w14:textId="77777777" w:rsidR="00E65931" w:rsidRPr="000449D1" w:rsidRDefault="00E65931" w:rsidP="00AE33B0">
            <w:pPr>
              <w:pStyle w:val="051Tabletext22"/>
              <w:keepNext/>
            </w:pPr>
            <w:r w:rsidRPr="000449D1">
              <w:t>Discount rate</w:t>
            </w:r>
          </w:p>
        </w:tc>
        <w:tc>
          <w:tcPr>
            <w:tcW w:w="3715" w:type="pct"/>
          </w:tcPr>
          <w:p w14:paraId="14430D49" w14:textId="77777777" w:rsidR="00E65931" w:rsidRPr="000449D1" w:rsidRDefault="00E65931" w:rsidP="00AE33B0">
            <w:pPr>
              <w:pStyle w:val="051Tabletext22"/>
              <w:keepNext/>
            </w:pPr>
            <w:r>
              <w:t>Not applicable given the 3-day time horizon examined</w:t>
            </w:r>
          </w:p>
        </w:tc>
      </w:tr>
      <w:tr w:rsidR="00E65931" w:rsidRPr="000449D1" w14:paraId="3D0C4092" w14:textId="77777777" w:rsidTr="00E65931">
        <w:tc>
          <w:tcPr>
            <w:tcW w:w="1285" w:type="pct"/>
          </w:tcPr>
          <w:p w14:paraId="53E0ADB1" w14:textId="77777777" w:rsidR="00E65931" w:rsidRPr="000449D1" w:rsidRDefault="00E65931" w:rsidP="00AE33B0">
            <w:pPr>
              <w:pStyle w:val="051Tabletext22"/>
              <w:keepNext/>
            </w:pPr>
            <w:r w:rsidRPr="000449D1">
              <w:t>Software</w:t>
            </w:r>
          </w:p>
        </w:tc>
        <w:tc>
          <w:tcPr>
            <w:tcW w:w="3715" w:type="pct"/>
          </w:tcPr>
          <w:p w14:paraId="6D7430AC" w14:textId="56ECA3B9" w:rsidR="00E65931" w:rsidRPr="000449D1" w:rsidRDefault="00E65931" w:rsidP="00AE33B0">
            <w:pPr>
              <w:pStyle w:val="051Tabletext22"/>
              <w:keepNext/>
            </w:pPr>
            <w:r w:rsidRPr="000449D1">
              <w:t>TreeAge Pro</w:t>
            </w:r>
          </w:p>
        </w:tc>
      </w:tr>
    </w:tbl>
    <w:p w14:paraId="28AFD0F5" w14:textId="77777777" w:rsidR="003F7CD8" w:rsidRDefault="003F7CD8" w:rsidP="0014255B">
      <w:pPr>
        <w:pStyle w:val="101Tablefootnotes"/>
      </w:pPr>
      <w:r w:rsidRPr="00236AD3">
        <w:t>PEX = plasma exchange</w:t>
      </w:r>
      <w:r>
        <w:t xml:space="preserve"> therapy</w:t>
      </w:r>
      <w:r w:rsidRPr="00236AD3">
        <w:t>; TTP = thrombotic thrombocytopenic purpura</w:t>
      </w:r>
      <w:r>
        <w:t>.</w:t>
      </w:r>
    </w:p>
    <w:p w14:paraId="1A15F244" w14:textId="1A055578" w:rsidR="007A3FA5" w:rsidRPr="00236AD3" w:rsidRDefault="003F7CD8" w:rsidP="007A3FA5">
      <w:pPr>
        <w:pStyle w:val="111Tablefootnoteslast-nostick"/>
      </w:pPr>
      <w:r>
        <w:t xml:space="preserve">a. </w:t>
      </w:r>
      <w:r w:rsidR="007A3FA5" w:rsidRPr="00236AD3">
        <w:t xml:space="preserve">PLASMIC </w:t>
      </w:r>
      <w:r>
        <w:t>score is a</w:t>
      </w:r>
      <w:r w:rsidR="007A3FA5" w:rsidRPr="00236AD3">
        <w:t xml:space="preserve"> clinical prediction score </w:t>
      </w:r>
      <w:r>
        <w:t xml:space="preserve">that </w:t>
      </w:r>
      <w:r w:rsidR="007A3FA5" w:rsidRPr="00236AD3">
        <w:t>consider</w:t>
      </w:r>
      <w:r>
        <w:t>s</w:t>
      </w:r>
      <w:r w:rsidR="007A3FA5" w:rsidRPr="00236AD3">
        <w:t xml:space="preserve"> the following </w:t>
      </w:r>
      <w:r>
        <w:t>7</w:t>
      </w:r>
      <w:r w:rsidRPr="00236AD3">
        <w:t xml:space="preserve"> </w:t>
      </w:r>
      <w:r w:rsidR="007A3FA5" w:rsidRPr="00236AD3">
        <w:t>clinical and laboratory features</w:t>
      </w:r>
      <w:r w:rsidR="0014255B">
        <w:t>:</w:t>
      </w:r>
      <w:r w:rsidR="007A3FA5" w:rsidRPr="00236AD3">
        <w:t xml:space="preserve"> </w:t>
      </w:r>
      <w:r w:rsidR="007A3FA5" w:rsidRPr="00127125">
        <w:rPr>
          <w:u w:val="single"/>
        </w:rPr>
        <w:t>P</w:t>
      </w:r>
      <w:r w:rsidR="007A3FA5" w:rsidRPr="00236AD3">
        <w:t>latelet count &lt;30</w:t>
      </w:r>
      <w:r w:rsidR="0014255B">
        <w:t> x </w:t>
      </w:r>
      <w:r w:rsidR="007A3FA5" w:rsidRPr="00236AD3">
        <w:t>10</w:t>
      </w:r>
      <w:r w:rsidR="007A3FA5" w:rsidRPr="0014255B">
        <w:rPr>
          <w:vertAlign w:val="superscript"/>
        </w:rPr>
        <w:t>9</w:t>
      </w:r>
      <w:r w:rsidR="007A3FA5" w:rsidRPr="00236AD3">
        <w:t>/</w:t>
      </w:r>
      <w:r w:rsidR="0014255B">
        <w:t>L</w:t>
      </w:r>
      <w:r w:rsidR="00F82EC0">
        <w:t>;</w:t>
      </w:r>
      <w:r w:rsidR="007A3FA5" w:rsidRPr="00236AD3">
        <w:t xml:space="preserve"> haemo</w:t>
      </w:r>
      <w:r w:rsidR="007A3FA5" w:rsidRPr="00127125">
        <w:rPr>
          <w:u w:val="single"/>
        </w:rPr>
        <w:t>L</w:t>
      </w:r>
      <w:r w:rsidR="007A3FA5" w:rsidRPr="00236AD3">
        <w:t>ysis (elevated lactate dehydrogenase or low haptoglobin)</w:t>
      </w:r>
      <w:r w:rsidR="00F82EC0">
        <w:t>;</w:t>
      </w:r>
      <w:r w:rsidR="007A3FA5" w:rsidRPr="00236AD3">
        <w:t xml:space="preserve"> no </w:t>
      </w:r>
      <w:r w:rsidR="007A3FA5" w:rsidRPr="00127125">
        <w:rPr>
          <w:u w:val="single"/>
        </w:rPr>
        <w:t>A</w:t>
      </w:r>
      <w:r w:rsidR="007A3FA5" w:rsidRPr="00236AD3">
        <w:t>ctive cancer</w:t>
      </w:r>
      <w:r w:rsidR="00F82EC0">
        <w:t>;</w:t>
      </w:r>
      <w:r w:rsidR="007A3FA5" w:rsidRPr="00236AD3">
        <w:t xml:space="preserve"> no history of </w:t>
      </w:r>
      <w:r w:rsidR="007A3FA5" w:rsidRPr="00127125">
        <w:rPr>
          <w:u w:val="single"/>
        </w:rPr>
        <w:t>S</w:t>
      </w:r>
      <w:r w:rsidR="007A3FA5" w:rsidRPr="00236AD3">
        <w:t>olid organ or stem cell transplant</w:t>
      </w:r>
      <w:r w:rsidR="00F82EC0">
        <w:t>;</w:t>
      </w:r>
      <w:r w:rsidR="007A3FA5" w:rsidRPr="00236AD3">
        <w:t xml:space="preserve"> </w:t>
      </w:r>
      <w:r w:rsidR="007A3FA5" w:rsidRPr="00127125">
        <w:rPr>
          <w:u w:val="single"/>
        </w:rPr>
        <w:t>M</w:t>
      </w:r>
      <w:r w:rsidR="007A3FA5" w:rsidRPr="00236AD3">
        <w:t>ean corpuscular volume &lt; 90 femtolitres</w:t>
      </w:r>
      <w:r w:rsidR="00F82EC0">
        <w:t>;</w:t>
      </w:r>
      <w:r w:rsidR="007A3FA5" w:rsidRPr="00236AD3">
        <w:t xml:space="preserve"> </w:t>
      </w:r>
      <w:r w:rsidR="007A3FA5" w:rsidRPr="00F82EC0">
        <w:rPr>
          <w:u w:val="single"/>
        </w:rPr>
        <w:t>I</w:t>
      </w:r>
      <w:r w:rsidR="007A3FA5" w:rsidRPr="00236AD3">
        <w:t>nternational normalized ratio &lt; 1.5</w:t>
      </w:r>
      <w:r w:rsidR="00F82EC0">
        <w:t>;</w:t>
      </w:r>
      <w:r w:rsidR="007A3FA5" w:rsidRPr="00236AD3">
        <w:t xml:space="preserve"> </w:t>
      </w:r>
      <w:r w:rsidR="007A3FA5" w:rsidRPr="00F82EC0">
        <w:rPr>
          <w:u w:val="single"/>
        </w:rPr>
        <w:t>C</w:t>
      </w:r>
      <w:r w:rsidR="007A3FA5" w:rsidRPr="00236AD3">
        <w:t xml:space="preserve">reatinine &lt;2 </w:t>
      </w:r>
      <w:r w:rsidR="00F12D50">
        <w:t>mg/dL</w:t>
      </w:r>
      <w:r w:rsidR="00F82EC0">
        <w:t>.</w:t>
      </w:r>
    </w:p>
    <w:p w14:paraId="26743800" w14:textId="7FAA414D" w:rsidR="008533C2" w:rsidRDefault="00ED52C8" w:rsidP="00EC2918">
      <w:r>
        <w:fldChar w:fldCharType="begin"/>
      </w:r>
      <w:r>
        <w:instrText xml:space="preserve"> REF _Ref213157091 \h </w:instrText>
      </w:r>
      <w:r>
        <w:fldChar w:fldCharType="separate"/>
      </w:r>
      <w:r w:rsidR="00716875">
        <w:t xml:space="preserve">Figure </w:t>
      </w:r>
      <w:r w:rsidR="00716875">
        <w:rPr>
          <w:noProof/>
        </w:rPr>
        <w:t>5</w:t>
      </w:r>
      <w:r>
        <w:fldChar w:fldCharType="end"/>
      </w:r>
      <w:r w:rsidR="00EC2918">
        <w:t xml:space="preserve"> presents the decision tree structure used to conduct the first step of the economic evaluation. The decision tree includes the following nodes:</w:t>
      </w:r>
    </w:p>
    <w:p w14:paraId="7F0C1323" w14:textId="77777777" w:rsidR="008533C2" w:rsidRDefault="00EC2918" w:rsidP="00267F3D">
      <w:pPr>
        <w:pStyle w:val="ListParagraph"/>
        <w:numPr>
          <w:ilvl w:val="0"/>
          <w:numId w:val="28"/>
        </w:numPr>
      </w:pPr>
      <w:r>
        <w:t>a decision node (shown with a blue square) representing initiation of PEX either with or without rapid assay testing of ADAMTS13 activity</w:t>
      </w:r>
    </w:p>
    <w:p w14:paraId="640E6591" w14:textId="77777777" w:rsidR="008533C2" w:rsidRDefault="00EC2918" w:rsidP="00267F3D">
      <w:pPr>
        <w:pStyle w:val="ListParagraph"/>
        <w:numPr>
          <w:ilvl w:val="0"/>
          <w:numId w:val="28"/>
        </w:numPr>
      </w:pPr>
      <w:r>
        <w:t>chance nodes (shown with green circles) representing the result from testing (positive/negative)</w:t>
      </w:r>
    </w:p>
    <w:p w14:paraId="4E788E46" w14:textId="77777777" w:rsidR="008533C2" w:rsidRDefault="00EC2918" w:rsidP="00267F3D">
      <w:pPr>
        <w:pStyle w:val="ListParagraph"/>
        <w:numPr>
          <w:ilvl w:val="0"/>
          <w:numId w:val="28"/>
        </w:numPr>
      </w:pPr>
      <w:r>
        <w:t>the classification of the result (true/false)</w:t>
      </w:r>
    </w:p>
    <w:p w14:paraId="20CB71F8" w14:textId="47316EE8" w:rsidR="00EC2918" w:rsidRDefault="00EC2918" w:rsidP="00267F3D">
      <w:pPr>
        <w:pStyle w:val="ListParagraph"/>
        <w:numPr>
          <w:ilvl w:val="0"/>
          <w:numId w:val="28"/>
        </w:numPr>
      </w:pPr>
      <w:r>
        <w:t>clinical response to PEX treatment after 3 days (improvement/deterioration).</w:t>
      </w:r>
    </w:p>
    <w:p w14:paraId="37DFE866" w14:textId="2606AA3A" w:rsidR="00EC2918" w:rsidRDefault="00EC2918" w:rsidP="00EC2918">
      <w:r>
        <w:lastRenderedPageBreak/>
        <w:t xml:space="preserve">The assumption that, in the absence of rapid assay testing for ADAMTS13 activity, a diagnosis of TTP would be confirmed or excluded after </w:t>
      </w:r>
      <w:r w:rsidR="00EE649B">
        <w:t xml:space="preserve">3 </w:t>
      </w:r>
      <w:r>
        <w:t xml:space="preserve">days of empiric PEX is based on interview findings validating this assumption, as reported by </w:t>
      </w:r>
      <w:r w:rsidRPr="00EC2918">
        <w:t xml:space="preserve">White et al. </w:t>
      </w:r>
      <w:r w:rsidR="00E31694">
        <w:t>(</w:t>
      </w:r>
      <w:r w:rsidRPr="00EC2918">
        <w:t>2022</w:t>
      </w:r>
      <w:r w:rsidR="00E31694">
        <w:t>)</w:t>
      </w:r>
      <w:r w:rsidRPr="00EC2918">
        <w:t>.</w:t>
      </w:r>
    </w:p>
    <w:p w14:paraId="008C46B3" w14:textId="7AE6E027" w:rsidR="00391B29" w:rsidRDefault="00BC2B43" w:rsidP="00391B29">
      <w:pPr>
        <w:pStyle w:val="BodyText"/>
      </w:pPr>
      <w:r>
        <w:fldChar w:fldCharType="begin"/>
      </w:r>
      <w:r>
        <w:instrText xml:space="preserve"> REF _Ref213226260 \h </w:instrText>
      </w:r>
      <w:r>
        <w:fldChar w:fldCharType="separate"/>
      </w:r>
      <w:r w:rsidR="00716875">
        <w:t>Table </w:t>
      </w:r>
      <w:r w:rsidR="00716875">
        <w:rPr>
          <w:noProof/>
        </w:rPr>
        <w:t>14</w:t>
      </w:r>
      <w:r>
        <w:fldChar w:fldCharType="end"/>
      </w:r>
      <w:r>
        <w:t xml:space="preserve"> </w:t>
      </w:r>
      <w:r w:rsidR="00391B29">
        <w:t>summarises the disaggregated (by resource) and the aggregated costs in the scenarios being compared in patients with a PLASMIC score &gt;4 and a clinical suspicion of T</w:t>
      </w:r>
      <w:r w:rsidR="28D4A628">
        <w:t>T</w:t>
      </w:r>
      <w:r w:rsidR="00391B29">
        <w:t>P who are initiated on treatment with PEX. This analysis includes the cost of a</w:t>
      </w:r>
      <w:r w:rsidR="00391B29" w:rsidRPr="00F912D6">
        <w:t>nti-ADAMTS13 autoantibody testing</w:t>
      </w:r>
      <w:r w:rsidR="00391B29">
        <w:t>, which is performed</w:t>
      </w:r>
      <w:r w:rsidR="00391B29" w:rsidRPr="00F912D6">
        <w:t xml:space="preserve"> </w:t>
      </w:r>
      <w:r w:rsidR="00391B29">
        <w:t>after a TTP diagnosis is confirmed via rapid ADAMTS13 activity assay, to differentiate between cTTP and iTTP.</w:t>
      </w:r>
    </w:p>
    <w:p w14:paraId="2080E6DE" w14:textId="6DFD87E7" w:rsidR="00391B29" w:rsidRPr="00CE28E3" w:rsidRDefault="00391B29" w:rsidP="00391B29">
      <w:pPr>
        <w:pStyle w:val="Caption"/>
      </w:pPr>
      <w:bookmarkStart w:id="37" w:name="_Ref213226260"/>
      <w:r>
        <w:t>Table </w:t>
      </w:r>
      <w:r>
        <w:fldChar w:fldCharType="begin"/>
      </w:r>
      <w:r>
        <w:instrText>SEQ Table \* ARABIC</w:instrText>
      </w:r>
      <w:r>
        <w:fldChar w:fldCharType="separate"/>
      </w:r>
      <w:r w:rsidR="00716875">
        <w:rPr>
          <w:noProof/>
        </w:rPr>
        <w:t>14</w:t>
      </w:r>
      <w:r>
        <w:fldChar w:fldCharType="end"/>
      </w:r>
      <w:bookmarkEnd w:id="37"/>
      <w:r w:rsidRPr="00CE28E3">
        <w:tab/>
        <w:t xml:space="preserve">Health care resource items: disaggregated summary of cost impacts in </w:t>
      </w:r>
      <w:r>
        <w:t>the</w:t>
      </w:r>
      <w:r w:rsidRPr="00CE28E3">
        <w:t xml:space="preserve"> economic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ealth care resource items: disaggregated summary of cost impacts in Step 1 of the economic evaluation"/>
        <w:tblDescription w:val="Costs shown for Rapid assay of ADAMTS13 activity; Anti-ADAMTS13 autoantibody testing; PEX; Additional testing in false negatives&#10;"/>
      </w:tblPr>
      <w:tblGrid>
        <w:gridCol w:w="1271"/>
        <w:gridCol w:w="851"/>
        <w:gridCol w:w="1559"/>
        <w:gridCol w:w="1559"/>
        <w:gridCol w:w="1418"/>
        <w:gridCol w:w="1371"/>
        <w:gridCol w:w="987"/>
      </w:tblGrid>
      <w:tr w:rsidR="00714F5F" w:rsidRPr="00CE28E3" w14:paraId="0D22B271" w14:textId="77777777">
        <w:trPr>
          <w:cantSplit/>
          <w:tblHeader/>
        </w:trPr>
        <w:tc>
          <w:tcPr>
            <w:tcW w:w="1271" w:type="dxa"/>
            <w:tcMar>
              <w:left w:w="28" w:type="dxa"/>
              <w:right w:w="28" w:type="dxa"/>
            </w:tcMar>
            <w:vAlign w:val="center"/>
          </w:tcPr>
          <w:p w14:paraId="0C25A214" w14:textId="77777777" w:rsidR="00391B29" w:rsidRPr="00CE28E3" w:rsidRDefault="00391B29">
            <w:pPr>
              <w:pStyle w:val="011TableHeading"/>
            </w:pPr>
            <w:r w:rsidRPr="00CE28E3">
              <w:t>Type of resource item</w:t>
            </w:r>
          </w:p>
        </w:tc>
        <w:tc>
          <w:tcPr>
            <w:tcW w:w="851" w:type="dxa"/>
            <w:tcMar>
              <w:left w:w="28" w:type="dxa"/>
              <w:right w:w="28" w:type="dxa"/>
            </w:tcMar>
            <w:vAlign w:val="center"/>
          </w:tcPr>
          <w:p w14:paraId="1AC78690" w14:textId="77777777" w:rsidR="00391B29" w:rsidRDefault="00391B29" w:rsidP="002A6B97">
            <w:pPr>
              <w:pStyle w:val="011TableHeading"/>
              <w:jc w:val="center"/>
            </w:pPr>
            <w:r>
              <w:t>Unit cost</w:t>
            </w:r>
          </w:p>
        </w:tc>
        <w:tc>
          <w:tcPr>
            <w:tcW w:w="1559" w:type="dxa"/>
            <w:tcMar>
              <w:left w:w="28" w:type="dxa"/>
              <w:right w:w="28" w:type="dxa"/>
            </w:tcMar>
            <w:vAlign w:val="center"/>
          </w:tcPr>
          <w:p w14:paraId="7382015D" w14:textId="6D02768F" w:rsidR="00391B29" w:rsidRDefault="00391B29" w:rsidP="002A6B97">
            <w:pPr>
              <w:pStyle w:val="011TableHeading"/>
              <w:jc w:val="center"/>
            </w:pPr>
            <w:r>
              <w:t xml:space="preserve">Proportion in scenario where </w:t>
            </w:r>
            <w:r w:rsidR="000B2E71">
              <w:t xml:space="preserve">rapid </w:t>
            </w:r>
            <w:r>
              <w:t>ADAMTS activity testing is available</w:t>
            </w:r>
          </w:p>
        </w:tc>
        <w:tc>
          <w:tcPr>
            <w:tcW w:w="1559" w:type="dxa"/>
            <w:tcMar>
              <w:left w:w="28" w:type="dxa"/>
              <w:right w:w="28" w:type="dxa"/>
            </w:tcMar>
            <w:vAlign w:val="center"/>
          </w:tcPr>
          <w:p w14:paraId="5D7B3413" w14:textId="4239D936" w:rsidR="00391B29" w:rsidRPr="00CE28E3" w:rsidRDefault="00391B29" w:rsidP="002A6B97">
            <w:pPr>
              <w:pStyle w:val="011TableHeading"/>
              <w:jc w:val="center"/>
            </w:pPr>
            <w:r>
              <w:t xml:space="preserve">Costs in scenario where </w:t>
            </w:r>
            <w:r w:rsidR="000B2E71">
              <w:t xml:space="preserve">rapid </w:t>
            </w:r>
            <w:r>
              <w:t>ADAMTS activity testing is available</w:t>
            </w:r>
          </w:p>
        </w:tc>
        <w:tc>
          <w:tcPr>
            <w:tcW w:w="1418" w:type="dxa"/>
            <w:tcMar>
              <w:left w:w="28" w:type="dxa"/>
              <w:right w:w="28" w:type="dxa"/>
            </w:tcMar>
            <w:vAlign w:val="center"/>
          </w:tcPr>
          <w:p w14:paraId="5A8992B2" w14:textId="77777777" w:rsidR="00391B29" w:rsidRDefault="00391B29" w:rsidP="002A6B97">
            <w:pPr>
              <w:pStyle w:val="011TableHeading"/>
              <w:jc w:val="center"/>
            </w:pPr>
            <w:r>
              <w:t>Proportion in scenario where ADAMTS activity testing is not available</w:t>
            </w:r>
          </w:p>
        </w:tc>
        <w:tc>
          <w:tcPr>
            <w:tcW w:w="1371" w:type="dxa"/>
            <w:tcMar>
              <w:left w:w="28" w:type="dxa"/>
              <w:right w:w="28" w:type="dxa"/>
            </w:tcMar>
            <w:vAlign w:val="center"/>
          </w:tcPr>
          <w:p w14:paraId="6ACD8FAD" w14:textId="77777777" w:rsidR="00391B29" w:rsidRPr="00CE28E3" w:rsidRDefault="00391B29" w:rsidP="002A6B97">
            <w:pPr>
              <w:pStyle w:val="011TableHeading"/>
              <w:jc w:val="center"/>
            </w:pPr>
            <w:r>
              <w:t>Costs in scenario where ADAMTS activity testing is not available</w:t>
            </w:r>
          </w:p>
        </w:tc>
        <w:tc>
          <w:tcPr>
            <w:tcW w:w="987" w:type="dxa"/>
            <w:tcMar>
              <w:left w:w="28" w:type="dxa"/>
              <w:right w:w="28" w:type="dxa"/>
            </w:tcMar>
            <w:vAlign w:val="center"/>
          </w:tcPr>
          <w:p w14:paraId="6B0DD7F5" w14:textId="77777777" w:rsidR="00391B29" w:rsidRPr="00CE28E3" w:rsidRDefault="00391B29" w:rsidP="002A6B97">
            <w:pPr>
              <w:pStyle w:val="011TableHeading"/>
              <w:jc w:val="center"/>
            </w:pPr>
            <w:r w:rsidRPr="00CE28E3">
              <w:t>Incremental cost</w:t>
            </w:r>
            <w:r>
              <w:t>s</w:t>
            </w:r>
          </w:p>
        </w:tc>
      </w:tr>
      <w:tr w:rsidR="00714F5F" w:rsidRPr="00CE28E3" w14:paraId="6B030BAB" w14:textId="77777777">
        <w:trPr>
          <w:cantSplit/>
          <w:trHeight w:val="515"/>
        </w:trPr>
        <w:tc>
          <w:tcPr>
            <w:tcW w:w="1271" w:type="dxa"/>
            <w:tcMar>
              <w:left w:w="28" w:type="dxa"/>
              <w:right w:w="28" w:type="dxa"/>
            </w:tcMar>
            <w:vAlign w:val="center"/>
          </w:tcPr>
          <w:p w14:paraId="072443D7" w14:textId="77777777" w:rsidR="00391B29" w:rsidRPr="00CE28E3" w:rsidRDefault="00391B29">
            <w:pPr>
              <w:pStyle w:val="051Tabletext22"/>
            </w:pPr>
            <w:r>
              <w:t>Rapid assay of ADAMTS13 activity</w:t>
            </w:r>
          </w:p>
        </w:tc>
        <w:tc>
          <w:tcPr>
            <w:tcW w:w="851" w:type="dxa"/>
            <w:tcMar>
              <w:left w:w="28" w:type="dxa"/>
              <w:right w:w="28" w:type="dxa"/>
            </w:tcMar>
            <w:vAlign w:val="center"/>
          </w:tcPr>
          <w:p w14:paraId="154B37B8" w14:textId="77777777" w:rsidR="00391B29" w:rsidRDefault="00391B29" w:rsidP="002A6B97">
            <w:pPr>
              <w:pStyle w:val="051Tabletext22"/>
              <w:jc w:val="center"/>
            </w:pPr>
            <w:r>
              <w:t>$700</w:t>
            </w:r>
          </w:p>
        </w:tc>
        <w:tc>
          <w:tcPr>
            <w:tcW w:w="1559" w:type="dxa"/>
            <w:tcMar>
              <w:left w:w="28" w:type="dxa"/>
              <w:right w:w="28" w:type="dxa"/>
            </w:tcMar>
            <w:vAlign w:val="center"/>
          </w:tcPr>
          <w:p w14:paraId="01A5528F" w14:textId="77777777" w:rsidR="00391B29" w:rsidRDefault="00391B29" w:rsidP="002A6B97">
            <w:pPr>
              <w:pStyle w:val="051Tabletext22"/>
              <w:jc w:val="center"/>
            </w:pPr>
            <w:r>
              <w:t>100%</w:t>
            </w:r>
          </w:p>
        </w:tc>
        <w:tc>
          <w:tcPr>
            <w:tcW w:w="1559" w:type="dxa"/>
            <w:tcMar>
              <w:left w:w="28" w:type="dxa"/>
              <w:right w:w="28" w:type="dxa"/>
            </w:tcMar>
            <w:vAlign w:val="center"/>
          </w:tcPr>
          <w:p w14:paraId="3E5CDAB7" w14:textId="77777777" w:rsidR="00391B29" w:rsidRPr="00CE28E3" w:rsidRDefault="00391B29" w:rsidP="002A6B97">
            <w:pPr>
              <w:pStyle w:val="051Tabletext22"/>
              <w:jc w:val="center"/>
            </w:pPr>
            <w:r>
              <w:t>$700</w:t>
            </w:r>
          </w:p>
        </w:tc>
        <w:tc>
          <w:tcPr>
            <w:tcW w:w="1418" w:type="dxa"/>
            <w:tcMar>
              <w:left w:w="28" w:type="dxa"/>
              <w:right w:w="28" w:type="dxa"/>
            </w:tcMar>
            <w:vAlign w:val="center"/>
          </w:tcPr>
          <w:p w14:paraId="0B3F831D" w14:textId="77777777" w:rsidR="00391B29" w:rsidRDefault="00391B29" w:rsidP="002A6B97">
            <w:pPr>
              <w:pStyle w:val="051Tabletext22"/>
              <w:jc w:val="center"/>
            </w:pPr>
            <w:r>
              <w:t>0%</w:t>
            </w:r>
          </w:p>
        </w:tc>
        <w:tc>
          <w:tcPr>
            <w:tcW w:w="1371" w:type="dxa"/>
            <w:tcMar>
              <w:left w:w="28" w:type="dxa"/>
              <w:right w:w="28" w:type="dxa"/>
            </w:tcMar>
            <w:vAlign w:val="center"/>
          </w:tcPr>
          <w:p w14:paraId="1E95AC4E" w14:textId="77777777" w:rsidR="00391B29" w:rsidRPr="00CE28E3" w:rsidRDefault="00391B29" w:rsidP="002A6B97">
            <w:pPr>
              <w:pStyle w:val="051Tabletext22"/>
              <w:jc w:val="center"/>
            </w:pPr>
            <w:r>
              <w:t>$0</w:t>
            </w:r>
          </w:p>
        </w:tc>
        <w:tc>
          <w:tcPr>
            <w:tcW w:w="987" w:type="dxa"/>
            <w:tcMar>
              <w:left w:w="28" w:type="dxa"/>
              <w:right w:w="28" w:type="dxa"/>
            </w:tcMar>
            <w:vAlign w:val="center"/>
          </w:tcPr>
          <w:p w14:paraId="6EFFEBB9" w14:textId="77777777" w:rsidR="00391B29" w:rsidRPr="00CE28E3" w:rsidRDefault="00391B29" w:rsidP="002A6B97">
            <w:pPr>
              <w:pStyle w:val="051Tabletext22"/>
              <w:jc w:val="center"/>
            </w:pPr>
            <w:r>
              <w:t>$700</w:t>
            </w:r>
          </w:p>
        </w:tc>
      </w:tr>
      <w:tr w:rsidR="00714F5F" w:rsidRPr="00CE28E3" w14:paraId="6BF0CCCF" w14:textId="77777777">
        <w:trPr>
          <w:cantSplit/>
          <w:trHeight w:val="515"/>
        </w:trPr>
        <w:tc>
          <w:tcPr>
            <w:tcW w:w="1271" w:type="dxa"/>
            <w:tcMar>
              <w:left w:w="28" w:type="dxa"/>
              <w:right w:w="28" w:type="dxa"/>
            </w:tcMar>
            <w:vAlign w:val="center"/>
          </w:tcPr>
          <w:p w14:paraId="6EE39BE0" w14:textId="77777777" w:rsidR="00391B29" w:rsidRDefault="00391B29">
            <w:pPr>
              <w:pStyle w:val="051Tabletext22"/>
            </w:pPr>
            <w:r>
              <w:t>A</w:t>
            </w:r>
            <w:r w:rsidRPr="001427D0">
              <w:t>nti-ADAMTS13 autoantibody testing</w:t>
            </w:r>
          </w:p>
        </w:tc>
        <w:tc>
          <w:tcPr>
            <w:tcW w:w="851" w:type="dxa"/>
            <w:tcMar>
              <w:left w:w="28" w:type="dxa"/>
              <w:right w:w="28" w:type="dxa"/>
            </w:tcMar>
            <w:vAlign w:val="center"/>
          </w:tcPr>
          <w:p w14:paraId="2CDFCAD9" w14:textId="77777777" w:rsidR="00391B29" w:rsidRDefault="00391B29" w:rsidP="002A6B97">
            <w:pPr>
              <w:pStyle w:val="051Tabletext22"/>
              <w:jc w:val="center"/>
            </w:pPr>
            <w:r>
              <w:t>$1,050</w:t>
            </w:r>
          </w:p>
        </w:tc>
        <w:tc>
          <w:tcPr>
            <w:tcW w:w="1559" w:type="dxa"/>
            <w:tcMar>
              <w:left w:w="28" w:type="dxa"/>
              <w:right w:w="28" w:type="dxa"/>
            </w:tcMar>
            <w:vAlign w:val="center"/>
          </w:tcPr>
          <w:p w14:paraId="2075C505" w14:textId="0A34492A" w:rsidR="00391B29" w:rsidRDefault="00391B29" w:rsidP="002A6B97">
            <w:pPr>
              <w:pStyle w:val="051Tabletext22"/>
              <w:jc w:val="center"/>
            </w:pPr>
            <w:r>
              <w:t>18.71%</w:t>
            </w:r>
            <w:r w:rsidR="00292580" w:rsidRPr="00913947">
              <w:rPr>
                <w:vertAlign w:val="superscript"/>
              </w:rPr>
              <w:t>a</w:t>
            </w:r>
          </w:p>
        </w:tc>
        <w:tc>
          <w:tcPr>
            <w:tcW w:w="1559" w:type="dxa"/>
            <w:tcMar>
              <w:left w:w="28" w:type="dxa"/>
              <w:right w:w="28" w:type="dxa"/>
            </w:tcMar>
            <w:vAlign w:val="center"/>
          </w:tcPr>
          <w:p w14:paraId="611410A7" w14:textId="77777777" w:rsidR="00391B29" w:rsidRDefault="00391B29" w:rsidP="002A6B97">
            <w:pPr>
              <w:pStyle w:val="051Tabletext22"/>
              <w:jc w:val="center"/>
            </w:pPr>
            <w:r>
              <w:t>$196.49</w:t>
            </w:r>
          </w:p>
        </w:tc>
        <w:tc>
          <w:tcPr>
            <w:tcW w:w="1418" w:type="dxa"/>
            <w:tcMar>
              <w:left w:w="28" w:type="dxa"/>
              <w:right w:w="28" w:type="dxa"/>
            </w:tcMar>
            <w:vAlign w:val="center"/>
          </w:tcPr>
          <w:p w14:paraId="59CFCD94" w14:textId="77777777" w:rsidR="00391B29" w:rsidRDefault="00391B29" w:rsidP="002A6B97">
            <w:pPr>
              <w:pStyle w:val="051Tabletext22"/>
              <w:jc w:val="center"/>
            </w:pPr>
            <w:r>
              <w:t>0%</w:t>
            </w:r>
          </w:p>
        </w:tc>
        <w:tc>
          <w:tcPr>
            <w:tcW w:w="1371" w:type="dxa"/>
            <w:tcMar>
              <w:left w:w="28" w:type="dxa"/>
              <w:right w:w="28" w:type="dxa"/>
            </w:tcMar>
            <w:vAlign w:val="center"/>
          </w:tcPr>
          <w:p w14:paraId="140E8AB9" w14:textId="77777777" w:rsidR="00391B29" w:rsidRDefault="00391B29" w:rsidP="002A6B97">
            <w:pPr>
              <w:pStyle w:val="051Tabletext22"/>
              <w:jc w:val="center"/>
            </w:pPr>
            <w:r>
              <w:t>$0</w:t>
            </w:r>
          </w:p>
        </w:tc>
        <w:tc>
          <w:tcPr>
            <w:tcW w:w="987" w:type="dxa"/>
            <w:tcMar>
              <w:left w:w="28" w:type="dxa"/>
              <w:right w:w="28" w:type="dxa"/>
            </w:tcMar>
            <w:vAlign w:val="center"/>
          </w:tcPr>
          <w:p w14:paraId="0CEC9A86" w14:textId="77777777" w:rsidR="00391B29" w:rsidRDefault="00391B29" w:rsidP="002A6B97">
            <w:pPr>
              <w:pStyle w:val="051Tabletext22"/>
              <w:jc w:val="center"/>
            </w:pPr>
            <w:r>
              <w:t>$196.49</w:t>
            </w:r>
          </w:p>
        </w:tc>
      </w:tr>
      <w:tr w:rsidR="00714F5F" w:rsidRPr="00CE28E3" w14:paraId="02C28983" w14:textId="77777777">
        <w:trPr>
          <w:cantSplit/>
          <w:trHeight w:val="413"/>
        </w:trPr>
        <w:tc>
          <w:tcPr>
            <w:tcW w:w="1271" w:type="dxa"/>
            <w:tcMar>
              <w:left w:w="28" w:type="dxa"/>
              <w:right w:w="28" w:type="dxa"/>
            </w:tcMar>
            <w:vAlign w:val="center"/>
          </w:tcPr>
          <w:p w14:paraId="0FEE2201" w14:textId="77777777" w:rsidR="00391B29" w:rsidRPr="00CE28E3" w:rsidRDefault="00391B29">
            <w:pPr>
              <w:pStyle w:val="051Tabletext22"/>
            </w:pPr>
            <w:r>
              <w:t>PEX</w:t>
            </w:r>
          </w:p>
        </w:tc>
        <w:tc>
          <w:tcPr>
            <w:tcW w:w="851" w:type="dxa"/>
            <w:tcMar>
              <w:left w:w="28" w:type="dxa"/>
              <w:right w:w="28" w:type="dxa"/>
            </w:tcMar>
            <w:vAlign w:val="center"/>
          </w:tcPr>
          <w:p w14:paraId="3D9B3D21" w14:textId="2EF981E8" w:rsidR="00391B29" w:rsidRDefault="00391B29" w:rsidP="002A6B97">
            <w:pPr>
              <w:pStyle w:val="051Tabletext22"/>
              <w:jc w:val="center"/>
            </w:pPr>
            <w:r>
              <w:t>$2,440.65</w:t>
            </w:r>
            <w:r w:rsidR="009B518D" w:rsidRPr="00913947">
              <w:rPr>
                <w:vertAlign w:val="superscript"/>
              </w:rPr>
              <w:t>b</w:t>
            </w:r>
            <w:r>
              <w:br/>
              <w:t>per day</w:t>
            </w:r>
          </w:p>
        </w:tc>
        <w:tc>
          <w:tcPr>
            <w:tcW w:w="1559" w:type="dxa"/>
            <w:tcMar>
              <w:left w:w="28" w:type="dxa"/>
              <w:right w:w="28" w:type="dxa"/>
            </w:tcMar>
            <w:vAlign w:val="center"/>
          </w:tcPr>
          <w:p w14:paraId="078500BF" w14:textId="372FAAFD" w:rsidR="00391B29" w:rsidRDefault="00391B29" w:rsidP="002A6B97">
            <w:pPr>
              <w:pStyle w:val="051Tabletext22"/>
              <w:jc w:val="center"/>
            </w:pPr>
            <w:r>
              <w:t>18.71% x 3 days</w:t>
            </w:r>
            <w:r w:rsidR="009D5E11" w:rsidRPr="00913947">
              <w:rPr>
                <w:vertAlign w:val="superscript"/>
              </w:rPr>
              <w:t>c</w:t>
            </w:r>
          </w:p>
          <w:p w14:paraId="147A4621" w14:textId="77777777" w:rsidR="00391B29" w:rsidRDefault="00391B29" w:rsidP="002A6B97">
            <w:pPr>
              <w:pStyle w:val="051Tabletext22"/>
              <w:jc w:val="center"/>
            </w:pPr>
            <w:r>
              <w:t>81.29% x 1 day</w:t>
            </w:r>
          </w:p>
        </w:tc>
        <w:tc>
          <w:tcPr>
            <w:tcW w:w="1559" w:type="dxa"/>
            <w:tcMar>
              <w:left w:w="28" w:type="dxa"/>
              <w:right w:w="28" w:type="dxa"/>
            </w:tcMar>
            <w:vAlign w:val="center"/>
          </w:tcPr>
          <w:p w14:paraId="31E10FF2" w14:textId="77777777" w:rsidR="00391B29" w:rsidRPr="00CE28E3" w:rsidRDefault="00391B29" w:rsidP="002A6B97">
            <w:pPr>
              <w:pStyle w:val="051Tabletext22"/>
              <w:jc w:val="center"/>
            </w:pPr>
            <w:r>
              <w:t>$3,354.08</w:t>
            </w:r>
          </w:p>
        </w:tc>
        <w:tc>
          <w:tcPr>
            <w:tcW w:w="1418" w:type="dxa"/>
            <w:tcMar>
              <w:left w:w="28" w:type="dxa"/>
              <w:right w:w="28" w:type="dxa"/>
            </w:tcMar>
            <w:vAlign w:val="center"/>
          </w:tcPr>
          <w:p w14:paraId="222D73FC" w14:textId="6FD34B33" w:rsidR="00391B29" w:rsidRDefault="00391B29" w:rsidP="002A6B97">
            <w:pPr>
              <w:pStyle w:val="051Tabletext22"/>
              <w:jc w:val="center"/>
            </w:pPr>
            <w:r>
              <w:t>100% x 3 days</w:t>
            </w:r>
            <w:r w:rsidR="00657F21" w:rsidRPr="00913947">
              <w:rPr>
                <w:vertAlign w:val="superscript"/>
              </w:rPr>
              <w:t>c</w:t>
            </w:r>
          </w:p>
        </w:tc>
        <w:tc>
          <w:tcPr>
            <w:tcW w:w="1371" w:type="dxa"/>
            <w:tcMar>
              <w:left w:w="28" w:type="dxa"/>
              <w:right w:w="28" w:type="dxa"/>
            </w:tcMar>
            <w:vAlign w:val="center"/>
          </w:tcPr>
          <w:p w14:paraId="44C73F72" w14:textId="77777777" w:rsidR="00391B29" w:rsidRPr="00CE28E3" w:rsidRDefault="00391B29" w:rsidP="002A6B97">
            <w:pPr>
              <w:pStyle w:val="051Tabletext22"/>
              <w:jc w:val="center"/>
            </w:pPr>
            <w:r>
              <w:t>$7,321.95</w:t>
            </w:r>
          </w:p>
        </w:tc>
        <w:tc>
          <w:tcPr>
            <w:tcW w:w="987" w:type="dxa"/>
            <w:tcMar>
              <w:left w:w="28" w:type="dxa"/>
              <w:right w:w="28" w:type="dxa"/>
            </w:tcMar>
            <w:vAlign w:val="center"/>
          </w:tcPr>
          <w:p w14:paraId="2AD9DB65" w14:textId="77777777" w:rsidR="00391B29" w:rsidRPr="008D1840" w:rsidRDefault="0035722D" w:rsidP="002A6B97">
            <w:pPr>
              <w:pStyle w:val="051Tabletext22"/>
              <w:jc w:val="center"/>
            </w:pPr>
            <m:oMath>
              <m:r>
                <w:rPr>
                  <w:rFonts w:ascii="Cambria Math" w:hAnsi="Cambria Math"/>
                </w:rPr>
                <m:t>-</m:t>
              </m:r>
            </m:oMath>
            <w:r w:rsidR="00391B29" w:rsidRPr="008D1840">
              <w:t>$3,967.87</w:t>
            </w:r>
          </w:p>
        </w:tc>
      </w:tr>
      <w:tr w:rsidR="00714F5F" w:rsidRPr="00CE28E3" w14:paraId="41E9F17D" w14:textId="77777777">
        <w:trPr>
          <w:cantSplit/>
          <w:trHeight w:val="413"/>
        </w:trPr>
        <w:tc>
          <w:tcPr>
            <w:tcW w:w="1271" w:type="dxa"/>
            <w:tcMar>
              <w:left w:w="28" w:type="dxa"/>
              <w:right w:w="28" w:type="dxa"/>
            </w:tcMar>
            <w:vAlign w:val="center"/>
          </w:tcPr>
          <w:p w14:paraId="7C221591" w14:textId="77777777" w:rsidR="00391B29" w:rsidRDefault="00391B29">
            <w:pPr>
              <w:pStyle w:val="051Tabletext22"/>
            </w:pPr>
            <w:r>
              <w:t>Additional testing in false negatives</w:t>
            </w:r>
          </w:p>
        </w:tc>
        <w:tc>
          <w:tcPr>
            <w:tcW w:w="851" w:type="dxa"/>
            <w:tcMar>
              <w:left w:w="28" w:type="dxa"/>
              <w:right w:w="28" w:type="dxa"/>
            </w:tcMar>
            <w:vAlign w:val="center"/>
          </w:tcPr>
          <w:p w14:paraId="42A2579C" w14:textId="577173D8" w:rsidR="00391B29" w:rsidRDefault="00391B29" w:rsidP="002A6B97">
            <w:pPr>
              <w:pStyle w:val="051Tabletext22"/>
              <w:jc w:val="center"/>
            </w:pPr>
            <w:r>
              <w:t>$1,900</w:t>
            </w:r>
            <w:r w:rsidR="00275CA0" w:rsidRPr="00913947">
              <w:rPr>
                <w:vertAlign w:val="superscript"/>
              </w:rPr>
              <w:t>d</w:t>
            </w:r>
          </w:p>
        </w:tc>
        <w:tc>
          <w:tcPr>
            <w:tcW w:w="1559" w:type="dxa"/>
            <w:tcMar>
              <w:left w:w="28" w:type="dxa"/>
              <w:right w:w="28" w:type="dxa"/>
            </w:tcMar>
            <w:vAlign w:val="center"/>
          </w:tcPr>
          <w:p w14:paraId="6907D6DC" w14:textId="77777777" w:rsidR="00391B29" w:rsidRDefault="00391B29" w:rsidP="002A6B97">
            <w:pPr>
              <w:pStyle w:val="051Tabletext22"/>
              <w:jc w:val="center"/>
            </w:pPr>
            <w:r>
              <w:t>0%</w:t>
            </w:r>
          </w:p>
        </w:tc>
        <w:tc>
          <w:tcPr>
            <w:tcW w:w="1559" w:type="dxa"/>
            <w:tcMar>
              <w:left w:w="28" w:type="dxa"/>
              <w:right w:w="28" w:type="dxa"/>
            </w:tcMar>
            <w:vAlign w:val="center"/>
          </w:tcPr>
          <w:p w14:paraId="6CCA91EE" w14:textId="5F97D636" w:rsidR="00391B29" w:rsidRPr="00CE28E3" w:rsidRDefault="00391B29" w:rsidP="002A6B97">
            <w:pPr>
              <w:pStyle w:val="051Tabletext22"/>
              <w:jc w:val="center"/>
            </w:pPr>
            <w:r>
              <w:t>$0</w:t>
            </w:r>
            <w:r w:rsidR="00E21085">
              <w:rPr>
                <w:vertAlign w:val="superscript"/>
              </w:rPr>
              <w:t>e</w:t>
            </w:r>
          </w:p>
        </w:tc>
        <w:tc>
          <w:tcPr>
            <w:tcW w:w="1418" w:type="dxa"/>
            <w:tcMar>
              <w:left w:w="28" w:type="dxa"/>
              <w:right w:w="28" w:type="dxa"/>
            </w:tcMar>
            <w:vAlign w:val="center"/>
          </w:tcPr>
          <w:p w14:paraId="324D59C3" w14:textId="77777777" w:rsidR="00391B29" w:rsidRDefault="00391B29" w:rsidP="002A6B97">
            <w:pPr>
              <w:pStyle w:val="051Tabletext22"/>
              <w:jc w:val="center"/>
            </w:pPr>
            <w:r>
              <w:t>0%</w:t>
            </w:r>
          </w:p>
        </w:tc>
        <w:tc>
          <w:tcPr>
            <w:tcW w:w="1371" w:type="dxa"/>
            <w:tcMar>
              <w:left w:w="28" w:type="dxa"/>
              <w:right w:w="28" w:type="dxa"/>
            </w:tcMar>
            <w:vAlign w:val="center"/>
          </w:tcPr>
          <w:p w14:paraId="5C7962E2" w14:textId="77777777" w:rsidR="00391B29" w:rsidRDefault="00391B29" w:rsidP="002A6B97">
            <w:pPr>
              <w:pStyle w:val="051Tabletext22"/>
              <w:jc w:val="center"/>
            </w:pPr>
            <w:r>
              <w:t>$0</w:t>
            </w:r>
          </w:p>
        </w:tc>
        <w:tc>
          <w:tcPr>
            <w:tcW w:w="987" w:type="dxa"/>
            <w:tcMar>
              <w:left w:w="28" w:type="dxa"/>
              <w:right w:w="28" w:type="dxa"/>
            </w:tcMar>
            <w:vAlign w:val="center"/>
          </w:tcPr>
          <w:p w14:paraId="37D35829" w14:textId="77777777" w:rsidR="00391B29" w:rsidRPr="008D1840" w:rsidRDefault="00391B29" w:rsidP="002A6B97">
            <w:pPr>
              <w:pStyle w:val="051Tabletext22"/>
              <w:jc w:val="center"/>
            </w:pPr>
            <w:r w:rsidRPr="008D1840">
              <w:t>$0</w:t>
            </w:r>
          </w:p>
        </w:tc>
      </w:tr>
      <w:tr w:rsidR="00714F5F" w:rsidRPr="00E75D1A" w14:paraId="3994698D" w14:textId="77777777">
        <w:trPr>
          <w:cantSplit/>
          <w:trHeight w:val="413"/>
        </w:trPr>
        <w:tc>
          <w:tcPr>
            <w:tcW w:w="1271" w:type="dxa"/>
            <w:tcMar>
              <w:left w:w="28" w:type="dxa"/>
              <w:right w:w="28" w:type="dxa"/>
            </w:tcMar>
            <w:vAlign w:val="center"/>
          </w:tcPr>
          <w:p w14:paraId="46E22505" w14:textId="77777777" w:rsidR="00391B29" w:rsidRPr="00E75D1A" w:rsidRDefault="00391B29">
            <w:pPr>
              <w:pStyle w:val="051Tabletext22"/>
              <w:rPr>
                <w:b/>
                <w:bCs/>
              </w:rPr>
            </w:pPr>
            <w:r w:rsidRPr="00E75D1A">
              <w:rPr>
                <w:b/>
                <w:bCs/>
              </w:rPr>
              <w:t>Total costs</w:t>
            </w:r>
          </w:p>
        </w:tc>
        <w:tc>
          <w:tcPr>
            <w:tcW w:w="851" w:type="dxa"/>
            <w:tcMar>
              <w:left w:w="28" w:type="dxa"/>
              <w:right w:w="28" w:type="dxa"/>
            </w:tcMar>
            <w:vAlign w:val="center"/>
          </w:tcPr>
          <w:p w14:paraId="6CB31E22" w14:textId="77777777" w:rsidR="00391B29" w:rsidRPr="00E75D1A" w:rsidRDefault="00391B29" w:rsidP="002A6B97">
            <w:pPr>
              <w:pStyle w:val="051Tabletext22"/>
              <w:jc w:val="center"/>
              <w:rPr>
                <w:b/>
                <w:bCs/>
              </w:rPr>
            </w:pPr>
            <w:r>
              <w:rPr>
                <w:b/>
                <w:bCs/>
              </w:rPr>
              <w:t>-</w:t>
            </w:r>
          </w:p>
        </w:tc>
        <w:tc>
          <w:tcPr>
            <w:tcW w:w="1559" w:type="dxa"/>
            <w:tcMar>
              <w:left w:w="28" w:type="dxa"/>
              <w:right w:w="28" w:type="dxa"/>
            </w:tcMar>
            <w:vAlign w:val="center"/>
          </w:tcPr>
          <w:p w14:paraId="2E97FF14" w14:textId="77777777" w:rsidR="00391B29" w:rsidRPr="00E75D1A" w:rsidRDefault="00391B29" w:rsidP="002A6B97">
            <w:pPr>
              <w:pStyle w:val="051Tabletext22"/>
              <w:jc w:val="center"/>
              <w:rPr>
                <w:b/>
                <w:bCs/>
              </w:rPr>
            </w:pPr>
            <w:r>
              <w:rPr>
                <w:b/>
                <w:bCs/>
              </w:rPr>
              <w:t>-</w:t>
            </w:r>
          </w:p>
        </w:tc>
        <w:tc>
          <w:tcPr>
            <w:tcW w:w="1559" w:type="dxa"/>
            <w:tcMar>
              <w:left w:w="28" w:type="dxa"/>
              <w:right w:w="28" w:type="dxa"/>
            </w:tcMar>
            <w:vAlign w:val="center"/>
          </w:tcPr>
          <w:p w14:paraId="18217E81" w14:textId="77777777" w:rsidR="00391B29" w:rsidRPr="00E75D1A" w:rsidRDefault="00391B29" w:rsidP="002A6B97">
            <w:pPr>
              <w:pStyle w:val="051Tabletext22"/>
              <w:jc w:val="center"/>
              <w:rPr>
                <w:b/>
                <w:bCs/>
              </w:rPr>
            </w:pPr>
            <w:r w:rsidRPr="00E75D1A">
              <w:rPr>
                <w:b/>
                <w:bCs/>
              </w:rPr>
              <w:t>$4,</w:t>
            </w:r>
            <w:r>
              <w:rPr>
                <w:b/>
                <w:bCs/>
              </w:rPr>
              <w:t>250.57</w:t>
            </w:r>
          </w:p>
        </w:tc>
        <w:tc>
          <w:tcPr>
            <w:tcW w:w="1418" w:type="dxa"/>
            <w:tcMar>
              <w:left w:w="28" w:type="dxa"/>
              <w:right w:w="28" w:type="dxa"/>
            </w:tcMar>
            <w:vAlign w:val="center"/>
          </w:tcPr>
          <w:p w14:paraId="57FEE557" w14:textId="77777777" w:rsidR="00391B29" w:rsidRPr="00E75D1A" w:rsidRDefault="00391B29" w:rsidP="002A6B97">
            <w:pPr>
              <w:pStyle w:val="051Tabletext22"/>
              <w:jc w:val="center"/>
              <w:rPr>
                <w:b/>
                <w:bCs/>
              </w:rPr>
            </w:pPr>
            <w:r>
              <w:rPr>
                <w:b/>
                <w:bCs/>
              </w:rPr>
              <w:t>-</w:t>
            </w:r>
          </w:p>
        </w:tc>
        <w:tc>
          <w:tcPr>
            <w:tcW w:w="1371" w:type="dxa"/>
            <w:tcMar>
              <w:left w:w="28" w:type="dxa"/>
              <w:right w:w="28" w:type="dxa"/>
            </w:tcMar>
            <w:vAlign w:val="center"/>
          </w:tcPr>
          <w:p w14:paraId="68B12992" w14:textId="77777777" w:rsidR="00391B29" w:rsidRPr="00E75D1A" w:rsidRDefault="00391B29" w:rsidP="002A6B97">
            <w:pPr>
              <w:pStyle w:val="051Tabletext22"/>
              <w:jc w:val="center"/>
              <w:rPr>
                <w:b/>
                <w:bCs/>
              </w:rPr>
            </w:pPr>
            <w:r w:rsidRPr="00E75D1A">
              <w:rPr>
                <w:b/>
                <w:bCs/>
              </w:rPr>
              <w:t>$7,321.95</w:t>
            </w:r>
          </w:p>
        </w:tc>
        <w:tc>
          <w:tcPr>
            <w:tcW w:w="987" w:type="dxa"/>
            <w:tcMar>
              <w:left w:w="28" w:type="dxa"/>
              <w:right w:w="28" w:type="dxa"/>
            </w:tcMar>
            <w:vAlign w:val="center"/>
          </w:tcPr>
          <w:p w14:paraId="6F94C69D" w14:textId="77777777" w:rsidR="00391B29" w:rsidRPr="008D1840" w:rsidRDefault="0035722D" w:rsidP="002A6B97">
            <w:pPr>
              <w:pStyle w:val="051Tabletext22"/>
              <w:jc w:val="center"/>
              <w:rPr>
                <w:b/>
                <w:bCs/>
              </w:rPr>
            </w:pPr>
            <m:oMath>
              <m:r>
                <m:rPr>
                  <m:sty m:val="bi"/>
                </m:rPr>
                <w:rPr>
                  <w:rFonts w:ascii="Cambria Math" w:hAnsi="Cambria Math"/>
                </w:rPr>
                <m:t>-</m:t>
              </m:r>
            </m:oMath>
            <w:r w:rsidR="00391B29" w:rsidRPr="008D1840">
              <w:rPr>
                <w:b/>
                <w:bCs/>
              </w:rPr>
              <w:t>$3,071.38</w:t>
            </w:r>
          </w:p>
        </w:tc>
      </w:tr>
    </w:tbl>
    <w:p w14:paraId="0DA20B16" w14:textId="42EF666C" w:rsidR="00391B29" w:rsidRDefault="00391B29" w:rsidP="00391B29">
      <w:pPr>
        <w:pStyle w:val="101Tablefootnotes"/>
      </w:pPr>
      <w:r w:rsidRPr="00236AD3">
        <w:t>PEX = plasma exchange</w:t>
      </w:r>
      <w:r>
        <w:t xml:space="preserve"> therapy</w:t>
      </w:r>
      <w:r w:rsidR="00B654F6">
        <w:t>; PPV = positive predictive value</w:t>
      </w:r>
      <w:r>
        <w:t xml:space="preserve">. </w:t>
      </w:r>
    </w:p>
    <w:p w14:paraId="59E390C2" w14:textId="5E3F127A" w:rsidR="00292580" w:rsidRDefault="009B518D" w:rsidP="00913947">
      <w:pPr>
        <w:pStyle w:val="101Tablefootnotes"/>
      </w:pPr>
      <w:r w:rsidRPr="009B518D">
        <w:rPr>
          <w:lang w:val="en-US"/>
        </w:rPr>
        <w:t>a.</w:t>
      </w:r>
      <w:r>
        <w:t xml:space="preserve"> </w:t>
      </w:r>
      <w:r w:rsidR="00B654F6">
        <w:t>PPV derived from sensitivity, specificity and prevalence reported in Dimopoulous et al. (2022)</w:t>
      </w:r>
      <w:r>
        <w:t>.</w:t>
      </w:r>
    </w:p>
    <w:p w14:paraId="68B9F382" w14:textId="62773D4B" w:rsidR="009B518D" w:rsidRDefault="009B518D" w:rsidP="009D5E11">
      <w:pPr>
        <w:pStyle w:val="101Tablefootnotes"/>
        <w:rPr>
          <w:lang w:val="en-US"/>
        </w:rPr>
      </w:pPr>
      <w:r>
        <w:rPr>
          <w:lang w:val="en-US"/>
        </w:rPr>
        <w:t xml:space="preserve">b. </w:t>
      </w:r>
      <w:r w:rsidR="009D5E11">
        <w:rPr>
          <w:lang w:val="en-US"/>
        </w:rPr>
        <w:t>D</w:t>
      </w:r>
      <w:r w:rsidR="009D5E11" w:rsidRPr="009D5E11">
        <w:rPr>
          <w:lang w:val="en-US"/>
        </w:rPr>
        <w:t>erived from the cost weight for AR-DRG I66A - Inflammatory Musculoskeletal Disorders, Major Complexity (which covers ICD-10 code M31.1, under which patients with TTP are classified) divided by average length of stay of patients hospitalised under this AR-DRG.</w:t>
      </w:r>
    </w:p>
    <w:p w14:paraId="1B926541" w14:textId="732F507F" w:rsidR="00342A9C" w:rsidRDefault="00342A9C" w:rsidP="009D5E11">
      <w:pPr>
        <w:pStyle w:val="101Tablefootnotes"/>
        <w:rPr>
          <w:lang w:val="en-US"/>
        </w:rPr>
      </w:pPr>
      <w:r>
        <w:rPr>
          <w:lang w:val="en-US"/>
        </w:rPr>
        <w:t xml:space="preserve">c. </w:t>
      </w:r>
      <w:r w:rsidR="005149B3">
        <w:rPr>
          <w:lang w:val="en-US"/>
        </w:rPr>
        <w:t>Assumption that in the absence of rapid testing, a diagnosis of TTP would be confirmed or excluded after 3 days of empiric PEX based on White et al. (2022).</w:t>
      </w:r>
    </w:p>
    <w:p w14:paraId="213E0F6B" w14:textId="32B1616A" w:rsidR="00275CA0" w:rsidRPr="00913947" w:rsidRDefault="00275CA0" w:rsidP="00913947">
      <w:pPr>
        <w:pStyle w:val="101Tablefootnotes"/>
        <w:rPr>
          <w:lang w:val="en-US"/>
        </w:rPr>
      </w:pPr>
      <w:r>
        <w:rPr>
          <w:lang w:val="en-US"/>
        </w:rPr>
        <w:t xml:space="preserve">d. </w:t>
      </w:r>
      <w:r w:rsidR="00612AB8">
        <w:rPr>
          <w:lang w:val="en-US"/>
        </w:rPr>
        <w:t xml:space="preserve">$700 for a repeat rapid ADAMTS13 activity test plus $1,200 for </w:t>
      </w:r>
      <w:r w:rsidR="00E21085">
        <w:rPr>
          <w:lang w:val="en-US"/>
        </w:rPr>
        <w:t>ADAMTS13 activity testing with a reference assay (ELISA).</w:t>
      </w:r>
    </w:p>
    <w:p w14:paraId="52DF68B1" w14:textId="7D2C04B2" w:rsidR="00AD718B" w:rsidRDefault="00E21085" w:rsidP="00391B29">
      <w:pPr>
        <w:pStyle w:val="111Tablefootnoteslast-nostick"/>
      </w:pPr>
      <w:r>
        <w:t xml:space="preserve">e. </w:t>
      </w:r>
      <w:r w:rsidR="00391B29" w:rsidRPr="002D1DF3">
        <w:t xml:space="preserve">Although </w:t>
      </w:r>
      <w:r w:rsidR="00391B29">
        <w:t xml:space="preserve">costs of </w:t>
      </w:r>
      <w:r w:rsidR="00391B29" w:rsidRPr="002D1DF3">
        <w:t>$1</w:t>
      </w:r>
      <w:r w:rsidR="00391B29">
        <w:t>,</w:t>
      </w:r>
      <w:r w:rsidR="00391B29" w:rsidRPr="002D1DF3">
        <w:t xml:space="preserve">900 </w:t>
      </w:r>
      <w:r w:rsidR="00AD0E3E">
        <w:t>(retesting with both rapid and standard ADAMTS13 activity tests)</w:t>
      </w:r>
      <w:r w:rsidR="004D1DD9">
        <w:t xml:space="preserve"> </w:t>
      </w:r>
      <w:r w:rsidR="00391B29" w:rsidRPr="002D1DF3">
        <w:t>would apply to</w:t>
      </w:r>
      <w:r w:rsidR="00391B29">
        <w:t xml:space="preserve"> the proportion of patients found to have</w:t>
      </w:r>
      <w:r w:rsidR="00391B29" w:rsidRPr="002D1DF3">
        <w:t xml:space="preserve"> false</w:t>
      </w:r>
      <w:r w:rsidR="00391B29">
        <w:t>-</w:t>
      </w:r>
      <w:r w:rsidR="00391B29" w:rsidRPr="002D1DF3">
        <w:t>negative</w:t>
      </w:r>
      <w:r w:rsidR="00391B29">
        <w:t xml:space="preserve"> test results</w:t>
      </w:r>
      <w:r w:rsidR="00391B29" w:rsidRPr="002D1DF3">
        <w:t>, there are no false negatives</w:t>
      </w:r>
      <w:r w:rsidR="00391B29">
        <w:t>,</w:t>
      </w:r>
      <w:r w:rsidR="00391B29" w:rsidRPr="002D1DF3">
        <w:t xml:space="preserve"> </w:t>
      </w:r>
      <w:r w:rsidR="00391B29">
        <w:t>given</w:t>
      </w:r>
      <w:r w:rsidR="00391B29" w:rsidRPr="002D1DF3">
        <w:t xml:space="preserve"> sensitivity is </w:t>
      </w:r>
      <w:r w:rsidR="00391B29">
        <w:t>reported</w:t>
      </w:r>
      <w:r w:rsidR="00391B29" w:rsidRPr="002D1DF3">
        <w:t xml:space="preserve"> to be 100%</w:t>
      </w:r>
      <w:r w:rsidR="00391B29">
        <w:t>.</w:t>
      </w:r>
    </w:p>
    <w:p w14:paraId="75E1D50F" w14:textId="3AA2DD33" w:rsidR="00E66152" w:rsidRPr="00CE28E3" w:rsidRDefault="00E66152" w:rsidP="000F4316">
      <w:pPr>
        <w:pStyle w:val="Caption"/>
        <w:keepLines/>
      </w:pPr>
      <w:r>
        <w:lastRenderedPageBreak/>
        <w:t>Table </w:t>
      </w:r>
      <w:r>
        <w:fldChar w:fldCharType="begin"/>
      </w:r>
      <w:r>
        <w:instrText>SEQ Table \* ARABIC</w:instrText>
      </w:r>
      <w:r>
        <w:fldChar w:fldCharType="separate"/>
      </w:r>
      <w:r w:rsidR="00716875">
        <w:rPr>
          <w:noProof/>
        </w:rPr>
        <w:t>15</w:t>
      </w:r>
      <w:r>
        <w:fldChar w:fldCharType="end"/>
      </w:r>
      <w:r w:rsidRPr="00CE28E3">
        <w:tab/>
      </w:r>
      <w:r>
        <w:t>Revise h</w:t>
      </w:r>
      <w:r w:rsidRPr="00CE28E3">
        <w:t xml:space="preserve">ealth care resource items: disaggregated summary of cost impacts in </w:t>
      </w:r>
      <w:r>
        <w:t>the</w:t>
      </w:r>
      <w:r w:rsidRPr="00CE28E3">
        <w:t xml:space="preserve"> economic evaluation</w:t>
      </w:r>
      <w:r>
        <w:t xml:space="preserve"> – using MSAC supported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ealth care resource items: disaggregated summary of cost impacts in Step 1 of the economic evaluation"/>
        <w:tblDescription w:val="Costs shown for Rapid assay of ADAMTS13 activity; Anti-ADAMTS13 autoantibody testing; PEX; Additional testing in false negatives&#10;"/>
      </w:tblPr>
      <w:tblGrid>
        <w:gridCol w:w="1271"/>
        <w:gridCol w:w="851"/>
        <w:gridCol w:w="1559"/>
        <w:gridCol w:w="1559"/>
        <w:gridCol w:w="1418"/>
        <w:gridCol w:w="1371"/>
        <w:gridCol w:w="987"/>
      </w:tblGrid>
      <w:tr w:rsidR="00E66152" w:rsidRPr="00CE28E3" w14:paraId="314713E2" w14:textId="77777777">
        <w:trPr>
          <w:cantSplit/>
          <w:tblHeader/>
        </w:trPr>
        <w:tc>
          <w:tcPr>
            <w:tcW w:w="1271" w:type="dxa"/>
            <w:tcMar>
              <w:left w:w="28" w:type="dxa"/>
              <w:right w:w="28" w:type="dxa"/>
            </w:tcMar>
            <w:vAlign w:val="center"/>
          </w:tcPr>
          <w:p w14:paraId="73B7A824" w14:textId="77777777" w:rsidR="00E66152" w:rsidRPr="00CE28E3" w:rsidRDefault="00E66152" w:rsidP="000F4316">
            <w:pPr>
              <w:pStyle w:val="011TableHeading"/>
              <w:keepLines/>
            </w:pPr>
            <w:r w:rsidRPr="00CE28E3">
              <w:t>Type of resource item</w:t>
            </w:r>
          </w:p>
        </w:tc>
        <w:tc>
          <w:tcPr>
            <w:tcW w:w="851" w:type="dxa"/>
            <w:tcMar>
              <w:left w:w="28" w:type="dxa"/>
              <w:right w:w="28" w:type="dxa"/>
            </w:tcMar>
            <w:vAlign w:val="center"/>
          </w:tcPr>
          <w:p w14:paraId="67BA6B7B" w14:textId="77777777" w:rsidR="00E66152" w:rsidRDefault="00E66152" w:rsidP="000F4316">
            <w:pPr>
              <w:pStyle w:val="011TableHeading"/>
              <w:keepLines/>
              <w:jc w:val="center"/>
            </w:pPr>
            <w:r>
              <w:t>Unit cost</w:t>
            </w:r>
          </w:p>
        </w:tc>
        <w:tc>
          <w:tcPr>
            <w:tcW w:w="1559" w:type="dxa"/>
            <w:tcMar>
              <w:left w:w="28" w:type="dxa"/>
              <w:right w:w="28" w:type="dxa"/>
            </w:tcMar>
            <w:vAlign w:val="center"/>
          </w:tcPr>
          <w:p w14:paraId="75BA3801" w14:textId="77777777" w:rsidR="00E66152" w:rsidRDefault="00E66152" w:rsidP="000F4316">
            <w:pPr>
              <w:pStyle w:val="011TableHeading"/>
              <w:keepLines/>
              <w:jc w:val="center"/>
            </w:pPr>
            <w:r>
              <w:t>Proportion in scenario where rapid ADAMTS activity testing is available</w:t>
            </w:r>
          </w:p>
        </w:tc>
        <w:tc>
          <w:tcPr>
            <w:tcW w:w="1559" w:type="dxa"/>
            <w:tcMar>
              <w:left w:w="28" w:type="dxa"/>
              <w:right w:w="28" w:type="dxa"/>
            </w:tcMar>
            <w:vAlign w:val="center"/>
          </w:tcPr>
          <w:p w14:paraId="040374E7" w14:textId="77777777" w:rsidR="00E66152" w:rsidRPr="00CE28E3" w:rsidRDefault="00E66152" w:rsidP="000F4316">
            <w:pPr>
              <w:pStyle w:val="011TableHeading"/>
              <w:keepLines/>
              <w:jc w:val="center"/>
            </w:pPr>
            <w:r>
              <w:t>Costs in scenario where rapid ADAMTS activity testing is available</w:t>
            </w:r>
          </w:p>
        </w:tc>
        <w:tc>
          <w:tcPr>
            <w:tcW w:w="1418" w:type="dxa"/>
            <w:tcMar>
              <w:left w:w="28" w:type="dxa"/>
              <w:right w:w="28" w:type="dxa"/>
            </w:tcMar>
            <w:vAlign w:val="center"/>
          </w:tcPr>
          <w:p w14:paraId="13A8832F" w14:textId="77777777" w:rsidR="00E66152" w:rsidRDefault="00E66152" w:rsidP="000F4316">
            <w:pPr>
              <w:pStyle w:val="011TableHeading"/>
              <w:keepLines/>
              <w:jc w:val="center"/>
            </w:pPr>
            <w:r>
              <w:t>Proportion in scenario where ADAMTS activity testing is not available</w:t>
            </w:r>
          </w:p>
        </w:tc>
        <w:tc>
          <w:tcPr>
            <w:tcW w:w="1371" w:type="dxa"/>
            <w:tcMar>
              <w:left w:w="28" w:type="dxa"/>
              <w:right w:w="28" w:type="dxa"/>
            </w:tcMar>
            <w:vAlign w:val="center"/>
          </w:tcPr>
          <w:p w14:paraId="42BD5D91" w14:textId="77777777" w:rsidR="00E66152" w:rsidRPr="00CE28E3" w:rsidRDefault="00E66152" w:rsidP="000F4316">
            <w:pPr>
              <w:pStyle w:val="011TableHeading"/>
              <w:keepLines/>
              <w:jc w:val="center"/>
            </w:pPr>
            <w:r>
              <w:t>Costs in scenario where ADAMTS activity testing is not available</w:t>
            </w:r>
          </w:p>
        </w:tc>
        <w:tc>
          <w:tcPr>
            <w:tcW w:w="987" w:type="dxa"/>
            <w:tcMar>
              <w:left w:w="28" w:type="dxa"/>
              <w:right w:w="28" w:type="dxa"/>
            </w:tcMar>
            <w:vAlign w:val="center"/>
          </w:tcPr>
          <w:p w14:paraId="75BB660E" w14:textId="77777777" w:rsidR="00E66152" w:rsidRPr="00CE28E3" w:rsidRDefault="00E66152" w:rsidP="000F4316">
            <w:pPr>
              <w:pStyle w:val="011TableHeading"/>
              <w:keepLines/>
              <w:jc w:val="center"/>
            </w:pPr>
            <w:r w:rsidRPr="00CE28E3">
              <w:t>Incremental cost</w:t>
            </w:r>
            <w:r>
              <w:t>s</w:t>
            </w:r>
          </w:p>
        </w:tc>
      </w:tr>
      <w:tr w:rsidR="00E66152" w:rsidRPr="00CE28E3" w14:paraId="6DB42C11" w14:textId="77777777">
        <w:trPr>
          <w:cantSplit/>
          <w:trHeight w:val="515"/>
        </w:trPr>
        <w:tc>
          <w:tcPr>
            <w:tcW w:w="1271" w:type="dxa"/>
            <w:tcMar>
              <w:left w:w="28" w:type="dxa"/>
              <w:right w:w="28" w:type="dxa"/>
            </w:tcMar>
            <w:vAlign w:val="center"/>
          </w:tcPr>
          <w:p w14:paraId="0ED2950E" w14:textId="77777777" w:rsidR="00E66152" w:rsidRPr="00CE28E3" w:rsidRDefault="00E66152" w:rsidP="000F4316">
            <w:pPr>
              <w:pStyle w:val="051Tabletext22"/>
              <w:keepNext/>
              <w:keepLines/>
            </w:pPr>
            <w:r>
              <w:t>Rapid assay of ADAMTS13 activity</w:t>
            </w:r>
          </w:p>
        </w:tc>
        <w:tc>
          <w:tcPr>
            <w:tcW w:w="851" w:type="dxa"/>
            <w:tcMar>
              <w:left w:w="28" w:type="dxa"/>
              <w:right w:w="28" w:type="dxa"/>
            </w:tcMar>
            <w:vAlign w:val="center"/>
          </w:tcPr>
          <w:p w14:paraId="3FACE64B" w14:textId="118A603D" w:rsidR="00E66152" w:rsidRDefault="00E66152" w:rsidP="000F4316">
            <w:pPr>
              <w:pStyle w:val="051Tabletext22"/>
              <w:keepNext/>
              <w:keepLines/>
              <w:jc w:val="center"/>
            </w:pPr>
            <w:r>
              <w:t>$0</w:t>
            </w:r>
          </w:p>
        </w:tc>
        <w:tc>
          <w:tcPr>
            <w:tcW w:w="1559" w:type="dxa"/>
            <w:tcMar>
              <w:left w:w="28" w:type="dxa"/>
              <w:right w:w="28" w:type="dxa"/>
            </w:tcMar>
            <w:vAlign w:val="center"/>
          </w:tcPr>
          <w:p w14:paraId="670BAB87" w14:textId="77777777" w:rsidR="00E66152" w:rsidRDefault="00E66152" w:rsidP="000F4316">
            <w:pPr>
              <w:pStyle w:val="051Tabletext22"/>
              <w:keepNext/>
              <w:keepLines/>
              <w:jc w:val="center"/>
            </w:pPr>
            <w:r>
              <w:t>100%</w:t>
            </w:r>
          </w:p>
        </w:tc>
        <w:tc>
          <w:tcPr>
            <w:tcW w:w="1559" w:type="dxa"/>
            <w:tcMar>
              <w:left w:w="28" w:type="dxa"/>
              <w:right w:w="28" w:type="dxa"/>
            </w:tcMar>
            <w:vAlign w:val="center"/>
          </w:tcPr>
          <w:p w14:paraId="45C0438B" w14:textId="35956BA9" w:rsidR="00E66152" w:rsidRPr="00CE28E3" w:rsidRDefault="00E66152" w:rsidP="000F4316">
            <w:pPr>
              <w:pStyle w:val="051Tabletext22"/>
              <w:keepNext/>
              <w:keepLines/>
              <w:jc w:val="center"/>
            </w:pPr>
            <w:r>
              <w:t>$0</w:t>
            </w:r>
          </w:p>
        </w:tc>
        <w:tc>
          <w:tcPr>
            <w:tcW w:w="1418" w:type="dxa"/>
            <w:tcMar>
              <w:left w:w="28" w:type="dxa"/>
              <w:right w:w="28" w:type="dxa"/>
            </w:tcMar>
            <w:vAlign w:val="center"/>
          </w:tcPr>
          <w:p w14:paraId="7BEBFBBE" w14:textId="77777777" w:rsidR="00E66152" w:rsidRDefault="00E66152" w:rsidP="000F4316">
            <w:pPr>
              <w:pStyle w:val="051Tabletext22"/>
              <w:keepNext/>
              <w:keepLines/>
              <w:jc w:val="center"/>
            </w:pPr>
            <w:r>
              <w:t>0%</w:t>
            </w:r>
          </w:p>
        </w:tc>
        <w:tc>
          <w:tcPr>
            <w:tcW w:w="1371" w:type="dxa"/>
            <w:tcMar>
              <w:left w:w="28" w:type="dxa"/>
              <w:right w:w="28" w:type="dxa"/>
            </w:tcMar>
            <w:vAlign w:val="center"/>
          </w:tcPr>
          <w:p w14:paraId="27259678" w14:textId="77777777" w:rsidR="00E66152" w:rsidRPr="00CE28E3" w:rsidRDefault="00E66152" w:rsidP="000F4316">
            <w:pPr>
              <w:pStyle w:val="051Tabletext22"/>
              <w:keepNext/>
              <w:keepLines/>
              <w:jc w:val="center"/>
            </w:pPr>
            <w:r>
              <w:t>$0</w:t>
            </w:r>
          </w:p>
        </w:tc>
        <w:tc>
          <w:tcPr>
            <w:tcW w:w="987" w:type="dxa"/>
            <w:tcMar>
              <w:left w:w="28" w:type="dxa"/>
              <w:right w:w="28" w:type="dxa"/>
            </w:tcMar>
            <w:vAlign w:val="center"/>
          </w:tcPr>
          <w:p w14:paraId="680A498A" w14:textId="51267336" w:rsidR="00E66152" w:rsidRPr="00CE28E3" w:rsidRDefault="00E66152" w:rsidP="000F4316">
            <w:pPr>
              <w:pStyle w:val="051Tabletext22"/>
              <w:keepNext/>
              <w:keepLines/>
              <w:jc w:val="center"/>
            </w:pPr>
            <w:r>
              <w:t>$400</w:t>
            </w:r>
          </w:p>
        </w:tc>
      </w:tr>
      <w:tr w:rsidR="00E66152" w:rsidRPr="00CE28E3" w14:paraId="7A774B46" w14:textId="77777777">
        <w:trPr>
          <w:cantSplit/>
          <w:trHeight w:val="515"/>
        </w:trPr>
        <w:tc>
          <w:tcPr>
            <w:tcW w:w="1271" w:type="dxa"/>
            <w:tcMar>
              <w:left w:w="28" w:type="dxa"/>
              <w:right w:w="28" w:type="dxa"/>
            </w:tcMar>
            <w:vAlign w:val="center"/>
          </w:tcPr>
          <w:p w14:paraId="340B6876" w14:textId="77777777" w:rsidR="00E66152" w:rsidRDefault="00E66152" w:rsidP="000F4316">
            <w:pPr>
              <w:pStyle w:val="051Tabletext22"/>
              <w:keepNext/>
              <w:keepLines/>
            </w:pPr>
            <w:r>
              <w:t>A</w:t>
            </w:r>
            <w:r w:rsidRPr="001427D0">
              <w:t>nti-ADAMTS13 autoantibody testing</w:t>
            </w:r>
          </w:p>
        </w:tc>
        <w:tc>
          <w:tcPr>
            <w:tcW w:w="851" w:type="dxa"/>
            <w:tcMar>
              <w:left w:w="28" w:type="dxa"/>
              <w:right w:w="28" w:type="dxa"/>
            </w:tcMar>
            <w:vAlign w:val="center"/>
          </w:tcPr>
          <w:p w14:paraId="34B33A14" w14:textId="77777777" w:rsidR="00E66152" w:rsidRDefault="00E66152" w:rsidP="000F4316">
            <w:pPr>
              <w:pStyle w:val="051Tabletext22"/>
              <w:keepNext/>
              <w:keepLines/>
              <w:jc w:val="center"/>
            </w:pPr>
            <w:r>
              <w:t>$1,050</w:t>
            </w:r>
          </w:p>
        </w:tc>
        <w:tc>
          <w:tcPr>
            <w:tcW w:w="1559" w:type="dxa"/>
            <w:tcMar>
              <w:left w:w="28" w:type="dxa"/>
              <w:right w:w="28" w:type="dxa"/>
            </w:tcMar>
            <w:vAlign w:val="center"/>
          </w:tcPr>
          <w:p w14:paraId="5AC7E87B" w14:textId="77777777" w:rsidR="00E66152" w:rsidRDefault="00E66152" w:rsidP="000F4316">
            <w:pPr>
              <w:pStyle w:val="051Tabletext22"/>
              <w:keepNext/>
              <w:keepLines/>
              <w:jc w:val="center"/>
            </w:pPr>
            <w:r>
              <w:t>18.71%</w:t>
            </w:r>
            <w:r w:rsidRPr="00913947">
              <w:rPr>
                <w:vertAlign w:val="superscript"/>
              </w:rPr>
              <w:t>a</w:t>
            </w:r>
          </w:p>
        </w:tc>
        <w:tc>
          <w:tcPr>
            <w:tcW w:w="1559" w:type="dxa"/>
            <w:tcMar>
              <w:left w:w="28" w:type="dxa"/>
              <w:right w:w="28" w:type="dxa"/>
            </w:tcMar>
            <w:vAlign w:val="center"/>
          </w:tcPr>
          <w:p w14:paraId="422EA102" w14:textId="77777777" w:rsidR="00E66152" w:rsidRDefault="00E66152" w:rsidP="000F4316">
            <w:pPr>
              <w:pStyle w:val="051Tabletext22"/>
              <w:keepNext/>
              <w:keepLines/>
              <w:jc w:val="center"/>
            </w:pPr>
            <w:r>
              <w:t>$196.49</w:t>
            </w:r>
          </w:p>
        </w:tc>
        <w:tc>
          <w:tcPr>
            <w:tcW w:w="1418" w:type="dxa"/>
            <w:tcMar>
              <w:left w:w="28" w:type="dxa"/>
              <w:right w:w="28" w:type="dxa"/>
            </w:tcMar>
            <w:vAlign w:val="center"/>
          </w:tcPr>
          <w:p w14:paraId="11E399E7" w14:textId="77777777" w:rsidR="00E66152" w:rsidRDefault="00E66152" w:rsidP="000F4316">
            <w:pPr>
              <w:pStyle w:val="051Tabletext22"/>
              <w:keepNext/>
              <w:keepLines/>
              <w:jc w:val="center"/>
            </w:pPr>
            <w:r>
              <w:t>0%</w:t>
            </w:r>
          </w:p>
        </w:tc>
        <w:tc>
          <w:tcPr>
            <w:tcW w:w="1371" w:type="dxa"/>
            <w:tcMar>
              <w:left w:w="28" w:type="dxa"/>
              <w:right w:w="28" w:type="dxa"/>
            </w:tcMar>
            <w:vAlign w:val="center"/>
          </w:tcPr>
          <w:p w14:paraId="6393F407" w14:textId="77777777" w:rsidR="00E66152" w:rsidRDefault="00E66152" w:rsidP="000F4316">
            <w:pPr>
              <w:pStyle w:val="051Tabletext22"/>
              <w:keepNext/>
              <w:keepLines/>
              <w:jc w:val="center"/>
            </w:pPr>
            <w:r>
              <w:t>$0</w:t>
            </w:r>
          </w:p>
        </w:tc>
        <w:tc>
          <w:tcPr>
            <w:tcW w:w="987" w:type="dxa"/>
            <w:tcMar>
              <w:left w:w="28" w:type="dxa"/>
              <w:right w:w="28" w:type="dxa"/>
            </w:tcMar>
            <w:vAlign w:val="center"/>
          </w:tcPr>
          <w:p w14:paraId="3E05AAD4" w14:textId="77777777" w:rsidR="00E66152" w:rsidRDefault="00E66152" w:rsidP="000F4316">
            <w:pPr>
              <w:pStyle w:val="051Tabletext22"/>
              <w:keepNext/>
              <w:keepLines/>
              <w:jc w:val="center"/>
            </w:pPr>
            <w:r>
              <w:t>$196.49</w:t>
            </w:r>
          </w:p>
        </w:tc>
      </w:tr>
      <w:tr w:rsidR="00E66152" w:rsidRPr="00CE28E3" w14:paraId="19B3626E" w14:textId="77777777">
        <w:trPr>
          <w:cantSplit/>
          <w:trHeight w:val="413"/>
        </w:trPr>
        <w:tc>
          <w:tcPr>
            <w:tcW w:w="1271" w:type="dxa"/>
            <w:tcMar>
              <w:left w:w="28" w:type="dxa"/>
              <w:right w:w="28" w:type="dxa"/>
            </w:tcMar>
            <w:vAlign w:val="center"/>
          </w:tcPr>
          <w:p w14:paraId="4D8FA87A" w14:textId="77777777" w:rsidR="00E66152" w:rsidRPr="00CE28E3" w:rsidRDefault="00E66152" w:rsidP="000F4316">
            <w:pPr>
              <w:pStyle w:val="051Tabletext22"/>
              <w:keepNext/>
              <w:keepLines/>
            </w:pPr>
            <w:r>
              <w:t>PEX</w:t>
            </w:r>
          </w:p>
        </w:tc>
        <w:tc>
          <w:tcPr>
            <w:tcW w:w="851" w:type="dxa"/>
            <w:tcMar>
              <w:left w:w="28" w:type="dxa"/>
              <w:right w:w="28" w:type="dxa"/>
            </w:tcMar>
            <w:vAlign w:val="center"/>
          </w:tcPr>
          <w:p w14:paraId="1B3F2777" w14:textId="77777777" w:rsidR="00E66152" w:rsidRDefault="00E66152" w:rsidP="000F4316">
            <w:pPr>
              <w:pStyle w:val="051Tabletext22"/>
              <w:keepNext/>
              <w:keepLines/>
              <w:jc w:val="center"/>
            </w:pPr>
            <w:r>
              <w:t>$2,440.65</w:t>
            </w:r>
            <w:r w:rsidRPr="00913947">
              <w:rPr>
                <w:vertAlign w:val="superscript"/>
              </w:rPr>
              <w:t>b</w:t>
            </w:r>
            <w:r>
              <w:br/>
              <w:t>per day</w:t>
            </w:r>
          </w:p>
        </w:tc>
        <w:tc>
          <w:tcPr>
            <w:tcW w:w="1559" w:type="dxa"/>
            <w:tcMar>
              <w:left w:w="28" w:type="dxa"/>
              <w:right w:w="28" w:type="dxa"/>
            </w:tcMar>
            <w:vAlign w:val="center"/>
          </w:tcPr>
          <w:p w14:paraId="60D9BD38" w14:textId="77777777" w:rsidR="00E66152" w:rsidRDefault="00E66152" w:rsidP="000F4316">
            <w:pPr>
              <w:pStyle w:val="051Tabletext22"/>
              <w:keepNext/>
              <w:keepLines/>
              <w:jc w:val="center"/>
            </w:pPr>
            <w:r>
              <w:t>18.71% x 3 days</w:t>
            </w:r>
            <w:r w:rsidRPr="00913947">
              <w:rPr>
                <w:vertAlign w:val="superscript"/>
              </w:rPr>
              <w:t>c</w:t>
            </w:r>
          </w:p>
          <w:p w14:paraId="1C3D0801" w14:textId="77777777" w:rsidR="00E66152" w:rsidRDefault="00E66152" w:rsidP="000F4316">
            <w:pPr>
              <w:pStyle w:val="051Tabletext22"/>
              <w:keepNext/>
              <w:keepLines/>
              <w:jc w:val="center"/>
            </w:pPr>
            <w:r>
              <w:t>81.29% x 1 day</w:t>
            </w:r>
          </w:p>
        </w:tc>
        <w:tc>
          <w:tcPr>
            <w:tcW w:w="1559" w:type="dxa"/>
            <w:tcMar>
              <w:left w:w="28" w:type="dxa"/>
              <w:right w:w="28" w:type="dxa"/>
            </w:tcMar>
            <w:vAlign w:val="center"/>
          </w:tcPr>
          <w:p w14:paraId="6C68CF19" w14:textId="77777777" w:rsidR="00E66152" w:rsidRPr="00CE28E3" w:rsidRDefault="00E66152" w:rsidP="000F4316">
            <w:pPr>
              <w:pStyle w:val="051Tabletext22"/>
              <w:keepNext/>
              <w:keepLines/>
              <w:jc w:val="center"/>
            </w:pPr>
            <w:r>
              <w:t>$3,354.08</w:t>
            </w:r>
          </w:p>
        </w:tc>
        <w:tc>
          <w:tcPr>
            <w:tcW w:w="1418" w:type="dxa"/>
            <w:tcMar>
              <w:left w:w="28" w:type="dxa"/>
              <w:right w:w="28" w:type="dxa"/>
            </w:tcMar>
            <w:vAlign w:val="center"/>
          </w:tcPr>
          <w:p w14:paraId="0BDDEFE4" w14:textId="77777777" w:rsidR="00E66152" w:rsidRDefault="00E66152" w:rsidP="000F4316">
            <w:pPr>
              <w:pStyle w:val="051Tabletext22"/>
              <w:keepNext/>
              <w:keepLines/>
              <w:jc w:val="center"/>
            </w:pPr>
            <w:r>
              <w:t>100% x 3 days</w:t>
            </w:r>
            <w:r w:rsidRPr="00913947">
              <w:rPr>
                <w:vertAlign w:val="superscript"/>
              </w:rPr>
              <w:t>c</w:t>
            </w:r>
          </w:p>
        </w:tc>
        <w:tc>
          <w:tcPr>
            <w:tcW w:w="1371" w:type="dxa"/>
            <w:tcMar>
              <w:left w:w="28" w:type="dxa"/>
              <w:right w:w="28" w:type="dxa"/>
            </w:tcMar>
            <w:vAlign w:val="center"/>
          </w:tcPr>
          <w:p w14:paraId="5C48B067" w14:textId="77777777" w:rsidR="00E66152" w:rsidRPr="00CE28E3" w:rsidRDefault="00E66152" w:rsidP="000F4316">
            <w:pPr>
              <w:pStyle w:val="051Tabletext22"/>
              <w:keepNext/>
              <w:keepLines/>
              <w:jc w:val="center"/>
            </w:pPr>
            <w:r>
              <w:t>$7,321.95</w:t>
            </w:r>
          </w:p>
        </w:tc>
        <w:tc>
          <w:tcPr>
            <w:tcW w:w="987" w:type="dxa"/>
            <w:tcMar>
              <w:left w:w="28" w:type="dxa"/>
              <w:right w:w="28" w:type="dxa"/>
            </w:tcMar>
            <w:vAlign w:val="center"/>
          </w:tcPr>
          <w:p w14:paraId="6BA4508F" w14:textId="77777777" w:rsidR="00E66152" w:rsidRPr="008D1840" w:rsidRDefault="00E66152" w:rsidP="000F4316">
            <w:pPr>
              <w:pStyle w:val="051Tabletext22"/>
              <w:keepNext/>
              <w:keepLines/>
              <w:jc w:val="center"/>
            </w:pPr>
            <m:oMath>
              <m:r>
                <w:rPr>
                  <w:rFonts w:ascii="Cambria Math" w:hAnsi="Cambria Math"/>
                </w:rPr>
                <m:t>-</m:t>
              </m:r>
            </m:oMath>
            <w:r w:rsidRPr="008D1840">
              <w:t>$3,967.87</w:t>
            </w:r>
          </w:p>
        </w:tc>
      </w:tr>
      <w:tr w:rsidR="00E66152" w:rsidRPr="00E75D1A" w14:paraId="608D72D3" w14:textId="77777777">
        <w:trPr>
          <w:cantSplit/>
          <w:trHeight w:val="413"/>
        </w:trPr>
        <w:tc>
          <w:tcPr>
            <w:tcW w:w="1271" w:type="dxa"/>
            <w:tcMar>
              <w:left w:w="28" w:type="dxa"/>
              <w:right w:w="28" w:type="dxa"/>
            </w:tcMar>
            <w:vAlign w:val="center"/>
          </w:tcPr>
          <w:p w14:paraId="4BFFAFC3" w14:textId="77777777" w:rsidR="00E66152" w:rsidRPr="00E75D1A" w:rsidRDefault="00E66152" w:rsidP="000F4316">
            <w:pPr>
              <w:pStyle w:val="051Tabletext22"/>
              <w:keepNext/>
              <w:keepLines/>
              <w:rPr>
                <w:b/>
                <w:bCs/>
              </w:rPr>
            </w:pPr>
            <w:r w:rsidRPr="00E75D1A">
              <w:rPr>
                <w:b/>
                <w:bCs/>
              </w:rPr>
              <w:t>Total costs</w:t>
            </w:r>
          </w:p>
        </w:tc>
        <w:tc>
          <w:tcPr>
            <w:tcW w:w="851" w:type="dxa"/>
            <w:tcMar>
              <w:left w:w="28" w:type="dxa"/>
              <w:right w:w="28" w:type="dxa"/>
            </w:tcMar>
            <w:vAlign w:val="center"/>
          </w:tcPr>
          <w:p w14:paraId="2B06B441" w14:textId="77777777" w:rsidR="00E66152" w:rsidRPr="00E75D1A" w:rsidRDefault="00E66152" w:rsidP="000F4316">
            <w:pPr>
              <w:pStyle w:val="051Tabletext22"/>
              <w:keepNext/>
              <w:keepLines/>
              <w:jc w:val="center"/>
              <w:rPr>
                <w:b/>
                <w:bCs/>
              </w:rPr>
            </w:pPr>
            <w:r>
              <w:rPr>
                <w:b/>
                <w:bCs/>
              </w:rPr>
              <w:t>-</w:t>
            </w:r>
          </w:p>
        </w:tc>
        <w:tc>
          <w:tcPr>
            <w:tcW w:w="1559" w:type="dxa"/>
            <w:tcMar>
              <w:left w:w="28" w:type="dxa"/>
              <w:right w:w="28" w:type="dxa"/>
            </w:tcMar>
            <w:vAlign w:val="center"/>
          </w:tcPr>
          <w:p w14:paraId="3B3DECB1" w14:textId="77777777" w:rsidR="00E66152" w:rsidRPr="00E75D1A" w:rsidRDefault="00E66152" w:rsidP="000F4316">
            <w:pPr>
              <w:pStyle w:val="051Tabletext22"/>
              <w:keepNext/>
              <w:keepLines/>
              <w:jc w:val="center"/>
              <w:rPr>
                <w:b/>
                <w:bCs/>
              </w:rPr>
            </w:pPr>
            <w:r>
              <w:rPr>
                <w:b/>
                <w:bCs/>
              </w:rPr>
              <w:t>-</w:t>
            </w:r>
          </w:p>
        </w:tc>
        <w:tc>
          <w:tcPr>
            <w:tcW w:w="1559" w:type="dxa"/>
            <w:tcMar>
              <w:left w:w="28" w:type="dxa"/>
              <w:right w:w="28" w:type="dxa"/>
            </w:tcMar>
            <w:vAlign w:val="center"/>
          </w:tcPr>
          <w:p w14:paraId="51AE1C4A" w14:textId="77777777" w:rsidR="00E66152" w:rsidRPr="00E75D1A" w:rsidRDefault="00E66152" w:rsidP="000F4316">
            <w:pPr>
              <w:pStyle w:val="051Tabletext22"/>
              <w:keepNext/>
              <w:keepLines/>
              <w:jc w:val="center"/>
              <w:rPr>
                <w:b/>
                <w:bCs/>
              </w:rPr>
            </w:pPr>
            <w:r w:rsidRPr="00E75D1A">
              <w:rPr>
                <w:b/>
                <w:bCs/>
              </w:rPr>
              <w:t>$4,</w:t>
            </w:r>
            <w:r>
              <w:rPr>
                <w:b/>
                <w:bCs/>
              </w:rPr>
              <w:t>250.57</w:t>
            </w:r>
          </w:p>
        </w:tc>
        <w:tc>
          <w:tcPr>
            <w:tcW w:w="1418" w:type="dxa"/>
            <w:tcMar>
              <w:left w:w="28" w:type="dxa"/>
              <w:right w:w="28" w:type="dxa"/>
            </w:tcMar>
            <w:vAlign w:val="center"/>
          </w:tcPr>
          <w:p w14:paraId="1F80227E" w14:textId="77777777" w:rsidR="00E66152" w:rsidRPr="00E75D1A" w:rsidRDefault="00E66152" w:rsidP="000F4316">
            <w:pPr>
              <w:pStyle w:val="051Tabletext22"/>
              <w:keepNext/>
              <w:keepLines/>
              <w:jc w:val="center"/>
              <w:rPr>
                <w:b/>
                <w:bCs/>
              </w:rPr>
            </w:pPr>
            <w:r>
              <w:rPr>
                <w:b/>
                <w:bCs/>
              </w:rPr>
              <w:t>-</w:t>
            </w:r>
          </w:p>
        </w:tc>
        <w:tc>
          <w:tcPr>
            <w:tcW w:w="1371" w:type="dxa"/>
            <w:tcMar>
              <w:left w:w="28" w:type="dxa"/>
              <w:right w:w="28" w:type="dxa"/>
            </w:tcMar>
            <w:vAlign w:val="center"/>
          </w:tcPr>
          <w:p w14:paraId="11B80CED" w14:textId="77777777" w:rsidR="00E66152" w:rsidRPr="00E75D1A" w:rsidRDefault="00E66152" w:rsidP="000F4316">
            <w:pPr>
              <w:pStyle w:val="051Tabletext22"/>
              <w:keepNext/>
              <w:keepLines/>
              <w:jc w:val="center"/>
              <w:rPr>
                <w:b/>
                <w:bCs/>
              </w:rPr>
            </w:pPr>
            <w:r w:rsidRPr="00E75D1A">
              <w:rPr>
                <w:b/>
                <w:bCs/>
              </w:rPr>
              <w:t>$7,321.95</w:t>
            </w:r>
          </w:p>
        </w:tc>
        <w:tc>
          <w:tcPr>
            <w:tcW w:w="987" w:type="dxa"/>
            <w:tcMar>
              <w:left w:w="28" w:type="dxa"/>
              <w:right w:w="28" w:type="dxa"/>
            </w:tcMar>
            <w:vAlign w:val="center"/>
          </w:tcPr>
          <w:p w14:paraId="5CD488B5" w14:textId="5D90ADC1" w:rsidR="00E66152" w:rsidRPr="008D1840" w:rsidRDefault="00E66152" w:rsidP="000F4316">
            <w:pPr>
              <w:pStyle w:val="051Tabletext22"/>
              <w:keepNext/>
              <w:keepLines/>
              <w:jc w:val="center"/>
              <w:rPr>
                <w:b/>
                <w:bCs/>
              </w:rPr>
            </w:pPr>
            <m:oMath>
              <m:r>
                <m:rPr>
                  <m:sty m:val="bi"/>
                </m:rPr>
                <w:rPr>
                  <w:rFonts w:ascii="Cambria Math" w:hAnsi="Cambria Math"/>
                </w:rPr>
                <m:t>-</m:t>
              </m:r>
            </m:oMath>
            <w:r w:rsidRPr="008D1840">
              <w:rPr>
                <w:b/>
                <w:bCs/>
              </w:rPr>
              <w:t>$3,</w:t>
            </w:r>
            <w:r w:rsidR="00CA7FC7">
              <w:rPr>
                <w:b/>
                <w:bCs/>
              </w:rPr>
              <w:t>3</w:t>
            </w:r>
            <w:r w:rsidRPr="008D1840">
              <w:rPr>
                <w:b/>
                <w:bCs/>
              </w:rPr>
              <w:t>71.38</w:t>
            </w:r>
          </w:p>
        </w:tc>
      </w:tr>
    </w:tbl>
    <w:p w14:paraId="2D7AF826" w14:textId="77777777" w:rsidR="00E66152" w:rsidRDefault="00E66152" w:rsidP="000F4316">
      <w:pPr>
        <w:pStyle w:val="101Tablefootnotes"/>
        <w:keepLines/>
      </w:pPr>
      <w:r w:rsidRPr="00236AD3">
        <w:t>PEX = plasma exchange</w:t>
      </w:r>
      <w:r>
        <w:t xml:space="preserve"> therapy; PPV = positive predictive value. </w:t>
      </w:r>
    </w:p>
    <w:p w14:paraId="618E8812" w14:textId="77777777" w:rsidR="00E66152" w:rsidRDefault="00E66152" w:rsidP="000F4316">
      <w:pPr>
        <w:pStyle w:val="101Tablefootnotes"/>
        <w:keepLines/>
      </w:pPr>
      <w:r w:rsidRPr="009B518D">
        <w:rPr>
          <w:lang w:val="en-US"/>
        </w:rPr>
        <w:t>a.</w:t>
      </w:r>
      <w:r>
        <w:t xml:space="preserve"> PPV derived from sensitivity, specificity and prevalence reported in Dimopoulous et al. (2022).</w:t>
      </w:r>
    </w:p>
    <w:p w14:paraId="3406F235" w14:textId="77777777" w:rsidR="00E66152" w:rsidRDefault="00E66152" w:rsidP="00E66152">
      <w:pPr>
        <w:pStyle w:val="101Tablefootnotes"/>
        <w:rPr>
          <w:lang w:val="en-US"/>
        </w:rPr>
      </w:pPr>
      <w:r>
        <w:rPr>
          <w:lang w:val="en-US"/>
        </w:rPr>
        <w:t>b. D</w:t>
      </w:r>
      <w:r w:rsidRPr="009D5E11">
        <w:rPr>
          <w:lang w:val="en-US"/>
        </w:rPr>
        <w:t>erived from the cost weight for AR-DRG I66A - Inflammatory Musculoskeletal Disorders, Major Complexity (which covers ICD-10 code M31.1, under which patients with TTP are classified) divided by average length of stay of patients hospitalised under this AR-DRG.</w:t>
      </w:r>
    </w:p>
    <w:p w14:paraId="0986A2AA" w14:textId="77777777" w:rsidR="00E66152" w:rsidRDefault="00E66152" w:rsidP="00E66152">
      <w:pPr>
        <w:pStyle w:val="101Tablefootnotes"/>
        <w:rPr>
          <w:lang w:val="en-US"/>
        </w:rPr>
      </w:pPr>
      <w:r>
        <w:rPr>
          <w:lang w:val="en-US"/>
        </w:rPr>
        <w:t>c. Assumption that in the absence of rapid testing, a diagnosis of TTP would be confirmed or excluded after 3 days of empiric PEX based on White et al. (2022).</w:t>
      </w:r>
    </w:p>
    <w:p w14:paraId="11A58AB6" w14:textId="5A1B8BCF" w:rsidR="00391B29" w:rsidRDefault="00391B29" w:rsidP="00391B29">
      <w:pPr>
        <w:pStyle w:val="BodyText"/>
      </w:pPr>
      <w:r>
        <w:t xml:space="preserve">The scenario where </w:t>
      </w:r>
      <w:r w:rsidR="000B2E71">
        <w:t xml:space="preserve">rapid </w:t>
      </w:r>
      <w:r>
        <w:t>ADAMTS13 testing is available to support the diagnosis of TTP is cost</w:t>
      </w:r>
      <w:r w:rsidR="000247EB">
        <w:t xml:space="preserve"> </w:t>
      </w:r>
      <w:r>
        <w:t xml:space="preserve">saving by </w:t>
      </w:r>
      <w:r w:rsidRPr="00B85136">
        <w:t>$3,</w:t>
      </w:r>
      <w:r>
        <w:t>071.38 per person compared to the scenario where it is not available. The savings are primarily due to substantially lower PEX costs in the proposed scenario.</w:t>
      </w:r>
    </w:p>
    <w:p w14:paraId="618F535D" w14:textId="34616E91" w:rsidR="00391B29" w:rsidRPr="000247EB" w:rsidRDefault="00391B29" w:rsidP="00391B29">
      <w:pPr>
        <w:pStyle w:val="BodyText"/>
      </w:pPr>
      <w:r>
        <w:t xml:space="preserve">Given the cost savings and the conclusion that </w:t>
      </w:r>
      <w:r w:rsidRPr="00C04D3A">
        <w:t>use of ADAMTS13 activity testing</w:t>
      </w:r>
      <w:r>
        <w:t xml:space="preserve"> (followed by anti-ADAMTS13</w:t>
      </w:r>
      <w:r w:rsidRPr="00C04D3A">
        <w:t xml:space="preserve"> autoantibody testing</w:t>
      </w:r>
      <w:r>
        <w:t xml:space="preserve"> in those testing positive for TTP)</w:t>
      </w:r>
      <w:r w:rsidRPr="00C04D3A">
        <w:t xml:space="preserve"> results in superior </w:t>
      </w:r>
      <w:r>
        <w:t xml:space="preserve">effectiveness and superior </w:t>
      </w:r>
      <w:r w:rsidRPr="00C04D3A">
        <w:t>safety compared with standard investigation and management with no ADAMTS13 tests</w:t>
      </w:r>
      <w:r>
        <w:t>, the scenario where ADAMTS13 testing is available dominates the scenario where it is not.</w:t>
      </w:r>
    </w:p>
    <w:p w14:paraId="5FC02969" w14:textId="77777777" w:rsidR="00AD718B" w:rsidRDefault="00AD718B" w:rsidP="00AD718B">
      <w:pPr>
        <w:pStyle w:val="Instructionaltext"/>
        <w:sectPr w:rsidR="00AD718B" w:rsidSect="00AB42A8">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850" w:footer="709" w:gutter="0"/>
          <w:cols w:space="708"/>
          <w:docGrid w:linePitch="360"/>
        </w:sectPr>
      </w:pPr>
    </w:p>
    <w:p w14:paraId="1F6C51D6" w14:textId="77777777" w:rsidR="00CC0333" w:rsidRDefault="00CC0333" w:rsidP="00CC0333">
      <w:pPr>
        <w:pStyle w:val="Instructionaltext"/>
        <w:pBdr>
          <w:top w:val="single" w:sz="4" w:space="1" w:color="auto"/>
          <w:left w:val="single" w:sz="4" w:space="4" w:color="auto"/>
          <w:bottom w:val="single" w:sz="4" w:space="1" w:color="auto"/>
          <w:right w:val="single" w:sz="4" w:space="4" w:color="auto"/>
        </w:pBdr>
        <w:spacing w:after="40"/>
      </w:pPr>
      <w:r w:rsidRPr="00DC1C9C">
        <w:rPr>
          <w:noProof/>
        </w:rPr>
        <w:lastRenderedPageBreak/>
        <w:drawing>
          <wp:inline distT="0" distB="0" distL="0" distR="0" wp14:anchorId="198C3CB6" wp14:editId="003B38EC">
            <wp:extent cx="8863330" cy="1834335"/>
            <wp:effectExtent l="0" t="0" r="0" b="0"/>
            <wp:docPr id="8" name="Picture 1" descr="Structure of the decision analysis used to conduct the economic evaluation: rapid ADAMTS13 activity testing followed by anti-ADAMTS13 autoantibody testing for diagno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Structure of the decision analysis used to conduct the economic evaluation: rapid ADAMTS13 activity testing followed by anti-ADAMTS13 autoantibody testing for diagnosis"/>
                    <pic:cNvPicPr/>
                  </pic:nvPicPr>
                  <pic:blipFill rotWithShape="1">
                    <a:blip r:embed="rId23"/>
                    <a:srcRect t="-3464"/>
                    <a:stretch>
                      <a:fillRect/>
                    </a:stretch>
                  </pic:blipFill>
                  <pic:spPr bwMode="auto">
                    <a:xfrm>
                      <a:off x="0" y="0"/>
                      <a:ext cx="8863330" cy="1834335"/>
                    </a:xfrm>
                    <a:prstGeom prst="rect">
                      <a:avLst/>
                    </a:prstGeom>
                    <a:ln>
                      <a:noFill/>
                    </a:ln>
                    <a:extLst>
                      <a:ext uri="{53640926-AAD7-44D8-BBD7-CCE9431645EC}">
                        <a14:shadowObscured xmlns:a14="http://schemas.microsoft.com/office/drawing/2010/main"/>
                      </a:ext>
                    </a:extLst>
                  </pic:spPr>
                </pic:pic>
              </a:graphicData>
            </a:graphic>
          </wp:inline>
        </w:drawing>
      </w:r>
    </w:p>
    <w:p w14:paraId="3F74DAA3" w14:textId="5E1696B2" w:rsidR="00EE19FD" w:rsidRDefault="00EE19FD" w:rsidP="00EE19FD">
      <w:pPr>
        <w:pStyle w:val="Caption"/>
        <w:spacing w:before="0"/>
      </w:pPr>
      <w:bookmarkStart w:id="38" w:name="_Ref213157091"/>
      <w:r>
        <w:t xml:space="preserve">Figure </w:t>
      </w:r>
      <w:r>
        <w:fldChar w:fldCharType="begin"/>
      </w:r>
      <w:r>
        <w:instrText>SEQ Figure \* ARABIC</w:instrText>
      </w:r>
      <w:r>
        <w:fldChar w:fldCharType="separate"/>
      </w:r>
      <w:r w:rsidR="00716875">
        <w:rPr>
          <w:noProof/>
        </w:rPr>
        <w:t>5</w:t>
      </w:r>
      <w:r>
        <w:fldChar w:fldCharType="end"/>
      </w:r>
      <w:bookmarkEnd w:id="38"/>
      <w:r>
        <w:tab/>
        <w:t>Structure of the decision analysis used to conduct the economic evaluation</w:t>
      </w:r>
      <w:bookmarkStart w:id="39" w:name="_Hlk213226954"/>
      <w:r>
        <w:t>: rapid ADAMTS13 activity testing followed by anti-ADAMTS13 autoantibody testing for diagnosis</w:t>
      </w:r>
      <w:bookmarkEnd w:id="39"/>
    </w:p>
    <w:p w14:paraId="0389DD5E" w14:textId="17683552" w:rsidR="00AD718B" w:rsidRDefault="00CC0333" w:rsidP="00CC0333">
      <w:pPr>
        <w:pStyle w:val="111Tablefootnoteslast-nostick"/>
      </w:pPr>
      <w:r w:rsidRPr="00236AD3">
        <w:t>PEX = plasma exchange</w:t>
      </w:r>
      <w:r>
        <w:t xml:space="preserve"> therapy</w:t>
      </w:r>
      <w:r w:rsidRPr="00236AD3">
        <w:t>; TTP = thrombotic thrombocytopenic purpura</w:t>
      </w:r>
      <w:r>
        <w:t>.</w:t>
      </w:r>
    </w:p>
    <w:p w14:paraId="5AFDFFBE" w14:textId="77777777" w:rsidR="00AD718B" w:rsidRDefault="00AD718B" w:rsidP="00AD718B">
      <w:pPr>
        <w:spacing w:before="0" w:after="0" w:line="240" w:lineRule="auto"/>
        <w:sectPr w:rsidR="00AD718B" w:rsidSect="005A1BB7">
          <w:pgSz w:w="16838" w:h="11906" w:orient="landscape"/>
          <w:pgMar w:top="1440" w:right="1440" w:bottom="1440" w:left="1440" w:header="850" w:footer="709" w:gutter="0"/>
          <w:cols w:space="708"/>
          <w:docGrid w:linePitch="360"/>
        </w:sectPr>
      </w:pPr>
    </w:p>
    <w:p w14:paraId="3243331F" w14:textId="4C98ACBE" w:rsidR="00106A6B" w:rsidRPr="003251C2" w:rsidRDefault="00E26833" w:rsidP="00C23B62">
      <w:pPr>
        <w:pStyle w:val="BodyText"/>
      </w:pPr>
      <w:r>
        <w:lastRenderedPageBreak/>
        <w:t>Key drivers of the model</w:t>
      </w:r>
      <w:r w:rsidR="00C23B62">
        <w:t xml:space="preserve"> are presented in</w:t>
      </w:r>
      <w:r>
        <w:t xml:space="preserve"> </w:t>
      </w:r>
      <w:r w:rsidR="00106A6B">
        <w:fldChar w:fldCharType="begin"/>
      </w:r>
      <w:r w:rsidR="00106A6B">
        <w:instrText xml:space="preserve"> REF _Ref69726321 \h </w:instrText>
      </w:r>
      <w:r w:rsidR="00C23B62">
        <w:instrText xml:space="preserve"> \* MERGEFORMAT </w:instrText>
      </w:r>
      <w:r w:rsidR="00106A6B">
        <w:fldChar w:fldCharType="separate"/>
      </w:r>
      <w:r w:rsidR="00716875">
        <w:t>Table 16</w:t>
      </w:r>
      <w:r w:rsidR="00106A6B">
        <w:fldChar w:fldCharType="end"/>
      </w:r>
      <w:r w:rsidR="00C23B62">
        <w:t>.</w:t>
      </w:r>
      <w:r w:rsidR="0079559F" w:rsidRPr="0079559F">
        <w:t xml:space="preserve"> The results of the base-case analysis </w:t>
      </w:r>
      <w:r w:rsidR="004F762B">
        <w:t>are</w:t>
      </w:r>
      <w:r w:rsidR="0079559F" w:rsidRPr="0079559F">
        <w:t xml:space="preserve"> most sensitive to the turnaround time for results from ADAMTS13 testing and the number of days (on PEX) before a diagnosis of TTP can be made in the absence of ADAMTS13 testing.</w:t>
      </w:r>
    </w:p>
    <w:p w14:paraId="570D0400" w14:textId="473B66E7" w:rsidR="00106A6B" w:rsidRPr="00CE28E3" w:rsidRDefault="00CE6DC4" w:rsidP="00106A6B">
      <w:pPr>
        <w:pStyle w:val="Caption"/>
      </w:pPr>
      <w:bookmarkStart w:id="40" w:name="_Ref69726321"/>
      <w:r>
        <w:t>Table </w:t>
      </w:r>
      <w:r>
        <w:fldChar w:fldCharType="begin"/>
      </w:r>
      <w:r>
        <w:instrText>SEQ Table \* ARABIC</w:instrText>
      </w:r>
      <w:r>
        <w:fldChar w:fldCharType="separate"/>
      </w:r>
      <w:r w:rsidR="00716875">
        <w:rPr>
          <w:noProof/>
        </w:rPr>
        <w:t>16</w:t>
      </w:r>
      <w:r>
        <w:fldChar w:fldCharType="end"/>
      </w:r>
      <w:bookmarkEnd w:id="40"/>
      <w:r w:rsidR="00106A6B" w:rsidRPr="00CE28E3">
        <w:tab/>
        <w:t>Key drivers of the model</w:t>
      </w:r>
      <w:r w:rsidR="008B7AD6">
        <w:t xml:space="preserve">: </w:t>
      </w:r>
      <w:r w:rsidR="003E5EA1">
        <w:t xml:space="preserve">rapid </w:t>
      </w:r>
      <w:r w:rsidR="008B7AD6">
        <w:t xml:space="preserve">ADAMTS13 activity testing </w:t>
      </w:r>
      <w:r w:rsidR="008A428B">
        <w:t>followed by</w:t>
      </w:r>
      <w:r w:rsidR="008D43E0">
        <w:t xml:space="preserve"> anti-ADAMTS13 autoantibody testing </w:t>
      </w:r>
      <w:r w:rsidR="008B7AD6">
        <w:t>for diagnosis</w:t>
      </w:r>
    </w:p>
    <w:tbl>
      <w:tblPr>
        <w:tblStyle w:val="TableGrid3"/>
        <w:tblW w:w="5000" w:type="pct"/>
        <w:tblInd w:w="-3" w:type="dxa"/>
        <w:tblLayout w:type="fixed"/>
        <w:tblLook w:val="04A0" w:firstRow="1" w:lastRow="0" w:firstColumn="1" w:lastColumn="0" w:noHBand="0" w:noVBand="1"/>
        <w:tblCaption w:val="Key drivers of the model"/>
        <w:tblDescription w:val="Key drivers of the model include Number of days of empiric PEX (comparator) and Time to ADAMTS13 result (days of PEX before result).&#10;"/>
      </w:tblPr>
      <w:tblGrid>
        <w:gridCol w:w="2407"/>
        <w:gridCol w:w="1560"/>
        <w:gridCol w:w="5049"/>
      </w:tblGrid>
      <w:tr w:rsidR="00F8267B" w:rsidRPr="00F8267B" w14:paraId="596261B2" w14:textId="77777777" w:rsidTr="009F2776">
        <w:trPr>
          <w:cnfStyle w:val="100000000000" w:firstRow="1" w:lastRow="0" w:firstColumn="0" w:lastColumn="0" w:oddVBand="0" w:evenVBand="0" w:oddHBand="0" w:evenHBand="0" w:firstRowFirstColumn="0" w:firstRowLastColumn="0" w:lastRowFirstColumn="0" w:lastRowLastColumn="0"/>
          <w:trHeight w:val="20"/>
        </w:trPr>
        <w:tc>
          <w:tcPr>
            <w:tcW w:w="1335" w:type="pct"/>
          </w:tcPr>
          <w:p w14:paraId="295F68BD" w14:textId="77777777" w:rsidR="00106A6B" w:rsidRPr="00F8267B" w:rsidRDefault="00106A6B" w:rsidP="002A6B97">
            <w:pPr>
              <w:pStyle w:val="011TableHeading"/>
              <w:spacing w:before="40"/>
            </w:pPr>
            <w:r w:rsidRPr="00F8267B">
              <w:t>Description</w:t>
            </w:r>
          </w:p>
        </w:tc>
        <w:tc>
          <w:tcPr>
            <w:tcW w:w="865" w:type="pct"/>
          </w:tcPr>
          <w:p w14:paraId="4C41F459" w14:textId="77777777" w:rsidR="00106A6B" w:rsidRPr="00F8267B" w:rsidRDefault="00106A6B" w:rsidP="002A6B97">
            <w:pPr>
              <w:pStyle w:val="011TableHeading"/>
              <w:spacing w:before="40"/>
              <w:jc w:val="center"/>
            </w:pPr>
            <w:r w:rsidRPr="00F8267B">
              <w:t>Method/Value</w:t>
            </w:r>
          </w:p>
        </w:tc>
        <w:tc>
          <w:tcPr>
            <w:tcW w:w="2800" w:type="pct"/>
          </w:tcPr>
          <w:p w14:paraId="1947E46F" w14:textId="77777777" w:rsidR="00106A6B" w:rsidRPr="00F8267B" w:rsidRDefault="00106A6B" w:rsidP="002A6B97">
            <w:pPr>
              <w:pStyle w:val="011TableHeading"/>
              <w:spacing w:before="40"/>
              <w:jc w:val="center"/>
            </w:pPr>
            <w:r w:rsidRPr="00F8267B">
              <w:t>Impact</w:t>
            </w:r>
          </w:p>
          <w:p w14:paraId="76133197" w14:textId="4A931327" w:rsidR="00106A6B" w:rsidRPr="00F8267B" w:rsidRDefault="00106A6B" w:rsidP="002A6B97">
            <w:pPr>
              <w:pStyle w:val="011TableHeading"/>
              <w:spacing w:before="40"/>
              <w:jc w:val="center"/>
            </w:pPr>
            <w:r w:rsidRPr="00F8267B">
              <w:rPr>
                <w:rFonts w:cs="Arial"/>
                <w:szCs w:val="20"/>
              </w:rPr>
              <w:t>Base case:</w:t>
            </w:r>
            <w:r w:rsidR="008D5F38" w:rsidRPr="00F8267B">
              <w:rPr>
                <w:rFonts w:cs="Arial"/>
                <w:szCs w:val="20"/>
              </w:rPr>
              <w:t xml:space="preserve"> incremental cost</w:t>
            </w:r>
            <w:r w:rsidRPr="00F8267B">
              <w:rPr>
                <w:rFonts w:cs="Arial"/>
                <w:szCs w:val="20"/>
              </w:rPr>
              <w:t xml:space="preserve"> </w:t>
            </w:r>
            <m:oMath>
              <m:r>
                <m:rPr>
                  <m:sty m:val="bi"/>
                </m:rPr>
                <w:rPr>
                  <w:rFonts w:ascii="Cambria Math" w:hAnsi="Cambria Math"/>
                </w:rPr>
                <m:t>-</m:t>
              </m:r>
            </m:oMath>
            <w:r w:rsidR="008D5F38" w:rsidRPr="00F8267B">
              <w:rPr>
                <w:b w:val="0"/>
                <w:bCs/>
              </w:rPr>
              <w:t>$3,071.38</w:t>
            </w:r>
          </w:p>
        </w:tc>
      </w:tr>
      <w:tr w:rsidR="00F8267B" w:rsidRPr="00F8267B" w14:paraId="1288E1A3" w14:textId="77777777" w:rsidTr="009F2776">
        <w:trPr>
          <w:trHeight w:val="20"/>
        </w:trPr>
        <w:tc>
          <w:tcPr>
            <w:tcW w:w="1335" w:type="pct"/>
          </w:tcPr>
          <w:p w14:paraId="2E4ABC9C" w14:textId="74B51A11" w:rsidR="00106A6B" w:rsidRPr="00F8267B" w:rsidRDefault="005A6AA9" w:rsidP="00F8267B">
            <w:pPr>
              <w:pStyle w:val="051Tabletext22"/>
            </w:pPr>
            <w:r w:rsidRPr="00F8267B">
              <w:t xml:space="preserve">Number of days of </w:t>
            </w:r>
            <w:r w:rsidR="00E15249" w:rsidRPr="00F8267B">
              <w:t xml:space="preserve">empiric </w:t>
            </w:r>
            <w:r w:rsidRPr="00F8267B">
              <w:t>PEX</w:t>
            </w:r>
            <w:r w:rsidR="00E15249" w:rsidRPr="00F8267B">
              <w:t xml:space="preserve"> (comparator)</w:t>
            </w:r>
          </w:p>
        </w:tc>
        <w:tc>
          <w:tcPr>
            <w:tcW w:w="865" w:type="pct"/>
          </w:tcPr>
          <w:p w14:paraId="26460278" w14:textId="63104600" w:rsidR="00106A6B" w:rsidRPr="00F8267B" w:rsidRDefault="0009312F" w:rsidP="00F8267B">
            <w:pPr>
              <w:pStyle w:val="051Tabletext22"/>
            </w:pPr>
            <w:r w:rsidRPr="00F8267B">
              <w:t>Varied from 8 to 2 days</w:t>
            </w:r>
          </w:p>
        </w:tc>
        <w:tc>
          <w:tcPr>
            <w:tcW w:w="2800" w:type="pct"/>
          </w:tcPr>
          <w:p w14:paraId="3E13A40A" w14:textId="63ADF295" w:rsidR="00106A6B" w:rsidRPr="00F8267B" w:rsidRDefault="00106A6B" w:rsidP="00F8267B">
            <w:pPr>
              <w:pStyle w:val="051Tabletext22"/>
              <w:rPr>
                <w:i/>
              </w:rPr>
            </w:pPr>
            <w:r w:rsidRPr="00F8267B">
              <w:rPr>
                <w:i/>
              </w:rPr>
              <w:t>High</w:t>
            </w:r>
            <w:r w:rsidR="006D5633" w:rsidRPr="00F8267B">
              <w:rPr>
                <w:i/>
              </w:rPr>
              <w:t>;</w:t>
            </w:r>
            <w:r w:rsidRPr="00F8267B">
              <w:rPr>
                <w:i/>
              </w:rPr>
              <w:t xml:space="preserve"> </w:t>
            </w:r>
            <w:r w:rsidR="00C54198" w:rsidRPr="00F8267B">
              <w:rPr>
                <w:i/>
              </w:rPr>
              <w:t xml:space="preserve">longer duration </w:t>
            </w:r>
            <w:r w:rsidRPr="00F8267B">
              <w:rPr>
                <w:i/>
              </w:rPr>
              <w:t xml:space="preserve">favours </w:t>
            </w:r>
            <w:r w:rsidR="00C54198" w:rsidRPr="00F8267B">
              <w:rPr>
                <w:i/>
              </w:rPr>
              <w:t>rapid ADAMTS13 activity testing</w:t>
            </w:r>
            <w:r w:rsidRPr="00F8267B">
              <w:rPr>
                <w:rFonts w:cs="Arial"/>
                <w:szCs w:val="20"/>
              </w:rPr>
              <w:br/>
            </w:r>
            <w:r w:rsidRPr="00F8267B">
              <w:rPr>
                <w:i/>
              </w:rPr>
              <w:t xml:space="preserve">Use of </w:t>
            </w:r>
            <w:r w:rsidR="00C45F3B">
              <w:rPr>
                <w:i/>
              </w:rPr>
              <w:t>5</w:t>
            </w:r>
            <w:r w:rsidR="00F61C35" w:rsidRPr="00F8267B">
              <w:rPr>
                <w:i/>
              </w:rPr>
              <w:t xml:space="preserve"> days</w:t>
            </w:r>
            <w:r w:rsidRPr="00F8267B">
              <w:rPr>
                <w:i/>
              </w:rPr>
              <w:t xml:space="preserve"> </w:t>
            </w:r>
            <w:r w:rsidR="00433482" w:rsidRPr="00F8267B">
              <w:rPr>
                <w:i/>
              </w:rPr>
              <w:t>de</w:t>
            </w:r>
            <w:r w:rsidRPr="00F8267B">
              <w:rPr>
                <w:i/>
              </w:rPr>
              <w:t xml:space="preserve">creased the </w:t>
            </w:r>
            <w:r w:rsidR="00CF0D40" w:rsidRPr="00F8267B">
              <w:rPr>
                <w:i/>
              </w:rPr>
              <w:t xml:space="preserve">incremental </w:t>
            </w:r>
            <w:r w:rsidR="00F61C35" w:rsidRPr="00F8267B">
              <w:rPr>
                <w:i/>
              </w:rPr>
              <w:t>cost</w:t>
            </w:r>
            <w:r w:rsidRPr="00F8267B">
              <w:rPr>
                <w:i/>
              </w:rPr>
              <w:t xml:space="preserve"> to </w:t>
            </w:r>
            <w:r w:rsidR="00433482" w:rsidRPr="00F8267B">
              <w:rPr>
                <w:i/>
              </w:rPr>
              <w:t>-</w:t>
            </w:r>
            <w:r w:rsidR="00CF0D40" w:rsidRPr="00F8267B">
              <w:rPr>
                <w:i/>
              </w:rPr>
              <w:t>$7,039.25</w:t>
            </w:r>
          </w:p>
        </w:tc>
      </w:tr>
      <w:tr w:rsidR="00F8267B" w:rsidRPr="00F8267B" w14:paraId="06AB1E8D" w14:textId="77777777" w:rsidTr="009F2776">
        <w:trPr>
          <w:trHeight w:val="20"/>
        </w:trPr>
        <w:tc>
          <w:tcPr>
            <w:tcW w:w="1335" w:type="pct"/>
          </w:tcPr>
          <w:p w14:paraId="2844E110" w14:textId="199F60C8" w:rsidR="00106A6B" w:rsidRPr="00F8267B" w:rsidRDefault="0009312F" w:rsidP="00F8267B">
            <w:pPr>
              <w:pStyle w:val="051Tabletext22"/>
            </w:pPr>
            <w:r w:rsidRPr="00F8267B">
              <w:t>Time to ADAMTS13 result (days of PEX before result)</w:t>
            </w:r>
            <w:r w:rsidR="00BE45EC" w:rsidRPr="00F8267B">
              <w:t xml:space="preserve"> </w:t>
            </w:r>
          </w:p>
        </w:tc>
        <w:tc>
          <w:tcPr>
            <w:tcW w:w="865" w:type="pct"/>
          </w:tcPr>
          <w:p w14:paraId="757AFB26" w14:textId="44B434BF" w:rsidR="00106A6B" w:rsidRPr="00F8267B" w:rsidRDefault="0009312F" w:rsidP="00F8267B">
            <w:pPr>
              <w:pStyle w:val="051Tabletext22"/>
            </w:pPr>
            <w:r w:rsidRPr="00F8267B">
              <w:t>Varied from 0 to 3</w:t>
            </w:r>
            <w:r w:rsidR="003E5EA1" w:rsidRPr="00F8267B">
              <w:t xml:space="preserve"> days</w:t>
            </w:r>
          </w:p>
        </w:tc>
        <w:tc>
          <w:tcPr>
            <w:tcW w:w="2800" w:type="pct"/>
          </w:tcPr>
          <w:p w14:paraId="0604F156" w14:textId="629076D4" w:rsidR="00106A6B" w:rsidRPr="00F8267B" w:rsidRDefault="00106A6B" w:rsidP="00F8267B">
            <w:pPr>
              <w:pStyle w:val="051Tabletext22"/>
            </w:pPr>
            <w:r w:rsidRPr="00F8267B">
              <w:rPr>
                <w:i/>
              </w:rPr>
              <w:t>High</w:t>
            </w:r>
            <w:r w:rsidR="006D5633" w:rsidRPr="00F8267B">
              <w:rPr>
                <w:i/>
              </w:rPr>
              <w:t>;</w:t>
            </w:r>
            <w:r w:rsidRPr="00F8267B">
              <w:rPr>
                <w:i/>
              </w:rPr>
              <w:t xml:space="preserve"> </w:t>
            </w:r>
            <w:r w:rsidR="005D2246" w:rsidRPr="00F8267B">
              <w:rPr>
                <w:i/>
              </w:rPr>
              <w:t>longer duration favours the comparator</w:t>
            </w:r>
            <w:r w:rsidRPr="00F8267B">
              <w:rPr>
                <w:i/>
              </w:rPr>
              <w:br/>
              <w:t xml:space="preserve">Use of </w:t>
            </w:r>
            <w:r w:rsidR="00CC32E7" w:rsidRPr="00F8267B">
              <w:rPr>
                <w:i/>
              </w:rPr>
              <w:t xml:space="preserve">3 days (same </w:t>
            </w:r>
            <w:r w:rsidR="0053392A" w:rsidRPr="00F8267B">
              <w:rPr>
                <w:i/>
              </w:rPr>
              <w:t>turn around as empiric treatment)</w:t>
            </w:r>
            <w:r w:rsidRPr="00F8267B">
              <w:rPr>
                <w:i/>
              </w:rPr>
              <w:t xml:space="preserve"> increased the </w:t>
            </w:r>
            <w:r w:rsidR="0053392A" w:rsidRPr="00F8267B">
              <w:rPr>
                <w:i/>
              </w:rPr>
              <w:t>incremental cost</w:t>
            </w:r>
            <w:r w:rsidRPr="00F8267B">
              <w:rPr>
                <w:i/>
              </w:rPr>
              <w:t xml:space="preserve"> to </w:t>
            </w:r>
            <w:r w:rsidR="008F346A" w:rsidRPr="00F8267B">
              <w:rPr>
                <w:i/>
              </w:rPr>
              <w:t>$896.49</w:t>
            </w:r>
            <w:r w:rsidR="00433482" w:rsidRPr="00F8267B">
              <w:rPr>
                <w:i/>
              </w:rPr>
              <w:t>.</w:t>
            </w:r>
          </w:p>
        </w:tc>
      </w:tr>
    </w:tbl>
    <w:p w14:paraId="3389FDAD" w14:textId="0AE5EF99" w:rsidR="00106A6B" w:rsidRPr="00CE28E3" w:rsidRDefault="00433482" w:rsidP="00E65C8F">
      <w:pPr>
        <w:pStyle w:val="111Tablefootnoteslast-nostick"/>
      </w:pPr>
      <w:bookmarkStart w:id="41" w:name="_Hlk68276635"/>
      <w:r>
        <w:t>PEX = plasma exchange therapy.</w:t>
      </w:r>
    </w:p>
    <w:p w14:paraId="7DA899BF" w14:textId="0889579E" w:rsidR="00A317BF" w:rsidRDefault="000E3B5F" w:rsidP="00B85B31">
      <w:pPr>
        <w:pStyle w:val="ExecSumHeading3"/>
        <w:rPr>
          <w:rFonts w:eastAsia="Calibri"/>
          <w:lang w:val="en-US"/>
        </w:rPr>
      </w:pPr>
      <w:bookmarkStart w:id="42" w:name="_Toc216879532"/>
      <w:bookmarkStart w:id="43" w:name="_Hlk68276759"/>
      <w:bookmarkEnd w:id="41"/>
      <w:r>
        <w:rPr>
          <w:rFonts w:eastAsia="Calibri"/>
          <w:lang w:val="en-US"/>
        </w:rPr>
        <w:t>PICO Set 1 &amp; 2</w:t>
      </w:r>
      <w:r w:rsidR="006F2235">
        <w:rPr>
          <w:rFonts w:eastAsia="Calibri"/>
          <w:lang w:val="en-US"/>
        </w:rPr>
        <w:t xml:space="preserve">: </w:t>
      </w:r>
      <w:r w:rsidR="006F2235">
        <w:rPr>
          <w:rFonts w:eastAsia="Calibri"/>
          <w:i/>
          <w:iCs/>
          <w:lang w:val="en-US"/>
        </w:rPr>
        <w:t>ADAMTS13</w:t>
      </w:r>
      <w:r w:rsidR="00A47D6C">
        <w:rPr>
          <w:rFonts w:eastAsia="Calibri"/>
          <w:lang w:val="en-US"/>
        </w:rPr>
        <w:t xml:space="preserve"> genetic testing</w:t>
      </w:r>
      <w:bookmarkEnd w:id="42"/>
    </w:p>
    <w:p w14:paraId="2F08233B" w14:textId="32AB6A02" w:rsidR="00F3255F" w:rsidRDefault="00EA4223" w:rsidP="007A0ADB">
      <w:pPr>
        <w:pStyle w:val="BodyText"/>
        <w:rPr>
          <w:rFonts w:eastAsia="Calibri"/>
        </w:rPr>
      </w:pPr>
      <w:r>
        <w:t xml:space="preserve">The PICO confirmation specified a refined assessment approach for the genetic tests, </w:t>
      </w:r>
      <w:r w:rsidR="00ED2A8A">
        <w:t>with</w:t>
      </w:r>
      <w:r>
        <w:t xml:space="preserve"> cost per diagnosis (diagnostic yield)</w:t>
      </w:r>
      <w:r w:rsidR="00F0206A">
        <w:t>,</w:t>
      </w:r>
      <w:r>
        <w:t xml:space="preserve"> rather than cost per health outcome</w:t>
      </w:r>
      <w:r w:rsidR="00ED2A8A">
        <w:t>, being the appropriate evaluation method</w:t>
      </w:r>
      <w:r w:rsidR="005661AC">
        <w:t>.</w:t>
      </w:r>
      <w:r>
        <w:t xml:space="preserve"> </w:t>
      </w:r>
    </w:p>
    <w:p w14:paraId="61449DE1" w14:textId="04EDBE82" w:rsidR="00015850" w:rsidRDefault="00B95F7A" w:rsidP="00055104">
      <w:pPr>
        <w:pStyle w:val="BodyText"/>
      </w:pPr>
      <w:r>
        <w:rPr>
          <w:lang w:val="en-US"/>
        </w:rPr>
        <w:fldChar w:fldCharType="begin"/>
      </w:r>
      <w:r>
        <w:rPr>
          <w:lang w:val="en-US"/>
        </w:rPr>
        <w:instrText xml:space="preserve"> REF _Ref221192484 \h </w:instrText>
      </w:r>
      <w:r>
        <w:rPr>
          <w:lang w:val="en-US"/>
        </w:rPr>
      </w:r>
      <w:r>
        <w:rPr>
          <w:lang w:val="en-US"/>
        </w:rPr>
        <w:fldChar w:fldCharType="separate"/>
      </w:r>
      <w:r w:rsidR="00716875">
        <w:t xml:space="preserve">Table </w:t>
      </w:r>
      <w:r w:rsidR="00716875">
        <w:rPr>
          <w:noProof/>
        </w:rPr>
        <w:t>17</w:t>
      </w:r>
      <w:r>
        <w:rPr>
          <w:lang w:val="en-US"/>
        </w:rPr>
        <w:fldChar w:fldCharType="end"/>
      </w:r>
      <w:r>
        <w:rPr>
          <w:lang w:val="en-US"/>
        </w:rPr>
        <w:t xml:space="preserve"> presents a stepped evaluation of the cost and diagnostic outcomes per suspected cTTP patient who undergoes </w:t>
      </w:r>
      <w:r w:rsidR="008B64EA">
        <w:rPr>
          <w:lang w:val="en-US"/>
        </w:rPr>
        <w:t xml:space="preserve">affected individual </w:t>
      </w:r>
      <w:r>
        <w:rPr>
          <w:lang w:val="en-US"/>
        </w:rPr>
        <w:t xml:space="preserve">testing and ICERs for </w:t>
      </w:r>
      <w:r w:rsidR="00F5397F">
        <w:rPr>
          <w:lang w:val="en-US"/>
        </w:rPr>
        <w:t xml:space="preserve">affected individual </w:t>
      </w:r>
      <w:r>
        <w:rPr>
          <w:lang w:val="en-US"/>
        </w:rPr>
        <w:t xml:space="preserve">testing (step 1) and </w:t>
      </w:r>
      <w:r w:rsidR="00F5397F">
        <w:rPr>
          <w:lang w:val="en-US"/>
        </w:rPr>
        <w:t xml:space="preserve">affected individual </w:t>
      </w:r>
      <w:r>
        <w:rPr>
          <w:lang w:val="en-US"/>
        </w:rPr>
        <w:t xml:space="preserve">testing followed by cascade testing (step 2). Base case values for diagnostic yields are used. The ICER for </w:t>
      </w:r>
      <w:r w:rsidR="008B64EA">
        <w:rPr>
          <w:lang w:val="en-US"/>
        </w:rPr>
        <w:t xml:space="preserve">affected individual </w:t>
      </w:r>
      <w:r>
        <w:rPr>
          <w:lang w:val="en-US"/>
        </w:rPr>
        <w:t xml:space="preserve">testing followed by cascade testing of first-degree biological </w:t>
      </w:r>
      <w:r w:rsidR="0065761F">
        <w:rPr>
          <w:lang w:val="en-US"/>
        </w:rPr>
        <w:t>relatives</w:t>
      </w:r>
      <w:r>
        <w:rPr>
          <w:lang w:val="en-US"/>
        </w:rPr>
        <w:t xml:space="preserve"> of probands is $1,298 per positive genotype (</w:t>
      </w:r>
      <w:r>
        <w:t>proband plus biallelic siblings).</w:t>
      </w:r>
    </w:p>
    <w:p w14:paraId="53EF9292" w14:textId="645F2016" w:rsidR="00F3255F" w:rsidRPr="000F4316" w:rsidRDefault="004F6F5C" w:rsidP="00055104">
      <w:pPr>
        <w:pStyle w:val="BodyText"/>
      </w:pPr>
      <w:r>
        <w:fldChar w:fldCharType="begin"/>
      </w:r>
      <w:r>
        <w:instrText xml:space="preserve"> REF _Ref227163527 \h </w:instrText>
      </w:r>
      <w:r>
        <w:fldChar w:fldCharType="separate"/>
      </w:r>
      <w:r w:rsidR="00716875">
        <w:t xml:space="preserve">Table </w:t>
      </w:r>
      <w:r w:rsidR="00716875">
        <w:rPr>
          <w:noProof/>
        </w:rPr>
        <w:t>18</w:t>
      </w:r>
      <w:r>
        <w:fldChar w:fldCharType="end"/>
      </w:r>
      <w:r>
        <w:t xml:space="preserve"> presents the revised stepped evaluation using the </w:t>
      </w:r>
      <w:r w:rsidR="00F508F7">
        <w:t xml:space="preserve">MSAC supported fee ($1000) for </w:t>
      </w:r>
      <w:r w:rsidR="004C1412">
        <w:rPr>
          <w:i/>
          <w:iCs/>
        </w:rPr>
        <w:t xml:space="preserve">ADAMTS13 </w:t>
      </w:r>
      <w:r w:rsidR="004C1412">
        <w:t xml:space="preserve">genetic testing for </w:t>
      </w:r>
      <w:r w:rsidR="008B64EA">
        <w:t xml:space="preserve">affected individuals </w:t>
      </w:r>
      <w:r w:rsidR="004C1412">
        <w:t xml:space="preserve">(item CCCC). </w:t>
      </w:r>
      <w:r w:rsidR="004C1412">
        <w:rPr>
          <w:lang w:val="en-US"/>
        </w:rPr>
        <w:t xml:space="preserve">The ICER for </w:t>
      </w:r>
      <w:r w:rsidR="008B64EA">
        <w:rPr>
          <w:lang w:val="en-US"/>
        </w:rPr>
        <w:t xml:space="preserve">affected individual </w:t>
      </w:r>
      <w:r w:rsidR="004C1412">
        <w:rPr>
          <w:lang w:val="en-US"/>
        </w:rPr>
        <w:t xml:space="preserve">testing followed by cascade testing of first-degree biological </w:t>
      </w:r>
      <w:r w:rsidR="0065761F">
        <w:rPr>
          <w:lang w:val="en-US"/>
        </w:rPr>
        <w:t>relatives</w:t>
      </w:r>
      <w:r w:rsidR="004C1412">
        <w:rPr>
          <w:lang w:val="en-US"/>
        </w:rPr>
        <w:t xml:space="preserve"> of probands is $1,125 per positive genotype (</w:t>
      </w:r>
      <w:r w:rsidR="004C1412">
        <w:t>proband plus biallelic siblings).</w:t>
      </w:r>
      <w:r w:rsidR="00F3255F">
        <w:br w:type="page"/>
      </w:r>
    </w:p>
    <w:p w14:paraId="63F34191" w14:textId="244D87B0" w:rsidR="009B2FC2" w:rsidRDefault="009B2FC2" w:rsidP="009B2FC2">
      <w:pPr>
        <w:pStyle w:val="Caption"/>
        <w:rPr>
          <w:lang w:val="en-US"/>
        </w:rPr>
      </w:pPr>
      <w:bookmarkStart w:id="44" w:name="_Ref221192484"/>
      <w:r>
        <w:lastRenderedPageBreak/>
        <w:t xml:space="preserve">Table </w:t>
      </w:r>
      <w:r>
        <w:fldChar w:fldCharType="begin"/>
      </w:r>
      <w:r>
        <w:instrText>SEQ Table \* ARABIC</w:instrText>
      </w:r>
      <w:r>
        <w:fldChar w:fldCharType="separate"/>
      </w:r>
      <w:r w:rsidR="00716875">
        <w:rPr>
          <w:noProof/>
        </w:rPr>
        <w:t>17</w:t>
      </w:r>
      <w:r>
        <w:fldChar w:fldCharType="end"/>
      </w:r>
      <w:bookmarkEnd w:id="44"/>
      <w:r>
        <w:tab/>
        <w:t xml:space="preserve">Stepped presentation of ICERs for </w:t>
      </w:r>
      <w:r w:rsidR="00AA4EDB">
        <w:t xml:space="preserve">affected individual </w:t>
      </w:r>
      <w:r>
        <w:t xml:space="preserve">testing and combined </w:t>
      </w:r>
      <w:r w:rsidR="00AA4EDB">
        <w:t xml:space="preserve">affected individual </w:t>
      </w:r>
      <w:r>
        <w:t xml:space="preserve">and cascade testing, showing costs and outcomes per suspected cTTP patient undergoing </w:t>
      </w:r>
      <w:r w:rsidR="00AA4EDB">
        <w:t xml:space="preserve">affected individual </w:t>
      </w:r>
      <w:r>
        <w:t>testing</w:t>
      </w:r>
    </w:p>
    <w:tbl>
      <w:tblPr>
        <w:tblStyle w:val="TableGrid3"/>
        <w:tblW w:w="5000" w:type="pct"/>
        <w:tblInd w:w="0" w:type="dxa"/>
        <w:tblLook w:val="04A0" w:firstRow="1" w:lastRow="0" w:firstColumn="1" w:lastColumn="0" w:noHBand="0" w:noVBand="1"/>
      </w:tblPr>
      <w:tblGrid>
        <w:gridCol w:w="3824"/>
        <w:gridCol w:w="1417"/>
        <w:gridCol w:w="2268"/>
        <w:gridCol w:w="1507"/>
      </w:tblGrid>
      <w:tr w:rsidR="009B2FC2" w14:paraId="5097E567" w14:textId="77777777">
        <w:trPr>
          <w:cnfStyle w:val="100000000000" w:firstRow="1" w:lastRow="0" w:firstColumn="0" w:lastColumn="0" w:oddVBand="0" w:evenVBand="0" w:oddHBand="0" w:evenHBand="0" w:firstRowFirstColumn="0" w:firstRowLastColumn="0" w:lastRowFirstColumn="0" w:lastRowLastColumn="0"/>
        </w:trPr>
        <w:tc>
          <w:tcPr>
            <w:tcW w:w="2120" w:type="pct"/>
          </w:tcPr>
          <w:p w14:paraId="06275303" w14:textId="77777777" w:rsidR="009B2FC2" w:rsidRDefault="009B2FC2">
            <w:pPr>
              <w:pStyle w:val="011TableHeading"/>
            </w:pPr>
            <w:r>
              <w:t>Stepped analysis</w:t>
            </w:r>
          </w:p>
        </w:tc>
        <w:tc>
          <w:tcPr>
            <w:tcW w:w="786" w:type="pct"/>
          </w:tcPr>
          <w:p w14:paraId="2DA84CD1" w14:textId="77777777" w:rsidR="009B2FC2" w:rsidRPr="00716EB0" w:rsidRDefault="009B2FC2">
            <w:pPr>
              <w:pStyle w:val="011TableHeading"/>
              <w:jc w:val="center"/>
            </w:pPr>
            <w:r>
              <w:t xml:space="preserve">Incremental </w:t>
            </w:r>
            <w:r>
              <w:br/>
              <w:t>cost</w:t>
            </w:r>
          </w:p>
        </w:tc>
        <w:tc>
          <w:tcPr>
            <w:tcW w:w="1258" w:type="pct"/>
          </w:tcPr>
          <w:p w14:paraId="2C97C6A4" w14:textId="77777777" w:rsidR="009B2FC2" w:rsidRDefault="009B2FC2">
            <w:pPr>
              <w:pStyle w:val="011TableHeading"/>
              <w:jc w:val="center"/>
            </w:pPr>
            <w:r>
              <w:t>Incremental outcome</w:t>
            </w:r>
            <w:r>
              <w:br/>
            </w:r>
            <w:r w:rsidRPr="00532AB8">
              <w:rPr>
                <w:b w:val="0"/>
              </w:rPr>
              <w:t>(base case values)</w:t>
            </w:r>
          </w:p>
        </w:tc>
        <w:tc>
          <w:tcPr>
            <w:tcW w:w="836" w:type="pct"/>
          </w:tcPr>
          <w:p w14:paraId="55AC5DD0" w14:textId="77777777" w:rsidR="009B2FC2" w:rsidRDefault="009B2FC2">
            <w:pPr>
              <w:pStyle w:val="011TableHeading"/>
              <w:jc w:val="center"/>
            </w:pPr>
            <w:r>
              <w:t>ICER</w:t>
            </w:r>
          </w:p>
        </w:tc>
      </w:tr>
      <w:tr w:rsidR="009B2FC2" w14:paraId="2C81E681" w14:textId="77777777">
        <w:tc>
          <w:tcPr>
            <w:tcW w:w="2120" w:type="pct"/>
          </w:tcPr>
          <w:p w14:paraId="6E488F62" w14:textId="77777777" w:rsidR="009B2FC2" w:rsidRDefault="009B2FC2">
            <w:pPr>
              <w:pStyle w:val="051Tabletext22"/>
            </w:pPr>
            <w:r w:rsidRPr="000A59A3">
              <w:rPr>
                <w:b/>
              </w:rPr>
              <w:t>Step 1</w:t>
            </w:r>
            <w:r>
              <w:t xml:space="preserve"> – affected individuals with suspected cTTP.</w:t>
            </w:r>
          </w:p>
          <w:p w14:paraId="70B1A32D" w14:textId="77777777" w:rsidR="009B2FC2" w:rsidRDefault="009B2FC2">
            <w:pPr>
              <w:pStyle w:val="061Tabletext62"/>
            </w:pPr>
            <w:r>
              <w:t xml:space="preserve">Incremental cost is cost of </w:t>
            </w:r>
            <w:r w:rsidRPr="0089162C">
              <w:t>genetic testing</w:t>
            </w:r>
            <w:r>
              <w:t xml:space="preserve"> only. </w:t>
            </w:r>
          </w:p>
        </w:tc>
        <w:tc>
          <w:tcPr>
            <w:tcW w:w="786" w:type="pct"/>
          </w:tcPr>
          <w:p w14:paraId="69CDE9DC" w14:textId="77777777" w:rsidR="009B2FC2" w:rsidRDefault="009B2FC2">
            <w:pPr>
              <w:pStyle w:val="051Tabletext22"/>
              <w:jc w:val="center"/>
            </w:pPr>
            <w:r>
              <w:t>$1,200</w:t>
            </w:r>
          </w:p>
        </w:tc>
        <w:tc>
          <w:tcPr>
            <w:tcW w:w="1258" w:type="pct"/>
          </w:tcPr>
          <w:p w14:paraId="1B918826" w14:textId="77777777" w:rsidR="009B2FC2" w:rsidRDefault="009B2FC2">
            <w:pPr>
              <w:pStyle w:val="051Tabletext22"/>
              <w:jc w:val="center"/>
            </w:pPr>
            <w:r>
              <w:t>0.97</w:t>
            </w:r>
          </w:p>
          <w:p w14:paraId="3920CA82" w14:textId="36F8E1EA" w:rsidR="009B2FC2" w:rsidRDefault="009B2FC2">
            <w:pPr>
              <w:pStyle w:val="061Tabletext62"/>
              <w:jc w:val="center"/>
            </w:pPr>
            <w:r>
              <w:t xml:space="preserve">proband identified </w:t>
            </w:r>
            <w:r>
              <w:br/>
              <w:t xml:space="preserve">per </w:t>
            </w:r>
            <w:r w:rsidR="00AA4EDB">
              <w:t xml:space="preserve">affected individual </w:t>
            </w:r>
            <w:r>
              <w:t xml:space="preserve">tested </w:t>
            </w:r>
          </w:p>
        </w:tc>
        <w:tc>
          <w:tcPr>
            <w:tcW w:w="836" w:type="pct"/>
          </w:tcPr>
          <w:p w14:paraId="3A05B99D" w14:textId="77777777" w:rsidR="009B2FC2" w:rsidRPr="00456248" w:rsidRDefault="009B2FC2">
            <w:pPr>
              <w:pStyle w:val="051Tabletext22"/>
              <w:jc w:val="center"/>
            </w:pPr>
            <w:r w:rsidRPr="00456248">
              <w:t>$1,237</w:t>
            </w:r>
          </w:p>
          <w:p w14:paraId="08AE9474" w14:textId="77777777" w:rsidR="009B2FC2" w:rsidRDefault="009B2FC2">
            <w:pPr>
              <w:pStyle w:val="051Tabletext22"/>
              <w:jc w:val="center"/>
            </w:pPr>
            <w:r w:rsidRPr="00456248">
              <w:t>per proband</w:t>
            </w:r>
          </w:p>
        </w:tc>
      </w:tr>
      <w:tr w:rsidR="009B2FC2" w14:paraId="5F4B6900" w14:textId="77777777">
        <w:tc>
          <w:tcPr>
            <w:tcW w:w="2120" w:type="pct"/>
          </w:tcPr>
          <w:p w14:paraId="0E74BDD4" w14:textId="2F6B9443" w:rsidR="009B2FC2" w:rsidRDefault="009B2FC2">
            <w:pPr>
              <w:pStyle w:val="051Tabletext22"/>
            </w:pPr>
            <w:r w:rsidRPr="000A59A3">
              <w:rPr>
                <w:b/>
              </w:rPr>
              <w:t>Step 2</w:t>
            </w:r>
            <w:r>
              <w:t xml:space="preserve"> – affected individuals with suspected cTTP and their first-degree biological </w:t>
            </w:r>
            <w:r w:rsidR="0065761F">
              <w:t>relatives</w:t>
            </w:r>
            <w:r>
              <w:t xml:space="preserve">. </w:t>
            </w:r>
          </w:p>
          <w:p w14:paraId="2FA33520" w14:textId="77777777" w:rsidR="009B2FC2" w:rsidRDefault="009B2FC2">
            <w:pPr>
              <w:pStyle w:val="061Tabletext62"/>
            </w:pPr>
            <w:r>
              <w:t xml:space="preserve">Incremental cost is cost of </w:t>
            </w:r>
            <w:r w:rsidRPr="0089162C">
              <w:t>genetic test</w:t>
            </w:r>
            <w:r>
              <w:t>ing per suspected cTTP patient ($1,200) plus cost of cascade testing in 0.8 siblings</w:t>
            </w:r>
            <w:r w:rsidRPr="003732FF">
              <w:rPr>
                <w:vertAlign w:val="superscript"/>
              </w:rPr>
              <w:t>a</w:t>
            </w:r>
            <w:r>
              <w:t xml:space="preserve"> per proband ($400 x 0.97 x 0.8 = $310).</w:t>
            </w:r>
          </w:p>
          <w:p w14:paraId="2339CE90" w14:textId="3E844D42" w:rsidR="009B2FC2" w:rsidRDefault="009B2FC2">
            <w:pPr>
              <w:pStyle w:val="061Tabletext62"/>
            </w:pPr>
            <w:r>
              <w:t xml:space="preserve">Incremental outcome is diagnostic yield for </w:t>
            </w:r>
            <w:r w:rsidR="00AA4EDB">
              <w:t xml:space="preserve">affected individual </w:t>
            </w:r>
            <w:r>
              <w:t>testing (0.97) plus cascade testing (0.97 x 0.8 x 0.25 = 0.194).</w:t>
            </w:r>
          </w:p>
        </w:tc>
        <w:tc>
          <w:tcPr>
            <w:tcW w:w="786" w:type="pct"/>
          </w:tcPr>
          <w:p w14:paraId="7BB63E27" w14:textId="77777777" w:rsidR="009B2FC2" w:rsidRDefault="009B2FC2">
            <w:pPr>
              <w:pStyle w:val="051Tabletext22"/>
              <w:jc w:val="center"/>
            </w:pPr>
            <w:r w:rsidRPr="008D335F">
              <w:t>$</w:t>
            </w:r>
            <w:r>
              <w:t>1,510</w:t>
            </w:r>
          </w:p>
        </w:tc>
        <w:tc>
          <w:tcPr>
            <w:tcW w:w="1258" w:type="pct"/>
          </w:tcPr>
          <w:p w14:paraId="197B6830" w14:textId="77777777" w:rsidR="009B2FC2" w:rsidRDefault="009B2FC2">
            <w:pPr>
              <w:pStyle w:val="051Tabletext22"/>
              <w:jc w:val="center"/>
            </w:pPr>
            <w:r>
              <w:t>1.164</w:t>
            </w:r>
          </w:p>
          <w:p w14:paraId="2E58C365" w14:textId="3B144FA1" w:rsidR="009B2FC2" w:rsidRDefault="009B2FC2">
            <w:pPr>
              <w:pStyle w:val="061Tabletext62"/>
              <w:jc w:val="center"/>
            </w:pPr>
            <w:r>
              <w:t xml:space="preserve">proband and </w:t>
            </w:r>
            <w:r>
              <w:br/>
              <w:t xml:space="preserve">biallelic siblings identified </w:t>
            </w:r>
            <w:r>
              <w:br/>
              <w:t xml:space="preserve">per </w:t>
            </w:r>
            <w:r w:rsidR="0043030A">
              <w:t xml:space="preserve">affected individual </w:t>
            </w:r>
            <w:r>
              <w:t>tested</w:t>
            </w:r>
          </w:p>
        </w:tc>
        <w:tc>
          <w:tcPr>
            <w:tcW w:w="836" w:type="pct"/>
          </w:tcPr>
          <w:p w14:paraId="1E4CB7E2" w14:textId="77777777" w:rsidR="009B2FC2" w:rsidRDefault="009B2FC2">
            <w:pPr>
              <w:pStyle w:val="051Tabletext22"/>
              <w:jc w:val="center"/>
              <w:rPr>
                <w:b/>
              </w:rPr>
            </w:pPr>
            <w:r w:rsidRPr="00456248">
              <w:rPr>
                <w:b/>
              </w:rPr>
              <w:t>$</w:t>
            </w:r>
            <w:r>
              <w:rPr>
                <w:b/>
              </w:rPr>
              <w:t>1,298</w:t>
            </w:r>
          </w:p>
          <w:p w14:paraId="003729CE" w14:textId="77777777" w:rsidR="009B2FC2" w:rsidRPr="00EE6397" w:rsidRDefault="009B2FC2">
            <w:pPr>
              <w:pStyle w:val="061Tabletext62"/>
              <w:jc w:val="center"/>
            </w:pPr>
            <w:r>
              <w:t xml:space="preserve">per proband/ </w:t>
            </w:r>
            <w:r>
              <w:br/>
              <w:t>biallelic sibling</w:t>
            </w:r>
          </w:p>
        </w:tc>
      </w:tr>
    </w:tbl>
    <w:p w14:paraId="6B08026F" w14:textId="77777777" w:rsidR="009B2FC2" w:rsidRDefault="009B2FC2" w:rsidP="009B2FC2">
      <w:pPr>
        <w:pStyle w:val="101Tablefootnotes"/>
      </w:pPr>
      <w:r>
        <w:t xml:space="preserve">cTTP = congenital </w:t>
      </w:r>
      <w:r w:rsidRPr="004951AF">
        <w:t>thrombotic thrombocytopenic purpura</w:t>
      </w:r>
      <w:r>
        <w:t>; ICER = incremental cost-effectiveness ratio.</w:t>
      </w:r>
    </w:p>
    <w:p w14:paraId="2D5257F5" w14:textId="70F325B6" w:rsidR="009B2FC2" w:rsidRDefault="009B2FC2" w:rsidP="009B2FC2">
      <w:pPr>
        <w:pStyle w:val="111Tablefootnoteslast-nostick"/>
      </w:pPr>
      <w:r>
        <w:t xml:space="preserve">a Assumption that 0.8 siblings per proband undergo cascade testing is </w:t>
      </w:r>
      <w:r w:rsidRPr="000F60F4">
        <w:t>based on Australian family composition data indicating an average of 1.8 children per family</w:t>
      </w:r>
      <w:r>
        <w:t xml:space="preserve"> </w:t>
      </w:r>
      <w:hyperlink r:id="rId24" w:tooltip="Link to Flagpost publication of 2021 Census of Population and Housing" w:history="1">
        <w:r w:rsidRPr="00C85F2C">
          <w:rPr>
            <w:rStyle w:val="Hyperlink"/>
            <w:color w:val="005791"/>
            <w:lang w:val="en-US"/>
          </w:rPr>
          <w:t>(Parliamentary Library, 2021 Census of Population and Housing: Quick Summary, Department of Parliamentary Services, 28 June 2022</w:t>
        </w:r>
      </w:hyperlink>
      <w:r>
        <w:t>), noting this includes half siblings and non-biological siblings, so is likely an overestimate.</w:t>
      </w:r>
    </w:p>
    <w:p w14:paraId="46A2BD36" w14:textId="45DA41E1" w:rsidR="007A0ADB" w:rsidRDefault="007A0ADB" w:rsidP="007A0ADB">
      <w:pPr>
        <w:pStyle w:val="Caption"/>
        <w:rPr>
          <w:lang w:val="en-US"/>
        </w:rPr>
      </w:pPr>
      <w:bookmarkStart w:id="45" w:name="_Ref227163527"/>
      <w:r>
        <w:t xml:space="preserve">Table </w:t>
      </w:r>
      <w:r>
        <w:fldChar w:fldCharType="begin"/>
      </w:r>
      <w:r>
        <w:instrText>SEQ Table \* ARABIC</w:instrText>
      </w:r>
      <w:r>
        <w:fldChar w:fldCharType="separate"/>
      </w:r>
      <w:r w:rsidR="00716875">
        <w:rPr>
          <w:noProof/>
        </w:rPr>
        <w:t>18</w:t>
      </w:r>
      <w:r>
        <w:fldChar w:fldCharType="end"/>
      </w:r>
      <w:bookmarkEnd w:id="45"/>
      <w:r>
        <w:tab/>
        <w:t xml:space="preserve">Stepped presentation of ICERs for </w:t>
      </w:r>
      <w:r w:rsidR="00AA4EDB">
        <w:t xml:space="preserve">affected individual </w:t>
      </w:r>
      <w:r>
        <w:t xml:space="preserve">testing and combined </w:t>
      </w:r>
      <w:r w:rsidR="00AA4EDB">
        <w:t xml:space="preserve">affected individual </w:t>
      </w:r>
      <w:r>
        <w:t xml:space="preserve">and cascade testing, showing costs and outcomes per suspected cTTP patient undergoing </w:t>
      </w:r>
      <w:r w:rsidR="00AA4EDB">
        <w:t xml:space="preserve">affected individual </w:t>
      </w:r>
      <w:r>
        <w:t xml:space="preserve">testing – using revised fee supported by MSAC </w:t>
      </w:r>
    </w:p>
    <w:tbl>
      <w:tblPr>
        <w:tblStyle w:val="TableGrid3"/>
        <w:tblW w:w="5000" w:type="pct"/>
        <w:tblInd w:w="0" w:type="dxa"/>
        <w:tblLook w:val="04A0" w:firstRow="1" w:lastRow="0" w:firstColumn="1" w:lastColumn="0" w:noHBand="0" w:noVBand="1"/>
      </w:tblPr>
      <w:tblGrid>
        <w:gridCol w:w="3824"/>
        <w:gridCol w:w="1417"/>
        <w:gridCol w:w="2268"/>
        <w:gridCol w:w="1507"/>
      </w:tblGrid>
      <w:tr w:rsidR="007A0ADB" w14:paraId="7454A8C7" w14:textId="77777777">
        <w:trPr>
          <w:cnfStyle w:val="100000000000" w:firstRow="1" w:lastRow="0" w:firstColumn="0" w:lastColumn="0" w:oddVBand="0" w:evenVBand="0" w:oddHBand="0" w:evenHBand="0" w:firstRowFirstColumn="0" w:firstRowLastColumn="0" w:lastRowFirstColumn="0" w:lastRowLastColumn="0"/>
        </w:trPr>
        <w:tc>
          <w:tcPr>
            <w:tcW w:w="2120" w:type="pct"/>
          </w:tcPr>
          <w:p w14:paraId="6C41A65E" w14:textId="77777777" w:rsidR="007A0ADB" w:rsidRDefault="007A0ADB">
            <w:pPr>
              <w:pStyle w:val="011TableHeading"/>
            </w:pPr>
            <w:r>
              <w:t>Stepped analysis</w:t>
            </w:r>
          </w:p>
        </w:tc>
        <w:tc>
          <w:tcPr>
            <w:tcW w:w="786" w:type="pct"/>
          </w:tcPr>
          <w:p w14:paraId="2D98579D" w14:textId="77777777" w:rsidR="007A0ADB" w:rsidRPr="00716EB0" w:rsidRDefault="007A0ADB">
            <w:pPr>
              <w:pStyle w:val="011TableHeading"/>
              <w:jc w:val="center"/>
            </w:pPr>
            <w:r>
              <w:t xml:space="preserve">Incremental </w:t>
            </w:r>
            <w:r>
              <w:br/>
              <w:t>cost</w:t>
            </w:r>
          </w:p>
        </w:tc>
        <w:tc>
          <w:tcPr>
            <w:tcW w:w="1258" w:type="pct"/>
          </w:tcPr>
          <w:p w14:paraId="4865F86D" w14:textId="77777777" w:rsidR="007A0ADB" w:rsidRDefault="007A0ADB">
            <w:pPr>
              <w:pStyle w:val="011TableHeading"/>
              <w:jc w:val="center"/>
            </w:pPr>
            <w:r>
              <w:t>Incremental outcome</w:t>
            </w:r>
            <w:r>
              <w:br/>
            </w:r>
            <w:r w:rsidRPr="00532AB8">
              <w:rPr>
                <w:b w:val="0"/>
              </w:rPr>
              <w:t>(base case values)</w:t>
            </w:r>
          </w:p>
        </w:tc>
        <w:tc>
          <w:tcPr>
            <w:tcW w:w="836" w:type="pct"/>
          </w:tcPr>
          <w:p w14:paraId="0AF85800" w14:textId="77777777" w:rsidR="007A0ADB" w:rsidRDefault="007A0ADB">
            <w:pPr>
              <w:pStyle w:val="011TableHeading"/>
              <w:jc w:val="center"/>
            </w:pPr>
            <w:r>
              <w:t>ICER</w:t>
            </w:r>
          </w:p>
        </w:tc>
      </w:tr>
      <w:tr w:rsidR="007A0ADB" w14:paraId="4383D603" w14:textId="77777777">
        <w:tc>
          <w:tcPr>
            <w:tcW w:w="2120" w:type="pct"/>
          </w:tcPr>
          <w:p w14:paraId="6EDBBDA5" w14:textId="77777777" w:rsidR="007A0ADB" w:rsidRDefault="007A0ADB">
            <w:pPr>
              <w:pStyle w:val="051Tabletext22"/>
            </w:pPr>
            <w:r w:rsidRPr="000A59A3">
              <w:rPr>
                <w:b/>
              </w:rPr>
              <w:t>Step 1</w:t>
            </w:r>
            <w:r>
              <w:t xml:space="preserve"> – affected individuals with suspected cTTP.</w:t>
            </w:r>
          </w:p>
          <w:p w14:paraId="7F075DBF" w14:textId="53AD90FB" w:rsidR="007A0ADB" w:rsidRDefault="007A0ADB">
            <w:pPr>
              <w:pStyle w:val="061Tabletext62"/>
            </w:pPr>
            <w:r>
              <w:t xml:space="preserve">Incremental cost is cost of </w:t>
            </w:r>
            <w:r w:rsidRPr="0089162C">
              <w:t>genetic testing</w:t>
            </w:r>
            <w:r>
              <w:t xml:space="preserve"> only</w:t>
            </w:r>
            <w:r w:rsidR="008600F2">
              <w:t xml:space="preserve"> using MSAC</w:t>
            </w:r>
            <w:r w:rsidR="003D0194">
              <w:t>-</w:t>
            </w:r>
            <w:r w:rsidR="008600F2">
              <w:t>supported fee of $1000</w:t>
            </w:r>
            <w:r>
              <w:t xml:space="preserve">. </w:t>
            </w:r>
          </w:p>
        </w:tc>
        <w:tc>
          <w:tcPr>
            <w:tcW w:w="786" w:type="pct"/>
          </w:tcPr>
          <w:p w14:paraId="58A45D80" w14:textId="4ABE291C" w:rsidR="007A0ADB" w:rsidRDefault="007A0ADB">
            <w:pPr>
              <w:pStyle w:val="051Tabletext22"/>
              <w:jc w:val="center"/>
            </w:pPr>
            <w:r>
              <w:t>$1,</w:t>
            </w:r>
            <w:r w:rsidR="008600F2">
              <w:t>0</w:t>
            </w:r>
            <w:r>
              <w:t>00</w:t>
            </w:r>
          </w:p>
        </w:tc>
        <w:tc>
          <w:tcPr>
            <w:tcW w:w="1258" w:type="pct"/>
          </w:tcPr>
          <w:p w14:paraId="34A3CDBE" w14:textId="77777777" w:rsidR="007A0ADB" w:rsidRDefault="007A0ADB">
            <w:pPr>
              <w:pStyle w:val="051Tabletext22"/>
              <w:jc w:val="center"/>
            </w:pPr>
            <w:r>
              <w:t>0.97</w:t>
            </w:r>
          </w:p>
          <w:p w14:paraId="0B18CE7D" w14:textId="0A82EA64" w:rsidR="007A0ADB" w:rsidRDefault="007A0ADB">
            <w:pPr>
              <w:pStyle w:val="061Tabletext62"/>
              <w:jc w:val="center"/>
            </w:pPr>
            <w:r>
              <w:t xml:space="preserve">proband identified </w:t>
            </w:r>
            <w:r>
              <w:br/>
              <w:t xml:space="preserve">per </w:t>
            </w:r>
            <w:r w:rsidR="0043030A">
              <w:t xml:space="preserve">affected individual </w:t>
            </w:r>
            <w:r>
              <w:t xml:space="preserve">tested </w:t>
            </w:r>
          </w:p>
        </w:tc>
        <w:tc>
          <w:tcPr>
            <w:tcW w:w="836" w:type="pct"/>
          </w:tcPr>
          <w:p w14:paraId="51B64A6E" w14:textId="6EEC4C85" w:rsidR="007A0ADB" w:rsidRPr="00456248" w:rsidRDefault="007A0ADB">
            <w:pPr>
              <w:pStyle w:val="051Tabletext22"/>
              <w:jc w:val="center"/>
            </w:pPr>
            <w:r w:rsidRPr="00456248">
              <w:t>$1,</w:t>
            </w:r>
            <w:r w:rsidR="004E23E0">
              <w:t>031</w:t>
            </w:r>
          </w:p>
          <w:p w14:paraId="59524091" w14:textId="77777777" w:rsidR="007A0ADB" w:rsidRDefault="007A0ADB">
            <w:pPr>
              <w:pStyle w:val="051Tabletext22"/>
              <w:jc w:val="center"/>
            </w:pPr>
            <w:r w:rsidRPr="00456248">
              <w:t>per proband</w:t>
            </w:r>
          </w:p>
        </w:tc>
      </w:tr>
      <w:tr w:rsidR="007A0ADB" w14:paraId="0998BBEA" w14:textId="77777777">
        <w:tc>
          <w:tcPr>
            <w:tcW w:w="2120" w:type="pct"/>
          </w:tcPr>
          <w:p w14:paraId="33B61B0A" w14:textId="6C5C59DB" w:rsidR="007A0ADB" w:rsidRDefault="007A0ADB">
            <w:pPr>
              <w:pStyle w:val="051Tabletext22"/>
            </w:pPr>
            <w:r w:rsidRPr="000A59A3">
              <w:rPr>
                <w:b/>
              </w:rPr>
              <w:t>Step 2</w:t>
            </w:r>
            <w:r>
              <w:t xml:space="preserve"> – affected individuals with suspected cTTP and their first-degree biological </w:t>
            </w:r>
            <w:r w:rsidR="0065761F">
              <w:t>relatives</w:t>
            </w:r>
            <w:r>
              <w:t xml:space="preserve">. </w:t>
            </w:r>
          </w:p>
          <w:p w14:paraId="6C382253" w14:textId="36361BAB" w:rsidR="007A0ADB" w:rsidRDefault="007A0ADB">
            <w:pPr>
              <w:pStyle w:val="061Tabletext62"/>
            </w:pPr>
            <w:r>
              <w:t xml:space="preserve">Incremental cost is cost of </w:t>
            </w:r>
            <w:r w:rsidRPr="0089162C">
              <w:t>genetic test</w:t>
            </w:r>
            <w:r>
              <w:t>ing per suspected cTTP patient ($1,</w:t>
            </w:r>
            <w:r w:rsidR="008600F2">
              <w:t>0</w:t>
            </w:r>
            <w:r>
              <w:t>00) plus cost of cascade testing in 0.8 siblings</w:t>
            </w:r>
            <w:r w:rsidRPr="003732FF">
              <w:rPr>
                <w:vertAlign w:val="superscript"/>
              </w:rPr>
              <w:t>a</w:t>
            </w:r>
            <w:r>
              <w:t xml:space="preserve"> per proband ($400 x 0.97 x 0.8 = $310).</w:t>
            </w:r>
          </w:p>
          <w:p w14:paraId="4089C63C" w14:textId="57E937D4" w:rsidR="007A0ADB" w:rsidRDefault="007A0ADB">
            <w:pPr>
              <w:pStyle w:val="061Tabletext62"/>
            </w:pPr>
            <w:r>
              <w:t xml:space="preserve">Incremental outcome is diagnostic yield for </w:t>
            </w:r>
            <w:r w:rsidR="0043030A">
              <w:t xml:space="preserve">affected individual </w:t>
            </w:r>
            <w:r>
              <w:t>testing (0.97) plus cascade testing (0.97 x 0.8 x 0.25 = 0.194).</w:t>
            </w:r>
          </w:p>
        </w:tc>
        <w:tc>
          <w:tcPr>
            <w:tcW w:w="786" w:type="pct"/>
          </w:tcPr>
          <w:p w14:paraId="0086BDD9" w14:textId="1757A56F" w:rsidR="007A0ADB" w:rsidRDefault="007A0ADB">
            <w:pPr>
              <w:pStyle w:val="051Tabletext22"/>
              <w:jc w:val="center"/>
            </w:pPr>
            <w:r w:rsidRPr="008D335F">
              <w:t>$</w:t>
            </w:r>
            <w:r>
              <w:t>1,</w:t>
            </w:r>
            <w:r w:rsidR="00D76E2C">
              <w:t>3</w:t>
            </w:r>
            <w:r>
              <w:t>10</w:t>
            </w:r>
          </w:p>
        </w:tc>
        <w:tc>
          <w:tcPr>
            <w:tcW w:w="1258" w:type="pct"/>
          </w:tcPr>
          <w:p w14:paraId="4C2DDD56" w14:textId="77777777" w:rsidR="007A0ADB" w:rsidRDefault="007A0ADB">
            <w:pPr>
              <w:pStyle w:val="051Tabletext22"/>
              <w:jc w:val="center"/>
            </w:pPr>
            <w:r>
              <w:t>1.164</w:t>
            </w:r>
          </w:p>
          <w:p w14:paraId="16910C3B" w14:textId="38101EF9" w:rsidR="007A0ADB" w:rsidRDefault="007A0ADB">
            <w:pPr>
              <w:pStyle w:val="061Tabletext62"/>
              <w:jc w:val="center"/>
            </w:pPr>
            <w:r>
              <w:t xml:space="preserve">proband and </w:t>
            </w:r>
            <w:r>
              <w:br/>
              <w:t xml:space="preserve">biallelic siblings identified </w:t>
            </w:r>
            <w:r>
              <w:br/>
              <w:t xml:space="preserve">per </w:t>
            </w:r>
            <w:r w:rsidR="0043030A">
              <w:t xml:space="preserve">affected individual </w:t>
            </w:r>
            <w:r>
              <w:t>tested</w:t>
            </w:r>
          </w:p>
        </w:tc>
        <w:tc>
          <w:tcPr>
            <w:tcW w:w="836" w:type="pct"/>
          </w:tcPr>
          <w:p w14:paraId="558EE629" w14:textId="55486252" w:rsidR="007A0ADB" w:rsidRDefault="007A0ADB">
            <w:pPr>
              <w:pStyle w:val="051Tabletext22"/>
              <w:jc w:val="center"/>
              <w:rPr>
                <w:b/>
              </w:rPr>
            </w:pPr>
            <w:r w:rsidRPr="00456248">
              <w:rPr>
                <w:b/>
              </w:rPr>
              <w:t>$</w:t>
            </w:r>
            <w:r>
              <w:rPr>
                <w:b/>
              </w:rPr>
              <w:t>1,</w:t>
            </w:r>
            <w:r w:rsidR="004E23E0">
              <w:rPr>
                <w:b/>
              </w:rPr>
              <w:t>125</w:t>
            </w:r>
          </w:p>
          <w:p w14:paraId="66208B9C" w14:textId="77777777" w:rsidR="007A0ADB" w:rsidRPr="00EE6397" w:rsidRDefault="007A0ADB">
            <w:pPr>
              <w:pStyle w:val="061Tabletext62"/>
              <w:jc w:val="center"/>
            </w:pPr>
            <w:r>
              <w:t xml:space="preserve">per proband/ </w:t>
            </w:r>
            <w:r>
              <w:br/>
              <w:t>biallelic sibling</w:t>
            </w:r>
          </w:p>
        </w:tc>
      </w:tr>
    </w:tbl>
    <w:p w14:paraId="436DA420" w14:textId="77777777" w:rsidR="007A0ADB" w:rsidRDefault="007A0ADB" w:rsidP="007A0ADB">
      <w:pPr>
        <w:pStyle w:val="101Tablefootnotes"/>
      </w:pPr>
      <w:r>
        <w:t xml:space="preserve">cTTP = congenital </w:t>
      </w:r>
      <w:r w:rsidRPr="004951AF">
        <w:t>thrombotic thrombocytopenic purpura</w:t>
      </w:r>
      <w:r>
        <w:t>; ICER = incremental cost-effectiveness ratio.</w:t>
      </w:r>
    </w:p>
    <w:p w14:paraId="2786A771" w14:textId="67A4D8C9" w:rsidR="007A0ADB" w:rsidRPr="00976549" w:rsidRDefault="007A0ADB" w:rsidP="000F4316">
      <w:pPr>
        <w:pStyle w:val="111Tablefootnoteslast-nostick"/>
      </w:pPr>
      <w:r>
        <w:t xml:space="preserve">a Assumption that 0.8 siblings per proband undergo cascade testing is </w:t>
      </w:r>
      <w:r w:rsidRPr="000F60F4">
        <w:t>based on Australian family composition data indicating an average of 1.8 children per family</w:t>
      </w:r>
      <w:r>
        <w:t xml:space="preserve"> </w:t>
      </w:r>
      <w:hyperlink r:id="rId25" w:tooltip="Link to Flagpost publication of 2021 Census of Population and Housing" w:history="1">
        <w:r w:rsidRPr="00C85F2C">
          <w:rPr>
            <w:rStyle w:val="Hyperlink"/>
            <w:color w:val="007BB8"/>
            <w:lang w:val="en-US"/>
          </w:rPr>
          <w:t>(Parliamentary Library, 2021 Census of Population and Housing: Quick Summary, Department of Parliamentary Services, 28 June 2022</w:t>
        </w:r>
      </w:hyperlink>
      <w:r>
        <w:t>), noting this includes half siblings and non-biological siblings, so is likely an overestimate.</w:t>
      </w:r>
    </w:p>
    <w:p w14:paraId="4D724208" w14:textId="672B6569" w:rsidR="00DC52E1" w:rsidRPr="00C27345" w:rsidRDefault="00DC52E1" w:rsidP="00DC52E1">
      <w:pPr>
        <w:pStyle w:val="ExecSumHeading3"/>
      </w:pPr>
      <w:bookmarkStart w:id="46" w:name="_Toc216879533"/>
      <w:r>
        <w:t xml:space="preserve">PICO Set 3: </w:t>
      </w:r>
      <w:r w:rsidR="00FE62C3">
        <w:t>ADAMTS13 activity testing for monitoring</w:t>
      </w:r>
      <w:bookmarkEnd w:id="46"/>
    </w:p>
    <w:p w14:paraId="5BB69C45" w14:textId="2BE96EC7" w:rsidR="000F1BD9" w:rsidRDefault="000F1BD9" w:rsidP="000F1BD9">
      <w:pPr>
        <w:pStyle w:val="BodyText"/>
      </w:pPr>
      <w:r>
        <w:t xml:space="preserve">An economic evaluation was </w:t>
      </w:r>
      <w:r w:rsidR="00AC55EA">
        <w:t xml:space="preserve">conducted </w:t>
      </w:r>
      <w:r>
        <w:t xml:space="preserve">comparing: (i) a scenario where patients with iTTP, following clinical response to treatment with PEX for TTP, have their ADAMTS13 activity level routinely monitored for early signs of recurrence; with (ii) a scenario where routine monitoring of </w:t>
      </w:r>
      <w:r>
        <w:lastRenderedPageBreak/>
        <w:t>ADAMTS13 activity is not conducted.</w:t>
      </w:r>
      <w:r w:rsidR="00442E25" w:rsidRPr="00442E25">
        <w:t xml:space="preserve"> </w:t>
      </w:r>
      <w:r w:rsidR="00442E25">
        <w:t>The evaluation is a decision analysis and results are generated by cohort expected value analysis.</w:t>
      </w:r>
    </w:p>
    <w:p w14:paraId="6E8081FE" w14:textId="2F65B956" w:rsidR="00622D3A" w:rsidRDefault="00480D3B" w:rsidP="00622D3A">
      <w:pPr>
        <w:pStyle w:val="BodyText"/>
      </w:pPr>
      <w:r>
        <w:t xml:space="preserve">A summary of the key features of economic evaluation is presented in </w:t>
      </w:r>
      <w:r>
        <w:fldChar w:fldCharType="begin"/>
      </w:r>
      <w:r>
        <w:instrText xml:space="preserve"> REF _Ref213158084 \h </w:instrText>
      </w:r>
      <w:r>
        <w:fldChar w:fldCharType="separate"/>
      </w:r>
      <w:r w:rsidR="00716875">
        <w:t>Table </w:t>
      </w:r>
      <w:r w:rsidR="00716875">
        <w:rPr>
          <w:noProof/>
        </w:rPr>
        <w:t>19</w:t>
      </w:r>
      <w:r>
        <w:fldChar w:fldCharType="end"/>
      </w:r>
      <w:r>
        <w:t xml:space="preserve">. </w:t>
      </w:r>
      <w:r w:rsidR="00622D3A">
        <w:t xml:space="preserve">The key objective of ADAMTS13 routine monitoring is to avoid clinical recurrence. Monitoring is intended to identify patients who would benefit from pre-emptive rituximab treatment to reduce the likelihood of clinical recurrence. The key difference across management arms is how patients with an ADAMTS13 activity that indicates they </w:t>
      </w:r>
      <w:r w:rsidR="00C06EFD">
        <w:t xml:space="preserve">are </w:t>
      </w:r>
      <w:r w:rsidR="00622D3A">
        <w:t>at high risk of deterioration are managed. This drives the incremental differences generated in the economic evaluation.</w:t>
      </w:r>
      <w:r w:rsidR="00980428" w:rsidRPr="00980428">
        <w:t xml:space="preserve"> </w:t>
      </w:r>
      <w:r w:rsidR="00980428">
        <w:t>The approach adopted is, by necessity, pragmatic.</w:t>
      </w:r>
    </w:p>
    <w:p w14:paraId="7D629DEE" w14:textId="255610F6" w:rsidR="00480D3B" w:rsidRPr="00CE28E3" w:rsidRDefault="00480D3B" w:rsidP="00480D3B">
      <w:pPr>
        <w:pStyle w:val="Caption"/>
      </w:pPr>
      <w:bookmarkStart w:id="47" w:name="_Ref213158084"/>
      <w:r>
        <w:t>Table </w:t>
      </w:r>
      <w:r>
        <w:fldChar w:fldCharType="begin"/>
      </w:r>
      <w:r>
        <w:instrText>SEQ Table \* ARABIC</w:instrText>
      </w:r>
      <w:r>
        <w:fldChar w:fldCharType="separate"/>
      </w:r>
      <w:r w:rsidR="00716875">
        <w:rPr>
          <w:noProof/>
        </w:rPr>
        <w:t>19</w:t>
      </w:r>
      <w:r>
        <w:fldChar w:fldCharType="end"/>
      </w:r>
      <w:bookmarkEnd w:id="47"/>
      <w:r w:rsidRPr="00CE28E3">
        <w:tab/>
        <w:t>Summary of economic evaluation</w:t>
      </w:r>
      <w:r w:rsidR="00DA5CD2">
        <w:t>: ADAMTS13 activity testing for monitoring</w:t>
      </w:r>
      <w:r w:rsidRPr="00CE28E3">
        <w:t xml:space="preserve"> </w:t>
      </w:r>
      <w:r>
        <w:t>(PICO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the economic evaluation "/>
        <w:tblDescription w:val="This table describes the key constructs of the economic evaluation that is provided in the assessment report."/>
      </w:tblPr>
      <w:tblGrid>
        <w:gridCol w:w="2122"/>
        <w:gridCol w:w="6894"/>
      </w:tblGrid>
      <w:tr w:rsidR="00480D3B" w:rsidRPr="00CE28E3" w14:paraId="5F3CCC0D" w14:textId="77777777" w:rsidTr="009F2776">
        <w:trPr>
          <w:tblHeader/>
        </w:trPr>
        <w:tc>
          <w:tcPr>
            <w:tcW w:w="1177" w:type="pct"/>
          </w:tcPr>
          <w:p w14:paraId="4B51AF51" w14:textId="77777777" w:rsidR="00480D3B" w:rsidRPr="000449D1" w:rsidRDefault="00480D3B" w:rsidP="000F4316">
            <w:pPr>
              <w:pStyle w:val="011TableHeading"/>
              <w:spacing w:before="0" w:after="0"/>
            </w:pPr>
            <w:r w:rsidRPr="000449D1">
              <w:t>Component</w:t>
            </w:r>
          </w:p>
        </w:tc>
        <w:tc>
          <w:tcPr>
            <w:tcW w:w="3823" w:type="pct"/>
          </w:tcPr>
          <w:p w14:paraId="17BF9A02" w14:textId="77777777" w:rsidR="00480D3B" w:rsidRPr="000449D1" w:rsidRDefault="00480D3B" w:rsidP="000F4316">
            <w:pPr>
              <w:pStyle w:val="011TableHeading"/>
              <w:spacing w:before="0" w:after="0"/>
            </w:pPr>
            <w:r w:rsidRPr="000449D1">
              <w:t>Description</w:t>
            </w:r>
          </w:p>
        </w:tc>
      </w:tr>
      <w:tr w:rsidR="00480D3B" w:rsidRPr="000449D1" w14:paraId="469CF2F7" w14:textId="77777777" w:rsidTr="009F2776">
        <w:tc>
          <w:tcPr>
            <w:tcW w:w="1177" w:type="pct"/>
          </w:tcPr>
          <w:p w14:paraId="3A6CE74A" w14:textId="77777777" w:rsidR="00480D3B" w:rsidRPr="000449D1" w:rsidRDefault="00480D3B" w:rsidP="000F4316">
            <w:pPr>
              <w:pStyle w:val="051Tabletext22"/>
              <w:keepNext/>
              <w:spacing w:before="0" w:after="0"/>
            </w:pPr>
            <w:r w:rsidRPr="000449D1">
              <w:t>Perspective</w:t>
            </w:r>
          </w:p>
        </w:tc>
        <w:tc>
          <w:tcPr>
            <w:tcW w:w="3823" w:type="pct"/>
          </w:tcPr>
          <w:p w14:paraId="7EF1D02E" w14:textId="77777777" w:rsidR="00480D3B" w:rsidRPr="000449D1" w:rsidRDefault="00480D3B" w:rsidP="000F4316">
            <w:pPr>
              <w:pStyle w:val="051Tabletext22"/>
              <w:keepNext/>
              <w:spacing w:before="0" w:after="0"/>
            </w:pPr>
            <w:r>
              <w:t>Australian h</w:t>
            </w:r>
            <w:r w:rsidRPr="000449D1">
              <w:t>ealth care system perspective</w:t>
            </w:r>
          </w:p>
        </w:tc>
      </w:tr>
      <w:tr w:rsidR="00480D3B" w:rsidRPr="000449D1" w14:paraId="1C993587" w14:textId="77777777" w:rsidTr="009F2776">
        <w:trPr>
          <w:tblHeader/>
        </w:trPr>
        <w:tc>
          <w:tcPr>
            <w:tcW w:w="1177" w:type="pct"/>
          </w:tcPr>
          <w:p w14:paraId="0E21CEFE" w14:textId="77777777" w:rsidR="00480D3B" w:rsidRPr="000449D1" w:rsidRDefault="00480D3B" w:rsidP="000F4316">
            <w:pPr>
              <w:pStyle w:val="051Tabletext22"/>
              <w:spacing w:before="0" w:after="0"/>
            </w:pPr>
            <w:r w:rsidRPr="000449D1">
              <w:t>Population</w:t>
            </w:r>
          </w:p>
        </w:tc>
        <w:tc>
          <w:tcPr>
            <w:tcW w:w="3823" w:type="pct"/>
          </w:tcPr>
          <w:p w14:paraId="420E90E8" w14:textId="11FA3249" w:rsidR="00480D3B" w:rsidRPr="00C036E1" w:rsidRDefault="00480D3B" w:rsidP="000F4316">
            <w:pPr>
              <w:pStyle w:val="051Tabletext22"/>
              <w:spacing w:before="0" w:after="0"/>
            </w:pPr>
            <w:r w:rsidRPr="00C036E1">
              <w:t xml:space="preserve">Patients </w:t>
            </w:r>
            <w:r>
              <w:t xml:space="preserve">achieving a clinical response following treatment with PEX for </w:t>
            </w:r>
            <w:r w:rsidR="006B2158">
              <w:t>i</w:t>
            </w:r>
            <w:r>
              <w:t>TTP</w:t>
            </w:r>
          </w:p>
        </w:tc>
      </w:tr>
      <w:tr w:rsidR="00480D3B" w:rsidRPr="000449D1" w14:paraId="4D5B553B" w14:textId="77777777" w:rsidTr="009F2776">
        <w:tc>
          <w:tcPr>
            <w:tcW w:w="1177" w:type="pct"/>
          </w:tcPr>
          <w:p w14:paraId="3CA7446D" w14:textId="77777777" w:rsidR="00480D3B" w:rsidRPr="000449D1" w:rsidRDefault="00480D3B" w:rsidP="000F4316">
            <w:pPr>
              <w:pStyle w:val="051Tabletext22"/>
              <w:spacing w:before="0" w:after="0"/>
            </w:pPr>
            <w:r w:rsidRPr="000449D1">
              <w:t>Prior testing</w:t>
            </w:r>
          </w:p>
        </w:tc>
        <w:tc>
          <w:tcPr>
            <w:tcW w:w="3823" w:type="pct"/>
          </w:tcPr>
          <w:p w14:paraId="77F8CEE7" w14:textId="09C5E8A6" w:rsidR="00480D3B" w:rsidRDefault="00480D3B" w:rsidP="000F4316">
            <w:pPr>
              <w:pStyle w:val="051Tabletext22"/>
              <w:spacing w:before="0" w:after="0"/>
            </w:pPr>
            <w:r>
              <w:t>Prior confirmation of iTTP with ADAMTS13 activity testing and anti-ADAMTS13 autoantibody tests</w:t>
            </w:r>
          </w:p>
          <w:p w14:paraId="1F2674CC" w14:textId="30018667" w:rsidR="00480D3B" w:rsidRPr="000449D1" w:rsidRDefault="00480D3B" w:rsidP="000F4316">
            <w:pPr>
              <w:pStyle w:val="051Tabletext22"/>
              <w:spacing w:before="0" w:after="0"/>
            </w:pPr>
            <w:r>
              <w:t>Confirmation of clinical response to PEX including platelet count recovery (i.e. &gt;150</w:t>
            </w:r>
            <w:r w:rsidR="005E13FE">
              <w:t> </w:t>
            </w:r>
            <w:r>
              <w:t>x</w:t>
            </w:r>
            <w:r w:rsidR="005E13FE">
              <w:t> </w:t>
            </w:r>
            <w:r>
              <w:t>10</w:t>
            </w:r>
            <w:r w:rsidRPr="00174824">
              <w:rPr>
                <w:vertAlign w:val="superscript"/>
              </w:rPr>
              <w:t>9</w:t>
            </w:r>
            <w:r>
              <w:t>/L for at least 2 days) and decrease in LDH</w:t>
            </w:r>
          </w:p>
        </w:tc>
      </w:tr>
      <w:tr w:rsidR="00480D3B" w:rsidRPr="000449D1" w14:paraId="50C350AA" w14:textId="77777777" w:rsidTr="009F2776">
        <w:tc>
          <w:tcPr>
            <w:tcW w:w="1177" w:type="pct"/>
          </w:tcPr>
          <w:p w14:paraId="43E18A08" w14:textId="77777777" w:rsidR="00480D3B" w:rsidRPr="000449D1" w:rsidRDefault="00480D3B" w:rsidP="000F4316">
            <w:pPr>
              <w:pStyle w:val="051Tabletext22"/>
              <w:spacing w:before="0" w:after="0"/>
            </w:pPr>
            <w:r>
              <w:t>Intervention</w:t>
            </w:r>
          </w:p>
        </w:tc>
        <w:tc>
          <w:tcPr>
            <w:tcW w:w="3823" w:type="pct"/>
          </w:tcPr>
          <w:p w14:paraId="3E792754" w14:textId="0CB4A16C" w:rsidR="00480D3B" w:rsidRDefault="00480D3B" w:rsidP="000F4316">
            <w:pPr>
              <w:pStyle w:val="051Tabletext22"/>
              <w:spacing w:before="0" w:after="0"/>
            </w:pPr>
            <w:r>
              <w:t>Routine monitoring of ADAMTS13 activity level to identify patients with early signs of clinical recurrence</w:t>
            </w:r>
            <w:r w:rsidR="008417CB">
              <w:t xml:space="preserve"> (monitoring is assumed to be conducted </w:t>
            </w:r>
            <w:r w:rsidR="008417CB" w:rsidRPr="00735607">
              <w:t>weekly for 30 days,</w:t>
            </w:r>
            <w:r w:rsidR="008417CB">
              <w:t xml:space="preserve"> every</w:t>
            </w:r>
            <w:r w:rsidR="008417CB" w:rsidRPr="00735607">
              <w:t xml:space="preserve"> 3</w:t>
            </w:r>
            <w:r w:rsidR="008417CB">
              <w:t xml:space="preserve"> </w:t>
            </w:r>
            <w:r w:rsidR="008417CB" w:rsidRPr="00735607">
              <w:t>month</w:t>
            </w:r>
            <w:r w:rsidR="008417CB">
              <w:t>s</w:t>
            </w:r>
            <w:r w:rsidR="008417CB" w:rsidRPr="00735607">
              <w:t xml:space="preserve"> for 1</w:t>
            </w:r>
            <w:r w:rsidR="008417CB">
              <w:t xml:space="preserve"> </w:t>
            </w:r>
            <w:r w:rsidR="008417CB" w:rsidRPr="00735607">
              <w:t>year then 3-6 monthly [Masias &amp; Cataland 2018])</w:t>
            </w:r>
          </w:p>
        </w:tc>
      </w:tr>
      <w:tr w:rsidR="00480D3B" w:rsidRPr="000449D1" w14:paraId="1FD879AF" w14:textId="77777777" w:rsidTr="009F2776">
        <w:tc>
          <w:tcPr>
            <w:tcW w:w="1177" w:type="pct"/>
          </w:tcPr>
          <w:p w14:paraId="6FFA5941" w14:textId="77777777" w:rsidR="00480D3B" w:rsidRPr="000449D1" w:rsidRDefault="00480D3B" w:rsidP="000F4316">
            <w:pPr>
              <w:pStyle w:val="051Tabletext22"/>
              <w:spacing w:before="0" w:after="0"/>
            </w:pPr>
            <w:r w:rsidRPr="000449D1">
              <w:t>Comparator</w:t>
            </w:r>
          </w:p>
        </w:tc>
        <w:tc>
          <w:tcPr>
            <w:tcW w:w="3823" w:type="pct"/>
          </w:tcPr>
          <w:p w14:paraId="723F0819" w14:textId="7EB50E4F" w:rsidR="00480D3B" w:rsidRPr="000449D1" w:rsidRDefault="00480D3B" w:rsidP="000F4316">
            <w:pPr>
              <w:pStyle w:val="051Tabletext22"/>
              <w:spacing w:before="0" w:after="0"/>
            </w:pPr>
            <w:r>
              <w:t>No routine monitoring of ADAMTS13 activity level following treatment of a</w:t>
            </w:r>
            <w:r w:rsidR="00F611FB">
              <w:t>n</w:t>
            </w:r>
            <w:r>
              <w:t xml:space="preserve"> </w:t>
            </w:r>
            <w:r w:rsidR="00F611FB">
              <w:t>i</w:t>
            </w:r>
            <w:r>
              <w:t>TTP event with PEX</w:t>
            </w:r>
            <w:r w:rsidR="005E13FE">
              <w:t>; c</w:t>
            </w:r>
            <w:r>
              <w:t>linical management is based on symptoms and platelet counts</w:t>
            </w:r>
          </w:p>
        </w:tc>
      </w:tr>
      <w:tr w:rsidR="00480D3B" w:rsidRPr="000449D1" w14:paraId="2F308024" w14:textId="77777777" w:rsidTr="009F2776">
        <w:tc>
          <w:tcPr>
            <w:tcW w:w="1177" w:type="pct"/>
          </w:tcPr>
          <w:p w14:paraId="4EC0F4A2" w14:textId="77777777" w:rsidR="00480D3B" w:rsidRPr="000449D1" w:rsidRDefault="00480D3B" w:rsidP="000F4316">
            <w:pPr>
              <w:pStyle w:val="051Tabletext22"/>
              <w:spacing w:before="0" w:after="0"/>
            </w:pPr>
            <w:r w:rsidRPr="000449D1">
              <w:t>Type of analysis</w:t>
            </w:r>
          </w:p>
        </w:tc>
        <w:tc>
          <w:tcPr>
            <w:tcW w:w="3823" w:type="pct"/>
          </w:tcPr>
          <w:p w14:paraId="5B75BE52" w14:textId="77777777" w:rsidR="00480D3B" w:rsidRPr="000449D1" w:rsidRDefault="00480D3B" w:rsidP="000F4316">
            <w:pPr>
              <w:pStyle w:val="051Tabletext22"/>
              <w:spacing w:before="0" w:after="0"/>
            </w:pPr>
            <w:r>
              <w:t>C</w:t>
            </w:r>
            <w:r w:rsidRPr="000449D1">
              <w:t>ost-effectiveness analysis</w:t>
            </w:r>
          </w:p>
        </w:tc>
      </w:tr>
      <w:tr w:rsidR="00480D3B" w:rsidRPr="000449D1" w14:paraId="283A0025" w14:textId="77777777" w:rsidTr="009F2776">
        <w:tc>
          <w:tcPr>
            <w:tcW w:w="1177" w:type="pct"/>
          </w:tcPr>
          <w:p w14:paraId="72B0B9D2" w14:textId="77777777" w:rsidR="00480D3B" w:rsidRPr="000449D1" w:rsidRDefault="00480D3B" w:rsidP="000F4316">
            <w:pPr>
              <w:pStyle w:val="051Tabletext22"/>
              <w:spacing w:before="0" w:after="0"/>
            </w:pPr>
            <w:r w:rsidRPr="000449D1">
              <w:t>Outcomes</w:t>
            </w:r>
          </w:p>
        </w:tc>
        <w:tc>
          <w:tcPr>
            <w:tcW w:w="3823" w:type="pct"/>
          </w:tcPr>
          <w:p w14:paraId="00D597D7" w14:textId="77777777" w:rsidR="00480D3B" w:rsidRPr="000449D1" w:rsidRDefault="00480D3B" w:rsidP="000F4316">
            <w:pPr>
              <w:pStyle w:val="051Tabletext22"/>
              <w:spacing w:before="0" w:after="0"/>
            </w:pPr>
            <w:r>
              <w:t>Clinical recurrence events avoided</w:t>
            </w:r>
          </w:p>
        </w:tc>
      </w:tr>
      <w:tr w:rsidR="00480D3B" w:rsidRPr="000449D1" w14:paraId="40BD99EA" w14:textId="77777777" w:rsidTr="009F2776">
        <w:tc>
          <w:tcPr>
            <w:tcW w:w="1177" w:type="pct"/>
          </w:tcPr>
          <w:p w14:paraId="542463BE" w14:textId="77777777" w:rsidR="00480D3B" w:rsidRPr="000449D1" w:rsidRDefault="00480D3B" w:rsidP="000F4316">
            <w:pPr>
              <w:pStyle w:val="051Tabletext22"/>
              <w:spacing w:before="0" w:after="0"/>
            </w:pPr>
            <w:r w:rsidRPr="000449D1">
              <w:t>Time horizon</w:t>
            </w:r>
          </w:p>
        </w:tc>
        <w:tc>
          <w:tcPr>
            <w:tcW w:w="3823" w:type="pct"/>
          </w:tcPr>
          <w:p w14:paraId="13135F7B" w14:textId="77777777" w:rsidR="00480D3B" w:rsidRPr="000449D1" w:rsidRDefault="00480D3B" w:rsidP="000F4316">
            <w:pPr>
              <w:pStyle w:val="051Tabletext22"/>
              <w:spacing w:before="0" w:after="0"/>
            </w:pPr>
            <w:r>
              <w:t>2 years</w:t>
            </w:r>
          </w:p>
        </w:tc>
      </w:tr>
      <w:tr w:rsidR="00480D3B" w:rsidRPr="000449D1" w14:paraId="413939EF" w14:textId="77777777" w:rsidTr="009F2776">
        <w:tc>
          <w:tcPr>
            <w:tcW w:w="1177" w:type="pct"/>
          </w:tcPr>
          <w:p w14:paraId="44C68278" w14:textId="77777777" w:rsidR="00480D3B" w:rsidRPr="000449D1" w:rsidRDefault="00480D3B" w:rsidP="000F4316">
            <w:pPr>
              <w:pStyle w:val="051Tabletext22"/>
              <w:spacing w:before="0" w:after="0"/>
            </w:pPr>
            <w:r w:rsidRPr="000449D1">
              <w:t>Computational method</w:t>
            </w:r>
          </w:p>
        </w:tc>
        <w:tc>
          <w:tcPr>
            <w:tcW w:w="3823" w:type="pct"/>
          </w:tcPr>
          <w:p w14:paraId="0E8814FB" w14:textId="77777777" w:rsidR="00480D3B" w:rsidRPr="000449D1" w:rsidRDefault="00480D3B" w:rsidP="000F4316">
            <w:pPr>
              <w:pStyle w:val="051Tabletext22"/>
              <w:spacing w:before="0" w:after="0"/>
            </w:pPr>
            <w:r>
              <w:t>Cohort</w:t>
            </w:r>
            <w:r w:rsidRPr="000449D1">
              <w:t xml:space="preserve"> expected value</w:t>
            </w:r>
            <w:r>
              <w:t xml:space="preserve"> decision analysis</w:t>
            </w:r>
          </w:p>
        </w:tc>
      </w:tr>
      <w:tr w:rsidR="00480D3B" w:rsidRPr="000449D1" w14:paraId="30514584" w14:textId="77777777" w:rsidTr="009F2776">
        <w:tc>
          <w:tcPr>
            <w:tcW w:w="1177" w:type="pct"/>
          </w:tcPr>
          <w:p w14:paraId="4B706FC6" w14:textId="77777777" w:rsidR="00480D3B" w:rsidRPr="000449D1" w:rsidRDefault="00480D3B" w:rsidP="000F4316">
            <w:pPr>
              <w:pStyle w:val="051Tabletext22"/>
              <w:spacing w:before="0" w:after="0"/>
            </w:pPr>
            <w:r w:rsidRPr="000449D1">
              <w:t>Generation of the base case</w:t>
            </w:r>
          </w:p>
        </w:tc>
        <w:tc>
          <w:tcPr>
            <w:tcW w:w="3823" w:type="pct"/>
          </w:tcPr>
          <w:p w14:paraId="4C3BEAFF" w14:textId="77777777" w:rsidR="005E13FE" w:rsidRDefault="00480D3B" w:rsidP="000F4316">
            <w:pPr>
              <w:pStyle w:val="051Tabletext22"/>
              <w:spacing w:before="0" w:after="0"/>
            </w:pPr>
            <w:r>
              <w:t>Modelled economic evaluation</w:t>
            </w:r>
          </w:p>
          <w:p w14:paraId="337CD2A0" w14:textId="2FBAC6C7" w:rsidR="00480D3B" w:rsidRPr="000449D1" w:rsidRDefault="005E13FE" w:rsidP="000F4316">
            <w:pPr>
              <w:pStyle w:val="051Tabletext22"/>
              <w:spacing w:before="0" w:after="0"/>
            </w:pPr>
            <w:r>
              <w:t>C</w:t>
            </w:r>
            <w:r w:rsidR="00480D3B">
              <w:t>linical inputs were estimated based on data from the French TMA Reference Centre registry (</w:t>
            </w:r>
            <w:r w:rsidR="00480D3B" w:rsidRPr="00480D3B">
              <w:t>Hie et al. 2014)</w:t>
            </w:r>
          </w:p>
        </w:tc>
      </w:tr>
      <w:tr w:rsidR="00480D3B" w:rsidRPr="000449D1" w14:paraId="50D7B6D1" w14:textId="77777777" w:rsidTr="009F2776">
        <w:tc>
          <w:tcPr>
            <w:tcW w:w="1177" w:type="pct"/>
          </w:tcPr>
          <w:p w14:paraId="38E4AED2" w14:textId="77777777" w:rsidR="00480D3B" w:rsidRPr="000449D1" w:rsidRDefault="00480D3B" w:rsidP="000F4316">
            <w:pPr>
              <w:pStyle w:val="051Tabletext22"/>
              <w:spacing w:before="0" w:after="0"/>
            </w:pPr>
            <w:r w:rsidRPr="000449D1">
              <w:t>Health states</w:t>
            </w:r>
          </w:p>
        </w:tc>
        <w:tc>
          <w:tcPr>
            <w:tcW w:w="3823" w:type="pct"/>
          </w:tcPr>
          <w:p w14:paraId="66A524B9" w14:textId="77777777" w:rsidR="004854F1" w:rsidRDefault="00480D3B" w:rsidP="000F4316">
            <w:pPr>
              <w:pStyle w:val="051Tabletext22"/>
              <w:spacing w:before="0" w:after="0"/>
            </w:pPr>
            <w:r w:rsidRPr="00BE2662">
              <w:t>Model is a decision analysis</w:t>
            </w:r>
          </w:p>
          <w:p w14:paraId="38138E46" w14:textId="0612B77C" w:rsidR="00480D3B" w:rsidRPr="000449D1" w:rsidRDefault="00480D3B" w:rsidP="000F4316">
            <w:pPr>
              <w:pStyle w:val="051Tabletext22"/>
              <w:spacing w:before="0" w:after="0"/>
            </w:pPr>
            <w:r w:rsidRPr="00BE2662">
              <w:t xml:space="preserve">Terminal states reflect either </w:t>
            </w:r>
            <w:r>
              <w:t>deterioration of a patient to clinical recurrence or no deterioration to clinical recurrence</w:t>
            </w:r>
          </w:p>
        </w:tc>
      </w:tr>
      <w:tr w:rsidR="00480D3B" w:rsidRPr="000449D1" w14:paraId="76239000" w14:textId="77777777" w:rsidTr="009F2776">
        <w:tc>
          <w:tcPr>
            <w:tcW w:w="1177" w:type="pct"/>
          </w:tcPr>
          <w:p w14:paraId="7E8D5CDE" w14:textId="77777777" w:rsidR="00480D3B" w:rsidRPr="000449D1" w:rsidRDefault="00480D3B" w:rsidP="000F4316">
            <w:pPr>
              <w:pStyle w:val="051Tabletext22"/>
              <w:spacing w:before="0" w:after="0"/>
            </w:pPr>
            <w:r w:rsidRPr="000449D1">
              <w:t>Cycle length</w:t>
            </w:r>
          </w:p>
        </w:tc>
        <w:tc>
          <w:tcPr>
            <w:tcW w:w="3823" w:type="pct"/>
          </w:tcPr>
          <w:p w14:paraId="1030B4E6" w14:textId="77777777" w:rsidR="00480D3B" w:rsidRPr="000449D1" w:rsidRDefault="00480D3B" w:rsidP="000F4316">
            <w:pPr>
              <w:pStyle w:val="051Tabletext22"/>
              <w:spacing w:before="0" w:after="0"/>
            </w:pPr>
            <w:r>
              <w:t>Not applicable</w:t>
            </w:r>
          </w:p>
        </w:tc>
      </w:tr>
      <w:tr w:rsidR="00480D3B" w:rsidRPr="000449D1" w14:paraId="08F7CAC6" w14:textId="77777777" w:rsidTr="009F2776">
        <w:tc>
          <w:tcPr>
            <w:tcW w:w="1177" w:type="pct"/>
          </w:tcPr>
          <w:p w14:paraId="4D5854B3" w14:textId="77777777" w:rsidR="00480D3B" w:rsidRPr="000449D1" w:rsidRDefault="00480D3B" w:rsidP="000F4316">
            <w:pPr>
              <w:pStyle w:val="051Tabletext22"/>
              <w:spacing w:before="0" w:after="0"/>
            </w:pPr>
            <w:r w:rsidRPr="000449D1">
              <w:t>Transition probabilities</w:t>
            </w:r>
          </w:p>
        </w:tc>
        <w:tc>
          <w:tcPr>
            <w:tcW w:w="3823" w:type="pct"/>
          </w:tcPr>
          <w:p w14:paraId="50B624E1" w14:textId="0B4DC1CE" w:rsidR="00480D3B" w:rsidRPr="00480D3B" w:rsidRDefault="00480D3B" w:rsidP="000F4316">
            <w:pPr>
              <w:pStyle w:val="051Tabletext22"/>
              <w:spacing w:before="0" w:after="0"/>
            </w:pPr>
            <w:r>
              <w:t xml:space="preserve">Transitions in the model were estimated based on data reported by </w:t>
            </w:r>
            <w:r w:rsidRPr="00480D3B">
              <w:t xml:space="preserve">Hie et al. </w:t>
            </w:r>
            <w:r w:rsidR="005A4837">
              <w:t>(</w:t>
            </w:r>
            <w:r w:rsidRPr="00480D3B">
              <w:t>2014</w:t>
            </w:r>
            <w:r w:rsidR="005A4837">
              <w:t>)</w:t>
            </w:r>
          </w:p>
          <w:p w14:paraId="76B19B02" w14:textId="28DEB018" w:rsidR="00480D3B" w:rsidRDefault="005A4837" w:rsidP="000F4316">
            <w:pPr>
              <w:pStyle w:val="051Tabletext22"/>
              <w:spacing w:before="0" w:after="0"/>
            </w:pPr>
            <w:r>
              <w:t>P</w:t>
            </w:r>
            <w:r w:rsidR="00480D3B" w:rsidRPr="00480D3B">
              <w:t>roportion of patients</w:t>
            </w:r>
            <w:r w:rsidR="00480D3B">
              <w:t xml:space="preserve"> with an ADAMTS13 activity level &lt;10% (20.6%) was the same in both the comparator and intervention arm</w:t>
            </w:r>
            <w:r w:rsidR="00096ACD">
              <w:t>; t</w:t>
            </w:r>
            <w:r w:rsidR="00480D3B">
              <w:t>his proportion would be known in the intervention arm but unknown (though still applicable) in the comparator arm</w:t>
            </w:r>
          </w:p>
          <w:p w14:paraId="1694A2AD" w14:textId="1C9F1BF2" w:rsidR="00480D3B" w:rsidRPr="000449D1" w:rsidRDefault="00096ACD" w:rsidP="000F4316">
            <w:pPr>
              <w:pStyle w:val="051Tabletext22"/>
              <w:spacing w:before="0" w:after="0"/>
            </w:pPr>
            <w:r>
              <w:t>P</w:t>
            </w:r>
            <w:r w:rsidR="00480D3B">
              <w:t>roportion of patients with an ADAMTS13 activity level ≥10% deteriorating to recurrence is the same in both arms given that pre-emptive rituximab is only administered to those with ADAMTS13 activity level &lt;10</w:t>
            </w:r>
            <w:r w:rsidR="007605A1">
              <w:t>%; difference</w:t>
            </w:r>
            <w:r w:rsidR="00480D3B">
              <w:t xml:space="preserve"> in outcomes generated by the economic model is due to use of pre-emptive rituximab only in the proportion of patients with an ADAMTS13 activity level &lt;10%</w:t>
            </w:r>
          </w:p>
        </w:tc>
      </w:tr>
      <w:tr w:rsidR="00480D3B" w:rsidRPr="000449D1" w14:paraId="575F735F" w14:textId="77777777" w:rsidTr="009F2776">
        <w:tc>
          <w:tcPr>
            <w:tcW w:w="1177" w:type="pct"/>
          </w:tcPr>
          <w:p w14:paraId="252AD364" w14:textId="77777777" w:rsidR="00480D3B" w:rsidRPr="000449D1" w:rsidRDefault="00480D3B" w:rsidP="000F4316">
            <w:pPr>
              <w:pStyle w:val="051Tabletext22"/>
              <w:spacing w:before="0" w:after="0"/>
            </w:pPr>
            <w:r w:rsidRPr="000449D1">
              <w:t>Discount rate</w:t>
            </w:r>
          </w:p>
        </w:tc>
        <w:tc>
          <w:tcPr>
            <w:tcW w:w="3823" w:type="pct"/>
          </w:tcPr>
          <w:p w14:paraId="76FC6569" w14:textId="4FD63E6D" w:rsidR="00480D3B" w:rsidRPr="000449D1" w:rsidRDefault="00480D3B" w:rsidP="000F4316">
            <w:pPr>
              <w:pStyle w:val="051Tabletext22"/>
              <w:spacing w:before="0" w:after="0"/>
            </w:pPr>
            <w:r>
              <w:t>No discounting applied</w:t>
            </w:r>
            <w:r w:rsidR="00AE626B">
              <w:t>; t</w:t>
            </w:r>
            <w:r>
              <w:t>he time horizon is short and individual timing of recurrence events is unknown, making the application of discounting for costs and outcomes accruing beyond 1 year uncertain</w:t>
            </w:r>
          </w:p>
        </w:tc>
      </w:tr>
      <w:tr w:rsidR="00480D3B" w:rsidRPr="000449D1" w14:paraId="597417DA" w14:textId="77777777" w:rsidTr="009F2776">
        <w:tc>
          <w:tcPr>
            <w:tcW w:w="1177" w:type="pct"/>
          </w:tcPr>
          <w:p w14:paraId="03D9D50A" w14:textId="77777777" w:rsidR="00480D3B" w:rsidRPr="000449D1" w:rsidRDefault="00480D3B" w:rsidP="000F4316">
            <w:pPr>
              <w:pStyle w:val="051Tabletext22"/>
              <w:spacing w:before="0" w:after="0"/>
            </w:pPr>
            <w:r w:rsidRPr="000449D1">
              <w:t>Software</w:t>
            </w:r>
          </w:p>
        </w:tc>
        <w:tc>
          <w:tcPr>
            <w:tcW w:w="3823" w:type="pct"/>
          </w:tcPr>
          <w:p w14:paraId="56CE85B9" w14:textId="77777777" w:rsidR="00480D3B" w:rsidRPr="000449D1" w:rsidRDefault="00480D3B" w:rsidP="000F4316">
            <w:pPr>
              <w:pStyle w:val="051Tabletext22"/>
              <w:spacing w:before="0" w:after="0"/>
            </w:pPr>
            <w:r w:rsidRPr="000449D1">
              <w:t>TreeAge Pro</w:t>
            </w:r>
          </w:p>
        </w:tc>
      </w:tr>
    </w:tbl>
    <w:p w14:paraId="55C3D937" w14:textId="2A39D9EC" w:rsidR="00480D3B" w:rsidRPr="000F3E90" w:rsidRDefault="00480D3B" w:rsidP="00480D3B">
      <w:pPr>
        <w:pStyle w:val="111Tablefootnoteslast-nostick"/>
      </w:pPr>
      <w:r>
        <w:t xml:space="preserve">iTTP = immune-mediated TTP; LDH = lactate dehydrogenase; </w:t>
      </w:r>
      <w:r w:rsidRPr="000F3E90">
        <w:t>PEX = plasma exchange</w:t>
      </w:r>
      <w:r w:rsidR="00C22F7F">
        <w:t xml:space="preserve"> therapy</w:t>
      </w:r>
      <w:r w:rsidRPr="000F3E90">
        <w:t xml:space="preserve">; </w:t>
      </w:r>
      <w:r>
        <w:t xml:space="preserve">TMA = thrombotic microangiopathy; </w:t>
      </w:r>
      <w:r w:rsidRPr="000F3E90">
        <w:t>TTP = thrombotic thrombocytopenic purpura</w:t>
      </w:r>
      <w:r w:rsidR="00C22F7F">
        <w:t>.</w:t>
      </w:r>
    </w:p>
    <w:p w14:paraId="12A9D98B" w14:textId="7368D20D" w:rsidR="00324363" w:rsidRDefault="00120FA5" w:rsidP="00324363">
      <w:pPr>
        <w:pStyle w:val="BodyText"/>
      </w:pPr>
      <w:r>
        <w:rPr>
          <w:rFonts w:eastAsiaTheme="minorHAnsi"/>
        </w:rPr>
        <w:t xml:space="preserve">The structure of the economic model is summarised in </w:t>
      </w:r>
      <w:r w:rsidR="00DD006D">
        <w:rPr>
          <w:rFonts w:eastAsiaTheme="minorHAnsi"/>
        </w:rPr>
        <w:fldChar w:fldCharType="begin"/>
      </w:r>
      <w:r w:rsidR="00DD006D">
        <w:rPr>
          <w:rFonts w:eastAsiaTheme="minorHAnsi"/>
        </w:rPr>
        <w:instrText xml:space="preserve"> REF _Ref213158656 \h </w:instrText>
      </w:r>
      <w:r w:rsidR="00DD006D">
        <w:rPr>
          <w:rFonts w:eastAsiaTheme="minorHAnsi"/>
        </w:rPr>
      </w:r>
      <w:r w:rsidR="00DD006D">
        <w:rPr>
          <w:rFonts w:eastAsiaTheme="minorHAnsi"/>
        </w:rPr>
        <w:fldChar w:fldCharType="separate"/>
      </w:r>
      <w:r w:rsidR="00716875">
        <w:t xml:space="preserve">Figure </w:t>
      </w:r>
      <w:r w:rsidR="00716875">
        <w:rPr>
          <w:noProof/>
        </w:rPr>
        <w:t>6</w:t>
      </w:r>
      <w:r w:rsidR="00DD006D">
        <w:rPr>
          <w:rFonts w:eastAsiaTheme="minorHAnsi"/>
        </w:rPr>
        <w:fldChar w:fldCharType="end"/>
      </w:r>
      <w:r w:rsidR="005370B6">
        <w:rPr>
          <w:rFonts w:eastAsiaTheme="minorHAnsi"/>
        </w:rPr>
        <w:t>.</w:t>
      </w:r>
    </w:p>
    <w:p w14:paraId="190B5914" w14:textId="77777777" w:rsidR="00324363" w:rsidRDefault="00324363" w:rsidP="00324363">
      <w:pPr>
        <w:pStyle w:val="BodyText"/>
        <w:sectPr w:rsidR="00324363" w:rsidSect="00AB42A8">
          <w:pgSz w:w="11906" w:h="16838"/>
          <w:pgMar w:top="1440" w:right="1440" w:bottom="1440" w:left="1440" w:header="850" w:footer="709" w:gutter="0"/>
          <w:cols w:space="708"/>
          <w:docGrid w:linePitch="360"/>
        </w:sectPr>
      </w:pPr>
    </w:p>
    <w:p w14:paraId="266E9823" w14:textId="7B3BC4D6" w:rsidR="008E433A" w:rsidRPr="008E433A" w:rsidRDefault="00E636D6" w:rsidP="008E433A">
      <w:pPr>
        <w:pBdr>
          <w:top w:val="single" w:sz="4" w:space="1" w:color="auto"/>
          <w:left w:val="single" w:sz="4" w:space="4" w:color="auto"/>
          <w:bottom w:val="single" w:sz="4" w:space="1" w:color="auto"/>
          <w:right w:val="single" w:sz="4" w:space="4" w:color="auto"/>
        </w:pBdr>
        <w:spacing w:after="40"/>
      </w:pPr>
      <w:r>
        <w:rPr>
          <w:noProof/>
        </w:rPr>
        <w:lastRenderedPageBreak/>
        <w:drawing>
          <wp:inline distT="0" distB="0" distL="0" distR="0" wp14:anchorId="045626B3" wp14:editId="6A9A04F3">
            <wp:extent cx="8426010" cy="1498342"/>
            <wp:effectExtent l="0" t="0" r="0" b="6985"/>
            <wp:docPr id="20" name="Picture 20" descr="Image of the decision tree used to conduct the economic analysis comparing monitoring of ADAMTS13 activity levels to clinical monitoring without ADAMTS13 activity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mage of the decision tree used to conduct the economic analysis comparing monitoring of ADAMTS13 activity levels to clinical monitoring without ADAMTS13 activity level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528654" cy="1516595"/>
                    </a:xfrm>
                    <a:prstGeom prst="rect">
                      <a:avLst/>
                    </a:prstGeom>
                    <a:noFill/>
                  </pic:spPr>
                </pic:pic>
              </a:graphicData>
            </a:graphic>
          </wp:inline>
        </w:drawing>
      </w:r>
    </w:p>
    <w:p w14:paraId="454E1422" w14:textId="61B5D335" w:rsidR="007D1491" w:rsidRDefault="007D1491" w:rsidP="009A3E78">
      <w:pPr>
        <w:pStyle w:val="Caption"/>
        <w:spacing w:before="0" w:after="0"/>
      </w:pPr>
      <w:bookmarkStart w:id="48" w:name="_Ref213158656"/>
      <w:r>
        <w:t xml:space="preserve">Figure </w:t>
      </w:r>
      <w:r>
        <w:fldChar w:fldCharType="begin"/>
      </w:r>
      <w:r>
        <w:instrText>SEQ Figure \* ARABIC</w:instrText>
      </w:r>
      <w:r>
        <w:fldChar w:fldCharType="separate"/>
      </w:r>
      <w:r w:rsidR="00716875">
        <w:rPr>
          <w:noProof/>
        </w:rPr>
        <w:t>6</w:t>
      </w:r>
      <w:r>
        <w:fldChar w:fldCharType="end"/>
      </w:r>
      <w:bookmarkEnd w:id="48"/>
      <w:r>
        <w:tab/>
        <w:t>Structure of the decision analysis used to conduct the economic evaluation comparing monitoring of ADAMTS13 activity levels to clinical monitoring without ADAMTS13 activity levels in patients with a clinical response following treatment with PEX for TTP</w:t>
      </w:r>
    </w:p>
    <w:p w14:paraId="3FF7A5CC" w14:textId="4CF843B2" w:rsidR="00324363" w:rsidRDefault="00324363" w:rsidP="00055104">
      <w:pPr>
        <w:pStyle w:val="111Tablefootnoteslast-nostick"/>
      </w:pPr>
      <w:r>
        <w:t>iTTP = immune-mediated TTP; PEX = plasma exchange</w:t>
      </w:r>
      <w:r w:rsidR="008C6762">
        <w:t xml:space="preserve"> therapy</w:t>
      </w:r>
      <w:r>
        <w:t xml:space="preserve">; TTP = thrombotic thrombocytopenic purpura. </w:t>
      </w:r>
    </w:p>
    <w:p w14:paraId="1AA04C64" w14:textId="77777777" w:rsidR="00324363" w:rsidRDefault="00324363" w:rsidP="00324363">
      <w:pPr>
        <w:pStyle w:val="BodyText"/>
        <w:sectPr w:rsidR="00324363" w:rsidSect="00CD3499">
          <w:pgSz w:w="16838" w:h="11906" w:orient="landscape"/>
          <w:pgMar w:top="1440" w:right="1440" w:bottom="1440" w:left="1440" w:header="851" w:footer="709" w:gutter="0"/>
          <w:cols w:space="708"/>
          <w:docGrid w:linePitch="360"/>
        </w:sectPr>
      </w:pPr>
    </w:p>
    <w:p w14:paraId="1D102CC6" w14:textId="0EDCFA9D" w:rsidR="00FE62C3" w:rsidRPr="00FE62C3" w:rsidRDefault="0052684D" w:rsidP="00FE62C3">
      <w:pPr>
        <w:pStyle w:val="BodyText"/>
      </w:pPr>
      <w:r>
        <w:lastRenderedPageBreak/>
        <w:fldChar w:fldCharType="begin"/>
      </w:r>
      <w:r>
        <w:instrText xml:space="preserve"> REF _Ref213158430 \h </w:instrText>
      </w:r>
      <w:r>
        <w:fldChar w:fldCharType="separate"/>
      </w:r>
      <w:r w:rsidR="00716875">
        <w:t xml:space="preserve">Table </w:t>
      </w:r>
      <w:r w:rsidR="00716875">
        <w:rPr>
          <w:noProof/>
        </w:rPr>
        <w:t>20</w:t>
      </w:r>
      <w:r>
        <w:fldChar w:fldCharType="end"/>
      </w:r>
      <w:r>
        <w:t xml:space="preserve"> summarises the </w:t>
      </w:r>
      <w:r w:rsidR="00726ADD">
        <w:t>aggregated and disaggregated base case results of the economic evaluation.</w:t>
      </w:r>
      <w:r>
        <w:t xml:space="preserve"> </w:t>
      </w:r>
      <w:r w:rsidR="002A27AD" w:rsidRPr="002A27AD">
        <w:t>Over a 2-year time horizon, monitoring of ADAMTS13 activity results in a cost of $106,710 per additional clinical recurrence avoided compared with the current monitoring approach for patients with iTTP. The key driver of incremental costs (and the high ICER) is the cost of monitoring patients - all patients in the proposed monitoring scenario are tested routinely for ADAMTS13 activity but the benefit is limited to the relatively small proportion of patients with ADAMTS13 activity levels indicating pre-emptive treatment with rituximab is warranted (20.6% of patients).</w:t>
      </w:r>
    </w:p>
    <w:p w14:paraId="33C6142C" w14:textId="3F2AFAE0" w:rsidR="001E0365" w:rsidRDefault="001E0365" w:rsidP="001E0365">
      <w:pPr>
        <w:pStyle w:val="Caption"/>
      </w:pPr>
      <w:bookmarkStart w:id="49" w:name="_Ref213158430"/>
      <w:r>
        <w:t xml:space="preserve">Table </w:t>
      </w:r>
      <w:r>
        <w:fldChar w:fldCharType="begin"/>
      </w:r>
      <w:r>
        <w:instrText>SEQ Table \* ARABIC</w:instrText>
      </w:r>
      <w:r>
        <w:fldChar w:fldCharType="separate"/>
      </w:r>
      <w:r w:rsidR="00716875">
        <w:rPr>
          <w:noProof/>
        </w:rPr>
        <w:t>20</w:t>
      </w:r>
      <w:r>
        <w:fldChar w:fldCharType="end"/>
      </w:r>
      <w:bookmarkEnd w:id="49"/>
      <w:r>
        <w:tab/>
        <w:t>Aggregated and disaggregated base case results of the economic evaluation (PICO 3)</w:t>
      </w:r>
    </w:p>
    <w:tbl>
      <w:tblPr>
        <w:tblStyle w:val="TableGrid3"/>
        <w:tblW w:w="0" w:type="auto"/>
        <w:tblInd w:w="0" w:type="dxa"/>
        <w:tblLayout w:type="fixed"/>
        <w:tblLook w:val="04A0" w:firstRow="1" w:lastRow="0" w:firstColumn="1" w:lastColumn="0" w:noHBand="0" w:noVBand="1"/>
        <w:tblCaption w:val="Aggregated and disaggregated base case results of the economic evaluation (PICO 3)"/>
        <w:tblDescription w:val="Table showing the aggregated and disaggregated base case results of the economic model comparing monitoring with ADAMTS13 activity testing against no ADAMTS13 activity monitoring"/>
      </w:tblPr>
      <w:tblGrid>
        <w:gridCol w:w="1271"/>
        <w:gridCol w:w="1106"/>
        <w:gridCol w:w="1106"/>
        <w:gridCol w:w="1107"/>
        <w:gridCol w:w="1106"/>
        <w:gridCol w:w="1107"/>
        <w:gridCol w:w="1106"/>
        <w:gridCol w:w="1107"/>
      </w:tblGrid>
      <w:tr w:rsidR="00186943" w14:paraId="74764A4D" w14:textId="77777777" w:rsidTr="003D38CF">
        <w:trPr>
          <w:cnfStyle w:val="100000000000" w:firstRow="1" w:lastRow="0" w:firstColumn="0" w:lastColumn="0" w:oddVBand="0" w:evenVBand="0" w:oddHBand="0" w:evenHBand="0" w:firstRowFirstColumn="0" w:firstRowLastColumn="0" w:lastRowFirstColumn="0" w:lastRowLastColumn="0"/>
          <w:trHeight w:val="387"/>
        </w:trPr>
        <w:tc>
          <w:tcPr>
            <w:tcW w:w="1271" w:type="dxa"/>
          </w:tcPr>
          <w:p w14:paraId="5DA737A1" w14:textId="77777777" w:rsidR="00301A39" w:rsidRDefault="00301A39" w:rsidP="003E6D65">
            <w:pPr>
              <w:pStyle w:val="011TableHeading"/>
            </w:pPr>
          </w:p>
        </w:tc>
        <w:tc>
          <w:tcPr>
            <w:tcW w:w="1106" w:type="dxa"/>
            <w:tcBorders>
              <w:right w:val="nil"/>
            </w:tcBorders>
          </w:tcPr>
          <w:p w14:paraId="730E02E3" w14:textId="5F2C91DC" w:rsidR="00301A39" w:rsidRDefault="00301A39" w:rsidP="003E6D65">
            <w:pPr>
              <w:pStyle w:val="011TableHeading"/>
              <w:jc w:val="center"/>
            </w:pPr>
            <w:r w:rsidRPr="005F712B">
              <w:t>ADAMTS13 monitoring</w:t>
            </w:r>
          </w:p>
        </w:tc>
        <w:tc>
          <w:tcPr>
            <w:tcW w:w="1106" w:type="dxa"/>
            <w:tcBorders>
              <w:left w:val="nil"/>
            </w:tcBorders>
          </w:tcPr>
          <w:p w14:paraId="7B91B1C7" w14:textId="77777777" w:rsidR="00301A39" w:rsidRDefault="00301A39" w:rsidP="003E6D65">
            <w:pPr>
              <w:pStyle w:val="011TableHeading"/>
              <w:jc w:val="center"/>
            </w:pPr>
          </w:p>
        </w:tc>
        <w:tc>
          <w:tcPr>
            <w:tcW w:w="1107" w:type="dxa"/>
            <w:tcBorders>
              <w:right w:val="nil"/>
            </w:tcBorders>
          </w:tcPr>
          <w:p w14:paraId="1F5E0E1D" w14:textId="7429A511" w:rsidR="00301A39" w:rsidRDefault="00111EDB" w:rsidP="003E6D65">
            <w:pPr>
              <w:pStyle w:val="011TableHeading"/>
              <w:jc w:val="center"/>
            </w:pPr>
            <w:r>
              <w:t>Current</w:t>
            </w:r>
            <w:r w:rsidR="00301A39">
              <w:t xml:space="preserve"> monitoring</w:t>
            </w:r>
          </w:p>
        </w:tc>
        <w:tc>
          <w:tcPr>
            <w:tcW w:w="1106" w:type="dxa"/>
            <w:tcBorders>
              <w:left w:val="nil"/>
            </w:tcBorders>
          </w:tcPr>
          <w:p w14:paraId="76503AE2" w14:textId="77777777" w:rsidR="00301A39" w:rsidRDefault="00301A39" w:rsidP="003E6D65">
            <w:pPr>
              <w:pStyle w:val="011TableHeading"/>
              <w:jc w:val="center"/>
            </w:pPr>
          </w:p>
        </w:tc>
        <w:tc>
          <w:tcPr>
            <w:tcW w:w="1107" w:type="dxa"/>
            <w:tcBorders>
              <w:bottom w:val="nil"/>
            </w:tcBorders>
          </w:tcPr>
          <w:p w14:paraId="7EEFF3D2" w14:textId="6ACECDB1" w:rsidR="00301A39" w:rsidRDefault="00186943" w:rsidP="003E6D65">
            <w:pPr>
              <w:pStyle w:val="011TableHeading"/>
              <w:jc w:val="center"/>
            </w:pPr>
            <w:r>
              <w:t xml:space="preserve">ADAMTS13 monitoring arm </w:t>
            </w:r>
          </w:p>
        </w:tc>
        <w:tc>
          <w:tcPr>
            <w:tcW w:w="1106" w:type="dxa"/>
            <w:tcBorders>
              <w:bottom w:val="nil"/>
            </w:tcBorders>
          </w:tcPr>
          <w:p w14:paraId="5669CC14" w14:textId="176FBDEB" w:rsidR="00301A39" w:rsidRDefault="00186943" w:rsidP="003E6D65">
            <w:pPr>
              <w:pStyle w:val="011TableHeading"/>
              <w:jc w:val="center"/>
            </w:pPr>
            <w:r>
              <w:t>Current monitoring arm</w:t>
            </w:r>
          </w:p>
        </w:tc>
        <w:tc>
          <w:tcPr>
            <w:tcW w:w="1107" w:type="dxa"/>
            <w:tcBorders>
              <w:bottom w:val="nil"/>
            </w:tcBorders>
          </w:tcPr>
          <w:p w14:paraId="33C700CB" w14:textId="01F5309C" w:rsidR="00301A39" w:rsidRDefault="00186943" w:rsidP="003E6D65">
            <w:pPr>
              <w:pStyle w:val="011TableHeading"/>
              <w:jc w:val="center"/>
            </w:pPr>
            <w:r>
              <w:t xml:space="preserve">Increment </w:t>
            </w:r>
          </w:p>
        </w:tc>
      </w:tr>
      <w:tr w:rsidR="00512F17" w14:paraId="4EADDAAD" w14:textId="77777777" w:rsidTr="003D38CF">
        <w:trPr>
          <w:trHeight w:val="387"/>
        </w:trPr>
        <w:tc>
          <w:tcPr>
            <w:tcW w:w="1271" w:type="dxa"/>
          </w:tcPr>
          <w:p w14:paraId="504A6015" w14:textId="77777777" w:rsidR="00301A39" w:rsidRDefault="00301A39" w:rsidP="00301A39">
            <w:pPr>
              <w:pStyle w:val="011TableHeading"/>
            </w:pPr>
          </w:p>
        </w:tc>
        <w:tc>
          <w:tcPr>
            <w:tcW w:w="1106" w:type="dxa"/>
          </w:tcPr>
          <w:p w14:paraId="5054EA42" w14:textId="59EBD80C" w:rsidR="00301A39" w:rsidRDefault="00301A39" w:rsidP="00301A39">
            <w:pPr>
              <w:pStyle w:val="011TableHeading"/>
              <w:jc w:val="center"/>
            </w:pPr>
            <w:r>
              <w:t>High-risk (&lt;10%) [A]</w:t>
            </w:r>
          </w:p>
        </w:tc>
        <w:tc>
          <w:tcPr>
            <w:tcW w:w="1106" w:type="dxa"/>
          </w:tcPr>
          <w:p w14:paraId="64ABBDA4" w14:textId="416D0706" w:rsidR="00301A39" w:rsidRDefault="00301A39" w:rsidP="00301A39">
            <w:pPr>
              <w:pStyle w:val="011TableHeading"/>
              <w:jc w:val="center"/>
            </w:pPr>
            <w:r>
              <w:t>Low-risk (≥10%) [B]</w:t>
            </w:r>
          </w:p>
        </w:tc>
        <w:tc>
          <w:tcPr>
            <w:tcW w:w="1107" w:type="dxa"/>
          </w:tcPr>
          <w:p w14:paraId="2B972A5A" w14:textId="0EB33691" w:rsidR="00301A39" w:rsidRDefault="00301A39" w:rsidP="00301A39">
            <w:pPr>
              <w:pStyle w:val="011TableHeading"/>
              <w:jc w:val="center"/>
            </w:pPr>
            <w:r>
              <w:t>High-risk (&lt;10%) [C]</w:t>
            </w:r>
          </w:p>
        </w:tc>
        <w:tc>
          <w:tcPr>
            <w:tcW w:w="1106" w:type="dxa"/>
          </w:tcPr>
          <w:p w14:paraId="61407624" w14:textId="0C4113CC" w:rsidR="00301A39" w:rsidRDefault="00301A39" w:rsidP="00301A39">
            <w:pPr>
              <w:pStyle w:val="011TableHeading"/>
              <w:jc w:val="center"/>
            </w:pPr>
            <w:r>
              <w:t>Low-risk (≥10%) [D]</w:t>
            </w:r>
          </w:p>
        </w:tc>
        <w:tc>
          <w:tcPr>
            <w:tcW w:w="1107" w:type="dxa"/>
            <w:tcBorders>
              <w:top w:val="nil"/>
            </w:tcBorders>
          </w:tcPr>
          <w:p w14:paraId="01012CCE" w14:textId="1FBCAF7D" w:rsidR="00301A39" w:rsidRDefault="00186943" w:rsidP="00301A39">
            <w:pPr>
              <w:pStyle w:val="011TableHeading"/>
              <w:jc w:val="center"/>
            </w:pPr>
            <w:r>
              <w:t>[E]</w:t>
            </w:r>
          </w:p>
        </w:tc>
        <w:tc>
          <w:tcPr>
            <w:tcW w:w="1106" w:type="dxa"/>
            <w:tcBorders>
              <w:top w:val="nil"/>
            </w:tcBorders>
          </w:tcPr>
          <w:p w14:paraId="252099A1" w14:textId="2AAE0C19" w:rsidR="00301A39" w:rsidRDefault="00186943" w:rsidP="00301A39">
            <w:pPr>
              <w:pStyle w:val="011TableHeading"/>
              <w:jc w:val="center"/>
            </w:pPr>
            <w:r>
              <w:t>[F]</w:t>
            </w:r>
          </w:p>
        </w:tc>
        <w:tc>
          <w:tcPr>
            <w:tcW w:w="1107" w:type="dxa"/>
            <w:tcBorders>
              <w:top w:val="nil"/>
            </w:tcBorders>
          </w:tcPr>
          <w:p w14:paraId="6EB27134" w14:textId="756E9A1D" w:rsidR="00301A39" w:rsidRDefault="00186943" w:rsidP="00301A39">
            <w:pPr>
              <w:pStyle w:val="011TableHeading"/>
              <w:jc w:val="center"/>
            </w:pPr>
            <w:r>
              <w:t>[</w:t>
            </w:r>
            <w:r w:rsidR="00E918BB">
              <w:t>G</w:t>
            </w:r>
            <w:r>
              <w:t>]</w:t>
            </w:r>
          </w:p>
        </w:tc>
      </w:tr>
      <w:tr w:rsidR="00512F17" w14:paraId="2D93617A" w14:textId="77777777" w:rsidTr="00512F17">
        <w:tc>
          <w:tcPr>
            <w:tcW w:w="1271" w:type="dxa"/>
          </w:tcPr>
          <w:p w14:paraId="7B5DBCCA" w14:textId="77777777" w:rsidR="005F204F" w:rsidRDefault="005F204F" w:rsidP="003E6D65">
            <w:pPr>
              <w:pStyle w:val="051Tabletext22"/>
            </w:pPr>
            <w:r>
              <w:t>Cost of ADAMTS13 testing</w:t>
            </w:r>
          </w:p>
        </w:tc>
        <w:tc>
          <w:tcPr>
            <w:tcW w:w="1106" w:type="dxa"/>
          </w:tcPr>
          <w:p w14:paraId="5620854C" w14:textId="77777777" w:rsidR="005F204F" w:rsidRDefault="005F204F" w:rsidP="003E6D65">
            <w:pPr>
              <w:pStyle w:val="051Tabletext22"/>
              <w:jc w:val="center"/>
            </w:pPr>
            <w:r>
              <w:t>$1,538.20</w:t>
            </w:r>
          </w:p>
        </w:tc>
        <w:tc>
          <w:tcPr>
            <w:tcW w:w="1106" w:type="dxa"/>
          </w:tcPr>
          <w:p w14:paraId="38A68E73" w14:textId="77777777" w:rsidR="005F204F" w:rsidRDefault="005F204F" w:rsidP="003E6D65">
            <w:pPr>
              <w:pStyle w:val="051Tabletext22"/>
              <w:jc w:val="center"/>
            </w:pPr>
            <w:r>
              <w:t>$5,928.47</w:t>
            </w:r>
          </w:p>
        </w:tc>
        <w:tc>
          <w:tcPr>
            <w:tcW w:w="1107" w:type="dxa"/>
          </w:tcPr>
          <w:p w14:paraId="68B3A372" w14:textId="77777777" w:rsidR="005F204F" w:rsidRDefault="005F204F" w:rsidP="003E6D65">
            <w:pPr>
              <w:pStyle w:val="051Tabletext22"/>
              <w:jc w:val="center"/>
            </w:pPr>
            <w:r>
              <w:t>$0</w:t>
            </w:r>
          </w:p>
        </w:tc>
        <w:tc>
          <w:tcPr>
            <w:tcW w:w="1106" w:type="dxa"/>
          </w:tcPr>
          <w:p w14:paraId="4E924C2B" w14:textId="77777777" w:rsidR="005F204F" w:rsidRDefault="005F204F" w:rsidP="003E6D65">
            <w:pPr>
              <w:pStyle w:val="051Tabletext22"/>
              <w:jc w:val="center"/>
            </w:pPr>
            <w:r>
              <w:t>$0</w:t>
            </w:r>
          </w:p>
        </w:tc>
        <w:tc>
          <w:tcPr>
            <w:tcW w:w="1107" w:type="dxa"/>
          </w:tcPr>
          <w:p w14:paraId="5D80DBD8" w14:textId="77777777" w:rsidR="005F204F" w:rsidRDefault="005F204F" w:rsidP="003E6D65">
            <w:pPr>
              <w:pStyle w:val="051Tabletext22"/>
              <w:jc w:val="center"/>
            </w:pPr>
            <w:r>
              <w:t>$7,466.67</w:t>
            </w:r>
          </w:p>
        </w:tc>
        <w:tc>
          <w:tcPr>
            <w:tcW w:w="1106" w:type="dxa"/>
          </w:tcPr>
          <w:p w14:paraId="337EDF96" w14:textId="77777777" w:rsidR="005F204F" w:rsidRDefault="005F204F" w:rsidP="003E6D65">
            <w:pPr>
              <w:pStyle w:val="051Tabletext22"/>
              <w:jc w:val="center"/>
            </w:pPr>
            <w:r>
              <w:t>$0</w:t>
            </w:r>
          </w:p>
        </w:tc>
        <w:tc>
          <w:tcPr>
            <w:tcW w:w="1107" w:type="dxa"/>
          </w:tcPr>
          <w:p w14:paraId="25544979" w14:textId="77777777" w:rsidR="005F204F" w:rsidRDefault="005F204F" w:rsidP="003E6D65">
            <w:pPr>
              <w:pStyle w:val="051Tabletext22"/>
              <w:jc w:val="center"/>
            </w:pPr>
            <w:r>
              <w:t>$7,466.67</w:t>
            </w:r>
          </w:p>
        </w:tc>
      </w:tr>
      <w:tr w:rsidR="00512F17" w14:paraId="063825A7" w14:textId="77777777" w:rsidTr="00512F17">
        <w:tc>
          <w:tcPr>
            <w:tcW w:w="1271" w:type="dxa"/>
          </w:tcPr>
          <w:p w14:paraId="0A0F59D8" w14:textId="77777777" w:rsidR="005F204F" w:rsidRDefault="005F204F" w:rsidP="003E6D65">
            <w:pPr>
              <w:pStyle w:val="051Tabletext22"/>
            </w:pPr>
            <w:r>
              <w:t>Cost of pre-emptive rituximab</w:t>
            </w:r>
          </w:p>
        </w:tc>
        <w:tc>
          <w:tcPr>
            <w:tcW w:w="1106" w:type="dxa"/>
          </w:tcPr>
          <w:p w14:paraId="09F662C1" w14:textId="77777777" w:rsidR="005F204F" w:rsidRDefault="005F204F" w:rsidP="003E6D65">
            <w:pPr>
              <w:pStyle w:val="051Tabletext22"/>
              <w:jc w:val="center"/>
            </w:pPr>
            <w:r>
              <w:t>$249.40</w:t>
            </w:r>
          </w:p>
        </w:tc>
        <w:tc>
          <w:tcPr>
            <w:tcW w:w="1106" w:type="dxa"/>
          </w:tcPr>
          <w:p w14:paraId="4C372AD4" w14:textId="77777777" w:rsidR="005F204F" w:rsidRDefault="005F204F" w:rsidP="003E6D65">
            <w:pPr>
              <w:pStyle w:val="051Tabletext22"/>
              <w:jc w:val="center"/>
            </w:pPr>
            <w:r>
              <w:t>$0</w:t>
            </w:r>
          </w:p>
        </w:tc>
        <w:tc>
          <w:tcPr>
            <w:tcW w:w="1107" w:type="dxa"/>
          </w:tcPr>
          <w:p w14:paraId="7B72E100" w14:textId="77777777" w:rsidR="005F204F" w:rsidRDefault="005F204F" w:rsidP="003E6D65">
            <w:pPr>
              <w:pStyle w:val="051Tabletext22"/>
              <w:jc w:val="center"/>
            </w:pPr>
            <w:r>
              <w:t>$0</w:t>
            </w:r>
          </w:p>
        </w:tc>
        <w:tc>
          <w:tcPr>
            <w:tcW w:w="1106" w:type="dxa"/>
          </w:tcPr>
          <w:p w14:paraId="012EC2FA" w14:textId="77777777" w:rsidR="005F204F" w:rsidRDefault="005F204F" w:rsidP="003E6D65">
            <w:pPr>
              <w:pStyle w:val="051Tabletext22"/>
              <w:jc w:val="center"/>
            </w:pPr>
            <w:r>
              <w:t>$0</w:t>
            </w:r>
          </w:p>
        </w:tc>
        <w:tc>
          <w:tcPr>
            <w:tcW w:w="1107" w:type="dxa"/>
          </w:tcPr>
          <w:p w14:paraId="79FA9B9A" w14:textId="77777777" w:rsidR="005F204F" w:rsidRDefault="005F204F" w:rsidP="003E6D65">
            <w:pPr>
              <w:pStyle w:val="051Tabletext22"/>
              <w:jc w:val="center"/>
            </w:pPr>
            <w:r>
              <w:t>$249.40</w:t>
            </w:r>
          </w:p>
        </w:tc>
        <w:tc>
          <w:tcPr>
            <w:tcW w:w="1106" w:type="dxa"/>
          </w:tcPr>
          <w:p w14:paraId="1E305849" w14:textId="77777777" w:rsidR="005F204F" w:rsidRDefault="005F204F" w:rsidP="003E6D65">
            <w:pPr>
              <w:pStyle w:val="051Tabletext22"/>
              <w:jc w:val="center"/>
            </w:pPr>
            <w:r>
              <w:t>$0</w:t>
            </w:r>
          </w:p>
        </w:tc>
        <w:tc>
          <w:tcPr>
            <w:tcW w:w="1107" w:type="dxa"/>
          </w:tcPr>
          <w:p w14:paraId="3FB7B8C5" w14:textId="77777777" w:rsidR="005F204F" w:rsidRDefault="005F204F" w:rsidP="003E6D65">
            <w:pPr>
              <w:pStyle w:val="051Tabletext22"/>
              <w:jc w:val="center"/>
            </w:pPr>
            <w:r>
              <w:t>$249.40</w:t>
            </w:r>
          </w:p>
        </w:tc>
      </w:tr>
      <w:tr w:rsidR="00512F17" w14:paraId="76145CA1" w14:textId="77777777" w:rsidTr="00512F17">
        <w:tc>
          <w:tcPr>
            <w:tcW w:w="1271" w:type="dxa"/>
          </w:tcPr>
          <w:p w14:paraId="3309211B" w14:textId="77777777" w:rsidR="005F204F" w:rsidRDefault="005F204F" w:rsidP="003E6D65">
            <w:pPr>
              <w:pStyle w:val="051Tabletext22"/>
            </w:pPr>
            <w:r>
              <w:t>Cost of hospitalisation</w:t>
            </w:r>
          </w:p>
        </w:tc>
        <w:tc>
          <w:tcPr>
            <w:tcW w:w="1106" w:type="dxa"/>
          </w:tcPr>
          <w:p w14:paraId="0047CD72" w14:textId="77777777" w:rsidR="005F204F" w:rsidRDefault="005F204F" w:rsidP="003E6D65">
            <w:pPr>
              <w:pStyle w:val="051Tabletext22"/>
              <w:jc w:val="center"/>
            </w:pPr>
            <w:r>
              <w:t>$472.63</w:t>
            </w:r>
          </w:p>
        </w:tc>
        <w:tc>
          <w:tcPr>
            <w:tcW w:w="1106" w:type="dxa"/>
          </w:tcPr>
          <w:p w14:paraId="5DA15093" w14:textId="77777777" w:rsidR="005F204F" w:rsidRDefault="005F204F" w:rsidP="003E6D65">
            <w:pPr>
              <w:pStyle w:val="051Tabletext22"/>
              <w:jc w:val="center"/>
            </w:pPr>
            <w:r>
              <w:t>$3,741.63</w:t>
            </w:r>
          </w:p>
        </w:tc>
        <w:tc>
          <w:tcPr>
            <w:tcW w:w="1107" w:type="dxa"/>
          </w:tcPr>
          <w:p w14:paraId="109D0028" w14:textId="77777777" w:rsidR="005F204F" w:rsidRDefault="005F204F" w:rsidP="003E6D65">
            <w:pPr>
              <w:pStyle w:val="051Tabletext22"/>
              <w:jc w:val="center"/>
            </w:pPr>
            <w:r>
              <w:t>$1,837.99</w:t>
            </w:r>
          </w:p>
        </w:tc>
        <w:tc>
          <w:tcPr>
            <w:tcW w:w="1106" w:type="dxa"/>
          </w:tcPr>
          <w:p w14:paraId="721BBDD8" w14:textId="77777777" w:rsidR="005F204F" w:rsidRDefault="005F204F" w:rsidP="003E6D65">
            <w:pPr>
              <w:pStyle w:val="051Tabletext22"/>
              <w:jc w:val="center"/>
            </w:pPr>
            <w:r>
              <w:t>$3,741.63</w:t>
            </w:r>
          </w:p>
        </w:tc>
        <w:tc>
          <w:tcPr>
            <w:tcW w:w="1107" w:type="dxa"/>
          </w:tcPr>
          <w:p w14:paraId="2D4EF3F7" w14:textId="77777777" w:rsidR="005F204F" w:rsidRDefault="005F204F" w:rsidP="003E6D65">
            <w:pPr>
              <w:pStyle w:val="051Tabletext22"/>
              <w:jc w:val="center"/>
            </w:pPr>
            <w:r>
              <w:t>$4,214.26</w:t>
            </w:r>
          </w:p>
        </w:tc>
        <w:tc>
          <w:tcPr>
            <w:tcW w:w="1106" w:type="dxa"/>
          </w:tcPr>
          <w:p w14:paraId="48F2252B" w14:textId="77777777" w:rsidR="005F204F" w:rsidRDefault="005F204F" w:rsidP="003E6D65">
            <w:pPr>
              <w:pStyle w:val="051Tabletext22"/>
              <w:jc w:val="center"/>
            </w:pPr>
            <w:r>
              <w:t>$5,579.63</w:t>
            </w:r>
          </w:p>
        </w:tc>
        <w:tc>
          <w:tcPr>
            <w:tcW w:w="1107" w:type="dxa"/>
          </w:tcPr>
          <w:p w14:paraId="0C88C5AE" w14:textId="77777777" w:rsidR="005F204F" w:rsidRDefault="005F204F" w:rsidP="003E6D65">
            <w:pPr>
              <w:pStyle w:val="051Tabletext22"/>
              <w:jc w:val="center"/>
            </w:pPr>
            <w:r>
              <w:t>-$1,365.37</w:t>
            </w:r>
          </w:p>
        </w:tc>
      </w:tr>
      <w:tr w:rsidR="00512F17" w:rsidRPr="00541A8B" w14:paraId="61585CFD" w14:textId="77777777" w:rsidTr="00512F17">
        <w:tc>
          <w:tcPr>
            <w:tcW w:w="1271" w:type="dxa"/>
          </w:tcPr>
          <w:p w14:paraId="06328414" w14:textId="77777777" w:rsidR="005F204F" w:rsidRPr="00541A8B" w:rsidRDefault="005F204F" w:rsidP="003E6D65">
            <w:pPr>
              <w:pStyle w:val="051Tabletext22"/>
              <w:rPr>
                <w:b/>
                <w:bCs/>
              </w:rPr>
            </w:pPr>
            <w:r w:rsidRPr="00541A8B">
              <w:rPr>
                <w:b/>
                <w:bCs/>
              </w:rPr>
              <w:t>Total costs</w:t>
            </w:r>
          </w:p>
        </w:tc>
        <w:tc>
          <w:tcPr>
            <w:tcW w:w="1106" w:type="dxa"/>
          </w:tcPr>
          <w:p w14:paraId="5B01A2D8" w14:textId="77777777" w:rsidR="005F204F" w:rsidRDefault="005F204F" w:rsidP="003E6D65">
            <w:pPr>
              <w:pStyle w:val="051Tabletext22"/>
              <w:jc w:val="center"/>
              <w:rPr>
                <w:b/>
                <w:bCs/>
              </w:rPr>
            </w:pPr>
            <w:r>
              <w:rPr>
                <w:b/>
                <w:bCs/>
              </w:rPr>
              <w:t>$2,260.23</w:t>
            </w:r>
          </w:p>
        </w:tc>
        <w:tc>
          <w:tcPr>
            <w:tcW w:w="1106" w:type="dxa"/>
          </w:tcPr>
          <w:p w14:paraId="68D11F6B" w14:textId="77777777" w:rsidR="005F204F" w:rsidRDefault="005F204F" w:rsidP="003E6D65">
            <w:pPr>
              <w:pStyle w:val="051Tabletext22"/>
              <w:jc w:val="center"/>
              <w:rPr>
                <w:b/>
                <w:bCs/>
              </w:rPr>
            </w:pPr>
            <w:r>
              <w:rPr>
                <w:b/>
                <w:bCs/>
              </w:rPr>
              <w:t>$9,670.10</w:t>
            </w:r>
          </w:p>
        </w:tc>
        <w:tc>
          <w:tcPr>
            <w:tcW w:w="1107" w:type="dxa"/>
          </w:tcPr>
          <w:p w14:paraId="39AF3BBD" w14:textId="77777777" w:rsidR="005F204F" w:rsidRDefault="005F204F" w:rsidP="003E6D65">
            <w:pPr>
              <w:pStyle w:val="051Tabletext22"/>
              <w:jc w:val="center"/>
              <w:rPr>
                <w:b/>
                <w:bCs/>
              </w:rPr>
            </w:pPr>
            <w:r>
              <w:rPr>
                <w:b/>
                <w:bCs/>
              </w:rPr>
              <w:t>$1,837.99</w:t>
            </w:r>
          </w:p>
        </w:tc>
        <w:tc>
          <w:tcPr>
            <w:tcW w:w="1106" w:type="dxa"/>
          </w:tcPr>
          <w:p w14:paraId="1293A2C5" w14:textId="77777777" w:rsidR="005F204F" w:rsidRDefault="005F204F" w:rsidP="003E6D65">
            <w:pPr>
              <w:pStyle w:val="051Tabletext22"/>
              <w:jc w:val="center"/>
              <w:rPr>
                <w:b/>
                <w:bCs/>
              </w:rPr>
            </w:pPr>
            <w:r>
              <w:rPr>
                <w:b/>
                <w:bCs/>
              </w:rPr>
              <w:t>$3,741.63</w:t>
            </w:r>
          </w:p>
        </w:tc>
        <w:tc>
          <w:tcPr>
            <w:tcW w:w="1107" w:type="dxa"/>
          </w:tcPr>
          <w:p w14:paraId="44D822A1" w14:textId="77777777" w:rsidR="005F204F" w:rsidRPr="00541A8B" w:rsidRDefault="005F204F" w:rsidP="003E6D65">
            <w:pPr>
              <w:pStyle w:val="051Tabletext22"/>
              <w:jc w:val="center"/>
              <w:rPr>
                <w:b/>
                <w:bCs/>
              </w:rPr>
            </w:pPr>
            <w:r>
              <w:rPr>
                <w:b/>
                <w:bCs/>
              </w:rPr>
              <w:t>$11,930.33</w:t>
            </w:r>
          </w:p>
        </w:tc>
        <w:tc>
          <w:tcPr>
            <w:tcW w:w="1106" w:type="dxa"/>
          </w:tcPr>
          <w:p w14:paraId="32B543C5" w14:textId="77777777" w:rsidR="005F204F" w:rsidRPr="00541A8B" w:rsidRDefault="005F204F" w:rsidP="003E6D65">
            <w:pPr>
              <w:pStyle w:val="051Tabletext22"/>
              <w:jc w:val="center"/>
              <w:rPr>
                <w:b/>
                <w:bCs/>
              </w:rPr>
            </w:pPr>
            <w:r>
              <w:rPr>
                <w:b/>
                <w:bCs/>
              </w:rPr>
              <w:t>$5,579.63</w:t>
            </w:r>
          </w:p>
        </w:tc>
        <w:tc>
          <w:tcPr>
            <w:tcW w:w="1107" w:type="dxa"/>
          </w:tcPr>
          <w:p w14:paraId="6EF5A8C4" w14:textId="15B7C12A" w:rsidR="005F204F" w:rsidRPr="00541A8B" w:rsidRDefault="005F204F" w:rsidP="003E6D65">
            <w:pPr>
              <w:pStyle w:val="051Tabletext22"/>
              <w:jc w:val="center"/>
              <w:rPr>
                <w:b/>
                <w:bCs/>
              </w:rPr>
            </w:pPr>
            <w:r>
              <w:rPr>
                <w:b/>
                <w:bCs/>
              </w:rPr>
              <w:t>$6,350.70 [</w:t>
            </w:r>
            <w:r w:rsidR="00780080">
              <w:rPr>
                <w:b/>
                <w:bCs/>
              </w:rPr>
              <w:t>H</w:t>
            </w:r>
            <w:r>
              <w:rPr>
                <w:b/>
                <w:bCs/>
              </w:rPr>
              <w:t>]</w:t>
            </w:r>
          </w:p>
        </w:tc>
      </w:tr>
      <w:tr w:rsidR="00512F17" w:rsidRPr="00541A8B" w14:paraId="661ADC93" w14:textId="77777777" w:rsidTr="00512F17">
        <w:tc>
          <w:tcPr>
            <w:tcW w:w="1271" w:type="dxa"/>
            <w:tcBorders>
              <w:bottom w:val="single" w:sz="4" w:space="0" w:color="auto"/>
            </w:tcBorders>
          </w:tcPr>
          <w:p w14:paraId="15F4446F" w14:textId="77777777" w:rsidR="005F204F" w:rsidRPr="00541A8B" w:rsidRDefault="005F204F" w:rsidP="003E6D65">
            <w:pPr>
              <w:pStyle w:val="051Tabletext22"/>
              <w:rPr>
                <w:b/>
                <w:bCs/>
              </w:rPr>
            </w:pPr>
            <w:r>
              <w:rPr>
                <w:b/>
                <w:bCs/>
              </w:rPr>
              <w:t>Proportion without clinical recurrence</w:t>
            </w:r>
          </w:p>
        </w:tc>
        <w:tc>
          <w:tcPr>
            <w:tcW w:w="1106" w:type="dxa"/>
            <w:tcBorders>
              <w:bottom w:val="single" w:sz="4" w:space="0" w:color="auto"/>
            </w:tcBorders>
          </w:tcPr>
          <w:p w14:paraId="56F206BA" w14:textId="77777777" w:rsidR="005F204F" w:rsidRDefault="005F204F" w:rsidP="003E6D65">
            <w:pPr>
              <w:pStyle w:val="051Tabletext22"/>
              <w:jc w:val="center"/>
              <w:rPr>
                <w:b/>
                <w:bCs/>
              </w:rPr>
            </w:pPr>
            <w:r>
              <w:rPr>
                <w:b/>
                <w:bCs/>
              </w:rPr>
              <w:t>0.185</w:t>
            </w:r>
          </w:p>
        </w:tc>
        <w:tc>
          <w:tcPr>
            <w:tcW w:w="1106" w:type="dxa"/>
            <w:tcBorders>
              <w:bottom w:val="single" w:sz="4" w:space="0" w:color="auto"/>
            </w:tcBorders>
          </w:tcPr>
          <w:p w14:paraId="1DF8F473" w14:textId="77777777" w:rsidR="005F204F" w:rsidRDefault="005F204F" w:rsidP="003E6D65">
            <w:pPr>
              <w:pStyle w:val="051Tabletext22"/>
              <w:jc w:val="center"/>
              <w:rPr>
                <w:b/>
                <w:bCs/>
              </w:rPr>
            </w:pPr>
            <w:r>
              <w:rPr>
                <w:b/>
                <w:bCs/>
              </w:rPr>
              <w:t>0.631</w:t>
            </w:r>
          </w:p>
        </w:tc>
        <w:tc>
          <w:tcPr>
            <w:tcW w:w="1107" w:type="dxa"/>
            <w:tcBorders>
              <w:bottom w:val="single" w:sz="4" w:space="0" w:color="auto"/>
            </w:tcBorders>
          </w:tcPr>
          <w:p w14:paraId="72C6A250" w14:textId="77777777" w:rsidR="005F204F" w:rsidRDefault="005F204F" w:rsidP="003E6D65">
            <w:pPr>
              <w:pStyle w:val="051Tabletext22"/>
              <w:jc w:val="center"/>
              <w:rPr>
                <w:b/>
                <w:bCs/>
              </w:rPr>
            </w:pPr>
            <w:r>
              <w:rPr>
                <w:b/>
                <w:bCs/>
              </w:rPr>
              <w:t>0.126</w:t>
            </w:r>
          </w:p>
        </w:tc>
        <w:tc>
          <w:tcPr>
            <w:tcW w:w="1106" w:type="dxa"/>
            <w:tcBorders>
              <w:bottom w:val="single" w:sz="4" w:space="0" w:color="auto"/>
            </w:tcBorders>
          </w:tcPr>
          <w:p w14:paraId="494DBC4A" w14:textId="77777777" w:rsidR="005F204F" w:rsidRDefault="005F204F" w:rsidP="003E6D65">
            <w:pPr>
              <w:pStyle w:val="051Tabletext22"/>
              <w:jc w:val="center"/>
              <w:rPr>
                <w:b/>
                <w:bCs/>
              </w:rPr>
            </w:pPr>
            <w:r>
              <w:rPr>
                <w:b/>
                <w:bCs/>
              </w:rPr>
              <w:t>0.631</w:t>
            </w:r>
          </w:p>
        </w:tc>
        <w:tc>
          <w:tcPr>
            <w:tcW w:w="1107" w:type="dxa"/>
            <w:tcBorders>
              <w:bottom w:val="single" w:sz="4" w:space="0" w:color="auto"/>
            </w:tcBorders>
          </w:tcPr>
          <w:p w14:paraId="463D4C02" w14:textId="77777777" w:rsidR="005F204F" w:rsidRPr="00541A8B" w:rsidRDefault="005F204F" w:rsidP="003E6D65">
            <w:pPr>
              <w:pStyle w:val="051Tabletext22"/>
              <w:jc w:val="center"/>
              <w:rPr>
                <w:b/>
                <w:bCs/>
              </w:rPr>
            </w:pPr>
            <w:r>
              <w:rPr>
                <w:b/>
                <w:bCs/>
              </w:rPr>
              <w:t>0.816</w:t>
            </w:r>
          </w:p>
        </w:tc>
        <w:tc>
          <w:tcPr>
            <w:tcW w:w="1106" w:type="dxa"/>
            <w:tcBorders>
              <w:bottom w:val="single" w:sz="4" w:space="0" w:color="auto"/>
            </w:tcBorders>
          </w:tcPr>
          <w:p w14:paraId="3899BC7F" w14:textId="77777777" w:rsidR="005F204F" w:rsidRPr="00541A8B" w:rsidRDefault="005F204F" w:rsidP="003E6D65">
            <w:pPr>
              <w:pStyle w:val="051Tabletext22"/>
              <w:jc w:val="center"/>
              <w:rPr>
                <w:b/>
                <w:bCs/>
              </w:rPr>
            </w:pPr>
            <w:r>
              <w:rPr>
                <w:b/>
                <w:bCs/>
              </w:rPr>
              <w:t>0.757</w:t>
            </w:r>
          </w:p>
        </w:tc>
        <w:tc>
          <w:tcPr>
            <w:tcW w:w="1107" w:type="dxa"/>
          </w:tcPr>
          <w:p w14:paraId="7CE130D2" w14:textId="796702E1" w:rsidR="005F204F" w:rsidRPr="00541A8B" w:rsidRDefault="005F204F" w:rsidP="003E6D65">
            <w:pPr>
              <w:pStyle w:val="051Tabletext22"/>
              <w:jc w:val="center"/>
              <w:rPr>
                <w:b/>
                <w:bCs/>
              </w:rPr>
            </w:pPr>
            <w:r>
              <w:rPr>
                <w:b/>
                <w:bCs/>
              </w:rPr>
              <w:t>0.060 [</w:t>
            </w:r>
            <w:r w:rsidR="00780080">
              <w:rPr>
                <w:b/>
                <w:bCs/>
              </w:rPr>
              <w:t>I</w:t>
            </w:r>
            <w:r>
              <w:rPr>
                <w:b/>
                <w:bCs/>
              </w:rPr>
              <w:t>]</w:t>
            </w:r>
          </w:p>
        </w:tc>
      </w:tr>
      <w:tr w:rsidR="00301A39" w:rsidRPr="00541A8B" w14:paraId="22F678E9" w14:textId="77777777" w:rsidTr="00913947">
        <w:tc>
          <w:tcPr>
            <w:tcW w:w="1271" w:type="dxa"/>
            <w:tcBorders>
              <w:bottom w:val="single" w:sz="4" w:space="0" w:color="auto"/>
            </w:tcBorders>
          </w:tcPr>
          <w:p w14:paraId="653FB3CA" w14:textId="326D5331" w:rsidR="00301A39" w:rsidRDefault="00301A39" w:rsidP="003E6D65">
            <w:pPr>
              <w:pStyle w:val="051Tabletext22"/>
              <w:rPr>
                <w:b/>
                <w:bCs/>
              </w:rPr>
            </w:pPr>
            <w:r w:rsidRPr="00541A8B">
              <w:rPr>
                <w:b/>
                <w:bCs/>
              </w:rPr>
              <w:t>Incremental cost per additional clinical recurrence avoided over 2 years</w:t>
            </w:r>
          </w:p>
        </w:tc>
        <w:tc>
          <w:tcPr>
            <w:tcW w:w="1106" w:type="dxa"/>
            <w:tcBorders>
              <w:bottom w:val="single" w:sz="4" w:space="0" w:color="auto"/>
              <w:right w:val="nil"/>
            </w:tcBorders>
          </w:tcPr>
          <w:p w14:paraId="57E14744" w14:textId="77777777" w:rsidR="00301A39" w:rsidRDefault="00301A39" w:rsidP="003E6D65">
            <w:pPr>
              <w:pStyle w:val="051Tabletext22"/>
              <w:jc w:val="center"/>
              <w:rPr>
                <w:b/>
                <w:bCs/>
              </w:rPr>
            </w:pPr>
          </w:p>
        </w:tc>
        <w:tc>
          <w:tcPr>
            <w:tcW w:w="1106" w:type="dxa"/>
            <w:tcBorders>
              <w:left w:val="nil"/>
              <w:bottom w:val="single" w:sz="4" w:space="0" w:color="auto"/>
              <w:right w:val="nil"/>
            </w:tcBorders>
          </w:tcPr>
          <w:p w14:paraId="7877D158" w14:textId="77777777" w:rsidR="00301A39" w:rsidRDefault="00301A39" w:rsidP="003E6D65">
            <w:pPr>
              <w:pStyle w:val="051Tabletext22"/>
              <w:jc w:val="center"/>
              <w:rPr>
                <w:b/>
                <w:bCs/>
              </w:rPr>
            </w:pPr>
          </w:p>
        </w:tc>
        <w:tc>
          <w:tcPr>
            <w:tcW w:w="1107" w:type="dxa"/>
            <w:tcBorders>
              <w:left w:val="nil"/>
              <w:bottom w:val="single" w:sz="4" w:space="0" w:color="auto"/>
              <w:right w:val="nil"/>
            </w:tcBorders>
          </w:tcPr>
          <w:p w14:paraId="27A70E69" w14:textId="77777777" w:rsidR="00301A39" w:rsidRDefault="00301A39" w:rsidP="003E6D65">
            <w:pPr>
              <w:pStyle w:val="051Tabletext22"/>
              <w:jc w:val="center"/>
              <w:rPr>
                <w:b/>
                <w:bCs/>
              </w:rPr>
            </w:pPr>
          </w:p>
        </w:tc>
        <w:tc>
          <w:tcPr>
            <w:tcW w:w="1106" w:type="dxa"/>
            <w:tcBorders>
              <w:left w:val="nil"/>
              <w:bottom w:val="single" w:sz="4" w:space="0" w:color="auto"/>
              <w:right w:val="nil"/>
            </w:tcBorders>
          </w:tcPr>
          <w:p w14:paraId="4EE0AC48" w14:textId="77777777" w:rsidR="00301A39" w:rsidRDefault="00301A39" w:rsidP="003E6D65">
            <w:pPr>
              <w:pStyle w:val="051Tabletext22"/>
              <w:jc w:val="center"/>
              <w:rPr>
                <w:b/>
                <w:bCs/>
              </w:rPr>
            </w:pPr>
          </w:p>
        </w:tc>
        <w:tc>
          <w:tcPr>
            <w:tcW w:w="1107" w:type="dxa"/>
            <w:tcBorders>
              <w:left w:val="nil"/>
              <w:bottom w:val="single" w:sz="4" w:space="0" w:color="auto"/>
              <w:right w:val="nil"/>
            </w:tcBorders>
          </w:tcPr>
          <w:p w14:paraId="1C3E33B4" w14:textId="77777777" w:rsidR="00301A39" w:rsidRDefault="00301A39" w:rsidP="003E6D65">
            <w:pPr>
              <w:pStyle w:val="051Tabletext22"/>
              <w:jc w:val="center"/>
              <w:rPr>
                <w:b/>
                <w:bCs/>
              </w:rPr>
            </w:pPr>
          </w:p>
        </w:tc>
        <w:tc>
          <w:tcPr>
            <w:tcW w:w="1106" w:type="dxa"/>
            <w:tcBorders>
              <w:left w:val="nil"/>
              <w:bottom w:val="single" w:sz="4" w:space="0" w:color="auto"/>
            </w:tcBorders>
          </w:tcPr>
          <w:p w14:paraId="1952494C" w14:textId="77777777" w:rsidR="00301A39" w:rsidRDefault="00301A39" w:rsidP="003E6D65">
            <w:pPr>
              <w:pStyle w:val="051Tabletext22"/>
              <w:jc w:val="center"/>
              <w:rPr>
                <w:b/>
                <w:bCs/>
              </w:rPr>
            </w:pPr>
          </w:p>
        </w:tc>
        <w:tc>
          <w:tcPr>
            <w:tcW w:w="1107" w:type="dxa"/>
          </w:tcPr>
          <w:p w14:paraId="04D2B856" w14:textId="76F90751" w:rsidR="00301A39" w:rsidRDefault="00301A39" w:rsidP="003E6D65">
            <w:pPr>
              <w:pStyle w:val="051Tabletext22"/>
              <w:jc w:val="center"/>
              <w:rPr>
                <w:b/>
                <w:bCs/>
              </w:rPr>
            </w:pPr>
            <w:r>
              <w:rPr>
                <w:b/>
                <w:bCs/>
              </w:rPr>
              <w:t>$106,710 [</w:t>
            </w:r>
            <w:r w:rsidR="000B70E2">
              <w:rPr>
                <w:b/>
                <w:bCs/>
              </w:rPr>
              <w:t>J</w:t>
            </w:r>
            <w:r>
              <w:rPr>
                <w:b/>
                <w:bCs/>
              </w:rPr>
              <w:t>]</w:t>
            </w:r>
          </w:p>
        </w:tc>
      </w:tr>
    </w:tbl>
    <w:p w14:paraId="6CA20686" w14:textId="42AA32FF" w:rsidR="00146E17" w:rsidRDefault="00E918BB" w:rsidP="00E918BB">
      <w:pPr>
        <w:pStyle w:val="101Tablefootnotes"/>
      </w:pPr>
      <w:r>
        <w:t>E=A+B</w:t>
      </w:r>
    </w:p>
    <w:p w14:paraId="5C1328EA" w14:textId="732585FE" w:rsidR="00E918BB" w:rsidRDefault="00E918BB" w:rsidP="00E918BB">
      <w:pPr>
        <w:pStyle w:val="101Tablefootnotes"/>
        <w:rPr>
          <w:lang w:val="en-US"/>
        </w:rPr>
      </w:pPr>
      <w:r>
        <w:rPr>
          <w:lang w:val="en-US"/>
        </w:rPr>
        <w:t>F=C+D</w:t>
      </w:r>
    </w:p>
    <w:p w14:paraId="5706B00F" w14:textId="0EE58239" w:rsidR="00E918BB" w:rsidRPr="00E918BB" w:rsidRDefault="00E918BB" w:rsidP="00E918BB">
      <w:pPr>
        <w:pStyle w:val="101Tablefootnotes"/>
        <w:rPr>
          <w:lang w:val="en-US"/>
        </w:rPr>
      </w:pPr>
      <w:r>
        <w:rPr>
          <w:lang w:val="en-US"/>
        </w:rPr>
        <w:t>G=E-F</w:t>
      </w:r>
    </w:p>
    <w:p w14:paraId="35529BA8" w14:textId="6A465AD9" w:rsidR="00780080" w:rsidRPr="00E918BB" w:rsidRDefault="00780080" w:rsidP="00913947">
      <w:pPr>
        <w:pStyle w:val="101Tablefootnotes"/>
      </w:pPr>
      <w:r>
        <w:t>J=H/I</w:t>
      </w:r>
    </w:p>
    <w:p w14:paraId="46422F0E" w14:textId="3C39BA07" w:rsidR="002F54B7" w:rsidRPr="002F54B7" w:rsidRDefault="002F54B7" w:rsidP="002F54B7">
      <w:pPr>
        <w:pStyle w:val="111Tablefootnoteslast-nostick"/>
      </w:pPr>
      <w:r>
        <w:t>Differences compared to when numbers in the table are used for calculations are due to rounding.</w:t>
      </w:r>
    </w:p>
    <w:p w14:paraId="55633583" w14:textId="6D4936D5" w:rsidR="00E24DB8" w:rsidRDefault="00146E17" w:rsidP="00146E17">
      <w:pPr>
        <w:pStyle w:val="BodyText"/>
      </w:pPr>
      <w:r>
        <w:t xml:space="preserve">Key drivers of the model are presented in </w:t>
      </w:r>
      <w:r>
        <w:fldChar w:fldCharType="begin"/>
      </w:r>
      <w:r>
        <w:instrText xml:space="preserve"> REF _Ref213162485 \h </w:instrText>
      </w:r>
      <w:r>
        <w:fldChar w:fldCharType="separate"/>
      </w:r>
      <w:r w:rsidR="00716875" w:rsidRPr="00CE28E3">
        <w:t>Table</w:t>
      </w:r>
      <w:r w:rsidR="00716875">
        <w:t> </w:t>
      </w:r>
      <w:r w:rsidR="00716875">
        <w:rPr>
          <w:noProof/>
        </w:rPr>
        <w:t>21</w:t>
      </w:r>
      <w:r>
        <w:fldChar w:fldCharType="end"/>
      </w:r>
      <w:r>
        <w:t>. The model</w:t>
      </w:r>
      <w:r w:rsidR="00B96D47">
        <w:t xml:space="preserve"> is most sensitive to the assumption of monitoring frequency and to the cost of each ADAMTS13 activity test.</w:t>
      </w:r>
    </w:p>
    <w:p w14:paraId="63A72470" w14:textId="496A71BC" w:rsidR="00D708FA" w:rsidRPr="00CE28E3" w:rsidRDefault="00D708FA" w:rsidP="00D708FA">
      <w:pPr>
        <w:pStyle w:val="Caption"/>
      </w:pPr>
      <w:bookmarkStart w:id="50" w:name="_Ref213162485"/>
      <w:r w:rsidRPr="00CE28E3">
        <w:lastRenderedPageBreak/>
        <w:t>Table</w:t>
      </w:r>
      <w:r>
        <w:t> </w:t>
      </w:r>
      <w:r>
        <w:fldChar w:fldCharType="begin"/>
      </w:r>
      <w:r>
        <w:instrText>SEQ Table \* ARABIC</w:instrText>
      </w:r>
      <w:r>
        <w:fldChar w:fldCharType="separate"/>
      </w:r>
      <w:r w:rsidR="00716875">
        <w:rPr>
          <w:noProof/>
        </w:rPr>
        <w:t>21</w:t>
      </w:r>
      <w:r>
        <w:fldChar w:fldCharType="end"/>
      </w:r>
      <w:bookmarkEnd w:id="50"/>
      <w:r w:rsidRPr="00CE28E3">
        <w:tab/>
        <w:t>Key drivers of the model</w:t>
      </w:r>
      <w:r w:rsidR="00176453">
        <w:t>: ADAMTS13 activity testing for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2"/>
        <w:gridCol w:w="2537"/>
        <w:gridCol w:w="4537"/>
      </w:tblGrid>
      <w:tr w:rsidR="00D708FA" w:rsidRPr="00CE28E3" w14:paraId="06A06496" w14:textId="77777777" w:rsidTr="00BE5A45">
        <w:trPr>
          <w:tblHeader/>
        </w:trPr>
        <w:tc>
          <w:tcPr>
            <w:tcW w:w="0" w:type="auto"/>
            <w:vAlign w:val="center"/>
          </w:tcPr>
          <w:p w14:paraId="1E2DD6C0" w14:textId="77777777" w:rsidR="00D708FA" w:rsidRPr="00CE28E3" w:rsidRDefault="00D708FA" w:rsidP="006C1C08">
            <w:pPr>
              <w:pStyle w:val="In-tableHeading"/>
              <w:jc w:val="center"/>
            </w:pPr>
            <w:bookmarkStart w:id="51" w:name="Title_Table10" w:colFirst="0" w:colLast="0"/>
            <w:bookmarkStart w:id="52" w:name="_Hlk68276626"/>
            <w:r w:rsidRPr="00CE28E3">
              <w:t>Description</w:t>
            </w:r>
          </w:p>
        </w:tc>
        <w:tc>
          <w:tcPr>
            <w:tcW w:w="0" w:type="auto"/>
            <w:vAlign w:val="center"/>
          </w:tcPr>
          <w:p w14:paraId="5F94331A" w14:textId="77777777" w:rsidR="00D708FA" w:rsidRPr="00CE28E3" w:rsidRDefault="00D708FA" w:rsidP="006C1C08">
            <w:pPr>
              <w:pStyle w:val="In-tableHeading"/>
              <w:jc w:val="center"/>
            </w:pPr>
            <w:r w:rsidRPr="00CE28E3">
              <w:t>Method/Value</w:t>
            </w:r>
          </w:p>
        </w:tc>
        <w:tc>
          <w:tcPr>
            <w:tcW w:w="0" w:type="auto"/>
            <w:vAlign w:val="center"/>
          </w:tcPr>
          <w:p w14:paraId="537964DB" w14:textId="77777777" w:rsidR="00D708FA" w:rsidRPr="00CE28E3" w:rsidRDefault="00D708FA" w:rsidP="006C1C08">
            <w:pPr>
              <w:pStyle w:val="In-tableHeading"/>
              <w:jc w:val="center"/>
            </w:pPr>
            <w:r w:rsidRPr="00CE28E3">
              <w:t>Impact</w:t>
            </w:r>
          </w:p>
          <w:p w14:paraId="731EFB6C" w14:textId="203DCD66" w:rsidR="00D708FA" w:rsidRPr="00CE28E3" w:rsidRDefault="00D708FA" w:rsidP="006C1C08">
            <w:pPr>
              <w:pStyle w:val="In-tableHeading"/>
              <w:spacing w:after="160"/>
              <w:jc w:val="center"/>
            </w:pPr>
            <w:r w:rsidRPr="00CE28E3">
              <w:rPr>
                <w:rFonts w:cs="Arial"/>
                <w:szCs w:val="20"/>
              </w:rPr>
              <w:t xml:space="preserve">Base case: </w:t>
            </w:r>
            <w:r w:rsidR="00AC3396" w:rsidRPr="00B07C41">
              <w:rPr>
                <w:bCs/>
              </w:rPr>
              <w:t>$106,710</w:t>
            </w:r>
            <w:r w:rsidR="00AC3396">
              <w:rPr>
                <w:bCs/>
              </w:rPr>
              <w:t xml:space="preserve"> per recurrence avoided</w:t>
            </w:r>
          </w:p>
        </w:tc>
      </w:tr>
      <w:bookmarkEnd w:id="51"/>
      <w:tr w:rsidR="00D708FA" w:rsidRPr="00CE28E3" w14:paraId="1056A072" w14:textId="77777777" w:rsidTr="004427E9">
        <w:tc>
          <w:tcPr>
            <w:tcW w:w="0" w:type="auto"/>
          </w:tcPr>
          <w:p w14:paraId="523F75D4" w14:textId="3483133E" w:rsidR="00D708FA" w:rsidRPr="00CE28E3" w:rsidRDefault="00231F66" w:rsidP="004427E9">
            <w:pPr>
              <w:pStyle w:val="TableText"/>
              <w:rPr>
                <w:lang w:val="en-US"/>
              </w:rPr>
            </w:pPr>
            <w:r>
              <w:rPr>
                <w:lang w:val="en-US"/>
              </w:rPr>
              <w:t>Monitoring frequency</w:t>
            </w:r>
          </w:p>
        </w:tc>
        <w:tc>
          <w:tcPr>
            <w:tcW w:w="0" w:type="auto"/>
          </w:tcPr>
          <w:p w14:paraId="3811C499" w14:textId="5F653663" w:rsidR="00D708FA" w:rsidRPr="00CE28E3" w:rsidRDefault="00BB4E37" w:rsidP="006C1C08">
            <w:pPr>
              <w:pStyle w:val="TableText"/>
              <w:rPr>
                <w:lang w:val="en-US"/>
              </w:rPr>
            </w:pPr>
            <w:r>
              <w:rPr>
                <w:lang w:val="en-US"/>
              </w:rPr>
              <w:t>Varied according to IS</w:t>
            </w:r>
            <w:r w:rsidR="00261EC6">
              <w:rPr>
                <w:lang w:val="en-US"/>
              </w:rPr>
              <w:t>T</w:t>
            </w:r>
            <w:r>
              <w:rPr>
                <w:lang w:val="en-US"/>
              </w:rPr>
              <w:t>H Guidelines (Zheng et al. 2025)</w:t>
            </w:r>
          </w:p>
        </w:tc>
        <w:tc>
          <w:tcPr>
            <w:tcW w:w="0" w:type="auto"/>
          </w:tcPr>
          <w:p w14:paraId="237310C2" w14:textId="40DC4A70" w:rsidR="00D708FA" w:rsidRPr="00CE28E3" w:rsidRDefault="00D708FA" w:rsidP="0043628B">
            <w:pPr>
              <w:pStyle w:val="TableText"/>
              <w:rPr>
                <w:i/>
                <w:lang w:val="en-US"/>
              </w:rPr>
            </w:pPr>
            <w:r w:rsidRPr="00CE28E3">
              <w:rPr>
                <w:i/>
                <w:lang w:val="en-US"/>
              </w:rPr>
              <w:t>High</w:t>
            </w:r>
            <w:r w:rsidR="006D5633">
              <w:rPr>
                <w:i/>
                <w:lang w:val="en-US"/>
              </w:rPr>
              <w:t>;</w:t>
            </w:r>
            <w:r w:rsidRPr="00CE28E3">
              <w:rPr>
                <w:i/>
                <w:lang w:val="en-US"/>
              </w:rPr>
              <w:t xml:space="preserve"> </w:t>
            </w:r>
            <w:r w:rsidR="0043628B">
              <w:rPr>
                <w:i/>
                <w:lang w:val="en-US"/>
              </w:rPr>
              <w:t xml:space="preserve">lower frequency </w:t>
            </w:r>
            <w:r w:rsidRPr="00CE28E3">
              <w:rPr>
                <w:i/>
                <w:lang w:val="en-US"/>
              </w:rPr>
              <w:t xml:space="preserve">favours </w:t>
            </w:r>
            <w:r w:rsidR="0043628B">
              <w:rPr>
                <w:i/>
                <w:lang w:val="en-US"/>
              </w:rPr>
              <w:t>monitoring but impact o</w:t>
            </w:r>
            <w:r w:rsidR="00AC3396">
              <w:rPr>
                <w:i/>
                <w:lang w:val="en-US"/>
              </w:rPr>
              <w:t>n</w:t>
            </w:r>
            <w:r w:rsidR="0043628B">
              <w:rPr>
                <w:i/>
                <w:lang w:val="en-US"/>
              </w:rPr>
              <w:t xml:space="preserve"> effectiveness outcomes (</w:t>
            </w:r>
            <w:r w:rsidR="00AC3396">
              <w:rPr>
                <w:i/>
                <w:lang w:val="en-US"/>
              </w:rPr>
              <w:t>i.e.</w:t>
            </w:r>
            <w:r w:rsidR="0043628B">
              <w:rPr>
                <w:i/>
                <w:lang w:val="en-US"/>
              </w:rPr>
              <w:t xml:space="preserve"> likely reduced) </w:t>
            </w:r>
            <w:r w:rsidR="00AC3396">
              <w:rPr>
                <w:i/>
                <w:lang w:val="en-US"/>
              </w:rPr>
              <w:t>is</w:t>
            </w:r>
            <w:r w:rsidR="0043628B">
              <w:rPr>
                <w:i/>
                <w:lang w:val="en-US"/>
              </w:rPr>
              <w:t xml:space="preserve"> not considered</w:t>
            </w:r>
          </w:p>
        </w:tc>
      </w:tr>
      <w:tr w:rsidR="00D708FA" w:rsidRPr="00CE28E3" w14:paraId="0B688ECD" w14:textId="77777777" w:rsidTr="004427E9">
        <w:tc>
          <w:tcPr>
            <w:tcW w:w="0" w:type="auto"/>
          </w:tcPr>
          <w:p w14:paraId="6655F134" w14:textId="17B5CC37" w:rsidR="00D708FA" w:rsidRPr="00CE28E3" w:rsidRDefault="007321D6" w:rsidP="004427E9">
            <w:pPr>
              <w:pStyle w:val="TableText"/>
              <w:rPr>
                <w:lang w:val="en-US"/>
              </w:rPr>
            </w:pPr>
            <w:r>
              <w:rPr>
                <w:lang w:val="en-US"/>
              </w:rPr>
              <w:t>Number of days of PEX</w:t>
            </w:r>
            <w:r w:rsidR="00520828">
              <w:rPr>
                <w:lang w:val="en-US"/>
              </w:rPr>
              <w:t>/ hospitalisation</w:t>
            </w:r>
          </w:p>
        </w:tc>
        <w:tc>
          <w:tcPr>
            <w:tcW w:w="0" w:type="auto"/>
          </w:tcPr>
          <w:p w14:paraId="0A135626" w14:textId="40D9A054" w:rsidR="00D708FA" w:rsidRPr="00CE28E3" w:rsidRDefault="00F34F01" w:rsidP="006C1C08">
            <w:pPr>
              <w:pStyle w:val="TableText"/>
              <w:rPr>
                <w:lang w:val="en-US"/>
              </w:rPr>
            </w:pPr>
            <w:r>
              <w:rPr>
                <w:lang w:val="en-US"/>
              </w:rPr>
              <w:t>Base case 9.4 days. Varied from 7 to 14.4 days.</w:t>
            </w:r>
          </w:p>
        </w:tc>
        <w:tc>
          <w:tcPr>
            <w:tcW w:w="0" w:type="auto"/>
          </w:tcPr>
          <w:p w14:paraId="05CFAE90" w14:textId="159F1813" w:rsidR="00D708FA" w:rsidRPr="00CE28E3" w:rsidRDefault="00F34F01" w:rsidP="006D5633">
            <w:pPr>
              <w:pStyle w:val="TableText"/>
              <w:rPr>
                <w:i/>
                <w:lang w:val="en-US"/>
              </w:rPr>
            </w:pPr>
            <w:r>
              <w:rPr>
                <w:i/>
                <w:lang w:val="en-US"/>
              </w:rPr>
              <w:t>Low</w:t>
            </w:r>
            <w:r w:rsidR="006D5633">
              <w:rPr>
                <w:i/>
                <w:lang w:val="en-US"/>
              </w:rPr>
              <w:t>;</w:t>
            </w:r>
            <w:r w:rsidR="00D708FA" w:rsidRPr="00CE28E3">
              <w:rPr>
                <w:i/>
                <w:lang w:val="en-US"/>
              </w:rPr>
              <w:t xml:space="preserve"> </w:t>
            </w:r>
            <w:r w:rsidR="00BE5A45">
              <w:rPr>
                <w:i/>
                <w:lang w:val="en-US"/>
              </w:rPr>
              <w:t xml:space="preserve">longer duration </w:t>
            </w:r>
            <w:r w:rsidR="00D708FA" w:rsidRPr="00CE28E3">
              <w:rPr>
                <w:i/>
                <w:lang w:val="en-US"/>
              </w:rPr>
              <w:t xml:space="preserve">favours </w:t>
            </w:r>
            <w:r w:rsidR="00BE5A45">
              <w:rPr>
                <w:i/>
                <w:lang w:val="en-US"/>
              </w:rPr>
              <w:t>monitoring</w:t>
            </w:r>
          </w:p>
        </w:tc>
      </w:tr>
      <w:tr w:rsidR="00D708FA" w:rsidRPr="00CE28E3" w14:paraId="6A1E3F5F" w14:textId="77777777" w:rsidTr="004427E9">
        <w:tc>
          <w:tcPr>
            <w:tcW w:w="0" w:type="auto"/>
          </w:tcPr>
          <w:p w14:paraId="453B02B3" w14:textId="3938D9AF" w:rsidR="00D708FA" w:rsidRPr="00CE28E3" w:rsidRDefault="00520828" w:rsidP="004427E9">
            <w:pPr>
              <w:pStyle w:val="TableText"/>
              <w:rPr>
                <w:lang w:val="en-US"/>
              </w:rPr>
            </w:pPr>
            <w:r>
              <w:rPr>
                <w:lang w:val="en-US"/>
              </w:rPr>
              <w:t xml:space="preserve">Number of </w:t>
            </w:r>
            <w:r w:rsidR="00617F11">
              <w:rPr>
                <w:lang w:val="en-US"/>
              </w:rPr>
              <w:t>rituximab infusions</w:t>
            </w:r>
          </w:p>
        </w:tc>
        <w:tc>
          <w:tcPr>
            <w:tcW w:w="0" w:type="auto"/>
          </w:tcPr>
          <w:p w14:paraId="03E357A9" w14:textId="4C92A1C4" w:rsidR="00D708FA" w:rsidRPr="00CE28E3" w:rsidRDefault="004427E9" w:rsidP="006C1C08">
            <w:pPr>
              <w:pStyle w:val="TableText"/>
              <w:rPr>
                <w:lang w:val="en-US"/>
              </w:rPr>
            </w:pPr>
            <w:r>
              <w:rPr>
                <w:lang w:val="en-US"/>
              </w:rPr>
              <w:t>Base case 4 infusions. Varied from 2 to 6.</w:t>
            </w:r>
          </w:p>
        </w:tc>
        <w:tc>
          <w:tcPr>
            <w:tcW w:w="0" w:type="auto"/>
          </w:tcPr>
          <w:p w14:paraId="43A69E93" w14:textId="0BAE95C9" w:rsidR="00D708FA" w:rsidRPr="004427E9" w:rsidRDefault="004427E9" w:rsidP="004427E9">
            <w:pPr>
              <w:pStyle w:val="TableText"/>
              <w:rPr>
                <w:i/>
                <w:lang w:val="en-US"/>
              </w:rPr>
            </w:pPr>
            <w:r>
              <w:rPr>
                <w:i/>
                <w:lang w:val="en-US"/>
              </w:rPr>
              <w:t>Low</w:t>
            </w:r>
            <w:r w:rsidR="006D5633">
              <w:rPr>
                <w:i/>
                <w:lang w:val="en-US"/>
              </w:rPr>
              <w:t>;</w:t>
            </w:r>
            <w:r w:rsidRPr="00CE28E3">
              <w:rPr>
                <w:i/>
                <w:lang w:val="en-US"/>
              </w:rPr>
              <w:t xml:space="preserve"> </w:t>
            </w:r>
            <w:r w:rsidR="00B76CA8">
              <w:rPr>
                <w:i/>
                <w:lang w:val="en-US"/>
              </w:rPr>
              <w:t>fewer infusions</w:t>
            </w:r>
            <w:r>
              <w:rPr>
                <w:i/>
                <w:lang w:val="en-US"/>
              </w:rPr>
              <w:t xml:space="preserve"> </w:t>
            </w:r>
            <w:r w:rsidRPr="00CE28E3">
              <w:rPr>
                <w:i/>
                <w:lang w:val="en-US"/>
              </w:rPr>
              <w:t xml:space="preserve">favours </w:t>
            </w:r>
            <w:r>
              <w:rPr>
                <w:i/>
                <w:lang w:val="en-US"/>
              </w:rPr>
              <w:t>monitoring</w:t>
            </w:r>
          </w:p>
        </w:tc>
      </w:tr>
      <w:tr w:rsidR="00617F11" w:rsidRPr="00CE28E3" w14:paraId="185AE0C7" w14:textId="77777777" w:rsidTr="004427E9">
        <w:tc>
          <w:tcPr>
            <w:tcW w:w="0" w:type="auto"/>
          </w:tcPr>
          <w:p w14:paraId="181E1DC9" w14:textId="740F11D9" w:rsidR="00617F11" w:rsidRDefault="00617F11" w:rsidP="004427E9">
            <w:pPr>
              <w:pStyle w:val="TableText"/>
              <w:rPr>
                <w:lang w:val="en-US"/>
              </w:rPr>
            </w:pPr>
            <w:r>
              <w:rPr>
                <w:lang w:val="en-US"/>
              </w:rPr>
              <w:t>Cost of ADAMTS13 activity testing</w:t>
            </w:r>
          </w:p>
        </w:tc>
        <w:tc>
          <w:tcPr>
            <w:tcW w:w="0" w:type="auto"/>
          </w:tcPr>
          <w:p w14:paraId="566959FF" w14:textId="42500C53" w:rsidR="00617F11" w:rsidRPr="00CE28E3" w:rsidRDefault="00B76CA8" w:rsidP="006C1C08">
            <w:pPr>
              <w:pStyle w:val="TableText"/>
              <w:rPr>
                <w:lang w:val="en-US"/>
              </w:rPr>
            </w:pPr>
            <w:r>
              <w:rPr>
                <w:lang w:val="en-US"/>
              </w:rPr>
              <w:t xml:space="preserve">Base case $700. </w:t>
            </w:r>
            <w:r w:rsidR="00EB2BA1">
              <w:rPr>
                <w:lang w:val="en-US"/>
              </w:rPr>
              <w:t>Varied down to $105 per test.</w:t>
            </w:r>
          </w:p>
        </w:tc>
        <w:tc>
          <w:tcPr>
            <w:tcW w:w="0" w:type="auto"/>
          </w:tcPr>
          <w:p w14:paraId="22AE6B66" w14:textId="089DAC35" w:rsidR="00617F11" w:rsidRPr="00F6285B" w:rsidRDefault="00EB2BA1" w:rsidP="004427E9">
            <w:pPr>
              <w:pStyle w:val="TableText"/>
              <w:rPr>
                <w:i/>
                <w:lang w:val="en-US"/>
              </w:rPr>
            </w:pPr>
            <w:r w:rsidRPr="00F6285B">
              <w:rPr>
                <w:i/>
                <w:lang w:val="en-US"/>
              </w:rPr>
              <w:t>High</w:t>
            </w:r>
            <w:r w:rsidR="006D5633">
              <w:rPr>
                <w:i/>
                <w:lang w:val="en-US"/>
              </w:rPr>
              <w:t>;</w:t>
            </w:r>
            <w:r w:rsidRPr="00F6285B">
              <w:rPr>
                <w:i/>
                <w:lang w:val="en-US"/>
              </w:rPr>
              <w:t xml:space="preserve"> lower cost </w:t>
            </w:r>
            <w:r w:rsidR="00F6285B" w:rsidRPr="00F6285B">
              <w:rPr>
                <w:i/>
                <w:iCs/>
                <w:lang w:val="en-US"/>
              </w:rPr>
              <w:t>favours monitoring</w:t>
            </w:r>
          </w:p>
        </w:tc>
      </w:tr>
    </w:tbl>
    <w:bookmarkEnd w:id="52"/>
    <w:p w14:paraId="257214C7" w14:textId="26F1DF6F" w:rsidR="00D708FA" w:rsidRPr="00CE28E3" w:rsidRDefault="00674848" w:rsidP="00B96D47">
      <w:pPr>
        <w:pStyle w:val="111Tablefootnoteslast-nostick"/>
      </w:pPr>
      <w:r>
        <w:t xml:space="preserve">ISTH = International Society on Thrombosis and Haemostasis; </w:t>
      </w:r>
      <w:r w:rsidR="00F6285B">
        <w:t xml:space="preserve">PEX = plasma exchange therapy. </w:t>
      </w:r>
    </w:p>
    <w:p w14:paraId="51C87AA6" w14:textId="4F00AEE5" w:rsidR="00B96D47" w:rsidRPr="00B96D47" w:rsidRDefault="00D82E51" w:rsidP="00B96D47">
      <w:pPr>
        <w:pStyle w:val="BodyText"/>
        <w:rPr>
          <w:lang w:val="en-US"/>
        </w:rPr>
      </w:pPr>
      <w:bookmarkStart w:id="53" w:name="_Ref213162593"/>
      <w:r>
        <w:rPr>
          <w:lang w:val="en-US"/>
        </w:rPr>
        <w:t>Results of one-way sensitivity analys</w:t>
      </w:r>
      <w:r w:rsidR="00C844E9">
        <w:rPr>
          <w:lang w:val="en-US"/>
        </w:rPr>
        <w:t>e</w:t>
      </w:r>
      <w:r>
        <w:rPr>
          <w:lang w:val="en-US"/>
        </w:rPr>
        <w:t>s around the</w:t>
      </w:r>
      <w:r w:rsidR="00C844E9">
        <w:rPr>
          <w:lang w:val="en-US"/>
        </w:rPr>
        <w:t xml:space="preserve"> frequency of </w:t>
      </w:r>
      <w:r w:rsidR="00E40478">
        <w:rPr>
          <w:lang w:val="en-US"/>
        </w:rPr>
        <w:t>monitoring, number of days of PEX/hospitalization, cost of PESC and</w:t>
      </w:r>
      <w:r>
        <w:rPr>
          <w:lang w:val="en-US"/>
        </w:rPr>
        <w:t xml:space="preserve"> cost of ADAMTS13 activity testing are presented in </w:t>
      </w:r>
      <w:r>
        <w:rPr>
          <w:lang w:val="en-US"/>
        </w:rPr>
        <w:fldChar w:fldCharType="begin"/>
      </w:r>
      <w:r>
        <w:rPr>
          <w:lang w:val="en-US"/>
        </w:rPr>
        <w:instrText xml:space="preserve"> REF _Ref69726347 \h </w:instrText>
      </w:r>
      <w:r>
        <w:rPr>
          <w:lang w:val="en-US"/>
        </w:rPr>
      </w:r>
      <w:r>
        <w:rPr>
          <w:lang w:val="en-US"/>
        </w:rPr>
        <w:fldChar w:fldCharType="separate"/>
      </w:r>
      <w:r w:rsidR="00716875" w:rsidRPr="00CE28E3">
        <w:t>Table</w:t>
      </w:r>
      <w:r w:rsidR="00716875">
        <w:t> </w:t>
      </w:r>
      <w:r w:rsidR="00716875">
        <w:rPr>
          <w:noProof/>
        </w:rPr>
        <w:t>22</w:t>
      </w:r>
      <w:r>
        <w:rPr>
          <w:lang w:val="en-US"/>
        </w:rPr>
        <w:fldChar w:fldCharType="end"/>
      </w:r>
      <w:r>
        <w:rPr>
          <w:lang w:val="en-US"/>
        </w:rPr>
        <w:t>.</w:t>
      </w:r>
    </w:p>
    <w:p w14:paraId="251B2B76" w14:textId="1C516943" w:rsidR="00555FE2" w:rsidRDefault="00555FE2" w:rsidP="00555FE2">
      <w:pPr>
        <w:pStyle w:val="Caption"/>
      </w:pPr>
      <w:bookmarkStart w:id="54" w:name="_Ref69726347"/>
      <w:r w:rsidRPr="00CE28E3">
        <w:t>Table</w:t>
      </w:r>
      <w:r>
        <w:t> </w:t>
      </w:r>
      <w:r>
        <w:fldChar w:fldCharType="begin"/>
      </w:r>
      <w:r>
        <w:instrText>SEQ Table \* ARABIC</w:instrText>
      </w:r>
      <w:r>
        <w:fldChar w:fldCharType="separate"/>
      </w:r>
      <w:r w:rsidR="00716875">
        <w:rPr>
          <w:noProof/>
        </w:rPr>
        <w:t>22</w:t>
      </w:r>
      <w:r>
        <w:fldChar w:fldCharType="end"/>
      </w:r>
      <w:bookmarkEnd w:id="53"/>
      <w:bookmarkEnd w:id="54"/>
      <w:r w:rsidRPr="00CE28E3">
        <w:tab/>
      </w:r>
      <w:r w:rsidR="0050227B">
        <w:t>One-way s</w:t>
      </w:r>
      <w:r w:rsidRPr="00CE28E3">
        <w:t>ensitivity analyses</w:t>
      </w:r>
      <w:r w:rsidR="008B5E9F">
        <w:t>: ADAMTS13 activity testing for monitoring</w:t>
      </w:r>
    </w:p>
    <w:tbl>
      <w:tblPr>
        <w:tblW w:w="5000" w:type="pct"/>
        <w:tblLayout w:type="fixed"/>
        <w:tblLook w:val="04A0" w:firstRow="1" w:lastRow="0" w:firstColumn="1" w:lastColumn="0" w:noHBand="0" w:noVBand="1"/>
        <w:tblCaption w:val="One-way sensitivity analyses around inputs to the economic evaluation"/>
        <w:tblDescription w:val="Shows results for sensitivity analyses."/>
      </w:tblPr>
      <w:tblGrid>
        <w:gridCol w:w="3412"/>
        <w:gridCol w:w="1401"/>
        <w:gridCol w:w="1401"/>
        <w:gridCol w:w="1401"/>
        <w:gridCol w:w="1401"/>
      </w:tblGrid>
      <w:tr w:rsidR="006D73EB" w14:paraId="33BF85BD" w14:textId="77777777" w:rsidTr="006D73EB">
        <w:trPr>
          <w:trHeight w:val="420"/>
          <w:tblHeader/>
        </w:trPr>
        <w:tc>
          <w:tcPr>
            <w:tcW w:w="1892" w:type="pct"/>
            <w:tcBorders>
              <w:top w:val="single" w:sz="4" w:space="0" w:color="auto"/>
              <w:left w:val="single" w:sz="4" w:space="0" w:color="auto"/>
              <w:bottom w:val="single" w:sz="4" w:space="0" w:color="auto"/>
              <w:right w:val="single" w:sz="4" w:space="0" w:color="auto"/>
            </w:tcBorders>
            <w:vAlign w:val="center"/>
          </w:tcPr>
          <w:p w14:paraId="52B63FE9" w14:textId="77777777" w:rsidR="006D73EB" w:rsidRDefault="006D73EB" w:rsidP="006D73EB">
            <w:pPr>
              <w:pStyle w:val="In-tableHeading"/>
            </w:pPr>
            <w:r>
              <w:t>Input</w:t>
            </w:r>
          </w:p>
        </w:tc>
        <w:tc>
          <w:tcPr>
            <w:tcW w:w="777" w:type="pct"/>
            <w:tcBorders>
              <w:top w:val="single" w:sz="4" w:space="0" w:color="auto"/>
              <w:left w:val="single" w:sz="4" w:space="0" w:color="auto"/>
              <w:bottom w:val="single" w:sz="4" w:space="0" w:color="auto"/>
              <w:right w:val="single" w:sz="4" w:space="0" w:color="auto"/>
            </w:tcBorders>
            <w:vAlign w:val="center"/>
          </w:tcPr>
          <w:p w14:paraId="34BEB02D" w14:textId="77777777" w:rsidR="006D73EB" w:rsidRDefault="006D73EB" w:rsidP="006D73EB">
            <w:pPr>
              <w:pStyle w:val="In-tableHeading"/>
              <w:jc w:val="center"/>
            </w:pPr>
            <w:r>
              <w:t>Incremental costs</w:t>
            </w:r>
          </w:p>
        </w:tc>
        <w:tc>
          <w:tcPr>
            <w:tcW w:w="777" w:type="pct"/>
            <w:tcBorders>
              <w:top w:val="single" w:sz="4" w:space="0" w:color="auto"/>
              <w:left w:val="single" w:sz="4" w:space="0" w:color="auto"/>
              <w:bottom w:val="single" w:sz="4" w:space="0" w:color="auto"/>
              <w:right w:val="single" w:sz="4" w:space="0" w:color="auto"/>
            </w:tcBorders>
            <w:vAlign w:val="center"/>
          </w:tcPr>
          <w:p w14:paraId="127982B8" w14:textId="77777777" w:rsidR="006D73EB" w:rsidRDefault="006D73EB" w:rsidP="006D73EB">
            <w:pPr>
              <w:pStyle w:val="In-tableHeading"/>
              <w:jc w:val="center"/>
            </w:pPr>
            <w:r>
              <w:t>Incremental outcomes</w:t>
            </w:r>
          </w:p>
        </w:tc>
        <w:tc>
          <w:tcPr>
            <w:tcW w:w="777" w:type="pct"/>
            <w:tcBorders>
              <w:top w:val="single" w:sz="4" w:space="0" w:color="auto"/>
              <w:left w:val="single" w:sz="4" w:space="0" w:color="auto"/>
              <w:bottom w:val="single" w:sz="4" w:space="0" w:color="auto"/>
              <w:right w:val="single" w:sz="4" w:space="0" w:color="auto"/>
            </w:tcBorders>
            <w:vAlign w:val="center"/>
          </w:tcPr>
          <w:p w14:paraId="5A98948D" w14:textId="77777777" w:rsidR="006D73EB" w:rsidRDefault="006D73EB" w:rsidP="006D73EB">
            <w:pPr>
              <w:pStyle w:val="In-tableHeading"/>
              <w:jc w:val="center"/>
            </w:pPr>
            <w:r>
              <w:t>ICER per additional recurrence over 2 years</w:t>
            </w:r>
          </w:p>
        </w:tc>
        <w:tc>
          <w:tcPr>
            <w:tcW w:w="777" w:type="pct"/>
            <w:tcBorders>
              <w:top w:val="single" w:sz="4" w:space="0" w:color="auto"/>
              <w:left w:val="single" w:sz="4" w:space="0" w:color="auto"/>
              <w:bottom w:val="single" w:sz="4" w:space="0" w:color="auto"/>
              <w:right w:val="single" w:sz="4" w:space="0" w:color="auto"/>
            </w:tcBorders>
          </w:tcPr>
          <w:p w14:paraId="2A87B88B" w14:textId="77777777" w:rsidR="006D73EB" w:rsidRDefault="006D73EB" w:rsidP="006D73EB">
            <w:pPr>
              <w:pStyle w:val="In-tableHeading"/>
              <w:jc w:val="center"/>
            </w:pPr>
            <w:r>
              <w:t>% change</w:t>
            </w:r>
          </w:p>
        </w:tc>
      </w:tr>
      <w:tr w:rsidR="006D73EB" w:rsidRPr="00B07C41" w14:paraId="50B50568" w14:textId="77777777" w:rsidTr="006D73EB">
        <w:trPr>
          <w:trHeight w:val="420"/>
          <w:tblHeader/>
        </w:trPr>
        <w:tc>
          <w:tcPr>
            <w:tcW w:w="1892" w:type="pct"/>
            <w:tcBorders>
              <w:top w:val="single" w:sz="4" w:space="0" w:color="auto"/>
              <w:left w:val="single" w:sz="4" w:space="0" w:color="auto"/>
              <w:bottom w:val="single" w:sz="4" w:space="0" w:color="auto"/>
              <w:right w:val="single" w:sz="4" w:space="0" w:color="auto"/>
            </w:tcBorders>
            <w:vAlign w:val="center"/>
          </w:tcPr>
          <w:p w14:paraId="557A63F3" w14:textId="77777777" w:rsidR="006D73EB" w:rsidRPr="007603E5" w:rsidRDefault="006D73EB" w:rsidP="006D73EB">
            <w:pPr>
              <w:pStyle w:val="In-tableHeading"/>
            </w:pPr>
            <w:r w:rsidRPr="00B07C41">
              <w:t>Base case</w:t>
            </w:r>
          </w:p>
        </w:tc>
        <w:tc>
          <w:tcPr>
            <w:tcW w:w="777" w:type="pct"/>
            <w:tcBorders>
              <w:top w:val="single" w:sz="4" w:space="0" w:color="auto"/>
              <w:left w:val="single" w:sz="4" w:space="0" w:color="auto"/>
              <w:bottom w:val="single" w:sz="4" w:space="0" w:color="auto"/>
              <w:right w:val="single" w:sz="4" w:space="0" w:color="auto"/>
            </w:tcBorders>
            <w:vAlign w:val="center"/>
          </w:tcPr>
          <w:p w14:paraId="53593545" w14:textId="77777777" w:rsidR="006D73EB" w:rsidRPr="006D73EB" w:rsidRDefault="006D73EB" w:rsidP="006D73EB">
            <w:pPr>
              <w:pStyle w:val="In-tableHeading"/>
              <w:jc w:val="center"/>
            </w:pPr>
            <w:r w:rsidRPr="006D73EB">
              <w:t>$6,350.70</w:t>
            </w:r>
          </w:p>
        </w:tc>
        <w:tc>
          <w:tcPr>
            <w:tcW w:w="777" w:type="pct"/>
            <w:tcBorders>
              <w:top w:val="single" w:sz="4" w:space="0" w:color="auto"/>
              <w:left w:val="single" w:sz="4" w:space="0" w:color="auto"/>
              <w:bottom w:val="single" w:sz="4" w:space="0" w:color="auto"/>
              <w:right w:val="single" w:sz="4" w:space="0" w:color="auto"/>
            </w:tcBorders>
            <w:vAlign w:val="center"/>
          </w:tcPr>
          <w:p w14:paraId="205D89A9" w14:textId="77777777" w:rsidR="006D73EB" w:rsidRPr="006D73EB" w:rsidRDefault="006D73EB" w:rsidP="006D73EB">
            <w:pPr>
              <w:pStyle w:val="In-tableHeading"/>
              <w:jc w:val="center"/>
            </w:pPr>
            <w:r w:rsidRPr="006D73EB">
              <w:t>0.060</w:t>
            </w:r>
          </w:p>
        </w:tc>
        <w:tc>
          <w:tcPr>
            <w:tcW w:w="777" w:type="pct"/>
            <w:tcBorders>
              <w:top w:val="single" w:sz="4" w:space="0" w:color="auto"/>
              <w:left w:val="single" w:sz="4" w:space="0" w:color="auto"/>
              <w:bottom w:val="single" w:sz="4" w:space="0" w:color="auto"/>
              <w:right w:val="single" w:sz="4" w:space="0" w:color="auto"/>
            </w:tcBorders>
            <w:vAlign w:val="center"/>
          </w:tcPr>
          <w:p w14:paraId="3F76D9F5" w14:textId="77777777" w:rsidR="006D73EB" w:rsidRPr="006D73EB" w:rsidRDefault="006D73EB" w:rsidP="006D73EB">
            <w:pPr>
              <w:pStyle w:val="In-tableHeading"/>
              <w:jc w:val="center"/>
            </w:pPr>
            <w:r w:rsidRPr="006D73EB">
              <w:t>$106,710</w:t>
            </w:r>
          </w:p>
        </w:tc>
        <w:tc>
          <w:tcPr>
            <w:tcW w:w="777" w:type="pct"/>
            <w:tcBorders>
              <w:top w:val="single" w:sz="4" w:space="0" w:color="auto"/>
              <w:left w:val="single" w:sz="4" w:space="0" w:color="auto"/>
              <w:bottom w:val="single" w:sz="4" w:space="0" w:color="auto"/>
              <w:right w:val="single" w:sz="4" w:space="0" w:color="auto"/>
            </w:tcBorders>
          </w:tcPr>
          <w:p w14:paraId="4D94635F" w14:textId="77777777" w:rsidR="006D73EB" w:rsidRPr="006D73EB" w:rsidRDefault="006D73EB" w:rsidP="006D73EB">
            <w:pPr>
              <w:pStyle w:val="In-tableHeading"/>
              <w:jc w:val="center"/>
            </w:pPr>
            <w:r w:rsidRPr="006D73EB">
              <w:t>-</w:t>
            </w:r>
          </w:p>
        </w:tc>
      </w:tr>
      <w:tr w:rsidR="00F87838" w14:paraId="3611B972" w14:textId="77777777" w:rsidTr="00F87838">
        <w:trPr>
          <w:trHeight w:val="420"/>
          <w:tblHead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DA174FB" w14:textId="18CDB8EF" w:rsidR="00F87838" w:rsidRPr="00842907" w:rsidRDefault="00F87838" w:rsidP="00F87838">
            <w:pPr>
              <w:pStyle w:val="In-tableHeading"/>
            </w:pPr>
            <w:r w:rsidRPr="00842907">
              <w:t>ADAMTS13 monitoring frequency: weekly for 30 days, 3 monthly for 1 year then 3-6 monthly [Masias &amp; Cataland 2018]) (total tests: 10.67)</w:t>
            </w:r>
          </w:p>
        </w:tc>
      </w:tr>
      <w:tr w:rsidR="006D73EB" w14:paraId="7D337756" w14:textId="77777777" w:rsidTr="006D73EB">
        <w:trPr>
          <w:trHeight w:val="420"/>
          <w:tblHeader/>
        </w:trPr>
        <w:tc>
          <w:tcPr>
            <w:tcW w:w="1892" w:type="pct"/>
            <w:tcBorders>
              <w:top w:val="single" w:sz="4" w:space="0" w:color="auto"/>
              <w:left w:val="single" w:sz="4" w:space="0" w:color="auto"/>
              <w:bottom w:val="single" w:sz="4" w:space="0" w:color="auto"/>
              <w:right w:val="single" w:sz="4" w:space="0" w:color="auto"/>
            </w:tcBorders>
          </w:tcPr>
          <w:p w14:paraId="6104126B" w14:textId="77777777" w:rsidR="006D73EB" w:rsidRPr="0082570A" w:rsidRDefault="006D73EB" w:rsidP="006D73EB">
            <w:pPr>
              <w:pStyle w:val="In-tableHeading"/>
              <w:rPr>
                <w:b w:val="0"/>
                <w:bCs/>
              </w:rPr>
            </w:pPr>
            <w:r w:rsidRPr="0082570A">
              <w:rPr>
                <w:b w:val="0"/>
                <w:bCs/>
              </w:rPr>
              <w:t>weekly until ADAMTS13 activity is &gt;50% (assume 1 month), 3 monthly for 3 years, 6 monthly for 2 years then annually (Coppo et al. 2018) (total tests: 12)</w:t>
            </w:r>
          </w:p>
        </w:tc>
        <w:tc>
          <w:tcPr>
            <w:tcW w:w="777" w:type="pct"/>
            <w:tcBorders>
              <w:top w:val="single" w:sz="4" w:space="0" w:color="auto"/>
              <w:left w:val="single" w:sz="4" w:space="0" w:color="auto"/>
              <w:bottom w:val="single" w:sz="4" w:space="0" w:color="auto"/>
              <w:right w:val="single" w:sz="4" w:space="0" w:color="auto"/>
            </w:tcBorders>
          </w:tcPr>
          <w:p w14:paraId="74438210" w14:textId="77777777" w:rsidR="006D73EB" w:rsidRPr="0082570A" w:rsidRDefault="006D73EB" w:rsidP="006D73EB">
            <w:pPr>
              <w:pStyle w:val="In-tableHeading"/>
              <w:rPr>
                <w:b w:val="0"/>
                <w:bCs/>
              </w:rPr>
            </w:pPr>
            <w:r w:rsidRPr="0082570A">
              <w:rPr>
                <w:b w:val="0"/>
                <w:bCs/>
              </w:rPr>
              <w:t>$7,284.03</w:t>
            </w:r>
          </w:p>
        </w:tc>
        <w:tc>
          <w:tcPr>
            <w:tcW w:w="777" w:type="pct"/>
            <w:tcBorders>
              <w:top w:val="single" w:sz="4" w:space="0" w:color="auto"/>
              <w:left w:val="single" w:sz="4" w:space="0" w:color="auto"/>
              <w:bottom w:val="single" w:sz="4" w:space="0" w:color="auto"/>
              <w:right w:val="single" w:sz="4" w:space="0" w:color="auto"/>
            </w:tcBorders>
          </w:tcPr>
          <w:p w14:paraId="5CE18EEE" w14:textId="77777777" w:rsidR="006D73EB" w:rsidRPr="0082570A" w:rsidRDefault="006D73EB" w:rsidP="006D73EB">
            <w:pPr>
              <w:pStyle w:val="In-tableHeading"/>
              <w:rPr>
                <w:b w:val="0"/>
                <w:bCs/>
              </w:rPr>
            </w:pPr>
            <w:r w:rsidRPr="0082570A">
              <w:rPr>
                <w:b w:val="0"/>
                <w:bCs/>
              </w:rPr>
              <w:t>0.060</w:t>
            </w:r>
          </w:p>
        </w:tc>
        <w:tc>
          <w:tcPr>
            <w:tcW w:w="777" w:type="pct"/>
            <w:tcBorders>
              <w:top w:val="single" w:sz="4" w:space="0" w:color="auto"/>
              <w:left w:val="single" w:sz="4" w:space="0" w:color="auto"/>
              <w:bottom w:val="single" w:sz="4" w:space="0" w:color="auto"/>
              <w:right w:val="single" w:sz="4" w:space="0" w:color="auto"/>
            </w:tcBorders>
          </w:tcPr>
          <w:p w14:paraId="543528AF" w14:textId="77777777" w:rsidR="006D73EB" w:rsidRPr="0082570A" w:rsidRDefault="006D73EB" w:rsidP="006D73EB">
            <w:pPr>
              <w:pStyle w:val="In-tableHeading"/>
              <w:rPr>
                <w:b w:val="0"/>
                <w:bCs/>
              </w:rPr>
            </w:pPr>
            <w:r w:rsidRPr="0082570A">
              <w:rPr>
                <w:b w:val="0"/>
                <w:bCs/>
              </w:rPr>
              <w:t>$122,393</w:t>
            </w:r>
          </w:p>
        </w:tc>
        <w:tc>
          <w:tcPr>
            <w:tcW w:w="777" w:type="pct"/>
            <w:tcBorders>
              <w:top w:val="single" w:sz="4" w:space="0" w:color="auto"/>
              <w:left w:val="single" w:sz="4" w:space="0" w:color="auto"/>
              <w:bottom w:val="single" w:sz="4" w:space="0" w:color="auto"/>
              <w:right w:val="single" w:sz="4" w:space="0" w:color="auto"/>
            </w:tcBorders>
          </w:tcPr>
          <w:p w14:paraId="1666B4D1" w14:textId="77777777" w:rsidR="006D73EB" w:rsidRPr="0082570A" w:rsidRDefault="006D73EB" w:rsidP="006D73EB">
            <w:pPr>
              <w:pStyle w:val="In-tableHeading"/>
              <w:rPr>
                <w:b w:val="0"/>
                <w:bCs/>
              </w:rPr>
            </w:pPr>
            <w:r w:rsidRPr="0082570A">
              <w:rPr>
                <w:b w:val="0"/>
                <w:bCs/>
              </w:rPr>
              <w:t>+14.7%</w:t>
            </w:r>
          </w:p>
        </w:tc>
      </w:tr>
      <w:tr w:rsidR="006D73EB" w:rsidRPr="00755B06" w14:paraId="6F12A008" w14:textId="77777777" w:rsidTr="006D73EB">
        <w:trPr>
          <w:trHeight w:val="420"/>
          <w:tblHeader/>
        </w:trPr>
        <w:tc>
          <w:tcPr>
            <w:tcW w:w="1892" w:type="pct"/>
            <w:tcBorders>
              <w:top w:val="single" w:sz="4" w:space="0" w:color="auto"/>
              <w:left w:val="single" w:sz="4" w:space="0" w:color="auto"/>
              <w:bottom w:val="single" w:sz="4" w:space="0" w:color="auto"/>
              <w:right w:val="single" w:sz="4" w:space="0" w:color="auto"/>
            </w:tcBorders>
          </w:tcPr>
          <w:p w14:paraId="3A760E09" w14:textId="77777777" w:rsidR="006D73EB" w:rsidRPr="0082570A" w:rsidRDefault="006D73EB" w:rsidP="006D73EB">
            <w:pPr>
              <w:pStyle w:val="In-tableHeading"/>
              <w:rPr>
                <w:b w:val="0"/>
                <w:bCs/>
              </w:rPr>
            </w:pPr>
            <w:r w:rsidRPr="0082570A">
              <w:rPr>
                <w:b w:val="0"/>
                <w:bCs/>
              </w:rPr>
              <w:t>monthly for 3 months, 3 monthly for 1 year then 6-12 monthly (Zheng et al. 2025) (total tests: 8)</w:t>
            </w:r>
          </w:p>
        </w:tc>
        <w:tc>
          <w:tcPr>
            <w:tcW w:w="777" w:type="pct"/>
            <w:tcBorders>
              <w:top w:val="single" w:sz="4" w:space="0" w:color="auto"/>
              <w:left w:val="single" w:sz="4" w:space="0" w:color="auto"/>
              <w:bottom w:val="single" w:sz="4" w:space="0" w:color="auto"/>
              <w:right w:val="single" w:sz="4" w:space="0" w:color="auto"/>
            </w:tcBorders>
          </w:tcPr>
          <w:p w14:paraId="5E054968" w14:textId="77777777" w:rsidR="006D73EB" w:rsidRPr="0082570A" w:rsidRDefault="006D73EB" w:rsidP="006D73EB">
            <w:pPr>
              <w:pStyle w:val="In-tableHeading"/>
              <w:rPr>
                <w:b w:val="0"/>
                <w:bCs/>
              </w:rPr>
            </w:pPr>
            <w:r w:rsidRPr="0082570A">
              <w:rPr>
                <w:b w:val="0"/>
                <w:bCs/>
              </w:rPr>
              <w:t>$4,484.03</w:t>
            </w:r>
          </w:p>
        </w:tc>
        <w:tc>
          <w:tcPr>
            <w:tcW w:w="777" w:type="pct"/>
            <w:tcBorders>
              <w:top w:val="single" w:sz="4" w:space="0" w:color="auto"/>
              <w:left w:val="single" w:sz="4" w:space="0" w:color="auto"/>
              <w:bottom w:val="single" w:sz="4" w:space="0" w:color="auto"/>
              <w:right w:val="single" w:sz="4" w:space="0" w:color="auto"/>
            </w:tcBorders>
          </w:tcPr>
          <w:p w14:paraId="0BDE0854" w14:textId="77777777" w:rsidR="006D73EB" w:rsidRPr="0082570A" w:rsidRDefault="006D73EB" w:rsidP="006D73EB">
            <w:pPr>
              <w:pStyle w:val="In-tableHeading"/>
              <w:rPr>
                <w:b w:val="0"/>
                <w:bCs/>
              </w:rPr>
            </w:pPr>
            <w:r w:rsidRPr="0082570A">
              <w:rPr>
                <w:b w:val="0"/>
                <w:bCs/>
              </w:rPr>
              <w:t>0.060</w:t>
            </w:r>
          </w:p>
        </w:tc>
        <w:tc>
          <w:tcPr>
            <w:tcW w:w="777" w:type="pct"/>
            <w:tcBorders>
              <w:top w:val="single" w:sz="4" w:space="0" w:color="auto"/>
              <w:left w:val="single" w:sz="4" w:space="0" w:color="auto"/>
              <w:bottom w:val="single" w:sz="4" w:space="0" w:color="auto"/>
              <w:right w:val="single" w:sz="4" w:space="0" w:color="auto"/>
            </w:tcBorders>
          </w:tcPr>
          <w:p w14:paraId="5FF2476B" w14:textId="77777777" w:rsidR="006D73EB" w:rsidRPr="0082570A" w:rsidRDefault="006D73EB" w:rsidP="006D73EB">
            <w:pPr>
              <w:pStyle w:val="In-tableHeading"/>
              <w:rPr>
                <w:b w:val="0"/>
                <w:bCs/>
              </w:rPr>
            </w:pPr>
            <w:r w:rsidRPr="0082570A">
              <w:rPr>
                <w:b w:val="0"/>
                <w:bCs/>
              </w:rPr>
              <w:t>$75,345</w:t>
            </w:r>
          </w:p>
        </w:tc>
        <w:tc>
          <w:tcPr>
            <w:tcW w:w="777" w:type="pct"/>
            <w:tcBorders>
              <w:top w:val="single" w:sz="4" w:space="0" w:color="auto"/>
              <w:left w:val="single" w:sz="4" w:space="0" w:color="auto"/>
              <w:bottom w:val="single" w:sz="4" w:space="0" w:color="auto"/>
              <w:right w:val="single" w:sz="4" w:space="0" w:color="auto"/>
            </w:tcBorders>
          </w:tcPr>
          <w:p w14:paraId="6CAAC9F5" w14:textId="77777777" w:rsidR="006D73EB" w:rsidRPr="0082570A" w:rsidRDefault="006D73EB" w:rsidP="006D73EB">
            <w:pPr>
              <w:pStyle w:val="In-tableHeading"/>
              <w:rPr>
                <w:b w:val="0"/>
                <w:bCs/>
              </w:rPr>
            </w:pPr>
            <w:r w:rsidRPr="0082570A">
              <w:rPr>
                <w:b w:val="0"/>
                <w:bCs/>
              </w:rPr>
              <w:t>-29.4%</w:t>
            </w:r>
          </w:p>
        </w:tc>
      </w:tr>
      <w:tr w:rsidR="00F87838" w14:paraId="49A8599F" w14:textId="77777777" w:rsidTr="00F87838">
        <w:trPr>
          <w:trHeight w:val="420"/>
          <w:tblHead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8AC00D3" w14:textId="15BE42A5" w:rsidR="00F87838" w:rsidRPr="00842907" w:rsidRDefault="00F87838" w:rsidP="00F87838">
            <w:pPr>
              <w:pStyle w:val="In-tableHeading"/>
            </w:pPr>
            <w:bookmarkStart w:id="55" w:name="_Hlk222308811"/>
            <w:r w:rsidRPr="00842907">
              <w:t>Number of days of hospitalisation for a patient with clinical recurrence (base case = 9.4 days)</w:t>
            </w:r>
          </w:p>
        </w:tc>
      </w:tr>
      <w:bookmarkEnd w:id="55"/>
      <w:tr w:rsidR="006D73EB" w14:paraId="2B3DED11" w14:textId="77777777" w:rsidTr="006D73EB">
        <w:trPr>
          <w:trHeight w:val="420"/>
          <w:tblHeader/>
        </w:trPr>
        <w:tc>
          <w:tcPr>
            <w:tcW w:w="1892" w:type="pct"/>
            <w:tcBorders>
              <w:top w:val="single" w:sz="4" w:space="0" w:color="auto"/>
              <w:left w:val="single" w:sz="4" w:space="0" w:color="auto"/>
              <w:bottom w:val="single" w:sz="4" w:space="0" w:color="auto"/>
              <w:right w:val="single" w:sz="4" w:space="0" w:color="auto"/>
            </w:tcBorders>
          </w:tcPr>
          <w:p w14:paraId="5A8300BA" w14:textId="77777777" w:rsidR="006D73EB" w:rsidRPr="0082570A" w:rsidRDefault="006D73EB" w:rsidP="006D73EB">
            <w:pPr>
              <w:pStyle w:val="In-tableHeading"/>
              <w:rPr>
                <w:b w:val="0"/>
                <w:bCs/>
              </w:rPr>
            </w:pPr>
            <w:r w:rsidRPr="0082570A">
              <w:rPr>
                <w:b w:val="0"/>
                <w:bCs/>
              </w:rPr>
              <w:t>7 days: Median number of days of PEX, placebo arm (Scully et al. 2019)</w:t>
            </w:r>
          </w:p>
        </w:tc>
        <w:tc>
          <w:tcPr>
            <w:tcW w:w="777" w:type="pct"/>
            <w:tcBorders>
              <w:top w:val="single" w:sz="4" w:space="0" w:color="auto"/>
              <w:left w:val="single" w:sz="4" w:space="0" w:color="auto"/>
              <w:bottom w:val="single" w:sz="4" w:space="0" w:color="auto"/>
              <w:right w:val="single" w:sz="4" w:space="0" w:color="auto"/>
            </w:tcBorders>
          </w:tcPr>
          <w:p w14:paraId="6EBFC2D9" w14:textId="77777777" w:rsidR="006D73EB" w:rsidRPr="0082570A" w:rsidRDefault="006D73EB" w:rsidP="006D73EB">
            <w:pPr>
              <w:pStyle w:val="In-tableHeading"/>
              <w:rPr>
                <w:b w:val="0"/>
                <w:bCs/>
              </w:rPr>
            </w:pPr>
            <w:r w:rsidRPr="0082570A">
              <w:rPr>
                <w:b w:val="0"/>
                <w:bCs/>
              </w:rPr>
              <w:t>$6,699.31</w:t>
            </w:r>
          </w:p>
        </w:tc>
        <w:tc>
          <w:tcPr>
            <w:tcW w:w="777" w:type="pct"/>
            <w:tcBorders>
              <w:top w:val="single" w:sz="4" w:space="0" w:color="auto"/>
              <w:left w:val="single" w:sz="4" w:space="0" w:color="auto"/>
              <w:bottom w:val="single" w:sz="4" w:space="0" w:color="auto"/>
              <w:right w:val="single" w:sz="4" w:space="0" w:color="auto"/>
            </w:tcBorders>
          </w:tcPr>
          <w:p w14:paraId="4DA2F285" w14:textId="77777777" w:rsidR="006D73EB" w:rsidRPr="0082570A" w:rsidRDefault="006D73EB" w:rsidP="006D73EB">
            <w:pPr>
              <w:pStyle w:val="In-tableHeading"/>
              <w:rPr>
                <w:b w:val="0"/>
                <w:bCs/>
              </w:rPr>
            </w:pPr>
            <w:r w:rsidRPr="0082570A">
              <w:rPr>
                <w:b w:val="0"/>
                <w:bCs/>
              </w:rPr>
              <w:t>0.060</w:t>
            </w:r>
          </w:p>
        </w:tc>
        <w:tc>
          <w:tcPr>
            <w:tcW w:w="777" w:type="pct"/>
            <w:tcBorders>
              <w:top w:val="single" w:sz="4" w:space="0" w:color="auto"/>
              <w:left w:val="single" w:sz="4" w:space="0" w:color="auto"/>
              <w:bottom w:val="single" w:sz="4" w:space="0" w:color="auto"/>
              <w:right w:val="single" w:sz="4" w:space="0" w:color="auto"/>
            </w:tcBorders>
          </w:tcPr>
          <w:p w14:paraId="7F3EC389" w14:textId="77777777" w:rsidR="006D73EB" w:rsidRPr="0082570A" w:rsidRDefault="006D73EB" w:rsidP="006D73EB">
            <w:pPr>
              <w:pStyle w:val="In-tableHeading"/>
              <w:rPr>
                <w:b w:val="0"/>
                <w:bCs/>
              </w:rPr>
            </w:pPr>
            <w:r w:rsidRPr="0082570A">
              <w:rPr>
                <w:b w:val="0"/>
                <w:bCs/>
              </w:rPr>
              <w:t>$112,568</w:t>
            </w:r>
          </w:p>
        </w:tc>
        <w:tc>
          <w:tcPr>
            <w:tcW w:w="777" w:type="pct"/>
            <w:tcBorders>
              <w:top w:val="single" w:sz="4" w:space="0" w:color="auto"/>
              <w:left w:val="single" w:sz="4" w:space="0" w:color="auto"/>
              <w:bottom w:val="single" w:sz="4" w:space="0" w:color="auto"/>
              <w:right w:val="single" w:sz="4" w:space="0" w:color="auto"/>
            </w:tcBorders>
          </w:tcPr>
          <w:p w14:paraId="25E05C34" w14:textId="77777777" w:rsidR="006D73EB" w:rsidRPr="0082570A" w:rsidRDefault="006D73EB" w:rsidP="006D73EB">
            <w:pPr>
              <w:pStyle w:val="In-tableHeading"/>
              <w:rPr>
                <w:b w:val="0"/>
                <w:bCs/>
              </w:rPr>
            </w:pPr>
            <w:r w:rsidRPr="0082570A">
              <w:rPr>
                <w:b w:val="0"/>
                <w:bCs/>
              </w:rPr>
              <w:t>+5.5%</w:t>
            </w:r>
          </w:p>
        </w:tc>
      </w:tr>
      <w:tr w:rsidR="006D73EB" w14:paraId="6B7D4D6B" w14:textId="77777777" w:rsidTr="006D73EB">
        <w:trPr>
          <w:trHeight w:val="420"/>
          <w:tblHeader/>
        </w:trPr>
        <w:tc>
          <w:tcPr>
            <w:tcW w:w="1892" w:type="pct"/>
            <w:tcBorders>
              <w:top w:val="single" w:sz="4" w:space="0" w:color="auto"/>
              <w:left w:val="single" w:sz="4" w:space="0" w:color="auto"/>
              <w:bottom w:val="single" w:sz="4" w:space="0" w:color="auto"/>
              <w:right w:val="single" w:sz="4" w:space="0" w:color="auto"/>
            </w:tcBorders>
          </w:tcPr>
          <w:p w14:paraId="01BC652B" w14:textId="77777777" w:rsidR="006D73EB" w:rsidRPr="0082570A" w:rsidRDefault="006D73EB" w:rsidP="006D73EB">
            <w:pPr>
              <w:pStyle w:val="In-tableHeading"/>
              <w:rPr>
                <w:b w:val="0"/>
                <w:bCs/>
              </w:rPr>
            </w:pPr>
            <w:r w:rsidRPr="0082570A">
              <w:rPr>
                <w:b w:val="0"/>
                <w:bCs/>
              </w:rPr>
              <w:t>14.4 days: Mean number of days of hospitalisation, placebo arm (Scully et al. 2019)</w:t>
            </w:r>
          </w:p>
        </w:tc>
        <w:tc>
          <w:tcPr>
            <w:tcW w:w="777" w:type="pct"/>
            <w:tcBorders>
              <w:top w:val="single" w:sz="4" w:space="0" w:color="auto"/>
              <w:left w:val="single" w:sz="4" w:space="0" w:color="auto"/>
              <w:bottom w:val="single" w:sz="4" w:space="0" w:color="auto"/>
              <w:right w:val="single" w:sz="4" w:space="0" w:color="auto"/>
            </w:tcBorders>
          </w:tcPr>
          <w:p w14:paraId="3381DABE" w14:textId="77777777" w:rsidR="006D73EB" w:rsidRPr="0082570A" w:rsidRDefault="006D73EB" w:rsidP="006D73EB">
            <w:pPr>
              <w:pStyle w:val="In-tableHeading"/>
              <w:rPr>
                <w:b w:val="0"/>
                <w:bCs/>
              </w:rPr>
            </w:pPr>
            <w:r w:rsidRPr="0082570A">
              <w:rPr>
                <w:b w:val="0"/>
                <w:bCs/>
              </w:rPr>
              <w:t>$5,624.44</w:t>
            </w:r>
          </w:p>
        </w:tc>
        <w:tc>
          <w:tcPr>
            <w:tcW w:w="777" w:type="pct"/>
            <w:tcBorders>
              <w:top w:val="single" w:sz="4" w:space="0" w:color="auto"/>
              <w:left w:val="single" w:sz="4" w:space="0" w:color="auto"/>
              <w:bottom w:val="single" w:sz="4" w:space="0" w:color="auto"/>
              <w:right w:val="single" w:sz="4" w:space="0" w:color="auto"/>
            </w:tcBorders>
          </w:tcPr>
          <w:p w14:paraId="17B186BE" w14:textId="77777777" w:rsidR="006D73EB" w:rsidRPr="0082570A" w:rsidRDefault="006D73EB" w:rsidP="006D73EB">
            <w:pPr>
              <w:pStyle w:val="In-tableHeading"/>
              <w:rPr>
                <w:b w:val="0"/>
                <w:bCs/>
              </w:rPr>
            </w:pPr>
            <w:r w:rsidRPr="0082570A">
              <w:rPr>
                <w:b w:val="0"/>
                <w:bCs/>
              </w:rPr>
              <w:t>0.060</w:t>
            </w:r>
          </w:p>
        </w:tc>
        <w:tc>
          <w:tcPr>
            <w:tcW w:w="777" w:type="pct"/>
            <w:tcBorders>
              <w:top w:val="single" w:sz="4" w:space="0" w:color="auto"/>
              <w:left w:val="single" w:sz="4" w:space="0" w:color="auto"/>
              <w:bottom w:val="single" w:sz="4" w:space="0" w:color="auto"/>
              <w:right w:val="single" w:sz="4" w:space="0" w:color="auto"/>
            </w:tcBorders>
          </w:tcPr>
          <w:p w14:paraId="108AD7BB" w14:textId="77777777" w:rsidR="006D73EB" w:rsidRPr="0082570A" w:rsidRDefault="006D73EB" w:rsidP="006D73EB">
            <w:pPr>
              <w:pStyle w:val="In-tableHeading"/>
              <w:rPr>
                <w:b w:val="0"/>
                <w:bCs/>
              </w:rPr>
            </w:pPr>
            <w:r w:rsidRPr="0082570A">
              <w:rPr>
                <w:b w:val="0"/>
                <w:bCs/>
              </w:rPr>
              <w:t>$94,507</w:t>
            </w:r>
          </w:p>
        </w:tc>
        <w:tc>
          <w:tcPr>
            <w:tcW w:w="777" w:type="pct"/>
            <w:tcBorders>
              <w:top w:val="single" w:sz="4" w:space="0" w:color="auto"/>
              <w:left w:val="single" w:sz="4" w:space="0" w:color="auto"/>
              <w:bottom w:val="single" w:sz="4" w:space="0" w:color="auto"/>
              <w:right w:val="single" w:sz="4" w:space="0" w:color="auto"/>
            </w:tcBorders>
          </w:tcPr>
          <w:p w14:paraId="3982D6F5" w14:textId="77777777" w:rsidR="006D73EB" w:rsidRPr="0082570A" w:rsidRDefault="006D73EB" w:rsidP="006D73EB">
            <w:pPr>
              <w:pStyle w:val="In-tableHeading"/>
              <w:rPr>
                <w:b w:val="0"/>
                <w:bCs/>
              </w:rPr>
            </w:pPr>
            <w:r w:rsidRPr="0082570A">
              <w:rPr>
                <w:b w:val="0"/>
                <w:bCs/>
              </w:rPr>
              <w:t>-11.4%</w:t>
            </w:r>
          </w:p>
        </w:tc>
      </w:tr>
      <w:tr w:rsidR="00F87838" w14:paraId="756DCFC5" w14:textId="77777777" w:rsidTr="00F87838">
        <w:trPr>
          <w:trHeight w:val="420"/>
          <w:tblHead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8C9EBF3" w14:textId="21C21547" w:rsidR="00F87838" w:rsidRPr="00842907" w:rsidRDefault="00F87838" w:rsidP="00F87838">
            <w:pPr>
              <w:pStyle w:val="In-tableHeading"/>
            </w:pPr>
            <w:r w:rsidRPr="00842907">
              <w:t>Cost of PEX per day (base case = $2,440.65)</w:t>
            </w:r>
          </w:p>
        </w:tc>
      </w:tr>
      <w:tr w:rsidR="006D73EB" w:rsidRPr="001C6DA4" w14:paraId="1689A04B" w14:textId="77777777" w:rsidTr="006D73EB">
        <w:trPr>
          <w:trHeight w:val="420"/>
          <w:tblHeader/>
        </w:trPr>
        <w:tc>
          <w:tcPr>
            <w:tcW w:w="1892" w:type="pct"/>
            <w:tcBorders>
              <w:top w:val="single" w:sz="4" w:space="0" w:color="auto"/>
              <w:left w:val="single" w:sz="4" w:space="0" w:color="auto"/>
              <w:bottom w:val="single" w:sz="4" w:space="0" w:color="auto"/>
              <w:right w:val="single" w:sz="4" w:space="0" w:color="auto"/>
            </w:tcBorders>
          </w:tcPr>
          <w:p w14:paraId="10C8BA92" w14:textId="77777777" w:rsidR="006D73EB" w:rsidRPr="0082570A" w:rsidRDefault="006D73EB" w:rsidP="006D73EB">
            <w:pPr>
              <w:pStyle w:val="In-tableHeading"/>
              <w:rPr>
                <w:b w:val="0"/>
                <w:bCs/>
              </w:rPr>
            </w:pPr>
            <w:r w:rsidRPr="0082570A">
              <w:rPr>
                <w:b w:val="0"/>
                <w:bCs/>
              </w:rPr>
              <w:t>$3,346 per day</w:t>
            </w:r>
          </w:p>
        </w:tc>
        <w:tc>
          <w:tcPr>
            <w:tcW w:w="777" w:type="pct"/>
            <w:tcBorders>
              <w:top w:val="single" w:sz="4" w:space="0" w:color="auto"/>
              <w:left w:val="single" w:sz="4" w:space="0" w:color="auto"/>
              <w:bottom w:val="single" w:sz="4" w:space="0" w:color="auto"/>
              <w:right w:val="single" w:sz="4" w:space="0" w:color="auto"/>
            </w:tcBorders>
          </w:tcPr>
          <w:p w14:paraId="7FAA2C35" w14:textId="77777777" w:rsidR="006D73EB" w:rsidRPr="0082570A" w:rsidRDefault="006D73EB" w:rsidP="006D73EB">
            <w:pPr>
              <w:pStyle w:val="In-tableHeading"/>
              <w:rPr>
                <w:b w:val="0"/>
                <w:bCs/>
              </w:rPr>
            </w:pPr>
            <w:r w:rsidRPr="0082570A">
              <w:rPr>
                <w:b w:val="0"/>
                <w:bCs/>
              </w:rPr>
              <w:t>$5,844.22</w:t>
            </w:r>
          </w:p>
        </w:tc>
        <w:tc>
          <w:tcPr>
            <w:tcW w:w="777" w:type="pct"/>
            <w:tcBorders>
              <w:top w:val="single" w:sz="4" w:space="0" w:color="auto"/>
              <w:left w:val="single" w:sz="4" w:space="0" w:color="auto"/>
              <w:bottom w:val="single" w:sz="4" w:space="0" w:color="auto"/>
              <w:right w:val="single" w:sz="4" w:space="0" w:color="auto"/>
            </w:tcBorders>
          </w:tcPr>
          <w:p w14:paraId="3E6EDDCC" w14:textId="77777777" w:rsidR="006D73EB" w:rsidRPr="0082570A" w:rsidRDefault="006D73EB" w:rsidP="006D73EB">
            <w:pPr>
              <w:pStyle w:val="In-tableHeading"/>
              <w:rPr>
                <w:b w:val="0"/>
                <w:bCs/>
              </w:rPr>
            </w:pPr>
            <w:r w:rsidRPr="0082570A">
              <w:rPr>
                <w:b w:val="0"/>
                <w:bCs/>
              </w:rPr>
              <w:t>0.06</w:t>
            </w:r>
          </w:p>
        </w:tc>
        <w:tc>
          <w:tcPr>
            <w:tcW w:w="777" w:type="pct"/>
            <w:tcBorders>
              <w:top w:val="single" w:sz="4" w:space="0" w:color="auto"/>
              <w:left w:val="single" w:sz="4" w:space="0" w:color="auto"/>
              <w:bottom w:val="single" w:sz="4" w:space="0" w:color="auto"/>
              <w:right w:val="single" w:sz="4" w:space="0" w:color="auto"/>
            </w:tcBorders>
          </w:tcPr>
          <w:p w14:paraId="3E3FAE5B" w14:textId="77777777" w:rsidR="006D73EB" w:rsidRPr="0082570A" w:rsidRDefault="006D73EB" w:rsidP="006D73EB">
            <w:pPr>
              <w:pStyle w:val="In-tableHeading"/>
              <w:rPr>
                <w:b w:val="0"/>
                <w:bCs/>
              </w:rPr>
            </w:pPr>
            <w:r w:rsidRPr="0082570A">
              <w:rPr>
                <w:b w:val="0"/>
                <w:bCs/>
              </w:rPr>
              <w:t>$98,200</w:t>
            </w:r>
          </w:p>
        </w:tc>
        <w:tc>
          <w:tcPr>
            <w:tcW w:w="777" w:type="pct"/>
            <w:tcBorders>
              <w:top w:val="single" w:sz="4" w:space="0" w:color="auto"/>
              <w:left w:val="single" w:sz="4" w:space="0" w:color="auto"/>
              <w:bottom w:val="single" w:sz="4" w:space="0" w:color="auto"/>
              <w:right w:val="single" w:sz="4" w:space="0" w:color="auto"/>
            </w:tcBorders>
          </w:tcPr>
          <w:p w14:paraId="2C10AB55" w14:textId="77777777" w:rsidR="006D73EB" w:rsidRPr="0082570A" w:rsidRDefault="006D73EB" w:rsidP="006D73EB">
            <w:pPr>
              <w:pStyle w:val="In-tableHeading"/>
              <w:rPr>
                <w:b w:val="0"/>
                <w:bCs/>
              </w:rPr>
            </w:pPr>
            <w:r w:rsidRPr="0082570A">
              <w:rPr>
                <w:b w:val="0"/>
                <w:bCs/>
              </w:rPr>
              <w:t>-8.0%</w:t>
            </w:r>
          </w:p>
        </w:tc>
      </w:tr>
      <w:tr w:rsidR="006D73EB" w:rsidRPr="001C6DA4" w14:paraId="4A549B0A" w14:textId="77777777" w:rsidTr="006D73EB">
        <w:trPr>
          <w:trHeight w:val="420"/>
          <w:tblHeader/>
        </w:trPr>
        <w:tc>
          <w:tcPr>
            <w:tcW w:w="1892" w:type="pct"/>
            <w:tcBorders>
              <w:top w:val="single" w:sz="4" w:space="0" w:color="auto"/>
              <w:left w:val="single" w:sz="4" w:space="0" w:color="auto"/>
              <w:bottom w:val="single" w:sz="4" w:space="0" w:color="auto"/>
              <w:right w:val="single" w:sz="4" w:space="0" w:color="auto"/>
            </w:tcBorders>
          </w:tcPr>
          <w:p w14:paraId="38D70A81" w14:textId="77777777" w:rsidR="006D73EB" w:rsidRPr="0082570A" w:rsidRDefault="006D73EB" w:rsidP="006D73EB">
            <w:pPr>
              <w:pStyle w:val="In-tableHeading"/>
              <w:rPr>
                <w:b w:val="0"/>
                <w:bCs/>
              </w:rPr>
            </w:pPr>
            <w:r w:rsidRPr="0082570A">
              <w:rPr>
                <w:b w:val="0"/>
                <w:bCs/>
              </w:rPr>
              <w:t>$4,500 per day</w:t>
            </w:r>
          </w:p>
        </w:tc>
        <w:tc>
          <w:tcPr>
            <w:tcW w:w="777" w:type="pct"/>
            <w:tcBorders>
              <w:top w:val="single" w:sz="4" w:space="0" w:color="auto"/>
              <w:left w:val="single" w:sz="4" w:space="0" w:color="auto"/>
              <w:bottom w:val="single" w:sz="4" w:space="0" w:color="auto"/>
              <w:right w:val="single" w:sz="4" w:space="0" w:color="auto"/>
            </w:tcBorders>
          </w:tcPr>
          <w:p w14:paraId="2CBAC59D" w14:textId="77777777" w:rsidR="006D73EB" w:rsidRPr="0082570A" w:rsidRDefault="006D73EB" w:rsidP="006D73EB">
            <w:pPr>
              <w:pStyle w:val="In-tableHeading"/>
              <w:rPr>
                <w:b w:val="0"/>
                <w:bCs/>
              </w:rPr>
            </w:pPr>
            <w:r w:rsidRPr="0082570A">
              <w:rPr>
                <w:b w:val="0"/>
                <w:bCs/>
              </w:rPr>
              <w:t>$5,198.64</w:t>
            </w:r>
          </w:p>
        </w:tc>
        <w:tc>
          <w:tcPr>
            <w:tcW w:w="777" w:type="pct"/>
            <w:tcBorders>
              <w:top w:val="single" w:sz="4" w:space="0" w:color="auto"/>
              <w:left w:val="single" w:sz="4" w:space="0" w:color="auto"/>
              <w:bottom w:val="single" w:sz="4" w:space="0" w:color="auto"/>
              <w:right w:val="single" w:sz="4" w:space="0" w:color="auto"/>
            </w:tcBorders>
          </w:tcPr>
          <w:p w14:paraId="143BEE35" w14:textId="77777777" w:rsidR="006D73EB" w:rsidRPr="0082570A" w:rsidRDefault="006D73EB" w:rsidP="006D73EB">
            <w:pPr>
              <w:pStyle w:val="In-tableHeading"/>
              <w:rPr>
                <w:b w:val="0"/>
                <w:bCs/>
              </w:rPr>
            </w:pPr>
            <w:r w:rsidRPr="0082570A">
              <w:rPr>
                <w:b w:val="0"/>
                <w:bCs/>
              </w:rPr>
              <w:t>0.06</w:t>
            </w:r>
          </w:p>
        </w:tc>
        <w:tc>
          <w:tcPr>
            <w:tcW w:w="777" w:type="pct"/>
            <w:tcBorders>
              <w:top w:val="single" w:sz="4" w:space="0" w:color="auto"/>
              <w:left w:val="single" w:sz="4" w:space="0" w:color="auto"/>
              <w:bottom w:val="single" w:sz="4" w:space="0" w:color="auto"/>
              <w:right w:val="single" w:sz="4" w:space="0" w:color="auto"/>
            </w:tcBorders>
          </w:tcPr>
          <w:p w14:paraId="5A2E1662" w14:textId="77777777" w:rsidR="006D73EB" w:rsidRPr="0082570A" w:rsidRDefault="006D73EB" w:rsidP="006D73EB">
            <w:pPr>
              <w:pStyle w:val="In-tableHeading"/>
              <w:rPr>
                <w:b w:val="0"/>
                <w:bCs/>
              </w:rPr>
            </w:pPr>
            <w:r w:rsidRPr="0082570A">
              <w:rPr>
                <w:b w:val="0"/>
                <w:bCs/>
              </w:rPr>
              <w:t>$87,352</w:t>
            </w:r>
          </w:p>
        </w:tc>
        <w:tc>
          <w:tcPr>
            <w:tcW w:w="777" w:type="pct"/>
            <w:tcBorders>
              <w:top w:val="single" w:sz="4" w:space="0" w:color="auto"/>
              <w:left w:val="single" w:sz="4" w:space="0" w:color="auto"/>
              <w:bottom w:val="single" w:sz="4" w:space="0" w:color="auto"/>
              <w:right w:val="single" w:sz="4" w:space="0" w:color="auto"/>
            </w:tcBorders>
          </w:tcPr>
          <w:p w14:paraId="351D911B" w14:textId="77777777" w:rsidR="006D73EB" w:rsidRPr="0082570A" w:rsidRDefault="006D73EB" w:rsidP="006D73EB">
            <w:pPr>
              <w:pStyle w:val="In-tableHeading"/>
              <w:rPr>
                <w:b w:val="0"/>
                <w:bCs/>
              </w:rPr>
            </w:pPr>
            <w:r w:rsidRPr="0082570A">
              <w:rPr>
                <w:b w:val="0"/>
                <w:bCs/>
              </w:rPr>
              <w:t>-18.1%</w:t>
            </w:r>
          </w:p>
        </w:tc>
      </w:tr>
      <w:tr w:rsidR="00006C9C" w:rsidRPr="00CE28E3" w14:paraId="469409F2" w14:textId="168EB3C9" w:rsidTr="00006C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5"/>
            <w:vAlign w:val="center"/>
          </w:tcPr>
          <w:p w14:paraId="58E2E253" w14:textId="7FC59793" w:rsidR="00006C9C" w:rsidRPr="00842907" w:rsidRDefault="00006C9C" w:rsidP="00006C9C">
            <w:pPr>
              <w:pStyle w:val="TableText"/>
              <w:keepNext/>
              <w:rPr>
                <w:rFonts w:eastAsia="Calibri"/>
                <w:b/>
                <w:szCs w:val="20"/>
              </w:rPr>
            </w:pPr>
            <w:bookmarkStart w:id="56" w:name="_Hlk68276702"/>
            <w:r w:rsidRPr="00842907">
              <w:rPr>
                <w:b/>
              </w:rPr>
              <w:t>Cost of each ADAMTS13 activity test (base case = $700)</w:t>
            </w:r>
          </w:p>
        </w:tc>
      </w:tr>
      <w:tr w:rsidR="00555FE2" w:rsidRPr="00CE28E3" w14:paraId="7F64ECB8" w14:textId="103A223B" w:rsidTr="00F66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92" w:type="pct"/>
            <w:vAlign w:val="center"/>
          </w:tcPr>
          <w:p w14:paraId="341FBB00" w14:textId="4B759FA0" w:rsidR="00555FE2" w:rsidRPr="00CE28E3" w:rsidRDefault="0050227B" w:rsidP="00A537E1">
            <w:pPr>
              <w:pStyle w:val="TableText"/>
              <w:keepNext/>
            </w:pPr>
            <w:r>
              <w:t>$105 per test</w:t>
            </w:r>
          </w:p>
        </w:tc>
        <w:tc>
          <w:tcPr>
            <w:tcW w:w="777" w:type="pct"/>
            <w:vAlign w:val="center"/>
          </w:tcPr>
          <w:p w14:paraId="4055BBE0" w14:textId="2667AA7B" w:rsidR="00555FE2" w:rsidRPr="00CE28E3" w:rsidRDefault="0050227B" w:rsidP="00A537E1">
            <w:pPr>
              <w:pStyle w:val="TableText"/>
              <w:keepNext/>
              <w:jc w:val="center"/>
              <w:rPr>
                <w:highlight w:val="black"/>
              </w:rPr>
            </w:pPr>
            <w:r>
              <w:t>$4.03</w:t>
            </w:r>
          </w:p>
        </w:tc>
        <w:tc>
          <w:tcPr>
            <w:tcW w:w="777" w:type="pct"/>
            <w:vAlign w:val="center"/>
          </w:tcPr>
          <w:p w14:paraId="34156827" w14:textId="1DA7A44A" w:rsidR="00555FE2" w:rsidRPr="00CE28E3" w:rsidRDefault="0050227B" w:rsidP="00A537E1">
            <w:pPr>
              <w:pStyle w:val="TableText"/>
              <w:keepNext/>
              <w:jc w:val="center"/>
            </w:pPr>
            <w:r>
              <w:t>0.060</w:t>
            </w:r>
          </w:p>
        </w:tc>
        <w:tc>
          <w:tcPr>
            <w:tcW w:w="777" w:type="pct"/>
            <w:vAlign w:val="center"/>
          </w:tcPr>
          <w:p w14:paraId="34496999" w14:textId="648E3429" w:rsidR="00555FE2" w:rsidRPr="00CE28E3" w:rsidRDefault="0050227B" w:rsidP="00A537E1">
            <w:pPr>
              <w:pStyle w:val="TableText"/>
              <w:keepNext/>
              <w:jc w:val="center"/>
              <w:rPr>
                <w:highlight w:val="black"/>
              </w:rPr>
            </w:pPr>
            <w:r>
              <w:t>$67.80</w:t>
            </w:r>
          </w:p>
        </w:tc>
        <w:tc>
          <w:tcPr>
            <w:tcW w:w="777" w:type="pct"/>
            <w:vAlign w:val="center"/>
          </w:tcPr>
          <w:p w14:paraId="2543D654" w14:textId="3E73EC2D" w:rsidR="004E459A" w:rsidRPr="00CE28E3" w:rsidRDefault="0050227B" w:rsidP="00A537E1">
            <w:pPr>
              <w:pStyle w:val="TableText"/>
              <w:keepNext/>
              <w:jc w:val="center"/>
              <w:rPr>
                <w:rFonts w:eastAsia="Calibri"/>
                <w:szCs w:val="20"/>
              </w:rPr>
            </w:pPr>
            <w:r>
              <w:t>-99.9%</w:t>
            </w:r>
          </w:p>
        </w:tc>
      </w:tr>
      <w:tr w:rsidR="00555FE2" w:rsidRPr="00CE28E3" w14:paraId="3103D106" w14:textId="02426110" w:rsidTr="00F66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1892" w:type="pct"/>
            <w:vAlign w:val="center"/>
          </w:tcPr>
          <w:p w14:paraId="5DDA3C63" w14:textId="0A227CB6" w:rsidR="00555FE2" w:rsidRPr="00CE28E3" w:rsidRDefault="0050227B" w:rsidP="00A537E1">
            <w:pPr>
              <w:pStyle w:val="TableText"/>
              <w:keepNext/>
            </w:pPr>
            <w:r>
              <w:t>$244 per test</w:t>
            </w:r>
          </w:p>
        </w:tc>
        <w:tc>
          <w:tcPr>
            <w:tcW w:w="777" w:type="pct"/>
            <w:vAlign w:val="center"/>
          </w:tcPr>
          <w:p w14:paraId="184B9163" w14:textId="55D41D0D" w:rsidR="00555FE2" w:rsidRPr="00CE28E3" w:rsidRDefault="0050227B" w:rsidP="00A537E1">
            <w:pPr>
              <w:pStyle w:val="TableText"/>
              <w:keepNext/>
              <w:jc w:val="center"/>
              <w:rPr>
                <w:highlight w:val="black"/>
              </w:rPr>
            </w:pPr>
            <w:r>
              <w:t>$1,486.70</w:t>
            </w:r>
          </w:p>
        </w:tc>
        <w:tc>
          <w:tcPr>
            <w:tcW w:w="777" w:type="pct"/>
            <w:vAlign w:val="center"/>
          </w:tcPr>
          <w:p w14:paraId="26153A44" w14:textId="444509E3" w:rsidR="00555FE2" w:rsidRPr="00CE28E3" w:rsidRDefault="0050227B" w:rsidP="00A537E1">
            <w:pPr>
              <w:pStyle w:val="TableText"/>
              <w:keepNext/>
              <w:jc w:val="center"/>
            </w:pPr>
            <w:r>
              <w:t>0.060</w:t>
            </w:r>
          </w:p>
        </w:tc>
        <w:tc>
          <w:tcPr>
            <w:tcW w:w="777" w:type="pct"/>
            <w:vAlign w:val="center"/>
          </w:tcPr>
          <w:p w14:paraId="1768F821" w14:textId="37E0E509" w:rsidR="00555FE2" w:rsidRPr="00CE28E3" w:rsidRDefault="0050227B" w:rsidP="00A537E1">
            <w:pPr>
              <w:pStyle w:val="TableText"/>
              <w:keepNext/>
              <w:jc w:val="center"/>
              <w:rPr>
                <w:highlight w:val="black"/>
              </w:rPr>
            </w:pPr>
            <w:r>
              <w:t>$24,981</w:t>
            </w:r>
          </w:p>
        </w:tc>
        <w:tc>
          <w:tcPr>
            <w:tcW w:w="777" w:type="pct"/>
            <w:vAlign w:val="center"/>
          </w:tcPr>
          <w:p w14:paraId="00F1CABC" w14:textId="49BF6349" w:rsidR="004E459A" w:rsidRPr="00CE28E3" w:rsidRDefault="0050227B" w:rsidP="00A537E1">
            <w:pPr>
              <w:pStyle w:val="TableText"/>
              <w:keepNext/>
              <w:jc w:val="center"/>
              <w:rPr>
                <w:rFonts w:eastAsia="Calibri"/>
                <w:szCs w:val="20"/>
              </w:rPr>
            </w:pPr>
            <w:r>
              <w:t>-76.6%</w:t>
            </w:r>
          </w:p>
        </w:tc>
      </w:tr>
      <w:tr w:rsidR="00555FE2" w:rsidRPr="00CE28E3" w14:paraId="27A6CA89" w14:textId="2283194D" w:rsidTr="00F66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1892" w:type="pct"/>
            <w:vAlign w:val="center"/>
          </w:tcPr>
          <w:p w14:paraId="7A768E25" w14:textId="09E04611" w:rsidR="00555FE2" w:rsidRPr="00CE28E3" w:rsidRDefault="0050227B" w:rsidP="00A537E1">
            <w:pPr>
              <w:pStyle w:val="TableText"/>
              <w:keepNext/>
            </w:pPr>
            <w:r>
              <w:t>$384 per test</w:t>
            </w:r>
          </w:p>
        </w:tc>
        <w:tc>
          <w:tcPr>
            <w:tcW w:w="777" w:type="pct"/>
            <w:vAlign w:val="center"/>
          </w:tcPr>
          <w:p w14:paraId="31381FC6" w14:textId="7BEC9DEA" w:rsidR="00555FE2" w:rsidRPr="00CE28E3" w:rsidRDefault="0050227B" w:rsidP="00A537E1">
            <w:pPr>
              <w:pStyle w:val="TableText"/>
              <w:keepNext/>
              <w:jc w:val="center"/>
              <w:rPr>
                <w:rFonts w:eastAsia="Calibri"/>
                <w:szCs w:val="20"/>
              </w:rPr>
            </w:pPr>
            <w:r>
              <w:t>$2,980.03</w:t>
            </w:r>
          </w:p>
        </w:tc>
        <w:tc>
          <w:tcPr>
            <w:tcW w:w="777" w:type="pct"/>
            <w:vAlign w:val="center"/>
          </w:tcPr>
          <w:p w14:paraId="5127ABFF" w14:textId="3F730C80" w:rsidR="00555FE2" w:rsidRPr="00CE28E3" w:rsidRDefault="0050227B" w:rsidP="00A537E1">
            <w:pPr>
              <w:pStyle w:val="TableText"/>
              <w:keepNext/>
              <w:jc w:val="center"/>
              <w:rPr>
                <w:rFonts w:eastAsia="Calibri"/>
                <w:szCs w:val="20"/>
              </w:rPr>
            </w:pPr>
            <w:r>
              <w:t>0.060</w:t>
            </w:r>
          </w:p>
        </w:tc>
        <w:tc>
          <w:tcPr>
            <w:tcW w:w="777" w:type="pct"/>
            <w:vAlign w:val="center"/>
          </w:tcPr>
          <w:p w14:paraId="79FE30E5" w14:textId="3BB352F5" w:rsidR="00555FE2" w:rsidRPr="00CE28E3" w:rsidRDefault="0050227B" w:rsidP="00A537E1">
            <w:pPr>
              <w:pStyle w:val="TableText"/>
              <w:keepNext/>
              <w:jc w:val="center"/>
              <w:rPr>
                <w:rFonts w:eastAsia="Calibri"/>
                <w:szCs w:val="20"/>
              </w:rPr>
            </w:pPr>
            <w:r>
              <w:t>$50,073</w:t>
            </w:r>
          </w:p>
        </w:tc>
        <w:tc>
          <w:tcPr>
            <w:tcW w:w="777" w:type="pct"/>
            <w:vAlign w:val="center"/>
          </w:tcPr>
          <w:p w14:paraId="0C481B78" w14:textId="69824D47" w:rsidR="004E459A" w:rsidRPr="00CE28E3" w:rsidRDefault="0050227B" w:rsidP="00A537E1">
            <w:pPr>
              <w:pStyle w:val="TableText"/>
              <w:keepNext/>
              <w:jc w:val="center"/>
              <w:rPr>
                <w:rFonts w:eastAsia="Calibri"/>
                <w:szCs w:val="20"/>
              </w:rPr>
            </w:pPr>
            <w:r>
              <w:t>-53.1%</w:t>
            </w:r>
          </w:p>
        </w:tc>
      </w:tr>
    </w:tbl>
    <w:bookmarkEnd w:id="56"/>
    <w:p w14:paraId="76B6E8EB" w14:textId="41E7FC30" w:rsidR="001E0365" w:rsidRDefault="00555FE2" w:rsidP="00C57F35">
      <w:pPr>
        <w:pStyle w:val="111Tablefootnoteslast-nostick"/>
        <w:rPr>
          <w:rFonts w:eastAsia="Calibri"/>
          <w:szCs w:val="20"/>
        </w:rPr>
      </w:pPr>
      <w:r w:rsidRPr="0045093D">
        <w:rPr>
          <w:rFonts w:eastAsia="Calibri"/>
          <w:szCs w:val="20"/>
        </w:rPr>
        <w:t>ICER = incremental cost-effectiveness ratio</w:t>
      </w:r>
      <w:r w:rsidR="006B5D5E">
        <w:t>; PEX - plasma exchange therapy</w:t>
      </w:r>
    </w:p>
    <w:p w14:paraId="5F499D06" w14:textId="37D48F03" w:rsidR="006B5D5E" w:rsidRPr="00905F7A" w:rsidRDefault="006B5D5E" w:rsidP="006B5D5E">
      <w:bookmarkStart w:id="57" w:name="_Ref213012096"/>
      <w:r>
        <w:lastRenderedPageBreak/>
        <w:t>Results of two-way sensitivity analyses are presented below (</w:t>
      </w:r>
      <w:r>
        <w:fldChar w:fldCharType="begin"/>
      </w:r>
      <w:r>
        <w:instrText xml:space="preserve"> REF _Ref227163059 \h </w:instrText>
      </w:r>
      <w:r>
        <w:fldChar w:fldCharType="separate"/>
      </w:r>
      <w:r w:rsidR="00716875" w:rsidRPr="00CE28E3">
        <w:t>Table</w:t>
      </w:r>
      <w:r w:rsidR="00716875">
        <w:t> </w:t>
      </w:r>
      <w:r w:rsidR="00716875">
        <w:rPr>
          <w:noProof/>
        </w:rPr>
        <w:t>23</w:t>
      </w:r>
      <w:r>
        <w:fldChar w:fldCharType="end"/>
      </w:r>
      <w:r>
        <w:t>). The clinical risk of recurrence is derived from Hie et al. (2014). Patients in this cohort were monitored 3-monthly during remission (Table 68). Different monitoring frequencies are expected to lead to different clinical outcomes; however, the available clinical evidence was insufficient to identify the most suitable testing interval. The sensitivity analyses on monitoring frequency account for the change in costs associated with more or less frequent ADAMTS13 activity testing, but does not incorporate the clinical consequences (e.g. rate of positive tests, rate of recurrence) or the associated downstream costs such as rituximab treatment or PEX/hospitalisation.</w:t>
      </w:r>
    </w:p>
    <w:p w14:paraId="2619E711" w14:textId="6688D002" w:rsidR="006B5D5E" w:rsidRDefault="006B5D5E" w:rsidP="006B5D5E">
      <w:pPr>
        <w:pStyle w:val="Caption"/>
      </w:pPr>
      <w:bookmarkStart w:id="58" w:name="_Ref227163059"/>
      <w:r w:rsidRPr="00CE28E3">
        <w:t>Table</w:t>
      </w:r>
      <w:r>
        <w:t> </w:t>
      </w:r>
      <w:r>
        <w:fldChar w:fldCharType="begin"/>
      </w:r>
      <w:r>
        <w:instrText>SEQ Table \* ARABIC</w:instrText>
      </w:r>
      <w:r>
        <w:fldChar w:fldCharType="separate"/>
      </w:r>
      <w:r w:rsidR="00716875">
        <w:rPr>
          <w:noProof/>
        </w:rPr>
        <w:t>23</w:t>
      </w:r>
      <w:r>
        <w:fldChar w:fldCharType="end"/>
      </w:r>
      <w:bookmarkEnd w:id="58"/>
      <w:r w:rsidRPr="00CE28E3">
        <w:tab/>
      </w:r>
      <w:r>
        <w:t>Two-way s</w:t>
      </w:r>
      <w:r w:rsidRPr="00CE28E3">
        <w:t>ensitivity analyses</w:t>
      </w:r>
      <w:r>
        <w:t>: ADAMTS13 activity testing for monitoring</w:t>
      </w:r>
    </w:p>
    <w:tbl>
      <w:tblPr>
        <w:tblStyle w:val="TableGrid3"/>
        <w:tblW w:w="0" w:type="auto"/>
        <w:tblInd w:w="0" w:type="dxa"/>
        <w:tblLook w:val="04A0" w:firstRow="1" w:lastRow="0" w:firstColumn="1" w:lastColumn="0" w:noHBand="0" w:noVBand="1"/>
        <w:tblCaption w:val="One-way sensitivity analyses around inputs to the economic evaluation"/>
        <w:tblDescription w:val="Shows results for sensitivity analyses."/>
      </w:tblPr>
      <w:tblGrid>
        <w:gridCol w:w="4698"/>
        <w:gridCol w:w="1162"/>
        <w:gridCol w:w="1148"/>
        <w:gridCol w:w="1075"/>
        <w:gridCol w:w="933"/>
      </w:tblGrid>
      <w:tr w:rsidR="006B5D5E" w14:paraId="0EC5B7AD" w14:textId="77777777">
        <w:trPr>
          <w:cnfStyle w:val="100000000000" w:firstRow="1" w:lastRow="0" w:firstColumn="0" w:lastColumn="0" w:oddVBand="0" w:evenVBand="0" w:oddHBand="0" w:evenHBand="0" w:firstRowFirstColumn="0" w:firstRowLastColumn="0" w:lastRowFirstColumn="0" w:lastRowLastColumn="0"/>
        </w:trPr>
        <w:tc>
          <w:tcPr>
            <w:tcW w:w="4698" w:type="dxa"/>
          </w:tcPr>
          <w:p w14:paraId="4AC242A1" w14:textId="77777777" w:rsidR="006B5D5E" w:rsidRDefault="006B5D5E">
            <w:pPr>
              <w:pStyle w:val="011TableHeading"/>
            </w:pPr>
            <w:r>
              <w:t>Input</w:t>
            </w:r>
          </w:p>
        </w:tc>
        <w:tc>
          <w:tcPr>
            <w:tcW w:w="1162" w:type="dxa"/>
          </w:tcPr>
          <w:p w14:paraId="1982F0F5" w14:textId="77777777" w:rsidR="006B5D5E" w:rsidRDefault="006B5D5E">
            <w:pPr>
              <w:pStyle w:val="021TableHeadingRightAligned"/>
            </w:pPr>
            <w:r>
              <w:t>Incremental costs</w:t>
            </w:r>
          </w:p>
        </w:tc>
        <w:tc>
          <w:tcPr>
            <w:tcW w:w="1148" w:type="dxa"/>
          </w:tcPr>
          <w:p w14:paraId="4F62B202" w14:textId="77777777" w:rsidR="006B5D5E" w:rsidRDefault="006B5D5E">
            <w:pPr>
              <w:pStyle w:val="021TableHeadingRightAligned"/>
            </w:pPr>
            <w:r>
              <w:t>Incremental outcomes</w:t>
            </w:r>
          </w:p>
        </w:tc>
        <w:tc>
          <w:tcPr>
            <w:tcW w:w="1075" w:type="dxa"/>
          </w:tcPr>
          <w:p w14:paraId="1853C9C0" w14:textId="77777777" w:rsidR="006B5D5E" w:rsidRDefault="006B5D5E">
            <w:pPr>
              <w:pStyle w:val="021TableHeadingRightAligned"/>
            </w:pPr>
            <w:r>
              <w:t>ICER per additional recurrence over 2 years</w:t>
            </w:r>
          </w:p>
        </w:tc>
        <w:tc>
          <w:tcPr>
            <w:tcW w:w="933" w:type="dxa"/>
          </w:tcPr>
          <w:p w14:paraId="616F881D" w14:textId="77777777" w:rsidR="006B5D5E" w:rsidRDefault="006B5D5E">
            <w:pPr>
              <w:pStyle w:val="021TableHeadingRightAligned"/>
            </w:pPr>
            <w:r>
              <w:t>% change</w:t>
            </w:r>
          </w:p>
        </w:tc>
      </w:tr>
      <w:tr w:rsidR="006B5D5E" w:rsidRPr="00B07C41" w14:paraId="73D4D5BF" w14:textId="77777777">
        <w:tc>
          <w:tcPr>
            <w:tcW w:w="4698" w:type="dxa"/>
            <w:tcBorders>
              <w:bottom w:val="single" w:sz="4" w:space="0" w:color="auto"/>
            </w:tcBorders>
          </w:tcPr>
          <w:p w14:paraId="522413FB" w14:textId="77777777" w:rsidR="006B5D5E" w:rsidRDefault="006B5D5E">
            <w:pPr>
              <w:pStyle w:val="031Tablesubheading"/>
            </w:pPr>
            <w:r w:rsidRPr="00B07C41">
              <w:t>Base case</w:t>
            </w:r>
          </w:p>
          <w:p w14:paraId="4D1F5D7F" w14:textId="77777777" w:rsidR="006B5D5E" w:rsidRPr="00662CDE" w:rsidRDefault="006B5D5E">
            <w:pPr>
              <w:pStyle w:val="051Tabletext22"/>
              <w:rPr>
                <w:color w:val="000000" w:themeColor="text1"/>
              </w:rPr>
            </w:pPr>
            <w:r w:rsidRPr="00735607">
              <w:t>ADAMTS13 monitoring frequency</w:t>
            </w:r>
            <w:r>
              <w:t>:</w:t>
            </w:r>
            <w:r w:rsidRPr="00735607">
              <w:t xml:space="preserve"> weekly for 30 days, 3</w:t>
            </w:r>
            <w:r>
              <w:t xml:space="preserve"> </w:t>
            </w:r>
            <w:r w:rsidRPr="00735607">
              <w:t>monthly for 1</w:t>
            </w:r>
            <w:r>
              <w:t xml:space="preserve"> </w:t>
            </w:r>
            <w:r w:rsidRPr="00735607">
              <w:t>year then 3-6 monthly [Masias &amp; Cataland 2018])</w:t>
            </w:r>
            <w:r>
              <w:t xml:space="preserve"> </w:t>
            </w:r>
            <w:r w:rsidRPr="00662CDE">
              <w:rPr>
                <w:color w:val="000000" w:themeColor="text1"/>
              </w:rPr>
              <w:t>(12/4.5=2.67)</w:t>
            </w:r>
          </w:p>
          <w:p w14:paraId="4752BEC2" w14:textId="77777777" w:rsidR="006B5D5E" w:rsidRPr="000D50F8" w:rsidRDefault="006B5D5E">
            <w:pPr>
              <w:pStyle w:val="031Tablesubheading"/>
              <w:rPr>
                <w:b w:val="0"/>
              </w:rPr>
            </w:pPr>
            <w:r w:rsidRPr="000D50F8">
              <w:rPr>
                <w:b w:val="0"/>
                <w:bCs/>
                <w:color w:val="000000" w:themeColor="text1"/>
              </w:rPr>
              <w:t>Cost of PEX per day: $2,440.55</w:t>
            </w:r>
          </w:p>
        </w:tc>
        <w:tc>
          <w:tcPr>
            <w:tcW w:w="1162" w:type="dxa"/>
            <w:tcBorders>
              <w:bottom w:val="single" w:sz="4" w:space="0" w:color="auto"/>
            </w:tcBorders>
          </w:tcPr>
          <w:p w14:paraId="4C6CE85A" w14:textId="77777777" w:rsidR="006B5D5E" w:rsidRPr="00070DF0" w:rsidRDefault="006B5D5E">
            <w:pPr>
              <w:pStyle w:val="081TableRightAligned22"/>
              <w:rPr>
                <w:b/>
                <w:bCs/>
              </w:rPr>
            </w:pPr>
            <w:r w:rsidRPr="00070DF0">
              <w:rPr>
                <w:b/>
                <w:bCs/>
              </w:rPr>
              <w:t>$6,350.70</w:t>
            </w:r>
          </w:p>
        </w:tc>
        <w:tc>
          <w:tcPr>
            <w:tcW w:w="1148" w:type="dxa"/>
            <w:tcBorders>
              <w:bottom w:val="single" w:sz="4" w:space="0" w:color="auto"/>
            </w:tcBorders>
          </w:tcPr>
          <w:p w14:paraId="091A904D" w14:textId="77777777" w:rsidR="006B5D5E" w:rsidRPr="00070DF0" w:rsidRDefault="006B5D5E">
            <w:pPr>
              <w:pStyle w:val="081TableRightAligned22"/>
              <w:rPr>
                <w:b/>
                <w:bCs/>
              </w:rPr>
            </w:pPr>
            <w:r w:rsidRPr="00070DF0">
              <w:rPr>
                <w:b/>
                <w:bCs/>
              </w:rPr>
              <w:t>0.060</w:t>
            </w:r>
          </w:p>
        </w:tc>
        <w:tc>
          <w:tcPr>
            <w:tcW w:w="1075" w:type="dxa"/>
            <w:tcBorders>
              <w:bottom w:val="single" w:sz="4" w:space="0" w:color="auto"/>
            </w:tcBorders>
          </w:tcPr>
          <w:p w14:paraId="5B1E9803" w14:textId="77777777" w:rsidR="006B5D5E" w:rsidRPr="00070DF0" w:rsidRDefault="006B5D5E">
            <w:pPr>
              <w:pStyle w:val="081TableRightAligned22"/>
              <w:rPr>
                <w:b/>
                <w:bCs/>
              </w:rPr>
            </w:pPr>
            <w:r w:rsidRPr="00070DF0">
              <w:rPr>
                <w:b/>
                <w:bCs/>
              </w:rPr>
              <w:t>$106,710</w:t>
            </w:r>
          </w:p>
        </w:tc>
        <w:tc>
          <w:tcPr>
            <w:tcW w:w="933" w:type="dxa"/>
            <w:tcBorders>
              <w:bottom w:val="single" w:sz="4" w:space="0" w:color="auto"/>
            </w:tcBorders>
          </w:tcPr>
          <w:p w14:paraId="3FBA9437" w14:textId="77777777" w:rsidR="006B5D5E" w:rsidRPr="00070DF0" w:rsidRDefault="006B5D5E">
            <w:pPr>
              <w:pStyle w:val="081TableRightAligned22"/>
              <w:rPr>
                <w:b/>
                <w:bCs/>
              </w:rPr>
            </w:pPr>
            <w:r w:rsidRPr="00070DF0">
              <w:rPr>
                <w:b/>
                <w:bCs/>
              </w:rPr>
              <w:t>-</w:t>
            </w:r>
          </w:p>
        </w:tc>
      </w:tr>
      <w:tr w:rsidR="006B5D5E" w14:paraId="1DAC8FC5" w14:textId="77777777">
        <w:tc>
          <w:tcPr>
            <w:tcW w:w="4698" w:type="dxa"/>
          </w:tcPr>
          <w:p w14:paraId="47190370" w14:textId="77777777" w:rsidR="006B5D5E" w:rsidRPr="0084310B" w:rsidRDefault="006B5D5E">
            <w:pPr>
              <w:pStyle w:val="051Tabletext22"/>
              <w:rPr>
                <w:color w:val="000000" w:themeColor="text1"/>
              </w:rPr>
            </w:pPr>
            <w:r w:rsidRPr="00735607">
              <w:t>ADAMTS13 monitoring frequency</w:t>
            </w:r>
            <w:r>
              <w:t>:</w:t>
            </w:r>
            <w:r w:rsidRPr="0084310B">
              <w:rPr>
                <w:color w:val="000000" w:themeColor="text1"/>
              </w:rPr>
              <w:t xml:space="preserve"> </w:t>
            </w:r>
            <w:r>
              <w:rPr>
                <w:color w:val="000000" w:themeColor="text1"/>
              </w:rPr>
              <w:t>w</w:t>
            </w:r>
            <w:r w:rsidRPr="0084310B">
              <w:rPr>
                <w:color w:val="000000" w:themeColor="text1"/>
              </w:rPr>
              <w:t xml:space="preserve">eekly until ADAMTS13 activity is &gt;50% (assume 1 month), 3 monthly for 3 years, 6 monthly for 2 years then annually (Coppo et al. 2018) </w:t>
            </w:r>
          </w:p>
          <w:p w14:paraId="25A5ADB1" w14:textId="77777777" w:rsidR="006B5D5E" w:rsidRPr="00FF0C93" w:rsidRDefault="006B5D5E">
            <w:pPr>
              <w:pStyle w:val="051Tabletext22"/>
              <w:rPr>
                <w:color w:val="000000" w:themeColor="text1"/>
                <w:highlight w:val="yellow"/>
              </w:rPr>
            </w:pPr>
            <w:r w:rsidRPr="0084310B">
              <w:rPr>
                <w:color w:val="000000" w:themeColor="text1"/>
              </w:rPr>
              <w:t>Cost of PEX per day</w:t>
            </w:r>
            <w:r>
              <w:rPr>
                <w:color w:val="000000" w:themeColor="text1"/>
              </w:rPr>
              <w:t>:</w:t>
            </w:r>
            <w:r w:rsidRPr="0084310B">
              <w:rPr>
                <w:color w:val="000000" w:themeColor="text1"/>
              </w:rPr>
              <w:t xml:space="preserve"> $3,346</w:t>
            </w:r>
          </w:p>
        </w:tc>
        <w:tc>
          <w:tcPr>
            <w:tcW w:w="1162" w:type="dxa"/>
            <w:vAlign w:val="center"/>
          </w:tcPr>
          <w:p w14:paraId="60051626" w14:textId="77777777" w:rsidR="006B5D5E" w:rsidRPr="00042407" w:rsidRDefault="006B5D5E">
            <w:pPr>
              <w:pStyle w:val="081TableRightAligned22"/>
              <w:jc w:val="center"/>
              <w:rPr>
                <w:color w:val="000000" w:themeColor="text1"/>
                <w:highlight w:val="yellow"/>
              </w:rPr>
            </w:pPr>
            <w:r w:rsidRPr="00800DE2">
              <w:rPr>
                <w:color w:val="000000" w:themeColor="text1"/>
              </w:rPr>
              <w:t>$6,777.56</w:t>
            </w:r>
          </w:p>
        </w:tc>
        <w:tc>
          <w:tcPr>
            <w:tcW w:w="1148" w:type="dxa"/>
            <w:vAlign w:val="center"/>
          </w:tcPr>
          <w:p w14:paraId="3E2F8825" w14:textId="77777777" w:rsidR="006B5D5E" w:rsidRPr="00042407" w:rsidRDefault="006B5D5E">
            <w:pPr>
              <w:pStyle w:val="081TableRightAligned22"/>
              <w:jc w:val="center"/>
              <w:rPr>
                <w:color w:val="000000" w:themeColor="text1"/>
                <w:highlight w:val="yellow"/>
              </w:rPr>
            </w:pPr>
            <w:r w:rsidRPr="00800DE2">
              <w:rPr>
                <w:color w:val="000000" w:themeColor="text1"/>
              </w:rPr>
              <w:t>0.060</w:t>
            </w:r>
          </w:p>
        </w:tc>
        <w:tc>
          <w:tcPr>
            <w:tcW w:w="1075" w:type="dxa"/>
            <w:vAlign w:val="center"/>
          </w:tcPr>
          <w:p w14:paraId="4086D333" w14:textId="77777777" w:rsidR="006B5D5E" w:rsidRPr="00042407" w:rsidRDefault="006B5D5E">
            <w:pPr>
              <w:pStyle w:val="081TableRightAligned22"/>
              <w:jc w:val="center"/>
              <w:rPr>
                <w:color w:val="000000" w:themeColor="text1"/>
                <w:highlight w:val="yellow"/>
              </w:rPr>
            </w:pPr>
            <w:r w:rsidRPr="003009CF">
              <w:rPr>
                <w:color w:val="000000" w:themeColor="text1"/>
              </w:rPr>
              <w:t>$113,883</w:t>
            </w:r>
          </w:p>
        </w:tc>
        <w:tc>
          <w:tcPr>
            <w:tcW w:w="933" w:type="dxa"/>
            <w:vAlign w:val="center"/>
          </w:tcPr>
          <w:p w14:paraId="0F612A9D" w14:textId="77777777" w:rsidR="006B5D5E" w:rsidRPr="00042407" w:rsidRDefault="006B5D5E">
            <w:pPr>
              <w:pStyle w:val="081TableRightAligned22"/>
              <w:jc w:val="center"/>
              <w:rPr>
                <w:color w:val="000000" w:themeColor="text1"/>
              </w:rPr>
            </w:pPr>
            <w:r w:rsidRPr="00042407">
              <w:rPr>
                <w:color w:val="000000" w:themeColor="text1"/>
              </w:rPr>
              <w:t>+6.3%</w:t>
            </w:r>
          </w:p>
        </w:tc>
      </w:tr>
      <w:tr w:rsidR="006B5D5E" w14:paraId="73007ACB" w14:textId="77777777">
        <w:tc>
          <w:tcPr>
            <w:tcW w:w="4698" w:type="dxa"/>
          </w:tcPr>
          <w:p w14:paraId="00143E07" w14:textId="77777777" w:rsidR="006B5D5E" w:rsidRPr="00662CDE" w:rsidRDefault="006B5D5E">
            <w:pPr>
              <w:pStyle w:val="051Tabletext22"/>
              <w:rPr>
                <w:color w:val="000000" w:themeColor="text1"/>
              </w:rPr>
            </w:pPr>
            <w:r w:rsidRPr="00735607">
              <w:t>ADAMTS13 monitoring frequency</w:t>
            </w:r>
            <w:r>
              <w:t>:</w:t>
            </w:r>
            <w:r w:rsidRPr="00662CDE">
              <w:rPr>
                <w:color w:val="000000" w:themeColor="text1"/>
              </w:rPr>
              <w:t xml:space="preserve"> </w:t>
            </w:r>
            <w:r>
              <w:rPr>
                <w:color w:val="000000" w:themeColor="text1"/>
              </w:rPr>
              <w:t>w</w:t>
            </w:r>
            <w:r w:rsidRPr="00662CDE">
              <w:rPr>
                <w:color w:val="000000" w:themeColor="text1"/>
              </w:rPr>
              <w:t>eekly until ADAMTS13 activity is &gt;50% (assume 1 month), 3 monthly for 3 years, 6 monthly for 2 years then annually (Coppo et al. 2018)</w:t>
            </w:r>
          </w:p>
          <w:p w14:paraId="239C54A2" w14:textId="77777777" w:rsidR="006B5D5E" w:rsidRPr="00662CDE" w:rsidRDefault="006B5D5E">
            <w:pPr>
              <w:pStyle w:val="051Tabletext22"/>
              <w:rPr>
                <w:color w:val="000000" w:themeColor="text1"/>
              </w:rPr>
            </w:pPr>
            <w:r w:rsidRPr="00662CDE">
              <w:rPr>
                <w:color w:val="000000" w:themeColor="text1"/>
              </w:rPr>
              <w:t>Cost of PEX per day</w:t>
            </w:r>
            <w:r>
              <w:rPr>
                <w:color w:val="000000" w:themeColor="text1"/>
              </w:rPr>
              <w:t>:</w:t>
            </w:r>
            <w:r w:rsidRPr="00662CDE">
              <w:rPr>
                <w:color w:val="000000" w:themeColor="text1"/>
              </w:rPr>
              <w:t xml:space="preserve"> $4,500</w:t>
            </w:r>
          </w:p>
        </w:tc>
        <w:tc>
          <w:tcPr>
            <w:tcW w:w="1162" w:type="dxa"/>
            <w:vAlign w:val="center"/>
          </w:tcPr>
          <w:p w14:paraId="3F678645" w14:textId="77777777" w:rsidR="006B5D5E" w:rsidRPr="00042407" w:rsidRDefault="006B5D5E">
            <w:pPr>
              <w:pStyle w:val="081TableRightAligned22"/>
              <w:jc w:val="center"/>
              <w:rPr>
                <w:color w:val="000000" w:themeColor="text1"/>
              </w:rPr>
            </w:pPr>
            <w:r>
              <w:rPr>
                <w:color w:val="000000" w:themeColor="text1"/>
              </w:rPr>
              <w:t>$6,131.98</w:t>
            </w:r>
          </w:p>
        </w:tc>
        <w:tc>
          <w:tcPr>
            <w:tcW w:w="1148" w:type="dxa"/>
            <w:vAlign w:val="center"/>
          </w:tcPr>
          <w:p w14:paraId="0196EE1F" w14:textId="77777777" w:rsidR="006B5D5E" w:rsidRPr="00042407" w:rsidRDefault="006B5D5E">
            <w:pPr>
              <w:pStyle w:val="081TableRightAligned22"/>
              <w:jc w:val="center"/>
              <w:rPr>
                <w:color w:val="000000" w:themeColor="text1"/>
              </w:rPr>
            </w:pPr>
            <w:r>
              <w:rPr>
                <w:color w:val="000000" w:themeColor="text1"/>
              </w:rPr>
              <w:t>0.060</w:t>
            </w:r>
          </w:p>
        </w:tc>
        <w:tc>
          <w:tcPr>
            <w:tcW w:w="1075" w:type="dxa"/>
            <w:vAlign w:val="center"/>
          </w:tcPr>
          <w:p w14:paraId="1639C1B4" w14:textId="77777777" w:rsidR="006B5D5E" w:rsidRPr="00042407" w:rsidRDefault="006B5D5E">
            <w:pPr>
              <w:pStyle w:val="081TableRightAligned22"/>
              <w:jc w:val="center"/>
              <w:rPr>
                <w:color w:val="000000" w:themeColor="text1"/>
              </w:rPr>
            </w:pPr>
            <w:r>
              <w:rPr>
                <w:color w:val="000000" w:themeColor="text1"/>
              </w:rPr>
              <w:t>$103,035</w:t>
            </w:r>
          </w:p>
        </w:tc>
        <w:tc>
          <w:tcPr>
            <w:tcW w:w="933" w:type="dxa"/>
            <w:vAlign w:val="center"/>
          </w:tcPr>
          <w:p w14:paraId="40C8D0D6" w14:textId="77777777" w:rsidR="006B5D5E" w:rsidRPr="00042407" w:rsidRDefault="006B5D5E">
            <w:pPr>
              <w:pStyle w:val="081TableRightAligned22"/>
              <w:jc w:val="center"/>
              <w:rPr>
                <w:color w:val="000000" w:themeColor="text1"/>
              </w:rPr>
            </w:pPr>
            <w:r>
              <w:rPr>
                <w:color w:val="000000" w:themeColor="text1"/>
              </w:rPr>
              <w:t>-3.4%</w:t>
            </w:r>
          </w:p>
        </w:tc>
      </w:tr>
      <w:tr w:rsidR="006B5D5E" w14:paraId="17707133" w14:textId="77777777">
        <w:tc>
          <w:tcPr>
            <w:tcW w:w="4698" w:type="dxa"/>
            <w:tcBorders>
              <w:bottom w:val="single" w:sz="4" w:space="0" w:color="auto"/>
            </w:tcBorders>
          </w:tcPr>
          <w:p w14:paraId="7473A631" w14:textId="77777777" w:rsidR="006B5D5E" w:rsidRPr="00C91F7D" w:rsidRDefault="006B5D5E">
            <w:pPr>
              <w:pStyle w:val="051Tabletext22"/>
              <w:rPr>
                <w:color w:val="000000" w:themeColor="text1"/>
              </w:rPr>
            </w:pPr>
            <w:r w:rsidRPr="00735607">
              <w:t>ADAMTS13 monitoring frequency</w:t>
            </w:r>
            <w:r>
              <w:t>:</w:t>
            </w:r>
            <w:r w:rsidRPr="00C91F7D">
              <w:rPr>
                <w:color w:val="000000" w:themeColor="text1"/>
              </w:rPr>
              <w:t xml:space="preserve"> </w:t>
            </w:r>
            <w:r>
              <w:rPr>
                <w:color w:val="000000" w:themeColor="text1"/>
              </w:rPr>
              <w:t>m</w:t>
            </w:r>
            <w:r w:rsidRPr="00C91F7D">
              <w:rPr>
                <w:color w:val="000000" w:themeColor="text1"/>
              </w:rPr>
              <w:t>onthly for 3 months, 3 monthly for 1 year then 6-12 monthly (Zheng et al. 2025)</w:t>
            </w:r>
          </w:p>
          <w:p w14:paraId="13BBAE19" w14:textId="77777777" w:rsidR="006B5D5E" w:rsidRPr="00C91F7D" w:rsidRDefault="006B5D5E">
            <w:pPr>
              <w:pStyle w:val="051Tabletext22"/>
              <w:rPr>
                <w:color w:val="000000" w:themeColor="text1"/>
              </w:rPr>
            </w:pPr>
            <w:r w:rsidRPr="00C91F7D">
              <w:rPr>
                <w:color w:val="000000" w:themeColor="text1"/>
              </w:rPr>
              <w:t>Cost of PEX per day</w:t>
            </w:r>
            <w:r>
              <w:rPr>
                <w:color w:val="000000" w:themeColor="text1"/>
              </w:rPr>
              <w:t>:</w:t>
            </w:r>
            <w:r w:rsidRPr="00C91F7D">
              <w:rPr>
                <w:color w:val="000000" w:themeColor="text1"/>
              </w:rPr>
              <w:t xml:space="preserve"> $3,</w:t>
            </w:r>
            <w:r>
              <w:rPr>
                <w:color w:val="000000" w:themeColor="text1"/>
              </w:rPr>
              <w:t>3</w:t>
            </w:r>
            <w:r w:rsidRPr="00C91F7D">
              <w:rPr>
                <w:color w:val="000000" w:themeColor="text1"/>
              </w:rPr>
              <w:t>46</w:t>
            </w:r>
          </w:p>
        </w:tc>
        <w:tc>
          <w:tcPr>
            <w:tcW w:w="1162" w:type="dxa"/>
            <w:tcBorders>
              <w:bottom w:val="single" w:sz="4" w:space="0" w:color="auto"/>
            </w:tcBorders>
            <w:vAlign w:val="center"/>
          </w:tcPr>
          <w:p w14:paraId="2212B825" w14:textId="77777777" w:rsidR="006B5D5E" w:rsidRPr="00042407" w:rsidRDefault="006B5D5E">
            <w:pPr>
              <w:pStyle w:val="081TableRightAligned22"/>
              <w:jc w:val="center"/>
              <w:rPr>
                <w:color w:val="000000" w:themeColor="text1"/>
              </w:rPr>
            </w:pPr>
            <w:r w:rsidRPr="00C91F7D">
              <w:rPr>
                <w:color w:val="000000" w:themeColor="text1"/>
              </w:rPr>
              <w:t>$3,977.56</w:t>
            </w:r>
          </w:p>
        </w:tc>
        <w:tc>
          <w:tcPr>
            <w:tcW w:w="1148" w:type="dxa"/>
            <w:tcBorders>
              <w:bottom w:val="single" w:sz="4" w:space="0" w:color="auto"/>
            </w:tcBorders>
            <w:vAlign w:val="center"/>
          </w:tcPr>
          <w:p w14:paraId="432F2CB9" w14:textId="77777777" w:rsidR="006B5D5E" w:rsidRPr="00042407" w:rsidRDefault="006B5D5E">
            <w:pPr>
              <w:pStyle w:val="081TableRightAligned22"/>
              <w:jc w:val="center"/>
              <w:rPr>
                <w:color w:val="000000" w:themeColor="text1"/>
              </w:rPr>
            </w:pPr>
            <w:r w:rsidRPr="00C91F7D">
              <w:rPr>
                <w:color w:val="000000" w:themeColor="text1"/>
              </w:rPr>
              <w:t>0.060</w:t>
            </w:r>
          </w:p>
        </w:tc>
        <w:tc>
          <w:tcPr>
            <w:tcW w:w="1075" w:type="dxa"/>
            <w:tcBorders>
              <w:bottom w:val="single" w:sz="4" w:space="0" w:color="auto"/>
            </w:tcBorders>
            <w:vAlign w:val="center"/>
          </w:tcPr>
          <w:p w14:paraId="03D3816A" w14:textId="77777777" w:rsidR="006B5D5E" w:rsidRPr="00042407" w:rsidRDefault="006B5D5E">
            <w:pPr>
              <w:pStyle w:val="081TableRightAligned22"/>
              <w:jc w:val="center"/>
              <w:rPr>
                <w:color w:val="000000" w:themeColor="text1"/>
                <w:highlight w:val="yellow"/>
              </w:rPr>
            </w:pPr>
            <w:r w:rsidRPr="00C91F7D">
              <w:rPr>
                <w:color w:val="000000" w:themeColor="text1"/>
              </w:rPr>
              <w:t>$66,834</w:t>
            </w:r>
          </w:p>
        </w:tc>
        <w:tc>
          <w:tcPr>
            <w:tcW w:w="933" w:type="dxa"/>
            <w:tcBorders>
              <w:bottom w:val="single" w:sz="4" w:space="0" w:color="auto"/>
            </w:tcBorders>
            <w:vAlign w:val="center"/>
          </w:tcPr>
          <w:p w14:paraId="64186891" w14:textId="77777777" w:rsidR="006B5D5E" w:rsidRPr="00042407" w:rsidRDefault="006B5D5E">
            <w:pPr>
              <w:pStyle w:val="081TableRightAligned22"/>
              <w:jc w:val="center"/>
              <w:rPr>
                <w:color w:val="000000" w:themeColor="text1"/>
              </w:rPr>
            </w:pPr>
            <w:r w:rsidRPr="001D746D">
              <w:rPr>
                <w:color w:val="000000" w:themeColor="text1"/>
              </w:rPr>
              <w:t>-37.4%</w:t>
            </w:r>
          </w:p>
        </w:tc>
      </w:tr>
      <w:tr w:rsidR="006B5D5E" w14:paraId="459AEF03" w14:textId="77777777">
        <w:tc>
          <w:tcPr>
            <w:tcW w:w="4698" w:type="dxa"/>
            <w:tcBorders>
              <w:bottom w:val="single" w:sz="4" w:space="0" w:color="auto"/>
            </w:tcBorders>
          </w:tcPr>
          <w:p w14:paraId="4FB361EE" w14:textId="77777777" w:rsidR="006B5D5E" w:rsidRPr="00662CDE" w:rsidRDefault="006B5D5E">
            <w:pPr>
              <w:pStyle w:val="051Tabletext22"/>
              <w:rPr>
                <w:color w:val="000000" w:themeColor="text1"/>
              </w:rPr>
            </w:pPr>
            <w:r w:rsidRPr="00735607">
              <w:t>ADAMTS13 monitoring frequency</w:t>
            </w:r>
            <w:r>
              <w:t>:</w:t>
            </w:r>
            <w:r>
              <w:rPr>
                <w:color w:val="000000" w:themeColor="text1"/>
              </w:rPr>
              <w:t xml:space="preserve"> month</w:t>
            </w:r>
            <w:r w:rsidRPr="00662CDE">
              <w:rPr>
                <w:color w:val="000000" w:themeColor="text1"/>
              </w:rPr>
              <w:t>ly for 3 months, 3 monthly for 1 year then 6-12 monthly (Zheng et al. 2025)</w:t>
            </w:r>
          </w:p>
          <w:p w14:paraId="2FC0CE57" w14:textId="77777777" w:rsidR="006B5D5E" w:rsidRPr="00662CDE" w:rsidRDefault="006B5D5E">
            <w:pPr>
              <w:pStyle w:val="051Tabletext22"/>
              <w:rPr>
                <w:color w:val="000000" w:themeColor="text1"/>
              </w:rPr>
            </w:pPr>
            <w:r w:rsidRPr="00662CDE">
              <w:rPr>
                <w:color w:val="000000" w:themeColor="text1"/>
              </w:rPr>
              <w:t>Cost of PEX per day</w:t>
            </w:r>
            <w:r>
              <w:rPr>
                <w:color w:val="000000" w:themeColor="text1"/>
              </w:rPr>
              <w:t>:</w:t>
            </w:r>
            <w:r w:rsidRPr="00662CDE">
              <w:rPr>
                <w:color w:val="000000" w:themeColor="text1"/>
              </w:rPr>
              <w:t xml:space="preserve"> $4,500</w:t>
            </w:r>
          </w:p>
        </w:tc>
        <w:tc>
          <w:tcPr>
            <w:tcW w:w="1162" w:type="dxa"/>
            <w:tcBorders>
              <w:bottom w:val="single" w:sz="4" w:space="0" w:color="auto"/>
            </w:tcBorders>
            <w:vAlign w:val="center"/>
          </w:tcPr>
          <w:p w14:paraId="12B8A225" w14:textId="77777777" w:rsidR="006B5D5E" w:rsidRPr="00042407" w:rsidRDefault="006B5D5E">
            <w:pPr>
              <w:pStyle w:val="081TableRightAligned22"/>
              <w:jc w:val="center"/>
              <w:rPr>
                <w:color w:val="000000" w:themeColor="text1"/>
              </w:rPr>
            </w:pPr>
            <w:r>
              <w:rPr>
                <w:color w:val="000000" w:themeColor="text1"/>
              </w:rPr>
              <w:t>$3,331.98</w:t>
            </w:r>
          </w:p>
        </w:tc>
        <w:tc>
          <w:tcPr>
            <w:tcW w:w="1148" w:type="dxa"/>
            <w:tcBorders>
              <w:bottom w:val="single" w:sz="4" w:space="0" w:color="auto"/>
            </w:tcBorders>
            <w:vAlign w:val="center"/>
          </w:tcPr>
          <w:p w14:paraId="5031244E" w14:textId="77777777" w:rsidR="006B5D5E" w:rsidRPr="00042407" w:rsidRDefault="006B5D5E">
            <w:pPr>
              <w:pStyle w:val="081TableRightAligned22"/>
              <w:jc w:val="center"/>
              <w:rPr>
                <w:color w:val="000000" w:themeColor="text1"/>
              </w:rPr>
            </w:pPr>
            <w:r>
              <w:rPr>
                <w:color w:val="000000" w:themeColor="text1"/>
              </w:rPr>
              <w:t>0.060</w:t>
            </w:r>
          </w:p>
        </w:tc>
        <w:tc>
          <w:tcPr>
            <w:tcW w:w="1075" w:type="dxa"/>
            <w:tcBorders>
              <w:bottom w:val="single" w:sz="4" w:space="0" w:color="auto"/>
            </w:tcBorders>
            <w:vAlign w:val="center"/>
          </w:tcPr>
          <w:p w14:paraId="084AAD64" w14:textId="77777777" w:rsidR="006B5D5E" w:rsidRPr="00042407" w:rsidRDefault="006B5D5E">
            <w:pPr>
              <w:pStyle w:val="081TableRightAligned22"/>
              <w:jc w:val="center"/>
              <w:rPr>
                <w:color w:val="000000" w:themeColor="text1"/>
              </w:rPr>
            </w:pPr>
            <w:r>
              <w:rPr>
                <w:color w:val="000000" w:themeColor="text1"/>
              </w:rPr>
              <w:t>$55,987</w:t>
            </w:r>
          </w:p>
        </w:tc>
        <w:tc>
          <w:tcPr>
            <w:tcW w:w="933" w:type="dxa"/>
            <w:tcBorders>
              <w:bottom w:val="single" w:sz="4" w:space="0" w:color="auto"/>
            </w:tcBorders>
            <w:vAlign w:val="center"/>
          </w:tcPr>
          <w:p w14:paraId="33EA7BC4" w14:textId="77777777" w:rsidR="006B5D5E" w:rsidRPr="00042407" w:rsidRDefault="006B5D5E">
            <w:pPr>
              <w:pStyle w:val="081TableRightAligned22"/>
              <w:jc w:val="center"/>
              <w:rPr>
                <w:color w:val="000000" w:themeColor="text1"/>
              </w:rPr>
            </w:pPr>
            <w:r>
              <w:rPr>
                <w:color w:val="000000" w:themeColor="text1"/>
              </w:rPr>
              <w:t>-47.5%</w:t>
            </w:r>
          </w:p>
        </w:tc>
      </w:tr>
    </w:tbl>
    <w:p w14:paraId="63D013A4" w14:textId="77777777" w:rsidR="006B5D5E" w:rsidRPr="0090646C" w:rsidRDefault="006B5D5E" w:rsidP="006B5D5E">
      <w:pPr>
        <w:pStyle w:val="111Tablefootnoteslast-nostick"/>
        <w:rPr>
          <w:rFonts w:eastAsia="Calibri"/>
          <w:szCs w:val="20"/>
        </w:rPr>
      </w:pPr>
      <w:r w:rsidRPr="0045093D">
        <w:rPr>
          <w:rFonts w:eastAsia="Calibri"/>
          <w:szCs w:val="20"/>
        </w:rPr>
        <w:t>ICER = incremental cost-effectiveness ratio</w:t>
      </w:r>
      <w:r>
        <w:t>; PEX - plasma exchange therapy</w:t>
      </w:r>
    </w:p>
    <w:p w14:paraId="3B339D5A" w14:textId="16128BDD" w:rsidR="00F22815" w:rsidRPr="00951E43" w:rsidRDefault="00F22815" w:rsidP="00951E43">
      <w:r>
        <w:rPr>
          <w:lang w:val="en-US"/>
        </w:rPr>
        <w:t xml:space="preserve">Results of scenario analysis </w:t>
      </w:r>
      <w:r w:rsidR="00482872">
        <w:rPr>
          <w:lang w:val="en-US"/>
        </w:rPr>
        <w:t xml:space="preserve">where the </w:t>
      </w:r>
      <w:r w:rsidR="00D02A1F">
        <w:rPr>
          <w:lang w:val="en-US"/>
        </w:rPr>
        <w:t>ADAMTS13 activity threshold is increased to 20% (base case 10%)</w:t>
      </w:r>
      <w:r w:rsidR="00991237">
        <w:rPr>
          <w:lang w:val="en-US"/>
        </w:rPr>
        <w:t xml:space="preserve"> for identifying patients at high risk of clinical recurrence/relapse </w:t>
      </w:r>
      <w:r w:rsidR="00812831">
        <w:rPr>
          <w:lang w:val="en-US"/>
        </w:rPr>
        <w:t>per Cuker et al (2020) consensus guidelines</w:t>
      </w:r>
      <w:r w:rsidR="00CE58CF">
        <w:rPr>
          <w:lang w:val="en-US"/>
        </w:rPr>
        <w:t xml:space="preserve"> </w:t>
      </w:r>
      <w:r w:rsidR="00812831">
        <w:rPr>
          <w:lang w:val="en-US"/>
        </w:rPr>
        <w:t xml:space="preserve">are presented in </w:t>
      </w:r>
      <w:r w:rsidR="00812831">
        <w:rPr>
          <w:lang w:val="en-US"/>
        </w:rPr>
        <w:fldChar w:fldCharType="begin"/>
      </w:r>
      <w:r w:rsidR="00812831">
        <w:rPr>
          <w:lang w:val="en-US"/>
        </w:rPr>
        <w:instrText xml:space="preserve"> REF _Ref222737277 \h </w:instrText>
      </w:r>
      <w:r w:rsidR="00812831">
        <w:rPr>
          <w:lang w:val="en-US"/>
        </w:rPr>
      </w:r>
      <w:r w:rsidR="00812831">
        <w:rPr>
          <w:lang w:val="en-US"/>
        </w:rPr>
        <w:fldChar w:fldCharType="separate"/>
      </w:r>
      <w:r w:rsidR="00716875">
        <w:t xml:space="preserve">Table </w:t>
      </w:r>
      <w:r w:rsidR="00716875">
        <w:rPr>
          <w:noProof/>
        </w:rPr>
        <w:t>24</w:t>
      </w:r>
      <w:r w:rsidR="00812831">
        <w:rPr>
          <w:lang w:val="en-US"/>
        </w:rPr>
        <w:fldChar w:fldCharType="end"/>
      </w:r>
      <w:r w:rsidR="00812831">
        <w:rPr>
          <w:lang w:val="en-US"/>
        </w:rPr>
        <w:t>.</w:t>
      </w:r>
      <w:r w:rsidR="0052677D">
        <w:rPr>
          <w:lang w:val="en-US"/>
        </w:rPr>
        <w:t xml:space="preserve"> </w:t>
      </w:r>
      <w:r w:rsidR="0052677D">
        <w:t>Applying a 20% threshold, rather than 10%, would result in the reclassification of some patients from the lower to the higher risk category.</w:t>
      </w:r>
      <w:r w:rsidR="00BB5CE1">
        <w:t xml:space="preserve"> This is likely due to a greater proportion of patients receiving pre-emptive rituximab, resulting in improved outcomes. This is evident by the larger incremental difference in clinical recurrence in the scenario analysis (0.090 clinical recurrence events avoided over 2 years) compared to the base-case analysis (0.060 clinical recurrence events avoided over 2 years). T</w:t>
      </w:r>
      <w:r w:rsidR="00BB5CE1" w:rsidRPr="00C07E29">
        <w:t xml:space="preserve">he </w:t>
      </w:r>
      <w:r w:rsidR="00BB5CE1">
        <w:t>scenario</w:t>
      </w:r>
      <w:r w:rsidR="00BB5CE1" w:rsidRPr="00C07E29">
        <w:t xml:space="preserve"> analysis results likely represent an optimistic, high-benefit bound for the impact of a 20% threshold, and </w:t>
      </w:r>
      <w:r w:rsidR="00BB5CE1">
        <w:t>MSAC</w:t>
      </w:r>
      <w:r w:rsidR="00BB5CE1" w:rsidRPr="00C07E29">
        <w:t xml:space="preserve"> should interpret the</w:t>
      </w:r>
      <w:r w:rsidR="00BB5CE1">
        <w:t xml:space="preserve"> results</w:t>
      </w:r>
      <w:r w:rsidR="00BB5CE1" w:rsidRPr="00C07E29">
        <w:t xml:space="preserve"> cautiously, considering potential biases and uncertainties</w:t>
      </w:r>
      <w:r w:rsidR="00BB5CE1">
        <w:t xml:space="preserve"> in the conduct of this analysis.</w:t>
      </w:r>
    </w:p>
    <w:p w14:paraId="2AADAB40" w14:textId="7048D72D" w:rsidR="00F22815" w:rsidRDefault="00F22815" w:rsidP="00F22815">
      <w:pPr>
        <w:pStyle w:val="Caption"/>
      </w:pPr>
      <w:bookmarkStart w:id="59" w:name="_Ref222737277"/>
      <w:r>
        <w:lastRenderedPageBreak/>
        <w:t xml:space="preserve">Table </w:t>
      </w:r>
      <w:r>
        <w:fldChar w:fldCharType="begin"/>
      </w:r>
      <w:r>
        <w:instrText>SEQ Table \* ARABIC</w:instrText>
      </w:r>
      <w:r>
        <w:fldChar w:fldCharType="separate"/>
      </w:r>
      <w:r w:rsidR="00716875">
        <w:rPr>
          <w:noProof/>
        </w:rPr>
        <w:t>24</w:t>
      </w:r>
      <w:r>
        <w:fldChar w:fldCharType="end"/>
      </w:r>
      <w:bookmarkEnd w:id="57"/>
      <w:bookmarkEnd w:id="59"/>
      <w:r>
        <w:tab/>
        <w:t>Results of the scenario analysis examining the impact of applying an ADAMTS13 activity threshold of 20% (rather than 10%) to identify patients at high risk of clinical recurrence/relapse (i.e. with ‘ADAMTS13 recurrence’)</w:t>
      </w:r>
    </w:p>
    <w:tbl>
      <w:tblPr>
        <w:tblStyle w:val="TableGrid3"/>
        <w:tblW w:w="0" w:type="auto"/>
        <w:tblInd w:w="0" w:type="dxa"/>
        <w:tblLook w:val="04A0" w:firstRow="1" w:lastRow="0" w:firstColumn="1" w:lastColumn="0" w:noHBand="0" w:noVBand="1"/>
        <w:tblCaption w:val="Scenario analysis using 20% ADAMTS13 activity threshold"/>
        <w:tblDescription w:val="Results of the scenario analysis examining the impact of applying an ADAMTS13 activity threshold of 20% (rather than 10%) to identify patients at high risk of clinical recurrence/relapse (i.e., with ‘ADAMTS13 recurrence’)"/>
      </w:tblPr>
      <w:tblGrid>
        <w:gridCol w:w="4531"/>
        <w:gridCol w:w="1701"/>
        <w:gridCol w:w="1560"/>
        <w:gridCol w:w="1224"/>
      </w:tblGrid>
      <w:tr w:rsidR="00F22815" w:rsidRPr="00541A8B" w14:paraId="77D4BC91" w14:textId="77777777">
        <w:trPr>
          <w:cnfStyle w:val="100000000000" w:firstRow="1" w:lastRow="0" w:firstColumn="0" w:lastColumn="0" w:oddVBand="0" w:evenVBand="0" w:oddHBand="0" w:evenHBand="0" w:firstRowFirstColumn="0" w:firstRowLastColumn="0" w:lastRowFirstColumn="0" w:lastRowLastColumn="0"/>
        </w:trPr>
        <w:tc>
          <w:tcPr>
            <w:tcW w:w="4531" w:type="dxa"/>
          </w:tcPr>
          <w:p w14:paraId="638F8EE3" w14:textId="77777777" w:rsidR="00F22815" w:rsidRPr="00541A8B" w:rsidRDefault="00F22815">
            <w:pPr>
              <w:pStyle w:val="011TableHeading"/>
            </w:pPr>
          </w:p>
        </w:tc>
        <w:tc>
          <w:tcPr>
            <w:tcW w:w="1701" w:type="dxa"/>
          </w:tcPr>
          <w:p w14:paraId="15699619" w14:textId="77777777" w:rsidR="00F22815" w:rsidRDefault="00F22815">
            <w:pPr>
              <w:pStyle w:val="021TableHeadingRightAligned"/>
              <w:jc w:val="center"/>
            </w:pPr>
            <w:r>
              <w:t>ADAMTS13 monitoring arm</w:t>
            </w:r>
          </w:p>
        </w:tc>
        <w:tc>
          <w:tcPr>
            <w:tcW w:w="1560" w:type="dxa"/>
          </w:tcPr>
          <w:p w14:paraId="0EB00BAF" w14:textId="77777777" w:rsidR="00F22815" w:rsidRDefault="00F22815">
            <w:pPr>
              <w:pStyle w:val="021TableHeadingRightAligned"/>
              <w:jc w:val="center"/>
            </w:pPr>
            <w:r>
              <w:t>Current monitoring arm</w:t>
            </w:r>
          </w:p>
        </w:tc>
        <w:tc>
          <w:tcPr>
            <w:tcW w:w="1224" w:type="dxa"/>
          </w:tcPr>
          <w:p w14:paraId="12BD00CF" w14:textId="77777777" w:rsidR="00F22815" w:rsidRDefault="00F22815">
            <w:pPr>
              <w:pStyle w:val="021TableHeadingRightAligned"/>
              <w:jc w:val="center"/>
            </w:pPr>
            <w:r>
              <w:t>Increment</w:t>
            </w:r>
          </w:p>
        </w:tc>
      </w:tr>
      <w:tr w:rsidR="00F22815" w:rsidRPr="007E5570" w14:paraId="32DE30B5" w14:textId="77777777">
        <w:tc>
          <w:tcPr>
            <w:tcW w:w="4531" w:type="dxa"/>
          </w:tcPr>
          <w:p w14:paraId="37530FCC" w14:textId="77777777" w:rsidR="00F22815" w:rsidRPr="007E5570" w:rsidRDefault="00F22815">
            <w:pPr>
              <w:pStyle w:val="051Tabletext22"/>
            </w:pPr>
            <w:r w:rsidRPr="007E5570">
              <w:t>Total costs</w:t>
            </w:r>
          </w:p>
        </w:tc>
        <w:tc>
          <w:tcPr>
            <w:tcW w:w="1701" w:type="dxa"/>
          </w:tcPr>
          <w:p w14:paraId="0891C82D" w14:textId="77777777" w:rsidR="00F22815" w:rsidRPr="007E5570" w:rsidRDefault="00F22815">
            <w:pPr>
              <w:pStyle w:val="081TableRightAligned22"/>
              <w:jc w:val="center"/>
            </w:pPr>
            <w:r>
              <w:t>$10,590.75</w:t>
            </w:r>
          </w:p>
        </w:tc>
        <w:tc>
          <w:tcPr>
            <w:tcW w:w="1560" w:type="dxa"/>
          </w:tcPr>
          <w:p w14:paraId="5BB90943" w14:textId="77777777" w:rsidR="00F22815" w:rsidRPr="007E5570" w:rsidRDefault="00F22815">
            <w:pPr>
              <w:pStyle w:val="081TableRightAligned22"/>
              <w:jc w:val="center"/>
            </w:pPr>
            <w:r>
              <w:t>$4,802.36</w:t>
            </w:r>
          </w:p>
        </w:tc>
        <w:tc>
          <w:tcPr>
            <w:tcW w:w="1224" w:type="dxa"/>
          </w:tcPr>
          <w:p w14:paraId="64A541E7" w14:textId="77777777" w:rsidR="00F22815" w:rsidRPr="007E5570" w:rsidRDefault="00F22815">
            <w:pPr>
              <w:pStyle w:val="081TableRightAligned22"/>
              <w:jc w:val="center"/>
            </w:pPr>
            <w:r>
              <w:t>$5,788.39</w:t>
            </w:r>
          </w:p>
        </w:tc>
      </w:tr>
      <w:tr w:rsidR="00F22815" w:rsidRPr="007E5570" w14:paraId="670F20B5" w14:textId="77777777">
        <w:tc>
          <w:tcPr>
            <w:tcW w:w="4531" w:type="dxa"/>
            <w:tcBorders>
              <w:bottom w:val="single" w:sz="4" w:space="0" w:color="auto"/>
            </w:tcBorders>
          </w:tcPr>
          <w:p w14:paraId="10FF57EA" w14:textId="77777777" w:rsidR="00F22815" w:rsidRPr="007E5570" w:rsidRDefault="00F22815">
            <w:pPr>
              <w:pStyle w:val="051Tabletext22"/>
            </w:pPr>
            <w:r w:rsidRPr="007E5570">
              <w:t>Proportion without clinical recurrence</w:t>
            </w:r>
          </w:p>
        </w:tc>
        <w:tc>
          <w:tcPr>
            <w:tcW w:w="1701" w:type="dxa"/>
            <w:tcBorders>
              <w:bottom w:val="single" w:sz="4" w:space="0" w:color="auto"/>
            </w:tcBorders>
          </w:tcPr>
          <w:p w14:paraId="2EDC5C6A" w14:textId="77777777" w:rsidR="00F22815" w:rsidRPr="007E5570" w:rsidRDefault="00F22815">
            <w:pPr>
              <w:pStyle w:val="081TableRightAligned22"/>
              <w:jc w:val="center"/>
            </w:pPr>
            <w:r>
              <w:t>0.880</w:t>
            </w:r>
          </w:p>
        </w:tc>
        <w:tc>
          <w:tcPr>
            <w:tcW w:w="1560" w:type="dxa"/>
            <w:tcBorders>
              <w:bottom w:val="single" w:sz="4" w:space="0" w:color="auto"/>
            </w:tcBorders>
          </w:tcPr>
          <w:p w14:paraId="56D20F05" w14:textId="77777777" w:rsidR="00F22815" w:rsidRPr="007E5570" w:rsidRDefault="00F22815">
            <w:pPr>
              <w:pStyle w:val="081TableRightAligned22"/>
              <w:jc w:val="center"/>
            </w:pPr>
            <w:r>
              <w:t>0.791</w:t>
            </w:r>
          </w:p>
        </w:tc>
        <w:tc>
          <w:tcPr>
            <w:tcW w:w="1224" w:type="dxa"/>
          </w:tcPr>
          <w:p w14:paraId="53971BB7" w14:textId="77777777" w:rsidR="00F22815" w:rsidRPr="007E5570" w:rsidRDefault="00F22815">
            <w:pPr>
              <w:pStyle w:val="081TableRightAligned22"/>
              <w:jc w:val="center"/>
            </w:pPr>
            <w:r>
              <w:t>0.090</w:t>
            </w:r>
          </w:p>
        </w:tc>
      </w:tr>
      <w:tr w:rsidR="00F22815" w:rsidRPr="007E5570" w14:paraId="266EA3B4" w14:textId="77777777">
        <w:tc>
          <w:tcPr>
            <w:tcW w:w="4531" w:type="dxa"/>
            <w:tcBorders>
              <w:right w:val="nil"/>
            </w:tcBorders>
          </w:tcPr>
          <w:p w14:paraId="4A66A8CE" w14:textId="77777777" w:rsidR="00F22815" w:rsidRPr="007E5570" w:rsidRDefault="00F22815">
            <w:pPr>
              <w:pStyle w:val="051Tabletext22"/>
              <w:rPr>
                <w:b/>
                <w:bCs/>
              </w:rPr>
            </w:pPr>
            <w:r w:rsidRPr="007E5570">
              <w:rPr>
                <w:b/>
                <w:bCs/>
              </w:rPr>
              <w:t>Incremental cost per additional clinical recurrence avoided over 2 years</w:t>
            </w:r>
          </w:p>
        </w:tc>
        <w:tc>
          <w:tcPr>
            <w:tcW w:w="1701" w:type="dxa"/>
            <w:tcBorders>
              <w:left w:val="nil"/>
              <w:right w:val="nil"/>
            </w:tcBorders>
          </w:tcPr>
          <w:p w14:paraId="5F66B3A3" w14:textId="77777777" w:rsidR="00F22815" w:rsidRPr="007E5570" w:rsidRDefault="00F22815">
            <w:pPr>
              <w:pStyle w:val="081TableRightAligned22"/>
              <w:jc w:val="center"/>
              <w:rPr>
                <w:b/>
                <w:bCs/>
              </w:rPr>
            </w:pPr>
          </w:p>
        </w:tc>
        <w:tc>
          <w:tcPr>
            <w:tcW w:w="1560" w:type="dxa"/>
            <w:tcBorders>
              <w:left w:val="nil"/>
            </w:tcBorders>
          </w:tcPr>
          <w:p w14:paraId="02065507" w14:textId="77777777" w:rsidR="00F22815" w:rsidRPr="007E5570" w:rsidRDefault="00F22815">
            <w:pPr>
              <w:pStyle w:val="081TableRightAligned22"/>
              <w:jc w:val="center"/>
              <w:rPr>
                <w:b/>
                <w:bCs/>
              </w:rPr>
            </w:pPr>
          </w:p>
        </w:tc>
        <w:tc>
          <w:tcPr>
            <w:tcW w:w="1224" w:type="dxa"/>
          </w:tcPr>
          <w:p w14:paraId="47F894BB" w14:textId="77777777" w:rsidR="00F22815" w:rsidRPr="007E5570" w:rsidRDefault="00F22815">
            <w:pPr>
              <w:pStyle w:val="081TableRightAligned22"/>
              <w:jc w:val="center"/>
              <w:rPr>
                <w:b/>
                <w:bCs/>
              </w:rPr>
            </w:pPr>
            <w:r w:rsidRPr="007E5570">
              <w:rPr>
                <w:b/>
                <w:bCs/>
              </w:rPr>
              <w:t>$</w:t>
            </w:r>
            <w:r>
              <w:rPr>
                <w:b/>
                <w:bCs/>
              </w:rPr>
              <w:t>64,477</w:t>
            </w:r>
          </w:p>
        </w:tc>
      </w:tr>
    </w:tbl>
    <w:p w14:paraId="526CD72E" w14:textId="4F969644" w:rsidR="001A540C" w:rsidRDefault="001A540C" w:rsidP="00055104">
      <w:pPr>
        <w:pStyle w:val="BodyText"/>
        <w:spacing w:before="240"/>
      </w:pPr>
      <w:r>
        <w:t>The QALY gain where an acute recurrence is avoided is not known. Acute TTP, whether an initial episode or a relapse, entails a substantial risk of morbidity and mortality. The model also does not consider additional health benefits that may accrue from treating ADAMTS13 relapse</w:t>
      </w:r>
      <w:r w:rsidR="008B52C2">
        <w:t>;</w:t>
      </w:r>
      <w:r>
        <w:t xml:space="preserve"> for example, risk of stroke (Upreti et al 2019). </w:t>
      </w:r>
      <w:r w:rsidR="000D723E">
        <w:t>Furthermore,</w:t>
      </w:r>
      <w:r>
        <w:t xml:space="preserve"> ADAMTS13 recurrence can be symptomatic (40% of patients in Doyle et al. 2023</w:t>
      </w:r>
      <w:r w:rsidR="00AF05BD">
        <w:t>, most commonly headaches and fatigue</w:t>
      </w:r>
      <w:r>
        <w:t xml:space="preserve">). This could be interpreted as further supporting pre-emptive treatment or alternatively as supporting treatment based on symptoms rather than routine monitoring. </w:t>
      </w:r>
    </w:p>
    <w:p w14:paraId="7ACC0523" w14:textId="3B8099EF" w:rsidR="005E426C" w:rsidRPr="00C55862" w:rsidRDefault="005E426C" w:rsidP="005E426C">
      <w:pPr>
        <w:spacing w:after="120"/>
      </w:pPr>
      <w:r w:rsidRPr="00C55862">
        <w:t>Although a QALY valuation of avoiding a recurrence of TTP d</w:t>
      </w:r>
      <w:r w:rsidR="008B0E38">
        <w:t>id</w:t>
      </w:r>
      <w:r w:rsidRPr="00C55862">
        <w:t xml:space="preserve"> not appear to be reported in the literature, a very rough estimate </w:t>
      </w:r>
      <w:r w:rsidR="008B0E38">
        <w:t>was</w:t>
      </w:r>
      <w:r w:rsidRPr="00C55862">
        <w:t xml:space="preserve"> derived by making the following (unsubstantiated) assumptions:</w:t>
      </w:r>
    </w:p>
    <w:p w14:paraId="7FEE09EB" w14:textId="77777777" w:rsidR="005E426C" w:rsidRPr="00C55862" w:rsidRDefault="005E426C" w:rsidP="005E426C">
      <w:pPr>
        <w:numPr>
          <w:ilvl w:val="0"/>
          <w:numId w:val="25"/>
        </w:numPr>
        <w:spacing w:before="0" w:after="0"/>
        <w:ind w:left="714" w:hanging="357"/>
      </w:pPr>
      <w:r w:rsidRPr="00C55862">
        <w:t>case-fatality rate for acute iTTP episodes is ~5% with modern care</w:t>
      </w:r>
    </w:p>
    <w:p w14:paraId="69FF8676" w14:textId="77777777" w:rsidR="005E426C" w:rsidRPr="00C55862" w:rsidRDefault="005E426C" w:rsidP="005E426C">
      <w:pPr>
        <w:numPr>
          <w:ilvl w:val="0"/>
          <w:numId w:val="25"/>
        </w:numPr>
        <w:spacing w:before="0" w:after="0"/>
        <w:ind w:left="714" w:hanging="357"/>
      </w:pPr>
      <w:r w:rsidRPr="00C55862">
        <w:t>average age of a patient experiencing an iTTP episode is 50 years</w:t>
      </w:r>
    </w:p>
    <w:p w14:paraId="0AD65415" w14:textId="77777777" w:rsidR="005E426C" w:rsidRPr="00C55862" w:rsidRDefault="005E426C" w:rsidP="005E426C">
      <w:pPr>
        <w:numPr>
          <w:ilvl w:val="0"/>
          <w:numId w:val="25"/>
        </w:numPr>
        <w:spacing w:before="0" w:after="0"/>
        <w:ind w:left="714" w:hanging="357"/>
      </w:pPr>
      <w:r w:rsidRPr="00C55862">
        <w:t>life expectancy for the average Australian aged 50</w:t>
      </w:r>
      <w:r>
        <w:t xml:space="preserve"> </w:t>
      </w:r>
      <w:r w:rsidRPr="00C55862">
        <w:t>years is approximately 35 years</w:t>
      </w:r>
      <w:r>
        <w:t>.</w:t>
      </w:r>
    </w:p>
    <w:p w14:paraId="7747E69D" w14:textId="7E752A3F" w:rsidR="006D58EE" w:rsidRPr="001A540C" w:rsidRDefault="005E426C" w:rsidP="00055104">
      <w:r w:rsidRPr="00C55862">
        <w:t>In this case, it could be estimated that one avoided clinical recurrence will result in 0.05*35 = 1.75 life years saved (on average). Applying a utility weight of about 0.8 to remaining survival, approximately 1.4 QALYs could be gained by monitoring. The ICER for the base case then becomes ~$76,220/QALY gained.</w:t>
      </w:r>
    </w:p>
    <w:p w14:paraId="0E5A7337" w14:textId="0693BED0" w:rsidR="00742FD9" w:rsidRDefault="00A978B0" w:rsidP="00055104">
      <w:pPr>
        <w:pStyle w:val="ExecSumHeading2"/>
        <w:keepLines/>
        <w:numPr>
          <w:ilvl w:val="0"/>
          <w:numId w:val="36"/>
        </w:numPr>
        <w:ind w:hanging="720"/>
      </w:pPr>
      <w:bookmarkStart w:id="60" w:name="_Toc216879534"/>
      <w:bookmarkEnd w:id="43"/>
      <w:r>
        <w:t>Financial/budgetary impacts</w:t>
      </w:r>
      <w:bookmarkEnd w:id="60"/>
    </w:p>
    <w:p w14:paraId="01714520" w14:textId="6D0BF2F9" w:rsidR="00DB4F52" w:rsidRDefault="00867B21" w:rsidP="00055104">
      <w:pPr>
        <w:pStyle w:val="BodyText"/>
      </w:pPr>
      <w:r>
        <w:t xml:space="preserve">An epidemiological approach was taken to estimate the </w:t>
      </w:r>
      <w:r w:rsidR="006307AE">
        <w:t>number</w:t>
      </w:r>
      <w:r w:rsidR="002022B3">
        <w:t xml:space="preserve"> of ADAMTS13 test</w:t>
      </w:r>
      <w:r w:rsidR="00614AC9">
        <w:t>s</w:t>
      </w:r>
      <w:r w:rsidR="002022B3">
        <w:t xml:space="preserve"> in Australia</w:t>
      </w:r>
      <w:r w:rsidR="006307AE">
        <w:t xml:space="preserve"> for the proposed services</w:t>
      </w:r>
      <w:r w:rsidR="002022B3">
        <w:t xml:space="preserve">. This was supplemented by a market-share approach using data supplied by the applicant from 3 </w:t>
      </w:r>
      <w:r w:rsidR="00C30E39">
        <w:t xml:space="preserve">Australian </w:t>
      </w:r>
      <w:r w:rsidR="002022B3">
        <w:t xml:space="preserve">pathology </w:t>
      </w:r>
      <w:r w:rsidR="00C30E39">
        <w:t>laboratories performing ADAMTS13 testing.</w:t>
      </w:r>
      <w:r w:rsidR="00747F6F">
        <w:t xml:space="preserve"> The epidemiological approach </w:t>
      </w:r>
      <w:r w:rsidR="00845660">
        <w:t xml:space="preserve">formed the basis of the </w:t>
      </w:r>
      <w:r w:rsidR="00677201">
        <w:t xml:space="preserve">financial </w:t>
      </w:r>
      <w:r w:rsidR="000062F2">
        <w:t>analysis.</w:t>
      </w:r>
      <w:r w:rsidR="00DB4F52">
        <w:br w:type="page"/>
      </w:r>
    </w:p>
    <w:p w14:paraId="30156562" w14:textId="5A4131D4" w:rsidR="00726B5F" w:rsidRDefault="00726B5F" w:rsidP="00A4451B">
      <w:pPr>
        <w:pStyle w:val="Caption"/>
      </w:pPr>
      <w:r>
        <w:lastRenderedPageBreak/>
        <w:t xml:space="preserve">Table </w:t>
      </w:r>
      <w:r>
        <w:fldChar w:fldCharType="begin"/>
      </w:r>
      <w:r>
        <w:instrText>SEQ Table \* ARABIC</w:instrText>
      </w:r>
      <w:r>
        <w:fldChar w:fldCharType="separate"/>
      </w:r>
      <w:r w:rsidR="00716875">
        <w:rPr>
          <w:noProof/>
        </w:rPr>
        <w:t>25</w:t>
      </w:r>
      <w:r>
        <w:fldChar w:fldCharType="end"/>
      </w:r>
      <w:r>
        <w:tab/>
        <w:t xml:space="preserve">Epidemiological and market-share estimates of </w:t>
      </w:r>
      <w:r w:rsidR="005D23F2">
        <w:t>yearly test volume</w:t>
      </w:r>
    </w:p>
    <w:tbl>
      <w:tblPr>
        <w:tblStyle w:val="TableGrid3"/>
        <w:tblW w:w="5000" w:type="pct"/>
        <w:tblInd w:w="0" w:type="dxa"/>
        <w:tblLook w:val="04A0" w:firstRow="1" w:lastRow="0" w:firstColumn="1" w:lastColumn="0" w:noHBand="0" w:noVBand="1"/>
      </w:tblPr>
      <w:tblGrid>
        <w:gridCol w:w="3114"/>
        <w:gridCol w:w="1277"/>
        <w:gridCol w:w="4625"/>
      </w:tblGrid>
      <w:tr w:rsidR="002C28C0" w14:paraId="2E1E08D7" w14:textId="1723B42A" w:rsidTr="0021657E">
        <w:trPr>
          <w:cnfStyle w:val="100000000000" w:firstRow="1" w:lastRow="0" w:firstColumn="0" w:lastColumn="0" w:oddVBand="0" w:evenVBand="0" w:oddHBand="0" w:evenHBand="0" w:firstRowFirstColumn="0" w:firstRowLastColumn="0" w:lastRowFirstColumn="0" w:lastRowLastColumn="0"/>
        </w:trPr>
        <w:tc>
          <w:tcPr>
            <w:tcW w:w="1727" w:type="pct"/>
          </w:tcPr>
          <w:p w14:paraId="3E7F2CA3" w14:textId="3537C1C9" w:rsidR="002C28C0" w:rsidRDefault="002C28C0" w:rsidP="00A4451B">
            <w:pPr>
              <w:pStyle w:val="TableHeading0"/>
            </w:pPr>
            <w:r>
              <w:t>Data</w:t>
            </w:r>
          </w:p>
        </w:tc>
        <w:tc>
          <w:tcPr>
            <w:tcW w:w="708" w:type="pct"/>
          </w:tcPr>
          <w:p w14:paraId="4AB57388" w14:textId="01F8C894" w:rsidR="002C28C0" w:rsidRDefault="002C28C0" w:rsidP="002A6B97">
            <w:pPr>
              <w:pStyle w:val="TableHeading0"/>
              <w:jc w:val="center"/>
            </w:pPr>
            <w:r>
              <w:t>Value</w:t>
            </w:r>
          </w:p>
        </w:tc>
        <w:tc>
          <w:tcPr>
            <w:tcW w:w="2565" w:type="pct"/>
          </w:tcPr>
          <w:p w14:paraId="4FC37ADC" w14:textId="19D55479" w:rsidR="002C28C0" w:rsidRDefault="002C28C0" w:rsidP="000062F2">
            <w:pPr>
              <w:pStyle w:val="TableHeading0"/>
            </w:pPr>
            <w:r>
              <w:t>Output</w:t>
            </w:r>
          </w:p>
        </w:tc>
      </w:tr>
      <w:tr w:rsidR="002C28C0" w14:paraId="0313F1A7" w14:textId="6111EA90" w:rsidTr="002A6B97">
        <w:tc>
          <w:tcPr>
            <w:tcW w:w="0" w:type="pct"/>
            <w:tcBorders>
              <w:bottom w:val="single" w:sz="4" w:space="0" w:color="auto"/>
            </w:tcBorders>
          </w:tcPr>
          <w:p w14:paraId="12AFDDCD" w14:textId="795F7759" w:rsidR="002C28C0" w:rsidRDefault="002C28C0" w:rsidP="00A4451B">
            <w:pPr>
              <w:pStyle w:val="TableText"/>
            </w:pPr>
            <w:r w:rsidRPr="00FF2757">
              <w:t>Population of Australia (2026)</w:t>
            </w:r>
            <w:r>
              <w:t xml:space="preserve"> </w:t>
            </w:r>
            <w:hyperlink r:id="rId27" w:anchor="national" w:tooltip="Link to ABS population projections" w:history="1">
              <w:r w:rsidRPr="0073235C">
                <w:rPr>
                  <w:rStyle w:val="Hyperlink"/>
                  <w:color w:val="007BB8"/>
                  <w:lang w:eastAsia="en-AU"/>
                </w:rPr>
                <w:t>ABS Population Projection</w:t>
              </w:r>
            </w:hyperlink>
          </w:p>
        </w:tc>
        <w:tc>
          <w:tcPr>
            <w:tcW w:w="0" w:type="pct"/>
            <w:tcBorders>
              <w:bottom w:val="single" w:sz="4" w:space="0" w:color="auto"/>
            </w:tcBorders>
          </w:tcPr>
          <w:p w14:paraId="547AB8E4" w14:textId="7AF95117" w:rsidR="002C28C0" w:rsidRDefault="002C28C0" w:rsidP="002A6B97">
            <w:pPr>
              <w:pStyle w:val="TableText"/>
              <w:jc w:val="center"/>
            </w:pPr>
            <w:r w:rsidRPr="00FF2757">
              <w:t>27,805,684</w:t>
            </w:r>
          </w:p>
        </w:tc>
        <w:tc>
          <w:tcPr>
            <w:tcW w:w="0" w:type="pct"/>
            <w:tcBorders>
              <w:bottom w:val="single" w:sz="4" w:space="0" w:color="auto"/>
            </w:tcBorders>
          </w:tcPr>
          <w:p w14:paraId="07607301" w14:textId="064463DB" w:rsidR="002C28C0" w:rsidRPr="00FF2757" w:rsidRDefault="002C28C0" w:rsidP="00DA36FD">
            <w:pPr>
              <w:pStyle w:val="TableText"/>
            </w:pPr>
            <w:r>
              <w:t>-</w:t>
            </w:r>
          </w:p>
        </w:tc>
      </w:tr>
      <w:tr w:rsidR="0073127A" w14:paraId="614C919B" w14:textId="77777777" w:rsidTr="002A6B97">
        <w:tc>
          <w:tcPr>
            <w:tcW w:w="0" w:type="pct"/>
            <w:tcBorders>
              <w:right w:val="nil"/>
            </w:tcBorders>
          </w:tcPr>
          <w:p w14:paraId="4C5E1DF6" w14:textId="40E1223B" w:rsidR="0073127A" w:rsidRPr="00FF2757" w:rsidRDefault="0073127A" w:rsidP="0073127A">
            <w:pPr>
              <w:pStyle w:val="TableText"/>
              <w:keepNext/>
              <w:rPr>
                <w:lang w:eastAsia="en-AU"/>
              </w:rPr>
            </w:pPr>
            <w:r w:rsidRPr="002C28C0">
              <w:rPr>
                <w:b/>
                <w:bCs/>
              </w:rPr>
              <w:t>Epidemiological approach</w:t>
            </w:r>
          </w:p>
        </w:tc>
        <w:tc>
          <w:tcPr>
            <w:tcW w:w="0" w:type="pct"/>
            <w:tcBorders>
              <w:left w:val="nil"/>
              <w:right w:val="nil"/>
            </w:tcBorders>
          </w:tcPr>
          <w:p w14:paraId="51B05350" w14:textId="77777777" w:rsidR="0073127A" w:rsidRDefault="0073127A" w:rsidP="002A6B97">
            <w:pPr>
              <w:pStyle w:val="TableText"/>
              <w:jc w:val="center"/>
              <w:rPr>
                <w:lang w:eastAsia="en-AU"/>
              </w:rPr>
            </w:pPr>
          </w:p>
        </w:tc>
        <w:tc>
          <w:tcPr>
            <w:tcW w:w="0" w:type="pct"/>
            <w:tcBorders>
              <w:left w:val="nil"/>
            </w:tcBorders>
          </w:tcPr>
          <w:p w14:paraId="747901F2" w14:textId="77777777" w:rsidR="0073127A" w:rsidRDefault="0073127A" w:rsidP="00B01848">
            <w:pPr>
              <w:pStyle w:val="TableText"/>
              <w:rPr>
                <w:lang w:eastAsia="en-AU"/>
              </w:rPr>
            </w:pPr>
          </w:p>
        </w:tc>
      </w:tr>
      <w:tr w:rsidR="002C28C0" w14:paraId="01C3641A" w14:textId="1426CC12" w:rsidTr="0021657E">
        <w:tc>
          <w:tcPr>
            <w:tcW w:w="1727" w:type="pct"/>
          </w:tcPr>
          <w:p w14:paraId="034239B9" w14:textId="51531625" w:rsidR="002C28C0" w:rsidRDefault="002C28C0" w:rsidP="007032DB">
            <w:pPr>
              <w:pStyle w:val="TableText"/>
            </w:pPr>
            <w:r w:rsidRPr="00FF2757">
              <w:rPr>
                <w:lang w:eastAsia="en-AU"/>
              </w:rPr>
              <w:t>Incidence of suspected TTP (per million per year)</w:t>
            </w:r>
            <w:r w:rsidRPr="007032DB">
              <w:rPr>
                <w:vertAlign w:val="superscript"/>
                <w:lang w:eastAsia="en-AU"/>
              </w:rPr>
              <w:t>a</w:t>
            </w:r>
          </w:p>
        </w:tc>
        <w:tc>
          <w:tcPr>
            <w:tcW w:w="708" w:type="pct"/>
          </w:tcPr>
          <w:p w14:paraId="7065859A" w14:textId="1B3E7E23" w:rsidR="002C28C0" w:rsidRDefault="002C28C0" w:rsidP="002A6B97">
            <w:pPr>
              <w:pStyle w:val="TableText"/>
              <w:jc w:val="center"/>
            </w:pPr>
            <w:r>
              <w:rPr>
                <w:lang w:eastAsia="en-AU"/>
              </w:rPr>
              <w:t>12.0</w:t>
            </w:r>
          </w:p>
        </w:tc>
        <w:tc>
          <w:tcPr>
            <w:tcW w:w="2565" w:type="pct"/>
          </w:tcPr>
          <w:p w14:paraId="2F6F8790" w14:textId="359081C6" w:rsidR="002C28C0" w:rsidRDefault="002C28C0" w:rsidP="00B01848">
            <w:pPr>
              <w:pStyle w:val="TableText"/>
              <w:rPr>
                <w:lang w:eastAsia="en-AU"/>
              </w:rPr>
            </w:pPr>
            <w:r>
              <w:rPr>
                <w:lang w:eastAsia="en-AU"/>
              </w:rPr>
              <w:t>Incident TMA population/ Number of diagnostic ADAMTS13 activity tests: 334</w:t>
            </w:r>
          </w:p>
        </w:tc>
      </w:tr>
      <w:tr w:rsidR="002C28C0" w14:paraId="32D6AC5F" w14:textId="2E4914AF" w:rsidTr="0021657E">
        <w:tc>
          <w:tcPr>
            <w:tcW w:w="1727" w:type="pct"/>
          </w:tcPr>
          <w:p w14:paraId="276F1B1E" w14:textId="26DDCEEF" w:rsidR="002C28C0" w:rsidRDefault="002C28C0" w:rsidP="007032DB">
            <w:pPr>
              <w:pStyle w:val="TableText"/>
            </w:pPr>
            <w:r w:rsidRPr="00FF2757">
              <w:rPr>
                <w:lang w:eastAsia="en-AU"/>
              </w:rPr>
              <w:t>Incidence of acute first-episode TTP (per million per year)</w:t>
            </w:r>
            <w:r w:rsidRPr="007032DB">
              <w:rPr>
                <w:vertAlign w:val="superscript"/>
                <w:lang w:eastAsia="en-AU"/>
              </w:rPr>
              <w:t>b</w:t>
            </w:r>
          </w:p>
        </w:tc>
        <w:tc>
          <w:tcPr>
            <w:tcW w:w="708" w:type="pct"/>
          </w:tcPr>
          <w:p w14:paraId="203F2E0F" w14:textId="12E27AF1" w:rsidR="002C28C0" w:rsidRDefault="002C28C0" w:rsidP="002A6B97">
            <w:pPr>
              <w:pStyle w:val="TableText"/>
              <w:jc w:val="center"/>
            </w:pPr>
            <w:r w:rsidRPr="00FF2757">
              <w:rPr>
                <w:lang w:eastAsia="en-AU"/>
              </w:rPr>
              <w:t>2.17</w:t>
            </w:r>
          </w:p>
        </w:tc>
        <w:tc>
          <w:tcPr>
            <w:tcW w:w="2565" w:type="pct"/>
          </w:tcPr>
          <w:p w14:paraId="5283C3F3" w14:textId="77777777" w:rsidR="002C28C0" w:rsidRDefault="002C28C0" w:rsidP="0082764C">
            <w:pPr>
              <w:pStyle w:val="TableText"/>
              <w:rPr>
                <w:lang w:eastAsia="en-AU"/>
              </w:rPr>
            </w:pPr>
            <w:r>
              <w:rPr>
                <w:lang w:eastAsia="en-AU"/>
              </w:rPr>
              <w:t>Incident TTP population: 60</w:t>
            </w:r>
          </w:p>
          <w:p w14:paraId="44AB5145" w14:textId="0F39EB0F" w:rsidR="002C28C0" w:rsidRPr="00FF2757" w:rsidRDefault="002C28C0" w:rsidP="008524B8">
            <w:pPr>
              <w:pStyle w:val="TableText"/>
              <w:rPr>
                <w:lang w:eastAsia="en-AU"/>
              </w:rPr>
            </w:pPr>
            <w:r>
              <w:rPr>
                <w:lang w:eastAsia="en-AU"/>
              </w:rPr>
              <w:t>Number of diagnostic anti-ADAMTS13 autoantibody tests (+25%): 75</w:t>
            </w:r>
          </w:p>
        </w:tc>
      </w:tr>
      <w:tr w:rsidR="002C28C0" w14:paraId="00E0D428" w14:textId="7FBD101D" w:rsidTr="0021657E">
        <w:tc>
          <w:tcPr>
            <w:tcW w:w="1727" w:type="pct"/>
          </w:tcPr>
          <w:p w14:paraId="35902EED" w14:textId="79F2BB06" w:rsidR="002C28C0" w:rsidRDefault="002C28C0" w:rsidP="007032DB">
            <w:pPr>
              <w:pStyle w:val="TableText"/>
            </w:pPr>
            <w:r w:rsidRPr="00FF2757">
              <w:rPr>
                <w:lang w:eastAsia="en-AU"/>
              </w:rPr>
              <w:t>Incidence of all acute TTP episodes (per million per year)</w:t>
            </w:r>
            <w:r w:rsidRPr="00580C20">
              <w:rPr>
                <w:vertAlign w:val="superscript"/>
                <w:lang w:eastAsia="en-AU"/>
              </w:rPr>
              <w:t>b</w:t>
            </w:r>
          </w:p>
        </w:tc>
        <w:tc>
          <w:tcPr>
            <w:tcW w:w="708" w:type="pct"/>
          </w:tcPr>
          <w:p w14:paraId="7C952607" w14:textId="4F8C0CD9" w:rsidR="002C28C0" w:rsidRDefault="002C28C0" w:rsidP="002A6B97">
            <w:pPr>
              <w:pStyle w:val="TableText"/>
              <w:jc w:val="center"/>
            </w:pPr>
            <w:r w:rsidRPr="00FF2757">
              <w:rPr>
                <w:lang w:eastAsia="en-AU"/>
              </w:rPr>
              <w:t>3.1</w:t>
            </w:r>
          </w:p>
        </w:tc>
        <w:tc>
          <w:tcPr>
            <w:tcW w:w="2565" w:type="pct"/>
          </w:tcPr>
          <w:p w14:paraId="3E0723A3" w14:textId="22B988F3" w:rsidR="002C28C0" w:rsidRDefault="002C28C0" w:rsidP="0082764C">
            <w:pPr>
              <w:pStyle w:val="TableText"/>
              <w:rPr>
                <w:lang w:eastAsia="en-AU"/>
              </w:rPr>
            </w:pPr>
            <w:r>
              <w:rPr>
                <w:lang w:eastAsia="en-AU"/>
              </w:rPr>
              <w:t>Incident acute TTP episodes: 86</w:t>
            </w:r>
          </w:p>
          <w:p w14:paraId="132035DA" w14:textId="7372021D" w:rsidR="002C28C0" w:rsidRPr="00FF2757" w:rsidRDefault="002C28C0" w:rsidP="0082764C">
            <w:pPr>
              <w:pStyle w:val="TableText"/>
              <w:rPr>
                <w:lang w:eastAsia="en-AU"/>
              </w:rPr>
            </w:pPr>
            <w:r>
              <w:rPr>
                <w:lang w:eastAsia="en-AU"/>
              </w:rPr>
              <w:t xml:space="preserve">Number of ADAMTS13 activity tests for monitoring following acute episode (86 x 8): </w:t>
            </w:r>
            <w:r w:rsidRPr="00913947">
              <w:rPr>
                <w:lang w:eastAsia="en-AU"/>
              </w:rPr>
              <w:t>6</w:t>
            </w:r>
            <w:r w:rsidR="006E1095">
              <w:rPr>
                <w:lang w:eastAsia="en-AU"/>
              </w:rPr>
              <w:t>90</w:t>
            </w:r>
          </w:p>
        </w:tc>
      </w:tr>
      <w:tr w:rsidR="002C28C0" w14:paraId="068BDCB5" w14:textId="6320568E" w:rsidTr="0021657E">
        <w:tc>
          <w:tcPr>
            <w:tcW w:w="1727" w:type="pct"/>
          </w:tcPr>
          <w:p w14:paraId="0F2EC956" w14:textId="0EFD9ECD" w:rsidR="002C28C0" w:rsidRDefault="002C28C0" w:rsidP="007032DB">
            <w:pPr>
              <w:pStyle w:val="TableText"/>
            </w:pPr>
            <w:r w:rsidRPr="00FF2757">
              <w:rPr>
                <w:lang w:eastAsia="en-AU"/>
              </w:rPr>
              <w:t>Prevalence of TTP (per million)</w:t>
            </w:r>
            <w:r w:rsidRPr="00580C20">
              <w:rPr>
                <w:vertAlign w:val="superscript"/>
                <w:lang w:eastAsia="en-AU"/>
              </w:rPr>
              <w:t>b</w:t>
            </w:r>
          </w:p>
        </w:tc>
        <w:tc>
          <w:tcPr>
            <w:tcW w:w="708" w:type="pct"/>
          </w:tcPr>
          <w:p w14:paraId="2D03D194" w14:textId="3AFE04FA" w:rsidR="002C28C0" w:rsidRDefault="002C28C0" w:rsidP="002A6B97">
            <w:pPr>
              <w:pStyle w:val="TableText"/>
              <w:jc w:val="center"/>
            </w:pPr>
            <w:r w:rsidRPr="00FF2757">
              <w:rPr>
                <w:lang w:eastAsia="en-AU"/>
              </w:rPr>
              <w:t>19</w:t>
            </w:r>
          </w:p>
        </w:tc>
        <w:tc>
          <w:tcPr>
            <w:tcW w:w="2565" w:type="pct"/>
          </w:tcPr>
          <w:p w14:paraId="79E88071" w14:textId="77777777" w:rsidR="002C28C0" w:rsidRDefault="002C28C0" w:rsidP="009C7C93">
            <w:pPr>
              <w:pStyle w:val="TableText"/>
              <w:rPr>
                <w:lang w:eastAsia="en-AU"/>
              </w:rPr>
            </w:pPr>
            <w:r>
              <w:rPr>
                <w:lang w:eastAsia="en-AU"/>
              </w:rPr>
              <w:t>Prevalent TTP population: 528</w:t>
            </w:r>
          </w:p>
          <w:p w14:paraId="6AA575FA" w14:textId="7BD9E666" w:rsidR="002C28C0" w:rsidRPr="00FF2757" w:rsidRDefault="002C28C0" w:rsidP="009C7C93">
            <w:pPr>
              <w:pStyle w:val="TableText"/>
              <w:rPr>
                <w:lang w:eastAsia="en-AU"/>
              </w:rPr>
            </w:pPr>
            <w:r>
              <w:rPr>
                <w:lang w:eastAsia="en-AU"/>
              </w:rPr>
              <w:t>Number of tests during stable remission ([prevalent population – incident acute TTP] x 2.67 tests per year): 1,180</w:t>
            </w:r>
          </w:p>
        </w:tc>
      </w:tr>
      <w:tr w:rsidR="002C28C0" w14:paraId="197BDD59" w14:textId="41868DC3" w:rsidTr="0021657E">
        <w:tc>
          <w:tcPr>
            <w:tcW w:w="1727" w:type="pct"/>
          </w:tcPr>
          <w:p w14:paraId="6A351673" w14:textId="5E233C98" w:rsidR="002C28C0" w:rsidRDefault="002C28C0" w:rsidP="007032DB">
            <w:pPr>
              <w:pStyle w:val="TableText"/>
            </w:pPr>
            <w:r w:rsidRPr="00FF2757">
              <w:rPr>
                <w:lang w:eastAsia="en-AU"/>
              </w:rPr>
              <w:t xml:space="preserve">Proportion of TTP that is cTTP </w:t>
            </w:r>
          </w:p>
        </w:tc>
        <w:tc>
          <w:tcPr>
            <w:tcW w:w="708" w:type="pct"/>
          </w:tcPr>
          <w:p w14:paraId="6E74FF87" w14:textId="124FDB39" w:rsidR="002C28C0" w:rsidRDefault="002C28C0" w:rsidP="002A6B97">
            <w:pPr>
              <w:pStyle w:val="TableText"/>
              <w:jc w:val="center"/>
            </w:pPr>
            <w:r w:rsidRPr="00FF2757">
              <w:rPr>
                <w:lang w:eastAsia="en-AU"/>
              </w:rPr>
              <w:t>3%</w:t>
            </w:r>
            <w:r>
              <w:rPr>
                <w:lang w:eastAsia="en-AU"/>
              </w:rPr>
              <w:t xml:space="preserve"> (assume 5% are tested)</w:t>
            </w:r>
          </w:p>
        </w:tc>
        <w:tc>
          <w:tcPr>
            <w:tcW w:w="2565" w:type="pct"/>
          </w:tcPr>
          <w:p w14:paraId="64F151EF" w14:textId="77777777" w:rsidR="002C28C0" w:rsidRDefault="002C28C0" w:rsidP="009C7C93">
            <w:pPr>
              <w:pStyle w:val="TableText"/>
              <w:rPr>
                <w:lang w:eastAsia="en-AU"/>
              </w:rPr>
            </w:pPr>
            <w:r>
              <w:rPr>
                <w:lang w:eastAsia="en-AU"/>
              </w:rPr>
              <w:t>Prevalent cTTP population: 14</w:t>
            </w:r>
          </w:p>
          <w:p w14:paraId="21A4AC09" w14:textId="62E7BB8E" w:rsidR="002C28C0" w:rsidRDefault="002C28C0" w:rsidP="009C7C93">
            <w:pPr>
              <w:pStyle w:val="TableText"/>
              <w:rPr>
                <w:lang w:eastAsia="en-AU"/>
              </w:rPr>
            </w:pPr>
            <w:r>
              <w:rPr>
                <w:lang w:eastAsia="en-AU"/>
              </w:rPr>
              <w:t xml:space="preserve">Number of ADAMTS13 </w:t>
            </w:r>
            <w:r w:rsidR="00F77BD3">
              <w:rPr>
                <w:lang w:eastAsia="en-AU"/>
              </w:rPr>
              <w:t xml:space="preserve">affected individual </w:t>
            </w:r>
            <w:r>
              <w:rPr>
                <w:lang w:eastAsia="en-AU"/>
              </w:rPr>
              <w:t>genetic tests (</w:t>
            </w:r>
            <w:r w:rsidRPr="00913947">
              <w:rPr>
                <w:lang w:eastAsia="en-AU"/>
              </w:rPr>
              <w:t>incident TTP</w:t>
            </w:r>
            <w:r w:rsidR="00AB04A5" w:rsidRPr="00913947">
              <w:rPr>
                <w:lang w:eastAsia="en-AU"/>
              </w:rPr>
              <w:t xml:space="preserve"> [60]</w:t>
            </w:r>
            <w:r w:rsidRPr="00913947">
              <w:rPr>
                <w:lang w:eastAsia="en-AU"/>
              </w:rPr>
              <w:t xml:space="preserve"> x 0.05): 3</w:t>
            </w:r>
          </w:p>
          <w:p w14:paraId="61F94BC1" w14:textId="1DFA0E77" w:rsidR="002C28C0" w:rsidRPr="00FF2757" w:rsidRDefault="002C28C0" w:rsidP="009C7C93">
            <w:pPr>
              <w:pStyle w:val="TableText"/>
              <w:rPr>
                <w:lang w:eastAsia="en-AU"/>
              </w:rPr>
            </w:pPr>
            <w:r>
              <w:rPr>
                <w:lang w:eastAsia="en-AU"/>
              </w:rPr>
              <w:t>Number of ADAMTS13 sibling genetic tests (</w:t>
            </w:r>
            <w:r w:rsidRPr="00913947">
              <w:rPr>
                <w:lang w:eastAsia="en-AU"/>
              </w:rPr>
              <w:t>3</w:t>
            </w:r>
            <w:r>
              <w:rPr>
                <w:lang w:eastAsia="en-AU"/>
              </w:rPr>
              <w:t xml:space="preserve"> x 0.8): 2 </w:t>
            </w:r>
          </w:p>
        </w:tc>
      </w:tr>
      <w:tr w:rsidR="002C28C0" w14:paraId="6AE04B47" w14:textId="77777777" w:rsidTr="002A6B97">
        <w:tc>
          <w:tcPr>
            <w:tcW w:w="0" w:type="pct"/>
            <w:tcBorders>
              <w:bottom w:val="single" w:sz="4" w:space="0" w:color="auto"/>
            </w:tcBorders>
          </w:tcPr>
          <w:p w14:paraId="38440F94" w14:textId="527663F0" w:rsidR="002C28C0" w:rsidRPr="00FF2757" w:rsidRDefault="002C28C0" w:rsidP="009C7C93">
            <w:pPr>
              <w:pStyle w:val="TableText"/>
              <w:rPr>
                <w:lang w:eastAsia="en-AU"/>
              </w:rPr>
            </w:pPr>
            <w:r>
              <w:rPr>
                <w:lang w:eastAsia="en-AU"/>
              </w:rPr>
              <w:t>-</w:t>
            </w:r>
          </w:p>
        </w:tc>
        <w:tc>
          <w:tcPr>
            <w:tcW w:w="0" w:type="pct"/>
            <w:tcBorders>
              <w:bottom w:val="single" w:sz="4" w:space="0" w:color="auto"/>
            </w:tcBorders>
          </w:tcPr>
          <w:p w14:paraId="261664E1" w14:textId="3F29D030" w:rsidR="002C28C0" w:rsidRPr="00FF2757" w:rsidRDefault="002C28C0" w:rsidP="002A6B97">
            <w:pPr>
              <w:pStyle w:val="TableText"/>
              <w:jc w:val="center"/>
              <w:rPr>
                <w:lang w:eastAsia="en-AU"/>
              </w:rPr>
            </w:pPr>
            <w:r>
              <w:rPr>
                <w:lang w:eastAsia="en-AU"/>
              </w:rPr>
              <w:t>-</w:t>
            </w:r>
          </w:p>
        </w:tc>
        <w:tc>
          <w:tcPr>
            <w:tcW w:w="0" w:type="pct"/>
            <w:tcBorders>
              <w:bottom w:val="single" w:sz="4" w:space="0" w:color="auto"/>
            </w:tcBorders>
          </w:tcPr>
          <w:p w14:paraId="4428C37C" w14:textId="063991B3" w:rsidR="002C28C0" w:rsidRDefault="002C28C0" w:rsidP="009C7C93">
            <w:pPr>
              <w:pStyle w:val="TableText"/>
              <w:rPr>
                <w:lang w:eastAsia="en-AU"/>
              </w:rPr>
            </w:pPr>
            <w:r>
              <w:rPr>
                <w:lang w:eastAsia="en-AU"/>
              </w:rPr>
              <w:t xml:space="preserve">Total number of ADAMTS13 activity tests </w:t>
            </w:r>
            <w:r w:rsidRPr="00623E39">
              <w:rPr>
                <w:lang w:eastAsia="en-AU"/>
              </w:rPr>
              <w:t xml:space="preserve">(334 + </w:t>
            </w:r>
            <w:r w:rsidRPr="00913947">
              <w:rPr>
                <w:lang w:eastAsia="en-AU"/>
              </w:rPr>
              <w:t>690 + 1,</w:t>
            </w:r>
            <w:r w:rsidR="008A0ED8">
              <w:rPr>
                <w:lang w:eastAsia="en-AU"/>
              </w:rPr>
              <w:t>180</w:t>
            </w:r>
            <w:r w:rsidRPr="00913947">
              <w:rPr>
                <w:lang w:eastAsia="en-AU"/>
              </w:rPr>
              <w:t>): 2,204</w:t>
            </w:r>
          </w:p>
        </w:tc>
      </w:tr>
      <w:tr w:rsidR="0073127A" w14:paraId="07534697" w14:textId="77777777" w:rsidTr="002A6B97">
        <w:tc>
          <w:tcPr>
            <w:tcW w:w="0" w:type="pct"/>
            <w:tcBorders>
              <w:right w:val="nil"/>
            </w:tcBorders>
          </w:tcPr>
          <w:p w14:paraId="6F79CBA7" w14:textId="3E6B53FC" w:rsidR="0073127A" w:rsidRDefault="0073127A" w:rsidP="009C7C93">
            <w:pPr>
              <w:pStyle w:val="TableText"/>
              <w:rPr>
                <w:lang w:eastAsia="en-AU"/>
              </w:rPr>
            </w:pPr>
            <w:r w:rsidRPr="00D13E4F">
              <w:rPr>
                <w:b/>
                <w:bCs/>
              </w:rPr>
              <w:t>Market-share approach</w:t>
            </w:r>
            <w:r w:rsidRPr="00D13E4F">
              <w:rPr>
                <w:b/>
                <w:bCs/>
                <w:vertAlign w:val="superscript"/>
              </w:rPr>
              <w:t>c</w:t>
            </w:r>
          </w:p>
        </w:tc>
        <w:tc>
          <w:tcPr>
            <w:tcW w:w="0" w:type="pct"/>
            <w:tcBorders>
              <w:left w:val="nil"/>
              <w:right w:val="nil"/>
            </w:tcBorders>
          </w:tcPr>
          <w:p w14:paraId="2E86C978" w14:textId="77777777" w:rsidR="0073127A" w:rsidRDefault="0073127A" w:rsidP="002A6B97">
            <w:pPr>
              <w:pStyle w:val="TableText"/>
              <w:jc w:val="center"/>
              <w:rPr>
                <w:lang w:eastAsia="en-AU"/>
              </w:rPr>
            </w:pPr>
          </w:p>
        </w:tc>
        <w:tc>
          <w:tcPr>
            <w:tcW w:w="0" w:type="pct"/>
            <w:tcBorders>
              <w:left w:val="nil"/>
            </w:tcBorders>
          </w:tcPr>
          <w:p w14:paraId="03EBC78E" w14:textId="77777777" w:rsidR="0073127A" w:rsidRDefault="0073127A" w:rsidP="009C7C93">
            <w:pPr>
              <w:pStyle w:val="TableText"/>
              <w:rPr>
                <w:lang w:eastAsia="en-AU"/>
              </w:rPr>
            </w:pPr>
          </w:p>
        </w:tc>
      </w:tr>
      <w:tr w:rsidR="002C28C0" w14:paraId="56BF59ED" w14:textId="77777777" w:rsidTr="0021657E">
        <w:tc>
          <w:tcPr>
            <w:tcW w:w="1727" w:type="pct"/>
          </w:tcPr>
          <w:p w14:paraId="13588C37" w14:textId="0C08B581" w:rsidR="002C28C0" w:rsidRPr="00FF2757" w:rsidRDefault="002C28C0" w:rsidP="009C7C93">
            <w:pPr>
              <w:pStyle w:val="TableText"/>
              <w:rPr>
                <w:lang w:eastAsia="en-AU"/>
              </w:rPr>
            </w:pPr>
            <w:r>
              <w:rPr>
                <w:lang w:eastAsia="en-AU"/>
              </w:rPr>
              <w:t>ADAMTS13 activity tests per million</w:t>
            </w:r>
          </w:p>
        </w:tc>
        <w:tc>
          <w:tcPr>
            <w:tcW w:w="708" w:type="pct"/>
          </w:tcPr>
          <w:p w14:paraId="118CF13D" w14:textId="4D1380DD" w:rsidR="002C28C0" w:rsidRPr="00FF2757" w:rsidRDefault="002C28C0" w:rsidP="002A6B97">
            <w:pPr>
              <w:pStyle w:val="TableText"/>
              <w:jc w:val="center"/>
              <w:rPr>
                <w:lang w:eastAsia="en-AU"/>
              </w:rPr>
            </w:pPr>
            <w:r>
              <w:rPr>
                <w:lang w:eastAsia="en-AU"/>
              </w:rPr>
              <w:t>97.1</w:t>
            </w:r>
          </w:p>
        </w:tc>
        <w:tc>
          <w:tcPr>
            <w:tcW w:w="2565" w:type="pct"/>
          </w:tcPr>
          <w:p w14:paraId="670F7318" w14:textId="7C6801F7" w:rsidR="002C28C0" w:rsidRDefault="002C28C0" w:rsidP="009C7C93">
            <w:pPr>
              <w:pStyle w:val="TableText"/>
              <w:rPr>
                <w:lang w:eastAsia="en-AU"/>
              </w:rPr>
            </w:pPr>
            <w:r>
              <w:rPr>
                <w:lang w:eastAsia="en-AU"/>
              </w:rPr>
              <w:t>Number of tests: 2,699</w:t>
            </w:r>
          </w:p>
        </w:tc>
      </w:tr>
      <w:tr w:rsidR="002C28C0" w14:paraId="349A1F71" w14:textId="77777777" w:rsidTr="0021657E">
        <w:tc>
          <w:tcPr>
            <w:tcW w:w="1727" w:type="pct"/>
          </w:tcPr>
          <w:p w14:paraId="337296C4" w14:textId="61C63F36" w:rsidR="002C28C0" w:rsidRDefault="00B66FB3" w:rsidP="009C7C93">
            <w:pPr>
              <w:pStyle w:val="TableText"/>
              <w:rPr>
                <w:lang w:eastAsia="en-AU"/>
              </w:rPr>
            </w:pPr>
            <w:r>
              <w:rPr>
                <w:lang w:eastAsia="en-AU"/>
              </w:rPr>
              <w:t>A</w:t>
            </w:r>
            <w:r w:rsidR="002C28C0">
              <w:rPr>
                <w:lang w:eastAsia="en-AU"/>
              </w:rPr>
              <w:t>nti-ADAMTS13 activity tests per million</w:t>
            </w:r>
          </w:p>
        </w:tc>
        <w:tc>
          <w:tcPr>
            <w:tcW w:w="708" w:type="pct"/>
          </w:tcPr>
          <w:p w14:paraId="219D2031" w14:textId="25BB5B59" w:rsidR="002C28C0" w:rsidRPr="00FF2757" w:rsidRDefault="002C28C0" w:rsidP="002A6B97">
            <w:pPr>
              <w:pStyle w:val="TableText"/>
              <w:jc w:val="center"/>
              <w:rPr>
                <w:lang w:eastAsia="en-AU"/>
              </w:rPr>
            </w:pPr>
            <w:r>
              <w:rPr>
                <w:lang w:eastAsia="en-AU"/>
              </w:rPr>
              <w:t>69</w:t>
            </w:r>
          </w:p>
        </w:tc>
        <w:tc>
          <w:tcPr>
            <w:tcW w:w="2565" w:type="pct"/>
          </w:tcPr>
          <w:p w14:paraId="23E8CA00" w14:textId="0E4DACD6" w:rsidR="002C28C0" w:rsidRDefault="002C28C0" w:rsidP="009C7C93">
            <w:pPr>
              <w:pStyle w:val="TableText"/>
              <w:rPr>
                <w:lang w:eastAsia="en-AU"/>
              </w:rPr>
            </w:pPr>
            <w:r>
              <w:rPr>
                <w:lang w:eastAsia="en-AU"/>
              </w:rPr>
              <w:t>Number of tests: 166</w:t>
            </w:r>
          </w:p>
        </w:tc>
      </w:tr>
      <w:tr w:rsidR="002C28C0" w14:paraId="649FF974" w14:textId="77777777" w:rsidTr="0021657E">
        <w:tc>
          <w:tcPr>
            <w:tcW w:w="1727" w:type="pct"/>
          </w:tcPr>
          <w:p w14:paraId="6567D2AF" w14:textId="4D8E6F58" w:rsidR="002C28C0" w:rsidRDefault="002C28C0" w:rsidP="009C7C93">
            <w:pPr>
              <w:pStyle w:val="TableText"/>
              <w:rPr>
                <w:lang w:eastAsia="en-AU"/>
              </w:rPr>
            </w:pPr>
            <w:r>
              <w:rPr>
                <w:lang w:eastAsia="en-AU"/>
              </w:rPr>
              <w:t>ADAMTS13 genomic tests per million</w:t>
            </w:r>
          </w:p>
        </w:tc>
        <w:tc>
          <w:tcPr>
            <w:tcW w:w="708" w:type="pct"/>
          </w:tcPr>
          <w:p w14:paraId="3A0D01E5" w14:textId="605D2118" w:rsidR="002C28C0" w:rsidRPr="00FF2757" w:rsidRDefault="002C28C0" w:rsidP="002A6B97">
            <w:pPr>
              <w:pStyle w:val="TableText"/>
              <w:jc w:val="center"/>
              <w:rPr>
                <w:lang w:eastAsia="en-AU"/>
              </w:rPr>
            </w:pPr>
            <w:r>
              <w:rPr>
                <w:lang w:eastAsia="en-AU"/>
              </w:rPr>
              <w:t>6.0</w:t>
            </w:r>
          </w:p>
        </w:tc>
        <w:tc>
          <w:tcPr>
            <w:tcW w:w="2565" w:type="pct"/>
          </w:tcPr>
          <w:p w14:paraId="200E6E08" w14:textId="3FC0D7D9" w:rsidR="002C28C0" w:rsidRDefault="002C28C0" w:rsidP="009C7C93">
            <w:pPr>
              <w:pStyle w:val="TableText"/>
              <w:rPr>
                <w:lang w:eastAsia="en-AU"/>
              </w:rPr>
            </w:pPr>
            <w:r>
              <w:rPr>
                <w:lang w:eastAsia="en-AU"/>
              </w:rPr>
              <w:t>Number of tests: 18</w:t>
            </w:r>
          </w:p>
        </w:tc>
      </w:tr>
    </w:tbl>
    <w:p w14:paraId="7B6DA583" w14:textId="77777777" w:rsidR="000D6402" w:rsidRPr="00FF2757" w:rsidRDefault="000D6402" w:rsidP="000D6402">
      <w:pPr>
        <w:pStyle w:val="101Tablefootnotes"/>
      </w:pPr>
      <w:r w:rsidRPr="006A3604">
        <w:t>ABS = Australian Bureau of Statistics;</w:t>
      </w:r>
      <w:r>
        <w:t xml:space="preserve"> </w:t>
      </w:r>
      <w:r w:rsidRPr="006A3604">
        <w:t>cTTP = congenital TTP;</w:t>
      </w:r>
      <w:r>
        <w:t xml:space="preserve"> </w:t>
      </w:r>
      <w:r w:rsidRPr="006A3604">
        <w:t>TMA = thrombotic microangiopathy;</w:t>
      </w:r>
      <w:r>
        <w:t xml:space="preserve"> </w:t>
      </w:r>
      <w:r w:rsidRPr="006A3604">
        <w:t>TTP = thrombotic thrombocytopenic purpura</w:t>
      </w:r>
      <w:r>
        <w:t>.</w:t>
      </w:r>
    </w:p>
    <w:p w14:paraId="355A25EC" w14:textId="66745F68" w:rsidR="000062F2" w:rsidRDefault="00866EBB" w:rsidP="007032DB">
      <w:pPr>
        <w:pStyle w:val="TableFigureFooter"/>
        <w:spacing w:before="0" w:after="0"/>
      </w:pPr>
      <w:r>
        <w:t>a. Consecutive ADAMTS13 activity tests at centralised laboratory servicing all of Québec, Canada. (Merlen, 2022)</w:t>
      </w:r>
      <w:r w:rsidR="002B015E">
        <w:t>.</w:t>
      </w:r>
    </w:p>
    <w:p w14:paraId="0E8A4F3C" w14:textId="4C1D7320" w:rsidR="00866EBB" w:rsidRDefault="00866EBB" w:rsidP="007032DB">
      <w:pPr>
        <w:pStyle w:val="TableFigureFooter"/>
        <w:spacing w:before="0" w:after="0"/>
      </w:pPr>
      <w:r>
        <w:t>b. Oklahoma TTP-HUS Registry. Consecutive patients identified by request to the Oklahoma Blood Institute for PEX for TTP or HUS (</w:t>
      </w:r>
      <w:r w:rsidRPr="00FF2757">
        <w:t>Page, 2017</w:t>
      </w:r>
      <w:r>
        <w:t xml:space="preserve"> &amp; </w:t>
      </w:r>
      <w:r w:rsidRPr="00FF2757">
        <w:t>Reese, 2013</w:t>
      </w:r>
      <w:r>
        <w:t>)</w:t>
      </w:r>
      <w:r w:rsidR="002B015E">
        <w:t>.</w:t>
      </w:r>
    </w:p>
    <w:p w14:paraId="05A4DDCD" w14:textId="7969C34D" w:rsidR="00261746" w:rsidRDefault="00261746" w:rsidP="007032DB">
      <w:pPr>
        <w:pStyle w:val="TableFigureFooter"/>
        <w:spacing w:before="0" w:after="0"/>
      </w:pPr>
      <w:r>
        <w:t xml:space="preserve">c. </w:t>
      </w:r>
      <w:r w:rsidR="00E96256">
        <w:t>Test numbers from NSW Health (NSW), PathWest (WA) and Pathology Queensland for a recent financial or calendar year (not specified)</w:t>
      </w:r>
      <w:r w:rsidR="00F2440C">
        <w:t xml:space="preserve"> and extrapolated to </w:t>
      </w:r>
      <w:r w:rsidR="00F35BE8">
        <w:t>a rate per million and</w:t>
      </w:r>
      <w:r w:rsidR="00453F64">
        <w:t xml:space="preserve"> total number per year.</w:t>
      </w:r>
    </w:p>
    <w:p w14:paraId="12FADA22" w14:textId="0400192B" w:rsidR="00F128C7" w:rsidRDefault="00F128C7" w:rsidP="007032DB">
      <w:pPr>
        <w:pStyle w:val="111Tablefootnoteslast-nostick"/>
      </w:pPr>
      <w:r>
        <w:t>Number of tests has been rounded to whole numbers.</w:t>
      </w:r>
    </w:p>
    <w:p w14:paraId="2F48FA5A" w14:textId="20E431BD" w:rsidR="000644CA" w:rsidRDefault="005D23F2" w:rsidP="00867B21">
      <w:pPr>
        <w:pStyle w:val="BodyText"/>
      </w:pPr>
      <w:r>
        <w:t>Using epidemiological estimates, t</w:t>
      </w:r>
      <w:r w:rsidR="00F039ED">
        <w:t xml:space="preserve">he estimated incidence of TMA in Australia </w:t>
      </w:r>
      <w:r w:rsidR="008811D7">
        <w:t>is 334</w:t>
      </w:r>
      <w:r w:rsidR="00E5673B">
        <w:t xml:space="preserve"> per year, of which</w:t>
      </w:r>
      <w:r w:rsidR="008811D7">
        <w:t xml:space="preserve"> the </w:t>
      </w:r>
      <w:r w:rsidR="00E5673B">
        <w:t>number of acute</w:t>
      </w:r>
      <w:r w:rsidR="008811D7">
        <w:t xml:space="preserve"> TTP</w:t>
      </w:r>
      <w:r w:rsidR="00E5673B">
        <w:t xml:space="preserve"> episodes</w:t>
      </w:r>
      <w:r w:rsidR="008811D7">
        <w:t xml:space="preserve"> is </w:t>
      </w:r>
      <w:r w:rsidR="003974B7">
        <w:t xml:space="preserve">86 (60 of whom are first </w:t>
      </w:r>
      <w:r w:rsidR="00E5673B">
        <w:t>episode cases)</w:t>
      </w:r>
      <w:r w:rsidR="00247357">
        <w:t>. The prevalent TTP population is estimated at 528</w:t>
      </w:r>
      <w:r w:rsidR="003B0553">
        <w:t>,</w:t>
      </w:r>
      <w:r w:rsidR="00247357">
        <w:t xml:space="preserve"> and of these 14 are estimated to have cTTP.</w:t>
      </w:r>
      <w:r w:rsidR="000644CA">
        <w:t xml:space="preserve"> </w:t>
      </w:r>
    </w:p>
    <w:p w14:paraId="1DB0B887" w14:textId="7F67CD82" w:rsidR="007E29B0" w:rsidRDefault="007E29B0" w:rsidP="007E29B0">
      <w:pPr>
        <w:pStyle w:val="ExecSumHeading3"/>
      </w:pPr>
      <w:bookmarkStart w:id="61" w:name="_Toc216879535"/>
      <w:r>
        <w:t>PICO Set 1 &amp; 2: ADAMTS13 testing for diagnosis</w:t>
      </w:r>
      <w:bookmarkEnd w:id="61"/>
    </w:p>
    <w:p w14:paraId="0A29C046" w14:textId="65B21255" w:rsidR="00CC28BC" w:rsidRDefault="0064355F" w:rsidP="00CC28BC">
      <w:pPr>
        <w:pStyle w:val="BodyText"/>
      </w:pPr>
      <w:r>
        <w:t xml:space="preserve">The financial implications to the MBS resulting from the proposed listing of ADAMTS13 testing on the MBS </w:t>
      </w:r>
      <w:r w:rsidR="00E55635">
        <w:t xml:space="preserve">for diagnosis </w:t>
      </w:r>
      <w:r>
        <w:t xml:space="preserve">are summarised in </w:t>
      </w:r>
      <w:r>
        <w:fldChar w:fldCharType="begin"/>
      </w:r>
      <w:r>
        <w:instrText xml:space="preserve"> REF _Ref213099503 \h </w:instrText>
      </w:r>
      <w:r>
        <w:fldChar w:fldCharType="separate"/>
      </w:r>
      <w:r w:rsidR="00716875">
        <w:t xml:space="preserve">Table </w:t>
      </w:r>
      <w:r w:rsidR="00716875">
        <w:rPr>
          <w:noProof/>
        </w:rPr>
        <w:t>26</w:t>
      </w:r>
      <w:r>
        <w:fldChar w:fldCharType="end"/>
      </w:r>
      <w:r>
        <w:t>.</w:t>
      </w:r>
      <w:r w:rsidR="00146A49">
        <w:t xml:space="preserve"> No annual growth rate was applied beyond population growth, as it was assumed that current uptake is effectively 100% given the acute and life-threatening nature of the condition. The diagnostic cost to the MBS is relatively modest, </w:t>
      </w:r>
      <w:r w:rsidR="00146A49">
        <w:lastRenderedPageBreak/>
        <w:t>estimated at approximately $250,000 per year, with most of this cost attributed to ADAMTS13 activity testing in patients who will ultimately be excluded from a TTP diagnosis.</w:t>
      </w:r>
    </w:p>
    <w:p w14:paraId="7AAD7EE0" w14:textId="6CE959D3" w:rsidR="00464618" w:rsidRPr="00CC28BC" w:rsidRDefault="00464618" w:rsidP="00CC28BC">
      <w:pPr>
        <w:pStyle w:val="BodyText"/>
      </w:pPr>
      <w:r>
        <w:t>ADAMTS13 testing is already undertaken in Australia as demonstrated by the pathology data provided in the application. Therefore, changes to other health technologies, particularly in the diagnosis of TTP, are not anticipated in practice.</w:t>
      </w:r>
    </w:p>
    <w:p w14:paraId="5AD8CC51" w14:textId="1A14708A" w:rsidR="00CC28BC" w:rsidRDefault="00CC28BC" w:rsidP="00CC28BC">
      <w:pPr>
        <w:pStyle w:val="Caption"/>
      </w:pPr>
      <w:bookmarkStart w:id="62" w:name="_Ref213099503"/>
      <w:r>
        <w:t xml:space="preserve">Table </w:t>
      </w:r>
      <w:r>
        <w:fldChar w:fldCharType="begin"/>
      </w:r>
      <w:r>
        <w:instrText>SEQ Table \* ARABIC</w:instrText>
      </w:r>
      <w:r>
        <w:fldChar w:fldCharType="separate"/>
      </w:r>
      <w:r w:rsidR="00716875">
        <w:rPr>
          <w:noProof/>
        </w:rPr>
        <w:t>26</w:t>
      </w:r>
      <w:r>
        <w:fldChar w:fldCharType="end"/>
      </w:r>
      <w:bookmarkEnd w:id="62"/>
      <w:r>
        <w:tab/>
        <w:t xml:space="preserve">Net financial </w:t>
      </w:r>
      <w:r w:rsidR="00B10685">
        <w:t>implications of PICO Set 1 and 2 ADAMTS13 testing for diagnosis</w:t>
      </w:r>
    </w:p>
    <w:tbl>
      <w:tblPr>
        <w:tblStyle w:val="TableGrid3"/>
        <w:tblW w:w="5000" w:type="pct"/>
        <w:tblInd w:w="0" w:type="dxa"/>
        <w:tblLayout w:type="fixed"/>
        <w:tblLook w:val="04A0" w:firstRow="1" w:lastRow="0" w:firstColumn="1" w:lastColumn="0" w:noHBand="0" w:noVBand="1"/>
        <w:tblCaption w:val="Net financial implications of PICO Set 1 and 2 ADAMTS13 testing for diagnosis"/>
        <w:tblDescription w:val="Total cost to the MBS of PICO 1 – diagnostic testing services are greater than Total cost to the MBS of PICO 2 – cascade genetic testing services by 3 orders of magnitude.&#10;"/>
      </w:tblPr>
      <w:tblGrid>
        <w:gridCol w:w="2806"/>
        <w:gridCol w:w="1037"/>
        <w:gridCol w:w="1035"/>
        <w:gridCol w:w="1035"/>
        <w:gridCol w:w="1035"/>
        <w:gridCol w:w="1035"/>
        <w:gridCol w:w="1033"/>
      </w:tblGrid>
      <w:tr w:rsidR="00CB3C3D" w:rsidRPr="00E65B62" w14:paraId="595864DA" w14:textId="77777777" w:rsidTr="008D1D0E">
        <w:trPr>
          <w:cnfStyle w:val="100000000000" w:firstRow="1" w:lastRow="0" w:firstColumn="0" w:lastColumn="0" w:oddVBand="0" w:evenVBand="0" w:oddHBand="0" w:evenHBand="0" w:firstRowFirstColumn="0" w:firstRowLastColumn="0" w:lastRowFirstColumn="0" w:lastRowLastColumn="0"/>
          <w:trHeight w:val="290"/>
        </w:trPr>
        <w:tc>
          <w:tcPr>
            <w:tcW w:w="1556" w:type="pct"/>
            <w:tcBorders>
              <w:bottom w:val="single" w:sz="4" w:space="0" w:color="auto"/>
            </w:tcBorders>
            <w:hideMark/>
          </w:tcPr>
          <w:p w14:paraId="7A607F3A" w14:textId="77777777" w:rsidR="00CB3C3D" w:rsidRPr="00E65B62" w:rsidRDefault="00CB3C3D">
            <w:pPr>
              <w:pStyle w:val="011TableHeading"/>
              <w:rPr>
                <w:rFonts w:eastAsiaTheme="minorHAnsi"/>
              </w:rPr>
            </w:pPr>
            <w:r w:rsidRPr="00E65B62">
              <w:rPr>
                <w:rFonts w:eastAsiaTheme="minorHAnsi"/>
              </w:rPr>
              <w:t xml:space="preserve">Parameter </w:t>
            </w:r>
          </w:p>
        </w:tc>
        <w:tc>
          <w:tcPr>
            <w:tcW w:w="575" w:type="pct"/>
            <w:tcBorders>
              <w:bottom w:val="single" w:sz="4" w:space="0" w:color="auto"/>
            </w:tcBorders>
            <w:noWrap/>
          </w:tcPr>
          <w:p w14:paraId="62FDCF8D" w14:textId="77777777" w:rsidR="00CB3C3D" w:rsidRPr="00E65B62" w:rsidRDefault="00CB3C3D" w:rsidP="00956DF3">
            <w:pPr>
              <w:pStyle w:val="011TableHeading"/>
              <w:jc w:val="right"/>
              <w:rPr>
                <w:rFonts w:eastAsiaTheme="minorHAnsi"/>
              </w:rPr>
            </w:pPr>
            <w:r w:rsidRPr="00E65B62">
              <w:rPr>
                <w:rFonts w:eastAsiaTheme="minorHAnsi"/>
              </w:rPr>
              <w:t>FY 2026-27</w:t>
            </w:r>
          </w:p>
        </w:tc>
        <w:tc>
          <w:tcPr>
            <w:tcW w:w="574" w:type="pct"/>
            <w:tcBorders>
              <w:bottom w:val="single" w:sz="4" w:space="0" w:color="auto"/>
            </w:tcBorders>
            <w:noWrap/>
            <w:hideMark/>
          </w:tcPr>
          <w:p w14:paraId="3E103B40" w14:textId="77777777" w:rsidR="00CB3C3D" w:rsidRPr="00E65B62" w:rsidRDefault="00CB3C3D" w:rsidP="00956DF3">
            <w:pPr>
              <w:pStyle w:val="011TableHeading"/>
              <w:jc w:val="right"/>
              <w:rPr>
                <w:rFonts w:eastAsiaTheme="minorHAnsi"/>
              </w:rPr>
            </w:pPr>
            <w:r w:rsidRPr="00E65B62">
              <w:rPr>
                <w:rFonts w:eastAsiaTheme="minorHAnsi"/>
              </w:rPr>
              <w:t>FY 2027-28</w:t>
            </w:r>
          </w:p>
        </w:tc>
        <w:tc>
          <w:tcPr>
            <w:tcW w:w="574" w:type="pct"/>
            <w:tcBorders>
              <w:bottom w:val="single" w:sz="4" w:space="0" w:color="auto"/>
            </w:tcBorders>
            <w:noWrap/>
            <w:hideMark/>
          </w:tcPr>
          <w:p w14:paraId="0FBDD6BA" w14:textId="77777777" w:rsidR="00CB3C3D" w:rsidRPr="00E65B62" w:rsidRDefault="00CB3C3D" w:rsidP="00956DF3">
            <w:pPr>
              <w:pStyle w:val="011TableHeading"/>
              <w:jc w:val="right"/>
              <w:rPr>
                <w:rFonts w:eastAsiaTheme="minorHAnsi"/>
              </w:rPr>
            </w:pPr>
            <w:r w:rsidRPr="00E65B62">
              <w:rPr>
                <w:rFonts w:eastAsiaTheme="minorHAnsi"/>
              </w:rPr>
              <w:t>FY 2028-29</w:t>
            </w:r>
          </w:p>
        </w:tc>
        <w:tc>
          <w:tcPr>
            <w:tcW w:w="574" w:type="pct"/>
            <w:tcBorders>
              <w:bottom w:val="single" w:sz="4" w:space="0" w:color="auto"/>
            </w:tcBorders>
            <w:noWrap/>
            <w:hideMark/>
          </w:tcPr>
          <w:p w14:paraId="00E35432" w14:textId="77777777" w:rsidR="00CB3C3D" w:rsidRPr="00E65B62" w:rsidRDefault="00CB3C3D" w:rsidP="00956DF3">
            <w:pPr>
              <w:pStyle w:val="011TableHeading"/>
              <w:jc w:val="right"/>
              <w:rPr>
                <w:rFonts w:eastAsiaTheme="minorHAnsi"/>
              </w:rPr>
            </w:pPr>
            <w:r w:rsidRPr="00E65B62">
              <w:rPr>
                <w:rFonts w:eastAsiaTheme="minorHAnsi"/>
              </w:rPr>
              <w:t>FY 2030-31</w:t>
            </w:r>
          </w:p>
        </w:tc>
        <w:tc>
          <w:tcPr>
            <w:tcW w:w="574" w:type="pct"/>
            <w:tcBorders>
              <w:bottom w:val="single" w:sz="4" w:space="0" w:color="auto"/>
            </w:tcBorders>
            <w:noWrap/>
            <w:hideMark/>
          </w:tcPr>
          <w:p w14:paraId="2C21C59A" w14:textId="77777777" w:rsidR="00CB3C3D" w:rsidRPr="00E65B62" w:rsidRDefault="00CB3C3D" w:rsidP="00956DF3">
            <w:pPr>
              <w:pStyle w:val="011TableHeading"/>
              <w:jc w:val="right"/>
              <w:rPr>
                <w:rFonts w:eastAsiaTheme="minorHAnsi"/>
              </w:rPr>
            </w:pPr>
            <w:r w:rsidRPr="00E65B62">
              <w:rPr>
                <w:rFonts w:eastAsiaTheme="minorHAnsi"/>
              </w:rPr>
              <w:t>FY 2031-32</w:t>
            </w:r>
          </w:p>
        </w:tc>
        <w:tc>
          <w:tcPr>
            <w:tcW w:w="573" w:type="pct"/>
            <w:tcBorders>
              <w:bottom w:val="single" w:sz="4" w:space="0" w:color="auto"/>
            </w:tcBorders>
            <w:noWrap/>
            <w:hideMark/>
          </w:tcPr>
          <w:p w14:paraId="26A66AB5" w14:textId="77777777" w:rsidR="00CB3C3D" w:rsidRPr="00E65B62" w:rsidRDefault="00CB3C3D" w:rsidP="00956DF3">
            <w:pPr>
              <w:pStyle w:val="011TableHeading"/>
              <w:jc w:val="right"/>
              <w:rPr>
                <w:rFonts w:eastAsiaTheme="minorHAnsi"/>
              </w:rPr>
            </w:pPr>
            <w:r w:rsidRPr="00E65B62">
              <w:rPr>
                <w:rFonts w:eastAsiaTheme="minorHAnsi"/>
              </w:rPr>
              <w:t>FY 203</w:t>
            </w:r>
            <w:r>
              <w:rPr>
                <w:rFonts w:eastAsiaTheme="minorHAnsi"/>
              </w:rPr>
              <w:t>2</w:t>
            </w:r>
            <w:r w:rsidRPr="00E65B62">
              <w:rPr>
                <w:rFonts w:eastAsiaTheme="minorHAnsi"/>
              </w:rPr>
              <w:t>-3</w:t>
            </w:r>
            <w:r>
              <w:rPr>
                <w:rFonts w:eastAsiaTheme="minorHAnsi"/>
              </w:rPr>
              <w:t>3</w:t>
            </w:r>
          </w:p>
        </w:tc>
      </w:tr>
      <w:tr w:rsidR="00CB3C3D" w:rsidRPr="00E65B62" w14:paraId="0238AF75" w14:textId="77777777" w:rsidTr="008D1D0E">
        <w:trPr>
          <w:trHeight w:val="290"/>
        </w:trPr>
        <w:tc>
          <w:tcPr>
            <w:tcW w:w="1556" w:type="pct"/>
            <w:tcBorders>
              <w:right w:val="nil"/>
            </w:tcBorders>
            <w:hideMark/>
          </w:tcPr>
          <w:p w14:paraId="2F21DF24" w14:textId="77777777" w:rsidR="00CB3C3D" w:rsidRPr="00E65B62" w:rsidRDefault="00CB3C3D">
            <w:pPr>
              <w:pStyle w:val="031Tablesubheading"/>
              <w:rPr>
                <w:rFonts w:eastAsiaTheme="minorHAnsi"/>
              </w:rPr>
            </w:pPr>
            <w:r w:rsidRPr="00E65B62">
              <w:rPr>
                <w:rFonts w:eastAsiaTheme="minorHAnsi"/>
              </w:rPr>
              <w:t>Estimated use and cost of the proposed health technology</w:t>
            </w:r>
          </w:p>
        </w:tc>
        <w:tc>
          <w:tcPr>
            <w:tcW w:w="575" w:type="pct"/>
            <w:tcBorders>
              <w:left w:val="nil"/>
              <w:right w:val="nil"/>
            </w:tcBorders>
            <w:noWrap/>
          </w:tcPr>
          <w:p w14:paraId="417A4570" w14:textId="77777777" w:rsidR="00CB3C3D" w:rsidRPr="00E65B62" w:rsidRDefault="00CB3C3D">
            <w:pPr>
              <w:pStyle w:val="031Tablesubheading"/>
              <w:rPr>
                <w:rFonts w:eastAsiaTheme="minorHAnsi"/>
              </w:rPr>
            </w:pPr>
            <w:r w:rsidRPr="00E65B62">
              <w:rPr>
                <w:rFonts w:eastAsiaTheme="minorHAnsi"/>
              </w:rPr>
              <w:t> </w:t>
            </w:r>
          </w:p>
        </w:tc>
        <w:tc>
          <w:tcPr>
            <w:tcW w:w="574" w:type="pct"/>
            <w:tcBorders>
              <w:left w:val="nil"/>
              <w:right w:val="nil"/>
            </w:tcBorders>
            <w:noWrap/>
            <w:hideMark/>
          </w:tcPr>
          <w:p w14:paraId="0AC6BFF8" w14:textId="77777777" w:rsidR="00CB3C3D" w:rsidRPr="00E65B62" w:rsidRDefault="00CB3C3D">
            <w:pPr>
              <w:pStyle w:val="031Tablesubheading"/>
              <w:rPr>
                <w:rFonts w:eastAsiaTheme="minorHAnsi"/>
              </w:rPr>
            </w:pPr>
            <w:r w:rsidRPr="00E65B62">
              <w:rPr>
                <w:rFonts w:eastAsiaTheme="minorHAnsi"/>
              </w:rPr>
              <w:t> </w:t>
            </w:r>
          </w:p>
        </w:tc>
        <w:tc>
          <w:tcPr>
            <w:tcW w:w="574" w:type="pct"/>
            <w:tcBorders>
              <w:left w:val="nil"/>
              <w:right w:val="nil"/>
            </w:tcBorders>
            <w:noWrap/>
            <w:hideMark/>
          </w:tcPr>
          <w:p w14:paraId="05BF3E40" w14:textId="77777777" w:rsidR="00CB3C3D" w:rsidRPr="00E65B62" w:rsidRDefault="00CB3C3D">
            <w:pPr>
              <w:pStyle w:val="031Tablesubheading"/>
              <w:rPr>
                <w:rFonts w:eastAsiaTheme="minorHAnsi"/>
              </w:rPr>
            </w:pPr>
            <w:r w:rsidRPr="00E65B62">
              <w:rPr>
                <w:rFonts w:eastAsiaTheme="minorHAnsi"/>
              </w:rPr>
              <w:t> </w:t>
            </w:r>
          </w:p>
        </w:tc>
        <w:tc>
          <w:tcPr>
            <w:tcW w:w="574" w:type="pct"/>
            <w:tcBorders>
              <w:left w:val="nil"/>
              <w:right w:val="nil"/>
            </w:tcBorders>
            <w:noWrap/>
            <w:hideMark/>
          </w:tcPr>
          <w:p w14:paraId="14C3D6B9" w14:textId="77777777" w:rsidR="00CB3C3D" w:rsidRPr="00E65B62" w:rsidRDefault="00CB3C3D">
            <w:pPr>
              <w:pStyle w:val="031Tablesubheading"/>
              <w:rPr>
                <w:rFonts w:eastAsiaTheme="minorHAnsi"/>
              </w:rPr>
            </w:pPr>
            <w:r w:rsidRPr="00E65B62">
              <w:rPr>
                <w:rFonts w:eastAsiaTheme="minorHAnsi"/>
              </w:rPr>
              <w:t> </w:t>
            </w:r>
          </w:p>
        </w:tc>
        <w:tc>
          <w:tcPr>
            <w:tcW w:w="574" w:type="pct"/>
            <w:tcBorders>
              <w:left w:val="nil"/>
              <w:right w:val="nil"/>
            </w:tcBorders>
            <w:noWrap/>
            <w:hideMark/>
          </w:tcPr>
          <w:p w14:paraId="381136E6" w14:textId="77777777" w:rsidR="00CB3C3D" w:rsidRPr="00E65B62" w:rsidRDefault="00CB3C3D">
            <w:pPr>
              <w:pStyle w:val="031Tablesubheading"/>
              <w:rPr>
                <w:rFonts w:eastAsiaTheme="minorHAnsi"/>
              </w:rPr>
            </w:pPr>
            <w:r w:rsidRPr="00E65B62">
              <w:rPr>
                <w:rFonts w:eastAsiaTheme="minorHAnsi"/>
              </w:rPr>
              <w:t> </w:t>
            </w:r>
          </w:p>
        </w:tc>
        <w:tc>
          <w:tcPr>
            <w:tcW w:w="573" w:type="pct"/>
            <w:tcBorders>
              <w:left w:val="nil"/>
            </w:tcBorders>
            <w:noWrap/>
            <w:hideMark/>
          </w:tcPr>
          <w:p w14:paraId="0773D82B" w14:textId="77777777" w:rsidR="00CB3C3D" w:rsidRPr="00E65B62" w:rsidRDefault="00CB3C3D">
            <w:pPr>
              <w:pStyle w:val="031Tablesubheading"/>
              <w:rPr>
                <w:rFonts w:eastAsiaTheme="minorHAnsi"/>
              </w:rPr>
            </w:pPr>
            <w:r w:rsidRPr="00E65B62">
              <w:rPr>
                <w:rFonts w:eastAsiaTheme="minorHAnsi"/>
              </w:rPr>
              <w:t> </w:t>
            </w:r>
          </w:p>
        </w:tc>
      </w:tr>
      <w:tr w:rsidR="00CB3C3D" w:rsidRPr="00E65B62" w14:paraId="63BA2218" w14:textId="77777777" w:rsidTr="00B10685">
        <w:trPr>
          <w:trHeight w:val="290"/>
        </w:trPr>
        <w:tc>
          <w:tcPr>
            <w:tcW w:w="1556" w:type="pct"/>
            <w:noWrap/>
            <w:hideMark/>
          </w:tcPr>
          <w:p w14:paraId="53AFDA11" w14:textId="71951311" w:rsidR="00CB3C3D" w:rsidRPr="00E65B62" w:rsidRDefault="00CB3C3D" w:rsidP="002837C8">
            <w:pPr>
              <w:pStyle w:val="051Tabletext22"/>
              <w:keepNext/>
              <w:rPr>
                <w:rFonts w:eastAsiaTheme="minorHAnsi"/>
              </w:rPr>
            </w:pPr>
            <w:r w:rsidRPr="00E65B62">
              <w:rPr>
                <w:rFonts w:eastAsiaTheme="minorHAnsi"/>
              </w:rPr>
              <w:t>Projected population of Australia</w:t>
            </w:r>
            <w:r w:rsidR="00312257">
              <w:rPr>
                <w:rFonts w:eastAsiaTheme="minorHAnsi"/>
              </w:rPr>
              <w:t xml:space="preserve"> [A]</w:t>
            </w:r>
          </w:p>
        </w:tc>
        <w:tc>
          <w:tcPr>
            <w:tcW w:w="575" w:type="pct"/>
            <w:noWrap/>
          </w:tcPr>
          <w:p w14:paraId="1C4DB1B8" w14:textId="77777777" w:rsidR="00CB3C3D" w:rsidRPr="00E65B62" w:rsidRDefault="00CB3C3D" w:rsidP="00956DF3">
            <w:pPr>
              <w:pStyle w:val="051Tabletext22"/>
              <w:keepNext/>
              <w:jc w:val="right"/>
              <w:rPr>
                <w:rFonts w:eastAsiaTheme="minorHAnsi"/>
              </w:rPr>
            </w:pPr>
            <w:r w:rsidRPr="00E65B62">
              <w:rPr>
                <w:rFonts w:eastAsiaTheme="minorHAnsi"/>
              </w:rPr>
              <w:t>27,805,684</w:t>
            </w:r>
          </w:p>
        </w:tc>
        <w:tc>
          <w:tcPr>
            <w:tcW w:w="574" w:type="pct"/>
            <w:noWrap/>
            <w:hideMark/>
          </w:tcPr>
          <w:p w14:paraId="6BA7ADC4" w14:textId="77777777" w:rsidR="00CB3C3D" w:rsidRPr="00E65B62" w:rsidRDefault="00CB3C3D" w:rsidP="00956DF3">
            <w:pPr>
              <w:pStyle w:val="051Tabletext22"/>
              <w:keepNext/>
              <w:jc w:val="right"/>
              <w:rPr>
                <w:rFonts w:eastAsiaTheme="minorHAnsi"/>
              </w:rPr>
            </w:pPr>
            <w:r w:rsidRPr="00E65B62">
              <w:rPr>
                <w:rFonts w:eastAsiaTheme="minorHAnsi"/>
              </w:rPr>
              <w:t>28,201,094</w:t>
            </w:r>
          </w:p>
        </w:tc>
        <w:tc>
          <w:tcPr>
            <w:tcW w:w="574" w:type="pct"/>
            <w:noWrap/>
            <w:hideMark/>
          </w:tcPr>
          <w:p w14:paraId="1AC234D0" w14:textId="77777777" w:rsidR="00CB3C3D" w:rsidRPr="00E65B62" w:rsidRDefault="00CB3C3D" w:rsidP="00956DF3">
            <w:pPr>
              <w:pStyle w:val="051Tabletext22"/>
              <w:keepNext/>
              <w:jc w:val="right"/>
              <w:rPr>
                <w:rFonts w:eastAsiaTheme="minorHAnsi"/>
              </w:rPr>
            </w:pPr>
            <w:r w:rsidRPr="00E65B62">
              <w:rPr>
                <w:rFonts w:eastAsiaTheme="minorHAnsi"/>
              </w:rPr>
              <w:t>28,581,272</w:t>
            </w:r>
          </w:p>
        </w:tc>
        <w:tc>
          <w:tcPr>
            <w:tcW w:w="574" w:type="pct"/>
            <w:noWrap/>
            <w:hideMark/>
          </w:tcPr>
          <w:p w14:paraId="2770C5BD" w14:textId="77777777" w:rsidR="00CB3C3D" w:rsidRPr="00E65B62" w:rsidRDefault="00CB3C3D" w:rsidP="00956DF3">
            <w:pPr>
              <w:pStyle w:val="051Tabletext22"/>
              <w:keepNext/>
              <w:jc w:val="right"/>
              <w:rPr>
                <w:rFonts w:eastAsiaTheme="minorHAnsi"/>
              </w:rPr>
            </w:pPr>
            <w:r w:rsidRPr="00E65B62">
              <w:rPr>
                <w:rFonts w:eastAsiaTheme="minorHAnsi"/>
              </w:rPr>
              <w:t>28,946,317</w:t>
            </w:r>
          </w:p>
        </w:tc>
        <w:tc>
          <w:tcPr>
            <w:tcW w:w="574" w:type="pct"/>
            <w:noWrap/>
            <w:hideMark/>
          </w:tcPr>
          <w:p w14:paraId="2C5EA3A7" w14:textId="77777777" w:rsidR="00CB3C3D" w:rsidRPr="00E65B62" w:rsidRDefault="00CB3C3D" w:rsidP="00956DF3">
            <w:pPr>
              <w:pStyle w:val="051Tabletext22"/>
              <w:keepNext/>
              <w:jc w:val="right"/>
              <w:rPr>
                <w:rFonts w:eastAsiaTheme="minorHAnsi"/>
              </w:rPr>
            </w:pPr>
            <w:r w:rsidRPr="00E65B62">
              <w:rPr>
                <w:rFonts w:eastAsiaTheme="minorHAnsi"/>
              </w:rPr>
              <w:t>29,294,970</w:t>
            </w:r>
          </w:p>
        </w:tc>
        <w:tc>
          <w:tcPr>
            <w:tcW w:w="573" w:type="pct"/>
            <w:noWrap/>
            <w:hideMark/>
          </w:tcPr>
          <w:p w14:paraId="45B8F5CA" w14:textId="77777777" w:rsidR="00CB3C3D" w:rsidRPr="00E65B62" w:rsidRDefault="00CB3C3D" w:rsidP="00956DF3">
            <w:pPr>
              <w:pStyle w:val="051Tabletext22"/>
              <w:keepNext/>
              <w:jc w:val="right"/>
              <w:rPr>
                <w:rFonts w:eastAsiaTheme="minorHAnsi"/>
              </w:rPr>
            </w:pPr>
            <w:r w:rsidRPr="00E65B62">
              <w:rPr>
                <w:rFonts w:eastAsiaTheme="minorHAnsi"/>
              </w:rPr>
              <w:t>29,628,141</w:t>
            </w:r>
          </w:p>
        </w:tc>
      </w:tr>
      <w:tr w:rsidR="00CB3C3D" w:rsidRPr="00E65B62" w14:paraId="4499EE66" w14:textId="77777777" w:rsidTr="00B10685">
        <w:trPr>
          <w:trHeight w:val="13"/>
        </w:trPr>
        <w:tc>
          <w:tcPr>
            <w:tcW w:w="1556" w:type="pct"/>
            <w:hideMark/>
          </w:tcPr>
          <w:p w14:paraId="76BAD925" w14:textId="64C20651" w:rsidR="00CB3C3D" w:rsidRPr="00E65B62" w:rsidRDefault="00CB3C3D">
            <w:pPr>
              <w:pStyle w:val="051Tabletext22"/>
              <w:rPr>
                <w:rFonts w:eastAsiaTheme="minorHAnsi"/>
              </w:rPr>
            </w:pPr>
            <w:r w:rsidRPr="00E65B62">
              <w:rPr>
                <w:rFonts w:eastAsiaTheme="minorHAnsi"/>
              </w:rPr>
              <w:t xml:space="preserve">Number of proposed services </w:t>
            </w:r>
            <w:r>
              <w:rPr>
                <w:rFonts w:eastAsiaTheme="minorHAnsi"/>
              </w:rPr>
              <w:t xml:space="preserve">for </w:t>
            </w:r>
            <w:r w:rsidRPr="00E65B62">
              <w:rPr>
                <w:rFonts w:eastAsiaTheme="minorHAnsi"/>
              </w:rPr>
              <w:t>ADAMTS13 activity test</w:t>
            </w:r>
            <w:r>
              <w:rPr>
                <w:rFonts w:eastAsiaTheme="minorHAnsi"/>
              </w:rPr>
              <w:t>ing</w:t>
            </w:r>
            <w:r w:rsidR="00312257">
              <w:rPr>
                <w:rFonts w:eastAsiaTheme="minorHAnsi"/>
              </w:rPr>
              <w:t xml:space="preserve"> [B]</w:t>
            </w:r>
          </w:p>
        </w:tc>
        <w:tc>
          <w:tcPr>
            <w:tcW w:w="575" w:type="pct"/>
            <w:noWrap/>
          </w:tcPr>
          <w:p w14:paraId="792945E4" w14:textId="0C5EF10D" w:rsidR="00CB3C3D" w:rsidRPr="00E65B62" w:rsidRDefault="00CB3C3D" w:rsidP="00956DF3">
            <w:pPr>
              <w:pStyle w:val="051Tabletext22"/>
              <w:jc w:val="right"/>
              <w:rPr>
                <w:rFonts w:eastAsiaTheme="minorHAnsi"/>
              </w:rPr>
            </w:pPr>
            <w:r w:rsidRPr="00E65B62">
              <w:rPr>
                <w:rFonts w:eastAsiaTheme="minorHAnsi"/>
              </w:rPr>
              <w:t>334</w:t>
            </w:r>
          </w:p>
        </w:tc>
        <w:tc>
          <w:tcPr>
            <w:tcW w:w="574" w:type="pct"/>
            <w:noWrap/>
            <w:hideMark/>
          </w:tcPr>
          <w:p w14:paraId="3F6B39EF" w14:textId="77777777" w:rsidR="00CB3C3D" w:rsidRPr="00E65B62" w:rsidRDefault="00CB3C3D" w:rsidP="00956DF3">
            <w:pPr>
              <w:pStyle w:val="051Tabletext22"/>
              <w:jc w:val="right"/>
              <w:rPr>
                <w:rFonts w:eastAsiaTheme="minorHAnsi"/>
              </w:rPr>
            </w:pPr>
            <w:r w:rsidRPr="00E65B62">
              <w:rPr>
                <w:rFonts w:eastAsiaTheme="minorHAnsi"/>
              </w:rPr>
              <w:t>338</w:t>
            </w:r>
          </w:p>
        </w:tc>
        <w:tc>
          <w:tcPr>
            <w:tcW w:w="574" w:type="pct"/>
            <w:noWrap/>
            <w:hideMark/>
          </w:tcPr>
          <w:p w14:paraId="0F9A5447" w14:textId="77777777" w:rsidR="00CB3C3D" w:rsidRPr="00E65B62" w:rsidRDefault="00CB3C3D" w:rsidP="00956DF3">
            <w:pPr>
              <w:pStyle w:val="051Tabletext22"/>
              <w:jc w:val="right"/>
              <w:rPr>
                <w:rFonts w:eastAsiaTheme="minorHAnsi"/>
              </w:rPr>
            </w:pPr>
            <w:r w:rsidRPr="00E65B62">
              <w:rPr>
                <w:rFonts w:eastAsiaTheme="minorHAnsi"/>
              </w:rPr>
              <w:t>343</w:t>
            </w:r>
          </w:p>
        </w:tc>
        <w:tc>
          <w:tcPr>
            <w:tcW w:w="574" w:type="pct"/>
            <w:noWrap/>
            <w:hideMark/>
          </w:tcPr>
          <w:p w14:paraId="2E9FE217" w14:textId="77777777" w:rsidR="00CB3C3D" w:rsidRPr="00E65B62" w:rsidRDefault="00CB3C3D" w:rsidP="00956DF3">
            <w:pPr>
              <w:pStyle w:val="051Tabletext22"/>
              <w:jc w:val="right"/>
              <w:rPr>
                <w:rFonts w:eastAsiaTheme="minorHAnsi"/>
              </w:rPr>
            </w:pPr>
            <w:r w:rsidRPr="00E65B62">
              <w:rPr>
                <w:rFonts w:eastAsiaTheme="minorHAnsi"/>
              </w:rPr>
              <w:t>347</w:t>
            </w:r>
          </w:p>
        </w:tc>
        <w:tc>
          <w:tcPr>
            <w:tcW w:w="574" w:type="pct"/>
            <w:noWrap/>
            <w:hideMark/>
          </w:tcPr>
          <w:p w14:paraId="46B14BF8" w14:textId="77777777" w:rsidR="00CB3C3D" w:rsidRPr="00E65B62" w:rsidRDefault="00CB3C3D" w:rsidP="00956DF3">
            <w:pPr>
              <w:pStyle w:val="051Tabletext22"/>
              <w:jc w:val="right"/>
              <w:rPr>
                <w:rFonts w:eastAsiaTheme="minorHAnsi"/>
              </w:rPr>
            </w:pPr>
            <w:r w:rsidRPr="00E65B62">
              <w:rPr>
                <w:rFonts w:eastAsiaTheme="minorHAnsi"/>
              </w:rPr>
              <w:t>352</w:t>
            </w:r>
          </w:p>
        </w:tc>
        <w:tc>
          <w:tcPr>
            <w:tcW w:w="573" w:type="pct"/>
            <w:noWrap/>
            <w:hideMark/>
          </w:tcPr>
          <w:p w14:paraId="1ABC4B1A" w14:textId="77777777" w:rsidR="00CB3C3D" w:rsidRPr="00E65B62" w:rsidRDefault="00CB3C3D" w:rsidP="00956DF3">
            <w:pPr>
              <w:pStyle w:val="051Tabletext22"/>
              <w:jc w:val="right"/>
              <w:rPr>
                <w:rFonts w:eastAsiaTheme="minorHAnsi"/>
              </w:rPr>
            </w:pPr>
            <w:r w:rsidRPr="00E65B62">
              <w:rPr>
                <w:rFonts w:eastAsiaTheme="minorHAnsi"/>
              </w:rPr>
              <w:t>356</w:t>
            </w:r>
          </w:p>
        </w:tc>
      </w:tr>
      <w:tr w:rsidR="00CB3C3D" w:rsidRPr="00E65B62" w14:paraId="12E3FB33" w14:textId="77777777" w:rsidTr="00B10685">
        <w:trPr>
          <w:trHeight w:val="13"/>
        </w:trPr>
        <w:tc>
          <w:tcPr>
            <w:tcW w:w="1556" w:type="pct"/>
            <w:hideMark/>
          </w:tcPr>
          <w:p w14:paraId="605BA39B" w14:textId="0C794571" w:rsidR="00CB3C3D" w:rsidRPr="00E65B62" w:rsidRDefault="00CB3C3D">
            <w:pPr>
              <w:pStyle w:val="051Tabletext22"/>
              <w:rPr>
                <w:rFonts w:eastAsiaTheme="minorHAnsi"/>
              </w:rPr>
            </w:pPr>
            <w:r w:rsidRPr="00E65B62">
              <w:rPr>
                <w:rFonts w:eastAsiaTheme="minorHAnsi"/>
              </w:rPr>
              <w:t>Number of new TTP cases</w:t>
            </w:r>
            <w:r w:rsidR="006E546F">
              <w:rPr>
                <w:rFonts w:eastAsiaTheme="minorHAnsi"/>
              </w:rPr>
              <w:t xml:space="preserve"> [C]</w:t>
            </w:r>
          </w:p>
        </w:tc>
        <w:tc>
          <w:tcPr>
            <w:tcW w:w="575" w:type="pct"/>
            <w:noWrap/>
          </w:tcPr>
          <w:p w14:paraId="36A0685F" w14:textId="77777777" w:rsidR="00CB3C3D" w:rsidRPr="00E65B62" w:rsidRDefault="00CB3C3D" w:rsidP="00956DF3">
            <w:pPr>
              <w:pStyle w:val="051Tabletext22"/>
              <w:jc w:val="right"/>
              <w:rPr>
                <w:rFonts w:eastAsiaTheme="minorHAnsi"/>
              </w:rPr>
            </w:pPr>
            <w:r w:rsidRPr="00E65B62">
              <w:rPr>
                <w:rFonts w:eastAsiaTheme="minorHAnsi"/>
              </w:rPr>
              <w:t>60</w:t>
            </w:r>
          </w:p>
        </w:tc>
        <w:tc>
          <w:tcPr>
            <w:tcW w:w="574" w:type="pct"/>
            <w:noWrap/>
            <w:hideMark/>
          </w:tcPr>
          <w:p w14:paraId="42D0D00A" w14:textId="77777777" w:rsidR="00CB3C3D" w:rsidRPr="00E65B62" w:rsidRDefault="00CB3C3D" w:rsidP="00956DF3">
            <w:pPr>
              <w:pStyle w:val="051Tabletext22"/>
              <w:jc w:val="right"/>
              <w:rPr>
                <w:rFonts w:eastAsiaTheme="minorHAnsi"/>
              </w:rPr>
            </w:pPr>
            <w:r w:rsidRPr="00E65B62">
              <w:rPr>
                <w:rFonts w:eastAsiaTheme="minorHAnsi"/>
              </w:rPr>
              <w:t>61</w:t>
            </w:r>
          </w:p>
        </w:tc>
        <w:tc>
          <w:tcPr>
            <w:tcW w:w="574" w:type="pct"/>
            <w:noWrap/>
            <w:hideMark/>
          </w:tcPr>
          <w:p w14:paraId="5FC9ED11" w14:textId="77777777" w:rsidR="00CB3C3D" w:rsidRPr="00E65B62" w:rsidRDefault="00CB3C3D" w:rsidP="00956DF3">
            <w:pPr>
              <w:pStyle w:val="051Tabletext22"/>
              <w:jc w:val="right"/>
              <w:rPr>
                <w:rFonts w:eastAsiaTheme="minorHAnsi"/>
              </w:rPr>
            </w:pPr>
            <w:r w:rsidRPr="00E65B62">
              <w:rPr>
                <w:rFonts w:eastAsiaTheme="minorHAnsi"/>
              </w:rPr>
              <w:t>62</w:t>
            </w:r>
          </w:p>
        </w:tc>
        <w:tc>
          <w:tcPr>
            <w:tcW w:w="574" w:type="pct"/>
            <w:noWrap/>
            <w:hideMark/>
          </w:tcPr>
          <w:p w14:paraId="6098926B" w14:textId="77777777" w:rsidR="00CB3C3D" w:rsidRPr="00E65B62" w:rsidRDefault="00CB3C3D" w:rsidP="00956DF3">
            <w:pPr>
              <w:pStyle w:val="051Tabletext22"/>
              <w:jc w:val="right"/>
              <w:rPr>
                <w:rFonts w:eastAsiaTheme="minorHAnsi"/>
              </w:rPr>
            </w:pPr>
            <w:r w:rsidRPr="00E65B62">
              <w:rPr>
                <w:rFonts w:eastAsiaTheme="minorHAnsi"/>
              </w:rPr>
              <w:t>63</w:t>
            </w:r>
          </w:p>
        </w:tc>
        <w:tc>
          <w:tcPr>
            <w:tcW w:w="574" w:type="pct"/>
            <w:noWrap/>
            <w:hideMark/>
          </w:tcPr>
          <w:p w14:paraId="58360CA1" w14:textId="77777777" w:rsidR="00CB3C3D" w:rsidRPr="00E65B62" w:rsidRDefault="00CB3C3D" w:rsidP="00956DF3">
            <w:pPr>
              <w:pStyle w:val="051Tabletext22"/>
              <w:jc w:val="right"/>
              <w:rPr>
                <w:rFonts w:eastAsiaTheme="minorHAnsi"/>
              </w:rPr>
            </w:pPr>
            <w:r w:rsidRPr="00E65B62">
              <w:rPr>
                <w:rFonts w:eastAsiaTheme="minorHAnsi"/>
              </w:rPr>
              <w:t>64</w:t>
            </w:r>
          </w:p>
        </w:tc>
        <w:tc>
          <w:tcPr>
            <w:tcW w:w="573" w:type="pct"/>
            <w:noWrap/>
            <w:hideMark/>
          </w:tcPr>
          <w:p w14:paraId="2C8F5CB3" w14:textId="77777777" w:rsidR="00CB3C3D" w:rsidRPr="00E65B62" w:rsidRDefault="00CB3C3D" w:rsidP="00956DF3">
            <w:pPr>
              <w:pStyle w:val="051Tabletext22"/>
              <w:jc w:val="right"/>
              <w:rPr>
                <w:rFonts w:eastAsiaTheme="minorHAnsi"/>
              </w:rPr>
            </w:pPr>
            <w:r w:rsidRPr="00E65B62">
              <w:rPr>
                <w:rFonts w:eastAsiaTheme="minorHAnsi"/>
              </w:rPr>
              <w:t>64</w:t>
            </w:r>
          </w:p>
        </w:tc>
      </w:tr>
      <w:tr w:rsidR="00CB3C3D" w:rsidRPr="00E65B62" w14:paraId="788113E1" w14:textId="77777777" w:rsidTr="00B10685">
        <w:trPr>
          <w:trHeight w:val="13"/>
        </w:trPr>
        <w:tc>
          <w:tcPr>
            <w:tcW w:w="1556" w:type="pct"/>
            <w:hideMark/>
          </w:tcPr>
          <w:p w14:paraId="4F288188" w14:textId="762DE603" w:rsidR="00CB3C3D" w:rsidRPr="00E65B62" w:rsidRDefault="00CB3C3D">
            <w:pPr>
              <w:pStyle w:val="051Tabletext22"/>
              <w:rPr>
                <w:rFonts w:eastAsiaTheme="minorHAnsi"/>
              </w:rPr>
            </w:pPr>
            <w:r w:rsidRPr="00E65B62">
              <w:rPr>
                <w:rFonts w:eastAsiaTheme="minorHAnsi"/>
              </w:rPr>
              <w:t xml:space="preserve">Number of proposed services </w:t>
            </w:r>
            <w:r>
              <w:rPr>
                <w:rFonts w:eastAsiaTheme="minorHAnsi"/>
              </w:rPr>
              <w:t xml:space="preserve">for </w:t>
            </w:r>
            <w:r w:rsidRPr="00E65B62">
              <w:rPr>
                <w:rFonts w:eastAsiaTheme="minorHAnsi"/>
              </w:rPr>
              <w:t>anti-ADAMTS13 autoantibody test</w:t>
            </w:r>
            <w:r>
              <w:rPr>
                <w:rFonts w:eastAsiaTheme="minorHAnsi"/>
              </w:rPr>
              <w:t>ing</w:t>
            </w:r>
            <w:r w:rsidR="002800B9">
              <w:rPr>
                <w:rFonts w:eastAsiaTheme="minorHAnsi"/>
              </w:rPr>
              <w:t xml:space="preserve"> [D]</w:t>
            </w:r>
          </w:p>
        </w:tc>
        <w:tc>
          <w:tcPr>
            <w:tcW w:w="575" w:type="pct"/>
            <w:noWrap/>
          </w:tcPr>
          <w:p w14:paraId="5FFE2C79" w14:textId="77777777" w:rsidR="00CB3C3D" w:rsidRPr="00E65B62" w:rsidRDefault="00CB3C3D" w:rsidP="00956DF3">
            <w:pPr>
              <w:pStyle w:val="051Tabletext22"/>
              <w:jc w:val="right"/>
              <w:rPr>
                <w:rFonts w:eastAsiaTheme="minorHAnsi"/>
              </w:rPr>
            </w:pPr>
            <w:r w:rsidRPr="00E65B62">
              <w:rPr>
                <w:rFonts w:eastAsiaTheme="minorHAnsi"/>
              </w:rPr>
              <w:t>75</w:t>
            </w:r>
          </w:p>
        </w:tc>
        <w:tc>
          <w:tcPr>
            <w:tcW w:w="574" w:type="pct"/>
            <w:noWrap/>
            <w:hideMark/>
          </w:tcPr>
          <w:p w14:paraId="34FD17A4" w14:textId="77777777" w:rsidR="00CB3C3D" w:rsidRPr="00E65B62" w:rsidRDefault="00CB3C3D" w:rsidP="00956DF3">
            <w:pPr>
              <w:pStyle w:val="051Tabletext22"/>
              <w:jc w:val="right"/>
              <w:rPr>
                <w:rFonts w:eastAsiaTheme="minorHAnsi"/>
              </w:rPr>
            </w:pPr>
            <w:r w:rsidRPr="00E65B62">
              <w:rPr>
                <w:rFonts w:eastAsiaTheme="minorHAnsi"/>
              </w:rPr>
              <w:t>76</w:t>
            </w:r>
          </w:p>
        </w:tc>
        <w:tc>
          <w:tcPr>
            <w:tcW w:w="574" w:type="pct"/>
            <w:noWrap/>
            <w:hideMark/>
          </w:tcPr>
          <w:p w14:paraId="6C80C7D1" w14:textId="77777777" w:rsidR="00CB3C3D" w:rsidRPr="00E65B62" w:rsidRDefault="00CB3C3D" w:rsidP="00956DF3">
            <w:pPr>
              <w:pStyle w:val="051Tabletext22"/>
              <w:jc w:val="right"/>
              <w:rPr>
                <w:rFonts w:eastAsiaTheme="minorHAnsi"/>
              </w:rPr>
            </w:pPr>
            <w:r w:rsidRPr="00E65B62">
              <w:rPr>
                <w:rFonts w:eastAsiaTheme="minorHAnsi"/>
              </w:rPr>
              <w:t>78</w:t>
            </w:r>
          </w:p>
        </w:tc>
        <w:tc>
          <w:tcPr>
            <w:tcW w:w="574" w:type="pct"/>
            <w:noWrap/>
            <w:hideMark/>
          </w:tcPr>
          <w:p w14:paraId="237E8394" w14:textId="77777777" w:rsidR="00CB3C3D" w:rsidRPr="00E65B62" w:rsidRDefault="00CB3C3D" w:rsidP="00956DF3">
            <w:pPr>
              <w:pStyle w:val="051Tabletext22"/>
              <w:jc w:val="right"/>
              <w:rPr>
                <w:rFonts w:eastAsiaTheme="minorHAnsi"/>
              </w:rPr>
            </w:pPr>
            <w:r w:rsidRPr="00E65B62">
              <w:rPr>
                <w:rFonts w:eastAsiaTheme="minorHAnsi"/>
              </w:rPr>
              <w:t>79</w:t>
            </w:r>
          </w:p>
        </w:tc>
        <w:tc>
          <w:tcPr>
            <w:tcW w:w="574" w:type="pct"/>
            <w:noWrap/>
            <w:hideMark/>
          </w:tcPr>
          <w:p w14:paraId="478A98E9" w14:textId="77777777" w:rsidR="00CB3C3D" w:rsidRPr="00E65B62" w:rsidRDefault="00CB3C3D" w:rsidP="00956DF3">
            <w:pPr>
              <w:pStyle w:val="051Tabletext22"/>
              <w:jc w:val="right"/>
              <w:rPr>
                <w:rFonts w:eastAsiaTheme="minorHAnsi"/>
              </w:rPr>
            </w:pPr>
            <w:r w:rsidRPr="00E65B62">
              <w:rPr>
                <w:rFonts w:eastAsiaTheme="minorHAnsi"/>
              </w:rPr>
              <w:t>79</w:t>
            </w:r>
          </w:p>
        </w:tc>
        <w:tc>
          <w:tcPr>
            <w:tcW w:w="573" w:type="pct"/>
            <w:noWrap/>
            <w:hideMark/>
          </w:tcPr>
          <w:p w14:paraId="2B18FBD0" w14:textId="77777777" w:rsidR="00CB3C3D" w:rsidRPr="00E65B62" w:rsidRDefault="00CB3C3D" w:rsidP="00956DF3">
            <w:pPr>
              <w:pStyle w:val="051Tabletext22"/>
              <w:jc w:val="right"/>
              <w:rPr>
                <w:rFonts w:eastAsiaTheme="minorHAnsi"/>
              </w:rPr>
            </w:pPr>
            <w:r w:rsidRPr="00E65B62">
              <w:rPr>
                <w:rFonts w:eastAsiaTheme="minorHAnsi"/>
              </w:rPr>
              <w:t>80</w:t>
            </w:r>
          </w:p>
        </w:tc>
      </w:tr>
      <w:tr w:rsidR="00CB3C3D" w:rsidRPr="00E65B62" w14:paraId="2C16BBAF" w14:textId="77777777" w:rsidTr="00B10685">
        <w:trPr>
          <w:trHeight w:val="13"/>
        </w:trPr>
        <w:tc>
          <w:tcPr>
            <w:tcW w:w="1556" w:type="pct"/>
            <w:noWrap/>
            <w:hideMark/>
          </w:tcPr>
          <w:p w14:paraId="0AE49D39" w14:textId="0B13E03F" w:rsidR="00CB3C3D" w:rsidRPr="00E65B62" w:rsidRDefault="00CB3C3D">
            <w:pPr>
              <w:pStyle w:val="051Tabletext22"/>
              <w:rPr>
                <w:rFonts w:eastAsiaTheme="minorHAnsi"/>
              </w:rPr>
            </w:pPr>
            <w:r w:rsidRPr="00E65B62">
              <w:rPr>
                <w:rFonts w:eastAsiaTheme="minorHAnsi"/>
              </w:rPr>
              <w:t xml:space="preserve">Number of proposed </w:t>
            </w:r>
            <w:r w:rsidR="0004030B">
              <w:rPr>
                <w:rFonts w:eastAsiaTheme="minorHAnsi"/>
              </w:rPr>
              <w:t>affected individual</w:t>
            </w:r>
            <w:r w:rsidR="0004030B" w:rsidRPr="00E65B62">
              <w:rPr>
                <w:rFonts w:eastAsiaTheme="minorHAnsi"/>
              </w:rPr>
              <w:t xml:space="preserve"> </w:t>
            </w:r>
            <w:r w:rsidRPr="00E65B62">
              <w:rPr>
                <w:rFonts w:eastAsiaTheme="minorHAnsi"/>
              </w:rPr>
              <w:t>genetic</w:t>
            </w:r>
            <w:r>
              <w:rPr>
                <w:rFonts w:eastAsiaTheme="minorHAnsi"/>
              </w:rPr>
              <w:t xml:space="preserve"> testing</w:t>
            </w:r>
            <w:r w:rsidRPr="00E65B62">
              <w:rPr>
                <w:rFonts w:eastAsiaTheme="minorHAnsi"/>
              </w:rPr>
              <w:t xml:space="preserve"> services</w:t>
            </w:r>
            <w:r w:rsidR="005B425A">
              <w:rPr>
                <w:rFonts w:eastAsiaTheme="minorHAnsi"/>
              </w:rPr>
              <w:t xml:space="preserve"> [E]</w:t>
            </w:r>
          </w:p>
        </w:tc>
        <w:tc>
          <w:tcPr>
            <w:tcW w:w="575" w:type="pct"/>
            <w:noWrap/>
          </w:tcPr>
          <w:p w14:paraId="7F703832" w14:textId="77777777" w:rsidR="00CB3C3D" w:rsidRPr="00E65B62" w:rsidRDefault="00CB3C3D" w:rsidP="00956DF3">
            <w:pPr>
              <w:pStyle w:val="051Tabletext22"/>
              <w:jc w:val="right"/>
              <w:rPr>
                <w:rFonts w:eastAsiaTheme="minorHAnsi"/>
              </w:rPr>
            </w:pPr>
            <w:r>
              <w:rPr>
                <w:rFonts w:eastAsiaTheme="minorHAnsi"/>
              </w:rPr>
              <w:t>3</w:t>
            </w:r>
          </w:p>
        </w:tc>
        <w:tc>
          <w:tcPr>
            <w:tcW w:w="574" w:type="pct"/>
            <w:noWrap/>
            <w:hideMark/>
          </w:tcPr>
          <w:p w14:paraId="0F28C19D" w14:textId="77777777" w:rsidR="00CB3C3D" w:rsidRPr="00E65B62" w:rsidRDefault="00CB3C3D" w:rsidP="00956DF3">
            <w:pPr>
              <w:pStyle w:val="051Tabletext22"/>
              <w:jc w:val="right"/>
              <w:rPr>
                <w:rFonts w:eastAsiaTheme="minorHAnsi"/>
              </w:rPr>
            </w:pPr>
            <w:r>
              <w:rPr>
                <w:rFonts w:eastAsiaTheme="minorHAnsi"/>
              </w:rPr>
              <w:t>3</w:t>
            </w:r>
          </w:p>
        </w:tc>
        <w:tc>
          <w:tcPr>
            <w:tcW w:w="574" w:type="pct"/>
            <w:noWrap/>
            <w:hideMark/>
          </w:tcPr>
          <w:p w14:paraId="299869CC" w14:textId="77777777" w:rsidR="00CB3C3D" w:rsidRPr="00E65B62" w:rsidRDefault="00CB3C3D" w:rsidP="00956DF3">
            <w:pPr>
              <w:pStyle w:val="051Tabletext22"/>
              <w:jc w:val="right"/>
              <w:rPr>
                <w:rFonts w:eastAsiaTheme="minorHAnsi"/>
              </w:rPr>
            </w:pPr>
            <w:r>
              <w:rPr>
                <w:rFonts w:eastAsiaTheme="minorHAnsi"/>
              </w:rPr>
              <w:t>3</w:t>
            </w:r>
          </w:p>
        </w:tc>
        <w:tc>
          <w:tcPr>
            <w:tcW w:w="574" w:type="pct"/>
            <w:noWrap/>
            <w:hideMark/>
          </w:tcPr>
          <w:p w14:paraId="571F6EB5" w14:textId="77777777" w:rsidR="00CB3C3D" w:rsidRPr="00E65B62" w:rsidRDefault="00CB3C3D" w:rsidP="00956DF3">
            <w:pPr>
              <w:pStyle w:val="051Tabletext22"/>
              <w:jc w:val="right"/>
              <w:rPr>
                <w:rFonts w:eastAsiaTheme="minorHAnsi"/>
              </w:rPr>
            </w:pPr>
            <w:r>
              <w:rPr>
                <w:rFonts w:eastAsiaTheme="minorHAnsi"/>
              </w:rPr>
              <w:t>3</w:t>
            </w:r>
          </w:p>
        </w:tc>
        <w:tc>
          <w:tcPr>
            <w:tcW w:w="574" w:type="pct"/>
            <w:noWrap/>
            <w:hideMark/>
          </w:tcPr>
          <w:p w14:paraId="6BE6E70C" w14:textId="77777777" w:rsidR="00CB3C3D" w:rsidRPr="00E65B62" w:rsidRDefault="00CB3C3D" w:rsidP="00956DF3">
            <w:pPr>
              <w:pStyle w:val="051Tabletext22"/>
              <w:jc w:val="right"/>
              <w:rPr>
                <w:rFonts w:eastAsiaTheme="minorHAnsi"/>
              </w:rPr>
            </w:pPr>
            <w:r>
              <w:rPr>
                <w:rFonts w:eastAsiaTheme="minorHAnsi"/>
              </w:rPr>
              <w:t>3</w:t>
            </w:r>
          </w:p>
        </w:tc>
        <w:tc>
          <w:tcPr>
            <w:tcW w:w="573" w:type="pct"/>
            <w:noWrap/>
            <w:hideMark/>
          </w:tcPr>
          <w:p w14:paraId="143ABAA3" w14:textId="77777777" w:rsidR="00CB3C3D" w:rsidRPr="00E65B62" w:rsidRDefault="00CB3C3D" w:rsidP="00956DF3">
            <w:pPr>
              <w:pStyle w:val="051Tabletext22"/>
              <w:jc w:val="right"/>
              <w:rPr>
                <w:rFonts w:eastAsiaTheme="minorHAnsi"/>
              </w:rPr>
            </w:pPr>
            <w:r>
              <w:rPr>
                <w:rFonts w:eastAsiaTheme="minorHAnsi"/>
              </w:rPr>
              <w:t>3</w:t>
            </w:r>
          </w:p>
        </w:tc>
      </w:tr>
      <w:tr w:rsidR="00CB3C3D" w:rsidRPr="00E65B62" w14:paraId="11917864" w14:textId="77777777" w:rsidTr="00B10685">
        <w:trPr>
          <w:trHeight w:val="13"/>
        </w:trPr>
        <w:tc>
          <w:tcPr>
            <w:tcW w:w="1556" w:type="pct"/>
            <w:hideMark/>
          </w:tcPr>
          <w:p w14:paraId="7F2AF273" w14:textId="2449B39E" w:rsidR="00CB3C3D" w:rsidRPr="00E65B62" w:rsidRDefault="00CB3C3D">
            <w:pPr>
              <w:pStyle w:val="051Tabletext22"/>
              <w:rPr>
                <w:rFonts w:eastAsiaTheme="minorHAnsi"/>
              </w:rPr>
            </w:pPr>
            <w:r w:rsidRPr="00E65B62">
              <w:rPr>
                <w:rFonts w:eastAsiaTheme="minorHAnsi"/>
              </w:rPr>
              <w:t>Number of proposed cascade genetic</w:t>
            </w:r>
            <w:r>
              <w:rPr>
                <w:rFonts w:eastAsiaTheme="minorHAnsi"/>
              </w:rPr>
              <w:t xml:space="preserve"> testing</w:t>
            </w:r>
            <w:r w:rsidRPr="00E65B62">
              <w:rPr>
                <w:rFonts w:eastAsiaTheme="minorHAnsi"/>
              </w:rPr>
              <w:t xml:space="preserve"> services</w:t>
            </w:r>
            <w:r w:rsidR="009F6C5E">
              <w:rPr>
                <w:rFonts w:eastAsiaTheme="minorHAnsi"/>
              </w:rPr>
              <w:t xml:space="preserve"> [F]</w:t>
            </w:r>
          </w:p>
        </w:tc>
        <w:tc>
          <w:tcPr>
            <w:tcW w:w="575" w:type="pct"/>
            <w:noWrap/>
          </w:tcPr>
          <w:p w14:paraId="2DA429BA" w14:textId="77777777" w:rsidR="00CB3C3D" w:rsidRPr="00E65B62" w:rsidRDefault="00CB3C3D" w:rsidP="00956DF3">
            <w:pPr>
              <w:pStyle w:val="051Tabletext22"/>
              <w:jc w:val="right"/>
              <w:rPr>
                <w:rFonts w:eastAsiaTheme="minorHAnsi"/>
              </w:rPr>
            </w:pPr>
            <w:r w:rsidRPr="00E65B62">
              <w:rPr>
                <w:rFonts w:eastAsiaTheme="minorHAnsi"/>
              </w:rPr>
              <w:t>2</w:t>
            </w:r>
          </w:p>
        </w:tc>
        <w:tc>
          <w:tcPr>
            <w:tcW w:w="574" w:type="pct"/>
            <w:noWrap/>
            <w:hideMark/>
          </w:tcPr>
          <w:p w14:paraId="0DE19978" w14:textId="77777777" w:rsidR="00CB3C3D" w:rsidRPr="00E65B62" w:rsidRDefault="00CB3C3D" w:rsidP="00956DF3">
            <w:pPr>
              <w:pStyle w:val="051Tabletext22"/>
              <w:jc w:val="right"/>
              <w:rPr>
                <w:rFonts w:eastAsiaTheme="minorHAnsi"/>
              </w:rPr>
            </w:pPr>
            <w:r w:rsidRPr="00E65B62">
              <w:rPr>
                <w:rFonts w:eastAsiaTheme="minorHAnsi"/>
              </w:rPr>
              <w:t>2</w:t>
            </w:r>
          </w:p>
        </w:tc>
        <w:tc>
          <w:tcPr>
            <w:tcW w:w="574" w:type="pct"/>
            <w:noWrap/>
            <w:hideMark/>
          </w:tcPr>
          <w:p w14:paraId="22C93C5B" w14:textId="77777777" w:rsidR="00CB3C3D" w:rsidRPr="00E65B62" w:rsidRDefault="00CB3C3D" w:rsidP="00956DF3">
            <w:pPr>
              <w:pStyle w:val="051Tabletext22"/>
              <w:jc w:val="right"/>
              <w:rPr>
                <w:rFonts w:eastAsiaTheme="minorHAnsi"/>
              </w:rPr>
            </w:pPr>
            <w:r w:rsidRPr="00E65B62">
              <w:rPr>
                <w:rFonts w:eastAsiaTheme="minorHAnsi"/>
              </w:rPr>
              <w:t>2</w:t>
            </w:r>
          </w:p>
        </w:tc>
        <w:tc>
          <w:tcPr>
            <w:tcW w:w="574" w:type="pct"/>
            <w:noWrap/>
            <w:hideMark/>
          </w:tcPr>
          <w:p w14:paraId="1D1D2589" w14:textId="77777777" w:rsidR="00CB3C3D" w:rsidRPr="00E65B62" w:rsidRDefault="00CB3C3D" w:rsidP="00956DF3">
            <w:pPr>
              <w:pStyle w:val="051Tabletext22"/>
              <w:jc w:val="right"/>
              <w:rPr>
                <w:rFonts w:eastAsiaTheme="minorHAnsi"/>
              </w:rPr>
            </w:pPr>
            <w:r w:rsidRPr="00E65B62">
              <w:rPr>
                <w:rFonts w:eastAsiaTheme="minorHAnsi"/>
              </w:rPr>
              <w:t>2</w:t>
            </w:r>
          </w:p>
        </w:tc>
        <w:tc>
          <w:tcPr>
            <w:tcW w:w="574" w:type="pct"/>
            <w:noWrap/>
            <w:hideMark/>
          </w:tcPr>
          <w:p w14:paraId="0235AE46" w14:textId="77777777" w:rsidR="00CB3C3D" w:rsidRPr="00E65B62" w:rsidRDefault="00CB3C3D" w:rsidP="00956DF3">
            <w:pPr>
              <w:pStyle w:val="051Tabletext22"/>
              <w:jc w:val="right"/>
              <w:rPr>
                <w:rFonts w:eastAsiaTheme="minorHAnsi"/>
              </w:rPr>
            </w:pPr>
            <w:r w:rsidRPr="00E65B62">
              <w:rPr>
                <w:rFonts w:eastAsiaTheme="minorHAnsi"/>
              </w:rPr>
              <w:t>2</w:t>
            </w:r>
          </w:p>
        </w:tc>
        <w:tc>
          <w:tcPr>
            <w:tcW w:w="573" w:type="pct"/>
            <w:noWrap/>
            <w:hideMark/>
          </w:tcPr>
          <w:p w14:paraId="606B5B11" w14:textId="77777777" w:rsidR="00CB3C3D" w:rsidRPr="00E65B62" w:rsidRDefault="00CB3C3D" w:rsidP="00956DF3">
            <w:pPr>
              <w:pStyle w:val="051Tabletext22"/>
              <w:jc w:val="right"/>
              <w:rPr>
                <w:rFonts w:eastAsiaTheme="minorHAnsi"/>
              </w:rPr>
            </w:pPr>
            <w:r w:rsidRPr="00E65B62">
              <w:rPr>
                <w:rFonts w:eastAsiaTheme="minorHAnsi"/>
              </w:rPr>
              <w:t>2</w:t>
            </w:r>
          </w:p>
        </w:tc>
      </w:tr>
      <w:tr w:rsidR="00CB3C3D" w:rsidRPr="00E65B62" w14:paraId="2BC5803D" w14:textId="77777777" w:rsidTr="00B10685">
        <w:trPr>
          <w:trHeight w:val="13"/>
        </w:trPr>
        <w:tc>
          <w:tcPr>
            <w:tcW w:w="1556" w:type="pct"/>
            <w:hideMark/>
          </w:tcPr>
          <w:p w14:paraId="14C45D50" w14:textId="5317511B" w:rsidR="00CB3C3D" w:rsidRPr="00E65B62" w:rsidRDefault="00CB3C3D">
            <w:pPr>
              <w:pStyle w:val="051Tabletext22"/>
              <w:rPr>
                <w:rFonts w:eastAsiaTheme="minorHAnsi"/>
              </w:rPr>
            </w:pPr>
            <w:r w:rsidRPr="00E65B62">
              <w:rPr>
                <w:rFonts w:eastAsiaTheme="minorHAnsi"/>
              </w:rPr>
              <w:t xml:space="preserve">Cost to the MBS </w:t>
            </w:r>
            <w:r>
              <w:rPr>
                <w:rFonts w:eastAsiaTheme="minorHAnsi"/>
              </w:rPr>
              <w:t xml:space="preserve">of </w:t>
            </w:r>
            <w:r w:rsidRPr="00E65B62">
              <w:rPr>
                <w:rFonts w:eastAsiaTheme="minorHAnsi"/>
              </w:rPr>
              <w:t>ADAMTS13 activity test</w:t>
            </w:r>
            <w:r>
              <w:rPr>
                <w:rFonts w:eastAsiaTheme="minorHAnsi"/>
              </w:rPr>
              <w:t>ing</w:t>
            </w:r>
            <w:r w:rsidRPr="00E65B62">
              <w:rPr>
                <w:rFonts w:eastAsiaTheme="minorHAnsi"/>
              </w:rPr>
              <w:t xml:space="preserve"> </w:t>
            </w:r>
            <w:r>
              <w:rPr>
                <w:rFonts w:eastAsiaTheme="minorHAnsi"/>
              </w:rPr>
              <w:t>services (</w:t>
            </w:r>
            <w:r w:rsidRPr="00E65B62">
              <w:rPr>
                <w:rFonts w:eastAsiaTheme="minorHAnsi"/>
              </w:rPr>
              <w:t>75%</w:t>
            </w:r>
            <w:r>
              <w:rPr>
                <w:rFonts w:eastAsiaTheme="minorHAnsi"/>
              </w:rPr>
              <w:t xml:space="preserve"> benefit</w:t>
            </w:r>
            <w:r w:rsidRPr="00E65B62">
              <w:rPr>
                <w:rFonts w:eastAsiaTheme="minorHAnsi"/>
              </w:rPr>
              <w:t>)</w:t>
            </w:r>
            <w:r w:rsidR="00641272">
              <w:rPr>
                <w:rFonts w:eastAsiaTheme="minorHAnsi"/>
              </w:rPr>
              <w:t xml:space="preserve"> [G</w:t>
            </w:r>
            <w:r w:rsidR="00630C5C">
              <w:rPr>
                <w:rFonts w:eastAsiaTheme="minorHAnsi"/>
              </w:rPr>
              <w:t>]</w:t>
            </w:r>
          </w:p>
        </w:tc>
        <w:tc>
          <w:tcPr>
            <w:tcW w:w="575" w:type="pct"/>
            <w:noWrap/>
          </w:tcPr>
          <w:p w14:paraId="4C3C7664" w14:textId="77777777" w:rsidR="00CB3C3D" w:rsidRPr="00E65B62" w:rsidRDefault="00CB3C3D" w:rsidP="00956DF3">
            <w:pPr>
              <w:pStyle w:val="051Tabletext22"/>
              <w:jc w:val="right"/>
              <w:rPr>
                <w:rFonts w:eastAsiaTheme="minorHAnsi"/>
              </w:rPr>
            </w:pPr>
            <w:r w:rsidRPr="00E65B62">
              <w:rPr>
                <w:rFonts w:eastAsiaTheme="minorHAnsi"/>
              </w:rPr>
              <w:t>$175,350</w:t>
            </w:r>
          </w:p>
        </w:tc>
        <w:tc>
          <w:tcPr>
            <w:tcW w:w="574" w:type="pct"/>
            <w:noWrap/>
            <w:hideMark/>
          </w:tcPr>
          <w:p w14:paraId="4696BA3C" w14:textId="77777777" w:rsidR="00CB3C3D" w:rsidRPr="00E65B62" w:rsidRDefault="00CB3C3D" w:rsidP="00956DF3">
            <w:pPr>
              <w:pStyle w:val="051Tabletext22"/>
              <w:jc w:val="right"/>
              <w:rPr>
                <w:rFonts w:eastAsiaTheme="minorHAnsi"/>
              </w:rPr>
            </w:pPr>
            <w:r w:rsidRPr="00E65B62">
              <w:rPr>
                <w:rFonts w:eastAsiaTheme="minorHAnsi"/>
              </w:rPr>
              <w:t>$177,450</w:t>
            </w:r>
          </w:p>
        </w:tc>
        <w:tc>
          <w:tcPr>
            <w:tcW w:w="574" w:type="pct"/>
            <w:noWrap/>
            <w:hideMark/>
          </w:tcPr>
          <w:p w14:paraId="1F737CD2" w14:textId="77777777" w:rsidR="00CB3C3D" w:rsidRPr="00E65B62" w:rsidRDefault="00CB3C3D" w:rsidP="00956DF3">
            <w:pPr>
              <w:pStyle w:val="051Tabletext22"/>
              <w:jc w:val="right"/>
              <w:rPr>
                <w:rFonts w:eastAsiaTheme="minorHAnsi"/>
              </w:rPr>
            </w:pPr>
            <w:r w:rsidRPr="00E65B62">
              <w:rPr>
                <w:rFonts w:eastAsiaTheme="minorHAnsi"/>
              </w:rPr>
              <w:t>$180,075</w:t>
            </w:r>
          </w:p>
        </w:tc>
        <w:tc>
          <w:tcPr>
            <w:tcW w:w="574" w:type="pct"/>
            <w:noWrap/>
            <w:hideMark/>
          </w:tcPr>
          <w:p w14:paraId="2C8842C8" w14:textId="77777777" w:rsidR="00CB3C3D" w:rsidRPr="00E65B62" w:rsidRDefault="00CB3C3D" w:rsidP="00956DF3">
            <w:pPr>
              <w:pStyle w:val="051Tabletext22"/>
              <w:jc w:val="right"/>
              <w:rPr>
                <w:rFonts w:eastAsiaTheme="minorHAnsi"/>
              </w:rPr>
            </w:pPr>
            <w:r w:rsidRPr="00E65B62">
              <w:rPr>
                <w:rFonts w:eastAsiaTheme="minorHAnsi"/>
              </w:rPr>
              <w:t>$182,175</w:t>
            </w:r>
          </w:p>
        </w:tc>
        <w:tc>
          <w:tcPr>
            <w:tcW w:w="574" w:type="pct"/>
            <w:noWrap/>
            <w:hideMark/>
          </w:tcPr>
          <w:p w14:paraId="0276B8DE" w14:textId="77777777" w:rsidR="00CB3C3D" w:rsidRPr="00E65B62" w:rsidRDefault="00CB3C3D" w:rsidP="00956DF3">
            <w:pPr>
              <w:pStyle w:val="051Tabletext22"/>
              <w:jc w:val="right"/>
              <w:rPr>
                <w:rFonts w:eastAsiaTheme="minorHAnsi"/>
              </w:rPr>
            </w:pPr>
            <w:r w:rsidRPr="00E65B62">
              <w:rPr>
                <w:rFonts w:eastAsiaTheme="minorHAnsi"/>
              </w:rPr>
              <w:t>$184,800</w:t>
            </w:r>
          </w:p>
        </w:tc>
        <w:tc>
          <w:tcPr>
            <w:tcW w:w="573" w:type="pct"/>
            <w:noWrap/>
            <w:hideMark/>
          </w:tcPr>
          <w:p w14:paraId="1F9ED7B2" w14:textId="77777777" w:rsidR="00CB3C3D" w:rsidRPr="00E65B62" w:rsidRDefault="00CB3C3D" w:rsidP="00956DF3">
            <w:pPr>
              <w:pStyle w:val="051Tabletext22"/>
              <w:jc w:val="right"/>
              <w:rPr>
                <w:rFonts w:eastAsiaTheme="minorHAnsi"/>
              </w:rPr>
            </w:pPr>
            <w:r w:rsidRPr="00E65B62">
              <w:rPr>
                <w:rFonts w:eastAsiaTheme="minorHAnsi"/>
              </w:rPr>
              <w:t>$186,900</w:t>
            </w:r>
          </w:p>
        </w:tc>
      </w:tr>
      <w:tr w:rsidR="00CB3C3D" w:rsidRPr="00E65B62" w14:paraId="3D20FFB6" w14:textId="77777777" w:rsidTr="00B10685">
        <w:trPr>
          <w:trHeight w:val="270"/>
        </w:trPr>
        <w:tc>
          <w:tcPr>
            <w:tcW w:w="1556" w:type="pct"/>
            <w:hideMark/>
          </w:tcPr>
          <w:p w14:paraId="52D573F5" w14:textId="5603438C" w:rsidR="00CB3C3D" w:rsidRPr="00E65B62" w:rsidRDefault="00CB3C3D">
            <w:pPr>
              <w:pStyle w:val="051Tabletext22"/>
              <w:rPr>
                <w:rFonts w:eastAsiaTheme="minorHAnsi"/>
              </w:rPr>
            </w:pPr>
            <w:r w:rsidRPr="00E65B62">
              <w:rPr>
                <w:rFonts w:eastAsiaTheme="minorHAnsi"/>
              </w:rPr>
              <w:t xml:space="preserve">Cost to the MBS </w:t>
            </w:r>
            <w:r>
              <w:rPr>
                <w:rFonts w:eastAsiaTheme="minorHAnsi"/>
              </w:rPr>
              <w:t xml:space="preserve">of </w:t>
            </w:r>
            <w:r w:rsidRPr="00E65B62">
              <w:rPr>
                <w:rFonts w:eastAsiaTheme="minorHAnsi"/>
              </w:rPr>
              <w:t>anti-ADAMTS13 autoantibody test</w:t>
            </w:r>
            <w:r>
              <w:rPr>
                <w:rFonts w:eastAsiaTheme="minorHAnsi"/>
              </w:rPr>
              <w:t>ing</w:t>
            </w:r>
            <w:r w:rsidRPr="00E65B62">
              <w:rPr>
                <w:rFonts w:eastAsiaTheme="minorHAnsi"/>
              </w:rPr>
              <w:t xml:space="preserve"> </w:t>
            </w:r>
            <w:r>
              <w:rPr>
                <w:rFonts w:eastAsiaTheme="minorHAnsi"/>
              </w:rPr>
              <w:t>services (</w:t>
            </w:r>
            <w:r w:rsidRPr="00E65B62">
              <w:rPr>
                <w:rFonts w:eastAsiaTheme="minorHAnsi"/>
              </w:rPr>
              <w:t>75%</w:t>
            </w:r>
            <w:r>
              <w:rPr>
                <w:rFonts w:eastAsiaTheme="minorHAnsi"/>
              </w:rPr>
              <w:t xml:space="preserve"> benefit</w:t>
            </w:r>
            <w:r w:rsidRPr="00E65B62">
              <w:rPr>
                <w:rFonts w:eastAsiaTheme="minorHAnsi"/>
              </w:rPr>
              <w:t>)</w:t>
            </w:r>
            <w:r w:rsidR="001C03BF">
              <w:rPr>
                <w:rFonts w:eastAsiaTheme="minorHAnsi"/>
              </w:rPr>
              <w:t xml:space="preserve"> [H]</w:t>
            </w:r>
          </w:p>
        </w:tc>
        <w:tc>
          <w:tcPr>
            <w:tcW w:w="575" w:type="pct"/>
            <w:noWrap/>
          </w:tcPr>
          <w:p w14:paraId="61CE6900" w14:textId="77777777" w:rsidR="00CB3C3D" w:rsidRPr="00E65B62" w:rsidRDefault="00CB3C3D" w:rsidP="00956DF3">
            <w:pPr>
              <w:pStyle w:val="051Tabletext22"/>
              <w:jc w:val="right"/>
              <w:rPr>
                <w:rFonts w:eastAsiaTheme="minorHAnsi"/>
              </w:rPr>
            </w:pPr>
            <w:r w:rsidRPr="00E65B62">
              <w:rPr>
                <w:rFonts w:eastAsiaTheme="minorHAnsi"/>
              </w:rPr>
              <w:t>$59,</w:t>
            </w:r>
            <w:r w:rsidRPr="00267F35">
              <w:t>063</w:t>
            </w:r>
          </w:p>
        </w:tc>
        <w:tc>
          <w:tcPr>
            <w:tcW w:w="574" w:type="pct"/>
            <w:noWrap/>
            <w:hideMark/>
          </w:tcPr>
          <w:p w14:paraId="469F0D86" w14:textId="77777777" w:rsidR="00CB3C3D" w:rsidRPr="00E65B62" w:rsidRDefault="00CB3C3D" w:rsidP="00956DF3">
            <w:pPr>
              <w:pStyle w:val="051Tabletext22"/>
              <w:jc w:val="right"/>
              <w:rPr>
                <w:rFonts w:eastAsiaTheme="minorHAnsi"/>
              </w:rPr>
            </w:pPr>
            <w:r w:rsidRPr="00E65B62">
              <w:rPr>
                <w:rFonts w:eastAsiaTheme="minorHAnsi"/>
              </w:rPr>
              <w:t>$59,850</w:t>
            </w:r>
          </w:p>
        </w:tc>
        <w:tc>
          <w:tcPr>
            <w:tcW w:w="574" w:type="pct"/>
            <w:noWrap/>
            <w:hideMark/>
          </w:tcPr>
          <w:p w14:paraId="5ED6B66E" w14:textId="77777777" w:rsidR="00CB3C3D" w:rsidRPr="00E65B62" w:rsidRDefault="00CB3C3D" w:rsidP="00956DF3">
            <w:pPr>
              <w:pStyle w:val="051Tabletext22"/>
              <w:jc w:val="right"/>
              <w:rPr>
                <w:rFonts w:eastAsiaTheme="minorHAnsi"/>
              </w:rPr>
            </w:pPr>
            <w:r w:rsidRPr="00E65B62">
              <w:rPr>
                <w:rFonts w:eastAsiaTheme="minorHAnsi"/>
              </w:rPr>
              <w:t>$61,425</w:t>
            </w:r>
          </w:p>
        </w:tc>
        <w:tc>
          <w:tcPr>
            <w:tcW w:w="574" w:type="pct"/>
            <w:noWrap/>
            <w:hideMark/>
          </w:tcPr>
          <w:p w14:paraId="6E217140" w14:textId="77777777" w:rsidR="00CB3C3D" w:rsidRPr="00E65B62" w:rsidRDefault="00CB3C3D" w:rsidP="00956DF3">
            <w:pPr>
              <w:pStyle w:val="051Tabletext22"/>
              <w:jc w:val="right"/>
              <w:rPr>
                <w:rFonts w:eastAsiaTheme="minorHAnsi"/>
              </w:rPr>
            </w:pPr>
            <w:r w:rsidRPr="00E65B62">
              <w:rPr>
                <w:rFonts w:eastAsiaTheme="minorHAnsi"/>
              </w:rPr>
              <w:t>$62,</w:t>
            </w:r>
            <w:r w:rsidRPr="00267F35">
              <w:t>213</w:t>
            </w:r>
          </w:p>
        </w:tc>
        <w:tc>
          <w:tcPr>
            <w:tcW w:w="574" w:type="pct"/>
            <w:noWrap/>
            <w:hideMark/>
          </w:tcPr>
          <w:p w14:paraId="1402958B" w14:textId="77777777" w:rsidR="00CB3C3D" w:rsidRPr="00E65B62" w:rsidRDefault="00CB3C3D" w:rsidP="00956DF3">
            <w:pPr>
              <w:pStyle w:val="051Tabletext22"/>
              <w:jc w:val="right"/>
              <w:rPr>
                <w:rFonts w:eastAsiaTheme="minorHAnsi"/>
              </w:rPr>
            </w:pPr>
            <w:r w:rsidRPr="00E65B62">
              <w:rPr>
                <w:rFonts w:eastAsiaTheme="minorHAnsi"/>
              </w:rPr>
              <w:t>$62,</w:t>
            </w:r>
            <w:r w:rsidRPr="00267F35">
              <w:t>213</w:t>
            </w:r>
          </w:p>
        </w:tc>
        <w:tc>
          <w:tcPr>
            <w:tcW w:w="573" w:type="pct"/>
            <w:noWrap/>
            <w:hideMark/>
          </w:tcPr>
          <w:p w14:paraId="422FC18C" w14:textId="77777777" w:rsidR="00CB3C3D" w:rsidRPr="00E65B62" w:rsidRDefault="00CB3C3D" w:rsidP="00956DF3">
            <w:pPr>
              <w:pStyle w:val="051Tabletext22"/>
              <w:jc w:val="right"/>
              <w:rPr>
                <w:rFonts w:eastAsiaTheme="minorHAnsi"/>
              </w:rPr>
            </w:pPr>
            <w:r w:rsidRPr="00E65B62">
              <w:rPr>
                <w:rFonts w:eastAsiaTheme="minorHAnsi"/>
              </w:rPr>
              <w:t>$63,000</w:t>
            </w:r>
          </w:p>
        </w:tc>
      </w:tr>
      <w:tr w:rsidR="00273AD6" w:rsidRPr="00E65B62" w14:paraId="1A0F1416" w14:textId="77777777" w:rsidTr="00B10685">
        <w:trPr>
          <w:trHeight w:val="290"/>
        </w:trPr>
        <w:tc>
          <w:tcPr>
            <w:tcW w:w="1556" w:type="pct"/>
            <w:hideMark/>
          </w:tcPr>
          <w:p w14:paraId="35FEB984" w14:textId="37DC3F83" w:rsidR="00273AD6" w:rsidRPr="00E65B62" w:rsidRDefault="00273AD6" w:rsidP="00273AD6">
            <w:pPr>
              <w:pStyle w:val="051Tabletext22"/>
              <w:rPr>
                <w:rFonts w:eastAsiaTheme="minorHAnsi"/>
              </w:rPr>
            </w:pPr>
            <w:r w:rsidRPr="00E65B62">
              <w:rPr>
                <w:rFonts w:eastAsiaTheme="minorHAnsi"/>
              </w:rPr>
              <w:t xml:space="preserve">Cost to the MBS </w:t>
            </w:r>
            <w:r>
              <w:rPr>
                <w:rFonts w:eastAsiaTheme="minorHAnsi"/>
              </w:rPr>
              <w:t xml:space="preserve">of </w:t>
            </w:r>
            <w:r w:rsidR="00BC5368">
              <w:rPr>
                <w:rFonts w:eastAsiaTheme="minorHAnsi"/>
              </w:rPr>
              <w:t>affected individual</w:t>
            </w:r>
            <w:r w:rsidR="00BC5368" w:rsidRPr="00E65B62">
              <w:rPr>
                <w:rFonts w:eastAsiaTheme="minorHAnsi"/>
              </w:rPr>
              <w:t xml:space="preserve"> </w:t>
            </w:r>
            <w:r w:rsidRPr="00E65B62">
              <w:rPr>
                <w:rFonts w:eastAsiaTheme="minorHAnsi"/>
              </w:rPr>
              <w:t>genetic</w:t>
            </w:r>
            <w:r>
              <w:rPr>
                <w:rFonts w:eastAsiaTheme="minorHAnsi"/>
              </w:rPr>
              <w:t xml:space="preserve"> testing</w:t>
            </w:r>
            <w:r w:rsidRPr="00E65B62">
              <w:rPr>
                <w:rFonts w:eastAsiaTheme="minorHAnsi"/>
              </w:rPr>
              <w:t xml:space="preserve"> services </w:t>
            </w:r>
            <w:r>
              <w:rPr>
                <w:rFonts w:eastAsiaTheme="minorHAnsi"/>
              </w:rPr>
              <w:t>(</w:t>
            </w:r>
            <w:r w:rsidRPr="00E65B62">
              <w:rPr>
                <w:rFonts w:eastAsiaTheme="minorHAnsi"/>
              </w:rPr>
              <w:t>85%</w:t>
            </w:r>
            <w:r>
              <w:rPr>
                <w:rFonts w:eastAsiaTheme="minorHAnsi"/>
              </w:rPr>
              <w:t xml:space="preserve"> benefit</w:t>
            </w:r>
            <w:r w:rsidRPr="00E65B62">
              <w:rPr>
                <w:rFonts w:eastAsiaTheme="minorHAnsi"/>
              </w:rPr>
              <w:t>)</w:t>
            </w:r>
            <w:r w:rsidR="00013D17">
              <w:rPr>
                <w:rFonts w:eastAsiaTheme="minorHAnsi"/>
              </w:rPr>
              <w:t xml:space="preserve"> [I]</w:t>
            </w:r>
          </w:p>
        </w:tc>
        <w:tc>
          <w:tcPr>
            <w:tcW w:w="575" w:type="pct"/>
            <w:noWrap/>
          </w:tcPr>
          <w:p w14:paraId="081FD2F9" w14:textId="6D54F347" w:rsidR="00273AD6" w:rsidRPr="00E65B62" w:rsidRDefault="00273AD6" w:rsidP="00273AD6">
            <w:pPr>
              <w:pStyle w:val="051Tabletext22"/>
              <w:jc w:val="right"/>
              <w:rPr>
                <w:rFonts w:eastAsiaTheme="minorHAnsi"/>
              </w:rPr>
            </w:pPr>
            <w:r w:rsidRPr="003A34E2">
              <w:t>$3,287</w:t>
            </w:r>
          </w:p>
        </w:tc>
        <w:tc>
          <w:tcPr>
            <w:tcW w:w="574" w:type="pct"/>
            <w:noWrap/>
            <w:hideMark/>
          </w:tcPr>
          <w:p w14:paraId="47ED6203" w14:textId="6F05DFE7" w:rsidR="00273AD6" w:rsidRPr="00E65B62" w:rsidRDefault="00273AD6" w:rsidP="00273AD6">
            <w:pPr>
              <w:pStyle w:val="051Tabletext22"/>
              <w:jc w:val="right"/>
              <w:rPr>
                <w:rFonts w:eastAsiaTheme="minorHAnsi"/>
              </w:rPr>
            </w:pPr>
            <w:r w:rsidRPr="003A34E2">
              <w:t>$3,287</w:t>
            </w:r>
          </w:p>
        </w:tc>
        <w:tc>
          <w:tcPr>
            <w:tcW w:w="574" w:type="pct"/>
            <w:noWrap/>
            <w:hideMark/>
          </w:tcPr>
          <w:p w14:paraId="78D5F8D5" w14:textId="4F6B9D86" w:rsidR="00273AD6" w:rsidRPr="00E65B62" w:rsidRDefault="00273AD6" w:rsidP="00273AD6">
            <w:pPr>
              <w:pStyle w:val="051Tabletext22"/>
              <w:jc w:val="right"/>
              <w:rPr>
                <w:rFonts w:eastAsiaTheme="minorHAnsi"/>
              </w:rPr>
            </w:pPr>
            <w:r w:rsidRPr="003A34E2">
              <w:t>$3,287</w:t>
            </w:r>
          </w:p>
        </w:tc>
        <w:tc>
          <w:tcPr>
            <w:tcW w:w="574" w:type="pct"/>
            <w:noWrap/>
            <w:hideMark/>
          </w:tcPr>
          <w:p w14:paraId="43B80B39" w14:textId="6E86FA37" w:rsidR="00273AD6" w:rsidRPr="00E65B62" w:rsidRDefault="00273AD6" w:rsidP="00273AD6">
            <w:pPr>
              <w:pStyle w:val="051Tabletext22"/>
              <w:jc w:val="right"/>
              <w:rPr>
                <w:rFonts w:eastAsiaTheme="minorHAnsi"/>
              </w:rPr>
            </w:pPr>
            <w:r w:rsidRPr="003A34E2">
              <w:t>$3,287</w:t>
            </w:r>
          </w:p>
        </w:tc>
        <w:tc>
          <w:tcPr>
            <w:tcW w:w="574" w:type="pct"/>
            <w:noWrap/>
            <w:hideMark/>
          </w:tcPr>
          <w:p w14:paraId="06936FB0" w14:textId="4B39F655" w:rsidR="00273AD6" w:rsidRPr="00E65B62" w:rsidRDefault="00273AD6" w:rsidP="00273AD6">
            <w:pPr>
              <w:pStyle w:val="051Tabletext22"/>
              <w:jc w:val="right"/>
              <w:rPr>
                <w:rFonts w:eastAsiaTheme="minorHAnsi"/>
              </w:rPr>
            </w:pPr>
            <w:r w:rsidRPr="003A34E2">
              <w:t>$3,287</w:t>
            </w:r>
          </w:p>
        </w:tc>
        <w:tc>
          <w:tcPr>
            <w:tcW w:w="573" w:type="pct"/>
            <w:noWrap/>
            <w:hideMark/>
          </w:tcPr>
          <w:p w14:paraId="61306E94" w14:textId="09ABF984" w:rsidR="00273AD6" w:rsidRPr="00E65B62" w:rsidRDefault="00273AD6" w:rsidP="00273AD6">
            <w:pPr>
              <w:pStyle w:val="051Tabletext22"/>
              <w:jc w:val="right"/>
              <w:rPr>
                <w:rFonts w:eastAsiaTheme="minorHAnsi"/>
              </w:rPr>
            </w:pPr>
            <w:r w:rsidRPr="003A34E2">
              <w:t>$3,287</w:t>
            </w:r>
          </w:p>
        </w:tc>
      </w:tr>
      <w:tr w:rsidR="00273AD6" w:rsidRPr="00E65B62" w14:paraId="74335640" w14:textId="77777777" w:rsidTr="00B10685">
        <w:trPr>
          <w:trHeight w:val="13"/>
        </w:trPr>
        <w:tc>
          <w:tcPr>
            <w:tcW w:w="1556" w:type="pct"/>
            <w:hideMark/>
          </w:tcPr>
          <w:p w14:paraId="4F824E2F" w14:textId="0CF0EFDF" w:rsidR="00273AD6" w:rsidRPr="006B65F3" w:rsidRDefault="00273AD6" w:rsidP="00273AD6">
            <w:pPr>
              <w:pStyle w:val="051Tabletext22"/>
              <w:rPr>
                <w:rFonts w:eastAsiaTheme="minorHAnsi"/>
                <w:b/>
                <w:bCs/>
              </w:rPr>
            </w:pPr>
            <w:r w:rsidRPr="006B65F3">
              <w:rPr>
                <w:rFonts w:eastAsiaTheme="minorHAnsi"/>
                <w:b/>
                <w:bCs/>
              </w:rPr>
              <w:t xml:space="preserve">Total cost to the MBS </w:t>
            </w:r>
            <w:r>
              <w:rPr>
                <w:rFonts w:eastAsiaTheme="minorHAnsi"/>
                <w:b/>
                <w:bCs/>
              </w:rPr>
              <w:t>of</w:t>
            </w:r>
            <w:r w:rsidRPr="006B65F3">
              <w:rPr>
                <w:rFonts w:eastAsiaTheme="minorHAnsi"/>
                <w:b/>
                <w:bCs/>
              </w:rPr>
              <w:t xml:space="preserve"> PICO 1 – diagnos</w:t>
            </w:r>
            <w:r>
              <w:rPr>
                <w:rFonts w:eastAsiaTheme="minorHAnsi"/>
                <w:b/>
                <w:bCs/>
              </w:rPr>
              <w:t>tic testing services</w:t>
            </w:r>
            <w:r w:rsidRPr="006B65F3">
              <w:rPr>
                <w:rFonts w:eastAsiaTheme="minorHAnsi"/>
                <w:b/>
                <w:bCs/>
              </w:rPr>
              <w:t xml:space="preserve"> </w:t>
            </w:r>
            <w:r w:rsidR="00DF48BD">
              <w:rPr>
                <w:rFonts w:eastAsiaTheme="minorHAnsi"/>
                <w:b/>
                <w:bCs/>
              </w:rPr>
              <w:t>[J]</w:t>
            </w:r>
          </w:p>
        </w:tc>
        <w:tc>
          <w:tcPr>
            <w:tcW w:w="575" w:type="pct"/>
            <w:noWrap/>
          </w:tcPr>
          <w:p w14:paraId="54FE31C5" w14:textId="2590003E" w:rsidR="00273AD6" w:rsidRPr="006B65F3" w:rsidRDefault="00273AD6" w:rsidP="00273AD6">
            <w:pPr>
              <w:pStyle w:val="051Tabletext22"/>
              <w:jc w:val="right"/>
              <w:rPr>
                <w:rFonts w:eastAsiaTheme="minorHAnsi"/>
                <w:b/>
                <w:bCs/>
              </w:rPr>
            </w:pPr>
            <w:r w:rsidRPr="00580C20">
              <w:rPr>
                <w:b/>
                <w:bCs/>
              </w:rPr>
              <w:t>$237,699</w:t>
            </w:r>
          </w:p>
        </w:tc>
        <w:tc>
          <w:tcPr>
            <w:tcW w:w="574" w:type="pct"/>
            <w:noWrap/>
            <w:hideMark/>
          </w:tcPr>
          <w:p w14:paraId="36C84475" w14:textId="20660259" w:rsidR="00273AD6" w:rsidRPr="006B65F3" w:rsidRDefault="00273AD6" w:rsidP="00273AD6">
            <w:pPr>
              <w:pStyle w:val="051Tabletext22"/>
              <w:jc w:val="right"/>
              <w:rPr>
                <w:rFonts w:eastAsiaTheme="minorHAnsi"/>
                <w:b/>
                <w:bCs/>
              </w:rPr>
            </w:pPr>
            <w:r w:rsidRPr="00580C20">
              <w:rPr>
                <w:b/>
                <w:bCs/>
              </w:rPr>
              <w:t>$240,587</w:t>
            </w:r>
          </w:p>
        </w:tc>
        <w:tc>
          <w:tcPr>
            <w:tcW w:w="574" w:type="pct"/>
            <w:noWrap/>
            <w:hideMark/>
          </w:tcPr>
          <w:p w14:paraId="3BF719F1" w14:textId="0474D02D" w:rsidR="00273AD6" w:rsidRPr="006B65F3" w:rsidRDefault="00273AD6" w:rsidP="00273AD6">
            <w:pPr>
              <w:pStyle w:val="051Tabletext22"/>
              <w:jc w:val="right"/>
              <w:rPr>
                <w:rFonts w:eastAsiaTheme="minorHAnsi"/>
                <w:b/>
                <w:bCs/>
              </w:rPr>
            </w:pPr>
            <w:r w:rsidRPr="00580C20">
              <w:rPr>
                <w:b/>
                <w:bCs/>
              </w:rPr>
              <w:t>$244,787</w:t>
            </w:r>
          </w:p>
        </w:tc>
        <w:tc>
          <w:tcPr>
            <w:tcW w:w="574" w:type="pct"/>
            <w:noWrap/>
            <w:hideMark/>
          </w:tcPr>
          <w:p w14:paraId="11AAF970" w14:textId="1062F889" w:rsidR="00273AD6" w:rsidRPr="006B65F3" w:rsidRDefault="00273AD6" w:rsidP="00273AD6">
            <w:pPr>
              <w:pStyle w:val="051Tabletext22"/>
              <w:jc w:val="right"/>
              <w:rPr>
                <w:rFonts w:eastAsiaTheme="minorHAnsi"/>
                <w:b/>
                <w:bCs/>
              </w:rPr>
            </w:pPr>
            <w:r w:rsidRPr="00580C20">
              <w:rPr>
                <w:b/>
                <w:bCs/>
              </w:rPr>
              <w:t>$247,674</w:t>
            </w:r>
          </w:p>
        </w:tc>
        <w:tc>
          <w:tcPr>
            <w:tcW w:w="574" w:type="pct"/>
            <w:noWrap/>
            <w:hideMark/>
          </w:tcPr>
          <w:p w14:paraId="672FEAB8" w14:textId="3FE55D5C" w:rsidR="00273AD6" w:rsidRPr="006B65F3" w:rsidRDefault="00273AD6" w:rsidP="00273AD6">
            <w:pPr>
              <w:pStyle w:val="051Tabletext22"/>
              <w:jc w:val="right"/>
              <w:rPr>
                <w:rFonts w:eastAsiaTheme="minorHAnsi"/>
                <w:b/>
                <w:bCs/>
              </w:rPr>
            </w:pPr>
            <w:r w:rsidRPr="00580C20">
              <w:rPr>
                <w:b/>
                <w:bCs/>
              </w:rPr>
              <w:t>$250,299</w:t>
            </w:r>
          </w:p>
        </w:tc>
        <w:tc>
          <w:tcPr>
            <w:tcW w:w="573" w:type="pct"/>
            <w:noWrap/>
            <w:hideMark/>
          </w:tcPr>
          <w:p w14:paraId="344C750D" w14:textId="4D7B4394" w:rsidR="00273AD6" w:rsidRPr="006B65F3" w:rsidRDefault="00273AD6" w:rsidP="00273AD6">
            <w:pPr>
              <w:pStyle w:val="051Tabletext22"/>
              <w:jc w:val="right"/>
              <w:rPr>
                <w:rFonts w:eastAsiaTheme="minorHAnsi"/>
                <w:b/>
                <w:bCs/>
              </w:rPr>
            </w:pPr>
            <w:r w:rsidRPr="00580C20">
              <w:rPr>
                <w:b/>
                <w:bCs/>
              </w:rPr>
              <w:t>$253,187</w:t>
            </w:r>
          </w:p>
        </w:tc>
      </w:tr>
      <w:tr w:rsidR="00CB3C3D" w:rsidRPr="00E65B62" w14:paraId="69BE59A4" w14:textId="77777777" w:rsidTr="00B10685">
        <w:trPr>
          <w:trHeight w:val="290"/>
        </w:trPr>
        <w:tc>
          <w:tcPr>
            <w:tcW w:w="1556" w:type="pct"/>
            <w:hideMark/>
          </w:tcPr>
          <w:p w14:paraId="7080CFFB" w14:textId="74D3047E" w:rsidR="00CB3C3D" w:rsidRPr="008048C8" w:rsidRDefault="00CB3C3D">
            <w:pPr>
              <w:pStyle w:val="051Tabletext22"/>
              <w:rPr>
                <w:rFonts w:eastAsiaTheme="minorHAnsi"/>
                <w:b/>
                <w:bCs/>
              </w:rPr>
            </w:pPr>
            <w:r w:rsidRPr="008048C8">
              <w:rPr>
                <w:rFonts w:eastAsiaTheme="minorHAnsi"/>
                <w:b/>
                <w:bCs/>
              </w:rPr>
              <w:t xml:space="preserve">Total cost to the MBS </w:t>
            </w:r>
            <w:r>
              <w:rPr>
                <w:rFonts w:eastAsiaTheme="minorHAnsi"/>
                <w:b/>
                <w:bCs/>
              </w:rPr>
              <w:t>of</w:t>
            </w:r>
            <w:r w:rsidRPr="006B65F3">
              <w:rPr>
                <w:rFonts w:eastAsiaTheme="minorHAnsi"/>
                <w:b/>
                <w:bCs/>
              </w:rPr>
              <w:t xml:space="preserve"> PICO 2 – cascade </w:t>
            </w:r>
            <w:r>
              <w:rPr>
                <w:rFonts w:eastAsiaTheme="minorHAnsi"/>
                <w:b/>
                <w:bCs/>
              </w:rPr>
              <w:t xml:space="preserve">genetic </w:t>
            </w:r>
            <w:r w:rsidRPr="008048C8">
              <w:rPr>
                <w:rFonts w:eastAsiaTheme="minorHAnsi"/>
                <w:b/>
                <w:bCs/>
              </w:rPr>
              <w:t>testing</w:t>
            </w:r>
            <w:r>
              <w:rPr>
                <w:rFonts w:eastAsiaTheme="minorHAnsi"/>
                <w:b/>
                <w:bCs/>
              </w:rPr>
              <w:t xml:space="preserve"> services</w:t>
            </w:r>
            <w:r w:rsidR="005A2431">
              <w:rPr>
                <w:rFonts w:eastAsiaTheme="minorHAnsi"/>
                <w:b/>
                <w:bCs/>
              </w:rPr>
              <w:t xml:space="preserve"> [K]</w:t>
            </w:r>
          </w:p>
        </w:tc>
        <w:tc>
          <w:tcPr>
            <w:tcW w:w="575" w:type="pct"/>
            <w:noWrap/>
          </w:tcPr>
          <w:p w14:paraId="18B7BE68" w14:textId="77777777" w:rsidR="00CB3C3D" w:rsidRPr="008048C8" w:rsidRDefault="00CB3C3D" w:rsidP="00956DF3">
            <w:pPr>
              <w:pStyle w:val="051Tabletext22"/>
              <w:jc w:val="right"/>
              <w:rPr>
                <w:rFonts w:eastAsiaTheme="minorHAnsi"/>
                <w:b/>
                <w:bCs/>
              </w:rPr>
            </w:pPr>
            <w:r w:rsidRPr="008048C8">
              <w:rPr>
                <w:rFonts w:eastAsiaTheme="minorHAnsi"/>
                <w:b/>
                <w:bCs/>
              </w:rPr>
              <w:t>$680</w:t>
            </w:r>
          </w:p>
        </w:tc>
        <w:tc>
          <w:tcPr>
            <w:tcW w:w="574" w:type="pct"/>
            <w:noWrap/>
            <w:hideMark/>
          </w:tcPr>
          <w:p w14:paraId="5C1056C0" w14:textId="77777777" w:rsidR="00CB3C3D" w:rsidRPr="008048C8" w:rsidRDefault="00CB3C3D" w:rsidP="00956DF3">
            <w:pPr>
              <w:pStyle w:val="051Tabletext22"/>
              <w:jc w:val="right"/>
              <w:rPr>
                <w:rFonts w:eastAsiaTheme="minorHAnsi"/>
                <w:b/>
                <w:bCs/>
              </w:rPr>
            </w:pPr>
            <w:r w:rsidRPr="008048C8">
              <w:rPr>
                <w:rFonts w:eastAsiaTheme="minorHAnsi"/>
                <w:b/>
                <w:bCs/>
              </w:rPr>
              <w:t>$680</w:t>
            </w:r>
          </w:p>
        </w:tc>
        <w:tc>
          <w:tcPr>
            <w:tcW w:w="574" w:type="pct"/>
            <w:noWrap/>
            <w:hideMark/>
          </w:tcPr>
          <w:p w14:paraId="79DCDBB6" w14:textId="77777777" w:rsidR="00CB3C3D" w:rsidRPr="008048C8" w:rsidRDefault="00CB3C3D" w:rsidP="00956DF3">
            <w:pPr>
              <w:pStyle w:val="051Tabletext22"/>
              <w:jc w:val="right"/>
              <w:rPr>
                <w:rFonts w:eastAsiaTheme="minorHAnsi"/>
                <w:b/>
                <w:bCs/>
              </w:rPr>
            </w:pPr>
            <w:r w:rsidRPr="008048C8">
              <w:rPr>
                <w:rFonts w:eastAsiaTheme="minorHAnsi"/>
                <w:b/>
                <w:bCs/>
              </w:rPr>
              <w:t>$680</w:t>
            </w:r>
          </w:p>
        </w:tc>
        <w:tc>
          <w:tcPr>
            <w:tcW w:w="574" w:type="pct"/>
            <w:noWrap/>
            <w:hideMark/>
          </w:tcPr>
          <w:p w14:paraId="28E5DEC3" w14:textId="77777777" w:rsidR="00CB3C3D" w:rsidRPr="008048C8" w:rsidRDefault="00CB3C3D" w:rsidP="00956DF3">
            <w:pPr>
              <w:pStyle w:val="051Tabletext22"/>
              <w:jc w:val="right"/>
              <w:rPr>
                <w:rFonts w:eastAsiaTheme="minorHAnsi"/>
                <w:b/>
                <w:bCs/>
              </w:rPr>
            </w:pPr>
            <w:r w:rsidRPr="008048C8">
              <w:rPr>
                <w:rFonts w:eastAsiaTheme="minorHAnsi"/>
                <w:b/>
                <w:bCs/>
              </w:rPr>
              <w:t>$680</w:t>
            </w:r>
          </w:p>
        </w:tc>
        <w:tc>
          <w:tcPr>
            <w:tcW w:w="574" w:type="pct"/>
            <w:noWrap/>
            <w:hideMark/>
          </w:tcPr>
          <w:p w14:paraId="159FAC3E" w14:textId="77777777" w:rsidR="00CB3C3D" w:rsidRPr="008048C8" w:rsidRDefault="00CB3C3D" w:rsidP="00956DF3">
            <w:pPr>
              <w:pStyle w:val="051Tabletext22"/>
              <w:jc w:val="right"/>
              <w:rPr>
                <w:rFonts w:eastAsiaTheme="minorHAnsi"/>
                <w:b/>
                <w:bCs/>
              </w:rPr>
            </w:pPr>
            <w:r w:rsidRPr="008048C8">
              <w:rPr>
                <w:rFonts w:eastAsiaTheme="minorHAnsi"/>
                <w:b/>
                <w:bCs/>
              </w:rPr>
              <w:t>$680</w:t>
            </w:r>
          </w:p>
        </w:tc>
        <w:tc>
          <w:tcPr>
            <w:tcW w:w="573" w:type="pct"/>
            <w:noWrap/>
            <w:hideMark/>
          </w:tcPr>
          <w:p w14:paraId="299F925A" w14:textId="77777777" w:rsidR="00CB3C3D" w:rsidRPr="008048C8" w:rsidRDefault="00CB3C3D" w:rsidP="00956DF3">
            <w:pPr>
              <w:pStyle w:val="051Tabletext22"/>
              <w:jc w:val="right"/>
              <w:rPr>
                <w:rFonts w:eastAsiaTheme="minorHAnsi"/>
                <w:b/>
                <w:bCs/>
              </w:rPr>
            </w:pPr>
            <w:r w:rsidRPr="008048C8">
              <w:rPr>
                <w:rFonts w:eastAsiaTheme="minorHAnsi"/>
                <w:b/>
                <w:bCs/>
              </w:rPr>
              <w:t>$680</w:t>
            </w:r>
          </w:p>
        </w:tc>
      </w:tr>
    </w:tbl>
    <w:p w14:paraId="0C39076C" w14:textId="77777777" w:rsidR="00B10685" w:rsidRDefault="00B10685" w:rsidP="00913947">
      <w:pPr>
        <w:pStyle w:val="TableFigNoteLast"/>
      </w:pPr>
      <w:r w:rsidRPr="00F34A8F">
        <w:t>FY</w:t>
      </w:r>
      <w:r>
        <w:t xml:space="preserve"> </w:t>
      </w:r>
      <w:r w:rsidRPr="00F34A8F">
        <w:t>=</w:t>
      </w:r>
      <w:r>
        <w:t xml:space="preserve"> </w:t>
      </w:r>
      <w:r w:rsidRPr="00F34A8F">
        <w:t>financial year; MBS = Medicare Benefits Schedule</w:t>
      </w:r>
      <w:r>
        <w:t xml:space="preserve">; TTP = </w:t>
      </w:r>
      <w:r w:rsidRPr="006A3604">
        <w:t>thrombotic thrombocytopenic purpura</w:t>
      </w:r>
      <w:r>
        <w:t>.</w:t>
      </w:r>
    </w:p>
    <w:p w14:paraId="1CCF41D9" w14:textId="787A710D" w:rsidR="00312257" w:rsidRDefault="00312257" w:rsidP="00312257">
      <w:pPr>
        <w:pStyle w:val="TableFigNoteLast"/>
        <w:rPr>
          <w:lang w:val="en-US"/>
        </w:rPr>
      </w:pPr>
      <w:r>
        <w:rPr>
          <w:lang w:val="en-US"/>
        </w:rPr>
        <w:t xml:space="preserve">B = A x </w:t>
      </w:r>
      <w:r w:rsidR="00427CCE">
        <w:rPr>
          <w:lang w:val="en-US"/>
        </w:rPr>
        <w:t xml:space="preserve">incidence of suspected TTP (12/million/year) based on Merlen </w:t>
      </w:r>
      <w:r w:rsidR="000754AD">
        <w:rPr>
          <w:lang w:val="en-US"/>
        </w:rPr>
        <w:t xml:space="preserve">et al. </w:t>
      </w:r>
      <w:r w:rsidR="00427CCE">
        <w:rPr>
          <w:lang w:val="en-US"/>
        </w:rPr>
        <w:t>2022.</w:t>
      </w:r>
    </w:p>
    <w:p w14:paraId="793CAA03" w14:textId="7D3D30F1" w:rsidR="006E546F" w:rsidRDefault="006E546F">
      <w:pPr>
        <w:pStyle w:val="TableFigNoteLast"/>
        <w:rPr>
          <w:lang w:eastAsia="en-AU"/>
        </w:rPr>
      </w:pPr>
      <w:r>
        <w:rPr>
          <w:lang w:val="en-US"/>
        </w:rPr>
        <w:t xml:space="preserve">C = </w:t>
      </w:r>
      <w:r w:rsidR="007B4F7E">
        <w:rPr>
          <w:lang w:val="en-US"/>
        </w:rPr>
        <w:t>A</w:t>
      </w:r>
      <w:r>
        <w:rPr>
          <w:lang w:val="en-US"/>
        </w:rPr>
        <w:t xml:space="preserve"> </w:t>
      </w:r>
      <w:r w:rsidR="007B4F7E">
        <w:rPr>
          <w:lang w:val="en-US"/>
        </w:rPr>
        <w:t xml:space="preserve">x incidence of acute </w:t>
      </w:r>
      <w:r w:rsidR="00F06615">
        <w:rPr>
          <w:lang w:val="en-US"/>
        </w:rPr>
        <w:t xml:space="preserve">first-episode </w:t>
      </w:r>
      <w:r w:rsidR="007B4F7E">
        <w:rPr>
          <w:lang w:val="en-US"/>
        </w:rPr>
        <w:t>TTP per year</w:t>
      </w:r>
      <w:r w:rsidR="00F06615">
        <w:rPr>
          <w:lang w:val="en-US"/>
        </w:rPr>
        <w:t xml:space="preserve"> (2.17/million/year) based on </w:t>
      </w:r>
      <w:r w:rsidR="00F06615" w:rsidRPr="00FF2757">
        <w:rPr>
          <w:lang w:eastAsia="en-AU"/>
        </w:rPr>
        <w:t>Reese</w:t>
      </w:r>
      <w:r w:rsidR="004F369F">
        <w:rPr>
          <w:lang w:eastAsia="en-AU"/>
        </w:rPr>
        <w:t xml:space="preserve"> et al.</w:t>
      </w:r>
      <w:r w:rsidR="00F06615" w:rsidRPr="00FF2757">
        <w:rPr>
          <w:lang w:eastAsia="en-AU"/>
        </w:rPr>
        <w:t xml:space="preserve"> 2013</w:t>
      </w:r>
      <w:r w:rsidR="005B425A">
        <w:rPr>
          <w:lang w:eastAsia="en-AU"/>
        </w:rPr>
        <w:t>.</w:t>
      </w:r>
    </w:p>
    <w:p w14:paraId="21C1D14A" w14:textId="5EC22B1D" w:rsidR="002800B9" w:rsidRDefault="002800B9">
      <w:pPr>
        <w:pStyle w:val="TableFigNoteLast"/>
        <w:rPr>
          <w:lang w:eastAsia="en-AU"/>
        </w:rPr>
      </w:pPr>
      <w:r>
        <w:rPr>
          <w:lang w:eastAsia="en-AU"/>
        </w:rPr>
        <w:t xml:space="preserve">D = </w:t>
      </w:r>
      <w:r w:rsidR="00087746">
        <w:rPr>
          <w:lang w:eastAsia="en-AU"/>
        </w:rPr>
        <w:t>C</w:t>
      </w:r>
      <w:r w:rsidR="0038001A">
        <w:rPr>
          <w:lang w:eastAsia="en-AU"/>
        </w:rPr>
        <w:t xml:space="preserve"> + </w:t>
      </w:r>
      <w:r>
        <w:rPr>
          <w:lang w:eastAsia="en-AU"/>
        </w:rPr>
        <w:t>C x 25% to account for use in diagnosis where ADAMTS13 activity is equivocal</w:t>
      </w:r>
      <w:r w:rsidR="000865E8">
        <w:rPr>
          <w:lang w:eastAsia="en-AU"/>
        </w:rPr>
        <w:t xml:space="preserve"> (25% was an assumption)</w:t>
      </w:r>
      <w:r>
        <w:rPr>
          <w:lang w:eastAsia="en-AU"/>
        </w:rPr>
        <w:t>.</w:t>
      </w:r>
    </w:p>
    <w:p w14:paraId="507391D9" w14:textId="0FA8868E" w:rsidR="005B425A" w:rsidRDefault="005B425A">
      <w:pPr>
        <w:pStyle w:val="TableFigNoteLast"/>
        <w:rPr>
          <w:lang w:eastAsia="en-AU"/>
        </w:rPr>
      </w:pPr>
      <w:r>
        <w:rPr>
          <w:lang w:eastAsia="en-AU"/>
        </w:rPr>
        <w:t xml:space="preserve">E = </w:t>
      </w:r>
      <w:r w:rsidR="00815FA2">
        <w:rPr>
          <w:lang w:eastAsia="en-AU"/>
        </w:rPr>
        <w:t>5</w:t>
      </w:r>
      <w:r w:rsidR="007874D6">
        <w:rPr>
          <w:lang w:eastAsia="en-AU"/>
        </w:rPr>
        <w:t>% of C</w:t>
      </w:r>
      <w:r w:rsidR="00A015AC">
        <w:rPr>
          <w:lang w:eastAsia="en-AU"/>
        </w:rPr>
        <w:t xml:space="preserve"> (</w:t>
      </w:r>
      <w:r w:rsidR="001A2449">
        <w:rPr>
          <w:lang w:eastAsia="en-AU"/>
        </w:rPr>
        <w:t>a</w:t>
      </w:r>
      <w:r w:rsidR="00A015AC" w:rsidRPr="00A015AC">
        <w:rPr>
          <w:lang w:eastAsia="en-AU"/>
        </w:rPr>
        <w:t>ssume</w:t>
      </w:r>
      <w:r w:rsidR="001A2449">
        <w:rPr>
          <w:lang w:eastAsia="en-AU"/>
        </w:rPr>
        <w:t>d</w:t>
      </w:r>
      <w:r w:rsidR="00A015AC" w:rsidRPr="00A015AC">
        <w:rPr>
          <w:lang w:eastAsia="en-AU"/>
        </w:rPr>
        <w:t xml:space="preserve"> 5% of TTP patients proceed to genetic testing</w:t>
      </w:r>
      <w:r w:rsidR="001A2449">
        <w:rPr>
          <w:lang w:eastAsia="en-AU"/>
        </w:rPr>
        <w:t>)</w:t>
      </w:r>
      <w:r w:rsidR="00B3331D">
        <w:rPr>
          <w:lang w:eastAsia="en-AU"/>
        </w:rPr>
        <w:t>.</w:t>
      </w:r>
    </w:p>
    <w:p w14:paraId="031D2BC9" w14:textId="4F1FF5AD" w:rsidR="009907D2" w:rsidRDefault="001252AE" w:rsidP="00913947">
      <w:pPr>
        <w:pStyle w:val="TableFigNoteLast"/>
      </w:pPr>
      <w:r>
        <w:t xml:space="preserve">F = </w:t>
      </w:r>
      <w:r w:rsidR="00F67FC0">
        <w:t>E x 0.8</w:t>
      </w:r>
      <w:r w:rsidR="000865E8">
        <w:t xml:space="preserve"> (assumed 0.8 siblings per </w:t>
      </w:r>
      <w:r w:rsidR="0004030B">
        <w:t>proband</w:t>
      </w:r>
      <w:r w:rsidR="00B90ACF">
        <w:t>)</w:t>
      </w:r>
      <w:r w:rsidR="00F67FC0">
        <w:t>.</w:t>
      </w:r>
    </w:p>
    <w:p w14:paraId="78A2EB6D" w14:textId="28DC7E07" w:rsidR="00A315C0" w:rsidRDefault="00A315C0" w:rsidP="00913947">
      <w:pPr>
        <w:pStyle w:val="TableFigNoteLast"/>
      </w:pPr>
      <w:r>
        <w:t xml:space="preserve">G = B x </w:t>
      </w:r>
      <w:r w:rsidR="000E5076">
        <w:t xml:space="preserve">proposed fee for ADAMTS13 activity test </w:t>
      </w:r>
      <w:r w:rsidR="000A6D0D">
        <w:t>(</w:t>
      </w:r>
      <w:r w:rsidR="000E5076">
        <w:t>75% benefit</w:t>
      </w:r>
      <w:r w:rsidR="000A6D0D">
        <w:t xml:space="preserve">, </w:t>
      </w:r>
      <w:r w:rsidR="000E5076">
        <w:t>$</w:t>
      </w:r>
      <w:r w:rsidR="00633136">
        <w:t>525).</w:t>
      </w:r>
    </w:p>
    <w:p w14:paraId="61629BBB" w14:textId="1B2675A3" w:rsidR="001C03BF" w:rsidRDefault="001C03BF" w:rsidP="00913947">
      <w:pPr>
        <w:pStyle w:val="TableFigNoteLast"/>
      </w:pPr>
      <w:r>
        <w:t xml:space="preserve">H = </w:t>
      </w:r>
      <w:r w:rsidR="00172835">
        <w:t>D x proposed fee fo</w:t>
      </w:r>
      <w:r w:rsidR="00AF22EC">
        <w:t>r</w:t>
      </w:r>
      <w:r w:rsidR="00172835">
        <w:t xml:space="preserve"> anti-ADAMTS autoantibody testing</w:t>
      </w:r>
      <w:r w:rsidR="00AF22EC">
        <w:t xml:space="preserve"> </w:t>
      </w:r>
      <w:r w:rsidR="000A6D0D">
        <w:t>(</w:t>
      </w:r>
      <w:r w:rsidR="00AF22EC">
        <w:t>75% benefit</w:t>
      </w:r>
      <w:r w:rsidR="000A6D0D">
        <w:t xml:space="preserve">, </w:t>
      </w:r>
      <w:r w:rsidR="00830D17">
        <w:t>$788).</w:t>
      </w:r>
    </w:p>
    <w:p w14:paraId="6911431E" w14:textId="3883EAB5" w:rsidR="00013D17" w:rsidRDefault="00013D17" w:rsidP="00913947">
      <w:pPr>
        <w:pStyle w:val="TableFigNoteLast"/>
      </w:pPr>
      <w:r>
        <w:t xml:space="preserve">I = </w:t>
      </w:r>
      <w:r w:rsidR="000D21AC">
        <w:t xml:space="preserve">E x proposed fee for </w:t>
      </w:r>
      <w:r w:rsidR="00BC5368">
        <w:t xml:space="preserve">affected individual </w:t>
      </w:r>
      <w:r w:rsidR="000D21AC" w:rsidRPr="00665209">
        <w:rPr>
          <w:i/>
          <w:iCs/>
        </w:rPr>
        <w:t>ADAMTS13</w:t>
      </w:r>
      <w:r w:rsidR="000D21AC">
        <w:t xml:space="preserve"> genetic testing (85% benefit, $1,0</w:t>
      </w:r>
      <w:r w:rsidR="000A6D0D">
        <w:t>95.50).</w:t>
      </w:r>
    </w:p>
    <w:p w14:paraId="41880BD7" w14:textId="1BF05FD3" w:rsidR="00EF47F9" w:rsidRDefault="00EF47F9" w:rsidP="00913947">
      <w:pPr>
        <w:pStyle w:val="TableFigNoteLast"/>
      </w:pPr>
      <w:r>
        <w:t>J = G + H + I.</w:t>
      </w:r>
    </w:p>
    <w:p w14:paraId="5A771F2E" w14:textId="0FFAFE3C" w:rsidR="005A2431" w:rsidRPr="003659B7" w:rsidRDefault="005A2431" w:rsidP="00913947">
      <w:pPr>
        <w:pStyle w:val="TableFigNoteLast"/>
      </w:pPr>
      <w:r>
        <w:t xml:space="preserve">K = F x proposed fee for cascade </w:t>
      </w:r>
      <w:r w:rsidRPr="00665209">
        <w:rPr>
          <w:i/>
          <w:iCs/>
        </w:rPr>
        <w:t>ADAMTS13</w:t>
      </w:r>
      <w:r>
        <w:t xml:space="preserve"> genetic testing (85% benefit, $</w:t>
      </w:r>
      <w:r w:rsidR="00E90803">
        <w:t>340).</w:t>
      </w:r>
    </w:p>
    <w:p w14:paraId="0B41E7A6" w14:textId="6B5B101C" w:rsidR="00CB3C3D" w:rsidRDefault="00620F3F" w:rsidP="00CB3C3D">
      <w:pPr>
        <w:pStyle w:val="BodyText"/>
      </w:pPr>
      <w:r>
        <w:lastRenderedPageBreak/>
        <w:t xml:space="preserve">The financial impact based on extrapolation of pathology data </w:t>
      </w:r>
      <w:r w:rsidR="00576076">
        <w:t xml:space="preserve">was higher </w:t>
      </w:r>
      <w:r w:rsidR="00A054ED">
        <w:t>($</w:t>
      </w:r>
      <w:r w:rsidR="000A01AC">
        <w:t>399,6</w:t>
      </w:r>
      <w:r w:rsidR="001F1FBA">
        <w:t>0</w:t>
      </w:r>
      <w:r w:rsidR="000A01AC">
        <w:t xml:space="preserve">2 for diagnostic testing services and </w:t>
      </w:r>
      <w:r w:rsidR="00E55758">
        <w:t>$5,100 for cascade genetic testing services in year 20</w:t>
      </w:r>
      <w:r w:rsidR="00945E30">
        <w:t>32</w:t>
      </w:r>
      <w:r w:rsidR="00B67D03">
        <w:t>–</w:t>
      </w:r>
      <w:r w:rsidR="00945E30">
        <w:t>33</w:t>
      </w:r>
      <w:r w:rsidR="00A054ED">
        <w:t xml:space="preserve">) than </w:t>
      </w:r>
      <w:r w:rsidR="00945E30">
        <w:t>the epidemiology estimates</w:t>
      </w:r>
      <w:r w:rsidR="00A054ED">
        <w:t xml:space="preserve"> (</w:t>
      </w:r>
      <w:r w:rsidR="00945E30">
        <w:fldChar w:fldCharType="begin"/>
      </w:r>
      <w:r w:rsidR="00945E30">
        <w:instrText xml:space="preserve"> REF _Ref213099503 \h </w:instrText>
      </w:r>
      <w:r w:rsidR="00945E30">
        <w:fldChar w:fldCharType="separate"/>
      </w:r>
      <w:r w:rsidR="00716875">
        <w:t xml:space="preserve">Table </w:t>
      </w:r>
      <w:r w:rsidR="00716875">
        <w:rPr>
          <w:noProof/>
        </w:rPr>
        <w:t>26</w:t>
      </w:r>
      <w:r w:rsidR="00945E30">
        <w:fldChar w:fldCharType="end"/>
      </w:r>
      <w:r w:rsidR="00A054ED">
        <w:t xml:space="preserve">) </w:t>
      </w:r>
      <w:r w:rsidR="00576076">
        <w:t xml:space="preserve">due to a greater number of tests. </w:t>
      </w:r>
      <w:r w:rsidR="00892508" w:rsidRPr="00892508">
        <w:t>Higher volumes of testing may be driven by testing of patients with related conditions (i.e. diagnostic leakage) and</w:t>
      </w:r>
      <w:r w:rsidR="003E4668">
        <w:t>/or</w:t>
      </w:r>
      <w:r w:rsidR="00892508" w:rsidRPr="00892508">
        <w:t xml:space="preserve"> the use of tests for purposes beyond initial diagnosis, such as monitoring treatment response.</w:t>
      </w:r>
    </w:p>
    <w:p w14:paraId="33C399E7" w14:textId="22BB12C0" w:rsidR="00B76413" w:rsidRDefault="00B76413" w:rsidP="00751043">
      <w:pPr>
        <w:pStyle w:val="BodyText"/>
        <w:spacing w:after="0"/>
      </w:pPr>
      <w:r>
        <w:t xml:space="preserve">The application estimated </w:t>
      </w:r>
      <w:r w:rsidR="00A054ED">
        <w:t xml:space="preserve">an </w:t>
      </w:r>
      <w:r>
        <w:t>annual uptake of approximately 50 diagnostic genetic tests, which is much higher than expected given cTTP is an ultra-rare condition.</w:t>
      </w:r>
      <w:r w:rsidRPr="00E371E3">
        <w:t xml:space="preserve"> </w:t>
      </w:r>
      <w:r>
        <w:t>While ADAMTS13 activity testing may be performed as part of a broader TMA panel, genetic testing for TMA or aHUS is not currently listed on the MBS, raising the possibility of diagnostic leakage to patients with related conditions. Nonetheless, even with an increase to 50 tests per year, the financial impact remains modest, estimated at $54,880 annually.</w:t>
      </w:r>
    </w:p>
    <w:p w14:paraId="6CC5A31A" w14:textId="68118F56" w:rsidR="00C04F15" w:rsidRDefault="00C04F15" w:rsidP="00C04F15">
      <w:pPr>
        <w:pStyle w:val="Caption"/>
      </w:pPr>
      <w:r>
        <w:t xml:space="preserve">Table </w:t>
      </w:r>
      <w:r>
        <w:fldChar w:fldCharType="begin"/>
      </w:r>
      <w:r>
        <w:instrText>SEQ Table \* ARABIC</w:instrText>
      </w:r>
      <w:r>
        <w:fldChar w:fldCharType="separate"/>
      </w:r>
      <w:r w:rsidR="00716875">
        <w:rPr>
          <w:noProof/>
        </w:rPr>
        <w:t>27</w:t>
      </w:r>
      <w:r>
        <w:fldChar w:fldCharType="end"/>
      </w:r>
      <w:r>
        <w:tab/>
        <w:t>Revised net financial implications of PICO Set 1 and 2 ADAMTS13 testing for diagnosis – using MSAC supported fees</w:t>
      </w:r>
    </w:p>
    <w:tbl>
      <w:tblPr>
        <w:tblStyle w:val="TableGrid3"/>
        <w:tblW w:w="5000" w:type="pct"/>
        <w:tblInd w:w="0" w:type="dxa"/>
        <w:tblLayout w:type="fixed"/>
        <w:tblLook w:val="04A0" w:firstRow="1" w:lastRow="0" w:firstColumn="1" w:lastColumn="0" w:noHBand="0" w:noVBand="1"/>
        <w:tblCaption w:val="Net financial implications of PICO Set 1 and 2 ADAMTS13 testing for diagnosis"/>
        <w:tblDescription w:val="Total cost to the MBS of PICO 1 – diagnostic testing services are greater than Total cost to the MBS of PICO 2 – cascade genetic testing services by 3 orders of magnitude.&#10;"/>
      </w:tblPr>
      <w:tblGrid>
        <w:gridCol w:w="2806"/>
        <w:gridCol w:w="1037"/>
        <w:gridCol w:w="1035"/>
        <w:gridCol w:w="1035"/>
        <w:gridCol w:w="1035"/>
        <w:gridCol w:w="1035"/>
        <w:gridCol w:w="1033"/>
      </w:tblGrid>
      <w:tr w:rsidR="00597694" w:rsidRPr="00E65B62" w14:paraId="4024CA70" w14:textId="77777777">
        <w:trPr>
          <w:cnfStyle w:val="100000000000" w:firstRow="1" w:lastRow="0" w:firstColumn="0" w:lastColumn="0" w:oddVBand="0" w:evenVBand="0" w:oddHBand="0" w:evenHBand="0" w:firstRowFirstColumn="0" w:firstRowLastColumn="0" w:lastRowFirstColumn="0" w:lastRowLastColumn="0"/>
          <w:trHeight w:val="290"/>
        </w:trPr>
        <w:tc>
          <w:tcPr>
            <w:tcW w:w="1556" w:type="pct"/>
            <w:tcBorders>
              <w:bottom w:val="single" w:sz="4" w:space="0" w:color="auto"/>
            </w:tcBorders>
            <w:hideMark/>
          </w:tcPr>
          <w:p w14:paraId="4C41D7CA" w14:textId="77777777" w:rsidR="00597694" w:rsidRPr="00E65B62" w:rsidRDefault="00597694" w:rsidP="00751043">
            <w:pPr>
              <w:pStyle w:val="011TableHeading"/>
              <w:spacing w:before="0" w:after="0"/>
              <w:rPr>
                <w:rFonts w:eastAsiaTheme="minorHAnsi"/>
              </w:rPr>
            </w:pPr>
            <w:r w:rsidRPr="00E65B62">
              <w:rPr>
                <w:rFonts w:eastAsiaTheme="minorHAnsi"/>
              </w:rPr>
              <w:t xml:space="preserve">Parameter </w:t>
            </w:r>
          </w:p>
        </w:tc>
        <w:tc>
          <w:tcPr>
            <w:tcW w:w="575" w:type="pct"/>
            <w:tcBorders>
              <w:bottom w:val="single" w:sz="4" w:space="0" w:color="auto"/>
            </w:tcBorders>
            <w:noWrap/>
          </w:tcPr>
          <w:p w14:paraId="15003B80" w14:textId="77777777" w:rsidR="00597694" w:rsidRPr="00E65B62" w:rsidRDefault="00597694" w:rsidP="00751043">
            <w:pPr>
              <w:pStyle w:val="011TableHeading"/>
              <w:spacing w:before="0" w:after="0"/>
              <w:jc w:val="right"/>
              <w:rPr>
                <w:rFonts w:eastAsiaTheme="minorHAnsi"/>
              </w:rPr>
            </w:pPr>
            <w:r w:rsidRPr="00E65B62">
              <w:rPr>
                <w:rFonts w:eastAsiaTheme="minorHAnsi"/>
              </w:rPr>
              <w:t>FY 2026-27</w:t>
            </w:r>
          </w:p>
        </w:tc>
        <w:tc>
          <w:tcPr>
            <w:tcW w:w="574" w:type="pct"/>
            <w:tcBorders>
              <w:bottom w:val="single" w:sz="4" w:space="0" w:color="auto"/>
            </w:tcBorders>
            <w:noWrap/>
            <w:hideMark/>
          </w:tcPr>
          <w:p w14:paraId="44F74C2E" w14:textId="77777777" w:rsidR="00597694" w:rsidRPr="00E65B62" w:rsidRDefault="00597694" w:rsidP="00751043">
            <w:pPr>
              <w:pStyle w:val="011TableHeading"/>
              <w:spacing w:before="0" w:after="0"/>
              <w:jc w:val="right"/>
              <w:rPr>
                <w:rFonts w:eastAsiaTheme="minorHAnsi"/>
              </w:rPr>
            </w:pPr>
            <w:r w:rsidRPr="00E65B62">
              <w:rPr>
                <w:rFonts w:eastAsiaTheme="minorHAnsi"/>
              </w:rPr>
              <w:t>FY 2027-28</w:t>
            </w:r>
          </w:p>
        </w:tc>
        <w:tc>
          <w:tcPr>
            <w:tcW w:w="574" w:type="pct"/>
            <w:tcBorders>
              <w:bottom w:val="single" w:sz="4" w:space="0" w:color="auto"/>
            </w:tcBorders>
            <w:noWrap/>
            <w:hideMark/>
          </w:tcPr>
          <w:p w14:paraId="5E3260C4" w14:textId="77777777" w:rsidR="00597694" w:rsidRPr="00E65B62" w:rsidRDefault="00597694" w:rsidP="00751043">
            <w:pPr>
              <w:pStyle w:val="011TableHeading"/>
              <w:spacing w:before="0" w:after="0"/>
              <w:jc w:val="right"/>
              <w:rPr>
                <w:rFonts w:eastAsiaTheme="minorHAnsi"/>
              </w:rPr>
            </w:pPr>
            <w:r w:rsidRPr="00E65B62">
              <w:rPr>
                <w:rFonts w:eastAsiaTheme="minorHAnsi"/>
              </w:rPr>
              <w:t>FY 2028-29</w:t>
            </w:r>
          </w:p>
        </w:tc>
        <w:tc>
          <w:tcPr>
            <w:tcW w:w="574" w:type="pct"/>
            <w:tcBorders>
              <w:bottom w:val="single" w:sz="4" w:space="0" w:color="auto"/>
            </w:tcBorders>
            <w:noWrap/>
            <w:hideMark/>
          </w:tcPr>
          <w:p w14:paraId="4DB73A29" w14:textId="77777777" w:rsidR="00597694" w:rsidRPr="00E65B62" w:rsidRDefault="00597694" w:rsidP="00751043">
            <w:pPr>
              <w:pStyle w:val="011TableHeading"/>
              <w:spacing w:before="0" w:after="0"/>
              <w:jc w:val="right"/>
              <w:rPr>
                <w:rFonts w:eastAsiaTheme="minorHAnsi"/>
              </w:rPr>
            </w:pPr>
            <w:r w:rsidRPr="00E65B62">
              <w:rPr>
                <w:rFonts w:eastAsiaTheme="minorHAnsi"/>
              </w:rPr>
              <w:t>FY 2030-31</w:t>
            </w:r>
          </w:p>
        </w:tc>
        <w:tc>
          <w:tcPr>
            <w:tcW w:w="574" w:type="pct"/>
            <w:tcBorders>
              <w:bottom w:val="single" w:sz="4" w:space="0" w:color="auto"/>
            </w:tcBorders>
            <w:noWrap/>
            <w:hideMark/>
          </w:tcPr>
          <w:p w14:paraId="093F1382" w14:textId="77777777" w:rsidR="00597694" w:rsidRPr="00E65B62" w:rsidRDefault="00597694" w:rsidP="00751043">
            <w:pPr>
              <w:pStyle w:val="011TableHeading"/>
              <w:spacing w:before="0" w:after="0"/>
              <w:jc w:val="right"/>
              <w:rPr>
                <w:rFonts w:eastAsiaTheme="minorHAnsi"/>
              </w:rPr>
            </w:pPr>
            <w:r w:rsidRPr="00E65B62">
              <w:rPr>
                <w:rFonts w:eastAsiaTheme="minorHAnsi"/>
              </w:rPr>
              <w:t>FY 2031-32</w:t>
            </w:r>
          </w:p>
        </w:tc>
        <w:tc>
          <w:tcPr>
            <w:tcW w:w="573" w:type="pct"/>
            <w:tcBorders>
              <w:bottom w:val="single" w:sz="4" w:space="0" w:color="auto"/>
            </w:tcBorders>
            <w:noWrap/>
            <w:hideMark/>
          </w:tcPr>
          <w:p w14:paraId="53DC292F" w14:textId="77777777" w:rsidR="00597694" w:rsidRPr="00E65B62" w:rsidRDefault="00597694" w:rsidP="00751043">
            <w:pPr>
              <w:pStyle w:val="011TableHeading"/>
              <w:spacing w:before="0" w:after="0"/>
              <w:jc w:val="right"/>
              <w:rPr>
                <w:rFonts w:eastAsiaTheme="minorHAnsi"/>
              </w:rPr>
            </w:pPr>
            <w:r w:rsidRPr="00E65B62">
              <w:rPr>
                <w:rFonts w:eastAsiaTheme="minorHAnsi"/>
              </w:rPr>
              <w:t>FY 203</w:t>
            </w:r>
            <w:r>
              <w:rPr>
                <w:rFonts w:eastAsiaTheme="minorHAnsi"/>
              </w:rPr>
              <w:t>2</w:t>
            </w:r>
            <w:r w:rsidRPr="00E65B62">
              <w:rPr>
                <w:rFonts w:eastAsiaTheme="minorHAnsi"/>
              </w:rPr>
              <w:t>-3</w:t>
            </w:r>
            <w:r>
              <w:rPr>
                <w:rFonts w:eastAsiaTheme="minorHAnsi"/>
              </w:rPr>
              <w:t>3</w:t>
            </w:r>
          </w:p>
        </w:tc>
      </w:tr>
      <w:tr w:rsidR="00597694" w:rsidRPr="00E65B62" w14:paraId="026F792D" w14:textId="77777777">
        <w:trPr>
          <w:trHeight w:val="290"/>
        </w:trPr>
        <w:tc>
          <w:tcPr>
            <w:tcW w:w="1556" w:type="pct"/>
            <w:tcBorders>
              <w:right w:val="nil"/>
            </w:tcBorders>
            <w:hideMark/>
          </w:tcPr>
          <w:p w14:paraId="5E7706C6" w14:textId="77777777" w:rsidR="00597694" w:rsidRPr="00E65B62" w:rsidRDefault="00597694" w:rsidP="00751043">
            <w:pPr>
              <w:pStyle w:val="031Tablesubheading"/>
              <w:spacing w:before="0" w:after="0"/>
              <w:rPr>
                <w:rFonts w:eastAsiaTheme="minorHAnsi"/>
              </w:rPr>
            </w:pPr>
            <w:r w:rsidRPr="00E65B62">
              <w:rPr>
                <w:rFonts w:eastAsiaTheme="minorHAnsi"/>
              </w:rPr>
              <w:t>Estimated use and cost of the proposed health technology</w:t>
            </w:r>
          </w:p>
        </w:tc>
        <w:tc>
          <w:tcPr>
            <w:tcW w:w="575" w:type="pct"/>
            <w:tcBorders>
              <w:left w:val="nil"/>
              <w:right w:val="nil"/>
            </w:tcBorders>
            <w:noWrap/>
          </w:tcPr>
          <w:p w14:paraId="174BBCD6" w14:textId="77777777" w:rsidR="00597694" w:rsidRPr="00E65B62" w:rsidRDefault="00597694" w:rsidP="00751043">
            <w:pPr>
              <w:pStyle w:val="031Tablesubheading"/>
              <w:spacing w:before="0" w:after="0"/>
              <w:rPr>
                <w:rFonts w:eastAsiaTheme="minorHAnsi"/>
              </w:rPr>
            </w:pPr>
            <w:r w:rsidRPr="00E65B62">
              <w:rPr>
                <w:rFonts w:eastAsiaTheme="minorHAnsi"/>
              </w:rPr>
              <w:t> </w:t>
            </w:r>
          </w:p>
        </w:tc>
        <w:tc>
          <w:tcPr>
            <w:tcW w:w="574" w:type="pct"/>
            <w:tcBorders>
              <w:left w:val="nil"/>
              <w:right w:val="nil"/>
            </w:tcBorders>
            <w:noWrap/>
            <w:hideMark/>
          </w:tcPr>
          <w:p w14:paraId="4F982E97" w14:textId="77777777" w:rsidR="00597694" w:rsidRPr="00E65B62" w:rsidRDefault="00597694" w:rsidP="00751043">
            <w:pPr>
              <w:pStyle w:val="031Tablesubheading"/>
              <w:spacing w:before="0" w:after="0"/>
              <w:rPr>
                <w:rFonts w:eastAsiaTheme="minorHAnsi"/>
              </w:rPr>
            </w:pPr>
            <w:r w:rsidRPr="00E65B62">
              <w:rPr>
                <w:rFonts w:eastAsiaTheme="minorHAnsi"/>
              </w:rPr>
              <w:t> </w:t>
            </w:r>
          </w:p>
        </w:tc>
        <w:tc>
          <w:tcPr>
            <w:tcW w:w="574" w:type="pct"/>
            <w:tcBorders>
              <w:left w:val="nil"/>
              <w:right w:val="nil"/>
            </w:tcBorders>
            <w:noWrap/>
            <w:hideMark/>
          </w:tcPr>
          <w:p w14:paraId="1C403053" w14:textId="77777777" w:rsidR="00597694" w:rsidRPr="00E65B62" w:rsidRDefault="00597694" w:rsidP="00751043">
            <w:pPr>
              <w:pStyle w:val="031Tablesubheading"/>
              <w:spacing w:before="0" w:after="0"/>
              <w:rPr>
                <w:rFonts w:eastAsiaTheme="minorHAnsi"/>
              </w:rPr>
            </w:pPr>
            <w:r w:rsidRPr="00E65B62">
              <w:rPr>
                <w:rFonts w:eastAsiaTheme="minorHAnsi"/>
              </w:rPr>
              <w:t> </w:t>
            </w:r>
          </w:p>
        </w:tc>
        <w:tc>
          <w:tcPr>
            <w:tcW w:w="574" w:type="pct"/>
            <w:tcBorders>
              <w:left w:val="nil"/>
              <w:right w:val="nil"/>
            </w:tcBorders>
            <w:noWrap/>
            <w:hideMark/>
          </w:tcPr>
          <w:p w14:paraId="658A8EFB" w14:textId="77777777" w:rsidR="00597694" w:rsidRPr="00E65B62" w:rsidRDefault="00597694" w:rsidP="00751043">
            <w:pPr>
              <w:pStyle w:val="031Tablesubheading"/>
              <w:spacing w:before="0" w:after="0"/>
              <w:rPr>
                <w:rFonts w:eastAsiaTheme="minorHAnsi"/>
              </w:rPr>
            </w:pPr>
            <w:r w:rsidRPr="00E65B62">
              <w:rPr>
                <w:rFonts w:eastAsiaTheme="minorHAnsi"/>
              </w:rPr>
              <w:t> </w:t>
            </w:r>
          </w:p>
        </w:tc>
        <w:tc>
          <w:tcPr>
            <w:tcW w:w="574" w:type="pct"/>
            <w:tcBorders>
              <w:left w:val="nil"/>
              <w:right w:val="nil"/>
            </w:tcBorders>
            <w:noWrap/>
            <w:hideMark/>
          </w:tcPr>
          <w:p w14:paraId="0F9C212E" w14:textId="77777777" w:rsidR="00597694" w:rsidRPr="00E65B62" w:rsidRDefault="00597694" w:rsidP="00751043">
            <w:pPr>
              <w:pStyle w:val="031Tablesubheading"/>
              <w:spacing w:before="0" w:after="0"/>
              <w:rPr>
                <w:rFonts w:eastAsiaTheme="minorHAnsi"/>
              </w:rPr>
            </w:pPr>
            <w:r w:rsidRPr="00E65B62">
              <w:rPr>
                <w:rFonts w:eastAsiaTheme="minorHAnsi"/>
              </w:rPr>
              <w:t> </w:t>
            </w:r>
          </w:p>
        </w:tc>
        <w:tc>
          <w:tcPr>
            <w:tcW w:w="573" w:type="pct"/>
            <w:tcBorders>
              <w:left w:val="nil"/>
            </w:tcBorders>
            <w:noWrap/>
            <w:hideMark/>
          </w:tcPr>
          <w:p w14:paraId="73B1AE0F" w14:textId="77777777" w:rsidR="00597694" w:rsidRPr="00E65B62" w:rsidRDefault="00597694" w:rsidP="00751043">
            <w:pPr>
              <w:pStyle w:val="031Tablesubheading"/>
              <w:spacing w:before="0" w:after="0"/>
              <w:rPr>
                <w:rFonts w:eastAsiaTheme="minorHAnsi"/>
              </w:rPr>
            </w:pPr>
            <w:r w:rsidRPr="00E65B62">
              <w:rPr>
                <w:rFonts w:eastAsiaTheme="minorHAnsi"/>
              </w:rPr>
              <w:t> </w:t>
            </w:r>
          </w:p>
        </w:tc>
      </w:tr>
      <w:tr w:rsidR="00597694" w:rsidRPr="00E65B62" w14:paraId="37BE57F2" w14:textId="77777777">
        <w:trPr>
          <w:trHeight w:val="290"/>
        </w:trPr>
        <w:tc>
          <w:tcPr>
            <w:tcW w:w="1556" w:type="pct"/>
            <w:noWrap/>
            <w:hideMark/>
          </w:tcPr>
          <w:p w14:paraId="0988736A" w14:textId="77777777" w:rsidR="00597694" w:rsidRPr="00E65B62" w:rsidRDefault="00597694" w:rsidP="00751043">
            <w:pPr>
              <w:pStyle w:val="051Tabletext22"/>
              <w:keepNext/>
              <w:spacing w:before="0" w:after="0"/>
              <w:rPr>
                <w:rFonts w:eastAsiaTheme="minorHAnsi"/>
              </w:rPr>
            </w:pPr>
            <w:r w:rsidRPr="00E65B62">
              <w:rPr>
                <w:rFonts w:eastAsiaTheme="minorHAnsi"/>
              </w:rPr>
              <w:t>Projected population of Australia</w:t>
            </w:r>
            <w:r>
              <w:rPr>
                <w:rFonts w:eastAsiaTheme="minorHAnsi"/>
              </w:rPr>
              <w:t xml:space="preserve"> [A]</w:t>
            </w:r>
          </w:p>
        </w:tc>
        <w:tc>
          <w:tcPr>
            <w:tcW w:w="575" w:type="pct"/>
            <w:noWrap/>
          </w:tcPr>
          <w:p w14:paraId="52C06899" w14:textId="77777777" w:rsidR="00597694" w:rsidRPr="00E65B62" w:rsidRDefault="00597694" w:rsidP="00751043">
            <w:pPr>
              <w:pStyle w:val="051Tabletext22"/>
              <w:keepNext/>
              <w:spacing w:before="0" w:after="0"/>
              <w:jc w:val="right"/>
              <w:rPr>
                <w:rFonts w:eastAsiaTheme="minorHAnsi"/>
              </w:rPr>
            </w:pPr>
            <w:r w:rsidRPr="00E65B62">
              <w:rPr>
                <w:rFonts w:eastAsiaTheme="minorHAnsi"/>
              </w:rPr>
              <w:t>27,805,684</w:t>
            </w:r>
          </w:p>
        </w:tc>
        <w:tc>
          <w:tcPr>
            <w:tcW w:w="574" w:type="pct"/>
            <w:noWrap/>
            <w:hideMark/>
          </w:tcPr>
          <w:p w14:paraId="3A79A42B" w14:textId="77777777" w:rsidR="00597694" w:rsidRPr="00E65B62" w:rsidRDefault="00597694" w:rsidP="00751043">
            <w:pPr>
              <w:pStyle w:val="051Tabletext22"/>
              <w:keepNext/>
              <w:spacing w:before="0" w:after="0"/>
              <w:jc w:val="right"/>
              <w:rPr>
                <w:rFonts w:eastAsiaTheme="minorHAnsi"/>
              </w:rPr>
            </w:pPr>
            <w:r w:rsidRPr="00E65B62">
              <w:rPr>
                <w:rFonts w:eastAsiaTheme="minorHAnsi"/>
              </w:rPr>
              <w:t>28,201,094</w:t>
            </w:r>
          </w:p>
        </w:tc>
        <w:tc>
          <w:tcPr>
            <w:tcW w:w="574" w:type="pct"/>
            <w:noWrap/>
            <w:hideMark/>
          </w:tcPr>
          <w:p w14:paraId="679BD412" w14:textId="77777777" w:rsidR="00597694" w:rsidRPr="00E65B62" w:rsidRDefault="00597694" w:rsidP="00751043">
            <w:pPr>
              <w:pStyle w:val="051Tabletext22"/>
              <w:keepNext/>
              <w:spacing w:before="0" w:after="0"/>
              <w:jc w:val="right"/>
              <w:rPr>
                <w:rFonts w:eastAsiaTheme="minorHAnsi"/>
              </w:rPr>
            </w:pPr>
            <w:r w:rsidRPr="00E65B62">
              <w:rPr>
                <w:rFonts w:eastAsiaTheme="minorHAnsi"/>
              </w:rPr>
              <w:t>28,581,272</w:t>
            </w:r>
          </w:p>
        </w:tc>
        <w:tc>
          <w:tcPr>
            <w:tcW w:w="574" w:type="pct"/>
            <w:noWrap/>
            <w:hideMark/>
          </w:tcPr>
          <w:p w14:paraId="60239732" w14:textId="77777777" w:rsidR="00597694" w:rsidRPr="00E65B62" w:rsidRDefault="00597694" w:rsidP="00751043">
            <w:pPr>
              <w:pStyle w:val="051Tabletext22"/>
              <w:keepNext/>
              <w:spacing w:before="0" w:after="0"/>
              <w:jc w:val="right"/>
              <w:rPr>
                <w:rFonts w:eastAsiaTheme="minorHAnsi"/>
              </w:rPr>
            </w:pPr>
            <w:r w:rsidRPr="00E65B62">
              <w:rPr>
                <w:rFonts w:eastAsiaTheme="minorHAnsi"/>
              </w:rPr>
              <w:t>28,946,317</w:t>
            </w:r>
          </w:p>
        </w:tc>
        <w:tc>
          <w:tcPr>
            <w:tcW w:w="574" w:type="pct"/>
            <w:noWrap/>
            <w:hideMark/>
          </w:tcPr>
          <w:p w14:paraId="506C3F24" w14:textId="77777777" w:rsidR="00597694" w:rsidRPr="00E65B62" w:rsidRDefault="00597694" w:rsidP="00751043">
            <w:pPr>
              <w:pStyle w:val="051Tabletext22"/>
              <w:keepNext/>
              <w:spacing w:before="0" w:after="0"/>
              <w:jc w:val="right"/>
              <w:rPr>
                <w:rFonts w:eastAsiaTheme="minorHAnsi"/>
              </w:rPr>
            </w:pPr>
            <w:r w:rsidRPr="00E65B62">
              <w:rPr>
                <w:rFonts w:eastAsiaTheme="minorHAnsi"/>
              </w:rPr>
              <w:t>29,294,970</w:t>
            </w:r>
          </w:p>
        </w:tc>
        <w:tc>
          <w:tcPr>
            <w:tcW w:w="573" w:type="pct"/>
            <w:noWrap/>
            <w:hideMark/>
          </w:tcPr>
          <w:p w14:paraId="63BF2A15" w14:textId="77777777" w:rsidR="00597694" w:rsidRPr="00E65B62" w:rsidRDefault="00597694" w:rsidP="00751043">
            <w:pPr>
              <w:pStyle w:val="051Tabletext22"/>
              <w:keepNext/>
              <w:spacing w:before="0" w:after="0"/>
              <w:jc w:val="right"/>
              <w:rPr>
                <w:rFonts w:eastAsiaTheme="minorHAnsi"/>
              </w:rPr>
            </w:pPr>
            <w:r w:rsidRPr="00E65B62">
              <w:rPr>
                <w:rFonts w:eastAsiaTheme="minorHAnsi"/>
              </w:rPr>
              <w:t>29,628,141</w:t>
            </w:r>
          </w:p>
        </w:tc>
      </w:tr>
      <w:tr w:rsidR="00597694" w:rsidRPr="00E65B62" w14:paraId="5B875C1C" w14:textId="77777777">
        <w:trPr>
          <w:trHeight w:val="13"/>
        </w:trPr>
        <w:tc>
          <w:tcPr>
            <w:tcW w:w="1556" w:type="pct"/>
            <w:hideMark/>
          </w:tcPr>
          <w:p w14:paraId="1C40C378" w14:textId="77777777" w:rsidR="00597694" w:rsidRPr="00E65B62" w:rsidRDefault="00597694" w:rsidP="00751043">
            <w:pPr>
              <w:pStyle w:val="051Tabletext22"/>
              <w:spacing w:before="0" w:after="0"/>
              <w:rPr>
                <w:rFonts w:eastAsiaTheme="minorHAnsi"/>
              </w:rPr>
            </w:pPr>
            <w:r w:rsidRPr="00E65B62">
              <w:rPr>
                <w:rFonts w:eastAsiaTheme="minorHAnsi"/>
              </w:rPr>
              <w:t xml:space="preserve">Number of proposed services </w:t>
            </w:r>
            <w:r>
              <w:rPr>
                <w:rFonts w:eastAsiaTheme="minorHAnsi"/>
              </w:rPr>
              <w:t xml:space="preserve">for </w:t>
            </w:r>
            <w:r w:rsidRPr="00E65B62">
              <w:rPr>
                <w:rFonts w:eastAsiaTheme="minorHAnsi"/>
              </w:rPr>
              <w:t>ADAMTS13 activity test</w:t>
            </w:r>
            <w:r>
              <w:rPr>
                <w:rFonts w:eastAsiaTheme="minorHAnsi"/>
              </w:rPr>
              <w:t>ing [B]</w:t>
            </w:r>
          </w:p>
        </w:tc>
        <w:tc>
          <w:tcPr>
            <w:tcW w:w="575" w:type="pct"/>
            <w:noWrap/>
          </w:tcPr>
          <w:p w14:paraId="7B97A34A" w14:textId="77777777" w:rsidR="00597694" w:rsidRPr="00E65B62" w:rsidRDefault="00597694" w:rsidP="00751043">
            <w:pPr>
              <w:pStyle w:val="051Tabletext22"/>
              <w:spacing w:before="0" w:after="0"/>
              <w:jc w:val="right"/>
              <w:rPr>
                <w:rFonts w:eastAsiaTheme="minorHAnsi"/>
              </w:rPr>
            </w:pPr>
            <w:r w:rsidRPr="00E65B62">
              <w:rPr>
                <w:rFonts w:eastAsiaTheme="minorHAnsi"/>
              </w:rPr>
              <w:t>334</w:t>
            </w:r>
          </w:p>
        </w:tc>
        <w:tc>
          <w:tcPr>
            <w:tcW w:w="574" w:type="pct"/>
            <w:noWrap/>
            <w:hideMark/>
          </w:tcPr>
          <w:p w14:paraId="03603FC7" w14:textId="77777777" w:rsidR="00597694" w:rsidRPr="00E65B62" w:rsidRDefault="00597694" w:rsidP="00751043">
            <w:pPr>
              <w:pStyle w:val="051Tabletext22"/>
              <w:spacing w:before="0" w:after="0"/>
              <w:jc w:val="right"/>
              <w:rPr>
                <w:rFonts w:eastAsiaTheme="minorHAnsi"/>
              </w:rPr>
            </w:pPr>
            <w:r w:rsidRPr="00E65B62">
              <w:rPr>
                <w:rFonts w:eastAsiaTheme="minorHAnsi"/>
              </w:rPr>
              <w:t>338</w:t>
            </w:r>
          </w:p>
        </w:tc>
        <w:tc>
          <w:tcPr>
            <w:tcW w:w="574" w:type="pct"/>
            <w:noWrap/>
            <w:hideMark/>
          </w:tcPr>
          <w:p w14:paraId="1E7B6C5E" w14:textId="77777777" w:rsidR="00597694" w:rsidRPr="00E65B62" w:rsidRDefault="00597694" w:rsidP="00751043">
            <w:pPr>
              <w:pStyle w:val="051Tabletext22"/>
              <w:spacing w:before="0" w:after="0"/>
              <w:jc w:val="right"/>
              <w:rPr>
                <w:rFonts w:eastAsiaTheme="minorHAnsi"/>
              </w:rPr>
            </w:pPr>
            <w:r w:rsidRPr="00E65B62">
              <w:rPr>
                <w:rFonts w:eastAsiaTheme="minorHAnsi"/>
              </w:rPr>
              <w:t>343</w:t>
            </w:r>
          </w:p>
        </w:tc>
        <w:tc>
          <w:tcPr>
            <w:tcW w:w="574" w:type="pct"/>
            <w:noWrap/>
            <w:hideMark/>
          </w:tcPr>
          <w:p w14:paraId="7FF91907" w14:textId="77777777" w:rsidR="00597694" w:rsidRPr="00E65B62" w:rsidRDefault="00597694" w:rsidP="00751043">
            <w:pPr>
              <w:pStyle w:val="051Tabletext22"/>
              <w:spacing w:before="0" w:after="0"/>
              <w:jc w:val="right"/>
              <w:rPr>
                <w:rFonts w:eastAsiaTheme="minorHAnsi"/>
              </w:rPr>
            </w:pPr>
            <w:r w:rsidRPr="00E65B62">
              <w:rPr>
                <w:rFonts w:eastAsiaTheme="minorHAnsi"/>
              </w:rPr>
              <w:t>347</w:t>
            </w:r>
          </w:p>
        </w:tc>
        <w:tc>
          <w:tcPr>
            <w:tcW w:w="574" w:type="pct"/>
            <w:noWrap/>
            <w:hideMark/>
          </w:tcPr>
          <w:p w14:paraId="12421B4E" w14:textId="77777777" w:rsidR="00597694" w:rsidRPr="00E65B62" w:rsidRDefault="00597694" w:rsidP="00751043">
            <w:pPr>
              <w:pStyle w:val="051Tabletext22"/>
              <w:spacing w:before="0" w:after="0"/>
              <w:jc w:val="right"/>
              <w:rPr>
                <w:rFonts w:eastAsiaTheme="minorHAnsi"/>
              </w:rPr>
            </w:pPr>
            <w:r w:rsidRPr="00E65B62">
              <w:rPr>
                <w:rFonts w:eastAsiaTheme="minorHAnsi"/>
              </w:rPr>
              <w:t>352</w:t>
            </w:r>
          </w:p>
        </w:tc>
        <w:tc>
          <w:tcPr>
            <w:tcW w:w="573" w:type="pct"/>
            <w:noWrap/>
            <w:hideMark/>
          </w:tcPr>
          <w:p w14:paraId="0D1E3942" w14:textId="77777777" w:rsidR="00597694" w:rsidRPr="00E65B62" w:rsidRDefault="00597694" w:rsidP="00751043">
            <w:pPr>
              <w:pStyle w:val="051Tabletext22"/>
              <w:spacing w:before="0" w:after="0"/>
              <w:jc w:val="right"/>
              <w:rPr>
                <w:rFonts w:eastAsiaTheme="minorHAnsi"/>
              </w:rPr>
            </w:pPr>
            <w:r w:rsidRPr="00E65B62">
              <w:rPr>
                <w:rFonts w:eastAsiaTheme="minorHAnsi"/>
              </w:rPr>
              <w:t>356</w:t>
            </w:r>
          </w:p>
        </w:tc>
      </w:tr>
      <w:tr w:rsidR="00597694" w:rsidRPr="00E65B62" w14:paraId="45890282" w14:textId="77777777">
        <w:trPr>
          <w:trHeight w:val="13"/>
        </w:trPr>
        <w:tc>
          <w:tcPr>
            <w:tcW w:w="1556" w:type="pct"/>
            <w:hideMark/>
          </w:tcPr>
          <w:p w14:paraId="72E594C8" w14:textId="77777777" w:rsidR="00597694" w:rsidRPr="00E65B62" w:rsidRDefault="00597694" w:rsidP="00751043">
            <w:pPr>
              <w:pStyle w:val="051Tabletext22"/>
              <w:spacing w:before="0" w:after="0"/>
              <w:rPr>
                <w:rFonts w:eastAsiaTheme="minorHAnsi"/>
              </w:rPr>
            </w:pPr>
            <w:r w:rsidRPr="00E65B62">
              <w:rPr>
                <w:rFonts w:eastAsiaTheme="minorHAnsi"/>
              </w:rPr>
              <w:t>Number of new TTP cases</w:t>
            </w:r>
            <w:r>
              <w:rPr>
                <w:rFonts w:eastAsiaTheme="minorHAnsi"/>
              </w:rPr>
              <w:t xml:space="preserve"> [C]</w:t>
            </w:r>
          </w:p>
        </w:tc>
        <w:tc>
          <w:tcPr>
            <w:tcW w:w="575" w:type="pct"/>
            <w:noWrap/>
          </w:tcPr>
          <w:p w14:paraId="6C89AB19" w14:textId="77777777" w:rsidR="00597694" w:rsidRPr="00E65B62" w:rsidRDefault="00597694" w:rsidP="00751043">
            <w:pPr>
              <w:pStyle w:val="051Tabletext22"/>
              <w:spacing w:before="0" w:after="0"/>
              <w:jc w:val="right"/>
              <w:rPr>
                <w:rFonts w:eastAsiaTheme="minorHAnsi"/>
              </w:rPr>
            </w:pPr>
            <w:r w:rsidRPr="00E65B62">
              <w:rPr>
                <w:rFonts w:eastAsiaTheme="minorHAnsi"/>
              </w:rPr>
              <w:t>60</w:t>
            </w:r>
          </w:p>
        </w:tc>
        <w:tc>
          <w:tcPr>
            <w:tcW w:w="574" w:type="pct"/>
            <w:noWrap/>
            <w:hideMark/>
          </w:tcPr>
          <w:p w14:paraId="7875D464" w14:textId="77777777" w:rsidR="00597694" w:rsidRPr="00E65B62" w:rsidRDefault="00597694" w:rsidP="00751043">
            <w:pPr>
              <w:pStyle w:val="051Tabletext22"/>
              <w:spacing w:before="0" w:after="0"/>
              <w:jc w:val="right"/>
              <w:rPr>
                <w:rFonts w:eastAsiaTheme="minorHAnsi"/>
              </w:rPr>
            </w:pPr>
            <w:r w:rsidRPr="00E65B62">
              <w:rPr>
                <w:rFonts w:eastAsiaTheme="minorHAnsi"/>
              </w:rPr>
              <w:t>61</w:t>
            </w:r>
          </w:p>
        </w:tc>
        <w:tc>
          <w:tcPr>
            <w:tcW w:w="574" w:type="pct"/>
            <w:noWrap/>
            <w:hideMark/>
          </w:tcPr>
          <w:p w14:paraId="5B61F956" w14:textId="77777777" w:rsidR="00597694" w:rsidRPr="00E65B62" w:rsidRDefault="00597694" w:rsidP="00751043">
            <w:pPr>
              <w:pStyle w:val="051Tabletext22"/>
              <w:spacing w:before="0" w:after="0"/>
              <w:jc w:val="right"/>
              <w:rPr>
                <w:rFonts w:eastAsiaTheme="minorHAnsi"/>
              </w:rPr>
            </w:pPr>
            <w:r w:rsidRPr="00E65B62">
              <w:rPr>
                <w:rFonts w:eastAsiaTheme="minorHAnsi"/>
              </w:rPr>
              <w:t>62</w:t>
            </w:r>
          </w:p>
        </w:tc>
        <w:tc>
          <w:tcPr>
            <w:tcW w:w="574" w:type="pct"/>
            <w:noWrap/>
            <w:hideMark/>
          </w:tcPr>
          <w:p w14:paraId="58A73F91" w14:textId="77777777" w:rsidR="00597694" w:rsidRPr="00E65B62" w:rsidRDefault="00597694" w:rsidP="00751043">
            <w:pPr>
              <w:pStyle w:val="051Tabletext22"/>
              <w:spacing w:before="0" w:after="0"/>
              <w:jc w:val="right"/>
              <w:rPr>
                <w:rFonts w:eastAsiaTheme="minorHAnsi"/>
              </w:rPr>
            </w:pPr>
            <w:r w:rsidRPr="00E65B62">
              <w:rPr>
                <w:rFonts w:eastAsiaTheme="minorHAnsi"/>
              </w:rPr>
              <w:t>63</w:t>
            </w:r>
          </w:p>
        </w:tc>
        <w:tc>
          <w:tcPr>
            <w:tcW w:w="574" w:type="pct"/>
            <w:noWrap/>
            <w:hideMark/>
          </w:tcPr>
          <w:p w14:paraId="233E8A06" w14:textId="77777777" w:rsidR="00597694" w:rsidRPr="00E65B62" w:rsidRDefault="00597694" w:rsidP="00751043">
            <w:pPr>
              <w:pStyle w:val="051Tabletext22"/>
              <w:spacing w:before="0" w:after="0"/>
              <w:jc w:val="right"/>
              <w:rPr>
                <w:rFonts w:eastAsiaTheme="minorHAnsi"/>
              </w:rPr>
            </w:pPr>
            <w:r w:rsidRPr="00E65B62">
              <w:rPr>
                <w:rFonts w:eastAsiaTheme="minorHAnsi"/>
              </w:rPr>
              <w:t>64</w:t>
            </w:r>
          </w:p>
        </w:tc>
        <w:tc>
          <w:tcPr>
            <w:tcW w:w="573" w:type="pct"/>
            <w:noWrap/>
            <w:hideMark/>
          </w:tcPr>
          <w:p w14:paraId="3141D4AF" w14:textId="77777777" w:rsidR="00597694" w:rsidRPr="00E65B62" w:rsidRDefault="00597694" w:rsidP="00751043">
            <w:pPr>
              <w:pStyle w:val="051Tabletext22"/>
              <w:spacing w:before="0" w:after="0"/>
              <w:jc w:val="right"/>
              <w:rPr>
                <w:rFonts w:eastAsiaTheme="minorHAnsi"/>
              </w:rPr>
            </w:pPr>
            <w:r w:rsidRPr="00E65B62">
              <w:rPr>
                <w:rFonts w:eastAsiaTheme="minorHAnsi"/>
              </w:rPr>
              <w:t>64</w:t>
            </w:r>
          </w:p>
        </w:tc>
      </w:tr>
      <w:tr w:rsidR="00597694" w:rsidRPr="00E65B62" w14:paraId="207921CE" w14:textId="77777777">
        <w:trPr>
          <w:trHeight w:val="13"/>
        </w:trPr>
        <w:tc>
          <w:tcPr>
            <w:tcW w:w="1556" w:type="pct"/>
            <w:hideMark/>
          </w:tcPr>
          <w:p w14:paraId="34321343" w14:textId="77777777" w:rsidR="00597694" w:rsidRPr="00E65B62" w:rsidRDefault="00597694" w:rsidP="00751043">
            <w:pPr>
              <w:pStyle w:val="051Tabletext22"/>
              <w:spacing w:before="0" w:after="0"/>
              <w:rPr>
                <w:rFonts w:eastAsiaTheme="minorHAnsi"/>
              </w:rPr>
            </w:pPr>
            <w:r w:rsidRPr="00E65B62">
              <w:rPr>
                <w:rFonts w:eastAsiaTheme="minorHAnsi"/>
              </w:rPr>
              <w:t xml:space="preserve">Number of proposed services </w:t>
            </w:r>
            <w:r>
              <w:rPr>
                <w:rFonts w:eastAsiaTheme="minorHAnsi"/>
              </w:rPr>
              <w:t xml:space="preserve">for </w:t>
            </w:r>
            <w:r w:rsidRPr="00E65B62">
              <w:rPr>
                <w:rFonts w:eastAsiaTheme="minorHAnsi"/>
              </w:rPr>
              <w:t>anti-ADAMTS13 autoantibody test</w:t>
            </w:r>
            <w:r>
              <w:rPr>
                <w:rFonts w:eastAsiaTheme="minorHAnsi"/>
              </w:rPr>
              <w:t>ing [D]</w:t>
            </w:r>
          </w:p>
        </w:tc>
        <w:tc>
          <w:tcPr>
            <w:tcW w:w="575" w:type="pct"/>
            <w:noWrap/>
          </w:tcPr>
          <w:p w14:paraId="0019C99C" w14:textId="77777777" w:rsidR="00597694" w:rsidRPr="00E65B62" w:rsidRDefault="00597694" w:rsidP="00751043">
            <w:pPr>
              <w:pStyle w:val="051Tabletext22"/>
              <w:spacing w:before="0" w:after="0"/>
              <w:jc w:val="right"/>
              <w:rPr>
                <w:rFonts w:eastAsiaTheme="minorHAnsi"/>
              </w:rPr>
            </w:pPr>
            <w:r w:rsidRPr="00E65B62">
              <w:rPr>
                <w:rFonts w:eastAsiaTheme="minorHAnsi"/>
              </w:rPr>
              <w:t>75</w:t>
            </w:r>
          </w:p>
        </w:tc>
        <w:tc>
          <w:tcPr>
            <w:tcW w:w="574" w:type="pct"/>
            <w:noWrap/>
            <w:hideMark/>
          </w:tcPr>
          <w:p w14:paraId="78581818" w14:textId="77777777" w:rsidR="00597694" w:rsidRPr="00E65B62" w:rsidRDefault="00597694" w:rsidP="00751043">
            <w:pPr>
              <w:pStyle w:val="051Tabletext22"/>
              <w:spacing w:before="0" w:after="0"/>
              <w:jc w:val="right"/>
              <w:rPr>
                <w:rFonts w:eastAsiaTheme="minorHAnsi"/>
              </w:rPr>
            </w:pPr>
            <w:r w:rsidRPr="00E65B62">
              <w:rPr>
                <w:rFonts w:eastAsiaTheme="minorHAnsi"/>
              </w:rPr>
              <w:t>76</w:t>
            </w:r>
          </w:p>
        </w:tc>
        <w:tc>
          <w:tcPr>
            <w:tcW w:w="574" w:type="pct"/>
            <w:noWrap/>
            <w:hideMark/>
          </w:tcPr>
          <w:p w14:paraId="66A15A49" w14:textId="77777777" w:rsidR="00597694" w:rsidRPr="00E65B62" w:rsidRDefault="00597694" w:rsidP="00751043">
            <w:pPr>
              <w:pStyle w:val="051Tabletext22"/>
              <w:spacing w:before="0" w:after="0"/>
              <w:jc w:val="right"/>
              <w:rPr>
                <w:rFonts w:eastAsiaTheme="minorHAnsi"/>
              </w:rPr>
            </w:pPr>
            <w:r w:rsidRPr="00E65B62">
              <w:rPr>
                <w:rFonts w:eastAsiaTheme="minorHAnsi"/>
              </w:rPr>
              <w:t>78</w:t>
            </w:r>
          </w:p>
        </w:tc>
        <w:tc>
          <w:tcPr>
            <w:tcW w:w="574" w:type="pct"/>
            <w:noWrap/>
            <w:hideMark/>
          </w:tcPr>
          <w:p w14:paraId="57119D07" w14:textId="77777777" w:rsidR="00597694" w:rsidRPr="00E65B62" w:rsidRDefault="00597694" w:rsidP="00751043">
            <w:pPr>
              <w:pStyle w:val="051Tabletext22"/>
              <w:spacing w:before="0" w:after="0"/>
              <w:jc w:val="right"/>
              <w:rPr>
                <w:rFonts w:eastAsiaTheme="minorHAnsi"/>
              </w:rPr>
            </w:pPr>
            <w:r w:rsidRPr="00E65B62">
              <w:rPr>
                <w:rFonts w:eastAsiaTheme="minorHAnsi"/>
              </w:rPr>
              <w:t>79</w:t>
            </w:r>
          </w:p>
        </w:tc>
        <w:tc>
          <w:tcPr>
            <w:tcW w:w="574" w:type="pct"/>
            <w:noWrap/>
            <w:hideMark/>
          </w:tcPr>
          <w:p w14:paraId="59C1EEB5" w14:textId="77777777" w:rsidR="00597694" w:rsidRPr="00E65B62" w:rsidRDefault="00597694" w:rsidP="00751043">
            <w:pPr>
              <w:pStyle w:val="051Tabletext22"/>
              <w:spacing w:before="0" w:after="0"/>
              <w:jc w:val="right"/>
              <w:rPr>
                <w:rFonts w:eastAsiaTheme="minorHAnsi"/>
              </w:rPr>
            </w:pPr>
            <w:r w:rsidRPr="00E65B62">
              <w:rPr>
                <w:rFonts w:eastAsiaTheme="minorHAnsi"/>
              </w:rPr>
              <w:t>79</w:t>
            </w:r>
          </w:p>
        </w:tc>
        <w:tc>
          <w:tcPr>
            <w:tcW w:w="573" w:type="pct"/>
            <w:noWrap/>
            <w:hideMark/>
          </w:tcPr>
          <w:p w14:paraId="7FEF756F" w14:textId="77777777" w:rsidR="00597694" w:rsidRPr="00E65B62" w:rsidRDefault="00597694" w:rsidP="00751043">
            <w:pPr>
              <w:pStyle w:val="051Tabletext22"/>
              <w:spacing w:before="0" w:after="0"/>
              <w:jc w:val="right"/>
              <w:rPr>
                <w:rFonts w:eastAsiaTheme="minorHAnsi"/>
              </w:rPr>
            </w:pPr>
            <w:r w:rsidRPr="00E65B62">
              <w:rPr>
                <w:rFonts w:eastAsiaTheme="minorHAnsi"/>
              </w:rPr>
              <w:t>80</w:t>
            </w:r>
          </w:p>
        </w:tc>
      </w:tr>
      <w:tr w:rsidR="00597694" w:rsidRPr="00E65B62" w14:paraId="0EB29E35" w14:textId="77777777">
        <w:trPr>
          <w:trHeight w:val="13"/>
        </w:trPr>
        <w:tc>
          <w:tcPr>
            <w:tcW w:w="1556" w:type="pct"/>
            <w:noWrap/>
            <w:hideMark/>
          </w:tcPr>
          <w:p w14:paraId="6212A6B0" w14:textId="4EF81971" w:rsidR="00597694" w:rsidRPr="00E65B62" w:rsidRDefault="00597694" w:rsidP="00751043">
            <w:pPr>
              <w:pStyle w:val="051Tabletext22"/>
              <w:spacing w:before="0" w:after="0"/>
              <w:rPr>
                <w:rFonts w:eastAsiaTheme="minorHAnsi"/>
              </w:rPr>
            </w:pPr>
            <w:r w:rsidRPr="00E65B62">
              <w:rPr>
                <w:rFonts w:eastAsiaTheme="minorHAnsi"/>
              </w:rPr>
              <w:t xml:space="preserve">Number of proposed </w:t>
            </w:r>
            <w:r w:rsidR="00F30B2E">
              <w:rPr>
                <w:rFonts w:eastAsiaTheme="minorHAnsi"/>
              </w:rPr>
              <w:t>affected individual</w:t>
            </w:r>
            <w:r w:rsidR="00F30B2E" w:rsidRPr="00E65B62">
              <w:rPr>
                <w:rFonts w:eastAsiaTheme="minorHAnsi"/>
              </w:rPr>
              <w:t xml:space="preserve"> </w:t>
            </w:r>
            <w:r w:rsidRPr="00E65B62">
              <w:rPr>
                <w:rFonts w:eastAsiaTheme="minorHAnsi"/>
              </w:rPr>
              <w:t>genetic</w:t>
            </w:r>
            <w:r>
              <w:rPr>
                <w:rFonts w:eastAsiaTheme="minorHAnsi"/>
              </w:rPr>
              <w:t xml:space="preserve"> testing</w:t>
            </w:r>
            <w:r w:rsidRPr="00E65B62">
              <w:rPr>
                <w:rFonts w:eastAsiaTheme="minorHAnsi"/>
              </w:rPr>
              <w:t xml:space="preserve"> services</w:t>
            </w:r>
            <w:r>
              <w:rPr>
                <w:rFonts w:eastAsiaTheme="minorHAnsi"/>
              </w:rPr>
              <w:t xml:space="preserve"> [E]</w:t>
            </w:r>
          </w:p>
        </w:tc>
        <w:tc>
          <w:tcPr>
            <w:tcW w:w="575" w:type="pct"/>
            <w:noWrap/>
          </w:tcPr>
          <w:p w14:paraId="00919964" w14:textId="77777777" w:rsidR="00597694" w:rsidRPr="00E65B62" w:rsidRDefault="00597694" w:rsidP="00751043">
            <w:pPr>
              <w:pStyle w:val="051Tabletext22"/>
              <w:spacing w:before="0" w:after="0"/>
              <w:jc w:val="right"/>
              <w:rPr>
                <w:rFonts w:eastAsiaTheme="minorHAnsi"/>
              </w:rPr>
            </w:pPr>
            <w:r>
              <w:rPr>
                <w:rFonts w:eastAsiaTheme="minorHAnsi"/>
              </w:rPr>
              <w:t>3</w:t>
            </w:r>
          </w:p>
        </w:tc>
        <w:tc>
          <w:tcPr>
            <w:tcW w:w="574" w:type="pct"/>
            <w:noWrap/>
            <w:hideMark/>
          </w:tcPr>
          <w:p w14:paraId="6CB63092" w14:textId="77777777" w:rsidR="00597694" w:rsidRPr="00E65B62" w:rsidRDefault="00597694" w:rsidP="00751043">
            <w:pPr>
              <w:pStyle w:val="051Tabletext22"/>
              <w:spacing w:before="0" w:after="0"/>
              <w:jc w:val="right"/>
              <w:rPr>
                <w:rFonts w:eastAsiaTheme="minorHAnsi"/>
              </w:rPr>
            </w:pPr>
            <w:r>
              <w:rPr>
                <w:rFonts w:eastAsiaTheme="minorHAnsi"/>
              </w:rPr>
              <w:t>3</w:t>
            </w:r>
          </w:p>
        </w:tc>
        <w:tc>
          <w:tcPr>
            <w:tcW w:w="574" w:type="pct"/>
            <w:noWrap/>
            <w:hideMark/>
          </w:tcPr>
          <w:p w14:paraId="2472476E" w14:textId="77777777" w:rsidR="00597694" w:rsidRPr="00E65B62" w:rsidRDefault="00597694" w:rsidP="00751043">
            <w:pPr>
              <w:pStyle w:val="051Tabletext22"/>
              <w:spacing w:before="0" w:after="0"/>
              <w:jc w:val="right"/>
              <w:rPr>
                <w:rFonts w:eastAsiaTheme="minorHAnsi"/>
              </w:rPr>
            </w:pPr>
            <w:r>
              <w:rPr>
                <w:rFonts w:eastAsiaTheme="minorHAnsi"/>
              </w:rPr>
              <w:t>3</w:t>
            </w:r>
          </w:p>
        </w:tc>
        <w:tc>
          <w:tcPr>
            <w:tcW w:w="574" w:type="pct"/>
            <w:noWrap/>
            <w:hideMark/>
          </w:tcPr>
          <w:p w14:paraId="4F2B05AD" w14:textId="77777777" w:rsidR="00597694" w:rsidRPr="00E65B62" w:rsidRDefault="00597694" w:rsidP="00751043">
            <w:pPr>
              <w:pStyle w:val="051Tabletext22"/>
              <w:spacing w:before="0" w:after="0"/>
              <w:jc w:val="right"/>
              <w:rPr>
                <w:rFonts w:eastAsiaTheme="minorHAnsi"/>
              </w:rPr>
            </w:pPr>
            <w:r>
              <w:rPr>
                <w:rFonts w:eastAsiaTheme="minorHAnsi"/>
              </w:rPr>
              <w:t>3</w:t>
            </w:r>
          </w:p>
        </w:tc>
        <w:tc>
          <w:tcPr>
            <w:tcW w:w="574" w:type="pct"/>
            <w:noWrap/>
            <w:hideMark/>
          </w:tcPr>
          <w:p w14:paraId="408598F6" w14:textId="77777777" w:rsidR="00597694" w:rsidRPr="00E65B62" w:rsidRDefault="00597694" w:rsidP="00751043">
            <w:pPr>
              <w:pStyle w:val="051Tabletext22"/>
              <w:spacing w:before="0" w:after="0"/>
              <w:jc w:val="right"/>
              <w:rPr>
                <w:rFonts w:eastAsiaTheme="minorHAnsi"/>
              </w:rPr>
            </w:pPr>
            <w:r>
              <w:rPr>
                <w:rFonts w:eastAsiaTheme="minorHAnsi"/>
              </w:rPr>
              <w:t>3</w:t>
            </w:r>
          </w:p>
        </w:tc>
        <w:tc>
          <w:tcPr>
            <w:tcW w:w="573" w:type="pct"/>
            <w:noWrap/>
            <w:hideMark/>
          </w:tcPr>
          <w:p w14:paraId="6049EA69" w14:textId="77777777" w:rsidR="00597694" w:rsidRPr="00E65B62" w:rsidRDefault="00597694" w:rsidP="00751043">
            <w:pPr>
              <w:pStyle w:val="051Tabletext22"/>
              <w:spacing w:before="0" w:after="0"/>
              <w:jc w:val="right"/>
              <w:rPr>
                <w:rFonts w:eastAsiaTheme="minorHAnsi"/>
              </w:rPr>
            </w:pPr>
            <w:r>
              <w:rPr>
                <w:rFonts w:eastAsiaTheme="minorHAnsi"/>
              </w:rPr>
              <w:t>3</w:t>
            </w:r>
          </w:p>
        </w:tc>
      </w:tr>
      <w:tr w:rsidR="00597694" w:rsidRPr="00E65B62" w14:paraId="1D537B22" w14:textId="77777777">
        <w:trPr>
          <w:trHeight w:val="13"/>
        </w:trPr>
        <w:tc>
          <w:tcPr>
            <w:tcW w:w="1556" w:type="pct"/>
            <w:hideMark/>
          </w:tcPr>
          <w:p w14:paraId="756C057B" w14:textId="77777777" w:rsidR="00597694" w:rsidRPr="00E65B62" w:rsidRDefault="00597694" w:rsidP="00751043">
            <w:pPr>
              <w:pStyle w:val="051Tabletext22"/>
              <w:spacing w:before="0" w:after="0"/>
              <w:rPr>
                <w:rFonts w:eastAsiaTheme="minorHAnsi"/>
              </w:rPr>
            </w:pPr>
            <w:r w:rsidRPr="00E65B62">
              <w:rPr>
                <w:rFonts w:eastAsiaTheme="minorHAnsi"/>
              </w:rPr>
              <w:t>Number of proposed cascade genetic</w:t>
            </w:r>
            <w:r>
              <w:rPr>
                <w:rFonts w:eastAsiaTheme="minorHAnsi"/>
              </w:rPr>
              <w:t xml:space="preserve"> testing</w:t>
            </w:r>
            <w:r w:rsidRPr="00E65B62">
              <w:rPr>
                <w:rFonts w:eastAsiaTheme="minorHAnsi"/>
              </w:rPr>
              <w:t xml:space="preserve"> services</w:t>
            </w:r>
            <w:r>
              <w:rPr>
                <w:rFonts w:eastAsiaTheme="minorHAnsi"/>
              </w:rPr>
              <w:t xml:space="preserve"> [F]</w:t>
            </w:r>
          </w:p>
        </w:tc>
        <w:tc>
          <w:tcPr>
            <w:tcW w:w="575" w:type="pct"/>
            <w:noWrap/>
          </w:tcPr>
          <w:p w14:paraId="4C1B42A8" w14:textId="77777777" w:rsidR="00597694" w:rsidRPr="00E65B62" w:rsidRDefault="00597694" w:rsidP="00751043">
            <w:pPr>
              <w:pStyle w:val="051Tabletext22"/>
              <w:spacing w:before="0" w:after="0"/>
              <w:jc w:val="right"/>
              <w:rPr>
                <w:rFonts w:eastAsiaTheme="minorHAnsi"/>
              </w:rPr>
            </w:pPr>
            <w:r w:rsidRPr="00E65B62">
              <w:rPr>
                <w:rFonts w:eastAsiaTheme="minorHAnsi"/>
              </w:rPr>
              <w:t>2</w:t>
            </w:r>
          </w:p>
        </w:tc>
        <w:tc>
          <w:tcPr>
            <w:tcW w:w="574" w:type="pct"/>
            <w:noWrap/>
            <w:hideMark/>
          </w:tcPr>
          <w:p w14:paraId="4CD9145A" w14:textId="77777777" w:rsidR="00597694" w:rsidRPr="00E65B62" w:rsidRDefault="00597694" w:rsidP="00751043">
            <w:pPr>
              <w:pStyle w:val="051Tabletext22"/>
              <w:spacing w:before="0" w:after="0"/>
              <w:jc w:val="right"/>
              <w:rPr>
                <w:rFonts w:eastAsiaTheme="minorHAnsi"/>
              </w:rPr>
            </w:pPr>
            <w:r w:rsidRPr="00E65B62">
              <w:rPr>
                <w:rFonts w:eastAsiaTheme="minorHAnsi"/>
              </w:rPr>
              <w:t>2</w:t>
            </w:r>
          </w:p>
        </w:tc>
        <w:tc>
          <w:tcPr>
            <w:tcW w:w="574" w:type="pct"/>
            <w:noWrap/>
            <w:hideMark/>
          </w:tcPr>
          <w:p w14:paraId="3EEE9B0F" w14:textId="77777777" w:rsidR="00597694" w:rsidRPr="00E65B62" w:rsidRDefault="00597694" w:rsidP="00751043">
            <w:pPr>
              <w:pStyle w:val="051Tabletext22"/>
              <w:spacing w:before="0" w:after="0"/>
              <w:jc w:val="right"/>
              <w:rPr>
                <w:rFonts w:eastAsiaTheme="minorHAnsi"/>
              </w:rPr>
            </w:pPr>
            <w:r w:rsidRPr="00E65B62">
              <w:rPr>
                <w:rFonts w:eastAsiaTheme="minorHAnsi"/>
              </w:rPr>
              <w:t>2</w:t>
            </w:r>
          </w:p>
        </w:tc>
        <w:tc>
          <w:tcPr>
            <w:tcW w:w="574" w:type="pct"/>
            <w:noWrap/>
            <w:hideMark/>
          </w:tcPr>
          <w:p w14:paraId="62BF6A89" w14:textId="77777777" w:rsidR="00597694" w:rsidRPr="00E65B62" w:rsidRDefault="00597694" w:rsidP="00751043">
            <w:pPr>
              <w:pStyle w:val="051Tabletext22"/>
              <w:spacing w:before="0" w:after="0"/>
              <w:jc w:val="right"/>
              <w:rPr>
                <w:rFonts w:eastAsiaTheme="minorHAnsi"/>
              </w:rPr>
            </w:pPr>
            <w:r w:rsidRPr="00E65B62">
              <w:rPr>
                <w:rFonts w:eastAsiaTheme="minorHAnsi"/>
              </w:rPr>
              <w:t>2</w:t>
            </w:r>
          </w:p>
        </w:tc>
        <w:tc>
          <w:tcPr>
            <w:tcW w:w="574" w:type="pct"/>
            <w:noWrap/>
            <w:hideMark/>
          </w:tcPr>
          <w:p w14:paraId="6466ECAC" w14:textId="77777777" w:rsidR="00597694" w:rsidRPr="00E65B62" w:rsidRDefault="00597694" w:rsidP="00751043">
            <w:pPr>
              <w:pStyle w:val="051Tabletext22"/>
              <w:spacing w:before="0" w:after="0"/>
              <w:jc w:val="right"/>
              <w:rPr>
                <w:rFonts w:eastAsiaTheme="minorHAnsi"/>
              </w:rPr>
            </w:pPr>
            <w:r w:rsidRPr="00E65B62">
              <w:rPr>
                <w:rFonts w:eastAsiaTheme="minorHAnsi"/>
              </w:rPr>
              <w:t>2</w:t>
            </w:r>
          </w:p>
        </w:tc>
        <w:tc>
          <w:tcPr>
            <w:tcW w:w="573" w:type="pct"/>
            <w:noWrap/>
            <w:hideMark/>
          </w:tcPr>
          <w:p w14:paraId="5B9279B2" w14:textId="77777777" w:rsidR="00597694" w:rsidRPr="00E65B62" w:rsidRDefault="00597694" w:rsidP="00751043">
            <w:pPr>
              <w:pStyle w:val="051Tabletext22"/>
              <w:spacing w:before="0" w:after="0"/>
              <w:jc w:val="right"/>
              <w:rPr>
                <w:rFonts w:eastAsiaTheme="minorHAnsi"/>
              </w:rPr>
            </w:pPr>
            <w:r w:rsidRPr="00E65B62">
              <w:rPr>
                <w:rFonts w:eastAsiaTheme="minorHAnsi"/>
              </w:rPr>
              <w:t>2</w:t>
            </w:r>
          </w:p>
        </w:tc>
      </w:tr>
      <w:tr w:rsidR="007B3301" w:rsidRPr="00E65B62" w14:paraId="5D64BA96" w14:textId="77777777" w:rsidTr="00601881">
        <w:trPr>
          <w:trHeight w:val="13"/>
        </w:trPr>
        <w:tc>
          <w:tcPr>
            <w:tcW w:w="1556" w:type="pct"/>
            <w:hideMark/>
          </w:tcPr>
          <w:p w14:paraId="26A7762F" w14:textId="77777777" w:rsidR="007B3301" w:rsidRPr="00E65B62" w:rsidRDefault="007B3301" w:rsidP="00751043">
            <w:pPr>
              <w:pStyle w:val="051Tabletext22"/>
              <w:spacing w:before="0" w:after="0"/>
              <w:rPr>
                <w:rFonts w:eastAsiaTheme="minorHAnsi"/>
              </w:rPr>
            </w:pPr>
            <w:r w:rsidRPr="00E65B62">
              <w:rPr>
                <w:rFonts w:eastAsiaTheme="minorHAnsi"/>
              </w:rPr>
              <w:t xml:space="preserve">Cost to the MBS </w:t>
            </w:r>
            <w:r>
              <w:rPr>
                <w:rFonts w:eastAsiaTheme="minorHAnsi"/>
              </w:rPr>
              <w:t xml:space="preserve">of </w:t>
            </w:r>
            <w:r w:rsidRPr="00E65B62">
              <w:rPr>
                <w:rFonts w:eastAsiaTheme="minorHAnsi"/>
              </w:rPr>
              <w:t>ADAMTS13 activity test</w:t>
            </w:r>
            <w:r>
              <w:rPr>
                <w:rFonts w:eastAsiaTheme="minorHAnsi"/>
              </w:rPr>
              <w:t>ing</w:t>
            </w:r>
            <w:r w:rsidRPr="00E65B62">
              <w:rPr>
                <w:rFonts w:eastAsiaTheme="minorHAnsi"/>
              </w:rPr>
              <w:t xml:space="preserve"> </w:t>
            </w:r>
            <w:r>
              <w:rPr>
                <w:rFonts w:eastAsiaTheme="minorHAnsi"/>
              </w:rPr>
              <w:t>services (</w:t>
            </w:r>
            <w:r w:rsidRPr="00E65B62">
              <w:rPr>
                <w:rFonts w:eastAsiaTheme="minorHAnsi"/>
              </w:rPr>
              <w:t>75%</w:t>
            </w:r>
            <w:r>
              <w:rPr>
                <w:rFonts w:eastAsiaTheme="minorHAnsi"/>
              </w:rPr>
              <w:t xml:space="preserve"> benefit</w:t>
            </w:r>
            <w:r w:rsidRPr="00E65B62">
              <w:rPr>
                <w:rFonts w:eastAsiaTheme="minorHAnsi"/>
              </w:rPr>
              <w:t>)</w:t>
            </w:r>
            <w:r>
              <w:rPr>
                <w:rFonts w:eastAsiaTheme="minorHAnsi"/>
              </w:rPr>
              <w:t xml:space="preserve"> [G]</w:t>
            </w:r>
          </w:p>
        </w:tc>
        <w:tc>
          <w:tcPr>
            <w:tcW w:w="575" w:type="pct"/>
            <w:noWrap/>
          </w:tcPr>
          <w:p w14:paraId="016DB0B6" w14:textId="714B934A" w:rsidR="007B3301" w:rsidRPr="007B3301" w:rsidRDefault="007B3301" w:rsidP="00751043">
            <w:pPr>
              <w:pStyle w:val="051Tabletext22"/>
              <w:spacing w:before="0" w:after="0"/>
              <w:jc w:val="right"/>
            </w:pPr>
            <w:r w:rsidRPr="007B3301">
              <w:t>$100,</w:t>
            </w:r>
            <w:r w:rsidRPr="003B78DB">
              <w:t>200</w:t>
            </w:r>
          </w:p>
        </w:tc>
        <w:tc>
          <w:tcPr>
            <w:tcW w:w="574" w:type="pct"/>
            <w:noWrap/>
            <w:hideMark/>
          </w:tcPr>
          <w:p w14:paraId="6820DC1B" w14:textId="709F8030" w:rsidR="007B3301" w:rsidRPr="007B3301" w:rsidRDefault="007B3301" w:rsidP="00751043">
            <w:pPr>
              <w:pStyle w:val="051Tabletext22"/>
              <w:spacing w:before="0" w:after="0"/>
              <w:jc w:val="right"/>
            </w:pPr>
            <w:r w:rsidRPr="007B3301">
              <w:t>$101,400</w:t>
            </w:r>
          </w:p>
        </w:tc>
        <w:tc>
          <w:tcPr>
            <w:tcW w:w="574" w:type="pct"/>
            <w:noWrap/>
            <w:hideMark/>
          </w:tcPr>
          <w:p w14:paraId="4FA8D52B" w14:textId="1E5D3F43" w:rsidR="007B3301" w:rsidRPr="007B3301" w:rsidRDefault="007B3301" w:rsidP="00751043">
            <w:pPr>
              <w:pStyle w:val="051Tabletext22"/>
              <w:spacing w:before="0" w:after="0"/>
              <w:jc w:val="right"/>
            </w:pPr>
            <w:r w:rsidRPr="007B3301">
              <w:t>$102,900</w:t>
            </w:r>
          </w:p>
        </w:tc>
        <w:tc>
          <w:tcPr>
            <w:tcW w:w="574" w:type="pct"/>
            <w:noWrap/>
            <w:hideMark/>
          </w:tcPr>
          <w:p w14:paraId="1B06C45D" w14:textId="01B4E96C" w:rsidR="007B3301" w:rsidRPr="007B3301" w:rsidRDefault="007B3301" w:rsidP="00751043">
            <w:pPr>
              <w:pStyle w:val="051Tabletext22"/>
              <w:spacing w:before="0" w:after="0"/>
              <w:jc w:val="right"/>
            </w:pPr>
            <w:r w:rsidRPr="007B3301">
              <w:t>$104,100</w:t>
            </w:r>
          </w:p>
        </w:tc>
        <w:tc>
          <w:tcPr>
            <w:tcW w:w="574" w:type="pct"/>
            <w:noWrap/>
            <w:hideMark/>
          </w:tcPr>
          <w:p w14:paraId="6DA7F348" w14:textId="7B3F6E6D" w:rsidR="007B3301" w:rsidRPr="007B3301" w:rsidRDefault="007B3301" w:rsidP="00751043">
            <w:pPr>
              <w:pStyle w:val="051Tabletext22"/>
              <w:spacing w:before="0" w:after="0"/>
              <w:jc w:val="right"/>
            </w:pPr>
            <w:r w:rsidRPr="007B3301">
              <w:t>$105,600</w:t>
            </w:r>
          </w:p>
        </w:tc>
        <w:tc>
          <w:tcPr>
            <w:tcW w:w="573" w:type="pct"/>
            <w:noWrap/>
            <w:hideMark/>
          </w:tcPr>
          <w:p w14:paraId="5F2D06A4" w14:textId="7BED5859" w:rsidR="007B3301" w:rsidRPr="007B3301" w:rsidRDefault="007B3301" w:rsidP="00751043">
            <w:pPr>
              <w:pStyle w:val="051Tabletext22"/>
              <w:spacing w:before="0" w:after="0"/>
              <w:jc w:val="right"/>
            </w:pPr>
            <w:r w:rsidRPr="007B3301">
              <w:t>$106,800</w:t>
            </w:r>
          </w:p>
        </w:tc>
      </w:tr>
      <w:tr w:rsidR="00597694" w:rsidRPr="00E65B62" w14:paraId="6A017985" w14:textId="77777777">
        <w:trPr>
          <w:trHeight w:val="270"/>
        </w:trPr>
        <w:tc>
          <w:tcPr>
            <w:tcW w:w="1556" w:type="pct"/>
            <w:hideMark/>
          </w:tcPr>
          <w:p w14:paraId="7C56F3BD" w14:textId="77777777" w:rsidR="00597694" w:rsidRPr="00E65B62" w:rsidRDefault="00597694" w:rsidP="00751043">
            <w:pPr>
              <w:pStyle w:val="051Tabletext22"/>
              <w:spacing w:before="0" w:after="0"/>
              <w:rPr>
                <w:rFonts w:eastAsiaTheme="minorHAnsi"/>
              </w:rPr>
            </w:pPr>
            <w:r w:rsidRPr="00E65B62">
              <w:rPr>
                <w:rFonts w:eastAsiaTheme="minorHAnsi"/>
              </w:rPr>
              <w:t xml:space="preserve">Cost to the MBS </w:t>
            </w:r>
            <w:r>
              <w:rPr>
                <w:rFonts w:eastAsiaTheme="minorHAnsi"/>
              </w:rPr>
              <w:t xml:space="preserve">of </w:t>
            </w:r>
            <w:r w:rsidRPr="00E65B62">
              <w:rPr>
                <w:rFonts w:eastAsiaTheme="minorHAnsi"/>
              </w:rPr>
              <w:t>anti-ADAMTS13 autoantibody test</w:t>
            </w:r>
            <w:r>
              <w:rPr>
                <w:rFonts w:eastAsiaTheme="minorHAnsi"/>
              </w:rPr>
              <w:t>ing</w:t>
            </w:r>
            <w:r w:rsidRPr="00E65B62">
              <w:rPr>
                <w:rFonts w:eastAsiaTheme="minorHAnsi"/>
              </w:rPr>
              <w:t xml:space="preserve"> </w:t>
            </w:r>
            <w:r>
              <w:rPr>
                <w:rFonts w:eastAsiaTheme="minorHAnsi"/>
              </w:rPr>
              <w:t>services (</w:t>
            </w:r>
            <w:r w:rsidRPr="00E65B62">
              <w:rPr>
                <w:rFonts w:eastAsiaTheme="minorHAnsi"/>
              </w:rPr>
              <w:t>75%</w:t>
            </w:r>
            <w:r>
              <w:rPr>
                <w:rFonts w:eastAsiaTheme="minorHAnsi"/>
              </w:rPr>
              <w:t xml:space="preserve"> benefit</w:t>
            </w:r>
            <w:r w:rsidRPr="00E65B62">
              <w:rPr>
                <w:rFonts w:eastAsiaTheme="minorHAnsi"/>
              </w:rPr>
              <w:t>)</w:t>
            </w:r>
            <w:r>
              <w:rPr>
                <w:rFonts w:eastAsiaTheme="minorHAnsi"/>
              </w:rPr>
              <w:t xml:space="preserve"> [H]</w:t>
            </w:r>
          </w:p>
        </w:tc>
        <w:tc>
          <w:tcPr>
            <w:tcW w:w="575" w:type="pct"/>
            <w:noWrap/>
          </w:tcPr>
          <w:p w14:paraId="2ED1A567" w14:textId="77777777" w:rsidR="00597694" w:rsidRPr="00E65B62" w:rsidRDefault="00597694" w:rsidP="00751043">
            <w:pPr>
              <w:pStyle w:val="051Tabletext22"/>
              <w:spacing w:before="0" w:after="0"/>
              <w:jc w:val="right"/>
              <w:rPr>
                <w:rFonts w:eastAsiaTheme="minorHAnsi"/>
              </w:rPr>
            </w:pPr>
            <w:r w:rsidRPr="00E65B62">
              <w:rPr>
                <w:rFonts w:eastAsiaTheme="minorHAnsi"/>
              </w:rPr>
              <w:t>$59,</w:t>
            </w:r>
            <w:r w:rsidRPr="00267F35">
              <w:t>063</w:t>
            </w:r>
          </w:p>
        </w:tc>
        <w:tc>
          <w:tcPr>
            <w:tcW w:w="574" w:type="pct"/>
            <w:noWrap/>
            <w:hideMark/>
          </w:tcPr>
          <w:p w14:paraId="3BC3311E" w14:textId="77777777" w:rsidR="00597694" w:rsidRPr="00E65B62" w:rsidRDefault="00597694" w:rsidP="00751043">
            <w:pPr>
              <w:pStyle w:val="051Tabletext22"/>
              <w:spacing w:before="0" w:after="0"/>
              <w:jc w:val="right"/>
              <w:rPr>
                <w:rFonts w:eastAsiaTheme="minorHAnsi"/>
              </w:rPr>
            </w:pPr>
            <w:r w:rsidRPr="00E65B62">
              <w:rPr>
                <w:rFonts w:eastAsiaTheme="minorHAnsi"/>
              </w:rPr>
              <w:t>$59,850</w:t>
            </w:r>
          </w:p>
        </w:tc>
        <w:tc>
          <w:tcPr>
            <w:tcW w:w="574" w:type="pct"/>
            <w:noWrap/>
            <w:hideMark/>
          </w:tcPr>
          <w:p w14:paraId="4A40176D" w14:textId="77777777" w:rsidR="00597694" w:rsidRPr="00E65B62" w:rsidRDefault="00597694" w:rsidP="00751043">
            <w:pPr>
              <w:pStyle w:val="051Tabletext22"/>
              <w:spacing w:before="0" w:after="0"/>
              <w:jc w:val="right"/>
              <w:rPr>
                <w:rFonts w:eastAsiaTheme="minorHAnsi"/>
              </w:rPr>
            </w:pPr>
            <w:r w:rsidRPr="00E65B62">
              <w:rPr>
                <w:rFonts w:eastAsiaTheme="minorHAnsi"/>
              </w:rPr>
              <w:t>$61,425</w:t>
            </w:r>
          </w:p>
        </w:tc>
        <w:tc>
          <w:tcPr>
            <w:tcW w:w="574" w:type="pct"/>
            <w:noWrap/>
            <w:hideMark/>
          </w:tcPr>
          <w:p w14:paraId="17CF8E09" w14:textId="77777777" w:rsidR="00597694" w:rsidRPr="00E65B62" w:rsidRDefault="00597694" w:rsidP="00751043">
            <w:pPr>
              <w:pStyle w:val="051Tabletext22"/>
              <w:spacing w:before="0" w:after="0"/>
              <w:jc w:val="right"/>
              <w:rPr>
                <w:rFonts w:eastAsiaTheme="minorHAnsi"/>
              </w:rPr>
            </w:pPr>
            <w:r w:rsidRPr="00E65B62">
              <w:rPr>
                <w:rFonts w:eastAsiaTheme="minorHAnsi"/>
              </w:rPr>
              <w:t>$62,</w:t>
            </w:r>
            <w:r w:rsidRPr="00267F35">
              <w:t>213</w:t>
            </w:r>
          </w:p>
        </w:tc>
        <w:tc>
          <w:tcPr>
            <w:tcW w:w="574" w:type="pct"/>
            <w:noWrap/>
            <w:hideMark/>
          </w:tcPr>
          <w:p w14:paraId="1088B628" w14:textId="77777777" w:rsidR="00597694" w:rsidRPr="00E65B62" w:rsidRDefault="00597694" w:rsidP="00751043">
            <w:pPr>
              <w:pStyle w:val="051Tabletext22"/>
              <w:spacing w:before="0" w:after="0"/>
              <w:jc w:val="right"/>
              <w:rPr>
                <w:rFonts w:eastAsiaTheme="minorHAnsi"/>
              </w:rPr>
            </w:pPr>
            <w:r w:rsidRPr="00E65B62">
              <w:rPr>
                <w:rFonts w:eastAsiaTheme="minorHAnsi"/>
              </w:rPr>
              <w:t>$62,</w:t>
            </w:r>
            <w:r w:rsidRPr="00267F35">
              <w:t>213</w:t>
            </w:r>
          </w:p>
        </w:tc>
        <w:tc>
          <w:tcPr>
            <w:tcW w:w="573" w:type="pct"/>
            <w:noWrap/>
            <w:hideMark/>
          </w:tcPr>
          <w:p w14:paraId="67C0C990" w14:textId="77777777" w:rsidR="00597694" w:rsidRPr="00E65B62" w:rsidRDefault="00597694" w:rsidP="00751043">
            <w:pPr>
              <w:pStyle w:val="051Tabletext22"/>
              <w:spacing w:before="0" w:after="0"/>
              <w:jc w:val="right"/>
              <w:rPr>
                <w:rFonts w:eastAsiaTheme="minorHAnsi"/>
              </w:rPr>
            </w:pPr>
            <w:r w:rsidRPr="00E65B62">
              <w:rPr>
                <w:rFonts w:eastAsiaTheme="minorHAnsi"/>
              </w:rPr>
              <w:t>$63,000</w:t>
            </w:r>
          </w:p>
        </w:tc>
      </w:tr>
      <w:tr w:rsidR="003B78DB" w:rsidRPr="00E65B62" w14:paraId="31253C23" w14:textId="77777777" w:rsidTr="003B78DB">
        <w:trPr>
          <w:trHeight w:val="290"/>
        </w:trPr>
        <w:tc>
          <w:tcPr>
            <w:tcW w:w="1556" w:type="pct"/>
            <w:hideMark/>
          </w:tcPr>
          <w:p w14:paraId="559FC5D9" w14:textId="0225D5E6" w:rsidR="003B78DB" w:rsidRPr="00E65B62" w:rsidRDefault="003B78DB" w:rsidP="00751043">
            <w:pPr>
              <w:pStyle w:val="051Tabletext22"/>
              <w:spacing w:before="0" w:after="0"/>
              <w:rPr>
                <w:rFonts w:eastAsiaTheme="minorHAnsi"/>
              </w:rPr>
            </w:pPr>
            <w:r w:rsidRPr="00E65B62">
              <w:rPr>
                <w:rFonts w:eastAsiaTheme="minorHAnsi"/>
              </w:rPr>
              <w:t xml:space="preserve">Cost to the MBS </w:t>
            </w:r>
            <w:r>
              <w:rPr>
                <w:rFonts w:eastAsiaTheme="minorHAnsi"/>
              </w:rPr>
              <w:t xml:space="preserve">of </w:t>
            </w:r>
            <w:r w:rsidR="00F30B2E">
              <w:rPr>
                <w:rFonts w:eastAsiaTheme="minorHAnsi"/>
              </w:rPr>
              <w:t>affected individual</w:t>
            </w:r>
            <w:r w:rsidR="00F30B2E" w:rsidRPr="00E65B62">
              <w:rPr>
                <w:rFonts w:eastAsiaTheme="minorHAnsi"/>
              </w:rPr>
              <w:t xml:space="preserve"> </w:t>
            </w:r>
            <w:r w:rsidRPr="00E65B62">
              <w:rPr>
                <w:rFonts w:eastAsiaTheme="minorHAnsi"/>
              </w:rPr>
              <w:t>genetic</w:t>
            </w:r>
            <w:r>
              <w:rPr>
                <w:rFonts w:eastAsiaTheme="minorHAnsi"/>
              </w:rPr>
              <w:t xml:space="preserve"> testing</w:t>
            </w:r>
            <w:r w:rsidRPr="00E65B62">
              <w:rPr>
                <w:rFonts w:eastAsiaTheme="minorHAnsi"/>
              </w:rPr>
              <w:t xml:space="preserve"> services </w:t>
            </w:r>
            <w:r>
              <w:rPr>
                <w:rFonts w:eastAsiaTheme="minorHAnsi"/>
              </w:rPr>
              <w:t>(</w:t>
            </w:r>
            <w:r w:rsidRPr="00E65B62">
              <w:rPr>
                <w:rFonts w:eastAsiaTheme="minorHAnsi"/>
              </w:rPr>
              <w:t>85%</w:t>
            </w:r>
            <w:r>
              <w:rPr>
                <w:rFonts w:eastAsiaTheme="minorHAnsi"/>
              </w:rPr>
              <w:t xml:space="preserve"> benefit</w:t>
            </w:r>
            <w:r w:rsidRPr="00E65B62">
              <w:rPr>
                <w:rFonts w:eastAsiaTheme="minorHAnsi"/>
              </w:rPr>
              <w:t>)</w:t>
            </w:r>
            <w:r>
              <w:rPr>
                <w:rFonts w:eastAsiaTheme="minorHAnsi"/>
              </w:rPr>
              <w:t xml:space="preserve"> [I]</w:t>
            </w:r>
          </w:p>
        </w:tc>
        <w:tc>
          <w:tcPr>
            <w:tcW w:w="575" w:type="pct"/>
            <w:noWrap/>
          </w:tcPr>
          <w:p w14:paraId="6D75EA33" w14:textId="2935E96A" w:rsidR="003B78DB" w:rsidRPr="003B78DB" w:rsidRDefault="003B78DB" w:rsidP="00751043">
            <w:pPr>
              <w:pStyle w:val="051Tabletext22"/>
              <w:spacing w:before="0" w:after="0"/>
              <w:jc w:val="right"/>
            </w:pPr>
            <w:r w:rsidRPr="003B78DB">
              <w:t>$2,687</w:t>
            </w:r>
          </w:p>
        </w:tc>
        <w:tc>
          <w:tcPr>
            <w:tcW w:w="574" w:type="pct"/>
            <w:noWrap/>
          </w:tcPr>
          <w:p w14:paraId="5FA69498" w14:textId="144842C7" w:rsidR="003B78DB" w:rsidRPr="003B78DB" w:rsidRDefault="003B78DB" w:rsidP="00751043">
            <w:pPr>
              <w:pStyle w:val="051Tabletext22"/>
              <w:spacing w:before="0" w:after="0"/>
              <w:jc w:val="right"/>
            </w:pPr>
            <w:r w:rsidRPr="003B78DB">
              <w:t>$2,687</w:t>
            </w:r>
          </w:p>
        </w:tc>
        <w:tc>
          <w:tcPr>
            <w:tcW w:w="574" w:type="pct"/>
            <w:noWrap/>
          </w:tcPr>
          <w:p w14:paraId="149F84FB" w14:textId="333699C5" w:rsidR="003B78DB" w:rsidRPr="003B78DB" w:rsidRDefault="003B78DB" w:rsidP="00751043">
            <w:pPr>
              <w:pStyle w:val="051Tabletext22"/>
              <w:spacing w:before="0" w:after="0"/>
              <w:jc w:val="right"/>
            </w:pPr>
            <w:r w:rsidRPr="003B78DB">
              <w:t>$2,687</w:t>
            </w:r>
          </w:p>
        </w:tc>
        <w:tc>
          <w:tcPr>
            <w:tcW w:w="574" w:type="pct"/>
            <w:noWrap/>
          </w:tcPr>
          <w:p w14:paraId="46BD4B07" w14:textId="50B5ED5D" w:rsidR="003B78DB" w:rsidRPr="003B78DB" w:rsidRDefault="003B78DB" w:rsidP="00751043">
            <w:pPr>
              <w:pStyle w:val="051Tabletext22"/>
              <w:spacing w:before="0" w:after="0"/>
              <w:jc w:val="right"/>
            </w:pPr>
            <w:r w:rsidRPr="003B78DB">
              <w:t>$2,687</w:t>
            </w:r>
          </w:p>
        </w:tc>
        <w:tc>
          <w:tcPr>
            <w:tcW w:w="574" w:type="pct"/>
            <w:noWrap/>
          </w:tcPr>
          <w:p w14:paraId="66F42E12" w14:textId="6E5FD79B" w:rsidR="003B78DB" w:rsidRPr="003B78DB" w:rsidRDefault="003B78DB" w:rsidP="00751043">
            <w:pPr>
              <w:pStyle w:val="051Tabletext22"/>
              <w:spacing w:before="0" w:after="0"/>
              <w:jc w:val="right"/>
            </w:pPr>
            <w:r w:rsidRPr="003B78DB">
              <w:t>$2,687</w:t>
            </w:r>
          </w:p>
        </w:tc>
        <w:tc>
          <w:tcPr>
            <w:tcW w:w="573" w:type="pct"/>
            <w:noWrap/>
          </w:tcPr>
          <w:p w14:paraId="40986346" w14:textId="6DDF58CE" w:rsidR="003B78DB" w:rsidRPr="003B78DB" w:rsidRDefault="003B78DB" w:rsidP="00751043">
            <w:pPr>
              <w:pStyle w:val="051Tabletext22"/>
              <w:spacing w:before="0" w:after="0"/>
              <w:jc w:val="right"/>
            </w:pPr>
            <w:r w:rsidRPr="003B78DB">
              <w:t>$2,687</w:t>
            </w:r>
          </w:p>
        </w:tc>
      </w:tr>
      <w:tr w:rsidR="00601881" w:rsidRPr="00E65B62" w14:paraId="28C0F4E4" w14:textId="77777777">
        <w:trPr>
          <w:trHeight w:val="13"/>
        </w:trPr>
        <w:tc>
          <w:tcPr>
            <w:tcW w:w="1556" w:type="pct"/>
            <w:hideMark/>
          </w:tcPr>
          <w:p w14:paraId="7C80DE08" w14:textId="77777777" w:rsidR="00601881" w:rsidRPr="006B65F3" w:rsidRDefault="00601881" w:rsidP="00751043">
            <w:pPr>
              <w:pStyle w:val="051Tabletext22"/>
              <w:spacing w:before="0" w:after="0"/>
              <w:rPr>
                <w:rFonts w:eastAsiaTheme="minorHAnsi"/>
                <w:b/>
                <w:bCs/>
              </w:rPr>
            </w:pPr>
            <w:r w:rsidRPr="006B65F3">
              <w:rPr>
                <w:rFonts w:eastAsiaTheme="minorHAnsi"/>
                <w:b/>
                <w:bCs/>
              </w:rPr>
              <w:t xml:space="preserve">Total cost to the MBS </w:t>
            </w:r>
            <w:r>
              <w:rPr>
                <w:rFonts w:eastAsiaTheme="minorHAnsi"/>
                <w:b/>
                <w:bCs/>
              </w:rPr>
              <w:t>of</w:t>
            </w:r>
            <w:r w:rsidRPr="006B65F3">
              <w:rPr>
                <w:rFonts w:eastAsiaTheme="minorHAnsi"/>
                <w:b/>
                <w:bCs/>
              </w:rPr>
              <w:t xml:space="preserve"> PICO 1 – diagnos</w:t>
            </w:r>
            <w:r>
              <w:rPr>
                <w:rFonts w:eastAsiaTheme="minorHAnsi"/>
                <w:b/>
                <w:bCs/>
              </w:rPr>
              <w:t>tic testing services</w:t>
            </w:r>
            <w:r w:rsidRPr="006B65F3">
              <w:rPr>
                <w:rFonts w:eastAsiaTheme="minorHAnsi"/>
                <w:b/>
                <w:bCs/>
              </w:rPr>
              <w:t xml:space="preserve"> </w:t>
            </w:r>
            <w:r>
              <w:rPr>
                <w:rFonts w:eastAsiaTheme="minorHAnsi"/>
                <w:b/>
                <w:bCs/>
              </w:rPr>
              <w:t>[J]</w:t>
            </w:r>
          </w:p>
        </w:tc>
        <w:tc>
          <w:tcPr>
            <w:tcW w:w="575" w:type="pct"/>
            <w:noWrap/>
          </w:tcPr>
          <w:p w14:paraId="76D2D882" w14:textId="116A53D4" w:rsidR="00601881" w:rsidRPr="00601881" w:rsidRDefault="00601881" w:rsidP="00751043">
            <w:pPr>
              <w:pStyle w:val="051Tabletext22"/>
              <w:spacing w:before="0" w:after="0"/>
              <w:jc w:val="right"/>
              <w:rPr>
                <w:rFonts w:eastAsiaTheme="minorHAnsi"/>
                <w:b/>
                <w:bCs/>
              </w:rPr>
            </w:pPr>
            <w:r w:rsidRPr="00601881">
              <w:rPr>
                <w:b/>
                <w:bCs/>
              </w:rPr>
              <w:t>$161,949</w:t>
            </w:r>
          </w:p>
        </w:tc>
        <w:tc>
          <w:tcPr>
            <w:tcW w:w="574" w:type="pct"/>
            <w:noWrap/>
            <w:hideMark/>
          </w:tcPr>
          <w:p w14:paraId="11C8D9F5" w14:textId="2B5E0785" w:rsidR="00601881" w:rsidRPr="00601881" w:rsidRDefault="00601881" w:rsidP="00751043">
            <w:pPr>
              <w:pStyle w:val="051Tabletext22"/>
              <w:spacing w:before="0" w:after="0"/>
              <w:jc w:val="right"/>
              <w:rPr>
                <w:rFonts w:eastAsiaTheme="minorHAnsi"/>
                <w:b/>
                <w:bCs/>
              </w:rPr>
            </w:pPr>
            <w:r w:rsidRPr="00601881">
              <w:rPr>
                <w:b/>
                <w:bCs/>
              </w:rPr>
              <w:t>$163,937</w:t>
            </w:r>
          </w:p>
        </w:tc>
        <w:tc>
          <w:tcPr>
            <w:tcW w:w="574" w:type="pct"/>
            <w:noWrap/>
            <w:hideMark/>
          </w:tcPr>
          <w:p w14:paraId="615E40AD" w14:textId="7FE16E4B" w:rsidR="00601881" w:rsidRPr="00601881" w:rsidRDefault="00601881" w:rsidP="00751043">
            <w:pPr>
              <w:pStyle w:val="051Tabletext22"/>
              <w:spacing w:before="0" w:after="0"/>
              <w:jc w:val="right"/>
              <w:rPr>
                <w:rFonts w:eastAsiaTheme="minorHAnsi"/>
                <w:b/>
                <w:bCs/>
              </w:rPr>
            </w:pPr>
            <w:r w:rsidRPr="00601881">
              <w:rPr>
                <w:b/>
                <w:bCs/>
              </w:rPr>
              <w:t>$167,012</w:t>
            </w:r>
          </w:p>
        </w:tc>
        <w:tc>
          <w:tcPr>
            <w:tcW w:w="574" w:type="pct"/>
            <w:noWrap/>
            <w:hideMark/>
          </w:tcPr>
          <w:p w14:paraId="77E42148" w14:textId="72BFA513" w:rsidR="00601881" w:rsidRPr="00601881" w:rsidRDefault="00601881" w:rsidP="00751043">
            <w:pPr>
              <w:pStyle w:val="051Tabletext22"/>
              <w:spacing w:before="0" w:after="0"/>
              <w:jc w:val="right"/>
              <w:rPr>
                <w:rFonts w:eastAsiaTheme="minorHAnsi"/>
                <w:b/>
                <w:bCs/>
              </w:rPr>
            </w:pPr>
            <w:r w:rsidRPr="00601881">
              <w:rPr>
                <w:b/>
                <w:bCs/>
              </w:rPr>
              <w:t>$168,999</w:t>
            </w:r>
          </w:p>
        </w:tc>
        <w:tc>
          <w:tcPr>
            <w:tcW w:w="574" w:type="pct"/>
            <w:noWrap/>
            <w:hideMark/>
          </w:tcPr>
          <w:p w14:paraId="05DDD1B4" w14:textId="79DC64EE" w:rsidR="00601881" w:rsidRPr="00601881" w:rsidRDefault="00601881" w:rsidP="00751043">
            <w:pPr>
              <w:pStyle w:val="051Tabletext22"/>
              <w:spacing w:before="0" w:after="0"/>
              <w:jc w:val="right"/>
              <w:rPr>
                <w:rFonts w:eastAsiaTheme="minorHAnsi"/>
                <w:b/>
                <w:bCs/>
              </w:rPr>
            </w:pPr>
            <w:r w:rsidRPr="00601881">
              <w:rPr>
                <w:b/>
                <w:bCs/>
              </w:rPr>
              <w:t>$170,499</w:t>
            </w:r>
          </w:p>
        </w:tc>
        <w:tc>
          <w:tcPr>
            <w:tcW w:w="573" w:type="pct"/>
            <w:noWrap/>
            <w:hideMark/>
          </w:tcPr>
          <w:p w14:paraId="29C29453" w14:textId="338741BF" w:rsidR="00601881" w:rsidRPr="00601881" w:rsidRDefault="00601881" w:rsidP="00751043">
            <w:pPr>
              <w:pStyle w:val="051Tabletext22"/>
              <w:spacing w:before="0" w:after="0"/>
              <w:jc w:val="right"/>
              <w:rPr>
                <w:rFonts w:eastAsiaTheme="minorHAnsi"/>
                <w:b/>
                <w:bCs/>
              </w:rPr>
            </w:pPr>
            <w:r w:rsidRPr="00601881">
              <w:rPr>
                <w:b/>
                <w:bCs/>
              </w:rPr>
              <w:t>$172,487</w:t>
            </w:r>
          </w:p>
        </w:tc>
      </w:tr>
      <w:tr w:rsidR="003B78DB" w:rsidRPr="00E65B62" w14:paraId="37A10244" w14:textId="77777777">
        <w:trPr>
          <w:trHeight w:val="290"/>
        </w:trPr>
        <w:tc>
          <w:tcPr>
            <w:tcW w:w="1556" w:type="pct"/>
            <w:hideMark/>
          </w:tcPr>
          <w:p w14:paraId="0D7FA646" w14:textId="77777777" w:rsidR="003B78DB" w:rsidRPr="008048C8" w:rsidRDefault="003B78DB" w:rsidP="00751043">
            <w:pPr>
              <w:pStyle w:val="051Tabletext22"/>
              <w:spacing w:before="0" w:after="0"/>
              <w:rPr>
                <w:rFonts w:eastAsiaTheme="minorHAnsi"/>
                <w:b/>
                <w:bCs/>
              </w:rPr>
            </w:pPr>
            <w:r w:rsidRPr="008048C8">
              <w:rPr>
                <w:rFonts w:eastAsiaTheme="minorHAnsi"/>
                <w:b/>
                <w:bCs/>
              </w:rPr>
              <w:t xml:space="preserve">Total cost to the MBS </w:t>
            </w:r>
            <w:r>
              <w:rPr>
                <w:rFonts w:eastAsiaTheme="minorHAnsi"/>
                <w:b/>
                <w:bCs/>
              </w:rPr>
              <w:t>of</w:t>
            </w:r>
            <w:r w:rsidRPr="006B65F3">
              <w:rPr>
                <w:rFonts w:eastAsiaTheme="minorHAnsi"/>
                <w:b/>
                <w:bCs/>
              </w:rPr>
              <w:t xml:space="preserve"> PICO 2 – cascade </w:t>
            </w:r>
            <w:r>
              <w:rPr>
                <w:rFonts w:eastAsiaTheme="minorHAnsi"/>
                <w:b/>
                <w:bCs/>
              </w:rPr>
              <w:t xml:space="preserve">genetic </w:t>
            </w:r>
            <w:r w:rsidRPr="008048C8">
              <w:rPr>
                <w:rFonts w:eastAsiaTheme="minorHAnsi"/>
                <w:b/>
                <w:bCs/>
              </w:rPr>
              <w:t>testing</w:t>
            </w:r>
            <w:r>
              <w:rPr>
                <w:rFonts w:eastAsiaTheme="minorHAnsi"/>
                <w:b/>
                <w:bCs/>
              </w:rPr>
              <w:t xml:space="preserve"> services [K]</w:t>
            </w:r>
          </w:p>
        </w:tc>
        <w:tc>
          <w:tcPr>
            <w:tcW w:w="575" w:type="pct"/>
            <w:noWrap/>
          </w:tcPr>
          <w:p w14:paraId="751A7DEE" w14:textId="77777777" w:rsidR="003B78DB" w:rsidRPr="008048C8" w:rsidRDefault="003B78DB" w:rsidP="00751043">
            <w:pPr>
              <w:pStyle w:val="051Tabletext22"/>
              <w:spacing w:before="0" w:after="0"/>
              <w:jc w:val="right"/>
              <w:rPr>
                <w:rFonts w:eastAsiaTheme="minorHAnsi"/>
                <w:b/>
                <w:bCs/>
              </w:rPr>
            </w:pPr>
            <w:r w:rsidRPr="008048C8">
              <w:rPr>
                <w:rFonts w:eastAsiaTheme="minorHAnsi"/>
                <w:b/>
                <w:bCs/>
              </w:rPr>
              <w:t>$680</w:t>
            </w:r>
          </w:p>
        </w:tc>
        <w:tc>
          <w:tcPr>
            <w:tcW w:w="574" w:type="pct"/>
            <w:noWrap/>
            <w:hideMark/>
          </w:tcPr>
          <w:p w14:paraId="145DFDA3" w14:textId="77777777" w:rsidR="003B78DB" w:rsidRPr="008048C8" w:rsidRDefault="003B78DB" w:rsidP="00751043">
            <w:pPr>
              <w:pStyle w:val="051Tabletext22"/>
              <w:spacing w:before="0" w:after="0"/>
              <w:jc w:val="right"/>
              <w:rPr>
                <w:rFonts w:eastAsiaTheme="minorHAnsi"/>
                <w:b/>
                <w:bCs/>
              </w:rPr>
            </w:pPr>
            <w:r w:rsidRPr="008048C8">
              <w:rPr>
                <w:rFonts w:eastAsiaTheme="minorHAnsi"/>
                <w:b/>
                <w:bCs/>
              </w:rPr>
              <w:t>$680</w:t>
            </w:r>
          </w:p>
        </w:tc>
        <w:tc>
          <w:tcPr>
            <w:tcW w:w="574" w:type="pct"/>
            <w:noWrap/>
            <w:hideMark/>
          </w:tcPr>
          <w:p w14:paraId="74D81886" w14:textId="77777777" w:rsidR="003B78DB" w:rsidRPr="008048C8" w:rsidRDefault="003B78DB" w:rsidP="00751043">
            <w:pPr>
              <w:pStyle w:val="051Tabletext22"/>
              <w:spacing w:before="0" w:after="0"/>
              <w:jc w:val="right"/>
              <w:rPr>
                <w:rFonts w:eastAsiaTheme="minorHAnsi"/>
                <w:b/>
                <w:bCs/>
              </w:rPr>
            </w:pPr>
            <w:r w:rsidRPr="008048C8">
              <w:rPr>
                <w:rFonts w:eastAsiaTheme="minorHAnsi"/>
                <w:b/>
                <w:bCs/>
              </w:rPr>
              <w:t>$680</w:t>
            </w:r>
          </w:p>
        </w:tc>
        <w:tc>
          <w:tcPr>
            <w:tcW w:w="574" w:type="pct"/>
            <w:noWrap/>
            <w:hideMark/>
          </w:tcPr>
          <w:p w14:paraId="2131C35E" w14:textId="77777777" w:rsidR="003B78DB" w:rsidRPr="008048C8" w:rsidRDefault="003B78DB" w:rsidP="00751043">
            <w:pPr>
              <w:pStyle w:val="051Tabletext22"/>
              <w:spacing w:before="0" w:after="0"/>
              <w:jc w:val="right"/>
              <w:rPr>
                <w:rFonts w:eastAsiaTheme="minorHAnsi"/>
                <w:b/>
                <w:bCs/>
              </w:rPr>
            </w:pPr>
            <w:r w:rsidRPr="008048C8">
              <w:rPr>
                <w:rFonts w:eastAsiaTheme="minorHAnsi"/>
                <w:b/>
                <w:bCs/>
              </w:rPr>
              <w:t>$680</w:t>
            </w:r>
          </w:p>
        </w:tc>
        <w:tc>
          <w:tcPr>
            <w:tcW w:w="574" w:type="pct"/>
            <w:noWrap/>
            <w:hideMark/>
          </w:tcPr>
          <w:p w14:paraId="0D20BC34" w14:textId="77777777" w:rsidR="003B78DB" w:rsidRPr="008048C8" w:rsidRDefault="003B78DB" w:rsidP="00751043">
            <w:pPr>
              <w:pStyle w:val="051Tabletext22"/>
              <w:spacing w:before="0" w:after="0"/>
              <w:jc w:val="right"/>
              <w:rPr>
                <w:rFonts w:eastAsiaTheme="minorHAnsi"/>
                <w:b/>
                <w:bCs/>
              </w:rPr>
            </w:pPr>
            <w:r w:rsidRPr="008048C8">
              <w:rPr>
                <w:rFonts w:eastAsiaTheme="minorHAnsi"/>
                <w:b/>
                <w:bCs/>
              </w:rPr>
              <w:t>$680</w:t>
            </w:r>
          </w:p>
        </w:tc>
        <w:tc>
          <w:tcPr>
            <w:tcW w:w="573" w:type="pct"/>
            <w:noWrap/>
            <w:hideMark/>
          </w:tcPr>
          <w:p w14:paraId="3BE0BC35" w14:textId="77777777" w:rsidR="003B78DB" w:rsidRPr="008048C8" w:rsidRDefault="003B78DB" w:rsidP="00751043">
            <w:pPr>
              <w:pStyle w:val="051Tabletext22"/>
              <w:spacing w:before="0" w:after="0"/>
              <w:jc w:val="right"/>
              <w:rPr>
                <w:rFonts w:eastAsiaTheme="minorHAnsi"/>
                <w:b/>
                <w:bCs/>
              </w:rPr>
            </w:pPr>
            <w:r w:rsidRPr="008048C8">
              <w:rPr>
                <w:rFonts w:eastAsiaTheme="minorHAnsi"/>
                <w:b/>
                <w:bCs/>
              </w:rPr>
              <w:t>$680</w:t>
            </w:r>
          </w:p>
        </w:tc>
      </w:tr>
    </w:tbl>
    <w:p w14:paraId="36E0A958" w14:textId="77777777" w:rsidR="00597694" w:rsidRDefault="00597694" w:rsidP="001A2590">
      <w:pPr>
        <w:pStyle w:val="TableFigNoteLast"/>
        <w:spacing w:before="0"/>
      </w:pPr>
      <w:r w:rsidRPr="00F34A8F">
        <w:t>FY</w:t>
      </w:r>
      <w:r>
        <w:t xml:space="preserve"> </w:t>
      </w:r>
      <w:r w:rsidRPr="00F34A8F">
        <w:t>=</w:t>
      </w:r>
      <w:r>
        <w:t xml:space="preserve"> </w:t>
      </w:r>
      <w:r w:rsidRPr="00F34A8F">
        <w:t>financial year; MBS = Medicare Benefits Schedule</w:t>
      </w:r>
      <w:r>
        <w:t xml:space="preserve">; TTP = </w:t>
      </w:r>
      <w:r w:rsidRPr="006A3604">
        <w:t>thrombotic thrombocytopenic purpura</w:t>
      </w:r>
      <w:r>
        <w:t>.</w:t>
      </w:r>
    </w:p>
    <w:p w14:paraId="63CD691D" w14:textId="77777777" w:rsidR="00597694" w:rsidRDefault="00597694" w:rsidP="00597694">
      <w:pPr>
        <w:pStyle w:val="TableFigNoteLast"/>
        <w:rPr>
          <w:lang w:val="en-US"/>
        </w:rPr>
      </w:pPr>
      <w:r>
        <w:rPr>
          <w:lang w:val="en-US"/>
        </w:rPr>
        <w:t>B = A x incidence of suspected TTP (12/million/year) based on Merlen et al. 2022.</w:t>
      </w:r>
    </w:p>
    <w:p w14:paraId="5A4656B3" w14:textId="77777777" w:rsidR="00597694" w:rsidRDefault="00597694" w:rsidP="00597694">
      <w:pPr>
        <w:pStyle w:val="TableFigNoteLast"/>
        <w:rPr>
          <w:lang w:eastAsia="en-AU"/>
        </w:rPr>
      </w:pPr>
      <w:r>
        <w:rPr>
          <w:lang w:val="en-US"/>
        </w:rPr>
        <w:t xml:space="preserve">C = A x incidence of acute first-episode TTP per year (2.17/million/year) based on </w:t>
      </w:r>
      <w:r w:rsidRPr="00FF2757">
        <w:rPr>
          <w:lang w:eastAsia="en-AU"/>
        </w:rPr>
        <w:t>Reese</w:t>
      </w:r>
      <w:r>
        <w:rPr>
          <w:lang w:eastAsia="en-AU"/>
        </w:rPr>
        <w:t xml:space="preserve"> et al.</w:t>
      </w:r>
      <w:r w:rsidRPr="00FF2757">
        <w:rPr>
          <w:lang w:eastAsia="en-AU"/>
        </w:rPr>
        <w:t xml:space="preserve"> 2013</w:t>
      </w:r>
      <w:r>
        <w:rPr>
          <w:lang w:eastAsia="en-AU"/>
        </w:rPr>
        <w:t>.</w:t>
      </w:r>
    </w:p>
    <w:p w14:paraId="5778F0B6" w14:textId="77777777" w:rsidR="00597694" w:rsidRDefault="00597694" w:rsidP="00597694">
      <w:pPr>
        <w:pStyle w:val="TableFigNoteLast"/>
        <w:rPr>
          <w:lang w:eastAsia="en-AU"/>
        </w:rPr>
      </w:pPr>
      <w:r>
        <w:rPr>
          <w:lang w:eastAsia="en-AU"/>
        </w:rPr>
        <w:t>D = C + C x 25% to account for use in diagnosis where ADAMTS13 activity is equivocal (25% was an assumption).</w:t>
      </w:r>
    </w:p>
    <w:p w14:paraId="55B74E3B" w14:textId="77777777" w:rsidR="00597694" w:rsidRDefault="00597694" w:rsidP="00597694">
      <w:pPr>
        <w:pStyle w:val="TableFigNoteLast"/>
        <w:rPr>
          <w:lang w:eastAsia="en-AU"/>
        </w:rPr>
      </w:pPr>
      <w:r>
        <w:rPr>
          <w:lang w:eastAsia="en-AU"/>
        </w:rPr>
        <w:t>E = 5% of C (a</w:t>
      </w:r>
      <w:r w:rsidRPr="00A015AC">
        <w:rPr>
          <w:lang w:eastAsia="en-AU"/>
        </w:rPr>
        <w:t>ssume</w:t>
      </w:r>
      <w:r>
        <w:rPr>
          <w:lang w:eastAsia="en-AU"/>
        </w:rPr>
        <w:t>d</w:t>
      </w:r>
      <w:r w:rsidRPr="00A015AC">
        <w:rPr>
          <w:lang w:eastAsia="en-AU"/>
        </w:rPr>
        <w:t xml:space="preserve"> 5% of TTP patients proceed to genetic testing</w:t>
      </w:r>
      <w:r>
        <w:rPr>
          <w:lang w:eastAsia="en-AU"/>
        </w:rPr>
        <w:t>).</w:t>
      </w:r>
    </w:p>
    <w:p w14:paraId="74411EA6" w14:textId="12B9A20E" w:rsidR="00597694" w:rsidRDefault="00597694" w:rsidP="00597694">
      <w:pPr>
        <w:pStyle w:val="TableFigNoteLast"/>
      </w:pPr>
      <w:r>
        <w:t xml:space="preserve">F = E x 0.8 (assumed 0.8 siblings per </w:t>
      </w:r>
      <w:r w:rsidR="00F30B2E">
        <w:t>proband</w:t>
      </w:r>
      <w:r>
        <w:t>).</w:t>
      </w:r>
    </w:p>
    <w:p w14:paraId="0141B1C2" w14:textId="69BCE5FD" w:rsidR="00597694" w:rsidRDefault="00597694" w:rsidP="00597694">
      <w:pPr>
        <w:pStyle w:val="TableFigNoteLast"/>
      </w:pPr>
      <w:r>
        <w:t>G = B x proposed fee for ADAMTS13 activity test (75% benefit, $</w:t>
      </w:r>
      <w:r w:rsidR="007B3301">
        <w:t>300</w:t>
      </w:r>
      <w:r>
        <w:t>).</w:t>
      </w:r>
    </w:p>
    <w:p w14:paraId="504CFEDF" w14:textId="77777777" w:rsidR="00597694" w:rsidRDefault="00597694" w:rsidP="00597694">
      <w:pPr>
        <w:pStyle w:val="TableFigNoteLast"/>
      </w:pPr>
      <w:r>
        <w:lastRenderedPageBreak/>
        <w:t>H = D x proposed fee for anti-ADAMTS autoantibody testing (75% benefit, $788).</w:t>
      </w:r>
    </w:p>
    <w:p w14:paraId="34DA8EF9" w14:textId="2889C66A" w:rsidR="00597694" w:rsidRDefault="00597694" w:rsidP="00597694">
      <w:pPr>
        <w:pStyle w:val="TableFigNoteLast"/>
      </w:pPr>
      <w:r>
        <w:t xml:space="preserve">I = E x proposed fee for </w:t>
      </w:r>
      <w:r w:rsidR="00F30B2E">
        <w:t xml:space="preserve">affected individual </w:t>
      </w:r>
      <w:r w:rsidRPr="00665209">
        <w:rPr>
          <w:i/>
          <w:iCs/>
        </w:rPr>
        <w:t>ADAMTS13</w:t>
      </w:r>
      <w:r>
        <w:t xml:space="preserve"> genetic testing (85% benefit, $</w:t>
      </w:r>
      <w:r w:rsidR="009068C2">
        <w:t>895.5</w:t>
      </w:r>
      <w:r>
        <w:t>).</w:t>
      </w:r>
    </w:p>
    <w:p w14:paraId="3FABC338" w14:textId="77777777" w:rsidR="00597694" w:rsidRDefault="00597694" w:rsidP="00597694">
      <w:pPr>
        <w:pStyle w:val="TableFigNoteLast"/>
      </w:pPr>
      <w:r>
        <w:t>J = G + H + I.</w:t>
      </w:r>
    </w:p>
    <w:p w14:paraId="3B6D103D" w14:textId="77777777" w:rsidR="00597694" w:rsidRPr="003659B7" w:rsidRDefault="00597694" w:rsidP="00597694">
      <w:pPr>
        <w:pStyle w:val="TableFigNoteLast"/>
      </w:pPr>
      <w:r>
        <w:t xml:space="preserve">K = F x proposed fee for cascade </w:t>
      </w:r>
      <w:r w:rsidRPr="00665209">
        <w:rPr>
          <w:i/>
          <w:iCs/>
        </w:rPr>
        <w:t>ADAMTS13</w:t>
      </w:r>
      <w:r>
        <w:t xml:space="preserve"> genetic testing (85% benefit, $340).</w:t>
      </w:r>
    </w:p>
    <w:p w14:paraId="4303ED92" w14:textId="77777777" w:rsidR="00B76413" w:rsidRDefault="00B76413" w:rsidP="00B76413">
      <w:pPr>
        <w:pStyle w:val="ExecSumHeading3"/>
      </w:pPr>
      <w:bookmarkStart w:id="63" w:name="_Toc216879536"/>
      <w:r>
        <w:t>PICO Set 3: ADAMTS13 activity testing for monitoring</w:t>
      </w:r>
      <w:bookmarkEnd w:id="63"/>
    </w:p>
    <w:p w14:paraId="73FAC17A" w14:textId="43F6035F" w:rsidR="00B76413" w:rsidRDefault="00E55635" w:rsidP="00B76413">
      <w:pPr>
        <w:pStyle w:val="BodyText"/>
      </w:pPr>
      <w:r>
        <w:t xml:space="preserve">The financial implications to the MBS resulting from the proposed listing of ADAMTS13 activity testing for monitoring on the MBS are summarised in </w:t>
      </w:r>
      <w:r>
        <w:fldChar w:fldCharType="begin"/>
      </w:r>
      <w:r>
        <w:instrText xml:space="preserve"> REF _Ref213100111 \h </w:instrText>
      </w:r>
      <w:r>
        <w:fldChar w:fldCharType="separate"/>
      </w:r>
      <w:r w:rsidR="00716875">
        <w:t xml:space="preserve">Table </w:t>
      </w:r>
      <w:r w:rsidR="00716875">
        <w:rPr>
          <w:noProof/>
        </w:rPr>
        <w:t>28</w:t>
      </w:r>
      <w:r>
        <w:fldChar w:fldCharType="end"/>
      </w:r>
      <w:r>
        <w:t>.</w:t>
      </w:r>
      <w:r w:rsidR="00B55C15" w:rsidRPr="00B55C15">
        <w:t xml:space="preserve"> </w:t>
      </w:r>
      <w:r w:rsidR="00B55C15">
        <w:t>The number of tests was based on epidemiological estimates of the number of acute TTP episodes per year, with each episode assumed to require 8 tests for treatment and early monitoring. In addition, prevalent cases of TTP undergoing life-long monitoring were assumed to receive an average of 2.67 tests per year. Based on this, it is estimated there would be around 2,000 tests per year and the cost to the MBS would be up to $1.3</w:t>
      </w:r>
      <w:r w:rsidR="002D09B7">
        <w:t>1</w:t>
      </w:r>
      <w:r w:rsidR="00B55C15">
        <w:t xml:space="preserve"> million. The analysis assumed uptake would be 100%; however, monitoring may be undertaken on an individualised basis, particularly for patients who have been in long-term remission.</w:t>
      </w:r>
    </w:p>
    <w:p w14:paraId="3238D4C4" w14:textId="2EB3428B" w:rsidR="008D653B" w:rsidRDefault="00776F3F" w:rsidP="00055104">
      <w:pPr>
        <w:pStyle w:val="BodyText"/>
      </w:pPr>
      <w:r>
        <w:t>Monitoring is proposed to help prevent disease exacerbation and relapse, and to tailor the duration of treatment during acute episodes to the individual patient’s response. Therefore, monitoring may have financial implications for the PBS, as well as for Commonwealth and state/territory health budgets</w:t>
      </w:r>
      <w:r w:rsidR="004619B5">
        <w:fldChar w:fldCharType="begin"/>
      </w:r>
      <w:r w:rsidR="004619B5">
        <w:instrText xml:space="preserve"> REF _Ref216261882 \h </w:instrText>
      </w:r>
      <w:r w:rsidR="004619B5">
        <w:fldChar w:fldCharType="separate"/>
      </w:r>
      <w:r w:rsidR="004619B5">
        <w:fldChar w:fldCharType="end"/>
      </w:r>
      <w:r>
        <w:t xml:space="preserve">. </w:t>
      </w:r>
      <w:r w:rsidR="008D653B">
        <w:br w:type="page"/>
      </w:r>
    </w:p>
    <w:p w14:paraId="4DB5474D" w14:textId="6721FE34" w:rsidR="00B76413" w:rsidRDefault="00B76413" w:rsidP="00B76413">
      <w:pPr>
        <w:pStyle w:val="Caption"/>
      </w:pPr>
      <w:bookmarkStart w:id="64" w:name="_Ref213100111"/>
      <w:r>
        <w:lastRenderedPageBreak/>
        <w:t xml:space="preserve">Table </w:t>
      </w:r>
      <w:r>
        <w:fldChar w:fldCharType="begin"/>
      </w:r>
      <w:r>
        <w:instrText>SEQ Table \* ARABIC</w:instrText>
      </w:r>
      <w:r>
        <w:fldChar w:fldCharType="separate"/>
      </w:r>
      <w:r w:rsidR="00716875">
        <w:rPr>
          <w:noProof/>
        </w:rPr>
        <w:t>28</w:t>
      </w:r>
      <w:r>
        <w:fldChar w:fldCharType="end"/>
      </w:r>
      <w:bookmarkEnd w:id="64"/>
      <w:r>
        <w:tab/>
        <w:t>Net financial implications of ADAMTS13 activity testing for monitoring</w:t>
      </w:r>
    </w:p>
    <w:tbl>
      <w:tblPr>
        <w:tblStyle w:val="TableGrid3"/>
        <w:tblW w:w="0" w:type="auto"/>
        <w:tblInd w:w="0" w:type="dxa"/>
        <w:tblLayout w:type="fixed"/>
        <w:tblLook w:val="04A0" w:firstRow="1" w:lastRow="0" w:firstColumn="1" w:lastColumn="0" w:noHBand="0" w:noVBand="1"/>
        <w:tblCaption w:val="Net financial implications of ADAMTS13 activity testing for monitoring"/>
        <w:tblDescription w:val="Total cost to the MBS of PICO 3 – testing services for monitoring is greater than for the other PICOs combined by an order of magnitude."/>
      </w:tblPr>
      <w:tblGrid>
        <w:gridCol w:w="3114"/>
        <w:gridCol w:w="983"/>
        <w:gridCol w:w="984"/>
        <w:gridCol w:w="984"/>
        <w:gridCol w:w="983"/>
        <w:gridCol w:w="984"/>
        <w:gridCol w:w="984"/>
      </w:tblGrid>
      <w:tr w:rsidR="00B76413" w:rsidRPr="00A018D3" w14:paraId="0B2CF5ED" w14:textId="77777777" w:rsidTr="00265243">
        <w:trPr>
          <w:cnfStyle w:val="100000000000" w:firstRow="1" w:lastRow="0" w:firstColumn="0" w:lastColumn="0" w:oddVBand="0" w:evenVBand="0" w:oddHBand="0" w:evenHBand="0" w:firstRowFirstColumn="0" w:firstRowLastColumn="0" w:lastRowFirstColumn="0" w:lastRowLastColumn="0"/>
          <w:trHeight w:val="290"/>
        </w:trPr>
        <w:tc>
          <w:tcPr>
            <w:tcW w:w="3114" w:type="dxa"/>
            <w:tcBorders>
              <w:bottom w:val="single" w:sz="4" w:space="0" w:color="auto"/>
            </w:tcBorders>
            <w:hideMark/>
          </w:tcPr>
          <w:p w14:paraId="75DD6BF7" w14:textId="77777777" w:rsidR="00B76413" w:rsidRPr="00A018D3" w:rsidRDefault="00B76413">
            <w:pPr>
              <w:pStyle w:val="011TableHeading"/>
            </w:pPr>
            <w:r w:rsidRPr="00A018D3">
              <w:t xml:space="preserve">Parameter </w:t>
            </w:r>
          </w:p>
        </w:tc>
        <w:tc>
          <w:tcPr>
            <w:tcW w:w="983" w:type="dxa"/>
            <w:tcBorders>
              <w:bottom w:val="single" w:sz="4" w:space="0" w:color="auto"/>
            </w:tcBorders>
            <w:noWrap/>
            <w:hideMark/>
          </w:tcPr>
          <w:p w14:paraId="4A83CC4E" w14:textId="77777777" w:rsidR="00B76413" w:rsidRPr="00A018D3" w:rsidRDefault="00B76413">
            <w:pPr>
              <w:pStyle w:val="011TableHeading"/>
            </w:pPr>
            <w:r w:rsidRPr="00A018D3">
              <w:t>FY 202</w:t>
            </w:r>
            <w:r>
              <w:t>6</w:t>
            </w:r>
            <w:r w:rsidRPr="00A018D3">
              <w:t>-2</w:t>
            </w:r>
            <w:r>
              <w:t>7</w:t>
            </w:r>
          </w:p>
        </w:tc>
        <w:tc>
          <w:tcPr>
            <w:tcW w:w="984" w:type="dxa"/>
            <w:tcBorders>
              <w:bottom w:val="single" w:sz="4" w:space="0" w:color="auto"/>
            </w:tcBorders>
            <w:noWrap/>
            <w:hideMark/>
          </w:tcPr>
          <w:p w14:paraId="3D41A3A1" w14:textId="77777777" w:rsidR="00B76413" w:rsidRPr="00A018D3" w:rsidRDefault="00B76413">
            <w:pPr>
              <w:pStyle w:val="011TableHeading"/>
            </w:pPr>
            <w:r w:rsidRPr="00A018D3">
              <w:t>FY 202</w:t>
            </w:r>
            <w:r>
              <w:t>7</w:t>
            </w:r>
            <w:r w:rsidRPr="00A018D3">
              <w:t>-2</w:t>
            </w:r>
            <w:r>
              <w:t>8</w:t>
            </w:r>
          </w:p>
        </w:tc>
        <w:tc>
          <w:tcPr>
            <w:tcW w:w="984" w:type="dxa"/>
            <w:tcBorders>
              <w:bottom w:val="single" w:sz="4" w:space="0" w:color="auto"/>
            </w:tcBorders>
            <w:noWrap/>
            <w:hideMark/>
          </w:tcPr>
          <w:p w14:paraId="1A2F226B" w14:textId="77777777" w:rsidR="00B76413" w:rsidRPr="00A018D3" w:rsidRDefault="00B76413">
            <w:pPr>
              <w:pStyle w:val="011TableHeading"/>
            </w:pPr>
            <w:r w:rsidRPr="00A018D3">
              <w:t>FY 202</w:t>
            </w:r>
            <w:r>
              <w:t>8</w:t>
            </w:r>
            <w:r w:rsidRPr="00A018D3">
              <w:t>-2</w:t>
            </w:r>
            <w:r>
              <w:t>9</w:t>
            </w:r>
          </w:p>
        </w:tc>
        <w:tc>
          <w:tcPr>
            <w:tcW w:w="983" w:type="dxa"/>
            <w:tcBorders>
              <w:bottom w:val="single" w:sz="4" w:space="0" w:color="auto"/>
            </w:tcBorders>
            <w:noWrap/>
            <w:hideMark/>
          </w:tcPr>
          <w:p w14:paraId="1D482EED" w14:textId="77777777" w:rsidR="00B76413" w:rsidRPr="00A018D3" w:rsidRDefault="00B76413">
            <w:pPr>
              <w:pStyle w:val="011TableHeading"/>
            </w:pPr>
            <w:r w:rsidRPr="00A018D3">
              <w:t>FY 202</w:t>
            </w:r>
            <w:r>
              <w:t>9</w:t>
            </w:r>
            <w:r w:rsidRPr="00A018D3">
              <w:t>-</w:t>
            </w:r>
            <w:r>
              <w:t>30</w:t>
            </w:r>
          </w:p>
        </w:tc>
        <w:tc>
          <w:tcPr>
            <w:tcW w:w="984" w:type="dxa"/>
            <w:tcBorders>
              <w:bottom w:val="single" w:sz="4" w:space="0" w:color="auto"/>
            </w:tcBorders>
            <w:noWrap/>
            <w:hideMark/>
          </w:tcPr>
          <w:p w14:paraId="753CFB95" w14:textId="77777777" w:rsidR="00B76413" w:rsidRPr="00A018D3" w:rsidRDefault="00B76413">
            <w:pPr>
              <w:pStyle w:val="011TableHeading"/>
            </w:pPr>
            <w:r w:rsidRPr="00A018D3">
              <w:t>FY 203</w:t>
            </w:r>
            <w:r>
              <w:t>1</w:t>
            </w:r>
            <w:r w:rsidRPr="00A018D3">
              <w:t>-3</w:t>
            </w:r>
            <w:r>
              <w:t>2</w:t>
            </w:r>
          </w:p>
        </w:tc>
        <w:tc>
          <w:tcPr>
            <w:tcW w:w="984" w:type="dxa"/>
            <w:tcBorders>
              <w:bottom w:val="single" w:sz="4" w:space="0" w:color="auto"/>
            </w:tcBorders>
            <w:noWrap/>
            <w:hideMark/>
          </w:tcPr>
          <w:p w14:paraId="3F8C79E4" w14:textId="77777777" w:rsidR="00B76413" w:rsidRPr="00A018D3" w:rsidRDefault="00B76413">
            <w:pPr>
              <w:pStyle w:val="011TableHeading"/>
            </w:pPr>
            <w:r w:rsidRPr="00A018D3">
              <w:t>FY 203</w:t>
            </w:r>
            <w:r>
              <w:t>2</w:t>
            </w:r>
            <w:r w:rsidRPr="00A018D3">
              <w:t>-3</w:t>
            </w:r>
            <w:r>
              <w:t>3</w:t>
            </w:r>
          </w:p>
        </w:tc>
      </w:tr>
      <w:tr w:rsidR="00B76413" w:rsidRPr="00A018D3" w14:paraId="274A2F14" w14:textId="77777777" w:rsidTr="00265243">
        <w:trPr>
          <w:trHeight w:val="290"/>
        </w:trPr>
        <w:tc>
          <w:tcPr>
            <w:tcW w:w="3114" w:type="dxa"/>
            <w:tcBorders>
              <w:right w:val="nil"/>
            </w:tcBorders>
            <w:hideMark/>
          </w:tcPr>
          <w:p w14:paraId="56E32D42" w14:textId="77777777" w:rsidR="00B76413" w:rsidRPr="00A018D3" w:rsidRDefault="00B76413">
            <w:pPr>
              <w:pStyle w:val="031Tablesubheading"/>
            </w:pPr>
            <w:r w:rsidRPr="00A018D3">
              <w:t>Estimated use and cost of the proposed health technology</w:t>
            </w:r>
          </w:p>
        </w:tc>
        <w:tc>
          <w:tcPr>
            <w:tcW w:w="983" w:type="dxa"/>
            <w:tcBorders>
              <w:left w:val="nil"/>
              <w:right w:val="nil"/>
            </w:tcBorders>
            <w:noWrap/>
            <w:hideMark/>
          </w:tcPr>
          <w:p w14:paraId="644C249A" w14:textId="77777777" w:rsidR="00B76413" w:rsidRPr="00A018D3" w:rsidRDefault="00B76413">
            <w:pPr>
              <w:pStyle w:val="031Tablesubheading"/>
            </w:pPr>
            <w:r w:rsidRPr="00A018D3">
              <w:t> </w:t>
            </w:r>
          </w:p>
        </w:tc>
        <w:tc>
          <w:tcPr>
            <w:tcW w:w="984" w:type="dxa"/>
            <w:tcBorders>
              <w:left w:val="nil"/>
              <w:right w:val="nil"/>
            </w:tcBorders>
            <w:noWrap/>
            <w:hideMark/>
          </w:tcPr>
          <w:p w14:paraId="582509CD" w14:textId="77777777" w:rsidR="00B76413" w:rsidRPr="00A018D3" w:rsidRDefault="00B76413">
            <w:pPr>
              <w:pStyle w:val="031Tablesubheading"/>
            </w:pPr>
            <w:r w:rsidRPr="00A018D3">
              <w:t> </w:t>
            </w:r>
          </w:p>
        </w:tc>
        <w:tc>
          <w:tcPr>
            <w:tcW w:w="984" w:type="dxa"/>
            <w:tcBorders>
              <w:left w:val="nil"/>
              <w:right w:val="nil"/>
            </w:tcBorders>
            <w:noWrap/>
            <w:hideMark/>
          </w:tcPr>
          <w:p w14:paraId="1FF5DFDB" w14:textId="77777777" w:rsidR="00B76413" w:rsidRPr="00A018D3" w:rsidRDefault="00B76413">
            <w:pPr>
              <w:pStyle w:val="031Tablesubheading"/>
            </w:pPr>
            <w:r w:rsidRPr="00A018D3">
              <w:t> </w:t>
            </w:r>
          </w:p>
        </w:tc>
        <w:tc>
          <w:tcPr>
            <w:tcW w:w="983" w:type="dxa"/>
            <w:tcBorders>
              <w:left w:val="nil"/>
              <w:right w:val="nil"/>
            </w:tcBorders>
            <w:noWrap/>
            <w:hideMark/>
          </w:tcPr>
          <w:p w14:paraId="36999AFE" w14:textId="77777777" w:rsidR="00B76413" w:rsidRPr="00A018D3" w:rsidRDefault="00B76413">
            <w:pPr>
              <w:pStyle w:val="031Tablesubheading"/>
            </w:pPr>
            <w:r w:rsidRPr="00A018D3">
              <w:t> </w:t>
            </w:r>
          </w:p>
        </w:tc>
        <w:tc>
          <w:tcPr>
            <w:tcW w:w="984" w:type="dxa"/>
            <w:tcBorders>
              <w:left w:val="nil"/>
              <w:right w:val="nil"/>
            </w:tcBorders>
            <w:noWrap/>
            <w:hideMark/>
          </w:tcPr>
          <w:p w14:paraId="3DDBD239" w14:textId="77777777" w:rsidR="00B76413" w:rsidRPr="00A018D3" w:rsidRDefault="00B76413">
            <w:pPr>
              <w:pStyle w:val="031Tablesubheading"/>
            </w:pPr>
            <w:r w:rsidRPr="00A018D3">
              <w:t> </w:t>
            </w:r>
          </w:p>
        </w:tc>
        <w:tc>
          <w:tcPr>
            <w:tcW w:w="984" w:type="dxa"/>
            <w:tcBorders>
              <w:left w:val="nil"/>
            </w:tcBorders>
            <w:noWrap/>
            <w:hideMark/>
          </w:tcPr>
          <w:p w14:paraId="351CA747" w14:textId="77777777" w:rsidR="00B76413" w:rsidRPr="00A018D3" w:rsidRDefault="00B76413">
            <w:pPr>
              <w:pStyle w:val="031Tablesubheading"/>
            </w:pPr>
            <w:r w:rsidRPr="00A018D3">
              <w:t> </w:t>
            </w:r>
          </w:p>
        </w:tc>
      </w:tr>
      <w:tr w:rsidR="00B76413" w:rsidRPr="00A018D3" w14:paraId="30BFE3A9" w14:textId="77777777" w:rsidTr="002A6B97">
        <w:trPr>
          <w:trHeight w:val="290"/>
        </w:trPr>
        <w:tc>
          <w:tcPr>
            <w:tcW w:w="0" w:type="dxa"/>
            <w:noWrap/>
            <w:hideMark/>
          </w:tcPr>
          <w:p w14:paraId="63FCD566" w14:textId="5C048D04" w:rsidR="00B76413" w:rsidRPr="00A018D3" w:rsidRDefault="00B76413">
            <w:pPr>
              <w:pStyle w:val="051Tabletext22"/>
            </w:pPr>
            <w:r w:rsidRPr="00A018D3">
              <w:t>Projected population of Australia</w:t>
            </w:r>
            <w:r w:rsidR="009D2F56">
              <w:t xml:space="preserve"> [A]</w:t>
            </w:r>
          </w:p>
        </w:tc>
        <w:tc>
          <w:tcPr>
            <w:tcW w:w="0" w:type="dxa"/>
            <w:noWrap/>
            <w:vAlign w:val="center"/>
            <w:hideMark/>
          </w:tcPr>
          <w:p w14:paraId="7593A0AA" w14:textId="77777777" w:rsidR="00B76413" w:rsidRPr="00A018D3" w:rsidRDefault="00B76413" w:rsidP="002A6B97">
            <w:pPr>
              <w:pStyle w:val="051Tabletext22"/>
              <w:jc w:val="center"/>
            </w:pPr>
            <w:r w:rsidRPr="00A018D3">
              <w:t>27,805,684</w:t>
            </w:r>
          </w:p>
        </w:tc>
        <w:tc>
          <w:tcPr>
            <w:tcW w:w="0" w:type="dxa"/>
            <w:noWrap/>
            <w:vAlign w:val="center"/>
            <w:hideMark/>
          </w:tcPr>
          <w:p w14:paraId="3B878834" w14:textId="77777777" w:rsidR="00B76413" w:rsidRPr="00A018D3" w:rsidRDefault="00B76413" w:rsidP="002A6B97">
            <w:pPr>
              <w:pStyle w:val="051Tabletext22"/>
              <w:jc w:val="center"/>
            </w:pPr>
            <w:r w:rsidRPr="00A018D3">
              <w:t>28,201,094</w:t>
            </w:r>
          </w:p>
        </w:tc>
        <w:tc>
          <w:tcPr>
            <w:tcW w:w="0" w:type="dxa"/>
            <w:noWrap/>
            <w:vAlign w:val="center"/>
            <w:hideMark/>
          </w:tcPr>
          <w:p w14:paraId="598102D6" w14:textId="77777777" w:rsidR="00B76413" w:rsidRPr="00A018D3" w:rsidRDefault="00B76413" w:rsidP="002A6B97">
            <w:pPr>
              <w:pStyle w:val="051Tabletext22"/>
              <w:jc w:val="center"/>
            </w:pPr>
            <w:r w:rsidRPr="00A018D3">
              <w:t>28,581,272</w:t>
            </w:r>
          </w:p>
        </w:tc>
        <w:tc>
          <w:tcPr>
            <w:tcW w:w="0" w:type="dxa"/>
            <w:noWrap/>
            <w:vAlign w:val="center"/>
            <w:hideMark/>
          </w:tcPr>
          <w:p w14:paraId="4556C4AD" w14:textId="77777777" w:rsidR="00B76413" w:rsidRPr="00A018D3" w:rsidRDefault="00B76413" w:rsidP="002A6B97">
            <w:pPr>
              <w:pStyle w:val="051Tabletext22"/>
              <w:jc w:val="center"/>
            </w:pPr>
            <w:r w:rsidRPr="00A018D3">
              <w:t>28,946,317</w:t>
            </w:r>
          </w:p>
        </w:tc>
        <w:tc>
          <w:tcPr>
            <w:tcW w:w="0" w:type="dxa"/>
            <w:noWrap/>
            <w:vAlign w:val="center"/>
            <w:hideMark/>
          </w:tcPr>
          <w:p w14:paraId="2CC40122" w14:textId="77777777" w:rsidR="00B76413" w:rsidRPr="00A018D3" w:rsidRDefault="00B76413" w:rsidP="002A6B97">
            <w:pPr>
              <w:pStyle w:val="051Tabletext22"/>
              <w:jc w:val="center"/>
            </w:pPr>
            <w:r w:rsidRPr="00A018D3">
              <w:t>29,294,970</w:t>
            </w:r>
          </w:p>
        </w:tc>
        <w:tc>
          <w:tcPr>
            <w:tcW w:w="0" w:type="dxa"/>
            <w:noWrap/>
            <w:vAlign w:val="center"/>
            <w:hideMark/>
          </w:tcPr>
          <w:p w14:paraId="766C387C" w14:textId="77777777" w:rsidR="00B76413" w:rsidRPr="00A018D3" w:rsidRDefault="00B76413" w:rsidP="002A6B97">
            <w:pPr>
              <w:pStyle w:val="051Tabletext22"/>
              <w:jc w:val="center"/>
            </w:pPr>
            <w:r w:rsidRPr="00A018D3">
              <w:t>29,628,141</w:t>
            </w:r>
          </w:p>
        </w:tc>
      </w:tr>
      <w:tr w:rsidR="00B76413" w:rsidRPr="00A018D3" w14:paraId="656A97D8" w14:textId="77777777" w:rsidTr="002A6B97">
        <w:trPr>
          <w:trHeight w:val="290"/>
        </w:trPr>
        <w:tc>
          <w:tcPr>
            <w:tcW w:w="0" w:type="dxa"/>
            <w:hideMark/>
          </w:tcPr>
          <w:p w14:paraId="4C8D928D" w14:textId="5844D64F" w:rsidR="00B76413" w:rsidRPr="00A018D3" w:rsidRDefault="00B76413">
            <w:pPr>
              <w:pStyle w:val="051Tabletext22"/>
            </w:pPr>
            <w:r w:rsidRPr="00A018D3">
              <w:t xml:space="preserve">Number of acute TTP episodes </w:t>
            </w:r>
            <w:r w:rsidR="009D2F56">
              <w:t>[B]</w:t>
            </w:r>
          </w:p>
        </w:tc>
        <w:tc>
          <w:tcPr>
            <w:tcW w:w="0" w:type="dxa"/>
            <w:noWrap/>
            <w:vAlign w:val="center"/>
            <w:hideMark/>
          </w:tcPr>
          <w:p w14:paraId="6E3C01FD" w14:textId="77777777" w:rsidR="00B76413" w:rsidRPr="00A018D3" w:rsidRDefault="00B76413" w:rsidP="002A6B97">
            <w:pPr>
              <w:pStyle w:val="051Tabletext22"/>
              <w:jc w:val="center"/>
            </w:pPr>
            <w:r w:rsidRPr="00A018D3">
              <w:t>86</w:t>
            </w:r>
          </w:p>
        </w:tc>
        <w:tc>
          <w:tcPr>
            <w:tcW w:w="0" w:type="dxa"/>
            <w:noWrap/>
            <w:vAlign w:val="center"/>
            <w:hideMark/>
          </w:tcPr>
          <w:p w14:paraId="0F252DCA" w14:textId="77777777" w:rsidR="00B76413" w:rsidRPr="00A018D3" w:rsidRDefault="00B76413" w:rsidP="002A6B97">
            <w:pPr>
              <w:pStyle w:val="051Tabletext22"/>
              <w:jc w:val="center"/>
            </w:pPr>
            <w:r w:rsidRPr="00A018D3">
              <w:t>87</w:t>
            </w:r>
          </w:p>
        </w:tc>
        <w:tc>
          <w:tcPr>
            <w:tcW w:w="0" w:type="dxa"/>
            <w:noWrap/>
            <w:vAlign w:val="center"/>
            <w:hideMark/>
          </w:tcPr>
          <w:p w14:paraId="205A60FF" w14:textId="77777777" w:rsidR="00B76413" w:rsidRPr="00A018D3" w:rsidRDefault="00B76413" w:rsidP="002A6B97">
            <w:pPr>
              <w:pStyle w:val="051Tabletext22"/>
              <w:jc w:val="center"/>
            </w:pPr>
            <w:r w:rsidRPr="00A018D3">
              <w:t>89</w:t>
            </w:r>
          </w:p>
        </w:tc>
        <w:tc>
          <w:tcPr>
            <w:tcW w:w="0" w:type="dxa"/>
            <w:noWrap/>
            <w:vAlign w:val="center"/>
            <w:hideMark/>
          </w:tcPr>
          <w:p w14:paraId="4647DC78" w14:textId="77777777" w:rsidR="00B76413" w:rsidRPr="00A018D3" w:rsidRDefault="00B76413" w:rsidP="002A6B97">
            <w:pPr>
              <w:pStyle w:val="051Tabletext22"/>
              <w:jc w:val="center"/>
            </w:pPr>
            <w:r w:rsidRPr="00A018D3">
              <w:t>90</w:t>
            </w:r>
          </w:p>
        </w:tc>
        <w:tc>
          <w:tcPr>
            <w:tcW w:w="0" w:type="dxa"/>
            <w:noWrap/>
            <w:vAlign w:val="center"/>
            <w:hideMark/>
          </w:tcPr>
          <w:p w14:paraId="4DE1CC86" w14:textId="77777777" w:rsidR="00B76413" w:rsidRPr="00A018D3" w:rsidRDefault="00B76413" w:rsidP="002A6B97">
            <w:pPr>
              <w:pStyle w:val="051Tabletext22"/>
              <w:jc w:val="center"/>
            </w:pPr>
            <w:r w:rsidRPr="00A018D3">
              <w:t>91</w:t>
            </w:r>
          </w:p>
        </w:tc>
        <w:tc>
          <w:tcPr>
            <w:tcW w:w="0" w:type="dxa"/>
            <w:noWrap/>
            <w:vAlign w:val="center"/>
            <w:hideMark/>
          </w:tcPr>
          <w:p w14:paraId="6A6FFDDB" w14:textId="77777777" w:rsidR="00B76413" w:rsidRPr="00A018D3" w:rsidRDefault="00B76413" w:rsidP="002A6B97">
            <w:pPr>
              <w:pStyle w:val="051Tabletext22"/>
              <w:jc w:val="center"/>
            </w:pPr>
            <w:r w:rsidRPr="00A018D3">
              <w:t>92</w:t>
            </w:r>
          </w:p>
        </w:tc>
      </w:tr>
      <w:tr w:rsidR="00B76413" w:rsidRPr="00A018D3" w14:paraId="756F7345" w14:textId="77777777" w:rsidTr="002A6B97">
        <w:trPr>
          <w:trHeight w:val="290"/>
        </w:trPr>
        <w:tc>
          <w:tcPr>
            <w:tcW w:w="0" w:type="dxa"/>
            <w:hideMark/>
          </w:tcPr>
          <w:p w14:paraId="455018C7" w14:textId="06BE63F1" w:rsidR="00B76413" w:rsidRPr="00A018D3" w:rsidRDefault="00B76413">
            <w:pPr>
              <w:pStyle w:val="051Tabletext22"/>
            </w:pPr>
            <w:r w:rsidRPr="00A018D3">
              <w:t xml:space="preserve">Number of </w:t>
            </w:r>
            <w:r w:rsidRPr="004D745E">
              <w:t xml:space="preserve">ADAMTS13 activity </w:t>
            </w:r>
            <w:r>
              <w:t xml:space="preserve">testing </w:t>
            </w:r>
            <w:r w:rsidRPr="00A018D3">
              <w:t>services during acute episodes</w:t>
            </w:r>
            <w:r w:rsidR="00B2131D">
              <w:t xml:space="preserve"> [C]</w:t>
            </w:r>
          </w:p>
        </w:tc>
        <w:tc>
          <w:tcPr>
            <w:tcW w:w="0" w:type="dxa"/>
            <w:noWrap/>
            <w:vAlign w:val="center"/>
            <w:hideMark/>
          </w:tcPr>
          <w:p w14:paraId="2CD365EF" w14:textId="77777777" w:rsidR="00B76413" w:rsidRPr="00A018D3" w:rsidRDefault="00B76413" w:rsidP="002A6B97">
            <w:pPr>
              <w:pStyle w:val="051Tabletext22"/>
              <w:jc w:val="center"/>
            </w:pPr>
            <w:r w:rsidRPr="00A018D3">
              <w:t>688</w:t>
            </w:r>
          </w:p>
        </w:tc>
        <w:tc>
          <w:tcPr>
            <w:tcW w:w="0" w:type="dxa"/>
            <w:noWrap/>
            <w:vAlign w:val="center"/>
            <w:hideMark/>
          </w:tcPr>
          <w:p w14:paraId="44FA3AEB" w14:textId="77777777" w:rsidR="00B76413" w:rsidRPr="00A018D3" w:rsidRDefault="00B76413" w:rsidP="002A6B97">
            <w:pPr>
              <w:pStyle w:val="051Tabletext22"/>
              <w:jc w:val="center"/>
            </w:pPr>
            <w:r w:rsidRPr="00A018D3">
              <w:t>696</w:t>
            </w:r>
          </w:p>
        </w:tc>
        <w:tc>
          <w:tcPr>
            <w:tcW w:w="0" w:type="dxa"/>
            <w:noWrap/>
            <w:vAlign w:val="center"/>
            <w:hideMark/>
          </w:tcPr>
          <w:p w14:paraId="4EB332F2" w14:textId="77777777" w:rsidR="00B76413" w:rsidRPr="00A018D3" w:rsidRDefault="00B76413" w:rsidP="002A6B97">
            <w:pPr>
              <w:pStyle w:val="051Tabletext22"/>
              <w:jc w:val="center"/>
            </w:pPr>
            <w:r w:rsidRPr="00A018D3">
              <w:t>712</w:t>
            </w:r>
          </w:p>
        </w:tc>
        <w:tc>
          <w:tcPr>
            <w:tcW w:w="0" w:type="dxa"/>
            <w:noWrap/>
            <w:vAlign w:val="center"/>
            <w:hideMark/>
          </w:tcPr>
          <w:p w14:paraId="4BB64521" w14:textId="77777777" w:rsidR="00B76413" w:rsidRPr="00A018D3" w:rsidRDefault="00B76413" w:rsidP="002A6B97">
            <w:pPr>
              <w:pStyle w:val="051Tabletext22"/>
              <w:jc w:val="center"/>
            </w:pPr>
            <w:r w:rsidRPr="00A018D3">
              <w:t>720</w:t>
            </w:r>
          </w:p>
        </w:tc>
        <w:tc>
          <w:tcPr>
            <w:tcW w:w="0" w:type="dxa"/>
            <w:noWrap/>
            <w:vAlign w:val="center"/>
            <w:hideMark/>
          </w:tcPr>
          <w:p w14:paraId="2A86ED50" w14:textId="77777777" w:rsidR="00B76413" w:rsidRPr="00A018D3" w:rsidRDefault="00B76413" w:rsidP="002A6B97">
            <w:pPr>
              <w:pStyle w:val="051Tabletext22"/>
              <w:jc w:val="center"/>
            </w:pPr>
            <w:r w:rsidRPr="00A018D3">
              <w:t>728</w:t>
            </w:r>
          </w:p>
        </w:tc>
        <w:tc>
          <w:tcPr>
            <w:tcW w:w="0" w:type="dxa"/>
            <w:noWrap/>
            <w:vAlign w:val="center"/>
            <w:hideMark/>
          </w:tcPr>
          <w:p w14:paraId="154AE63D" w14:textId="77777777" w:rsidR="00B76413" w:rsidRPr="00A018D3" w:rsidRDefault="00B76413" w:rsidP="002A6B97">
            <w:pPr>
              <w:pStyle w:val="051Tabletext22"/>
              <w:jc w:val="center"/>
            </w:pPr>
            <w:r w:rsidRPr="00A018D3">
              <w:t>736</w:t>
            </w:r>
          </w:p>
        </w:tc>
      </w:tr>
      <w:tr w:rsidR="00B76413" w:rsidRPr="00A018D3" w14:paraId="2B919724" w14:textId="77777777" w:rsidTr="002A6B97">
        <w:trPr>
          <w:trHeight w:val="290"/>
        </w:trPr>
        <w:tc>
          <w:tcPr>
            <w:tcW w:w="0" w:type="dxa"/>
            <w:hideMark/>
          </w:tcPr>
          <w:p w14:paraId="4FA61859" w14:textId="067E9AB8" w:rsidR="00B76413" w:rsidRPr="00A018D3" w:rsidRDefault="00B76413">
            <w:pPr>
              <w:pStyle w:val="051Tabletext22"/>
            </w:pPr>
            <w:r w:rsidRPr="00A018D3">
              <w:t>Number of prevalent TTP cases</w:t>
            </w:r>
            <w:r w:rsidR="00097DA5">
              <w:t xml:space="preserve"> [</w:t>
            </w:r>
            <w:r w:rsidR="00FA1867">
              <w:t>D</w:t>
            </w:r>
            <w:r w:rsidR="00097DA5">
              <w:t>]</w:t>
            </w:r>
          </w:p>
        </w:tc>
        <w:tc>
          <w:tcPr>
            <w:tcW w:w="0" w:type="dxa"/>
            <w:noWrap/>
            <w:vAlign w:val="center"/>
            <w:hideMark/>
          </w:tcPr>
          <w:p w14:paraId="3200F8F5" w14:textId="77777777" w:rsidR="00B76413" w:rsidRPr="00A018D3" w:rsidRDefault="00B76413" w:rsidP="002A6B97">
            <w:pPr>
              <w:pStyle w:val="051Tabletext22"/>
              <w:jc w:val="center"/>
            </w:pPr>
            <w:r w:rsidRPr="00A018D3">
              <w:t>528</w:t>
            </w:r>
          </w:p>
        </w:tc>
        <w:tc>
          <w:tcPr>
            <w:tcW w:w="0" w:type="dxa"/>
            <w:noWrap/>
            <w:vAlign w:val="center"/>
            <w:hideMark/>
          </w:tcPr>
          <w:p w14:paraId="6A5B94AF" w14:textId="77777777" w:rsidR="00B76413" w:rsidRPr="00A018D3" w:rsidRDefault="00B76413" w:rsidP="002A6B97">
            <w:pPr>
              <w:pStyle w:val="051Tabletext22"/>
              <w:jc w:val="center"/>
            </w:pPr>
            <w:r w:rsidRPr="00A018D3">
              <w:t>536</w:t>
            </w:r>
          </w:p>
        </w:tc>
        <w:tc>
          <w:tcPr>
            <w:tcW w:w="0" w:type="dxa"/>
            <w:noWrap/>
            <w:vAlign w:val="center"/>
            <w:hideMark/>
          </w:tcPr>
          <w:p w14:paraId="5663FAEE" w14:textId="77777777" w:rsidR="00B76413" w:rsidRPr="00A018D3" w:rsidRDefault="00B76413" w:rsidP="002A6B97">
            <w:pPr>
              <w:pStyle w:val="051Tabletext22"/>
              <w:jc w:val="center"/>
            </w:pPr>
            <w:r w:rsidRPr="00A018D3">
              <w:t>543</w:t>
            </w:r>
          </w:p>
        </w:tc>
        <w:tc>
          <w:tcPr>
            <w:tcW w:w="0" w:type="dxa"/>
            <w:noWrap/>
            <w:vAlign w:val="center"/>
            <w:hideMark/>
          </w:tcPr>
          <w:p w14:paraId="549E51E1" w14:textId="77777777" w:rsidR="00B76413" w:rsidRPr="00A018D3" w:rsidRDefault="00B76413" w:rsidP="002A6B97">
            <w:pPr>
              <w:pStyle w:val="051Tabletext22"/>
              <w:jc w:val="center"/>
            </w:pPr>
            <w:r w:rsidRPr="00A018D3">
              <w:t>550</w:t>
            </w:r>
          </w:p>
        </w:tc>
        <w:tc>
          <w:tcPr>
            <w:tcW w:w="0" w:type="dxa"/>
            <w:noWrap/>
            <w:vAlign w:val="center"/>
            <w:hideMark/>
          </w:tcPr>
          <w:p w14:paraId="58B80146" w14:textId="77777777" w:rsidR="00B76413" w:rsidRPr="00A018D3" w:rsidRDefault="00B76413" w:rsidP="002A6B97">
            <w:pPr>
              <w:pStyle w:val="051Tabletext22"/>
              <w:jc w:val="center"/>
            </w:pPr>
            <w:r w:rsidRPr="00A018D3">
              <w:t>557</w:t>
            </w:r>
          </w:p>
        </w:tc>
        <w:tc>
          <w:tcPr>
            <w:tcW w:w="0" w:type="dxa"/>
            <w:noWrap/>
            <w:vAlign w:val="center"/>
            <w:hideMark/>
          </w:tcPr>
          <w:p w14:paraId="2615C0C9" w14:textId="77777777" w:rsidR="00B76413" w:rsidRPr="00A018D3" w:rsidRDefault="00B76413" w:rsidP="002A6B97">
            <w:pPr>
              <w:pStyle w:val="051Tabletext22"/>
              <w:jc w:val="center"/>
            </w:pPr>
            <w:r w:rsidRPr="00A018D3">
              <w:t>563</w:t>
            </w:r>
          </w:p>
        </w:tc>
      </w:tr>
      <w:tr w:rsidR="008F6EBA" w:rsidRPr="00A018D3" w14:paraId="5675A4C8" w14:textId="77777777" w:rsidTr="002A6B97">
        <w:trPr>
          <w:trHeight w:val="290"/>
        </w:trPr>
        <w:tc>
          <w:tcPr>
            <w:tcW w:w="0" w:type="dxa"/>
            <w:hideMark/>
          </w:tcPr>
          <w:p w14:paraId="0B601BCB" w14:textId="70DD7E2B" w:rsidR="008F6EBA" w:rsidRPr="00A018D3" w:rsidRDefault="008F6EBA" w:rsidP="008F6EBA">
            <w:pPr>
              <w:pStyle w:val="051Tabletext22"/>
            </w:pPr>
            <w:r w:rsidRPr="00A018D3">
              <w:t xml:space="preserve">Number of </w:t>
            </w:r>
            <w:r w:rsidRPr="004D745E">
              <w:t xml:space="preserve">ADAMTS13 activity </w:t>
            </w:r>
            <w:r>
              <w:t xml:space="preserve">testing </w:t>
            </w:r>
            <w:r w:rsidRPr="00A018D3">
              <w:t>services during remission</w:t>
            </w:r>
            <w:r>
              <w:t xml:space="preserve"> [E]</w:t>
            </w:r>
          </w:p>
        </w:tc>
        <w:tc>
          <w:tcPr>
            <w:tcW w:w="0" w:type="dxa"/>
            <w:noWrap/>
            <w:vAlign w:val="center"/>
            <w:hideMark/>
          </w:tcPr>
          <w:p w14:paraId="0116FAD0" w14:textId="51625135" w:rsidR="008F6EBA" w:rsidRPr="00A018D3" w:rsidRDefault="008F6EBA" w:rsidP="002A6B97">
            <w:pPr>
              <w:pStyle w:val="051Tabletext22"/>
              <w:jc w:val="center"/>
            </w:pPr>
            <w:r w:rsidRPr="003D65A3">
              <w:t>1</w:t>
            </w:r>
            <w:r w:rsidR="00D020DC">
              <w:t>,</w:t>
            </w:r>
            <w:r w:rsidRPr="003D65A3">
              <w:t>180</w:t>
            </w:r>
          </w:p>
        </w:tc>
        <w:tc>
          <w:tcPr>
            <w:tcW w:w="0" w:type="dxa"/>
            <w:noWrap/>
            <w:vAlign w:val="center"/>
            <w:hideMark/>
          </w:tcPr>
          <w:p w14:paraId="69A0BCA6" w14:textId="44694403" w:rsidR="008F6EBA" w:rsidRPr="00A018D3" w:rsidRDefault="008F6EBA" w:rsidP="002A6B97">
            <w:pPr>
              <w:pStyle w:val="051Tabletext22"/>
              <w:jc w:val="center"/>
            </w:pPr>
            <w:r w:rsidRPr="003D65A3">
              <w:t>1</w:t>
            </w:r>
            <w:r w:rsidR="00D020DC">
              <w:t>,</w:t>
            </w:r>
            <w:r w:rsidRPr="003D65A3">
              <w:t>199</w:t>
            </w:r>
          </w:p>
        </w:tc>
        <w:tc>
          <w:tcPr>
            <w:tcW w:w="0" w:type="dxa"/>
            <w:noWrap/>
            <w:vAlign w:val="center"/>
            <w:hideMark/>
          </w:tcPr>
          <w:p w14:paraId="56722A42" w14:textId="65B65A12" w:rsidR="008F6EBA" w:rsidRPr="00A018D3" w:rsidRDefault="008F6EBA" w:rsidP="002A6B97">
            <w:pPr>
              <w:pStyle w:val="051Tabletext22"/>
              <w:jc w:val="center"/>
            </w:pPr>
            <w:r w:rsidRPr="003D65A3">
              <w:t>1</w:t>
            </w:r>
            <w:r w:rsidR="00D020DC">
              <w:t>,</w:t>
            </w:r>
            <w:r w:rsidRPr="003D65A3">
              <w:t>212</w:t>
            </w:r>
          </w:p>
        </w:tc>
        <w:tc>
          <w:tcPr>
            <w:tcW w:w="0" w:type="dxa"/>
            <w:noWrap/>
            <w:vAlign w:val="center"/>
            <w:hideMark/>
          </w:tcPr>
          <w:p w14:paraId="74CC183D" w14:textId="422FFBEF" w:rsidR="008F6EBA" w:rsidRPr="00A018D3" w:rsidRDefault="008F6EBA" w:rsidP="002A6B97">
            <w:pPr>
              <w:pStyle w:val="051Tabletext22"/>
              <w:jc w:val="center"/>
            </w:pPr>
            <w:r w:rsidRPr="003D65A3">
              <w:t>1</w:t>
            </w:r>
            <w:r w:rsidR="00D020DC">
              <w:t>,</w:t>
            </w:r>
            <w:r w:rsidRPr="003D65A3">
              <w:t>228</w:t>
            </w:r>
          </w:p>
        </w:tc>
        <w:tc>
          <w:tcPr>
            <w:tcW w:w="0" w:type="dxa"/>
            <w:noWrap/>
            <w:vAlign w:val="center"/>
            <w:hideMark/>
          </w:tcPr>
          <w:p w14:paraId="54CADC70" w14:textId="1F5E872B" w:rsidR="008F6EBA" w:rsidRPr="00A018D3" w:rsidRDefault="008F6EBA" w:rsidP="002A6B97">
            <w:pPr>
              <w:pStyle w:val="051Tabletext22"/>
              <w:jc w:val="center"/>
            </w:pPr>
            <w:r w:rsidRPr="003D65A3">
              <w:t>1</w:t>
            </w:r>
            <w:r w:rsidR="00D020DC">
              <w:t>,</w:t>
            </w:r>
            <w:r w:rsidRPr="003D65A3">
              <w:t>244</w:t>
            </w:r>
          </w:p>
        </w:tc>
        <w:tc>
          <w:tcPr>
            <w:tcW w:w="0" w:type="dxa"/>
            <w:noWrap/>
            <w:vAlign w:val="center"/>
            <w:hideMark/>
          </w:tcPr>
          <w:p w14:paraId="05778D55" w14:textId="605EED13" w:rsidR="008F6EBA" w:rsidRPr="00A018D3" w:rsidRDefault="008F6EBA" w:rsidP="002A6B97">
            <w:pPr>
              <w:pStyle w:val="051Tabletext22"/>
              <w:jc w:val="center"/>
            </w:pPr>
            <w:r w:rsidRPr="003D65A3">
              <w:t>1</w:t>
            </w:r>
            <w:r w:rsidR="00D020DC">
              <w:t>,</w:t>
            </w:r>
            <w:r w:rsidRPr="003D65A3">
              <w:t>258</w:t>
            </w:r>
          </w:p>
        </w:tc>
      </w:tr>
      <w:tr w:rsidR="00B76413" w:rsidRPr="00A018D3" w14:paraId="3310245B" w14:textId="77777777" w:rsidTr="002A6B97">
        <w:trPr>
          <w:trHeight w:val="290"/>
        </w:trPr>
        <w:tc>
          <w:tcPr>
            <w:tcW w:w="0" w:type="dxa"/>
            <w:hideMark/>
          </w:tcPr>
          <w:p w14:paraId="7A3F819E" w14:textId="1C7788BF" w:rsidR="00B76413" w:rsidRPr="00B2560E" w:rsidRDefault="00B76413">
            <w:pPr>
              <w:pStyle w:val="051Tabletext22"/>
              <w:rPr>
                <w:highlight w:val="yellow"/>
              </w:rPr>
            </w:pPr>
            <w:r w:rsidRPr="00BF0636">
              <w:t>Cost to the MBS of ADAMTS13 activity testing for acute episode monitoring (80% benefit)</w:t>
            </w:r>
            <w:r w:rsidR="008F4EDC" w:rsidRPr="00BF0636">
              <w:t xml:space="preserve"> [F]</w:t>
            </w:r>
          </w:p>
        </w:tc>
        <w:tc>
          <w:tcPr>
            <w:tcW w:w="0" w:type="dxa"/>
            <w:noWrap/>
            <w:vAlign w:val="center"/>
            <w:hideMark/>
          </w:tcPr>
          <w:p w14:paraId="715C78FD" w14:textId="77777777" w:rsidR="00B76413" w:rsidRPr="00BF0636" w:rsidRDefault="00B76413" w:rsidP="002A6B97">
            <w:pPr>
              <w:pStyle w:val="051Tabletext22"/>
              <w:jc w:val="right"/>
            </w:pPr>
            <w:r w:rsidRPr="00BF0636">
              <w:t>$385,280</w:t>
            </w:r>
          </w:p>
        </w:tc>
        <w:tc>
          <w:tcPr>
            <w:tcW w:w="0" w:type="dxa"/>
            <w:noWrap/>
            <w:vAlign w:val="center"/>
            <w:hideMark/>
          </w:tcPr>
          <w:p w14:paraId="039A8603" w14:textId="77777777" w:rsidR="00B76413" w:rsidRPr="00BF0636" w:rsidRDefault="00B76413" w:rsidP="002A6B97">
            <w:pPr>
              <w:pStyle w:val="051Tabletext22"/>
              <w:jc w:val="right"/>
            </w:pPr>
            <w:r w:rsidRPr="00BF0636">
              <w:t>$389,760</w:t>
            </w:r>
          </w:p>
        </w:tc>
        <w:tc>
          <w:tcPr>
            <w:tcW w:w="0" w:type="dxa"/>
            <w:noWrap/>
            <w:vAlign w:val="center"/>
            <w:hideMark/>
          </w:tcPr>
          <w:p w14:paraId="5A13DD8E" w14:textId="77777777" w:rsidR="00B76413" w:rsidRPr="00BF0636" w:rsidRDefault="00B76413" w:rsidP="002A6B97">
            <w:pPr>
              <w:pStyle w:val="051Tabletext22"/>
              <w:jc w:val="right"/>
            </w:pPr>
            <w:r w:rsidRPr="00BF0636">
              <w:t>$398,720</w:t>
            </w:r>
          </w:p>
        </w:tc>
        <w:tc>
          <w:tcPr>
            <w:tcW w:w="0" w:type="dxa"/>
            <w:noWrap/>
            <w:vAlign w:val="center"/>
            <w:hideMark/>
          </w:tcPr>
          <w:p w14:paraId="472780D4" w14:textId="77777777" w:rsidR="00B76413" w:rsidRPr="00BF0636" w:rsidRDefault="00B76413" w:rsidP="002A6B97">
            <w:pPr>
              <w:pStyle w:val="051Tabletext22"/>
              <w:jc w:val="right"/>
            </w:pPr>
            <w:r w:rsidRPr="00BF0636">
              <w:t>$403,200</w:t>
            </w:r>
          </w:p>
        </w:tc>
        <w:tc>
          <w:tcPr>
            <w:tcW w:w="0" w:type="dxa"/>
            <w:noWrap/>
            <w:vAlign w:val="center"/>
            <w:hideMark/>
          </w:tcPr>
          <w:p w14:paraId="5186229A" w14:textId="77777777" w:rsidR="00B76413" w:rsidRPr="00BF0636" w:rsidRDefault="00B76413" w:rsidP="002A6B97">
            <w:pPr>
              <w:pStyle w:val="051Tabletext22"/>
              <w:jc w:val="right"/>
            </w:pPr>
            <w:r w:rsidRPr="00BF0636">
              <w:t>$407,680</w:t>
            </w:r>
          </w:p>
        </w:tc>
        <w:tc>
          <w:tcPr>
            <w:tcW w:w="0" w:type="dxa"/>
            <w:noWrap/>
            <w:vAlign w:val="center"/>
            <w:hideMark/>
          </w:tcPr>
          <w:p w14:paraId="21EA42C4" w14:textId="77777777" w:rsidR="00B76413" w:rsidRPr="00BF0636" w:rsidRDefault="00B76413" w:rsidP="002A6B97">
            <w:pPr>
              <w:pStyle w:val="051Tabletext22"/>
              <w:jc w:val="right"/>
            </w:pPr>
            <w:r w:rsidRPr="00BF0636">
              <w:t>$412,160</w:t>
            </w:r>
          </w:p>
        </w:tc>
      </w:tr>
      <w:tr w:rsidR="008F6EBA" w:rsidRPr="00A018D3" w14:paraId="22FF35F8" w14:textId="77777777" w:rsidTr="002A6B97">
        <w:trPr>
          <w:trHeight w:val="290"/>
        </w:trPr>
        <w:tc>
          <w:tcPr>
            <w:tcW w:w="0" w:type="dxa"/>
            <w:hideMark/>
          </w:tcPr>
          <w:p w14:paraId="0D4F9805" w14:textId="0E015FAF" w:rsidR="008F6EBA" w:rsidRPr="00A018D3" w:rsidRDefault="008F6EBA" w:rsidP="008F6EBA">
            <w:pPr>
              <w:pStyle w:val="051Tabletext22"/>
            </w:pPr>
            <w:r w:rsidRPr="00A018D3">
              <w:t xml:space="preserve">Cost to the MBS </w:t>
            </w:r>
            <w:r>
              <w:t xml:space="preserve">of </w:t>
            </w:r>
            <w:r w:rsidRPr="004D745E">
              <w:t xml:space="preserve">ADAMTS13 activity </w:t>
            </w:r>
            <w:r>
              <w:t xml:space="preserve">testing for </w:t>
            </w:r>
            <w:r w:rsidRPr="00A018D3">
              <w:t xml:space="preserve">remission monitoring </w:t>
            </w:r>
            <w:r>
              <w:t>(</w:t>
            </w:r>
            <w:r w:rsidRPr="00A018D3">
              <w:t>85%</w:t>
            </w:r>
            <w:r>
              <w:t xml:space="preserve"> benefit</w:t>
            </w:r>
            <w:r w:rsidRPr="00A018D3">
              <w:t>)</w:t>
            </w:r>
            <w:r w:rsidR="008C2D55">
              <w:t xml:space="preserve"> [G]</w:t>
            </w:r>
          </w:p>
        </w:tc>
        <w:tc>
          <w:tcPr>
            <w:tcW w:w="0" w:type="dxa"/>
            <w:noWrap/>
            <w:vAlign w:val="center"/>
            <w:hideMark/>
          </w:tcPr>
          <w:p w14:paraId="4187ACF1" w14:textId="6BD9D842" w:rsidR="008F6EBA" w:rsidRPr="00A018D3" w:rsidRDefault="008F6EBA" w:rsidP="002A6B97">
            <w:pPr>
              <w:pStyle w:val="051Tabletext22"/>
              <w:jc w:val="right"/>
            </w:pPr>
            <w:r w:rsidRPr="00FC3C12">
              <w:t>$702,773</w:t>
            </w:r>
          </w:p>
        </w:tc>
        <w:tc>
          <w:tcPr>
            <w:tcW w:w="0" w:type="dxa"/>
            <w:noWrap/>
            <w:vAlign w:val="center"/>
            <w:hideMark/>
          </w:tcPr>
          <w:p w14:paraId="0D026B14" w14:textId="1F4A507E" w:rsidR="008F6EBA" w:rsidRPr="00A018D3" w:rsidRDefault="008F6EBA" w:rsidP="002A6B97">
            <w:pPr>
              <w:pStyle w:val="051Tabletext22"/>
              <w:jc w:val="right"/>
            </w:pPr>
            <w:r w:rsidRPr="00FC3C12">
              <w:t>$713,903</w:t>
            </w:r>
          </w:p>
        </w:tc>
        <w:tc>
          <w:tcPr>
            <w:tcW w:w="0" w:type="dxa"/>
            <w:noWrap/>
            <w:vAlign w:val="center"/>
            <w:hideMark/>
          </w:tcPr>
          <w:p w14:paraId="30D2835B" w14:textId="00FEB6A3" w:rsidR="008F6EBA" w:rsidRPr="00A018D3" w:rsidRDefault="008F6EBA" w:rsidP="002A6B97">
            <w:pPr>
              <w:pStyle w:val="051Tabletext22"/>
              <w:jc w:val="right"/>
            </w:pPr>
            <w:r w:rsidRPr="00FC3C12">
              <w:t>$721,853</w:t>
            </w:r>
          </w:p>
        </w:tc>
        <w:tc>
          <w:tcPr>
            <w:tcW w:w="0" w:type="dxa"/>
            <w:noWrap/>
            <w:vAlign w:val="center"/>
            <w:hideMark/>
          </w:tcPr>
          <w:p w14:paraId="17061087" w14:textId="46B13BEB" w:rsidR="008F6EBA" w:rsidRPr="00A018D3" w:rsidRDefault="008F6EBA" w:rsidP="002A6B97">
            <w:pPr>
              <w:pStyle w:val="051Tabletext22"/>
              <w:jc w:val="right"/>
            </w:pPr>
            <w:r w:rsidRPr="00FC3C12">
              <w:t>$731,393</w:t>
            </w:r>
          </w:p>
        </w:tc>
        <w:tc>
          <w:tcPr>
            <w:tcW w:w="0" w:type="dxa"/>
            <w:noWrap/>
            <w:vAlign w:val="center"/>
            <w:hideMark/>
          </w:tcPr>
          <w:p w14:paraId="5EB4D60B" w14:textId="185482C3" w:rsidR="008F6EBA" w:rsidRPr="00A018D3" w:rsidRDefault="008F6EBA" w:rsidP="002A6B97">
            <w:pPr>
              <w:pStyle w:val="051Tabletext22"/>
              <w:jc w:val="right"/>
            </w:pPr>
            <w:r w:rsidRPr="00FC3C12">
              <w:t>$740,933</w:t>
            </w:r>
          </w:p>
        </w:tc>
        <w:tc>
          <w:tcPr>
            <w:tcW w:w="0" w:type="dxa"/>
            <w:noWrap/>
            <w:vAlign w:val="center"/>
            <w:hideMark/>
          </w:tcPr>
          <w:p w14:paraId="5A845D61" w14:textId="7D29305A" w:rsidR="008F6EBA" w:rsidRPr="00A018D3" w:rsidRDefault="008F6EBA" w:rsidP="002A6B97">
            <w:pPr>
              <w:pStyle w:val="051Tabletext22"/>
              <w:jc w:val="right"/>
            </w:pPr>
            <w:r w:rsidRPr="00FC3C12">
              <w:t>$748,883</w:t>
            </w:r>
          </w:p>
        </w:tc>
      </w:tr>
      <w:tr w:rsidR="008F6EBA" w:rsidRPr="00A018D3" w14:paraId="0C90DA52" w14:textId="77777777" w:rsidTr="002A6B97">
        <w:trPr>
          <w:trHeight w:val="290"/>
        </w:trPr>
        <w:tc>
          <w:tcPr>
            <w:tcW w:w="0" w:type="dxa"/>
            <w:hideMark/>
          </w:tcPr>
          <w:p w14:paraId="33C63BDE" w14:textId="42F7E610" w:rsidR="008F6EBA" w:rsidRPr="00913947" w:rsidRDefault="008F6EBA" w:rsidP="008F6EBA">
            <w:pPr>
              <w:pStyle w:val="051Tabletext22"/>
              <w:rPr>
                <w:b/>
              </w:rPr>
            </w:pPr>
            <w:r w:rsidRPr="00913947">
              <w:rPr>
                <w:b/>
              </w:rPr>
              <w:t>Total cost to the MBS of PICO 3 – testing services for monitoring</w:t>
            </w:r>
            <w:r w:rsidR="001A380E">
              <w:rPr>
                <w:b/>
              </w:rPr>
              <w:t xml:space="preserve"> [H = F + G]</w:t>
            </w:r>
          </w:p>
        </w:tc>
        <w:tc>
          <w:tcPr>
            <w:tcW w:w="0" w:type="dxa"/>
            <w:noWrap/>
            <w:vAlign w:val="center"/>
            <w:hideMark/>
          </w:tcPr>
          <w:p w14:paraId="56F38625" w14:textId="3030F1C5" w:rsidR="008F6EBA" w:rsidRPr="00913947" w:rsidRDefault="008F6EBA" w:rsidP="002A6B97">
            <w:pPr>
              <w:pStyle w:val="051Tabletext22"/>
              <w:jc w:val="right"/>
              <w:rPr>
                <w:b/>
              </w:rPr>
            </w:pPr>
            <w:r w:rsidRPr="00580C20">
              <w:rPr>
                <w:b/>
                <w:bCs/>
              </w:rPr>
              <w:t>$1,088,053</w:t>
            </w:r>
          </w:p>
        </w:tc>
        <w:tc>
          <w:tcPr>
            <w:tcW w:w="0" w:type="dxa"/>
            <w:noWrap/>
            <w:vAlign w:val="center"/>
            <w:hideMark/>
          </w:tcPr>
          <w:p w14:paraId="576E12C1" w14:textId="089F3E5B" w:rsidR="008F6EBA" w:rsidRPr="00913947" w:rsidRDefault="008F6EBA" w:rsidP="002A6B97">
            <w:pPr>
              <w:pStyle w:val="051Tabletext22"/>
              <w:jc w:val="right"/>
              <w:rPr>
                <w:b/>
              </w:rPr>
            </w:pPr>
            <w:r w:rsidRPr="00580C20">
              <w:rPr>
                <w:b/>
                <w:bCs/>
              </w:rPr>
              <w:t>$1,103,663</w:t>
            </w:r>
          </w:p>
        </w:tc>
        <w:tc>
          <w:tcPr>
            <w:tcW w:w="0" w:type="dxa"/>
            <w:noWrap/>
            <w:vAlign w:val="center"/>
            <w:hideMark/>
          </w:tcPr>
          <w:p w14:paraId="34D263BC" w14:textId="6027E945" w:rsidR="008F6EBA" w:rsidRPr="00913947" w:rsidRDefault="008F6EBA" w:rsidP="002A6B97">
            <w:pPr>
              <w:pStyle w:val="051Tabletext22"/>
              <w:jc w:val="right"/>
              <w:rPr>
                <w:b/>
              </w:rPr>
            </w:pPr>
            <w:r w:rsidRPr="00580C20">
              <w:rPr>
                <w:b/>
                <w:bCs/>
              </w:rPr>
              <w:t>$1,120,573</w:t>
            </w:r>
          </w:p>
        </w:tc>
        <w:tc>
          <w:tcPr>
            <w:tcW w:w="0" w:type="dxa"/>
            <w:noWrap/>
            <w:vAlign w:val="center"/>
            <w:hideMark/>
          </w:tcPr>
          <w:p w14:paraId="0648F32D" w14:textId="762CEF74" w:rsidR="008F6EBA" w:rsidRPr="00913947" w:rsidRDefault="008F6EBA" w:rsidP="002A6B97">
            <w:pPr>
              <w:pStyle w:val="051Tabletext22"/>
              <w:jc w:val="right"/>
              <w:rPr>
                <w:b/>
              </w:rPr>
            </w:pPr>
            <w:r w:rsidRPr="00580C20">
              <w:rPr>
                <w:b/>
                <w:bCs/>
              </w:rPr>
              <w:t>$1,134,593</w:t>
            </w:r>
          </w:p>
        </w:tc>
        <w:tc>
          <w:tcPr>
            <w:tcW w:w="0" w:type="dxa"/>
            <w:noWrap/>
            <w:vAlign w:val="center"/>
            <w:hideMark/>
          </w:tcPr>
          <w:p w14:paraId="37A5AA96" w14:textId="34EB2ADB" w:rsidR="008F6EBA" w:rsidRPr="00913947" w:rsidRDefault="008F6EBA" w:rsidP="002A6B97">
            <w:pPr>
              <w:pStyle w:val="051Tabletext22"/>
              <w:jc w:val="right"/>
              <w:rPr>
                <w:b/>
              </w:rPr>
            </w:pPr>
            <w:r w:rsidRPr="00580C20">
              <w:rPr>
                <w:b/>
                <w:bCs/>
              </w:rPr>
              <w:t>$1,148,613</w:t>
            </w:r>
          </w:p>
        </w:tc>
        <w:tc>
          <w:tcPr>
            <w:tcW w:w="0" w:type="dxa"/>
            <w:noWrap/>
            <w:vAlign w:val="center"/>
            <w:hideMark/>
          </w:tcPr>
          <w:p w14:paraId="698E20E5" w14:textId="3CD7D4D2" w:rsidR="008F6EBA" w:rsidRPr="00913947" w:rsidRDefault="008F6EBA" w:rsidP="002A6B97">
            <w:pPr>
              <w:pStyle w:val="051Tabletext22"/>
              <w:jc w:val="right"/>
              <w:rPr>
                <w:b/>
              </w:rPr>
            </w:pPr>
            <w:r w:rsidRPr="00580C20">
              <w:rPr>
                <w:b/>
                <w:bCs/>
              </w:rPr>
              <w:t>$1,161,043</w:t>
            </w:r>
          </w:p>
        </w:tc>
      </w:tr>
    </w:tbl>
    <w:p w14:paraId="25E6171F" w14:textId="77777777" w:rsidR="00B76413" w:rsidRDefault="00B76413" w:rsidP="00F767CA">
      <w:pPr>
        <w:pStyle w:val="101Tablefootnotes"/>
      </w:pPr>
      <w:r w:rsidRPr="009D2F56">
        <w:t>FY = financial year; MBS = Medicare Benefits Schedule; TTP = thrombotic thrombocytopenic purpura.</w:t>
      </w:r>
    </w:p>
    <w:p w14:paraId="1FD839DD" w14:textId="0B8954E3" w:rsidR="009D2F56" w:rsidRDefault="009D2F56" w:rsidP="00F767CA">
      <w:pPr>
        <w:pStyle w:val="101Tablefootnotes"/>
      </w:pPr>
      <w:r>
        <w:t xml:space="preserve">B = A x </w:t>
      </w:r>
      <w:r w:rsidR="00D821AF">
        <w:t xml:space="preserve">incidence of all acute TTP episodes (3.1/million/year based on Page </w:t>
      </w:r>
      <w:r w:rsidR="00171214">
        <w:t xml:space="preserve">et al. </w:t>
      </w:r>
      <w:r w:rsidR="00D821AF">
        <w:t>2017)</w:t>
      </w:r>
    </w:p>
    <w:p w14:paraId="767AFE9B" w14:textId="7A0175F3" w:rsidR="00193041" w:rsidRDefault="00B2131D" w:rsidP="00F767CA">
      <w:pPr>
        <w:pStyle w:val="101Tablefootnotes"/>
        <w:rPr>
          <w:lang w:val="en-US"/>
        </w:rPr>
      </w:pPr>
      <w:r>
        <w:rPr>
          <w:lang w:val="en-US"/>
        </w:rPr>
        <w:t>C</w:t>
      </w:r>
      <w:r w:rsidR="00677D74">
        <w:rPr>
          <w:lang w:val="en-US"/>
        </w:rPr>
        <w:t xml:space="preserve"> = </w:t>
      </w:r>
      <w:r>
        <w:rPr>
          <w:lang w:val="en-US"/>
        </w:rPr>
        <w:t>B</w:t>
      </w:r>
      <w:r w:rsidR="00677D74">
        <w:rPr>
          <w:lang w:val="en-US"/>
        </w:rPr>
        <w:t xml:space="preserve"> x</w:t>
      </w:r>
      <w:r w:rsidR="002F08F2">
        <w:rPr>
          <w:lang w:val="en-US"/>
        </w:rPr>
        <w:t xml:space="preserve"> 8</w:t>
      </w:r>
      <w:r w:rsidR="009C3DAC">
        <w:rPr>
          <w:lang w:val="en-US"/>
        </w:rPr>
        <w:t xml:space="preserve"> (</w:t>
      </w:r>
      <w:r w:rsidR="00CA257E">
        <w:rPr>
          <w:lang w:val="en-US"/>
        </w:rPr>
        <w:t>8</w:t>
      </w:r>
      <w:r w:rsidR="00147C3C">
        <w:rPr>
          <w:lang w:val="en-US"/>
        </w:rPr>
        <w:t xml:space="preserve"> </w:t>
      </w:r>
      <w:r w:rsidR="0059485B">
        <w:rPr>
          <w:lang w:val="en-US"/>
        </w:rPr>
        <w:t xml:space="preserve">monitoring </w:t>
      </w:r>
      <w:r w:rsidR="00147C3C">
        <w:rPr>
          <w:lang w:val="en-US"/>
        </w:rPr>
        <w:t>t</w:t>
      </w:r>
      <w:r w:rsidR="009C3DAC" w:rsidRPr="009C3DAC">
        <w:rPr>
          <w:lang w:val="en-US"/>
        </w:rPr>
        <w:t>est</w:t>
      </w:r>
      <w:r w:rsidR="00147C3C">
        <w:rPr>
          <w:lang w:val="en-US"/>
        </w:rPr>
        <w:t xml:space="preserve">s </w:t>
      </w:r>
      <w:r w:rsidR="009C3DAC" w:rsidRPr="009C3DAC">
        <w:rPr>
          <w:lang w:val="en-US"/>
        </w:rPr>
        <w:t>in first year following acute TTP</w:t>
      </w:r>
      <w:r w:rsidR="005649D4">
        <w:rPr>
          <w:lang w:val="en-US"/>
        </w:rPr>
        <w:t>)</w:t>
      </w:r>
    </w:p>
    <w:p w14:paraId="1B60D2FD" w14:textId="2FE701D2" w:rsidR="00FA1867" w:rsidRDefault="00FA1867" w:rsidP="00F767CA">
      <w:pPr>
        <w:pStyle w:val="101Tablefootnotes"/>
        <w:rPr>
          <w:lang w:val="en-US"/>
        </w:rPr>
      </w:pPr>
      <w:r>
        <w:rPr>
          <w:lang w:val="en-US"/>
        </w:rPr>
        <w:t>D = A x prevalence of TTP (</w:t>
      </w:r>
      <w:r w:rsidR="00D452B4">
        <w:rPr>
          <w:lang w:val="en-US"/>
        </w:rPr>
        <w:t xml:space="preserve">19/million/year based on Page </w:t>
      </w:r>
      <w:r w:rsidR="00171214">
        <w:rPr>
          <w:lang w:val="en-US"/>
        </w:rPr>
        <w:t xml:space="preserve">et al. </w:t>
      </w:r>
      <w:r w:rsidR="00D452B4">
        <w:rPr>
          <w:lang w:val="en-US"/>
        </w:rPr>
        <w:t>2017)</w:t>
      </w:r>
    </w:p>
    <w:p w14:paraId="0B04F6FC" w14:textId="6D5020D7" w:rsidR="00D452B4" w:rsidRDefault="00D452B4" w:rsidP="002A6B97">
      <w:pPr>
        <w:pStyle w:val="101Tablefootnotes"/>
      </w:pPr>
      <w:r>
        <w:t xml:space="preserve">E = </w:t>
      </w:r>
      <w:r w:rsidR="00914026">
        <w:t>(</w:t>
      </w:r>
      <w:r w:rsidR="001028D3">
        <w:t>D</w:t>
      </w:r>
      <w:r w:rsidR="00914026">
        <w:t>-incidence of acute TTP)</w:t>
      </w:r>
      <w:r w:rsidR="001028D3">
        <w:t xml:space="preserve"> x 2.67</w:t>
      </w:r>
      <w:r w:rsidR="00B8635D">
        <w:t xml:space="preserve"> (</w:t>
      </w:r>
      <w:r w:rsidR="003245BD" w:rsidRPr="003245BD">
        <w:t xml:space="preserve">prevalent cases of TTP undergoing life-long monitoring were assumed to receive an average of 2.67 tests per year </w:t>
      </w:r>
      <w:r w:rsidR="0059485B" w:rsidRPr="0059485B">
        <w:t>during stable remission</w:t>
      </w:r>
      <w:r w:rsidR="0059485B">
        <w:t xml:space="preserve">). </w:t>
      </w:r>
    </w:p>
    <w:p w14:paraId="11D33933" w14:textId="5875C493" w:rsidR="008F4EDC" w:rsidRDefault="008F4EDC" w:rsidP="00DD443C">
      <w:pPr>
        <w:pStyle w:val="101Tablefootnotes"/>
        <w:keepNext w:val="0"/>
        <w:rPr>
          <w:lang w:val="en-US"/>
        </w:rPr>
      </w:pPr>
      <w:r>
        <w:rPr>
          <w:lang w:val="en-US"/>
        </w:rPr>
        <w:t xml:space="preserve">F = </w:t>
      </w:r>
      <w:r w:rsidR="00F165F3">
        <w:rPr>
          <w:lang w:val="en-US"/>
        </w:rPr>
        <w:t>C</w:t>
      </w:r>
      <w:r w:rsidR="00BB3528">
        <w:rPr>
          <w:lang w:val="en-US"/>
        </w:rPr>
        <w:t xml:space="preserve"> x </w:t>
      </w:r>
      <w:r w:rsidR="00975AE2">
        <w:t>proposed fee for ADAMTS13 activity test (80% benefit, $560).</w:t>
      </w:r>
    </w:p>
    <w:p w14:paraId="7596FA18" w14:textId="7FF0F79D" w:rsidR="00BB3528" w:rsidRPr="008F4EDC" w:rsidRDefault="003B250A" w:rsidP="00DD443C">
      <w:pPr>
        <w:pStyle w:val="101Tablefootnotes"/>
        <w:keepNext w:val="0"/>
      </w:pPr>
      <w:r>
        <w:rPr>
          <w:lang w:val="en-US"/>
        </w:rPr>
        <w:t xml:space="preserve">G = E x </w:t>
      </w:r>
      <w:r>
        <w:t>proposed fee for ADAMTS13 activity test (8</w:t>
      </w:r>
      <w:r w:rsidR="00F73F79">
        <w:t>5</w:t>
      </w:r>
      <w:r>
        <w:t>% benefit, $5</w:t>
      </w:r>
      <w:r w:rsidR="001870BA">
        <w:t>95.50</w:t>
      </w:r>
      <w:r>
        <w:t>).</w:t>
      </w:r>
    </w:p>
    <w:p w14:paraId="196298F9" w14:textId="1B683060" w:rsidR="00DD443C" w:rsidRPr="005B6EFD" w:rsidRDefault="00DD443C" w:rsidP="00DD443C">
      <w:pPr>
        <w:pStyle w:val="ExecSumHeading2"/>
        <w:keepLines/>
        <w:numPr>
          <w:ilvl w:val="0"/>
          <w:numId w:val="36"/>
        </w:numPr>
        <w:ind w:hanging="720"/>
      </w:pPr>
      <w:r w:rsidRPr="005B6EFD">
        <w:lastRenderedPageBreak/>
        <w:t xml:space="preserve">Key issues from ESC to MSAC </w:t>
      </w:r>
    </w:p>
    <w:tbl>
      <w:tblPr>
        <w:tblStyle w:val="TableGrid"/>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055104" w14:paraId="3A7A489D" w14:textId="77777777">
        <w:tc>
          <w:tcPr>
            <w:tcW w:w="9016" w:type="dxa"/>
          </w:tcPr>
          <w:p w14:paraId="7933DAFF" w14:textId="77777777" w:rsidR="00055104" w:rsidRDefault="00055104">
            <w:pPr>
              <w:pStyle w:val="Normalbold"/>
            </w:pPr>
            <w:r>
              <w:rPr>
                <w:rFonts w:ascii="Arial" w:hAnsi="Arial" w:cs="Arial"/>
              </w:rPr>
              <w:br w:type="page"/>
            </w:r>
            <w:r>
              <w:t>Main issues for MSAC consideration</w:t>
            </w:r>
          </w:p>
          <w:p w14:paraId="55656222" w14:textId="77777777" w:rsidR="00055104" w:rsidRDefault="00055104">
            <w:pPr>
              <w:pStyle w:val="Normalbold"/>
            </w:pPr>
            <w:r>
              <w:t>Clinical issues:</w:t>
            </w:r>
          </w:p>
          <w:p w14:paraId="2D728D64" w14:textId="77777777" w:rsidR="00055104" w:rsidRPr="008227A0" w:rsidRDefault="00055104">
            <w:pPr>
              <w:pStyle w:val="Normalbold"/>
              <w:numPr>
                <w:ilvl w:val="0"/>
                <w:numId w:val="33"/>
              </w:numPr>
              <w:rPr>
                <w:b w:val="0"/>
                <w:bCs w:val="0"/>
              </w:rPr>
            </w:pPr>
            <w:r>
              <w:rPr>
                <w:b w:val="0"/>
                <w:bCs w:val="0"/>
              </w:rPr>
              <w:t>Thrombotic thrombocytopenic purpura (TTP) is a rare condition and diagnostic ADAMTS13 testing is recommended in Australian and international guidelines (although guidelines for monitoring are based on expert opinion). There are a clinical need and a demand for MBS listing of ADAMTS13 diagnostic testing, which is already used in Australia (predominantly in the public hospital setting) for TTP diagnosis and monitoring. In addition, ADAMTS13 testing to exclude TTP is a prerequisite for access to the PBS-listed therapies eculizumab and ravulizumab for the treatment of atypical haemolytic uraemic syndrome (aHUS).</w:t>
            </w:r>
          </w:p>
          <w:p w14:paraId="1EA70368" w14:textId="77777777" w:rsidR="00055104" w:rsidRDefault="00055104">
            <w:pPr>
              <w:pStyle w:val="Normalbold"/>
              <w:numPr>
                <w:ilvl w:val="0"/>
                <w:numId w:val="33"/>
              </w:numPr>
              <w:rPr>
                <w:b w:val="0"/>
                <w:bCs w:val="0"/>
              </w:rPr>
            </w:pPr>
            <w:r w:rsidRPr="000749D8">
              <w:rPr>
                <w:b w:val="0"/>
                <w:bCs w:val="0"/>
              </w:rPr>
              <w:t xml:space="preserve">The evidence, albeit limited, suggests ADAMTS13 </w:t>
            </w:r>
            <w:r>
              <w:rPr>
                <w:b w:val="0"/>
                <w:bCs w:val="0"/>
              </w:rPr>
              <w:t xml:space="preserve">diagnostic </w:t>
            </w:r>
            <w:r w:rsidRPr="000749D8">
              <w:rPr>
                <w:b w:val="0"/>
                <w:bCs w:val="0"/>
              </w:rPr>
              <w:t xml:space="preserve">testing would lead to changes in clinical management that would improve clinical outcomes for patients. </w:t>
            </w:r>
          </w:p>
          <w:p w14:paraId="083A6A9A" w14:textId="77777777" w:rsidR="00055104" w:rsidRPr="000749D8" w:rsidRDefault="00055104">
            <w:pPr>
              <w:pStyle w:val="Normalbold"/>
              <w:numPr>
                <w:ilvl w:val="0"/>
                <w:numId w:val="33"/>
              </w:numPr>
              <w:rPr>
                <w:b w:val="0"/>
                <w:bCs w:val="0"/>
              </w:rPr>
            </w:pPr>
            <w:r>
              <w:rPr>
                <w:b w:val="0"/>
                <w:bCs w:val="0"/>
              </w:rPr>
              <w:t>T</w:t>
            </w:r>
            <w:r w:rsidRPr="00DF0714">
              <w:rPr>
                <w:b w:val="0"/>
                <w:bCs w:val="0"/>
              </w:rPr>
              <w:t xml:space="preserve">here are critical </w:t>
            </w:r>
            <w:r>
              <w:rPr>
                <w:b w:val="0"/>
                <w:bCs w:val="0"/>
              </w:rPr>
              <w:t>limitations/gaps in the evidence base for ADAMTS13 testing for TTP</w:t>
            </w:r>
            <w:r w:rsidRPr="00DF0714">
              <w:rPr>
                <w:b w:val="0"/>
                <w:bCs w:val="0"/>
              </w:rPr>
              <w:t xml:space="preserve">, particularly with respect to </w:t>
            </w:r>
            <w:r>
              <w:rPr>
                <w:b w:val="0"/>
                <w:bCs w:val="0"/>
              </w:rPr>
              <w:t xml:space="preserve">the frequency of </w:t>
            </w:r>
            <w:r w:rsidRPr="00DF0714">
              <w:rPr>
                <w:b w:val="0"/>
                <w:bCs w:val="0"/>
              </w:rPr>
              <w:t xml:space="preserve">activity testing for monitoring </w:t>
            </w:r>
            <w:r>
              <w:rPr>
                <w:b w:val="0"/>
                <w:bCs w:val="0"/>
              </w:rPr>
              <w:t xml:space="preserve">for </w:t>
            </w:r>
            <w:r w:rsidRPr="00DF0714">
              <w:rPr>
                <w:b w:val="0"/>
                <w:bCs w:val="0"/>
              </w:rPr>
              <w:t>disease relapse.</w:t>
            </w:r>
            <w:r>
              <w:rPr>
                <w:b w:val="0"/>
                <w:bCs w:val="0"/>
              </w:rPr>
              <w:t xml:space="preserve"> </w:t>
            </w:r>
            <w:r w:rsidRPr="000749D8">
              <w:rPr>
                <w:b w:val="0"/>
                <w:bCs w:val="0"/>
              </w:rPr>
              <w:t>Although international guidelines recommend monitoring of ADAMTS13 activity</w:t>
            </w:r>
            <w:r>
              <w:rPr>
                <w:b w:val="0"/>
                <w:bCs w:val="0"/>
              </w:rPr>
              <w:t xml:space="preserve"> (PICO set 3)</w:t>
            </w:r>
            <w:r w:rsidRPr="000749D8">
              <w:rPr>
                <w:b w:val="0"/>
                <w:bCs w:val="0"/>
              </w:rPr>
              <w:t xml:space="preserve">, there is insufficient evidence </w:t>
            </w:r>
            <w:r>
              <w:rPr>
                <w:b w:val="0"/>
                <w:bCs w:val="0"/>
              </w:rPr>
              <w:t>and</w:t>
            </w:r>
            <w:r w:rsidRPr="000749D8">
              <w:rPr>
                <w:b w:val="0"/>
                <w:bCs w:val="0"/>
              </w:rPr>
              <w:t xml:space="preserve"> significant uncertainty regarding the frequency, duration and </w:t>
            </w:r>
            <w:r>
              <w:rPr>
                <w:b w:val="0"/>
                <w:bCs w:val="0"/>
              </w:rPr>
              <w:t>comparative</w:t>
            </w:r>
            <w:r w:rsidRPr="000749D8">
              <w:rPr>
                <w:b w:val="0"/>
                <w:bCs w:val="0"/>
              </w:rPr>
              <w:t xml:space="preserve"> effectiveness of monitoring ADAMTS13 activity during remission.</w:t>
            </w:r>
          </w:p>
          <w:p w14:paraId="441843CD" w14:textId="77777777" w:rsidR="00055104" w:rsidRDefault="00055104">
            <w:pPr>
              <w:pStyle w:val="Normalbold"/>
            </w:pPr>
            <w:r>
              <w:t>Economic issues:</w:t>
            </w:r>
          </w:p>
          <w:p w14:paraId="71EDEF9A" w14:textId="77777777" w:rsidR="00055104" w:rsidRPr="008227A0" w:rsidRDefault="00055104">
            <w:pPr>
              <w:pStyle w:val="Normalbold"/>
              <w:numPr>
                <w:ilvl w:val="0"/>
                <w:numId w:val="33"/>
              </w:numPr>
              <w:rPr>
                <w:b w:val="0"/>
                <w:bCs w:val="0"/>
              </w:rPr>
            </w:pPr>
            <w:r>
              <w:rPr>
                <w:b w:val="0"/>
                <w:bCs w:val="0"/>
              </w:rPr>
              <w:t>The uncertainty in the clinical evidence flows on to create uncertainty in the economic evaluations. In particular, the uncertainty regarding the frequency, duration and effectiveness of ADAMTS13 activity monitoring creates high uncertainty in the cost-effectiveness analysis for ADAMTS13 activity monitoring (PICO set 3). ESC advised that additional 2-way sensitivity analyses varying the costs of plasma exchange (PEX) and test frequency would be informative for MSAC's consideration.</w:t>
            </w:r>
          </w:p>
          <w:p w14:paraId="500DE8DF" w14:textId="77777777" w:rsidR="00055104" w:rsidRDefault="00055104">
            <w:pPr>
              <w:pStyle w:val="Normalbold"/>
            </w:pPr>
            <w:r>
              <w:t>Financial issues:</w:t>
            </w:r>
          </w:p>
          <w:p w14:paraId="40AB8BA7" w14:textId="77777777" w:rsidR="00055104" w:rsidRPr="00251155" w:rsidRDefault="00055104">
            <w:pPr>
              <w:pStyle w:val="Normalbold"/>
              <w:numPr>
                <w:ilvl w:val="0"/>
                <w:numId w:val="33"/>
              </w:numPr>
              <w:rPr>
                <w:b w:val="0"/>
                <w:bCs w:val="0"/>
              </w:rPr>
            </w:pPr>
            <w:r w:rsidRPr="00DE1B15">
              <w:rPr>
                <w:b w:val="0"/>
                <w:bCs w:val="0"/>
              </w:rPr>
              <w:t>The estimated utilisation of ADAMTS13 testing is uncertain. Estimates using the market-share and epidemiology approaches have significant differences. ESC considered that the applicant should confirm or provide further data on the likely prevalent population for uptake of</w:t>
            </w:r>
            <w:r w:rsidRPr="00D26AAE">
              <w:rPr>
                <w:b w:val="0"/>
                <w:bCs w:val="0"/>
                <w:i/>
                <w:iCs/>
              </w:rPr>
              <w:t xml:space="preserve"> ADAMTS13</w:t>
            </w:r>
            <w:r w:rsidRPr="00DE1B15">
              <w:rPr>
                <w:b w:val="0"/>
                <w:bCs w:val="0"/>
              </w:rPr>
              <w:t xml:space="preserve"> genetic testing.</w:t>
            </w:r>
            <w:r>
              <w:t xml:space="preserve"> </w:t>
            </w:r>
          </w:p>
          <w:p w14:paraId="10195AF1" w14:textId="77777777" w:rsidR="00055104" w:rsidRDefault="00055104">
            <w:pPr>
              <w:pStyle w:val="Normalbold"/>
              <w:numPr>
                <w:ilvl w:val="0"/>
                <w:numId w:val="33"/>
              </w:numPr>
              <w:rPr>
                <w:b w:val="0"/>
                <w:bCs w:val="0"/>
              </w:rPr>
            </w:pPr>
            <w:r>
              <w:rPr>
                <w:b w:val="0"/>
                <w:bCs w:val="0"/>
              </w:rPr>
              <w:t xml:space="preserve">The frequency and duration of monitoring ADAMTS13 activity cannot be predicted and may be higher than estimated. MSAC may wish to consider splitting the proposed MBS item AAAA to create separate MBS items for diagnosis and monitoring, which would provide the ability to review utilisation and limit the frequency of ADAMTS13 activity testing for monitoring during remission (if appropriate). </w:t>
            </w:r>
          </w:p>
          <w:p w14:paraId="37C277CA" w14:textId="4CD5E0DE" w:rsidR="00055104" w:rsidRPr="00D843DE" w:rsidRDefault="00055104">
            <w:pPr>
              <w:pStyle w:val="Normalbold"/>
              <w:numPr>
                <w:ilvl w:val="0"/>
                <w:numId w:val="33"/>
              </w:numPr>
              <w:rPr>
                <w:b w:val="0"/>
                <w:bCs w:val="0"/>
              </w:rPr>
            </w:pPr>
            <w:r>
              <w:rPr>
                <w:b w:val="0"/>
                <w:bCs w:val="0"/>
              </w:rPr>
              <w:t xml:space="preserve">The applicant proposed a weighted fee for ADAMTS13 activity testing for diagnosis and monitoring be applied but this weighted fee approach may not be reasonable. MSAC may want to consider a lower fee for monitoring in line with non-urgent testing compared with an acute situation where rapid ADAMTS13 activity testing is required. The </w:t>
            </w:r>
            <w:r w:rsidR="46BEF889">
              <w:rPr>
                <w:b w:val="0"/>
                <w:bCs w:val="0"/>
              </w:rPr>
              <w:t>d</w:t>
            </w:r>
            <w:r>
              <w:rPr>
                <w:b w:val="0"/>
                <w:bCs w:val="0"/>
              </w:rPr>
              <w:t>epartment advised there is no Pathology Services Table precedent for fee differentials for urgent specimens.</w:t>
            </w:r>
          </w:p>
        </w:tc>
      </w:tr>
    </w:tbl>
    <w:p w14:paraId="00408CC6" w14:textId="77777777" w:rsidR="00055104" w:rsidRPr="0060677F" w:rsidRDefault="00055104" w:rsidP="00055104">
      <w:pPr>
        <w:pStyle w:val="BodyText"/>
        <w:keepNext/>
        <w:spacing w:before="240" w:after="0" w:line="240" w:lineRule="auto"/>
        <w:ind w:right="113"/>
        <w:outlineLvl w:val="2"/>
        <w:rPr>
          <w:rFonts w:cstheme="minorBidi"/>
          <w:b/>
          <w:bCs/>
        </w:rPr>
      </w:pPr>
      <w:r w:rsidRPr="0060677F">
        <w:rPr>
          <w:rFonts w:cstheme="minorBidi"/>
          <w:b/>
          <w:bCs/>
        </w:rPr>
        <w:lastRenderedPageBreak/>
        <w:t>ESC Discussion</w:t>
      </w:r>
    </w:p>
    <w:p w14:paraId="47654452" w14:textId="77777777" w:rsidR="00055104" w:rsidRPr="009372D4" w:rsidRDefault="00055104" w:rsidP="00055104">
      <w:pPr>
        <w:pStyle w:val="BodyText"/>
        <w:keepNext/>
      </w:pPr>
      <w:r w:rsidRPr="009372D4">
        <w:t xml:space="preserve">ESC noted that this application from the Royal College of Pathologists of Australasia (RCPA) </w:t>
      </w:r>
      <w:r>
        <w:t>requested</w:t>
      </w:r>
      <w:r w:rsidRPr="009372D4">
        <w:t xml:space="preserve"> Medicare Benefits Schedule (MBS) listing of ADAMTS13 testing (including ADAMTS13 activity testing, anti-ADAMTS13 autoantibodies testing and </w:t>
      </w:r>
      <w:r w:rsidRPr="009372D4">
        <w:rPr>
          <w:i/>
          <w:iCs/>
        </w:rPr>
        <w:t>ADAMTS13</w:t>
      </w:r>
      <w:r w:rsidRPr="009372D4">
        <w:t xml:space="preserve"> genetic testing) to diagnose thrombotic thrombocytopenic purpura (TTP).</w:t>
      </w:r>
    </w:p>
    <w:p w14:paraId="12FAE711" w14:textId="77777777" w:rsidR="00055104" w:rsidRPr="009372D4" w:rsidRDefault="00055104" w:rsidP="00055104">
      <w:pPr>
        <w:pStyle w:val="BodyText"/>
      </w:pPr>
      <w:r>
        <w:t>ESC noted that thrombotic microangiopathies (TMAs) are a group of disorders characterised by thrombosis and endothelial dysfunction. There are numerous causes of TMA, with TTP being a rare cause (incidence of first TTP episode is 1.47 to 2.67 per million people). TTP presentation can be non-specific and TTP is invariably fatal if not treated promptly. Clinical features and management have been elucidated over decades from observational and registry data. TTP manifests because of very low or absent ADAMTS13 activity (≤10%), due to a patient having either autoantibodies against ADAMTS13 (immune TTP, iTTP) or harbouring a genetic variant that reduces ADAMTS13 production (congenital TTP, cTTP).</w:t>
      </w:r>
    </w:p>
    <w:p w14:paraId="3E7F40E8" w14:textId="77777777" w:rsidR="00055104" w:rsidRPr="009372D4" w:rsidRDefault="00055104" w:rsidP="00055104">
      <w:pPr>
        <w:pStyle w:val="BodyText"/>
      </w:pPr>
      <w:r w:rsidRPr="009372D4">
        <w:t xml:space="preserve">ESC noted that ADAMTS13 testing is already performed </w:t>
      </w:r>
      <w:r>
        <w:t>in Australia</w:t>
      </w:r>
      <w:r>
        <w:rPr>
          <w:rStyle w:val="FootnoteReference"/>
        </w:rPr>
        <w:footnoteReference w:id="8"/>
      </w:r>
      <w:r>
        <w:t xml:space="preserve"> and </w:t>
      </w:r>
      <w:r w:rsidRPr="009372D4">
        <w:t>is consistent with international guidelines</w:t>
      </w:r>
      <w:r>
        <w:rPr>
          <w:rStyle w:val="FootnoteReference"/>
        </w:rPr>
        <w:footnoteReference w:id="9"/>
      </w:r>
      <w:r w:rsidRPr="00271448">
        <w:rPr>
          <w:vertAlign w:val="superscript"/>
        </w:rPr>
        <w:t>,</w:t>
      </w:r>
      <w:r>
        <w:rPr>
          <w:rStyle w:val="FootnoteReference"/>
        </w:rPr>
        <w:footnoteReference w:id="10"/>
      </w:r>
      <w:r w:rsidRPr="009372D4">
        <w:t>. ESC noted that this is the first time MSAC has considered ADAMTS13 testing in TTP</w:t>
      </w:r>
      <w:r>
        <w:t xml:space="preserve">, but noted that </w:t>
      </w:r>
      <w:r w:rsidRPr="009372D4">
        <w:t>the Pharmaceutical Benefits Advisory Committee (PBAC) has discussed ADAMTS13 testing when assessing</w:t>
      </w:r>
      <w:r>
        <w:t xml:space="preserve"> </w:t>
      </w:r>
      <w:r w:rsidRPr="009372D4">
        <w:t>eculizumab to treat atypical haemolytic uremic syndrome (aHUS) (recommended for listing in March 2014)</w:t>
      </w:r>
      <w:r>
        <w:t>,</w:t>
      </w:r>
      <w:r w:rsidRPr="000E6745">
        <w:t xml:space="preserve"> caplacizumab to treat TTP (not recommended for listing in July 2020)</w:t>
      </w:r>
      <w:r>
        <w:t xml:space="preserve"> and </w:t>
      </w:r>
      <w:r w:rsidRPr="009372D4">
        <w:t>ravulizumab to treat aHUS (recommended for listing in July 2023)</w:t>
      </w:r>
      <w:r>
        <w:t>.</w:t>
      </w:r>
      <w:r w:rsidRPr="009372D4">
        <w:t xml:space="preserve"> </w:t>
      </w:r>
      <w:r>
        <w:t xml:space="preserve">ESC further noted that none of these previous PBAC considerations were for codependent technologies. </w:t>
      </w:r>
    </w:p>
    <w:p w14:paraId="32E9D3EE" w14:textId="77777777" w:rsidR="00055104" w:rsidRPr="009372D4" w:rsidRDefault="00055104" w:rsidP="00055104">
      <w:pPr>
        <w:pStyle w:val="BodyText"/>
      </w:pPr>
      <w:r>
        <w:t>ESC noted that consultation input was received from one organisation and one health practitioner prior to this ESC meeting. ESC also noted that letters of support from 3 organisations were submitted with the application. Consultation input from the health practitioner emphasised that TTP is a serious condition that is usually managed by multidisciplinary teams in large metropolitan hospitals and predominantly in the public system. The input suggested that MBS listing for ADAMTS13 testing would disadvantage public pathology providers, and that, especially for the genetic test, it would be more cost-effective to have a single reference laboratory perform all the testing. However, ESC considered that there is a place for ADAMTS13 testing to be available via the MBS, noting it would not be pragmatic for patients to return to a hospital for genetic or monitoring testing, and that a single reference laboratory model would increase the testing turnaround time.</w:t>
      </w:r>
    </w:p>
    <w:p w14:paraId="4F742E85" w14:textId="77777777" w:rsidR="00055104" w:rsidRPr="009372D4" w:rsidRDefault="00055104" w:rsidP="00055104">
      <w:pPr>
        <w:pStyle w:val="BodyText"/>
      </w:pPr>
      <w:r w:rsidRPr="009372D4">
        <w:t>ESC noted the 3 PICO sets for this application:</w:t>
      </w:r>
    </w:p>
    <w:p w14:paraId="37299516" w14:textId="77777777" w:rsidR="00055104" w:rsidRPr="009372D4" w:rsidRDefault="00055104" w:rsidP="00055104">
      <w:pPr>
        <w:pStyle w:val="BodyText"/>
        <w:numPr>
          <w:ilvl w:val="0"/>
          <w:numId w:val="33"/>
        </w:numPr>
      </w:pPr>
      <w:r w:rsidRPr="009372D4">
        <w:t xml:space="preserve">PICO set 1 – </w:t>
      </w:r>
      <w:r>
        <w:t xml:space="preserve">diagnosis of TTP using </w:t>
      </w:r>
      <w:r w:rsidRPr="009372D4">
        <w:t xml:space="preserve">ADAMTS13 activity testing, anti-ADAMTS13 autoantibodies testing and </w:t>
      </w:r>
      <w:r w:rsidRPr="009372D4">
        <w:rPr>
          <w:i/>
          <w:iCs/>
        </w:rPr>
        <w:t>ADAMTS13</w:t>
      </w:r>
      <w:r w:rsidRPr="009372D4">
        <w:t xml:space="preserve"> genetic testing</w:t>
      </w:r>
    </w:p>
    <w:p w14:paraId="51492EA1" w14:textId="77777777" w:rsidR="00055104" w:rsidRPr="009372D4" w:rsidRDefault="00055104" w:rsidP="00055104">
      <w:pPr>
        <w:pStyle w:val="BodyText"/>
        <w:numPr>
          <w:ilvl w:val="0"/>
          <w:numId w:val="33"/>
        </w:numPr>
      </w:pPr>
      <w:r>
        <w:t xml:space="preserve">PICO set 2 – cascade (predictive) </w:t>
      </w:r>
      <w:r w:rsidRPr="0EE2F489">
        <w:rPr>
          <w:i/>
          <w:iCs/>
        </w:rPr>
        <w:t xml:space="preserve">ADAMTS13 </w:t>
      </w:r>
      <w:r>
        <w:t>genetic testing after a proband with cTTP is identified</w:t>
      </w:r>
    </w:p>
    <w:p w14:paraId="7F8EB4D2" w14:textId="77777777" w:rsidR="00055104" w:rsidRPr="009372D4" w:rsidRDefault="00055104" w:rsidP="00055104">
      <w:pPr>
        <w:pStyle w:val="BodyText"/>
        <w:numPr>
          <w:ilvl w:val="0"/>
          <w:numId w:val="33"/>
        </w:numPr>
      </w:pPr>
      <w:r w:rsidRPr="009372D4">
        <w:t xml:space="preserve">PICO set 3 – </w:t>
      </w:r>
      <w:r>
        <w:t xml:space="preserve">ADAMTS13 activity </w:t>
      </w:r>
      <w:r w:rsidRPr="009372D4">
        <w:t>monitoring of patients with iTTP.</w:t>
      </w:r>
    </w:p>
    <w:p w14:paraId="20BBD06E" w14:textId="77777777" w:rsidR="00055104" w:rsidRPr="009372D4" w:rsidRDefault="00055104" w:rsidP="00055104">
      <w:pPr>
        <w:pStyle w:val="BodyText"/>
      </w:pPr>
      <w:r w:rsidRPr="009372D4">
        <w:lastRenderedPageBreak/>
        <w:t xml:space="preserve">ESC noted that the MBS </w:t>
      </w:r>
      <w:r>
        <w:t xml:space="preserve">item </w:t>
      </w:r>
      <w:r w:rsidRPr="009372D4">
        <w:t>descriptor</w:t>
      </w:r>
      <w:r>
        <w:t>s</w:t>
      </w:r>
      <w:r w:rsidRPr="009372D4">
        <w:t xml:space="preserve"> w</w:t>
      </w:r>
      <w:r>
        <w:t>ere</w:t>
      </w:r>
      <w:r w:rsidRPr="009372D4">
        <w:t xml:space="preserve"> method agnostic for ADAMTS13 activity testing. Three methods are commonly used in Australian laboratories: enzyme-linked immunosorbent assay (ELISA), fluorescence resonance energy transfer assay (FRETS-VWF73) and chemiluminescence immunoassay (CLIA). A fully automated CLIA commercial kit using HemosIL AcuStar is the most common method, and ESC considered that this method was more convenient and had a faster </w:t>
      </w:r>
      <w:r>
        <w:t xml:space="preserve">turnaround time </w:t>
      </w:r>
      <w:r w:rsidRPr="009372D4">
        <w:t xml:space="preserve">than the other 2 methods. However, in February 2022 and August 2024, the Therapeutic Goods Administration (TGA) reported that CLIA has a relatively high rate of false positives compared with FRETS-VWF73 (the gold standard). ESC considered that, because the ADAMTS13 activity level is only one component of TTP diagnosis, the </w:t>
      </w:r>
      <w:r>
        <w:t>false positive</w:t>
      </w:r>
      <w:r w:rsidRPr="009372D4">
        <w:t xml:space="preserve"> risk is unlikely to be clinically significant. Therefore, ESC considered </w:t>
      </w:r>
      <w:r>
        <w:t>the</w:t>
      </w:r>
      <w:r w:rsidRPr="009372D4">
        <w:t xml:space="preserve"> method-agnostic </w:t>
      </w:r>
      <w:r>
        <w:t>MBS item descriptor was</w:t>
      </w:r>
      <w:r w:rsidRPr="009372D4">
        <w:t xml:space="preserve"> appropriate.</w:t>
      </w:r>
    </w:p>
    <w:p w14:paraId="6037D46A" w14:textId="77777777" w:rsidR="00055104" w:rsidRDefault="00055104" w:rsidP="00055104">
      <w:pPr>
        <w:pStyle w:val="BodyText"/>
      </w:pPr>
      <w:r>
        <w:t>ESC noted that the descriptor for the proposed MBS item AAAA (ADAMTS13 activity testing) included the non-specific term ‘investigation of suspected TMA’. This means the test could be used to confirm TTP (&lt;10% ADAMTS13 activity) but that the test could also be used to determine whether a patient meets eligibility requirements (&gt;10% ADAMTS13 activity) for accessing Pharmaceutical Benefits Scheme (PBS) listed medicines (eculizumb and ravulizumab) for treatment of aHUS. ESC considered that including the PLASMIC score in the MBS descriptor will increase pre-test probability for TTP. However, ESC also acknowledged that a result of &gt;10% ADAMTS13 activity is also informative as exclusion of TTP will guide treatment decisions (including cessation of plasma exchange (PEX)). A result of &gt;10% ADAMTS13 activity can also confirm eligibility to access medicines to treat aHUS, which is a valid and beneficial use for the test that has not been captured in the application.</w:t>
      </w:r>
    </w:p>
    <w:p w14:paraId="58DCD926" w14:textId="732EE5AA" w:rsidR="00055104" w:rsidRDefault="00055104" w:rsidP="00055104">
      <w:pPr>
        <w:pStyle w:val="BodyText"/>
      </w:pPr>
      <w:r>
        <w:t xml:space="preserve">ESC noted that the fee proposed by the applicant for MBS item AAAA was a weighted fee, that purportedly covered the cost implications for urgent testing for diagnosis and batched testing for monitoring. ESC considered that MSAC may wish to consider separating diagnostic testing (PICO set 1) from remission monitoring (PICO set 3) because a longer turnaround time for the monitoring item is likely to be acceptable to clinicians and may attract a lower MBS fee. The </w:t>
      </w:r>
      <w:r w:rsidR="0F1CA1FE">
        <w:t>d</w:t>
      </w:r>
      <w:r>
        <w:t xml:space="preserve">epartment advised there is no Pathology Services Table precedent for fee differentials for urgent specimens. ESC advised that separate items would also allow review of the predicted versus actual use for monitoring ADAMTS13 activity testing. MSAC may also wish to consider limiting the number of monitoring tests per year that could be claimed. ESC suggested that, following initial occurrence or recurrence, a frequency of 3 times in the first 3 months followed by up to 4 times per year thereafter might be suitable, whilst acknowledging the absence of evidence to support any specific schedule of testing, and also acknowledging that TPP recurrences are episodic and unpredictable. </w:t>
      </w:r>
    </w:p>
    <w:p w14:paraId="2B835D33" w14:textId="77777777" w:rsidR="00055104" w:rsidRPr="009372D4" w:rsidRDefault="00055104" w:rsidP="00055104">
      <w:pPr>
        <w:pStyle w:val="BodyText"/>
      </w:pPr>
      <w:r w:rsidRPr="009372D4">
        <w:t>For the proposed MBS item BBBB</w:t>
      </w:r>
      <w:r>
        <w:t xml:space="preserve"> (anti-ADAMTS13 autoantibody testing)</w:t>
      </w:r>
      <w:r w:rsidRPr="009372D4">
        <w:t>, ESC suggested including MBS item AAAA in the descriptor as the method of detecting reduced ADAMTS13 activity. In addition, ESC s</w:t>
      </w:r>
      <w:r>
        <w:t>upported</w:t>
      </w:r>
      <w:r w:rsidRPr="009372D4">
        <w:t xml:space="preserve"> adding ‘once per episode’ to the descriptor, as there is the potential for multiple tests to be ordered in the same episode to monitor for a reduction in autoantibodies with immunosuppression.</w:t>
      </w:r>
    </w:p>
    <w:p w14:paraId="699B318F" w14:textId="77777777" w:rsidR="00055104" w:rsidRPr="009372D4" w:rsidRDefault="00055104" w:rsidP="00055104">
      <w:pPr>
        <w:pStyle w:val="BodyText"/>
      </w:pPr>
      <w:r>
        <w:t>Regarding the proposed MBS item CCCC (</w:t>
      </w:r>
      <w:r w:rsidRPr="257AE78C">
        <w:rPr>
          <w:i/>
          <w:iCs/>
        </w:rPr>
        <w:t xml:space="preserve">ADAMTS13 </w:t>
      </w:r>
      <w:r>
        <w:t>genetic testing), ESC suggested adding ‘congenital’ to the descriptor. ESC considered that including ‘request by specialist/consultant physician’ would be consistent with other genetic testing, and that the descriptor should be method agnostic. ESC noted that the restriction “has not previously received a service to which item DDDD applies” could lead to a scenario where an individual may have previously undergone cascade testing for a specific variant and received a negative result, then later on may be precluded from receiving clinically warranted germline testing because of this restriction. ESC considered that this scenario is likely to be rare but that the restriction should be removed to avoid this unintended negative consequence.</w:t>
      </w:r>
    </w:p>
    <w:p w14:paraId="01C93875" w14:textId="77777777" w:rsidR="00055104" w:rsidRPr="009372D4" w:rsidRDefault="00055104" w:rsidP="00055104">
      <w:pPr>
        <w:pStyle w:val="BodyText"/>
      </w:pPr>
      <w:r w:rsidRPr="009372D4">
        <w:lastRenderedPageBreak/>
        <w:t>For the proposed MBS item DDDD</w:t>
      </w:r>
      <w:r>
        <w:t xml:space="preserve"> (cascade </w:t>
      </w:r>
      <w:r>
        <w:rPr>
          <w:i/>
          <w:iCs/>
        </w:rPr>
        <w:t xml:space="preserve">ADAMTS13 </w:t>
      </w:r>
      <w:r w:rsidRPr="00D54F1E">
        <w:t>genetic testing)</w:t>
      </w:r>
      <w:r w:rsidRPr="009372D4">
        <w:t>,</w:t>
      </w:r>
      <w:r w:rsidRPr="00B717DF">
        <w:t xml:space="preserve"> </w:t>
      </w:r>
      <w:r>
        <w:t xml:space="preserve">ESC considered that the item descriptor should be corrected to include relative(s) of a patient found to have a ‘pathogenic’ variant (i.e.  </w:t>
      </w:r>
      <w:r w:rsidRPr="00F31A38">
        <w:t xml:space="preserve">a first-degree biological relative of a patient found to have a </w:t>
      </w:r>
      <w:r>
        <w:rPr>
          <w:i/>
          <w:iCs/>
        </w:rPr>
        <w:t xml:space="preserve">pathogenic or </w:t>
      </w:r>
      <w:r w:rsidRPr="00F31A38">
        <w:t xml:space="preserve">likely pathogenic variant(s) in the </w:t>
      </w:r>
      <w:r w:rsidRPr="004842FD">
        <w:rPr>
          <w:i/>
          <w:iCs/>
        </w:rPr>
        <w:t>ADAMTS13</w:t>
      </w:r>
      <w:r w:rsidRPr="00F31A38">
        <w:t xml:space="preserve"> gene</w:t>
      </w:r>
      <w:r>
        <w:t xml:space="preserve">). </w:t>
      </w:r>
      <w:r w:rsidRPr="009372D4">
        <w:t>ESC</w:t>
      </w:r>
      <w:r>
        <w:t xml:space="preserve"> also</w:t>
      </w:r>
      <w:r w:rsidRPr="009372D4">
        <w:t xml:space="preserve"> considered that including the wording ‘on behalf of’ </w:t>
      </w:r>
      <w:r>
        <w:t xml:space="preserve">(a specialist or consultant physician) </w:t>
      </w:r>
      <w:r w:rsidRPr="009372D4">
        <w:t xml:space="preserve">in the descriptor could lead to increased referral from clinicians who do not usually provide genetic counselling or testing. MSAC may wish to consider removing </w:t>
      </w:r>
      <w:r>
        <w:t>‘on behalf of’</w:t>
      </w:r>
      <w:r w:rsidRPr="009372D4">
        <w:t>.</w:t>
      </w:r>
      <w:r>
        <w:t xml:space="preserve"> </w:t>
      </w:r>
    </w:p>
    <w:p w14:paraId="1F879D7F" w14:textId="0A14558A" w:rsidR="00055104" w:rsidRPr="009372D4" w:rsidRDefault="00055104" w:rsidP="00055104">
      <w:pPr>
        <w:pStyle w:val="BodyText"/>
      </w:pPr>
      <w:r w:rsidRPr="009372D4">
        <w:t>ESC noted that</w:t>
      </w:r>
      <w:r>
        <w:t>,</w:t>
      </w:r>
      <w:r w:rsidRPr="009372D4">
        <w:t xml:space="preserve"> because of the rarity of TTP</w:t>
      </w:r>
      <w:r>
        <w:t xml:space="preserve">, the evidence base consisted </w:t>
      </w:r>
      <w:r w:rsidRPr="009372D4">
        <w:t xml:space="preserve">mainly </w:t>
      </w:r>
      <w:r>
        <w:t xml:space="preserve">of </w:t>
      </w:r>
      <w:r w:rsidRPr="009372D4">
        <w:t xml:space="preserve">cohort studies (with historical comparators) and descriptive studies with uncertain or medium to high risk of bias (selection of known TTP cases). </w:t>
      </w:r>
      <w:r>
        <w:t xml:space="preserve">ESC acknowledged the critical limitations with the evidence base as outlined in </w:t>
      </w:r>
      <w:r>
        <w:fldChar w:fldCharType="begin"/>
      </w:r>
      <w:r>
        <w:instrText xml:space="preserve"> REF _Ref212992622 \h </w:instrText>
      </w:r>
      <w:r>
        <w:fldChar w:fldCharType="separate"/>
      </w:r>
      <w:r w:rsidR="00716875">
        <w:t>Table </w:t>
      </w:r>
      <w:r w:rsidR="00716875">
        <w:rPr>
          <w:noProof/>
        </w:rPr>
        <w:t>3</w:t>
      </w:r>
      <w:r>
        <w:fldChar w:fldCharType="end"/>
      </w:r>
      <w:r>
        <w:t xml:space="preserve">, </w:t>
      </w:r>
      <w:r>
        <w:fldChar w:fldCharType="begin"/>
      </w:r>
      <w:r>
        <w:instrText xml:space="preserve"> REF _Ref213054236 \h </w:instrText>
      </w:r>
      <w:r>
        <w:fldChar w:fldCharType="separate"/>
      </w:r>
      <w:r w:rsidR="00716875">
        <w:t>Table </w:t>
      </w:r>
      <w:r w:rsidR="00716875">
        <w:rPr>
          <w:noProof/>
        </w:rPr>
        <w:t>4</w:t>
      </w:r>
      <w:r>
        <w:fldChar w:fldCharType="end"/>
      </w:r>
      <w:r>
        <w:t>,</w:t>
      </w:r>
      <w:r>
        <w:fldChar w:fldCharType="begin"/>
      </w:r>
      <w:r>
        <w:instrText xml:space="preserve"> REF _Ref213055253 \h </w:instrText>
      </w:r>
      <w:r>
        <w:fldChar w:fldCharType="separate"/>
      </w:r>
      <w:r w:rsidR="00716875">
        <w:t xml:space="preserve">Table </w:t>
      </w:r>
      <w:r w:rsidR="00716875">
        <w:rPr>
          <w:noProof/>
        </w:rPr>
        <w:t>5</w:t>
      </w:r>
      <w:r>
        <w:fldChar w:fldCharType="end"/>
      </w:r>
      <w:r>
        <w:t xml:space="preserve"> and </w:t>
      </w:r>
      <w:r>
        <w:fldChar w:fldCharType="begin"/>
      </w:r>
      <w:r>
        <w:instrText xml:space="preserve"> REF _Ref213056719 \h </w:instrText>
      </w:r>
      <w:r>
        <w:fldChar w:fldCharType="separate"/>
      </w:r>
      <w:r w:rsidR="00716875">
        <w:t>Table </w:t>
      </w:r>
      <w:r w:rsidR="00716875">
        <w:rPr>
          <w:noProof/>
        </w:rPr>
        <w:t>6</w:t>
      </w:r>
      <w:r>
        <w:fldChar w:fldCharType="end"/>
      </w:r>
      <w:r>
        <w:t xml:space="preserve"> (in Section 7). </w:t>
      </w:r>
      <w:r w:rsidRPr="009372D4">
        <w:t xml:space="preserve">However, ESC </w:t>
      </w:r>
      <w:r>
        <w:t xml:space="preserve">also </w:t>
      </w:r>
      <w:r w:rsidRPr="009372D4">
        <w:t>acknowledged that higher-quality evidence is unlikely to become available</w:t>
      </w:r>
      <w:r>
        <w:t xml:space="preserve"> given the rarity of the population being considered</w:t>
      </w:r>
      <w:r w:rsidRPr="009372D4">
        <w:t>.</w:t>
      </w:r>
    </w:p>
    <w:p w14:paraId="30B1E56F" w14:textId="77777777" w:rsidR="00055104" w:rsidRPr="009372D4" w:rsidRDefault="00055104" w:rsidP="00055104">
      <w:pPr>
        <w:pStyle w:val="BodyText"/>
      </w:pPr>
      <w:r>
        <w:t>ESC agreed with the assessment report that there was no evidence of harm from the test. Blood tests have negligible safety issues considering venipuncture is performed for other blood tests. ESC considered that the risk of false positive results with ADAMTS13 activity testing is likely mitigated by other clinical and laboratory results, and that the benefits of testing outweigh the potential risks of false positives when balanced against complications of not testing (prolonged plasma exchange and immunosuppression, or late diagnosis of TTP with complications of TTP).</w:t>
      </w:r>
    </w:p>
    <w:p w14:paraId="33BBAB11" w14:textId="544C4580" w:rsidR="00055104" w:rsidRPr="009372D4" w:rsidRDefault="00055104" w:rsidP="00055104">
      <w:pPr>
        <w:pStyle w:val="BodyText"/>
      </w:pPr>
      <w:r>
        <w:t>Regarding comparative effectiveness of ADAMTS13 testing for diagnosis of TTP (PICO set 1) and cascade testing (PICO set 2), ESC noted the evidence on test accuracy for ADAMTS13 activity and anti-ADAMTS13 autoantibody testing demonstrated high sensitivity and specificity but was based on moderate and very low confidence evidence. ESC noted that the evidence indicated that ADAMTS13 testing for diagnosis of TTP led to a change in management (e.g. rapid ADAMTS13 activity testing reduced PEX utilisation) and improvement in health outcomes through accurate differentiation of iTT</w:t>
      </w:r>
      <w:r w:rsidR="007B1840">
        <w:t>P</w:t>
      </w:r>
      <w:r>
        <w:t>, cTTP and aHUS which is expected to lead to more appropriate use of therapies for these conditions. ESC acknowledged the lack of high-quality evidence, but nonetheless considered that the available evidence supported the claim that ADAMTS13 testing for diagnosis of TTP (PICO set 1) and cascade testing of biological siblings (PICO set 2) had superior clinical effectiveness compared with no testing. Tests 1 and 2 (activity and autoantibody testing) are already routinely performed in Australia.</w:t>
      </w:r>
    </w:p>
    <w:p w14:paraId="419E798D" w14:textId="77777777" w:rsidR="00055104" w:rsidRDefault="00055104" w:rsidP="00055104">
      <w:pPr>
        <w:pStyle w:val="BodyText"/>
      </w:pPr>
      <w:r>
        <w:t xml:space="preserve">Regarding the comparative effectiveness of monitoring ADAMTS13 activity in patients with iTTP (PICO set 3), ESC emphasised that the evidence consists of low-level evidence with an uncertain to high risk of bias. ESC noted the evidence indicated that monitoring ADAMTS13 activity during acute iTTP could strongly predict remission but the predictive value for exacerbations and relapses was low. ESC acknowledged that the low-quality evidence suggested monitoring ADAMTS13 activity during acute iTTP and early remission was superior to the comparator – monitoring using clinical history and laboratory testing of platelet counts. However, ESC questioned the clinical practicality of the frequency and value of ADAMTS13 activity monitoring during acute episodes. Although consensus guidelines recommended weekly monitoring of ADAMTS13 activity, ESC noted that the turnaround time for ADAMTS13 activity monitoring tests may exceed 7 days in some circumstances. In these cases, ESC considered that lower cost and more rapid testing of platelet count would outweigh ADAMTS13 activity monitoring. </w:t>
      </w:r>
    </w:p>
    <w:p w14:paraId="77A9EFE9" w14:textId="77777777" w:rsidR="00055104" w:rsidRDefault="00055104" w:rsidP="00055104">
      <w:pPr>
        <w:pStyle w:val="BodyText"/>
      </w:pPr>
      <w:r>
        <w:t xml:space="preserve">For monitoring after remission, ESC noted the consensus guidelines recommended monitoring ADAMTS13 activity monthly for the first 3 months after remission, then every 6 to 12 months. ESC noted the evidence for monitoring during remission indicated that ADAMTS13 activity is associated with relapse but the data are insufficient to draw conclusions on its predictive value. </w:t>
      </w:r>
    </w:p>
    <w:p w14:paraId="4D65A7BE" w14:textId="77777777" w:rsidR="00055104" w:rsidRPr="009372D4" w:rsidRDefault="00055104" w:rsidP="00055104">
      <w:pPr>
        <w:pStyle w:val="BodyText"/>
      </w:pPr>
      <w:r>
        <w:lastRenderedPageBreak/>
        <w:t>ESC noted that the applicant’s pre-ESC response acknowledged the evidence base for ADAMTS13 activity monitoring was limited but emphasised that guidelines consistently recommend ADAMTS13 activity monitoring to prevent clinical relapse, which is a high-morbidity, resource-intensive event. The applicant’s pre-ESC response also confirmed that ADAMTS13 antibody testing would be used rarely for monitoring. However, ESC highlighted that the guidelines for monitoring are expert opinion recommendations that are not underpinned by systematically reviewed evidence. Further, as the longest follow-up was for 18 months, the value of monitoring for &gt;2 years is unknown. ESC considered that the available evidence was poor quality and there was large uncertainty around the frequency and duration of monitoring. ESC noted that, while ADAMTS13 activity monitoring during acute iTTP and early remission may be superior to no monitoring, there was insufficient evidence for the clinical effectiveness of ADAMTS13 activity monitoring during late remission. However, ESC acknowledged the clinical need for ADAMTS13 activity monitoring to prevent early relapse and reassure patients. ESC accepted that ADAMTS13 activity monitoring is clinically important but that the frequency and duration need to be carefully considered by MSAC and annual limits may be appropriate.</w:t>
      </w:r>
    </w:p>
    <w:p w14:paraId="4FE105A8" w14:textId="77777777" w:rsidR="00055104" w:rsidRPr="009372D4" w:rsidRDefault="00055104" w:rsidP="00055104">
      <w:pPr>
        <w:pStyle w:val="BodyText"/>
      </w:pPr>
      <w:r>
        <w:t>ESC noted that the assessment report presented 3 economic evaluations. A cost-minimisation analysis was presented for ADAMTS13 activity and autoantibody testing for diagnosis (PICO Set 1), with time taken to confirm or exclude a diagnosis of TTP as the main outcome. ESC considered the model structure to be appropriate. In the model, patients who were suspected of having TTP were initiated on plasma exchange therapy (PEX) until testing confirmed they did or did not have TTP. The model assumed a 3-day turnaround time for ADAMTS13 activity testing, which resulted in an overall cost saving (-$3,071) as patients who test negative for TTP are able to safely cease PEX earlier than in the comparator arm (i.e., the use of ADAMTS13 testing reduces unnecessary PEX use). The assessment report valued the cost of PEX ($2,440.65/day) using the Australian Refined Diagnosis Related Groups (AR-DRG) as required by the MSAC Guidelines, but the pre-ESC response stated that the National Blood Authority costs are higher ($1,847 to $3,346/day). ESC noted that using a higher PEX cost would result in greater cost savings.</w:t>
      </w:r>
    </w:p>
    <w:p w14:paraId="06A2CB83" w14:textId="4DD357F4" w:rsidR="00055104" w:rsidRPr="009372D4" w:rsidRDefault="00055104" w:rsidP="00055104">
      <w:pPr>
        <w:pStyle w:val="BodyText"/>
      </w:pPr>
      <w:r>
        <w:t xml:space="preserve">ESC noted that for </w:t>
      </w:r>
      <w:r w:rsidRPr="0EE2F489">
        <w:rPr>
          <w:i/>
          <w:iCs/>
        </w:rPr>
        <w:t xml:space="preserve">ADAMTS13 </w:t>
      </w:r>
      <w:r>
        <w:t xml:space="preserve">genetic testing, the economic evaluation estimated the cost per diagnosis (diagnostic yield) and presented a stepped analysis for </w:t>
      </w:r>
      <w:r w:rsidR="09047E35" w:rsidRPr="0CFAE6B0">
        <w:rPr>
          <w:lang w:val="en-US"/>
        </w:rPr>
        <w:t>affected individual</w:t>
      </w:r>
      <w:r w:rsidRPr="0EE2F489">
        <w:rPr>
          <w:lang w:val="en-US"/>
        </w:rPr>
        <w:t xml:space="preserve"> testing (PICO set 1) and combined </w:t>
      </w:r>
      <w:r w:rsidR="7983533A" w:rsidRPr="27BAAF3E">
        <w:rPr>
          <w:lang w:val="en-US"/>
        </w:rPr>
        <w:t>affected individual</w:t>
      </w:r>
      <w:r w:rsidRPr="27BAAF3E">
        <w:rPr>
          <w:lang w:val="en-US"/>
        </w:rPr>
        <w:t xml:space="preserve"> </w:t>
      </w:r>
      <w:r w:rsidRPr="0EE2F489">
        <w:rPr>
          <w:lang w:val="en-US"/>
        </w:rPr>
        <w:t>and cascade testing</w:t>
      </w:r>
      <w:r>
        <w:t xml:space="preserve"> (PICO set 1 &amp; 2). For </w:t>
      </w:r>
      <w:r w:rsidR="604F72F1" w:rsidRPr="36AF2DD6">
        <w:rPr>
          <w:lang w:val="en-US"/>
        </w:rPr>
        <w:t>affected individual</w:t>
      </w:r>
      <w:r>
        <w:t xml:space="preserve"> testing (Step 1), the incremental cost effectiveness ratio (ICER) was $1,237 per proband identified, which ranged from $1,200 to $1,667 in the sensitivity analysis (including genetic counselling). For the combined</w:t>
      </w:r>
      <w:r w:rsidRPr="36AF2DD6">
        <w:rPr>
          <w:lang w:val="en-US"/>
        </w:rPr>
        <w:t xml:space="preserve"> </w:t>
      </w:r>
      <w:r w:rsidR="1702B739" w:rsidRPr="36AF2DD6">
        <w:rPr>
          <w:lang w:val="en-US"/>
        </w:rPr>
        <w:t>affected individual</w:t>
      </w:r>
      <w:r>
        <w:t xml:space="preserve"> and cascade testing (Step 2), the ICER was $1,298 per proband/biallelic sibling identified, ranging from $533 to $2,672 in the sensitivity analyses (including genetic counselling). ESC noted the ICERs for </w:t>
      </w:r>
      <w:r w:rsidRPr="0EE2F489">
        <w:rPr>
          <w:i/>
          <w:iCs/>
        </w:rPr>
        <w:t xml:space="preserve">ADAMTS13 </w:t>
      </w:r>
      <w:r>
        <w:t>genetic testing appeared to be in the lower range of other incremental cost per diagnostic yield ratios previously considered by MSAC for germline genetic testing.</w:t>
      </w:r>
    </w:p>
    <w:p w14:paraId="2E660D06" w14:textId="1231A37A" w:rsidR="00055104" w:rsidRDefault="00055104" w:rsidP="00055104">
      <w:pPr>
        <w:pStyle w:val="BodyText"/>
      </w:pPr>
      <w:r>
        <w:t>ESC noted that for ADAMTS13 activity monitoring (PICO set 3), a cost-effectiveness analysis was presented with clinical recurrence events avoided as the outcome. ESC emphasised that the uncertainty in the clinical effectiveness of ADAMTS13 activity monitoring, in particular the frequency and duration of monitoring, flows on to create high uncertainty in the economic evaluation. ESC noted that the incremental cost per additional clinical recurrence avoided over 2 years was $106,710. ESC noted that if the ADAMTS13 activity threshold was increased to 20% (from 10%), this reduced the incremental cost per additional clinical recurrence avoided over 2 years to $64,477. ESC also noted that while the value of avoiding a recurrence of TTP did not appear to be reported in the literature, the assessment report estimated an approximate 1.4</w:t>
      </w:r>
      <w:r w:rsidR="00C93F5A">
        <w:t> </w:t>
      </w:r>
      <w:r>
        <w:t xml:space="preserve">quality adjusted life year (QALY) could be gained from monitoring, using unsubstantiated assumptions on the case fatality rate, average age of patient experiencing iTTP and life expectancy for the average Australian. Using this QALY estimate, a base case ICER of </w:t>
      </w:r>
      <w:r>
        <w:lastRenderedPageBreak/>
        <w:t>~$76,220</w:t>
      </w:r>
      <w:r w:rsidR="00C93F5A">
        <w:t> </w:t>
      </w:r>
      <w:r>
        <w:t>per QALY gained was estimated, based on a monitoring frequency of weekly for the first month and then every 3 months for 1 year. ESC noted the sensitivity analyses revealed variations in number of days on PEX had a large impact on the incremental costs. In addition, the assessment group’s rejoinder estimated that using higher PEX costs (as raised in the applicant’s pre-ESC response), reduced the incremental costs to $98,200 and $87,352 per additional clinical recurrence avoided when the PEX cost was increased to $3,346/day and $4,500/day respectively. ESC considered that additional 2-way sensitivity analyses, varying both the cost of PEX and the frequency of testing would be informative for MSAC’s consideration.</w:t>
      </w:r>
    </w:p>
    <w:p w14:paraId="1C0E6E02" w14:textId="77777777" w:rsidR="00055104" w:rsidRPr="009372D4" w:rsidRDefault="00055104" w:rsidP="00055104">
      <w:pPr>
        <w:pStyle w:val="BodyText"/>
      </w:pPr>
      <w:r>
        <w:t xml:space="preserve">ESC noted that the financial analysis presented both an epidemiological (base case) and market-share approach. ESC noted that the 2 approaches resulted in different estimates, which indicated that the utilisation estimates were uncertain: </w:t>
      </w:r>
    </w:p>
    <w:p w14:paraId="709EF97F" w14:textId="77777777" w:rsidR="00055104" w:rsidRPr="009372D4" w:rsidRDefault="00055104" w:rsidP="00055104">
      <w:pPr>
        <w:pStyle w:val="BodyText"/>
        <w:numPr>
          <w:ilvl w:val="0"/>
          <w:numId w:val="33"/>
        </w:numPr>
      </w:pPr>
      <w:r>
        <w:t xml:space="preserve">Approach 1 - </w:t>
      </w:r>
      <w:r w:rsidRPr="009372D4">
        <w:t>Epidemiological data</w:t>
      </w:r>
      <w:r>
        <w:t>:</w:t>
      </w:r>
      <w:r w:rsidRPr="009372D4">
        <w:t xml:space="preserve"> 2,204 activity tests</w:t>
      </w:r>
      <w:r>
        <w:t xml:space="preserve"> using epidemiology estimates</w:t>
      </w:r>
      <w:r w:rsidRPr="009372D4">
        <w:t xml:space="preserve"> from Canada</w:t>
      </w:r>
      <w:r>
        <w:t xml:space="preserve"> applied to the Australian population.</w:t>
      </w:r>
    </w:p>
    <w:p w14:paraId="1DD674E0" w14:textId="77777777" w:rsidR="00055104" w:rsidRPr="009372D4" w:rsidRDefault="00055104" w:rsidP="00055104">
      <w:pPr>
        <w:pStyle w:val="BodyText"/>
        <w:numPr>
          <w:ilvl w:val="0"/>
          <w:numId w:val="33"/>
        </w:numPr>
      </w:pPr>
      <w:r>
        <w:t xml:space="preserve">Approach 2: Market-share data: 2,699 activity tests (22.5% higher) based on pathology data from 3 Australian states extrapolated to the total Australian population. </w:t>
      </w:r>
    </w:p>
    <w:p w14:paraId="474E730A" w14:textId="77777777" w:rsidR="00055104" w:rsidRPr="009372D4" w:rsidRDefault="00055104" w:rsidP="00055104">
      <w:pPr>
        <w:pStyle w:val="BodyText"/>
      </w:pPr>
      <w:r w:rsidRPr="009372D4">
        <w:t xml:space="preserve">ESC </w:t>
      </w:r>
      <w:r>
        <w:t xml:space="preserve">acknowledged the limitations with the Australian pathology data (Approach 2) but </w:t>
      </w:r>
      <w:r w:rsidRPr="009372D4">
        <w:t xml:space="preserve">considered that </w:t>
      </w:r>
      <w:r>
        <w:t xml:space="preserve">estimates using </w:t>
      </w:r>
      <w:r w:rsidRPr="009372D4">
        <w:t xml:space="preserve">the market-share data may be more </w:t>
      </w:r>
      <w:r>
        <w:t>reliable</w:t>
      </w:r>
      <w:r w:rsidRPr="009372D4">
        <w:t xml:space="preserve"> </w:t>
      </w:r>
      <w:r>
        <w:t>as</w:t>
      </w:r>
      <w:r w:rsidRPr="009372D4">
        <w:t xml:space="preserve"> the base case</w:t>
      </w:r>
      <w:r>
        <w:t xml:space="preserve"> for MSAC’s consideration</w:t>
      </w:r>
      <w:r w:rsidRPr="009372D4">
        <w:t>.</w:t>
      </w:r>
      <w:r>
        <w:t xml:space="preserve"> ESC also considered that that applicant should </w:t>
      </w:r>
      <w:r w:rsidRPr="008227A0">
        <w:t xml:space="preserve">confirm or provide further data on the likely prevalent population for uptake of </w:t>
      </w:r>
      <w:r w:rsidRPr="00665209">
        <w:rPr>
          <w:i/>
          <w:iCs/>
        </w:rPr>
        <w:t>ADAMTS13</w:t>
      </w:r>
      <w:r w:rsidRPr="008227A0">
        <w:t xml:space="preserve"> genetic testing.</w:t>
      </w:r>
    </w:p>
    <w:p w14:paraId="27A03348" w14:textId="77777777" w:rsidR="00055104" w:rsidRPr="009372D4" w:rsidRDefault="00055104" w:rsidP="00055104">
      <w:pPr>
        <w:pStyle w:val="BodyText"/>
      </w:pPr>
      <w:r>
        <w:t>For the monitoring population, financial impact was based on 8 activity tests in the first year after diagnosis, then 2.67 activity tests for longer-term monitoring in stable TTP remission. However, ESC noted that no sources were available for these test frequency assumptions and suggested that these require further clarification and investigation using sensitivity analyses.</w:t>
      </w:r>
    </w:p>
    <w:p w14:paraId="47DC132B" w14:textId="77777777" w:rsidR="00055104" w:rsidRPr="0060677F" w:rsidRDefault="00055104" w:rsidP="00055104">
      <w:pPr>
        <w:pStyle w:val="BodyText"/>
      </w:pPr>
      <w:r>
        <w:t>ESC noted that listing ADAMTS13 testing on the MBS would cost $1,326,432 in year 1, increasing to $1,414,909 in year 6. However, there would be cost savings to other health budgets, including to the PBS, so the overall cost to health budgets would be $1,024,733 in year 1, increasing to $1,095,111 in year 6. However, ESC noted calculations from the department suggested that the MBS costs may be higher – possibly $1,724,812 in year 1. ESC reiterated that the financial estimates are uncertain. ESC also noted that the proposed listing may result in cost-shifting from state and territory health budgets to the MBS.</w:t>
      </w:r>
    </w:p>
    <w:p w14:paraId="7FB21F4C" w14:textId="77777777" w:rsidR="00DD443C" w:rsidRPr="005B6EFD" w:rsidRDefault="00DD443C" w:rsidP="00DD443C">
      <w:pPr>
        <w:pStyle w:val="ExecSumHeading2"/>
        <w:keepLines/>
        <w:numPr>
          <w:ilvl w:val="0"/>
          <w:numId w:val="36"/>
        </w:numPr>
        <w:ind w:hanging="720"/>
      </w:pPr>
      <w:bookmarkStart w:id="65" w:name="_Hlk213745948"/>
      <w:r w:rsidRPr="005B6EFD">
        <w:t>Applicant comments on MSAC’s Public Summary Document</w:t>
      </w:r>
    </w:p>
    <w:p w14:paraId="4D53B90D" w14:textId="3171CF84" w:rsidR="00AF033B" w:rsidRPr="00870FB6" w:rsidRDefault="00AF033B" w:rsidP="00AF033B">
      <w:pPr>
        <w:pStyle w:val="BodyText"/>
      </w:pPr>
      <w:r>
        <w:t>The RCPA thanks MSAC for its detailed consideration of this complex application and welcomes the Committee’s support for ADAMTS13 activity, autoantibody and genetic testing for the diagnosis of TTP and, where appropriate, cascade testing in first-degree biological relatives. We recognise MSAC’s concerns regarding uncertainty in the comparative effectiveness, frequency, duration and utilisation of ADAMTS13 activity monitoring, particularly for patients in long-term remission.</w:t>
      </w:r>
      <w:r w:rsidRPr="004A3E59">
        <w:t xml:space="preserve"> </w:t>
      </w:r>
      <w:r>
        <w:t>The RCPA remains committed to finding solutions to address these uncertainties in the context of a rare disease where prospective comparative evidence is unlikely to become available in the near future. ADAMTS13 activity monitoring plays an important role in identifying patients at increased risk of recurrent TTP, informing pre-emptive treatment decisions, and helping to reduce the morbidity, mortality and resource use associated with this condition.</w:t>
      </w:r>
    </w:p>
    <w:p w14:paraId="74DF1DAC" w14:textId="77777777" w:rsidR="00DD443C" w:rsidRPr="005B6EFD" w:rsidRDefault="00DD443C" w:rsidP="00DD443C">
      <w:pPr>
        <w:pStyle w:val="ExecSumHeading2"/>
        <w:keepLines/>
        <w:numPr>
          <w:ilvl w:val="0"/>
          <w:numId w:val="36"/>
        </w:numPr>
        <w:ind w:hanging="720"/>
      </w:pPr>
      <w:r w:rsidRPr="005B6EFD">
        <w:lastRenderedPageBreak/>
        <w:t>Further information on MSAC</w:t>
      </w:r>
    </w:p>
    <w:p w14:paraId="2F696426" w14:textId="183A7468" w:rsidR="00055104" w:rsidRPr="00DD443C" w:rsidRDefault="00DD443C" w:rsidP="00DD443C">
      <w:pPr>
        <w:keepLines/>
        <w:spacing w:before="0" w:line="269" w:lineRule="auto"/>
        <w:rPr>
          <w:rFonts w:eastAsia="Calibri" w:cs="Calibri"/>
        </w:rPr>
      </w:pPr>
      <w:r w:rsidRPr="005B6EFD">
        <w:rPr>
          <w:rFonts w:eastAsia="Calibri" w:cs="Calibri"/>
          <w:bCs/>
          <w:iCs/>
          <w:lang w:eastAsia="en-US"/>
        </w:rPr>
        <w:t xml:space="preserve">MSAC Terms of Reference and other information are available on the MSAC Website: </w:t>
      </w:r>
      <w:hyperlink r:id="rId28" w:tooltip="Link to the MSAC website" w:history="1">
        <w:r w:rsidRPr="005B6EFD">
          <w:rPr>
            <w:rFonts w:eastAsia="Calibri" w:cs="Calibri"/>
            <w:iCs/>
            <w:color w:val="007BB8"/>
            <w:u w:val="single"/>
            <w:lang w:eastAsia="en-US"/>
          </w:rPr>
          <w:t>visit the MSAC website</w:t>
        </w:r>
      </w:hyperlink>
      <w:bookmarkEnd w:id="65"/>
    </w:p>
    <w:sectPr w:rsidR="00055104" w:rsidRPr="00DD443C" w:rsidSect="0069202C">
      <w:pgSz w:w="11906" w:h="16838"/>
      <w:pgMar w:top="1440" w:right="1440" w:bottom="1440"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DFB3" w14:textId="77777777" w:rsidR="002167FB" w:rsidRDefault="002167FB" w:rsidP="0011251C">
      <w:pPr>
        <w:spacing w:after="0" w:line="240" w:lineRule="auto"/>
      </w:pPr>
      <w:r>
        <w:separator/>
      </w:r>
    </w:p>
  </w:endnote>
  <w:endnote w:type="continuationSeparator" w:id="0">
    <w:p w14:paraId="254AE028" w14:textId="77777777" w:rsidR="002167FB" w:rsidRDefault="002167FB" w:rsidP="0011251C">
      <w:pPr>
        <w:spacing w:after="0" w:line="240" w:lineRule="auto"/>
      </w:pPr>
      <w:r>
        <w:continuationSeparator/>
      </w:r>
    </w:p>
  </w:endnote>
  <w:endnote w:type="continuationNotice" w:id="1">
    <w:p w14:paraId="698704B4" w14:textId="77777777" w:rsidR="002167FB" w:rsidRDefault="00216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93B4" w14:textId="6B2D0C6C" w:rsidR="00CF66FB" w:rsidRDefault="00716875" w:rsidP="005F54FF">
    <w:pPr>
      <w:pStyle w:val="Footer"/>
      <w:jc w:val="right"/>
    </w:pPr>
    <w:r>
      <w:rPr>
        <w:noProof/>
      </w:rPr>
      <mc:AlternateContent>
        <mc:Choice Requires="wps">
          <w:drawing>
            <wp:anchor distT="0" distB="0" distL="0" distR="0" simplePos="0" relativeHeight="251658244" behindDoc="0" locked="0" layoutInCell="1" allowOverlap="1" wp14:anchorId="3A4274CF" wp14:editId="70489896">
              <wp:simplePos x="635" y="635"/>
              <wp:positionH relativeFrom="page">
                <wp:align>center</wp:align>
              </wp:positionH>
              <wp:positionV relativeFrom="page">
                <wp:align>bottom</wp:align>
              </wp:positionV>
              <wp:extent cx="622300" cy="467360"/>
              <wp:effectExtent l="0" t="0" r="6350" b="0"/>
              <wp:wrapNone/>
              <wp:docPr id="81718499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5687ACB3" w14:textId="2DF94172" w:rsidR="00716875" w:rsidRPr="00716875" w:rsidRDefault="00716875" w:rsidP="00716875">
                          <w:pPr>
                            <w:spacing w:after="0"/>
                            <w:rPr>
                              <w:rFonts w:ascii="Aptos" w:eastAsia="Aptos" w:hAnsi="Aptos" w:cs="Aptos"/>
                              <w:noProof/>
                              <w:color w:val="FF0000"/>
                              <w:sz w:val="24"/>
                              <w:szCs w:val="24"/>
                            </w:rPr>
                          </w:pPr>
                          <w:r w:rsidRPr="0071687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4274CF"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6.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8DdtUDgIAABwE&#10;AAAOAAAAAAAAAAAAAAAAAC4CAABkcnMvZTJvRG9jLnhtbFBLAQItABQABgAIAAAAIQCQpICC2gAA&#10;AAMBAAAPAAAAAAAAAAAAAAAAAGgEAABkcnMvZG93bnJldi54bWxQSwUGAAAAAAQABADzAAAAbwUA&#10;AAAA&#10;" filled="f" stroked="f">
              <v:textbox style="mso-fit-shape-to-text:t" inset="0,0,0,15pt">
                <w:txbxContent>
                  <w:p w14:paraId="5687ACB3" w14:textId="2DF94172" w:rsidR="00716875" w:rsidRPr="00716875" w:rsidRDefault="00716875" w:rsidP="00716875">
                    <w:pPr>
                      <w:spacing w:after="0"/>
                      <w:rPr>
                        <w:rFonts w:ascii="Aptos" w:eastAsia="Aptos" w:hAnsi="Aptos" w:cs="Aptos"/>
                        <w:noProof/>
                        <w:color w:val="FF0000"/>
                        <w:sz w:val="24"/>
                        <w:szCs w:val="24"/>
                      </w:rPr>
                    </w:pPr>
                    <w:r w:rsidRPr="00716875">
                      <w:rPr>
                        <w:rFonts w:ascii="Aptos" w:eastAsia="Aptos" w:hAnsi="Aptos" w:cs="Aptos"/>
                        <w:noProof/>
                        <w:color w:val="FF0000"/>
                        <w:sz w:val="24"/>
                        <w:szCs w:val="24"/>
                      </w:rPr>
                      <w:t>OFFICIAL</w:t>
                    </w:r>
                  </w:p>
                </w:txbxContent>
              </v:textbox>
              <w10:wrap anchorx="page" anchory="page"/>
            </v:shape>
          </w:pict>
        </mc:Fallback>
      </mc:AlternateContent>
    </w:r>
    <w:sdt>
      <w:sdtPr>
        <w:id w:val="-92711580"/>
        <w:docPartObj>
          <w:docPartGallery w:val="Page Numbers (Bottom of Page)"/>
          <w:docPartUnique/>
        </w:docPartObj>
      </w:sdtPr>
      <w:sdtEndPr>
        <w:rPr>
          <w:noProof/>
        </w:rPr>
      </w:sdtEndPr>
      <w:sdtContent>
        <w:r w:rsidR="00080071">
          <w:fldChar w:fldCharType="begin"/>
        </w:r>
        <w:r w:rsidR="00080071">
          <w:instrText xml:space="preserve"> PAGE   \* MERGEFORMAT </w:instrText>
        </w:r>
        <w:r w:rsidR="00080071">
          <w:fldChar w:fldCharType="separate"/>
        </w:r>
        <w:r w:rsidR="00080071">
          <w:rPr>
            <w:noProof/>
          </w:rPr>
          <w:t>2</w:t>
        </w:r>
        <w:r w:rsidR="0008007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6B45" w14:textId="606D35BA" w:rsidR="00112E76" w:rsidRDefault="00716875" w:rsidP="00DD443C">
    <w:pPr>
      <w:pStyle w:val="Footer"/>
      <w:jc w:val="right"/>
    </w:pPr>
    <w:r>
      <w:rPr>
        <w:noProof/>
      </w:rPr>
      <mc:AlternateContent>
        <mc:Choice Requires="wps">
          <w:drawing>
            <wp:anchor distT="0" distB="0" distL="0" distR="0" simplePos="0" relativeHeight="251658245" behindDoc="0" locked="0" layoutInCell="1" allowOverlap="1" wp14:anchorId="58B31502" wp14:editId="6E407EDD">
              <wp:simplePos x="635" y="635"/>
              <wp:positionH relativeFrom="page">
                <wp:align>center</wp:align>
              </wp:positionH>
              <wp:positionV relativeFrom="page">
                <wp:align>bottom</wp:align>
              </wp:positionV>
              <wp:extent cx="622300" cy="467360"/>
              <wp:effectExtent l="0" t="0" r="6350" b="0"/>
              <wp:wrapNone/>
              <wp:docPr id="33373089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6A368580" w14:textId="48AC5FA2" w:rsidR="00716875" w:rsidRPr="00716875" w:rsidRDefault="00716875" w:rsidP="00716875">
                          <w:pPr>
                            <w:spacing w:after="0"/>
                            <w:rPr>
                              <w:rFonts w:ascii="Aptos" w:eastAsia="Aptos" w:hAnsi="Aptos" w:cs="Aptos"/>
                              <w:noProof/>
                              <w:color w:val="FF0000"/>
                              <w:sz w:val="24"/>
                              <w:szCs w:val="24"/>
                            </w:rPr>
                          </w:pPr>
                          <w:r w:rsidRPr="0071687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B31502"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6.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BRsmlpDgIAABwE&#10;AAAOAAAAAAAAAAAAAAAAAC4CAABkcnMvZTJvRG9jLnhtbFBLAQItABQABgAIAAAAIQCQpICC2gAA&#10;AAMBAAAPAAAAAAAAAAAAAAAAAGgEAABkcnMvZG93bnJldi54bWxQSwUGAAAAAAQABADzAAAAbwUA&#10;AAAA&#10;" filled="f" stroked="f">
              <v:textbox style="mso-fit-shape-to-text:t" inset="0,0,0,15pt">
                <w:txbxContent>
                  <w:p w14:paraId="6A368580" w14:textId="48AC5FA2" w:rsidR="00716875" w:rsidRPr="00716875" w:rsidRDefault="00716875" w:rsidP="00716875">
                    <w:pPr>
                      <w:spacing w:after="0"/>
                      <w:rPr>
                        <w:rFonts w:ascii="Aptos" w:eastAsia="Aptos" w:hAnsi="Aptos" w:cs="Aptos"/>
                        <w:noProof/>
                        <w:color w:val="FF0000"/>
                        <w:sz w:val="24"/>
                        <w:szCs w:val="24"/>
                      </w:rPr>
                    </w:pPr>
                    <w:r w:rsidRPr="00716875">
                      <w:rPr>
                        <w:rFonts w:ascii="Aptos" w:eastAsia="Aptos" w:hAnsi="Aptos" w:cs="Aptos"/>
                        <w:noProof/>
                        <w:color w:val="FF0000"/>
                        <w:sz w:val="24"/>
                        <w:szCs w:val="24"/>
                      </w:rPr>
                      <w:t>OFFICIAL</w:t>
                    </w:r>
                  </w:p>
                </w:txbxContent>
              </v:textbox>
              <w10:wrap anchorx="page" anchory="page"/>
            </v:shape>
          </w:pict>
        </mc:Fallback>
      </mc:AlternateContent>
    </w:r>
    <w:sdt>
      <w:sdtPr>
        <w:id w:val="-942149316"/>
        <w:docPartObj>
          <w:docPartGallery w:val="Page Numbers (Bottom of Page)"/>
          <w:docPartUnique/>
        </w:docPartObj>
      </w:sdtPr>
      <w:sdtEndPr>
        <w:rPr>
          <w:noProof/>
        </w:rPr>
      </w:sdtEndPr>
      <w:sdtContent>
        <w:r w:rsidR="00AB42A8">
          <w:fldChar w:fldCharType="begin"/>
        </w:r>
        <w:r w:rsidR="00AB42A8">
          <w:instrText xml:space="preserve"> PAGE   \* MERGEFORMAT </w:instrText>
        </w:r>
        <w:r w:rsidR="00AB42A8">
          <w:fldChar w:fldCharType="separate"/>
        </w:r>
        <w:r w:rsidR="00AB42A8">
          <w:rPr>
            <w:noProof/>
          </w:rPr>
          <w:t>2</w:t>
        </w:r>
        <w:r w:rsidR="00AB42A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2D5B" w14:textId="7B9FC01F" w:rsidR="00D066B3" w:rsidRPr="00A927BC" w:rsidRDefault="00716875" w:rsidP="00A927BC">
    <w:pPr>
      <w:pStyle w:val="Footer"/>
    </w:pPr>
    <w:r>
      <w:rPr>
        <w:noProof/>
      </w:rPr>
      <mc:AlternateContent>
        <mc:Choice Requires="wps">
          <w:drawing>
            <wp:anchor distT="0" distB="0" distL="0" distR="0" simplePos="0" relativeHeight="251658243" behindDoc="0" locked="0" layoutInCell="1" allowOverlap="1" wp14:anchorId="3A9A5774" wp14:editId="3A920AC0">
              <wp:simplePos x="635" y="635"/>
              <wp:positionH relativeFrom="page">
                <wp:align>center</wp:align>
              </wp:positionH>
              <wp:positionV relativeFrom="page">
                <wp:align>bottom</wp:align>
              </wp:positionV>
              <wp:extent cx="622300" cy="467360"/>
              <wp:effectExtent l="0" t="0" r="6350" b="0"/>
              <wp:wrapNone/>
              <wp:docPr id="15399535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4F50B8C1" w14:textId="66CC9901" w:rsidR="00716875" w:rsidRPr="00716875" w:rsidRDefault="00716875" w:rsidP="00716875">
                          <w:pPr>
                            <w:spacing w:after="0"/>
                            <w:rPr>
                              <w:rFonts w:ascii="Aptos" w:eastAsia="Aptos" w:hAnsi="Aptos" w:cs="Aptos"/>
                              <w:noProof/>
                              <w:color w:val="FF0000"/>
                              <w:sz w:val="24"/>
                              <w:szCs w:val="24"/>
                            </w:rPr>
                          </w:pPr>
                          <w:r w:rsidRPr="0071687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9A5774" id="_x0000_t202" coordsize="21600,21600" o:spt="202" path="m,l,21600r21600,l21600,xe">
              <v:stroke joinstyle="miter"/>
              <v:path gradientshapeok="t" o:connecttype="rect"/>
            </v:shapetype>
            <v:shape id="Text Box 4" o:spid="_x0000_s1031" type="#_x0000_t202" alt="OFFICIAL" style="position:absolute;margin-left:0;margin-top:0;width:49pt;height:36.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McbkDgIAABwE&#10;AAAOAAAAAAAAAAAAAAAAAC4CAABkcnMvZTJvRG9jLnhtbFBLAQItABQABgAIAAAAIQCQpICC2gAA&#10;AAMBAAAPAAAAAAAAAAAAAAAAAGgEAABkcnMvZG93bnJldi54bWxQSwUGAAAAAAQABADzAAAAbwUA&#10;AAAA&#10;" filled="f" stroked="f">
              <v:textbox style="mso-fit-shape-to-text:t" inset="0,0,0,15pt">
                <w:txbxContent>
                  <w:p w14:paraId="4F50B8C1" w14:textId="66CC9901" w:rsidR="00716875" w:rsidRPr="00716875" w:rsidRDefault="00716875" w:rsidP="00716875">
                    <w:pPr>
                      <w:spacing w:after="0"/>
                      <w:rPr>
                        <w:rFonts w:ascii="Aptos" w:eastAsia="Aptos" w:hAnsi="Aptos" w:cs="Aptos"/>
                        <w:noProof/>
                        <w:color w:val="FF0000"/>
                        <w:sz w:val="24"/>
                        <w:szCs w:val="24"/>
                      </w:rPr>
                    </w:pPr>
                    <w:r w:rsidRPr="00716875">
                      <w:rPr>
                        <w:rFonts w:ascii="Aptos" w:eastAsia="Aptos" w:hAnsi="Aptos" w:cs="Aptos"/>
                        <w:noProof/>
                        <w:color w:val="FF0000"/>
                        <w:sz w:val="24"/>
                        <w:szCs w:val="24"/>
                      </w:rPr>
                      <w:t>OFFICIAL</w:t>
                    </w:r>
                  </w:p>
                </w:txbxContent>
              </v:textbox>
              <w10:wrap anchorx="page" anchory="page"/>
            </v:shape>
          </w:pict>
        </mc:Fallback>
      </mc:AlternateContent>
    </w:r>
    <w:r w:rsidR="00A927BC">
      <w:t xml:space="preserve">MSAC assessment report </w:t>
    </w:r>
    <w:r w:rsidR="006C483E">
      <w:t>1796</w:t>
    </w:r>
    <w:r w:rsidR="00A927BC">
      <w:t xml:space="preserve"> – </w:t>
    </w:r>
    <w:r w:rsidR="006C483E" w:rsidRPr="006C483E">
      <w:t>ADAMTS13 testing for the diagnosis of TTP</w:t>
    </w:r>
    <w:r w:rsidR="00A927BC">
      <w:tab/>
    </w:r>
    <w:sdt>
      <w:sdtPr>
        <w:id w:val="1143627019"/>
        <w:docPartObj>
          <w:docPartGallery w:val="Page Numbers (Bottom of Page)"/>
          <w:docPartUnique/>
        </w:docPartObj>
      </w:sdtPr>
      <w:sdtEndPr>
        <w:rPr>
          <w:noProof/>
        </w:rPr>
      </w:sdtEndPr>
      <w:sdtContent>
        <w:r w:rsidR="00D066B3" w:rsidRPr="00C37289">
          <w:fldChar w:fldCharType="begin"/>
        </w:r>
        <w:r w:rsidR="00D066B3" w:rsidRPr="00C37289">
          <w:instrText xml:space="preserve"> PAGE   \* MERGEFORMAT </w:instrText>
        </w:r>
        <w:r w:rsidR="00D066B3" w:rsidRPr="00C37289">
          <w:fldChar w:fldCharType="separate"/>
        </w:r>
        <w:r w:rsidR="00D066B3" w:rsidRPr="00C37289">
          <w:t>i</w:t>
        </w:r>
        <w:r w:rsidR="00D066B3" w:rsidRPr="00C3728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21EF1" w14:textId="77777777" w:rsidR="002167FB" w:rsidRDefault="002167FB" w:rsidP="0011251C">
      <w:pPr>
        <w:spacing w:after="0" w:line="240" w:lineRule="auto"/>
      </w:pPr>
      <w:r>
        <w:separator/>
      </w:r>
    </w:p>
  </w:footnote>
  <w:footnote w:type="continuationSeparator" w:id="0">
    <w:p w14:paraId="18EBB49A" w14:textId="77777777" w:rsidR="002167FB" w:rsidRDefault="002167FB" w:rsidP="0011251C">
      <w:pPr>
        <w:spacing w:after="0" w:line="240" w:lineRule="auto"/>
      </w:pPr>
      <w:r>
        <w:continuationSeparator/>
      </w:r>
    </w:p>
  </w:footnote>
  <w:footnote w:type="continuationNotice" w:id="1">
    <w:p w14:paraId="29FC047E" w14:textId="77777777" w:rsidR="002167FB" w:rsidRDefault="002167FB">
      <w:pPr>
        <w:spacing w:after="0" w:line="240" w:lineRule="auto"/>
      </w:pPr>
    </w:p>
  </w:footnote>
  <w:footnote w:id="2">
    <w:p w14:paraId="0653D6E3" w14:textId="7DB9D7B4" w:rsidR="00664EF1" w:rsidRDefault="00664EF1" w:rsidP="00C25BD7">
      <w:pPr>
        <w:pStyle w:val="FootnoteText"/>
      </w:pPr>
      <w:r>
        <w:rPr>
          <w:rStyle w:val="FootnoteReference"/>
        </w:rPr>
        <w:footnoteRef/>
      </w:r>
      <w:r>
        <w:t xml:space="preserve"> </w:t>
      </w:r>
      <w:r w:rsidR="00C25BD7">
        <w:t>Robichaux T et al. (</w:t>
      </w:r>
      <w:r w:rsidR="00FD042F">
        <w:t>2026)</w:t>
      </w:r>
      <w:r w:rsidR="00C25BD7">
        <w:t xml:space="preserve"> Recombinant ADAMTS13: An Enzyme Replacement Therapy for the Management of Congenital Thrombotic Thrombocytopenic Purpura. J Adv Pract Oncol. 2026 Jan 9:1-7. doi: 10.6004/jadpro.2026.17.7.5. </w:t>
      </w:r>
    </w:p>
  </w:footnote>
  <w:footnote w:id="3">
    <w:p w14:paraId="3773F4EA" w14:textId="77777777" w:rsidR="00A75222" w:rsidRDefault="00A75222" w:rsidP="00A75222">
      <w:pPr>
        <w:pStyle w:val="FootnoteText"/>
      </w:pPr>
      <w:r>
        <w:rPr>
          <w:rStyle w:val="FootnoteReference"/>
        </w:rPr>
        <w:footnoteRef/>
      </w:r>
      <w:r>
        <w:t xml:space="preserve"> </w:t>
      </w:r>
      <w:r w:rsidRPr="00E711A0">
        <w:t>The ACL AcuStar automated system (Werfen) uses a HemosIL kit to assay ADAMTS13 activity.</w:t>
      </w:r>
    </w:p>
  </w:footnote>
  <w:footnote w:id="4">
    <w:p w14:paraId="06CEDDCC" w14:textId="77777777" w:rsidR="0071183B" w:rsidRDefault="0071183B" w:rsidP="0071183B">
      <w:pPr>
        <w:pStyle w:val="FootnoteText"/>
        <w:contextualSpacing/>
      </w:pPr>
      <w:r>
        <w:rPr>
          <w:rStyle w:val="FootnoteReference"/>
        </w:rPr>
        <w:footnoteRef/>
      </w:r>
      <w:r>
        <w:t xml:space="preserve"> </w:t>
      </w:r>
      <w:r w:rsidRPr="00D8001F">
        <w:t>TGA Recall Reference RC-2024-RN-00633-1; 12 August 2024.</w:t>
      </w:r>
    </w:p>
  </w:footnote>
  <w:footnote w:id="5">
    <w:p w14:paraId="241445A6" w14:textId="3C70EE23" w:rsidR="000D3670" w:rsidRDefault="000D3670">
      <w:pPr>
        <w:pStyle w:val="FootnoteText"/>
        <w:contextualSpacing/>
      </w:pPr>
      <w:r>
        <w:rPr>
          <w:rStyle w:val="FootnoteReference"/>
        </w:rPr>
        <w:footnoteRef/>
      </w:r>
      <w:r>
        <w:t xml:space="preserve"> </w:t>
      </w:r>
      <w:r w:rsidR="00A270F8">
        <w:t>Caplacizumab is TGA registered</w:t>
      </w:r>
      <w:r w:rsidR="00205AFF">
        <w:t xml:space="preserve"> (</w:t>
      </w:r>
      <w:hyperlink r:id="rId1" w:tooltip="Link to caplacizumab TGA entry" w:history="1">
        <w:r w:rsidR="00205AFF" w:rsidRPr="00C85F2C">
          <w:rPr>
            <w:rStyle w:val="Hyperlink"/>
            <w:color w:val="005791"/>
          </w:rPr>
          <w:t>ARTG 318058</w:t>
        </w:r>
      </w:hyperlink>
      <w:r w:rsidR="00205AFF">
        <w:t>)</w:t>
      </w:r>
      <w:r w:rsidR="00A270F8">
        <w:t xml:space="preserve"> but not approved by </w:t>
      </w:r>
      <w:hyperlink r:id="rId2" w:tooltip="Link to status of Caplacizumab on PBAC website" w:history="1">
        <w:r w:rsidR="00A270F8" w:rsidRPr="00C85F2C">
          <w:rPr>
            <w:rStyle w:val="Hyperlink"/>
            <w:color w:val="005791"/>
          </w:rPr>
          <w:t>PBAC</w:t>
        </w:r>
      </w:hyperlink>
      <w:r w:rsidR="00205AFF">
        <w:t>.</w:t>
      </w:r>
    </w:p>
  </w:footnote>
  <w:footnote w:id="6">
    <w:p w14:paraId="40BB344E" w14:textId="25DE97E0" w:rsidR="00205AFF" w:rsidRDefault="00205AFF">
      <w:pPr>
        <w:pStyle w:val="FootnoteText"/>
        <w:contextualSpacing/>
      </w:pPr>
      <w:r>
        <w:rPr>
          <w:rStyle w:val="FootnoteReference"/>
        </w:rPr>
        <w:footnoteRef/>
      </w:r>
      <w:r>
        <w:t xml:space="preserve"> Recombinant ADAMTS13 is </w:t>
      </w:r>
      <w:r w:rsidR="0091565E">
        <w:t xml:space="preserve">undergoing </w:t>
      </w:r>
      <w:hyperlink r:id="rId3" w:tooltip="Link to the entry from Adzynma (recombinant ADAMTS13) on the TGA website" w:history="1">
        <w:r w:rsidR="0091565E" w:rsidRPr="00C85F2C">
          <w:rPr>
            <w:rStyle w:val="Hyperlink"/>
            <w:color w:val="007BB8"/>
          </w:rPr>
          <w:t>TGA evaluation</w:t>
        </w:r>
      </w:hyperlink>
      <w:r w:rsidR="0091565E">
        <w:t>.</w:t>
      </w:r>
    </w:p>
  </w:footnote>
  <w:footnote w:id="7">
    <w:p w14:paraId="1F4A8EA6" w14:textId="77777777" w:rsidR="00584FB9" w:rsidRDefault="00584FB9" w:rsidP="00584FB9">
      <w:pPr>
        <w:pStyle w:val="Tablenotes"/>
      </w:pPr>
      <w:r>
        <w:rPr>
          <w:rStyle w:val="FootnoteReference"/>
        </w:rPr>
        <w:footnoteRef/>
      </w:r>
      <w:r>
        <w:t xml:space="preserve"> TGA Recall Reference </w:t>
      </w:r>
      <w:r w:rsidRPr="00A96A84">
        <w:t>RC-2024-RN-00633-1</w:t>
      </w:r>
      <w:r>
        <w:t>; 12 August 2024.</w:t>
      </w:r>
    </w:p>
  </w:footnote>
  <w:footnote w:id="8">
    <w:p w14:paraId="60D8336F" w14:textId="77777777" w:rsidR="00055104" w:rsidRDefault="00055104" w:rsidP="00055104">
      <w:pPr>
        <w:pStyle w:val="FootnoteText"/>
      </w:pPr>
      <w:r>
        <w:rPr>
          <w:rStyle w:val="FootnoteReference"/>
        </w:rPr>
        <w:footnoteRef/>
      </w:r>
      <w:r>
        <w:t xml:space="preserve"> </w:t>
      </w:r>
      <w:r w:rsidRPr="00DF64DC">
        <w:t>Fox LC</w:t>
      </w:r>
      <w:r>
        <w:t xml:space="preserve"> et al </w:t>
      </w:r>
      <w:r w:rsidRPr="00DF64DC">
        <w:t>2018 ‘Consensus opinion on diagnosis and management of thrombotic microangiopathy in Australia and New Zealand’, Internal Medicine Journal, 48(6):624–636, doi:10.1111/imj.13804</w:t>
      </w:r>
    </w:p>
  </w:footnote>
  <w:footnote w:id="9">
    <w:p w14:paraId="613A08DB" w14:textId="77777777" w:rsidR="00055104" w:rsidRDefault="00055104" w:rsidP="00055104">
      <w:pPr>
        <w:pStyle w:val="FootnoteText"/>
      </w:pPr>
      <w:r>
        <w:rPr>
          <w:rStyle w:val="FootnoteReference"/>
        </w:rPr>
        <w:footnoteRef/>
      </w:r>
      <w:r>
        <w:t xml:space="preserve"> </w:t>
      </w:r>
      <w:r w:rsidRPr="00BD77A4">
        <w:t>Scully M</w:t>
      </w:r>
      <w:r>
        <w:t xml:space="preserve"> et al</w:t>
      </w:r>
      <w:r w:rsidRPr="00BD77A4">
        <w:t xml:space="preserve"> 2023 ‘A British Society for Haematology Guideline: Diagnosis and management of thrombotic thrombocytopenic purpura and thrombotic microangiopathies’, British Journal of Haematology, 203(4):546–563, doi:10.1111/bjh.19026.</w:t>
      </w:r>
    </w:p>
  </w:footnote>
  <w:footnote w:id="10">
    <w:p w14:paraId="0A72AA1B" w14:textId="77777777" w:rsidR="00055104" w:rsidRDefault="00055104" w:rsidP="00055104">
      <w:pPr>
        <w:pStyle w:val="FootnoteText"/>
      </w:pPr>
      <w:r>
        <w:rPr>
          <w:rStyle w:val="FootnoteReference"/>
        </w:rPr>
        <w:footnoteRef/>
      </w:r>
      <w:r>
        <w:t xml:space="preserve"> </w:t>
      </w:r>
      <w:r w:rsidRPr="00C34EF7">
        <w:t>Zheng XL</w:t>
      </w:r>
      <w:r>
        <w:t xml:space="preserve"> et al</w:t>
      </w:r>
      <w:r w:rsidRPr="00C34EF7">
        <w:t xml:space="preserve"> 2025 ‘2025 focused update of the 2020 ISTH guidelines for management of thrombotic thrombocytopenic purpura’, Journal of Thrombosis and HaemostasisS1538783625003605, </w:t>
      </w:r>
      <w:proofErr w:type="gramStart"/>
      <w:r w:rsidRPr="00C34EF7">
        <w:t>doi:10.1016/j.jtha</w:t>
      </w:r>
      <w:proofErr w:type="gramEnd"/>
      <w:r w:rsidRPr="00C34EF7">
        <w:t>.2025.06.002.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8FAD" w14:textId="6B1746DB" w:rsidR="00920A12" w:rsidRDefault="00716875">
    <w:pPr>
      <w:pStyle w:val="Header"/>
    </w:pPr>
    <w:r>
      <w:rPr>
        <w:noProof/>
      </w:rPr>
      <mc:AlternateContent>
        <mc:Choice Requires="wps">
          <w:drawing>
            <wp:anchor distT="0" distB="0" distL="0" distR="0" simplePos="0" relativeHeight="251658241" behindDoc="0" locked="0" layoutInCell="1" allowOverlap="1" wp14:anchorId="77061D37" wp14:editId="65A2803E">
              <wp:simplePos x="635" y="635"/>
              <wp:positionH relativeFrom="page">
                <wp:align>center</wp:align>
              </wp:positionH>
              <wp:positionV relativeFrom="page">
                <wp:align>top</wp:align>
              </wp:positionV>
              <wp:extent cx="622300" cy="467360"/>
              <wp:effectExtent l="0" t="0" r="6350" b="8890"/>
              <wp:wrapNone/>
              <wp:docPr id="20962638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3385A433" w14:textId="28F91896" w:rsidR="00716875" w:rsidRPr="00716875" w:rsidRDefault="00716875" w:rsidP="00716875">
                          <w:pPr>
                            <w:spacing w:after="0"/>
                            <w:rPr>
                              <w:rFonts w:ascii="Aptos" w:eastAsia="Aptos" w:hAnsi="Aptos" w:cs="Aptos"/>
                              <w:noProof/>
                              <w:color w:val="FF0000"/>
                              <w:sz w:val="24"/>
                              <w:szCs w:val="24"/>
                            </w:rPr>
                          </w:pPr>
                          <w:r w:rsidRPr="0071687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061D37" id="_x0000_t202" coordsize="21600,21600" o:spt="202" path="m,l,21600r21600,l21600,xe">
              <v:stroke joinstyle="miter"/>
              <v:path gradientshapeok="t" o:connecttype="rect"/>
            </v:shapetype>
            <v:shape id="Text Box 2" o:spid="_x0000_s1026" type="#_x0000_t202" alt="OFFICIAL" style="position:absolute;margin-left:0;margin-top:0;width:49pt;height:36.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3KCQIAABU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" filled="f" stroked="f">
              <v:textbox style="mso-fit-shape-to-text:t" inset="0,15pt,0,0">
                <w:txbxContent>
                  <w:p w14:paraId="3385A433" w14:textId="28F91896" w:rsidR="00716875" w:rsidRPr="00716875" w:rsidRDefault="00716875" w:rsidP="00716875">
                    <w:pPr>
                      <w:spacing w:after="0"/>
                      <w:rPr>
                        <w:rFonts w:ascii="Aptos" w:eastAsia="Aptos" w:hAnsi="Aptos" w:cs="Aptos"/>
                        <w:noProof/>
                        <w:color w:val="FF0000"/>
                        <w:sz w:val="24"/>
                        <w:szCs w:val="24"/>
                      </w:rPr>
                    </w:pPr>
                    <w:r w:rsidRPr="0071687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7F9C" w14:textId="04FB22C4" w:rsidR="00920A12" w:rsidRDefault="00716875">
    <w:pPr>
      <w:pStyle w:val="Header"/>
    </w:pPr>
    <w:r>
      <w:rPr>
        <w:noProof/>
      </w:rPr>
      <mc:AlternateContent>
        <mc:Choice Requires="wps">
          <w:drawing>
            <wp:anchor distT="0" distB="0" distL="0" distR="0" simplePos="0" relativeHeight="251658242" behindDoc="0" locked="0" layoutInCell="1" allowOverlap="1" wp14:anchorId="31716809" wp14:editId="560F79FF">
              <wp:simplePos x="635" y="635"/>
              <wp:positionH relativeFrom="page">
                <wp:align>center</wp:align>
              </wp:positionH>
              <wp:positionV relativeFrom="page">
                <wp:align>top</wp:align>
              </wp:positionV>
              <wp:extent cx="622300" cy="467360"/>
              <wp:effectExtent l="0" t="0" r="6350" b="8890"/>
              <wp:wrapNone/>
              <wp:docPr id="11944824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2BE3B245" w14:textId="593ADE6D" w:rsidR="00716875" w:rsidRPr="00716875" w:rsidRDefault="00716875" w:rsidP="00716875">
                          <w:pPr>
                            <w:spacing w:after="0"/>
                            <w:rPr>
                              <w:rFonts w:ascii="Aptos" w:eastAsia="Aptos" w:hAnsi="Aptos" w:cs="Aptos"/>
                              <w:noProof/>
                              <w:color w:val="FF0000"/>
                              <w:sz w:val="24"/>
                              <w:szCs w:val="24"/>
                            </w:rPr>
                          </w:pPr>
                          <w:r w:rsidRPr="0071687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716809" id="_x0000_t202" coordsize="21600,21600" o:spt="202" path="m,l,21600r21600,l21600,xe">
              <v:stroke joinstyle="miter"/>
              <v:path gradientshapeok="t" o:connecttype="rect"/>
            </v:shapetype>
            <v:shape id="Text Box 3" o:spid="_x0000_s1027" type="#_x0000_t202" alt="OFFICIAL" style="position:absolute;margin-left:0;margin-top:0;width:49pt;height:36.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" filled="f" stroked="f">
              <v:textbox style="mso-fit-shape-to-text:t" inset="0,15pt,0,0">
                <w:txbxContent>
                  <w:p w14:paraId="2BE3B245" w14:textId="593ADE6D" w:rsidR="00716875" w:rsidRPr="00716875" w:rsidRDefault="00716875" w:rsidP="00716875">
                    <w:pPr>
                      <w:spacing w:after="0"/>
                      <w:rPr>
                        <w:rFonts w:ascii="Aptos" w:eastAsia="Aptos" w:hAnsi="Aptos" w:cs="Aptos"/>
                        <w:noProof/>
                        <w:color w:val="FF0000"/>
                        <w:sz w:val="24"/>
                        <w:szCs w:val="24"/>
                      </w:rPr>
                    </w:pPr>
                    <w:r w:rsidRPr="00716875">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631B" w14:textId="6F483871" w:rsidR="00920A12" w:rsidRDefault="00716875">
    <w:pPr>
      <w:pStyle w:val="Header"/>
    </w:pPr>
    <w:r>
      <w:rPr>
        <w:noProof/>
      </w:rPr>
      <mc:AlternateContent>
        <mc:Choice Requires="wps">
          <w:drawing>
            <wp:anchor distT="0" distB="0" distL="0" distR="0" simplePos="0" relativeHeight="251658240" behindDoc="0" locked="0" layoutInCell="1" allowOverlap="1" wp14:anchorId="40AA412F" wp14:editId="309720C8">
              <wp:simplePos x="635" y="635"/>
              <wp:positionH relativeFrom="page">
                <wp:align>center</wp:align>
              </wp:positionH>
              <wp:positionV relativeFrom="page">
                <wp:align>top</wp:align>
              </wp:positionV>
              <wp:extent cx="622300" cy="467360"/>
              <wp:effectExtent l="0" t="0" r="6350" b="8890"/>
              <wp:wrapNone/>
              <wp:docPr id="10432410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5C5EBA81" w14:textId="3925DB3A" w:rsidR="00716875" w:rsidRPr="00716875" w:rsidRDefault="00716875" w:rsidP="00716875">
                          <w:pPr>
                            <w:spacing w:after="0"/>
                            <w:rPr>
                              <w:rFonts w:ascii="Aptos" w:eastAsia="Aptos" w:hAnsi="Aptos" w:cs="Aptos"/>
                              <w:noProof/>
                              <w:color w:val="FF0000"/>
                              <w:sz w:val="24"/>
                              <w:szCs w:val="24"/>
                            </w:rPr>
                          </w:pPr>
                          <w:r w:rsidRPr="0071687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AA412F" id="_x0000_t202" coordsize="21600,21600" o:spt="202" path="m,l,21600r21600,l21600,xe">
              <v:stroke joinstyle="miter"/>
              <v:path gradientshapeok="t" o:connecttype="rect"/>
            </v:shapetype>
            <v:shape id="Text Box 1" o:spid="_x0000_s1030" type="#_x0000_t202" alt="OFFICIAL" style="position:absolute;margin-left:0;margin-top:0;width:49pt;height:36.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VtDQIAABw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" filled="f" stroked="f">
              <v:textbox style="mso-fit-shape-to-text:t" inset="0,15pt,0,0">
                <w:txbxContent>
                  <w:p w14:paraId="5C5EBA81" w14:textId="3925DB3A" w:rsidR="00716875" w:rsidRPr="00716875" w:rsidRDefault="00716875" w:rsidP="00716875">
                    <w:pPr>
                      <w:spacing w:after="0"/>
                      <w:rPr>
                        <w:rFonts w:ascii="Aptos" w:eastAsia="Aptos" w:hAnsi="Aptos" w:cs="Aptos"/>
                        <w:noProof/>
                        <w:color w:val="FF0000"/>
                        <w:sz w:val="24"/>
                        <w:szCs w:val="24"/>
                      </w:rPr>
                    </w:pPr>
                    <w:r w:rsidRPr="00716875">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275"/>
    <w:multiLevelType w:val="hybridMultilevel"/>
    <w:tmpl w:val="4AD40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1A2123"/>
    <w:multiLevelType w:val="hybridMultilevel"/>
    <w:tmpl w:val="495842A2"/>
    <w:lvl w:ilvl="0" w:tplc="1172BB6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4E699E"/>
    <w:multiLevelType w:val="hybridMultilevel"/>
    <w:tmpl w:val="6414D1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E1855E3"/>
    <w:multiLevelType w:val="hybridMultilevel"/>
    <w:tmpl w:val="7A22D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FB5606"/>
    <w:multiLevelType w:val="hybridMultilevel"/>
    <w:tmpl w:val="4FCCA9F6"/>
    <w:lvl w:ilvl="0" w:tplc="0C090001">
      <w:start w:val="1"/>
      <w:numFmt w:val="bullet"/>
      <w:lvlText w:val=""/>
      <w:lvlJc w:val="left"/>
      <w:pPr>
        <w:ind w:left="1080" w:hanging="360"/>
      </w:pPr>
      <w:rPr>
        <w:rFonts w:ascii="Symbol" w:hAnsi="Symbol" w:hint="default"/>
      </w:rPr>
    </w:lvl>
    <w:lvl w:ilvl="1" w:tplc="FFFFFFFF">
      <w:numFmt w:val="bullet"/>
      <w:lvlText w:val="•"/>
      <w:lvlJc w:val="left"/>
      <w:pPr>
        <w:ind w:left="2160" w:hanging="720"/>
      </w:pPr>
      <w:rPr>
        <w:rFonts w:ascii="Calibri" w:eastAsia="Calibri"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86E6F29"/>
    <w:multiLevelType w:val="hybridMultilevel"/>
    <w:tmpl w:val="905EFE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62674F"/>
    <w:multiLevelType w:val="hybridMultilevel"/>
    <w:tmpl w:val="67D27162"/>
    <w:lvl w:ilvl="0" w:tplc="1172BB6C">
      <w:start w:val="1"/>
      <w:numFmt w:val="lowerLetter"/>
      <w:lvlText w:val="(%1)"/>
      <w:lvlJc w:val="left"/>
      <w:pPr>
        <w:ind w:left="720" w:hanging="360"/>
      </w:pPr>
      <w:rPr>
        <w:b w:val="0"/>
        <w:bCs w:val="0"/>
        <w:i w:val="0"/>
        <w:i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27062F8"/>
    <w:multiLevelType w:val="hybridMultilevel"/>
    <w:tmpl w:val="2D6AC9F4"/>
    <w:lvl w:ilvl="0" w:tplc="2746F19C">
      <w:start w:val="1"/>
      <w:numFmt w:val="bullet"/>
      <w:lvlText w:val=""/>
      <w:lvlJc w:val="left"/>
      <w:pPr>
        <w:ind w:left="720" w:hanging="360"/>
      </w:pPr>
      <w:rPr>
        <w:rFonts w:ascii="Symbol" w:hAnsi="Symbol"/>
      </w:rPr>
    </w:lvl>
    <w:lvl w:ilvl="1" w:tplc="874E63FE">
      <w:start w:val="1"/>
      <w:numFmt w:val="bullet"/>
      <w:lvlText w:val=""/>
      <w:lvlJc w:val="left"/>
      <w:pPr>
        <w:ind w:left="720" w:hanging="360"/>
      </w:pPr>
      <w:rPr>
        <w:rFonts w:ascii="Symbol" w:hAnsi="Symbol"/>
      </w:rPr>
    </w:lvl>
    <w:lvl w:ilvl="2" w:tplc="6248E7FC">
      <w:start w:val="1"/>
      <w:numFmt w:val="bullet"/>
      <w:lvlText w:val=""/>
      <w:lvlJc w:val="left"/>
      <w:pPr>
        <w:ind w:left="720" w:hanging="360"/>
      </w:pPr>
      <w:rPr>
        <w:rFonts w:ascii="Symbol" w:hAnsi="Symbol"/>
      </w:rPr>
    </w:lvl>
    <w:lvl w:ilvl="3" w:tplc="4F165E9A">
      <w:start w:val="1"/>
      <w:numFmt w:val="bullet"/>
      <w:lvlText w:val=""/>
      <w:lvlJc w:val="left"/>
      <w:pPr>
        <w:ind w:left="720" w:hanging="360"/>
      </w:pPr>
      <w:rPr>
        <w:rFonts w:ascii="Symbol" w:hAnsi="Symbol"/>
      </w:rPr>
    </w:lvl>
    <w:lvl w:ilvl="4" w:tplc="9D9ABC84">
      <w:start w:val="1"/>
      <w:numFmt w:val="bullet"/>
      <w:lvlText w:val=""/>
      <w:lvlJc w:val="left"/>
      <w:pPr>
        <w:ind w:left="720" w:hanging="360"/>
      </w:pPr>
      <w:rPr>
        <w:rFonts w:ascii="Symbol" w:hAnsi="Symbol"/>
      </w:rPr>
    </w:lvl>
    <w:lvl w:ilvl="5" w:tplc="C3C2A116">
      <w:start w:val="1"/>
      <w:numFmt w:val="bullet"/>
      <w:lvlText w:val=""/>
      <w:lvlJc w:val="left"/>
      <w:pPr>
        <w:ind w:left="720" w:hanging="360"/>
      </w:pPr>
      <w:rPr>
        <w:rFonts w:ascii="Symbol" w:hAnsi="Symbol"/>
      </w:rPr>
    </w:lvl>
    <w:lvl w:ilvl="6" w:tplc="73A85D40">
      <w:start w:val="1"/>
      <w:numFmt w:val="bullet"/>
      <w:lvlText w:val=""/>
      <w:lvlJc w:val="left"/>
      <w:pPr>
        <w:ind w:left="720" w:hanging="360"/>
      </w:pPr>
      <w:rPr>
        <w:rFonts w:ascii="Symbol" w:hAnsi="Symbol"/>
      </w:rPr>
    </w:lvl>
    <w:lvl w:ilvl="7" w:tplc="CEF2BB98">
      <w:start w:val="1"/>
      <w:numFmt w:val="bullet"/>
      <w:lvlText w:val=""/>
      <w:lvlJc w:val="left"/>
      <w:pPr>
        <w:ind w:left="720" w:hanging="360"/>
      </w:pPr>
      <w:rPr>
        <w:rFonts w:ascii="Symbol" w:hAnsi="Symbol"/>
      </w:rPr>
    </w:lvl>
    <w:lvl w:ilvl="8" w:tplc="35CA098E">
      <w:start w:val="1"/>
      <w:numFmt w:val="bullet"/>
      <w:lvlText w:val=""/>
      <w:lvlJc w:val="left"/>
      <w:pPr>
        <w:ind w:left="720" w:hanging="360"/>
      </w:pPr>
      <w:rPr>
        <w:rFonts w:ascii="Symbol" w:hAnsi="Symbol"/>
      </w:rPr>
    </w:lvl>
  </w:abstractNum>
  <w:abstractNum w:abstractNumId="8" w15:restartNumberingAfterBreak="0">
    <w:nsid w:val="24225AAE"/>
    <w:multiLevelType w:val="hybridMultilevel"/>
    <w:tmpl w:val="91783868"/>
    <w:lvl w:ilvl="0" w:tplc="D688D4D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051F0C"/>
    <w:multiLevelType w:val="hybridMultilevel"/>
    <w:tmpl w:val="6BFC21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D97B13"/>
    <w:multiLevelType w:val="hybridMultilevel"/>
    <w:tmpl w:val="973EA2E2"/>
    <w:lvl w:ilvl="0" w:tplc="B3B24F5C">
      <w:start w:val="3"/>
      <w:numFmt w:val="bullet"/>
      <w:lvlText w:val="•"/>
      <w:lvlJc w:val="left"/>
      <w:pPr>
        <w:ind w:left="1080" w:hanging="720"/>
      </w:pPr>
      <w:rPr>
        <w:rFonts w:ascii="Franklin Gothic Book" w:eastAsia="Times New Roman" w:hAnsi="Franklin Gothic Book"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1D08DF"/>
    <w:multiLevelType w:val="hybridMultilevel"/>
    <w:tmpl w:val="A9C6B3B0"/>
    <w:lvl w:ilvl="0" w:tplc="6DE461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303F39"/>
    <w:multiLevelType w:val="hybridMultilevel"/>
    <w:tmpl w:val="E708D774"/>
    <w:lvl w:ilvl="0" w:tplc="B3B24F5C">
      <w:start w:val="3"/>
      <w:numFmt w:val="bullet"/>
      <w:lvlText w:val="•"/>
      <w:lvlJc w:val="left"/>
      <w:pPr>
        <w:ind w:left="1080" w:hanging="720"/>
      </w:pPr>
      <w:rPr>
        <w:rFonts w:ascii="Franklin Gothic Book" w:eastAsia="Times New Roman" w:hAnsi="Franklin Gothic Book"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2A4612"/>
    <w:multiLevelType w:val="hybridMultilevel"/>
    <w:tmpl w:val="D728C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0E124C"/>
    <w:multiLevelType w:val="hybridMultilevel"/>
    <w:tmpl w:val="21CE3F92"/>
    <w:lvl w:ilvl="0" w:tplc="5DF4EC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FC031F"/>
    <w:multiLevelType w:val="hybridMultilevel"/>
    <w:tmpl w:val="CD8E42C4"/>
    <w:lvl w:ilvl="0" w:tplc="C184A09A">
      <w:start w:val="1"/>
      <w:numFmt w:val="bullet"/>
      <w:pStyle w:val="071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AFC14F7"/>
    <w:multiLevelType w:val="hybridMultilevel"/>
    <w:tmpl w:val="194A7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EF5AA8"/>
    <w:multiLevelType w:val="multilevel"/>
    <w:tmpl w:val="5208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367235"/>
    <w:multiLevelType w:val="hybridMultilevel"/>
    <w:tmpl w:val="6B6EE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14E35"/>
    <w:multiLevelType w:val="hybridMultilevel"/>
    <w:tmpl w:val="398C2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4E0F7B"/>
    <w:multiLevelType w:val="hybridMultilevel"/>
    <w:tmpl w:val="0B2AA292"/>
    <w:lvl w:ilvl="0" w:tplc="B3B24F5C">
      <w:start w:val="3"/>
      <w:numFmt w:val="bullet"/>
      <w:lvlText w:val="•"/>
      <w:lvlJc w:val="left"/>
      <w:pPr>
        <w:ind w:left="1080" w:hanging="720"/>
      </w:pPr>
      <w:rPr>
        <w:rFonts w:ascii="Franklin Gothic Book" w:eastAsia="Times New Roman" w:hAnsi="Franklin Gothic Book"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095746"/>
    <w:multiLevelType w:val="hybridMultilevel"/>
    <w:tmpl w:val="28BC0FCE"/>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D5C7C66"/>
    <w:multiLevelType w:val="hybridMultilevel"/>
    <w:tmpl w:val="436AA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D00A2F"/>
    <w:multiLevelType w:val="multilevel"/>
    <w:tmpl w:val="CC64A29E"/>
    <w:styleLink w:val="Headings"/>
    <w:lvl w:ilvl="0">
      <w:start w:val="1"/>
      <w:numFmt w:val="decimal"/>
      <w:lvlText w:val="Section %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lvlText w:val="Appendix %7"/>
      <w:lvlJc w:val="left"/>
      <w:pPr>
        <w:ind w:left="0" w:firstLine="0"/>
      </w:pPr>
      <w:rPr>
        <w:rFonts w:hint="default"/>
      </w:rPr>
    </w:lvl>
    <w:lvl w:ilvl="7">
      <w:start w:val="1"/>
      <w:numFmt w:val="decimal"/>
      <w:lvlRestart w:val="0"/>
      <w:pStyle w:val="Heading8"/>
      <w:lvlText w:val="%7.%8"/>
      <w:lvlJc w:val="left"/>
      <w:pPr>
        <w:ind w:left="0" w:firstLine="0"/>
      </w:pPr>
      <w:rPr>
        <w:rFonts w:hint="default"/>
      </w:rPr>
    </w:lvl>
    <w:lvl w:ilvl="8">
      <w:start w:val="1"/>
      <w:numFmt w:val="decimal"/>
      <w:pStyle w:val="Heading9"/>
      <w:lvlText w:val="%7.%8.%9"/>
      <w:lvlJc w:val="left"/>
      <w:pPr>
        <w:ind w:left="0" w:firstLine="0"/>
      </w:pPr>
      <w:rPr>
        <w:rFonts w:hint="default"/>
      </w:rPr>
    </w:lvl>
  </w:abstractNum>
  <w:abstractNum w:abstractNumId="24" w15:restartNumberingAfterBreak="0">
    <w:nsid w:val="524B44B4"/>
    <w:multiLevelType w:val="hybridMultilevel"/>
    <w:tmpl w:val="DBFC0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2E3B05"/>
    <w:multiLevelType w:val="hybridMultilevel"/>
    <w:tmpl w:val="D0689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DC21E9"/>
    <w:multiLevelType w:val="hybridMultilevel"/>
    <w:tmpl w:val="25E41A28"/>
    <w:lvl w:ilvl="0" w:tplc="D1E0F50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3159C2"/>
    <w:multiLevelType w:val="hybridMultilevel"/>
    <w:tmpl w:val="5AF6E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FC480E"/>
    <w:multiLevelType w:val="hybridMultilevel"/>
    <w:tmpl w:val="2CAC4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D34C23"/>
    <w:multiLevelType w:val="hybridMultilevel"/>
    <w:tmpl w:val="B68EDBDA"/>
    <w:lvl w:ilvl="0" w:tplc="F66C3D02">
      <w:start w:val="1"/>
      <w:numFmt w:val="bullet"/>
      <w:pStyle w:val="Bulletpoint"/>
      <w:lvlText w:val=""/>
      <w:lvlJc w:val="left"/>
      <w:pPr>
        <w:ind w:left="729" w:hanging="360"/>
      </w:pPr>
      <w:rPr>
        <w:rFonts w:ascii="Symbol" w:hAnsi="Symbol" w:hint="default"/>
      </w:rPr>
    </w:lvl>
    <w:lvl w:ilvl="1" w:tplc="9AA8C29C">
      <w:start w:val="1"/>
      <w:numFmt w:val="bullet"/>
      <w:pStyle w:val="Bulletpoint2ndlevel"/>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30" w15:restartNumberingAfterBreak="0">
    <w:nsid w:val="5F837FF7"/>
    <w:multiLevelType w:val="hybridMultilevel"/>
    <w:tmpl w:val="9366213A"/>
    <w:lvl w:ilvl="0" w:tplc="B3B24F5C">
      <w:start w:val="3"/>
      <w:numFmt w:val="bullet"/>
      <w:lvlText w:val="•"/>
      <w:lvlJc w:val="left"/>
      <w:pPr>
        <w:ind w:left="1080" w:hanging="720"/>
      </w:pPr>
      <w:rPr>
        <w:rFonts w:ascii="Franklin Gothic Book" w:eastAsia="Times New Roman" w:hAnsi="Franklin Gothic Book"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964E76"/>
    <w:multiLevelType w:val="hybridMultilevel"/>
    <w:tmpl w:val="4CDAA2B6"/>
    <w:lvl w:ilvl="0" w:tplc="B3B24F5C">
      <w:start w:val="3"/>
      <w:numFmt w:val="bullet"/>
      <w:lvlText w:val="•"/>
      <w:lvlJc w:val="left"/>
      <w:pPr>
        <w:ind w:left="1080" w:hanging="720"/>
      </w:pPr>
      <w:rPr>
        <w:rFonts w:ascii="Franklin Gothic Book" w:eastAsia="Times New Roman" w:hAnsi="Franklin Gothic Book"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339A4"/>
    <w:multiLevelType w:val="hybridMultilevel"/>
    <w:tmpl w:val="16EE2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B57D3A"/>
    <w:multiLevelType w:val="hybridMultilevel"/>
    <w:tmpl w:val="F6B87A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8C685B"/>
    <w:multiLevelType w:val="hybridMultilevel"/>
    <w:tmpl w:val="55B6B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8B2304"/>
    <w:multiLevelType w:val="hybridMultilevel"/>
    <w:tmpl w:val="AE8A6A16"/>
    <w:lvl w:ilvl="0" w:tplc="B0867F06">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1355B6"/>
    <w:multiLevelType w:val="hybridMultilevel"/>
    <w:tmpl w:val="DA801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AB2777"/>
    <w:multiLevelType w:val="hybridMultilevel"/>
    <w:tmpl w:val="6DE67708"/>
    <w:lvl w:ilvl="0" w:tplc="B3B24F5C">
      <w:start w:val="3"/>
      <w:numFmt w:val="bullet"/>
      <w:lvlText w:val="•"/>
      <w:lvlJc w:val="left"/>
      <w:pPr>
        <w:ind w:left="1080" w:hanging="720"/>
      </w:pPr>
      <w:rPr>
        <w:rFonts w:ascii="Franklin Gothic Book" w:eastAsia="Times New Roman" w:hAnsi="Franklin Gothic Book"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5030F1"/>
    <w:multiLevelType w:val="hybridMultilevel"/>
    <w:tmpl w:val="78EA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5A468E"/>
    <w:multiLevelType w:val="hybridMultilevel"/>
    <w:tmpl w:val="EE363E7A"/>
    <w:lvl w:ilvl="0" w:tplc="1172BB6C">
      <w:start w:val="1"/>
      <w:numFmt w:val="lowerLetter"/>
      <w:lvlText w:val="(%1)"/>
      <w:lvlJc w:val="left"/>
      <w:pPr>
        <w:ind w:left="768" w:hanging="360"/>
      </w:pPr>
      <w:rPr>
        <w:b w:val="0"/>
        <w:bCs w:val="0"/>
        <w:i w:val="0"/>
        <w:iCs/>
        <w:color w:val="auto"/>
      </w:rPr>
    </w:lvl>
    <w:lvl w:ilvl="1" w:tplc="0C090019">
      <w:start w:val="1"/>
      <w:numFmt w:val="lowerLetter"/>
      <w:lvlText w:val="%2."/>
      <w:lvlJc w:val="left"/>
      <w:pPr>
        <w:ind w:left="1488" w:hanging="360"/>
      </w:pPr>
    </w:lvl>
    <w:lvl w:ilvl="2" w:tplc="0C09001B">
      <w:start w:val="1"/>
      <w:numFmt w:val="lowerRoman"/>
      <w:lvlText w:val="%3."/>
      <w:lvlJc w:val="right"/>
      <w:pPr>
        <w:ind w:left="2208" w:hanging="180"/>
      </w:pPr>
    </w:lvl>
    <w:lvl w:ilvl="3" w:tplc="0C09000F">
      <w:start w:val="1"/>
      <w:numFmt w:val="decimal"/>
      <w:lvlText w:val="%4."/>
      <w:lvlJc w:val="left"/>
      <w:pPr>
        <w:ind w:left="2928" w:hanging="360"/>
      </w:pPr>
    </w:lvl>
    <w:lvl w:ilvl="4" w:tplc="0C090019">
      <w:start w:val="1"/>
      <w:numFmt w:val="lowerLetter"/>
      <w:lvlText w:val="%5."/>
      <w:lvlJc w:val="left"/>
      <w:pPr>
        <w:ind w:left="3648" w:hanging="360"/>
      </w:pPr>
    </w:lvl>
    <w:lvl w:ilvl="5" w:tplc="0C09001B">
      <w:start w:val="1"/>
      <w:numFmt w:val="lowerRoman"/>
      <w:lvlText w:val="%6."/>
      <w:lvlJc w:val="right"/>
      <w:pPr>
        <w:ind w:left="4368" w:hanging="180"/>
      </w:pPr>
    </w:lvl>
    <w:lvl w:ilvl="6" w:tplc="0C09000F">
      <w:start w:val="1"/>
      <w:numFmt w:val="decimal"/>
      <w:lvlText w:val="%7."/>
      <w:lvlJc w:val="left"/>
      <w:pPr>
        <w:ind w:left="5088" w:hanging="360"/>
      </w:pPr>
    </w:lvl>
    <w:lvl w:ilvl="7" w:tplc="0C090019">
      <w:start w:val="1"/>
      <w:numFmt w:val="lowerLetter"/>
      <w:lvlText w:val="%8."/>
      <w:lvlJc w:val="left"/>
      <w:pPr>
        <w:ind w:left="5808" w:hanging="360"/>
      </w:pPr>
    </w:lvl>
    <w:lvl w:ilvl="8" w:tplc="0C09001B">
      <w:start w:val="1"/>
      <w:numFmt w:val="lowerRoman"/>
      <w:lvlText w:val="%9."/>
      <w:lvlJc w:val="right"/>
      <w:pPr>
        <w:ind w:left="6528" w:hanging="180"/>
      </w:pPr>
    </w:lvl>
  </w:abstractNum>
  <w:abstractNum w:abstractNumId="40" w15:restartNumberingAfterBreak="0">
    <w:nsid w:val="76DF24F0"/>
    <w:multiLevelType w:val="hybridMultilevel"/>
    <w:tmpl w:val="A78E875A"/>
    <w:lvl w:ilvl="0" w:tplc="1172BB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A7C4774"/>
    <w:multiLevelType w:val="hybridMultilevel"/>
    <w:tmpl w:val="51A6E56A"/>
    <w:lvl w:ilvl="0" w:tplc="D688D4D2">
      <w:start w:val="1"/>
      <w:numFmt w:val="decimal"/>
      <w:lvlText w:val="%1."/>
      <w:lvlJc w:val="left"/>
      <w:pPr>
        <w:ind w:left="1080" w:hanging="720"/>
      </w:pPr>
      <w:rPr>
        <w:rFonts w:hint="default"/>
      </w:rPr>
    </w:lvl>
    <w:lvl w:ilvl="1" w:tplc="C3D2C45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F5321D"/>
    <w:multiLevelType w:val="hybridMultilevel"/>
    <w:tmpl w:val="6D3E59D2"/>
    <w:lvl w:ilvl="0" w:tplc="646A96EE">
      <w:start w:val="1"/>
      <w:numFmt w:val="bullet"/>
      <w:lvlText w:val=""/>
      <w:lvlJc w:val="left"/>
      <w:pPr>
        <w:ind w:left="720" w:hanging="360"/>
      </w:pPr>
      <w:rPr>
        <w:rFonts w:ascii="Symbol" w:hAnsi="Symbol"/>
      </w:rPr>
    </w:lvl>
    <w:lvl w:ilvl="1" w:tplc="C05E5E6A">
      <w:start w:val="1"/>
      <w:numFmt w:val="bullet"/>
      <w:lvlText w:val=""/>
      <w:lvlJc w:val="left"/>
      <w:pPr>
        <w:ind w:left="720" w:hanging="360"/>
      </w:pPr>
      <w:rPr>
        <w:rFonts w:ascii="Symbol" w:hAnsi="Symbol"/>
      </w:rPr>
    </w:lvl>
    <w:lvl w:ilvl="2" w:tplc="673494CC">
      <w:start w:val="1"/>
      <w:numFmt w:val="bullet"/>
      <w:lvlText w:val=""/>
      <w:lvlJc w:val="left"/>
      <w:pPr>
        <w:ind w:left="720" w:hanging="360"/>
      </w:pPr>
      <w:rPr>
        <w:rFonts w:ascii="Symbol" w:hAnsi="Symbol"/>
      </w:rPr>
    </w:lvl>
    <w:lvl w:ilvl="3" w:tplc="BFDAB3BA">
      <w:start w:val="1"/>
      <w:numFmt w:val="bullet"/>
      <w:lvlText w:val=""/>
      <w:lvlJc w:val="left"/>
      <w:pPr>
        <w:ind w:left="720" w:hanging="360"/>
      </w:pPr>
      <w:rPr>
        <w:rFonts w:ascii="Symbol" w:hAnsi="Symbol"/>
      </w:rPr>
    </w:lvl>
    <w:lvl w:ilvl="4" w:tplc="7EA4E8E0">
      <w:start w:val="1"/>
      <w:numFmt w:val="bullet"/>
      <w:lvlText w:val=""/>
      <w:lvlJc w:val="left"/>
      <w:pPr>
        <w:ind w:left="720" w:hanging="360"/>
      </w:pPr>
      <w:rPr>
        <w:rFonts w:ascii="Symbol" w:hAnsi="Symbol"/>
      </w:rPr>
    </w:lvl>
    <w:lvl w:ilvl="5" w:tplc="78F6F288">
      <w:start w:val="1"/>
      <w:numFmt w:val="bullet"/>
      <w:lvlText w:val=""/>
      <w:lvlJc w:val="left"/>
      <w:pPr>
        <w:ind w:left="720" w:hanging="360"/>
      </w:pPr>
      <w:rPr>
        <w:rFonts w:ascii="Symbol" w:hAnsi="Symbol"/>
      </w:rPr>
    </w:lvl>
    <w:lvl w:ilvl="6" w:tplc="D7DEE3BE">
      <w:start w:val="1"/>
      <w:numFmt w:val="bullet"/>
      <w:lvlText w:val=""/>
      <w:lvlJc w:val="left"/>
      <w:pPr>
        <w:ind w:left="720" w:hanging="360"/>
      </w:pPr>
      <w:rPr>
        <w:rFonts w:ascii="Symbol" w:hAnsi="Symbol"/>
      </w:rPr>
    </w:lvl>
    <w:lvl w:ilvl="7" w:tplc="8C48389C">
      <w:start w:val="1"/>
      <w:numFmt w:val="bullet"/>
      <w:lvlText w:val=""/>
      <w:lvlJc w:val="left"/>
      <w:pPr>
        <w:ind w:left="720" w:hanging="360"/>
      </w:pPr>
      <w:rPr>
        <w:rFonts w:ascii="Symbol" w:hAnsi="Symbol"/>
      </w:rPr>
    </w:lvl>
    <w:lvl w:ilvl="8" w:tplc="0F102D48">
      <w:start w:val="1"/>
      <w:numFmt w:val="bullet"/>
      <w:lvlText w:val=""/>
      <w:lvlJc w:val="left"/>
      <w:pPr>
        <w:ind w:left="720" w:hanging="360"/>
      </w:pPr>
      <w:rPr>
        <w:rFonts w:ascii="Symbol" w:hAnsi="Symbol"/>
      </w:rPr>
    </w:lvl>
  </w:abstractNum>
  <w:abstractNum w:abstractNumId="43" w15:restartNumberingAfterBreak="0">
    <w:nsid w:val="7C57568D"/>
    <w:multiLevelType w:val="hybridMultilevel"/>
    <w:tmpl w:val="665EA472"/>
    <w:lvl w:ilvl="0" w:tplc="D688D4D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29533680">
    <w:abstractNumId w:val="29"/>
  </w:num>
  <w:num w:numId="2" w16cid:durableId="576328962">
    <w:abstractNumId w:val="23"/>
  </w:num>
  <w:num w:numId="3" w16cid:durableId="818886128">
    <w:abstractNumId w:val="15"/>
  </w:num>
  <w:num w:numId="4" w16cid:durableId="738406511">
    <w:abstractNumId w:val="21"/>
  </w:num>
  <w:num w:numId="5" w16cid:durableId="1178809022">
    <w:abstractNumId w:val="32"/>
  </w:num>
  <w:num w:numId="6" w16cid:durableId="473833470">
    <w:abstractNumId w:val="26"/>
  </w:num>
  <w:num w:numId="7" w16cid:durableId="1997875127">
    <w:abstractNumId w:val="12"/>
  </w:num>
  <w:num w:numId="8" w16cid:durableId="1700009927">
    <w:abstractNumId w:val="31"/>
  </w:num>
  <w:num w:numId="9" w16cid:durableId="1147434039">
    <w:abstractNumId w:val="10"/>
  </w:num>
  <w:num w:numId="10" w16cid:durableId="119765453">
    <w:abstractNumId w:val="37"/>
  </w:num>
  <w:num w:numId="11" w16cid:durableId="1631013807">
    <w:abstractNumId w:val="20"/>
  </w:num>
  <w:num w:numId="12" w16cid:durableId="647125443">
    <w:abstractNumId w:val="30"/>
  </w:num>
  <w:num w:numId="13" w16cid:durableId="1549224760">
    <w:abstractNumId w:val="8"/>
  </w:num>
  <w:num w:numId="14" w16cid:durableId="1313557602">
    <w:abstractNumId w:val="41"/>
  </w:num>
  <w:num w:numId="15" w16cid:durableId="341704846">
    <w:abstractNumId w:val="43"/>
  </w:num>
  <w:num w:numId="16" w16cid:durableId="50732527">
    <w:abstractNumId w:val="40"/>
  </w:num>
  <w:num w:numId="17" w16cid:durableId="1210923344">
    <w:abstractNumId w:val="1"/>
  </w:num>
  <w:num w:numId="18" w16cid:durableId="1320772084">
    <w:abstractNumId w:val="2"/>
  </w:num>
  <w:num w:numId="19" w16cid:durableId="1375429046">
    <w:abstractNumId w:val="35"/>
  </w:num>
  <w:num w:numId="20" w16cid:durableId="2071877803">
    <w:abstractNumId w:val="38"/>
  </w:num>
  <w:num w:numId="21" w16cid:durableId="1604071504">
    <w:abstractNumId w:val="4"/>
  </w:num>
  <w:num w:numId="22" w16cid:durableId="1012225898">
    <w:abstractNumId w:val="24"/>
  </w:num>
  <w:num w:numId="23" w16cid:durableId="1241791946">
    <w:abstractNumId w:val="14"/>
  </w:num>
  <w:num w:numId="24" w16cid:durableId="1668707571">
    <w:abstractNumId w:val="36"/>
  </w:num>
  <w:num w:numId="25" w16cid:durableId="251664662">
    <w:abstractNumId w:val="33"/>
  </w:num>
  <w:num w:numId="26" w16cid:durableId="353775691">
    <w:abstractNumId w:val="16"/>
  </w:num>
  <w:num w:numId="27" w16cid:durableId="1550650559">
    <w:abstractNumId w:val="11"/>
  </w:num>
  <w:num w:numId="28" w16cid:durableId="983971195">
    <w:abstractNumId w:val="34"/>
  </w:num>
  <w:num w:numId="29" w16cid:durableId="501048701">
    <w:abstractNumId w:val="18"/>
  </w:num>
  <w:num w:numId="30" w16cid:durableId="514879657">
    <w:abstractNumId w:val="28"/>
  </w:num>
  <w:num w:numId="31" w16cid:durableId="275021141">
    <w:abstractNumId w:val="0"/>
  </w:num>
  <w:num w:numId="32" w16cid:durableId="800223797">
    <w:abstractNumId w:val="13"/>
  </w:num>
  <w:num w:numId="33" w16cid:durableId="1082525579">
    <w:abstractNumId w:val="3"/>
  </w:num>
  <w:num w:numId="34" w16cid:durableId="504900632">
    <w:abstractNumId w:val="19"/>
  </w:num>
  <w:num w:numId="35" w16cid:durableId="1792673979">
    <w:abstractNumId w:val="9"/>
  </w:num>
  <w:num w:numId="36" w16cid:durableId="879786662">
    <w:abstractNumId w:val="5"/>
  </w:num>
  <w:num w:numId="37" w16cid:durableId="652562399">
    <w:abstractNumId w:val="17"/>
  </w:num>
  <w:num w:numId="38" w16cid:durableId="293172901">
    <w:abstractNumId w:val="27"/>
  </w:num>
  <w:num w:numId="39" w16cid:durableId="16630047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9197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8090813">
    <w:abstractNumId w:val="22"/>
  </w:num>
  <w:num w:numId="42" w16cid:durableId="516506767">
    <w:abstractNumId w:val="25"/>
  </w:num>
  <w:num w:numId="43" w16cid:durableId="1790272275">
    <w:abstractNumId w:val="7"/>
  </w:num>
  <w:num w:numId="44" w16cid:durableId="1080832444">
    <w:abstractNumId w:val="4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3E"/>
    <w:rsid w:val="000000F2"/>
    <w:rsid w:val="00000172"/>
    <w:rsid w:val="00000181"/>
    <w:rsid w:val="0000023B"/>
    <w:rsid w:val="00000249"/>
    <w:rsid w:val="00000389"/>
    <w:rsid w:val="0000038E"/>
    <w:rsid w:val="0000039C"/>
    <w:rsid w:val="0000055D"/>
    <w:rsid w:val="00000573"/>
    <w:rsid w:val="00000854"/>
    <w:rsid w:val="00000915"/>
    <w:rsid w:val="00000943"/>
    <w:rsid w:val="00000949"/>
    <w:rsid w:val="00000962"/>
    <w:rsid w:val="000009B8"/>
    <w:rsid w:val="000009F8"/>
    <w:rsid w:val="00000A00"/>
    <w:rsid w:val="00000B01"/>
    <w:rsid w:val="00000B42"/>
    <w:rsid w:val="00000B90"/>
    <w:rsid w:val="00000BA4"/>
    <w:rsid w:val="00000CFD"/>
    <w:rsid w:val="00000D07"/>
    <w:rsid w:val="00000DD6"/>
    <w:rsid w:val="00000E1B"/>
    <w:rsid w:val="00000E3D"/>
    <w:rsid w:val="00000E7A"/>
    <w:rsid w:val="00000EF2"/>
    <w:rsid w:val="00001019"/>
    <w:rsid w:val="00001081"/>
    <w:rsid w:val="00001238"/>
    <w:rsid w:val="0000135C"/>
    <w:rsid w:val="00001363"/>
    <w:rsid w:val="00001458"/>
    <w:rsid w:val="0000156E"/>
    <w:rsid w:val="00001695"/>
    <w:rsid w:val="00001AB9"/>
    <w:rsid w:val="00001AD2"/>
    <w:rsid w:val="00001B7C"/>
    <w:rsid w:val="00001C00"/>
    <w:rsid w:val="00001D1E"/>
    <w:rsid w:val="00001DB4"/>
    <w:rsid w:val="00001E0C"/>
    <w:rsid w:val="00001F8B"/>
    <w:rsid w:val="00001FD0"/>
    <w:rsid w:val="00002077"/>
    <w:rsid w:val="000020A6"/>
    <w:rsid w:val="000021B9"/>
    <w:rsid w:val="00002223"/>
    <w:rsid w:val="00002228"/>
    <w:rsid w:val="00002433"/>
    <w:rsid w:val="00002525"/>
    <w:rsid w:val="000026BA"/>
    <w:rsid w:val="000028A2"/>
    <w:rsid w:val="000028E3"/>
    <w:rsid w:val="00002A8A"/>
    <w:rsid w:val="00002AD1"/>
    <w:rsid w:val="00002AD6"/>
    <w:rsid w:val="00002C10"/>
    <w:rsid w:val="00002C94"/>
    <w:rsid w:val="00002CA6"/>
    <w:rsid w:val="00002D36"/>
    <w:rsid w:val="00002EB1"/>
    <w:rsid w:val="00002F43"/>
    <w:rsid w:val="00002FA4"/>
    <w:rsid w:val="00002FF4"/>
    <w:rsid w:val="00002FFC"/>
    <w:rsid w:val="000030D3"/>
    <w:rsid w:val="0000315C"/>
    <w:rsid w:val="00003206"/>
    <w:rsid w:val="0000320D"/>
    <w:rsid w:val="0000336F"/>
    <w:rsid w:val="00003452"/>
    <w:rsid w:val="00003470"/>
    <w:rsid w:val="00003494"/>
    <w:rsid w:val="000034A8"/>
    <w:rsid w:val="00003502"/>
    <w:rsid w:val="0000358D"/>
    <w:rsid w:val="000036D9"/>
    <w:rsid w:val="000036E7"/>
    <w:rsid w:val="00003785"/>
    <w:rsid w:val="00003896"/>
    <w:rsid w:val="00003977"/>
    <w:rsid w:val="00003A62"/>
    <w:rsid w:val="00003BDC"/>
    <w:rsid w:val="00003EBA"/>
    <w:rsid w:val="00004192"/>
    <w:rsid w:val="000043DC"/>
    <w:rsid w:val="000044EB"/>
    <w:rsid w:val="00004671"/>
    <w:rsid w:val="000046BE"/>
    <w:rsid w:val="0000471C"/>
    <w:rsid w:val="00004A43"/>
    <w:rsid w:val="00004A72"/>
    <w:rsid w:val="00004A88"/>
    <w:rsid w:val="00004B5A"/>
    <w:rsid w:val="00004B62"/>
    <w:rsid w:val="00004C12"/>
    <w:rsid w:val="00004C82"/>
    <w:rsid w:val="00004E8E"/>
    <w:rsid w:val="00004F30"/>
    <w:rsid w:val="00004F93"/>
    <w:rsid w:val="00005192"/>
    <w:rsid w:val="000051BB"/>
    <w:rsid w:val="0000524E"/>
    <w:rsid w:val="00005355"/>
    <w:rsid w:val="00005425"/>
    <w:rsid w:val="000054AA"/>
    <w:rsid w:val="00005558"/>
    <w:rsid w:val="00005671"/>
    <w:rsid w:val="0000570A"/>
    <w:rsid w:val="00005715"/>
    <w:rsid w:val="000058B9"/>
    <w:rsid w:val="00005904"/>
    <w:rsid w:val="00005932"/>
    <w:rsid w:val="000059D3"/>
    <w:rsid w:val="000059E7"/>
    <w:rsid w:val="00005AFB"/>
    <w:rsid w:val="00005B10"/>
    <w:rsid w:val="00005BD1"/>
    <w:rsid w:val="00005C44"/>
    <w:rsid w:val="00005C63"/>
    <w:rsid w:val="00005D5A"/>
    <w:rsid w:val="00005E07"/>
    <w:rsid w:val="00005E3F"/>
    <w:rsid w:val="00005EC7"/>
    <w:rsid w:val="00005F8D"/>
    <w:rsid w:val="00005FC9"/>
    <w:rsid w:val="00006026"/>
    <w:rsid w:val="00006099"/>
    <w:rsid w:val="0000614D"/>
    <w:rsid w:val="00006184"/>
    <w:rsid w:val="000061B6"/>
    <w:rsid w:val="000062F2"/>
    <w:rsid w:val="00006372"/>
    <w:rsid w:val="000063F7"/>
    <w:rsid w:val="00006522"/>
    <w:rsid w:val="00006584"/>
    <w:rsid w:val="000065E7"/>
    <w:rsid w:val="000066B6"/>
    <w:rsid w:val="00006704"/>
    <w:rsid w:val="00006767"/>
    <w:rsid w:val="00006799"/>
    <w:rsid w:val="00006800"/>
    <w:rsid w:val="000068AD"/>
    <w:rsid w:val="000068BC"/>
    <w:rsid w:val="00006BD5"/>
    <w:rsid w:val="00006C01"/>
    <w:rsid w:val="00006C84"/>
    <w:rsid w:val="00006C9C"/>
    <w:rsid w:val="00006CCC"/>
    <w:rsid w:val="00006CDF"/>
    <w:rsid w:val="00006EA4"/>
    <w:rsid w:val="00006EEA"/>
    <w:rsid w:val="00006F3E"/>
    <w:rsid w:val="00006FAE"/>
    <w:rsid w:val="00006FF0"/>
    <w:rsid w:val="00007017"/>
    <w:rsid w:val="0000701F"/>
    <w:rsid w:val="000070A2"/>
    <w:rsid w:val="000070B8"/>
    <w:rsid w:val="0000721D"/>
    <w:rsid w:val="0000734C"/>
    <w:rsid w:val="000074A3"/>
    <w:rsid w:val="000075C3"/>
    <w:rsid w:val="00007701"/>
    <w:rsid w:val="000077F2"/>
    <w:rsid w:val="000078A3"/>
    <w:rsid w:val="00007915"/>
    <w:rsid w:val="0000795B"/>
    <w:rsid w:val="0000798B"/>
    <w:rsid w:val="00007998"/>
    <w:rsid w:val="000079A5"/>
    <w:rsid w:val="000079B5"/>
    <w:rsid w:val="000079C3"/>
    <w:rsid w:val="00007B08"/>
    <w:rsid w:val="00007BED"/>
    <w:rsid w:val="00007CB7"/>
    <w:rsid w:val="00007D28"/>
    <w:rsid w:val="00007D40"/>
    <w:rsid w:val="00007E1C"/>
    <w:rsid w:val="00007ECF"/>
    <w:rsid w:val="0001007A"/>
    <w:rsid w:val="000100F3"/>
    <w:rsid w:val="0001014F"/>
    <w:rsid w:val="000101AD"/>
    <w:rsid w:val="00010542"/>
    <w:rsid w:val="00010613"/>
    <w:rsid w:val="0001064E"/>
    <w:rsid w:val="000106F1"/>
    <w:rsid w:val="000107A5"/>
    <w:rsid w:val="000107DC"/>
    <w:rsid w:val="00010818"/>
    <w:rsid w:val="00010BD8"/>
    <w:rsid w:val="00010C6A"/>
    <w:rsid w:val="00010CAD"/>
    <w:rsid w:val="00010D09"/>
    <w:rsid w:val="00010D28"/>
    <w:rsid w:val="00010D45"/>
    <w:rsid w:val="00010DF1"/>
    <w:rsid w:val="00010E54"/>
    <w:rsid w:val="00010EF7"/>
    <w:rsid w:val="00010FD1"/>
    <w:rsid w:val="00010FDA"/>
    <w:rsid w:val="00011005"/>
    <w:rsid w:val="00011053"/>
    <w:rsid w:val="00011202"/>
    <w:rsid w:val="000112F2"/>
    <w:rsid w:val="0001157F"/>
    <w:rsid w:val="00011724"/>
    <w:rsid w:val="0001174C"/>
    <w:rsid w:val="00011752"/>
    <w:rsid w:val="000117FC"/>
    <w:rsid w:val="00011A20"/>
    <w:rsid w:val="00011B3C"/>
    <w:rsid w:val="00011B67"/>
    <w:rsid w:val="00011BF4"/>
    <w:rsid w:val="00011C08"/>
    <w:rsid w:val="00011C24"/>
    <w:rsid w:val="00011D83"/>
    <w:rsid w:val="00011D97"/>
    <w:rsid w:val="00011DCB"/>
    <w:rsid w:val="00011DE9"/>
    <w:rsid w:val="00011E29"/>
    <w:rsid w:val="00011F73"/>
    <w:rsid w:val="00012035"/>
    <w:rsid w:val="000121E5"/>
    <w:rsid w:val="000121F5"/>
    <w:rsid w:val="00012216"/>
    <w:rsid w:val="00012249"/>
    <w:rsid w:val="000122F8"/>
    <w:rsid w:val="0001231A"/>
    <w:rsid w:val="0001236E"/>
    <w:rsid w:val="00012392"/>
    <w:rsid w:val="0001244F"/>
    <w:rsid w:val="000124F7"/>
    <w:rsid w:val="00012528"/>
    <w:rsid w:val="00012570"/>
    <w:rsid w:val="0001258E"/>
    <w:rsid w:val="000125C3"/>
    <w:rsid w:val="000125EB"/>
    <w:rsid w:val="00012607"/>
    <w:rsid w:val="0001264E"/>
    <w:rsid w:val="0001269E"/>
    <w:rsid w:val="00012703"/>
    <w:rsid w:val="00012753"/>
    <w:rsid w:val="0001281D"/>
    <w:rsid w:val="000128D0"/>
    <w:rsid w:val="0001297B"/>
    <w:rsid w:val="00012987"/>
    <w:rsid w:val="000129C9"/>
    <w:rsid w:val="00012A48"/>
    <w:rsid w:val="00012A7B"/>
    <w:rsid w:val="00012B1B"/>
    <w:rsid w:val="00012CD3"/>
    <w:rsid w:val="00012E18"/>
    <w:rsid w:val="00012EC9"/>
    <w:rsid w:val="00012F07"/>
    <w:rsid w:val="00012F5E"/>
    <w:rsid w:val="00012F6C"/>
    <w:rsid w:val="00013081"/>
    <w:rsid w:val="00013096"/>
    <w:rsid w:val="000131E3"/>
    <w:rsid w:val="00013305"/>
    <w:rsid w:val="00013422"/>
    <w:rsid w:val="0001361F"/>
    <w:rsid w:val="00013679"/>
    <w:rsid w:val="00013849"/>
    <w:rsid w:val="000138E0"/>
    <w:rsid w:val="00013904"/>
    <w:rsid w:val="00013A5E"/>
    <w:rsid w:val="00013B08"/>
    <w:rsid w:val="00013C26"/>
    <w:rsid w:val="00013C3C"/>
    <w:rsid w:val="00013C52"/>
    <w:rsid w:val="00013CEE"/>
    <w:rsid w:val="00013D17"/>
    <w:rsid w:val="00013EC7"/>
    <w:rsid w:val="00013EDE"/>
    <w:rsid w:val="00013F98"/>
    <w:rsid w:val="000141FA"/>
    <w:rsid w:val="00014327"/>
    <w:rsid w:val="0001434F"/>
    <w:rsid w:val="0001446A"/>
    <w:rsid w:val="00014473"/>
    <w:rsid w:val="000144D9"/>
    <w:rsid w:val="000146AC"/>
    <w:rsid w:val="0001473E"/>
    <w:rsid w:val="0001485C"/>
    <w:rsid w:val="00014860"/>
    <w:rsid w:val="000149D5"/>
    <w:rsid w:val="00014B21"/>
    <w:rsid w:val="00014B80"/>
    <w:rsid w:val="00014C50"/>
    <w:rsid w:val="00014E1E"/>
    <w:rsid w:val="00014F6F"/>
    <w:rsid w:val="00015007"/>
    <w:rsid w:val="000150AE"/>
    <w:rsid w:val="00015251"/>
    <w:rsid w:val="00015307"/>
    <w:rsid w:val="0001530A"/>
    <w:rsid w:val="00015318"/>
    <w:rsid w:val="00015482"/>
    <w:rsid w:val="000154EA"/>
    <w:rsid w:val="000155C2"/>
    <w:rsid w:val="000156FC"/>
    <w:rsid w:val="000156FF"/>
    <w:rsid w:val="0001570C"/>
    <w:rsid w:val="0001582F"/>
    <w:rsid w:val="00015850"/>
    <w:rsid w:val="0001591B"/>
    <w:rsid w:val="00015AF6"/>
    <w:rsid w:val="00015B13"/>
    <w:rsid w:val="00015B72"/>
    <w:rsid w:val="00015B75"/>
    <w:rsid w:val="00015BC4"/>
    <w:rsid w:val="00015C9B"/>
    <w:rsid w:val="00015E9D"/>
    <w:rsid w:val="00015E9E"/>
    <w:rsid w:val="00015EC6"/>
    <w:rsid w:val="00015EFC"/>
    <w:rsid w:val="00015F12"/>
    <w:rsid w:val="00015FED"/>
    <w:rsid w:val="00015FF9"/>
    <w:rsid w:val="00016019"/>
    <w:rsid w:val="00016026"/>
    <w:rsid w:val="00016064"/>
    <w:rsid w:val="000160EB"/>
    <w:rsid w:val="00016105"/>
    <w:rsid w:val="0001618E"/>
    <w:rsid w:val="000162B8"/>
    <w:rsid w:val="00016353"/>
    <w:rsid w:val="0001637B"/>
    <w:rsid w:val="000164C4"/>
    <w:rsid w:val="000164FE"/>
    <w:rsid w:val="00016671"/>
    <w:rsid w:val="0001676D"/>
    <w:rsid w:val="0001682C"/>
    <w:rsid w:val="000168DB"/>
    <w:rsid w:val="000168E3"/>
    <w:rsid w:val="00016955"/>
    <w:rsid w:val="00016956"/>
    <w:rsid w:val="00016969"/>
    <w:rsid w:val="00016B41"/>
    <w:rsid w:val="00016D55"/>
    <w:rsid w:val="00016E31"/>
    <w:rsid w:val="00016E39"/>
    <w:rsid w:val="00016EF5"/>
    <w:rsid w:val="00016F04"/>
    <w:rsid w:val="0001701F"/>
    <w:rsid w:val="0001731D"/>
    <w:rsid w:val="0001747D"/>
    <w:rsid w:val="000174A7"/>
    <w:rsid w:val="00017505"/>
    <w:rsid w:val="0001750E"/>
    <w:rsid w:val="00017532"/>
    <w:rsid w:val="000175A0"/>
    <w:rsid w:val="000176A2"/>
    <w:rsid w:val="000176B6"/>
    <w:rsid w:val="000177D5"/>
    <w:rsid w:val="000179A6"/>
    <w:rsid w:val="00017A04"/>
    <w:rsid w:val="00017A8D"/>
    <w:rsid w:val="00017AC1"/>
    <w:rsid w:val="00017B16"/>
    <w:rsid w:val="00017C71"/>
    <w:rsid w:val="00017E4C"/>
    <w:rsid w:val="00017E90"/>
    <w:rsid w:val="00017EF5"/>
    <w:rsid w:val="00017FC7"/>
    <w:rsid w:val="000200C0"/>
    <w:rsid w:val="00020160"/>
    <w:rsid w:val="00020161"/>
    <w:rsid w:val="000201B8"/>
    <w:rsid w:val="000201C8"/>
    <w:rsid w:val="000202F5"/>
    <w:rsid w:val="0002038D"/>
    <w:rsid w:val="00020455"/>
    <w:rsid w:val="00020570"/>
    <w:rsid w:val="0002072D"/>
    <w:rsid w:val="0002072F"/>
    <w:rsid w:val="00020789"/>
    <w:rsid w:val="00020870"/>
    <w:rsid w:val="00020A57"/>
    <w:rsid w:val="00020ACD"/>
    <w:rsid w:val="00020B0C"/>
    <w:rsid w:val="00020C72"/>
    <w:rsid w:val="00020CB8"/>
    <w:rsid w:val="00020D4C"/>
    <w:rsid w:val="00020D93"/>
    <w:rsid w:val="00020DF6"/>
    <w:rsid w:val="00020E12"/>
    <w:rsid w:val="00020E42"/>
    <w:rsid w:val="00020F34"/>
    <w:rsid w:val="00020F82"/>
    <w:rsid w:val="0002105A"/>
    <w:rsid w:val="000210F2"/>
    <w:rsid w:val="00021331"/>
    <w:rsid w:val="00021652"/>
    <w:rsid w:val="000216CD"/>
    <w:rsid w:val="00021717"/>
    <w:rsid w:val="00021793"/>
    <w:rsid w:val="0002187D"/>
    <w:rsid w:val="000218BB"/>
    <w:rsid w:val="0002192A"/>
    <w:rsid w:val="00021A16"/>
    <w:rsid w:val="00021A74"/>
    <w:rsid w:val="00021AE7"/>
    <w:rsid w:val="00021B1E"/>
    <w:rsid w:val="00022037"/>
    <w:rsid w:val="00022087"/>
    <w:rsid w:val="000220CD"/>
    <w:rsid w:val="000220D5"/>
    <w:rsid w:val="00022109"/>
    <w:rsid w:val="0002230D"/>
    <w:rsid w:val="000223E5"/>
    <w:rsid w:val="00022625"/>
    <w:rsid w:val="00022644"/>
    <w:rsid w:val="00022666"/>
    <w:rsid w:val="00022705"/>
    <w:rsid w:val="000228C2"/>
    <w:rsid w:val="000228C9"/>
    <w:rsid w:val="00022A0F"/>
    <w:rsid w:val="00022AB8"/>
    <w:rsid w:val="00022B61"/>
    <w:rsid w:val="00022B62"/>
    <w:rsid w:val="00022E52"/>
    <w:rsid w:val="00022E56"/>
    <w:rsid w:val="00022EAB"/>
    <w:rsid w:val="00022EB2"/>
    <w:rsid w:val="00022F1D"/>
    <w:rsid w:val="00022F69"/>
    <w:rsid w:val="000230AA"/>
    <w:rsid w:val="000230BD"/>
    <w:rsid w:val="0002318B"/>
    <w:rsid w:val="000231F2"/>
    <w:rsid w:val="0002322F"/>
    <w:rsid w:val="000232C2"/>
    <w:rsid w:val="000233A3"/>
    <w:rsid w:val="000233CE"/>
    <w:rsid w:val="00023498"/>
    <w:rsid w:val="000235C4"/>
    <w:rsid w:val="000237B1"/>
    <w:rsid w:val="00023A32"/>
    <w:rsid w:val="00023A49"/>
    <w:rsid w:val="00023B49"/>
    <w:rsid w:val="00023C69"/>
    <w:rsid w:val="00023D1C"/>
    <w:rsid w:val="00023D61"/>
    <w:rsid w:val="00023E6D"/>
    <w:rsid w:val="00023F31"/>
    <w:rsid w:val="00023F86"/>
    <w:rsid w:val="00024004"/>
    <w:rsid w:val="00024042"/>
    <w:rsid w:val="00024085"/>
    <w:rsid w:val="000240FC"/>
    <w:rsid w:val="000241F0"/>
    <w:rsid w:val="00024464"/>
    <w:rsid w:val="00024467"/>
    <w:rsid w:val="0002456F"/>
    <w:rsid w:val="00024656"/>
    <w:rsid w:val="00024694"/>
    <w:rsid w:val="000247EB"/>
    <w:rsid w:val="00024809"/>
    <w:rsid w:val="0002481E"/>
    <w:rsid w:val="0002484C"/>
    <w:rsid w:val="000248A9"/>
    <w:rsid w:val="00024936"/>
    <w:rsid w:val="00024A96"/>
    <w:rsid w:val="00024BD4"/>
    <w:rsid w:val="00024C16"/>
    <w:rsid w:val="00024D47"/>
    <w:rsid w:val="00024E4E"/>
    <w:rsid w:val="00024FF2"/>
    <w:rsid w:val="00025015"/>
    <w:rsid w:val="00025016"/>
    <w:rsid w:val="0002502B"/>
    <w:rsid w:val="00025086"/>
    <w:rsid w:val="0002511F"/>
    <w:rsid w:val="0002519B"/>
    <w:rsid w:val="00025277"/>
    <w:rsid w:val="000252DE"/>
    <w:rsid w:val="0002534E"/>
    <w:rsid w:val="00025446"/>
    <w:rsid w:val="0002557C"/>
    <w:rsid w:val="0002559F"/>
    <w:rsid w:val="000255C6"/>
    <w:rsid w:val="000257F6"/>
    <w:rsid w:val="00025814"/>
    <w:rsid w:val="0002594D"/>
    <w:rsid w:val="00025B3E"/>
    <w:rsid w:val="00025B63"/>
    <w:rsid w:val="00025B73"/>
    <w:rsid w:val="00025B77"/>
    <w:rsid w:val="00025BAF"/>
    <w:rsid w:val="00025C3D"/>
    <w:rsid w:val="00025DF9"/>
    <w:rsid w:val="00025E46"/>
    <w:rsid w:val="00025E5A"/>
    <w:rsid w:val="00025F00"/>
    <w:rsid w:val="00025FF9"/>
    <w:rsid w:val="000260AA"/>
    <w:rsid w:val="00026109"/>
    <w:rsid w:val="00026146"/>
    <w:rsid w:val="000261E5"/>
    <w:rsid w:val="000261F1"/>
    <w:rsid w:val="00026255"/>
    <w:rsid w:val="0002625B"/>
    <w:rsid w:val="000263C2"/>
    <w:rsid w:val="0002649D"/>
    <w:rsid w:val="0002657B"/>
    <w:rsid w:val="00026627"/>
    <w:rsid w:val="000266AD"/>
    <w:rsid w:val="000266D2"/>
    <w:rsid w:val="000267C6"/>
    <w:rsid w:val="0002684B"/>
    <w:rsid w:val="00026895"/>
    <w:rsid w:val="000268B9"/>
    <w:rsid w:val="0002696E"/>
    <w:rsid w:val="000269B1"/>
    <w:rsid w:val="00026B2E"/>
    <w:rsid w:val="00026B3C"/>
    <w:rsid w:val="00026B3F"/>
    <w:rsid w:val="00026B88"/>
    <w:rsid w:val="00026C52"/>
    <w:rsid w:val="00026E05"/>
    <w:rsid w:val="00026FBD"/>
    <w:rsid w:val="0002713C"/>
    <w:rsid w:val="000271BE"/>
    <w:rsid w:val="0002726A"/>
    <w:rsid w:val="000272B1"/>
    <w:rsid w:val="000272F4"/>
    <w:rsid w:val="0002742F"/>
    <w:rsid w:val="00027433"/>
    <w:rsid w:val="00027730"/>
    <w:rsid w:val="0002786D"/>
    <w:rsid w:val="00027932"/>
    <w:rsid w:val="0002794A"/>
    <w:rsid w:val="0002798A"/>
    <w:rsid w:val="00027A14"/>
    <w:rsid w:val="00027A83"/>
    <w:rsid w:val="00027B04"/>
    <w:rsid w:val="00027B34"/>
    <w:rsid w:val="00027B8D"/>
    <w:rsid w:val="00027B9B"/>
    <w:rsid w:val="00027BDE"/>
    <w:rsid w:val="00027CDA"/>
    <w:rsid w:val="00027D0A"/>
    <w:rsid w:val="00027D28"/>
    <w:rsid w:val="00027DFD"/>
    <w:rsid w:val="0003018E"/>
    <w:rsid w:val="000301A1"/>
    <w:rsid w:val="000301D7"/>
    <w:rsid w:val="00030206"/>
    <w:rsid w:val="00030230"/>
    <w:rsid w:val="00030307"/>
    <w:rsid w:val="00030339"/>
    <w:rsid w:val="000303A3"/>
    <w:rsid w:val="0003040B"/>
    <w:rsid w:val="00030428"/>
    <w:rsid w:val="0003043B"/>
    <w:rsid w:val="000305CF"/>
    <w:rsid w:val="00030788"/>
    <w:rsid w:val="0003088A"/>
    <w:rsid w:val="000308E1"/>
    <w:rsid w:val="00030904"/>
    <w:rsid w:val="000309DB"/>
    <w:rsid w:val="00030A08"/>
    <w:rsid w:val="00030A5A"/>
    <w:rsid w:val="00030B05"/>
    <w:rsid w:val="00030C5D"/>
    <w:rsid w:val="00030CC8"/>
    <w:rsid w:val="00030D2E"/>
    <w:rsid w:val="00030E4F"/>
    <w:rsid w:val="00030E67"/>
    <w:rsid w:val="00030F5D"/>
    <w:rsid w:val="00031006"/>
    <w:rsid w:val="0003111C"/>
    <w:rsid w:val="0003112A"/>
    <w:rsid w:val="00031169"/>
    <w:rsid w:val="000311A0"/>
    <w:rsid w:val="00031391"/>
    <w:rsid w:val="000313C4"/>
    <w:rsid w:val="00031502"/>
    <w:rsid w:val="00031644"/>
    <w:rsid w:val="0003167B"/>
    <w:rsid w:val="00031722"/>
    <w:rsid w:val="0003177F"/>
    <w:rsid w:val="00031816"/>
    <w:rsid w:val="00031820"/>
    <w:rsid w:val="000318EE"/>
    <w:rsid w:val="00031B93"/>
    <w:rsid w:val="00031C41"/>
    <w:rsid w:val="00031C4F"/>
    <w:rsid w:val="00031C64"/>
    <w:rsid w:val="00031C7C"/>
    <w:rsid w:val="00031CC3"/>
    <w:rsid w:val="00031E27"/>
    <w:rsid w:val="00031FDA"/>
    <w:rsid w:val="0003206E"/>
    <w:rsid w:val="000320DA"/>
    <w:rsid w:val="00032107"/>
    <w:rsid w:val="0003214D"/>
    <w:rsid w:val="00032189"/>
    <w:rsid w:val="00032684"/>
    <w:rsid w:val="000326AD"/>
    <w:rsid w:val="00032735"/>
    <w:rsid w:val="00032831"/>
    <w:rsid w:val="0003283F"/>
    <w:rsid w:val="000328FB"/>
    <w:rsid w:val="00032935"/>
    <w:rsid w:val="000329BA"/>
    <w:rsid w:val="00032A21"/>
    <w:rsid w:val="00032A35"/>
    <w:rsid w:val="00032ACA"/>
    <w:rsid w:val="00032AF8"/>
    <w:rsid w:val="00032B85"/>
    <w:rsid w:val="00032C30"/>
    <w:rsid w:val="00032C4E"/>
    <w:rsid w:val="00032C98"/>
    <w:rsid w:val="00032C9D"/>
    <w:rsid w:val="00032CED"/>
    <w:rsid w:val="00032E80"/>
    <w:rsid w:val="00032F01"/>
    <w:rsid w:val="00032F2E"/>
    <w:rsid w:val="00032F84"/>
    <w:rsid w:val="0003338F"/>
    <w:rsid w:val="000333B0"/>
    <w:rsid w:val="000334CC"/>
    <w:rsid w:val="00033539"/>
    <w:rsid w:val="000335F3"/>
    <w:rsid w:val="0003361B"/>
    <w:rsid w:val="00033692"/>
    <w:rsid w:val="0003378B"/>
    <w:rsid w:val="000337A7"/>
    <w:rsid w:val="0003398A"/>
    <w:rsid w:val="00033AC5"/>
    <w:rsid w:val="00033AE0"/>
    <w:rsid w:val="00033CDE"/>
    <w:rsid w:val="00033DD9"/>
    <w:rsid w:val="00033E59"/>
    <w:rsid w:val="00033E89"/>
    <w:rsid w:val="00033E91"/>
    <w:rsid w:val="00034026"/>
    <w:rsid w:val="00034086"/>
    <w:rsid w:val="000340F9"/>
    <w:rsid w:val="000340FB"/>
    <w:rsid w:val="00034358"/>
    <w:rsid w:val="00034404"/>
    <w:rsid w:val="00034549"/>
    <w:rsid w:val="000345F0"/>
    <w:rsid w:val="000346AA"/>
    <w:rsid w:val="000346B8"/>
    <w:rsid w:val="000346C0"/>
    <w:rsid w:val="00034718"/>
    <w:rsid w:val="00034800"/>
    <w:rsid w:val="000348A8"/>
    <w:rsid w:val="0003495E"/>
    <w:rsid w:val="00034B31"/>
    <w:rsid w:val="00034BFB"/>
    <w:rsid w:val="00034CC4"/>
    <w:rsid w:val="00034CC9"/>
    <w:rsid w:val="00034CCE"/>
    <w:rsid w:val="00034EDE"/>
    <w:rsid w:val="00034F7D"/>
    <w:rsid w:val="000351CD"/>
    <w:rsid w:val="000352A1"/>
    <w:rsid w:val="0003543B"/>
    <w:rsid w:val="0003562B"/>
    <w:rsid w:val="0003567C"/>
    <w:rsid w:val="00035793"/>
    <w:rsid w:val="000357CA"/>
    <w:rsid w:val="000357D0"/>
    <w:rsid w:val="00035996"/>
    <w:rsid w:val="000359B3"/>
    <w:rsid w:val="000359EC"/>
    <w:rsid w:val="00035A70"/>
    <w:rsid w:val="00035A7C"/>
    <w:rsid w:val="00035AC1"/>
    <w:rsid w:val="00035B0B"/>
    <w:rsid w:val="00035B54"/>
    <w:rsid w:val="00035BD4"/>
    <w:rsid w:val="00035C91"/>
    <w:rsid w:val="00035D10"/>
    <w:rsid w:val="00035D6F"/>
    <w:rsid w:val="00035DF1"/>
    <w:rsid w:val="00035E32"/>
    <w:rsid w:val="00035E7E"/>
    <w:rsid w:val="00035FE5"/>
    <w:rsid w:val="000360C8"/>
    <w:rsid w:val="0003613B"/>
    <w:rsid w:val="000361C2"/>
    <w:rsid w:val="00036293"/>
    <w:rsid w:val="00036296"/>
    <w:rsid w:val="000362A4"/>
    <w:rsid w:val="0003634F"/>
    <w:rsid w:val="00036365"/>
    <w:rsid w:val="000363A6"/>
    <w:rsid w:val="0003648C"/>
    <w:rsid w:val="000366E0"/>
    <w:rsid w:val="0003673D"/>
    <w:rsid w:val="000367FF"/>
    <w:rsid w:val="00036879"/>
    <w:rsid w:val="00036987"/>
    <w:rsid w:val="000369AB"/>
    <w:rsid w:val="00036AE3"/>
    <w:rsid w:val="00036BFD"/>
    <w:rsid w:val="00036C27"/>
    <w:rsid w:val="00036C6C"/>
    <w:rsid w:val="00036CDF"/>
    <w:rsid w:val="00036D80"/>
    <w:rsid w:val="00036E72"/>
    <w:rsid w:val="00036F60"/>
    <w:rsid w:val="00036F8A"/>
    <w:rsid w:val="00036FEB"/>
    <w:rsid w:val="000370AA"/>
    <w:rsid w:val="00037163"/>
    <w:rsid w:val="00037438"/>
    <w:rsid w:val="0003749E"/>
    <w:rsid w:val="00037550"/>
    <w:rsid w:val="00037569"/>
    <w:rsid w:val="000375D4"/>
    <w:rsid w:val="000376F2"/>
    <w:rsid w:val="0003781D"/>
    <w:rsid w:val="000378FF"/>
    <w:rsid w:val="0003793C"/>
    <w:rsid w:val="000379F8"/>
    <w:rsid w:val="00037D3C"/>
    <w:rsid w:val="00037E5A"/>
    <w:rsid w:val="00037E94"/>
    <w:rsid w:val="00037F41"/>
    <w:rsid w:val="00040026"/>
    <w:rsid w:val="00040028"/>
    <w:rsid w:val="0004008C"/>
    <w:rsid w:val="000401AF"/>
    <w:rsid w:val="000401CC"/>
    <w:rsid w:val="000402FF"/>
    <w:rsid w:val="0004030B"/>
    <w:rsid w:val="00040388"/>
    <w:rsid w:val="00040398"/>
    <w:rsid w:val="0004046A"/>
    <w:rsid w:val="000404E8"/>
    <w:rsid w:val="000404F4"/>
    <w:rsid w:val="000406CF"/>
    <w:rsid w:val="00040780"/>
    <w:rsid w:val="000407B0"/>
    <w:rsid w:val="000407DA"/>
    <w:rsid w:val="0004082A"/>
    <w:rsid w:val="0004085B"/>
    <w:rsid w:val="00040A7A"/>
    <w:rsid w:val="00040AC3"/>
    <w:rsid w:val="00040D19"/>
    <w:rsid w:val="00040D8F"/>
    <w:rsid w:val="00040DC8"/>
    <w:rsid w:val="00040DDF"/>
    <w:rsid w:val="00040EBE"/>
    <w:rsid w:val="00040EFF"/>
    <w:rsid w:val="00040F05"/>
    <w:rsid w:val="00040F39"/>
    <w:rsid w:val="00040FF1"/>
    <w:rsid w:val="0004103C"/>
    <w:rsid w:val="000410D7"/>
    <w:rsid w:val="000411E8"/>
    <w:rsid w:val="00041211"/>
    <w:rsid w:val="00041355"/>
    <w:rsid w:val="0004135D"/>
    <w:rsid w:val="000413A5"/>
    <w:rsid w:val="000414A8"/>
    <w:rsid w:val="000414CE"/>
    <w:rsid w:val="000414D4"/>
    <w:rsid w:val="0004156E"/>
    <w:rsid w:val="0004169F"/>
    <w:rsid w:val="000416C6"/>
    <w:rsid w:val="000416F9"/>
    <w:rsid w:val="00041725"/>
    <w:rsid w:val="0004172D"/>
    <w:rsid w:val="00041975"/>
    <w:rsid w:val="00041A74"/>
    <w:rsid w:val="00041B1D"/>
    <w:rsid w:val="00041BA8"/>
    <w:rsid w:val="00041D22"/>
    <w:rsid w:val="00041D45"/>
    <w:rsid w:val="00041E3B"/>
    <w:rsid w:val="00041EEF"/>
    <w:rsid w:val="00041F07"/>
    <w:rsid w:val="00041F3C"/>
    <w:rsid w:val="000421BE"/>
    <w:rsid w:val="000422D4"/>
    <w:rsid w:val="00042427"/>
    <w:rsid w:val="000426E1"/>
    <w:rsid w:val="00042729"/>
    <w:rsid w:val="0004274E"/>
    <w:rsid w:val="0004290A"/>
    <w:rsid w:val="00042A76"/>
    <w:rsid w:val="00042AB0"/>
    <w:rsid w:val="00042B71"/>
    <w:rsid w:val="00042CF7"/>
    <w:rsid w:val="00042DA4"/>
    <w:rsid w:val="00042E3C"/>
    <w:rsid w:val="00042F0C"/>
    <w:rsid w:val="000430E9"/>
    <w:rsid w:val="000430EF"/>
    <w:rsid w:val="000430FF"/>
    <w:rsid w:val="0004310E"/>
    <w:rsid w:val="00043224"/>
    <w:rsid w:val="0004327B"/>
    <w:rsid w:val="000432F8"/>
    <w:rsid w:val="0004337D"/>
    <w:rsid w:val="000433B2"/>
    <w:rsid w:val="0004342D"/>
    <w:rsid w:val="00043515"/>
    <w:rsid w:val="00043559"/>
    <w:rsid w:val="00043588"/>
    <w:rsid w:val="000435D8"/>
    <w:rsid w:val="00043601"/>
    <w:rsid w:val="000436FB"/>
    <w:rsid w:val="000437FA"/>
    <w:rsid w:val="00043853"/>
    <w:rsid w:val="00043940"/>
    <w:rsid w:val="00043A23"/>
    <w:rsid w:val="00043A85"/>
    <w:rsid w:val="00043ABC"/>
    <w:rsid w:val="00043B57"/>
    <w:rsid w:val="00043BE4"/>
    <w:rsid w:val="00043C4D"/>
    <w:rsid w:val="00043CA5"/>
    <w:rsid w:val="00043CEF"/>
    <w:rsid w:val="00043D8E"/>
    <w:rsid w:val="00043E2C"/>
    <w:rsid w:val="00043E55"/>
    <w:rsid w:val="00043E86"/>
    <w:rsid w:val="000442B2"/>
    <w:rsid w:val="000444C8"/>
    <w:rsid w:val="000444FC"/>
    <w:rsid w:val="00044520"/>
    <w:rsid w:val="0004464A"/>
    <w:rsid w:val="0004468D"/>
    <w:rsid w:val="0004472C"/>
    <w:rsid w:val="0004479F"/>
    <w:rsid w:val="00044845"/>
    <w:rsid w:val="000449D4"/>
    <w:rsid w:val="00044AF7"/>
    <w:rsid w:val="00044C5A"/>
    <w:rsid w:val="00044D5E"/>
    <w:rsid w:val="00044D73"/>
    <w:rsid w:val="00044EFC"/>
    <w:rsid w:val="00044F57"/>
    <w:rsid w:val="00044F97"/>
    <w:rsid w:val="00045083"/>
    <w:rsid w:val="0004522D"/>
    <w:rsid w:val="00045255"/>
    <w:rsid w:val="000452D5"/>
    <w:rsid w:val="0004533A"/>
    <w:rsid w:val="000454C4"/>
    <w:rsid w:val="000454FD"/>
    <w:rsid w:val="0004556F"/>
    <w:rsid w:val="0004564F"/>
    <w:rsid w:val="000456E3"/>
    <w:rsid w:val="000457DB"/>
    <w:rsid w:val="000457F1"/>
    <w:rsid w:val="0004599A"/>
    <w:rsid w:val="000459A6"/>
    <w:rsid w:val="00045B5B"/>
    <w:rsid w:val="00045B70"/>
    <w:rsid w:val="00045BD4"/>
    <w:rsid w:val="00045BE0"/>
    <w:rsid w:val="00045C7F"/>
    <w:rsid w:val="00045C8C"/>
    <w:rsid w:val="00045CA6"/>
    <w:rsid w:val="00045CCD"/>
    <w:rsid w:val="00045EB3"/>
    <w:rsid w:val="00045EDE"/>
    <w:rsid w:val="00045F0E"/>
    <w:rsid w:val="00045F3C"/>
    <w:rsid w:val="00046019"/>
    <w:rsid w:val="000460DD"/>
    <w:rsid w:val="0004616A"/>
    <w:rsid w:val="000461CE"/>
    <w:rsid w:val="000461EE"/>
    <w:rsid w:val="00046488"/>
    <w:rsid w:val="00046741"/>
    <w:rsid w:val="00046776"/>
    <w:rsid w:val="000467AE"/>
    <w:rsid w:val="0004681A"/>
    <w:rsid w:val="00046933"/>
    <w:rsid w:val="00046A2F"/>
    <w:rsid w:val="00046A68"/>
    <w:rsid w:val="00046AAE"/>
    <w:rsid w:val="00046C94"/>
    <w:rsid w:val="00046CEC"/>
    <w:rsid w:val="00046D86"/>
    <w:rsid w:val="00046E32"/>
    <w:rsid w:val="00046EA8"/>
    <w:rsid w:val="00046F3A"/>
    <w:rsid w:val="00046F5F"/>
    <w:rsid w:val="00046F79"/>
    <w:rsid w:val="000471EA"/>
    <w:rsid w:val="0004723B"/>
    <w:rsid w:val="00047326"/>
    <w:rsid w:val="00047464"/>
    <w:rsid w:val="00047563"/>
    <w:rsid w:val="00047565"/>
    <w:rsid w:val="00047658"/>
    <w:rsid w:val="00047685"/>
    <w:rsid w:val="00047895"/>
    <w:rsid w:val="000478CB"/>
    <w:rsid w:val="00047C53"/>
    <w:rsid w:val="00047DDB"/>
    <w:rsid w:val="00047E36"/>
    <w:rsid w:val="00047EE7"/>
    <w:rsid w:val="00047F06"/>
    <w:rsid w:val="00047FAC"/>
    <w:rsid w:val="00047FC7"/>
    <w:rsid w:val="00050044"/>
    <w:rsid w:val="000500D5"/>
    <w:rsid w:val="0005012E"/>
    <w:rsid w:val="000501C9"/>
    <w:rsid w:val="000502B7"/>
    <w:rsid w:val="000502BD"/>
    <w:rsid w:val="00050309"/>
    <w:rsid w:val="0005032F"/>
    <w:rsid w:val="00050635"/>
    <w:rsid w:val="00050679"/>
    <w:rsid w:val="000506D5"/>
    <w:rsid w:val="00050796"/>
    <w:rsid w:val="000507E9"/>
    <w:rsid w:val="0005083B"/>
    <w:rsid w:val="000508E0"/>
    <w:rsid w:val="00050928"/>
    <w:rsid w:val="0005095A"/>
    <w:rsid w:val="00050A2C"/>
    <w:rsid w:val="00050A52"/>
    <w:rsid w:val="00050B25"/>
    <w:rsid w:val="00050C01"/>
    <w:rsid w:val="00050C71"/>
    <w:rsid w:val="00050CA4"/>
    <w:rsid w:val="00050CC7"/>
    <w:rsid w:val="00050D84"/>
    <w:rsid w:val="00050E30"/>
    <w:rsid w:val="00050EE1"/>
    <w:rsid w:val="00050F22"/>
    <w:rsid w:val="00050F6E"/>
    <w:rsid w:val="00051068"/>
    <w:rsid w:val="000510A7"/>
    <w:rsid w:val="000510C4"/>
    <w:rsid w:val="0005114B"/>
    <w:rsid w:val="0005126C"/>
    <w:rsid w:val="000514B9"/>
    <w:rsid w:val="00051503"/>
    <w:rsid w:val="00051622"/>
    <w:rsid w:val="0005162B"/>
    <w:rsid w:val="0005171A"/>
    <w:rsid w:val="000517DF"/>
    <w:rsid w:val="000517F0"/>
    <w:rsid w:val="00051828"/>
    <w:rsid w:val="00051893"/>
    <w:rsid w:val="000518E6"/>
    <w:rsid w:val="00051A56"/>
    <w:rsid w:val="00051B62"/>
    <w:rsid w:val="00051BDC"/>
    <w:rsid w:val="00051C11"/>
    <w:rsid w:val="00051C3A"/>
    <w:rsid w:val="00051C92"/>
    <w:rsid w:val="00051CE6"/>
    <w:rsid w:val="00051DEF"/>
    <w:rsid w:val="00051E94"/>
    <w:rsid w:val="00051EF2"/>
    <w:rsid w:val="00051EF6"/>
    <w:rsid w:val="00052076"/>
    <w:rsid w:val="00052158"/>
    <w:rsid w:val="00052291"/>
    <w:rsid w:val="000522B0"/>
    <w:rsid w:val="000522D7"/>
    <w:rsid w:val="00052335"/>
    <w:rsid w:val="0005236F"/>
    <w:rsid w:val="00052449"/>
    <w:rsid w:val="00052465"/>
    <w:rsid w:val="000524CA"/>
    <w:rsid w:val="00052543"/>
    <w:rsid w:val="0005259F"/>
    <w:rsid w:val="0005267A"/>
    <w:rsid w:val="00052682"/>
    <w:rsid w:val="000526FC"/>
    <w:rsid w:val="00052743"/>
    <w:rsid w:val="0005274F"/>
    <w:rsid w:val="000529C7"/>
    <w:rsid w:val="000529E4"/>
    <w:rsid w:val="00052A32"/>
    <w:rsid w:val="00052A38"/>
    <w:rsid w:val="00052B73"/>
    <w:rsid w:val="00052D64"/>
    <w:rsid w:val="00052D83"/>
    <w:rsid w:val="00052E14"/>
    <w:rsid w:val="00052E15"/>
    <w:rsid w:val="00052E9A"/>
    <w:rsid w:val="00052ED4"/>
    <w:rsid w:val="00053016"/>
    <w:rsid w:val="0005308C"/>
    <w:rsid w:val="000530EF"/>
    <w:rsid w:val="000531A6"/>
    <w:rsid w:val="000531CA"/>
    <w:rsid w:val="000536B6"/>
    <w:rsid w:val="000536C4"/>
    <w:rsid w:val="000536E3"/>
    <w:rsid w:val="00053778"/>
    <w:rsid w:val="000537B8"/>
    <w:rsid w:val="000537F4"/>
    <w:rsid w:val="0005388F"/>
    <w:rsid w:val="000538B8"/>
    <w:rsid w:val="00053907"/>
    <w:rsid w:val="00053909"/>
    <w:rsid w:val="00053B05"/>
    <w:rsid w:val="00053B59"/>
    <w:rsid w:val="00053BA2"/>
    <w:rsid w:val="00053BE4"/>
    <w:rsid w:val="00053C98"/>
    <w:rsid w:val="00053CA0"/>
    <w:rsid w:val="00053D51"/>
    <w:rsid w:val="00053EC3"/>
    <w:rsid w:val="00053EF7"/>
    <w:rsid w:val="00053EFA"/>
    <w:rsid w:val="00053F11"/>
    <w:rsid w:val="00054080"/>
    <w:rsid w:val="0005412E"/>
    <w:rsid w:val="000541EE"/>
    <w:rsid w:val="00054426"/>
    <w:rsid w:val="000544B4"/>
    <w:rsid w:val="000545D3"/>
    <w:rsid w:val="00054701"/>
    <w:rsid w:val="00054770"/>
    <w:rsid w:val="0005481B"/>
    <w:rsid w:val="00054849"/>
    <w:rsid w:val="0005484B"/>
    <w:rsid w:val="00054863"/>
    <w:rsid w:val="0005499A"/>
    <w:rsid w:val="00054B36"/>
    <w:rsid w:val="00054B96"/>
    <w:rsid w:val="00054C77"/>
    <w:rsid w:val="00054C82"/>
    <w:rsid w:val="00054CD1"/>
    <w:rsid w:val="00054EF0"/>
    <w:rsid w:val="00054F23"/>
    <w:rsid w:val="0005502E"/>
    <w:rsid w:val="000550B8"/>
    <w:rsid w:val="000550C2"/>
    <w:rsid w:val="000550FC"/>
    <w:rsid w:val="00055104"/>
    <w:rsid w:val="0005512C"/>
    <w:rsid w:val="0005514D"/>
    <w:rsid w:val="000551E1"/>
    <w:rsid w:val="00055288"/>
    <w:rsid w:val="00055294"/>
    <w:rsid w:val="000552EE"/>
    <w:rsid w:val="00055374"/>
    <w:rsid w:val="000553C0"/>
    <w:rsid w:val="00055444"/>
    <w:rsid w:val="000554E1"/>
    <w:rsid w:val="0005558B"/>
    <w:rsid w:val="00055693"/>
    <w:rsid w:val="0005574B"/>
    <w:rsid w:val="0005584B"/>
    <w:rsid w:val="00055862"/>
    <w:rsid w:val="00055AC2"/>
    <w:rsid w:val="00055ACB"/>
    <w:rsid w:val="00055B15"/>
    <w:rsid w:val="00055B35"/>
    <w:rsid w:val="00055F58"/>
    <w:rsid w:val="00055F5D"/>
    <w:rsid w:val="00055F71"/>
    <w:rsid w:val="00056013"/>
    <w:rsid w:val="00056029"/>
    <w:rsid w:val="000560D5"/>
    <w:rsid w:val="00056155"/>
    <w:rsid w:val="00056193"/>
    <w:rsid w:val="0005620F"/>
    <w:rsid w:val="00056253"/>
    <w:rsid w:val="000562A2"/>
    <w:rsid w:val="000562C3"/>
    <w:rsid w:val="00056491"/>
    <w:rsid w:val="00056530"/>
    <w:rsid w:val="00056531"/>
    <w:rsid w:val="00056560"/>
    <w:rsid w:val="000565C5"/>
    <w:rsid w:val="000565E0"/>
    <w:rsid w:val="00056653"/>
    <w:rsid w:val="000567A6"/>
    <w:rsid w:val="000567E4"/>
    <w:rsid w:val="00056918"/>
    <w:rsid w:val="000569C0"/>
    <w:rsid w:val="000569F9"/>
    <w:rsid w:val="00056A2B"/>
    <w:rsid w:val="00056B27"/>
    <w:rsid w:val="00056B29"/>
    <w:rsid w:val="00056CDC"/>
    <w:rsid w:val="00056DD4"/>
    <w:rsid w:val="00056E14"/>
    <w:rsid w:val="00056E69"/>
    <w:rsid w:val="00056FDD"/>
    <w:rsid w:val="00057033"/>
    <w:rsid w:val="00057092"/>
    <w:rsid w:val="0005709D"/>
    <w:rsid w:val="000571B2"/>
    <w:rsid w:val="000572D3"/>
    <w:rsid w:val="0005731A"/>
    <w:rsid w:val="00057362"/>
    <w:rsid w:val="00057373"/>
    <w:rsid w:val="0005737A"/>
    <w:rsid w:val="000573E4"/>
    <w:rsid w:val="0005753E"/>
    <w:rsid w:val="0005763D"/>
    <w:rsid w:val="0005765B"/>
    <w:rsid w:val="000578AE"/>
    <w:rsid w:val="000578F0"/>
    <w:rsid w:val="0005793F"/>
    <w:rsid w:val="0005796B"/>
    <w:rsid w:val="00057B0C"/>
    <w:rsid w:val="00057B2D"/>
    <w:rsid w:val="00057CE2"/>
    <w:rsid w:val="00057E72"/>
    <w:rsid w:val="00057F4F"/>
    <w:rsid w:val="00057FC5"/>
    <w:rsid w:val="00057FC8"/>
    <w:rsid w:val="00057FF4"/>
    <w:rsid w:val="00060088"/>
    <w:rsid w:val="000600C5"/>
    <w:rsid w:val="0006021F"/>
    <w:rsid w:val="000602CC"/>
    <w:rsid w:val="000602DA"/>
    <w:rsid w:val="00060334"/>
    <w:rsid w:val="00060444"/>
    <w:rsid w:val="0006051F"/>
    <w:rsid w:val="00060582"/>
    <w:rsid w:val="0006061D"/>
    <w:rsid w:val="0006064B"/>
    <w:rsid w:val="00060738"/>
    <w:rsid w:val="00060808"/>
    <w:rsid w:val="0006083B"/>
    <w:rsid w:val="000608E8"/>
    <w:rsid w:val="00060906"/>
    <w:rsid w:val="0006098E"/>
    <w:rsid w:val="000609D8"/>
    <w:rsid w:val="000609DE"/>
    <w:rsid w:val="00060B56"/>
    <w:rsid w:val="00060B62"/>
    <w:rsid w:val="00060CA1"/>
    <w:rsid w:val="00060D1A"/>
    <w:rsid w:val="00060DD2"/>
    <w:rsid w:val="00060EED"/>
    <w:rsid w:val="00060F78"/>
    <w:rsid w:val="000610B6"/>
    <w:rsid w:val="000611E9"/>
    <w:rsid w:val="000612BA"/>
    <w:rsid w:val="000612D9"/>
    <w:rsid w:val="000613D9"/>
    <w:rsid w:val="00061429"/>
    <w:rsid w:val="000614AC"/>
    <w:rsid w:val="000614C7"/>
    <w:rsid w:val="0006157F"/>
    <w:rsid w:val="000615B5"/>
    <w:rsid w:val="000615FB"/>
    <w:rsid w:val="000616C6"/>
    <w:rsid w:val="00061736"/>
    <w:rsid w:val="00061746"/>
    <w:rsid w:val="00061843"/>
    <w:rsid w:val="000618D8"/>
    <w:rsid w:val="00061922"/>
    <w:rsid w:val="00061957"/>
    <w:rsid w:val="0006198C"/>
    <w:rsid w:val="00061A02"/>
    <w:rsid w:val="00061A1E"/>
    <w:rsid w:val="00061A4A"/>
    <w:rsid w:val="00061AC3"/>
    <w:rsid w:val="00061AD6"/>
    <w:rsid w:val="00061B10"/>
    <w:rsid w:val="00061B15"/>
    <w:rsid w:val="00061C66"/>
    <w:rsid w:val="00061E23"/>
    <w:rsid w:val="00061E5A"/>
    <w:rsid w:val="00061E9C"/>
    <w:rsid w:val="00062109"/>
    <w:rsid w:val="00062130"/>
    <w:rsid w:val="00062242"/>
    <w:rsid w:val="000622DE"/>
    <w:rsid w:val="000622F9"/>
    <w:rsid w:val="00062350"/>
    <w:rsid w:val="00062388"/>
    <w:rsid w:val="000623EF"/>
    <w:rsid w:val="00062527"/>
    <w:rsid w:val="00062531"/>
    <w:rsid w:val="000625B9"/>
    <w:rsid w:val="00062645"/>
    <w:rsid w:val="00062672"/>
    <w:rsid w:val="0006286A"/>
    <w:rsid w:val="000628D5"/>
    <w:rsid w:val="00062A1A"/>
    <w:rsid w:val="00062BD1"/>
    <w:rsid w:val="00062BF9"/>
    <w:rsid w:val="00062C06"/>
    <w:rsid w:val="00062D6E"/>
    <w:rsid w:val="00062D70"/>
    <w:rsid w:val="00062E15"/>
    <w:rsid w:val="00062EC2"/>
    <w:rsid w:val="00062F5C"/>
    <w:rsid w:val="00062FC4"/>
    <w:rsid w:val="00062FF3"/>
    <w:rsid w:val="0006300C"/>
    <w:rsid w:val="000630C3"/>
    <w:rsid w:val="000630D9"/>
    <w:rsid w:val="00063153"/>
    <w:rsid w:val="000631BA"/>
    <w:rsid w:val="000631FE"/>
    <w:rsid w:val="000634E4"/>
    <w:rsid w:val="000635C9"/>
    <w:rsid w:val="000635F5"/>
    <w:rsid w:val="00063623"/>
    <w:rsid w:val="0006365D"/>
    <w:rsid w:val="00063669"/>
    <w:rsid w:val="0006376A"/>
    <w:rsid w:val="000637F2"/>
    <w:rsid w:val="0006380B"/>
    <w:rsid w:val="0006386D"/>
    <w:rsid w:val="00063899"/>
    <w:rsid w:val="0006399E"/>
    <w:rsid w:val="000639B1"/>
    <w:rsid w:val="00063A75"/>
    <w:rsid w:val="00063B00"/>
    <w:rsid w:val="00063B47"/>
    <w:rsid w:val="00063B6E"/>
    <w:rsid w:val="00063C86"/>
    <w:rsid w:val="00063C9B"/>
    <w:rsid w:val="00063D5C"/>
    <w:rsid w:val="00063D90"/>
    <w:rsid w:val="00063DD8"/>
    <w:rsid w:val="00063DDD"/>
    <w:rsid w:val="00063FAE"/>
    <w:rsid w:val="000640A5"/>
    <w:rsid w:val="000640F2"/>
    <w:rsid w:val="00064127"/>
    <w:rsid w:val="000641D5"/>
    <w:rsid w:val="00064262"/>
    <w:rsid w:val="000642DD"/>
    <w:rsid w:val="00064324"/>
    <w:rsid w:val="000644A8"/>
    <w:rsid w:val="000644CA"/>
    <w:rsid w:val="0006450A"/>
    <w:rsid w:val="0006459A"/>
    <w:rsid w:val="000645B2"/>
    <w:rsid w:val="00064668"/>
    <w:rsid w:val="00064687"/>
    <w:rsid w:val="0006474B"/>
    <w:rsid w:val="00064760"/>
    <w:rsid w:val="000647D3"/>
    <w:rsid w:val="000648E4"/>
    <w:rsid w:val="00064B75"/>
    <w:rsid w:val="00064B93"/>
    <w:rsid w:val="00064C39"/>
    <w:rsid w:val="00064C55"/>
    <w:rsid w:val="00064C5A"/>
    <w:rsid w:val="00064CBD"/>
    <w:rsid w:val="00064D81"/>
    <w:rsid w:val="00064EFB"/>
    <w:rsid w:val="0006513C"/>
    <w:rsid w:val="00065155"/>
    <w:rsid w:val="000651B6"/>
    <w:rsid w:val="000651DE"/>
    <w:rsid w:val="00065451"/>
    <w:rsid w:val="000655DF"/>
    <w:rsid w:val="000655EE"/>
    <w:rsid w:val="00065735"/>
    <w:rsid w:val="00065747"/>
    <w:rsid w:val="0006574C"/>
    <w:rsid w:val="0006575F"/>
    <w:rsid w:val="00065A9F"/>
    <w:rsid w:val="00065AA3"/>
    <w:rsid w:val="00065BDF"/>
    <w:rsid w:val="00065CD5"/>
    <w:rsid w:val="00065CEE"/>
    <w:rsid w:val="00065D8B"/>
    <w:rsid w:val="00065E49"/>
    <w:rsid w:val="00065E4B"/>
    <w:rsid w:val="00065E5D"/>
    <w:rsid w:val="00065E97"/>
    <w:rsid w:val="00065F0F"/>
    <w:rsid w:val="00065F38"/>
    <w:rsid w:val="00065F5B"/>
    <w:rsid w:val="0006606E"/>
    <w:rsid w:val="0006609D"/>
    <w:rsid w:val="000660D3"/>
    <w:rsid w:val="000660F4"/>
    <w:rsid w:val="0006615D"/>
    <w:rsid w:val="0006619D"/>
    <w:rsid w:val="0006623A"/>
    <w:rsid w:val="00066247"/>
    <w:rsid w:val="0006629F"/>
    <w:rsid w:val="0006633B"/>
    <w:rsid w:val="0006637F"/>
    <w:rsid w:val="000663B2"/>
    <w:rsid w:val="000663F7"/>
    <w:rsid w:val="00066418"/>
    <w:rsid w:val="000664C4"/>
    <w:rsid w:val="0006657F"/>
    <w:rsid w:val="00066646"/>
    <w:rsid w:val="00066764"/>
    <w:rsid w:val="000669B3"/>
    <w:rsid w:val="00066ABE"/>
    <w:rsid w:val="00066B5E"/>
    <w:rsid w:val="00066B83"/>
    <w:rsid w:val="00066B92"/>
    <w:rsid w:val="00066C5E"/>
    <w:rsid w:val="00066D41"/>
    <w:rsid w:val="00066E4A"/>
    <w:rsid w:val="00066F2A"/>
    <w:rsid w:val="00066F34"/>
    <w:rsid w:val="00066FEA"/>
    <w:rsid w:val="00067192"/>
    <w:rsid w:val="00067239"/>
    <w:rsid w:val="00067254"/>
    <w:rsid w:val="00067266"/>
    <w:rsid w:val="000672F3"/>
    <w:rsid w:val="000673CF"/>
    <w:rsid w:val="00067539"/>
    <w:rsid w:val="00067547"/>
    <w:rsid w:val="00067574"/>
    <w:rsid w:val="00067591"/>
    <w:rsid w:val="0006759E"/>
    <w:rsid w:val="00067601"/>
    <w:rsid w:val="0006778F"/>
    <w:rsid w:val="00067836"/>
    <w:rsid w:val="0006785D"/>
    <w:rsid w:val="00067879"/>
    <w:rsid w:val="000678A3"/>
    <w:rsid w:val="000679F3"/>
    <w:rsid w:val="00067A63"/>
    <w:rsid w:val="00067B7B"/>
    <w:rsid w:val="00067CDC"/>
    <w:rsid w:val="00067CE2"/>
    <w:rsid w:val="00067D53"/>
    <w:rsid w:val="00067DCB"/>
    <w:rsid w:val="00067E49"/>
    <w:rsid w:val="00067EAB"/>
    <w:rsid w:val="00067F04"/>
    <w:rsid w:val="00067FD9"/>
    <w:rsid w:val="0007003F"/>
    <w:rsid w:val="00070119"/>
    <w:rsid w:val="00070175"/>
    <w:rsid w:val="0007022F"/>
    <w:rsid w:val="00070323"/>
    <w:rsid w:val="00070403"/>
    <w:rsid w:val="00070500"/>
    <w:rsid w:val="00070544"/>
    <w:rsid w:val="0007064A"/>
    <w:rsid w:val="0007073E"/>
    <w:rsid w:val="000707D8"/>
    <w:rsid w:val="0007081E"/>
    <w:rsid w:val="00070848"/>
    <w:rsid w:val="000709C7"/>
    <w:rsid w:val="00070AE1"/>
    <w:rsid w:val="00070B39"/>
    <w:rsid w:val="00070BC1"/>
    <w:rsid w:val="00070BF6"/>
    <w:rsid w:val="00070C1C"/>
    <w:rsid w:val="00070C4D"/>
    <w:rsid w:val="00070C90"/>
    <w:rsid w:val="00070CD1"/>
    <w:rsid w:val="00070CF9"/>
    <w:rsid w:val="00070DBC"/>
    <w:rsid w:val="00070DF0"/>
    <w:rsid w:val="00070E52"/>
    <w:rsid w:val="00070EA7"/>
    <w:rsid w:val="00070EE3"/>
    <w:rsid w:val="00071067"/>
    <w:rsid w:val="00071399"/>
    <w:rsid w:val="000713AC"/>
    <w:rsid w:val="000713C3"/>
    <w:rsid w:val="000716FB"/>
    <w:rsid w:val="000717F6"/>
    <w:rsid w:val="00071887"/>
    <w:rsid w:val="000718F2"/>
    <w:rsid w:val="00071943"/>
    <w:rsid w:val="000719D5"/>
    <w:rsid w:val="00071A6B"/>
    <w:rsid w:val="00071A71"/>
    <w:rsid w:val="00071B4E"/>
    <w:rsid w:val="00071B54"/>
    <w:rsid w:val="00071B75"/>
    <w:rsid w:val="00071C58"/>
    <w:rsid w:val="00071D5F"/>
    <w:rsid w:val="00071E59"/>
    <w:rsid w:val="00071E67"/>
    <w:rsid w:val="000720EA"/>
    <w:rsid w:val="00072197"/>
    <w:rsid w:val="000721CE"/>
    <w:rsid w:val="000721DF"/>
    <w:rsid w:val="0007225D"/>
    <w:rsid w:val="000722CF"/>
    <w:rsid w:val="000722EB"/>
    <w:rsid w:val="00072312"/>
    <w:rsid w:val="0007242D"/>
    <w:rsid w:val="00072432"/>
    <w:rsid w:val="000724E2"/>
    <w:rsid w:val="00072542"/>
    <w:rsid w:val="000725A3"/>
    <w:rsid w:val="000725AA"/>
    <w:rsid w:val="000725BA"/>
    <w:rsid w:val="000725C0"/>
    <w:rsid w:val="000725E5"/>
    <w:rsid w:val="0007261E"/>
    <w:rsid w:val="00072654"/>
    <w:rsid w:val="000726F5"/>
    <w:rsid w:val="0007280B"/>
    <w:rsid w:val="0007285E"/>
    <w:rsid w:val="000728DE"/>
    <w:rsid w:val="00072944"/>
    <w:rsid w:val="00072994"/>
    <w:rsid w:val="00072A25"/>
    <w:rsid w:val="00072B6A"/>
    <w:rsid w:val="00072B7F"/>
    <w:rsid w:val="00072BCA"/>
    <w:rsid w:val="00072C01"/>
    <w:rsid w:val="00072CDB"/>
    <w:rsid w:val="00072D54"/>
    <w:rsid w:val="00072E07"/>
    <w:rsid w:val="00072E40"/>
    <w:rsid w:val="00072E59"/>
    <w:rsid w:val="00072FAD"/>
    <w:rsid w:val="0007307A"/>
    <w:rsid w:val="000730C9"/>
    <w:rsid w:val="000730FD"/>
    <w:rsid w:val="00073198"/>
    <w:rsid w:val="000731AD"/>
    <w:rsid w:val="0007324B"/>
    <w:rsid w:val="00073298"/>
    <w:rsid w:val="00073493"/>
    <w:rsid w:val="000734CF"/>
    <w:rsid w:val="0007355F"/>
    <w:rsid w:val="0007359C"/>
    <w:rsid w:val="000737E5"/>
    <w:rsid w:val="00073813"/>
    <w:rsid w:val="00073816"/>
    <w:rsid w:val="00073871"/>
    <w:rsid w:val="000738CD"/>
    <w:rsid w:val="00073A00"/>
    <w:rsid w:val="00073A07"/>
    <w:rsid w:val="00073A1C"/>
    <w:rsid w:val="00073A21"/>
    <w:rsid w:val="00073A75"/>
    <w:rsid w:val="00073B27"/>
    <w:rsid w:val="00073B46"/>
    <w:rsid w:val="00073C36"/>
    <w:rsid w:val="00073CA9"/>
    <w:rsid w:val="00073CBC"/>
    <w:rsid w:val="00073CFF"/>
    <w:rsid w:val="00073D77"/>
    <w:rsid w:val="00073F1F"/>
    <w:rsid w:val="00073FAB"/>
    <w:rsid w:val="00073FC7"/>
    <w:rsid w:val="00073FF1"/>
    <w:rsid w:val="0007405D"/>
    <w:rsid w:val="000741D7"/>
    <w:rsid w:val="00074236"/>
    <w:rsid w:val="00074261"/>
    <w:rsid w:val="00074360"/>
    <w:rsid w:val="000743C3"/>
    <w:rsid w:val="000744C8"/>
    <w:rsid w:val="000745CF"/>
    <w:rsid w:val="0007460F"/>
    <w:rsid w:val="00074715"/>
    <w:rsid w:val="0007486D"/>
    <w:rsid w:val="00074988"/>
    <w:rsid w:val="000749D8"/>
    <w:rsid w:val="00074A98"/>
    <w:rsid w:val="00074AAA"/>
    <w:rsid w:val="00074AD8"/>
    <w:rsid w:val="00074BCC"/>
    <w:rsid w:val="00074BF9"/>
    <w:rsid w:val="00074BFB"/>
    <w:rsid w:val="00074CF5"/>
    <w:rsid w:val="00074D6C"/>
    <w:rsid w:val="00074DDC"/>
    <w:rsid w:val="00074F24"/>
    <w:rsid w:val="00074FD5"/>
    <w:rsid w:val="000750AE"/>
    <w:rsid w:val="000751AE"/>
    <w:rsid w:val="00075241"/>
    <w:rsid w:val="00075354"/>
    <w:rsid w:val="000753BA"/>
    <w:rsid w:val="000753C1"/>
    <w:rsid w:val="000753CE"/>
    <w:rsid w:val="00075411"/>
    <w:rsid w:val="000754AD"/>
    <w:rsid w:val="0007565A"/>
    <w:rsid w:val="000756BE"/>
    <w:rsid w:val="0007574E"/>
    <w:rsid w:val="00075804"/>
    <w:rsid w:val="00075A63"/>
    <w:rsid w:val="00075B48"/>
    <w:rsid w:val="00075DDD"/>
    <w:rsid w:val="00075E8E"/>
    <w:rsid w:val="00075FAE"/>
    <w:rsid w:val="00075FFB"/>
    <w:rsid w:val="000760C5"/>
    <w:rsid w:val="0007613B"/>
    <w:rsid w:val="00076141"/>
    <w:rsid w:val="00076147"/>
    <w:rsid w:val="00076196"/>
    <w:rsid w:val="000761AB"/>
    <w:rsid w:val="000761B0"/>
    <w:rsid w:val="00076291"/>
    <w:rsid w:val="00076397"/>
    <w:rsid w:val="000763B7"/>
    <w:rsid w:val="0007641E"/>
    <w:rsid w:val="00076421"/>
    <w:rsid w:val="00076566"/>
    <w:rsid w:val="00076590"/>
    <w:rsid w:val="0007668C"/>
    <w:rsid w:val="000766B1"/>
    <w:rsid w:val="000766D5"/>
    <w:rsid w:val="000766E1"/>
    <w:rsid w:val="00076706"/>
    <w:rsid w:val="0007690F"/>
    <w:rsid w:val="0007698C"/>
    <w:rsid w:val="000769B8"/>
    <w:rsid w:val="000769C2"/>
    <w:rsid w:val="00076B4D"/>
    <w:rsid w:val="00076BB0"/>
    <w:rsid w:val="00076C63"/>
    <w:rsid w:val="00076D4A"/>
    <w:rsid w:val="00076DFA"/>
    <w:rsid w:val="00076EA3"/>
    <w:rsid w:val="00076EEA"/>
    <w:rsid w:val="00077090"/>
    <w:rsid w:val="00077095"/>
    <w:rsid w:val="000770E3"/>
    <w:rsid w:val="00077169"/>
    <w:rsid w:val="00077187"/>
    <w:rsid w:val="0007724C"/>
    <w:rsid w:val="000773CD"/>
    <w:rsid w:val="00077411"/>
    <w:rsid w:val="0007744E"/>
    <w:rsid w:val="000774E8"/>
    <w:rsid w:val="000775D8"/>
    <w:rsid w:val="00077659"/>
    <w:rsid w:val="00077777"/>
    <w:rsid w:val="00077866"/>
    <w:rsid w:val="000778A8"/>
    <w:rsid w:val="000779B5"/>
    <w:rsid w:val="00077AC3"/>
    <w:rsid w:val="00077BC9"/>
    <w:rsid w:val="00077C2C"/>
    <w:rsid w:val="00077E80"/>
    <w:rsid w:val="0008000A"/>
    <w:rsid w:val="00080071"/>
    <w:rsid w:val="00080138"/>
    <w:rsid w:val="0008015D"/>
    <w:rsid w:val="000801C8"/>
    <w:rsid w:val="000801DA"/>
    <w:rsid w:val="000801F4"/>
    <w:rsid w:val="00080201"/>
    <w:rsid w:val="00080205"/>
    <w:rsid w:val="00080297"/>
    <w:rsid w:val="000803E3"/>
    <w:rsid w:val="0008040B"/>
    <w:rsid w:val="0008081F"/>
    <w:rsid w:val="00080826"/>
    <w:rsid w:val="00080852"/>
    <w:rsid w:val="00080B47"/>
    <w:rsid w:val="00080BB4"/>
    <w:rsid w:val="00080CBF"/>
    <w:rsid w:val="00080CC5"/>
    <w:rsid w:val="00080CD8"/>
    <w:rsid w:val="00080D1F"/>
    <w:rsid w:val="00080D89"/>
    <w:rsid w:val="00080D8D"/>
    <w:rsid w:val="00080E03"/>
    <w:rsid w:val="0008100B"/>
    <w:rsid w:val="000810B3"/>
    <w:rsid w:val="000810CE"/>
    <w:rsid w:val="00081188"/>
    <w:rsid w:val="000811B0"/>
    <w:rsid w:val="00081215"/>
    <w:rsid w:val="000812F5"/>
    <w:rsid w:val="00081355"/>
    <w:rsid w:val="00081386"/>
    <w:rsid w:val="00081437"/>
    <w:rsid w:val="000814E9"/>
    <w:rsid w:val="00081507"/>
    <w:rsid w:val="0008164F"/>
    <w:rsid w:val="00081800"/>
    <w:rsid w:val="000818E4"/>
    <w:rsid w:val="000819F8"/>
    <w:rsid w:val="00081A21"/>
    <w:rsid w:val="00081A46"/>
    <w:rsid w:val="00081B42"/>
    <w:rsid w:val="00081C71"/>
    <w:rsid w:val="00081C73"/>
    <w:rsid w:val="00081CC1"/>
    <w:rsid w:val="00081D12"/>
    <w:rsid w:val="00081D8A"/>
    <w:rsid w:val="00081DB1"/>
    <w:rsid w:val="00081DF3"/>
    <w:rsid w:val="00081DF5"/>
    <w:rsid w:val="00081E11"/>
    <w:rsid w:val="00081E70"/>
    <w:rsid w:val="00081E9B"/>
    <w:rsid w:val="00081EF6"/>
    <w:rsid w:val="00081F59"/>
    <w:rsid w:val="00081FA0"/>
    <w:rsid w:val="00081FC1"/>
    <w:rsid w:val="00082197"/>
    <w:rsid w:val="00082216"/>
    <w:rsid w:val="00082275"/>
    <w:rsid w:val="000822BF"/>
    <w:rsid w:val="000823CB"/>
    <w:rsid w:val="00082400"/>
    <w:rsid w:val="000824B9"/>
    <w:rsid w:val="0008251F"/>
    <w:rsid w:val="0008252D"/>
    <w:rsid w:val="00082535"/>
    <w:rsid w:val="0008262B"/>
    <w:rsid w:val="000827FF"/>
    <w:rsid w:val="00082872"/>
    <w:rsid w:val="00082892"/>
    <w:rsid w:val="000828EF"/>
    <w:rsid w:val="000829CA"/>
    <w:rsid w:val="000829D4"/>
    <w:rsid w:val="00082A49"/>
    <w:rsid w:val="00082A5B"/>
    <w:rsid w:val="00082B23"/>
    <w:rsid w:val="00082BF4"/>
    <w:rsid w:val="00082C9E"/>
    <w:rsid w:val="00082D01"/>
    <w:rsid w:val="00082D3C"/>
    <w:rsid w:val="00082D62"/>
    <w:rsid w:val="00082D6D"/>
    <w:rsid w:val="00082F1E"/>
    <w:rsid w:val="00082F23"/>
    <w:rsid w:val="00082F51"/>
    <w:rsid w:val="000830CC"/>
    <w:rsid w:val="000830DF"/>
    <w:rsid w:val="0008312F"/>
    <w:rsid w:val="00083255"/>
    <w:rsid w:val="000832DC"/>
    <w:rsid w:val="0008332F"/>
    <w:rsid w:val="0008333F"/>
    <w:rsid w:val="0008339E"/>
    <w:rsid w:val="000834A9"/>
    <w:rsid w:val="00083584"/>
    <w:rsid w:val="0008382D"/>
    <w:rsid w:val="000838F2"/>
    <w:rsid w:val="0008394A"/>
    <w:rsid w:val="00083AA7"/>
    <w:rsid w:val="00083BB8"/>
    <w:rsid w:val="00083BE1"/>
    <w:rsid w:val="00083C28"/>
    <w:rsid w:val="00083C93"/>
    <w:rsid w:val="00083D7A"/>
    <w:rsid w:val="00083E7A"/>
    <w:rsid w:val="00083EF1"/>
    <w:rsid w:val="00083F2C"/>
    <w:rsid w:val="00084192"/>
    <w:rsid w:val="000842E6"/>
    <w:rsid w:val="0008433E"/>
    <w:rsid w:val="00084395"/>
    <w:rsid w:val="000843E7"/>
    <w:rsid w:val="000843E9"/>
    <w:rsid w:val="000843F2"/>
    <w:rsid w:val="00084456"/>
    <w:rsid w:val="0008447A"/>
    <w:rsid w:val="000844D1"/>
    <w:rsid w:val="00084534"/>
    <w:rsid w:val="00084535"/>
    <w:rsid w:val="0008470D"/>
    <w:rsid w:val="00084769"/>
    <w:rsid w:val="0008480F"/>
    <w:rsid w:val="00084858"/>
    <w:rsid w:val="00084933"/>
    <w:rsid w:val="0008498F"/>
    <w:rsid w:val="000849D5"/>
    <w:rsid w:val="00084A27"/>
    <w:rsid w:val="00084B59"/>
    <w:rsid w:val="00084B61"/>
    <w:rsid w:val="00084B7A"/>
    <w:rsid w:val="00084D29"/>
    <w:rsid w:val="00084EB8"/>
    <w:rsid w:val="00085037"/>
    <w:rsid w:val="00085053"/>
    <w:rsid w:val="000850E5"/>
    <w:rsid w:val="00085123"/>
    <w:rsid w:val="000851A6"/>
    <w:rsid w:val="000851B0"/>
    <w:rsid w:val="000852AF"/>
    <w:rsid w:val="00085302"/>
    <w:rsid w:val="0008530D"/>
    <w:rsid w:val="0008535D"/>
    <w:rsid w:val="00085406"/>
    <w:rsid w:val="00085476"/>
    <w:rsid w:val="0008549A"/>
    <w:rsid w:val="000854E1"/>
    <w:rsid w:val="0008552C"/>
    <w:rsid w:val="0008569C"/>
    <w:rsid w:val="000856A0"/>
    <w:rsid w:val="0008571D"/>
    <w:rsid w:val="00085764"/>
    <w:rsid w:val="00085967"/>
    <w:rsid w:val="00085ADA"/>
    <w:rsid w:val="00085B8F"/>
    <w:rsid w:val="00085CE7"/>
    <w:rsid w:val="00085F05"/>
    <w:rsid w:val="0008600C"/>
    <w:rsid w:val="0008603B"/>
    <w:rsid w:val="00086049"/>
    <w:rsid w:val="000860AD"/>
    <w:rsid w:val="00086107"/>
    <w:rsid w:val="000862F1"/>
    <w:rsid w:val="00086326"/>
    <w:rsid w:val="0008640A"/>
    <w:rsid w:val="0008651C"/>
    <w:rsid w:val="0008654D"/>
    <w:rsid w:val="000865E8"/>
    <w:rsid w:val="00086638"/>
    <w:rsid w:val="0008673B"/>
    <w:rsid w:val="00086752"/>
    <w:rsid w:val="00086767"/>
    <w:rsid w:val="00086928"/>
    <w:rsid w:val="00086A3E"/>
    <w:rsid w:val="00086A88"/>
    <w:rsid w:val="00086A96"/>
    <w:rsid w:val="00086B36"/>
    <w:rsid w:val="00086DB1"/>
    <w:rsid w:val="00086DC2"/>
    <w:rsid w:val="00086DE5"/>
    <w:rsid w:val="00086E2A"/>
    <w:rsid w:val="00086E39"/>
    <w:rsid w:val="00086E80"/>
    <w:rsid w:val="00086F73"/>
    <w:rsid w:val="0008704B"/>
    <w:rsid w:val="000870B7"/>
    <w:rsid w:val="000871F9"/>
    <w:rsid w:val="00087286"/>
    <w:rsid w:val="00087363"/>
    <w:rsid w:val="000873CE"/>
    <w:rsid w:val="00087461"/>
    <w:rsid w:val="000874C9"/>
    <w:rsid w:val="00087535"/>
    <w:rsid w:val="00087584"/>
    <w:rsid w:val="00087677"/>
    <w:rsid w:val="00087746"/>
    <w:rsid w:val="000878AF"/>
    <w:rsid w:val="000878C3"/>
    <w:rsid w:val="000879D6"/>
    <w:rsid w:val="000879E7"/>
    <w:rsid w:val="00087A1C"/>
    <w:rsid w:val="00087AB0"/>
    <w:rsid w:val="00087ACE"/>
    <w:rsid w:val="00087B11"/>
    <w:rsid w:val="00087CBE"/>
    <w:rsid w:val="00087E41"/>
    <w:rsid w:val="00087EA1"/>
    <w:rsid w:val="00087F63"/>
    <w:rsid w:val="00087FBE"/>
    <w:rsid w:val="000900FF"/>
    <w:rsid w:val="00090206"/>
    <w:rsid w:val="00090273"/>
    <w:rsid w:val="0009032F"/>
    <w:rsid w:val="000904BD"/>
    <w:rsid w:val="000904D4"/>
    <w:rsid w:val="0009055D"/>
    <w:rsid w:val="000905BF"/>
    <w:rsid w:val="00090627"/>
    <w:rsid w:val="00090671"/>
    <w:rsid w:val="00090698"/>
    <w:rsid w:val="00090764"/>
    <w:rsid w:val="00090836"/>
    <w:rsid w:val="0009083C"/>
    <w:rsid w:val="000908B3"/>
    <w:rsid w:val="00090A26"/>
    <w:rsid w:val="00090A47"/>
    <w:rsid w:val="00090BDF"/>
    <w:rsid w:val="00090E1D"/>
    <w:rsid w:val="00090E9F"/>
    <w:rsid w:val="00090EA3"/>
    <w:rsid w:val="00090F3B"/>
    <w:rsid w:val="00090F52"/>
    <w:rsid w:val="00090FB4"/>
    <w:rsid w:val="0009113E"/>
    <w:rsid w:val="00091157"/>
    <w:rsid w:val="000911CE"/>
    <w:rsid w:val="00091200"/>
    <w:rsid w:val="00091306"/>
    <w:rsid w:val="00091398"/>
    <w:rsid w:val="000914AF"/>
    <w:rsid w:val="0009151C"/>
    <w:rsid w:val="00091560"/>
    <w:rsid w:val="000915C8"/>
    <w:rsid w:val="000916CD"/>
    <w:rsid w:val="000916E2"/>
    <w:rsid w:val="00091730"/>
    <w:rsid w:val="00091803"/>
    <w:rsid w:val="00091820"/>
    <w:rsid w:val="0009183A"/>
    <w:rsid w:val="00091878"/>
    <w:rsid w:val="00091A85"/>
    <w:rsid w:val="00091BCF"/>
    <w:rsid w:val="00091C00"/>
    <w:rsid w:val="00091C51"/>
    <w:rsid w:val="00091C99"/>
    <w:rsid w:val="00091DB7"/>
    <w:rsid w:val="00091EA4"/>
    <w:rsid w:val="00091EE5"/>
    <w:rsid w:val="00091EE7"/>
    <w:rsid w:val="00091EFA"/>
    <w:rsid w:val="00091FC0"/>
    <w:rsid w:val="00091FC2"/>
    <w:rsid w:val="0009205D"/>
    <w:rsid w:val="00092076"/>
    <w:rsid w:val="000921F5"/>
    <w:rsid w:val="0009224F"/>
    <w:rsid w:val="00092268"/>
    <w:rsid w:val="00092292"/>
    <w:rsid w:val="000923AC"/>
    <w:rsid w:val="00092453"/>
    <w:rsid w:val="000924B2"/>
    <w:rsid w:val="000924F9"/>
    <w:rsid w:val="0009251F"/>
    <w:rsid w:val="0009259C"/>
    <w:rsid w:val="00092618"/>
    <w:rsid w:val="00092635"/>
    <w:rsid w:val="0009266D"/>
    <w:rsid w:val="00092677"/>
    <w:rsid w:val="000926FE"/>
    <w:rsid w:val="00092703"/>
    <w:rsid w:val="0009272B"/>
    <w:rsid w:val="0009280F"/>
    <w:rsid w:val="000928C7"/>
    <w:rsid w:val="000928EF"/>
    <w:rsid w:val="0009297A"/>
    <w:rsid w:val="000929B5"/>
    <w:rsid w:val="000929D7"/>
    <w:rsid w:val="00092A33"/>
    <w:rsid w:val="00092A86"/>
    <w:rsid w:val="00092B94"/>
    <w:rsid w:val="00092DB9"/>
    <w:rsid w:val="00092DC4"/>
    <w:rsid w:val="00092E45"/>
    <w:rsid w:val="00092FAB"/>
    <w:rsid w:val="0009308E"/>
    <w:rsid w:val="00093092"/>
    <w:rsid w:val="000930FD"/>
    <w:rsid w:val="0009312F"/>
    <w:rsid w:val="000932A9"/>
    <w:rsid w:val="000933E3"/>
    <w:rsid w:val="000935C7"/>
    <w:rsid w:val="00093611"/>
    <w:rsid w:val="00093705"/>
    <w:rsid w:val="00093714"/>
    <w:rsid w:val="00093B2B"/>
    <w:rsid w:val="00093B33"/>
    <w:rsid w:val="00093B83"/>
    <w:rsid w:val="00093BAB"/>
    <w:rsid w:val="00093CAB"/>
    <w:rsid w:val="00093D7B"/>
    <w:rsid w:val="00093E0E"/>
    <w:rsid w:val="00093F33"/>
    <w:rsid w:val="00093F7F"/>
    <w:rsid w:val="00093FBD"/>
    <w:rsid w:val="00093FC5"/>
    <w:rsid w:val="00093FF0"/>
    <w:rsid w:val="0009411B"/>
    <w:rsid w:val="00094202"/>
    <w:rsid w:val="00094229"/>
    <w:rsid w:val="0009469B"/>
    <w:rsid w:val="0009472B"/>
    <w:rsid w:val="0009484E"/>
    <w:rsid w:val="000948A7"/>
    <w:rsid w:val="00094A4F"/>
    <w:rsid w:val="00094B19"/>
    <w:rsid w:val="00094B65"/>
    <w:rsid w:val="00094B94"/>
    <w:rsid w:val="00094BB9"/>
    <w:rsid w:val="00094BDB"/>
    <w:rsid w:val="00094CD4"/>
    <w:rsid w:val="00094D13"/>
    <w:rsid w:val="00094D9C"/>
    <w:rsid w:val="00094E7B"/>
    <w:rsid w:val="00094E9E"/>
    <w:rsid w:val="00094EB8"/>
    <w:rsid w:val="00094EE0"/>
    <w:rsid w:val="00095037"/>
    <w:rsid w:val="0009509E"/>
    <w:rsid w:val="0009510C"/>
    <w:rsid w:val="00095470"/>
    <w:rsid w:val="000955A8"/>
    <w:rsid w:val="00095610"/>
    <w:rsid w:val="0009574D"/>
    <w:rsid w:val="000957AF"/>
    <w:rsid w:val="000957D9"/>
    <w:rsid w:val="00095813"/>
    <w:rsid w:val="00095875"/>
    <w:rsid w:val="000958FE"/>
    <w:rsid w:val="000959A4"/>
    <w:rsid w:val="000959B0"/>
    <w:rsid w:val="000959CC"/>
    <w:rsid w:val="00095AE4"/>
    <w:rsid w:val="00095B1E"/>
    <w:rsid w:val="00095B5E"/>
    <w:rsid w:val="00095BA6"/>
    <w:rsid w:val="00095D26"/>
    <w:rsid w:val="00095E3A"/>
    <w:rsid w:val="00095E6C"/>
    <w:rsid w:val="00095F5D"/>
    <w:rsid w:val="0009606C"/>
    <w:rsid w:val="00096105"/>
    <w:rsid w:val="00096125"/>
    <w:rsid w:val="0009612D"/>
    <w:rsid w:val="00096215"/>
    <w:rsid w:val="00096283"/>
    <w:rsid w:val="0009632F"/>
    <w:rsid w:val="000963F4"/>
    <w:rsid w:val="00096499"/>
    <w:rsid w:val="00096577"/>
    <w:rsid w:val="00096597"/>
    <w:rsid w:val="000965BE"/>
    <w:rsid w:val="000966BD"/>
    <w:rsid w:val="0009671B"/>
    <w:rsid w:val="00096763"/>
    <w:rsid w:val="0009679E"/>
    <w:rsid w:val="000967D4"/>
    <w:rsid w:val="000967F4"/>
    <w:rsid w:val="00096843"/>
    <w:rsid w:val="00096A0F"/>
    <w:rsid w:val="00096A23"/>
    <w:rsid w:val="00096A40"/>
    <w:rsid w:val="00096ACD"/>
    <w:rsid w:val="00096AF3"/>
    <w:rsid w:val="00096CC8"/>
    <w:rsid w:val="00096CCA"/>
    <w:rsid w:val="00096D00"/>
    <w:rsid w:val="00096D1A"/>
    <w:rsid w:val="00096D5B"/>
    <w:rsid w:val="00096D8C"/>
    <w:rsid w:val="00096DB3"/>
    <w:rsid w:val="00096E7D"/>
    <w:rsid w:val="00096EDD"/>
    <w:rsid w:val="00096F44"/>
    <w:rsid w:val="00096F60"/>
    <w:rsid w:val="00096FE3"/>
    <w:rsid w:val="00097067"/>
    <w:rsid w:val="0009729F"/>
    <w:rsid w:val="000972D1"/>
    <w:rsid w:val="00097330"/>
    <w:rsid w:val="000973EC"/>
    <w:rsid w:val="000973F3"/>
    <w:rsid w:val="00097510"/>
    <w:rsid w:val="00097574"/>
    <w:rsid w:val="000975A4"/>
    <w:rsid w:val="00097768"/>
    <w:rsid w:val="000977E5"/>
    <w:rsid w:val="00097819"/>
    <w:rsid w:val="0009782E"/>
    <w:rsid w:val="0009788E"/>
    <w:rsid w:val="0009789B"/>
    <w:rsid w:val="00097903"/>
    <w:rsid w:val="000979DB"/>
    <w:rsid w:val="00097A36"/>
    <w:rsid w:val="00097B91"/>
    <w:rsid w:val="00097B9B"/>
    <w:rsid w:val="00097C43"/>
    <w:rsid w:val="00097DA5"/>
    <w:rsid w:val="00097E65"/>
    <w:rsid w:val="00097EE7"/>
    <w:rsid w:val="00097F0A"/>
    <w:rsid w:val="00097FB6"/>
    <w:rsid w:val="000A00CD"/>
    <w:rsid w:val="000A01AC"/>
    <w:rsid w:val="000A0259"/>
    <w:rsid w:val="000A02F3"/>
    <w:rsid w:val="000A033B"/>
    <w:rsid w:val="000A03B6"/>
    <w:rsid w:val="000A047C"/>
    <w:rsid w:val="000A05F2"/>
    <w:rsid w:val="000A0613"/>
    <w:rsid w:val="000A061E"/>
    <w:rsid w:val="000A06C4"/>
    <w:rsid w:val="000A0771"/>
    <w:rsid w:val="000A0848"/>
    <w:rsid w:val="000A08D7"/>
    <w:rsid w:val="000A09E8"/>
    <w:rsid w:val="000A0AFA"/>
    <w:rsid w:val="000A0C2D"/>
    <w:rsid w:val="000A0C48"/>
    <w:rsid w:val="000A0DC7"/>
    <w:rsid w:val="000A0DCE"/>
    <w:rsid w:val="000A0EFA"/>
    <w:rsid w:val="000A0FE2"/>
    <w:rsid w:val="000A100E"/>
    <w:rsid w:val="000A1053"/>
    <w:rsid w:val="000A1080"/>
    <w:rsid w:val="000A10E0"/>
    <w:rsid w:val="000A120E"/>
    <w:rsid w:val="000A1328"/>
    <w:rsid w:val="000A141A"/>
    <w:rsid w:val="000A142C"/>
    <w:rsid w:val="000A142F"/>
    <w:rsid w:val="000A1668"/>
    <w:rsid w:val="000A170D"/>
    <w:rsid w:val="000A17B4"/>
    <w:rsid w:val="000A17D7"/>
    <w:rsid w:val="000A193D"/>
    <w:rsid w:val="000A1999"/>
    <w:rsid w:val="000A1A2B"/>
    <w:rsid w:val="000A1A58"/>
    <w:rsid w:val="000A1AC6"/>
    <w:rsid w:val="000A1B64"/>
    <w:rsid w:val="000A1CAB"/>
    <w:rsid w:val="000A1CDB"/>
    <w:rsid w:val="000A1D42"/>
    <w:rsid w:val="000A1E20"/>
    <w:rsid w:val="000A1E4C"/>
    <w:rsid w:val="000A1F92"/>
    <w:rsid w:val="000A208A"/>
    <w:rsid w:val="000A20B1"/>
    <w:rsid w:val="000A21BC"/>
    <w:rsid w:val="000A21C2"/>
    <w:rsid w:val="000A2312"/>
    <w:rsid w:val="000A2320"/>
    <w:rsid w:val="000A2425"/>
    <w:rsid w:val="000A24CE"/>
    <w:rsid w:val="000A2541"/>
    <w:rsid w:val="000A2561"/>
    <w:rsid w:val="000A2579"/>
    <w:rsid w:val="000A2589"/>
    <w:rsid w:val="000A25FD"/>
    <w:rsid w:val="000A2639"/>
    <w:rsid w:val="000A26C0"/>
    <w:rsid w:val="000A27C2"/>
    <w:rsid w:val="000A27DF"/>
    <w:rsid w:val="000A2844"/>
    <w:rsid w:val="000A28CA"/>
    <w:rsid w:val="000A292F"/>
    <w:rsid w:val="000A2BDC"/>
    <w:rsid w:val="000A2CFF"/>
    <w:rsid w:val="000A2D88"/>
    <w:rsid w:val="000A2D99"/>
    <w:rsid w:val="000A2DCE"/>
    <w:rsid w:val="000A2EDE"/>
    <w:rsid w:val="000A2F9C"/>
    <w:rsid w:val="000A3040"/>
    <w:rsid w:val="000A32E3"/>
    <w:rsid w:val="000A3535"/>
    <w:rsid w:val="000A363B"/>
    <w:rsid w:val="000A366E"/>
    <w:rsid w:val="000A3805"/>
    <w:rsid w:val="000A385D"/>
    <w:rsid w:val="000A3861"/>
    <w:rsid w:val="000A38A4"/>
    <w:rsid w:val="000A38EE"/>
    <w:rsid w:val="000A390C"/>
    <w:rsid w:val="000A39B0"/>
    <w:rsid w:val="000A3A83"/>
    <w:rsid w:val="000A3C58"/>
    <w:rsid w:val="000A3C97"/>
    <w:rsid w:val="000A3CDE"/>
    <w:rsid w:val="000A3D3F"/>
    <w:rsid w:val="000A3D89"/>
    <w:rsid w:val="000A3E9E"/>
    <w:rsid w:val="000A3EB2"/>
    <w:rsid w:val="000A3F92"/>
    <w:rsid w:val="000A4135"/>
    <w:rsid w:val="000A425B"/>
    <w:rsid w:val="000A42AC"/>
    <w:rsid w:val="000A42FE"/>
    <w:rsid w:val="000A4371"/>
    <w:rsid w:val="000A43A5"/>
    <w:rsid w:val="000A43D8"/>
    <w:rsid w:val="000A4427"/>
    <w:rsid w:val="000A4483"/>
    <w:rsid w:val="000A44DA"/>
    <w:rsid w:val="000A4586"/>
    <w:rsid w:val="000A46BE"/>
    <w:rsid w:val="000A4884"/>
    <w:rsid w:val="000A4895"/>
    <w:rsid w:val="000A4933"/>
    <w:rsid w:val="000A4A68"/>
    <w:rsid w:val="000A4A72"/>
    <w:rsid w:val="000A4C36"/>
    <w:rsid w:val="000A4D90"/>
    <w:rsid w:val="000A4DD4"/>
    <w:rsid w:val="000A4E44"/>
    <w:rsid w:val="000A4F83"/>
    <w:rsid w:val="000A502B"/>
    <w:rsid w:val="000A507B"/>
    <w:rsid w:val="000A5142"/>
    <w:rsid w:val="000A517B"/>
    <w:rsid w:val="000A5295"/>
    <w:rsid w:val="000A53E8"/>
    <w:rsid w:val="000A54CB"/>
    <w:rsid w:val="000A5506"/>
    <w:rsid w:val="000A558C"/>
    <w:rsid w:val="000A55C0"/>
    <w:rsid w:val="000A55EB"/>
    <w:rsid w:val="000A5697"/>
    <w:rsid w:val="000A57A7"/>
    <w:rsid w:val="000A5863"/>
    <w:rsid w:val="000A5947"/>
    <w:rsid w:val="000A5980"/>
    <w:rsid w:val="000A59C1"/>
    <w:rsid w:val="000A5A27"/>
    <w:rsid w:val="000A5C48"/>
    <w:rsid w:val="000A5C6A"/>
    <w:rsid w:val="000A5CD0"/>
    <w:rsid w:val="000A5D11"/>
    <w:rsid w:val="000A5FC8"/>
    <w:rsid w:val="000A6020"/>
    <w:rsid w:val="000A6169"/>
    <w:rsid w:val="000A6182"/>
    <w:rsid w:val="000A619D"/>
    <w:rsid w:val="000A6370"/>
    <w:rsid w:val="000A6381"/>
    <w:rsid w:val="000A640F"/>
    <w:rsid w:val="000A6455"/>
    <w:rsid w:val="000A648C"/>
    <w:rsid w:val="000A64BB"/>
    <w:rsid w:val="000A6505"/>
    <w:rsid w:val="000A6586"/>
    <w:rsid w:val="000A6666"/>
    <w:rsid w:val="000A6671"/>
    <w:rsid w:val="000A678C"/>
    <w:rsid w:val="000A67CF"/>
    <w:rsid w:val="000A6856"/>
    <w:rsid w:val="000A68DD"/>
    <w:rsid w:val="000A691D"/>
    <w:rsid w:val="000A6B75"/>
    <w:rsid w:val="000A6BF2"/>
    <w:rsid w:val="000A6C24"/>
    <w:rsid w:val="000A6C67"/>
    <w:rsid w:val="000A6D0D"/>
    <w:rsid w:val="000A6D12"/>
    <w:rsid w:val="000A6EED"/>
    <w:rsid w:val="000A6F6C"/>
    <w:rsid w:val="000A704C"/>
    <w:rsid w:val="000A7059"/>
    <w:rsid w:val="000A7142"/>
    <w:rsid w:val="000A71AF"/>
    <w:rsid w:val="000A73D0"/>
    <w:rsid w:val="000A7506"/>
    <w:rsid w:val="000A7609"/>
    <w:rsid w:val="000A7692"/>
    <w:rsid w:val="000A76F5"/>
    <w:rsid w:val="000A7732"/>
    <w:rsid w:val="000A7890"/>
    <w:rsid w:val="000A78EE"/>
    <w:rsid w:val="000A7934"/>
    <w:rsid w:val="000A7975"/>
    <w:rsid w:val="000A7B26"/>
    <w:rsid w:val="000A7B49"/>
    <w:rsid w:val="000A7BC2"/>
    <w:rsid w:val="000A7BE9"/>
    <w:rsid w:val="000A7C24"/>
    <w:rsid w:val="000A7CA9"/>
    <w:rsid w:val="000B0233"/>
    <w:rsid w:val="000B0345"/>
    <w:rsid w:val="000B03A1"/>
    <w:rsid w:val="000B0474"/>
    <w:rsid w:val="000B0551"/>
    <w:rsid w:val="000B0562"/>
    <w:rsid w:val="000B056F"/>
    <w:rsid w:val="000B066F"/>
    <w:rsid w:val="000B0682"/>
    <w:rsid w:val="000B0756"/>
    <w:rsid w:val="000B07C1"/>
    <w:rsid w:val="000B07C9"/>
    <w:rsid w:val="000B07DE"/>
    <w:rsid w:val="000B0840"/>
    <w:rsid w:val="000B0855"/>
    <w:rsid w:val="000B0864"/>
    <w:rsid w:val="000B0966"/>
    <w:rsid w:val="000B0B06"/>
    <w:rsid w:val="000B0B8D"/>
    <w:rsid w:val="000B0C80"/>
    <w:rsid w:val="000B0DE5"/>
    <w:rsid w:val="000B0E5C"/>
    <w:rsid w:val="000B0ECD"/>
    <w:rsid w:val="000B0FC3"/>
    <w:rsid w:val="000B1042"/>
    <w:rsid w:val="000B107E"/>
    <w:rsid w:val="000B10B0"/>
    <w:rsid w:val="000B12B3"/>
    <w:rsid w:val="000B133F"/>
    <w:rsid w:val="000B1409"/>
    <w:rsid w:val="000B142F"/>
    <w:rsid w:val="000B1496"/>
    <w:rsid w:val="000B1510"/>
    <w:rsid w:val="000B16BE"/>
    <w:rsid w:val="000B16C3"/>
    <w:rsid w:val="000B1824"/>
    <w:rsid w:val="000B195A"/>
    <w:rsid w:val="000B1A30"/>
    <w:rsid w:val="000B1A68"/>
    <w:rsid w:val="000B1C33"/>
    <w:rsid w:val="000B1CFB"/>
    <w:rsid w:val="000B1EB2"/>
    <w:rsid w:val="000B2065"/>
    <w:rsid w:val="000B20AA"/>
    <w:rsid w:val="000B20C7"/>
    <w:rsid w:val="000B21B6"/>
    <w:rsid w:val="000B21E1"/>
    <w:rsid w:val="000B2381"/>
    <w:rsid w:val="000B23CB"/>
    <w:rsid w:val="000B247B"/>
    <w:rsid w:val="000B2481"/>
    <w:rsid w:val="000B24F5"/>
    <w:rsid w:val="000B2625"/>
    <w:rsid w:val="000B26FE"/>
    <w:rsid w:val="000B2743"/>
    <w:rsid w:val="000B27A3"/>
    <w:rsid w:val="000B2833"/>
    <w:rsid w:val="000B2899"/>
    <w:rsid w:val="000B29ED"/>
    <w:rsid w:val="000B2A43"/>
    <w:rsid w:val="000B2B52"/>
    <w:rsid w:val="000B2B54"/>
    <w:rsid w:val="000B2B61"/>
    <w:rsid w:val="000B2C7B"/>
    <w:rsid w:val="000B2CB4"/>
    <w:rsid w:val="000B2CBA"/>
    <w:rsid w:val="000B2E4E"/>
    <w:rsid w:val="000B2E6C"/>
    <w:rsid w:val="000B2E71"/>
    <w:rsid w:val="000B2FB2"/>
    <w:rsid w:val="000B3032"/>
    <w:rsid w:val="000B3100"/>
    <w:rsid w:val="000B31B5"/>
    <w:rsid w:val="000B3253"/>
    <w:rsid w:val="000B3280"/>
    <w:rsid w:val="000B3374"/>
    <w:rsid w:val="000B338E"/>
    <w:rsid w:val="000B33B6"/>
    <w:rsid w:val="000B33BF"/>
    <w:rsid w:val="000B34B8"/>
    <w:rsid w:val="000B363C"/>
    <w:rsid w:val="000B3671"/>
    <w:rsid w:val="000B36A4"/>
    <w:rsid w:val="000B36C5"/>
    <w:rsid w:val="000B3776"/>
    <w:rsid w:val="000B3855"/>
    <w:rsid w:val="000B3858"/>
    <w:rsid w:val="000B3889"/>
    <w:rsid w:val="000B3892"/>
    <w:rsid w:val="000B38AD"/>
    <w:rsid w:val="000B3909"/>
    <w:rsid w:val="000B3A94"/>
    <w:rsid w:val="000B3AA3"/>
    <w:rsid w:val="000B3B50"/>
    <w:rsid w:val="000B3B81"/>
    <w:rsid w:val="000B3BAE"/>
    <w:rsid w:val="000B3D92"/>
    <w:rsid w:val="000B3E26"/>
    <w:rsid w:val="000B3EC2"/>
    <w:rsid w:val="000B3F7D"/>
    <w:rsid w:val="000B3FC0"/>
    <w:rsid w:val="000B3FC5"/>
    <w:rsid w:val="000B407A"/>
    <w:rsid w:val="000B4090"/>
    <w:rsid w:val="000B41D4"/>
    <w:rsid w:val="000B423E"/>
    <w:rsid w:val="000B4288"/>
    <w:rsid w:val="000B42B7"/>
    <w:rsid w:val="000B44DC"/>
    <w:rsid w:val="000B4664"/>
    <w:rsid w:val="000B4701"/>
    <w:rsid w:val="000B4823"/>
    <w:rsid w:val="000B4AED"/>
    <w:rsid w:val="000B4D45"/>
    <w:rsid w:val="000B4F18"/>
    <w:rsid w:val="000B4F90"/>
    <w:rsid w:val="000B4FA5"/>
    <w:rsid w:val="000B500D"/>
    <w:rsid w:val="000B5132"/>
    <w:rsid w:val="000B5171"/>
    <w:rsid w:val="000B5180"/>
    <w:rsid w:val="000B5205"/>
    <w:rsid w:val="000B52A1"/>
    <w:rsid w:val="000B52CE"/>
    <w:rsid w:val="000B52F4"/>
    <w:rsid w:val="000B53AA"/>
    <w:rsid w:val="000B548D"/>
    <w:rsid w:val="000B5572"/>
    <w:rsid w:val="000B567C"/>
    <w:rsid w:val="000B56A6"/>
    <w:rsid w:val="000B5720"/>
    <w:rsid w:val="000B58FD"/>
    <w:rsid w:val="000B59A8"/>
    <w:rsid w:val="000B5A10"/>
    <w:rsid w:val="000B5B45"/>
    <w:rsid w:val="000B5E39"/>
    <w:rsid w:val="000B5E7C"/>
    <w:rsid w:val="000B5E80"/>
    <w:rsid w:val="000B5F28"/>
    <w:rsid w:val="000B5F49"/>
    <w:rsid w:val="000B5F58"/>
    <w:rsid w:val="000B5F70"/>
    <w:rsid w:val="000B5F80"/>
    <w:rsid w:val="000B616D"/>
    <w:rsid w:val="000B61AD"/>
    <w:rsid w:val="000B622C"/>
    <w:rsid w:val="000B622F"/>
    <w:rsid w:val="000B6350"/>
    <w:rsid w:val="000B6360"/>
    <w:rsid w:val="000B63CB"/>
    <w:rsid w:val="000B64A6"/>
    <w:rsid w:val="000B64EA"/>
    <w:rsid w:val="000B65D6"/>
    <w:rsid w:val="000B65FD"/>
    <w:rsid w:val="000B663E"/>
    <w:rsid w:val="000B6824"/>
    <w:rsid w:val="000B68CF"/>
    <w:rsid w:val="000B6934"/>
    <w:rsid w:val="000B69BC"/>
    <w:rsid w:val="000B6C6D"/>
    <w:rsid w:val="000B6C84"/>
    <w:rsid w:val="000B6C9B"/>
    <w:rsid w:val="000B6D16"/>
    <w:rsid w:val="000B6DF9"/>
    <w:rsid w:val="000B6E38"/>
    <w:rsid w:val="000B70DA"/>
    <w:rsid w:val="000B70E2"/>
    <w:rsid w:val="000B7131"/>
    <w:rsid w:val="000B714E"/>
    <w:rsid w:val="000B72B8"/>
    <w:rsid w:val="000B72BC"/>
    <w:rsid w:val="000B7320"/>
    <w:rsid w:val="000B7378"/>
    <w:rsid w:val="000B74A3"/>
    <w:rsid w:val="000B74FE"/>
    <w:rsid w:val="000B754E"/>
    <w:rsid w:val="000B779F"/>
    <w:rsid w:val="000B7997"/>
    <w:rsid w:val="000B7A3D"/>
    <w:rsid w:val="000B7A70"/>
    <w:rsid w:val="000B7AD8"/>
    <w:rsid w:val="000B7B24"/>
    <w:rsid w:val="000B7B95"/>
    <w:rsid w:val="000B7BA2"/>
    <w:rsid w:val="000B7C25"/>
    <w:rsid w:val="000B7CC3"/>
    <w:rsid w:val="000B7D1D"/>
    <w:rsid w:val="000B7D93"/>
    <w:rsid w:val="000B7F0C"/>
    <w:rsid w:val="000B7FC6"/>
    <w:rsid w:val="000B7FDC"/>
    <w:rsid w:val="000C0217"/>
    <w:rsid w:val="000C02D9"/>
    <w:rsid w:val="000C031B"/>
    <w:rsid w:val="000C0320"/>
    <w:rsid w:val="000C0364"/>
    <w:rsid w:val="000C044A"/>
    <w:rsid w:val="000C044D"/>
    <w:rsid w:val="000C058E"/>
    <w:rsid w:val="000C059A"/>
    <w:rsid w:val="000C0673"/>
    <w:rsid w:val="000C07E2"/>
    <w:rsid w:val="000C0817"/>
    <w:rsid w:val="000C0974"/>
    <w:rsid w:val="000C09A4"/>
    <w:rsid w:val="000C09A8"/>
    <w:rsid w:val="000C0A1C"/>
    <w:rsid w:val="000C0AD1"/>
    <w:rsid w:val="000C0AE5"/>
    <w:rsid w:val="000C0BCD"/>
    <w:rsid w:val="000C0C37"/>
    <w:rsid w:val="000C0D46"/>
    <w:rsid w:val="000C0DA1"/>
    <w:rsid w:val="000C0DC6"/>
    <w:rsid w:val="000C0E20"/>
    <w:rsid w:val="000C0E5A"/>
    <w:rsid w:val="000C0E94"/>
    <w:rsid w:val="000C0EA7"/>
    <w:rsid w:val="000C0ED3"/>
    <w:rsid w:val="000C1004"/>
    <w:rsid w:val="000C100C"/>
    <w:rsid w:val="000C106E"/>
    <w:rsid w:val="000C10F6"/>
    <w:rsid w:val="000C11AC"/>
    <w:rsid w:val="000C1268"/>
    <w:rsid w:val="000C1275"/>
    <w:rsid w:val="000C142D"/>
    <w:rsid w:val="000C155E"/>
    <w:rsid w:val="000C15D9"/>
    <w:rsid w:val="000C1684"/>
    <w:rsid w:val="000C16D8"/>
    <w:rsid w:val="000C190E"/>
    <w:rsid w:val="000C198F"/>
    <w:rsid w:val="000C19F4"/>
    <w:rsid w:val="000C1AB0"/>
    <w:rsid w:val="000C1AB1"/>
    <w:rsid w:val="000C1CF5"/>
    <w:rsid w:val="000C1E69"/>
    <w:rsid w:val="000C1F7F"/>
    <w:rsid w:val="000C1FAB"/>
    <w:rsid w:val="000C20E4"/>
    <w:rsid w:val="000C211C"/>
    <w:rsid w:val="000C2173"/>
    <w:rsid w:val="000C21B6"/>
    <w:rsid w:val="000C2296"/>
    <w:rsid w:val="000C2543"/>
    <w:rsid w:val="000C254C"/>
    <w:rsid w:val="000C25B2"/>
    <w:rsid w:val="000C25D1"/>
    <w:rsid w:val="000C26AF"/>
    <w:rsid w:val="000C27AC"/>
    <w:rsid w:val="000C27DA"/>
    <w:rsid w:val="000C2836"/>
    <w:rsid w:val="000C292B"/>
    <w:rsid w:val="000C298C"/>
    <w:rsid w:val="000C2A16"/>
    <w:rsid w:val="000C2A4E"/>
    <w:rsid w:val="000C2AA0"/>
    <w:rsid w:val="000C2B8A"/>
    <w:rsid w:val="000C2C56"/>
    <w:rsid w:val="000C2CFD"/>
    <w:rsid w:val="000C2EF8"/>
    <w:rsid w:val="000C2F4B"/>
    <w:rsid w:val="000C2F4E"/>
    <w:rsid w:val="000C2FE5"/>
    <w:rsid w:val="000C3073"/>
    <w:rsid w:val="000C334B"/>
    <w:rsid w:val="000C33B1"/>
    <w:rsid w:val="000C33E4"/>
    <w:rsid w:val="000C350A"/>
    <w:rsid w:val="000C3519"/>
    <w:rsid w:val="000C35FF"/>
    <w:rsid w:val="000C3622"/>
    <w:rsid w:val="000C3687"/>
    <w:rsid w:val="000C3718"/>
    <w:rsid w:val="000C397B"/>
    <w:rsid w:val="000C3989"/>
    <w:rsid w:val="000C39FF"/>
    <w:rsid w:val="000C3B02"/>
    <w:rsid w:val="000C3C42"/>
    <w:rsid w:val="000C3EFF"/>
    <w:rsid w:val="000C3F1A"/>
    <w:rsid w:val="000C3F27"/>
    <w:rsid w:val="000C3FCB"/>
    <w:rsid w:val="000C3FDF"/>
    <w:rsid w:val="000C4232"/>
    <w:rsid w:val="000C42C4"/>
    <w:rsid w:val="000C43D1"/>
    <w:rsid w:val="000C4445"/>
    <w:rsid w:val="000C44CE"/>
    <w:rsid w:val="000C44CF"/>
    <w:rsid w:val="000C458B"/>
    <w:rsid w:val="000C46AF"/>
    <w:rsid w:val="000C4796"/>
    <w:rsid w:val="000C47FA"/>
    <w:rsid w:val="000C4896"/>
    <w:rsid w:val="000C4914"/>
    <w:rsid w:val="000C4939"/>
    <w:rsid w:val="000C4A27"/>
    <w:rsid w:val="000C4A69"/>
    <w:rsid w:val="000C4ADD"/>
    <w:rsid w:val="000C4B3B"/>
    <w:rsid w:val="000C4BA2"/>
    <w:rsid w:val="000C4BF3"/>
    <w:rsid w:val="000C4D01"/>
    <w:rsid w:val="000C4DFF"/>
    <w:rsid w:val="000C4E18"/>
    <w:rsid w:val="000C4EF6"/>
    <w:rsid w:val="000C4F6E"/>
    <w:rsid w:val="000C5314"/>
    <w:rsid w:val="000C5356"/>
    <w:rsid w:val="000C53C4"/>
    <w:rsid w:val="000C5568"/>
    <w:rsid w:val="000C558F"/>
    <w:rsid w:val="000C55D5"/>
    <w:rsid w:val="000C5688"/>
    <w:rsid w:val="000C56F2"/>
    <w:rsid w:val="000C5717"/>
    <w:rsid w:val="000C5725"/>
    <w:rsid w:val="000C5787"/>
    <w:rsid w:val="000C5820"/>
    <w:rsid w:val="000C587F"/>
    <w:rsid w:val="000C5897"/>
    <w:rsid w:val="000C594E"/>
    <w:rsid w:val="000C598C"/>
    <w:rsid w:val="000C59CD"/>
    <w:rsid w:val="000C59E7"/>
    <w:rsid w:val="000C59F5"/>
    <w:rsid w:val="000C5A24"/>
    <w:rsid w:val="000C5AA3"/>
    <w:rsid w:val="000C5B57"/>
    <w:rsid w:val="000C5D22"/>
    <w:rsid w:val="000C5D9B"/>
    <w:rsid w:val="000C5DD1"/>
    <w:rsid w:val="000C5E5A"/>
    <w:rsid w:val="000C5F66"/>
    <w:rsid w:val="000C5F71"/>
    <w:rsid w:val="000C602A"/>
    <w:rsid w:val="000C60C4"/>
    <w:rsid w:val="000C60C6"/>
    <w:rsid w:val="000C613E"/>
    <w:rsid w:val="000C6229"/>
    <w:rsid w:val="000C62FC"/>
    <w:rsid w:val="000C639C"/>
    <w:rsid w:val="000C6538"/>
    <w:rsid w:val="000C65C4"/>
    <w:rsid w:val="000C6654"/>
    <w:rsid w:val="000C6660"/>
    <w:rsid w:val="000C6688"/>
    <w:rsid w:val="000C6796"/>
    <w:rsid w:val="000C67D4"/>
    <w:rsid w:val="000C686F"/>
    <w:rsid w:val="000C687A"/>
    <w:rsid w:val="000C68FF"/>
    <w:rsid w:val="000C6950"/>
    <w:rsid w:val="000C6A2E"/>
    <w:rsid w:val="000C6AF4"/>
    <w:rsid w:val="000C6CBB"/>
    <w:rsid w:val="000C6CEB"/>
    <w:rsid w:val="000C6CFA"/>
    <w:rsid w:val="000C6DAC"/>
    <w:rsid w:val="000C6DCA"/>
    <w:rsid w:val="000C6EE4"/>
    <w:rsid w:val="000C6F03"/>
    <w:rsid w:val="000C6F44"/>
    <w:rsid w:val="000C6F58"/>
    <w:rsid w:val="000C7030"/>
    <w:rsid w:val="000C7133"/>
    <w:rsid w:val="000C7134"/>
    <w:rsid w:val="000C7330"/>
    <w:rsid w:val="000C73FD"/>
    <w:rsid w:val="000C7450"/>
    <w:rsid w:val="000C7537"/>
    <w:rsid w:val="000C7593"/>
    <w:rsid w:val="000C7594"/>
    <w:rsid w:val="000C76C9"/>
    <w:rsid w:val="000C7756"/>
    <w:rsid w:val="000C77CB"/>
    <w:rsid w:val="000C77E4"/>
    <w:rsid w:val="000C7885"/>
    <w:rsid w:val="000C793F"/>
    <w:rsid w:val="000C794A"/>
    <w:rsid w:val="000C79A3"/>
    <w:rsid w:val="000C7BAA"/>
    <w:rsid w:val="000C7BED"/>
    <w:rsid w:val="000C7CF0"/>
    <w:rsid w:val="000C7CF4"/>
    <w:rsid w:val="000C7DAB"/>
    <w:rsid w:val="000C7E5B"/>
    <w:rsid w:val="000C7EDD"/>
    <w:rsid w:val="000C7F79"/>
    <w:rsid w:val="000D001E"/>
    <w:rsid w:val="000D0079"/>
    <w:rsid w:val="000D01B0"/>
    <w:rsid w:val="000D01D3"/>
    <w:rsid w:val="000D0368"/>
    <w:rsid w:val="000D0379"/>
    <w:rsid w:val="000D03B1"/>
    <w:rsid w:val="000D0453"/>
    <w:rsid w:val="000D04FC"/>
    <w:rsid w:val="000D053C"/>
    <w:rsid w:val="000D054E"/>
    <w:rsid w:val="000D057C"/>
    <w:rsid w:val="000D05BF"/>
    <w:rsid w:val="000D0660"/>
    <w:rsid w:val="000D067E"/>
    <w:rsid w:val="000D06DE"/>
    <w:rsid w:val="000D070A"/>
    <w:rsid w:val="000D0747"/>
    <w:rsid w:val="000D07CF"/>
    <w:rsid w:val="000D07D7"/>
    <w:rsid w:val="000D07E5"/>
    <w:rsid w:val="000D0839"/>
    <w:rsid w:val="000D0844"/>
    <w:rsid w:val="000D08D3"/>
    <w:rsid w:val="000D09AB"/>
    <w:rsid w:val="000D0A6F"/>
    <w:rsid w:val="000D0AD8"/>
    <w:rsid w:val="000D0CC2"/>
    <w:rsid w:val="000D0D16"/>
    <w:rsid w:val="000D0D1E"/>
    <w:rsid w:val="000D0D5B"/>
    <w:rsid w:val="000D0DB6"/>
    <w:rsid w:val="000D0E00"/>
    <w:rsid w:val="000D0F9F"/>
    <w:rsid w:val="000D107D"/>
    <w:rsid w:val="000D10E4"/>
    <w:rsid w:val="000D113A"/>
    <w:rsid w:val="000D11A3"/>
    <w:rsid w:val="000D11B1"/>
    <w:rsid w:val="000D11CE"/>
    <w:rsid w:val="000D123A"/>
    <w:rsid w:val="000D1399"/>
    <w:rsid w:val="000D13AC"/>
    <w:rsid w:val="000D13AE"/>
    <w:rsid w:val="000D143D"/>
    <w:rsid w:val="000D1498"/>
    <w:rsid w:val="000D14BD"/>
    <w:rsid w:val="000D1553"/>
    <w:rsid w:val="000D1676"/>
    <w:rsid w:val="000D16AE"/>
    <w:rsid w:val="000D16F8"/>
    <w:rsid w:val="000D17ED"/>
    <w:rsid w:val="000D17F8"/>
    <w:rsid w:val="000D1809"/>
    <w:rsid w:val="000D188C"/>
    <w:rsid w:val="000D1A75"/>
    <w:rsid w:val="000D1BB1"/>
    <w:rsid w:val="000D1BCA"/>
    <w:rsid w:val="000D1D4B"/>
    <w:rsid w:val="000D1D82"/>
    <w:rsid w:val="000D1D91"/>
    <w:rsid w:val="000D1EC4"/>
    <w:rsid w:val="000D1FAB"/>
    <w:rsid w:val="000D20A1"/>
    <w:rsid w:val="000D2112"/>
    <w:rsid w:val="000D2173"/>
    <w:rsid w:val="000D21AC"/>
    <w:rsid w:val="000D221B"/>
    <w:rsid w:val="000D2289"/>
    <w:rsid w:val="000D233B"/>
    <w:rsid w:val="000D2415"/>
    <w:rsid w:val="000D24C5"/>
    <w:rsid w:val="000D259B"/>
    <w:rsid w:val="000D25A1"/>
    <w:rsid w:val="000D274B"/>
    <w:rsid w:val="000D287A"/>
    <w:rsid w:val="000D289C"/>
    <w:rsid w:val="000D290E"/>
    <w:rsid w:val="000D299C"/>
    <w:rsid w:val="000D2A36"/>
    <w:rsid w:val="000D2A4F"/>
    <w:rsid w:val="000D2D07"/>
    <w:rsid w:val="000D2E44"/>
    <w:rsid w:val="000D2EC3"/>
    <w:rsid w:val="000D303C"/>
    <w:rsid w:val="000D30EF"/>
    <w:rsid w:val="000D317D"/>
    <w:rsid w:val="000D31B0"/>
    <w:rsid w:val="000D3235"/>
    <w:rsid w:val="000D32BC"/>
    <w:rsid w:val="000D32D1"/>
    <w:rsid w:val="000D33BE"/>
    <w:rsid w:val="000D33C0"/>
    <w:rsid w:val="000D3428"/>
    <w:rsid w:val="000D347F"/>
    <w:rsid w:val="000D35DB"/>
    <w:rsid w:val="000D3670"/>
    <w:rsid w:val="000D3922"/>
    <w:rsid w:val="000D3944"/>
    <w:rsid w:val="000D3971"/>
    <w:rsid w:val="000D3981"/>
    <w:rsid w:val="000D3B82"/>
    <w:rsid w:val="000D3B85"/>
    <w:rsid w:val="000D3C07"/>
    <w:rsid w:val="000D3C8B"/>
    <w:rsid w:val="000D3D79"/>
    <w:rsid w:val="000D3DD7"/>
    <w:rsid w:val="000D4039"/>
    <w:rsid w:val="000D41BA"/>
    <w:rsid w:val="000D422D"/>
    <w:rsid w:val="000D4459"/>
    <w:rsid w:val="000D44BC"/>
    <w:rsid w:val="000D4542"/>
    <w:rsid w:val="000D4585"/>
    <w:rsid w:val="000D460E"/>
    <w:rsid w:val="000D467B"/>
    <w:rsid w:val="000D484C"/>
    <w:rsid w:val="000D4995"/>
    <w:rsid w:val="000D4A0A"/>
    <w:rsid w:val="000D4AB6"/>
    <w:rsid w:val="000D4AF0"/>
    <w:rsid w:val="000D4B29"/>
    <w:rsid w:val="000D4B53"/>
    <w:rsid w:val="000D4BCA"/>
    <w:rsid w:val="000D4C44"/>
    <w:rsid w:val="000D4C54"/>
    <w:rsid w:val="000D4C74"/>
    <w:rsid w:val="000D4D47"/>
    <w:rsid w:val="000D4DB5"/>
    <w:rsid w:val="000D4DCF"/>
    <w:rsid w:val="000D4F69"/>
    <w:rsid w:val="000D504F"/>
    <w:rsid w:val="000D50B0"/>
    <w:rsid w:val="000D5122"/>
    <w:rsid w:val="000D51AA"/>
    <w:rsid w:val="000D51EC"/>
    <w:rsid w:val="000D52D1"/>
    <w:rsid w:val="000D5344"/>
    <w:rsid w:val="000D5350"/>
    <w:rsid w:val="000D5369"/>
    <w:rsid w:val="000D538F"/>
    <w:rsid w:val="000D5423"/>
    <w:rsid w:val="000D5568"/>
    <w:rsid w:val="000D5764"/>
    <w:rsid w:val="000D577F"/>
    <w:rsid w:val="000D57AD"/>
    <w:rsid w:val="000D57C8"/>
    <w:rsid w:val="000D58FF"/>
    <w:rsid w:val="000D5924"/>
    <w:rsid w:val="000D5B1D"/>
    <w:rsid w:val="000D5BB4"/>
    <w:rsid w:val="000D5CB2"/>
    <w:rsid w:val="000D5CCE"/>
    <w:rsid w:val="000D5D8F"/>
    <w:rsid w:val="000D5DB8"/>
    <w:rsid w:val="000D5DF1"/>
    <w:rsid w:val="000D5DF7"/>
    <w:rsid w:val="000D5E07"/>
    <w:rsid w:val="000D61AF"/>
    <w:rsid w:val="000D622C"/>
    <w:rsid w:val="000D6360"/>
    <w:rsid w:val="000D63A8"/>
    <w:rsid w:val="000D6402"/>
    <w:rsid w:val="000D6407"/>
    <w:rsid w:val="000D6444"/>
    <w:rsid w:val="000D6466"/>
    <w:rsid w:val="000D6728"/>
    <w:rsid w:val="000D6851"/>
    <w:rsid w:val="000D69F8"/>
    <w:rsid w:val="000D6A00"/>
    <w:rsid w:val="000D6AD2"/>
    <w:rsid w:val="000D6B8E"/>
    <w:rsid w:val="000D6C22"/>
    <w:rsid w:val="000D6C54"/>
    <w:rsid w:val="000D6C78"/>
    <w:rsid w:val="000D6C84"/>
    <w:rsid w:val="000D6CAB"/>
    <w:rsid w:val="000D6D9B"/>
    <w:rsid w:val="000D6DE7"/>
    <w:rsid w:val="000D6F79"/>
    <w:rsid w:val="000D70E0"/>
    <w:rsid w:val="000D7112"/>
    <w:rsid w:val="000D721A"/>
    <w:rsid w:val="000D723E"/>
    <w:rsid w:val="000D725D"/>
    <w:rsid w:val="000D74AE"/>
    <w:rsid w:val="000D77AE"/>
    <w:rsid w:val="000D7A92"/>
    <w:rsid w:val="000D7ADB"/>
    <w:rsid w:val="000D7B0E"/>
    <w:rsid w:val="000D7B34"/>
    <w:rsid w:val="000D7B41"/>
    <w:rsid w:val="000D7B6D"/>
    <w:rsid w:val="000D7D5B"/>
    <w:rsid w:val="000D7F7D"/>
    <w:rsid w:val="000E0062"/>
    <w:rsid w:val="000E0099"/>
    <w:rsid w:val="000E00FF"/>
    <w:rsid w:val="000E0158"/>
    <w:rsid w:val="000E0191"/>
    <w:rsid w:val="000E01CD"/>
    <w:rsid w:val="000E027B"/>
    <w:rsid w:val="000E0350"/>
    <w:rsid w:val="000E0366"/>
    <w:rsid w:val="000E0420"/>
    <w:rsid w:val="000E04D6"/>
    <w:rsid w:val="000E04E9"/>
    <w:rsid w:val="000E0545"/>
    <w:rsid w:val="000E05FF"/>
    <w:rsid w:val="000E0683"/>
    <w:rsid w:val="000E0690"/>
    <w:rsid w:val="000E06A5"/>
    <w:rsid w:val="000E06E3"/>
    <w:rsid w:val="000E0816"/>
    <w:rsid w:val="000E0868"/>
    <w:rsid w:val="000E08CD"/>
    <w:rsid w:val="000E0A59"/>
    <w:rsid w:val="000E0AF8"/>
    <w:rsid w:val="000E0C12"/>
    <w:rsid w:val="000E0D8B"/>
    <w:rsid w:val="000E0DDD"/>
    <w:rsid w:val="000E0E0B"/>
    <w:rsid w:val="000E0EB3"/>
    <w:rsid w:val="000E0FB4"/>
    <w:rsid w:val="000E0FE2"/>
    <w:rsid w:val="000E0FEC"/>
    <w:rsid w:val="000E1109"/>
    <w:rsid w:val="000E112C"/>
    <w:rsid w:val="000E1288"/>
    <w:rsid w:val="000E12A4"/>
    <w:rsid w:val="000E12E3"/>
    <w:rsid w:val="000E12FC"/>
    <w:rsid w:val="000E1326"/>
    <w:rsid w:val="000E138D"/>
    <w:rsid w:val="000E1392"/>
    <w:rsid w:val="000E13DC"/>
    <w:rsid w:val="000E1461"/>
    <w:rsid w:val="000E1541"/>
    <w:rsid w:val="000E1576"/>
    <w:rsid w:val="000E15DE"/>
    <w:rsid w:val="000E15EE"/>
    <w:rsid w:val="000E180C"/>
    <w:rsid w:val="000E1846"/>
    <w:rsid w:val="000E199E"/>
    <w:rsid w:val="000E19BA"/>
    <w:rsid w:val="000E1A5B"/>
    <w:rsid w:val="000E1A99"/>
    <w:rsid w:val="000E1C95"/>
    <w:rsid w:val="000E1D5D"/>
    <w:rsid w:val="000E1E32"/>
    <w:rsid w:val="000E1EEB"/>
    <w:rsid w:val="000E2170"/>
    <w:rsid w:val="000E225F"/>
    <w:rsid w:val="000E2265"/>
    <w:rsid w:val="000E22FA"/>
    <w:rsid w:val="000E230B"/>
    <w:rsid w:val="000E2387"/>
    <w:rsid w:val="000E250B"/>
    <w:rsid w:val="000E255B"/>
    <w:rsid w:val="000E2577"/>
    <w:rsid w:val="000E259D"/>
    <w:rsid w:val="000E2725"/>
    <w:rsid w:val="000E28C5"/>
    <w:rsid w:val="000E28F6"/>
    <w:rsid w:val="000E2909"/>
    <w:rsid w:val="000E296A"/>
    <w:rsid w:val="000E298D"/>
    <w:rsid w:val="000E2A96"/>
    <w:rsid w:val="000E2B7B"/>
    <w:rsid w:val="000E2C02"/>
    <w:rsid w:val="000E2C34"/>
    <w:rsid w:val="000E2CE4"/>
    <w:rsid w:val="000E2CE5"/>
    <w:rsid w:val="000E2D01"/>
    <w:rsid w:val="000E2D1A"/>
    <w:rsid w:val="000E2DB8"/>
    <w:rsid w:val="000E2DC4"/>
    <w:rsid w:val="000E2E4A"/>
    <w:rsid w:val="000E2F9C"/>
    <w:rsid w:val="000E2FB1"/>
    <w:rsid w:val="000E300B"/>
    <w:rsid w:val="000E30D5"/>
    <w:rsid w:val="000E30D9"/>
    <w:rsid w:val="000E3127"/>
    <w:rsid w:val="000E3355"/>
    <w:rsid w:val="000E33B2"/>
    <w:rsid w:val="000E33CF"/>
    <w:rsid w:val="000E33F0"/>
    <w:rsid w:val="000E3483"/>
    <w:rsid w:val="000E3529"/>
    <w:rsid w:val="000E353B"/>
    <w:rsid w:val="000E36E1"/>
    <w:rsid w:val="000E3738"/>
    <w:rsid w:val="000E37F9"/>
    <w:rsid w:val="000E38EF"/>
    <w:rsid w:val="000E3A37"/>
    <w:rsid w:val="000E3A3D"/>
    <w:rsid w:val="000E3B07"/>
    <w:rsid w:val="000E3B0F"/>
    <w:rsid w:val="000E3B1D"/>
    <w:rsid w:val="000E3B26"/>
    <w:rsid w:val="000E3B5F"/>
    <w:rsid w:val="000E3CB0"/>
    <w:rsid w:val="000E3D86"/>
    <w:rsid w:val="000E3DE7"/>
    <w:rsid w:val="000E3DFB"/>
    <w:rsid w:val="000E3E16"/>
    <w:rsid w:val="000E3EDD"/>
    <w:rsid w:val="000E3F8E"/>
    <w:rsid w:val="000E3F9B"/>
    <w:rsid w:val="000E3FC8"/>
    <w:rsid w:val="000E3FFD"/>
    <w:rsid w:val="000E4000"/>
    <w:rsid w:val="000E4027"/>
    <w:rsid w:val="000E412C"/>
    <w:rsid w:val="000E4135"/>
    <w:rsid w:val="000E420A"/>
    <w:rsid w:val="000E42A8"/>
    <w:rsid w:val="000E433F"/>
    <w:rsid w:val="000E436A"/>
    <w:rsid w:val="000E4383"/>
    <w:rsid w:val="000E43A6"/>
    <w:rsid w:val="000E44AA"/>
    <w:rsid w:val="000E458E"/>
    <w:rsid w:val="000E4616"/>
    <w:rsid w:val="000E4645"/>
    <w:rsid w:val="000E4671"/>
    <w:rsid w:val="000E48F1"/>
    <w:rsid w:val="000E4993"/>
    <w:rsid w:val="000E4AEF"/>
    <w:rsid w:val="000E4B74"/>
    <w:rsid w:val="000E4CAC"/>
    <w:rsid w:val="000E4CE3"/>
    <w:rsid w:val="000E4E00"/>
    <w:rsid w:val="000E4E5B"/>
    <w:rsid w:val="000E4F02"/>
    <w:rsid w:val="000E4F47"/>
    <w:rsid w:val="000E4F75"/>
    <w:rsid w:val="000E4FD9"/>
    <w:rsid w:val="000E5007"/>
    <w:rsid w:val="000E5054"/>
    <w:rsid w:val="000E5076"/>
    <w:rsid w:val="000E50FE"/>
    <w:rsid w:val="000E516A"/>
    <w:rsid w:val="000E51C7"/>
    <w:rsid w:val="000E5226"/>
    <w:rsid w:val="000E5267"/>
    <w:rsid w:val="000E539B"/>
    <w:rsid w:val="000E543A"/>
    <w:rsid w:val="000E5673"/>
    <w:rsid w:val="000E56D1"/>
    <w:rsid w:val="000E5741"/>
    <w:rsid w:val="000E57B7"/>
    <w:rsid w:val="000E57EF"/>
    <w:rsid w:val="000E5818"/>
    <w:rsid w:val="000E582D"/>
    <w:rsid w:val="000E5864"/>
    <w:rsid w:val="000E5912"/>
    <w:rsid w:val="000E5969"/>
    <w:rsid w:val="000E59E7"/>
    <w:rsid w:val="000E5A69"/>
    <w:rsid w:val="000E5B79"/>
    <w:rsid w:val="000E5BAF"/>
    <w:rsid w:val="000E5EB9"/>
    <w:rsid w:val="000E5F13"/>
    <w:rsid w:val="000E5F4E"/>
    <w:rsid w:val="000E5F62"/>
    <w:rsid w:val="000E610A"/>
    <w:rsid w:val="000E6540"/>
    <w:rsid w:val="000E663D"/>
    <w:rsid w:val="000E6745"/>
    <w:rsid w:val="000E686C"/>
    <w:rsid w:val="000E68C3"/>
    <w:rsid w:val="000E6B1B"/>
    <w:rsid w:val="000E6B69"/>
    <w:rsid w:val="000E6D7B"/>
    <w:rsid w:val="000E6DB2"/>
    <w:rsid w:val="000E6FD7"/>
    <w:rsid w:val="000E71D2"/>
    <w:rsid w:val="000E7287"/>
    <w:rsid w:val="000E72F7"/>
    <w:rsid w:val="000E7332"/>
    <w:rsid w:val="000E7357"/>
    <w:rsid w:val="000E73D1"/>
    <w:rsid w:val="000E74C0"/>
    <w:rsid w:val="000E7540"/>
    <w:rsid w:val="000E75FB"/>
    <w:rsid w:val="000E769A"/>
    <w:rsid w:val="000E7726"/>
    <w:rsid w:val="000E793A"/>
    <w:rsid w:val="000E7985"/>
    <w:rsid w:val="000E7A4C"/>
    <w:rsid w:val="000E7CE3"/>
    <w:rsid w:val="000E7D60"/>
    <w:rsid w:val="000E7D6D"/>
    <w:rsid w:val="000E7DCE"/>
    <w:rsid w:val="000E7E4F"/>
    <w:rsid w:val="000F0088"/>
    <w:rsid w:val="000F00F5"/>
    <w:rsid w:val="000F012B"/>
    <w:rsid w:val="000F0171"/>
    <w:rsid w:val="000F02CA"/>
    <w:rsid w:val="000F02ED"/>
    <w:rsid w:val="000F03C7"/>
    <w:rsid w:val="000F0424"/>
    <w:rsid w:val="000F04B5"/>
    <w:rsid w:val="000F04C6"/>
    <w:rsid w:val="000F050C"/>
    <w:rsid w:val="000F051E"/>
    <w:rsid w:val="000F079C"/>
    <w:rsid w:val="000F0833"/>
    <w:rsid w:val="000F0865"/>
    <w:rsid w:val="000F08F4"/>
    <w:rsid w:val="000F0903"/>
    <w:rsid w:val="000F0A4E"/>
    <w:rsid w:val="000F0B04"/>
    <w:rsid w:val="000F0B07"/>
    <w:rsid w:val="000F0CDE"/>
    <w:rsid w:val="000F0CFB"/>
    <w:rsid w:val="000F0D0C"/>
    <w:rsid w:val="000F0D37"/>
    <w:rsid w:val="000F0F9D"/>
    <w:rsid w:val="000F0FE2"/>
    <w:rsid w:val="000F1010"/>
    <w:rsid w:val="000F107A"/>
    <w:rsid w:val="000F1084"/>
    <w:rsid w:val="000F11F4"/>
    <w:rsid w:val="000F1247"/>
    <w:rsid w:val="000F130E"/>
    <w:rsid w:val="000F1343"/>
    <w:rsid w:val="000F14AF"/>
    <w:rsid w:val="000F1561"/>
    <w:rsid w:val="000F1574"/>
    <w:rsid w:val="000F1780"/>
    <w:rsid w:val="000F17AB"/>
    <w:rsid w:val="000F17C7"/>
    <w:rsid w:val="000F1827"/>
    <w:rsid w:val="000F187F"/>
    <w:rsid w:val="000F18D2"/>
    <w:rsid w:val="000F1932"/>
    <w:rsid w:val="000F1B65"/>
    <w:rsid w:val="000F1BD9"/>
    <w:rsid w:val="000F1C05"/>
    <w:rsid w:val="000F1CA3"/>
    <w:rsid w:val="000F1CAB"/>
    <w:rsid w:val="000F1D23"/>
    <w:rsid w:val="000F1D35"/>
    <w:rsid w:val="000F1DE8"/>
    <w:rsid w:val="000F1F1A"/>
    <w:rsid w:val="000F200F"/>
    <w:rsid w:val="000F2026"/>
    <w:rsid w:val="000F20D6"/>
    <w:rsid w:val="000F224C"/>
    <w:rsid w:val="000F22B4"/>
    <w:rsid w:val="000F2369"/>
    <w:rsid w:val="000F24C6"/>
    <w:rsid w:val="000F24FB"/>
    <w:rsid w:val="000F2695"/>
    <w:rsid w:val="000F26F8"/>
    <w:rsid w:val="000F2825"/>
    <w:rsid w:val="000F2942"/>
    <w:rsid w:val="000F2960"/>
    <w:rsid w:val="000F297F"/>
    <w:rsid w:val="000F29CA"/>
    <w:rsid w:val="000F29D1"/>
    <w:rsid w:val="000F29DC"/>
    <w:rsid w:val="000F2AFB"/>
    <w:rsid w:val="000F2B24"/>
    <w:rsid w:val="000F2C3C"/>
    <w:rsid w:val="000F2C51"/>
    <w:rsid w:val="000F2D8B"/>
    <w:rsid w:val="000F2D9C"/>
    <w:rsid w:val="000F2DDE"/>
    <w:rsid w:val="000F2DE2"/>
    <w:rsid w:val="000F2E68"/>
    <w:rsid w:val="000F3018"/>
    <w:rsid w:val="000F3122"/>
    <w:rsid w:val="000F3136"/>
    <w:rsid w:val="000F31A0"/>
    <w:rsid w:val="000F32C6"/>
    <w:rsid w:val="000F3370"/>
    <w:rsid w:val="000F343B"/>
    <w:rsid w:val="000F34C2"/>
    <w:rsid w:val="000F357E"/>
    <w:rsid w:val="000F3586"/>
    <w:rsid w:val="000F35EA"/>
    <w:rsid w:val="000F364D"/>
    <w:rsid w:val="000F368D"/>
    <w:rsid w:val="000F3729"/>
    <w:rsid w:val="000F37D9"/>
    <w:rsid w:val="000F37E4"/>
    <w:rsid w:val="000F381E"/>
    <w:rsid w:val="000F384F"/>
    <w:rsid w:val="000F3AAB"/>
    <w:rsid w:val="000F3AF0"/>
    <w:rsid w:val="000F3B54"/>
    <w:rsid w:val="000F3BC0"/>
    <w:rsid w:val="000F3BE2"/>
    <w:rsid w:val="000F3C70"/>
    <w:rsid w:val="000F3D62"/>
    <w:rsid w:val="000F3DD5"/>
    <w:rsid w:val="000F3E5A"/>
    <w:rsid w:val="000F403F"/>
    <w:rsid w:val="000F4135"/>
    <w:rsid w:val="000F414E"/>
    <w:rsid w:val="000F423C"/>
    <w:rsid w:val="000F4316"/>
    <w:rsid w:val="000F4347"/>
    <w:rsid w:val="000F43A2"/>
    <w:rsid w:val="000F43FD"/>
    <w:rsid w:val="000F4476"/>
    <w:rsid w:val="000F44B9"/>
    <w:rsid w:val="000F4525"/>
    <w:rsid w:val="000F4613"/>
    <w:rsid w:val="000F461D"/>
    <w:rsid w:val="000F4687"/>
    <w:rsid w:val="000F46C6"/>
    <w:rsid w:val="000F4747"/>
    <w:rsid w:val="000F4873"/>
    <w:rsid w:val="000F48AA"/>
    <w:rsid w:val="000F48C1"/>
    <w:rsid w:val="000F4CEB"/>
    <w:rsid w:val="000F4D1C"/>
    <w:rsid w:val="000F4E64"/>
    <w:rsid w:val="000F4EB8"/>
    <w:rsid w:val="000F4FC9"/>
    <w:rsid w:val="000F5084"/>
    <w:rsid w:val="000F50C0"/>
    <w:rsid w:val="000F5141"/>
    <w:rsid w:val="000F5225"/>
    <w:rsid w:val="000F528C"/>
    <w:rsid w:val="000F531A"/>
    <w:rsid w:val="000F531E"/>
    <w:rsid w:val="000F5355"/>
    <w:rsid w:val="000F543C"/>
    <w:rsid w:val="000F5458"/>
    <w:rsid w:val="000F5459"/>
    <w:rsid w:val="000F54FE"/>
    <w:rsid w:val="000F551B"/>
    <w:rsid w:val="000F5742"/>
    <w:rsid w:val="000F5748"/>
    <w:rsid w:val="000F57B6"/>
    <w:rsid w:val="000F58EB"/>
    <w:rsid w:val="000F592C"/>
    <w:rsid w:val="000F5B79"/>
    <w:rsid w:val="000F5C12"/>
    <w:rsid w:val="000F5C2B"/>
    <w:rsid w:val="000F5C9C"/>
    <w:rsid w:val="000F5DB2"/>
    <w:rsid w:val="000F5E04"/>
    <w:rsid w:val="000F5E61"/>
    <w:rsid w:val="000F5F7F"/>
    <w:rsid w:val="000F6022"/>
    <w:rsid w:val="000F604B"/>
    <w:rsid w:val="000F60B7"/>
    <w:rsid w:val="000F625A"/>
    <w:rsid w:val="000F6296"/>
    <w:rsid w:val="000F62D3"/>
    <w:rsid w:val="000F6367"/>
    <w:rsid w:val="000F6382"/>
    <w:rsid w:val="000F653C"/>
    <w:rsid w:val="000F665E"/>
    <w:rsid w:val="000F66EE"/>
    <w:rsid w:val="000F670A"/>
    <w:rsid w:val="000F670F"/>
    <w:rsid w:val="000F675D"/>
    <w:rsid w:val="000F67CF"/>
    <w:rsid w:val="000F6814"/>
    <w:rsid w:val="000F684F"/>
    <w:rsid w:val="000F68BB"/>
    <w:rsid w:val="000F68DA"/>
    <w:rsid w:val="000F690D"/>
    <w:rsid w:val="000F69B2"/>
    <w:rsid w:val="000F69D3"/>
    <w:rsid w:val="000F69DC"/>
    <w:rsid w:val="000F69E3"/>
    <w:rsid w:val="000F6A1E"/>
    <w:rsid w:val="000F6A52"/>
    <w:rsid w:val="000F6BA5"/>
    <w:rsid w:val="000F6CC8"/>
    <w:rsid w:val="000F6E07"/>
    <w:rsid w:val="000F6F1C"/>
    <w:rsid w:val="000F6FB5"/>
    <w:rsid w:val="000F70F1"/>
    <w:rsid w:val="000F7125"/>
    <w:rsid w:val="000F7161"/>
    <w:rsid w:val="000F72D7"/>
    <w:rsid w:val="000F73C4"/>
    <w:rsid w:val="000F746B"/>
    <w:rsid w:val="000F7513"/>
    <w:rsid w:val="000F7588"/>
    <w:rsid w:val="000F75DE"/>
    <w:rsid w:val="000F75F5"/>
    <w:rsid w:val="000F786E"/>
    <w:rsid w:val="000F78BD"/>
    <w:rsid w:val="000F7A59"/>
    <w:rsid w:val="000F7AC9"/>
    <w:rsid w:val="000F7BC6"/>
    <w:rsid w:val="000F7C0D"/>
    <w:rsid w:val="000F7CE3"/>
    <w:rsid w:val="000F7D0F"/>
    <w:rsid w:val="000F7E43"/>
    <w:rsid w:val="000F7F22"/>
    <w:rsid w:val="001000BF"/>
    <w:rsid w:val="001000F1"/>
    <w:rsid w:val="00100242"/>
    <w:rsid w:val="0010030D"/>
    <w:rsid w:val="00100384"/>
    <w:rsid w:val="00100462"/>
    <w:rsid w:val="00100505"/>
    <w:rsid w:val="0010052A"/>
    <w:rsid w:val="001005B8"/>
    <w:rsid w:val="001005E1"/>
    <w:rsid w:val="00100619"/>
    <w:rsid w:val="00100628"/>
    <w:rsid w:val="00100656"/>
    <w:rsid w:val="0010073C"/>
    <w:rsid w:val="00100849"/>
    <w:rsid w:val="00100930"/>
    <w:rsid w:val="00100A99"/>
    <w:rsid w:val="00100AB5"/>
    <w:rsid w:val="00100AF2"/>
    <w:rsid w:val="00100BAA"/>
    <w:rsid w:val="00100C4E"/>
    <w:rsid w:val="00100CE1"/>
    <w:rsid w:val="00100D2C"/>
    <w:rsid w:val="00100E0D"/>
    <w:rsid w:val="00100F79"/>
    <w:rsid w:val="00100FFC"/>
    <w:rsid w:val="001010AD"/>
    <w:rsid w:val="001011E8"/>
    <w:rsid w:val="0010120E"/>
    <w:rsid w:val="00101318"/>
    <w:rsid w:val="0010131D"/>
    <w:rsid w:val="00101330"/>
    <w:rsid w:val="001013AD"/>
    <w:rsid w:val="0010145F"/>
    <w:rsid w:val="001014E3"/>
    <w:rsid w:val="001015DC"/>
    <w:rsid w:val="001015DF"/>
    <w:rsid w:val="001015F8"/>
    <w:rsid w:val="0010166C"/>
    <w:rsid w:val="0010169D"/>
    <w:rsid w:val="001016C1"/>
    <w:rsid w:val="00101703"/>
    <w:rsid w:val="0010173A"/>
    <w:rsid w:val="00101745"/>
    <w:rsid w:val="00101747"/>
    <w:rsid w:val="001017A3"/>
    <w:rsid w:val="0010183F"/>
    <w:rsid w:val="001018D6"/>
    <w:rsid w:val="00101902"/>
    <w:rsid w:val="0010194B"/>
    <w:rsid w:val="00101A8B"/>
    <w:rsid w:val="00101AC5"/>
    <w:rsid w:val="00101B47"/>
    <w:rsid w:val="00101B80"/>
    <w:rsid w:val="00101BF8"/>
    <w:rsid w:val="00101C69"/>
    <w:rsid w:val="00101C75"/>
    <w:rsid w:val="00101DB8"/>
    <w:rsid w:val="00101EC3"/>
    <w:rsid w:val="00101EED"/>
    <w:rsid w:val="00101F92"/>
    <w:rsid w:val="00101FDA"/>
    <w:rsid w:val="00101FF3"/>
    <w:rsid w:val="001020FF"/>
    <w:rsid w:val="001022B3"/>
    <w:rsid w:val="00102328"/>
    <w:rsid w:val="00102476"/>
    <w:rsid w:val="001025D1"/>
    <w:rsid w:val="0010266B"/>
    <w:rsid w:val="00102704"/>
    <w:rsid w:val="0010272D"/>
    <w:rsid w:val="00102741"/>
    <w:rsid w:val="0010274C"/>
    <w:rsid w:val="001027B3"/>
    <w:rsid w:val="001027CA"/>
    <w:rsid w:val="001027F3"/>
    <w:rsid w:val="001028D3"/>
    <w:rsid w:val="0010290F"/>
    <w:rsid w:val="00102A31"/>
    <w:rsid w:val="00102A62"/>
    <w:rsid w:val="00102B03"/>
    <w:rsid w:val="00102B6D"/>
    <w:rsid w:val="00102C2D"/>
    <w:rsid w:val="00102D3F"/>
    <w:rsid w:val="00102ED9"/>
    <w:rsid w:val="00102F1A"/>
    <w:rsid w:val="00102F55"/>
    <w:rsid w:val="00102FEF"/>
    <w:rsid w:val="00103009"/>
    <w:rsid w:val="00103134"/>
    <w:rsid w:val="00103185"/>
    <w:rsid w:val="00103288"/>
    <w:rsid w:val="00103364"/>
    <w:rsid w:val="001033C8"/>
    <w:rsid w:val="001033F3"/>
    <w:rsid w:val="00103407"/>
    <w:rsid w:val="00103470"/>
    <w:rsid w:val="00103479"/>
    <w:rsid w:val="00103514"/>
    <w:rsid w:val="00103554"/>
    <w:rsid w:val="00103736"/>
    <w:rsid w:val="001037EE"/>
    <w:rsid w:val="0010389E"/>
    <w:rsid w:val="001038BF"/>
    <w:rsid w:val="00103B41"/>
    <w:rsid w:val="00103BF3"/>
    <w:rsid w:val="00103CBB"/>
    <w:rsid w:val="00103D0F"/>
    <w:rsid w:val="00103D28"/>
    <w:rsid w:val="00103DB6"/>
    <w:rsid w:val="00103E58"/>
    <w:rsid w:val="00103EED"/>
    <w:rsid w:val="00103F0F"/>
    <w:rsid w:val="00103FE5"/>
    <w:rsid w:val="00104096"/>
    <w:rsid w:val="001040D4"/>
    <w:rsid w:val="001041E5"/>
    <w:rsid w:val="0010420C"/>
    <w:rsid w:val="00104272"/>
    <w:rsid w:val="001042DC"/>
    <w:rsid w:val="001042F2"/>
    <w:rsid w:val="0010430D"/>
    <w:rsid w:val="001046D5"/>
    <w:rsid w:val="00104753"/>
    <w:rsid w:val="0010485E"/>
    <w:rsid w:val="001048BB"/>
    <w:rsid w:val="00104905"/>
    <w:rsid w:val="00104998"/>
    <w:rsid w:val="00104B54"/>
    <w:rsid w:val="00104B55"/>
    <w:rsid w:val="00104CFE"/>
    <w:rsid w:val="00104D1F"/>
    <w:rsid w:val="00104D72"/>
    <w:rsid w:val="00104E00"/>
    <w:rsid w:val="00104E9C"/>
    <w:rsid w:val="00104ECE"/>
    <w:rsid w:val="00104EFD"/>
    <w:rsid w:val="00104F3D"/>
    <w:rsid w:val="00104F46"/>
    <w:rsid w:val="00104F98"/>
    <w:rsid w:val="00105027"/>
    <w:rsid w:val="001050C1"/>
    <w:rsid w:val="0010515D"/>
    <w:rsid w:val="00105277"/>
    <w:rsid w:val="0010527A"/>
    <w:rsid w:val="001052B2"/>
    <w:rsid w:val="00105404"/>
    <w:rsid w:val="0010547C"/>
    <w:rsid w:val="00105505"/>
    <w:rsid w:val="001055DD"/>
    <w:rsid w:val="001055F3"/>
    <w:rsid w:val="001055F9"/>
    <w:rsid w:val="00105641"/>
    <w:rsid w:val="001056AF"/>
    <w:rsid w:val="0010570D"/>
    <w:rsid w:val="00105752"/>
    <w:rsid w:val="0010576F"/>
    <w:rsid w:val="001057DD"/>
    <w:rsid w:val="001058AE"/>
    <w:rsid w:val="001058C7"/>
    <w:rsid w:val="001058ED"/>
    <w:rsid w:val="00105935"/>
    <w:rsid w:val="00105ADE"/>
    <w:rsid w:val="00105B1B"/>
    <w:rsid w:val="00105B51"/>
    <w:rsid w:val="00105B78"/>
    <w:rsid w:val="00105B96"/>
    <w:rsid w:val="00105D5A"/>
    <w:rsid w:val="00105E57"/>
    <w:rsid w:val="00105EBA"/>
    <w:rsid w:val="00105F76"/>
    <w:rsid w:val="00105FB5"/>
    <w:rsid w:val="001060A1"/>
    <w:rsid w:val="001061E9"/>
    <w:rsid w:val="001062D0"/>
    <w:rsid w:val="001062ED"/>
    <w:rsid w:val="00106309"/>
    <w:rsid w:val="0010651E"/>
    <w:rsid w:val="00106523"/>
    <w:rsid w:val="001065B0"/>
    <w:rsid w:val="001066CB"/>
    <w:rsid w:val="001067DA"/>
    <w:rsid w:val="0010687A"/>
    <w:rsid w:val="001069B1"/>
    <w:rsid w:val="00106A1F"/>
    <w:rsid w:val="00106A6B"/>
    <w:rsid w:val="00106AA6"/>
    <w:rsid w:val="00106B09"/>
    <w:rsid w:val="00106B32"/>
    <w:rsid w:val="00106B66"/>
    <w:rsid w:val="00106C85"/>
    <w:rsid w:val="00106CA7"/>
    <w:rsid w:val="00106CE4"/>
    <w:rsid w:val="00106CFC"/>
    <w:rsid w:val="00106DAF"/>
    <w:rsid w:val="00106DE3"/>
    <w:rsid w:val="001071E8"/>
    <w:rsid w:val="00107326"/>
    <w:rsid w:val="00107442"/>
    <w:rsid w:val="001075D7"/>
    <w:rsid w:val="001076B7"/>
    <w:rsid w:val="00107718"/>
    <w:rsid w:val="001077E8"/>
    <w:rsid w:val="0010780C"/>
    <w:rsid w:val="0010782D"/>
    <w:rsid w:val="00107919"/>
    <w:rsid w:val="00107AC7"/>
    <w:rsid w:val="00107ACC"/>
    <w:rsid w:val="00107B05"/>
    <w:rsid w:val="00107BF5"/>
    <w:rsid w:val="00107C29"/>
    <w:rsid w:val="00107C78"/>
    <w:rsid w:val="00107DA1"/>
    <w:rsid w:val="00107E12"/>
    <w:rsid w:val="00107F3A"/>
    <w:rsid w:val="001100C5"/>
    <w:rsid w:val="00110101"/>
    <w:rsid w:val="00110165"/>
    <w:rsid w:val="0011017D"/>
    <w:rsid w:val="00110217"/>
    <w:rsid w:val="0011025D"/>
    <w:rsid w:val="00110598"/>
    <w:rsid w:val="001106FE"/>
    <w:rsid w:val="00110746"/>
    <w:rsid w:val="00110763"/>
    <w:rsid w:val="001107AB"/>
    <w:rsid w:val="00110893"/>
    <w:rsid w:val="001108FA"/>
    <w:rsid w:val="00110906"/>
    <w:rsid w:val="00110970"/>
    <w:rsid w:val="001109D4"/>
    <w:rsid w:val="00110A85"/>
    <w:rsid w:val="00110BFF"/>
    <w:rsid w:val="00110DB1"/>
    <w:rsid w:val="00110E68"/>
    <w:rsid w:val="00110F09"/>
    <w:rsid w:val="00111053"/>
    <w:rsid w:val="001110E1"/>
    <w:rsid w:val="0011110D"/>
    <w:rsid w:val="0011114A"/>
    <w:rsid w:val="0011114F"/>
    <w:rsid w:val="001111D9"/>
    <w:rsid w:val="001111E1"/>
    <w:rsid w:val="00111312"/>
    <w:rsid w:val="00111334"/>
    <w:rsid w:val="001113E7"/>
    <w:rsid w:val="001115FC"/>
    <w:rsid w:val="00111624"/>
    <w:rsid w:val="00111634"/>
    <w:rsid w:val="00111677"/>
    <w:rsid w:val="001116DE"/>
    <w:rsid w:val="0011179F"/>
    <w:rsid w:val="001117A1"/>
    <w:rsid w:val="00111968"/>
    <w:rsid w:val="00111AD3"/>
    <w:rsid w:val="00111E0A"/>
    <w:rsid w:val="00111E52"/>
    <w:rsid w:val="00111EDB"/>
    <w:rsid w:val="00111F20"/>
    <w:rsid w:val="00111F5C"/>
    <w:rsid w:val="0011207B"/>
    <w:rsid w:val="001120FB"/>
    <w:rsid w:val="00112103"/>
    <w:rsid w:val="00112108"/>
    <w:rsid w:val="00112145"/>
    <w:rsid w:val="0011222A"/>
    <w:rsid w:val="00112231"/>
    <w:rsid w:val="00112267"/>
    <w:rsid w:val="001122C4"/>
    <w:rsid w:val="001122DE"/>
    <w:rsid w:val="00112382"/>
    <w:rsid w:val="001123B7"/>
    <w:rsid w:val="00112455"/>
    <w:rsid w:val="001124C9"/>
    <w:rsid w:val="0011251C"/>
    <w:rsid w:val="001125B2"/>
    <w:rsid w:val="00112675"/>
    <w:rsid w:val="001126C2"/>
    <w:rsid w:val="00112709"/>
    <w:rsid w:val="00112750"/>
    <w:rsid w:val="00112751"/>
    <w:rsid w:val="00112766"/>
    <w:rsid w:val="0011291E"/>
    <w:rsid w:val="00112AA4"/>
    <w:rsid w:val="00112C36"/>
    <w:rsid w:val="00112C45"/>
    <w:rsid w:val="00112DE3"/>
    <w:rsid w:val="00112E4C"/>
    <w:rsid w:val="00112E76"/>
    <w:rsid w:val="00113006"/>
    <w:rsid w:val="001130B2"/>
    <w:rsid w:val="0011311C"/>
    <w:rsid w:val="001131E7"/>
    <w:rsid w:val="00113268"/>
    <w:rsid w:val="00113320"/>
    <w:rsid w:val="00113328"/>
    <w:rsid w:val="001133C4"/>
    <w:rsid w:val="0011344E"/>
    <w:rsid w:val="0011346A"/>
    <w:rsid w:val="00113492"/>
    <w:rsid w:val="001135CC"/>
    <w:rsid w:val="00113640"/>
    <w:rsid w:val="00113643"/>
    <w:rsid w:val="001136C1"/>
    <w:rsid w:val="00113738"/>
    <w:rsid w:val="00113769"/>
    <w:rsid w:val="0011377A"/>
    <w:rsid w:val="00113797"/>
    <w:rsid w:val="0011382E"/>
    <w:rsid w:val="00113922"/>
    <w:rsid w:val="0011397E"/>
    <w:rsid w:val="001139A7"/>
    <w:rsid w:val="00113A07"/>
    <w:rsid w:val="00113C1F"/>
    <w:rsid w:val="00113C30"/>
    <w:rsid w:val="00113D2F"/>
    <w:rsid w:val="00113D53"/>
    <w:rsid w:val="00113D7C"/>
    <w:rsid w:val="00113F59"/>
    <w:rsid w:val="001140D2"/>
    <w:rsid w:val="00114160"/>
    <w:rsid w:val="001141A6"/>
    <w:rsid w:val="00114280"/>
    <w:rsid w:val="00114358"/>
    <w:rsid w:val="00114460"/>
    <w:rsid w:val="0011449A"/>
    <w:rsid w:val="001144C8"/>
    <w:rsid w:val="001145C0"/>
    <w:rsid w:val="001145D6"/>
    <w:rsid w:val="00114669"/>
    <w:rsid w:val="001146CF"/>
    <w:rsid w:val="00114738"/>
    <w:rsid w:val="0011479B"/>
    <w:rsid w:val="001148F0"/>
    <w:rsid w:val="001148F4"/>
    <w:rsid w:val="0011490F"/>
    <w:rsid w:val="00114ACE"/>
    <w:rsid w:val="00114B98"/>
    <w:rsid w:val="00114BF6"/>
    <w:rsid w:val="00114D04"/>
    <w:rsid w:val="00114D5C"/>
    <w:rsid w:val="00114D9A"/>
    <w:rsid w:val="00114DC0"/>
    <w:rsid w:val="00114E11"/>
    <w:rsid w:val="00114E5A"/>
    <w:rsid w:val="00114E5E"/>
    <w:rsid w:val="00114E8B"/>
    <w:rsid w:val="00114F5E"/>
    <w:rsid w:val="00114F83"/>
    <w:rsid w:val="001150FF"/>
    <w:rsid w:val="0011515E"/>
    <w:rsid w:val="00115181"/>
    <w:rsid w:val="001151A6"/>
    <w:rsid w:val="001151DE"/>
    <w:rsid w:val="001151F7"/>
    <w:rsid w:val="0011521C"/>
    <w:rsid w:val="00115229"/>
    <w:rsid w:val="00115303"/>
    <w:rsid w:val="001155DB"/>
    <w:rsid w:val="00115664"/>
    <w:rsid w:val="0011567A"/>
    <w:rsid w:val="0011574B"/>
    <w:rsid w:val="00115792"/>
    <w:rsid w:val="00115793"/>
    <w:rsid w:val="0011598E"/>
    <w:rsid w:val="00115994"/>
    <w:rsid w:val="001159B5"/>
    <w:rsid w:val="001159D6"/>
    <w:rsid w:val="00115A00"/>
    <w:rsid w:val="00115A7D"/>
    <w:rsid w:val="00115AFB"/>
    <w:rsid w:val="00115B00"/>
    <w:rsid w:val="00115B19"/>
    <w:rsid w:val="00115B3B"/>
    <w:rsid w:val="00115C34"/>
    <w:rsid w:val="00115C57"/>
    <w:rsid w:val="00115CF9"/>
    <w:rsid w:val="00115D16"/>
    <w:rsid w:val="00115EA9"/>
    <w:rsid w:val="00115EE2"/>
    <w:rsid w:val="00115F45"/>
    <w:rsid w:val="001162A5"/>
    <w:rsid w:val="001162D3"/>
    <w:rsid w:val="00116385"/>
    <w:rsid w:val="00116698"/>
    <w:rsid w:val="00116811"/>
    <w:rsid w:val="0011681A"/>
    <w:rsid w:val="0011688D"/>
    <w:rsid w:val="001168EC"/>
    <w:rsid w:val="0011692B"/>
    <w:rsid w:val="001169CE"/>
    <w:rsid w:val="00116A46"/>
    <w:rsid w:val="00116AB9"/>
    <w:rsid w:val="00116D00"/>
    <w:rsid w:val="00116FF1"/>
    <w:rsid w:val="001170C5"/>
    <w:rsid w:val="0011712D"/>
    <w:rsid w:val="00117166"/>
    <w:rsid w:val="001172B9"/>
    <w:rsid w:val="001173F5"/>
    <w:rsid w:val="00117417"/>
    <w:rsid w:val="00117747"/>
    <w:rsid w:val="00117793"/>
    <w:rsid w:val="001178BE"/>
    <w:rsid w:val="001178E3"/>
    <w:rsid w:val="00117934"/>
    <w:rsid w:val="00117935"/>
    <w:rsid w:val="001179CB"/>
    <w:rsid w:val="00117A05"/>
    <w:rsid w:val="00117A6C"/>
    <w:rsid w:val="00117BA3"/>
    <w:rsid w:val="00117BF3"/>
    <w:rsid w:val="00117D58"/>
    <w:rsid w:val="00117D8C"/>
    <w:rsid w:val="00117DD3"/>
    <w:rsid w:val="00117DEB"/>
    <w:rsid w:val="00117FAD"/>
    <w:rsid w:val="001200E6"/>
    <w:rsid w:val="0012021A"/>
    <w:rsid w:val="00120391"/>
    <w:rsid w:val="00120477"/>
    <w:rsid w:val="0012047D"/>
    <w:rsid w:val="0012051B"/>
    <w:rsid w:val="00120687"/>
    <w:rsid w:val="0012069A"/>
    <w:rsid w:val="00120957"/>
    <w:rsid w:val="00120A2A"/>
    <w:rsid w:val="00120B3E"/>
    <w:rsid w:val="00120B45"/>
    <w:rsid w:val="00120C49"/>
    <w:rsid w:val="00120C4A"/>
    <w:rsid w:val="00120C55"/>
    <w:rsid w:val="00120D3D"/>
    <w:rsid w:val="00120F10"/>
    <w:rsid w:val="00120F2B"/>
    <w:rsid w:val="00120F51"/>
    <w:rsid w:val="00120FA5"/>
    <w:rsid w:val="00121083"/>
    <w:rsid w:val="00121194"/>
    <w:rsid w:val="001212B1"/>
    <w:rsid w:val="001212C2"/>
    <w:rsid w:val="001213E3"/>
    <w:rsid w:val="00121420"/>
    <w:rsid w:val="00121561"/>
    <w:rsid w:val="001215E5"/>
    <w:rsid w:val="001216C4"/>
    <w:rsid w:val="0012173B"/>
    <w:rsid w:val="00121774"/>
    <w:rsid w:val="00121846"/>
    <w:rsid w:val="00121863"/>
    <w:rsid w:val="00121909"/>
    <w:rsid w:val="0012195C"/>
    <w:rsid w:val="001219C0"/>
    <w:rsid w:val="001219C1"/>
    <w:rsid w:val="001219E6"/>
    <w:rsid w:val="00121A08"/>
    <w:rsid w:val="00121CDD"/>
    <w:rsid w:val="00121D61"/>
    <w:rsid w:val="00121DA8"/>
    <w:rsid w:val="00121DC9"/>
    <w:rsid w:val="00121E6E"/>
    <w:rsid w:val="00121F0B"/>
    <w:rsid w:val="00121F68"/>
    <w:rsid w:val="00121F6F"/>
    <w:rsid w:val="0012204C"/>
    <w:rsid w:val="00122166"/>
    <w:rsid w:val="001221A3"/>
    <w:rsid w:val="00122215"/>
    <w:rsid w:val="00122232"/>
    <w:rsid w:val="00122254"/>
    <w:rsid w:val="00122293"/>
    <w:rsid w:val="001222DD"/>
    <w:rsid w:val="00122472"/>
    <w:rsid w:val="001224F6"/>
    <w:rsid w:val="0012267B"/>
    <w:rsid w:val="00122687"/>
    <w:rsid w:val="001226CF"/>
    <w:rsid w:val="00122798"/>
    <w:rsid w:val="00122856"/>
    <w:rsid w:val="001228C4"/>
    <w:rsid w:val="00122A2F"/>
    <w:rsid w:val="00122DE3"/>
    <w:rsid w:val="00122E37"/>
    <w:rsid w:val="00122E3A"/>
    <w:rsid w:val="00122F86"/>
    <w:rsid w:val="00122FDF"/>
    <w:rsid w:val="00123081"/>
    <w:rsid w:val="001231B7"/>
    <w:rsid w:val="001231E7"/>
    <w:rsid w:val="001231F7"/>
    <w:rsid w:val="0012335B"/>
    <w:rsid w:val="001233D4"/>
    <w:rsid w:val="00123478"/>
    <w:rsid w:val="00123489"/>
    <w:rsid w:val="00123868"/>
    <w:rsid w:val="0012386F"/>
    <w:rsid w:val="0012393B"/>
    <w:rsid w:val="00123B38"/>
    <w:rsid w:val="00123B39"/>
    <w:rsid w:val="00123B8C"/>
    <w:rsid w:val="00123DE8"/>
    <w:rsid w:val="00123E93"/>
    <w:rsid w:val="00123F7E"/>
    <w:rsid w:val="00123FC8"/>
    <w:rsid w:val="00124076"/>
    <w:rsid w:val="00124109"/>
    <w:rsid w:val="0012415D"/>
    <w:rsid w:val="001241B1"/>
    <w:rsid w:val="0012422A"/>
    <w:rsid w:val="00124337"/>
    <w:rsid w:val="00124452"/>
    <w:rsid w:val="00124470"/>
    <w:rsid w:val="001244D3"/>
    <w:rsid w:val="001244F6"/>
    <w:rsid w:val="0012453E"/>
    <w:rsid w:val="001245C8"/>
    <w:rsid w:val="001246F2"/>
    <w:rsid w:val="0012493C"/>
    <w:rsid w:val="001249A2"/>
    <w:rsid w:val="001249C9"/>
    <w:rsid w:val="00124A38"/>
    <w:rsid w:val="00124BDB"/>
    <w:rsid w:val="00124D31"/>
    <w:rsid w:val="00124DE7"/>
    <w:rsid w:val="00124E3F"/>
    <w:rsid w:val="00124E82"/>
    <w:rsid w:val="00124F66"/>
    <w:rsid w:val="001250B8"/>
    <w:rsid w:val="00125119"/>
    <w:rsid w:val="001251E8"/>
    <w:rsid w:val="001252AE"/>
    <w:rsid w:val="001252D6"/>
    <w:rsid w:val="001252DA"/>
    <w:rsid w:val="00125383"/>
    <w:rsid w:val="00125461"/>
    <w:rsid w:val="00125563"/>
    <w:rsid w:val="001255ED"/>
    <w:rsid w:val="0012588F"/>
    <w:rsid w:val="001259A9"/>
    <w:rsid w:val="00125BC3"/>
    <w:rsid w:val="00125C7B"/>
    <w:rsid w:val="00125CCB"/>
    <w:rsid w:val="00125FC5"/>
    <w:rsid w:val="00125FE5"/>
    <w:rsid w:val="00126014"/>
    <w:rsid w:val="001260AF"/>
    <w:rsid w:val="001261F5"/>
    <w:rsid w:val="0012623B"/>
    <w:rsid w:val="00126369"/>
    <w:rsid w:val="00126458"/>
    <w:rsid w:val="001265AA"/>
    <w:rsid w:val="001265E8"/>
    <w:rsid w:val="001266D9"/>
    <w:rsid w:val="0012673A"/>
    <w:rsid w:val="00126791"/>
    <w:rsid w:val="0012679E"/>
    <w:rsid w:val="00126801"/>
    <w:rsid w:val="001268B9"/>
    <w:rsid w:val="00126A12"/>
    <w:rsid w:val="00126A1D"/>
    <w:rsid w:val="00126A8C"/>
    <w:rsid w:val="00126B8E"/>
    <w:rsid w:val="00126BDA"/>
    <w:rsid w:val="00126CE9"/>
    <w:rsid w:val="00126D10"/>
    <w:rsid w:val="00126D65"/>
    <w:rsid w:val="00126E06"/>
    <w:rsid w:val="00126E82"/>
    <w:rsid w:val="00126EE2"/>
    <w:rsid w:val="00126F73"/>
    <w:rsid w:val="00126FF7"/>
    <w:rsid w:val="001270CE"/>
    <w:rsid w:val="00127125"/>
    <w:rsid w:val="00127189"/>
    <w:rsid w:val="0012719F"/>
    <w:rsid w:val="001271AD"/>
    <w:rsid w:val="0012726F"/>
    <w:rsid w:val="00127273"/>
    <w:rsid w:val="00127333"/>
    <w:rsid w:val="001273B3"/>
    <w:rsid w:val="001273EB"/>
    <w:rsid w:val="00127434"/>
    <w:rsid w:val="00127440"/>
    <w:rsid w:val="0012750B"/>
    <w:rsid w:val="001275B8"/>
    <w:rsid w:val="001275F8"/>
    <w:rsid w:val="0012761B"/>
    <w:rsid w:val="0012769F"/>
    <w:rsid w:val="001276C3"/>
    <w:rsid w:val="00127740"/>
    <w:rsid w:val="00127898"/>
    <w:rsid w:val="001278CC"/>
    <w:rsid w:val="00127A2D"/>
    <w:rsid w:val="00127A7B"/>
    <w:rsid w:val="00127A99"/>
    <w:rsid w:val="00127AA5"/>
    <w:rsid w:val="00127B0E"/>
    <w:rsid w:val="00127B43"/>
    <w:rsid w:val="00127BD4"/>
    <w:rsid w:val="00127E23"/>
    <w:rsid w:val="00127E59"/>
    <w:rsid w:val="00127F3D"/>
    <w:rsid w:val="0013002E"/>
    <w:rsid w:val="00130156"/>
    <w:rsid w:val="001301AB"/>
    <w:rsid w:val="0013022E"/>
    <w:rsid w:val="0013026C"/>
    <w:rsid w:val="00130270"/>
    <w:rsid w:val="001302D0"/>
    <w:rsid w:val="001303FE"/>
    <w:rsid w:val="0013040B"/>
    <w:rsid w:val="0013045F"/>
    <w:rsid w:val="0013047E"/>
    <w:rsid w:val="001304BB"/>
    <w:rsid w:val="001304FD"/>
    <w:rsid w:val="00130538"/>
    <w:rsid w:val="0013065C"/>
    <w:rsid w:val="001306BF"/>
    <w:rsid w:val="0013078D"/>
    <w:rsid w:val="00130793"/>
    <w:rsid w:val="001307BB"/>
    <w:rsid w:val="001308B8"/>
    <w:rsid w:val="001308F6"/>
    <w:rsid w:val="00130946"/>
    <w:rsid w:val="00130954"/>
    <w:rsid w:val="001309AE"/>
    <w:rsid w:val="00130A06"/>
    <w:rsid w:val="00130A18"/>
    <w:rsid w:val="00130AEC"/>
    <w:rsid w:val="00130B03"/>
    <w:rsid w:val="00130B04"/>
    <w:rsid w:val="00130B41"/>
    <w:rsid w:val="00130BC1"/>
    <w:rsid w:val="00130C1B"/>
    <w:rsid w:val="00130C1C"/>
    <w:rsid w:val="00130D9A"/>
    <w:rsid w:val="00130DFF"/>
    <w:rsid w:val="00130E18"/>
    <w:rsid w:val="00130F16"/>
    <w:rsid w:val="00130F9E"/>
    <w:rsid w:val="00131116"/>
    <w:rsid w:val="00131362"/>
    <w:rsid w:val="00131406"/>
    <w:rsid w:val="0013143F"/>
    <w:rsid w:val="001316A5"/>
    <w:rsid w:val="001316C0"/>
    <w:rsid w:val="00131781"/>
    <w:rsid w:val="00131961"/>
    <w:rsid w:val="00131A01"/>
    <w:rsid w:val="00131B1C"/>
    <w:rsid w:val="00131B88"/>
    <w:rsid w:val="00131C58"/>
    <w:rsid w:val="00131D43"/>
    <w:rsid w:val="00131D5B"/>
    <w:rsid w:val="00131D8F"/>
    <w:rsid w:val="00131DC6"/>
    <w:rsid w:val="00131DCC"/>
    <w:rsid w:val="00131DDB"/>
    <w:rsid w:val="00131E0F"/>
    <w:rsid w:val="00131F95"/>
    <w:rsid w:val="0013205A"/>
    <w:rsid w:val="0013210E"/>
    <w:rsid w:val="001322EF"/>
    <w:rsid w:val="0013230B"/>
    <w:rsid w:val="001323EF"/>
    <w:rsid w:val="001325DB"/>
    <w:rsid w:val="00132748"/>
    <w:rsid w:val="00132781"/>
    <w:rsid w:val="0013281E"/>
    <w:rsid w:val="00132881"/>
    <w:rsid w:val="0013291C"/>
    <w:rsid w:val="0013293E"/>
    <w:rsid w:val="00132A95"/>
    <w:rsid w:val="00132CC9"/>
    <w:rsid w:val="00132D05"/>
    <w:rsid w:val="00132D99"/>
    <w:rsid w:val="00132DDB"/>
    <w:rsid w:val="00132F61"/>
    <w:rsid w:val="00132FEE"/>
    <w:rsid w:val="00133334"/>
    <w:rsid w:val="0013335E"/>
    <w:rsid w:val="001334DD"/>
    <w:rsid w:val="00133545"/>
    <w:rsid w:val="00133559"/>
    <w:rsid w:val="00133570"/>
    <w:rsid w:val="00133603"/>
    <w:rsid w:val="0013362B"/>
    <w:rsid w:val="00133647"/>
    <w:rsid w:val="0013366C"/>
    <w:rsid w:val="0013368B"/>
    <w:rsid w:val="00133755"/>
    <w:rsid w:val="0013382E"/>
    <w:rsid w:val="00133991"/>
    <w:rsid w:val="00133A1B"/>
    <w:rsid w:val="00133A20"/>
    <w:rsid w:val="00133B12"/>
    <w:rsid w:val="00133C43"/>
    <w:rsid w:val="00133C71"/>
    <w:rsid w:val="00133D55"/>
    <w:rsid w:val="00133DC4"/>
    <w:rsid w:val="00133E11"/>
    <w:rsid w:val="00133E32"/>
    <w:rsid w:val="00133EC4"/>
    <w:rsid w:val="00133F85"/>
    <w:rsid w:val="00133FE8"/>
    <w:rsid w:val="0013402B"/>
    <w:rsid w:val="0013405B"/>
    <w:rsid w:val="0013419F"/>
    <w:rsid w:val="0013427C"/>
    <w:rsid w:val="001343CF"/>
    <w:rsid w:val="00134422"/>
    <w:rsid w:val="0013443F"/>
    <w:rsid w:val="00134449"/>
    <w:rsid w:val="001344F0"/>
    <w:rsid w:val="001344F7"/>
    <w:rsid w:val="0013456D"/>
    <w:rsid w:val="001345D4"/>
    <w:rsid w:val="001346F0"/>
    <w:rsid w:val="00134787"/>
    <w:rsid w:val="001347E8"/>
    <w:rsid w:val="00134867"/>
    <w:rsid w:val="0013489B"/>
    <w:rsid w:val="0013491B"/>
    <w:rsid w:val="001349B5"/>
    <w:rsid w:val="00134A10"/>
    <w:rsid w:val="00134C9D"/>
    <w:rsid w:val="00134CAC"/>
    <w:rsid w:val="00134CCE"/>
    <w:rsid w:val="00134EBE"/>
    <w:rsid w:val="00134EC3"/>
    <w:rsid w:val="00134EFF"/>
    <w:rsid w:val="00135054"/>
    <w:rsid w:val="0013505A"/>
    <w:rsid w:val="00135074"/>
    <w:rsid w:val="0013511E"/>
    <w:rsid w:val="0013513F"/>
    <w:rsid w:val="001351A3"/>
    <w:rsid w:val="001352F3"/>
    <w:rsid w:val="001352F4"/>
    <w:rsid w:val="00135397"/>
    <w:rsid w:val="00135458"/>
    <w:rsid w:val="00135631"/>
    <w:rsid w:val="001356AF"/>
    <w:rsid w:val="001356D9"/>
    <w:rsid w:val="001356EA"/>
    <w:rsid w:val="001357F4"/>
    <w:rsid w:val="00135829"/>
    <w:rsid w:val="00135915"/>
    <w:rsid w:val="00135927"/>
    <w:rsid w:val="00135935"/>
    <w:rsid w:val="00135B96"/>
    <w:rsid w:val="00135C2D"/>
    <w:rsid w:val="00135C49"/>
    <w:rsid w:val="00135C73"/>
    <w:rsid w:val="00135CED"/>
    <w:rsid w:val="00135DB9"/>
    <w:rsid w:val="00135F01"/>
    <w:rsid w:val="00135F0E"/>
    <w:rsid w:val="00135F31"/>
    <w:rsid w:val="001362AF"/>
    <w:rsid w:val="00136351"/>
    <w:rsid w:val="001363FA"/>
    <w:rsid w:val="001363FC"/>
    <w:rsid w:val="001364BF"/>
    <w:rsid w:val="001364DA"/>
    <w:rsid w:val="001367DE"/>
    <w:rsid w:val="001367E3"/>
    <w:rsid w:val="001368B7"/>
    <w:rsid w:val="00136958"/>
    <w:rsid w:val="001369C3"/>
    <w:rsid w:val="001369D5"/>
    <w:rsid w:val="00136A12"/>
    <w:rsid w:val="00136AC7"/>
    <w:rsid w:val="00136B1E"/>
    <w:rsid w:val="00136D0E"/>
    <w:rsid w:val="00136D17"/>
    <w:rsid w:val="00136D85"/>
    <w:rsid w:val="00136F74"/>
    <w:rsid w:val="00136F75"/>
    <w:rsid w:val="00136F83"/>
    <w:rsid w:val="0013715D"/>
    <w:rsid w:val="001371FD"/>
    <w:rsid w:val="00137215"/>
    <w:rsid w:val="0013729D"/>
    <w:rsid w:val="00137358"/>
    <w:rsid w:val="00137387"/>
    <w:rsid w:val="001374BC"/>
    <w:rsid w:val="001374CE"/>
    <w:rsid w:val="001374DF"/>
    <w:rsid w:val="00137523"/>
    <w:rsid w:val="0013754E"/>
    <w:rsid w:val="001375C7"/>
    <w:rsid w:val="001376AD"/>
    <w:rsid w:val="0013772C"/>
    <w:rsid w:val="0013776A"/>
    <w:rsid w:val="001377DF"/>
    <w:rsid w:val="00137807"/>
    <w:rsid w:val="00137887"/>
    <w:rsid w:val="00137964"/>
    <w:rsid w:val="00137986"/>
    <w:rsid w:val="001379B3"/>
    <w:rsid w:val="001379D8"/>
    <w:rsid w:val="00137AF8"/>
    <w:rsid w:val="00137C18"/>
    <w:rsid w:val="00137C1C"/>
    <w:rsid w:val="00137C2D"/>
    <w:rsid w:val="00137E75"/>
    <w:rsid w:val="0014004E"/>
    <w:rsid w:val="001400C4"/>
    <w:rsid w:val="0014010C"/>
    <w:rsid w:val="00140117"/>
    <w:rsid w:val="00140138"/>
    <w:rsid w:val="0014013B"/>
    <w:rsid w:val="001401AE"/>
    <w:rsid w:val="001401BC"/>
    <w:rsid w:val="00140228"/>
    <w:rsid w:val="00140254"/>
    <w:rsid w:val="00140256"/>
    <w:rsid w:val="001402CA"/>
    <w:rsid w:val="001402E0"/>
    <w:rsid w:val="00140340"/>
    <w:rsid w:val="00140357"/>
    <w:rsid w:val="001403AF"/>
    <w:rsid w:val="00140504"/>
    <w:rsid w:val="00140523"/>
    <w:rsid w:val="00140529"/>
    <w:rsid w:val="00140568"/>
    <w:rsid w:val="00140651"/>
    <w:rsid w:val="00140683"/>
    <w:rsid w:val="00140843"/>
    <w:rsid w:val="001408FF"/>
    <w:rsid w:val="001409A4"/>
    <w:rsid w:val="001409F9"/>
    <w:rsid w:val="00140B2A"/>
    <w:rsid w:val="00140B9B"/>
    <w:rsid w:val="00140BB3"/>
    <w:rsid w:val="00140BC8"/>
    <w:rsid w:val="00140D08"/>
    <w:rsid w:val="00140E62"/>
    <w:rsid w:val="00140E73"/>
    <w:rsid w:val="00140E8E"/>
    <w:rsid w:val="00140E92"/>
    <w:rsid w:val="00140F26"/>
    <w:rsid w:val="0014102E"/>
    <w:rsid w:val="0014118A"/>
    <w:rsid w:val="0014127C"/>
    <w:rsid w:val="001413BD"/>
    <w:rsid w:val="001413F4"/>
    <w:rsid w:val="001414A5"/>
    <w:rsid w:val="001414E0"/>
    <w:rsid w:val="00141564"/>
    <w:rsid w:val="0014169A"/>
    <w:rsid w:val="00141718"/>
    <w:rsid w:val="001417A2"/>
    <w:rsid w:val="001417FE"/>
    <w:rsid w:val="00141896"/>
    <w:rsid w:val="0014191D"/>
    <w:rsid w:val="0014193E"/>
    <w:rsid w:val="001419B8"/>
    <w:rsid w:val="00141A40"/>
    <w:rsid w:val="00141B09"/>
    <w:rsid w:val="00141C76"/>
    <w:rsid w:val="00141C85"/>
    <w:rsid w:val="00141CF0"/>
    <w:rsid w:val="00141E10"/>
    <w:rsid w:val="00141F22"/>
    <w:rsid w:val="00142025"/>
    <w:rsid w:val="00142041"/>
    <w:rsid w:val="00142065"/>
    <w:rsid w:val="00142081"/>
    <w:rsid w:val="00142347"/>
    <w:rsid w:val="001423CA"/>
    <w:rsid w:val="001424C8"/>
    <w:rsid w:val="00142531"/>
    <w:rsid w:val="0014255B"/>
    <w:rsid w:val="00142671"/>
    <w:rsid w:val="0014268E"/>
    <w:rsid w:val="001426A9"/>
    <w:rsid w:val="00142832"/>
    <w:rsid w:val="001429AC"/>
    <w:rsid w:val="00142A5D"/>
    <w:rsid w:val="00142AEE"/>
    <w:rsid w:val="00142AF1"/>
    <w:rsid w:val="00142B84"/>
    <w:rsid w:val="00142BE9"/>
    <w:rsid w:val="00142C35"/>
    <w:rsid w:val="00142CD9"/>
    <w:rsid w:val="00142CF2"/>
    <w:rsid w:val="00142D29"/>
    <w:rsid w:val="00142D2B"/>
    <w:rsid w:val="00142F2C"/>
    <w:rsid w:val="0014302F"/>
    <w:rsid w:val="00143136"/>
    <w:rsid w:val="0014320C"/>
    <w:rsid w:val="00143260"/>
    <w:rsid w:val="00143293"/>
    <w:rsid w:val="001432BF"/>
    <w:rsid w:val="0014333E"/>
    <w:rsid w:val="00143413"/>
    <w:rsid w:val="0014342B"/>
    <w:rsid w:val="00143514"/>
    <w:rsid w:val="00143600"/>
    <w:rsid w:val="0014368B"/>
    <w:rsid w:val="001436DB"/>
    <w:rsid w:val="00143809"/>
    <w:rsid w:val="001438E2"/>
    <w:rsid w:val="0014397E"/>
    <w:rsid w:val="00143981"/>
    <w:rsid w:val="00143ACC"/>
    <w:rsid w:val="00143B92"/>
    <w:rsid w:val="00143BD1"/>
    <w:rsid w:val="00143C3F"/>
    <w:rsid w:val="00143CB8"/>
    <w:rsid w:val="00143DDE"/>
    <w:rsid w:val="00143E4C"/>
    <w:rsid w:val="00143E70"/>
    <w:rsid w:val="00143EF6"/>
    <w:rsid w:val="00143F03"/>
    <w:rsid w:val="00143F1A"/>
    <w:rsid w:val="00143F40"/>
    <w:rsid w:val="00143F5E"/>
    <w:rsid w:val="0014411C"/>
    <w:rsid w:val="0014413C"/>
    <w:rsid w:val="00144415"/>
    <w:rsid w:val="001444D5"/>
    <w:rsid w:val="0014455B"/>
    <w:rsid w:val="001446EF"/>
    <w:rsid w:val="0014479A"/>
    <w:rsid w:val="001447E1"/>
    <w:rsid w:val="001447F4"/>
    <w:rsid w:val="001448D2"/>
    <w:rsid w:val="001448FB"/>
    <w:rsid w:val="0014499C"/>
    <w:rsid w:val="00144B04"/>
    <w:rsid w:val="00144B08"/>
    <w:rsid w:val="00144C88"/>
    <w:rsid w:val="00144CEA"/>
    <w:rsid w:val="00144DAC"/>
    <w:rsid w:val="00144DB9"/>
    <w:rsid w:val="00144E59"/>
    <w:rsid w:val="00144F19"/>
    <w:rsid w:val="00145094"/>
    <w:rsid w:val="001450E8"/>
    <w:rsid w:val="0014515A"/>
    <w:rsid w:val="00145178"/>
    <w:rsid w:val="001451C2"/>
    <w:rsid w:val="001453A2"/>
    <w:rsid w:val="001453E5"/>
    <w:rsid w:val="0014542C"/>
    <w:rsid w:val="0014548C"/>
    <w:rsid w:val="0014555B"/>
    <w:rsid w:val="001457B1"/>
    <w:rsid w:val="00145806"/>
    <w:rsid w:val="0014588F"/>
    <w:rsid w:val="00145906"/>
    <w:rsid w:val="0014598F"/>
    <w:rsid w:val="00145AC5"/>
    <w:rsid w:val="00145AC7"/>
    <w:rsid w:val="00145B87"/>
    <w:rsid w:val="00145D46"/>
    <w:rsid w:val="00145D5E"/>
    <w:rsid w:val="00145D9C"/>
    <w:rsid w:val="00145DBA"/>
    <w:rsid w:val="00145DC5"/>
    <w:rsid w:val="00145ECC"/>
    <w:rsid w:val="00145FAB"/>
    <w:rsid w:val="0014616A"/>
    <w:rsid w:val="001461C0"/>
    <w:rsid w:val="0014620F"/>
    <w:rsid w:val="00146374"/>
    <w:rsid w:val="001463BF"/>
    <w:rsid w:val="00146445"/>
    <w:rsid w:val="001464AA"/>
    <w:rsid w:val="001464F1"/>
    <w:rsid w:val="00146521"/>
    <w:rsid w:val="00146524"/>
    <w:rsid w:val="00146577"/>
    <w:rsid w:val="001466A7"/>
    <w:rsid w:val="001466E1"/>
    <w:rsid w:val="00146713"/>
    <w:rsid w:val="00146788"/>
    <w:rsid w:val="00146940"/>
    <w:rsid w:val="001469B3"/>
    <w:rsid w:val="001469C9"/>
    <w:rsid w:val="00146A49"/>
    <w:rsid w:val="00146AD2"/>
    <w:rsid w:val="00146B25"/>
    <w:rsid w:val="00146B2C"/>
    <w:rsid w:val="00146B71"/>
    <w:rsid w:val="00146BB3"/>
    <w:rsid w:val="00146BDF"/>
    <w:rsid w:val="00146C03"/>
    <w:rsid w:val="00146C17"/>
    <w:rsid w:val="00146C41"/>
    <w:rsid w:val="00146D24"/>
    <w:rsid w:val="00146D68"/>
    <w:rsid w:val="00146E17"/>
    <w:rsid w:val="00146E58"/>
    <w:rsid w:val="00146E5F"/>
    <w:rsid w:val="00146EE0"/>
    <w:rsid w:val="00146EF8"/>
    <w:rsid w:val="00146F34"/>
    <w:rsid w:val="00146F99"/>
    <w:rsid w:val="00146FD2"/>
    <w:rsid w:val="00147069"/>
    <w:rsid w:val="001470AB"/>
    <w:rsid w:val="00147157"/>
    <w:rsid w:val="00147233"/>
    <w:rsid w:val="00147250"/>
    <w:rsid w:val="00147297"/>
    <w:rsid w:val="001472F6"/>
    <w:rsid w:val="00147325"/>
    <w:rsid w:val="001473D9"/>
    <w:rsid w:val="001474A6"/>
    <w:rsid w:val="00147502"/>
    <w:rsid w:val="00147617"/>
    <w:rsid w:val="001476F8"/>
    <w:rsid w:val="001477F3"/>
    <w:rsid w:val="00147883"/>
    <w:rsid w:val="001478FB"/>
    <w:rsid w:val="00147A21"/>
    <w:rsid w:val="00147A6C"/>
    <w:rsid w:val="00147A75"/>
    <w:rsid w:val="00147B1C"/>
    <w:rsid w:val="00147BA2"/>
    <w:rsid w:val="00147C2A"/>
    <w:rsid w:val="00147C2C"/>
    <w:rsid w:val="00147C3C"/>
    <w:rsid w:val="00147CB1"/>
    <w:rsid w:val="00147CB4"/>
    <w:rsid w:val="00147D0C"/>
    <w:rsid w:val="00147D6F"/>
    <w:rsid w:val="00147E30"/>
    <w:rsid w:val="00147EBB"/>
    <w:rsid w:val="00147ECB"/>
    <w:rsid w:val="00147EDA"/>
    <w:rsid w:val="00147F1E"/>
    <w:rsid w:val="00147FAD"/>
    <w:rsid w:val="00147FE4"/>
    <w:rsid w:val="00150091"/>
    <w:rsid w:val="0015020E"/>
    <w:rsid w:val="00150269"/>
    <w:rsid w:val="00150484"/>
    <w:rsid w:val="0015053A"/>
    <w:rsid w:val="001505EA"/>
    <w:rsid w:val="00150704"/>
    <w:rsid w:val="00150735"/>
    <w:rsid w:val="0015084A"/>
    <w:rsid w:val="00150901"/>
    <w:rsid w:val="00150902"/>
    <w:rsid w:val="001509AF"/>
    <w:rsid w:val="00150B09"/>
    <w:rsid w:val="00150B18"/>
    <w:rsid w:val="00150C9A"/>
    <w:rsid w:val="00150EFA"/>
    <w:rsid w:val="00150F0E"/>
    <w:rsid w:val="00150F28"/>
    <w:rsid w:val="001510B4"/>
    <w:rsid w:val="00151119"/>
    <w:rsid w:val="00151164"/>
    <w:rsid w:val="00151252"/>
    <w:rsid w:val="001512D9"/>
    <w:rsid w:val="00151367"/>
    <w:rsid w:val="0015142D"/>
    <w:rsid w:val="0015145D"/>
    <w:rsid w:val="001514B2"/>
    <w:rsid w:val="001514F4"/>
    <w:rsid w:val="0015157A"/>
    <w:rsid w:val="001515B7"/>
    <w:rsid w:val="001517C6"/>
    <w:rsid w:val="001517CE"/>
    <w:rsid w:val="00151828"/>
    <w:rsid w:val="00151870"/>
    <w:rsid w:val="00151A5E"/>
    <w:rsid w:val="00151AC7"/>
    <w:rsid w:val="00151B95"/>
    <w:rsid w:val="00151BAA"/>
    <w:rsid w:val="00151BED"/>
    <w:rsid w:val="00151D12"/>
    <w:rsid w:val="00151D23"/>
    <w:rsid w:val="00151DDA"/>
    <w:rsid w:val="00151E22"/>
    <w:rsid w:val="0015201C"/>
    <w:rsid w:val="0015224B"/>
    <w:rsid w:val="001522DA"/>
    <w:rsid w:val="00152305"/>
    <w:rsid w:val="00152336"/>
    <w:rsid w:val="00152378"/>
    <w:rsid w:val="001525D7"/>
    <w:rsid w:val="00152697"/>
    <w:rsid w:val="00152872"/>
    <w:rsid w:val="00152909"/>
    <w:rsid w:val="00152A36"/>
    <w:rsid w:val="00152C64"/>
    <w:rsid w:val="00152CB6"/>
    <w:rsid w:val="00152CD3"/>
    <w:rsid w:val="00152E44"/>
    <w:rsid w:val="00152ED6"/>
    <w:rsid w:val="00152F85"/>
    <w:rsid w:val="00152FB7"/>
    <w:rsid w:val="00153030"/>
    <w:rsid w:val="001530D5"/>
    <w:rsid w:val="00153141"/>
    <w:rsid w:val="0015316F"/>
    <w:rsid w:val="00153187"/>
    <w:rsid w:val="001531C2"/>
    <w:rsid w:val="0015348C"/>
    <w:rsid w:val="00153500"/>
    <w:rsid w:val="001535C0"/>
    <w:rsid w:val="00153635"/>
    <w:rsid w:val="001536DC"/>
    <w:rsid w:val="001536FB"/>
    <w:rsid w:val="00153758"/>
    <w:rsid w:val="0015375D"/>
    <w:rsid w:val="0015378E"/>
    <w:rsid w:val="001537D1"/>
    <w:rsid w:val="001538ED"/>
    <w:rsid w:val="0015396D"/>
    <w:rsid w:val="001539DC"/>
    <w:rsid w:val="00153A98"/>
    <w:rsid w:val="00153AC4"/>
    <w:rsid w:val="00153B51"/>
    <w:rsid w:val="00153D90"/>
    <w:rsid w:val="00153EB5"/>
    <w:rsid w:val="00153EE8"/>
    <w:rsid w:val="00153EEC"/>
    <w:rsid w:val="001540A3"/>
    <w:rsid w:val="00154105"/>
    <w:rsid w:val="0015411C"/>
    <w:rsid w:val="0015417F"/>
    <w:rsid w:val="001541C8"/>
    <w:rsid w:val="00154283"/>
    <w:rsid w:val="00154364"/>
    <w:rsid w:val="0015439F"/>
    <w:rsid w:val="001543B2"/>
    <w:rsid w:val="001543EF"/>
    <w:rsid w:val="00154567"/>
    <w:rsid w:val="0015458A"/>
    <w:rsid w:val="00154796"/>
    <w:rsid w:val="001547F4"/>
    <w:rsid w:val="00154890"/>
    <w:rsid w:val="001548DF"/>
    <w:rsid w:val="001548EE"/>
    <w:rsid w:val="00154903"/>
    <w:rsid w:val="00154937"/>
    <w:rsid w:val="0015499C"/>
    <w:rsid w:val="001549CE"/>
    <w:rsid w:val="00154A40"/>
    <w:rsid w:val="00154B43"/>
    <w:rsid w:val="00154D18"/>
    <w:rsid w:val="00154E7D"/>
    <w:rsid w:val="00154F8C"/>
    <w:rsid w:val="00154FC7"/>
    <w:rsid w:val="0015505F"/>
    <w:rsid w:val="0015517D"/>
    <w:rsid w:val="001551CD"/>
    <w:rsid w:val="001551F8"/>
    <w:rsid w:val="0015536B"/>
    <w:rsid w:val="00155387"/>
    <w:rsid w:val="0015550A"/>
    <w:rsid w:val="00155569"/>
    <w:rsid w:val="0015558A"/>
    <w:rsid w:val="00155620"/>
    <w:rsid w:val="0015567B"/>
    <w:rsid w:val="0015568A"/>
    <w:rsid w:val="00155782"/>
    <w:rsid w:val="001557AA"/>
    <w:rsid w:val="00155808"/>
    <w:rsid w:val="00155810"/>
    <w:rsid w:val="00155A7A"/>
    <w:rsid w:val="00155B25"/>
    <w:rsid w:val="00156146"/>
    <w:rsid w:val="0015618A"/>
    <w:rsid w:val="001562FE"/>
    <w:rsid w:val="00156338"/>
    <w:rsid w:val="001563D1"/>
    <w:rsid w:val="001564B2"/>
    <w:rsid w:val="001565DB"/>
    <w:rsid w:val="001566B4"/>
    <w:rsid w:val="00156A7D"/>
    <w:rsid w:val="00156A85"/>
    <w:rsid w:val="00156B45"/>
    <w:rsid w:val="00156C39"/>
    <w:rsid w:val="00156CF5"/>
    <w:rsid w:val="00156CF6"/>
    <w:rsid w:val="00156D61"/>
    <w:rsid w:val="00156DCD"/>
    <w:rsid w:val="00156ED5"/>
    <w:rsid w:val="00156F64"/>
    <w:rsid w:val="00156F6A"/>
    <w:rsid w:val="00157201"/>
    <w:rsid w:val="0015734A"/>
    <w:rsid w:val="0015740B"/>
    <w:rsid w:val="00157410"/>
    <w:rsid w:val="00157487"/>
    <w:rsid w:val="001574A0"/>
    <w:rsid w:val="00157535"/>
    <w:rsid w:val="001575A4"/>
    <w:rsid w:val="001575D9"/>
    <w:rsid w:val="00157649"/>
    <w:rsid w:val="00157678"/>
    <w:rsid w:val="00157682"/>
    <w:rsid w:val="001576AA"/>
    <w:rsid w:val="0015785C"/>
    <w:rsid w:val="0015799A"/>
    <w:rsid w:val="00157A75"/>
    <w:rsid w:val="00157C46"/>
    <w:rsid w:val="00157D0F"/>
    <w:rsid w:val="00157D5A"/>
    <w:rsid w:val="00157DC6"/>
    <w:rsid w:val="00157DCB"/>
    <w:rsid w:val="00157DF0"/>
    <w:rsid w:val="00157E1B"/>
    <w:rsid w:val="00157E73"/>
    <w:rsid w:val="00157F50"/>
    <w:rsid w:val="00157F69"/>
    <w:rsid w:val="0016002A"/>
    <w:rsid w:val="001600A0"/>
    <w:rsid w:val="001600E4"/>
    <w:rsid w:val="0016019C"/>
    <w:rsid w:val="0016024A"/>
    <w:rsid w:val="00160279"/>
    <w:rsid w:val="001602B4"/>
    <w:rsid w:val="001602F1"/>
    <w:rsid w:val="00160417"/>
    <w:rsid w:val="00160420"/>
    <w:rsid w:val="0016042D"/>
    <w:rsid w:val="001605C8"/>
    <w:rsid w:val="0016070C"/>
    <w:rsid w:val="00160733"/>
    <w:rsid w:val="00160738"/>
    <w:rsid w:val="001608ED"/>
    <w:rsid w:val="00160918"/>
    <w:rsid w:val="001609C5"/>
    <w:rsid w:val="00160A01"/>
    <w:rsid w:val="00160B9F"/>
    <w:rsid w:val="00160C52"/>
    <w:rsid w:val="00160D43"/>
    <w:rsid w:val="00160E3C"/>
    <w:rsid w:val="00160E79"/>
    <w:rsid w:val="00160F48"/>
    <w:rsid w:val="00161044"/>
    <w:rsid w:val="0016104B"/>
    <w:rsid w:val="00161054"/>
    <w:rsid w:val="001610AF"/>
    <w:rsid w:val="00161354"/>
    <w:rsid w:val="00161405"/>
    <w:rsid w:val="00161499"/>
    <w:rsid w:val="001614B8"/>
    <w:rsid w:val="001615A3"/>
    <w:rsid w:val="0016162A"/>
    <w:rsid w:val="00161649"/>
    <w:rsid w:val="00161768"/>
    <w:rsid w:val="0016179C"/>
    <w:rsid w:val="001617AA"/>
    <w:rsid w:val="001617EC"/>
    <w:rsid w:val="00161817"/>
    <w:rsid w:val="00161973"/>
    <w:rsid w:val="001619D9"/>
    <w:rsid w:val="00161D8B"/>
    <w:rsid w:val="00161DDC"/>
    <w:rsid w:val="00161DF7"/>
    <w:rsid w:val="00161F24"/>
    <w:rsid w:val="00161FAB"/>
    <w:rsid w:val="00161FEF"/>
    <w:rsid w:val="0016203A"/>
    <w:rsid w:val="00162091"/>
    <w:rsid w:val="001621FF"/>
    <w:rsid w:val="00162241"/>
    <w:rsid w:val="001622AE"/>
    <w:rsid w:val="00162356"/>
    <w:rsid w:val="0016254A"/>
    <w:rsid w:val="00162629"/>
    <w:rsid w:val="0016267E"/>
    <w:rsid w:val="001628B7"/>
    <w:rsid w:val="001628F9"/>
    <w:rsid w:val="0016299F"/>
    <w:rsid w:val="00162DA0"/>
    <w:rsid w:val="00162DF7"/>
    <w:rsid w:val="00162DF9"/>
    <w:rsid w:val="00162E9E"/>
    <w:rsid w:val="00162EDE"/>
    <w:rsid w:val="00163031"/>
    <w:rsid w:val="001630A4"/>
    <w:rsid w:val="001630FA"/>
    <w:rsid w:val="0016315B"/>
    <w:rsid w:val="00163162"/>
    <w:rsid w:val="001631B8"/>
    <w:rsid w:val="0016331F"/>
    <w:rsid w:val="00163336"/>
    <w:rsid w:val="001633B3"/>
    <w:rsid w:val="001633EC"/>
    <w:rsid w:val="00163512"/>
    <w:rsid w:val="00163587"/>
    <w:rsid w:val="001635A2"/>
    <w:rsid w:val="001637DD"/>
    <w:rsid w:val="00163A89"/>
    <w:rsid w:val="00163B74"/>
    <w:rsid w:val="00163BE4"/>
    <w:rsid w:val="00163BF8"/>
    <w:rsid w:val="00163C06"/>
    <w:rsid w:val="00163CC9"/>
    <w:rsid w:val="00163D3E"/>
    <w:rsid w:val="00163D8A"/>
    <w:rsid w:val="00163DE0"/>
    <w:rsid w:val="00163E08"/>
    <w:rsid w:val="00163E81"/>
    <w:rsid w:val="00163EB2"/>
    <w:rsid w:val="00163FCC"/>
    <w:rsid w:val="0016404E"/>
    <w:rsid w:val="001642BC"/>
    <w:rsid w:val="001642F9"/>
    <w:rsid w:val="00164413"/>
    <w:rsid w:val="00164480"/>
    <w:rsid w:val="00164502"/>
    <w:rsid w:val="00164516"/>
    <w:rsid w:val="00164552"/>
    <w:rsid w:val="001646B0"/>
    <w:rsid w:val="001646C3"/>
    <w:rsid w:val="001646E5"/>
    <w:rsid w:val="00164750"/>
    <w:rsid w:val="00164840"/>
    <w:rsid w:val="001648F3"/>
    <w:rsid w:val="00164909"/>
    <w:rsid w:val="00164927"/>
    <w:rsid w:val="00164A7B"/>
    <w:rsid w:val="00164B4C"/>
    <w:rsid w:val="00164BAF"/>
    <w:rsid w:val="00164BE9"/>
    <w:rsid w:val="00164D53"/>
    <w:rsid w:val="00164D87"/>
    <w:rsid w:val="00164DDD"/>
    <w:rsid w:val="00164E83"/>
    <w:rsid w:val="00164E99"/>
    <w:rsid w:val="00164F31"/>
    <w:rsid w:val="00164F76"/>
    <w:rsid w:val="00165022"/>
    <w:rsid w:val="00165054"/>
    <w:rsid w:val="0016514E"/>
    <w:rsid w:val="001651C2"/>
    <w:rsid w:val="001652D1"/>
    <w:rsid w:val="0016530D"/>
    <w:rsid w:val="00165391"/>
    <w:rsid w:val="00165427"/>
    <w:rsid w:val="0016544C"/>
    <w:rsid w:val="00165486"/>
    <w:rsid w:val="001654D6"/>
    <w:rsid w:val="00165522"/>
    <w:rsid w:val="0016554C"/>
    <w:rsid w:val="00165566"/>
    <w:rsid w:val="00165632"/>
    <w:rsid w:val="001656C6"/>
    <w:rsid w:val="00165730"/>
    <w:rsid w:val="001657C0"/>
    <w:rsid w:val="001657E4"/>
    <w:rsid w:val="00165819"/>
    <w:rsid w:val="001658A9"/>
    <w:rsid w:val="00165997"/>
    <w:rsid w:val="00165A3F"/>
    <w:rsid w:val="00165B24"/>
    <w:rsid w:val="00165C1B"/>
    <w:rsid w:val="00165C1D"/>
    <w:rsid w:val="00165CB9"/>
    <w:rsid w:val="00165E6C"/>
    <w:rsid w:val="001660E0"/>
    <w:rsid w:val="001660F5"/>
    <w:rsid w:val="001661D6"/>
    <w:rsid w:val="0016621C"/>
    <w:rsid w:val="0016625F"/>
    <w:rsid w:val="0016637D"/>
    <w:rsid w:val="001663EE"/>
    <w:rsid w:val="00166416"/>
    <w:rsid w:val="001664C4"/>
    <w:rsid w:val="001665CF"/>
    <w:rsid w:val="001665F6"/>
    <w:rsid w:val="0016666E"/>
    <w:rsid w:val="0016670D"/>
    <w:rsid w:val="00166797"/>
    <w:rsid w:val="001667A9"/>
    <w:rsid w:val="001667D0"/>
    <w:rsid w:val="00166813"/>
    <w:rsid w:val="001668E4"/>
    <w:rsid w:val="00166908"/>
    <w:rsid w:val="00166923"/>
    <w:rsid w:val="00166953"/>
    <w:rsid w:val="00166983"/>
    <w:rsid w:val="00166A02"/>
    <w:rsid w:val="00166A2E"/>
    <w:rsid w:val="00166AE2"/>
    <w:rsid w:val="00166CB3"/>
    <w:rsid w:val="00166CF9"/>
    <w:rsid w:val="00166E5F"/>
    <w:rsid w:val="00166EDA"/>
    <w:rsid w:val="00166F35"/>
    <w:rsid w:val="00166FAA"/>
    <w:rsid w:val="00167092"/>
    <w:rsid w:val="0016717C"/>
    <w:rsid w:val="001671C2"/>
    <w:rsid w:val="001671DE"/>
    <w:rsid w:val="001673F1"/>
    <w:rsid w:val="001674B5"/>
    <w:rsid w:val="001674BC"/>
    <w:rsid w:val="00167577"/>
    <w:rsid w:val="00167614"/>
    <w:rsid w:val="00167615"/>
    <w:rsid w:val="00167696"/>
    <w:rsid w:val="001679D5"/>
    <w:rsid w:val="001679F8"/>
    <w:rsid w:val="00167A9D"/>
    <w:rsid w:val="00167B65"/>
    <w:rsid w:val="00167BAE"/>
    <w:rsid w:val="00167C54"/>
    <w:rsid w:val="00167C85"/>
    <w:rsid w:val="00167D35"/>
    <w:rsid w:val="00167D49"/>
    <w:rsid w:val="00167DFE"/>
    <w:rsid w:val="00167E5B"/>
    <w:rsid w:val="00167E98"/>
    <w:rsid w:val="00167EC1"/>
    <w:rsid w:val="00167ECD"/>
    <w:rsid w:val="00167F26"/>
    <w:rsid w:val="0017014E"/>
    <w:rsid w:val="00170169"/>
    <w:rsid w:val="00170274"/>
    <w:rsid w:val="0017036F"/>
    <w:rsid w:val="00170471"/>
    <w:rsid w:val="001704BD"/>
    <w:rsid w:val="00170563"/>
    <w:rsid w:val="001707A2"/>
    <w:rsid w:val="00170800"/>
    <w:rsid w:val="00170869"/>
    <w:rsid w:val="00170954"/>
    <w:rsid w:val="00170ACD"/>
    <w:rsid w:val="00170AFE"/>
    <w:rsid w:val="00170B9A"/>
    <w:rsid w:val="00170BBE"/>
    <w:rsid w:val="00170C85"/>
    <w:rsid w:val="00170E39"/>
    <w:rsid w:val="00170E6C"/>
    <w:rsid w:val="00170E6F"/>
    <w:rsid w:val="00170F1D"/>
    <w:rsid w:val="00170F44"/>
    <w:rsid w:val="00170F57"/>
    <w:rsid w:val="00170F58"/>
    <w:rsid w:val="00170F7A"/>
    <w:rsid w:val="001710E1"/>
    <w:rsid w:val="001711E5"/>
    <w:rsid w:val="001711EB"/>
    <w:rsid w:val="00171214"/>
    <w:rsid w:val="00171561"/>
    <w:rsid w:val="0017164B"/>
    <w:rsid w:val="00171659"/>
    <w:rsid w:val="00171689"/>
    <w:rsid w:val="001717A8"/>
    <w:rsid w:val="00171854"/>
    <w:rsid w:val="00171888"/>
    <w:rsid w:val="00171925"/>
    <w:rsid w:val="001719DB"/>
    <w:rsid w:val="00171A18"/>
    <w:rsid w:val="00171CBE"/>
    <w:rsid w:val="00171D4B"/>
    <w:rsid w:val="00171D8D"/>
    <w:rsid w:val="00171DE3"/>
    <w:rsid w:val="00171E49"/>
    <w:rsid w:val="00171ED1"/>
    <w:rsid w:val="00171EEA"/>
    <w:rsid w:val="00171F5E"/>
    <w:rsid w:val="00171FF6"/>
    <w:rsid w:val="001722F8"/>
    <w:rsid w:val="001723CB"/>
    <w:rsid w:val="00172488"/>
    <w:rsid w:val="001724F8"/>
    <w:rsid w:val="001726ED"/>
    <w:rsid w:val="00172835"/>
    <w:rsid w:val="00172846"/>
    <w:rsid w:val="00172869"/>
    <w:rsid w:val="00172877"/>
    <w:rsid w:val="001729D8"/>
    <w:rsid w:val="001729E4"/>
    <w:rsid w:val="00172AD4"/>
    <w:rsid w:val="00172C2C"/>
    <w:rsid w:val="00172CE1"/>
    <w:rsid w:val="00172E47"/>
    <w:rsid w:val="00172F5C"/>
    <w:rsid w:val="00172F7C"/>
    <w:rsid w:val="00173290"/>
    <w:rsid w:val="001732B1"/>
    <w:rsid w:val="00173305"/>
    <w:rsid w:val="00173366"/>
    <w:rsid w:val="001733C0"/>
    <w:rsid w:val="001735EC"/>
    <w:rsid w:val="00173743"/>
    <w:rsid w:val="001737DE"/>
    <w:rsid w:val="00173842"/>
    <w:rsid w:val="001738FD"/>
    <w:rsid w:val="00173916"/>
    <w:rsid w:val="00173993"/>
    <w:rsid w:val="00173BD0"/>
    <w:rsid w:val="00173BD4"/>
    <w:rsid w:val="00173C65"/>
    <w:rsid w:val="00173C67"/>
    <w:rsid w:val="00173CB9"/>
    <w:rsid w:val="00173D89"/>
    <w:rsid w:val="00173DEE"/>
    <w:rsid w:val="00173E9A"/>
    <w:rsid w:val="00173EBB"/>
    <w:rsid w:val="00173F7D"/>
    <w:rsid w:val="00173FC7"/>
    <w:rsid w:val="00174016"/>
    <w:rsid w:val="0017410E"/>
    <w:rsid w:val="00174172"/>
    <w:rsid w:val="001741DC"/>
    <w:rsid w:val="001741EF"/>
    <w:rsid w:val="00174283"/>
    <w:rsid w:val="001742D6"/>
    <w:rsid w:val="001742F4"/>
    <w:rsid w:val="00174511"/>
    <w:rsid w:val="00174552"/>
    <w:rsid w:val="00174554"/>
    <w:rsid w:val="001745FC"/>
    <w:rsid w:val="001747ED"/>
    <w:rsid w:val="0017484B"/>
    <w:rsid w:val="001748E9"/>
    <w:rsid w:val="00174A09"/>
    <w:rsid w:val="00174BD9"/>
    <w:rsid w:val="00174C9B"/>
    <w:rsid w:val="00174CAB"/>
    <w:rsid w:val="00174CE1"/>
    <w:rsid w:val="00174D2E"/>
    <w:rsid w:val="00174D69"/>
    <w:rsid w:val="00174DBA"/>
    <w:rsid w:val="00174DD1"/>
    <w:rsid w:val="00174DFC"/>
    <w:rsid w:val="00174F62"/>
    <w:rsid w:val="00174F65"/>
    <w:rsid w:val="00174FFA"/>
    <w:rsid w:val="00174FFD"/>
    <w:rsid w:val="00175023"/>
    <w:rsid w:val="00175231"/>
    <w:rsid w:val="001752B8"/>
    <w:rsid w:val="001752FE"/>
    <w:rsid w:val="00175314"/>
    <w:rsid w:val="00175367"/>
    <w:rsid w:val="00175654"/>
    <w:rsid w:val="0017571A"/>
    <w:rsid w:val="00175785"/>
    <w:rsid w:val="00175825"/>
    <w:rsid w:val="00175852"/>
    <w:rsid w:val="00175A55"/>
    <w:rsid w:val="00175B32"/>
    <w:rsid w:val="00175BCD"/>
    <w:rsid w:val="00175C93"/>
    <w:rsid w:val="00175C95"/>
    <w:rsid w:val="00175D40"/>
    <w:rsid w:val="00175D8C"/>
    <w:rsid w:val="00175F60"/>
    <w:rsid w:val="00175FB5"/>
    <w:rsid w:val="0017609D"/>
    <w:rsid w:val="001760ED"/>
    <w:rsid w:val="001760EE"/>
    <w:rsid w:val="001762BA"/>
    <w:rsid w:val="001763F9"/>
    <w:rsid w:val="00176453"/>
    <w:rsid w:val="001764A6"/>
    <w:rsid w:val="00176530"/>
    <w:rsid w:val="00176600"/>
    <w:rsid w:val="00176657"/>
    <w:rsid w:val="001766AA"/>
    <w:rsid w:val="001767A1"/>
    <w:rsid w:val="0017683E"/>
    <w:rsid w:val="0017693D"/>
    <w:rsid w:val="00176957"/>
    <w:rsid w:val="001769A6"/>
    <w:rsid w:val="00176B77"/>
    <w:rsid w:val="00176BA9"/>
    <w:rsid w:val="00176D77"/>
    <w:rsid w:val="00176E17"/>
    <w:rsid w:val="00176E81"/>
    <w:rsid w:val="00176F09"/>
    <w:rsid w:val="00176F20"/>
    <w:rsid w:val="00176FCA"/>
    <w:rsid w:val="0017705B"/>
    <w:rsid w:val="00177081"/>
    <w:rsid w:val="0017709C"/>
    <w:rsid w:val="001770C7"/>
    <w:rsid w:val="001771FF"/>
    <w:rsid w:val="00177238"/>
    <w:rsid w:val="00177293"/>
    <w:rsid w:val="00177440"/>
    <w:rsid w:val="0017750C"/>
    <w:rsid w:val="00177563"/>
    <w:rsid w:val="0017762D"/>
    <w:rsid w:val="001777F7"/>
    <w:rsid w:val="001777FB"/>
    <w:rsid w:val="0017780E"/>
    <w:rsid w:val="001778E9"/>
    <w:rsid w:val="00177910"/>
    <w:rsid w:val="0017796E"/>
    <w:rsid w:val="001779B5"/>
    <w:rsid w:val="00177A4E"/>
    <w:rsid w:val="00177A7A"/>
    <w:rsid w:val="00177AF8"/>
    <w:rsid w:val="00177B01"/>
    <w:rsid w:val="00177B37"/>
    <w:rsid w:val="00177B5B"/>
    <w:rsid w:val="00177CC6"/>
    <w:rsid w:val="00177CCE"/>
    <w:rsid w:val="00177D05"/>
    <w:rsid w:val="00177E95"/>
    <w:rsid w:val="00177EA1"/>
    <w:rsid w:val="00177FF4"/>
    <w:rsid w:val="0018009F"/>
    <w:rsid w:val="001801B7"/>
    <w:rsid w:val="00180329"/>
    <w:rsid w:val="0018042D"/>
    <w:rsid w:val="0018046C"/>
    <w:rsid w:val="00180522"/>
    <w:rsid w:val="00180664"/>
    <w:rsid w:val="00180697"/>
    <w:rsid w:val="001806F3"/>
    <w:rsid w:val="00180752"/>
    <w:rsid w:val="00180784"/>
    <w:rsid w:val="001807D2"/>
    <w:rsid w:val="001809F0"/>
    <w:rsid w:val="00180A77"/>
    <w:rsid w:val="00180A79"/>
    <w:rsid w:val="00180AFD"/>
    <w:rsid w:val="00180CE9"/>
    <w:rsid w:val="00180D7C"/>
    <w:rsid w:val="00180D95"/>
    <w:rsid w:val="00180FD6"/>
    <w:rsid w:val="00181010"/>
    <w:rsid w:val="001810CE"/>
    <w:rsid w:val="001810EC"/>
    <w:rsid w:val="001811D5"/>
    <w:rsid w:val="001811ED"/>
    <w:rsid w:val="00181348"/>
    <w:rsid w:val="001813A4"/>
    <w:rsid w:val="001813F1"/>
    <w:rsid w:val="00181451"/>
    <w:rsid w:val="001815E4"/>
    <w:rsid w:val="0018169D"/>
    <w:rsid w:val="00181712"/>
    <w:rsid w:val="0018173E"/>
    <w:rsid w:val="00181788"/>
    <w:rsid w:val="001817F1"/>
    <w:rsid w:val="001818BD"/>
    <w:rsid w:val="00181ABB"/>
    <w:rsid w:val="00181ACA"/>
    <w:rsid w:val="00181B88"/>
    <w:rsid w:val="00181B8E"/>
    <w:rsid w:val="00181C90"/>
    <w:rsid w:val="00181D29"/>
    <w:rsid w:val="00181E09"/>
    <w:rsid w:val="00181F0F"/>
    <w:rsid w:val="00181FAE"/>
    <w:rsid w:val="001820B2"/>
    <w:rsid w:val="001820B3"/>
    <w:rsid w:val="00182154"/>
    <w:rsid w:val="001821C5"/>
    <w:rsid w:val="001821DF"/>
    <w:rsid w:val="00182358"/>
    <w:rsid w:val="0018255D"/>
    <w:rsid w:val="001825AC"/>
    <w:rsid w:val="0018260E"/>
    <w:rsid w:val="0018267A"/>
    <w:rsid w:val="001827B5"/>
    <w:rsid w:val="001828D9"/>
    <w:rsid w:val="00182913"/>
    <w:rsid w:val="001829B7"/>
    <w:rsid w:val="00182A9B"/>
    <w:rsid w:val="00182B43"/>
    <w:rsid w:val="00182C18"/>
    <w:rsid w:val="00182C44"/>
    <w:rsid w:val="00182DA6"/>
    <w:rsid w:val="00182DB6"/>
    <w:rsid w:val="00182DB9"/>
    <w:rsid w:val="00182F9C"/>
    <w:rsid w:val="00183000"/>
    <w:rsid w:val="00183024"/>
    <w:rsid w:val="0018310B"/>
    <w:rsid w:val="001831FB"/>
    <w:rsid w:val="001832D6"/>
    <w:rsid w:val="00183339"/>
    <w:rsid w:val="00183377"/>
    <w:rsid w:val="001833AF"/>
    <w:rsid w:val="001833DB"/>
    <w:rsid w:val="001833F6"/>
    <w:rsid w:val="001834C6"/>
    <w:rsid w:val="001835FB"/>
    <w:rsid w:val="00183631"/>
    <w:rsid w:val="00183679"/>
    <w:rsid w:val="001836EE"/>
    <w:rsid w:val="00183708"/>
    <w:rsid w:val="001837BF"/>
    <w:rsid w:val="00183886"/>
    <w:rsid w:val="00183897"/>
    <w:rsid w:val="001838BB"/>
    <w:rsid w:val="00183907"/>
    <w:rsid w:val="00183AEB"/>
    <w:rsid w:val="00183B59"/>
    <w:rsid w:val="00183BED"/>
    <w:rsid w:val="00183C7C"/>
    <w:rsid w:val="00183CAD"/>
    <w:rsid w:val="00183D90"/>
    <w:rsid w:val="00183D9F"/>
    <w:rsid w:val="00183DF6"/>
    <w:rsid w:val="00183E49"/>
    <w:rsid w:val="00183E62"/>
    <w:rsid w:val="00183E99"/>
    <w:rsid w:val="00184049"/>
    <w:rsid w:val="0018406D"/>
    <w:rsid w:val="001840AD"/>
    <w:rsid w:val="001840C1"/>
    <w:rsid w:val="00184210"/>
    <w:rsid w:val="00184250"/>
    <w:rsid w:val="00184269"/>
    <w:rsid w:val="001843B0"/>
    <w:rsid w:val="001844A5"/>
    <w:rsid w:val="001845A5"/>
    <w:rsid w:val="0018468D"/>
    <w:rsid w:val="001846A8"/>
    <w:rsid w:val="001846BF"/>
    <w:rsid w:val="00184704"/>
    <w:rsid w:val="00184757"/>
    <w:rsid w:val="001847A9"/>
    <w:rsid w:val="00184843"/>
    <w:rsid w:val="00184845"/>
    <w:rsid w:val="0018488D"/>
    <w:rsid w:val="00184896"/>
    <w:rsid w:val="001848C3"/>
    <w:rsid w:val="001849B1"/>
    <w:rsid w:val="00184A2D"/>
    <w:rsid w:val="00184BA0"/>
    <w:rsid w:val="00184BE7"/>
    <w:rsid w:val="00184C53"/>
    <w:rsid w:val="00184CCC"/>
    <w:rsid w:val="00184D39"/>
    <w:rsid w:val="00184DE8"/>
    <w:rsid w:val="00184E3D"/>
    <w:rsid w:val="00184EAA"/>
    <w:rsid w:val="00184EDF"/>
    <w:rsid w:val="00184F4F"/>
    <w:rsid w:val="00184F66"/>
    <w:rsid w:val="00184FD8"/>
    <w:rsid w:val="0018508B"/>
    <w:rsid w:val="00185157"/>
    <w:rsid w:val="001851E0"/>
    <w:rsid w:val="0018521E"/>
    <w:rsid w:val="001852A3"/>
    <w:rsid w:val="001852B6"/>
    <w:rsid w:val="00185384"/>
    <w:rsid w:val="001853FC"/>
    <w:rsid w:val="0018549B"/>
    <w:rsid w:val="00185678"/>
    <w:rsid w:val="00185735"/>
    <w:rsid w:val="001857E2"/>
    <w:rsid w:val="00185808"/>
    <w:rsid w:val="001858D9"/>
    <w:rsid w:val="0018596E"/>
    <w:rsid w:val="00185A8F"/>
    <w:rsid w:val="00185B15"/>
    <w:rsid w:val="00185B2B"/>
    <w:rsid w:val="00185B52"/>
    <w:rsid w:val="00185C3C"/>
    <w:rsid w:val="00185CAC"/>
    <w:rsid w:val="00185CBC"/>
    <w:rsid w:val="00185DCF"/>
    <w:rsid w:val="00185E39"/>
    <w:rsid w:val="00185EFF"/>
    <w:rsid w:val="00185FA7"/>
    <w:rsid w:val="0018600E"/>
    <w:rsid w:val="0018601B"/>
    <w:rsid w:val="00186100"/>
    <w:rsid w:val="00186110"/>
    <w:rsid w:val="0018611A"/>
    <w:rsid w:val="00186148"/>
    <w:rsid w:val="0018619C"/>
    <w:rsid w:val="00186237"/>
    <w:rsid w:val="001862A7"/>
    <w:rsid w:val="001862EE"/>
    <w:rsid w:val="001865DD"/>
    <w:rsid w:val="001866F5"/>
    <w:rsid w:val="0018672B"/>
    <w:rsid w:val="001867B5"/>
    <w:rsid w:val="001867D1"/>
    <w:rsid w:val="001867F2"/>
    <w:rsid w:val="00186839"/>
    <w:rsid w:val="00186898"/>
    <w:rsid w:val="00186943"/>
    <w:rsid w:val="001869D3"/>
    <w:rsid w:val="00186BEA"/>
    <w:rsid w:val="00186C6A"/>
    <w:rsid w:val="00186CF3"/>
    <w:rsid w:val="00186D25"/>
    <w:rsid w:val="00186E4D"/>
    <w:rsid w:val="00186EFE"/>
    <w:rsid w:val="00186F15"/>
    <w:rsid w:val="00186F5E"/>
    <w:rsid w:val="0018707A"/>
    <w:rsid w:val="00187095"/>
    <w:rsid w:val="001870BA"/>
    <w:rsid w:val="001870F0"/>
    <w:rsid w:val="0018725B"/>
    <w:rsid w:val="0018739E"/>
    <w:rsid w:val="0018745A"/>
    <w:rsid w:val="001874FB"/>
    <w:rsid w:val="00187509"/>
    <w:rsid w:val="0018764C"/>
    <w:rsid w:val="0018768B"/>
    <w:rsid w:val="00187705"/>
    <w:rsid w:val="001877F0"/>
    <w:rsid w:val="0018783C"/>
    <w:rsid w:val="0018785C"/>
    <w:rsid w:val="001878DB"/>
    <w:rsid w:val="00187922"/>
    <w:rsid w:val="00187B0A"/>
    <w:rsid w:val="00187B33"/>
    <w:rsid w:val="00187B61"/>
    <w:rsid w:val="00187BF9"/>
    <w:rsid w:val="00187E58"/>
    <w:rsid w:val="00187E61"/>
    <w:rsid w:val="00187F4F"/>
    <w:rsid w:val="00190039"/>
    <w:rsid w:val="00190084"/>
    <w:rsid w:val="001901F6"/>
    <w:rsid w:val="00190231"/>
    <w:rsid w:val="00190290"/>
    <w:rsid w:val="001902EE"/>
    <w:rsid w:val="00190368"/>
    <w:rsid w:val="00190419"/>
    <w:rsid w:val="001904FD"/>
    <w:rsid w:val="001905A2"/>
    <w:rsid w:val="0019063D"/>
    <w:rsid w:val="00190687"/>
    <w:rsid w:val="00190699"/>
    <w:rsid w:val="001907F6"/>
    <w:rsid w:val="001909F9"/>
    <w:rsid w:val="00190A10"/>
    <w:rsid w:val="00190AA7"/>
    <w:rsid w:val="00190B43"/>
    <w:rsid w:val="00190B60"/>
    <w:rsid w:val="00190B67"/>
    <w:rsid w:val="00190C96"/>
    <w:rsid w:val="00190CE1"/>
    <w:rsid w:val="00190E0A"/>
    <w:rsid w:val="00190E4B"/>
    <w:rsid w:val="00190E69"/>
    <w:rsid w:val="00190E9C"/>
    <w:rsid w:val="00190F87"/>
    <w:rsid w:val="0019105C"/>
    <w:rsid w:val="0019109D"/>
    <w:rsid w:val="0019125F"/>
    <w:rsid w:val="001912F5"/>
    <w:rsid w:val="00191360"/>
    <w:rsid w:val="00191489"/>
    <w:rsid w:val="001915BD"/>
    <w:rsid w:val="001917B0"/>
    <w:rsid w:val="001917C2"/>
    <w:rsid w:val="001918D4"/>
    <w:rsid w:val="001918E5"/>
    <w:rsid w:val="0019199B"/>
    <w:rsid w:val="00191A71"/>
    <w:rsid w:val="00191B19"/>
    <w:rsid w:val="00191B53"/>
    <w:rsid w:val="00191BD9"/>
    <w:rsid w:val="00191C44"/>
    <w:rsid w:val="00191C4B"/>
    <w:rsid w:val="00191CB6"/>
    <w:rsid w:val="00191CD5"/>
    <w:rsid w:val="00191DEB"/>
    <w:rsid w:val="00191E37"/>
    <w:rsid w:val="00191E4D"/>
    <w:rsid w:val="00191EC0"/>
    <w:rsid w:val="00191FF9"/>
    <w:rsid w:val="0019205B"/>
    <w:rsid w:val="00192309"/>
    <w:rsid w:val="00192415"/>
    <w:rsid w:val="001925B1"/>
    <w:rsid w:val="0019268D"/>
    <w:rsid w:val="0019271A"/>
    <w:rsid w:val="0019282D"/>
    <w:rsid w:val="001928A7"/>
    <w:rsid w:val="001928AA"/>
    <w:rsid w:val="001928B0"/>
    <w:rsid w:val="00192AE1"/>
    <w:rsid w:val="00192B49"/>
    <w:rsid w:val="00192BBC"/>
    <w:rsid w:val="00192C60"/>
    <w:rsid w:val="00192DFE"/>
    <w:rsid w:val="00192E17"/>
    <w:rsid w:val="00192E87"/>
    <w:rsid w:val="00192F00"/>
    <w:rsid w:val="00193041"/>
    <w:rsid w:val="00193175"/>
    <w:rsid w:val="00193200"/>
    <w:rsid w:val="00193201"/>
    <w:rsid w:val="001933F9"/>
    <w:rsid w:val="00193470"/>
    <w:rsid w:val="00193471"/>
    <w:rsid w:val="0019358C"/>
    <w:rsid w:val="00193598"/>
    <w:rsid w:val="0019360B"/>
    <w:rsid w:val="00193626"/>
    <w:rsid w:val="0019365F"/>
    <w:rsid w:val="001936B5"/>
    <w:rsid w:val="0019371D"/>
    <w:rsid w:val="00193847"/>
    <w:rsid w:val="00193858"/>
    <w:rsid w:val="00193955"/>
    <w:rsid w:val="00193B6C"/>
    <w:rsid w:val="00193C2E"/>
    <w:rsid w:val="00193C5F"/>
    <w:rsid w:val="00193CB7"/>
    <w:rsid w:val="00193E9F"/>
    <w:rsid w:val="00193FD0"/>
    <w:rsid w:val="00194033"/>
    <w:rsid w:val="00194112"/>
    <w:rsid w:val="001941A0"/>
    <w:rsid w:val="001941D6"/>
    <w:rsid w:val="0019447B"/>
    <w:rsid w:val="001944C2"/>
    <w:rsid w:val="001946A7"/>
    <w:rsid w:val="00194781"/>
    <w:rsid w:val="0019497B"/>
    <w:rsid w:val="00194C02"/>
    <w:rsid w:val="00194C56"/>
    <w:rsid w:val="00194C84"/>
    <w:rsid w:val="00194D2F"/>
    <w:rsid w:val="00194D33"/>
    <w:rsid w:val="00194D9A"/>
    <w:rsid w:val="00194F4C"/>
    <w:rsid w:val="00194FB8"/>
    <w:rsid w:val="0019500C"/>
    <w:rsid w:val="00195054"/>
    <w:rsid w:val="00195077"/>
    <w:rsid w:val="001950B0"/>
    <w:rsid w:val="00195140"/>
    <w:rsid w:val="001951F7"/>
    <w:rsid w:val="0019525F"/>
    <w:rsid w:val="00195317"/>
    <w:rsid w:val="00195336"/>
    <w:rsid w:val="0019545B"/>
    <w:rsid w:val="001955C1"/>
    <w:rsid w:val="001955F7"/>
    <w:rsid w:val="0019574C"/>
    <w:rsid w:val="0019598D"/>
    <w:rsid w:val="00195AE0"/>
    <w:rsid w:val="00195B28"/>
    <w:rsid w:val="00195BA3"/>
    <w:rsid w:val="00195C2E"/>
    <w:rsid w:val="00195CB4"/>
    <w:rsid w:val="00195CE1"/>
    <w:rsid w:val="00195D17"/>
    <w:rsid w:val="00195D8F"/>
    <w:rsid w:val="00195E1B"/>
    <w:rsid w:val="0019601D"/>
    <w:rsid w:val="0019602F"/>
    <w:rsid w:val="00196086"/>
    <w:rsid w:val="0019610F"/>
    <w:rsid w:val="001961D1"/>
    <w:rsid w:val="00196278"/>
    <w:rsid w:val="00196332"/>
    <w:rsid w:val="001963AB"/>
    <w:rsid w:val="001963E3"/>
    <w:rsid w:val="00196445"/>
    <w:rsid w:val="00196447"/>
    <w:rsid w:val="0019647E"/>
    <w:rsid w:val="001964B9"/>
    <w:rsid w:val="001964E4"/>
    <w:rsid w:val="00196913"/>
    <w:rsid w:val="00196B3D"/>
    <w:rsid w:val="00196BEA"/>
    <w:rsid w:val="00196C0C"/>
    <w:rsid w:val="00196D47"/>
    <w:rsid w:val="00196DB2"/>
    <w:rsid w:val="00196E04"/>
    <w:rsid w:val="00196E26"/>
    <w:rsid w:val="00196E6B"/>
    <w:rsid w:val="00196EB7"/>
    <w:rsid w:val="00196EFD"/>
    <w:rsid w:val="00196FC7"/>
    <w:rsid w:val="00197016"/>
    <w:rsid w:val="0019707A"/>
    <w:rsid w:val="001970D3"/>
    <w:rsid w:val="001971F9"/>
    <w:rsid w:val="00197213"/>
    <w:rsid w:val="00197347"/>
    <w:rsid w:val="001974A9"/>
    <w:rsid w:val="001974D0"/>
    <w:rsid w:val="00197533"/>
    <w:rsid w:val="001975DD"/>
    <w:rsid w:val="001975E3"/>
    <w:rsid w:val="0019762A"/>
    <w:rsid w:val="0019764A"/>
    <w:rsid w:val="0019778B"/>
    <w:rsid w:val="001977D9"/>
    <w:rsid w:val="00197892"/>
    <w:rsid w:val="00197A3E"/>
    <w:rsid w:val="00197A90"/>
    <w:rsid w:val="00197ABC"/>
    <w:rsid w:val="00197CF2"/>
    <w:rsid w:val="00197D43"/>
    <w:rsid w:val="00197D8D"/>
    <w:rsid w:val="00197E5B"/>
    <w:rsid w:val="00197E6D"/>
    <w:rsid w:val="00197F2A"/>
    <w:rsid w:val="001A006B"/>
    <w:rsid w:val="001A0086"/>
    <w:rsid w:val="001A00F0"/>
    <w:rsid w:val="001A0146"/>
    <w:rsid w:val="001A021A"/>
    <w:rsid w:val="001A02A3"/>
    <w:rsid w:val="001A0309"/>
    <w:rsid w:val="001A03CE"/>
    <w:rsid w:val="001A0459"/>
    <w:rsid w:val="001A05B5"/>
    <w:rsid w:val="001A05D4"/>
    <w:rsid w:val="001A06D0"/>
    <w:rsid w:val="001A07D4"/>
    <w:rsid w:val="001A080D"/>
    <w:rsid w:val="001A0974"/>
    <w:rsid w:val="001A0C20"/>
    <w:rsid w:val="001A0C5A"/>
    <w:rsid w:val="001A0D56"/>
    <w:rsid w:val="001A0E52"/>
    <w:rsid w:val="001A0F89"/>
    <w:rsid w:val="001A103D"/>
    <w:rsid w:val="001A1066"/>
    <w:rsid w:val="001A1209"/>
    <w:rsid w:val="001A1213"/>
    <w:rsid w:val="001A12CE"/>
    <w:rsid w:val="001A1381"/>
    <w:rsid w:val="001A1385"/>
    <w:rsid w:val="001A1397"/>
    <w:rsid w:val="001A13CA"/>
    <w:rsid w:val="001A155F"/>
    <w:rsid w:val="001A1587"/>
    <w:rsid w:val="001A1617"/>
    <w:rsid w:val="001A1639"/>
    <w:rsid w:val="001A16F5"/>
    <w:rsid w:val="001A17DA"/>
    <w:rsid w:val="001A184C"/>
    <w:rsid w:val="001A18DF"/>
    <w:rsid w:val="001A1AF3"/>
    <w:rsid w:val="001A1B3F"/>
    <w:rsid w:val="001A1B95"/>
    <w:rsid w:val="001A1C60"/>
    <w:rsid w:val="001A1CB5"/>
    <w:rsid w:val="001A1CD0"/>
    <w:rsid w:val="001A1EA0"/>
    <w:rsid w:val="001A1ED0"/>
    <w:rsid w:val="001A20B8"/>
    <w:rsid w:val="001A20CB"/>
    <w:rsid w:val="001A2102"/>
    <w:rsid w:val="001A22A1"/>
    <w:rsid w:val="001A23C8"/>
    <w:rsid w:val="001A2449"/>
    <w:rsid w:val="001A253B"/>
    <w:rsid w:val="001A2590"/>
    <w:rsid w:val="001A2775"/>
    <w:rsid w:val="001A27CC"/>
    <w:rsid w:val="001A2840"/>
    <w:rsid w:val="001A288E"/>
    <w:rsid w:val="001A2AF1"/>
    <w:rsid w:val="001A2BBF"/>
    <w:rsid w:val="001A2C16"/>
    <w:rsid w:val="001A2CB4"/>
    <w:rsid w:val="001A2D1B"/>
    <w:rsid w:val="001A2D2D"/>
    <w:rsid w:val="001A2E00"/>
    <w:rsid w:val="001A2EE6"/>
    <w:rsid w:val="001A311B"/>
    <w:rsid w:val="001A312E"/>
    <w:rsid w:val="001A314C"/>
    <w:rsid w:val="001A3362"/>
    <w:rsid w:val="001A3403"/>
    <w:rsid w:val="001A351F"/>
    <w:rsid w:val="001A3664"/>
    <w:rsid w:val="001A36F9"/>
    <w:rsid w:val="001A377F"/>
    <w:rsid w:val="001A380E"/>
    <w:rsid w:val="001A3A4D"/>
    <w:rsid w:val="001A3B35"/>
    <w:rsid w:val="001A3B3D"/>
    <w:rsid w:val="001A3B5A"/>
    <w:rsid w:val="001A3B5D"/>
    <w:rsid w:val="001A3B6F"/>
    <w:rsid w:val="001A3BBE"/>
    <w:rsid w:val="001A3C62"/>
    <w:rsid w:val="001A3CB1"/>
    <w:rsid w:val="001A3CDA"/>
    <w:rsid w:val="001A3CEA"/>
    <w:rsid w:val="001A3D14"/>
    <w:rsid w:val="001A3D4D"/>
    <w:rsid w:val="001A3DAE"/>
    <w:rsid w:val="001A3F23"/>
    <w:rsid w:val="001A3FEB"/>
    <w:rsid w:val="001A403D"/>
    <w:rsid w:val="001A40E8"/>
    <w:rsid w:val="001A4186"/>
    <w:rsid w:val="001A41FA"/>
    <w:rsid w:val="001A42A8"/>
    <w:rsid w:val="001A42CA"/>
    <w:rsid w:val="001A43A0"/>
    <w:rsid w:val="001A43EC"/>
    <w:rsid w:val="001A44EF"/>
    <w:rsid w:val="001A456C"/>
    <w:rsid w:val="001A45B7"/>
    <w:rsid w:val="001A463A"/>
    <w:rsid w:val="001A4664"/>
    <w:rsid w:val="001A469E"/>
    <w:rsid w:val="001A46CA"/>
    <w:rsid w:val="001A46CE"/>
    <w:rsid w:val="001A49EE"/>
    <w:rsid w:val="001A49F0"/>
    <w:rsid w:val="001A4B27"/>
    <w:rsid w:val="001A4B67"/>
    <w:rsid w:val="001A4BFD"/>
    <w:rsid w:val="001A4C8D"/>
    <w:rsid w:val="001A4DF0"/>
    <w:rsid w:val="001A4E3C"/>
    <w:rsid w:val="001A4E9A"/>
    <w:rsid w:val="001A4EF8"/>
    <w:rsid w:val="001A4F79"/>
    <w:rsid w:val="001A4F8E"/>
    <w:rsid w:val="001A4FE9"/>
    <w:rsid w:val="001A504C"/>
    <w:rsid w:val="001A51B3"/>
    <w:rsid w:val="001A51C0"/>
    <w:rsid w:val="001A524B"/>
    <w:rsid w:val="001A5354"/>
    <w:rsid w:val="001A540C"/>
    <w:rsid w:val="001A54A9"/>
    <w:rsid w:val="001A5535"/>
    <w:rsid w:val="001A556D"/>
    <w:rsid w:val="001A5774"/>
    <w:rsid w:val="001A5800"/>
    <w:rsid w:val="001A5960"/>
    <w:rsid w:val="001A59BA"/>
    <w:rsid w:val="001A59E3"/>
    <w:rsid w:val="001A5A43"/>
    <w:rsid w:val="001A5A54"/>
    <w:rsid w:val="001A5A8A"/>
    <w:rsid w:val="001A5A92"/>
    <w:rsid w:val="001A5B60"/>
    <w:rsid w:val="001A5B7B"/>
    <w:rsid w:val="001A5B92"/>
    <w:rsid w:val="001A5B9C"/>
    <w:rsid w:val="001A5BDB"/>
    <w:rsid w:val="001A5C66"/>
    <w:rsid w:val="001A5E47"/>
    <w:rsid w:val="001A5EE4"/>
    <w:rsid w:val="001A5FA1"/>
    <w:rsid w:val="001A6140"/>
    <w:rsid w:val="001A63EE"/>
    <w:rsid w:val="001A642C"/>
    <w:rsid w:val="001A64D7"/>
    <w:rsid w:val="001A65A2"/>
    <w:rsid w:val="001A67D5"/>
    <w:rsid w:val="001A68FD"/>
    <w:rsid w:val="001A69ED"/>
    <w:rsid w:val="001A6A31"/>
    <w:rsid w:val="001A6B52"/>
    <w:rsid w:val="001A6C99"/>
    <w:rsid w:val="001A6D14"/>
    <w:rsid w:val="001A6E82"/>
    <w:rsid w:val="001A6EDA"/>
    <w:rsid w:val="001A6F62"/>
    <w:rsid w:val="001A6F82"/>
    <w:rsid w:val="001A6F8E"/>
    <w:rsid w:val="001A7010"/>
    <w:rsid w:val="001A7093"/>
    <w:rsid w:val="001A729F"/>
    <w:rsid w:val="001A72F0"/>
    <w:rsid w:val="001A7316"/>
    <w:rsid w:val="001A73A4"/>
    <w:rsid w:val="001A7949"/>
    <w:rsid w:val="001A7A44"/>
    <w:rsid w:val="001A7A6E"/>
    <w:rsid w:val="001A7B04"/>
    <w:rsid w:val="001A7B2A"/>
    <w:rsid w:val="001A7C33"/>
    <w:rsid w:val="001A7D19"/>
    <w:rsid w:val="001A7DAF"/>
    <w:rsid w:val="001A7E8F"/>
    <w:rsid w:val="001B007C"/>
    <w:rsid w:val="001B0155"/>
    <w:rsid w:val="001B02E5"/>
    <w:rsid w:val="001B0328"/>
    <w:rsid w:val="001B049F"/>
    <w:rsid w:val="001B04D3"/>
    <w:rsid w:val="001B054A"/>
    <w:rsid w:val="001B05B8"/>
    <w:rsid w:val="001B05E0"/>
    <w:rsid w:val="001B05E7"/>
    <w:rsid w:val="001B06AC"/>
    <w:rsid w:val="001B07CB"/>
    <w:rsid w:val="001B08A3"/>
    <w:rsid w:val="001B099B"/>
    <w:rsid w:val="001B09FF"/>
    <w:rsid w:val="001B0A60"/>
    <w:rsid w:val="001B0ABF"/>
    <w:rsid w:val="001B0B5C"/>
    <w:rsid w:val="001B0CFA"/>
    <w:rsid w:val="001B10D2"/>
    <w:rsid w:val="001B10F8"/>
    <w:rsid w:val="001B11F4"/>
    <w:rsid w:val="001B124C"/>
    <w:rsid w:val="001B12E0"/>
    <w:rsid w:val="001B131C"/>
    <w:rsid w:val="001B13B1"/>
    <w:rsid w:val="001B13E4"/>
    <w:rsid w:val="001B1419"/>
    <w:rsid w:val="001B1545"/>
    <w:rsid w:val="001B1617"/>
    <w:rsid w:val="001B1644"/>
    <w:rsid w:val="001B168D"/>
    <w:rsid w:val="001B17E0"/>
    <w:rsid w:val="001B17F4"/>
    <w:rsid w:val="001B1815"/>
    <w:rsid w:val="001B1A6C"/>
    <w:rsid w:val="001B1BA6"/>
    <w:rsid w:val="001B1BC2"/>
    <w:rsid w:val="001B1BDF"/>
    <w:rsid w:val="001B1DDD"/>
    <w:rsid w:val="001B1F2A"/>
    <w:rsid w:val="001B1F2B"/>
    <w:rsid w:val="001B1F6B"/>
    <w:rsid w:val="001B1FB4"/>
    <w:rsid w:val="001B1FE4"/>
    <w:rsid w:val="001B2036"/>
    <w:rsid w:val="001B20EB"/>
    <w:rsid w:val="001B2124"/>
    <w:rsid w:val="001B2194"/>
    <w:rsid w:val="001B2256"/>
    <w:rsid w:val="001B23A2"/>
    <w:rsid w:val="001B23C2"/>
    <w:rsid w:val="001B24B4"/>
    <w:rsid w:val="001B2508"/>
    <w:rsid w:val="001B2538"/>
    <w:rsid w:val="001B2565"/>
    <w:rsid w:val="001B256B"/>
    <w:rsid w:val="001B28D6"/>
    <w:rsid w:val="001B2924"/>
    <w:rsid w:val="001B2C45"/>
    <w:rsid w:val="001B2C49"/>
    <w:rsid w:val="001B2CFB"/>
    <w:rsid w:val="001B2DED"/>
    <w:rsid w:val="001B2E1B"/>
    <w:rsid w:val="001B2F25"/>
    <w:rsid w:val="001B2F60"/>
    <w:rsid w:val="001B2F6A"/>
    <w:rsid w:val="001B2FAA"/>
    <w:rsid w:val="001B30A1"/>
    <w:rsid w:val="001B30DF"/>
    <w:rsid w:val="001B3154"/>
    <w:rsid w:val="001B3194"/>
    <w:rsid w:val="001B33A7"/>
    <w:rsid w:val="001B33AF"/>
    <w:rsid w:val="001B35A2"/>
    <w:rsid w:val="001B3660"/>
    <w:rsid w:val="001B3677"/>
    <w:rsid w:val="001B36A5"/>
    <w:rsid w:val="001B3701"/>
    <w:rsid w:val="001B379E"/>
    <w:rsid w:val="001B37BC"/>
    <w:rsid w:val="001B39AC"/>
    <w:rsid w:val="001B39EC"/>
    <w:rsid w:val="001B39FA"/>
    <w:rsid w:val="001B3C34"/>
    <w:rsid w:val="001B3D56"/>
    <w:rsid w:val="001B3F12"/>
    <w:rsid w:val="001B4541"/>
    <w:rsid w:val="001B45E8"/>
    <w:rsid w:val="001B4682"/>
    <w:rsid w:val="001B46E9"/>
    <w:rsid w:val="001B47CF"/>
    <w:rsid w:val="001B487D"/>
    <w:rsid w:val="001B4997"/>
    <w:rsid w:val="001B49FB"/>
    <w:rsid w:val="001B4AA4"/>
    <w:rsid w:val="001B4B8E"/>
    <w:rsid w:val="001B4C12"/>
    <w:rsid w:val="001B4D66"/>
    <w:rsid w:val="001B4DFF"/>
    <w:rsid w:val="001B4F6E"/>
    <w:rsid w:val="001B5005"/>
    <w:rsid w:val="001B5092"/>
    <w:rsid w:val="001B50DF"/>
    <w:rsid w:val="001B50F8"/>
    <w:rsid w:val="001B50FA"/>
    <w:rsid w:val="001B5175"/>
    <w:rsid w:val="001B51A3"/>
    <w:rsid w:val="001B5250"/>
    <w:rsid w:val="001B5399"/>
    <w:rsid w:val="001B53F4"/>
    <w:rsid w:val="001B5504"/>
    <w:rsid w:val="001B5705"/>
    <w:rsid w:val="001B5745"/>
    <w:rsid w:val="001B57D0"/>
    <w:rsid w:val="001B5A46"/>
    <w:rsid w:val="001B5AD8"/>
    <w:rsid w:val="001B5B27"/>
    <w:rsid w:val="001B5BA2"/>
    <w:rsid w:val="001B5D0A"/>
    <w:rsid w:val="001B5DA3"/>
    <w:rsid w:val="001B5DF2"/>
    <w:rsid w:val="001B5E3C"/>
    <w:rsid w:val="001B5E53"/>
    <w:rsid w:val="001B5E65"/>
    <w:rsid w:val="001B5E87"/>
    <w:rsid w:val="001B6016"/>
    <w:rsid w:val="001B60A8"/>
    <w:rsid w:val="001B61F1"/>
    <w:rsid w:val="001B6226"/>
    <w:rsid w:val="001B63B2"/>
    <w:rsid w:val="001B648D"/>
    <w:rsid w:val="001B6496"/>
    <w:rsid w:val="001B64B6"/>
    <w:rsid w:val="001B652C"/>
    <w:rsid w:val="001B6549"/>
    <w:rsid w:val="001B654D"/>
    <w:rsid w:val="001B655E"/>
    <w:rsid w:val="001B65FD"/>
    <w:rsid w:val="001B668B"/>
    <w:rsid w:val="001B679A"/>
    <w:rsid w:val="001B68C9"/>
    <w:rsid w:val="001B6BCE"/>
    <w:rsid w:val="001B6C23"/>
    <w:rsid w:val="001B6C45"/>
    <w:rsid w:val="001B6C7B"/>
    <w:rsid w:val="001B6D69"/>
    <w:rsid w:val="001B6E7A"/>
    <w:rsid w:val="001B6EDD"/>
    <w:rsid w:val="001B700D"/>
    <w:rsid w:val="001B7085"/>
    <w:rsid w:val="001B71BF"/>
    <w:rsid w:val="001B7250"/>
    <w:rsid w:val="001B7504"/>
    <w:rsid w:val="001B7595"/>
    <w:rsid w:val="001B761D"/>
    <w:rsid w:val="001B7661"/>
    <w:rsid w:val="001B767C"/>
    <w:rsid w:val="001B76CC"/>
    <w:rsid w:val="001B76FF"/>
    <w:rsid w:val="001B7745"/>
    <w:rsid w:val="001B7856"/>
    <w:rsid w:val="001B7869"/>
    <w:rsid w:val="001B7AD6"/>
    <w:rsid w:val="001B7B07"/>
    <w:rsid w:val="001B7BC4"/>
    <w:rsid w:val="001B7DD7"/>
    <w:rsid w:val="001B7DD9"/>
    <w:rsid w:val="001B7EF5"/>
    <w:rsid w:val="001B7FAA"/>
    <w:rsid w:val="001B7FB1"/>
    <w:rsid w:val="001B7FDF"/>
    <w:rsid w:val="001C0143"/>
    <w:rsid w:val="001C026C"/>
    <w:rsid w:val="001C0315"/>
    <w:rsid w:val="001C03A9"/>
    <w:rsid w:val="001C03BF"/>
    <w:rsid w:val="001C0595"/>
    <w:rsid w:val="001C0606"/>
    <w:rsid w:val="001C089A"/>
    <w:rsid w:val="001C092F"/>
    <w:rsid w:val="001C09E1"/>
    <w:rsid w:val="001C0A8F"/>
    <w:rsid w:val="001C0CE0"/>
    <w:rsid w:val="001C0DEA"/>
    <w:rsid w:val="001C0E15"/>
    <w:rsid w:val="001C0E9A"/>
    <w:rsid w:val="001C0FD1"/>
    <w:rsid w:val="001C1078"/>
    <w:rsid w:val="001C1124"/>
    <w:rsid w:val="001C12AA"/>
    <w:rsid w:val="001C13D5"/>
    <w:rsid w:val="001C147E"/>
    <w:rsid w:val="001C1679"/>
    <w:rsid w:val="001C19CB"/>
    <w:rsid w:val="001C1A0E"/>
    <w:rsid w:val="001C1A7C"/>
    <w:rsid w:val="001C1AD3"/>
    <w:rsid w:val="001C1B31"/>
    <w:rsid w:val="001C1B72"/>
    <w:rsid w:val="001C1BD1"/>
    <w:rsid w:val="001C1CCD"/>
    <w:rsid w:val="001C1CE4"/>
    <w:rsid w:val="001C1D69"/>
    <w:rsid w:val="001C1D7B"/>
    <w:rsid w:val="001C1DD0"/>
    <w:rsid w:val="001C1E48"/>
    <w:rsid w:val="001C1E6F"/>
    <w:rsid w:val="001C2008"/>
    <w:rsid w:val="001C20D5"/>
    <w:rsid w:val="001C2262"/>
    <w:rsid w:val="001C2268"/>
    <w:rsid w:val="001C23B8"/>
    <w:rsid w:val="001C23C5"/>
    <w:rsid w:val="001C24C6"/>
    <w:rsid w:val="001C24D2"/>
    <w:rsid w:val="001C24EA"/>
    <w:rsid w:val="001C26C8"/>
    <w:rsid w:val="001C26DC"/>
    <w:rsid w:val="001C270B"/>
    <w:rsid w:val="001C2864"/>
    <w:rsid w:val="001C29D5"/>
    <w:rsid w:val="001C2A88"/>
    <w:rsid w:val="001C2BB0"/>
    <w:rsid w:val="001C2C81"/>
    <w:rsid w:val="001C2CF3"/>
    <w:rsid w:val="001C2F75"/>
    <w:rsid w:val="001C309A"/>
    <w:rsid w:val="001C30B3"/>
    <w:rsid w:val="001C3125"/>
    <w:rsid w:val="001C3357"/>
    <w:rsid w:val="001C3364"/>
    <w:rsid w:val="001C3402"/>
    <w:rsid w:val="001C3476"/>
    <w:rsid w:val="001C353B"/>
    <w:rsid w:val="001C361D"/>
    <w:rsid w:val="001C3622"/>
    <w:rsid w:val="001C37A4"/>
    <w:rsid w:val="001C3905"/>
    <w:rsid w:val="001C3936"/>
    <w:rsid w:val="001C3A7D"/>
    <w:rsid w:val="001C3AE1"/>
    <w:rsid w:val="001C3B0D"/>
    <w:rsid w:val="001C3B44"/>
    <w:rsid w:val="001C3C59"/>
    <w:rsid w:val="001C3DBC"/>
    <w:rsid w:val="001C3E4A"/>
    <w:rsid w:val="001C3F99"/>
    <w:rsid w:val="001C4087"/>
    <w:rsid w:val="001C40CD"/>
    <w:rsid w:val="001C4234"/>
    <w:rsid w:val="001C4361"/>
    <w:rsid w:val="001C43A3"/>
    <w:rsid w:val="001C44C8"/>
    <w:rsid w:val="001C45A7"/>
    <w:rsid w:val="001C45C4"/>
    <w:rsid w:val="001C4628"/>
    <w:rsid w:val="001C4776"/>
    <w:rsid w:val="001C47B5"/>
    <w:rsid w:val="001C4862"/>
    <w:rsid w:val="001C4A1A"/>
    <w:rsid w:val="001C4B1A"/>
    <w:rsid w:val="001C4B53"/>
    <w:rsid w:val="001C4BA3"/>
    <w:rsid w:val="001C4BC2"/>
    <w:rsid w:val="001C4CC8"/>
    <w:rsid w:val="001C4D02"/>
    <w:rsid w:val="001C4DB7"/>
    <w:rsid w:val="001C4F23"/>
    <w:rsid w:val="001C4F30"/>
    <w:rsid w:val="001C4F8D"/>
    <w:rsid w:val="001C509C"/>
    <w:rsid w:val="001C50C4"/>
    <w:rsid w:val="001C5185"/>
    <w:rsid w:val="001C5214"/>
    <w:rsid w:val="001C5267"/>
    <w:rsid w:val="001C53C3"/>
    <w:rsid w:val="001C53F2"/>
    <w:rsid w:val="001C548D"/>
    <w:rsid w:val="001C54B5"/>
    <w:rsid w:val="001C552E"/>
    <w:rsid w:val="001C560F"/>
    <w:rsid w:val="001C56B7"/>
    <w:rsid w:val="001C59B2"/>
    <w:rsid w:val="001C5A49"/>
    <w:rsid w:val="001C5C9B"/>
    <w:rsid w:val="001C5D47"/>
    <w:rsid w:val="001C5D75"/>
    <w:rsid w:val="001C5D89"/>
    <w:rsid w:val="001C5D97"/>
    <w:rsid w:val="001C5DD1"/>
    <w:rsid w:val="001C5EE1"/>
    <w:rsid w:val="001C6008"/>
    <w:rsid w:val="001C6052"/>
    <w:rsid w:val="001C6212"/>
    <w:rsid w:val="001C6215"/>
    <w:rsid w:val="001C622B"/>
    <w:rsid w:val="001C6239"/>
    <w:rsid w:val="001C651A"/>
    <w:rsid w:val="001C65FE"/>
    <w:rsid w:val="001C6623"/>
    <w:rsid w:val="001C66BB"/>
    <w:rsid w:val="001C6762"/>
    <w:rsid w:val="001C67ED"/>
    <w:rsid w:val="001C6812"/>
    <w:rsid w:val="001C682A"/>
    <w:rsid w:val="001C690C"/>
    <w:rsid w:val="001C696D"/>
    <w:rsid w:val="001C6A2F"/>
    <w:rsid w:val="001C6A67"/>
    <w:rsid w:val="001C6A9A"/>
    <w:rsid w:val="001C6B6F"/>
    <w:rsid w:val="001C6BB5"/>
    <w:rsid w:val="001C6C1D"/>
    <w:rsid w:val="001C6C8B"/>
    <w:rsid w:val="001C6D13"/>
    <w:rsid w:val="001C6D26"/>
    <w:rsid w:val="001C6D63"/>
    <w:rsid w:val="001C6E54"/>
    <w:rsid w:val="001C6E6D"/>
    <w:rsid w:val="001C6E7C"/>
    <w:rsid w:val="001C6FB4"/>
    <w:rsid w:val="001C7011"/>
    <w:rsid w:val="001C70A4"/>
    <w:rsid w:val="001C717E"/>
    <w:rsid w:val="001C7226"/>
    <w:rsid w:val="001C7271"/>
    <w:rsid w:val="001C7449"/>
    <w:rsid w:val="001C75AC"/>
    <w:rsid w:val="001C7622"/>
    <w:rsid w:val="001C76FA"/>
    <w:rsid w:val="001C7759"/>
    <w:rsid w:val="001C7838"/>
    <w:rsid w:val="001C79D3"/>
    <w:rsid w:val="001C7AF2"/>
    <w:rsid w:val="001C7B61"/>
    <w:rsid w:val="001C7C55"/>
    <w:rsid w:val="001C7C7B"/>
    <w:rsid w:val="001C7CAD"/>
    <w:rsid w:val="001C7CB5"/>
    <w:rsid w:val="001C7CC4"/>
    <w:rsid w:val="001C7CCA"/>
    <w:rsid w:val="001C7D76"/>
    <w:rsid w:val="001C7FFC"/>
    <w:rsid w:val="001D004B"/>
    <w:rsid w:val="001D0231"/>
    <w:rsid w:val="001D03DC"/>
    <w:rsid w:val="001D04F4"/>
    <w:rsid w:val="001D062E"/>
    <w:rsid w:val="001D06C9"/>
    <w:rsid w:val="001D0963"/>
    <w:rsid w:val="001D09F9"/>
    <w:rsid w:val="001D0A4C"/>
    <w:rsid w:val="001D0B36"/>
    <w:rsid w:val="001D0C12"/>
    <w:rsid w:val="001D0C44"/>
    <w:rsid w:val="001D0C6F"/>
    <w:rsid w:val="001D0CB0"/>
    <w:rsid w:val="001D0D15"/>
    <w:rsid w:val="001D0D67"/>
    <w:rsid w:val="001D0DA0"/>
    <w:rsid w:val="001D0EA2"/>
    <w:rsid w:val="001D0EF0"/>
    <w:rsid w:val="001D106A"/>
    <w:rsid w:val="001D128B"/>
    <w:rsid w:val="001D1350"/>
    <w:rsid w:val="001D1371"/>
    <w:rsid w:val="001D1439"/>
    <w:rsid w:val="001D146B"/>
    <w:rsid w:val="001D16C6"/>
    <w:rsid w:val="001D1871"/>
    <w:rsid w:val="001D19B9"/>
    <w:rsid w:val="001D19CE"/>
    <w:rsid w:val="001D1A1E"/>
    <w:rsid w:val="001D1A3E"/>
    <w:rsid w:val="001D1AE8"/>
    <w:rsid w:val="001D1B3A"/>
    <w:rsid w:val="001D1BA6"/>
    <w:rsid w:val="001D1C9B"/>
    <w:rsid w:val="001D1CAF"/>
    <w:rsid w:val="001D1CE1"/>
    <w:rsid w:val="001D1D22"/>
    <w:rsid w:val="001D1D39"/>
    <w:rsid w:val="001D1DDE"/>
    <w:rsid w:val="001D1E46"/>
    <w:rsid w:val="001D1E4B"/>
    <w:rsid w:val="001D2011"/>
    <w:rsid w:val="001D201E"/>
    <w:rsid w:val="001D203D"/>
    <w:rsid w:val="001D2067"/>
    <w:rsid w:val="001D20D0"/>
    <w:rsid w:val="001D2202"/>
    <w:rsid w:val="001D232D"/>
    <w:rsid w:val="001D2451"/>
    <w:rsid w:val="001D24AC"/>
    <w:rsid w:val="001D2509"/>
    <w:rsid w:val="001D2533"/>
    <w:rsid w:val="001D25F2"/>
    <w:rsid w:val="001D260A"/>
    <w:rsid w:val="001D2653"/>
    <w:rsid w:val="001D29A1"/>
    <w:rsid w:val="001D2A0C"/>
    <w:rsid w:val="001D2A12"/>
    <w:rsid w:val="001D2A86"/>
    <w:rsid w:val="001D2BBE"/>
    <w:rsid w:val="001D2D18"/>
    <w:rsid w:val="001D2DD0"/>
    <w:rsid w:val="001D2E62"/>
    <w:rsid w:val="001D2F61"/>
    <w:rsid w:val="001D2F89"/>
    <w:rsid w:val="001D2FD3"/>
    <w:rsid w:val="001D321A"/>
    <w:rsid w:val="001D324B"/>
    <w:rsid w:val="001D3300"/>
    <w:rsid w:val="001D331D"/>
    <w:rsid w:val="001D331F"/>
    <w:rsid w:val="001D3348"/>
    <w:rsid w:val="001D3383"/>
    <w:rsid w:val="001D33C0"/>
    <w:rsid w:val="001D33ED"/>
    <w:rsid w:val="001D344E"/>
    <w:rsid w:val="001D366B"/>
    <w:rsid w:val="001D377E"/>
    <w:rsid w:val="001D382D"/>
    <w:rsid w:val="001D3876"/>
    <w:rsid w:val="001D3920"/>
    <w:rsid w:val="001D3A11"/>
    <w:rsid w:val="001D3AE3"/>
    <w:rsid w:val="001D3AED"/>
    <w:rsid w:val="001D3B1B"/>
    <w:rsid w:val="001D3B7C"/>
    <w:rsid w:val="001D3B81"/>
    <w:rsid w:val="001D3BDB"/>
    <w:rsid w:val="001D3CD7"/>
    <w:rsid w:val="001D3CEA"/>
    <w:rsid w:val="001D3D01"/>
    <w:rsid w:val="001D3D94"/>
    <w:rsid w:val="001D3EFF"/>
    <w:rsid w:val="001D4073"/>
    <w:rsid w:val="001D40DD"/>
    <w:rsid w:val="001D4155"/>
    <w:rsid w:val="001D41B5"/>
    <w:rsid w:val="001D41CD"/>
    <w:rsid w:val="001D421E"/>
    <w:rsid w:val="001D431D"/>
    <w:rsid w:val="001D4359"/>
    <w:rsid w:val="001D446C"/>
    <w:rsid w:val="001D4481"/>
    <w:rsid w:val="001D4798"/>
    <w:rsid w:val="001D48FF"/>
    <w:rsid w:val="001D4A22"/>
    <w:rsid w:val="001D4AD9"/>
    <w:rsid w:val="001D4BA3"/>
    <w:rsid w:val="001D4BAB"/>
    <w:rsid w:val="001D4C2D"/>
    <w:rsid w:val="001D4E05"/>
    <w:rsid w:val="001D4E96"/>
    <w:rsid w:val="001D4EC5"/>
    <w:rsid w:val="001D4F42"/>
    <w:rsid w:val="001D505B"/>
    <w:rsid w:val="001D50BA"/>
    <w:rsid w:val="001D50FE"/>
    <w:rsid w:val="001D5108"/>
    <w:rsid w:val="001D5290"/>
    <w:rsid w:val="001D549E"/>
    <w:rsid w:val="001D56CD"/>
    <w:rsid w:val="001D58EE"/>
    <w:rsid w:val="001D5910"/>
    <w:rsid w:val="001D591C"/>
    <w:rsid w:val="001D597B"/>
    <w:rsid w:val="001D5989"/>
    <w:rsid w:val="001D59E3"/>
    <w:rsid w:val="001D59F5"/>
    <w:rsid w:val="001D5AC0"/>
    <w:rsid w:val="001D5C26"/>
    <w:rsid w:val="001D5C31"/>
    <w:rsid w:val="001D5C3C"/>
    <w:rsid w:val="001D5C63"/>
    <w:rsid w:val="001D5CD8"/>
    <w:rsid w:val="001D5D07"/>
    <w:rsid w:val="001D5D39"/>
    <w:rsid w:val="001D5D69"/>
    <w:rsid w:val="001D5D8E"/>
    <w:rsid w:val="001D5DAC"/>
    <w:rsid w:val="001D5E2E"/>
    <w:rsid w:val="001D5F7F"/>
    <w:rsid w:val="001D6130"/>
    <w:rsid w:val="001D6133"/>
    <w:rsid w:val="001D6134"/>
    <w:rsid w:val="001D61B1"/>
    <w:rsid w:val="001D6221"/>
    <w:rsid w:val="001D637B"/>
    <w:rsid w:val="001D63A6"/>
    <w:rsid w:val="001D63DE"/>
    <w:rsid w:val="001D63E3"/>
    <w:rsid w:val="001D6568"/>
    <w:rsid w:val="001D677C"/>
    <w:rsid w:val="001D677D"/>
    <w:rsid w:val="001D67A3"/>
    <w:rsid w:val="001D67DC"/>
    <w:rsid w:val="001D67DD"/>
    <w:rsid w:val="001D684E"/>
    <w:rsid w:val="001D68C6"/>
    <w:rsid w:val="001D6B56"/>
    <w:rsid w:val="001D6C58"/>
    <w:rsid w:val="001D6D38"/>
    <w:rsid w:val="001D6D7D"/>
    <w:rsid w:val="001D6DC0"/>
    <w:rsid w:val="001D6E26"/>
    <w:rsid w:val="001D6EE0"/>
    <w:rsid w:val="001D6F34"/>
    <w:rsid w:val="001D706C"/>
    <w:rsid w:val="001D72D9"/>
    <w:rsid w:val="001D740B"/>
    <w:rsid w:val="001D74AC"/>
    <w:rsid w:val="001D74FF"/>
    <w:rsid w:val="001D7596"/>
    <w:rsid w:val="001D75DF"/>
    <w:rsid w:val="001D7663"/>
    <w:rsid w:val="001D76D0"/>
    <w:rsid w:val="001D777C"/>
    <w:rsid w:val="001D79FD"/>
    <w:rsid w:val="001D7BC6"/>
    <w:rsid w:val="001D7C32"/>
    <w:rsid w:val="001D7C61"/>
    <w:rsid w:val="001D7C8C"/>
    <w:rsid w:val="001D7CA7"/>
    <w:rsid w:val="001D7D29"/>
    <w:rsid w:val="001D7DCE"/>
    <w:rsid w:val="001D7E8B"/>
    <w:rsid w:val="001D7F2A"/>
    <w:rsid w:val="001D7FB2"/>
    <w:rsid w:val="001D7FE7"/>
    <w:rsid w:val="001D7FE8"/>
    <w:rsid w:val="001E020A"/>
    <w:rsid w:val="001E028B"/>
    <w:rsid w:val="001E0365"/>
    <w:rsid w:val="001E03AA"/>
    <w:rsid w:val="001E0412"/>
    <w:rsid w:val="001E0468"/>
    <w:rsid w:val="001E0491"/>
    <w:rsid w:val="001E051E"/>
    <w:rsid w:val="001E05D5"/>
    <w:rsid w:val="001E0720"/>
    <w:rsid w:val="001E07E8"/>
    <w:rsid w:val="001E08EF"/>
    <w:rsid w:val="001E091F"/>
    <w:rsid w:val="001E09C4"/>
    <w:rsid w:val="001E0DD0"/>
    <w:rsid w:val="001E0DF8"/>
    <w:rsid w:val="001E0E1B"/>
    <w:rsid w:val="001E0E91"/>
    <w:rsid w:val="001E110D"/>
    <w:rsid w:val="001E1299"/>
    <w:rsid w:val="001E13BC"/>
    <w:rsid w:val="001E152A"/>
    <w:rsid w:val="001E1603"/>
    <w:rsid w:val="001E1625"/>
    <w:rsid w:val="001E1745"/>
    <w:rsid w:val="001E177B"/>
    <w:rsid w:val="001E17A0"/>
    <w:rsid w:val="001E18F7"/>
    <w:rsid w:val="001E1996"/>
    <w:rsid w:val="001E1A0B"/>
    <w:rsid w:val="001E1C94"/>
    <w:rsid w:val="001E1CE6"/>
    <w:rsid w:val="001E1D35"/>
    <w:rsid w:val="001E1E9C"/>
    <w:rsid w:val="001E1EB1"/>
    <w:rsid w:val="001E1ED6"/>
    <w:rsid w:val="001E1F26"/>
    <w:rsid w:val="001E1F8C"/>
    <w:rsid w:val="001E1FCC"/>
    <w:rsid w:val="001E1FF5"/>
    <w:rsid w:val="001E234B"/>
    <w:rsid w:val="001E237B"/>
    <w:rsid w:val="001E23FE"/>
    <w:rsid w:val="001E2405"/>
    <w:rsid w:val="001E246B"/>
    <w:rsid w:val="001E24E5"/>
    <w:rsid w:val="001E2527"/>
    <w:rsid w:val="001E262C"/>
    <w:rsid w:val="001E26D2"/>
    <w:rsid w:val="001E26E2"/>
    <w:rsid w:val="001E273A"/>
    <w:rsid w:val="001E291E"/>
    <w:rsid w:val="001E2AFA"/>
    <w:rsid w:val="001E2BBE"/>
    <w:rsid w:val="001E2C0C"/>
    <w:rsid w:val="001E2C87"/>
    <w:rsid w:val="001E2D55"/>
    <w:rsid w:val="001E2E26"/>
    <w:rsid w:val="001E2E76"/>
    <w:rsid w:val="001E2E8B"/>
    <w:rsid w:val="001E2EED"/>
    <w:rsid w:val="001E2FA4"/>
    <w:rsid w:val="001E2FDB"/>
    <w:rsid w:val="001E30BC"/>
    <w:rsid w:val="001E30DE"/>
    <w:rsid w:val="001E3120"/>
    <w:rsid w:val="001E31B9"/>
    <w:rsid w:val="001E3271"/>
    <w:rsid w:val="001E32B0"/>
    <w:rsid w:val="001E33B8"/>
    <w:rsid w:val="001E3548"/>
    <w:rsid w:val="001E359E"/>
    <w:rsid w:val="001E3645"/>
    <w:rsid w:val="001E36E9"/>
    <w:rsid w:val="001E376C"/>
    <w:rsid w:val="001E3986"/>
    <w:rsid w:val="001E3A6C"/>
    <w:rsid w:val="001E3AF4"/>
    <w:rsid w:val="001E3BC5"/>
    <w:rsid w:val="001E3C7E"/>
    <w:rsid w:val="001E3D3F"/>
    <w:rsid w:val="001E3DBA"/>
    <w:rsid w:val="001E3E1A"/>
    <w:rsid w:val="001E3F1F"/>
    <w:rsid w:val="001E3F33"/>
    <w:rsid w:val="001E3F9B"/>
    <w:rsid w:val="001E3FD8"/>
    <w:rsid w:val="001E402E"/>
    <w:rsid w:val="001E4042"/>
    <w:rsid w:val="001E40A8"/>
    <w:rsid w:val="001E4220"/>
    <w:rsid w:val="001E4257"/>
    <w:rsid w:val="001E4363"/>
    <w:rsid w:val="001E4365"/>
    <w:rsid w:val="001E4644"/>
    <w:rsid w:val="001E46C4"/>
    <w:rsid w:val="001E4781"/>
    <w:rsid w:val="001E4857"/>
    <w:rsid w:val="001E4871"/>
    <w:rsid w:val="001E4A4A"/>
    <w:rsid w:val="001E4A8A"/>
    <w:rsid w:val="001E4B9A"/>
    <w:rsid w:val="001E4DCE"/>
    <w:rsid w:val="001E4E18"/>
    <w:rsid w:val="001E4ED8"/>
    <w:rsid w:val="001E4F02"/>
    <w:rsid w:val="001E4F1A"/>
    <w:rsid w:val="001E4F54"/>
    <w:rsid w:val="001E4F5F"/>
    <w:rsid w:val="001E4FE7"/>
    <w:rsid w:val="001E504F"/>
    <w:rsid w:val="001E5055"/>
    <w:rsid w:val="001E510D"/>
    <w:rsid w:val="001E5137"/>
    <w:rsid w:val="001E52B2"/>
    <w:rsid w:val="001E536F"/>
    <w:rsid w:val="001E53EA"/>
    <w:rsid w:val="001E53F1"/>
    <w:rsid w:val="001E541B"/>
    <w:rsid w:val="001E541F"/>
    <w:rsid w:val="001E5562"/>
    <w:rsid w:val="001E558B"/>
    <w:rsid w:val="001E559A"/>
    <w:rsid w:val="001E57E9"/>
    <w:rsid w:val="001E58CB"/>
    <w:rsid w:val="001E5937"/>
    <w:rsid w:val="001E59F6"/>
    <w:rsid w:val="001E5AB0"/>
    <w:rsid w:val="001E5AED"/>
    <w:rsid w:val="001E5BBC"/>
    <w:rsid w:val="001E5BDC"/>
    <w:rsid w:val="001E5C6B"/>
    <w:rsid w:val="001E5CE6"/>
    <w:rsid w:val="001E5DD8"/>
    <w:rsid w:val="001E5E21"/>
    <w:rsid w:val="001E5F19"/>
    <w:rsid w:val="001E5F1A"/>
    <w:rsid w:val="001E5F3B"/>
    <w:rsid w:val="001E5F66"/>
    <w:rsid w:val="001E604F"/>
    <w:rsid w:val="001E6096"/>
    <w:rsid w:val="001E60BA"/>
    <w:rsid w:val="001E6157"/>
    <w:rsid w:val="001E620D"/>
    <w:rsid w:val="001E630B"/>
    <w:rsid w:val="001E6550"/>
    <w:rsid w:val="001E6800"/>
    <w:rsid w:val="001E6801"/>
    <w:rsid w:val="001E699B"/>
    <w:rsid w:val="001E6A30"/>
    <w:rsid w:val="001E6A89"/>
    <w:rsid w:val="001E6AD3"/>
    <w:rsid w:val="001E6B03"/>
    <w:rsid w:val="001E6B89"/>
    <w:rsid w:val="001E6C4C"/>
    <w:rsid w:val="001E6C7F"/>
    <w:rsid w:val="001E6D0A"/>
    <w:rsid w:val="001E6D3A"/>
    <w:rsid w:val="001E6E31"/>
    <w:rsid w:val="001E6EF9"/>
    <w:rsid w:val="001E6F08"/>
    <w:rsid w:val="001E6F93"/>
    <w:rsid w:val="001E7068"/>
    <w:rsid w:val="001E7277"/>
    <w:rsid w:val="001E7329"/>
    <w:rsid w:val="001E738C"/>
    <w:rsid w:val="001E7604"/>
    <w:rsid w:val="001E7617"/>
    <w:rsid w:val="001E778C"/>
    <w:rsid w:val="001E78BD"/>
    <w:rsid w:val="001E790E"/>
    <w:rsid w:val="001E7954"/>
    <w:rsid w:val="001E79DA"/>
    <w:rsid w:val="001E7AC9"/>
    <w:rsid w:val="001E7AD4"/>
    <w:rsid w:val="001E7BD8"/>
    <w:rsid w:val="001E7C7B"/>
    <w:rsid w:val="001E7D75"/>
    <w:rsid w:val="001E7DAB"/>
    <w:rsid w:val="001E7E85"/>
    <w:rsid w:val="001E7F3F"/>
    <w:rsid w:val="001E7F4E"/>
    <w:rsid w:val="001E7FB2"/>
    <w:rsid w:val="001E7FD8"/>
    <w:rsid w:val="001E7FE9"/>
    <w:rsid w:val="001F0004"/>
    <w:rsid w:val="001F0149"/>
    <w:rsid w:val="001F0181"/>
    <w:rsid w:val="001F01AD"/>
    <w:rsid w:val="001F01ED"/>
    <w:rsid w:val="001F027F"/>
    <w:rsid w:val="001F0403"/>
    <w:rsid w:val="001F0450"/>
    <w:rsid w:val="001F04F7"/>
    <w:rsid w:val="001F0530"/>
    <w:rsid w:val="001F05A5"/>
    <w:rsid w:val="001F063B"/>
    <w:rsid w:val="001F067F"/>
    <w:rsid w:val="001F06EA"/>
    <w:rsid w:val="001F06FA"/>
    <w:rsid w:val="001F06FC"/>
    <w:rsid w:val="001F072A"/>
    <w:rsid w:val="001F0878"/>
    <w:rsid w:val="001F08E9"/>
    <w:rsid w:val="001F08EC"/>
    <w:rsid w:val="001F0BAC"/>
    <w:rsid w:val="001F0BFC"/>
    <w:rsid w:val="001F0C77"/>
    <w:rsid w:val="001F0CCB"/>
    <w:rsid w:val="001F0CD3"/>
    <w:rsid w:val="001F0E2A"/>
    <w:rsid w:val="001F0FA7"/>
    <w:rsid w:val="001F0FF6"/>
    <w:rsid w:val="001F102B"/>
    <w:rsid w:val="001F11FE"/>
    <w:rsid w:val="001F129D"/>
    <w:rsid w:val="001F12C7"/>
    <w:rsid w:val="001F12C8"/>
    <w:rsid w:val="001F139A"/>
    <w:rsid w:val="001F1528"/>
    <w:rsid w:val="001F15A2"/>
    <w:rsid w:val="001F173D"/>
    <w:rsid w:val="001F17CF"/>
    <w:rsid w:val="001F1884"/>
    <w:rsid w:val="001F18D4"/>
    <w:rsid w:val="001F1A0A"/>
    <w:rsid w:val="001F1AF5"/>
    <w:rsid w:val="001F1D1E"/>
    <w:rsid w:val="001F1D3F"/>
    <w:rsid w:val="001F1D57"/>
    <w:rsid w:val="001F1D73"/>
    <w:rsid w:val="001F1DDC"/>
    <w:rsid w:val="001F1F40"/>
    <w:rsid w:val="001F1FBA"/>
    <w:rsid w:val="001F1FE7"/>
    <w:rsid w:val="001F209D"/>
    <w:rsid w:val="001F20D6"/>
    <w:rsid w:val="001F2134"/>
    <w:rsid w:val="001F220D"/>
    <w:rsid w:val="001F2254"/>
    <w:rsid w:val="001F22D2"/>
    <w:rsid w:val="001F2403"/>
    <w:rsid w:val="001F24AF"/>
    <w:rsid w:val="001F24D6"/>
    <w:rsid w:val="001F2597"/>
    <w:rsid w:val="001F2623"/>
    <w:rsid w:val="001F2650"/>
    <w:rsid w:val="001F2692"/>
    <w:rsid w:val="001F27A3"/>
    <w:rsid w:val="001F27AF"/>
    <w:rsid w:val="001F2859"/>
    <w:rsid w:val="001F28B4"/>
    <w:rsid w:val="001F2AAC"/>
    <w:rsid w:val="001F2B24"/>
    <w:rsid w:val="001F2B7B"/>
    <w:rsid w:val="001F2BA1"/>
    <w:rsid w:val="001F2BE0"/>
    <w:rsid w:val="001F2C34"/>
    <w:rsid w:val="001F2D17"/>
    <w:rsid w:val="001F2D4A"/>
    <w:rsid w:val="001F2DAC"/>
    <w:rsid w:val="001F2E0F"/>
    <w:rsid w:val="001F2E8F"/>
    <w:rsid w:val="001F2F53"/>
    <w:rsid w:val="001F2F6F"/>
    <w:rsid w:val="001F31C7"/>
    <w:rsid w:val="001F31E4"/>
    <w:rsid w:val="001F32EC"/>
    <w:rsid w:val="001F32F0"/>
    <w:rsid w:val="001F332F"/>
    <w:rsid w:val="001F337E"/>
    <w:rsid w:val="001F33F4"/>
    <w:rsid w:val="001F345D"/>
    <w:rsid w:val="001F34C6"/>
    <w:rsid w:val="001F353E"/>
    <w:rsid w:val="001F389D"/>
    <w:rsid w:val="001F3934"/>
    <w:rsid w:val="001F3974"/>
    <w:rsid w:val="001F3B3C"/>
    <w:rsid w:val="001F3C73"/>
    <w:rsid w:val="001F3D66"/>
    <w:rsid w:val="001F3EE4"/>
    <w:rsid w:val="001F3F4A"/>
    <w:rsid w:val="001F3F99"/>
    <w:rsid w:val="001F3FA0"/>
    <w:rsid w:val="001F3FF3"/>
    <w:rsid w:val="001F4157"/>
    <w:rsid w:val="001F44B2"/>
    <w:rsid w:val="001F453F"/>
    <w:rsid w:val="001F456E"/>
    <w:rsid w:val="001F46A5"/>
    <w:rsid w:val="001F479C"/>
    <w:rsid w:val="001F4834"/>
    <w:rsid w:val="001F486F"/>
    <w:rsid w:val="001F48D8"/>
    <w:rsid w:val="001F4A00"/>
    <w:rsid w:val="001F4B9A"/>
    <w:rsid w:val="001F4C6E"/>
    <w:rsid w:val="001F4C9D"/>
    <w:rsid w:val="001F4CDA"/>
    <w:rsid w:val="001F4E52"/>
    <w:rsid w:val="001F50AC"/>
    <w:rsid w:val="001F534B"/>
    <w:rsid w:val="001F5354"/>
    <w:rsid w:val="001F5562"/>
    <w:rsid w:val="001F5570"/>
    <w:rsid w:val="001F560C"/>
    <w:rsid w:val="001F5653"/>
    <w:rsid w:val="001F565B"/>
    <w:rsid w:val="001F56BC"/>
    <w:rsid w:val="001F57EA"/>
    <w:rsid w:val="001F5886"/>
    <w:rsid w:val="001F58B6"/>
    <w:rsid w:val="001F5925"/>
    <w:rsid w:val="001F59E9"/>
    <w:rsid w:val="001F5A74"/>
    <w:rsid w:val="001F5B61"/>
    <w:rsid w:val="001F5D4C"/>
    <w:rsid w:val="001F5FCD"/>
    <w:rsid w:val="001F6010"/>
    <w:rsid w:val="001F612D"/>
    <w:rsid w:val="001F6155"/>
    <w:rsid w:val="001F61D4"/>
    <w:rsid w:val="001F6295"/>
    <w:rsid w:val="001F6320"/>
    <w:rsid w:val="001F63A4"/>
    <w:rsid w:val="001F642F"/>
    <w:rsid w:val="001F6465"/>
    <w:rsid w:val="001F64B7"/>
    <w:rsid w:val="001F6573"/>
    <w:rsid w:val="001F6575"/>
    <w:rsid w:val="001F6578"/>
    <w:rsid w:val="001F65FA"/>
    <w:rsid w:val="001F661E"/>
    <w:rsid w:val="001F678D"/>
    <w:rsid w:val="001F679F"/>
    <w:rsid w:val="001F698F"/>
    <w:rsid w:val="001F6AC6"/>
    <w:rsid w:val="001F6AC7"/>
    <w:rsid w:val="001F6B02"/>
    <w:rsid w:val="001F6BAF"/>
    <w:rsid w:val="001F6C2F"/>
    <w:rsid w:val="001F6C46"/>
    <w:rsid w:val="001F6E72"/>
    <w:rsid w:val="001F6EEC"/>
    <w:rsid w:val="001F6F06"/>
    <w:rsid w:val="001F6F7C"/>
    <w:rsid w:val="001F6FE9"/>
    <w:rsid w:val="001F7112"/>
    <w:rsid w:val="001F7183"/>
    <w:rsid w:val="001F7252"/>
    <w:rsid w:val="001F72D2"/>
    <w:rsid w:val="001F7512"/>
    <w:rsid w:val="001F756B"/>
    <w:rsid w:val="001F756C"/>
    <w:rsid w:val="001F759F"/>
    <w:rsid w:val="001F767F"/>
    <w:rsid w:val="001F76F4"/>
    <w:rsid w:val="001F7778"/>
    <w:rsid w:val="001F792A"/>
    <w:rsid w:val="001F79A6"/>
    <w:rsid w:val="001F79DB"/>
    <w:rsid w:val="001F79EC"/>
    <w:rsid w:val="001F7A69"/>
    <w:rsid w:val="001F7B25"/>
    <w:rsid w:val="001F7C1E"/>
    <w:rsid w:val="001F7DB6"/>
    <w:rsid w:val="001F7DC4"/>
    <w:rsid w:val="001F7E21"/>
    <w:rsid w:val="001F7EC6"/>
    <w:rsid w:val="001F7F16"/>
    <w:rsid w:val="001F7F70"/>
    <w:rsid w:val="001F7F87"/>
    <w:rsid w:val="00200109"/>
    <w:rsid w:val="0020017B"/>
    <w:rsid w:val="00200232"/>
    <w:rsid w:val="0020025C"/>
    <w:rsid w:val="002002D7"/>
    <w:rsid w:val="0020033C"/>
    <w:rsid w:val="0020036C"/>
    <w:rsid w:val="0020039A"/>
    <w:rsid w:val="002003A2"/>
    <w:rsid w:val="002003FC"/>
    <w:rsid w:val="00200466"/>
    <w:rsid w:val="002004BE"/>
    <w:rsid w:val="002004CC"/>
    <w:rsid w:val="002004F8"/>
    <w:rsid w:val="0020056F"/>
    <w:rsid w:val="002005A6"/>
    <w:rsid w:val="002005FD"/>
    <w:rsid w:val="0020064E"/>
    <w:rsid w:val="0020069B"/>
    <w:rsid w:val="0020072F"/>
    <w:rsid w:val="0020074A"/>
    <w:rsid w:val="0020082E"/>
    <w:rsid w:val="00200859"/>
    <w:rsid w:val="00200893"/>
    <w:rsid w:val="002008B2"/>
    <w:rsid w:val="002008B4"/>
    <w:rsid w:val="002009C6"/>
    <w:rsid w:val="00200AB9"/>
    <w:rsid w:val="00200CB1"/>
    <w:rsid w:val="00200D13"/>
    <w:rsid w:val="00200D5B"/>
    <w:rsid w:val="00200E4A"/>
    <w:rsid w:val="00200E86"/>
    <w:rsid w:val="00200F77"/>
    <w:rsid w:val="00200F9D"/>
    <w:rsid w:val="00200FD9"/>
    <w:rsid w:val="00201009"/>
    <w:rsid w:val="00201050"/>
    <w:rsid w:val="002012B2"/>
    <w:rsid w:val="002012F7"/>
    <w:rsid w:val="00201391"/>
    <w:rsid w:val="00201397"/>
    <w:rsid w:val="00201408"/>
    <w:rsid w:val="00201482"/>
    <w:rsid w:val="0020149D"/>
    <w:rsid w:val="002014CC"/>
    <w:rsid w:val="00201551"/>
    <w:rsid w:val="002015A4"/>
    <w:rsid w:val="0020164C"/>
    <w:rsid w:val="002016ED"/>
    <w:rsid w:val="00201705"/>
    <w:rsid w:val="002017D0"/>
    <w:rsid w:val="00201806"/>
    <w:rsid w:val="00201AF9"/>
    <w:rsid w:val="00201C34"/>
    <w:rsid w:val="00201C6B"/>
    <w:rsid w:val="00201D0B"/>
    <w:rsid w:val="00201DD6"/>
    <w:rsid w:val="00201E73"/>
    <w:rsid w:val="00201EA4"/>
    <w:rsid w:val="00202175"/>
    <w:rsid w:val="0020219A"/>
    <w:rsid w:val="002021A5"/>
    <w:rsid w:val="00202211"/>
    <w:rsid w:val="002022B3"/>
    <w:rsid w:val="0020230D"/>
    <w:rsid w:val="002024B6"/>
    <w:rsid w:val="002025D9"/>
    <w:rsid w:val="00202602"/>
    <w:rsid w:val="00202686"/>
    <w:rsid w:val="0020269B"/>
    <w:rsid w:val="0020275C"/>
    <w:rsid w:val="002028AA"/>
    <w:rsid w:val="002028D9"/>
    <w:rsid w:val="002028E3"/>
    <w:rsid w:val="00202914"/>
    <w:rsid w:val="00202917"/>
    <w:rsid w:val="0020291C"/>
    <w:rsid w:val="00202920"/>
    <w:rsid w:val="002029C3"/>
    <w:rsid w:val="00202F2C"/>
    <w:rsid w:val="00203048"/>
    <w:rsid w:val="002030D0"/>
    <w:rsid w:val="00203103"/>
    <w:rsid w:val="00203154"/>
    <w:rsid w:val="00203161"/>
    <w:rsid w:val="002031D6"/>
    <w:rsid w:val="00203470"/>
    <w:rsid w:val="002035C0"/>
    <w:rsid w:val="002035DE"/>
    <w:rsid w:val="00203627"/>
    <w:rsid w:val="0020364A"/>
    <w:rsid w:val="0020366D"/>
    <w:rsid w:val="0020387B"/>
    <w:rsid w:val="0020390A"/>
    <w:rsid w:val="002039E7"/>
    <w:rsid w:val="00203CC8"/>
    <w:rsid w:val="00203D9F"/>
    <w:rsid w:val="00203EA5"/>
    <w:rsid w:val="00203EC2"/>
    <w:rsid w:val="00203EFC"/>
    <w:rsid w:val="00203F02"/>
    <w:rsid w:val="002041C7"/>
    <w:rsid w:val="0020420B"/>
    <w:rsid w:val="00204218"/>
    <w:rsid w:val="00204329"/>
    <w:rsid w:val="00204340"/>
    <w:rsid w:val="0020443F"/>
    <w:rsid w:val="0020448F"/>
    <w:rsid w:val="002044D1"/>
    <w:rsid w:val="00204510"/>
    <w:rsid w:val="00204585"/>
    <w:rsid w:val="002045B4"/>
    <w:rsid w:val="002045DD"/>
    <w:rsid w:val="00204623"/>
    <w:rsid w:val="00204681"/>
    <w:rsid w:val="002047C7"/>
    <w:rsid w:val="00204832"/>
    <w:rsid w:val="0020485B"/>
    <w:rsid w:val="002049FF"/>
    <w:rsid w:val="00204ACC"/>
    <w:rsid w:val="00204AEA"/>
    <w:rsid w:val="00204BE5"/>
    <w:rsid w:val="00204C23"/>
    <w:rsid w:val="00204C85"/>
    <w:rsid w:val="00204C93"/>
    <w:rsid w:val="00204DE6"/>
    <w:rsid w:val="00204E0A"/>
    <w:rsid w:val="00204F40"/>
    <w:rsid w:val="00205029"/>
    <w:rsid w:val="00205080"/>
    <w:rsid w:val="00205100"/>
    <w:rsid w:val="002051D3"/>
    <w:rsid w:val="0020523D"/>
    <w:rsid w:val="00205311"/>
    <w:rsid w:val="00205343"/>
    <w:rsid w:val="002053AC"/>
    <w:rsid w:val="00205496"/>
    <w:rsid w:val="002054C2"/>
    <w:rsid w:val="0020553D"/>
    <w:rsid w:val="002055DB"/>
    <w:rsid w:val="0020561D"/>
    <w:rsid w:val="00205684"/>
    <w:rsid w:val="002056B8"/>
    <w:rsid w:val="002056D5"/>
    <w:rsid w:val="002056FC"/>
    <w:rsid w:val="002058D6"/>
    <w:rsid w:val="0020597C"/>
    <w:rsid w:val="0020598C"/>
    <w:rsid w:val="00205ACC"/>
    <w:rsid w:val="00205AFF"/>
    <w:rsid w:val="00205BDF"/>
    <w:rsid w:val="00205C23"/>
    <w:rsid w:val="00205CBB"/>
    <w:rsid w:val="00205CDB"/>
    <w:rsid w:val="00205D6A"/>
    <w:rsid w:val="00205D70"/>
    <w:rsid w:val="00205FF9"/>
    <w:rsid w:val="0020609F"/>
    <w:rsid w:val="002061D5"/>
    <w:rsid w:val="002061E5"/>
    <w:rsid w:val="0020666A"/>
    <w:rsid w:val="0020667F"/>
    <w:rsid w:val="00206691"/>
    <w:rsid w:val="002067F6"/>
    <w:rsid w:val="002068A6"/>
    <w:rsid w:val="00206903"/>
    <w:rsid w:val="00206921"/>
    <w:rsid w:val="00206955"/>
    <w:rsid w:val="00206964"/>
    <w:rsid w:val="00206990"/>
    <w:rsid w:val="002069E5"/>
    <w:rsid w:val="00206A46"/>
    <w:rsid w:val="00206A9B"/>
    <w:rsid w:val="00206AC5"/>
    <w:rsid w:val="00206BC5"/>
    <w:rsid w:val="00206BC6"/>
    <w:rsid w:val="00206CE2"/>
    <w:rsid w:val="00206DCC"/>
    <w:rsid w:val="00206E03"/>
    <w:rsid w:val="00206E2C"/>
    <w:rsid w:val="00206E90"/>
    <w:rsid w:val="00206EBD"/>
    <w:rsid w:val="002070E6"/>
    <w:rsid w:val="00207188"/>
    <w:rsid w:val="00207256"/>
    <w:rsid w:val="002072B5"/>
    <w:rsid w:val="0020741B"/>
    <w:rsid w:val="002074A2"/>
    <w:rsid w:val="002076C7"/>
    <w:rsid w:val="0020777E"/>
    <w:rsid w:val="00207826"/>
    <w:rsid w:val="002079AB"/>
    <w:rsid w:val="00207A75"/>
    <w:rsid w:val="00207B84"/>
    <w:rsid w:val="00207B86"/>
    <w:rsid w:val="00207B91"/>
    <w:rsid w:val="00207BB3"/>
    <w:rsid w:val="00207BDD"/>
    <w:rsid w:val="00207C49"/>
    <w:rsid w:val="00207C85"/>
    <w:rsid w:val="00207CCC"/>
    <w:rsid w:val="00207D9C"/>
    <w:rsid w:val="00207DC6"/>
    <w:rsid w:val="00207E82"/>
    <w:rsid w:val="00207F56"/>
    <w:rsid w:val="00207FB1"/>
    <w:rsid w:val="00207FDC"/>
    <w:rsid w:val="00210184"/>
    <w:rsid w:val="0021018C"/>
    <w:rsid w:val="00210300"/>
    <w:rsid w:val="00210351"/>
    <w:rsid w:val="00210354"/>
    <w:rsid w:val="00210366"/>
    <w:rsid w:val="002103F2"/>
    <w:rsid w:val="00210415"/>
    <w:rsid w:val="00210443"/>
    <w:rsid w:val="002105A3"/>
    <w:rsid w:val="002105DD"/>
    <w:rsid w:val="002105F2"/>
    <w:rsid w:val="002106B9"/>
    <w:rsid w:val="002106F6"/>
    <w:rsid w:val="00210729"/>
    <w:rsid w:val="0021079F"/>
    <w:rsid w:val="00210863"/>
    <w:rsid w:val="0021090B"/>
    <w:rsid w:val="002109A7"/>
    <w:rsid w:val="00210ABE"/>
    <w:rsid w:val="00210B2F"/>
    <w:rsid w:val="00210BFF"/>
    <w:rsid w:val="00210C73"/>
    <w:rsid w:val="00210F53"/>
    <w:rsid w:val="00210FB9"/>
    <w:rsid w:val="00210FFA"/>
    <w:rsid w:val="00211013"/>
    <w:rsid w:val="0021104C"/>
    <w:rsid w:val="0021105F"/>
    <w:rsid w:val="00211073"/>
    <w:rsid w:val="002110FD"/>
    <w:rsid w:val="002111E9"/>
    <w:rsid w:val="002112C1"/>
    <w:rsid w:val="00211300"/>
    <w:rsid w:val="00211349"/>
    <w:rsid w:val="00211357"/>
    <w:rsid w:val="0021137D"/>
    <w:rsid w:val="0021142B"/>
    <w:rsid w:val="0021154D"/>
    <w:rsid w:val="002115E2"/>
    <w:rsid w:val="00211713"/>
    <w:rsid w:val="00211820"/>
    <w:rsid w:val="0021183E"/>
    <w:rsid w:val="0021198F"/>
    <w:rsid w:val="002119EF"/>
    <w:rsid w:val="00211A21"/>
    <w:rsid w:val="00211A28"/>
    <w:rsid w:val="00211A2D"/>
    <w:rsid w:val="00211AE6"/>
    <w:rsid w:val="00211B64"/>
    <w:rsid w:val="00211BB6"/>
    <w:rsid w:val="00211C5F"/>
    <w:rsid w:val="00211DC0"/>
    <w:rsid w:val="00211DE5"/>
    <w:rsid w:val="00211F18"/>
    <w:rsid w:val="00211F67"/>
    <w:rsid w:val="00211FB7"/>
    <w:rsid w:val="00212235"/>
    <w:rsid w:val="00212319"/>
    <w:rsid w:val="002123A5"/>
    <w:rsid w:val="00212438"/>
    <w:rsid w:val="00212462"/>
    <w:rsid w:val="0021248B"/>
    <w:rsid w:val="0021248C"/>
    <w:rsid w:val="002124E6"/>
    <w:rsid w:val="002125FD"/>
    <w:rsid w:val="00212648"/>
    <w:rsid w:val="00212791"/>
    <w:rsid w:val="002127E8"/>
    <w:rsid w:val="00212914"/>
    <w:rsid w:val="00212944"/>
    <w:rsid w:val="00212ACC"/>
    <w:rsid w:val="00212B34"/>
    <w:rsid w:val="00212BCD"/>
    <w:rsid w:val="00212D9B"/>
    <w:rsid w:val="00212E26"/>
    <w:rsid w:val="00212E59"/>
    <w:rsid w:val="00213100"/>
    <w:rsid w:val="0021341B"/>
    <w:rsid w:val="00213463"/>
    <w:rsid w:val="002134FA"/>
    <w:rsid w:val="0021358D"/>
    <w:rsid w:val="0021362B"/>
    <w:rsid w:val="0021371E"/>
    <w:rsid w:val="0021375C"/>
    <w:rsid w:val="002137AF"/>
    <w:rsid w:val="0021381D"/>
    <w:rsid w:val="002138B7"/>
    <w:rsid w:val="0021398B"/>
    <w:rsid w:val="002139AE"/>
    <w:rsid w:val="00213A0E"/>
    <w:rsid w:val="00213A9E"/>
    <w:rsid w:val="00213BDF"/>
    <w:rsid w:val="00213BF2"/>
    <w:rsid w:val="00213E4F"/>
    <w:rsid w:val="00213F1E"/>
    <w:rsid w:val="00213F2A"/>
    <w:rsid w:val="00213F40"/>
    <w:rsid w:val="00213FBD"/>
    <w:rsid w:val="00213FDC"/>
    <w:rsid w:val="002140FF"/>
    <w:rsid w:val="00214140"/>
    <w:rsid w:val="00214163"/>
    <w:rsid w:val="0021424C"/>
    <w:rsid w:val="00214370"/>
    <w:rsid w:val="002144C6"/>
    <w:rsid w:val="00214579"/>
    <w:rsid w:val="00214613"/>
    <w:rsid w:val="00214864"/>
    <w:rsid w:val="00214903"/>
    <w:rsid w:val="0021490F"/>
    <w:rsid w:val="00214913"/>
    <w:rsid w:val="00214946"/>
    <w:rsid w:val="00214967"/>
    <w:rsid w:val="00214A45"/>
    <w:rsid w:val="00214B1B"/>
    <w:rsid w:val="00214B21"/>
    <w:rsid w:val="00214B5D"/>
    <w:rsid w:val="00214B7E"/>
    <w:rsid w:val="00214DA4"/>
    <w:rsid w:val="00214E6B"/>
    <w:rsid w:val="00214ED5"/>
    <w:rsid w:val="00214F48"/>
    <w:rsid w:val="00215064"/>
    <w:rsid w:val="002150AD"/>
    <w:rsid w:val="002150F5"/>
    <w:rsid w:val="00215142"/>
    <w:rsid w:val="00215235"/>
    <w:rsid w:val="002153EC"/>
    <w:rsid w:val="002153FC"/>
    <w:rsid w:val="00215436"/>
    <w:rsid w:val="00215486"/>
    <w:rsid w:val="002154A7"/>
    <w:rsid w:val="002155A7"/>
    <w:rsid w:val="0021561F"/>
    <w:rsid w:val="0021584A"/>
    <w:rsid w:val="00215857"/>
    <w:rsid w:val="002158BE"/>
    <w:rsid w:val="002158F6"/>
    <w:rsid w:val="00215D78"/>
    <w:rsid w:val="00215EA1"/>
    <w:rsid w:val="00215F07"/>
    <w:rsid w:val="00215F59"/>
    <w:rsid w:val="00215FC4"/>
    <w:rsid w:val="00215FE7"/>
    <w:rsid w:val="00215FF9"/>
    <w:rsid w:val="002160E7"/>
    <w:rsid w:val="002164EE"/>
    <w:rsid w:val="00216568"/>
    <w:rsid w:val="0021657E"/>
    <w:rsid w:val="002167FB"/>
    <w:rsid w:val="00216815"/>
    <w:rsid w:val="0021681F"/>
    <w:rsid w:val="00216849"/>
    <w:rsid w:val="00216895"/>
    <w:rsid w:val="00216901"/>
    <w:rsid w:val="00216985"/>
    <w:rsid w:val="002169F0"/>
    <w:rsid w:val="00216A5E"/>
    <w:rsid w:val="00216B1B"/>
    <w:rsid w:val="00216B9E"/>
    <w:rsid w:val="00216C7F"/>
    <w:rsid w:val="00216E03"/>
    <w:rsid w:val="00216E25"/>
    <w:rsid w:val="00216EBE"/>
    <w:rsid w:val="00216FB5"/>
    <w:rsid w:val="00217068"/>
    <w:rsid w:val="002170FC"/>
    <w:rsid w:val="00217171"/>
    <w:rsid w:val="00217214"/>
    <w:rsid w:val="0021721A"/>
    <w:rsid w:val="002172BB"/>
    <w:rsid w:val="002172FC"/>
    <w:rsid w:val="00217312"/>
    <w:rsid w:val="0021739D"/>
    <w:rsid w:val="00217414"/>
    <w:rsid w:val="002174BA"/>
    <w:rsid w:val="00217561"/>
    <w:rsid w:val="0021759E"/>
    <w:rsid w:val="002175C6"/>
    <w:rsid w:val="002175DB"/>
    <w:rsid w:val="002176A0"/>
    <w:rsid w:val="002177E0"/>
    <w:rsid w:val="00217862"/>
    <w:rsid w:val="002178CA"/>
    <w:rsid w:val="0021794B"/>
    <w:rsid w:val="00217B54"/>
    <w:rsid w:val="00217B72"/>
    <w:rsid w:val="00217D99"/>
    <w:rsid w:val="00217D9C"/>
    <w:rsid w:val="00217EA7"/>
    <w:rsid w:val="00220123"/>
    <w:rsid w:val="00220194"/>
    <w:rsid w:val="0022019F"/>
    <w:rsid w:val="002201D0"/>
    <w:rsid w:val="002201E8"/>
    <w:rsid w:val="0022030D"/>
    <w:rsid w:val="002205F5"/>
    <w:rsid w:val="00220648"/>
    <w:rsid w:val="002206D6"/>
    <w:rsid w:val="00220730"/>
    <w:rsid w:val="0022097A"/>
    <w:rsid w:val="00220A81"/>
    <w:rsid w:val="00220B1B"/>
    <w:rsid w:val="00220DDD"/>
    <w:rsid w:val="00220F9B"/>
    <w:rsid w:val="0022113A"/>
    <w:rsid w:val="00221181"/>
    <w:rsid w:val="002211D5"/>
    <w:rsid w:val="00221257"/>
    <w:rsid w:val="00221285"/>
    <w:rsid w:val="002212FA"/>
    <w:rsid w:val="00221337"/>
    <w:rsid w:val="002215F1"/>
    <w:rsid w:val="0022165D"/>
    <w:rsid w:val="0022179F"/>
    <w:rsid w:val="00221949"/>
    <w:rsid w:val="00221A58"/>
    <w:rsid w:val="00221A8D"/>
    <w:rsid w:val="00221B1C"/>
    <w:rsid w:val="00221C22"/>
    <w:rsid w:val="00221C5C"/>
    <w:rsid w:val="00221CC2"/>
    <w:rsid w:val="00221D1B"/>
    <w:rsid w:val="00221D9F"/>
    <w:rsid w:val="00221DC7"/>
    <w:rsid w:val="00221DCE"/>
    <w:rsid w:val="00221FED"/>
    <w:rsid w:val="00222020"/>
    <w:rsid w:val="0022204C"/>
    <w:rsid w:val="002220E7"/>
    <w:rsid w:val="0022220C"/>
    <w:rsid w:val="002222C7"/>
    <w:rsid w:val="0022235C"/>
    <w:rsid w:val="002223C8"/>
    <w:rsid w:val="002224D8"/>
    <w:rsid w:val="002224F6"/>
    <w:rsid w:val="0022250F"/>
    <w:rsid w:val="002225EA"/>
    <w:rsid w:val="00222612"/>
    <w:rsid w:val="0022262A"/>
    <w:rsid w:val="0022270C"/>
    <w:rsid w:val="00222765"/>
    <w:rsid w:val="00222776"/>
    <w:rsid w:val="00222938"/>
    <w:rsid w:val="00222950"/>
    <w:rsid w:val="00222996"/>
    <w:rsid w:val="002229E6"/>
    <w:rsid w:val="00222CA1"/>
    <w:rsid w:val="00222D5C"/>
    <w:rsid w:val="00222DE4"/>
    <w:rsid w:val="00222EBE"/>
    <w:rsid w:val="00222EDE"/>
    <w:rsid w:val="002232B3"/>
    <w:rsid w:val="00223379"/>
    <w:rsid w:val="002233A4"/>
    <w:rsid w:val="002233D7"/>
    <w:rsid w:val="002233FE"/>
    <w:rsid w:val="0022341B"/>
    <w:rsid w:val="00223567"/>
    <w:rsid w:val="00223568"/>
    <w:rsid w:val="00223867"/>
    <w:rsid w:val="002238F6"/>
    <w:rsid w:val="002239FC"/>
    <w:rsid w:val="00223D64"/>
    <w:rsid w:val="00223D86"/>
    <w:rsid w:val="00223F22"/>
    <w:rsid w:val="00223FA8"/>
    <w:rsid w:val="00224158"/>
    <w:rsid w:val="0022428A"/>
    <w:rsid w:val="00224297"/>
    <w:rsid w:val="00224314"/>
    <w:rsid w:val="0022433C"/>
    <w:rsid w:val="0022439E"/>
    <w:rsid w:val="002243A6"/>
    <w:rsid w:val="002243B5"/>
    <w:rsid w:val="0022441F"/>
    <w:rsid w:val="0022444E"/>
    <w:rsid w:val="002246E4"/>
    <w:rsid w:val="00224715"/>
    <w:rsid w:val="00224771"/>
    <w:rsid w:val="00224812"/>
    <w:rsid w:val="00224893"/>
    <w:rsid w:val="002248F9"/>
    <w:rsid w:val="00224986"/>
    <w:rsid w:val="00224B7C"/>
    <w:rsid w:val="00224CDC"/>
    <w:rsid w:val="00224E35"/>
    <w:rsid w:val="00224ED3"/>
    <w:rsid w:val="00224FA1"/>
    <w:rsid w:val="00225082"/>
    <w:rsid w:val="00225086"/>
    <w:rsid w:val="00225158"/>
    <w:rsid w:val="002251B7"/>
    <w:rsid w:val="002251FF"/>
    <w:rsid w:val="002252CB"/>
    <w:rsid w:val="0022538D"/>
    <w:rsid w:val="0022554C"/>
    <w:rsid w:val="002255AA"/>
    <w:rsid w:val="00225746"/>
    <w:rsid w:val="0022586E"/>
    <w:rsid w:val="00225B56"/>
    <w:rsid w:val="00225C18"/>
    <w:rsid w:val="00225C63"/>
    <w:rsid w:val="00225CB4"/>
    <w:rsid w:val="00225E34"/>
    <w:rsid w:val="00225F2B"/>
    <w:rsid w:val="00226060"/>
    <w:rsid w:val="0022609B"/>
    <w:rsid w:val="002261AC"/>
    <w:rsid w:val="00226202"/>
    <w:rsid w:val="0022622E"/>
    <w:rsid w:val="00226349"/>
    <w:rsid w:val="002263F6"/>
    <w:rsid w:val="0022646D"/>
    <w:rsid w:val="00226563"/>
    <w:rsid w:val="002265E0"/>
    <w:rsid w:val="00226628"/>
    <w:rsid w:val="0022662D"/>
    <w:rsid w:val="0022667A"/>
    <w:rsid w:val="00226836"/>
    <w:rsid w:val="00226899"/>
    <w:rsid w:val="0022697D"/>
    <w:rsid w:val="00226AC7"/>
    <w:rsid w:val="00226BAE"/>
    <w:rsid w:val="00226BD1"/>
    <w:rsid w:val="00226C09"/>
    <w:rsid w:val="00226C6E"/>
    <w:rsid w:val="00226CDA"/>
    <w:rsid w:val="00226D1D"/>
    <w:rsid w:val="00226D81"/>
    <w:rsid w:val="00226D93"/>
    <w:rsid w:val="00226F86"/>
    <w:rsid w:val="002271A2"/>
    <w:rsid w:val="002271D4"/>
    <w:rsid w:val="00227314"/>
    <w:rsid w:val="0022736C"/>
    <w:rsid w:val="0022737A"/>
    <w:rsid w:val="002273B6"/>
    <w:rsid w:val="002275A9"/>
    <w:rsid w:val="002275C7"/>
    <w:rsid w:val="002275EC"/>
    <w:rsid w:val="00227764"/>
    <w:rsid w:val="002277D8"/>
    <w:rsid w:val="00227B29"/>
    <w:rsid w:val="00227BC7"/>
    <w:rsid w:val="00227CB7"/>
    <w:rsid w:val="00227DFF"/>
    <w:rsid w:val="00227E68"/>
    <w:rsid w:val="00227FEE"/>
    <w:rsid w:val="00230098"/>
    <w:rsid w:val="002300B8"/>
    <w:rsid w:val="002300F0"/>
    <w:rsid w:val="0023017C"/>
    <w:rsid w:val="00230242"/>
    <w:rsid w:val="002302A0"/>
    <w:rsid w:val="0023034C"/>
    <w:rsid w:val="0023045A"/>
    <w:rsid w:val="00230481"/>
    <w:rsid w:val="002304C1"/>
    <w:rsid w:val="002305E7"/>
    <w:rsid w:val="0023081F"/>
    <w:rsid w:val="00230826"/>
    <w:rsid w:val="0023094A"/>
    <w:rsid w:val="00230AC5"/>
    <w:rsid w:val="00230B68"/>
    <w:rsid w:val="00230B7D"/>
    <w:rsid w:val="00230C3B"/>
    <w:rsid w:val="00230D1C"/>
    <w:rsid w:val="00230D80"/>
    <w:rsid w:val="00230E81"/>
    <w:rsid w:val="00230F24"/>
    <w:rsid w:val="00231036"/>
    <w:rsid w:val="0023108A"/>
    <w:rsid w:val="002313A4"/>
    <w:rsid w:val="002313C7"/>
    <w:rsid w:val="002313C9"/>
    <w:rsid w:val="002313DB"/>
    <w:rsid w:val="00231427"/>
    <w:rsid w:val="00231440"/>
    <w:rsid w:val="00231691"/>
    <w:rsid w:val="002316FE"/>
    <w:rsid w:val="00231760"/>
    <w:rsid w:val="002318AE"/>
    <w:rsid w:val="002318DC"/>
    <w:rsid w:val="00231A22"/>
    <w:rsid w:val="00231CD3"/>
    <w:rsid w:val="00231D18"/>
    <w:rsid w:val="00231F43"/>
    <w:rsid w:val="00231F66"/>
    <w:rsid w:val="00231F75"/>
    <w:rsid w:val="00231FB8"/>
    <w:rsid w:val="00232161"/>
    <w:rsid w:val="00232198"/>
    <w:rsid w:val="0023227E"/>
    <w:rsid w:val="00232297"/>
    <w:rsid w:val="0023230A"/>
    <w:rsid w:val="002323CF"/>
    <w:rsid w:val="00232418"/>
    <w:rsid w:val="0023246B"/>
    <w:rsid w:val="002326A4"/>
    <w:rsid w:val="002329A5"/>
    <w:rsid w:val="002329B2"/>
    <w:rsid w:val="002329EA"/>
    <w:rsid w:val="00232BBB"/>
    <w:rsid w:val="00232C1C"/>
    <w:rsid w:val="00232C49"/>
    <w:rsid w:val="00232DA0"/>
    <w:rsid w:val="00232EA2"/>
    <w:rsid w:val="00232EBD"/>
    <w:rsid w:val="00232EEC"/>
    <w:rsid w:val="00232F8D"/>
    <w:rsid w:val="00233163"/>
    <w:rsid w:val="00233273"/>
    <w:rsid w:val="002332C2"/>
    <w:rsid w:val="00233469"/>
    <w:rsid w:val="002334CC"/>
    <w:rsid w:val="0023367E"/>
    <w:rsid w:val="00233698"/>
    <w:rsid w:val="0023369E"/>
    <w:rsid w:val="0023369F"/>
    <w:rsid w:val="002337EF"/>
    <w:rsid w:val="00233868"/>
    <w:rsid w:val="00233945"/>
    <w:rsid w:val="00233A38"/>
    <w:rsid w:val="00233A97"/>
    <w:rsid w:val="00233AC2"/>
    <w:rsid w:val="00233B10"/>
    <w:rsid w:val="00233B1D"/>
    <w:rsid w:val="00233B32"/>
    <w:rsid w:val="00233BE5"/>
    <w:rsid w:val="00233C21"/>
    <w:rsid w:val="00233C62"/>
    <w:rsid w:val="00233CCE"/>
    <w:rsid w:val="00233CDA"/>
    <w:rsid w:val="00233D68"/>
    <w:rsid w:val="00233DBE"/>
    <w:rsid w:val="00233E38"/>
    <w:rsid w:val="00233E6D"/>
    <w:rsid w:val="00233F87"/>
    <w:rsid w:val="0023410B"/>
    <w:rsid w:val="002341A6"/>
    <w:rsid w:val="00234209"/>
    <w:rsid w:val="00234230"/>
    <w:rsid w:val="00234280"/>
    <w:rsid w:val="0023431F"/>
    <w:rsid w:val="00234355"/>
    <w:rsid w:val="002343A1"/>
    <w:rsid w:val="002343B8"/>
    <w:rsid w:val="00234448"/>
    <w:rsid w:val="0023476D"/>
    <w:rsid w:val="00234801"/>
    <w:rsid w:val="0023480C"/>
    <w:rsid w:val="0023487C"/>
    <w:rsid w:val="00234927"/>
    <w:rsid w:val="0023497D"/>
    <w:rsid w:val="00234AE8"/>
    <w:rsid w:val="00234B1A"/>
    <w:rsid w:val="00234B20"/>
    <w:rsid w:val="00234BA3"/>
    <w:rsid w:val="00234D9A"/>
    <w:rsid w:val="00234F41"/>
    <w:rsid w:val="00234F57"/>
    <w:rsid w:val="00234FA1"/>
    <w:rsid w:val="00235029"/>
    <w:rsid w:val="00235170"/>
    <w:rsid w:val="002352C9"/>
    <w:rsid w:val="002353F2"/>
    <w:rsid w:val="00235476"/>
    <w:rsid w:val="002355B6"/>
    <w:rsid w:val="002355BB"/>
    <w:rsid w:val="002355DE"/>
    <w:rsid w:val="00235641"/>
    <w:rsid w:val="002356C8"/>
    <w:rsid w:val="002357A7"/>
    <w:rsid w:val="0023591E"/>
    <w:rsid w:val="00235930"/>
    <w:rsid w:val="00235958"/>
    <w:rsid w:val="00235981"/>
    <w:rsid w:val="002359F4"/>
    <w:rsid w:val="00235A13"/>
    <w:rsid w:val="00235B51"/>
    <w:rsid w:val="00235B65"/>
    <w:rsid w:val="00235C29"/>
    <w:rsid w:val="00235C79"/>
    <w:rsid w:val="00235D81"/>
    <w:rsid w:val="00235DD0"/>
    <w:rsid w:val="00235EA5"/>
    <w:rsid w:val="00235EA7"/>
    <w:rsid w:val="00235EF9"/>
    <w:rsid w:val="00235F1D"/>
    <w:rsid w:val="00235FEF"/>
    <w:rsid w:val="0023613B"/>
    <w:rsid w:val="00236152"/>
    <w:rsid w:val="002361E1"/>
    <w:rsid w:val="002364BD"/>
    <w:rsid w:val="00236507"/>
    <w:rsid w:val="00236522"/>
    <w:rsid w:val="0023664C"/>
    <w:rsid w:val="002366A0"/>
    <w:rsid w:val="002366B8"/>
    <w:rsid w:val="00236759"/>
    <w:rsid w:val="0023684A"/>
    <w:rsid w:val="00236909"/>
    <w:rsid w:val="002369B5"/>
    <w:rsid w:val="00236AE5"/>
    <w:rsid w:val="00236BA3"/>
    <w:rsid w:val="00236C11"/>
    <w:rsid w:val="00236C8F"/>
    <w:rsid w:val="00236CE3"/>
    <w:rsid w:val="00236CFD"/>
    <w:rsid w:val="00236D5D"/>
    <w:rsid w:val="00236DBD"/>
    <w:rsid w:val="00236EEE"/>
    <w:rsid w:val="00237035"/>
    <w:rsid w:val="0023707B"/>
    <w:rsid w:val="002370C2"/>
    <w:rsid w:val="002373BC"/>
    <w:rsid w:val="00237405"/>
    <w:rsid w:val="0023740A"/>
    <w:rsid w:val="0023741E"/>
    <w:rsid w:val="002375B4"/>
    <w:rsid w:val="00237617"/>
    <w:rsid w:val="00237696"/>
    <w:rsid w:val="002376A3"/>
    <w:rsid w:val="002376C6"/>
    <w:rsid w:val="00237725"/>
    <w:rsid w:val="0023773F"/>
    <w:rsid w:val="0023783D"/>
    <w:rsid w:val="00237AAA"/>
    <w:rsid w:val="00237AB4"/>
    <w:rsid w:val="00237B34"/>
    <w:rsid w:val="00237CDA"/>
    <w:rsid w:val="00237DDA"/>
    <w:rsid w:val="00237F84"/>
    <w:rsid w:val="002401D1"/>
    <w:rsid w:val="002402B3"/>
    <w:rsid w:val="002402D4"/>
    <w:rsid w:val="00240387"/>
    <w:rsid w:val="002403B2"/>
    <w:rsid w:val="00240475"/>
    <w:rsid w:val="0024064C"/>
    <w:rsid w:val="00240886"/>
    <w:rsid w:val="002408E3"/>
    <w:rsid w:val="0024090E"/>
    <w:rsid w:val="00240910"/>
    <w:rsid w:val="00240A03"/>
    <w:rsid w:val="00240A66"/>
    <w:rsid w:val="00240A7D"/>
    <w:rsid w:val="00240C4A"/>
    <w:rsid w:val="00240E41"/>
    <w:rsid w:val="00240E6F"/>
    <w:rsid w:val="00240EDF"/>
    <w:rsid w:val="00240F17"/>
    <w:rsid w:val="002410BE"/>
    <w:rsid w:val="0024145D"/>
    <w:rsid w:val="00241478"/>
    <w:rsid w:val="00241547"/>
    <w:rsid w:val="002415BC"/>
    <w:rsid w:val="002415CF"/>
    <w:rsid w:val="00241638"/>
    <w:rsid w:val="00241770"/>
    <w:rsid w:val="002417C7"/>
    <w:rsid w:val="002419E3"/>
    <w:rsid w:val="00241A16"/>
    <w:rsid w:val="00241A97"/>
    <w:rsid w:val="00241BF9"/>
    <w:rsid w:val="00241D67"/>
    <w:rsid w:val="00241D68"/>
    <w:rsid w:val="00241DAE"/>
    <w:rsid w:val="00241F19"/>
    <w:rsid w:val="00241FAC"/>
    <w:rsid w:val="00241FB8"/>
    <w:rsid w:val="0024207C"/>
    <w:rsid w:val="002420B4"/>
    <w:rsid w:val="002421C9"/>
    <w:rsid w:val="002421DF"/>
    <w:rsid w:val="002421EB"/>
    <w:rsid w:val="00242203"/>
    <w:rsid w:val="002424D8"/>
    <w:rsid w:val="00242500"/>
    <w:rsid w:val="002425D6"/>
    <w:rsid w:val="00242666"/>
    <w:rsid w:val="002426B3"/>
    <w:rsid w:val="002426D0"/>
    <w:rsid w:val="00242843"/>
    <w:rsid w:val="002428A0"/>
    <w:rsid w:val="00242923"/>
    <w:rsid w:val="00242A97"/>
    <w:rsid w:val="00242B7D"/>
    <w:rsid w:val="00242D31"/>
    <w:rsid w:val="00242D4E"/>
    <w:rsid w:val="00242EE9"/>
    <w:rsid w:val="00242F22"/>
    <w:rsid w:val="00242F35"/>
    <w:rsid w:val="00242F4D"/>
    <w:rsid w:val="0024302C"/>
    <w:rsid w:val="002430A6"/>
    <w:rsid w:val="002431AF"/>
    <w:rsid w:val="00243322"/>
    <w:rsid w:val="0024332C"/>
    <w:rsid w:val="00243336"/>
    <w:rsid w:val="002433F4"/>
    <w:rsid w:val="00243413"/>
    <w:rsid w:val="002435C0"/>
    <w:rsid w:val="002435FB"/>
    <w:rsid w:val="0024361F"/>
    <w:rsid w:val="00243690"/>
    <w:rsid w:val="002436C5"/>
    <w:rsid w:val="002436E3"/>
    <w:rsid w:val="0024373B"/>
    <w:rsid w:val="002437DA"/>
    <w:rsid w:val="0024381D"/>
    <w:rsid w:val="00243AF8"/>
    <w:rsid w:val="00243B55"/>
    <w:rsid w:val="00243B70"/>
    <w:rsid w:val="00243C50"/>
    <w:rsid w:val="00243C79"/>
    <w:rsid w:val="00243CEB"/>
    <w:rsid w:val="00243DEB"/>
    <w:rsid w:val="00243E0A"/>
    <w:rsid w:val="00243ED9"/>
    <w:rsid w:val="00243F2E"/>
    <w:rsid w:val="00243F40"/>
    <w:rsid w:val="00243FA2"/>
    <w:rsid w:val="00243FB0"/>
    <w:rsid w:val="00243FBF"/>
    <w:rsid w:val="00243FF7"/>
    <w:rsid w:val="0024419F"/>
    <w:rsid w:val="0024423B"/>
    <w:rsid w:val="002442D6"/>
    <w:rsid w:val="002444CB"/>
    <w:rsid w:val="00244518"/>
    <w:rsid w:val="0024460F"/>
    <w:rsid w:val="00244641"/>
    <w:rsid w:val="00244751"/>
    <w:rsid w:val="0024484F"/>
    <w:rsid w:val="0024486D"/>
    <w:rsid w:val="00244884"/>
    <w:rsid w:val="002449AC"/>
    <w:rsid w:val="00244A7C"/>
    <w:rsid w:val="00244BF6"/>
    <w:rsid w:val="00244CE2"/>
    <w:rsid w:val="00244D46"/>
    <w:rsid w:val="00244F32"/>
    <w:rsid w:val="00244F5B"/>
    <w:rsid w:val="00244F8A"/>
    <w:rsid w:val="00244FBE"/>
    <w:rsid w:val="002450E0"/>
    <w:rsid w:val="0024519F"/>
    <w:rsid w:val="00245294"/>
    <w:rsid w:val="00245365"/>
    <w:rsid w:val="0024538F"/>
    <w:rsid w:val="002453B5"/>
    <w:rsid w:val="002453BE"/>
    <w:rsid w:val="002453CB"/>
    <w:rsid w:val="00245420"/>
    <w:rsid w:val="0024544F"/>
    <w:rsid w:val="0024548A"/>
    <w:rsid w:val="002454AB"/>
    <w:rsid w:val="002454CE"/>
    <w:rsid w:val="002454D2"/>
    <w:rsid w:val="002455FE"/>
    <w:rsid w:val="00245681"/>
    <w:rsid w:val="0024569A"/>
    <w:rsid w:val="002456CB"/>
    <w:rsid w:val="002456E2"/>
    <w:rsid w:val="00245709"/>
    <w:rsid w:val="00245770"/>
    <w:rsid w:val="0024580A"/>
    <w:rsid w:val="00245901"/>
    <w:rsid w:val="002459A3"/>
    <w:rsid w:val="00245B37"/>
    <w:rsid w:val="00245B4C"/>
    <w:rsid w:val="00245CC5"/>
    <w:rsid w:val="00245D6E"/>
    <w:rsid w:val="00245EA4"/>
    <w:rsid w:val="00245F11"/>
    <w:rsid w:val="00245F8C"/>
    <w:rsid w:val="00245F8D"/>
    <w:rsid w:val="00245FA1"/>
    <w:rsid w:val="00245FED"/>
    <w:rsid w:val="00246077"/>
    <w:rsid w:val="00246085"/>
    <w:rsid w:val="002460DD"/>
    <w:rsid w:val="002462D0"/>
    <w:rsid w:val="00246405"/>
    <w:rsid w:val="00246584"/>
    <w:rsid w:val="002467DC"/>
    <w:rsid w:val="002468E6"/>
    <w:rsid w:val="00246940"/>
    <w:rsid w:val="0024697A"/>
    <w:rsid w:val="00246983"/>
    <w:rsid w:val="002469B8"/>
    <w:rsid w:val="00246A2D"/>
    <w:rsid w:val="00246B96"/>
    <w:rsid w:val="00246BE0"/>
    <w:rsid w:val="00246C43"/>
    <w:rsid w:val="00246C73"/>
    <w:rsid w:val="00246D51"/>
    <w:rsid w:val="00246E6D"/>
    <w:rsid w:val="00246ECE"/>
    <w:rsid w:val="00246F51"/>
    <w:rsid w:val="00247021"/>
    <w:rsid w:val="00247174"/>
    <w:rsid w:val="002471F4"/>
    <w:rsid w:val="00247217"/>
    <w:rsid w:val="002472FB"/>
    <w:rsid w:val="00247357"/>
    <w:rsid w:val="00247368"/>
    <w:rsid w:val="00247405"/>
    <w:rsid w:val="00247479"/>
    <w:rsid w:val="00247482"/>
    <w:rsid w:val="002476DE"/>
    <w:rsid w:val="00247759"/>
    <w:rsid w:val="0024794D"/>
    <w:rsid w:val="0024796B"/>
    <w:rsid w:val="0024798E"/>
    <w:rsid w:val="00247A67"/>
    <w:rsid w:val="00247AC9"/>
    <w:rsid w:val="00247BCE"/>
    <w:rsid w:val="00247C26"/>
    <w:rsid w:val="00247C32"/>
    <w:rsid w:val="00247CBD"/>
    <w:rsid w:val="00247D06"/>
    <w:rsid w:val="00247DB8"/>
    <w:rsid w:val="00247DD3"/>
    <w:rsid w:val="00247DDA"/>
    <w:rsid w:val="00247DF7"/>
    <w:rsid w:val="00247E7D"/>
    <w:rsid w:val="00247EF9"/>
    <w:rsid w:val="00247FA0"/>
    <w:rsid w:val="00250060"/>
    <w:rsid w:val="00250066"/>
    <w:rsid w:val="002502BA"/>
    <w:rsid w:val="002502D8"/>
    <w:rsid w:val="002502E3"/>
    <w:rsid w:val="002504A4"/>
    <w:rsid w:val="00250595"/>
    <w:rsid w:val="00250597"/>
    <w:rsid w:val="0025066C"/>
    <w:rsid w:val="0025067B"/>
    <w:rsid w:val="00250737"/>
    <w:rsid w:val="00250745"/>
    <w:rsid w:val="00250747"/>
    <w:rsid w:val="00250873"/>
    <w:rsid w:val="00250888"/>
    <w:rsid w:val="002509C1"/>
    <w:rsid w:val="00250A74"/>
    <w:rsid w:val="00250A99"/>
    <w:rsid w:val="00250AFE"/>
    <w:rsid w:val="00250BA4"/>
    <w:rsid w:val="00250C1D"/>
    <w:rsid w:val="00250D58"/>
    <w:rsid w:val="00250DE4"/>
    <w:rsid w:val="00250DEB"/>
    <w:rsid w:val="00250DFB"/>
    <w:rsid w:val="00250FFB"/>
    <w:rsid w:val="0025104B"/>
    <w:rsid w:val="00251089"/>
    <w:rsid w:val="002510CB"/>
    <w:rsid w:val="0025110D"/>
    <w:rsid w:val="00251155"/>
    <w:rsid w:val="002512E2"/>
    <w:rsid w:val="00251352"/>
    <w:rsid w:val="0025142A"/>
    <w:rsid w:val="0025150F"/>
    <w:rsid w:val="002515B1"/>
    <w:rsid w:val="00251680"/>
    <w:rsid w:val="002516BC"/>
    <w:rsid w:val="002517D4"/>
    <w:rsid w:val="002517E4"/>
    <w:rsid w:val="0025186C"/>
    <w:rsid w:val="00251920"/>
    <w:rsid w:val="00251B9F"/>
    <w:rsid w:val="00251BCB"/>
    <w:rsid w:val="00251C4C"/>
    <w:rsid w:val="00251C61"/>
    <w:rsid w:val="00251D3C"/>
    <w:rsid w:val="00251DBD"/>
    <w:rsid w:val="00251DCA"/>
    <w:rsid w:val="00251E7C"/>
    <w:rsid w:val="00251F95"/>
    <w:rsid w:val="00251F99"/>
    <w:rsid w:val="00251FF3"/>
    <w:rsid w:val="002520E1"/>
    <w:rsid w:val="002522BB"/>
    <w:rsid w:val="00252312"/>
    <w:rsid w:val="00252321"/>
    <w:rsid w:val="00252671"/>
    <w:rsid w:val="00252673"/>
    <w:rsid w:val="0025267D"/>
    <w:rsid w:val="00252A1F"/>
    <w:rsid w:val="00252B4A"/>
    <w:rsid w:val="00252D4F"/>
    <w:rsid w:val="00252E17"/>
    <w:rsid w:val="00252E29"/>
    <w:rsid w:val="00252EA8"/>
    <w:rsid w:val="00252F34"/>
    <w:rsid w:val="0025305A"/>
    <w:rsid w:val="00253093"/>
    <w:rsid w:val="00253108"/>
    <w:rsid w:val="002531E6"/>
    <w:rsid w:val="0025330F"/>
    <w:rsid w:val="00253354"/>
    <w:rsid w:val="00253533"/>
    <w:rsid w:val="00253569"/>
    <w:rsid w:val="002535FE"/>
    <w:rsid w:val="0025374A"/>
    <w:rsid w:val="002537BA"/>
    <w:rsid w:val="00253D32"/>
    <w:rsid w:val="00253F53"/>
    <w:rsid w:val="002540AE"/>
    <w:rsid w:val="002540DC"/>
    <w:rsid w:val="00254192"/>
    <w:rsid w:val="002541AB"/>
    <w:rsid w:val="0025422C"/>
    <w:rsid w:val="00254554"/>
    <w:rsid w:val="0025471D"/>
    <w:rsid w:val="00254794"/>
    <w:rsid w:val="0025482F"/>
    <w:rsid w:val="002548EE"/>
    <w:rsid w:val="00254AD6"/>
    <w:rsid w:val="00254B5C"/>
    <w:rsid w:val="00254DE8"/>
    <w:rsid w:val="00254E42"/>
    <w:rsid w:val="00254EBD"/>
    <w:rsid w:val="00254FFC"/>
    <w:rsid w:val="00255085"/>
    <w:rsid w:val="002550B9"/>
    <w:rsid w:val="002550C3"/>
    <w:rsid w:val="0025521E"/>
    <w:rsid w:val="0025524B"/>
    <w:rsid w:val="002552D4"/>
    <w:rsid w:val="00255385"/>
    <w:rsid w:val="0025544C"/>
    <w:rsid w:val="002554B9"/>
    <w:rsid w:val="002554E0"/>
    <w:rsid w:val="00255527"/>
    <w:rsid w:val="0025553E"/>
    <w:rsid w:val="0025584F"/>
    <w:rsid w:val="00255A0E"/>
    <w:rsid w:val="00255A7B"/>
    <w:rsid w:val="00255BB9"/>
    <w:rsid w:val="00255BC2"/>
    <w:rsid w:val="00255C2C"/>
    <w:rsid w:val="00255C81"/>
    <w:rsid w:val="00255C98"/>
    <w:rsid w:val="00255D12"/>
    <w:rsid w:val="00255D65"/>
    <w:rsid w:val="00255EAB"/>
    <w:rsid w:val="00255EDA"/>
    <w:rsid w:val="00255FB4"/>
    <w:rsid w:val="00255FC0"/>
    <w:rsid w:val="00256064"/>
    <w:rsid w:val="00256244"/>
    <w:rsid w:val="00256302"/>
    <w:rsid w:val="00256303"/>
    <w:rsid w:val="0025636C"/>
    <w:rsid w:val="00256447"/>
    <w:rsid w:val="002565DD"/>
    <w:rsid w:val="00256774"/>
    <w:rsid w:val="00256863"/>
    <w:rsid w:val="002568C9"/>
    <w:rsid w:val="00256987"/>
    <w:rsid w:val="00256B89"/>
    <w:rsid w:val="00256BEF"/>
    <w:rsid w:val="00256BFA"/>
    <w:rsid w:val="00256CBA"/>
    <w:rsid w:val="00256D68"/>
    <w:rsid w:val="00256D72"/>
    <w:rsid w:val="00256DA7"/>
    <w:rsid w:val="00256F01"/>
    <w:rsid w:val="00256F12"/>
    <w:rsid w:val="00256FA1"/>
    <w:rsid w:val="00256FBC"/>
    <w:rsid w:val="00257164"/>
    <w:rsid w:val="0025717E"/>
    <w:rsid w:val="0025719A"/>
    <w:rsid w:val="002571B0"/>
    <w:rsid w:val="00257219"/>
    <w:rsid w:val="0025722D"/>
    <w:rsid w:val="00257366"/>
    <w:rsid w:val="002573DA"/>
    <w:rsid w:val="002573E8"/>
    <w:rsid w:val="002574AE"/>
    <w:rsid w:val="002575E6"/>
    <w:rsid w:val="0025761D"/>
    <w:rsid w:val="00257697"/>
    <w:rsid w:val="002576C3"/>
    <w:rsid w:val="00257767"/>
    <w:rsid w:val="00257838"/>
    <w:rsid w:val="00257879"/>
    <w:rsid w:val="00257993"/>
    <w:rsid w:val="00257A95"/>
    <w:rsid w:val="00257ABA"/>
    <w:rsid w:val="00257B06"/>
    <w:rsid w:val="00257B70"/>
    <w:rsid w:val="00257D59"/>
    <w:rsid w:val="00257DB4"/>
    <w:rsid w:val="00257F19"/>
    <w:rsid w:val="00260002"/>
    <w:rsid w:val="0026004D"/>
    <w:rsid w:val="0026006C"/>
    <w:rsid w:val="00260072"/>
    <w:rsid w:val="002600FC"/>
    <w:rsid w:val="0026015D"/>
    <w:rsid w:val="00260176"/>
    <w:rsid w:val="002601A7"/>
    <w:rsid w:val="002601AB"/>
    <w:rsid w:val="002601C5"/>
    <w:rsid w:val="0026028E"/>
    <w:rsid w:val="002602E8"/>
    <w:rsid w:val="0026045C"/>
    <w:rsid w:val="0026047A"/>
    <w:rsid w:val="002604D9"/>
    <w:rsid w:val="00260599"/>
    <w:rsid w:val="002605B8"/>
    <w:rsid w:val="00260628"/>
    <w:rsid w:val="00260668"/>
    <w:rsid w:val="002607B7"/>
    <w:rsid w:val="0026088F"/>
    <w:rsid w:val="0026089B"/>
    <w:rsid w:val="00260929"/>
    <w:rsid w:val="00260ABF"/>
    <w:rsid w:val="00260ACE"/>
    <w:rsid w:val="00260B72"/>
    <w:rsid w:val="00260B76"/>
    <w:rsid w:val="00260CC5"/>
    <w:rsid w:val="00260E46"/>
    <w:rsid w:val="00260E90"/>
    <w:rsid w:val="00260EAB"/>
    <w:rsid w:val="00260F81"/>
    <w:rsid w:val="00260FA2"/>
    <w:rsid w:val="00260FCC"/>
    <w:rsid w:val="0026100B"/>
    <w:rsid w:val="00261189"/>
    <w:rsid w:val="002611C8"/>
    <w:rsid w:val="00261383"/>
    <w:rsid w:val="002613F9"/>
    <w:rsid w:val="00261547"/>
    <w:rsid w:val="00261600"/>
    <w:rsid w:val="00261616"/>
    <w:rsid w:val="00261689"/>
    <w:rsid w:val="0026169D"/>
    <w:rsid w:val="00261746"/>
    <w:rsid w:val="00261790"/>
    <w:rsid w:val="00261793"/>
    <w:rsid w:val="00261799"/>
    <w:rsid w:val="002617E7"/>
    <w:rsid w:val="00261817"/>
    <w:rsid w:val="002618B3"/>
    <w:rsid w:val="00261A84"/>
    <w:rsid w:val="00261AD4"/>
    <w:rsid w:val="00261B30"/>
    <w:rsid w:val="00261BC1"/>
    <w:rsid w:val="00261BD5"/>
    <w:rsid w:val="00261CCD"/>
    <w:rsid w:val="00261CD1"/>
    <w:rsid w:val="00261E0C"/>
    <w:rsid w:val="00261EC6"/>
    <w:rsid w:val="00261ED4"/>
    <w:rsid w:val="00261F37"/>
    <w:rsid w:val="00261FC1"/>
    <w:rsid w:val="0026208C"/>
    <w:rsid w:val="002620EC"/>
    <w:rsid w:val="00262167"/>
    <w:rsid w:val="00262199"/>
    <w:rsid w:val="002621CE"/>
    <w:rsid w:val="002622AF"/>
    <w:rsid w:val="00262375"/>
    <w:rsid w:val="0026237B"/>
    <w:rsid w:val="0026237E"/>
    <w:rsid w:val="002623A3"/>
    <w:rsid w:val="002623BA"/>
    <w:rsid w:val="002624C1"/>
    <w:rsid w:val="002625DC"/>
    <w:rsid w:val="0026272F"/>
    <w:rsid w:val="00262879"/>
    <w:rsid w:val="002628B8"/>
    <w:rsid w:val="00262946"/>
    <w:rsid w:val="002629DA"/>
    <w:rsid w:val="00262A4B"/>
    <w:rsid w:val="00262AEE"/>
    <w:rsid w:val="00262B0A"/>
    <w:rsid w:val="00262BB6"/>
    <w:rsid w:val="00262BC7"/>
    <w:rsid w:val="00262C1E"/>
    <w:rsid w:val="00262C70"/>
    <w:rsid w:val="00262E57"/>
    <w:rsid w:val="00262F05"/>
    <w:rsid w:val="00262F53"/>
    <w:rsid w:val="00262F6F"/>
    <w:rsid w:val="00262FAD"/>
    <w:rsid w:val="00262FC4"/>
    <w:rsid w:val="0026312C"/>
    <w:rsid w:val="00263166"/>
    <w:rsid w:val="002631AB"/>
    <w:rsid w:val="002631DF"/>
    <w:rsid w:val="002632E4"/>
    <w:rsid w:val="00263321"/>
    <w:rsid w:val="002633A5"/>
    <w:rsid w:val="002633EC"/>
    <w:rsid w:val="00263406"/>
    <w:rsid w:val="002634DA"/>
    <w:rsid w:val="00263544"/>
    <w:rsid w:val="00263546"/>
    <w:rsid w:val="0026357B"/>
    <w:rsid w:val="00263582"/>
    <w:rsid w:val="00263727"/>
    <w:rsid w:val="0026374E"/>
    <w:rsid w:val="00263823"/>
    <w:rsid w:val="002638D0"/>
    <w:rsid w:val="002638F2"/>
    <w:rsid w:val="00263929"/>
    <w:rsid w:val="002639EB"/>
    <w:rsid w:val="00263A1F"/>
    <w:rsid w:val="00263AB1"/>
    <w:rsid w:val="00263ABD"/>
    <w:rsid w:val="00263B7B"/>
    <w:rsid w:val="00263BF4"/>
    <w:rsid w:val="00263C56"/>
    <w:rsid w:val="00263C64"/>
    <w:rsid w:val="00263D34"/>
    <w:rsid w:val="00263D42"/>
    <w:rsid w:val="00263D7F"/>
    <w:rsid w:val="00263DAD"/>
    <w:rsid w:val="00263E5D"/>
    <w:rsid w:val="00263EBD"/>
    <w:rsid w:val="0026412A"/>
    <w:rsid w:val="0026414B"/>
    <w:rsid w:val="0026421A"/>
    <w:rsid w:val="002643F4"/>
    <w:rsid w:val="00264700"/>
    <w:rsid w:val="00264783"/>
    <w:rsid w:val="002647B8"/>
    <w:rsid w:val="002647C5"/>
    <w:rsid w:val="002647CB"/>
    <w:rsid w:val="00264861"/>
    <w:rsid w:val="00264956"/>
    <w:rsid w:val="0026496A"/>
    <w:rsid w:val="00264A47"/>
    <w:rsid w:val="00264BD5"/>
    <w:rsid w:val="00264C5F"/>
    <w:rsid w:val="00264CF6"/>
    <w:rsid w:val="00264D5D"/>
    <w:rsid w:val="00264DCE"/>
    <w:rsid w:val="00264EAC"/>
    <w:rsid w:val="00264EBF"/>
    <w:rsid w:val="00264F61"/>
    <w:rsid w:val="0026504B"/>
    <w:rsid w:val="002650C8"/>
    <w:rsid w:val="00265150"/>
    <w:rsid w:val="002651A4"/>
    <w:rsid w:val="00265243"/>
    <w:rsid w:val="00265392"/>
    <w:rsid w:val="002653BA"/>
    <w:rsid w:val="002653E7"/>
    <w:rsid w:val="00265431"/>
    <w:rsid w:val="0026544A"/>
    <w:rsid w:val="00265555"/>
    <w:rsid w:val="002656CA"/>
    <w:rsid w:val="0026570F"/>
    <w:rsid w:val="00265843"/>
    <w:rsid w:val="00265982"/>
    <w:rsid w:val="002659CE"/>
    <w:rsid w:val="00265B6C"/>
    <w:rsid w:val="00265B88"/>
    <w:rsid w:val="00265BB0"/>
    <w:rsid w:val="00265C20"/>
    <w:rsid w:val="00265C5D"/>
    <w:rsid w:val="00265D2F"/>
    <w:rsid w:val="00265D80"/>
    <w:rsid w:val="00265EEB"/>
    <w:rsid w:val="00265F9D"/>
    <w:rsid w:val="00266025"/>
    <w:rsid w:val="00266090"/>
    <w:rsid w:val="002662F0"/>
    <w:rsid w:val="00266361"/>
    <w:rsid w:val="00266469"/>
    <w:rsid w:val="0026648F"/>
    <w:rsid w:val="00266563"/>
    <w:rsid w:val="0026672C"/>
    <w:rsid w:val="0026673E"/>
    <w:rsid w:val="002667F5"/>
    <w:rsid w:val="0026682C"/>
    <w:rsid w:val="002668DB"/>
    <w:rsid w:val="002668E1"/>
    <w:rsid w:val="00266B7C"/>
    <w:rsid w:val="00266C19"/>
    <w:rsid w:val="00266C3F"/>
    <w:rsid w:val="00266CE5"/>
    <w:rsid w:val="00266FF4"/>
    <w:rsid w:val="002671D2"/>
    <w:rsid w:val="0026725B"/>
    <w:rsid w:val="0026742E"/>
    <w:rsid w:val="00267519"/>
    <w:rsid w:val="00267587"/>
    <w:rsid w:val="002675C2"/>
    <w:rsid w:val="002677EB"/>
    <w:rsid w:val="00267870"/>
    <w:rsid w:val="002678BE"/>
    <w:rsid w:val="00267B96"/>
    <w:rsid w:val="00267BB0"/>
    <w:rsid w:val="00267BFE"/>
    <w:rsid w:val="00267CD8"/>
    <w:rsid w:val="00267D7E"/>
    <w:rsid w:val="00267DB4"/>
    <w:rsid w:val="00267EB1"/>
    <w:rsid w:val="00267F3D"/>
    <w:rsid w:val="002700F9"/>
    <w:rsid w:val="00270205"/>
    <w:rsid w:val="00270223"/>
    <w:rsid w:val="00270271"/>
    <w:rsid w:val="00270347"/>
    <w:rsid w:val="00270360"/>
    <w:rsid w:val="002703B6"/>
    <w:rsid w:val="0027046E"/>
    <w:rsid w:val="00270492"/>
    <w:rsid w:val="002704C4"/>
    <w:rsid w:val="002705B0"/>
    <w:rsid w:val="0027060E"/>
    <w:rsid w:val="00270749"/>
    <w:rsid w:val="00270782"/>
    <w:rsid w:val="00270848"/>
    <w:rsid w:val="00270931"/>
    <w:rsid w:val="002709FF"/>
    <w:rsid w:val="00270A53"/>
    <w:rsid w:val="00270AA7"/>
    <w:rsid w:val="00270B5E"/>
    <w:rsid w:val="00270C4B"/>
    <w:rsid w:val="00270C88"/>
    <w:rsid w:val="00270DD5"/>
    <w:rsid w:val="00270EBA"/>
    <w:rsid w:val="00270F82"/>
    <w:rsid w:val="00270FF2"/>
    <w:rsid w:val="0027105C"/>
    <w:rsid w:val="002710C9"/>
    <w:rsid w:val="00271160"/>
    <w:rsid w:val="002711AC"/>
    <w:rsid w:val="002712A3"/>
    <w:rsid w:val="002712DA"/>
    <w:rsid w:val="002713DB"/>
    <w:rsid w:val="002713DC"/>
    <w:rsid w:val="00271401"/>
    <w:rsid w:val="00271423"/>
    <w:rsid w:val="0027143D"/>
    <w:rsid w:val="00271448"/>
    <w:rsid w:val="00271482"/>
    <w:rsid w:val="002714D9"/>
    <w:rsid w:val="002716E9"/>
    <w:rsid w:val="00271735"/>
    <w:rsid w:val="002717DA"/>
    <w:rsid w:val="00271846"/>
    <w:rsid w:val="00271885"/>
    <w:rsid w:val="002718B2"/>
    <w:rsid w:val="00271981"/>
    <w:rsid w:val="00271A04"/>
    <w:rsid w:val="00271A0A"/>
    <w:rsid w:val="00271AAB"/>
    <w:rsid w:val="00271AFE"/>
    <w:rsid w:val="00271C62"/>
    <w:rsid w:val="00271D43"/>
    <w:rsid w:val="00271E37"/>
    <w:rsid w:val="00271E85"/>
    <w:rsid w:val="00271FCF"/>
    <w:rsid w:val="0027218A"/>
    <w:rsid w:val="002721B1"/>
    <w:rsid w:val="00272245"/>
    <w:rsid w:val="0027226C"/>
    <w:rsid w:val="002722B5"/>
    <w:rsid w:val="00272306"/>
    <w:rsid w:val="00272330"/>
    <w:rsid w:val="00272415"/>
    <w:rsid w:val="002724ED"/>
    <w:rsid w:val="002725BA"/>
    <w:rsid w:val="0027266C"/>
    <w:rsid w:val="0027267B"/>
    <w:rsid w:val="00272716"/>
    <w:rsid w:val="002727A2"/>
    <w:rsid w:val="002727E5"/>
    <w:rsid w:val="00272966"/>
    <w:rsid w:val="002729B8"/>
    <w:rsid w:val="00272A2F"/>
    <w:rsid w:val="00272A76"/>
    <w:rsid w:val="00272B37"/>
    <w:rsid w:val="00272B4C"/>
    <w:rsid w:val="00272B8A"/>
    <w:rsid w:val="00272BAC"/>
    <w:rsid w:val="00272BEA"/>
    <w:rsid w:val="00272C8C"/>
    <w:rsid w:val="00272CC8"/>
    <w:rsid w:val="00272E0D"/>
    <w:rsid w:val="00272E3A"/>
    <w:rsid w:val="00272E4B"/>
    <w:rsid w:val="00272E73"/>
    <w:rsid w:val="00272EA9"/>
    <w:rsid w:val="00272F40"/>
    <w:rsid w:val="00272F52"/>
    <w:rsid w:val="00272F8B"/>
    <w:rsid w:val="002730C6"/>
    <w:rsid w:val="002730E6"/>
    <w:rsid w:val="002731E1"/>
    <w:rsid w:val="00273374"/>
    <w:rsid w:val="0027356D"/>
    <w:rsid w:val="002735FC"/>
    <w:rsid w:val="00273608"/>
    <w:rsid w:val="0027361B"/>
    <w:rsid w:val="00273674"/>
    <w:rsid w:val="002736A0"/>
    <w:rsid w:val="00273713"/>
    <w:rsid w:val="00273809"/>
    <w:rsid w:val="00273842"/>
    <w:rsid w:val="00273844"/>
    <w:rsid w:val="00273856"/>
    <w:rsid w:val="00273937"/>
    <w:rsid w:val="0027395E"/>
    <w:rsid w:val="00273962"/>
    <w:rsid w:val="002739B2"/>
    <w:rsid w:val="00273AC2"/>
    <w:rsid w:val="00273AD6"/>
    <w:rsid w:val="00273B0B"/>
    <w:rsid w:val="00273B41"/>
    <w:rsid w:val="00273BB6"/>
    <w:rsid w:val="00273D47"/>
    <w:rsid w:val="00273FE7"/>
    <w:rsid w:val="00274139"/>
    <w:rsid w:val="0027428F"/>
    <w:rsid w:val="002742FE"/>
    <w:rsid w:val="00274399"/>
    <w:rsid w:val="00274419"/>
    <w:rsid w:val="0027442C"/>
    <w:rsid w:val="00274434"/>
    <w:rsid w:val="002744D8"/>
    <w:rsid w:val="002744EC"/>
    <w:rsid w:val="002744F7"/>
    <w:rsid w:val="00274566"/>
    <w:rsid w:val="002746AF"/>
    <w:rsid w:val="002747AA"/>
    <w:rsid w:val="002749A9"/>
    <w:rsid w:val="002749CA"/>
    <w:rsid w:val="00274A88"/>
    <w:rsid w:val="00274ACD"/>
    <w:rsid w:val="00274D13"/>
    <w:rsid w:val="00274DF2"/>
    <w:rsid w:val="00274F35"/>
    <w:rsid w:val="00274FB3"/>
    <w:rsid w:val="00275083"/>
    <w:rsid w:val="00275132"/>
    <w:rsid w:val="00275159"/>
    <w:rsid w:val="0027527C"/>
    <w:rsid w:val="002752F9"/>
    <w:rsid w:val="002754C6"/>
    <w:rsid w:val="002754D6"/>
    <w:rsid w:val="00275611"/>
    <w:rsid w:val="002756C4"/>
    <w:rsid w:val="0027580C"/>
    <w:rsid w:val="00275835"/>
    <w:rsid w:val="00275847"/>
    <w:rsid w:val="002758DB"/>
    <w:rsid w:val="00275946"/>
    <w:rsid w:val="0027594E"/>
    <w:rsid w:val="0027597C"/>
    <w:rsid w:val="0027598E"/>
    <w:rsid w:val="00275998"/>
    <w:rsid w:val="002759E6"/>
    <w:rsid w:val="00275A2F"/>
    <w:rsid w:val="00275A59"/>
    <w:rsid w:val="00275A69"/>
    <w:rsid w:val="00275B96"/>
    <w:rsid w:val="00275CA0"/>
    <w:rsid w:val="00275D70"/>
    <w:rsid w:val="00275D7F"/>
    <w:rsid w:val="00275E5F"/>
    <w:rsid w:val="00275EC1"/>
    <w:rsid w:val="00276061"/>
    <w:rsid w:val="00276154"/>
    <w:rsid w:val="002762D5"/>
    <w:rsid w:val="00276319"/>
    <w:rsid w:val="00276482"/>
    <w:rsid w:val="00276489"/>
    <w:rsid w:val="002764C7"/>
    <w:rsid w:val="002764CE"/>
    <w:rsid w:val="002764F3"/>
    <w:rsid w:val="002766BD"/>
    <w:rsid w:val="002766CD"/>
    <w:rsid w:val="002766D5"/>
    <w:rsid w:val="00276712"/>
    <w:rsid w:val="00276769"/>
    <w:rsid w:val="00276780"/>
    <w:rsid w:val="002768BD"/>
    <w:rsid w:val="002768D2"/>
    <w:rsid w:val="002768E5"/>
    <w:rsid w:val="00276934"/>
    <w:rsid w:val="00276997"/>
    <w:rsid w:val="002769BB"/>
    <w:rsid w:val="00276A69"/>
    <w:rsid w:val="00276B90"/>
    <w:rsid w:val="00276BB0"/>
    <w:rsid w:val="00276C27"/>
    <w:rsid w:val="00276D9A"/>
    <w:rsid w:val="00276E7B"/>
    <w:rsid w:val="00276F9A"/>
    <w:rsid w:val="00277087"/>
    <w:rsid w:val="00277092"/>
    <w:rsid w:val="00277135"/>
    <w:rsid w:val="002771A0"/>
    <w:rsid w:val="002772F0"/>
    <w:rsid w:val="00277310"/>
    <w:rsid w:val="002773CC"/>
    <w:rsid w:val="00277425"/>
    <w:rsid w:val="002774E7"/>
    <w:rsid w:val="00277536"/>
    <w:rsid w:val="002775C2"/>
    <w:rsid w:val="002775C5"/>
    <w:rsid w:val="002775DD"/>
    <w:rsid w:val="0027770F"/>
    <w:rsid w:val="0027771A"/>
    <w:rsid w:val="00277785"/>
    <w:rsid w:val="002778D6"/>
    <w:rsid w:val="002779F9"/>
    <w:rsid w:val="00277A6E"/>
    <w:rsid w:val="00277BF6"/>
    <w:rsid w:val="00277BFE"/>
    <w:rsid w:val="00277C8F"/>
    <w:rsid w:val="00277DD0"/>
    <w:rsid w:val="00277DEC"/>
    <w:rsid w:val="00277DF0"/>
    <w:rsid w:val="00277F94"/>
    <w:rsid w:val="00280020"/>
    <w:rsid w:val="002800B9"/>
    <w:rsid w:val="002800BA"/>
    <w:rsid w:val="002800EE"/>
    <w:rsid w:val="00280102"/>
    <w:rsid w:val="0028011B"/>
    <w:rsid w:val="002802ED"/>
    <w:rsid w:val="0028051C"/>
    <w:rsid w:val="002807BA"/>
    <w:rsid w:val="002807D5"/>
    <w:rsid w:val="00280926"/>
    <w:rsid w:val="00280ADD"/>
    <w:rsid w:val="00280BA4"/>
    <w:rsid w:val="00280CAD"/>
    <w:rsid w:val="00280D78"/>
    <w:rsid w:val="00280E29"/>
    <w:rsid w:val="00280FC0"/>
    <w:rsid w:val="00280FC6"/>
    <w:rsid w:val="00281086"/>
    <w:rsid w:val="002810CA"/>
    <w:rsid w:val="002811B0"/>
    <w:rsid w:val="00281235"/>
    <w:rsid w:val="002812D8"/>
    <w:rsid w:val="002812FA"/>
    <w:rsid w:val="0028130C"/>
    <w:rsid w:val="00281328"/>
    <w:rsid w:val="002813C6"/>
    <w:rsid w:val="00281486"/>
    <w:rsid w:val="002814B5"/>
    <w:rsid w:val="00281580"/>
    <w:rsid w:val="002815EF"/>
    <w:rsid w:val="0028162B"/>
    <w:rsid w:val="0028164F"/>
    <w:rsid w:val="00281671"/>
    <w:rsid w:val="002816A8"/>
    <w:rsid w:val="002816C5"/>
    <w:rsid w:val="002816DC"/>
    <w:rsid w:val="00281820"/>
    <w:rsid w:val="00281905"/>
    <w:rsid w:val="00281AA3"/>
    <w:rsid w:val="00281AFD"/>
    <w:rsid w:val="00281B51"/>
    <w:rsid w:val="00281CAC"/>
    <w:rsid w:val="00281E3A"/>
    <w:rsid w:val="00281E73"/>
    <w:rsid w:val="00281F02"/>
    <w:rsid w:val="0028231E"/>
    <w:rsid w:val="002823F8"/>
    <w:rsid w:val="00282546"/>
    <w:rsid w:val="00282577"/>
    <w:rsid w:val="002825FA"/>
    <w:rsid w:val="0028275D"/>
    <w:rsid w:val="002827D2"/>
    <w:rsid w:val="002829B0"/>
    <w:rsid w:val="00282ACA"/>
    <w:rsid w:val="00282AEC"/>
    <w:rsid w:val="00282B6B"/>
    <w:rsid w:val="00282EBC"/>
    <w:rsid w:val="00282F6F"/>
    <w:rsid w:val="0028301C"/>
    <w:rsid w:val="00283032"/>
    <w:rsid w:val="0028309F"/>
    <w:rsid w:val="00283172"/>
    <w:rsid w:val="002832C2"/>
    <w:rsid w:val="002832C6"/>
    <w:rsid w:val="002832F1"/>
    <w:rsid w:val="0028333B"/>
    <w:rsid w:val="00283424"/>
    <w:rsid w:val="0028376C"/>
    <w:rsid w:val="002837C8"/>
    <w:rsid w:val="0028397B"/>
    <w:rsid w:val="00283C35"/>
    <w:rsid w:val="00283CBF"/>
    <w:rsid w:val="00283D03"/>
    <w:rsid w:val="00283D76"/>
    <w:rsid w:val="00283F9D"/>
    <w:rsid w:val="0028406F"/>
    <w:rsid w:val="002841D9"/>
    <w:rsid w:val="002842CF"/>
    <w:rsid w:val="0028430B"/>
    <w:rsid w:val="00284374"/>
    <w:rsid w:val="0028439A"/>
    <w:rsid w:val="0028450A"/>
    <w:rsid w:val="00284613"/>
    <w:rsid w:val="00284996"/>
    <w:rsid w:val="00284A10"/>
    <w:rsid w:val="00284B2F"/>
    <w:rsid w:val="00284CBA"/>
    <w:rsid w:val="00284D47"/>
    <w:rsid w:val="00284DE9"/>
    <w:rsid w:val="00284E0F"/>
    <w:rsid w:val="00284EE6"/>
    <w:rsid w:val="00284F26"/>
    <w:rsid w:val="002850B6"/>
    <w:rsid w:val="0028510D"/>
    <w:rsid w:val="0028520B"/>
    <w:rsid w:val="0028536E"/>
    <w:rsid w:val="0028542B"/>
    <w:rsid w:val="002854BE"/>
    <w:rsid w:val="002856B9"/>
    <w:rsid w:val="00285750"/>
    <w:rsid w:val="002857C1"/>
    <w:rsid w:val="00285905"/>
    <w:rsid w:val="00285A6B"/>
    <w:rsid w:val="00285C5A"/>
    <w:rsid w:val="00285CC9"/>
    <w:rsid w:val="00285D7F"/>
    <w:rsid w:val="00285DED"/>
    <w:rsid w:val="00285E62"/>
    <w:rsid w:val="00285F43"/>
    <w:rsid w:val="0028603A"/>
    <w:rsid w:val="00286044"/>
    <w:rsid w:val="0028605E"/>
    <w:rsid w:val="002860D8"/>
    <w:rsid w:val="002861B1"/>
    <w:rsid w:val="00286337"/>
    <w:rsid w:val="00286370"/>
    <w:rsid w:val="002863A5"/>
    <w:rsid w:val="002863C6"/>
    <w:rsid w:val="0028640E"/>
    <w:rsid w:val="002865D9"/>
    <w:rsid w:val="0028682B"/>
    <w:rsid w:val="00286847"/>
    <w:rsid w:val="00286A2E"/>
    <w:rsid w:val="00286BF2"/>
    <w:rsid w:val="00286C04"/>
    <w:rsid w:val="00286C43"/>
    <w:rsid w:val="00286C44"/>
    <w:rsid w:val="00286D7D"/>
    <w:rsid w:val="00286DD9"/>
    <w:rsid w:val="00286E4D"/>
    <w:rsid w:val="00286F3D"/>
    <w:rsid w:val="002870B1"/>
    <w:rsid w:val="002870BF"/>
    <w:rsid w:val="002871AB"/>
    <w:rsid w:val="0028733A"/>
    <w:rsid w:val="00287370"/>
    <w:rsid w:val="002874EC"/>
    <w:rsid w:val="00287509"/>
    <w:rsid w:val="0028763D"/>
    <w:rsid w:val="002876CA"/>
    <w:rsid w:val="0028772B"/>
    <w:rsid w:val="0028778F"/>
    <w:rsid w:val="00287876"/>
    <w:rsid w:val="002878B6"/>
    <w:rsid w:val="002878C8"/>
    <w:rsid w:val="00287972"/>
    <w:rsid w:val="002879DD"/>
    <w:rsid w:val="00287A12"/>
    <w:rsid w:val="00287A3B"/>
    <w:rsid w:val="00287AF3"/>
    <w:rsid w:val="00287B94"/>
    <w:rsid w:val="00287C92"/>
    <w:rsid w:val="00287CD7"/>
    <w:rsid w:val="00287D93"/>
    <w:rsid w:val="00287E4A"/>
    <w:rsid w:val="00287EBB"/>
    <w:rsid w:val="00287EDC"/>
    <w:rsid w:val="00287F75"/>
    <w:rsid w:val="00290016"/>
    <w:rsid w:val="00290036"/>
    <w:rsid w:val="0029007E"/>
    <w:rsid w:val="002901B0"/>
    <w:rsid w:val="00290229"/>
    <w:rsid w:val="0029040E"/>
    <w:rsid w:val="00290492"/>
    <w:rsid w:val="0029061C"/>
    <w:rsid w:val="00290661"/>
    <w:rsid w:val="002906E9"/>
    <w:rsid w:val="0029070B"/>
    <w:rsid w:val="00290888"/>
    <w:rsid w:val="002908B8"/>
    <w:rsid w:val="0029093B"/>
    <w:rsid w:val="0029098C"/>
    <w:rsid w:val="002909CE"/>
    <w:rsid w:val="00290AF5"/>
    <w:rsid w:val="00290B37"/>
    <w:rsid w:val="00290C0C"/>
    <w:rsid w:val="00290D35"/>
    <w:rsid w:val="00290F71"/>
    <w:rsid w:val="00290FB0"/>
    <w:rsid w:val="00290FB7"/>
    <w:rsid w:val="00290FC7"/>
    <w:rsid w:val="00291054"/>
    <w:rsid w:val="002910A7"/>
    <w:rsid w:val="002910D1"/>
    <w:rsid w:val="00291187"/>
    <w:rsid w:val="00291290"/>
    <w:rsid w:val="0029131B"/>
    <w:rsid w:val="00291321"/>
    <w:rsid w:val="0029139F"/>
    <w:rsid w:val="00291491"/>
    <w:rsid w:val="002915A3"/>
    <w:rsid w:val="002915DB"/>
    <w:rsid w:val="002915EF"/>
    <w:rsid w:val="002916B2"/>
    <w:rsid w:val="0029175C"/>
    <w:rsid w:val="002919B0"/>
    <w:rsid w:val="002919F1"/>
    <w:rsid w:val="002919F6"/>
    <w:rsid w:val="002919F9"/>
    <w:rsid w:val="00291A51"/>
    <w:rsid w:val="00291AAF"/>
    <w:rsid w:val="00291AB2"/>
    <w:rsid w:val="00291D0F"/>
    <w:rsid w:val="00291E04"/>
    <w:rsid w:val="00291E7C"/>
    <w:rsid w:val="00291E81"/>
    <w:rsid w:val="00291EF7"/>
    <w:rsid w:val="00291FBA"/>
    <w:rsid w:val="00292016"/>
    <w:rsid w:val="00292085"/>
    <w:rsid w:val="002920A7"/>
    <w:rsid w:val="0029214E"/>
    <w:rsid w:val="002922F6"/>
    <w:rsid w:val="0029235C"/>
    <w:rsid w:val="0029243F"/>
    <w:rsid w:val="002924E4"/>
    <w:rsid w:val="00292513"/>
    <w:rsid w:val="00292580"/>
    <w:rsid w:val="00292604"/>
    <w:rsid w:val="00292651"/>
    <w:rsid w:val="002926E0"/>
    <w:rsid w:val="002926EF"/>
    <w:rsid w:val="002929CC"/>
    <w:rsid w:val="00292A5F"/>
    <w:rsid w:val="00292AF6"/>
    <w:rsid w:val="00292B86"/>
    <w:rsid w:val="00292BD2"/>
    <w:rsid w:val="00292BD6"/>
    <w:rsid w:val="00292BF4"/>
    <w:rsid w:val="00292CA5"/>
    <w:rsid w:val="00292DE7"/>
    <w:rsid w:val="00292DEE"/>
    <w:rsid w:val="00292F00"/>
    <w:rsid w:val="00293042"/>
    <w:rsid w:val="0029323E"/>
    <w:rsid w:val="002932CA"/>
    <w:rsid w:val="0029338D"/>
    <w:rsid w:val="0029345A"/>
    <w:rsid w:val="002934E3"/>
    <w:rsid w:val="0029356F"/>
    <w:rsid w:val="00293598"/>
    <w:rsid w:val="0029362A"/>
    <w:rsid w:val="0029363A"/>
    <w:rsid w:val="00293644"/>
    <w:rsid w:val="002936CA"/>
    <w:rsid w:val="00293770"/>
    <w:rsid w:val="00293790"/>
    <w:rsid w:val="002937BE"/>
    <w:rsid w:val="0029382A"/>
    <w:rsid w:val="0029391D"/>
    <w:rsid w:val="00293940"/>
    <w:rsid w:val="00293A4C"/>
    <w:rsid w:val="00293AA2"/>
    <w:rsid w:val="00293B7B"/>
    <w:rsid w:val="00293B85"/>
    <w:rsid w:val="00293C07"/>
    <w:rsid w:val="00293D28"/>
    <w:rsid w:val="00293D66"/>
    <w:rsid w:val="00293D90"/>
    <w:rsid w:val="00293DC8"/>
    <w:rsid w:val="00293E58"/>
    <w:rsid w:val="00293F83"/>
    <w:rsid w:val="00294102"/>
    <w:rsid w:val="002942CB"/>
    <w:rsid w:val="002943BA"/>
    <w:rsid w:val="0029447D"/>
    <w:rsid w:val="002944B3"/>
    <w:rsid w:val="002944C9"/>
    <w:rsid w:val="00294555"/>
    <w:rsid w:val="002945BC"/>
    <w:rsid w:val="002945D3"/>
    <w:rsid w:val="00294656"/>
    <w:rsid w:val="002946AD"/>
    <w:rsid w:val="0029483A"/>
    <w:rsid w:val="002948DA"/>
    <w:rsid w:val="002948FE"/>
    <w:rsid w:val="0029495F"/>
    <w:rsid w:val="00294977"/>
    <w:rsid w:val="002949D1"/>
    <w:rsid w:val="00294C77"/>
    <w:rsid w:val="00294CC7"/>
    <w:rsid w:val="00294CEB"/>
    <w:rsid w:val="00294D23"/>
    <w:rsid w:val="00294DB5"/>
    <w:rsid w:val="00295026"/>
    <w:rsid w:val="00295062"/>
    <w:rsid w:val="002952D8"/>
    <w:rsid w:val="00295305"/>
    <w:rsid w:val="002953A6"/>
    <w:rsid w:val="002953F2"/>
    <w:rsid w:val="002953F3"/>
    <w:rsid w:val="002954B6"/>
    <w:rsid w:val="00295529"/>
    <w:rsid w:val="002956A5"/>
    <w:rsid w:val="002957CA"/>
    <w:rsid w:val="002957FF"/>
    <w:rsid w:val="00295835"/>
    <w:rsid w:val="002958E3"/>
    <w:rsid w:val="002959B9"/>
    <w:rsid w:val="00295B60"/>
    <w:rsid w:val="00295D4C"/>
    <w:rsid w:val="00295F55"/>
    <w:rsid w:val="00296080"/>
    <w:rsid w:val="002960BE"/>
    <w:rsid w:val="002960CE"/>
    <w:rsid w:val="00296101"/>
    <w:rsid w:val="0029626B"/>
    <w:rsid w:val="00296298"/>
    <w:rsid w:val="0029643E"/>
    <w:rsid w:val="002964C7"/>
    <w:rsid w:val="00296511"/>
    <w:rsid w:val="00296621"/>
    <w:rsid w:val="00296630"/>
    <w:rsid w:val="002966A6"/>
    <w:rsid w:val="002966BD"/>
    <w:rsid w:val="00296764"/>
    <w:rsid w:val="00296786"/>
    <w:rsid w:val="002967CE"/>
    <w:rsid w:val="00296859"/>
    <w:rsid w:val="002968CA"/>
    <w:rsid w:val="00296AFB"/>
    <w:rsid w:val="00296C46"/>
    <w:rsid w:val="00296C4F"/>
    <w:rsid w:val="00296CBF"/>
    <w:rsid w:val="00296D80"/>
    <w:rsid w:val="00296E79"/>
    <w:rsid w:val="00296E93"/>
    <w:rsid w:val="00297141"/>
    <w:rsid w:val="00297148"/>
    <w:rsid w:val="002971C7"/>
    <w:rsid w:val="00297387"/>
    <w:rsid w:val="002973CF"/>
    <w:rsid w:val="00297421"/>
    <w:rsid w:val="002974BD"/>
    <w:rsid w:val="0029753A"/>
    <w:rsid w:val="002976D8"/>
    <w:rsid w:val="002977CB"/>
    <w:rsid w:val="002977ED"/>
    <w:rsid w:val="002978B3"/>
    <w:rsid w:val="0029792B"/>
    <w:rsid w:val="002979BD"/>
    <w:rsid w:val="00297A31"/>
    <w:rsid w:val="00297B14"/>
    <w:rsid w:val="00297B96"/>
    <w:rsid w:val="00297BB5"/>
    <w:rsid w:val="00297BEB"/>
    <w:rsid w:val="00297C86"/>
    <w:rsid w:val="00297C90"/>
    <w:rsid w:val="00297EAA"/>
    <w:rsid w:val="00297EAF"/>
    <w:rsid w:val="00297F42"/>
    <w:rsid w:val="002A0078"/>
    <w:rsid w:val="002A00FF"/>
    <w:rsid w:val="002A0144"/>
    <w:rsid w:val="002A0199"/>
    <w:rsid w:val="002A0468"/>
    <w:rsid w:val="002A04EE"/>
    <w:rsid w:val="002A05AC"/>
    <w:rsid w:val="002A061A"/>
    <w:rsid w:val="002A06B3"/>
    <w:rsid w:val="002A06DE"/>
    <w:rsid w:val="002A076A"/>
    <w:rsid w:val="002A07B4"/>
    <w:rsid w:val="002A08EB"/>
    <w:rsid w:val="002A09F9"/>
    <w:rsid w:val="002A0A48"/>
    <w:rsid w:val="002A0ABF"/>
    <w:rsid w:val="002A0B0C"/>
    <w:rsid w:val="002A0B5D"/>
    <w:rsid w:val="002A0EA5"/>
    <w:rsid w:val="002A0ECC"/>
    <w:rsid w:val="002A0F09"/>
    <w:rsid w:val="002A125B"/>
    <w:rsid w:val="002A1374"/>
    <w:rsid w:val="002A13FD"/>
    <w:rsid w:val="002A1521"/>
    <w:rsid w:val="002A15DB"/>
    <w:rsid w:val="002A171B"/>
    <w:rsid w:val="002A1793"/>
    <w:rsid w:val="002A1930"/>
    <w:rsid w:val="002A19DB"/>
    <w:rsid w:val="002A19FD"/>
    <w:rsid w:val="002A1A19"/>
    <w:rsid w:val="002A1AF1"/>
    <w:rsid w:val="002A1B5C"/>
    <w:rsid w:val="002A1C5F"/>
    <w:rsid w:val="002A1CD6"/>
    <w:rsid w:val="002A1D7F"/>
    <w:rsid w:val="002A1D93"/>
    <w:rsid w:val="002A1E8E"/>
    <w:rsid w:val="002A2080"/>
    <w:rsid w:val="002A2123"/>
    <w:rsid w:val="002A2181"/>
    <w:rsid w:val="002A2256"/>
    <w:rsid w:val="002A2336"/>
    <w:rsid w:val="002A237A"/>
    <w:rsid w:val="002A2443"/>
    <w:rsid w:val="002A24A9"/>
    <w:rsid w:val="002A25FD"/>
    <w:rsid w:val="002A2640"/>
    <w:rsid w:val="002A265B"/>
    <w:rsid w:val="002A27AD"/>
    <w:rsid w:val="002A2A23"/>
    <w:rsid w:val="002A2C83"/>
    <w:rsid w:val="002A2D3C"/>
    <w:rsid w:val="002A2EDB"/>
    <w:rsid w:val="002A2EF5"/>
    <w:rsid w:val="002A2F10"/>
    <w:rsid w:val="002A2F2D"/>
    <w:rsid w:val="002A2F36"/>
    <w:rsid w:val="002A2F66"/>
    <w:rsid w:val="002A2F87"/>
    <w:rsid w:val="002A2FC8"/>
    <w:rsid w:val="002A3039"/>
    <w:rsid w:val="002A310B"/>
    <w:rsid w:val="002A3191"/>
    <w:rsid w:val="002A31EC"/>
    <w:rsid w:val="002A31F4"/>
    <w:rsid w:val="002A324C"/>
    <w:rsid w:val="002A32DC"/>
    <w:rsid w:val="002A333B"/>
    <w:rsid w:val="002A342C"/>
    <w:rsid w:val="002A35AC"/>
    <w:rsid w:val="002A3609"/>
    <w:rsid w:val="002A362B"/>
    <w:rsid w:val="002A366D"/>
    <w:rsid w:val="002A36AF"/>
    <w:rsid w:val="002A3880"/>
    <w:rsid w:val="002A38D2"/>
    <w:rsid w:val="002A3976"/>
    <w:rsid w:val="002A3A74"/>
    <w:rsid w:val="002A3AC1"/>
    <w:rsid w:val="002A3AE7"/>
    <w:rsid w:val="002A3B25"/>
    <w:rsid w:val="002A3B57"/>
    <w:rsid w:val="002A3BC7"/>
    <w:rsid w:val="002A3C11"/>
    <w:rsid w:val="002A3CB3"/>
    <w:rsid w:val="002A3CFE"/>
    <w:rsid w:val="002A3D77"/>
    <w:rsid w:val="002A3E0A"/>
    <w:rsid w:val="002A3E66"/>
    <w:rsid w:val="002A3F5C"/>
    <w:rsid w:val="002A4004"/>
    <w:rsid w:val="002A41A7"/>
    <w:rsid w:val="002A41CA"/>
    <w:rsid w:val="002A4245"/>
    <w:rsid w:val="002A460E"/>
    <w:rsid w:val="002A463C"/>
    <w:rsid w:val="002A47C1"/>
    <w:rsid w:val="002A48CF"/>
    <w:rsid w:val="002A491B"/>
    <w:rsid w:val="002A49FC"/>
    <w:rsid w:val="002A4A49"/>
    <w:rsid w:val="002A4A4C"/>
    <w:rsid w:val="002A4AAC"/>
    <w:rsid w:val="002A4B8D"/>
    <w:rsid w:val="002A4C81"/>
    <w:rsid w:val="002A4CE0"/>
    <w:rsid w:val="002A4D5C"/>
    <w:rsid w:val="002A4D85"/>
    <w:rsid w:val="002A4DD3"/>
    <w:rsid w:val="002A4E64"/>
    <w:rsid w:val="002A4EB0"/>
    <w:rsid w:val="002A4EF7"/>
    <w:rsid w:val="002A500B"/>
    <w:rsid w:val="002A50BA"/>
    <w:rsid w:val="002A5130"/>
    <w:rsid w:val="002A5339"/>
    <w:rsid w:val="002A540F"/>
    <w:rsid w:val="002A54FC"/>
    <w:rsid w:val="002A555D"/>
    <w:rsid w:val="002A569D"/>
    <w:rsid w:val="002A5809"/>
    <w:rsid w:val="002A582C"/>
    <w:rsid w:val="002A5847"/>
    <w:rsid w:val="002A5903"/>
    <w:rsid w:val="002A59DA"/>
    <w:rsid w:val="002A5ADC"/>
    <w:rsid w:val="002A5BE5"/>
    <w:rsid w:val="002A5C95"/>
    <w:rsid w:val="002A5D3D"/>
    <w:rsid w:val="002A5D44"/>
    <w:rsid w:val="002A5DF1"/>
    <w:rsid w:val="002A5E14"/>
    <w:rsid w:val="002A5E19"/>
    <w:rsid w:val="002A5F05"/>
    <w:rsid w:val="002A5F55"/>
    <w:rsid w:val="002A5FF4"/>
    <w:rsid w:val="002A60A9"/>
    <w:rsid w:val="002A60F5"/>
    <w:rsid w:val="002A6250"/>
    <w:rsid w:val="002A628F"/>
    <w:rsid w:val="002A62E3"/>
    <w:rsid w:val="002A645C"/>
    <w:rsid w:val="002A657A"/>
    <w:rsid w:val="002A65AD"/>
    <w:rsid w:val="002A67AB"/>
    <w:rsid w:val="002A67BC"/>
    <w:rsid w:val="002A6804"/>
    <w:rsid w:val="002A6867"/>
    <w:rsid w:val="002A68B8"/>
    <w:rsid w:val="002A69A9"/>
    <w:rsid w:val="002A6A87"/>
    <w:rsid w:val="002A6B97"/>
    <w:rsid w:val="002A6BCD"/>
    <w:rsid w:val="002A6BE2"/>
    <w:rsid w:val="002A6C21"/>
    <w:rsid w:val="002A6C34"/>
    <w:rsid w:val="002A6C44"/>
    <w:rsid w:val="002A6CC3"/>
    <w:rsid w:val="002A6DDD"/>
    <w:rsid w:val="002A6DEA"/>
    <w:rsid w:val="002A6E35"/>
    <w:rsid w:val="002A7026"/>
    <w:rsid w:val="002A7081"/>
    <w:rsid w:val="002A70E8"/>
    <w:rsid w:val="002A71F4"/>
    <w:rsid w:val="002A7208"/>
    <w:rsid w:val="002A72FE"/>
    <w:rsid w:val="002A7306"/>
    <w:rsid w:val="002A7320"/>
    <w:rsid w:val="002A733D"/>
    <w:rsid w:val="002A7358"/>
    <w:rsid w:val="002A73AE"/>
    <w:rsid w:val="002A740B"/>
    <w:rsid w:val="002A751D"/>
    <w:rsid w:val="002A754A"/>
    <w:rsid w:val="002A757E"/>
    <w:rsid w:val="002A75A8"/>
    <w:rsid w:val="002A767B"/>
    <w:rsid w:val="002A7860"/>
    <w:rsid w:val="002A787F"/>
    <w:rsid w:val="002A78D8"/>
    <w:rsid w:val="002A7C24"/>
    <w:rsid w:val="002A7C34"/>
    <w:rsid w:val="002A7C79"/>
    <w:rsid w:val="002A7D6D"/>
    <w:rsid w:val="002A7E4E"/>
    <w:rsid w:val="002A7E61"/>
    <w:rsid w:val="002A7E7C"/>
    <w:rsid w:val="002A7FB4"/>
    <w:rsid w:val="002B0007"/>
    <w:rsid w:val="002B015E"/>
    <w:rsid w:val="002B01B6"/>
    <w:rsid w:val="002B0293"/>
    <w:rsid w:val="002B02D5"/>
    <w:rsid w:val="002B0374"/>
    <w:rsid w:val="002B0399"/>
    <w:rsid w:val="002B039B"/>
    <w:rsid w:val="002B03C7"/>
    <w:rsid w:val="002B044E"/>
    <w:rsid w:val="002B04AF"/>
    <w:rsid w:val="002B0570"/>
    <w:rsid w:val="002B05A5"/>
    <w:rsid w:val="002B0614"/>
    <w:rsid w:val="002B066F"/>
    <w:rsid w:val="002B070C"/>
    <w:rsid w:val="002B0754"/>
    <w:rsid w:val="002B07F8"/>
    <w:rsid w:val="002B08CF"/>
    <w:rsid w:val="002B091E"/>
    <w:rsid w:val="002B0A5A"/>
    <w:rsid w:val="002B0B15"/>
    <w:rsid w:val="002B0C18"/>
    <w:rsid w:val="002B0C4D"/>
    <w:rsid w:val="002B0D1F"/>
    <w:rsid w:val="002B0DE8"/>
    <w:rsid w:val="002B0E4F"/>
    <w:rsid w:val="002B0E57"/>
    <w:rsid w:val="002B0E65"/>
    <w:rsid w:val="002B0F1F"/>
    <w:rsid w:val="002B0F97"/>
    <w:rsid w:val="002B11C6"/>
    <w:rsid w:val="002B13CF"/>
    <w:rsid w:val="002B15DD"/>
    <w:rsid w:val="002B1702"/>
    <w:rsid w:val="002B1737"/>
    <w:rsid w:val="002B176A"/>
    <w:rsid w:val="002B187E"/>
    <w:rsid w:val="002B18D4"/>
    <w:rsid w:val="002B194C"/>
    <w:rsid w:val="002B1A62"/>
    <w:rsid w:val="002B1ACD"/>
    <w:rsid w:val="002B1B05"/>
    <w:rsid w:val="002B1B75"/>
    <w:rsid w:val="002B1D88"/>
    <w:rsid w:val="002B1D8F"/>
    <w:rsid w:val="002B1ED4"/>
    <w:rsid w:val="002B1FB9"/>
    <w:rsid w:val="002B201B"/>
    <w:rsid w:val="002B20A0"/>
    <w:rsid w:val="002B21AB"/>
    <w:rsid w:val="002B21DF"/>
    <w:rsid w:val="002B231C"/>
    <w:rsid w:val="002B25E6"/>
    <w:rsid w:val="002B2609"/>
    <w:rsid w:val="002B2748"/>
    <w:rsid w:val="002B276A"/>
    <w:rsid w:val="002B292C"/>
    <w:rsid w:val="002B2982"/>
    <w:rsid w:val="002B2999"/>
    <w:rsid w:val="002B2A0F"/>
    <w:rsid w:val="002B2AC6"/>
    <w:rsid w:val="002B2AE8"/>
    <w:rsid w:val="002B2BDB"/>
    <w:rsid w:val="002B2BF4"/>
    <w:rsid w:val="002B2F5A"/>
    <w:rsid w:val="002B2FE2"/>
    <w:rsid w:val="002B3048"/>
    <w:rsid w:val="002B3223"/>
    <w:rsid w:val="002B33EA"/>
    <w:rsid w:val="002B367F"/>
    <w:rsid w:val="002B3714"/>
    <w:rsid w:val="002B3749"/>
    <w:rsid w:val="002B3799"/>
    <w:rsid w:val="002B37EB"/>
    <w:rsid w:val="002B39EE"/>
    <w:rsid w:val="002B3A10"/>
    <w:rsid w:val="002B3AF2"/>
    <w:rsid w:val="002B3BDC"/>
    <w:rsid w:val="002B3BF4"/>
    <w:rsid w:val="002B3C59"/>
    <w:rsid w:val="002B3DD0"/>
    <w:rsid w:val="002B3E5A"/>
    <w:rsid w:val="002B3E76"/>
    <w:rsid w:val="002B3E7A"/>
    <w:rsid w:val="002B3ECE"/>
    <w:rsid w:val="002B3F10"/>
    <w:rsid w:val="002B4132"/>
    <w:rsid w:val="002B42D9"/>
    <w:rsid w:val="002B44B4"/>
    <w:rsid w:val="002B45A7"/>
    <w:rsid w:val="002B4680"/>
    <w:rsid w:val="002B471A"/>
    <w:rsid w:val="002B47C3"/>
    <w:rsid w:val="002B4808"/>
    <w:rsid w:val="002B4842"/>
    <w:rsid w:val="002B4995"/>
    <w:rsid w:val="002B49F9"/>
    <w:rsid w:val="002B4AF9"/>
    <w:rsid w:val="002B4B5E"/>
    <w:rsid w:val="002B4C59"/>
    <w:rsid w:val="002B4D5E"/>
    <w:rsid w:val="002B4D68"/>
    <w:rsid w:val="002B4D80"/>
    <w:rsid w:val="002B4DA3"/>
    <w:rsid w:val="002B4EA8"/>
    <w:rsid w:val="002B4F5A"/>
    <w:rsid w:val="002B4FCB"/>
    <w:rsid w:val="002B503A"/>
    <w:rsid w:val="002B5057"/>
    <w:rsid w:val="002B5292"/>
    <w:rsid w:val="002B5394"/>
    <w:rsid w:val="002B53D7"/>
    <w:rsid w:val="002B540C"/>
    <w:rsid w:val="002B5451"/>
    <w:rsid w:val="002B5493"/>
    <w:rsid w:val="002B55D1"/>
    <w:rsid w:val="002B56B4"/>
    <w:rsid w:val="002B5794"/>
    <w:rsid w:val="002B5823"/>
    <w:rsid w:val="002B5924"/>
    <w:rsid w:val="002B5942"/>
    <w:rsid w:val="002B5B05"/>
    <w:rsid w:val="002B5B40"/>
    <w:rsid w:val="002B5B41"/>
    <w:rsid w:val="002B5CA1"/>
    <w:rsid w:val="002B5D48"/>
    <w:rsid w:val="002B5EF0"/>
    <w:rsid w:val="002B5F3C"/>
    <w:rsid w:val="002B6004"/>
    <w:rsid w:val="002B61E0"/>
    <w:rsid w:val="002B624A"/>
    <w:rsid w:val="002B63BA"/>
    <w:rsid w:val="002B6494"/>
    <w:rsid w:val="002B64E9"/>
    <w:rsid w:val="002B65DC"/>
    <w:rsid w:val="002B66F2"/>
    <w:rsid w:val="002B679B"/>
    <w:rsid w:val="002B67A7"/>
    <w:rsid w:val="002B67BF"/>
    <w:rsid w:val="002B67EC"/>
    <w:rsid w:val="002B68F6"/>
    <w:rsid w:val="002B69AC"/>
    <w:rsid w:val="002B69BF"/>
    <w:rsid w:val="002B6B2E"/>
    <w:rsid w:val="002B6CAC"/>
    <w:rsid w:val="002B6DBE"/>
    <w:rsid w:val="002B6E99"/>
    <w:rsid w:val="002B6EE9"/>
    <w:rsid w:val="002B6F91"/>
    <w:rsid w:val="002B6FF7"/>
    <w:rsid w:val="002B70C2"/>
    <w:rsid w:val="002B7146"/>
    <w:rsid w:val="002B7169"/>
    <w:rsid w:val="002B727E"/>
    <w:rsid w:val="002B736C"/>
    <w:rsid w:val="002B753F"/>
    <w:rsid w:val="002B75A5"/>
    <w:rsid w:val="002B7616"/>
    <w:rsid w:val="002B76AC"/>
    <w:rsid w:val="002B7719"/>
    <w:rsid w:val="002B77A5"/>
    <w:rsid w:val="002B783D"/>
    <w:rsid w:val="002B7883"/>
    <w:rsid w:val="002B7887"/>
    <w:rsid w:val="002B78AF"/>
    <w:rsid w:val="002B78DB"/>
    <w:rsid w:val="002B7A9F"/>
    <w:rsid w:val="002B7BD8"/>
    <w:rsid w:val="002B7CEF"/>
    <w:rsid w:val="002B7D5A"/>
    <w:rsid w:val="002B7E18"/>
    <w:rsid w:val="002B7E61"/>
    <w:rsid w:val="002B7E67"/>
    <w:rsid w:val="002B7EB5"/>
    <w:rsid w:val="002B7F63"/>
    <w:rsid w:val="002B7F94"/>
    <w:rsid w:val="002C0143"/>
    <w:rsid w:val="002C0149"/>
    <w:rsid w:val="002C01FC"/>
    <w:rsid w:val="002C028F"/>
    <w:rsid w:val="002C0292"/>
    <w:rsid w:val="002C0303"/>
    <w:rsid w:val="002C07CD"/>
    <w:rsid w:val="002C09E0"/>
    <w:rsid w:val="002C0A0D"/>
    <w:rsid w:val="002C0A1C"/>
    <w:rsid w:val="002C0A72"/>
    <w:rsid w:val="002C0A87"/>
    <w:rsid w:val="002C0B35"/>
    <w:rsid w:val="002C0B46"/>
    <w:rsid w:val="002C0C23"/>
    <w:rsid w:val="002C0CFC"/>
    <w:rsid w:val="002C0D38"/>
    <w:rsid w:val="002C0DA6"/>
    <w:rsid w:val="002C0E25"/>
    <w:rsid w:val="002C0ED0"/>
    <w:rsid w:val="002C0F3A"/>
    <w:rsid w:val="002C0F90"/>
    <w:rsid w:val="002C103A"/>
    <w:rsid w:val="002C10C1"/>
    <w:rsid w:val="002C1148"/>
    <w:rsid w:val="002C1274"/>
    <w:rsid w:val="002C147B"/>
    <w:rsid w:val="002C1496"/>
    <w:rsid w:val="002C14FC"/>
    <w:rsid w:val="002C15A1"/>
    <w:rsid w:val="002C1673"/>
    <w:rsid w:val="002C16DF"/>
    <w:rsid w:val="002C193D"/>
    <w:rsid w:val="002C1996"/>
    <w:rsid w:val="002C19D8"/>
    <w:rsid w:val="002C19EC"/>
    <w:rsid w:val="002C1C85"/>
    <w:rsid w:val="002C1CD8"/>
    <w:rsid w:val="002C1D41"/>
    <w:rsid w:val="002C1DC1"/>
    <w:rsid w:val="002C1DD3"/>
    <w:rsid w:val="002C1F87"/>
    <w:rsid w:val="002C208E"/>
    <w:rsid w:val="002C20B7"/>
    <w:rsid w:val="002C224E"/>
    <w:rsid w:val="002C22F3"/>
    <w:rsid w:val="002C22F5"/>
    <w:rsid w:val="002C238C"/>
    <w:rsid w:val="002C2441"/>
    <w:rsid w:val="002C2533"/>
    <w:rsid w:val="002C2564"/>
    <w:rsid w:val="002C2590"/>
    <w:rsid w:val="002C25E3"/>
    <w:rsid w:val="002C263A"/>
    <w:rsid w:val="002C26D7"/>
    <w:rsid w:val="002C26E0"/>
    <w:rsid w:val="002C275A"/>
    <w:rsid w:val="002C27C5"/>
    <w:rsid w:val="002C28C0"/>
    <w:rsid w:val="002C2919"/>
    <w:rsid w:val="002C29D2"/>
    <w:rsid w:val="002C2AF6"/>
    <w:rsid w:val="002C2C51"/>
    <w:rsid w:val="002C2C8E"/>
    <w:rsid w:val="002C2CB3"/>
    <w:rsid w:val="002C2CF9"/>
    <w:rsid w:val="002C2D51"/>
    <w:rsid w:val="002C2E04"/>
    <w:rsid w:val="002C2E50"/>
    <w:rsid w:val="002C2FB9"/>
    <w:rsid w:val="002C2FF4"/>
    <w:rsid w:val="002C30EE"/>
    <w:rsid w:val="002C3133"/>
    <w:rsid w:val="002C315B"/>
    <w:rsid w:val="002C3202"/>
    <w:rsid w:val="002C3237"/>
    <w:rsid w:val="002C32C7"/>
    <w:rsid w:val="002C32FD"/>
    <w:rsid w:val="002C32FF"/>
    <w:rsid w:val="002C3423"/>
    <w:rsid w:val="002C350C"/>
    <w:rsid w:val="002C354F"/>
    <w:rsid w:val="002C3615"/>
    <w:rsid w:val="002C3866"/>
    <w:rsid w:val="002C3947"/>
    <w:rsid w:val="002C3989"/>
    <w:rsid w:val="002C39CF"/>
    <w:rsid w:val="002C3A76"/>
    <w:rsid w:val="002C3A7A"/>
    <w:rsid w:val="002C3AB6"/>
    <w:rsid w:val="002C3B58"/>
    <w:rsid w:val="002C3B99"/>
    <w:rsid w:val="002C3CA2"/>
    <w:rsid w:val="002C3D87"/>
    <w:rsid w:val="002C3DB3"/>
    <w:rsid w:val="002C3E5A"/>
    <w:rsid w:val="002C3F81"/>
    <w:rsid w:val="002C3F8F"/>
    <w:rsid w:val="002C40B3"/>
    <w:rsid w:val="002C4109"/>
    <w:rsid w:val="002C4171"/>
    <w:rsid w:val="002C4189"/>
    <w:rsid w:val="002C41B2"/>
    <w:rsid w:val="002C4369"/>
    <w:rsid w:val="002C4593"/>
    <w:rsid w:val="002C4742"/>
    <w:rsid w:val="002C47BD"/>
    <w:rsid w:val="002C48D6"/>
    <w:rsid w:val="002C490B"/>
    <w:rsid w:val="002C496C"/>
    <w:rsid w:val="002C49CA"/>
    <w:rsid w:val="002C4A1A"/>
    <w:rsid w:val="002C4A40"/>
    <w:rsid w:val="002C4A9E"/>
    <w:rsid w:val="002C4AD0"/>
    <w:rsid w:val="002C4B15"/>
    <w:rsid w:val="002C4B51"/>
    <w:rsid w:val="002C4B87"/>
    <w:rsid w:val="002C4B91"/>
    <w:rsid w:val="002C4C4C"/>
    <w:rsid w:val="002C4C96"/>
    <w:rsid w:val="002C4C9D"/>
    <w:rsid w:val="002C4CA1"/>
    <w:rsid w:val="002C4D14"/>
    <w:rsid w:val="002C4E31"/>
    <w:rsid w:val="002C4E92"/>
    <w:rsid w:val="002C4EFB"/>
    <w:rsid w:val="002C4FCB"/>
    <w:rsid w:val="002C50E7"/>
    <w:rsid w:val="002C50FB"/>
    <w:rsid w:val="002C514E"/>
    <w:rsid w:val="002C5225"/>
    <w:rsid w:val="002C527F"/>
    <w:rsid w:val="002C53C0"/>
    <w:rsid w:val="002C552D"/>
    <w:rsid w:val="002C5578"/>
    <w:rsid w:val="002C55DF"/>
    <w:rsid w:val="002C561A"/>
    <w:rsid w:val="002C56AC"/>
    <w:rsid w:val="002C5A4E"/>
    <w:rsid w:val="002C5CA9"/>
    <w:rsid w:val="002C5D85"/>
    <w:rsid w:val="002C5DE8"/>
    <w:rsid w:val="002C5E56"/>
    <w:rsid w:val="002C5F0E"/>
    <w:rsid w:val="002C6074"/>
    <w:rsid w:val="002C60E6"/>
    <w:rsid w:val="002C6259"/>
    <w:rsid w:val="002C6407"/>
    <w:rsid w:val="002C643D"/>
    <w:rsid w:val="002C6494"/>
    <w:rsid w:val="002C6628"/>
    <w:rsid w:val="002C664A"/>
    <w:rsid w:val="002C6659"/>
    <w:rsid w:val="002C66C6"/>
    <w:rsid w:val="002C6821"/>
    <w:rsid w:val="002C6829"/>
    <w:rsid w:val="002C6852"/>
    <w:rsid w:val="002C6874"/>
    <w:rsid w:val="002C68E3"/>
    <w:rsid w:val="002C690B"/>
    <w:rsid w:val="002C6964"/>
    <w:rsid w:val="002C69C9"/>
    <w:rsid w:val="002C6A49"/>
    <w:rsid w:val="002C6A60"/>
    <w:rsid w:val="002C6B9F"/>
    <w:rsid w:val="002C6BCB"/>
    <w:rsid w:val="002C6C19"/>
    <w:rsid w:val="002C6D8D"/>
    <w:rsid w:val="002C6E1C"/>
    <w:rsid w:val="002C6E54"/>
    <w:rsid w:val="002C6F8C"/>
    <w:rsid w:val="002C7049"/>
    <w:rsid w:val="002C7113"/>
    <w:rsid w:val="002C7337"/>
    <w:rsid w:val="002C7391"/>
    <w:rsid w:val="002C74A9"/>
    <w:rsid w:val="002C74D5"/>
    <w:rsid w:val="002C77FD"/>
    <w:rsid w:val="002C78A7"/>
    <w:rsid w:val="002C798C"/>
    <w:rsid w:val="002C79FA"/>
    <w:rsid w:val="002C7A10"/>
    <w:rsid w:val="002C7C8A"/>
    <w:rsid w:val="002C7CF0"/>
    <w:rsid w:val="002C7DF7"/>
    <w:rsid w:val="002C7EA4"/>
    <w:rsid w:val="002C7EE0"/>
    <w:rsid w:val="002C7F0F"/>
    <w:rsid w:val="002D001D"/>
    <w:rsid w:val="002D0034"/>
    <w:rsid w:val="002D00A5"/>
    <w:rsid w:val="002D0124"/>
    <w:rsid w:val="002D0155"/>
    <w:rsid w:val="002D01BD"/>
    <w:rsid w:val="002D023C"/>
    <w:rsid w:val="002D02A9"/>
    <w:rsid w:val="002D030A"/>
    <w:rsid w:val="002D03B1"/>
    <w:rsid w:val="002D0446"/>
    <w:rsid w:val="002D0490"/>
    <w:rsid w:val="002D060E"/>
    <w:rsid w:val="002D06A9"/>
    <w:rsid w:val="002D06B9"/>
    <w:rsid w:val="002D070D"/>
    <w:rsid w:val="002D0771"/>
    <w:rsid w:val="002D0873"/>
    <w:rsid w:val="002D08CA"/>
    <w:rsid w:val="002D094D"/>
    <w:rsid w:val="002D09B7"/>
    <w:rsid w:val="002D09C2"/>
    <w:rsid w:val="002D09EB"/>
    <w:rsid w:val="002D0A89"/>
    <w:rsid w:val="002D0BD1"/>
    <w:rsid w:val="002D0E81"/>
    <w:rsid w:val="002D0F4E"/>
    <w:rsid w:val="002D1011"/>
    <w:rsid w:val="002D103F"/>
    <w:rsid w:val="002D106C"/>
    <w:rsid w:val="002D111F"/>
    <w:rsid w:val="002D1269"/>
    <w:rsid w:val="002D12EB"/>
    <w:rsid w:val="002D14BB"/>
    <w:rsid w:val="002D1502"/>
    <w:rsid w:val="002D15D8"/>
    <w:rsid w:val="002D1604"/>
    <w:rsid w:val="002D18E9"/>
    <w:rsid w:val="002D1908"/>
    <w:rsid w:val="002D1980"/>
    <w:rsid w:val="002D19D3"/>
    <w:rsid w:val="002D19EA"/>
    <w:rsid w:val="002D1A43"/>
    <w:rsid w:val="002D1C3D"/>
    <w:rsid w:val="002D1D7B"/>
    <w:rsid w:val="002D1DDE"/>
    <w:rsid w:val="002D1F4C"/>
    <w:rsid w:val="002D1F66"/>
    <w:rsid w:val="002D1F68"/>
    <w:rsid w:val="002D2017"/>
    <w:rsid w:val="002D20EF"/>
    <w:rsid w:val="002D217D"/>
    <w:rsid w:val="002D21E2"/>
    <w:rsid w:val="002D287D"/>
    <w:rsid w:val="002D29B0"/>
    <w:rsid w:val="002D2B3B"/>
    <w:rsid w:val="002D2B5D"/>
    <w:rsid w:val="002D2B71"/>
    <w:rsid w:val="002D2B83"/>
    <w:rsid w:val="002D2BBB"/>
    <w:rsid w:val="002D2D3A"/>
    <w:rsid w:val="002D2DF1"/>
    <w:rsid w:val="002D2E31"/>
    <w:rsid w:val="002D31DA"/>
    <w:rsid w:val="002D31DB"/>
    <w:rsid w:val="002D3386"/>
    <w:rsid w:val="002D3387"/>
    <w:rsid w:val="002D33C4"/>
    <w:rsid w:val="002D3479"/>
    <w:rsid w:val="002D3494"/>
    <w:rsid w:val="002D3572"/>
    <w:rsid w:val="002D35EE"/>
    <w:rsid w:val="002D366E"/>
    <w:rsid w:val="002D36FB"/>
    <w:rsid w:val="002D3749"/>
    <w:rsid w:val="002D3785"/>
    <w:rsid w:val="002D3817"/>
    <w:rsid w:val="002D388E"/>
    <w:rsid w:val="002D38A7"/>
    <w:rsid w:val="002D39D2"/>
    <w:rsid w:val="002D3A2D"/>
    <w:rsid w:val="002D3A4E"/>
    <w:rsid w:val="002D3AD0"/>
    <w:rsid w:val="002D3B86"/>
    <w:rsid w:val="002D3C4A"/>
    <w:rsid w:val="002D3C9F"/>
    <w:rsid w:val="002D3DF6"/>
    <w:rsid w:val="002D3E06"/>
    <w:rsid w:val="002D3E2D"/>
    <w:rsid w:val="002D3F0A"/>
    <w:rsid w:val="002D3F24"/>
    <w:rsid w:val="002D3F52"/>
    <w:rsid w:val="002D406D"/>
    <w:rsid w:val="002D40A3"/>
    <w:rsid w:val="002D40C8"/>
    <w:rsid w:val="002D4316"/>
    <w:rsid w:val="002D43BF"/>
    <w:rsid w:val="002D452F"/>
    <w:rsid w:val="002D460A"/>
    <w:rsid w:val="002D46AC"/>
    <w:rsid w:val="002D4764"/>
    <w:rsid w:val="002D4785"/>
    <w:rsid w:val="002D47A9"/>
    <w:rsid w:val="002D4904"/>
    <w:rsid w:val="002D491C"/>
    <w:rsid w:val="002D4A04"/>
    <w:rsid w:val="002D4A1E"/>
    <w:rsid w:val="002D4A58"/>
    <w:rsid w:val="002D4AF9"/>
    <w:rsid w:val="002D4C85"/>
    <w:rsid w:val="002D4FEC"/>
    <w:rsid w:val="002D5007"/>
    <w:rsid w:val="002D50F5"/>
    <w:rsid w:val="002D5104"/>
    <w:rsid w:val="002D526E"/>
    <w:rsid w:val="002D52EE"/>
    <w:rsid w:val="002D533C"/>
    <w:rsid w:val="002D53FD"/>
    <w:rsid w:val="002D5908"/>
    <w:rsid w:val="002D5960"/>
    <w:rsid w:val="002D5A85"/>
    <w:rsid w:val="002D5A8F"/>
    <w:rsid w:val="002D5AA1"/>
    <w:rsid w:val="002D5AC4"/>
    <w:rsid w:val="002D5C52"/>
    <w:rsid w:val="002D5D06"/>
    <w:rsid w:val="002D6015"/>
    <w:rsid w:val="002D604C"/>
    <w:rsid w:val="002D6120"/>
    <w:rsid w:val="002D61AB"/>
    <w:rsid w:val="002D6233"/>
    <w:rsid w:val="002D6247"/>
    <w:rsid w:val="002D62D9"/>
    <w:rsid w:val="002D6325"/>
    <w:rsid w:val="002D6354"/>
    <w:rsid w:val="002D63D9"/>
    <w:rsid w:val="002D652E"/>
    <w:rsid w:val="002D6603"/>
    <w:rsid w:val="002D66C2"/>
    <w:rsid w:val="002D6706"/>
    <w:rsid w:val="002D6731"/>
    <w:rsid w:val="002D677F"/>
    <w:rsid w:val="002D67D6"/>
    <w:rsid w:val="002D681B"/>
    <w:rsid w:val="002D689B"/>
    <w:rsid w:val="002D68B4"/>
    <w:rsid w:val="002D69F7"/>
    <w:rsid w:val="002D6A0C"/>
    <w:rsid w:val="002D6BD2"/>
    <w:rsid w:val="002D6CD0"/>
    <w:rsid w:val="002D6EB7"/>
    <w:rsid w:val="002D6F29"/>
    <w:rsid w:val="002D70E2"/>
    <w:rsid w:val="002D7113"/>
    <w:rsid w:val="002D7147"/>
    <w:rsid w:val="002D717C"/>
    <w:rsid w:val="002D7238"/>
    <w:rsid w:val="002D7273"/>
    <w:rsid w:val="002D72AD"/>
    <w:rsid w:val="002D7322"/>
    <w:rsid w:val="002D741B"/>
    <w:rsid w:val="002D741E"/>
    <w:rsid w:val="002D7469"/>
    <w:rsid w:val="002D7488"/>
    <w:rsid w:val="002D7648"/>
    <w:rsid w:val="002D7794"/>
    <w:rsid w:val="002D7798"/>
    <w:rsid w:val="002D785C"/>
    <w:rsid w:val="002D7953"/>
    <w:rsid w:val="002D79B5"/>
    <w:rsid w:val="002D7A11"/>
    <w:rsid w:val="002D7A7D"/>
    <w:rsid w:val="002D7B67"/>
    <w:rsid w:val="002D7BD1"/>
    <w:rsid w:val="002D7CE4"/>
    <w:rsid w:val="002D7EE2"/>
    <w:rsid w:val="002D7F0D"/>
    <w:rsid w:val="002E0061"/>
    <w:rsid w:val="002E009A"/>
    <w:rsid w:val="002E0160"/>
    <w:rsid w:val="002E0218"/>
    <w:rsid w:val="002E0513"/>
    <w:rsid w:val="002E0778"/>
    <w:rsid w:val="002E0792"/>
    <w:rsid w:val="002E0802"/>
    <w:rsid w:val="002E0804"/>
    <w:rsid w:val="002E085A"/>
    <w:rsid w:val="002E0898"/>
    <w:rsid w:val="002E08C0"/>
    <w:rsid w:val="002E08E5"/>
    <w:rsid w:val="002E0A73"/>
    <w:rsid w:val="002E0DA9"/>
    <w:rsid w:val="002E0FA8"/>
    <w:rsid w:val="002E0FE4"/>
    <w:rsid w:val="002E1164"/>
    <w:rsid w:val="002E1213"/>
    <w:rsid w:val="002E129C"/>
    <w:rsid w:val="002E145E"/>
    <w:rsid w:val="002E151B"/>
    <w:rsid w:val="002E156F"/>
    <w:rsid w:val="002E1570"/>
    <w:rsid w:val="002E15E9"/>
    <w:rsid w:val="002E1605"/>
    <w:rsid w:val="002E167A"/>
    <w:rsid w:val="002E1788"/>
    <w:rsid w:val="002E179F"/>
    <w:rsid w:val="002E18CA"/>
    <w:rsid w:val="002E1998"/>
    <w:rsid w:val="002E1AC9"/>
    <w:rsid w:val="002E1ACE"/>
    <w:rsid w:val="002E1AD1"/>
    <w:rsid w:val="002E1BB3"/>
    <w:rsid w:val="002E1C09"/>
    <w:rsid w:val="002E1C1E"/>
    <w:rsid w:val="002E1E18"/>
    <w:rsid w:val="002E1E43"/>
    <w:rsid w:val="002E2001"/>
    <w:rsid w:val="002E2085"/>
    <w:rsid w:val="002E20AF"/>
    <w:rsid w:val="002E2322"/>
    <w:rsid w:val="002E23BE"/>
    <w:rsid w:val="002E2400"/>
    <w:rsid w:val="002E24D4"/>
    <w:rsid w:val="002E2520"/>
    <w:rsid w:val="002E2555"/>
    <w:rsid w:val="002E2590"/>
    <w:rsid w:val="002E25F7"/>
    <w:rsid w:val="002E26DA"/>
    <w:rsid w:val="002E2755"/>
    <w:rsid w:val="002E2796"/>
    <w:rsid w:val="002E27AF"/>
    <w:rsid w:val="002E2815"/>
    <w:rsid w:val="002E290A"/>
    <w:rsid w:val="002E2985"/>
    <w:rsid w:val="002E2A7E"/>
    <w:rsid w:val="002E2B37"/>
    <w:rsid w:val="002E2BAD"/>
    <w:rsid w:val="002E2C74"/>
    <w:rsid w:val="002E2CC2"/>
    <w:rsid w:val="002E2D71"/>
    <w:rsid w:val="002E2E2D"/>
    <w:rsid w:val="002E2E69"/>
    <w:rsid w:val="002E2E9C"/>
    <w:rsid w:val="002E3011"/>
    <w:rsid w:val="002E3108"/>
    <w:rsid w:val="002E323E"/>
    <w:rsid w:val="002E327F"/>
    <w:rsid w:val="002E32C1"/>
    <w:rsid w:val="002E32EF"/>
    <w:rsid w:val="002E336E"/>
    <w:rsid w:val="002E33CE"/>
    <w:rsid w:val="002E33F4"/>
    <w:rsid w:val="002E34BA"/>
    <w:rsid w:val="002E34C9"/>
    <w:rsid w:val="002E34D7"/>
    <w:rsid w:val="002E34E5"/>
    <w:rsid w:val="002E3570"/>
    <w:rsid w:val="002E3797"/>
    <w:rsid w:val="002E37AC"/>
    <w:rsid w:val="002E37AE"/>
    <w:rsid w:val="002E37E7"/>
    <w:rsid w:val="002E37E8"/>
    <w:rsid w:val="002E3974"/>
    <w:rsid w:val="002E39AF"/>
    <w:rsid w:val="002E39C0"/>
    <w:rsid w:val="002E3A22"/>
    <w:rsid w:val="002E3B15"/>
    <w:rsid w:val="002E3CB2"/>
    <w:rsid w:val="002E3D5E"/>
    <w:rsid w:val="002E3E14"/>
    <w:rsid w:val="002E3EA9"/>
    <w:rsid w:val="002E402E"/>
    <w:rsid w:val="002E4083"/>
    <w:rsid w:val="002E4197"/>
    <w:rsid w:val="002E425C"/>
    <w:rsid w:val="002E426C"/>
    <w:rsid w:val="002E4291"/>
    <w:rsid w:val="002E4303"/>
    <w:rsid w:val="002E4437"/>
    <w:rsid w:val="002E4513"/>
    <w:rsid w:val="002E45F0"/>
    <w:rsid w:val="002E4605"/>
    <w:rsid w:val="002E4707"/>
    <w:rsid w:val="002E488D"/>
    <w:rsid w:val="002E48BB"/>
    <w:rsid w:val="002E48FC"/>
    <w:rsid w:val="002E48FD"/>
    <w:rsid w:val="002E4905"/>
    <w:rsid w:val="002E494B"/>
    <w:rsid w:val="002E498D"/>
    <w:rsid w:val="002E4992"/>
    <w:rsid w:val="002E4AE2"/>
    <w:rsid w:val="002E4BE7"/>
    <w:rsid w:val="002E4C2E"/>
    <w:rsid w:val="002E4C6D"/>
    <w:rsid w:val="002E4C94"/>
    <w:rsid w:val="002E4CC2"/>
    <w:rsid w:val="002E4D32"/>
    <w:rsid w:val="002E4E30"/>
    <w:rsid w:val="002E4EFF"/>
    <w:rsid w:val="002E4F24"/>
    <w:rsid w:val="002E4FC4"/>
    <w:rsid w:val="002E5063"/>
    <w:rsid w:val="002E50B8"/>
    <w:rsid w:val="002E50BB"/>
    <w:rsid w:val="002E54FE"/>
    <w:rsid w:val="002E5548"/>
    <w:rsid w:val="002E572B"/>
    <w:rsid w:val="002E57E2"/>
    <w:rsid w:val="002E5897"/>
    <w:rsid w:val="002E5A02"/>
    <w:rsid w:val="002E5A98"/>
    <w:rsid w:val="002E5ACE"/>
    <w:rsid w:val="002E5AF0"/>
    <w:rsid w:val="002E5B49"/>
    <w:rsid w:val="002E5C03"/>
    <w:rsid w:val="002E5D1D"/>
    <w:rsid w:val="002E5D2F"/>
    <w:rsid w:val="002E5D33"/>
    <w:rsid w:val="002E5D4D"/>
    <w:rsid w:val="002E5DF4"/>
    <w:rsid w:val="002E608F"/>
    <w:rsid w:val="002E60A7"/>
    <w:rsid w:val="002E60D0"/>
    <w:rsid w:val="002E6150"/>
    <w:rsid w:val="002E615F"/>
    <w:rsid w:val="002E61A2"/>
    <w:rsid w:val="002E61F3"/>
    <w:rsid w:val="002E63F7"/>
    <w:rsid w:val="002E6445"/>
    <w:rsid w:val="002E64AB"/>
    <w:rsid w:val="002E64D0"/>
    <w:rsid w:val="002E6514"/>
    <w:rsid w:val="002E6659"/>
    <w:rsid w:val="002E66BC"/>
    <w:rsid w:val="002E676E"/>
    <w:rsid w:val="002E6784"/>
    <w:rsid w:val="002E6815"/>
    <w:rsid w:val="002E6884"/>
    <w:rsid w:val="002E68A9"/>
    <w:rsid w:val="002E68D5"/>
    <w:rsid w:val="002E6954"/>
    <w:rsid w:val="002E6A2C"/>
    <w:rsid w:val="002E6B40"/>
    <w:rsid w:val="002E6BC0"/>
    <w:rsid w:val="002E6C20"/>
    <w:rsid w:val="002E6C84"/>
    <w:rsid w:val="002E6C93"/>
    <w:rsid w:val="002E6CDC"/>
    <w:rsid w:val="002E6D70"/>
    <w:rsid w:val="002E6DF9"/>
    <w:rsid w:val="002E6E8E"/>
    <w:rsid w:val="002E6ED1"/>
    <w:rsid w:val="002E6F0D"/>
    <w:rsid w:val="002E7006"/>
    <w:rsid w:val="002E7056"/>
    <w:rsid w:val="002E70EF"/>
    <w:rsid w:val="002E7104"/>
    <w:rsid w:val="002E71D3"/>
    <w:rsid w:val="002E728F"/>
    <w:rsid w:val="002E7440"/>
    <w:rsid w:val="002E74EB"/>
    <w:rsid w:val="002E7558"/>
    <w:rsid w:val="002E7619"/>
    <w:rsid w:val="002E76E1"/>
    <w:rsid w:val="002E772F"/>
    <w:rsid w:val="002E77BE"/>
    <w:rsid w:val="002E7828"/>
    <w:rsid w:val="002E78EC"/>
    <w:rsid w:val="002E78FB"/>
    <w:rsid w:val="002E793D"/>
    <w:rsid w:val="002E7B14"/>
    <w:rsid w:val="002E7C05"/>
    <w:rsid w:val="002E7CB6"/>
    <w:rsid w:val="002E7E2B"/>
    <w:rsid w:val="002E7F10"/>
    <w:rsid w:val="002E7F28"/>
    <w:rsid w:val="002E7F40"/>
    <w:rsid w:val="002F00A7"/>
    <w:rsid w:val="002F039B"/>
    <w:rsid w:val="002F03CF"/>
    <w:rsid w:val="002F0404"/>
    <w:rsid w:val="002F057E"/>
    <w:rsid w:val="002F05B3"/>
    <w:rsid w:val="002F06E6"/>
    <w:rsid w:val="002F06EB"/>
    <w:rsid w:val="002F0740"/>
    <w:rsid w:val="002F080C"/>
    <w:rsid w:val="002F083A"/>
    <w:rsid w:val="002F08C1"/>
    <w:rsid w:val="002F08F2"/>
    <w:rsid w:val="002F09A7"/>
    <w:rsid w:val="002F09B3"/>
    <w:rsid w:val="002F0A6B"/>
    <w:rsid w:val="002F0AA8"/>
    <w:rsid w:val="002F0ADD"/>
    <w:rsid w:val="002F0B33"/>
    <w:rsid w:val="002F0B6E"/>
    <w:rsid w:val="002F0C2B"/>
    <w:rsid w:val="002F0D45"/>
    <w:rsid w:val="002F0D6F"/>
    <w:rsid w:val="002F0DBF"/>
    <w:rsid w:val="002F0EA0"/>
    <w:rsid w:val="002F0EC5"/>
    <w:rsid w:val="002F0F52"/>
    <w:rsid w:val="002F1012"/>
    <w:rsid w:val="002F109F"/>
    <w:rsid w:val="002F1154"/>
    <w:rsid w:val="002F1177"/>
    <w:rsid w:val="002F1215"/>
    <w:rsid w:val="002F123C"/>
    <w:rsid w:val="002F125A"/>
    <w:rsid w:val="002F13E2"/>
    <w:rsid w:val="002F15D1"/>
    <w:rsid w:val="002F164D"/>
    <w:rsid w:val="002F167F"/>
    <w:rsid w:val="002F16D5"/>
    <w:rsid w:val="002F16F8"/>
    <w:rsid w:val="002F1741"/>
    <w:rsid w:val="002F176D"/>
    <w:rsid w:val="002F1B49"/>
    <w:rsid w:val="002F1B67"/>
    <w:rsid w:val="002F1B6B"/>
    <w:rsid w:val="002F1C11"/>
    <w:rsid w:val="002F1C39"/>
    <w:rsid w:val="002F1C8E"/>
    <w:rsid w:val="002F1CB7"/>
    <w:rsid w:val="002F1DBF"/>
    <w:rsid w:val="002F1E12"/>
    <w:rsid w:val="002F1E45"/>
    <w:rsid w:val="002F1EB7"/>
    <w:rsid w:val="002F1F4E"/>
    <w:rsid w:val="002F1F71"/>
    <w:rsid w:val="002F1F80"/>
    <w:rsid w:val="002F207B"/>
    <w:rsid w:val="002F209F"/>
    <w:rsid w:val="002F215D"/>
    <w:rsid w:val="002F2225"/>
    <w:rsid w:val="002F2279"/>
    <w:rsid w:val="002F22D7"/>
    <w:rsid w:val="002F2313"/>
    <w:rsid w:val="002F2381"/>
    <w:rsid w:val="002F24ED"/>
    <w:rsid w:val="002F25B4"/>
    <w:rsid w:val="002F2632"/>
    <w:rsid w:val="002F26B4"/>
    <w:rsid w:val="002F2728"/>
    <w:rsid w:val="002F278C"/>
    <w:rsid w:val="002F2822"/>
    <w:rsid w:val="002F2851"/>
    <w:rsid w:val="002F2898"/>
    <w:rsid w:val="002F29F6"/>
    <w:rsid w:val="002F2A6C"/>
    <w:rsid w:val="002F2AE4"/>
    <w:rsid w:val="002F2C2B"/>
    <w:rsid w:val="002F2D60"/>
    <w:rsid w:val="002F2D78"/>
    <w:rsid w:val="002F2D9E"/>
    <w:rsid w:val="002F2E09"/>
    <w:rsid w:val="002F2E18"/>
    <w:rsid w:val="002F2E50"/>
    <w:rsid w:val="002F2EAF"/>
    <w:rsid w:val="002F2EFC"/>
    <w:rsid w:val="002F2F55"/>
    <w:rsid w:val="002F3098"/>
    <w:rsid w:val="002F317A"/>
    <w:rsid w:val="002F31BF"/>
    <w:rsid w:val="002F31F6"/>
    <w:rsid w:val="002F331B"/>
    <w:rsid w:val="002F3377"/>
    <w:rsid w:val="002F33BE"/>
    <w:rsid w:val="002F351A"/>
    <w:rsid w:val="002F3594"/>
    <w:rsid w:val="002F360D"/>
    <w:rsid w:val="002F3646"/>
    <w:rsid w:val="002F36AF"/>
    <w:rsid w:val="002F36F3"/>
    <w:rsid w:val="002F3722"/>
    <w:rsid w:val="002F3750"/>
    <w:rsid w:val="002F38E5"/>
    <w:rsid w:val="002F39A6"/>
    <w:rsid w:val="002F39B2"/>
    <w:rsid w:val="002F3A3D"/>
    <w:rsid w:val="002F3A94"/>
    <w:rsid w:val="002F3AEE"/>
    <w:rsid w:val="002F3C69"/>
    <w:rsid w:val="002F3C8F"/>
    <w:rsid w:val="002F3CCE"/>
    <w:rsid w:val="002F3CE1"/>
    <w:rsid w:val="002F3D4E"/>
    <w:rsid w:val="002F3D8A"/>
    <w:rsid w:val="002F3DC0"/>
    <w:rsid w:val="002F3DE0"/>
    <w:rsid w:val="002F3E08"/>
    <w:rsid w:val="002F3E12"/>
    <w:rsid w:val="002F3F0F"/>
    <w:rsid w:val="002F3F68"/>
    <w:rsid w:val="002F3F96"/>
    <w:rsid w:val="002F40C2"/>
    <w:rsid w:val="002F41CE"/>
    <w:rsid w:val="002F41D2"/>
    <w:rsid w:val="002F4299"/>
    <w:rsid w:val="002F4431"/>
    <w:rsid w:val="002F4481"/>
    <w:rsid w:val="002F449E"/>
    <w:rsid w:val="002F4501"/>
    <w:rsid w:val="002F4592"/>
    <w:rsid w:val="002F4636"/>
    <w:rsid w:val="002F46D3"/>
    <w:rsid w:val="002F4702"/>
    <w:rsid w:val="002F470D"/>
    <w:rsid w:val="002F488C"/>
    <w:rsid w:val="002F49DF"/>
    <w:rsid w:val="002F4AB0"/>
    <w:rsid w:val="002F4B1B"/>
    <w:rsid w:val="002F4B65"/>
    <w:rsid w:val="002F4C60"/>
    <w:rsid w:val="002F4CC3"/>
    <w:rsid w:val="002F4DE2"/>
    <w:rsid w:val="002F4E15"/>
    <w:rsid w:val="002F4EB1"/>
    <w:rsid w:val="002F4F03"/>
    <w:rsid w:val="002F5271"/>
    <w:rsid w:val="002F53B5"/>
    <w:rsid w:val="002F5490"/>
    <w:rsid w:val="002F5499"/>
    <w:rsid w:val="002F54B7"/>
    <w:rsid w:val="002F54EB"/>
    <w:rsid w:val="002F5544"/>
    <w:rsid w:val="002F563C"/>
    <w:rsid w:val="002F56CD"/>
    <w:rsid w:val="002F576B"/>
    <w:rsid w:val="002F59AF"/>
    <w:rsid w:val="002F59C4"/>
    <w:rsid w:val="002F59F9"/>
    <w:rsid w:val="002F5A19"/>
    <w:rsid w:val="002F5B46"/>
    <w:rsid w:val="002F5B53"/>
    <w:rsid w:val="002F5BC0"/>
    <w:rsid w:val="002F5BD8"/>
    <w:rsid w:val="002F5BFD"/>
    <w:rsid w:val="002F5C28"/>
    <w:rsid w:val="002F5E86"/>
    <w:rsid w:val="002F60A4"/>
    <w:rsid w:val="002F6108"/>
    <w:rsid w:val="002F61E8"/>
    <w:rsid w:val="002F6234"/>
    <w:rsid w:val="002F62A1"/>
    <w:rsid w:val="002F62D7"/>
    <w:rsid w:val="002F630C"/>
    <w:rsid w:val="002F64D9"/>
    <w:rsid w:val="002F64DD"/>
    <w:rsid w:val="002F6667"/>
    <w:rsid w:val="002F66A7"/>
    <w:rsid w:val="002F6706"/>
    <w:rsid w:val="002F674B"/>
    <w:rsid w:val="002F6770"/>
    <w:rsid w:val="002F6773"/>
    <w:rsid w:val="002F68EC"/>
    <w:rsid w:val="002F6930"/>
    <w:rsid w:val="002F69B3"/>
    <w:rsid w:val="002F6A3A"/>
    <w:rsid w:val="002F6A3D"/>
    <w:rsid w:val="002F6A48"/>
    <w:rsid w:val="002F6AAC"/>
    <w:rsid w:val="002F6AE6"/>
    <w:rsid w:val="002F6B0E"/>
    <w:rsid w:val="002F6B73"/>
    <w:rsid w:val="002F6CB3"/>
    <w:rsid w:val="002F6CDC"/>
    <w:rsid w:val="002F6D2C"/>
    <w:rsid w:val="002F6D77"/>
    <w:rsid w:val="002F6E1A"/>
    <w:rsid w:val="002F6E3E"/>
    <w:rsid w:val="002F6E50"/>
    <w:rsid w:val="002F6F85"/>
    <w:rsid w:val="002F7010"/>
    <w:rsid w:val="002F7069"/>
    <w:rsid w:val="002F7091"/>
    <w:rsid w:val="002F70BC"/>
    <w:rsid w:val="002F719A"/>
    <w:rsid w:val="002F7228"/>
    <w:rsid w:val="002F7235"/>
    <w:rsid w:val="002F72C8"/>
    <w:rsid w:val="002F731B"/>
    <w:rsid w:val="002F7347"/>
    <w:rsid w:val="002F73F3"/>
    <w:rsid w:val="002F7544"/>
    <w:rsid w:val="002F7596"/>
    <w:rsid w:val="002F7662"/>
    <w:rsid w:val="002F78C7"/>
    <w:rsid w:val="002F797C"/>
    <w:rsid w:val="002F7A9F"/>
    <w:rsid w:val="002F7B9C"/>
    <w:rsid w:val="002F7CE9"/>
    <w:rsid w:val="002F7DE9"/>
    <w:rsid w:val="002F7E4A"/>
    <w:rsid w:val="002F7E4D"/>
    <w:rsid w:val="002F7F41"/>
    <w:rsid w:val="003001A3"/>
    <w:rsid w:val="0030026C"/>
    <w:rsid w:val="0030028B"/>
    <w:rsid w:val="003002EA"/>
    <w:rsid w:val="00300428"/>
    <w:rsid w:val="003004B5"/>
    <w:rsid w:val="00300568"/>
    <w:rsid w:val="0030058A"/>
    <w:rsid w:val="003005B1"/>
    <w:rsid w:val="003005C2"/>
    <w:rsid w:val="003005F0"/>
    <w:rsid w:val="00300604"/>
    <w:rsid w:val="00300746"/>
    <w:rsid w:val="003007D9"/>
    <w:rsid w:val="00300813"/>
    <w:rsid w:val="00300848"/>
    <w:rsid w:val="003008F1"/>
    <w:rsid w:val="00300AC2"/>
    <w:rsid w:val="00300C96"/>
    <w:rsid w:val="00300D0D"/>
    <w:rsid w:val="00300D42"/>
    <w:rsid w:val="00300D74"/>
    <w:rsid w:val="00300DB6"/>
    <w:rsid w:val="00300DF8"/>
    <w:rsid w:val="00300E24"/>
    <w:rsid w:val="00300E8F"/>
    <w:rsid w:val="00300ED3"/>
    <w:rsid w:val="00300F43"/>
    <w:rsid w:val="00300F75"/>
    <w:rsid w:val="0030106A"/>
    <w:rsid w:val="00301088"/>
    <w:rsid w:val="00301092"/>
    <w:rsid w:val="003010D0"/>
    <w:rsid w:val="0030121F"/>
    <w:rsid w:val="00301227"/>
    <w:rsid w:val="003012FA"/>
    <w:rsid w:val="003013C2"/>
    <w:rsid w:val="0030146C"/>
    <w:rsid w:val="003014A8"/>
    <w:rsid w:val="003014CD"/>
    <w:rsid w:val="003014D8"/>
    <w:rsid w:val="003015DC"/>
    <w:rsid w:val="00301627"/>
    <w:rsid w:val="00301650"/>
    <w:rsid w:val="003016DF"/>
    <w:rsid w:val="00301734"/>
    <w:rsid w:val="00301759"/>
    <w:rsid w:val="00301860"/>
    <w:rsid w:val="00301874"/>
    <w:rsid w:val="003018AE"/>
    <w:rsid w:val="003018F4"/>
    <w:rsid w:val="00301927"/>
    <w:rsid w:val="0030196A"/>
    <w:rsid w:val="003019E6"/>
    <w:rsid w:val="00301A39"/>
    <w:rsid w:val="00301AC0"/>
    <w:rsid w:val="00301AC6"/>
    <w:rsid w:val="00301DFF"/>
    <w:rsid w:val="00301FE9"/>
    <w:rsid w:val="003020C6"/>
    <w:rsid w:val="00302229"/>
    <w:rsid w:val="0030224A"/>
    <w:rsid w:val="00302250"/>
    <w:rsid w:val="0030228C"/>
    <w:rsid w:val="003023BE"/>
    <w:rsid w:val="003025A7"/>
    <w:rsid w:val="003025CF"/>
    <w:rsid w:val="00302668"/>
    <w:rsid w:val="00302709"/>
    <w:rsid w:val="00302716"/>
    <w:rsid w:val="0030271D"/>
    <w:rsid w:val="003027B8"/>
    <w:rsid w:val="00302974"/>
    <w:rsid w:val="00302A8A"/>
    <w:rsid w:val="00302B89"/>
    <w:rsid w:val="00302C1E"/>
    <w:rsid w:val="00302CAE"/>
    <w:rsid w:val="00302CC6"/>
    <w:rsid w:val="00302D8A"/>
    <w:rsid w:val="00302E0C"/>
    <w:rsid w:val="00302E5B"/>
    <w:rsid w:val="00302E6C"/>
    <w:rsid w:val="00302EEB"/>
    <w:rsid w:val="003030E1"/>
    <w:rsid w:val="0030313F"/>
    <w:rsid w:val="00303384"/>
    <w:rsid w:val="0030343D"/>
    <w:rsid w:val="003034F0"/>
    <w:rsid w:val="0030355E"/>
    <w:rsid w:val="003035E0"/>
    <w:rsid w:val="00303707"/>
    <w:rsid w:val="003037AF"/>
    <w:rsid w:val="00303841"/>
    <w:rsid w:val="00303924"/>
    <w:rsid w:val="00303961"/>
    <w:rsid w:val="003039B0"/>
    <w:rsid w:val="00303A42"/>
    <w:rsid w:val="00303AA5"/>
    <w:rsid w:val="00303ABE"/>
    <w:rsid w:val="00303B0F"/>
    <w:rsid w:val="00303B2E"/>
    <w:rsid w:val="00303BE9"/>
    <w:rsid w:val="00303C54"/>
    <w:rsid w:val="00303CCD"/>
    <w:rsid w:val="00303E0E"/>
    <w:rsid w:val="00303E4E"/>
    <w:rsid w:val="00303EA5"/>
    <w:rsid w:val="00303F44"/>
    <w:rsid w:val="0030406E"/>
    <w:rsid w:val="003040FD"/>
    <w:rsid w:val="003041DE"/>
    <w:rsid w:val="00304345"/>
    <w:rsid w:val="00304368"/>
    <w:rsid w:val="003043B6"/>
    <w:rsid w:val="00304630"/>
    <w:rsid w:val="00304862"/>
    <w:rsid w:val="003049B2"/>
    <w:rsid w:val="00304A11"/>
    <w:rsid w:val="00304A49"/>
    <w:rsid w:val="00304BDF"/>
    <w:rsid w:val="00304C2F"/>
    <w:rsid w:val="00304C96"/>
    <w:rsid w:val="00304D0D"/>
    <w:rsid w:val="00304E40"/>
    <w:rsid w:val="00304F8E"/>
    <w:rsid w:val="00304FAD"/>
    <w:rsid w:val="00305027"/>
    <w:rsid w:val="0030503B"/>
    <w:rsid w:val="00305172"/>
    <w:rsid w:val="0030521D"/>
    <w:rsid w:val="003052D9"/>
    <w:rsid w:val="00305471"/>
    <w:rsid w:val="003054CA"/>
    <w:rsid w:val="003054F4"/>
    <w:rsid w:val="003055AD"/>
    <w:rsid w:val="00305676"/>
    <w:rsid w:val="00305692"/>
    <w:rsid w:val="003056A7"/>
    <w:rsid w:val="0030587B"/>
    <w:rsid w:val="003058AC"/>
    <w:rsid w:val="003058DA"/>
    <w:rsid w:val="003059B1"/>
    <w:rsid w:val="00305C4A"/>
    <w:rsid w:val="00305C78"/>
    <w:rsid w:val="00305C93"/>
    <w:rsid w:val="00305C98"/>
    <w:rsid w:val="00305D39"/>
    <w:rsid w:val="00305D8F"/>
    <w:rsid w:val="00305D9A"/>
    <w:rsid w:val="00305DD5"/>
    <w:rsid w:val="00305E31"/>
    <w:rsid w:val="00305E6E"/>
    <w:rsid w:val="00305F3C"/>
    <w:rsid w:val="00305F4F"/>
    <w:rsid w:val="00305FC5"/>
    <w:rsid w:val="003060DA"/>
    <w:rsid w:val="00306109"/>
    <w:rsid w:val="0030611B"/>
    <w:rsid w:val="00306230"/>
    <w:rsid w:val="00306287"/>
    <w:rsid w:val="003062D3"/>
    <w:rsid w:val="00306323"/>
    <w:rsid w:val="0030634D"/>
    <w:rsid w:val="00306364"/>
    <w:rsid w:val="0030638C"/>
    <w:rsid w:val="0030639A"/>
    <w:rsid w:val="003063A8"/>
    <w:rsid w:val="003063F8"/>
    <w:rsid w:val="0030652A"/>
    <w:rsid w:val="00306670"/>
    <w:rsid w:val="00306731"/>
    <w:rsid w:val="00306778"/>
    <w:rsid w:val="003067F3"/>
    <w:rsid w:val="0030687E"/>
    <w:rsid w:val="0030689E"/>
    <w:rsid w:val="003068D6"/>
    <w:rsid w:val="0030691C"/>
    <w:rsid w:val="003069FD"/>
    <w:rsid w:val="00306A4C"/>
    <w:rsid w:val="00306AD2"/>
    <w:rsid w:val="00306C30"/>
    <w:rsid w:val="00306D07"/>
    <w:rsid w:val="00306D1F"/>
    <w:rsid w:val="00307063"/>
    <w:rsid w:val="0030726B"/>
    <w:rsid w:val="00307313"/>
    <w:rsid w:val="003073B5"/>
    <w:rsid w:val="0030745F"/>
    <w:rsid w:val="0030754F"/>
    <w:rsid w:val="00307696"/>
    <w:rsid w:val="003077B3"/>
    <w:rsid w:val="00307881"/>
    <w:rsid w:val="0030794A"/>
    <w:rsid w:val="00307A6D"/>
    <w:rsid w:val="00307AAC"/>
    <w:rsid w:val="00307CD6"/>
    <w:rsid w:val="00307D1F"/>
    <w:rsid w:val="00307D94"/>
    <w:rsid w:val="00307DBB"/>
    <w:rsid w:val="00307E19"/>
    <w:rsid w:val="00307F5C"/>
    <w:rsid w:val="00307FF3"/>
    <w:rsid w:val="00310101"/>
    <w:rsid w:val="003102C6"/>
    <w:rsid w:val="00310358"/>
    <w:rsid w:val="00310386"/>
    <w:rsid w:val="003105D5"/>
    <w:rsid w:val="003106D3"/>
    <w:rsid w:val="00310719"/>
    <w:rsid w:val="00310967"/>
    <w:rsid w:val="0031097E"/>
    <w:rsid w:val="00310999"/>
    <w:rsid w:val="003109A5"/>
    <w:rsid w:val="00310A4A"/>
    <w:rsid w:val="00310B01"/>
    <w:rsid w:val="00310B50"/>
    <w:rsid w:val="00310BB6"/>
    <w:rsid w:val="00310BBE"/>
    <w:rsid w:val="00310D73"/>
    <w:rsid w:val="00310D83"/>
    <w:rsid w:val="00310DCB"/>
    <w:rsid w:val="0031107C"/>
    <w:rsid w:val="003110D6"/>
    <w:rsid w:val="00311215"/>
    <w:rsid w:val="003112A0"/>
    <w:rsid w:val="003112FF"/>
    <w:rsid w:val="0031131A"/>
    <w:rsid w:val="003113AE"/>
    <w:rsid w:val="0031141F"/>
    <w:rsid w:val="00311448"/>
    <w:rsid w:val="00311468"/>
    <w:rsid w:val="003114E9"/>
    <w:rsid w:val="0031162D"/>
    <w:rsid w:val="0031178D"/>
    <w:rsid w:val="0031180C"/>
    <w:rsid w:val="003118D2"/>
    <w:rsid w:val="00311A2C"/>
    <w:rsid w:val="00311CBA"/>
    <w:rsid w:val="00311E2D"/>
    <w:rsid w:val="00311EF3"/>
    <w:rsid w:val="0031201A"/>
    <w:rsid w:val="003120CB"/>
    <w:rsid w:val="00312134"/>
    <w:rsid w:val="00312257"/>
    <w:rsid w:val="0031227C"/>
    <w:rsid w:val="00312299"/>
    <w:rsid w:val="003123CC"/>
    <w:rsid w:val="00312892"/>
    <w:rsid w:val="00312895"/>
    <w:rsid w:val="00312996"/>
    <w:rsid w:val="00312A81"/>
    <w:rsid w:val="00312B4E"/>
    <w:rsid w:val="00312B57"/>
    <w:rsid w:val="00312B92"/>
    <w:rsid w:val="00312BB8"/>
    <w:rsid w:val="00312CE0"/>
    <w:rsid w:val="00312CFF"/>
    <w:rsid w:val="00312D6B"/>
    <w:rsid w:val="00312E1E"/>
    <w:rsid w:val="00312F08"/>
    <w:rsid w:val="00312F5C"/>
    <w:rsid w:val="00312F66"/>
    <w:rsid w:val="00312F67"/>
    <w:rsid w:val="00312F76"/>
    <w:rsid w:val="00312FAA"/>
    <w:rsid w:val="0031310A"/>
    <w:rsid w:val="00313169"/>
    <w:rsid w:val="0031321F"/>
    <w:rsid w:val="003133A5"/>
    <w:rsid w:val="00313477"/>
    <w:rsid w:val="00313739"/>
    <w:rsid w:val="003137E3"/>
    <w:rsid w:val="003138C4"/>
    <w:rsid w:val="003138F8"/>
    <w:rsid w:val="00313918"/>
    <w:rsid w:val="00313A6B"/>
    <w:rsid w:val="00313AE5"/>
    <w:rsid w:val="00313B6C"/>
    <w:rsid w:val="00313BF4"/>
    <w:rsid w:val="00313E02"/>
    <w:rsid w:val="00313E62"/>
    <w:rsid w:val="00313EC2"/>
    <w:rsid w:val="00313EE0"/>
    <w:rsid w:val="00313F9D"/>
    <w:rsid w:val="00313FBA"/>
    <w:rsid w:val="00314059"/>
    <w:rsid w:val="00314090"/>
    <w:rsid w:val="0031424D"/>
    <w:rsid w:val="00314322"/>
    <w:rsid w:val="0031449D"/>
    <w:rsid w:val="00314700"/>
    <w:rsid w:val="003147E1"/>
    <w:rsid w:val="00314853"/>
    <w:rsid w:val="003148BC"/>
    <w:rsid w:val="0031495D"/>
    <w:rsid w:val="00314993"/>
    <w:rsid w:val="00314A37"/>
    <w:rsid w:val="00314A3C"/>
    <w:rsid w:val="00314AA8"/>
    <w:rsid w:val="00314B74"/>
    <w:rsid w:val="00314C1C"/>
    <w:rsid w:val="00314CCE"/>
    <w:rsid w:val="00314D74"/>
    <w:rsid w:val="00314D83"/>
    <w:rsid w:val="00314F5D"/>
    <w:rsid w:val="00315023"/>
    <w:rsid w:val="003151A7"/>
    <w:rsid w:val="003151E0"/>
    <w:rsid w:val="003152C4"/>
    <w:rsid w:val="003153BD"/>
    <w:rsid w:val="0031547C"/>
    <w:rsid w:val="003154D6"/>
    <w:rsid w:val="003154EC"/>
    <w:rsid w:val="003155A8"/>
    <w:rsid w:val="0031567F"/>
    <w:rsid w:val="003156AD"/>
    <w:rsid w:val="003156D9"/>
    <w:rsid w:val="0031570E"/>
    <w:rsid w:val="0031571A"/>
    <w:rsid w:val="003157A9"/>
    <w:rsid w:val="00315808"/>
    <w:rsid w:val="003158D9"/>
    <w:rsid w:val="0031596C"/>
    <w:rsid w:val="003159C0"/>
    <w:rsid w:val="00315A37"/>
    <w:rsid w:val="00315A4C"/>
    <w:rsid w:val="00315A78"/>
    <w:rsid w:val="00315D63"/>
    <w:rsid w:val="00315DFE"/>
    <w:rsid w:val="00315F78"/>
    <w:rsid w:val="00315F82"/>
    <w:rsid w:val="0031600A"/>
    <w:rsid w:val="0031615D"/>
    <w:rsid w:val="003161E7"/>
    <w:rsid w:val="0031625F"/>
    <w:rsid w:val="0031634D"/>
    <w:rsid w:val="003163B5"/>
    <w:rsid w:val="00316506"/>
    <w:rsid w:val="0031650F"/>
    <w:rsid w:val="003165F9"/>
    <w:rsid w:val="00316623"/>
    <w:rsid w:val="0031681C"/>
    <w:rsid w:val="003169F8"/>
    <w:rsid w:val="00316A3D"/>
    <w:rsid w:val="00316C00"/>
    <w:rsid w:val="00316C30"/>
    <w:rsid w:val="00316C76"/>
    <w:rsid w:val="00316CAC"/>
    <w:rsid w:val="00316DA5"/>
    <w:rsid w:val="00316E15"/>
    <w:rsid w:val="00316E26"/>
    <w:rsid w:val="00316E2B"/>
    <w:rsid w:val="00316F6B"/>
    <w:rsid w:val="0031704C"/>
    <w:rsid w:val="003170B8"/>
    <w:rsid w:val="003170BE"/>
    <w:rsid w:val="003170D6"/>
    <w:rsid w:val="0031721A"/>
    <w:rsid w:val="003173D1"/>
    <w:rsid w:val="0031742B"/>
    <w:rsid w:val="003174BA"/>
    <w:rsid w:val="003174F1"/>
    <w:rsid w:val="003174F7"/>
    <w:rsid w:val="0031752F"/>
    <w:rsid w:val="0031766C"/>
    <w:rsid w:val="0031775C"/>
    <w:rsid w:val="0031776D"/>
    <w:rsid w:val="003177EB"/>
    <w:rsid w:val="00317862"/>
    <w:rsid w:val="003178AA"/>
    <w:rsid w:val="003178E9"/>
    <w:rsid w:val="00317A54"/>
    <w:rsid w:val="00317B4F"/>
    <w:rsid w:val="00317C34"/>
    <w:rsid w:val="00317F31"/>
    <w:rsid w:val="00317F3A"/>
    <w:rsid w:val="00317F50"/>
    <w:rsid w:val="00317F55"/>
    <w:rsid w:val="00320029"/>
    <w:rsid w:val="00320066"/>
    <w:rsid w:val="003200BC"/>
    <w:rsid w:val="00320214"/>
    <w:rsid w:val="00320249"/>
    <w:rsid w:val="00320254"/>
    <w:rsid w:val="00320310"/>
    <w:rsid w:val="00320334"/>
    <w:rsid w:val="00320404"/>
    <w:rsid w:val="00320458"/>
    <w:rsid w:val="003204DD"/>
    <w:rsid w:val="00320537"/>
    <w:rsid w:val="0032058C"/>
    <w:rsid w:val="00320627"/>
    <w:rsid w:val="00320689"/>
    <w:rsid w:val="00320724"/>
    <w:rsid w:val="0032080E"/>
    <w:rsid w:val="003208D3"/>
    <w:rsid w:val="00320A4B"/>
    <w:rsid w:val="00320A8A"/>
    <w:rsid w:val="00320B4E"/>
    <w:rsid w:val="00320C93"/>
    <w:rsid w:val="00320CB7"/>
    <w:rsid w:val="00320F77"/>
    <w:rsid w:val="00320F90"/>
    <w:rsid w:val="00320FA3"/>
    <w:rsid w:val="0032104C"/>
    <w:rsid w:val="003210B9"/>
    <w:rsid w:val="00321117"/>
    <w:rsid w:val="0032121D"/>
    <w:rsid w:val="00321303"/>
    <w:rsid w:val="00321366"/>
    <w:rsid w:val="0032138D"/>
    <w:rsid w:val="00321467"/>
    <w:rsid w:val="00321504"/>
    <w:rsid w:val="0032155E"/>
    <w:rsid w:val="003215D9"/>
    <w:rsid w:val="00321627"/>
    <w:rsid w:val="0032173C"/>
    <w:rsid w:val="003217DB"/>
    <w:rsid w:val="00321912"/>
    <w:rsid w:val="00321963"/>
    <w:rsid w:val="003219EF"/>
    <w:rsid w:val="00321B1D"/>
    <w:rsid w:val="00321B6E"/>
    <w:rsid w:val="00321E32"/>
    <w:rsid w:val="00321E6B"/>
    <w:rsid w:val="00321F55"/>
    <w:rsid w:val="00321F64"/>
    <w:rsid w:val="0032200B"/>
    <w:rsid w:val="0032202F"/>
    <w:rsid w:val="00322291"/>
    <w:rsid w:val="0032240E"/>
    <w:rsid w:val="003224DE"/>
    <w:rsid w:val="00322545"/>
    <w:rsid w:val="00322619"/>
    <w:rsid w:val="0032263D"/>
    <w:rsid w:val="0032278E"/>
    <w:rsid w:val="003228A2"/>
    <w:rsid w:val="003228AB"/>
    <w:rsid w:val="0032297B"/>
    <w:rsid w:val="0032298F"/>
    <w:rsid w:val="00322AC3"/>
    <w:rsid w:val="00322C87"/>
    <w:rsid w:val="00322D3E"/>
    <w:rsid w:val="00322D82"/>
    <w:rsid w:val="00322DBF"/>
    <w:rsid w:val="00322DFD"/>
    <w:rsid w:val="00322E03"/>
    <w:rsid w:val="00322E31"/>
    <w:rsid w:val="00322E9D"/>
    <w:rsid w:val="00322EF4"/>
    <w:rsid w:val="00322F21"/>
    <w:rsid w:val="00322F8A"/>
    <w:rsid w:val="00322FCB"/>
    <w:rsid w:val="00322FD3"/>
    <w:rsid w:val="00323134"/>
    <w:rsid w:val="0032318D"/>
    <w:rsid w:val="003231D5"/>
    <w:rsid w:val="00323343"/>
    <w:rsid w:val="003234C2"/>
    <w:rsid w:val="00323640"/>
    <w:rsid w:val="00323646"/>
    <w:rsid w:val="00323748"/>
    <w:rsid w:val="003237CC"/>
    <w:rsid w:val="00323963"/>
    <w:rsid w:val="00323AC1"/>
    <w:rsid w:val="00323C11"/>
    <w:rsid w:val="00323C6A"/>
    <w:rsid w:val="00323DCA"/>
    <w:rsid w:val="00323DFE"/>
    <w:rsid w:val="00323E1B"/>
    <w:rsid w:val="00323F1B"/>
    <w:rsid w:val="00323F71"/>
    <w:rsid w:val="00324028"/>
    <w:rsid w:val="0032425A"/>
    <w:rsid w:val="00324363"/>
    <w:rsid w:val="00324404"/>
    <w:rsid w:val="0032447F"/>
    <w:rsid w:val="003244AC"/>
    <w:rsid w:val="003245BD"/>
    <w:rsid w:val="003245EB"/>
    <w:rsid w:val="00324732"/>
    <w:rsid w:val="003247AC"/>
    <w:rsid w:val="00324848"/>
    <w:rsid w:val="00324864"/>
    <w:rsid w:val="003248A8"/>
    <w:rsid w:val="00324990"/>
    <w:rsid w:val="003249CC"/>
    <w:rsid w:val="00324BB3"/>
    <w:rsid w:val="00324BDA"/>
    <w:rsid w:val="00324D24"/>
    <w:rsid w:val="00324DC6"/>
    <w:rsid w:val="00324DC7"/>
    <w:rsid w:val="00324DE2"/>
    <w:rsid w:val="00324E5F"/>
    <w:rsid w:val="00324F2A"/>
    <w:rsid w:val="00324FEE"/>
    <w:rsid w:val="00325158"/>
    <w:rsid w:val="003252E7"/>
    <w:rsid w:val="003252EE"/>
    <w:rsid w:val="003252FB"/>
    <w:rsid w:val="0032532A"/>
    <w:rsid w:val="003254BF"/>
    <w:rsid w:val="00325512"/>
    <w:rsid w:val="00325544"/>
    <w:rsid w:val="003255E1"/>
    <w:rsid w:val="00325668"/>
    <w:rsid w:val="0032567E"/>
    <w:rsid w:val="00325731"/>
    <w:rsid w:val="003258CC"/>
    <w:rsid w:val="003258EE"/>
    <w:rsid w:val="0032590E"/>
    <w:rsid w:val="003259D0"/>
    <w:rsid w:val="003259FE"/>
    <w:rsid w:val="00325A83"/>
    <w:rsid w:val="00325BF9"/>
    <w:rsid w:val="00325C8D"/>
    <w:rsid w:val="00325CD9"/>
    <w:rsid w:val="00325D71"/>
    <w:rsid w:val="00325D96"/>
    <w:rsid w:val="00325E12"/>
    <w:rsid w:val="00325E1C"/>
    <w:rsid w:val="0032600A"/>
    <w:rsid w:val="003260B9"/>
    <w:rsid w:val="003260FA"/>
    <w:rsid w:val="00326204"/>
    <w:rsid w:val="003262FC"/>
    <w:rsid w:val="00326496"/>
    <w:rsid w:val="003264EE"/>
    <w:rsid w:val="00326515"/>
    <w:rsid w:val="0032661A"/>
    <w:rsid w:val="00326689"/>
    <w:rsid w:val="0032669F"/>
    <w:rsid w:val="003266E5"/>
    <w:rsid w:val="00326758"/>
    <w:rsid w:val="0032684C"/>
    <w:rsid w:val="00326881"/>
    <w:rsid w:val="0032688A"/>
    <w:rsid w:val="003268CC"/>
    <w:rsid w:val="00326AFE"/>
    <w:rsid w:val="00326B78"/>
    <w:rsid w:val="00326C23"/>
    <w:rsid w:val="00326D41"/>
    <w:rsid w:val="00326D51"/>
    <w:rsid w:val="00326DAA"/>
    <w:rsid w:val="00326E47"/>
    <w:rsid w:val="00326E88"/>
    <w:rsid w:val="00326FB4"/>
    <w:rsid w:val="00326FD1"/>
    <w:rsid w:val="0032704D"/>
    <w:rsid w:val="003270D1"/>
    <w:rsid w:val="0032714A"/>
    <w:rsid w:val="00327172"/>
    <w:rsid w:val="003272B8"/>
    <w:rsid w:val="003272F7"/>
    <w:rsid w:val="0032731B"/>
    <w:rsid w:val="00327334"/>
    <w:rsid w:val="003273E4"/>
    <w:rsid w:val="003273EA"/>
    <w:rsid w:val="003274CA"/>
    <w:rsid w:val="0032754D"/>
    <w:rsid w:val="00327591"/>
    <w:rsid w:val="003275B0"/>
    <w:rsid w:val="0032764B"/>
    <w:rsid w:val="0032767A"/>
    <w:rsid w:val="003276C0"/>
    <w:rsid w:val="003276E6"/>
    <w:rsid w:val="00327739"/>
    <w:rsid w:val="0032776A"/>
    <w:rsid w:val="00327774"/>
    <w:rsid w:val="003277D8"/>
    <w:rsid w:val="00327904"/>
    <w:rsid w:val="0032796A"/>
    <w:rsid w:val="0032796E"/>
    <w:rsid w:val="003279D0"/>
    <w:rsid w:val="00327A98"/>
    <w:rsid w:val="00327B04"/>
    <w:rsid w:val="00327B54"/>
    <w:rsid w:val="00327C4D"/>
    <w:rsid w:val="00327C7F"/>
    <w:rsid w:val="00327DB1"/>
    <w:rsid w:val="00327F01"/>
    <w:rsid w:val="0033000E"/>
    <w:rsid w:val="00330097"/>
    <w:rsid w:val="003300EB"/>
    <w:rsid w:val="00330133"/>
    <w:rsid w:val="003302B1"/>
    <w:rsid w:val="00330396"/>
    <w:rsid w:val="003303BE"/>
    <w:rsid w:val="00330501"/>
    <w:rsid w:val="00330540"/>
    <w:rsid w:val="003305C1"/>
    <w:rsid w:val="00330647"/>
    <w:rsid w:val="0033067C"/>
    <w:rsid w:val="003306CC"/>
    <w:rsid w:val="0033082A"/>
    <w:rsid w:val="00330958"/>
    <w:rsid w:val="00330A54"/>
    <w:rsid w:val="00330A55"/>
    <w:rsid w:val="00330A92"/>
    <w:rsid w:val="00330BAF"/>
    <w:rsid w:val="00330BEE"/>
    <w:rsid w:val="00330C09"/>
    <w:rsid w:val="00330CB8"/>
    <w:rsid w:val="00330E63"/>
    <w:rsid w:val="00330EE3"/>
    <w:rsid w:val="003312E9"/>
    <w:rsid w:val="003312FF"/>
    <w:rsid w:val="003314AB"/>
    <w:rsid w:val="003314B5"/>
    <w:rsid w:val="00331512"/>
    <w:rsid w:val="00331550"/>
    <w:rsid w:val="00331593"/>
    <w:rsid w:val="0033162E"/>
    <w:rsid w:val="0033175F"/>
    <w:rsid w:val="00331899"/>
    <w:rsid w:val="003318A0"/>
    <w:rsid w:val="0033194A"/>
    <w:rsid w:val="00331953"/>
    <w:rsid w:val="003319E1"/>
    <w:rsid w:val="003319FC"/>
    <w:rsid w:val="00331CC0"/>
    <w:rsid w:val="00331DA4"/>
    <w:rsid w:val="00331E6D"/>
    <w:rsid w:val="00331F55"/>
    <w:rsid w:val="00332088"/>
    <w:rsid w:val="003320FE"/>
    <w:rsid w:val="0033214C"/>
    <w:rsid w:val="00332289"/>
    <w:rsid w:val="00332311"/>
    <w:rsid w:val="00332316"/>
    <w:rsid w:val="003323EE"/>
    <w:rsid w:val="003324C1"/>
    <w:rsid w:val="003324EC"/>
    <w:rsid w:val="00332A23"/>
    <w:rsid w:val="00332AF2"/>
    <w:rsid w:val="00332B30"/>
    <w:rsid w:val="00332C4E"/>
    <w:rsid w:val="00332E0D"/>
    <w:rsid w:val="00332E2E"/>
    <w:rsid w:val="00332E69"/>
    <w:rsid w:val="00332F9F"/>
    <w:rsid w:val="00332FA5"/>
    <w:rsid w:val="0033303A"/>
    <w:rsid w:val="00333093"/>
    <w:rsid w:val="003330D4"/>
    <w:rsid w:val="003331B7"/>
    <w:rsid w:val="00333251"/>
    <w:rsid w:val="0033333C"/>
    <w:rsid w:val="0033334D"/>
    <w:rsid w:val="00333554"/>
    <w:rsid w:val="0033355C"/>
    <w:rsid w:val="003335C7"/>
    <w:rsid w:val="003335D0"/>
    <w:rsid w:val="00333682"/>
    <w:rsid w:val="00333712"/>
    <w:rsid w:val="00333876"/>
    <w:rsid w:val="003338FC"/>
    <w:rsid w:val="00333ADF"/>
    <w:rsid w:val="00333AF4"/>
    <w:rsid w:val="00333BAF"/>
    <w:rsid w:val="00333D49"/>
    <w:rsid w:val="00334184"/>
    <w:rsid w:val="0033438B"/>
    <w:rsid w:val="003344CA"/>
    <w:rsid w:val="00334572"/>
    <w:rsid w:val="00334749"/>
    <w:rsid w:val="003347C4"/>
    <w:rsid w:val="003347DE"/>
    <w:rsid w:val="00334806"/>
    <w:rsid w:val="0033490A"/>
    <w:rsid w:val="003349A1"/>
    <w:rsid w:val="00334A4F"/>
    <w:rsid w:val="00334A75"/>
    <w:rsid w:val="00334A9A"/>
    <w:rsid w:val="00334C22"/>
    <w:rsid w:val="00334C63"/>
    <w:rsid w:val="00334C82"/>
    <w:rsid w:val="00334E2B"/>
    <w:rsid w:val="00334E39"/>
    <w:rsid w:val="00334EFA"/>
    <w:rsid w:val="00334FF3"/>
    <w:rsid w:val="00335092"/>
    <w:rsid w:val="00335158"/>
    <w:rsid w:val="00335206"/>
    <w:rsid w:val="00335276"/>
    <w:rsid w:val="00335499"/>
    <w:rsid w:val="003354CC"/>
    <w:rsid w:val="00335588"/>
    <w:rsid w:val="00335748"/>
    <w:rsid w:val="0033574E"/>
    <w:rsid w:val="00335854"/>
    <w:rsid w:val="003358A8"/>
    <w:rsid w:val="003358D7"/>
    <w:rsid w:val="00335977"/>
    <w:rsid w:val="003359BE"/>
    <w:rsid w:val="00335A9A"/>
    <w:rsid w:val="00335C36"/>
    <w:rsid w:val="00335C46"/>
    <w:rsid w:val="00335E69"/>
    <w:rsid w:val="00335F5D"/>
    <w:rsid w:val="00336011"/>
    <w:rsid w:val="00336042"/>
    <w:rsid w:val="00336087"/>
    <w:rsid w:val="00336160"/>
    <w:rsid w:val="00336163"/>
    <w:rsid w:val="003361AC"/>
    <w:rsid w:val="00336339"/>
    <w:rsid w:val="00336345"/>
    <w:rsid w:val="003363AC"/>
    <w:rsid w:val="00336426"/>
    <w:rsid w:val="00336673"/>
    <w:rsid w:val="003368C5"/>
    <w:rsid w:val="0033692D"/>
    <w:rsid w:val="00336A08"/>
    <w:rsid w:val="00336A25"/>
    <w:rsid w:val="00336B10"/>
    <w:rsid w:val="00336BF7"/>
    <w:rsid w:val="00336C5A"/>
    <w:rsid w:val="00336CC1"/>
    <w:rsid w:val="00336CC2"/>
    <w:rsid w:val="00336DB9"/>
    <w:rsid w:val="00336DE3"/>
    <w:rsid w:val="00336E95"/>
    <w:rsid w:val="00336F56"/>
    <w:rsid w:val="00336FA1"/>
    <w:rsid w:val="00337014"/>
    <w:rsid w:val="00337282"/>
    <w:rsid w:val="003372F2"/>
    <w:rsid w:val="003372F8"/>
    <w:rsid w:val="0033747F"/>
    <w:rsid w:val="003374DF"/>
    <w:rsid w:val="003374E9"/>
    <w:rsid w:val="00337504"/>
    <w:rsid w:val="003375C4"/>
    <w:rsid w:val="00337631"/>
    <w:rsid w:val="00337792"/>
    <w:rsid w:val="003377CB"/>
    <w:rsid w:val="003378DA"/>
    <w:rsid w:val="0033795C"/>
    <w:rsid w:val="00337A34"/>
    <w:rsid w:val="00337A3E"/>
    <w:rsid w:val="00337A53"/>
    <w:rsid w:val="00337B15"/>
    <w:rsid w:val="00337B1B"/>
    <w:rsid w:val="00337B39"/>
    <w:rsid w:val="00337BD3"/>
    <w:rsid w:val="00337D30"/>
    <w:rsid w:val="00337ED9"/>
    <w:rsid w:val="00337EFD"/>
    <w:rsid w:val="00337FCB"/>
    <w:rsid w:val="003400E8"/>
    <w:rsid w:val="0034010A"/>
    <w:rsid w:val="003402B2"/>
    <w:rsid w:val="003402C0"/>
    <w:rsid w:val="0034033D"/>
    <w:rsid w:val="003404F4"/>
    <w:rsid w:val="00340527"/>
    <w:rsid w:val="003405ED"/>
    <w:rsid w:val="00340749"/>
    <w:rsid w:val="0034075B"/>
    <w:rsid w:val="00340820"/>
    <w:rsid w:val="0034098D"/>
    <w:rsid w:val="003409E9"/>
    <w:rsid w:val="00340A03"/>
    <w:rsid w:val="00340BC9"/>
    <w:rsid w:val="00340BD2"/>
    <w:rsid w:val="00340C06"/>
    <w:rsid w:val="00340C15"/>
    <w:rsid w:val="00340C45"/>
    <w:rsid w:val="00340C71"/>
    <w:rsid w:val="00340CF1"/>
    <w:rsid w:val="00340D94"/>
    <w:rsid w:val="00340D96"/>
    <w:rsid w:val="00340E46"/>
    <w:rsid w:val="00340E6D"/>
    <w:rsid w:val="00340EED"/>
    <w:rsid w:val="00340F43"/>
    <w:rsid w:val="00340FE4"/>
    <w:rsid w:val="00341083"/>
    <w:rsid w:val="003410E4"/>
    <w:rsid w:val="003410E9"/>
    <w:rsid w:val="00341203"/>
    <w:rsid w:val="00341299"/>
    <w:rsid w:val="003412A1"/>
    <w:rsid w:val="00341486"/>
    <w:rsid w:val="00341544"/>
    <w:rsid w:val="003415E1"/>
    <w:rsid w:val="003415EB"/>
    <w:rsid w:val="00341742"/>
    <w:rsid w:val="00341748"/>
    <w:rsid w:val="00341793"/>
    <w:rsid w:val="0034184D"/>
    <w:rsid w:val="003418D3"/>
    <w:rsid w:val="0034197F"/>
    <w:rsid w:val="00341AB7"/>
    <w:rsid w:val="00341B03"/>
    <w:rsid w:val="00341B28"/>
    <w:rsid w:val="00341B52"/>
    <w:rsid w:val="00341BBA"/>
    <w:rsid w:val="00341C8D"/>
    <w:rsid w:val="00341C95"/>
    <w:rsid w:val="00341CFE"/>
    <w:rsid w:val="00341D13"/>
    <w:rsid w:val="00341D72"/>
    <w:rsid w:val="00341E65"/>
    <w:rsid w:val="00341E98"/>
    <w:rsid w:val="00341EE6"/>
    <w:rsid w:val="00341EEA"/>
    <w:rsid w:val="00341F1D"/>
    <w:rsid w:val="0034211B"/>
    <w:rsid w:val="003421EC"/>
    <w:rsid w:val="00342245"/>
    <w:rsid w:val="0034224B"/>
    <w:rsid w:val="003422A6"/>
    <w:rsid w:val="00342535"/>
    <w:rsid w:val="0034268C"/>
    <w:rsid w:val="003426CC"/>
    <w:rsid w:val="00342716"/>
    <w:rsid w:val="003427AA"/>
    <w:rsid w:val="00342833"/>
    <w:rsid w:val="003428E8"/>
    <w:rsid w:val="0034290D"/>
    <w:rsid w:val="00342931"/>
    <w:rsid w:val="00342A24"/>
    <w:rsid w:val="00342A6C"/>
    <w:rsid w:val="00342A9C"/>
    <w:rsid w:val="00342B97"/>
    <w:rsid w:val="00342BCD"/>
    <w:rsid w:val="00342BDD"/>
    <w:rsid w:val="00342D82"/>
    <w:rsid w:val="00342E29"/>
    <w:rsid w:val="00342E4A"/>
    <w:rsid w:val="0034308D"/>
    <w:rsid w:val="003430E0"/>
    <w:rsid w:val="0034316D"/>
    <w:rsid w:val="003432B4"/>
    <w:rsid w:val="0034331A"/>
    <w:rsid w:val="00343401"/>
    <w:rsid w:val="003434A2"/>
    <w:rsid w:val="003434BF"/>
    <w:rsid w:val="003434D4"/>
    <w:rsid w:val="003434EB"/>
    <w:rsid w:val="0034364E"/>
    <w:rsid w:val="00343700"/>
    <w:rsid w:val="00343835"/>
    <w:rsid w:val="00343902"/>
    <w:rsid w:val="003439AB"/>
    <w:rsid w:val="00343A20"/>
    <w:rsid w:val="00343AF9"/>
    <w:rsid w:val="00343C93"/>
    <w:rsid w:val="00343D03"/>
    <w:rsid w:val="00343D69"/>
    <w:rsid w:val="00343D71"/>
    <w:rsid w:val="00343DEE"/>
    <w:rsid w:val="00343E94"/>
    <w:rsid w:val="00343F00"/>
    <w:rsid w:val="00343FC9"/>
    <w:rsid w:val="00343FF2"/>
    <w:rsid w:val="0034440D"/>
    <w:rsid w:val="0034449F"/>
    <w:rsid w:val="003444E2"/>
    <w:rsid w:val="003445C1"/>
    <w:rsid w:val="003445E0"/>
    <w:rsid w:val="00344618"/>
    <w:rsid w:val="00344642"/>
    <w:rsid w:val="0034464C"/>
    <w:rsid w:val="00344657"/>
    <w:rsid w:val="00344821"/>
    <w:rsid w:val="003448E0"/>
    <w:rsid w:val="003449E7"/>
    <w:rsid w:val="003449FC"/>
    <w:rsid w:val="00344A12"/>
    <w:rsid w:val="00344B2E"/>
    <w:rsid w:val="00344B3C"/>
    <w:rsid w:val="00344C12"/>
    <w:rsid w:val="00344C44"/>
    <w:rsid w:val="00344CEB"/>
    <w:rsid w:val="00344CF4"/>
    <w:rsid w:val="00344DEE"/>
    <w:rsid w:val="00344E5A"/>
    <w:rsid w:val="00344E9F"/>
    <w:rsid w:val="00344EFC"/>
    <w:rsid w:val="00344F9A"/>
    <w:rsid w:val="00344FFF"/>
    <w:rsid w:val="003450A8"/>
    <w:rsid w:val="003450B7"/>
    <w:rsid w:val="00345117"/>
    <w:rsid w:val="0034538A"/>
    <w:rsid w:val="0034542B"/>
    <w:rsid w:val="00345441"/>
    <w:rsid w:val="003454BC"/>
    <w:rsid w:val="0034557F"/>
    <w:rsid w:val="00345656"/>
    <w:rsid w:val="003457E0"/>
    <w:rsid w:val="00345A9E"/>
    <w:rsid w:val="00345BFC"/>
    <w:rsid w:val="00345C5C"/>
    <w:rsid w:val="00345CAA"/>
    <w:rsid w:val="00345EE3"/>
    <w:rsid w:val="00345F3E"/>
    <w:rsid w:val="00345FA9"/>
    <w:rsid w:val="0034603F"/>
    <w:rsid w:val="00346068"/>
    <w:rsid w:val="0034606D"/>
    <w:rsid w:val="00346254"/>
    <w:rsid w:val="0034630C"/>
    <w:rsid w:val="00346318"/>
    <w:rsid w:val="00346353"/>
    <w:rsid w:val="00346422"/>
    <w:rsid w:val="00346526"/>
    <w:rsid w:val="00346641"/>
    <w:rsid w:val="0034664F"/>
    <w:rsid w:val="00346764"/>
    <w:rsid w:val="00346771"/>
    <w:rsid w:val="00346795"/>
    <w:rsid w:val="00346ADA"/>
    <w:rsid w:val="00346B03"/>
    <w:rsid w:val="00346B3B"/>
    <w:rsid w:val="00346E61"/>
    <w:rsid w:val="00346F02"/>
    <w:rsid w:val="00346F22"/>
    <w:rsid w:val="00346F4D"/>
    <w:rsid w:val="003470A1"/>
    <w:rsid w:val="003470A9"/>
    <w:rsid w:val="00347134"/>
    <w:rsid w:val="00347139"/>
    <w:rsid w:val="0034716D"/>
    <w:rsid w:val="003471DF"/>
    <w:rsid w:val="003472D5"/>
    <w:rsid w:val="00347344"/>
    <w:rsid w:val="0034736C"/>
    <w:rsid w:val="003473A5"/>
    <w:rsid w:val="00347443"/>
    <w:rsid w:val="00347543"/>
    <w:rsid w:val="0034761F"/>
    <w:rsid w:val="003476AC"/>
    <w:rsid w:val="003476C3"/>
    <w:rsid w:val="00347731"/>
    <w:rsid w:val="00347859"/>
    <w:rsid w:val="003478BF"/>
    <w:rsid w:val="00347962"/>
    <w:rsid w:val="003479D3"/>
    <w:rsid w:val="00347A30"/>
    <w:rsid w:val="00347AB2"/>
    <w:rsid w:val="00347AC8"/>
    <w:rsid w:val="00347AE4"/>
    <w:rsid w:val="00347B09"/>
    <w:rsid w:val="00347B0E"/>
    <w:rsid w:val="00347CF7"/>
    <w:rsid w:val="00347D08"/>
    <w:rsid w:val="00347ED7"/>
    <w:rsid w:val="00347F41"/>
    <w:rsid w:val="0035000E"/>
    <w:rsid w:val="00350034"/>
    <w:rsid w:val="003501AB"/>
    <w:rsid w:val="00350210"/>
    <w:rsid w:val="00350221"/>
    <w:rsid w:val="00350254"/>
    <w:rsid w:val="003502BD"/>
    <w:rsid w:val="003502CC"/>
    <w:rsid w:val="003502D2"/>
    <w:rsid w:val="003502DD"/>
    <w:rsid w:val="0035030D"/>
    <w:rsid w:val="0035035C"/>
    <w:rsid w:val="00350388"/>
    <w:rsid w:val="003503B8"/>
    <w:rsid w:val="003504C6"/>
    <w:rsid w:val="003504D8"/>
    <w:rsid w:val="00350513"/>
    <w:rsid w:val="0035051A"/>
    <w:rsid w:val="00350523"/>
    <w:rsid w:val="0035062A"/>
    <w:rsid w:val="00350854"/>
    <w:rsid w:val="00350886"/>
    <w:rsid w:val="003508C5"/>
    <w:rsid w:val="003508CE"/>
    <w:rsid w:val="0035090A"/>
    <w:rsid w:val="00350A7C"/>
    <w:rsid w:val="00350B06"/>
    <w:rsid w:val="00350B71"/>
    <w:rsid w:val="00350BC6"/>
    <w:rsid w:val="00350CAB"/>
    <w:rsid w:val="00350DAD"/>
    <w:rsid w:val="00350DBF"/>
    <w:rsid w:val="00350E7C"/>
    <w:rsid w:val="00350E92"/>
    <w:rsid w:val="00350F35"/>
    <w:rsid w:val="00350F37"/>
    <w:rsid w:val="00350FD1"/>
    <w:rsid w:val="0035109C"/>
    <w:rsid w:val="003513C0"/>
    <w:rsid w:val="0035148A"/>
    <w:rsid w:val="00351527"/>
    <w:rsid w:val="0035153F"/>
    <w:rsid w:val="003515F9"/>
    <w:rsid w:val="0035167C"/>
    <w:rsid w:val="003516A3"/>
    <w:rsid w:val="003516F4"/>
    <w:rsid w:val="00351893"/>
    <w:rsid w:val="0035189F"/>
    <w:rsid w:val="0035190E"/>
    <w:rsid w:val="00351935"/>
    <w:rsid w:val="003519C0"/>
    <w:rsid w:val="003519CE"/>
    <w:rsid w:val="00351B43"/>
    <w:rsid w:val="00351B47"/>
    <w:rsid w:val="00351BEF"/>
    <w:rsid w:val="00351D53"/>
    <w:rsid w:val="00351D84"/>
    <w:rsid w:val="00351D85"/>
    <w:rsid w:val="00351E4A"/>
    <w:rsid w:val="00351F1A"/>
    <w:rsid w:val="00351FF0"/>
    <w:rsid w:val="00352067"/>
    <w:rsid w:val="0035210C"/>
    <w:rsid w:val="00352160"/>
    <w:rsid w:val="00352240"/>
    <w:rsid w:val="00352274"/>
    <w:rsid w:val="00352349"/>
    <w:rsid w:val="003523E6"/>
    <w:rsid w:val="003524F1"/>
    <w:rsid w:val="0035256F"/>
    <w:rsid w:val="0035262B"/>
    <w:rsid w:val="003526E5"/>
    <w:rsid w:val="00352720"/>
    <w:rsid w:val="003527E0"/>
    <w:rsid w:val="0035285B"/>
    <w:rsid w:val="00352882"/>
    <w:rsid w:val="0035290D"/>
    <w:rsid w:val="003529A8"/>
    <w:rsid w:val="00352A25"/>
    <w:rsid w:val="00352A6B"/>
    <w:rsid w:val="00352C32"/>
    <w:rsid w:val="00352CD9"/>
    <w:rsid w:val="00352D5F"/>
    <w:rsid w:val="00352EB0"/>
    <w:rsid w:val="00352FE2"/>
    <w:rsid w:val="00352FE4"/>
    <w:rsid w:val="0035317F"/>
    <w:rsid w:val="003531DB"/>
    <w:rsid w:val="0035329E"/>
    <w:rsid w:val="003533D4"/>
    <w:rsid w:val="00353478"/>
    <w:rsid w:val="003534B2"/>
    <w:rsid w:val="003534D8"/>
    <w:rsid w:val="003534DA"/>
    <w:rsid w:val="0035350D"/>
    <w:rsid w:val="003535E0"/>
    <w:rsid w:val="00353628"/>
    <w:rsid w:val="00353688"/>
    <w:rsid w:val="003539CF"/>
    <w:rsid w:val="00353ABE"/>
    <w:rsid w:val="00353AD7"/>
    <w:rsid w:val="00353C1F"/>
    <w:rsid w:val="00353E2A"/>
    <w:rsid w:val="00353E31"/>
    <w:rsid w:val="00353E57"/>
    <w:rsid w:val="00353E5A"/>
    <w:rsid w:val="00353ED0"/>
    <w:rsid w:val="00353EF2"/>
    <w:rsid w:val="00353F5C"/>
    <w:rsid w:val="00353F8C"/>
    <w:rsid w:val="00353F94"/>
    <w:rsid w:val="00354148"/>
    <w:rsid w:val="0035415C"/>
    <w:rsid w:val="00354603"/>
    <w:rsid w:val="0035467D"/>
    <w:rsid w:val="003546A7"/>
    <w:rsid w:val="003549EC"/>
    <w:rsid w:val="00354A2C"/>
    <w:rsid w:val="00354AC9"/>
    <w:rsid w:val="00354C5D"/>
    <w:rsid w:val="00354C7F"/>
    <w:rsid w:val="00354D26"/>
    <w:rsid w:val="00354D85"/>
    <w:rsid w:val="00354DDD"/>
    <w:rsid w:val="0035509F"/>
    <w:rsid w:val="00355274"/>
    <w:rsid w:val="003552F0"/>
    <w:rsid w:val="003553C5"/>
    <w:rsid w:val="00355427"/>
    <w:rsid w:val="0035546B"/>
    <w:rsid w:val="003554DD"/>
    <w:rsid w:val="003555BA"/>
    <w:rsid w:val="003555C6"/>
    <w:rsid w:val="003555C8"/>
    <w:rsid w:val="0035561C"/>
    <w:rsid w:val="00355629"/>
    <w:rsid w:val="00355913"/>
    <w:rsid w:val="00355C0A"/>
    <w:rsid w:val="00355D17"/>
    <w:rsid w:val="00355D95"/>
    <w:rsid w:val="00355FAF"/>
    <w:rsid w:val="00356017"/>
    <w:rsid w:val="0035613F"/>
    <w:rsid w:val="00356145"/>
    <w:rsid w:val="003561C0"/>
    <w:rsid w:val="0035628B"/>
    <w:rsid w:val="00356412"/>
    <w:rsid w:val="00356457"/>
    <w:rsid w:val="003564CF"/>
    <w:rsid w:val="00356501"/>
    <w:rsid w:val="00356559"/>
    <w:rsid w:val="003565A0"/>
    <w:rsid w:val="00356630"/>
    <w:rsid w:val="00356743"/>
    <w:rsid w:val="003569FB"/>
    <w:rsid w:val="00356A6A"/>
    <w:rsid w:val="00356A93"/>
    <w:rsid w:val="00356AB3"/>
    <w:rsid w:val="00356B0D"/>
    <w:rsid w:val="00356C06"/>
    <w:rsid w:val="00356C0F"/>
    <w:rsid w:val="00356C98"/>
    <w:rsid w:val="00356D11"/>
    <w:rsid w:val="00356E76"/>
    <w:rsid w:val="00356F78"/>
    <w:rsid w:val="003571B7"/>
    <w:rsid w:val="0035722D"/>
    <w:rsid w:val="00357245"/>
    <w:rsid w:val="003572DB"/>
    <w:rsid w:val="0035734F"/>
    <w:rsid w:val="00357410"/>
    <w:rsid w:val="00357578"/>
    <w:rsid w:val="003575A0"/>
    <w:rsid w:val="0035764C"/>
    <w:rsid w:val="00357715"/>
    <w:rsid w:val="0035778C"/>
    <w:rsid w:val="003577B0"/>
    <w:rsid w:val="00357A0F"/>
    <w:rsid w:val="00357AEA"/>
    <w:rsid w:val="00357C31"/>
    <w:rsid w:val="00357C5F"/>
    <w:rsid w:val="00357CB7"/>
    <w:rsid w:val="00357CD1"/>
    <w:rsid w:val="00357D7F"/>
    <w:rsid w:val="00357DBC"/>
    <w:rsid w:val="00357E0E"/>
    <w:rsid w:val="00360111"/>
    <w:rsid w:val="003601AA"/>
    <w:rsid w:val="00360286"/>
    <w:rsid w:val="00360428"/>
    <w:rsid w:val="0036042B"/>
    <w:rsid w:val="00360430"/>
    <w:rsid w:val="0036050F"/>
    <w:rsid w:val="0036060D"/>
    <w:rsid w:val="003606BC"/>
    <w:rsid w:val="00360776"/>
    <w:rsid w:val="00360847"/>
    <w:rsid w:val="00360850"/>
    <w:rsid w:val="0036086A"/>
    <w:rsid w:val="00360879"/>
    <w:rsid w:val="00360911"/>
    <w:rsid w:val="0036093B"/>
    <w:rsid w:val="00360AF3"/>
    <w:rsid w:val="00360B64"/>
    <w:rsid w:val="00360BEC"/>
    <w:rsid w:val="00360C8C"/>
    <w:rsid w:val="00360DA1"/>
    <w:rsid w:val="00360E55"/>
    <w:rsid w:val="003610D9"/>
    <w:rsid w:val="00361231"/>
    <w:rsid w:val="00361533"/>
    <w:rsid w:val="003616DD"/>
    <w:rsid w:val="00361709"/>
    <w:rsid w:val="00361800"/>
    <w:rsid w:val="0036197D"/>
    <w:rsid w:val="00361B51"/>
    <w:rsid w:val="00361CC4"/>
    <w:rsid w:val="00361D3D"/>
    <w:rsid w:val="00361FB8"/>
    <w:rsid w:val="00361FE4"/>
    <w:rsid w:val="00361FE6"/>
    <w:rsid w:val="00362016"/>
    <w:rsid w:val="00362017"/>
    <w:rsid w:val="0036201F"/>
    <w:rsid w:val="00362188"/>
    <w:rsid w:val="003621F0"/>
    <w:rsid w:val="0036222B"/>
    <w:rsid w:val="003622C6"/>
    <w:rsid w:val="00362347"/>
    <w:rsid w:val="003623DE"/>
    <w:rsid w:val="00362462"/>
    <w:rsid w:val="00362535"/>
    <w:rsid w:val="0036265E"/>
    <w:rsid w:val="003626B9"/>
    <w:rsid w:val="003626FC"/>
    <w:rsid w:val="003627D3"/>
    <w:rsid w:val="00362822"/>
    <w:rsid w:val="003628B1"/>
    <w:rsid w:val="0036298D"/>
    <w:rsid w:val="00362996"/>
    <w:rsid w:val="00362AB0"/>
    <w:rsid w:val="00362B22"/>
    <w:rsid w:val="00362B97"/>
    <w:rsid w:val="00362D0C"/>
    <w:rsid w:val="00362E3E"/>
    <w:rsid w:val="00363042"/>
    <w:rsid w:val="00363096"/>
    <w:rsid w:val="0036309B"/>
    <w:rsid w:val="003630EC"/>
    <w:rsid w:val="00363182"/>
    <w:rsid w:val="003631E4"/>
    <w:rsid w:val="0036320F"/>
    <w:rsid w:val="003632EB"/>
    <w:rsid w:val="00363378"/>
    <w:rsid w:val="00363484"/>
    <w:rsid w:val="003635B5"/>
    <w:rsid w:val="003635DF"/>
    <w:rsid w:val="00363675"/>
    <w:rsid w:val="00363698"/>
    <w:rsid w:val="00363699"/>
    <w:rsid w:val="0036370B"/>
    <w:rsid w:val="00363871"/>
    <w:rsid w:val="003639EC"/>
    <w:rsid w:val="00363A01"/>
    <w:rsid w:val="00363A30"/>
    <w:rsid w:val="00363A96"/>
    <w:rsid w:val="00363AA3"/>
    <w:rsid w:val="00363AE6"/>
    <w:rsid w:val="00363B37"/>
    <w:rsid w:val="00363C7A"/>
    <w:rsid w:val="00363C92"/>
    <w:rsid w:val="00363C98"/>
    <w:rsid w:val="00363DAF"/>
    <w:rsid w:val="00363DDE"/>
    <w:rsid w:val="00363F2B"/>
    <w:rsid w:val="00364097"/>
    <w:rsid w:val="0036410C"/>
    <w:rsid w:val="00364185"/>
    <w:rsid w:val="00364381"/>
    <w:rsid w:val="0036441F"/>
    <w:rsid w:val="00364444"/>
    <w:rsid w:val="0036448C"/>
    <w:rsid w:val="0036449C"/>
    <w:rsid w:val="003644BC"/>
    <w:rsid w:val="003644C8"/>
    <w:rsid w:val="00364504"/>
    <w:rsid w:val="00364510"/>
    <w:rsid w:val="0036453B"/>
    <w:rsid w:val="003645D0"/>
    <w:rsid w:val="0036461A"/>
    <w:rsid w:val="003647AE"/>
    <w:rsid w:val="0036484F"/>
    <w:rsid w:val="00364904"/>
    <w:rsid w:val="00364923"/>
    <w:rsid w:val="003649C3"/>
    <w:rsid w:val="003649FE"/>
    <w:rsid w:val="00364B69"/>
    <w:rsid w:val="00364CB7"/>
    <w:rsid w:val="00364D53"/>
    <w:rsid w:val="00364E33"/>
    <w:rsid w:val="00364FA6"/>
    <w:rsid w:val="0036502F"/>
    <w:rsid w:val="0036504B"/>
    <w:rsid w:val="00365062"/>
    <w:rsid w:val="003650B7"/>
    <w:rsid w:val="00365197"/>
    <w:rsid w:val="003652D7"/>
    <w:rsid w:val="0036534B"/>
    <w:rsid w:val="0036535E"/>
    <w:rsid w:val="00365391"/>
    <w:rsid w:val="003653ED"/>
    <w:rsid w:val="00365658"/>
    <w:rsid w:val="003656E7"/>
    <w:rsid w:val="00365753"/>
    <w:rsid w:val="003657E9"/>
    <w:rsid w:val="0036580D"/>
    <w:rsid w:val="0036583A"/>
    <w:rsid w:val="00365862"/>
    <w:rsid w:val="00365981"/>
    <w:rsid w:val="003659AD"/>
    <w:rsid w:val="003659B7"/>
    <w:rsid w:val="00365BED"/>
    <w:rsid w:val="00365C87"/>
    <w:rsid w:val="00365CA0"/>
    <w:rsid w:val="00365CE7"/>
    <w:rsid w:val="00365D18"/>
    <w:rsid w:val="00365E33"/>
    <w:rsid w:val="00365E55"/>
    <w:rsid w:val="00365E76"/>
    <w:rsid w:val="00365F40"/>
    <w:rsid w:val="00365F48"/>
    <w:rsid w:val="00366065"/>
    <w:rsid w:val="003661C1"/>
    <w:rsid w:val="003662AE"/>
    <w:rsid w:val="0036633E"/>
    <w:rsid w:val="0036636E"/>
    <w:rsid w:val="0036641C"/>
    <w:rsid w:val="0036646E"/>
    <w:rsid w:val="00366551"/>
    <w:rsid w:val="0036664C"/>
    <w:rsid w:val="0036665F"/>
    <w:rsid w:val="003667AD"/>
    <w:rsid w:val="003667B7"/>
    <w:rsid w:val="003668DA"/>
    <w:rsid w:val="00366936"/>
    <w:rsid w:val="0036697F"/>
    <w:rsid w:val="00366A3C"/>
    <w:rsid w:val="00366ABE"/>
    <w:rsid w:val="00366B6B"/>
    <w:rsid w:val="00366CFA"/>
    <w:rsid w:val="00366E00"/>
    <w:rsid w:val="00366E91"/>
    <w:rsid w:val="00366F3A"/>
    <w:rsid w:val="00366F54"/>
    <w:rsid w:val="00367009"/>
    <w:rsid w:val="0036703B"/>
    <w:rsid w:val="00367050"/>
    <w:rsid w:val="003670CD"/>
    <w:rsid w:val="003671E1"/>
    <w:rsid w:val="003671F8"/>
    <w:rsid w:val="003671F9"/>
    <w:rsid w:val="00367241"/>
    <w:rsid w:val="0036737A"/>
    <w:rsid w:val="00367439"/>
    <w:rsid w:val="0036754B"/>
    <w:rsid w:val="003675C5"/>
    <w:rsid w:val="003675EE"/>
    <w:rsid w:val="00367646"/>
    <w:rsid w:val="00367784"/>
    <w:rsid w:val="003677E8"/>
    <w:rsid w:val="00367807"/>
    <w:rsid w:val="003678FD"/>
    <w:rsid w:val="00367964"/>
    <w:rsid w:val="00367A86"/>
    <w:rsid w:val="00367A89"/>
    <w:rsid w:val="00367B2C"/>
    <w:rsid w:val="00367C28"/>
    <w:rsid w:val="00367C33"/>
    <w:rsid w:val="00367C9F"/>
    <w:rsid w:val="00367D55"/>
    <w:rsid w:val="00367E8C"/>
    <w:rsid w:val="00367EE6"/>
    <w:rsid w:val="00367EF5"/>
    <w:rsid w:val="003702CB"/>
    <w:rsid w:val="00370302"/>
    <w:rsid w:val="003703A0"/>
    <w:rsid w:val="00370424"/>
    <w:rsid w:val="00370487"/>
    <w:rsid w:val="00370507"/>
    <w:rsid w:val="003705A7"/>
    <w:rsid w:val="003705AB"/>
    <w:rsid w:val="00370647"/>
    <w:rsid w:val="00370887"/>
    <w:rsid w:val="0037092A"/>
    <w:rsid w:val="0037094B"/>
    <w:rsid w:val="00370A6B"/>
    <w:rsid w:val="00370B06"/>
    <w:rsid w:val="00370B14"/>
    <w:rsid w:val="00370CED"/>
    <w:rsid w:val="00370DA6"/>
    <w:rsid w:val="00370F48"/>
    <w:rsid w:val="00371179"/>
    <w:rsid w:val="003712D0"/>
    <w:rsid w:val="0037133C"/>
    <w:rsid w:val="00371590"/>
    <w:rsid w:val="00371750"/>
    <w:rsid w:val="003717B4"/>
    <w:rsid w:val="0037197F"/>
    <w:rsid w:val="0037199A"/>
    <w:rsid w:val="00371A17"/>
    <w:rsid w:val="00371B2A"/>
    <w:rsid w:val="00371BB1"/>
    <w:rsid w:val="00371C2F"/>
    <w:rsid w:val="00371DAC"/>
    <w:rsid w:val="00371E1A"/>
    <w:rsid w:val="00371E2A"/>
    <w:rsid w:val="00371E87"/>
    <w:rsid w:val="00371EAC"/>
    <w:rsid w:val="00371F8B"/>
    <w:rsid w:val="0037203D"/>
    <w:rsid w:val="00372098"/>
    <w:rsid w:val="00372216"/>
    <w:rsid w:val="00372249"/>
    <w:rsid w:val="00372321"/>
    <w:rsid w:val="00372345"/>
    <w:rsid w:val="00372369"/>
    <w:rsid w:val="003725A8"/>
    <w:rsid w:val="003725FB"/>
    <w:rsid w:val="003726D8"/>
    <w:rsid w:val="00372876"/>
    <w:rsid w:val="0037288C"/>
    <w:rsid w:val="0037294A"/>
    <w:rsid w:val="00372AA3"/>
    <w:rsid w:val="00372AAD"/>
    <w:rsid w:val="00372BC1"/>
    <w:rsid w:val="00372D71"/>
    <w:rsid w:val="00372E8F"/>
    <w:rsid w:val="00372EA9"/>
    <w:rsid w:val="00372F48"/>
    <w:rsid w:val="00373117"/>
    <w:rsid w:val="00373329"/>
    <w:rsid w:val="00373340"/>
    <w:rsid w:val="00373396"/>
    <w:rsid w:val="003733A5"/>
    <w:rsid w:val="00373418"/>
    <w:rsid w:val="003734C4"/>
    <w:rsid w:val="0037358B"/>
    <w:rsid w:val="0037362C"/>
    <w:rsid w:val="0037367E"/>
    <w:rsid w:val="0037378E"/>
    <w:rsid w:val="003737F3"/>
    <w:rsid w:val="00373900"/>
    <w:rsid w:val="00373924"/>
    <w:rsid w:val="003739F1"/>
    <w:rsid w:val="00373AAC"/>
    <w:rsid w:val="00373BF0"/>
    <w:rsid w:val="00373D57"/>
    <w:rsid w:val="00373EE5"/>
    <w:rsid w:val="00373F3C"/>
    <w:rsid w:val="00374232"/>
    <w:rsid w:val="003742BB"/>
    <w:rsid w:val="0037436B"/>
    <w:rsid w:val="00374380"/>
    <w:rsid w:val="003743AF"/>
    <w:rsid w:val="003744ED"/>
    <w:rsid w:val="00374609"/>
    <w:rsid w:val="00374655"/>
    <w:rsid w:val="00374658"/>
    <w:rsid w:val="003747EE"/>
    <w:rsid w:val="00374840"/>
    <w:rsid w:val="003748D1"/>
    <w:rsid w:val="003748EA"/>
    <w:rsid w:val="003749C3"/>
    <w:rsid w:val="003749CB"/>
    <w:rsid w:val="00374B10"/>
    <w:rsid w:val="00374D3F"/>
    <w:rsid w:val="00374E0C"/>
    <w:rsid w:val="00374EBC"/>
    <w:rsid w:val="00374EFD"/>
    <w:rsid w:val="00374FD0"/>
    <w:rsid w:val="00375000"/>
    <w:rsid w:val="003750F1"/>
    <w:rsid w:val="00375108"/>
    <w:rsid w:val="0037519F"/>
    <w:rsid w:val="003751AB"/>
    <w:rsid w:val="003752FC"/>
    <w:rsid w:val="003753BC"/>
    <w:rsid w:val="003753F8"/>
    <w:rsid w:val="00375410"/>
    <w:rsid w:val="0037551D"/>
    <w:rsid w:val="00375589"/>
    <w:rsid w:val="003755F9"/>
    <w:rsid w:val="00375621"/>
    <w:rsid w:val="0037565A"/>
    <w:rsid w:val="00375694"/>
    <w:rsid w:val="003756E7"/>
    <w:rsid w:val="0037571C"/>
    <w:rsid w:val="003757BF"/>
    <w:rsid w:val="00375851"/>
    <w:rsid w:val="00375854"/>
    <w:rsid w:val="003758DD"/>
    <w:rsid w:val="00375AC2"/>
    <w:rsid w:val="00375C50"/>
    <w:rsid w:val="00375C63"/>
    <w:rsid w:val="00375CBF"/>
    <w:rsid w:val="00375F3D"/>
    <w:rsid w:val="00375F3F"/>
    <w:rsid w:val="00375FE6"/>
    <w:rsid w:val="00376093"/>
    <w:rsid w:val="003760DC"/>
    <w:rsid w:val="003760DF"/>
    <w:rsid w:val="00376292"/>
    <w:rsid w:val="00376463"/>
    <w:rsid w:val="00376474"/>
    <w:rsid w:val="003764A1"/>
    <w:rsid w:val="003764AD"/>
    <w:rsid w:val="00376528"/>
    <w:rsid w:val="003765E2"/>
    <w:rsid w:val="00376650"/>
    <w:rsid w:val="003766A7"/>
    <w:rsid w:val="00376703"/>
    <w:rsid w:val="00376AF8"/>
    <w:rsid w:val="00376B22"/>
    <w:rsid w:val="00376BDA"/>
    <w:rsid w:val="00376C95"/>
    <w:rsid w:val="00376D24"/>
    <w:rsid w:val="00376E24"/>
    <w:rsid w:val="00376E2E"/>
    <w:rsid w:val="00376E39"/>
    <w:rsid w:val="00376F3E"/>
    <w:rsid w:val="00376F98"/>
    <w:rsid w:val="0037715F"/>
    <w:rsid w:val="0037717C"/>
    <w:rsid w:val="00377211"/>
    <w:rsid w:val="003772ED"/>
    <w:rsid w:val="00377352"/>
    <w:rsid w:val="003773DB"/>
    <w:rsid w:val="00377409"/>
    <w:rsid w:val="00377410"/>
    <w:rsid w:val="003774E2"/>
    <w:rsid w:val="00377623"/>
    <w:rsid w:val="00377672"/>
    <w:rsid w:val="00377754"/>
    <w:rsid w:val="00377840"/>
    <w:rsid w:val="0037795B"/>
    <w:rsid w:val="003779E0"/>
    <w:rsid w:val="003779E5"/>
    <w:rsid w:val="00377A70"/>
    <w:rsid w:val="00377AB0"/>
    <w:rsid w:val="00377AE4"/>
    <w:rsid w:val="00377B49"/>
    <w:rsid w:val="00377B4D"/>
    <w:rsid w:val="00377C8A"/>
    <w:rsid w:val="00377CF5"/>
    <w:rsid w:val="00377D78"/>
    <w:rsid w:val="00377E2C"/>
    <w:rsid w:val="00377F37"/>
    <w:rsid w:val="00377F43"/>
    <w:rsid w:val="00377FE2"/>
    <w:rsid w:val="0038001A"/>
    <w:rsid w:val="00380034"/>
    <w:rsid w:val="003800B9"/>
    <w:rsid w:val="00380138"/>
    <w:rsid w:val="003801F4"/>
    <w:rsid w:val="00380366"/>
    <w:rsid w:val="00380572"/>
    <w:rsid w:val="0038067B"/>
    <w:rsid w:val="003806AF"/>
    <w:rsid w:val="00380726"/>
    <w:rsid w:val="003807BC"/>
    <w:rsid w:val="003807D6"/>
    <w:rsid w:val="00380918"/>
    <w:rsid w:val="00380A3B"/>
    <w:rsid w:val="00380DBE"/>
    <w:rsid w:val="00380E7B"/>
    <w:rsid w:val="00380F19"/>
    <w:rsid w:val="00380F1A"/>
    <w:rsid w:val="00381008"/>
    <w:rsid w:val="00381152"/>
    <w:rsid w:val="00381198"/>
    <w:rsid w:val="0038124E"/>
    <w:rsid w:val="0038125D"/>
    <w:rsid w:val="003812D8"/>
    <w:rsid w:val="003813BA"/>
    <w:rsid w:val="0038145C"/>
    <w:rsid w:val="00381605"/>
    <w:rsid w:val="003816C0"/>
    <w:rsid w:val="003816E6"/>
    <w:rsid w:val="003817B1"/>
    <w:rsid w:val="003817B7"/>
    <w:rsid w:val="0038189D"/>
    <w:rsid w:val="0038194A"/>
    <w:rsid w:val="00381961"/>
    <w:rsid w:val="00381B0D"/>
    <w:rsid w:val="00381CBA"/>
    <w:rsid w:val="00381D83"/>
    <w:rsid w:val="00381DD3"/>
    <w:rsid w:val="00381E55"/>
    <w:rsid w:val="00381F0C"/>
    <w:rsid w:val="00381FC3"/>
    <w:rsid w:val="00381FCF"/>
    <w:rsid w:val="00382119"/>
    <w:rsid w:val="00382159"/>
    <w:rsid w:val="0038216F"/>
    <w:rsid w:val="003821B1"/>
    <w:rsid w:val="003821C9"/>
    <w:rsid w:val="00382287"/>
    <w:rsid w:val="00382297"/>
    <w:rsid w:val="003822AE"/>
    <w:rsid w:val="003822E9"/>
    <w:rsid w:val="0038238B"/>
    <w:rsid w:val="00382505"/>
    <w:rsid w:val="003825F3"/>
    <w:rsid w:val="00382605"/>
    <w:rsid w:val="003826EF"/>
    <w:rsid w:val="0038273A"/>
    <w:rsid w:val="003827A2"/>
    <w:rsid w:val="003828EF"/>
    <w:rsid w:val="0038297C"/>
    <w:rsid w:val="003829DE"/>
    <w:rsid w:val="00382A3F"/>
    <w:rsid w:val="00382B21"/>
    <w:rsid w:val="00382B29"/>
    <w:rsid w:val="00382BA1"/>
    <w:rsid w:val="00382BD1"/>
    <w:rsid w:val="00382D0E"/>
    <w:rsid w:val="00382D16"/>
    <w:rsid w:val="00382D44"/>
    <w:rsid w:val="00382E83"/>
    <w:rsid w:val="00382FAA"/>
    <w:rsid w:val="00383166"/>
    <w:rsid w:val="00383222"/>
    <w:rsid w:val="00383336"/>
    <w:rsid w:val="00383434"/>
    <w:rsid w:val="0038343A"/>
    <w:rsid w:val="003834A7"/>
    <w:rsid w:val="0038366A"/>
    <w:rsid w:val="003836B0"/>
    <w:rsid w:val="003836C3"/>
    <w:rsid w:val="00383709"/>
    <w:rsid w:val="00383844"/>
    <w:rsid w:val="00383A11"/>
    <w:rsid w:val="00383AA9"/>
    <w:rsid w:val="00383B01"/>
    <w:rsid w:val="00383B7F"/>
    <w:rsid w:val="00383C0C"/>
    <w:rsid w:val="00383C2C"/>
    <w:rsid w:val="00383C6A"/>
    <w:rsid w:val="00383E62"/>
    <w:rsid w:val="00383EE4"/>
    <w:rsid w:val="00383F5E"/>
    <w:rsid w:val="00384042"/>
    <w:rsid w:val="00384088"/>
    <w:rsid w:val="00384230"/>
    <w:rsid w:val="00384231"/>
    <w:rsid w:val="0038430A"/>
    <w:rsid w:val="003843B7"/>
    <w:rsid w:val="003843DF"/>
    <w:rsid w:val="00384415"/>
    <w:rsid w:val="00384423"/>
    <w:rsid w:val="00384466"/>
    <w:rsid w:val="00384524"/>
    <w:rsid w:val="00384678"/>
    <w:rsid w:val="003848D0"/>
    <w:rsid w:val="003849A8"/>
    <w:rsid w:val="003849AE"/>
    <w:rsid w:val="00384B28"/>
    <w:rsid w:val="00384B94"/>
    <w:rsid w:val="00384C4B"/>
    <w:rsid w:val="00384C4E"/>
    <w:rsid w:val="00384C57"/>
    <w:rsid w:val="00384F0D"/>
    <w:rsid w:val="00385280"/>
    <w:rsid w:val="00385311"/>
    <w:rsid w:val="0038545B"/>
    <w:rsid w:val="0038551C"/>
    <w:rsid w:val="0038559A"/>
    <w:rsid w:val="003855F7"/>
    <w:rsid w:val="003856FE"/>
    <w:rsid w:val="0038573A"/>
    <w:rsid w:val="00385794"/>
    <w:rsid w:val="003857F9"/>
    <w:rsid w:val="00385A15"/>
    <w:rsid w:val="00385A25"/>
    <w:rsid w:val="00385A45"/>
    <w:rsid w:val="00385A97"/>
    <w:rsid w:val="00385AAC"/>
    <w:rsid w:val="00385CA4"/>
    <w:rsid w:val="00385CAC"/>
    <w:rsid w:val="00385CB3"/>
    <w:rsid w:val="00385D1E"/>
    <w:rsid w:val="00385D29"/>
    <w:rsid w:val="00385D55"/>
    <w:rsid w:val="00385DDE"/>
    <w:rsid w:val="00385E15"/>
    <w:rsid w:val="00385EBE"/>
    <w:rsid w:val="00385EC5"/>
    <w:rsid w:val="00385F29"/>
    <w:rsid w:val="00385F81"/>
    <w:rsid w:val="00385FED"/>
    <w:rsid w:val="00386031"/>
    <w:rsid w:val="003860BC"/>
    <w:rsid w:val="0038617F"/>
    <w:rsid w:val="00386246"/>
    <w:rsid w:val="00386295"/>
    <w:rsid w:val="003862F5"/>
    <w:rsid w:val="00386331"/>
    <w:rsid w:val="003864C9"/>
    <w:rsid w:val="003864E0"/>
    <w:rsid w:val="003865E6"/>
    <w:rsid w:val="003867C8"/>
    <w:rsid w:val="003867D2"/>
    <w:rsid w:val="003867EA"/>
    <w:rsid w:val="0038689C"/>
    <w:rsid w:val="003868A5"/>
    <w:rsid w:val="003868E5"/>
    <w:rsid w:val="003869BD"/>
    <w:rsid w:val="00386A32"/>
    <w:rsid w:val="00386C7A"/>
    <w:rsid w:val="00386C7F"/>
    <w:rsid w:val="00386D6A"/>
    <w:rsid w:val="00386D79"/>
    <w:rsid w:val="00386E3A"/>
    <w:rsid w:val="00386EC8"/>
    <w:rsid w:val="00386F1A"/>
    <w:rsid w:val="00386F87"/>
    <w:rsid w:val="0038722C"/>
    <w:rsid w:val="00387453"/>
    <w:rsid w:val="003875B3"/>
    <w:rsid w:val="00387759"/>
    <w:rsid w:val="00387786"/>
    <w:rsid w:val="00387983"/>
    <w:rsid w:val="00387A6B"/>
    <w:rsid w:val="00387AD7"/>
    <w:rsid w:val="00387BB0"/>
    <w:rsid w:val="00387CD9"/>
    <w:rsid w:val="00387D2B"/>
    <w:rsid w:val="00387D68"/>
    <w:rsid w:val="00387E6D"/>
    <w:rsid w:val="00387EA6"/>
    <w:rsid w:val="00387ED5"/>
    <w:rsid w:val="00387EDC"/>
    <w:rsid w:val="00387F1A"/>
    <w:rsid w:val="00390006"/>
    <w:rsid w:val="00390128"/>
    <w:rsid w:val="00390142"/>
    <w:rsid w:val="003901B8"/>
    <w:rsid w:val="003901E3"/>
    <w:rsid w:val="0039021B"/>
    <w:rsid w:val="0039021D"/>
    <w:rsid w:val="00390244"/>
    <w:rsid w:val="00390348"/>
    <w:rsid w:val="00390440"/>
    <w:rsid w:val="0039053E"/>
    <w:rsid w:val="0039054F"/>
    <w:rsid w:val="0039065A"/>
    <w:rsid w:val="003907B4"/>
    <w:rsid w:val="003907F3"/>
    <w:rsid w:val="00390816"/>
    <w:rsid w:val="00390AD3"/>
    <w:rsid w:val="00390B31"/>
    <w:rsid w:val="00390C75"/>
    <w:rsid w:val="00390DE2"/>
    <w:rsid w:val="00390E13"/>
    <w:rsid w:val="00390E29"/>
    <w:rsid w:val="003910AF"/>
    <w:rsid w:val="0039114A"/>
    <w:rsid w:val="0039122F"/>
    <w:rsid w:val="003912DD"/>
    <w:rsid w:val="003912E1"/>
    <w:rsid w:val="003914C9"/>
    <w:rsid w:val="00391742"/>
    <w:rsid w:val="0039184F"/>
    <w:rsid w:val="003919D0"/>
    <w:rsid w:val="003919EE"/>
    <w:rsid w:val="00391AAE"/>
    <w:rsid w:val="00391B29"/>
    <w:rsid w:val="00391C05"/>
    <w:rsid w:val="00391C1C"/>
    <w:rsid w:val="00391C55"/>
    <w:rsid w:val="00391CC5"/>
    <w:rsid w:val="00391D4C"/>
    <w:rsid w:val="00391E97"/>
    <w:rsid w:val="00391F08"/>
    <w:rsid w:val="00391F39"/>
    <w:rsid w:val="00391F5E"/>
    <w:rsid w:val="0039202D"/>
    <w:rsid w:val="0039202E"/>
    <w:rsid w:val="00392090"/>
    <w:rsid w:val="003920C5"/>
    <w:rsid w:val="003920F0"/>
    <w:rsid w:val="00392131"/>
    <w:rsid w:val="0039219C"/>
    <w:rsid w:val="003921D1"/>
    <w:rsid w:val="003921FF"/>
    <w:rsid w:val="00392290"/>
    <w:rsid w:val="003924C6"/>
    <w:rsid w:val="003926B8"/>
    <w:rsid w:val="003926BD"/>
    <w:rsid w:val="003926F4"/>
    <w:rsid w:val="00392802"/>
    <w:rsid w:val="0039289C"/>
    <w:rsid w:val="003928C1"/>
    <w:rsid w:val="00392974"/>
    <w:rsid w:val="003929BF"/>
    <w:rsid w:val="00392A4B"/>
    <w:rsid w:val="00392B06"/>
    <w:rsid w:val="00392B19"/>
    <w:rsid w:val="00392C18"/>
    <w:rsid w:val="00392E0D"/>
    <w:rsid w:val="00392E7A"/>
    <w:rsid w:val="00392EF4"/>
    <w:rsid w:val="00392F7F"/>
    <w:rsid w:val="00393088"/>
    <w:rsid w:val="003931C4"/>
    <w:rsid w:val="00393265"/>
    <w:rsid w:val="00393353"/>
    <w:rsid w:val="0039337E"/>
    <w:rsid w:val="00393555"/>
    <w:rsid w:val="003935BC"/>
    <w:rsid w:val="0039365D"/>
    <w:rsid w:val="00393685"/>
    <w:rsid w:val="0039376A"/>
    <w:rsid w:val="003937C9"/>
    <w:rsid w:val="003937E9"/>
    <w:rsid w:val="0039385C"/>
    <w:rsid w:val="0039393B"/>
    <w:rsid w:val="003939B2"/>
    <w:rsid w:val="00393A1E"/>
    <w:rsid w:val="00393A4A"/>
    <w:rsid w:val="00393A4C"/>
    <w:rsid w:val="00393AE3"/>
    <w:rsid w:val="00393BD0"/>
    <w:rsid w:val="00393C4C"/>
    <w:rsid w:val="00393E02"/>
    <w:rsid w:val="00393E10"/>
    <w:rsid w:val="00393F65"/>
    <w:rsid w:val="00393FDB"/>
    <w:rsid w:val="00394196"/>
    <w:rsid w:val="0039424B"/>
    <w:rsid w:val="0039435F"/>
    <w:rsid w:val="0039444A"/>
    <w:rsid w:val="003944B9"/>
    <w:rsid w:val="003944F0"/>
    <w:rsid w:val="00394536"/>
    <w:rsid w:val="0039453F"/>
    <w:rsid w:val="00394585"/>
    <w:rsid w:val="003946A7"/>
    <w:rsid w:val="0039470A"/>
    <w:rsid w:val="0039474C"/>
    <w:rsid w:val="003947C8"/>
    <w:rsid w:val="003947EA"/>
    <w:rsid w:val="003948A0"/>
    <w:rsid w:val="00394A84"/>
    <w:rsid w:val="00394BA6"/>
    <w:rsid w:val="00394BF1"/>
    <w:rsid w:val="00394C81"/>
    <w:rsid w:val="00394DA5"/>
    <w:rsid w:val="00394DBB"/>
    <w:rsid w:val="00394DC1"/>
    <w:rsid w:val="00394DD5"/>
    <w:rsid w:val="00394EDD"/>
    <w:rsid w:val="00394F1F"/>
    <w:rsid w:val="00395043"/>
    <w:rsid w:val="00395154"/>
    <w:rsid w:val="0039515C"/>
    <w:rsid w:val="003952BB"/>
    <w:rsid w:val="00395461"/>
    <w:rsid w:val="00395492"/>
    <w:rsid w:val="0039556F"/>
    <w:rsid w:val="00395639"/>
    <w:rsid w:val="003957A7"/>
    <w:rsid w:val="003957BC"/>
    <w:rsid w:val="003957E4"/>
    <w:rsid w:val="00395A66"/>
    <w:rsid w:val="00395A6B"/>
    <w:rsid w:val="00395B65"/>
    <w:rsid w:val="00395BFA"/>
    <w:rsid w:val="00395CAD"/>
    <w:rsid w:val="00395D04"/>
    <w:rsid w:val="00395E00"/>
    <w:rsid w:val="00395EB7"/>
    <w:rsid w:val="00395EFF"/>
    <w:rsid w:val="00395F99"/>
    <w:rsid w:val="00395FC1"/>
    <w:rsid w:val="00395FE0"/>
    <w:rsid w:val="00396169"/>
    <w:rsid w:val="00396304"/>
    <w:rsid w:val="00396306"/>
    <w:rsid w:val="0039636A"/>
    <w:rsid w:val="0039639C"/>
    <w:rsid w:val="0039643B"/>
    <w:rsid w:val="003964B7"/>
    <w:rsid w:val="0039665E"/>
    <w:rsid w:val="00396679"/>
    <w:rsid w:val="00396825"/>
    <w:rsid w:val="00396840"/>
    <w:rsid w:val="003968D2"/>
    <w:rsid w:val="0039693D"/>
    <w:rsid w:val="00396977"/>
    <w:rsid w:val="00396A06"/>
    <w:rsid w:val="00396AFA"/>
    <w:rsid w:val="00396EF5"/>
    <w:rsid w:val="00396FE0"/>
    <w:rsid w:val="00397003"/>
    <w:rsid w:val="00397104"/>
    <w:rsid w:val="00397150"/>
    <w:rsid w:val="00397166"/>
    <w:rsid w:val="003971F3"/>
    <w:rsid w:val="0039738B"/>
    <w:rsid w:val="0039740D"/>
    <w:rsid w:val="00397474"/>
    <w:rsid w:val="003974B7"/>
    <w:rsid w:val="00397547"/>
    <w:rsid w:val="003975E8"/>
    <w:rsid w:val="00397665"/>
    <w:rsid w:val="003977ED"/>
    <w:rsid w:val="00397846"/>
    <w:rsid w:val="003978C6"/>
    <w:rsid w:val="00397962"/>
    <w:rsid w:val="00397A42"/>
    <w:rsid w:val="00397A91"/>
    <w:rsid w:val="00397B28"/>
    <w:rsid w:val="00397B4B"/>
    <w:rsid w:val="00397D2F"/>
    <w:rsid w:val="00397E50"/>
    <w:rsid w:val="00397E5D"/>
    <w:rsid w:val="00397EF5"/>
    <w:rsid w:val="00397F07"/>
    <w:rsid w:val="00397F8C"/>
    <w:rsid w:val="003A0098"/>
    <w:rsid w:val="003A02BE"/>
    <w:rsid w:val="003A02FD"/>
    <w:rsid w:val="003A03B3"/>
    <w:rsid w:val="003A0558"/>
    <w:rsid w:val="003A0648"/>
    <w:rsid w:val="003A0695"/>
    <w:rsid w:val="003A06C6"/>
    <w:rsid w:val="003A06E4"/>
    <w:rsid w:val="003A0726"/>
    <w:rsid w:val="003A0794"/>
    <w:rsid w:val="003A092E"/>
    <w:rsid w:val="003A0982"/>
    <w:rsid w:val="003A0A9A"/>
    <w:rsid w:val="003A0B57"/>
    <w:rsid w:val="003A0C12"/>
    <w:rsid w:val="003A0DE8"/>
    <w:rsid w:val="003A0FB2"/>
    <w:rsid w:val="003A119D"/>
    <w:rsid w:val="003A129E"/>
    <w:rsid w:val="003A1389"/>
    <w:rsid w:val="003A13E3"/>
    <w:rsid w:val="003A1415"/>
    <w:rsid w:val="003A14E7"/>
    <w:rsid w:val="003A1552"/>
    <w:rsid w:val="003A16F8"/>
    <w:rsid w:val="003A17F5"/>
    <w:rsid w:val="003A185B"/>
    <w:rsid w:val="003A1891"/>
    <w:rsid w:val="003A18B6"/>
    <w:rsid w:val="003A18F6"/>
    <w:rsid w:val="003A19F1"/>
    <w:rsid w:val="003A1AC6"/>
    <w:rsid w:val="003A1ACF"/>
    <w:rsid w:val="003A1B16"/>
    <w:rsid w:val="003A1C51"/>
    <w:rsid w:val="003A1D28"/>
    <w:rsid w:val="003A1D79"/>
    <w:rsid w:val="003A1DF4"/>
    <w:rsid w:val="003A1E91"/>
    <w:rsid w:val="003A1ED7"/>
    <w:rsid w:val="003A1F1F"/>
    <w:rsid w:val="003A1F68"/>
    <w:rsid w:val="003A2014"/>
    <w:rsid w:val="003A202E"/>
    <w:rsid w:val="003A206F"/>
    <w:rsid w:val="003A2070"/>
    <w:rsid w:val="003A20A2"/>
    <w:rsid w:val="003A21BB"/>
    <w:rsid w:val="003A2260"/>
    <w:rsid w:val="003A22AA"/>
    <w:rsid w:val="003A23BD"/>
    <w:rsid w:val="003A24B9"/>
    <w:rsid w:val="003A25C6"/>
    <w:rsid w:val="003A264C"/>
    <w:rsid w:val="003A2675"/>
    <w:rsid w:val="003A267D"/>
    <w:rsid w:val="003A2687"/>
    <w:rsid w:val="003A27CC"/>
    <w:rsid w:val="003A2952"/>
    <w:rsid w:val="003A297E"/>
    <w:rsid w:val="003A299F"/>
    <w:rsid w:val="003A2A15"/>
    <w:rsid w:val="003A2B07"/>
    <w:rsid w:val="003A2BA3"/>
    <w:rsid w:val="003A2BE9"/>
    <w:rsid w:val="003A2EDF"/>
    <w:rsid w:val="003A2F22"/>
    <w:rsid w:val="003A2F3C"/>
    <w:rsid w:val="003A2F55"/>
    <w:rsid w:val="003A3018"/>
    <w:rsid w:val="003A301B"/>
    <w:rsid w:val="003A309B"/>
    <w:rsid w:val="003A3165"/>
    <w:rsid w:val="003A321C"/>
    <w:rsid w:val="003A323B"/>
    <w:rsid w:val="003A3274"/>
    <w:rsid w:val="003A32AD"/>
    <w:rsid w:val="003A32B0"/>
    <w:rsid w:val="003A3422"/>
    <w:rsid w:val="003A34CE"/>
    <w:rsid w:val="003A35BB"/>
    <w:rsid w:val="003A3640"/>
    <w:rsid w:val="003A3817"/>
    <w:rsid w:val="003A3883"/>
    <w:rsid w:val="003A38D9"/>
    <w:rsid w:val="003A38E7"/>
    <w:rsid w:val="003A38F8"/>
    <w:rsid w:val="003A3980"/>
    <w:rsid w:val="003A3A5D"/>
    <w:rsid w:val="003A3B01"/>
    <w:rsid w:val="003A3BA2"/>
    <w:rsid w:val="003A3C91"/>
    <w:rsid w:val="003A3CDB"/>
    <w:rsid w:val="003A3D59"/>
    <w:rsid w:val="003A3DAC"/>
    <w:rsid w:val="003A3E07"/>
    <w:rsid w:val="003A3E0C"/>
    <w:rsid w:val="003A3F26"/>
    <w:rsid w:val="003A3F28"/>
    <w:rsid w:val="003A4037"/>
    <w:rsid w:val="003A4184"/>
    <w:rsid w:val="003A41C4"/>
    <w:rsid w:val="003A41CA"/>
    <w:rsid w:val="003A41E2"/>
    <w:rsid w:val="003A436D"/>
    <w:rsid w:val="003A4381"/>
    <w:rsid w:val="003A43E3"/>
    <w:rsid w:val="003A44B3"/>
    <w:rsid w:val="003A44B9"/>
    <w:rsid w:val="003A45FA"/>
    <w:rsid w:val="003A466A"/>
    <w:rsid w:val="003A466C"/>
    <w:rsid w:val="003A4917"/>
    <w:rsid w:val="003A493D"/>
    <w:rsid w:val="003A494C"/>
    <w:rsid w:val="003A49A1"/>
    <w:rsid w:val="003A49AE"/>
    <w:rsid w:val="003A49BE"/>
    <w:rsid w:val="003A4B20"/>
    <w:rsid w:val="003A4B72"/>
    <w:rsid w:val="003A4C6E"/>
    <w:rsid w:val="003A4D18"/>
    <w:rsid w:val="003A4D4D"/>
    <w:rsid w:val="003A4F7B"/>
    <w:rsid w:val="003A4F9B"/>
    <w:rsid w:val="003A4FBC"/>
    <w:rsid w:val="003A4FD2"/>
    <w:rsid w:val="003A5037"/>
    <w:rsid w:val="003A50A9"/>
    <w:rsid w:val="003A50CC"/>
    <w:rsid w:val="003A512E"/>
    <w:rsid w:val="003A518E"/>
    <w:rsid w:val="003A51D4"/>
    <w:rsid w:val="003A5222"/>
    <w:rsid w:val="003A5360"/>
    <w:rsid w:val="003A53F9"/>
    <w:rsid w:val="003A5442"/>
    <w:rsid w:val="003A54DF"/>
    <w:rsid w:val="003A563E"/>
    <w:rsid w:val="003A5650"/>
    <w:rsid w:val="003A56A2"/>
    <w:rsid w:val="003A56B4"/>
    <w:rsid w:val="003A5707"/>
    <w:rsid w:val="003A5825"/>
    <w:rsid w:val="003A589B"/>
    <w:rsid w:val="003A58BB"/>
    <w:rsid w:val="003A5B19"/>
    <w:rsid w:val="003A5B23"/>
    <w:rsid w:val="003A5CAE"/>
    <w:rsid w:val="003A5CD8"/>
    <w:rsid w:val="003A5D02"/>
    <w:rsid w:val="003A5D0F"/>
    <w:rsid w:val="003A5D78"/>
    <w:rsid w:val="003A5D79"/>
    <w:rsid w:val="003A5ECE"/>
    <w:rsid w:val="003A5FEF"/>
    <w:rsid w:val="003A60B8"/>
    <w:rsid w:val="003A60CC"/>
    <w:rsid w:val="003A61B6"/>
    <w:rsid w:val="003A6221"/>
    <w:rsid w:val="003A6324"/>
    <w:rsid w:val="003A6484"/>
    <w:rsid w:val="003A64F5"/>
    <w:rsid w:val="003A656C"/>
    <w:rsid w:val="003A65E6"/>
    <w:rsid w:val="003A6685"/>
    <w:rsid w:val="003A67B4"/>
    <w:rsid w:val="003A6851"/>
    <w:rsid w:val="003A68C9"/>
    <w:rsid w:val="003A6959"/>
    <w:rsid w:val="003A6A2A"/>
    <w:rsid w:val="003A6A87"/>
    <w:rsid w:val="003A6A9E"/>
    <w:rsid w:val="003A6CE9"/>
    <w:rsid w:val="003A6D4F"/>
    <w:rsid w:val="003A6DEB"/>
    <w:rsid w:val="003A6E07"/>
    <w:rsid w:val="003A6E22"/>
    <w:rsid w:val="003A6F28"/>
    <w:rsid w:val="003A6F8F"/>
    <w:rsid w:val="003A6FB5"/>
    <w:rsid w:val="003A711E"/>
    <w:rsid w:val="003A71DE"/>
    <w:rsid w:val="003A732C"/>
    <w:rsid w:val="003A7336"/>
    <w:rsid w:val="003A7342"/>
    <w:rsid w:val="003A75DF"/>
    <w:rsid w:val="003A764D"/>
    <w:rsid w:val="003A78AC"/>
    <w:rsid w:val="003A78DD"/>
    <w:rsid w:val="003A7921"/>
    <w:rsid w:val="003A7A10"/>
    <w:rsid w:val="003A7C2C"/>
    <w:rsid w:val="003A7C71"/>
    <w:rsid w:val="003A7C73"/>
    <w:rsid w:val="003A7D12"/>
    <w:rsid w:val="003A7D1C"/>
    <w:rsid w:val="003A7D8B"/>
    <w:rsid w:val="003A7EAA"/>
    <w:rsid w:val="003B0068"/>
    <w:rsid w:val="003B01D3"/>
    <w:rsid w:val="003B03FD"/>
    <w:rsid w:val="003B0403"/>
    <w:rsid w:val="003B0460"/>
    <w:rsid w:val="003B04DD"/>
    <w:rsid w:val="003B0542"/>
    <w:rsid w:val="003B0553"/>
    <w:rsid w:val="003B058F"/>
    <w:rsid w:val="003B070B"/>
    <w:rsid w:val="003B07D4"/>
    <w:rsid w:val="003B0827"/>
    <w:rsid w:val="003B0841"/>
    <w:rsid w:val="003B0854"/>
    <w:rsid w:val="003B0880"/>
    <w:rsid w:val="003B0916"/>
    <w:rsid w:val="003B099B"/>
    <w:rsid w:val="003B09C0"/>
    <w:rsid w:val="003B09FD"/>
    <w:rsid w:val="003B0B00"/>
    <w:rsid w:val="003B0B5A"/>
    <w:rsid w:val="003B0CDA"/>
    <w:rsid w:val="003B0CF7"/>
    <w:rsid w:val="003B0D84"/>
    <w:rsid w:val="003B0EDB"/>
    <w:rsid w:val="003B107E"/>
    <w:rsid w:val="003B10C4"/>
    <w:rsid w:val="003B10E0"/>
    <w:rsid w:val="003B131C"/>
    <w:rsid w:val="003B1393"/>
    <w:rsid w:val="003B13F5"/>
    <w:rsid w:val="003B1422"/>
    <w:rsid w:val="003B1550"/>
    <w:rsid w:val="003B1620"/>
    <w:rsid w:val="003B16A1"/>
    <w:rsid w:val="003B1705"/>
    <w:rsid w:val="003B1745"/>
    <w:rsid w:val="003B17DF"/>
    <w:rsid w:val="003B1808"/>
    <w:rsid w:val="003B1882"/>
    <w:rsid w:val="003B18A2"/>
    <w:rsid w:val="003B1938"/>
    <w:rsid w:val="003B1AA0"/>
    <w:rsid w:val="003B1B24"/>
    <w:rsid w:val="003B1B8A"/>
    <w:rsid w:val="003B1BB9"/>
    <w:rsid w:val="003B1C57"/>
    <w:rsid w:val="003B1D96"/>
    <w:rsid w:val="003B1DF3"/>
    <w:rsid w:val="003B1E02"/>
    <w:rsid w:val="003B1EFA"/>
    <w:rsid w:val="003B1F39"/>
    <w:rsid w:val="003B1F3C"/>
    <w:rsid w:val="003B1F4E"/>
    <w:rsid w:val="003B1F7A"/>
    <w:rsid w:val="003B1F80"/>
    <w:rsid w:val="003B205A"/>
    <w:rsid w:val="003B20B5"/>
    <w:rsid w:val="003B216F"/>
    <w:rsid w:val="003B21C8"/>
    <w:rsid w:val="003B224D"/>
    <w:rsid w:val="003B22E8"/>
    <w:rsid w:val="003B2353"/>
    <w:rsid w:val="003B250A"/>
    <w:rsid w:val="003B2610"/>
    <w:rsid w:val="003B2669"/>
    <w:rsid w:val="003B268F"/>
    <w:rsid w:val="003B2691"/>
    <w:rsid w:val="003B26AD"/>
    <w:rsid w:val="003B27CC"/>
    <w:rsid w:val="003B288A"/>
    <w:rsid w:val="003B2BB4"/>
    <w:rsid w:val="003B2C5B"/>
    <w:rsid w:val="003B2C73"/>
    <w:rsid w:val="003B2CBE"/>
    <w:rsid w:val="003B2D25"/>
    <w:rsid w:val="003B2DF3"/>
    <w:rsid w:val="003B2E8A"/>
    <w:rsid w:val="003B2F3F"/>
    <w:rsid w:val="003B2FD1"/>
    <w:rsid w:val="003B32D0"/>
    <w:rsid w:val="003B32FA"/>
    <w:rsid w:val="003B34D3"/>
    <w:rsid w:val="003B3549"/>
    <w:rsid w:val="003B356D"/>
    <w:rsid w:val="003B35DB"/>
    <w:rsid w:val="003B3792"/>
    <w:rsid w:val="003B3905"/>
    <w:rsid w:val="003B3BCF"/>
    <w:rsid w:val="003B3C0A"/>
    <w:rsid w:val="003B3CA5"/>
    <w:rsid w:val="003B3CEF"/>
    <w:rsid w:val="003B3D46"/>
    <w:rsid w:val="003B3DA6"/>
    <w:rsid w:val="003B3EDB"/>
    <w:rsid w:val="003B3EFA"/>
    <w:rsid w:val="003B4026"/>
    <w:rsid w:val="003B436C"/>
    <w:rsid w:val="003B4396"/>
    <w:rsid w:val="003B43C9"/>
    <w:rsid w:val="003B43D9"/>
    <w:rsid w:val="003B4461"/>
    <w:rsid w:val="003B44CA"/>
    <w:rsid w:val="003B453D"/>
    <w:rsid w:val="003B4544"/>
    <w:rsid w:val="003B45CF"/>
    <w:rsid w:val="003B462E"/>
    <w:rsid w:val="003B4653"/>
    <w:rsid w:val="003B46A8"/>
    <w:rsid w:val="003B475E"/>
    <w:rsid w:val="003B4806"/>
    <w:rsid w:val="003B48AE"/>
    <w:rsid w:val="003B48EB"/>
    <w:rsid w:val="003B496A"/>
    <w:rsid w:val="003B49B3"/>
    <w:rsid w:val="003B49F4"/>
    <w:rsid w:val="003B4B65"/>
    <w:rsid w:val="003B4C66"/>
    <w:rsid w:val="003B4CC3"/>
    <w:rsid w:val="003B4D53"/>
    <w:rsid w:val="003B4D9F"/>
    <w:rsid w:val="003B4DE6"/>
    <w:rsid w:val="003B503B"/>
    <w:rsid w:val="003B5052"/>
    <w:rsid w:val="003B5126"/>
    <w:rsid w:val="003B51D6"/>
    <w:rsid w:val="003B51EE"/>
    <w:rsid w:val="003B5246"/>
    <w:rsid w:val="003B5293"/>
    <w:rsid w:val="003B5329"/>
    <w:rsid w:val="003B5362"/>
    <w:rsid w:val="003B5370"/>
    <w:rsid w:val="003B53CD"/>
    <w:rsid w:val="003B54A9"/>
    <w:rsid w:val="003B54F4"/>
    <w:rsid w:val="003B5532"/>
    <w:rsid w:val="003B5567"/>
    <w:rsid w:val="003B56A8"/>
    <w:rsid w:val="003B56FA"/>
    <w:rsid w:val="003B5704"/>
    <w:rsid w:val="003B5742"/>
    <w:rsid w:val="003B599F"/>
    <w:rsid w:val="003B5A76"/>
    <w:rsid w:val="003B5B70"/>
    <w:rsid w:val="003B5B95"/>
    <w:rsid w:val="003B5C25"/>
    <w:rsid w:val="003B5D2E"/>
    <w:rsid w:val="003B5DF3"/>
    <w:rsid w:val="003B5F41"/>
    <w:rsid w:val="003B5FF3"/>
    <w:rsid w:val="003B6061"/>
    <w:rsid w:val="003B60C6"/>
    <w:rsid w:val="003B615A"/>
    <w:rsid w:val="003B6264"/>
    <w:rsid w:val="003B62FD"/>
    <w:rsid w:val="003B6338"/>
    <w:rsid w:val="003B63EF"/>
    <w:rsid w:val="003B6438"/>
    <w:rsid w:val="003B6459"/>
    <w:rsid w:val="003B654D"/>
    <w:rsid w:val="003B6737"/>
    <w:rsid w:val="003B6807"/>
    <w:rsid w:val="003B68D4"/>
    <w:rsid w:val="003B69F6"/>
    <w:rsid w:val="003B6B29"/>
    <w:rsid w:val="003B6C5E"/>
    <w:rsid w:val="003B6DEC"/>
    <w:rsid w:val="003B6FD6"/>
    <w:rsid w:val="003B717C"/>
    <w:rsid w:val="003B717F"/>
    <w:rsid w:val="003B7180"/>
    <w:rsid w:val="003B71A6"/>
    <w:rsid w:val="003B71D8"/>
    <w:rsid w:val="003B726B"/>
    <w:rsid w:val="003B738C"/>
    <w:rsid w:val="003B73C3"/>
    <w:rsid w:val="003B750E"/>
    <w:rsid w:val="003B75D5"/>
    <w:rsid w:val="003B75DF"/>
    <w:rsid w:val="003B7627"/>
    <w:rsid w:val="003B7671"/>
    <w:rsid w:val="003B77A3"/>
    <w:rsid w:val="003B77FF"/>
    <w:rsid w:val="003B78A0"/>
    <w:rsid w:val="003B78DB"/>
    <w:rsid w:val="003B791C"/>
    <w:rsid w:val="003B797E"/>
    <w:rsid w:val="003B797F"/>
    <w:rsid w:val="003B7A50"/>
    <w:rsid w:val="003B7C76"/>
    <w:rsid w:val="003B7CCD"/>
    <w:rsid w:val="003B7CD3"/>
    <w:rsid w:val="003B7CFE"/>
    <w:rsid w:val="003B7E84"/>
    <w:rsid w:val="003B7FC4"/>
    <w:rsid w:val="003C006C"/>
    <w:rsid w:val="003C04D5"/>
    <w:rsid w:val="003C057A"/>
    <w:rsid w:val="003C0641"/>
    <w:rsid w:val="003C088F"/>
    <w:rsid w:val="003C0968"/>
    <w:rsid w:val="003C0AA0"/>
    <w:rsid w:val="003C0B36"/>
    <w:rsid w:val="003C0B5E"/>
    <w:rsid w:val="003C0BE2"/>
    <w:rsid w:val="003C0C34"/>
    <w:rsid w:val="003C0D97"/>
    <w:rsid w:val="003C0E01"/>
    <w:rsid w:val="003C0E1A"/>
    <w:rsid w:val="003C0E71"/>
    <w:rsid w:val="003C0E9F"/>
    <w:rsid w:val="003C0FFE"/>
    <w:rsid w:val="003C11E4"/>
    <w:rsid w:val="003C120E"/>
    <w:rsid w:val="003C1264"/>
    <w:rsid w:val="003C126D"/>
    <w:rsid w:val="003C126E"/>
    <w:rsid w:val="003C131D"/>
    <w:rsid w:val="003C1348"/>
    <w:rsid w:val="003C1375"/>
    <w:rsid w:val="003C1476"/>
    <w:rsid w:val="003C14CF"/>
    <w:rsid w:val="003C14E3"/>
    <w:rsid w:val="003C1528"/>
    <w:rsid w:val="003C17C0"/>
    <w:rsid w:val="003C17DD"/>
    <w:rsid w:val="003C18FA"/>
    <w:rsid w:val="003C1B1F"/>
    <w:rsid w:val="003C1B51"/>
    <w:rsid w:val="003C1B7A"/>
    <w:rsid w:val="003C1C7D"/>
    <w:rsid w:val="003C1C7E"/>
    <w:rsid w:val="003C1F67"/>
    <w:rsid w:val="003C2089"/>
    <w:rsid w:val="003C20EC"/>
    <w:rsid w:val="003C21A2"/>
    <w:rsid w:val="003C23AA"/>
    <w:rsid w:val="003C23BF"/>
    <w:rsid w:val="003C2469"/>
    <w:rsid w:val="003C24AB"/>
    <w:rsid w:val="003C253D"/>
    <w:rsid w:val="003C2568"/>
    <w:rsid w:val="003C27AF"/>
    <w:rsid w:val="003C2865"/>
    <w:rsid w:val="003C2930"/>
    <w:rsid w:val="003C2993"/>
    <w:rsid w:val="003C29B3"/>
    <w:rsid w:val="003C29ED"/>
    <w:rsid w:val="003C2CB6"/>
    <w:rsid w:val="003C2CC9"/>
    <w:rsid w:val="003C2D11"/>
    <w:rsid w:val="003C2DBA"/>
    <w:rsid w:val="003C2DCB"/>
    <w:rsid w:val="003C2FB6"/>
    <w:rsid w:val="003C30BD"/>
    <w:rsid w:val="003C317E"/>
    <w:rsid w:val="003C3201"/>
    <w:rsid w:val="003C327E"/>
    <w:rsid w:val="003C335A"/>
    <w:rsid w:val="003C33CC"/>
    <w:rsid w:val="003C34C3"/>
    <w:rsid w:val="003C356F"/>
    <w:rsid w:val="003C3612"/>
    <w:rsid w:val="003C366A"/>
    <w:rsid w:val="003C3747"/>
    <w:rsid w:val="003C3751"/>
    <w:rsid w:val="003C387C"/>
    <w:rsid w:val="003C3945"/>
    <w:rsid w:val="003C394B"/>
    <w:rsid w:val="003C3989"/>
    <w:rsid w:val="003C3991"/>
    <w:rsid w:val="003C3C9B"/>
    <w:rsid w:val="003C3CDB"/>
    <w:rsid w:val="003C3DC7"/>
    <w:rsid w:val="003C3ED7"/>
    <w:rsid w:val="003C3F53"/>
    <w:rsid w:val="003C4131"/>
    <w:rsid w:val="003C418F"/>
    <w:rsid w:val="003C435C"/>
    <w:rsid w:val="003C4410"/>
    <w:rsid w:val="003C4422"/>
    <w:rsid w:val="003C44E8"/>
    <w:rsid w:val="003C4521"/>
    <w:rsid w:val="003C45C1"/>
    <w:rsid w:val="003C469B"/>
    <w:rsid w:val="003C475E"/>
    <w:rsid w:val="003C4A1C"/>
    <w:rsid w:val="003C4A23"/>
    <w:rsid w:val="003C4AA8"/>
    <w:rsid w:val="003C4CD4"/>
    <w:rsid w:val="003C4D4C"/>
    <w:rsid w:val="003C4E51"/>
    <w:rsid w:val="003C4F24"/>
    <w:rsid w:val="003C5104"/>
    <w:rsid w:val="003C51F5"/>
    <w:rsid w:val="003C51F7"/>
    <w:rsid w:val="003C5244"/>
    <w:rsid w:val="003C52BF"/>
    <w:rsid w:val="003C52C1"/>
    <w:rsid w:val="003C530A"/>
    <w:rsid w:val="003C53E8"/>
    <w:rsid w:val="003C544F"/>
    <w:rsid w:val="003C54F1"/>
    <w:rsid w:val="003C5584"/>
    <w:rsid w:val="003C56F2"/>
    <w:rsid w:val="003C5826"/>
    <w:rsid w:val="003C5906"/>
    <w:rsid w:val="003C590B"/>
    <w:rsid w:val="003C5988"/>
    <w:rsid w:val="003C5B47"/>
    <w:rsid w:val="003C5BBD"/>
    <w:rsid w:val="003C5C0A"/>
    <w:rsid w:val="003C5C6E"/>
    <w:rsid w:val="003C5D37"/>
    <w:rsid w:val="003C5D75"/>
    <w:rsid w:val="003C5DFA"/>
    <w:rsid w:val="003C5EB3"/>
    <w:rsid w:val="003C5F7A"/>
    <w:rsid w:val="003C5F80"/>
    <w:rsid w:val="003C5FAB"/>
    <w:rsid w:val="003C601E"/>
    <w:rsid w:val="003C6205"/>
    <w:rsid w:val="003C629B"/>
    <w:rsid w:val="003C6320"/>
    <w:rsid w:val="003C6325"/>
    <w:rsid w:val="003C6369"/>
    <w:rsid w:val="003C636A"/>
    <w:rsid w:val="003C63F1"/>
    <w:rsid w:val="003C6450"/>
    <w:rsid w:val="003C647F"/>
    <w:rsid w:val="003C649C"/>
    <w:rsid w:val="003C659E"/>
    <w:rsid w:val="003C66B1"/>
    <w:rsid w:val="003C67DA"/>
    <w:rsid w:val="003C6847"/>
    <w:rsid w:val="003C6856"/>
    <w:rsid w:val="003C6889"/>
    <w:rsid w:val="003C6912"/>
    <w:rsid w:val="003C6978"/>
    <w:rsid w:val="003C69C2"/>
    <w:rsid w:val="003C6B12"/>
    <w:rsid w:val="003C6B5F"/>
    <w:rsid w:val="003C6BA3"/>
    <w:rsid w:val="003C6C27"/>
    <w:rsid w:val="003C6E29"/>
    <w:rsid w:val="003C6E30"/>
    <w:rsid w:val="003C6E67"/>
    <w:rsid w:val="003C6EDC"/>
    <w:rsid w:val="003C6EE8"/>
    <w:rsid w:val="003C6EF5"/>
    <w:rsid w:val="003C6F0C"/>
    <w:rsid w:val="003C6F46"/>
    <w:rsid w:val="003C6FF2"/>
    <w:rsid w:val="003C705D"/>
    <w:rsid w:val="003C706D"/>
    <w:rsid w:val="003C70AD"/>
    <w:rsid w:val="003C710C"/>
    <w:rsid w:val="003C710D"/>
    <w:rsid w:val="003C7150"/>
    <w:rsid w:val="003C719E"/>
    <w:rsid w:val="003C71A7"/>
    <w:rsid w:val="003C721F"/>
    <w:rsid w:val="003C727B"/>
    <w:rsid w:val="003C728C"/>
    <w:rsid w:val="003C729A"/>
    <w:rsid w:val="003C7379"/>
    <w:rsid w:val="003C7427"/>
    <w:rsid w:val="003C7486"/>
    <w:rsid w:val="003C74A6"/>
    <w:rsid w:val="003C757A"/>
    <w:rsid w:val="003C7827"/>
    <w:rsid w:val="003C7915"/>
    <w:rsid w:val="003C79A7"/>
    <w:rsid w:val="003C7AE2"/>
    <w:rsid w:val="003C7BD9"/>
    <w:rsid w:val="003C7CBB"/>
    <w:rsid w:val="003C7CBC"/>
    <w:rsid w:val="003C7F40"/>
    <w:rsid w:val="003C7F56"/>
    <w:rsid w:val="003D007A"/>
    <w:rsid w:val="003D0090"/>
    <w:rsid w:val="003D0100"/>
    <w:rsid w:val="003D0194"/>
    <w:rsid w:val="003D024C"/>
    <w:rsid w:val="003D027C"/>
    <w:rsid w:val="003D0283"/>
    <w:rsid w:val="003D02CB"/>
    <w:rsid w:val="003D0374"/>
    <w:rsid w:val="003D0466"/>
    <w:rsid w:val="003D049B"/>
    <w:rsid w:val="003D04ED"/>
    <w:rsid w:val="003D0502"/>
    <w:rsid w:val="003D05DF"/>
    <w:rsid w:val="003D05F7"/>
    <w:rsid w:val="003D060B"/>
    <w:rsid w:val="003D0686"/>
    <w:rsid w:val="003D094E"/>
    <w:rsid w:val="003D0BF7"/>
    <w:rsid w:val="003D0D8B"/>
    <w:rsid w:val="003D0DF7"/>
    <w:rsid w:val="003D0EC4"/>
    <w:rsid w:val="003D0F33"/>
    <w:rsid w:val="003D0FB4"/>
    <w:rsid w:val="003D0FD3"/>
    <w:rsid w:val="003D1077"/>
    <w:rsid w:val="003D10A0"/>
    <w:rsid w:val="003D1155"/>
    <w:rsid w:val="003D11B0"/>
    <w:rsid w:val="003D11D1"/>
    <w:rsid w:val="003D11E5"/>
    <w:rsid w:val="003D1244"/>
    <w:rsid w:val="003D130C"/>
    <w:rsid w:val="003D14FA"/>
    <w:rsid w:val="003D1567"/>
    <w:rsid w:val="003D15CC"/>
    <w:rsid w:val="003D169B"/>
    <w:rsid w:val="003D16AE"/>
    <w:rsid w:val="003D1703"/>
    <w:rsid w:val="003D1754"/>
    <w:rsid w:val="003D19B4"/>
    <w:rsid w:val="003D19B8"/>
    <w:rsid w:val="003D1A33"/>
    <w:rsid w:val="003D1B15"/>
    <w:rsid w:val="003D1C09"/>
    <w:rsid w:val="003D1C36"/>
    <w:rsid w:val="003D1D0D"/>
    <w:rsid w:val="003D1D41"/>
    <w:rsid w:val="003D1D7F"/>
    <w:rsid w:val="003D1E32"/>
    <w:rsid w:val="003D1E8A"/>
    <w:rsid w:val="003D1E92"/>
    <w:rsid w:val="003D1F41"/>
    <w:rsid w:val="003D1F8D"/>
    <w:rsid w:val="003D2199"/>
    <w:rsid w:val="003D21F9"/>
    <w:rsid w:val="003D22D5"/>
    <w:rsid w:val="003D23F5"/>
    <w:rsid w:val="003D24E4"/>
    <w:rsid w:val="003D2520"/>
    <w:rsid w:val="003D257C"/>
    <w:rsid w:val="003D25BD"/>
    <w:rsid w:val="003D2640"/>
    <w:rsid w:val="003D27C5"/>
    <w:rsid w:val="003D27EE"/>
    <w:rsid w:val="003D284E"/>
    <w:rsid w:val="003D287A"/>
    <w:rsid w:val="003D29A2"/>
    <w:rsid w:val="003D2A8C"/>
    <w:rsid w:val="003D2CC9"/>
    <w:rsid w:val="003D2DF1"/>
    <w:rsid w:val="003D2EAD"/>
    <w:rsid w:val="003D2ECC"/>
    <w:rsid w:val="003D2F97"/>
    <w:rsid w:val="003D2FD0"/>
    <w:rsid w:val="003D304D"/>
    <w:rsid w:val="003D30F2"/>
    <w:rsid w:val="003D319F"/>
    <w:rsid w:val="003D31A4"/>
    <w:rsid w:val="003D31CE"/>
    <w:rsid w:val="003D3210"/>
    <w:rsid w:val="003D32DD"/>
    <w:rsid w:val="003D32EE"/>
    <w:rsid w:val="003D3466"/>
    <w:rsid w:val="003D34A6"/>
    <w:rsid w:val="003D34E6"/>
    <w:rsid w:val="003D3555"/>
    <w:rsid w:val="003D3595"/>
    <w:rsid w:val="003D35ED"/>
    <w:rsid w:val="003D36A3"/>
    <w:rsid w:val="003D36CF"/>
    <w:rsid w:val="003D36E0"/>
    <w:rsid w:val="003D37C7"/>
    <w:rsid w:val="003D386D"/>
    <w:rsid w:val="003D387C"/>
    <w:rsid w:val="003D38CF"/>
    <w:rsid w:val="003D38E4"/>
    <w:rsid w:val="003D399B"/>
    <w:rsid w:val="003D3A52"/>
    <w:rsid w:val="003D3B15"/>
    <w:rsid w:val="003D3C32"/>
    <w:rsid w:val="003D3C90"/>
    <w:rsid w:val="003D3CBF"/>
    <w:rsid w:val="003D3D94"/>
    <w:rsid w:val="003D3DF1"/>
    <w:rsid w:val="003D3EB0"/>
    <w:rsid w:val="003D3FB8"/>
    <w:rsid w:val="003D3FB9"/>
    <w:rsid w:val="003D41D5"/>
    <w:rsid w:val="003D423B"/>
    <w:rsid w:val="003D4287"/>
    <w:rsid w:val="003D42D7"/>
    <w:rsid w:val="003D43FA"/>
    <w:rsid w:val="003D4408"/>
    <w:rsid w:val="003D443E"/>
    <w:rsid w:val="003D451E"/>
    <w:rsid w:val="003D45FB"/>
    <w:rsid w:val="003D4662"/>
    <w:rsid w:val="003D4713"/>
    <w:rsid w:val="003D477E"/>
    <w:rsid w:val="003D4797"/>
    <w:rsid w:val="003D47B0"/>
    <w:rsid w:val="003D484A"/>
    <w:rsid w:val="003D496F"/>
    <w:rsid w:val="003D4A0E"/>
    <w:rsid w:val="003D4A34"/>
    <w:rsid w:val="003D4AB7"/>
    <w:rsid w:val="003D4B8B"/>
    <w:rsid w:val="003D4C06"/>
    <w:rsid w:val="003D4C08"/>
    <w:rsid w:val="003D4C3F"/>
    <w:rsid w:val="003D4DA9"/>
    <w:rsid w:val="003D4DE8"/>
    <w:rsid w:val="003D4E92"/>
    <w:rsid w:val="003D4EEF"/>
    <w:rsid w:val="003D4F92"/>
    <w:rsid w:val="003D5026"/>
    <w:rsid w:val="003D502D"/>
    <w:rsid w:val="003D50D7"/>
    <w:rsid w:val="003D5209"/>
    <w:rsid w:val="003D5212"/>
    <w:rsid w:val="003D5267"/>
    <w:rsid w:val="003D5276"/>
    <w:rsid w:val="003D5644"/>
    <w:rsid w:val="003D56D1"/>
    <w:rsid w:val="003D5749"/>
    <w:rsid w:val="003D574E"/>
    <w:rsid w:val="003D57D0"/>
    <w:rsid w:val="003D58FB"/>
    <w:rsid w:val="003D599B"/>
    <w:rsid w:val="003D5AD4"/>
    <w:rsid w:val="003D5BBC"/>
    <w:rsid w:val="003D5D01"/>
    <w:rsid w:val="003D5D2C"/>
    <w:rsid w:val="003D5E3C"/>
    <w:rsid w:val="003D5F04"/>
    <w:rsid w:val="003D5F0D"/>
    <w:rsid w:val="003D5F5A"/>
    <w:rsid w:val="003D6009"/>
    <w:rsid w:val="003D6036"/>
    <w:rsid w:val="003D60C2"/>
    <w:rsid w:val="003D60CF"/>
    <w:rsid w:val="003D6248"/>
    <w:rsid w:val="003D6268"/>
    <w:rsid w:val="003D628E"/>
    <w:rsid w:val="003D6296"/>
    <w:rsid w:val="003D6336"/>
    <w:rsid w:val="003D642E"/>
    <w:rsid w:val="003D6507"/>
    <w:rsid w:val="003D6549"/>
    <w:rsid w:val="003D6553"/>
    <w:rsid w:val="003D664A"/>
    <w:rsid w:val="003D6658"/>
    <w:rsid w:val="003D66D2"/>
    <w:rsid w:val="003D6710"/>
    <w:rsid w:val="003D677E"/>
    <w:rsid w:val="003D67DF"/>
    <w:rsid w:val="003D6812"/>
    <w:rsid w:val="003D6858"/>
    <w:rsid w:val="003D6AC9"/>
    <w:rsid w:val="003D6BFA"/>
    <w:rsid w:val="003D6CDB"/>
    <w:rsid w:val="003D6ED4"/>
    <w:rsid w:val="003D6EDA"/>
    <w:rsid w:val="003D6FA3"/>
    <w:rsid w:val="003D6FEE"/>
    <w:rsid w:val="003D7049"/>
    <w:rsid w:val="003D7120"/>
    <w:rsid w:val="003D7137"/>
    <w:rsid w:val="003D722F"/>
    <w:rsid w:val="003D7360"/>
    <w:rsid w:val="003D73A8"/>
    <w:rsid w:val="003D7409"/>
    <w:rsid w:val="003D741F"/>
    <w:rsid w:val="003D749E"/>
    <w:rsid w:val="003D74D0"/>
    <w:rsid w:val="003D7674"/>
    <w:rsid w:val="003D76BD"/>
    <w:rsid w:val="003D775C"/>
    <w:rsid w:val="003D7794"/>
    <w:rsid w:val="003D77B8"/>
    <w:rsid w:val="003D77C5"/>
    <w:rsid w:val="003D7A56"/>
    <w:rsid w:val="003D7A6F"/>
    <w:rsid w:val="003D7AA9"/>
    <w:rsid w:val="003D7AEA"/>
    <w:rsid w:val="003D7B13"/>
    <w:rsid w:val="003D7B29"/>
    <w:rsid w:val="003D7B9D"/>
    <w:rsid w:val="003D7BBF"/>
    <w:rsid w:val="003D7BC6"/>
    <w:rsid w:val="003D7D21"/>
    <w:rsid w:val="003D7D5B"/>
    <w:rsid w:val="003D7D92"/>
    <w:rsid w:val="003D7DA5"/>
    <w:rsid w:val="003D7DCE"/>
    <w:rsid w:val="003D7E31"/>
    <w:rsid w:val="003D7E7A"/>
    <w:rsid w:val="003D7F52"/>
    <w:rsid w:val="003D7F5C"/>
    <w:rsid w:val="003E0079"/>
    <w:rsid w:val="003E00B1"/>
    <w:rsid w:val="003E0130"/>
    <w:rsid w:val="003E0217"/>
    <w:rsid w:val="003E028C"/>
    <w:rsid w:val="003E033B"/>
    <w:rsid w:val="003E0358"/>
    <w:rsid w:val="003E039D"/>
    <w:rsid w:val="003E0439"/>
    <w:rsid w:val="003E0626"/>
    <w:rsid w:val="003E084C"/>
    <w:rsid w:val="003E0B9E"/>
    <w:rsid w:val="003E0CE2"/>
    <w:rsid w:val="003E0D91"/>
    <w:rsid w:val="003E0F84"/>
    <w:rsid w:val="003E0FD6"/>
    <w:rsid w:val="003E1065"/>
    <w:rsid w:val="003E11DD"/>
    <w:rsid w:val="003E12B0"/>
    <w:rsid w:val="003E132A"/>
    <w:rsid w:val="003E1365"/>
    <w:rsid w:val="003E151F"/>
    <w:rsid w:val="003E1559"/>
    <w:rsid w:val="003E15C7"/>
    <w:rsid w:val="003E170E"/>
    <w:rsid w:val="003E1773"/>
    <w:rsid w:val="003E17CF"/>
    <w:rsid w:val="003E17DE"/>
    <w:rsid w:val="003E1832"/>
    <w:rsid w:val="003E1979"/>
    <w:rsid w:val="003E198E"/>
    <w:rsid w:val="003E199C"/>
    <w:rsid w:val="003E1A27"/>
    <w:rsid w:val="003E1A45"/>
    <w:rsid w:val="003E1AD1"/>
    <w:rsid w:val="003E1BD0"/>
    <w:rsid w:val="003E1C04"/>
    <w:rsid w:val="003E1C21"/>
    <w:rsid w:val="003E1CC0"/>
    <w:rsid w:val="003E1D1C"/>
    <w:rsid w:val="003E1DF1"/>
    <w:rsid w:val="003E1E6A"/>
    <w:rsid w:val="003E1EAB"/>
    <w:rsid w:val="003E1FC8"/>
    <w:rsid w:val="003E1FCD"/>
    <w:rsid w:val="003E20AA"/>
    <w:rsid w:val="003E20EC"/>
    <w:rsid w:val="003E2114"/>
    <w:rsid w:val="003E2197"/>
    <w:rsid w:val="003E2223"/>
    <w:rsid w:val="003E2244"/>
    <w:rsid w:val="003E22EC"/>
    <w:rsid w:val="003E23B5"/>
    <w:rsid w:val="003E23FE"/>
    <w:rsid w:val="003E242D"/>
    <w:rsid w:val="003E250A"/>
    <w:rsid w:val="003E2512"/>
    <w:rsid w:val="003E258B"/>
    <w:rsid w:val="003E275F"/>
    <w:rsid w:val="003E27C9"/>
    <w:rsid w:val="003E2A20"/>
    <w:rsid w:val="003E2B88"/>
    <w:rsid w:val="003E2CBF"/>
    <w:rsid w:val="003E2DB4"/>
    <w:rsid w:val="003E2DDA"/>
    <w:rsid w:val="003E2E3A"/>
    <w:rsid w:val="003E2F9C"/>
    <w:rsid w:val="003E2F9E"/>
    <w:rsid w:val="003E2FA8"/>
    <w:rsid w:val="003E3058"/>
    <w:rsid w:val="003E30C6"/>
    <w:rsid w:val="003E31DF"/>
    <w:rsid w:val="003E3231"/>
    <w:rsid w:val="003E334A"/>
    <w:rsid w:val="003E33B0"/>
    <w:rsid w:val="003E3464"/>
    <w:rsid w:val="003E34F5"/>
    <w:rsid w:val="003E37D2"/>
    <w:rsid w:val="003E3806"/>
    <w:rsid w:val="003E3820"/>
    <w:rsid w:val="003E388B"/>
    <w:rsid w:val="003E3A8F"/>
    <w:rsid w:val="003E3AA5"/>
    <w:rsid w:val="003E3B61"/>
    <w:rsid w:val="003E3B77"/>
    <w:rsid w:val="003E3BC9"/>
    <w:rsid w:val="003E3D5D"/>
    <w:rsid w:val="003E3E44"/>
    <w:rsid w:val="003E3F60"/>
    <w:rsid w:val="003E3F6B"/>
    <w:rsid w:val="003E3FE4"/>
    <w:rsid w:val="003E4000"/>
    <w:rsid w:val="003E4004"/>
    <w:rsid w:val="003E408E"/>
    <w:rsid w:val="003E417D"/>
    <w:rsid w:val="003E4184"/>
    <w:rsid w:val="003E41F9"/>
    <w:rsid w:val="003E4269"/>
    <w:rsid w:val="003E43AC"/>
    <w:rsid w:val="003E4406"/>
    <w:rsid w:val="003E4569"/>
    <w:rsid w:val="003E45B5"/>
    <w:rsid w:val="003E45FF"/>
    <w:rsid w:val="003E462A"/>
    <w:rsid w:val="003E4668"/>
    <w:rsid w:val="003E46BC"/>
    <w:rsid w:val="003E46CB"/>
    <w:rsid w:val="003E4790"/>
    <w:rsid w:val="003E4901"/>
    <w:rsid w:val="003E4912"/>
    <w:rsid w:val="003E4A65"/>
    <w:rsid w:val="003E4AE3"/>
    <w:rsid w:val="003E4C09"/>
    <w:rsid w:val="003E4C25"/>
    <w:rsid w:val="003E4D71"/>
    <w:rsid w:val="003E4DC6"/>
    <w:rsid w:val="003E4DE8"/>
    <w:rsid w:val="003E4DFB"/>
    <w:rsid w:val="003E4F59"/>
    <w:rsid w:val="003E4FC6"/>
    <w:rsid w:val="003E4FE0"/>
    <w:rsid w:val="003E504B"/>
    <w:rsid w:val="003E5198"/>
    <w:rsid w:val="003E523F"/>
    <w:rsid w:val="003E528B"/>
    <w:rsid w:val="003E542A"/>
    <w:rsid w:val="003E54B7"/>
    <w:rsid w:val="003E54E4"/>
    <w:rsid w:val="003E5662"/>
    <w:rsid w:val="003E57D7"/>
    <w:rsid w:val="003E57DD"/>
    <w:rsid w:val="003E585B"/>
    <w:rsid w:val="003E5890"/>
    <w:rsid w:val="003E592E"/>
    <w:rsid w:val="003E5B13"/>
    <w:rsid w:val="003E5B44"/>
    <w:rsid w:val="003E5C1E"/>
    <w:rsid w:val="003E5CB2"/>
    <w:rsid w:val="003E5D6F"/>
    <w:rsid w:val="003E5DF3"/>
    <w:rsid w:val="003E5EA1"/>
    <w:rsid w:val="003E5EF1"/>
    <w:rsid w:val="003E5F04"/>
    <w:rsid w:val="003E5F91"/>
    <w:rsid w:val="003E5FF7"/>
    <w:rsid w:val="003E600B"/>
    <w:rsid w:val="003E6037"/>
    <w:rsid w:val="003E6074"/>
    <w:rsid w:val="003E6359"/>
    <w:rsid w:val="003E63BE"/>
    <w:rsid w:val="003E64AC"/>
    <w:rsid w:val="003E6626"/>
    <w:rsid w:val="003E66E3"/>
    <w:rsid w:val="003E6829"/>
    <w:rsid w:val="003E68F9"/>
    <w:rsid w:val="003E69D0"/>
    <w:rsid w:val="003E6B24"/>
    <w:rsid w:val="003E6C22"/>
    <w:rsid w:val="003E6C69"/>
    <w:rsid w:val="003E6D20"/>
    <w:rsid w:val="003E6D65"/>
    <w:rsid w:val="003E6E67"/>
    <w:rsid w:val="003E6EC9"/>
    <w:rsid w:val="003E6FF8"/>
    <w:rsid w:val="003E706A"/>
    <w:rsid w:val="003E725C"/>
    <w:rsid w:val="003E7299"/>
    <w:rsid w:val="003E73AD"/>
    <w:rsid w:val="003E74CF"/>
    <w:rsid w:val="003E765E"/>
    <w:rsid w:val="003E76D5"/>
    <w:rsid w:val="003E775E"/>
    <w:rsid w:val="003E77E0"/>
    <w:rsid w:val="003E77F6"/>
    <w:rsid w:val="003E793C"/>
    <w:rsid w:val="003E795D"/>
    <w:rsid w:val="003E79A6"/>
    <w:rsid w:val="003E7AB4"/>
    <w:rsid w:val="003E7BA6"/>
    <w:rsid w:val="003E7BAD"/>
    <w:rsid w:val="003E7BC6"/>
    <w:rsid w:val="003E7C56"/>
    <w:rsid w:val="003E7C8D"/>
    <w:rsid w:val="003E7CEB"/>
    <w:rsid w:val="003E7E17"/>
    <w:rsid w:val="003E7E2A"/>
    <w:rsid w:val="003E7E97"/>
    <w:rsid w:val="003E7F80"/>
    <w:rsid w:val="003F0006"/>
    <w:rsid w:val="003F016F"/>
    <w:rsid w:val="003F01AD"/>
    <w:rsid w:val="003F027B"/>
    <w:rsid w:val="003F0373"/>
    <w:rsid w:val="003F0684"/>
    <w:rsid w:val="003F075A"/>
    <w:rsid w:val="003F07A1"/>
    <w:rsid w:val="003F0829"/>
    <w:rsid w:val="003F0883"/>
    <w:rsid w:val="003F097B"/>
    <w:rsid w:val="003F0982"/>
    <w:rsid w:val="003F0A16"/>
    <w:rsid w:val="003F0BA6"/>
    <w:rsid w:val="003F0E60"/>
    <w:rsid w:val="003F0F17"/>
    <w:rsid w:val="003F0FE8"/>
    <w:rsid w:val="003F1001"/>
    <w:rsid w:val="003F10DD"/>
    <w:rsid w:val="003F11A0"/>
    <w:rsid w:val="003F1388"/>
    <w:rsid w:val="003F154A"/>
    <w:rsid w:val="003F15D1"/>
    <w:rsid w:val="003F1791"/>
    <w:rsid w:val="003F1795"/>
    <w:rsid w:val="003F1879"/>
    <w:rsid w:val="003F188C"/>
    <w:rsid w:val="003F19C9"/>
    <w:rsid w:val="003F1B72"/>
    <w:rsid w:val="003F1B78"/>
    <w:rsid w:val="003F1BA7"/>
    <w:rsid w:val="003F1C38"/>
    <w:rsid w:val="003F1CDD"/>
    <w:rsid w:val="003F1CE4"/>
    <w:rsid w:val="003F1DCE"/>
    <w:rsid w:val="003F1E16"/>
    <w:rsid w:val="003F1E1A"/>
    <w:rsid w:val="003F1ECA"/>
    <w:rsid w:val="003F1EE6"/>
    <w:rsid w:val="003F1F0E"/>
    <w:rsid w:val="003F1F5F"/>
    <w:rsid w:val="003F1F91"/>
    <w:rsid w:val="003F2160"/>
    <w:rsid w:val="003F228B"/>
    <w:rsid w:val="003F22EA"/>
    <w:rsid w:val="003F2360"/>
    <w:rsid w:val="003F237D"/>
    <w:rsid w:val="003F237E"/>
    <w:rsid w:val="003F2418"/>
    <w:rsid w:val="003F2493"/>
    <w:rsid w:val="003F270C"/>
    <w:rsid w:val="003F27A5"/>
    <w:rsid w:val="003F27D8"/>
    <w:rsid w:val="003F2837"/>
    <w:rsid w:val="003F28B0"/>
    <w:rsid w:val="003F2A6A"/>
    <w:rsid w:val="003F2AE2"/>
    <w:rsid w:val="003F2B9E"/>
    <w:rsid w:val="003F2BD7"/>
    <w:rsid w:val="003F2C02"/>
    <w:rsid w:val="003F2EBB"/>
    <w:rsid w:val="003F2F6A"/>
    <w:rsid w:val="003F30D2"/>
    <w:rsid w:val="003F30EC"/>
    <w:rsid w:val="003F3181"/>
    <w:rsid w:val="003F31C4"/>
    <w:rsid w:val="003F3274"/>
    <w:rsid w:val="003F32EA"/>
    <w:rsid w:val="003F3303"/>
    <w:rsid w:val="003F3307"/>
    <w:rsid w:val="003F335F"/>
    <w:rsid w:val="003F33BD"/>
    <w:rsid w:val="003F33C4"/>
    <w:rsid w:val="003F3510"/>
    <w:rsid w:val="003F3520"/>
    <w:rsid w:val="003F35BD"/>
    <w:rsid w:val="003F365A"/>
    <w:rsid w:val="003F36A4"/>
    <w:rsid w:val="003F3768"/>
    <w:rsid w:val="003F37DD"/>
    <w:rsid w:val="003F3B32"/>
    <w:rsid w:val="003F3BA1"/>
    <w:rsid w:val="003F3C26"/>
    <w:rsid w:val="003F3C53"/>
    <w:rsid w:val="003F3D07"/>
    <w:rsid w:val="003F3E42"/>
    <w:rsid w:val="003F3E56"/>
    <w:rsid w:val="003F3E5D"/>
    <w:rsid w:val="003F3EA0"/>
    <w:rsid w:val="003F3F0C"/>
    <w:rsid w:val="003F3F21"/>
    <w:rsid w:val="003F3F96"/>
    <w:rsid w:val="003F42D5"/>
    <w:rsid w:val="003F42F6"/>
    <w:rsid w:val="003F4331"/>
    <w:rsid w:val="003F43A4"/>
    <w:rsid w:val="003F43AC"/>
    <w:rsid w:val="003F43FF"/>
    <w:rsid w:val="003F440C"/>
    <w:rsid w:val="003F4417"/>
    <w:rsid w:val="003F4459"/>
    <w:rsid w:val="003F4545"/>
    <w:rsid w:val="003F4728"/>
    <w:rsid w:val="003F4886"/>
    <w:rsid w:val="003F48CC"/>
    <w:rsid w:val="003F4916"/>
    <w:rsid w:val="003F49DF"/>
    <w:rsid w:val="003F4A71"/>
    <w:rsid w:val="003F4B2B"/>
    <w:rsid w:val="003F4B45"/>
    <w:rsid w:val="003F4C1C"/>
    <w:rsid w:val="003F4E29"/>
    <w:rsid w:val="003F4E31"/>
    <w:rsid w:val="003F4EE5"/>
    <w:rsid w:val="003F5166"/>
    <w:rsid w:val="003F518C"/>
    <w:rsid w:val="003F51BC"/>
    <w:rsid w:val="003F51D7"/>
    <w:rsid w:val="003F530B"/>
    <w:rsid w:val="003F5345"/>
    <w:rsid w:val="003F53FF"/>
    <w:rsid w:val="003F5442"/>
    <w:rsid w:val="003F5498"/>
    <w:rsid w:val="003F54D0"/>
    <w:rsid w:val="003F54E4"/>
    <w:rsid w:val="003F55F0"/>
    <w:rsid w:val="003F567E"/>
    <w:rsid w:val="003F58A2"/>
    <w:rsid w:val="003F58B9"/>
    <w:rsid w:val="003F58BD"/>
    <w:rsid w:val="003F59A7"/>
    <w:rsid w:val="003F5A19"/>
    <w:rsid w:val="003F5A41"/>
    <w:rsid w:val="003F5ABB"/>
    <w:rsid w:val="003F5B0D"/>
    <w:rsid w:val="003F5B1C"/>
    <w:rsid w:val="003F5C9A"/>
    <w:rsid w:val="003F5E4B"/>
    <w:rsid w:val="003F5E9A"/>
    <w:rsid w:val="003F5ED6"/>
    <w:rsid w:val="003F6082"/>
    <w:rsid w:val="003F60A4"/>
    <w:rsid w:val="003F60E6"/>
    <w:rsid w:val="003F60F2"/>
    <w:rsid w:val="003F6132"/>
    <w:rsid w:val="003F6137"/>
    <w:rsid w:val="003F6431"/>
    <w:rsid w:val="003F65BD"/>
    <w:rsid w:val="003F66AD"/>
    <w:rsid w:val="003F698A"/>
    <w:rsid w:val="003F6AC4"/>
    <w:rsid w:val="003F6AC5"/>
    <w:rsid w:val="003F6C27"/>
    <w:rsid w:val="003F6CB3"/>
    <w:rsid w:val="003F6D81"/>
    <w:rsid w:val="003F6DA0"/>
    <w:rsid w:val="003F6E41"/>
    <w:rsid w:val="003F6E7A"/>
    <w:rsid w:val="003F702D"/>
    <w:rsid w:val="003F7089"/>
    <w:rsid w:val="003F71A7"/>
    <w:rsid w:val="003F71E4"/>
    <w:rsid w:val="003F73AA"/>
    <w:rsid w:val="003F73B6"/>
    <w:rsid w:val="003F74E3"/>
    <w:rsid w:val="003F7526"/>
    <w:rsid w:val="003F7534"/>
    <w:rsid w:val="003F75F7"/>
    <w:rsid w:val="003F7635"/>
    <w:rsid w:val="003F7674"/>
    <w:rsid w:val="003F76C4"/>
    <w:rsid w:val="003F7784"/>
    <w:rsid w:val="003F7970"/>
    <w:rsid w:val="003F7ACE"/>
    <w:rsid w:val="003F7B4D"/>
    <w:rsid w:val="003F7B60"/>
    <w:rsid w:val="003F7CD8"/>
    <w:rsid w:val="003F7CDA"/>
    <w:rsid w:val="003F7E41"/>
    <w:rsid w:val="003F7E8E"/>
    <w:rsid w:val="003F7EE2"/>
    <w:rsid w:val="003F7F18"/>
    <w:rsid w:val="003F7F35"/>
    <w:rsid w:val="003F7FE4"/>
    <w:rsid w:val="00400053"/>
    <w:rsid w:val="004000D7"/>
    <w:rsid w:val="004000F8"/>
    <w:rsid w:val="0040013A"/>
    <w:rsid w:val="0040019F"/>
    <w:rsid w:val="004002BC"/>
    <w:rsid w:val="00400312"/>
    <w:rsid w:val="00400497"/>
    <w:rsid w:val="004004F7"/>
    <w:rsid w:val="00400520"/>
    <w:rsid w:val="004005C5"/>
    <w:rsid w:val="0040062B"/>
    <w:rsid w:val="004006DA"/>
    <w:rsid w:val="0040087F"/>
    <w:rsid w:val="004008E2"/>
    <w:rsid w:val="004009BF"/>
    <w:rsid w:val="00400A81"/>
    <w:rsid w:val="00400BB3"/>
    <w:rsid w:val="00400BEE"/>
    <w:rsid w:val="00400C0E"/>
    <w:rsid w:val="00400C5E"/>
    <w:rsid w:val="00400CBF"/>
    <w:rsid w:val="00400D60"/>
    <w:rsid w:val="00400E01"/>
    <w:rsid w:val="00400E0E"/>
    <w:rsid w:val="00400E18"/>
    <w:rsid w:val="00400EA7"/>
    <w:rsid w:val="00400EF2"/>
    <w:rsid w:val="00400EF8"/>
    <w:rsid w:val="00400FAC"/>
    <w:rsid w:val="00400FB8"/>
    <w:rsid w:val="00400FC9"/>
    <w:rsid w:val="00401078"/>
    <w:rsid w:val="004010FC"/>
    <w:rsid w:val="00401142"/>
    <w:rsid w:val="00401334"/>
    <w:rsid w:val="00401379"/>
    <w:rsid w:val="00401562"/>
    <w:rsid w:val="00401587"/>
    <w:rsid w:val="0040159A"/>
    <w:rsid w:val="00401660"/>
    <w:rsid w:val="00401B5C"/>
    <w:rsid w:val="00401B9E"/>
    <w:rsid w:val="00401C9C"/>
    <w:rsid w:val="00401CB1"/>
    <w:rsid w:val="00401D18"/>
    <w:rsid w:val="00401D90"/>
    <w:rsid w:val="00401D9D"/>
    <w:rsid w:val="00401E08"/>
    <w:rsid w:val="00401E65"/>
    <w:rsid w:val="00401EC2"/>
    <w:rsid w:val="00401F19"/>
    <w:rsid w:val="0040216F"/>
    <w:rsid w:val="0040219A"/>
    <w:rsid w:val="00402239"/>
    <w:rsid w:val="00402360"/>
    <w:rsid w:val="004024E9"/>
    <w:rsid w:val="004025F5"/>
    <w:rsid w:val="0040262D"/>
    <w:rsid w:val="0040267D"/>
    <w:rsid w:val="004026BA"/>
    <w:rsid w:val="004026E6"/>
    <w:rsid w:val="00402719"/>
    <w:rsid w:val="00402758"/>
    <w:rsid w:val="0040291A"/>
    <w:rsid w:val="00402AB8"/>
    <w:rsid w:val="00402AE6"/>
    <w:rsid w:val="00402B05"/>
    <w:rsid w:val="00402C9E"/>
    <w:rsid w:val="00402D2B"/>
    <w:rsid w:val="00402ED8"/>
    <w:rsid w:val="00402F3A"/>
    <w:rsid w:val="00402F83"/>
    <w:rsid w:val="00402F88"/>
    <w:rsid w:val="00402F99"/>
    <w:rsid w:val="0040302D"/>
    <w:rsid w:val="00403091"/>
    <w:rsid w:val="00403096"/>
    <w:rsid w:val="00403246"/>
    <w:rsid w:val="00403251"/>
    <w:rsid w:val="0040351A"/>
    <w:rsid w:val="00403547"/>
    <w:rsid w:val="00403576"/>
    <w:rsid w:val="00403605"/>
    <w:rsid w:val="004037C8"/>
    <w:rsid w:val="004037CB"/>
    <w:rsid w:val="00403869"/>
    <w:rsid w:val="00403966"/>
    <w:rsid w:val="004039ED"/>
    <w:rsid w:val="00403AD4"/>
    <w:rsid w:val="00403BD5"/>
    <w:rsid w:val="00403DA5"/>
    <w:rsid w:val="00403EB0"/>
    <w:rsid w:val="00403EBC"/>
    <w:rsid w:val="00404046"/>
    <w:rsid w:val="00404128"/>
    <w:rsid w:val="00404130"/>
    <w:rsid w:val="004041DF"/>
    <w:rsid w:val="00404407"/>
    <w:rsid w:val="0040459F"/>
    <w:rsid w:val="00404698"/>
    <w:rsid w:val="00404784"/>
    <w:rsid w:val="004047FC"/>
    <w:rsid w:val="0040481A"/>
    <w:rsid w:val="00404886"/>
    <w:rsid w:val="0040491F"/>
    <w:rsid w:val="00404939"/>
    <w:rsid w:val="004049A0"/>
    <w:rsid w:val="00404A21"/>
    <w:rsid w:val="00404A88"/>
    <w:rsid w:val="00404C13"/>
    <w:rsid w:val="00404CAE"/>
    <w:rsid w:val="00404D18"/>
    <w:rsid w:val="00404D76"/>
    <w:rsid w:val="00404DCB"/>
    <w:rsid w:val="00404ECD"/>
    <w:rsid w:val="00404F1E"/>
    <w:rsid w:val="00404F33"/>
    <w:rsid w:val="00404F9D"/>
    <w:rsid w:val="00404FAC"/>
    <w:rsid w:val="00404FD4"/>
    <w:rsid w:val="00404FF4"/>
    <w:rsid w:val="00405208"/>
    <w:rsid w:val="00405213"/>
    <w:rsid w:val="00405247"/>
    <w:rsid w:val="00405374"/>
    <w:rsid w:val="004053D2"/>
    <w:rsid w:val="004054AF"/>
    <w:rsid w:val="004054CB"/>
    <w:rsid w:val="00405607"/>
    <w:rsid w:val="004056A8"/>
    <w:rsid w:val="004056B3"/>
    <w:rsid w:val="004056D6"/>
    <w:rsid w:val="004058F3"/>
    <w:rsid w:val="004058FF"/>
    <w:rsid w:val="00405A1F"/>
    <w:rsid w:val="00405B78"/>
    <w:rsid w:val="00405C8D"/>
    <w:rsid w:val="00405CD0"/>
    <w:rsid w:val="00405D73"/>
    <w:rsid w:val="00405DF3"/>
    <w:rsid w:val="00405E52"/>
    <w:rsid w:val="00405E94"/>
    <w:rsid w:val="00405FB5"/>
    <w:rsid w:val="00406137"/>
    <w:rsid w:val="0040613F"/>
    <w:rsid w:val="0040629D"/>
    <w:rsid w:val="0040631F"/>
    <w:rsid w:val="0040634B"/>
    <w:rsid w:val="0040645D"/>
    <w:rsid w:val="004065CF"/>
    <w:rsid w:val="004066C7"/>
    <w:rsid w:val="004066C8"/>
    <w:rsid w:val="0040677D"/>
    <w:rsid w:val="0040688F"/>
    <w:rsid w:val="004068C0"/>
    <w:rsid w:val="00406B01"/>
    <w:rsid w:val="00406BD0"/>
    <w:rsid w:val="00406C9B"/>
    <w:rsid w:val="00406D0F"/>
    <w:rsid w:val="00406E17"/>
    <w:rsid w:val="00406E94"/>
    <w:rsid w:val="00407052"/>
    <w:rsid w:val="00407061"/>
    <w:rsid w:val="0040709D"/>
    <w:rsid w:val="00407216"/>
    <w:rsid w:val="0040724D"/>
    <w:rsid w:val="0040726A"/>
    <w:rsid w:val="004072A8"/>
    <w:rsid w:val="004072F2"/>
    <w:rsid w:val="00407447"/>
    <w:rsid w:val="004074BC"/>
    <w:rsid w:val="0040753B"/>
    <w:rsid w:val="004076E7"/>
    <w:rsid w:val="004077BD"/>
    <w:rsid w:val="00407920"/>
    <w:rsid w:val="00407938"/>
    <w:rsid w:val="004079B6"/>
    <w:rsid w:val="00407A63"/>
    <w:rsid w:val="00407AB1"/>
    <w:rsid w:val="00407C03"/>
    <w:rsid w:val="00407CD2"/>
    <w:rsid w:val="00407D27"/>
    <w:rsid w:val="00407DF0"/>
    <w:rsid w:val="00407E57"/>
    <w:rsid w:val="0041001A"/>
    <w:rsid w:val="0041009E"/>
    <w:rsid w:val="0041016D"/>
    <w:rsid w:val="004101C0"/>
    <w:rsid w:val="0041028E"/>
    <w:rsid w:val="00410384"/>
    <w:rsid w:val="00410406"/>
    <w:rsid w:val="0041045C"/>
    <w:rsid w:val="004105CF"/>
    <w:rsid w:val="00410636"/>
    <w:rsid w:val="00410643"/>
    <w:rsid w:val="0041067B"/>
    <w:rsid w:val="00410773"/>
    <w:rsid w:val="004108FD"/>
    <w:rsid w:val="00410B2E"/>
    <w:rsid w:val="00410B94"/>
    <w:rsid w:val="00410BAE"/>
    <w:rsid w:val="00410C50"/>
    <w:rsid w:val="00410CFA"/>
    <w:rsid w:val="00410D1C"/>
    <w:rsid w:val="00410D73"/>
    <w:rsid w:val="00410D9B"/>
    <w:rsid w:val="00410E49"/>
    <w:rsid w:val="00410EE1"/>
    <w:rsid w:val="00410EE7"/>
    <w:rsid w:val="00410F06"/>
    <w:rsid w:val="00411206"/>
    <w:rsid w:val="0041120A"/>
    <w:rsid w:val="00411259"/>
    <w:rsid w:val="00411288"/>
    <w:rsid w:val="004112E4"/>
    <w:rsid w:val="004112EC"/>
    <w:rsid w:val="00411351"/>
    <w:rsid w:val="0041137A"/>
    <w:rsid w:val="004113B8"/>
    <w:rsid w:val="004113C3"/>
    <w:rsid w:val="004114D2"/>
    <w:rsid w:val="00411577"/>
    <w:rsid w:val="004115B0"/>
    <w:rsid w:val="004115DB"/>
    <w:rsid w:val="0041162F"/>
    <w:rsid w:val="004116A5"/>
    <w:rsid w:val="0041181C"/>
    <w:rsid w:val="00411842"/>
    <w:rsid w:val="00411B92"/>
    <w:rsid w:val="00411BA0"/>
    <w:rsid w:val="00411C04"/>
    <w:rsid w:val="00411CAC"/>
    <w:rsid w:val="00411D38"/>
    <w:rsid w:val="00411D58"/>
    <w:rsid w:val="00411D88"/>
    <w:rsid w:val="00411DC8"/>
    <w:rsid w:val="00411E34"/>
    <w:rsid w:val="00411FB8"/>
    <w:rsid w:val="00412045"/>
    <w:rsid w:val="004120EE"/>
    <w:rsid w:val="004121E1"/>
    <w:rsid w:val="00412293"/>
    <w:rsid w:val="00412381"/>
    <w:rsid w:val="0041249C"/>
    <w:rsid w:val="004124A1"/>
    <w:rsid w:val="004124DF"/>
    <w:rsid w:val="004126C0"/>
    <w:rsid w:val="004127B1"/>
    <w:rsid w:val="0041287E"/>
    <w:rsid w:val="004128A7"/>
    <w:rsid w:val="004128AE"/>
    <w:rsid w:val="00412912"/>
    <w:rsid w:val="00412940"/>
    <w:rsid w:val="004129F1"/>
    <w:rsid w:val="00412A9D"/>
    <w:rsid w:val="00412AE2"/>
    <w:rsid w:val="00412B22"/>
    <w:rsid w:val="00412B2C"/>
    <w:rsid w:val="00412B59"/>
    <w:rsid w:val="00412B86"/>
    <w:rsid w:val="00412BEB"/>
    <w:rsid w:val="00412C1F"/>
    <w:rsid w:val="00412C2A"/>
    <w:rsid w:val="00412C86"/>
    <w:rsid w:val="00412F0C"/>
    <w:rsid w:val="00412F3F"/>
    <w:rsid w:val="00412F4C"/>
    <w:rsid w:val="00412FB6"/>
    <w:rsid w:val="0041305C"/>
    <w:rsid w:val="004130DD"/>
    <w:rsid w:val="004131C8"/>
    <w:rsid w:val="004131FC"/>
    <w:rsid w:val="0041322C"/>
    <w:rsid w:val="0041324C"/>
    <w:rsid w:val="004132BA"/>
    <w:rsid w:val="00413324"/>
    <w:rsid w:val="00413340"/>
    <w:rsid w:val="004134D4"/>
    <w:rsid w:val="00413516"/>
    <w:rsid w:val="00413550"/>
    <w:rsid w:val="004135B4"/>
    <w:rsid w:val="004135E6"/>
    <w:rsid w:val="00413622"/>
    <w:rsid w:val="0041362F"/>
    <w:rsid w:val="0041370F"/>
    <w:rsid w:val="00413772"/>
    <w:rsid w:val="0041389A"/>
    <w:rsid w:val="004138A1"/>
    <w:rsid w:val="00413A2A"/>
    <w:rsid w:val="00413BAE"/>
    <w:rsid w:val="00413BD8"/>
    <w:rsid w:val="00413BEB"/>
    <w:rsid w:val="00413CB4"/>
    <w:rsid w:val="00413CCA"/>
    <w:rsid w:val="00413DC1"/>
    <w:rsid w:val="00413E49"/>
    <w:rsid w:val="00413E8F"/>
    <w:rsid w:val="004141AE"/>
    <w:rsid w:val="004142C9"/>
    <w:rsid w:val="004143A7"/>
    <w:rsid w:val="004143B6"/>
    <w:rsid w:val="0041445E"/>
    <w:rsid w:val="004144CE"/>
    <w:rsid w:val="00414584"/>
    <w:rsid w:val="004145DF"/>
    <w:rsid w:val="00414655"/>
    <w:rsid w:val="004146BB"/>
    <w:rsid w:val="004146C4"/>
    <w:rsid w:val="004146F0"/>
    <w:rsid w:val="004146F5"/>
    <w:rsid w:val="00414733"/>
    <w:rsid w:val="004147C6"/>
    <w:rsid w:val="00414891"/>
    <w:rsid w:val="00414A4E"/>
    <w:rsid w:val="00414CDD"/>
    <w:rsid w:val="00414CF4"/>
    <w:rsid w:val="00414E3B"/>
    <w:rsid w:val="00414EDD"/>
    <w:rsid w:val="00415249"/>
    <w:rsid w:val="004152B8"/>
    <w:rsid w:val="004152F0"/>
    <w:rsid w:val="0041539A"/>
    <w:rsid w:val="0041547F"/>
    <w:rsid w:val="00415520"/>
    <w:rsid w:val="00415593"/>
    <w:rsid w:val="00415712"/>
    <w:rsid w:val="0041583B"/>
    <w:rsid w:val="0041586B"/>
    <w:rsid w:val="0041594C"/>
    <w:rsid w:val="00415AD5"/>
    <w:rsid w:val="00415BD6"/>
    <w:rsid w:val="00415BDB"/>
    <w:rsid w:val="00415BED"/>
    <w:rsid w:val="00415C83"/>
    <w:rsid w:val="00415CBA"/>
    <w:rsid w:val="00415D7A"/>
    <w:rsid w:val="00415E0B"/>
    <w:rsid w:val="00415F7C"/>
    <w:rsid w:val="00415F9C"/>
    <w:rsid w:val="00415FD4"/>
    <w:rsid w:val="00415FDE"/>
    <w:rsid w:val="0041600A"/>
    <w:rsid w:val="0041608B"/>
    <w:rsid w:val="00416145"/>
    <w:rsid w:val="00416147"/>
    <w:rsid w:val="00416148"/>
    <w:rsid w:val="004161E1"/>
    <w:rsid w:val="004161E2"/>
    <w:rsid w:val="00416202"/>
    <w:rsid w:val="00416277"/>
    <w:rsid w:val="00416294"/>
    <w:rsid w:val="0041634A"/>
    <w:rsid w:val="0041636D"/>
    <w:rsid w:val="00416396"/>
    <w:rsid w:val="004163FE"/>
    <w:rsid w:val="00416566"/>
    <w:rsid w:val="004165C9"/>
    <w:rsid w:val="00416688"/>
    <w:rsid w:val="00416783"/>
    <w:rsid w:val="00416793"/>
    <w:rsid w:val="00416862"/>
    <w:rsid w:val="00416864"/>
    <w:rsid w:val="00416882"/>
    <w:rsid w:val="00416A4A"/>
    <w:rsid w:val="00416A77"/>
    <w:rsid w:val="00416B56"/>
    <w:rsid w:val="00416C50"/>
    <w:rsid w:val="00416D88"/>
    <w:rsid w:val="00416E61"/>
    <w:rsid w:val="00416E6F"/>
    <w:rsid w:val="00416EEF"/>
    <w:rsid w:val="00416F76"/>
    <w:rsid w:val="00416FB1"/>
    <w:rsid w:val="00416FC2"/>
    <w:rsid w:val="00417018"/>
    <w:rsid w:val="0041706B"/>
    <w:rsid w:val="0041713B"/>
    <w:rsid w:val="00417150"/>
    <w:rsid w:val="0041715F"/>
    <w:rsid w:val="00417235"/>
    <w:rsid w:val="0041725F"/>
    <w:rsid w:val="004172AD"/>
    <w:rsid w:val="0041747D"/>
    <w:rsid w:val="00417513"/>
    <w:rsid w:val="0041760D"/>
    <w:rsid w:val="004176D2"/>
    <w:rsid w:val="004176EE"/>
    <w:rsid w:val="004177A0"/>
    <w:rsid w:val="00417A28"/>
    <w:rsid w:val="00417A41"/>
    <w:rsid w:val="00417AEE"/>
    <w:rsid w:val="00417B1B"/>
    <w:rsid w:val="00417DE4"/>
    <w:rsid w:val="00417E87"/>
    <w:rsid w:val="00417E96"/>
    <w:rsid w:val="00417EBA"/>
    <w:rsid w:val="00417FE4"/>
    <w:rsid w:val="00420125"/>
    <w:rsid w:val="004201CA"/>
    <w:rsid w:val="004202D2"/>
    <w:rsid w:val="004202E9"/>
    <w:rsid w:val="00420303"/>
    <w:rsid w:val="004205AF"/>
    <w:rsid w:val="0042060C"/>
    <w:rsid w:val="004206D4"/>
    <w:rsid w:val="00420741"/>
    <w:rsid w:val="00420886"/>
    <w:rsid w:val="004208A4"/>
    <w:rsid w:val="004208BF"/>
    <w:rsid w:val="004208DE"/>
    <w:rsid w:val="00420918"/>
    <w:rsid w:val="00420950"/>
    <w:rsid w:val="0042098E"/>
    <w:rsid w:val="00420D4C"/>
    <w:rsid w:val="00420DBC"/>
    <w:rsid w:val="00420E22"/>
    <w:rsid w:val="00420F6B"/>
    <w:rsid w:val="00420F99"/>
    <w:rsid w:val="00420FE2"/>
    <w:rsid w:val="004210BC"/>
    <w:rsid w:val="00421151"/>
    <w:rsid w:val="00421309"/>
    <w:rsid w:val="00421358"/>
    <w:rsid w:val="0042149C"/>
    <w:rsid w:val="004214E3"/>
    <w:rsid w:val="0042157E"/>
    <w:rsid w:val="0042168D"/>
    <w:rsid w:val="004216A8"/>
    <w:rsid w:val="0042181C"/>
    <w:rsid w:val="00421831"/>
    <w:rsid w:val="004218A0"/>
    <w:rsid w:val="00421979"/>
    <w:rsid w:val="00421A0E"/>
    <w:rsid w:val="00421CC0"/>
    <w:rsid w:val="00421D13"/>
    <w:rsid w:val="00421E2A"/>
    <w:rsid w:val="00422015"/>
    <w:rsid w:val="0042208D"/>
    <w:rsid w:val="0042209B"/>
    <w:rsid w:val="0042219B"/>
    <w:rsid w:val="004222B9"/>
    <w:rsid w:val="004223DD"/>
    <w:rsid w:val="00422460"/>
    <w:rsid w:val="004224C7"/>
    <w:rsid w:val="00422503"/>
    <w:rsid w:val="00422574"/>
    <w:rsid w:val="00422615"/>
    <w:rsid w:val="004228CC"/>
    <w:rsid w:val="00422925"/>
    <w:rsid w:val="00422980"/>
    <w:rsid w:val="00422A01"/>
    <w:rsid w:val="00422B18"/>
    <w:rsid w:val="00422B22"/>
    <w:rsid w:val="00422BCA"/>
    <w:rsid w:val="00422C32"/>
    <w:rsid w:val="00422C81"/>
    <w:rsid w:val="00422D48"/>
    <w:rsid w:val="00422E3C"/>
    <w:rsid w:val="0042308B"/>
    <w:rsid w:val="0042312C"/>
    <w:rsid w:val="004231BA"/>
    <w:rsid w:val="004231D1"/>
    <w:rsid w:val="004231E7"/>
    <w:rsid w:val="00423280"/>
    <w:rsid w:val="00423283"/>
    <w:rsid w:val="004233A5"/>
    <w:rsid w:val="0042348D"/>
    <w:rsid w:val="00423563"/>
    <w:rsid w:val="00423569"/>
    <w:rsid w:val="004235F5"/>
    <w:rsid w:val="00423643"/>
    <w:rsid w:val="00423711"/>
    <w:rsid w:val="00423895"/>
    <w:rsid w:val="004238EB"/>
    <w:rsid w:val="00423964"/>
    <w:rsid w:val="004239D5"/>
    <w:rsid w:val="004239FB"/>
    <w:rsid w:val="00423A8A"/>
    <w:rsid w:val="00423AF4"/>
    <w:rsid w:val="00423B07"/>
    <w:rsid w:val="00423B90"/>
    <w:rsid w:val="00423F1B"/>
    <w:rsid w:val="00423F64"/>
    <w:rsid w:val="00423FE5"/>
    <w:rsid w:val="00424192"/>
    <w:rsid w:val="00424218"/>
    <w:rsid w:val="004243D0"/>
    <w:rsid w:val="004244BD"/>
    <w:rsid w:val="004244EB"/>
    <w:rsid w:val="00424577"/>
    <w:rsid w:val="00424707"/>
    <w:rsid w:val="004247D5"/>
    <w:rsid w:val="00424898"/>
    <w:rsid w:val="004248D7"/>
    <w:rsid w:val="00424999"/>
    <w:rsid w:val="00424A80"/>
    <w:rsid w:val="00424AE9"/>
    <w:rsid w:val="00424B49"/>
    <w:rsid w:val="00424C25"/>
    <w:rsid w:val="00424CF2"/>
    <w:rsid w:val="00425129"/>
    <w:rsid w:val="004251DB"/>
    <w:rsid w:val="004251E7"/>
    <w:rsid w:val="004252E1"/>
    <w:rsid w:val="00425420"/>
    <w:rsid w:val="0042543C"/>
    <w:rsid w:val="00425495"/>
    <w:rsid w:val="00425631"/>
    <w:rsid w:val="00425745"/>
    <w:rsid w:val="00425819"/>
    <w:rsid w:val="0042593B"/>
    <w:rsid w:val="004259DD"/>
    <w:rsid w:val="00425A83"/>
    <w:rsid w:val="00425AB0"/>
    <w:rsid w:val="00425AB7"/>
    <w:rsid w:val="00425BEC"/>
    <w:rsid w:val="00425C66"/>
    <w:rsid w:val="00425C77"/>
    <w:rsid w:val="00425C8B"/>
    <w:rsid w:val="00425CBC"/>
    <w:rsid w:val="00425EDC"/>
    <w:rsid w:val="00425F6D"/>
    <w:rsid w:val="00426193"/>
    <w:rsid w:val="004262CD"/>
    <w:rsid w:val="00426467"/>
    <w:rsid w:val="004264B3"/>
    <w:rsid w:val="004264B8"/>
    <w:rsid w:val="00426528"/>
    <w:rsid w:val="004265F0"/>
    <w:rsid w:val="00426671"/>
    <w:rsid w:val="00426682"/>
    <w:rsid w:val="00426690"/>
    <w:rsid w:val="004266E7"/>
    <w:rsid w:val="00426764"/>
    <w:rsid w:val="00426782"/>
    <w:rsid w:val="004267A8"/>
    <w:rsid w:val="004267D9"/>
    <w:rsid w:val="00426802"/>
    <w:rsid w:val="004268CE"/>
    <w:rsid w:val="004269E1"/>
    <w:rsid w:val="00426ABC"/>
    <w:rsid w:val="00426B94"/>
    <w:rsid w:val="00426BCE"/>
    <w:rsid w:val="00426BD3"/>
    <w:rsid w:val="00426C8B"/>
    <w:rsid w:val="00426D53"/>
    <w:rsid w:val="00426E15"/>
    <w:rsid w:val="00426E8F"/>
    <w:rsid w:val="00427012"/>
    <w:rsid w:val="004270B8"/>
    <w:rsid w:val="00427117"/>
    <w:rsid w:val="004271DD"/>
    <w:rsid w:val="0042723C"/>
    <w:rsid w:val="004272CA"/>
    <w:rsid w:val="004273B6"/>
    <w:rsid w:val="004274C3"/>
    <w:rsid w:val="004274FD"/>
    <w:rsid w:val="0042754D"/>
    <w:rsid w:val="004276E3"/>
    <w:rsid w:val="00427741"/>
    <w:rsid w:val="00427821"/>
    <w:rsid w:val="0042785B"/>
    <w:rsid w:val="00427866"/>
    <w:rsid w:val="00427980"/>
    <w:rsid w:val="004279BF"/>
    <w:rsid w:val="004279DB"/>
    <w:rsid w:val="00427AF3"/>
    <w:rsid w:val="00427CB2"/>
    <w:rsid w:val="00427CCE"/>
    <w:rsid w:val="00427EE1"/>
    <w:rsid w:val="00427FF0"/>
    <w:rsid w:val="0043001B"/>
    <w:rsid w:val="00430133"/>
    <w:rsid w:val="00430264"/>
    <w:rsid w:val="0043030A"/>
    <w:rsid w:val="00430315"/>
    <w:rsid w:val="0043032B"/>
    <w:rsid w:val="0043056A"/>
    <w:rsid w:val="004305A9"/>
    <w:rsid w:val="004305AE"/>
    <w:rsid w:val="00430693"/>
    <w:rsid w:val="00430695"/>
    <w:rsid w:val="00430735"/>
    <w:rsid w:val="004307A7"/>
    <w:rsid w:val="00430819"/>
    <w:rsid w:val="004308F0"/>
    <w:rsid w:val="00430918"/>
    <w:rsid w:val="004309B4"/>
    <w:rsid w:val="00430ADD"/>
    <w:rsid w:val="00430BB2"/>
    <w:rsid w:val="00430BDE"/>
    <w:rsid w:val="00430D88"/>
    <w:rsid w:val="00430E7D"/>
    <w:rsid w:val="00430FEB"/>
    <w:rsid w:val="00431198"/>
    <w:rsid w:val="0043125E"/>
    <w:rsid w:val="004313B3"/>
    <w:rsid w:val="004316CE"/>
    <w:rsid w:val="00431785"/>
    <w:rsid w:val="0043186E"/>
    <w:rsid w:val="00431899"/>
    <w:rsid w:val="004318C1"/>
    <w:rsid w:val="004319A5"/>
    <w:rsid w:val="004319DE"/>
    <w:rsid w:val="00431A0A"/>
    <w:rsid w:val="00431A27"/>
    <w:rsid w:val="00431B3C"/>
    <w:rsid w:val="00431C47"/>
    <w:rsid w:val="00431CCA"/>
    <w:rsid w:val="00431DBF"/>
    <w:rsid w:val="00431E43"/>
    <w:rsid w:val="00431E46"/>
    <w:rsid w:val="00431EC1"/>
    <w:rsid w:val="00431F1D"/>
    <w:rsid w:val="00431F30"/>
    <w:rsid w:val="00431FFA"/>
    <w:rsid w:val="00432044"/>
    <w:rsid w:val="0043210B"/>
    <w:rsid w:val="0043217E"/>
    <w:rsid w:val="0043221E"/>
    <w:rsid w:val="00432263"/>
    <w:rsid w:val="00432323"/>
    <w:rsid w:val="0043233E"/>
    <w:rsid w:val="00432348"/>
    <w:rsid w:val="00432355"/>
    <w:rsid w:val="00432412"/>
    <w:rsid w:val="00432573"/>
    <w:rsid w:val="00432596"/>
    <w:rsid w:val="004325D2"/>
    <w:rsid w:val="0043261A"/>
    <w:rsid w:val="0043275C"/>
    <w:rsid w:val="00432832"/>
    <w:rsid w:val="0043295B"/>
    <w:rsid w:val="00432A32"/>
    <w:rsid w:val="00432AAC"/>
    <w:rsid w:val="00432BC8"/>
    <w:rsid w:val="00432C05"/>
    <w:rsid w:val="00432D20"/>
    <w:rsid w:val="00432DE2"/>
    <w:rsid w:val="00432F5A"/>
    <w:rsid w:val="00432FF5"/>
    <w:rsid w:val="0043320C"/>
    <w:rsid w:val="00433285"/>
    <w:rsid w:val="00433399"/>
    <w:rsid w:val="00433405"/>
    <w:rsid w:val="00433482"/>
    <w:rsid w:val="004334D6"/>
    <w:rsid w:val="00433721"/>
    <w:rsid w:val="004337B4"/>
    <w:rsid w:val="0043383D"/>
    <w:rsid w:val="00433889"/>
    <w:rsid w:val="004339B9"/>
    <w:rsid w:val="004339D7"/>
    <w:rsid w:val="00433A8F"/>
    <w:rsid w:val="00433B38"/>
    <w:rsid w:val="00433C1D"/>
    <w:rsid w:val="00433CE2"/>
    <w:rsid w:val="00433D45"/>
    <w:rsid w:val="00433D65"/>
    <w:rsid w:val="00433DEA"/>
    <w:rsid w:val="00433E64"/>
    <w:rsid w:val="00433F6E"/>
    <w:rsid w:val="00433FCD"/>
    <w:rsid w:val="00433FD6"/>
    <w:rsid w:val="00434155"/>
    <w:rsid w:val="0043423B"/>
    <w:rsid w:val="00434269"/>
    <w:rsid w:val="004342AF"/>
    <w:rsid w:val="004342CF"/>
    <w:rsid w:val="00434335"/>
    <w:rsid w:val="004343B6"/>
    <w:rsid w:val="00434430"/>
    <w:rsid w:val="0043443C"/>
    <w:rsid w:val="0043443D"/>
    <w:rsid w:val="004344CD"/>
    <w:rsid w:val="00434779"/>
    <w:rsid w:val="00434844"/>
    <w:rsid w:val="00434865"/>
    <w:rsid w:val="004348B1"/>
    <w:rsid w:val="00434931"/>
    <w:rsid w:val="00434957"/>
    <w:rsid w:val="00434D42"/>
    <w:rsid w:val="00434D79"/>
    <w:rsid w:val="00434E05"/>
    <w:rsid w:val="00434F1C"/>
    <w:rsid w:val="00434F92"/>
    <w:rsid w:val="00434FEA"/>
    <w:rsid w:val="00435152"/>
    <w:rsid w:val="0043517D"/>
    <w:rsid w:val="004351DB"/>
    <w:rsid w:val="004351F9"/>
    <w:rsid w:val="00435252"/>
    <w:rsid w:val="00435335"/>
    <w:rsid w:val="00435382"/>
    <w:rsid w:val="004353A7"/>
    <w:rsid w:val="0043544C"/>
    <w:rsid w:val="004354AF"/>
    <w:rsid w:val="004354B4"/>
    <w:rsid w:val="00435532"/>
    <w:rsid w:val="00435727"/>
    <w:rsid w:val="00435768"/>
    <w:rsid w:val="00435789"/>
    <w:rsid w:val="004357F8"/>
    <w:rsid w:val="0043585A"/>
    <w:rsid w:val="00435B44"/>
    <w:rsid w:val="00435E0F"/>
    <w:rsid w:val="00435E3E"/>
    <w:rsid w:val="00435FEA"/>
    <w:rsid w:val="004361F9"/>
    <w:rsid w:val="0043628B"/>
    <w:rsid w:val="004363E5"/>
    <w:rsid w:val="00436565"/>
    <w:rsid w:val="004365B2"/>
    <w:rsid w:val="004365E2"/>
    <w:rsid w:val="00436659"/>
    <w:rsid w:val="004367B4"/>
    <w:rsid w:val="0043685F"/>
    <w:rsid w:val="00436979"/>
    <w:rsid w:val="004369F0"/>
    <w:rsid w:val="00436A4F"/>
    <w:rsid w:val="00436BFA"/>
    <w:rsid w:val="00436C24"/>
    <w:rsid w:val="00436D32"/>
    <w:rsid w:val="00436D84"/>
    <w:rsid w:val="00436DA2"/>
    <w:rsid w:val="00436E0E"/>
    <w:rsid w:val="00436F30"/>
    <w:rsid w:val="00436F96"/>
    <w:rsid w:val="00436FE4"/>
    <w:rsid w:val="00436FEB"/>
    <w:rsid w:val="0043703B"/>
    <w:rsid w:val="00437099"/>
    <w:rsid w:val="004370D4"/>
    <w:rsid w:val="00437172"/>
    <w:rsid w:val="004371A8"/>
    <w:rsid w:val="0043727D"/>
    <w:rsid w:val="004372D3"/>
    <w:rsid w:val="0043733A"/>
    <w:rsid w:val="0043735F"/>
    <w:rsid w:val="0043741A"/>
    <w:rsid w:val="004374EE"/>
    <w:rsid w:val="004374F4"/>
    <w:rsid w:val="00437538"/>
    <w:rsid w:val="00437761"/>
    <w:rsid w:val="0043777C"/>
    <w:rsid w:val="0043778C"/>
    <w:rsid w:val="004377AB"/>
    <w:rsid w:val="004377BD"/>
    <w:rsid w:val="00437936"/>
    <w:rsid w:val="00437A72"/>
    <w:rsid w:val="00437AA1"/>
    <w:rsid w:val="00437B67"/>
    <w:rsid w:val="00437BCB"/>
    <w:rsid w:val="00437C27"/>
    <w:rsid w:val="00437C9C"/>
    <w:rsid w:val="00437D2D"/>
    <w:rsid w:val="00437DE4"/>
    <w:rsid w:val="00437DEB"/>
    <w:rsid w:val="00437E59"/>
    <w:rsid w:val="00437E8F"/>
    <w:rsid w:val="00437EF9"/>
    <w:rsid w:val="00437F87"/>
    <w:rsid w:val="00440055"/>
    <w:rsid w:val="00440107"/>
    <w:rsid w:val="0044012A"/>
    <w:rsid w:val="0044027F"/>
    <w:rsid w:val="004402D8"/>
    <w:rsid w:val="004403B1"/>
    <w:rsid w:val="0044044D"/>
    <w:rsid w:val="004404F5"/>
    <w:rsid w:val="00440540"/>
    <w:rsid w:val="00440554"/>
    <w:rsid w:val="004405CF"/>
    <w:rsid w:val="004405D7"/>
    <w:rsid w:val="0044060B"/>
    <w:rsid w:val="0044077F"/>
    <w:rsid w:val="004407BC"/>
    <w:rsid w:val="004409AE"/>
    <w:rsid w:val="004409D4"/>
    <w:rsid w:val="004409F7"/>
    <w:rsid w:val="00440A91"/>
    <w:rsid w:val="00440A96"/>
    <w:rsid w:val="00440AC2"/>
    <w:rsid w:val="00440AD7"/>
    <w:rsid w:val="00440C76"/>
    <w:rsid w:val="00440D2D"/>
    <w:rsid w:val="00440D9F"/>
    <w:rsid w:val="00440DE5"/>
    <w:rsid w:val="00440F58"/>
    <w:rsid w:val="00440FB0"/>
    <w:rsid w:val="00440FF8"/>
    <w:rsid w:val="004411EA"/>
    <w:rsid w:val="004412A4"/>
    <w:rsid w:val="00441371"/>
    <w:rsid w:val="004413CB"/>
    <w:rsid w:val="004415AD"/>
    <w:rsid w:val="004417C7"/>
    <w:rsid w:val="004417F7"/>
    <w:rsid w:val="0044184C"/>
    <w:rsid w:val="00441858"/>
    <w:rsid w:val="00441894"/>
    <w:rsid w:val="00441958"/>
    <w:rsid w:val="00441987"/>
    <w:rsid w:val="00441AB6"/>
    <w:rsid w:val="00441C2E"/>
    <w:rsid w:val="00441C51"/>
    <w:rsid w:val="00441DD3"/>
    <w:rsid w:val="00441E40"/>
    <w:rsid w:val="00441E4C"/>
    <w:rsid w:val="00441E85"/>
    <w:rsid w:val="00441E9C"/>
    <w:rsid w:val="00441EC6"/>
    <w:rsid w:val="00441ED3"/>
    <w:rsid w:val="0044220C"/>
    <w:rsid w:val="00442211"/>
    <w:rsid w:val="0044227D"/>
    <w:rsid w:val="00442298"/>
    <w:rsid w:val="0044247B"/>
    <w:rsid w:val="0044248D"/>
    <w:rsid w:val="0044252E"/>
    <w:rsid w:val="00442631"/>
    <w:rsid w:val="00442693"/>
    <w:rsid w:val="004426D6"/>
    <w:rsid w:val="00442789"/>
    <w:rsid w:val="004427D0"/>
    <w:rsid w:val="004427E9"/>
    <w:rsid w:val="00442828"/>
    <w:rsid w:val="00442875"/>
    <w:rsid w:val="004428A1"/>
    <w:rsid w:val="00442938"/>
    <w:rsid w:val="004429A8"/>
    <w:rsid w:val="00442AC5"/>
    <w:rsid w:val="00442AF8"/>
    <w:rsid w:val="00442BD1"/>
    <w:rsid w:val="00442BE0"/>
    <w:rsid w:val="00442C0D"/>
    <w:rsid w:val="00442CB8"/>
    <w:rsid w:val="00442CEE"/>
    <w:rsid w:val="00442CF4"/>
    <w:rsid w:val="00442E25"/>
    <w:rsid w:val="00442E93"/>
    <w:rsid w:val="00442F41"/>
    <w:rsid w:val="0044301B"/>
    <w:rsid w:val="00443057"/>
    <w:rsid w:val="004430FC"/>
    <w:rsid w:val="004432D5"/>
    <w:rsid w:val="00443346"/>
    <w:rsid w:val="004435F5"/>
    <w:rsid w:val="004437B4"/>
    <w:rsid w:val="00443871"/>
    <w:rsid w:val="0044393E"/>
    <w:rsid w:val="004439A5"/>
    <w:rsid w:val="00443AB0"/>
    <w:rsid w:val="00443B87"/>
    <w:rsid w:val="00443C47"/>
    <w:rsid w:val="00443D24"/>
    <w:rsid w:val="00443E82"/>
    <w:rsid w:val="00443FFD"/>
    <w:rsid w:val="00444002"/>
    <w:rsid w:val="0044402D"/>
    <w:rsid w:val="00444104"/>
    <w:rsid w:val="00444151"/>
    <w:rsid w:val="004441F0"/>
    <w:rsid w:val="004442F1"/>
    <w:rsid w:val="00444327"/>
    <w:rsid w:val="00444387"/>
    <w:rsid w:val="004443D9"/>
    <w:rsid w:val="00444443"/>
    <w:rsid w:val="004444C5"/>
    <w:rsid w:val="0044453C"/>
    <w:rsid w:val="004446D7"/>
    <w:rsid w:val="00444741"/>
    <w:rsid w:val="00444817"/>
    <w:rsid w:val="00444865"/>
    <w:rsid w:val="004448CB"/>
    <w:rsid w:val="004448CE"/>
    <w:rsid w:val="004449BC"/>
    <w:rsid w:val="004449C6"/>
    <w:rsid w:val="00444A20"/>
    <w:rsid w:val="00444AE7"/>
    <w:rsid w:val="00444BCE"/>
    <w:rsid w:val="00444C8D"/>
    <w:rsid w:val="00444D13"/>
    <w:rsid w:val="00444DA0"/>
    <w:rsid w:val="00444DF3"/>
    <w:rsid w:val="00444E33"/>
    <w:rsid w:val="00444FA4"/>
    <w:rsid w:val="00444FA6"/>
    <w:rsid w:val="00445071"/>
    <w:rsid w:val="004451DF"/>
    <w:rsid w:val="004451FF"/>
    <w:rsid w:val="004452D8"/>
    <w:rsid w:val="00445372"/>
    <w:rsid w:val="0044544C"/>
    <w:rsid w:val="004454BD"/>
    <w:rsid w:val="004454FC"/>
    <w:rsid w:val="00445502"/>
    <w:rsid w:val="004455C2"/>
    <w:rsid w:val="00445611"/>
    <w:rsid w:val="00445660"/>
    <w:rsid w:val="004456CB"/>
    <w:rsid w:val="004457F7"/>
    <w:rsid w:val="0044586C"/>
    <w:rsid w:val="004458E6"/>
    <w:rsid w:val="004458F5"/>
    <w:rsid w:val="0044594A"/>
    <w:rsid w:val="00445AD6"/>
    <w:rsid w:val="00445AEE"/>
    <w:rsid w:val="00445B70"/>
    <w:rsid w:val="00445BCD"/>
    <w:rsid w:val="00445C57"/>
    <w:rsid w:val="00445CA3"/>
    <w:rsid w:val="00445CFB"/>
    <w:rsid w:val="00445D41"/>
    <w:rsid w:val="00445DD0"/>
    <w:rsid w:val="00445E63"/>
    <w:rsid w:val="00445E69"/>
    <w:rsid w:val="00445E6A"/>
    <w:rsid w:val="0044605C"/>
    <w:rsid w:val="00446129"/>
    <w:rsid w:val="004463A8"/>
    <w:rsid w:val="004463AA"/>
    <w:rsid w:val="00446571"/>
    <w:rsid w:val="00446579"/>
    <w:rsid w:val="004466E1"/>
    <w:rsid w:val="004466F0"/>
    <w:rsid w:val="0044674A"/>
    <w:rsid w:val="0044675B"/>
    <w:rsid w:val="004467B8"/>
    <w:rsid w:val="004467C2"/>
    <w:rsid w:val="00446923"/>
    <w:rsid w:val="00446996"/>
    <w:rsid w:val="004469E2"/>
    <w:rsid w:val="00446BAC"/>
    <w:rsid w:val="00446BD0"/>
    <w:rsid w:val="00446CDA"/>
    <w:rsid w:val="00446D7F"/>
    <w:rsid w:val="00446D85"/>
    <w:rsid w:val="00446F05"/>
    <w:rsid w:val="00446FFC"/>
    <w:rsid w:val="004470D2"/>
    <w:rsid w:val="0044712D"/>
    <w:rsid w:val="00447161"/>
    <w:rsid w:val="0044725E"/>
    <w:rsid w:val="004472A2"/>
    <w:rsid w:val="004472F9"/>
    <w:rsid w:val="0044735D"/>
    <w:rsid w:val="00447390"/>
    <w:rsid w:val="004474B7"/>
    <w:rsid w:val="004478E9"/>
    <w:rsid w:val="004479A4"/>
    <w:rsid w:val="00447B64"/>
    <w:rsid w:val="00447BBD"/>
    <w:rsid w:val="00447CA9"/>
    <w:rsid w:val="00447D0D"/>
    <w:rsid w:val="00447D29"/>
    <w:rsid w:val="00447D37"/>
    <w:rsid w:val="00447E78"/>
    <w:rsid w:val="004500C9"/>
    <w:rsid w:val="004502FA"/>
    <w:rsid w:val="00450348"/>
    <w:rsid w:val="00450371"/>
    <w:rsid w:val="004503EE"/>
    <w:rsid w:val="004503F9"/>
    <w:rsid w:val="004503FC"/>
    <w:rsid w:val="0045043B"/>
    <w:rsid w:val="0045043C"/>
    <w:rsid w:val="004504DF"/>
    <w:rsid w:val="00450578"/>
    <w:rsid w:val="0045079C"/>
    <w:rsid w:val="004507A6"/>
    <w:rsid w:val="004507AB"/>
    <w:rsid w:val="004507ED"/>
    <w:rsid w:val="0045090E"/>
    <w:rsid w:val="00450A37"/>
    <w:rsid w:val="00450A3E"/>
    <w:rsid w:val="00450AF2"/>
    <w:rsid w:val="00450BFD"/>
    <w:rsid w:val="00450CE6"/>
    <w:rsid w:val="00450D23"/>
    <w:rsid w:val="00450D51"/>
    <w:rsid w:val="00450DE3"/>
    <w:rsid w:val="00450F35"/>
    <w:rsid w:val="00450F4B"/>
    <w:rsid w:val="004510C0"/>
    <w:rsid w:val="00451106"/>
    <w:rsid w:val="00451279"/>
    <w:rsid w:val="004512C0"/>
    <w:rsid w:val="00451321"/>
    <w:rsid w:val="00451373"/>
    <w:rsid w:val="0045140D"/>
    <w:rsid w:val="0045145A"/>
    <w:rsid w:val="0045148F"/>
    <w:rsid w:val="00451497"/>
    <w:rsid w:val="004514B8"/>
    <w:rsid w:val="004514D3"/>
    <w:rsid w:val="0045161A"/>
    <w:rsid w:val="004516BF"/>
    <w:rsid w:val="004516C1"/>
    <w:rsid w:val="00451778"/>
    <w:rsid w:val="00451845"/>
    <w:rsid w:val="004519C3"/>
    <w:rsid w:val="00451A38"/>
    <w:rsid w:val="00451ADA"/>
    <w:rsid w:val="00451CF2"/>
    <w:rsid w:val="00451D21"/>
    <w:rsid w:val="00452061"/>
    <w:rsid w:val="00452109"/>
    <w:rsid w:val="00452349"/>
    <w:rsid w:val="004523AC"/>
    <w:rsid w:val="0045245B"/>
    <w:rsid w:val="00452508"/>
    <w:rsid w:val="00452555"/>
    <w:rsid w:val="00452608"/>
    <w:rsid w:val="004526AA"/>
    <w:rsid w:val="004526FA"/>
    <w:rsid w:val="0045270D"/>
    <w:rsid w:val="00452755"/>
    <w:rsid w:val="004527D2"/>
    <w:rsid w:val="004527DC"/>
    <w:rsid w:val="0045291C"/>
    <w:rsid w:val="00452A54"/>
    <w:rsid w:val="00452A6A"/>
    <w:rsid w:val="00452BC0"/>
    <w:rsid w:val="00452C6F"/>
    <w:rsid w:val="00452D2B"/>
    <w:rsid w:val="00452D3C"/>
    <w:rsid w:val="00452DF7"/>
    <w:rsid w:val="00452ECA"/>
    <w:rsid w:val="00452EF3"/>
    <w:rsid w:val="00452F66"/>
    <w:rsid w:val="00452F9A"/>
    <w:rsid w:val="0045303E"/>
    <w:rsid w:val="00453040"/>
    <w:rsid w:val="0045307C"/>
    <w:rsid w:val="00453080"/>
    <w:rsid w:val="0045308D"/>
    <w:rsid w:val="0045309E"/>
    <w:rsid w:val="004530A9"/>
    <w:rsid w:val="00453176"/>
    <w:rsid w:val="00453181"/>
    <w:rsid w:val="004531E8"/>
    <w:rsid w:val="004533D7"/>
    <w:rsid w:val="004533FC"/>
    <w:rsid w:val="004534CA"/>
    <w:rsid w:val="0045369C"/>
    <w:rsid w:val="004536AD"/>
    <w:rsid w:val="00453927"/>
    <w:rsid w:val="00453970"/>
    <w:rsid w:val="00453B32"/>
    <w:rsid w:val="00453B7D"/>
    <w:rsid w:val="00453C7B"/>
    <w:rsid w:val="00453F0A"/>
    <w:rsid w:val="00453F64"/>
    <w:rsid w:val="00453FDF"/>
    <w:rsid w:val="0045422F"/>
    <w:rsid w:val="00454334"/>
    <w:rsid w:val="00454347"/>
    <w:rsid w:val="00454455"/>
    <w:rsid w:val="004544AA"/>
    <w:rsid w:val="00454555"/>
    <w:rsid w:val="0045472A"/>
    <w:rsid w:val="00454816"/>
    <w:rsid w:val="00454893"/>
    <w:rsid w:val="0045498C"/>
    <w:rsid w:val="004549E1"/>
    <w:rsid w:val="004549EF"/>
    <w:rsid w:val="00454AA4"/>
    <w:rsid w:val="00454ABA"/>
    <w:rsid w:val="00454AF3"/>
    <w:rsid w:val="00454B45"/>
    <w:rsid w:val="00454B98"/>
    <w:rsid w:val="00454BAD"/>
    <w:rsid w:val="00454BED"/>
    <w:rsid w:val="00454C97"/>
    <w:rsid w:val="00454D43"/>
    <w:rsid w:val="00454E0B"/>
    <w:rsid w:val="00454F6E"/>
    <w:rsid w:val="00454F75"/>
    <w:rsid w:val="00454FCC"/>
    <w:rsid w:val="004550D5"/>
    <w:rsid w:val="004550F3"/>
    <w:rsid w:val="004551F7"/>
    <w:rsid w:val="0045524B"/>
    <w:rsid w:val="004552BB"/>
    <w:rsid w:val="004554E5"/>
    <w:rsid w:val="00455557"/>
    <w:rsid w:val="004555B0"/>
    <w:rsid w:val="0045561F"/>
    <w:rsid w:val="00455741"/>
    <w:rsid w:val="004557E7"/>
    <w:rsid w:val="004558BD"/>
    <w:rsid w:val="004559CE"/>
    <w:rsid w:val="00455A42"/>
    <w:rsid w:val="00455D2E"/>
    <w:rsid w:val="00455E61"/>
    <w:rsid w:val="00455EC8"/>
    <w:rsid w:val="00455F38"/>
    <w:rsid w:val="00455FC5"/>
    <w:rsid w:val="0045609A"/>
    <w:rsid w:val="004561FF"/>
    <w:rsid w:val="004562F3"/>
    <w:rsid w:val="00456314"/>
    <w:rsid w:val="00456350"/>
    <w:rsid w:val="00456357"/>
    <w:rsid w:val="00456390"/>
    <w:rsid w:val="004565FB"/>
    <w:rsid w:val="0045663D"/>
    <w:rsid w:val="00456656"/>
    <w:rsid w:val="004566C1"/>
    <w:rsid w:val="00456722"/>
    <w:rsid w:val="004568C4"/>
    <w:rsid w:val="0045692D"/>
    <w:rsid w:val="00456B69"/>
    <w:rsid w:val="00456BE2"/>
    <w:rsid w:val="00456CF3"/>
    <w:rsid w:val="00456D00"/>
    <w:rsid w:val="00456DA0"/>
    <w:rsid w:val="00456FDA"/>
    <w:rsid w:val="00457044"/>
    <w:rsid w:val="00457064"/>
    <w:rsid w:val="00457107"/>
    <w:rsid w:val="004571C1"/>
    <w:rsid w:val="00457297"/>
    <w:rsid w:val="00457308"/>
    <w:rsid w:val="00457334"/>
    <w:rsid w:val="004573FA"/>
    <w:rsid w:val="00457423"/>
    <w:rsid w:val="004574A0"/>
    <w:rsid w:val="004574B7"/>
    <w:rsid w:val="004574E4"/>
    <w:rsid w:val="004574F9"/>
    <w:rsid w:val="0045751A"/>
    <w:rsid w:val="00457543"/>
    <w:rsid w:val="004575C1"/>
    <w:rsid w:val="004575D8"/>
    <w:rsid w:val="0045767D"/>
    <w:rsid w:val="00457727"/>
    <w:rsid w:val="0045776C"/>
    <w:rsid w:val="00457812"/>
    <w:rsid w:val="004578B5"/>
    <w:rsid w:val="004578F9"/>
    <w:rsid w:val="00457923"/>
    <w:rsid w:val="00457A00"/>
    <w:rsid w:val="00457A2D"/>
    <w:rsid w:val="00457A40"/>
    <w:rsid w:val="00457B25"/>
    <w:rsid w:val="00457BCF"/>
    <w:rsid w:val="00457BD6"/>
    <w:rsid w:val="00457BF6"/>
    <w:rsid w:val="00457C81"/>
    <w:rsid w:val="00457CFF"/>
    <w:rsid w:val="00457E4A"/>
    <w:rsid w:val="00457F3D"/>
    <w:rsid w:val="00460018"/>
    <w:rsid w:val="00460029"/>
    <w:rsid w:val="00460066"/>
    <w:rsid w:val="0046007B"/>
    <w:rsid w:val="004600B1"/>
    <w:rsid w:val="004600E4"/>
    <w:rsid w:val="00460189"/>
    <w:rsid w:val="004601B0"/>
    <w:rsid w:val="004601F2"/>
    <w:rsid w:val="00460218"/>
    <w:rsid w:val="00460296"/>
    <w:rsid w:val="00460320"/>
    <w:rsid w:val="004604EE"/>
    <w:rsid w:val="00460588"/>
    <w:rsid w:val="004607B3"/>
    <w:rsid w:val="00460936"/>
    <w:rsid w:val="0046096D"/>
    <w:rsid w:val="00460AAA"/>
    <w:rsid w:val="00460AF7"/>
    <w:rsid w:val="00460BD7"/>
    <w:rsid w:val="00460C64"/>
    <w:rsid w:val="00460CBD"/>
    <w:rsid w:val="00460D1C"/>
    <w:rsid w:val="00460D64"/>
    <w:rsid w:val="00460D69"/>
    <w:rsid w:val="00460E5B"/>
    <w:rsid w:val="0046108A"/>
    <w:rsid w:val="004610FA"/>
    <w:rsid w:val="00461139"/>
    <w:rsid w:val="004611D3"/>
    <w:rsid w:val="004612E7"/>
    <w:rsid w:val="0046131B"/>
    <w:rsid w:val="0046132A"/>
    <w:rsid w:val="0046133B"/>
    <w:rsid w:val="00461489"/>
    <w:rsid w:val="0046159D"/>
    <w:rsid w:val="00461681"/>
    <w:rsid w:val="00461682"/>
    <w:rsid w:val="00461688"/>
    <w:rsid w:val="0046177B"/>
    <w:rsid w:val="0046186F"/>
    <w:rsid w:val="004618AB"/>
    <w:rsid w:val="0046194A"/>
    <w:rsid w:val="0046197A"/>
    <w:rsid w:val="004619B5"/>
    <w:rsid w:val="00461BF3"/>
    <w:rsid w:val="00461D95"/>
    <w:rsid w:val="00461E3D"/>
    <w:rsid w:val="00461F68"/>
    <w:rsid w:val="00461FFB"/>
    <w:rsid w:val="00462228"/>
    <w:rsid w:val="00462303"/>
    <w:rsid w:val="00462306"/>
    <w:rsid w:val="00462360"/>
    <w:rsid w:val="00462484"/>
    <w:rsid w:val="0046249B"/>
    <w:rsid w:val="00462782"/>
    <w:rsid w:val="00462965"/>
    <w:rsid w:val="00462A08"/>
    <w:rsid w:val="00462A0B"/>
    <w:rsid w:val="00462A26"/>
    <w:rsid w:val="00462CA9"/>
    <w:rsid w:val="00462CFB"/>
    <w:rsid w:val="00462DB4"/>
    <w:rsid w:val="00462DC4"/>
    <w:rsid w:val="00462E21"/>
    <w:rsid w:val="00462EAC"/>
    <w:rsid w:val="00462F78"/>
    <w:rsid w:val="00462FEA"/>
    <w:rsid w:val="0046301D"/>
    <w:rsid w:val="0046334F"/>
    <w:rsid w:val="00463490"/>
    <w:rsid w:val="004634C3"/>
    <w:rsid w:val="004634C6"/>
    <w:rsid w:val="00463514"/>
    <w:rsid w:val="0046352C"/>
    <w:rsid w:val="00463648"/>
    <w:rsid w:val="0046366C"/>
    <w:rsid w:val="00463771"/>
    <w:rsid w:val="004637FC"/>
    <w:rsid w:val="004639DC"/>
    <w:rsid w:val="00463AD9"/>
    <w:rsid w:val="00463BB9"/>
    <w:rsid w:val="00463C8D"/>
    <w:rsid w:val="00463CAD"/>
    <w:rsid w:val="00463DAA"/>
    <w:rsid w:val="00463E2B"/>
    <w:rsid w:val="00463F2A"/>
    <w:rsid w:val="00463F9F"/>
    <w:rsid w:val="00463FAB"/>
    <w:rsid w:val="0046424D"/>
    <w:rsid w:val="0046428E"/>
    <w:rsid w:val="00464371"/>
    <w:rsid w:val="00464373"/>
    <w:rsid w:val="004645D5"/>
    <w:rsid w:val="00464618"/>
    <w:rsid w:val="00464662"/>
    <w:rsid w:val="004646D3"/>
    <w:rsid w:val="00464759"/>
    <w:rsid w:val="00464788"/>
    <w:rsid w:val="0046479B"/>
    <w:rsid w:val="004647A5"/>
    <w:rsid w:val="004648B1"/>
    <w:rsid w:val="0046491C"/>
    <w:rsid w:val="00464921"/>
    <w:rsid w:val="00464A25"/>
    <w:rsid w:val="00464A33"/>
    <w:rsid w:val="00464A34"/>
    <w:rsid w:val="00464A64"/>
    <w:rsid w:val="00464A6C"/>
    <w:rsid w:val="00464C04"/>
    <w:rsid w:val="00464D0A"/>
    <w:rsid w:val="00464D87"/>
    <w:rsid w:val="00464E5D"/>
    <w:rsid w:val="00465054"/>
    <w:rsid w:val="00465073"/>
    <w:rsid w:val="0046508D"/>
    <w:rsid w:val="0046511A"/>
    <w:rsid w:val="004651B7"/>
    <w:rsid w:val="0046524D"/>
    <w:rsid w:val="004653DC"/>
    <w:rsid w:val="004653F9"/>
    <w:rsid w:val="00465460"/>
    <w:rsid w:val="004656D0"/>
    <w:rsid w:val="00465717"/>
    <w:rsid w:val="0046585D"/>
    <w:rsid w:val="0046588D"/>
    <w:rsid w:val="00465902"/>
    <w:rsid w:val="004659F4"/>
    <w:rsid w:val="00465A84"/>
    <w:rsid w:val="00465AC1"/>
    <w:rsid w:val="00465B7F"/>
    <w:rsid w:val="00465B8D"/>
    <w:rsid w:val="00465B98"/>
    <w:rsid w:val="00465D15"/>
    <w:rsid w:val="00465D99"/>
    <w:rsid w:val="00465F20"/>
    <w:rsid w:val="00465F65"/>
    <w:rsid w:val="00465F7E"/>
    <w:rsid w:val="00465F88"/>
    <w:rsid w:val="00465FEE"/>
    <w:rsid w:val="00466049"/>
    <w:rsid w:val="004660D6"/>
    <w:rsid w:val="00466132"/>
    <w:rsid w:val="0046614C"/>
    <w:rsid w:val="00466188"/>
    <w:rsid w:val="004661B9"/>
    <w:rsid w:val="00466251"/>
    <w:rsid w:val="00466292"/>
    <w:rsid w:val="004663B3"/>
    <w:rsid w:val="00466693"/>
    <w:rsid w:val="00466750"/>
    <w:rsid w:val="00466754"/>
    <w:rsid w:val="004667EC"/>
    <w:rsid w:val="0046689B"/>
    <w:rsid w:val="0046695E"/>
    <w:rsid w:val="004669C9"/>
    <w:rsid w:val="004669DF"/>
    <w:rsid w:val="00466AF0"/>
    <w:rsid w:val="00466B27"/>
    <w:rsid w:val="00466B28"/>
    <w:rsid w:val="00466BD2"/>
    <w:rsid w:val="00466CB8"/>
    <w:rsid w:val="00466CC4"/>
    <w:rsid w:val="00466D70"/>
    <w:rsid w:val="00466D84"/>
    <w:rsid w:val="00466E47"/>
    <w:rsid w:val="00466E59"/>
    <w:rsid w:val="00466E93"/>
    <w:rsid w:val="00466F2F"/>
    <w:rsid w:val="00466FED"/>
    <w:rsid w:val="0046700A"/>
    <w:rsid w:val="00467019"/>
    <w:rsid w:val="004670F2"/>
    <w:rsid w:val="004670FC"/>
    <w:rsid w:val="0046725D"/>
    <w:rsid w:val="004672FF"/>
    <w:rsid w:val="004674A3"/>
    <w:rsid w:val="004674CD"/>
    <w:rsid w:val="0046754C"/>
    <w:rsid w:val="00467552"/>
    <w:rsid w:val="00467728"/>
    <w:rsid w:val="0046772B"/>
    <w:rsid w:val="00467748"/>
    <w:rsid w:val="00467765"/>
    <w:rsid w:val="0046783F"/>
    <w:rsid w:val="00467913"/>
    <w:rsid w:val="004679FD"/>
    <w:rsid w:val="00467C8E"/>
    <w:rsid w:val="00467CFA"/>
    <w:rsid w:val="00467D4F"/>
    <w:rsid w:val="00467DE6"/>
    <w:rsid w:val="00467E4B"/>
    <w:rsid w:val="00470091"/>
    <w:rsid w:val="004700BA"/>
    <w:rsid w:val="00470163"/>
    <w:rsid w:val="00470372"/>
    <w:rsid w:val="0047040D"/>
    <w:rsid w:val="0047049B"/>
    <w:rsid w:val="0047055F"/>
    <w:rsid w:val="0047057B"/>
    <w:rsid w:val="0047061D"/>
    <w:rsid w:val="0047061F"/>
    <w:rsid w:val="0047062F"/>
    <w:rsid w:val="00470634"/>
    <w:rsid w:val="00470641"/>
    <w:rsid w:val="00470664"/>
    <w:rsid w:val="004706E2"/>
    <w:rsid w:val="0047076E"/>
    <w:rsid w:val="00470796"/>
    <w:rsid w:val="00470840"/>
    <w:rsid w:val="00470842"/>
    <w:rsid w:val="0047088F"/>
    <w:rsid w:val="004708C3"/>
    <w:rsid w:val="004709A6"/>
    <w:rsid w:val="004709BB"/>
    <w:rsid w:val="004709D7"/>
    <w:rsid w:val="00470A44"/>
    <w:rsid w:val="00470A57"/>
    <w:rsid w:val="00470AAC"/>
    <w:rsid w:val="00470ACF"/>
    <w:rsid w:val="00470CF9"/>
    <w:rsid w:val="00470D7C"/>
    <w:rsid w:val="00470DAC"/>
    <w:rsid w:val="00470E4D"/>
    <w:rsid w:val="00470F15"/>
    <w:rsid w:val="00470FB4"/>
    <w:rsid w:val="00470FE6"/>
    <w:rsid w:val="00471048"/>
    <w:rsid w:val="0047112C"/>
    <w:rsid w:val="0047125D"/>
    <w:rsid w:val="004712DA"/>
    <w:rsid w:val="004712DE"/>
    <w:rsid w:val="00471347"/>
    <w:rsid w:val="00471381"/>
    <w:rsid w:val="004714C1"/>
    <w:rsid w:val="004714C5"/>
    <w:rsid w:val="004715FF"/>
    <w:rsid w:val="004716CF"/>
    <w:rsid w:val="004717C8"/>
    <w:rsid w:val="00471848"/>
    <w:rsid w:val="0047188D"/>
    <w:rsid w:val="0047197B"/>
    <w:rsid w:val="004719AE"/>
    <w:rsid w:val="004719D3"/>
    <w:rsid w:val="00471A87"/>
    <w:rsid w:val="00471A93"/>
    <w:rsid w:val="00471B31"/>
    <w:rsid w:val="00471D6B"/>
    <w:rsid w:val="00471DA9"/>
    <w:rsid w:val="00471EF2"/>
    <w:rsid w:val="00471F2D"/>
    <w:rsid w:val="00471FB6"/>
    <w:rsid w:val="0047210C"/>
    <w:rsid w:val="00472138"/>
    <w:rsid w:val="004721A2"/>
    <w:rsid w:val="0047226D"/>
    <w:rsid w:val="0047244A"/>
    <w:rsid w:val="00472467"/>
    <w:rsid w:val="00472564"/>
    <w:rsid w:val="004726D9"/>
    <w:rsid w:val="00472798"/>
    <w:rsid w:val="004727BF"/>
    <w:rsid w:val="004727E1"/>
    <w:rsid w:val="00472801"/>
    <w:rsid w:val="00472843"/>
    <w:rsid w:val="0047291C"/>
    <w:rsid w:val="00472AE5"/>
    <w:rsid w:val="00472AFA"/>
    <w:rsid w:val="00472B57"/>
    <w:rsid w:val="00472B75"/>
    <w:rsid w:val="00472C5F"/>
    <w:rsid w:val="00472D86"/>
    <w:rsid w:val="00472DE6"/>
    <w:rsid w:val="00472E05"/>
    <w:rsid w:val="00472EB9"/>
    <w:rsid w:val="00472FAC"/>
    <w:rsid w:val="004730DB"/>
    <w:rsid w:val="00473268"/>
    <w:rsid w:val="004732E5"/>
    <w:rsid w:val="0047364A"/>
    <w:rsid w:val="0047366B"/>
    <w:rsid w:val="00473747"/>
    <w:rsid w:val="00473751"/>
    <w:rsid w:val="004737AB"/>
    <w:rsid w:val="004737EB"/>
    <w:rsid w:val="00473830"/>
    <w:rsid w:val="004739B1"/>
    <w:rsid w:val="004739BA"/>
    <w:rsid w:val="00473AE1"/>
    <w:rsid w:val="00473B23"/>
    <w:rsid w:val="00473B59"/>
    <w:rsid w:val="00473B85"/>
    <w:rsid w:val="00473C68"/>
    <w:rsid w:val="00473CCF"/>
    <w:rsid w:val="00473DF5"/>
    <w:rsid w:val="00473FA0"/>
    <w:rsid w:val="00473FD9"/>
    <w:rsid w:val="00474089"/>
    <w:rsid w:val="004740B1"/>
    <w:rsid w:val="0047423B"/>
    <w:rsid w:val="00474480"/>
    <w:rsid w:val="00474511"/>
    <w:rsid w:val="0047453C"/>
    <w:rsid w:val="004745D3"/>
    <w:rsid w:val="0047461E"/>
    <w:rsid w:val="0047469B"/>
    <w:rsid w:val="004746A5"/>
    <w:rsid w:val="00474801"/>
    <w:rsid w:val="0047481E"/>
    <w:rsid w:val="00474860"/>
    <w:rsid w:val="004749F4"/>
    <w:rsid w:val="004749F5"/>
    <w:rsid w:val="00474A26"/>
    <w:rsid w:val="00474AAC"/>
    <w:rsid w:val="00474ADE"/>
    <w:rsid w:val="00474C1D"/>
    <w:rsid w:val="00474C50"/>
    <w:rsid w:val="00474CEE"/>
    <w:rsid w:val="00474DBC"/>
    <w:rsid w:val="00474EF5"/>
    <w:rsid w:val="00475071"/>
    <w:rsid w:val="0047508E"/>
    <w:rsid w:val="004751AD"/>
    <w:rsid w:val="00475280"/>
    <w:rsid w:val="00475290"/>
    <w:rsid w:val="0047532B"/>
    <w:rsid w:val="004753C7"/>
    <w:rsid w:val="004753D2"/>
    <w:rsid w:val="004753DC"/>
    <w:rsid w:val="004753EC"/>
    <w:rsid w:val="004754B0"/>
    <w:rsid w:val="004754BA"/>
    <w:rsid w:val="004754CC"/>
    <w:rsid w:val="00475638"/>
    <w:rsid w:val="00475674"/>
    <w:rsid w:val="004758B3"/>
    <w:rsid w:val="00475AB0"/>
    <w:rsid w:val="00475ADB"/>
    <w:rsid w:val="00475B2A"/>
    <w:rsid w:val="00475B48"/>
    <w:rsid w:val="00475CE8"/>
    <w:rsid w:val="00475DB6"/>
    <w:rsid w:val="00475DBC"/>
    <w:rsid w:val="00475E9A"/>
    <w:rsid w:val="00475F9C"/>
    <w:rsid w:val="00475FAB"/>
    <w:rsid w:val="00475FDD"/>
    <w:rsid w:val="00476045"/>
    <w:rsid w:val="00476055"/>
    <w:rsid w:val="004760FB"/>
    <w:rsid w:val="00476237"/>
    <w:rsid w:val="00476262"/>
    <w:rsid w:val="00476297"/>
    <w:rsid w:val="00476370"/>
    <w:rsid w:val="0047640F"/>
    <w:rsid w:val="0047643F"/>
    <w:rsid w:val="0047644E"/>
    <w:rsid w:val="00476485"/>
    <w:rsid w:val="00476532"/>
    <w:rsid w:val="00476580"/>
    <w:rsid w:val="00476674"/>
    <w:rsid w:val="004766C9"/>
    <w:rsid w:val="00476789"/>
    <w:rsid w:val="004767EA"/>
    <w:rsid w:val="00476876"/>
    <w:rsid w:val="0047688F"/>
    <w:rsid w:val="004768B1"/>
    <w:rsid w:val="00476A48"/>
    <w:rsid w:val="00476A53"/>
    <w:rsid w:val="00476B0C"/>
    <w:rsid w:val="00476D0E"/>
    <w:rsid w:val="00476E31"/>
    <w:rsid w:val="004770EA"/>
    <w:rsid w:val="00477148"/>
    <w:rsid w:val="00477187"/>
    <w:rsid w:val="004771D0"/>
    <w:rsid w:val="004771DF"/>
    <w:rsid w:val="0047723A"/>
    <w:rsid w:val="00477262"/>
    <w:rsid w:val="0047728B"/>
    <w:rsid w:val="0047756B"/>
    <w:rsid w:val="00477626"/>
    <w:rsid w:val="00477674"/>
    <w:rsid w:val="0047771B"/>
    <w:rsid w:val="00477853"/>
    <w:rsid w:val="0047785C"/>
    <w:rsid w:val="004778B7"/>
    <w:rsid w:val="004778C2"/>
    <w:rsid w:val="00477997"/>
    <w:rsid w:val="004779D8"/>
    <w:rsid w:val="00477A41"/>
    <w:rsid w:val="00477AA4"/>
    <w:rsid w:val="00477AB8"/>
    <w:rsid w:val="00477B73"/>
    <w:rsid w:val="00477B92"/>
    <w:rsid w:val="00477C2D"/>
    <w:rsid w:val="00477C8D"/>
    <w:rsid w:val="00477D50"/>
    <w:rsid w:val="00477D8C"/>
    <w:rsid w:val="00477DAD"/>
    <w:rsid w:val="00477E07"/>
    <w:rsid w:val="00477E0F"/>
    <w:rsid w:val="00477EBA"/>
    <w:rsid w:val="00477F0B"/>
    <w:rsid w:val="00477F58"/>
    <w:rsid w:val="00480041"/>
    <w:rsid w:val="0048005C"/>
    <w:rsid w:val="00480102"/>
    <w:rsid w:val="00480155"/>
    <w:rsid w:val="004801DF"/>
    <w:rsid w:val="00480206"/>
    <w:rsid w:val="00480411"/>
    <w:rsid w:val="00480418"/>
    <w:rsid w:val="00480488"/>
    <w:rsid w:val="004804C1"/>
    <w:rsid w:val="0048056A"/>
    <w:rsid w:val="004806E7"/>
    <w:rsid w:val="004807BB"/>
    <w:rsid w:val="00480849"/>
    <w:rsid w:val="00480865"/>
    <w:rsid w:val="004808E6"/>
    <w:rsid w:val="004809DF"/>
    <w:rsid w:val="00480A4C"/>
    <w:rsid w:val="00480AD2"/>
    <w:rsid w:val="00480B3E"/>
    <w:rsid w:val="00480BE6"/>
    <w:rsid w:val="00480C1A"/>
    <w:rsid w:val="00480C8E"/>
    <w:rsid w:val="00480D3B"/>
    <w:rsid w:val="00480E47"/>
    <w:rsid w:val="00480E4D"/>
    <w:rsid w:val="004810D5"/>
    <w:rsid w:val="00481117"/>
    <w:rsid w:val="00481242"/>
    <w:rsid w:val="0048129F"/>
    <w:rsid w:val="004813DD"/>
    <w:rsid w:val="00481443"/>
    <w:rsid w:val="00481445"/>
    <w:rsid w:val="00481751"/>
    <w:rsid w:val="00481786"/>
    <w:rsid w:val="004817DA"/>
    <w:rsid w:val="00481886"/>
    <w:rsid w:val="00481981"/>
    <w:rsid w:val="004819F1"/>
    <w:rsid w:val="00481A21"/>
    <w:rsid w:val="00481B2B"/>
    <w:rsid w:val="00481C02"/>
    <w:rsid w:val="00481C7B"/>
    <w:rsid w:val="00481CDA"/>
    <w:rsid w:val="00481D46"/>
    <w:rsid w:val="00481DDD"/>
    <w:rsid w:val="0048212D"/>
    <w:rsid w:val="004821A6"/>
    <w:rsid w:val="0048221D"/>
    <w:rsid w:val="004823E0"/>
    <w:rsid w:val="004824CF"/>
    <w:rsid w:val="004824E0"/>
    <w:rsid w:val="004824EA"/>
    <w:rsid w:val="0048261A"/>
    <w:rsid w:val="004826CB"/>
    <w:rsid w:val="00482770"/>
    <w:rsid w:val="0048278A"/>
    <w:rsid w:val="00482842"/>
    <w:rsid w:val="00482872"/>
    <w:rsid w:val="0048295D"/>
    <w:rsid w:val="004829FF"/>
    <w:rsid w:val="00482A25"/>
    <w:rsid w:val="00482A7F"/>
    <w:rsid w:val="00482BC7"/>
    <w:rsid w:val="00482CE2"/>
    <w:rsid w:val="00482CFF"/>
    <w:rsid w:val="00482D75"/>
    <w:rsid w:val="00482E82"/>
    <w:rsid w:val="00482EC0"/>
    <w:rsid w:val="00482F25"/>
    <w:rsid w:val="00482F5D"/>
    <w:rsid w:val="00482FE4"/>
    <w:rsid w:val="00482FEE"/>
    <w:rsid w:val="00483023"/>
    <w:rsid w:val="0048304E"/>
    <w:rsid w:val="004830A4"/>
    <w:rsid w:val="004832E3"/>
    <w:rsid w:val="004832FC"/>
    <w:rsid w:val="004833B6"/>
    <w:rsid w:val="004834E9"/>
    <w:rsid w:val="00483596"/>
    <w:rsid w:val="00483678"/>
    <w:rsid w:val="004836CE"/>
    <w:rsid w:val="004837DD"/>
    <w:rsid w:val="00483912"/>
    <w:rsid w:val="0048392E"/>
    <w:rsid w:val="00483A1F"/>
    <w:rsid w:val="00483AB9"/>
    <w:rsid w:val="00483BDB"/>
    <w:rsid w:val="00483C23"/>
    <w:rsid w:val="00483C39"/>
    <w:rsid w:val="00483C88"/>
    <w:rsid w:val="00483CE4"/>
    <w:rsid w:val="00483D90"/>
    <w:rsid w:val="0048408B"/>
    <w:rsid w:val="004841B8"/>
    <w:rsid w:val="004842ED"/>
    <w:rsid w:val="004842FD"/>
    <w:rsid w:val="00484301"/>
    <w:rsid w:val="0048454A"/>
    <w:rsid w:val="004845B1"/>
    <w:rsid w:val="00484611"/>
    <w:rsid w:val="00484642"/>
    <w:rsid w:val="0048465C"/>
    <w:rsid w:val="0048472B"/>
    <w:rsid w:val="00484760"/>
    <w:rsid w:val="00484761"/>
    <w:rsid w:val="0048479F"/>
    <w:rsid w:val="00484847"/>
    <w:rsid w:val="004848EA"/>
    <w:rsid w:val="00484A6F"/>
    <w:rsid w:val="00484BF1"/>
    <w:rsid w:val="00484C70"/>
    <w:rsid w:val="00484C8E"/>
    <w:rsid w:val="00484E31"/>
    <w:rsid w:val="00484E9C"/>
    <w:rsid w:val="00484EBD"/>
    <w:rsid w:val="00484FE5"/>
    <w:rsid w:val="0048524E"/>
    <w:rsid w:val="0048525A"/>
    <w:rsid w:val="00485295"/>
    <w:rsid w:val="004852D9"/>
    <w:rsid w:val="004852EF"/>
    <w:rsid w:val="00485317"/>
    <w:rsid w:val="00485324"/>
    <w:rsid w:val="004853B8"/>
    <w:rsid w:val="004854F1"/>
    <w:rsid w:val="0048551E"/>
    <w:rsid w:val="0048558C"/>
    <w:rsid w:val="00485590"/>
    <w:rsid w:val="00485687"/>
    <w:rsid w:val="00485778"/>
    <w:rsid w:val="004857A5"/>
    <w:rsid w:val="00485A69"/>
    <w:rsid w:val="00485B76"/>
    <w:rsid w:val="00485B9E"/>
    <w:rsid w:val="00485BB8"/>
    <w:rsid w:val="00485C0A"/>
    <w:rsid w:val="00485CF2"/>
    <w:rsid w:val="00485DC0"/>
    <w:rsid w:val="00485DDA"/>
    <w:rsid w:val="00485E93"/>
    <w:rsid w:val="00485F8C"/>
    <w:rsid w:val="00486040"/>
    <w:rsid w:val="0048621D"/>
    <w:rsid w:val="0048635C"/>
    <w:rsid w:val="00486369"/>
    <w:rsid w:val="0048644B"/>
    <w:rsid w:val="00486481"/>
    <w:rsid w:val="004864D8"/>
    <w:rsid w:val="004864F5"/>
    <w:rsid w:val="0048653F"/>
    <w:rsid w:val="00486580"/>
    <w:rsid w:val="004865A6"/>
    <w:rsid w:val="004865E1"/>
    <w:rsid w:val="00486665"/>
    <w:rsid w:val="0048675B"/>
    <w:rsid w:val="0048681D"/>
    <w:rsid w:val="00486878"/>
    <w:rsid w:val="004869A2"/>
    <w:rsid w:val="00486A9E"/>
    <w:rsid w:val="00486C44"/>
    <w:rsid w:val="00486C5B"/>
    <w:rsid w:val="00486E05"/>
    <w:rsid w:val="00486E27"/>
    <w:rsid w:val="00486F02"/>
    <w:rsid w:val="00486F54"/>
    <w:rsid w:val="00486FB6"/>
    <w:rsid w:val="00487027"/>
    <w:rsid w:val="0048705F"/>
    <w:rsid w:val="004872B4"/>
    <w:rsid w:val="00487385"/>
    <w:rsid w:val="004874DF"/>
    <w:rsid w:val="004875CA"/>
    <w:rsid w:val="00487816"/>
    <w:rsid w:val="0048786D"/>
    <w:rsid w:val="004879D6"/>
    <w:rsid w:val="00487AAA"/>
    <w:rsid w:val="00487C34"/>
    <w:rsid w:val="00487C5C"/>
    <w:rsid w:val="00487D4D"/>
    <w:rsid w:val="00487E4B"/>
    <w:rsid w:val="00487F96"/>
    <w:rsid w:val="00487FBE"/>
    <w:rsid w:val="00490043"/>
    <w:rsid w:val="004901AF"/>
    <w:rsid w:val="004901BD"/>
    <w:rsid w:val="0049031A"/>
    <w:rsid w:val="00490329"/>
    <w:rsid w:val="00490368"/>
    <w:rsid w:val="004903FB"/>
    <w:rsid w:val="00490485"/>
    <w:rsid w:val="00490488"/>
    <w:rsid w:val="00490496"/>
    <w:rsid w:val="004904D4"/>
    <w:rsid w:val="00490610"/>
    <w:rsid w:val="004906B8"/>
    <w:rsid w:val="0049075B"/>
    <w:rsid w:val="004907A4"/>
    <w:rsid w:val="00490858"/>
    <w:rsid w:val="004908B6"/>
    <w:rsid w:val="004908DB"/>
    <w:rsid w:val="00490A59"/>
    <w:rsid w:val="00490ABC"/>
    <w:rsid w:val="00490B22"/>
    <w:rsid w:val="00490BDF"/>
    <w:rsid w:val="00490C5D"/>
    <w:rsid w:val="00490CDB"/>
    <w:rsid w:val="00490CEA"/>
    <w:rsid w:val="00490D26"/>
    <w:rsid w:val="00490D2A"/>
    <w:rsid w:val="00490D5F"/>
    <w:rsid w:val="00490E9F"/>
    <w:rsid w:val="00490F27"/>
    <w:rsid w:val="00490F33"/>
    <w:rsid w:val="00490F36"/>
    <w:rsid w:val="00490FAB"/>
    <w:rsid w:val="004911B8"/>
    <w:rsid w:val="004913FA"/>
    <w:rsid w:val="00491410"/>
    <w:rsid w:val="00491412"/>
    <w:rsid w:val="0049148D"/>
    <w:rsid w:val="004914B1"/>
    <w:rsid w:val="0049157C"/>
    <w:rsid w:val="00491614"/>
    <w:rsid w:val="00491743"/>
    <w:rsid w:val="0049182B"/>
    <w:rsid w:val="00491877"/>
    <w:rsid w:val="0049195E"/>
    <w:rsid w:val="00491966"/>
    <w:rsid w:val="00491A05"/>
    <w:rsid w:val="00491B46"/>
    <w:rsid w:val="00491C32"/>
    <w:rsid w:val="00491CA0"/>
    <w:rsid w:val="00491CA7"/>
    <w:rsid w:val="00491E2E"/>
    <w:rsid w:val="00491E9C"/>
    <w:rsid w:val="00491EBA"/>
    <w:rsid w:val="00491F64"/>
    <w:rsid w:val="00492040"/>
    <w:rsid w:val="00492182"/>
    <w:rsid w:val="004921CF"/>
    <w:rsid w:val="004923B7"/>
    <w:rsid w:val="004923EA"/>
    <w:rsid w:val="004923F8"/>
    <w:rsid w:val="0049240B"/>
    <w:rsid w:val="00492500"/>
    <w:rsid w:val="004925A1"/>
    <w:rsid w:val="004926A1"/>
    <w:rsid w:val="00492745"/>
    <w:rsid w:val="004927B8"/>
    <w:rsid w:val="0049281B"/>
    <w:rsid w:val="00492829"/>
    <w:rsid w:val="0049293E"/>
    <w:rsid w:val="00492968"/>
    <w:rsid w:val="0049299F"/>
    <w:rsid w:val="004929F2"/>
    <w:rsid w:val="00492A0D"/>
    <w:rsid w:val="00492ACD"/>
    <w:rsid w:val="00492B27"/>
    <w:rsid w:val="00492B54"/>
    <w:rsid w:val="00492B85"/>
    <w:rsid w:val="00492BCE"/>
    <w:rsid w:val="00492D57"/>
    <w:rsid w:val="00492DB5"/>
    <w:rsid w:val="00492DE9"/>
    <w:rsid w:val="00492EAE"/>
    <w:rsid w:val="00492F32"/>
    <w:rsid w:val="00492FC8"/>
    <w:rsid w:val="004930CA"/>
    <w:rsid w:val="00493227"/>
    <w:rsid w:val="004932B1"/>
    <w:rsid w:val="00493389"/>
    <w:rsid w:val="004933AF"/>
    <w:rsid w:val="004933B7"/>
    <w:rsid w:val="004933C2"/>
    <w:rsid w:val="00493436"/>
    <w:rsid w:val="004934E7"/>
    <w:rsid w:val="0049352E"/>
    <w:rsid w:val="004935B5"/>
    <w:rsid w:val="0049360C"/>
    <w:rsid w:val="0049377C"/>
    <w:rsid w:val="004938D0"/>
    <w:rsid w:val="0049398B"/>
    <w:rsid w:val="004939BA"/>
    <w:rsid w:val="00493A3C"/>
    <w:rsid w:val="00493D4D"/>
    <w:rsid w:val="00493DA3"/>
    <w:rsid w:val="00493DD0"/>
    <w:rsid w:val="00493DD1"/>
    <w:rsid w:val="00493E1F"/>
    <w:rsid w:val="00493F5D"/>
    <w:rsid w:val="00494083"/>
    <w:rsid w:val="0049417D"/>
    <w:rsid w:val="0049426A"/>
    <w:rsid w:val="00494274"/>
    <w:rsid w:val="00494386"/>
    <w:rsid w:val="00494496"/>
    <w:rsid w:val="0049455B"/>
    <w:rsid w:val="00494601"/>
    <w:rsid w:val="004946EB"/>
    <w:rsid w:val="004946EF"/>
    <w:rsid w:val="004946FF"/>
    <w:rsid w:val="00494860"/>
    <w:rsid w:val="00494896"/>
    <w:rsid w:val="00494A29"/>
    <w:rsid w:val="00494A3E"/>
    <w:rsid w:val="00494C8A"/>
    <w:rsid w:val="00494D0A"/>
    <w:rsid w:val="00494D24"/>
    <w:rsid w:val="00494E19"/>
    <w:rsid w:val="0049500A"/>
    <w:rsid w:val="00495032"/>
    <w:rsid w:val="004951EA"/>
    <w:rsid w:val="004952B9"/>
    <w:rsid w:val="0049533A"/>
    <w:rsid w:val="004954E5"/>
    <w:rsid w:val="0049556B"/>
    <w:rsid w:val="0049567D"/>
    <w:rsid w:val="00495894"/>
    <w:rsid w:val="004958A5"/>
    <w:rsid w:val="0049594E"/>
    <w:rsid w:val="00495A6D"/>
    <w:rsid w:val="00495B90"/>
    <w:rsid w:val="00495C12"/>
    <w:rsid w:val="00495CAD"/>
    <w:rsid w:val="00495E49"/>
    <w:rsid w:val="00495F4F"/>
    <w:rsid w:val="0049606E"/>
    <w:rsid w:val="004961B4"/>
    <w:rsid w:val="00496251"/>
    <w:rsid w:val="004962B0"/>
    <w:rsid w:val="004962C9"/>
    <w:rsid w:val="00496343"/>
    <w:rsid w:val="004964F1"/>
    <w:rsid w:val="00496526"/>
    <w:rsid w:val="00496560"/>
    <w:rsid w:val="00496581"/>
    <w:rsid w:val="004965FC"/>
    <w:rsid w:val="00496610"/>
    <w:rsid w:val="00496642"/>
    <w:rsid w:val="004966D9"/>
    <w:rsid w:val="00496721"/>
    <w:rsid w:val="004967F4"/>
    <w:rsid w:val="0049684A"/>
    <w:rsid w:val="0049698C"/>
    <w:rsid w:val="004969C1"/>
    <w:rsid w:val="004969CA"/>
    <w:rsid w:val="00496A19"/>
    <w:rsid w:val="00496B14"/>
    <w:rsid w:val="00496C0C"/>
    <w:rsid w:val="00496C20"/>
    <w:rsid w:val="00496C58"/>
    <w:rsid w:val="00496C77"/>
    <w:rsid w:val="00496D7B"/>
    <w:rsid w:val="00496DB3"/>
    <w:rsid w:val="00496DBC"/>
    <w:rsid w:val="00496DDF"/>
    <w:rsid w:val="00496E51"/>
    <w:rsid w:val="00496F77"/>
    <w:rsid w:val="004970ED"/>
    <w:rsid w:val="00497167"/>
    <w:rsid w:val="0049729C"/>
    <w:rsid w:val="004973AC"/>
    <w:rsid w:val="004974C9"/>
    <w:rsid w:val="0049752B"/>
    <w:rsid w:val="00497564"/>
    <w:rsid w:val="00497687"/>
    <w:rsid w:val="004978C9"/>
    <w:rsid w:val="00497930"/>
    <w:rsid w:val="00497A15"/>
    <w:rsid w:val="00497B07"/>
    <w:rsid w:val="00497B96"/>
    <w:rsid w:val="00497CBF"/>
    <w:rsid w:val="00497D22"/>
    <w:rsid w:val="00497D70"/>
    <w:rsid w:val="00497D80"/>
    <w:rsid w:val="00497EC8"/>
    <w:rsid w:val="00497F4E"/>
    <w:rsid w:val="004A000F"/>
    <w:rsid w:val="004A0085"/>
    <w:rsid w:val="004A00AF"/>
    <w:rsid w:val="004A01C8"/>
    <w:rsid w:val="004A025F"/>
    <w:rsid w:val="004A040A"/>
    <w:rsid w:val="004A0433"/>
    <w:rsid w:val="004A05DB"/>
    <w:rsid w:val="004A067C"/>
    <w:rsid w:val="004A073F"/>
    <w:rsid w:val="004A07D9"/>
    <w:rsid w:val="004A07EF"/>
    <w:rsid w:val="004A08A7"/>
    <w:rsid w:val="004A0909"/>
    <w:rsid w:val="004A0AB1"/>
    <w:rsid w:val="004A0BF0"/>
    <w:rsid w:val="004A0CC8"/>
    <w:rsid w:val="004A0D5E"/>
    <w:rsid w:val="004A0DB6"/>
    <w:rsid w:val="004A0E55"/>
    <w:rsid w:val="004A0F09"/>
    <w:rsid w:val="004A1086"/>
    <w:rsid w:val="004A1092"/>
    <w:rsid w:val="004A109D"/>
    <w:rsid w:val="004A10E6"/>
    <w:rsid w:val="004A1188"/>
    <w:rsid w:val="004A11B5"/>
    <w:rsid w:val="004A1205"/>
    <w:rsid w:val="004A1353"/>
    <w:rsid w:val="004A13C8"/>
    <w:rsid w:val="004A144D"/>
    <w:rsid w:val="004A1535"/>
    <w:rsid w:val="004A1620"/>
    <w:rsid w:val="004A1713"/>
    <w:rsid w:val="004A1802"/>
    <w:rsid w:val="004A1816"/>
    <w:rsid w:val="004A190A"/>
    <w:rsid w:val="004A19C0"/>
    <w:rsid w:val="004A19DB"/>
    <w:rsid w:val="004A1A77"/>
    <w:rsid w:val="004A1B5C"/>
    <w:rsid w:val="004A1D2C"/>
    <w:rsid w:val="004A1D6F"/>
    <w:rsid w:val="004A1D8E"/>
    <w:rsid w:val="004A1D95"/>
    <w:rsid w:val="004A1E84"/>
    <w:rsid w:val="004A1FC1"/>
    <w:rsid w:val="004A1FDF"/>
    <w:rsid w:val="004A1FF9"/>
    <w:rsid w:val="004A209D"/>
    <w:rsid w:val="004A2119"/>
    <w:rsid w:val="004A2189"/>
    <w:rsid w:val="004A21BE"/>
    <w:rsid w:val="004A221B"/>
    <w:rsid w:val="004A2226"/>
    <w:rsid w:val="004A228D"/>
    <w:rsid w:val="004A232B"/>
    <w:rsid w:val="004A23EF"/>
    <w:rsid w:val="004A243F"/>
    <w:rsid w:val="004A2474"/>
    <w:rsid w:val="004A249E"/>
    <w:rsid w:val="004A2511"/>
    <w:rsid w:val="004A254E"/>
    <w:rsid w:val="004A25C5"/>
    <w:rsid w:val="004A26DB"/>
    <w:rsid w:val="004A26E8"/>
    <w:rsid w:val="004A2720"/>
    <w:rsid w:val="004A2835"/>
    <w:rsid w:val="004A29A7"/>
    <w:rsid w:val="004A29A9"/>
    <w:rsid w:val="004A29D3"/>
    <w:rsid w:val="004A2ABD"/>
    <w:rsid w:val="004A2B46"/>
    <w:rsid w:val="004A2B6A"/>
    <w:rsid w:val="004A2C87"/>
    <w:rsid w:val="004A2CCE"/>
    <w:rsid w:val="004A2E24"/>
    <w:rsid w:val="004A2F10"/>
    <w:rsid w:val="004A2F4B"/>
    <w:rsid w:val="004A303D"/>
    <w:rsid w:val="004A3295"/>
    <w:rsid w:val="004A3341"/>
    <w:rsid w:val="004A334E"/>
    <w:rsid w:val="004A33F4"/>
    <w:rsid w:val="004A3499"/>
    <w:rsid w:val="004A34D0"/>
    <w:rsid w:val="004A3644"/>
    <w:rsid w:val="004A36A4"/>
    <w:rsid w:val="004A3707"/>
    <w:rsid w:val="004A379D"/>
    <w:rsid w:val="004A37F3"/>
    <w:rsid w:val="004A3995"/>
    <w:rsid w:val="004A3A9A"/>
    <w:rsid w:val="004A3BFA"/>
    <w:rsid w:val="004A3C9A"/>
    <w:rsid w:val="004A3D0E"/>
    <w:rsid w:val="004A3D59"/>
    <w:rsid w:val="004A3D66"/>
    <w:rsid w:val="004A3E59"/>
    <w:rsid w:val="004A3EF5"/>
    <w:rsid w:val="004A3F2E"/>
    <w:rsid w:val="004A3FA1"/>
    <w:rsid w:val="004A3FB4"/>
    <w:rsid w:val="004A40C3"/>
    <w:rsid w:val="004A40E5"/>
    <w:rsid w:val="004A420C"/>
    <w:rsid w:val="004A4332"/>
    <w:rsid w:val="004A4395"/>
    <w:rsid w:val="004A440B"/>
    <w:rsid w:val="004A446C"/>
    <w:rsid w:val="004A45E5"/>
    <w:rsid w:val="004A4639"/>
    <w:rsid w:val="004A4741"/>
    <w:rsid w:val="004A47EF"/>
    <w:rsid w:val="004A4823"/>
    <w:rsid w:val="004A4A49"/>
    <w:rsid w:val="004A4A54"/>
    <w:rsid w:val="004A4A5E"/>
    <w:rsid w:val="004A4D9A"/>
    <w:rsid w:val="004A4DBF"/>
    <w:rsid w:val="004A4E0B"/>
    <w:rsid w:val="004A4E32"/>
    <w:rsid w:val="004A4F87"/>
    <w:rsid w:val="004A5027"/>
    <w:rsid w:val="004A5090"/>
    <w:rsid w:val="004A50A0"/>
    <w:rsid w:val="004A50A7"/>
    <w:rsid w:val="004A512E"/>
    <w:rsid w:val="004A516B"/>
    <w:rsid w:val="004A517E"/>
    <w:rsid w:val="004A51CB"/>
    <w:rsid w:val="004A525F"/>
    <w:rsid w:val="004A52B8"/>
    <w:rsid w:val="004A52FD"/>
    <w:rsid w:val="004A530C"/>
    <w:rsid w:val="004A533B"/>
    <w:rsid w:val="004A5340"/>
    <w:rsid w:val="004A53B2"/>
    <w:rsid w:val="004A53CC"/>
    <w:rsid w:val="004A543E"/>
    <w:rsid w:val="004A5493"/>
    <w:rsid w:val="004A5513"/>
    <w:rsid w:val="004A55E7"/>
    <w:rsid w:val="004A5630"/>
    <w:rsid w:val="004A563B"/>
    <w:rsid w:val="004A5665"/>
    <w:rsid w:val="004A57CA"/>
    <w:rsid w:val="004A57E2"/>
    <w:rsid w:val="004A5823"/>
    <w:rsid w:val="004A5894"/>
    <w:rsid w:val="004A5973"/>
    <w:rsid w:val="004A5A81"/>
    <w:rsid w:val="004A5C6D"/>
    <w:rsid w:val="004A5CDD"/>
    <w:rsid w:val="004A5DAC"/>
    <w:rsid w:val="004A5E6D"/>
    <w:rsid w:val="004A5E77"/>
    <w:rsid w:val="004A5F4F"/>
    <w:rsid w:val="004A5F68"/>
    <w:rsid w:val="004A5FB7"/>
    <w:rsid w:val="004A6078"/>
    <w:rsid w:val="004A6116"/>
    <w:rsid w:val="004A6172"/>
    <w:rsid w:val="004A61D7"/>
    <w:rsid w:val="004A61FA"/>
    <w:rsid w:val="004A62E3"/>
    <w:rsid w:val="004A6316"/>
    <w:rsid w:val="004A633B"/>
    <w:rsid w:val="004A6598"/>
    <w:rsid w:val="004A6615"/>
    <w:rsid w:val="004A6680"/>
    <w:rsid w:val="004A68C0"/>
    <w:rsid w:val="004A6984"/>
    <w:rsid w:val="004A6C0B"/>
    <w:rsid w:val="004A6CA6"/>
    <w:rsid w:val="004A6D10"/>
    <w:rsid w:val="004A6D46"/>
    <w:rsid w:val="004A6D8B"/>
    <w:rsid w:val="004A6DF8"/>
    <w:rsid w:val="004A6F76"/>
    <w:rsid w:val="004A6FB9"/>
    <w:rsid w:val="004A7049"/>
    <w:rsid w:val="004A7274"/>
    <w:rsid w:val="004A727E"/>
    <w:rsid w:val="004A732F"/>
    <w:rsid w:val="004A740C"/>
    <w:rsid w:val="004A7520"/>
    <w:rsid w:val="004A757F"/>
    <w:rsid w:val="004A7641"/>
    <w:rsid w:val="004A7682"/>
    <w:rsid w:val="004A76A0"/>
    <w:rsid w:val="004A77D0"/>
    <w:rsid w:val="004A77F3"/>
    <w:rsid w:val="004A77FA"/>
    <w:rsid w:val="004A7A36"/>
    <w:rsid w:val="004A7A4D"/>
    <w:rsid w:val="004A7AC8"/>
    <w:rsid w:val="004A7B5B"/>
    <w:rsid w:val="004A7BB1"/>
    <w:rsid w:val="004A7BE6"/>
    <w:rsid w:val="004A7C9C"/>
    <w:rsid w:val="004A7D48"/>
    <w:rsid w:val="004A7E00"/>
    <w:rsid w:val="004A7E43"/>
    <w:rsid w:val="004A7E60"/>
    <w:rsid w:val="004A7E97"/>
    <w:rsid w:val="004A7EFB"/>
    <w:rsid w:val="004B00CF"/>
    <w:rsid w:val="004B00EF"/>
    <w:rsid w:val="004B0113"/>
    <w:rsid w:val="004B0161"/>
    <w:rsid w:val="004B01D0"/>
    <w:rsid w:val="004B02E1"/>
    <w:rsid w:val="004B03F4"/>
    <w:rsid w:val="004B0448"/>
    <w:rsid w:val="004B0540"/>
    <w:rsid w:val="004B0648"/>
    <w:rsid w:val="004B077D"/>
    <w:rsid w:val="004B080D"/>
    <w:rsid w:val="004B08A4"/>
    <w:rsid w:val="004B08E8"/>
    <w:rsid w:val="004B0989"/>
    <w:rsid w:val="004B099B"/>
    <w:rsid w:val="004B09C5"/>
    <w:rsid w:val="004B0A4F"/>
    <w:rsid w:val="004B0AF4"/>
    <w:rsid w:val="004B0C9C"/>
    <w:rsid w:val="004B0D32"/>
    <w:rsid w:val="004B0DBD"/>
    <w:rsid w:val="004B0DF4"/>
    <w:rsid w:val="004B0E83"/>
    <w:rsid w:val="004B0E91"/>
    <w:rsid w:val="004B129E"/>
    <w:rsid w:val="004B12DA"/>
    <w:rsid w:val="004B1330"/>
    <w:rsid w:val="004B13B1"/>
    <w:rsid w:val="004B13D5"/>
    <w:rsid w:val="004B1666"/>
    <w:rsid w:val="004B17F4"/>
    <w:rsid w:val="004B17FC"/>
    <w:rsid w:val="004B1852"/>
    <w:rsid w:val="004B185D"/>
    <w:rsid w:val="004B195D"/>
    <w:rsid w:val="004B1A36"/>
    <w:rsid w:val="004B1A5C"/>
    <w:rsid w:val="004B1B0F"/>
    <w:rsid w:val="004B1B68"/>
    <w:rsid w:val="004B1BF0"/>
    <w:rsid w:val="004B1C97"/>
    <w:rsid w:val="004B1CCE"/>
    <w:rsid w:val="004B1F09"/>
    <w:rsid w:val="004B1FA3"/>
    <w:rsid w:val="004B205C"/>
    <w:rsid w:val="004B20CC"/>
    <w:rsid w:val="004B21BE"/>
    <w:rsid w:val="004B2228"/>
    <w:rsid w:val="004B223D"/>
    <w:rsid w:val="004B23B6"/>
    <w:rsid w:val="004B241C"/>
    <w:rsid w:val="004B2461"/>
    <w:rsid w:val="004B25B8"/>
    <w:rsid w:val="004B25E8"/>
    <w:rsid w:val="004B2720"/>
    <w:rsid w:val="004B27BE"/>
    <w:rsid w:val="004B292A"/>
    <w:rsid w:val="004B2A2E"/>
    <w:rsid w:val="004B2A5C"/>
    <w:rsid w:val="004B2AD3"/>
    <w:rsid w:val="004B2B34"/>
    <w:rsid w:val="004B2B7D"/>
    <w:rsid w:val="004B2DFA"/>
    <w:rsid w:val="004B2E71"/>
    <w:rsid w:val="004B2E7F"/>
    <w:rsid w:val="004B2F95"/>
    <w:rsid w:val="004B3028"/>
    <w:rsid w:val="004B313A"/>
    <w:rsid w:val="004B31E4"/>
    <w:rsid w:val="004B323A"/>
    <w:rsid w:val="004B327A"/>
    <w:rsid w:val="004B3280"/>
    <w:rsid w:val="004B3371"/>
    <w:rsid w:val="004B3377"/>
    <w:rsid w:val="004B33A1"/>
    <w:rsid w:val="004B3421"/>
    <w:rsid w:val="004B3519"/>
    <w:rsid w:val="004B3680"/>
    <w:rsid w:val="004B36BB"/>
    <w:rsid w:val="004B37ED"/>
    <w:rsid w:val="004B381E"/>
    <w:rsid w:val="004B383C"/>
    <w:rsid w:val="004B39DB"/>
    <w:rsid w:val="004B3A0A"/>
    <w:rsid w:val="004B3A24"/>
    <w:rsid w:val="004B3B6E"/>
    <w:rsid w:val="004B3B7C"/>
    <w:rsid w:val="004B3E0B"/>
    <w:rsid w:val="004B3E85"/>
    <w:rsid w:val="004B4086"/>
    <w:rsid w:val="004B4149"/>
    <w:rsid w:val="004B419B"/>
    <w:rsid w:val="004B432A"/>
    <w:rsid w:val="004B4468"/>
    <w:rsid w:val="004B44BB"/>
    <w:rsid w:val="004B44E2"/>
    <w:rsid w:val="004B4531"/>
    <w:rsid w:val="004B4551"/>
    <w:rsid w:val="004B45F2"/>
    <w:rsid w:val="004B4672"/>
    <w:rsid w:val="004B4699"/>
    <w:rsid w:val="004B46EB"/>
    <w:rsid w:val="004B4834"/>
    <w:rsid w:val="004B4871"/>
    <w:rsid w:val="004B48C6"/>
    <w:rsid w:val="004B4935"/>
    <w:rsid w:val="004B49A8"/>
    <w:rsid w:val="004B49F1"/>
    <w:rsid w:val="004B4A48"/>
    <w:rsid w:val="004B4A83"/>
    <w:rsid w:val="004B4ABB"/>
    <w:rsid w:val="004B4AE4"/>
    <w:rsid w:val="004B4AE6"/>
    <w:rsid w:val="004B4AF8"/>
    <w:rsid w:val="004B4B0F"/>
    <w:rsid w:val="004B4B75"/>
    <w:rsid w:val="004B4B7A"/>
    <w:rsid w:val="004B4BD3"/>
    <w:rsid w:val="004B4BDA"/>
    <w:rsid w:val="004B4C9E"/>
    <w:rsid w:val="004B4CEC"/>
    <w:rsid w:val="004B4DA7"/>
    <w:rsid w:val="004B501A"/>
    <w:rsid w:val="004B507B"/>
    <w:rsid w:val="004B521F"/>
    <w:rsid w:val="004B526B"/>
    <w:rsid w:val="004B52AA"/>
    <w:rsid w:val="004B52D3"/>
    <w:rsid w:val="004B5333"/>
    <w:rsid w:val="004B5398"/>
    <w:rsid w:val="004B53D4"/>
    <w:rsid w:val="004B5478"/>
    <w:rsid w:val="004B54E9"/>
    <w:rsid w:val="004B56A8"/>
    <w:rsid w:val="004B5785"/>
    <w:rsid w:val="004B58AB"/>
    <w:rsid w:val="004B58FF"/>
    <w:rsid w:val="004B5973"/>
    <w:rsid w:val="004B59B8"/>
    <w:rsid w:val="004B59C4"/>
    <w:rsid w:val="004B59FF"/>
    <w:rsid w:val="004B5A27"/>
    <w:rsid w:val="004B5A6F"/>
    <w:rsid w:val="004B5AB5"/>
    <w:rsid w:val="004B5ACE"/>
    <w:rsid w:val="004B5B4B"/>
    <w:rsid w:val="004B5C1E"/>
    <w:rsid w:val="004B5C58"/>
    <w:rsid w:val="004B5D12"/>
    <w:rsid w:val="004B5D47"/>
    <w:rsid w:val="004B5F4B"/>
    <w:rsid w:val="004B5F72"/>
    <w:rsid w:val="004B613E"/>
    <w:rsid w:val="004B615D"/>
    <w:rsid w:val="004B6272"/>
    <w:rsid w:val="004B6398"/>
    <w:rsid w:val="004B6426"/>
    <w:rsid w:val="004B64A8"/>
    <w:rsid w:val="004B6505"/>
    <w:rsid w:val="004B6639"/>
    <w:rsid w:val="004B6758"/>
    <w:rsid w:val="004B67FB"/>
    <w:rsid w:val="004B67FE"/>
    <w:rsid w:val="004B6871"/>
    <w:rsid w:val="004B6AB6"/>
    <w:rsid w:val="004B6AC7"/>
    <w:rsid w:val="004B6AEB"/>
    <w:rsid w:val="004B6B01"/>
    <w:rsid w:val="004B6B4E"/>
    <w:rsid w:val="004B6C3E"/>
    <w:rsid w:val="004B6CA2"/>
    <w:rsid w:val="004B6D2F"/>
    <w:rsid w:val="004B6D72"/>
    <w:rsid w:val="004B6D7D"/>
    <w:rsid w:val="004B6DEC"/>
    <w:rsid w:val="004B6E2D"/>
    <w:rsid w:val="004B6EB4"/>
    <w:rsid w:val="004B6F46"/>
    <w:rsid w:val="004B710E"/>
    <w:rsid w:val="004B7138"/>
    <w:rsid w:val="004B71BB"/>
    <w:rsid w:val="004B729A"/>
    <w:rsid w:val="004B72CB"/>
    <w:rsid w:val="004B73A3"/>
    <w:rsid w:val="004B74AC"/>
    <w:rsid w:val="004B7559"/>
    <w:rsid w:val="004B75BE"/>
    <w:rsid w:val="004B76C8"/>
    <w:rsid w:val="004B773A"/>
    <w:rsid w:val="004B77EC"/>
    <w:rsid w:val="004B79CF"/>
    <w:rsid w:val="004B7BA7"/>
    <w:rsid w:val="004B7BE6"/>
    <w:rsid w:val="004B7C2E"/>
    <w:rsid w:val="004B7C2F"/>
    <w:rsid w:val="004B7C71"/>
    <w:rsid w:val="004B7DCC"/>
    <w:rsid w:val="004B7E3D"/>
    <w:rsid w:val="004C0030"/>
    <w:rsid w:val="004C0091"/>
    <w:rsid w:val="004C00B3"/>
    <w:rsid w:val="004C00B8"/>
    <w:rsid w:val="004C00E6"/>
    <w:rsid w:val="004C013D"/>
    <w:rsid w:val="004C014B"/>
    <w:rsid w:val="004C0186"/>
    <w:rsid w:val="004C0200"/>
    <w:rsid w:val="004C02F1"/>
    <w:rsid w:val="004C0395"/>
    <w:rsid w:val="004C03E4"/>
    <w:rsid w:val="004C0414"/>
    <w:rsid w:val="004C041D"/>
    <w:rsid w:val="004C049E"/>
    <w:rsid w:val="004C04C9"/>
    <w:rsid w:val="004C04DD"/>
    <w:rsid w:val="004C0550"/>
    <w:rsid w:val="004C05A4"/>
    <w:rsid w:val="004C0647"/>
    <w:rsid w:val="004C06A2"/>
    <w:rsid w:val="004C07E2"/>
    <w:rsid w:val="004C0814"/>
    <w:rsid w:val="004C0879"/>
    <w:rsid w:val="004C088A"/>
    <w:rsid w:val="004C0982"/>
    <w:rsid w:val="004C09C4"/>
    <w:rsid w:val="004C0A85"/>
    <w:rsid w:val="004C0AA7"/>
    <w:rsid w:val="004C0B7B"/>
    <w:rsid w:val="004C0C28"/>
    <w:rsid w:val="004C0C65"/>
    <w:rsid w:val="004C0C87"/>
    <w:rsid w:val="004C0D6B"/>
    <w:rsid w:val="004C0ECF"/>
    <w:rsid w:val="004C0F19"/>
    <w:rsid w:val="004C0F26"/>
    <w:rsid w:val="004C0F2E"/>
    <w:rsid w:val="004C1061"/>
    <w:rsid w:val="004C1070"/>
    <w:rsid w:val="004C1156"/>
    <w:rsid w:val="004C1238"/>
    <w:rsid w:val="004C1367"/>
    <w:rsid w:val="004C137A"/>
    <w:rsid w:val="004C1395"/>
    <w:rsid w:val="004C13C4"/>
    <w:rsid w:val="004C1412"/>
    <w:rsid w:val="004C1481"/>
    <w:rsid w:val="004C14D6"/>
    <w:rsid w:val="004C14EC"/>
    <w:rsid w:val="004C14F0"/>
    <w:rsid w:val="004C1544"/>
    <w:rsid w:val="004C1690"/>
    <w:rsid w:val="004C16C1"/>
    <w:rsid w:val="004C187C"/>
    <w:rsid w:val="004C19BF"/>
    <w:rsid w:val="004C1AD0"/>
    <w:rsid w:val="004C1B54"/>
    <w:rsid w:val="004C1C0E"/>
    <w:rsid w:val="004C1E49"/>
    <w:rsid w:val="004C1E9D"/>
    <w:rsid w:val="004C1ECD"/>
    <w:rsid w:val="004C2013"/>
    <w:rsid w:val="004C2026"/>
    <w:rsid w:val="004C20C1"/>
    <w:rsid w:val="004C2148"/>
    <w:rsid w:val="004C216C"/>
    <w:rsid w:val="004C2194"/>
    <w:rsid w:val="004C219D"/>
    <w:rsid w:val="004C2417"/>
    <w:rsid w:val="004C2437"/>
    <w:rsid w:val="004C2605"/>
    <w:rsid w:val="004C277A"/>
    <w:rsid w:val="004C27EC"/>
    <w:rsid w:val="004C2919"/>
    <w:rsid w:val="004C2A82"/>
    <w:rsid w:val="004C2B98"/>
    <w:rsid w:val="004C2BAA"/>
    <w:rsid w:val="004C2D02"/>
    <w:rsid w:val="004C2D47"/>
    <w:rsid w:val="004C2E11"/>
    <w:rsid w:val="004C2FB7"/>
    <w:rsid w:val="004C3036"/>
    <w:rsid w:val="004C30BF"/>
    <w:rsid w:val="004C32A0"/>
    <w:rsid w:val="004C32A4"/>
    <w:rsid w:val="004C338F"/>
    <w:rsid w:val="004C33C7"/>
    <w:rsid w:val="004C33F6"/>
    <w:rsid w:val="004C345F"/>
    <w:rsid w:val="004C34DE"/>
    <w:rsid w:val="004C351E"/>
    <w:rsid w:val="004C3532"/>
    <w:rsid w:val="004C35AE"/>
    <w:rsid w:val="004C35B5"/>
    <w:rsid w:val="004C361A"/>
    <w:rsid w:val="004C3716"/>
    <w:rsid w:val="004C3737"/>
    <w:rsid w:val="004C3782"/>
    <w:rsid w:val="004C3796"/>
    <w:rsid w:val="004C38AE"/>
    <w:rsid w:val="004C38D5"/>
    <w:rsid w:val="004C38D8"/>
    <w:rsid w:val="004C39CC"/>
    <w:rsid w:val="004C3C3F"/>
    <w:rsid w:val="004C3CE2"/>
    <w:rsid w:val="004C3D24"/>
    <w:rsid w:val="004C3DD9"/>
    <w:rsid w:val="004C3E1A"/>
    <w:rsid w:val="004C3EEC"/>
    <w:rsid w:val="004C3F0C"/>
    <w:rsid w:val="004C3F21"/>
    <w:rsid w:val="004C4051"/>
    <w:rsid w:val="004C40A8"/>
    <w:rsid w:val="004C412D"/>
    <w:rsid w:val="004C4158"/>
    <w:rsid w:val="004C4234"/>
    <w:rsid w:val="004C4273"/>
    <w:rsid w:val="004C4287"/>
    <w:rsid w:val="004C42CE"/>
    <w:rsid w:val="004C433D"/>
    <w:rsid w:val="004C436B"/>
    <w:rsid w:val="004C4416"/>
    <w:rsid w:val="004C44F3"/>
    <w:rsid w:val="004C45A6"/>
    <w:rsid w:val="004C45EC"/>
    <w:rsid w:val="004C460C"/>
    <w:rsid w:val="004C4686"/>
    <w:rsid w:val="004C4915"/>
    <w:rsid w:val="004C4963"/>
    <w:rsid w:val="004C4A00"/>
    <w:rsid w:val="004C4A47"/>
    <w:rsid w:val="004C4A60"/>
    <w:rsid w:val="004C4D6D"/>
    <w:rsid w:val="004C4E34"/>
    <w:rsid w:val="004C4E37"/>
    <w:rsid w:val="004C4F9C"/>
    <w:rsid w:val="004C51AF"/>
    <w:rsid w:val="004C51E7"/>
    <w:rsid w:val="004C52C4"/>
    <w:rsid w:val="004C53BE"/>
    <w:rsid w:val="004C5533"/>
    <w:rsid w:val="004C554F"/>
    <w:rsid w:val="004C56C4"/>
    <w:rsid w:val="004C57C4"/>
    <w:rsid w:val="004C5827"/>
    <w:rsid w:val="004C5A38"/>
    <w:rsid w:val="004C5B16"/>
    <w:rsid w:val="004C5B91"/>
    <w:rsid w:val="004C5C69"/>
    <w:rsid w:val="004C5CB7"/>
    <w:rsid w:val="004C5E24"/>
    <w:rsid w:val="004C605E"/>
    <w:rsid w:val="004C60F9"/>
    <w:rsid w:val="004C6239"/>
    <w:rsid w:val="004C63EB"/>
    <w:rsid w:val="004C63EC"/>
    <w:rsid w:val="004C645E"/>
    <w:rsid w:val="004C6563"/>
    <w:rsid w:val="004C65A4"/>
    <w:rsid w:val="004C6679"/>
    <w:rsid w:val="004C667F"/>
    <w:rsid w:val="004C66B4"/>
    <w:rsid w:val="004C66EC"/>
    <w:rsid w:val="004C6720"/>
    <w:rsid w:val="004C67AE"/>
    <w:rsid w:val="004C6843"/>
    <w:rsid w:val="004C68B1"/>
    <w:rsid w:val="004C68D8"/>
    <w:rsid w:val="004C68E9"/>
    <w:rsid w:val="004C6910"/>
    <w:rsid w:val="004C69E7"/>
    <w:rsid w:val="004C6AD0"/>
    <w:rsid w:val="004C6B0F"/>
    <w:rsid w:val="004C6B25"/>
    <w:rsid w:val="004C6B95"/>
    <w:rsid w:val="004C6B9C"/>
    <w:rsid w:val="004C6BD6"/>
    <w:rsid w:val="004C6C52"/>
    <w:rsid w:val="004C6D02"/>
    <w:rsid w:val="004C6D74"/>
    <w:rsid w:val="004C6E99"/>
    <w:rsid w:val="004C6EA0"/>
    <w:rsid w:val="004C6EC3"/>
    <w:rsid w:val="004C6EEF"/>
    <w:rsid w:val="004C6F81"/>
    <w:rsid w:val="004C6FBF"/>
    <w:rsid w:val="004C70FB"/>
    <w:rsid w:val="004C7132"/>
    <w:rsid w:val="004C7243"/>
    <w:rsid w:val="004C72BC"/>
    <w:rsid w:val="004C72D1"/>
    <w:rsid w:val="004C7325"/>
    <w:rsid w:val="004C7476"/>
    <w:rsid w:val="004C7556"/>
    <w:rsid w:val="004C757E"/>
    <w:rsid w:val="004C75E9"/>
    <w:rsid w:val="004C76ED"/>
    <w:rsid w:val="004C774E"/>
    <w:rsid w:val="004C77AF"/>
    <w:rsid w:val="004C77D9"/>
    <w:rsid w:val="004C7816"/>
    <w:rsid w:val="004C78B6"/>
    <w:rsid w:val="004C7A75"/>
    <w:rsid w:val="004C7A8F"/>
    <w:rsid w:val="004C7C0A"/>
    <w:rsid w:val="004C7CD7"/>
    <w:rsid w:val="004C7D38"/>
    <w:rsid w:val="004C7D52"/>
    <w:rsid w:val="004C7D53"/>
    <w:rsid w:val="004C7D90"/>
    <w:rsid w:val="004C7DB4"/>
    <w:rsid w:val="004C7DD6"/>
    <w:rsid w:val="004C7E80"/>
    <w:rsid w:val="004C7FDE"/>
    <w:rsid w:val="004C7FE8"/>
    <w:rsid w:val="004D0036"/>
    <w:rsid w:val="004D0099"/>
    <w:rsid w:val="004D00A3"/>
    <w:rsid w:val="004D011A"/>
    <w:rsid w:val="004D012B"/>
    <w:rsid w:val="004D016A"/>
    <w:rsid w:val="004D024F"/>
    <w:rsid w:val="004D02A7"/>
    <w:rsid w:val="004D0460"/>
    <w:rsid w:val="004D0797"/>
    <w:rsid w:val="004D08BF"/>
    <w:rsid w:val="004D08F7"/>
    <w:rsid w:val="004D0903"/>
    <w:rsid w:val="004D0B69"/>
    <w:rsid w:val="004D0BBD"/>
    <w:rsid w:val="004D0C7D"/>
    <w:rsid w:val="004D0D2A"/>
    <w:rsid w:val="004D0D6C"/>
    <w:rsid w:val="004D1027"/>
    <w:rsid w:val="004D1030"/>
    <w:rsid w:val="004D1084"/>
    <w:rsid w:val="004D10FB"/>
    <w:rsid w:val="004D113B"/>
    <w:rsid w:val="004D1183"/>
    <w:rsid w:val="004D11CE"/>
    <w:rsid w:val="004D12AF"/>
    <w:rsid w:val="004D138A"/>
    <w:rsid w:val="004D13A4"/>
    <w:rsid w:val="004D13B7"/>
    <w:rsid w:val="004D13E4"/>
    <w:rsid w:val="004D140C"/>
    <w:rsid w:val="004D1430"/>
    <w:rsid w:val="004D144B"/>
    <w:rsid w:val="004D14F1"/>
    <w:rsid w:val="004D1886"/>
    <w:rsid w:val="004D1921"/>
    <w:rsid w:val="004D196E"/>
    <w:rsid w:val="004D1AA8"/>
    <w:rsid w:val="004D1AB3"/>
    <w:rsid w:val="004D1B1D"/>
    <w:rsid w:val="004D1BAB"/>
    <w:rsid w:val="004D1BF7"/>
    <w:rsid w:val="004D1CF2"/>
    <w:rsid w:val="004D1DA7"/>
    <w:rsid w:val="004D1DD9"/>
    <w:rsid w:val="004D1E27"/>
    <w:rsid w:val="004D1EC3"/>
    <w:rsid w:val="004D1F92"/>
    <w:rsid w:val="004D1FD1"/>
    <w:rsid w:val="004D20F5"/>
    <w:rsid w:val="004D21A4"/>
    <w:rsid w:val="004D21FE"/>
    <w:rsid w:val="004D2416"/>
    <w:rsid w:val="004D242A"/>
    <w:rsid w:val="004D246D"/>
    <w:rsid w:val="004D24B5"/>
    <w:rsid w:val="004D2527"/>
    <w:rsid w:val="004D257E"/>
    <w:rsid w:val="004D25AC"/>
    <w:rsid w:val="004D2610"/>
    <w:rsid w:val="004D268F"/>
    <w:rsid w:val="004D26E0"/>
    <w:rsid w:val="004D26F2"/>
    <w:rsid w:val="004D273F"/>
    <w:rsid w:val="004D2751"/>
    <w:rsid w:val="004D28B2"/>
    <w:rsid w:val="004D28DC"/>
    <w:rsid w:val="004D29B2"/>
    <w:rsid w:val="004D2B13"/>
    <w:rsid w:val="004D2B57"/>
    <w:rsid w:val="004D2B95"/>
    <w:rsid w:val="004D2C8B"/>
    <w:rsid w:val="004D2DF7"/>
    <w:rsid w:val="004D2EC6"/>
    <w:rsid w:val="004D2F99"/>
    <w:rsid w:val="004D3157"/>
    <w:rsid w:val="004D3193"/>
    <w:rsid w:val="004D333E"/>
    <w:rsid w:val="004D35BC"/>
    <w:rsid w:val="004D35D1"/>
    <w:rsid w:val="004D362B"/>
    <w:rsid w:val="004D379A"/>
    <w:rsid w:val="004D3818"/>
    <w:rsid w:val="004D38CC"/>
    <w:rsid w:val="004D3A35"/>
    <w:rsid w:val="004D3A46"/>
    <w:rsid w:val="004D3A8F"/>
    <w:rsid w:val="004D3AE5"/>
    <w:rsid w:val="004D3B12"/>
    <w:rsid w:val="004D3B1B"/>
    <w:rsid w:val="004D3C8D"/>
    <w:rsid w:val="004D3D73"/>
    <w:rsid w:val="004D3E7B"/>
    <w:rsid w:val="004D3EEA"/>
    <w:rsid w:val="004D3F4E"/>
    <w:rsid w:val="004D409B"/>
    <w:rsid w:val="004D4152"/>
    <w:rsid w:val="004D4177"/>
    <w:rsid w:val="004D41D1"/>
    <w:rsid w:val="004D41E2"/>
    <w:rsid w:val="004D43D0"/>
    <w:rsid w:val="004D4540"/>
    <w:rsid w:val="004D454C"/>
    <w:rsid w:val="004D45FE"/>
    <w:rsid w:val="004D4624"/>
    <w:rsid w:val="004D4634"/>
    <w:rsid w:val="004D46E5"/>
    <w:rsid w:val="004D480E"/>
    <w:rsid w:val="004D4847"/>
    <w:rsid w:val="004D4865"/>
    <w:rsid w:val="004D4890"/>
    <w:rsid w:val="004D4A61"/>
    <w:rsid w:val="004D4B5B"/>
    <w:rsid w:val="004D4CF5"/>
    <w:rsid w:val="004D4E41"/>
    <w:rsid w:val="004D4E9D"/>
    <w:rsid w:val="004D4F2A"/>
    <w:rsid w:val="004D4F76"/>
    <w:rsid w:val="004D4FC5"/>
    <w:rsid w:val="004D5009"/>
    <w:rsid w:val="004D5055"/>
    <w:rsid w:val="004D507B"/>
    <w:rsid w:val="004D5085"/>
    <w:rsid w:val="004D50F9"/>
    <w:rsid w:val="004D516A"/>
    <w:rsid w:val="004D5173"/>
    <w:rsid w:val="004D51F1"/>
    <w:rsid w:val="004D5284"/>
    <w:rsid w:val="004D5298"/>
    <w:rsid w:val="004D5448"/>
    <w:rsid w:val="004D555E"/>
    <w:rsid w:val="004D564F"/>
    <w:rsid w:val="004D573A"/>
    <w:rsid w:val="004D5818"/>
    <w:rsid w:val="004D59A0"/>
    <w:rsid w:val="004D5B2E"/>
    <w:rsid w:val="004D5BA7"/>
    <w:rsid w:val="004D5C07"/>
    <w:rsid w:val="004D5C78"/>
    <w:rsid w:val="004D5C82"/>
    <w:rsid w:val="004D5CD4"/>
    <w:rsid w:val="004D5CD9"/>
    <w:rsid w:val="004D5CEA"/>
    <w:rsid w:val="004D5D7E"/>
    <w:rsid w:val="004D5E17"/>
    <w:rsid w:val="004D5E29"/>
    <w:rsid w:val="004D5E32"/>
    <w:rsid w:val="004D5E4B"/>
    <w:rsid w:val="004D5E5D"/>
    <w:rsid w:val="004D5E9B"/>
    <w:rsid w:val="004D608E"/>
    <w:rsid w:val="004D6136"/>
    <w:rsid w:val="004D6198"/>
    <w:rsid w:val="004D627A"/>
    <w:rsid w:val="004D6361"/>
    <w:rsid w:val="004D6363"/>
    <w:rsid w:val="004D6400"/>
    <w:rsid w:val="004D6405"/>
    <w:rsid w:val="004D640A"/>
    <w:rsid w:val="004D643F"/>
    <w:rsid w:val="004D6442"/>
    <w:rsid w:val="004D65CF"/>
    <w:rsid w:val="004D6648"/>
    <w:rsid w:val="004D67E4"/>
    <w:rsid w:val="004D685B"/>
    <w:rsid w:val="004D699D"/>
    <w:rsid w:val="004D6A58"/>
    <w:rsid w:val="004D6CD3"/>
    <w:rsid w:val="004D6D9E"/>
    <w:rsid w:val="004D6EC3"/>
    <w:rsid w:val="004D6EFD"/>
    <w:rsid w:val="004D6F75"/>
    <w:rsid w:val="004D7091"/>
    <w:rsid w:val="004D7230"/>
    <w:rsid w:val="004D745E"/>
    <w:rsid w:val="004D749C"/>
    <w:rsid w:val="004D7529"/>
    <w:rsid w:val="004D7566"/>
    <w:rsid w:val="004D7590"/>
    <w:rsid w:val="004D75D7"/>
    <w:rsid w:val="004D795A"/>
    <w:rsid w:val="004D7984"/>
    <w:rsid w:val="004D7991"/>
    <w:rsid w:val="004D79D8"/>
    <w:rsid w:val="004D7B59"/>
    <w:rsid w:val="004D7D28"/>
    <w:rsid w:val="004D7DAB"/>
    <w:rsid w:val="004D7F69"/>
    <w:rsid w:val="004D7F9E"/>
    <w:rsid w:val="004D7FC7"/>
    <w:rsid w:val="004E014C"/>
    <w:rsid w:val="004E01C4"/>
    <w:rsid w:val="004E01D5"/>
    <w:rsid w:val="004E02BB"/>
    <w:rsid w:val="004E040C"/>
    <w:rsid w:val="004E044C"/>
    <w:rsid w:val="004E049C"/>
    <w:rsid w:val="004E0539"/>
    <w:rsid w:val="004E054A"/>
    <w:rsid w:val="004E05A3"/>
    <w:rsid w:val="004E05E8"/>
    <w:rsid w:val="004E065C"/>
    <w:rsid w:val="004E071F"/>
    <w:rsid w:val="004E0776"/>
    <w:rsid w:val="004E07FC"/>
    <w:rsid w:val="004E0805"/>
    <w:rsid w:val="004E08FD"/>
    <w:rsid w:val="004E09B8"/>
    <w:rsid w:val="004E0A16"/>
    <w:rsid w:val="004E0A62"/>
    <w:rsid w:val="004E0B30"/>
    <w:rsid w:val="004E0C31"/>
    <w:rsid w:val="004E0D0D"/>
    <w:rsid w:val="004E0D5A"/>
    <w:rsid w:val="004E0E7A"/>
    <w:rsid w:val="004E0FF9"/>
    <w:rsid w:val="004E125B"/>
    <w:rsid w:val="004E128A"/>
    <w:rsid w:val="004E1372"/>
    <w:rsid w:val="004E139B"/>
    <w:rsid w:val="004E13EC"/>
    <w:rsid w:val="004E1427"/>
    <w:rsid w:val="004E15E1"/>
    <w:rsid w:val="004E160D"/>
    <w:rsid w:val="004E1629"/>
    <w:rsid w:val="004E1656"/>
    <w:rsid w:val="004E16EC"/>
    <w:rsid w:val="004E191D"/>
    <w:rsid w:val="004E1A6F"/>
    <w:rsid w:val="004E1AFA"/>
    <w:rsid w:val="004E1AFB"/>
    <w:rsid w:val="004E1B5B"/>
    <w:rsid w:val="004E1C53"/>
    <w:rsid w:val="004E1CC5"/>
    <w:rsid w:val="004E1E0A"/>
    <w:rsid w:val="004E1F5C"/>
    <w:rsid w:val="004E201B"/>
    <w:rsid w:val="004E203A"/>
    <w:rsid w:val="004E214D"/>
    <w:rsid w:val="004E21CC"/>
    <w:rsid w:val="004E22C3"/>
    <w:rsid w:val="004E22EF"/>
    <w:rsid w:val="004E232D"/>
    <w:rsid w:val="004E238D"/>
    <w:rsid w:val="004E23E0"/>
    <w:rsid w:val="004E2437"/>
    <w:rsid w:val="004E2459"/>
    <w:rsid w:val="004E24CA"/>
    <w:rsid w:val="004E24E1"/>
    <w:rsid w:val="004E24F2"/>
    <w:rsid w:val="004E2585"/>
    <w:rsid w:val="004E25C1"/>
    <w:rsid w:val="004E27D2"/>
    <w:rsid w:val="004E27DE"/>
    <w:rsid w:val="004E2859"/>
    <w:rsid w:val="004E2879"/>
    <w:rsid w:val="004E2908"/>
    <w:rsid w:val="004E290D"/>
    <w:rsid w:val="004E29BC"/>
    <w:rsid w:val="004E2A94"/>
    <w:rsid w:val="004E2B0F"/>
    <w:rsid w:val="004E2B13"/>
    <w:rsid w:val="004E2B2D"/>
    <w:rsid w:val="004E2BE1"/>
    <w:rsid w:val="004E2C12"/>
    <w:rsid w:val="004E2C1D"/>
    <w:rsid w:val="004E2D16"/>
    <w:rsid w:val="004E2EF8"/>
    <w:rsid w:val="004E2FD8"/>
    <w:rsid w:val="004E303A"/>
    <w:rsid w:val="004E30A5"/>
    <w:rsid w:val="004E30AA"/>
    <w:rsid w:val="004E3126"/>
    <w:rsid w:val="004E312E"/>
    <w:rsid w:val="004E314F"/>
    <w:rsid w:val="004E315A"/>
    <w:rsid w:val="004E315F"/>
    <w:rsid w:val="004E318B"/>
    <w:rsid w:val="004E31A5"/>
    <w:rsid w:val="004E320F"/>
    <w:rsid w:val="004E3237"/>
    <w:rsid w:val="004E3339"/>
    <w:rsid w:val="004E34C7"/>
    <w:rsid w:val="004E359F"/>
    <w:rsid w:val="004E35C0"/>
    <w:rsid w:val="004E36CD"/>
    <w:rsid w:val="004E3746"/>
    <w:rsid w:val="004E381D"/>
    <w:rsid w:val="004E3925"/>
    <w:rsid w:val="004E3A68"/>
    <w:rsid w:val="004E3A6E"/>
    <w:rsid w:val="004E3A9D"/>
    <w:rsid w:val="004E3AA8"/>
    <w:rsid w:val="004E3B42"/>
    <w:rsid w:val="004E3C1B"/>
    <w:rsid w:val="004E3C36"/>
    <w:rsid w:val="004E3D16"/>
    <w:rsid w:val="004E3F3F"/>
    <w:rsid w:val="004E3FD3"/>
    <w:rsid w:val="004E4055"/>
    <w:rsid w:val="004E411A"/>
    <w:rsid w:val="004E4270"/>
    <w:rsid w:val="004E42AF"/>
    <w:rsid w:val="004E432D"/>
    <w:rsid w:val="004E432E"/>
    <w:rsid w:val="004E4570"/>
    <w:rsid w:val="004E459A"/>
    <w:rsid w:val="004E45CB"/>
    <w:rsid w:val="004E4647"/>
    <w:rsid w:val="004E46A2"/>
    <w:rsid w:val="004E46F7"/>
    <w:rsid w:val="004E47BB"/>
    <w:rsid w:val="004E498E"/>
    <w:rsid w:val="004E49D6"/>
    <w:rsid w:val="004E4A61"/>
    <w:rsid w:val="004E4C34"/>
    <w:rsid w:val="004E4C4D"/>
    <w:rsid w:val="004E4CD8"/>
    <w:rsid w:val="004E4CE1"/>
    <w:rsid w:val="004E4D75"/>
    <w:rsid w:val="004E4E0E"/>
    <w:rsid w:val="004E4F0F"/>
    <w:rsid w:val="004E4F10"/>
    <w:rsid w:val="004E4F37"/>
    <w:rsid w:val="004E5006"/>
    <w:rsid w:val="004E50FA"/>
    <w:rsid w:val="004E5343"/>
    <w:rsid w:val="004E5431"/>
    <w:rsid w:val="004E55BC"/>
    <w:rsid w:val="004E55D5"/>
    <w:rsid w:val="004E55F8"/>
    <w:rsid w:val="004E56B5"/>
    <w:rsid w:val="004E5844"/>
    <w:rsid w:val="004E58B7"/>
    <w:rsid w:val="004E5A1B"/>
    <w:rsid w:val="004E5AB7"/>
    <w:rsid w:val="004E5AD2"/>
    <w:rsid w:val="004E5B4C"/>
    <w:rsid w:val="004E5B71"/>
    <w:rsid w:val="004E5BC3"/>
    <w:rsid w:val="004E5DA5"/>
    <w:rsid w:val="004E5E91"/>
    <w:rsid w:val="004E5F00"/>
    <w:rsid w:val="004E5F49"/>
    <w:rsid w:val="004E5F89"/>
    <w:rsid w:val="004E5FFC"/>
    <w:rsid w:val="004E6187"/>
    <w:rsid w:val="004E627C"/>
    <w:rsid w:val="004E6342"/>
    <w:rsid w:val="004E644B"/>
    <w:rsid w:val="004E6486"/>
    <w:rsid w:val="004E64BE"/>
    <w:rsid w:val="004E65D8"/>
    <w:rsid w:val="004E668E"/>
    <w:rsid w:val="004E66DF"/>
    <w:rsid w:val="004E6726"/>
    <w:rsid w:val="004E6917"/>
    <w:rsid w:val="004E692C"/>
    <w:rsid w:val="004E6988"/>
    <w:rsid w:val="004E6994"/>
    <w:rsid w:val="004E69DF"/>
    <w:rsid w:val="004E6A30"/>
    <w:rsid w:val="004E6A39"/>
    <w:rsid w:val="004E6A52"/>
    <w:rsid w:val="004E6A9B"/>
    <w:rsid w:val="004E6AC5"/>
    <w:rsid w:val="004E6ADD"/>
    <w:rsid w:val="004E6BD4"/>
    <w:rsid w:val="004E6C1E"/>
    <w:rsid w:val="004E6C4C"/>
    <w:rsid w:val="004E6DF7"/>
    <w:rsid w:val="004E6F95"/>
    <w:rsid w:val="004E704D"/>
    <w:rsid w:val="004E70CB"/>
    <w:rsid w:val="004E70D0"/>
    <w:rsid w:val="004E718E"/>
    <w:rsid w:val="004E72E3"/>
    <w:rsid w:val="004E7362"/>
    <w:rsid w:val="004E7398"/>
    <w:rsid w:val="004E73D0"/>
    <w:rsid w:val="004E75B0"/>
    <w:rsid w:val="004E75B6"/>
    <w:rsid w:val="004E76DC"/>
    <w:rsid w:val="004E7723"/>
    <w:rsid w:val="004E7752"/>
    <w:rsid w:val="004E775B"/>
    <w:rsid w:val="004E77C1"/>
    <w:rsid w:val="004E77CB"/>
    <w:rsid w:val="004E78AA"/>
    <w:rsid w:val="004E7971"/>
    <w:rsid w:val="004E7A23"/>
    <w:rsid w:val="004E7B77"/>
    <w:rsid w:val="004E7C25"/>
    <w:rsid w:val="004E7C7C"/>
    <w:rsid w:val="004E7CF3"/>
    <w:rsid w:val="004E7D2F"/>
    <w:rsid w:val="004E7FC2"/>
    <w:rsid w:val="004F0036"/>
    <w:rsid w:val="004F00F3"/>
    <w:rsid w:val="004F021F"/>
    <w:rsid w:val="004F0276"/>
    <w:rsid w:val="004F0319"/>
    <w:rsid w:val="004F035B"/>
    <w:rsid w:val="004F037B"/>
    <w:rsid w:val="004F0397"/>
    <w:rsid w:val="004F045A"/>
    <w:rsid w:val="004F0467"/>
    <w:rsid w:val="004F04A4"/>
    <w:rsid w:val="004F04EE"/>
    <w:rsid w:val="004F050A"/>
    <w:rsid w:val="004F0518"/>
    <w:rsid w:val="004F05FF"/>
    <w:rsid w:val="004F082C"/>
    <w:rsid w:val="004F08DD"/>
    <w:rsid w:val="004F0912"/>
    <w:rsid w:val="004F0A95"/>
    <w:rsid w:val="004F0B73"/>
    <w:rsid w:val="004F0BA8"/>
    <w:rsid w:val="004F0D3E"/>
    <w:rsid w:val="004F0E43"/>
    <w:rsid w:val="004F0FBA"/>
    <w:rsid w:val="004F1088"/>
    <w:rsid w:val="004F116F"/>
    <w:rsid w:val="004F1199"/>
    <w:rsid w:val="004F1459"/>
    <w:rsid w:val="004F1582"/>
    <w:rsid w:val="004F15D1"/>
    <w:rsid w:val="004F15FD"/>
    <w:rsid w:val="004F1624"/>
    <w:rsid w:val="004F17FB"/>
    <w:rsid w:val="004F1A39"/>
    <w:rsid w:val="004F1A76"/>
    <w:rsid w:val="004F1C6C"/>
    <w:rsid w:val="004F1CB9"/>
    <w:rsid w:val="004F1CC3"/>
    <w:rsid w:val="004F1D11"/>
    <w:rsid w:val="004F1DFA"/>
    <w:rsid w:val="004F1E31"/>
    <w:rsid w:val="004F1E5A"/>
    <w:rsid w:val="004F1E77"/>
    <w:rsid w:val="004F1F64"/>
    <w:rsid w:val="004F1F65"/>
    <w:rsid w:val="004F1FBD"/>
    <w:rsid w:val="004F212D"/>
    <w:rsid w:val="004F2237"/>
    <w:rsid w:val="004F2248"/>
    <w:rsid w:val="004F22C3"/>
    <w:rsid w:val="004F2396"/>
    <w:rsid w:val="004F2474"/>
    <w:rsid w:val="004F24AE"/>
    <w:rsid w:val="004F24BD"/>
    <w:rsid w:val="004F24D4"/>
    <w:rsid w:val="004F252F"/>
    <w:rsid w:val="004F2540"/>
    <w:rsid w:val="004F259C"/>
    <w:rsid w:val="004F266B"/>
    <w:rsid w:val="004F2742"/>
    <w:rsid w:val="004F2828"/>
    <w:rsid w:val="004F2995"/>
    <w:rsid w:val="004F2A4C"/>
    <w:rsid w:val="004F2B09"/>
    <w:rsid w:val="004F2B8D"/>
    <w:rsid w:val="004F2C63"/>
    <w:rsid w:val="004F2CB1"/>
    <w:rsid w:val="004F2EA8"/>
    <w:rsid w:val="004F2F6D"/>
    <w:rsid w:val="004F304E"/>
    <w:rsid w:val="004F317D"/>
    <w:rsid w:val="004F3197"/>
    <w:rsid w:val="004F329C"/>
    <w:rsid w:val="004F369F"/>
    <w:rsid w:val="004F36B6"/>
    <w:rsid w:val="004F36E6"/>
    <w:rsid w:val="004F36FA"/>
    <w:rsid w:val="004F3836"/>
    <w:rsid w:val="004F38A6"/>
    <w:rsid w:val="004F3950"/>
    <w:rsid w:val="004F3A16"/>
    <w:rsid w:val="004F3A3D"/>
    <w:rsid w:val="004F3ACA"/>
    <w:rsid w:val="004F3AE5"/>
    <w:rsid w:val="004F3AFA"/>
    <w:rsid w:val="004F3B57"/>
    <w:rsid w:val="004F3B79"/>
    <w:rsid w:val="004F3D33"/>
    <w:rsid w:val="004F3E05"/>
    <w:rsid w:val="004F3E9F"/>
    <w:rsid w:val="004F40DC"/>
    <w:rsid w:val="004F40DD"/>
    <w:rsid w:val="004F41EE"/>
    <w:rsid w:val="004F427D"/>
    <w:rsid w:val="004F437E"/>
    <w:rsid w:val="004F438B"/>
    <w:rsid w:val="004F43E2"/>
    <w:rsid w:val="004F45C1"/>
    <w:rsid w:val="004F4657"/>
    <w:rsid w:val="004F4719"/>
    <w:rsid w:val="004F4809"/>
    <w:rsid w:val="004F491F"/>
    <w:rsid w:val="004F4AB2"/>
    <w:rsid w:val="004F4AF0"/>
    <w:rsid w:val="004F4B3C"/>
    <w:rsid w:val="004F4BEF"/>
    <w:rsid w:val="004F4CAB"/>
    <w:rsid w:val="004F4CDA"/>
    <w:rsid w:val="004F4D3F"/>
    <w:rsid w:val="004F4DE0"/>
    <w:rsid w:val="004F4E2E"/>
    <w:rsid w:val="004F4ECA"/>
    <w:rsid w:val="004F4F1F"/>
    <w:rsid w:val="004F4FF9"/>
    <w:rsid w:val="004F505F"/>
    <w:rsid w:val="004F5112"/>
    <w:rsid w:val="004F520B"/>
    <w:rsid w:val="004F52C5"/>
    <w:rsid w:val="004F52F7"/>
    <w:rsid w:val="004F5311"/>
    <w:rsid w:val="004F5397"/>
    <w:rsid w:val="004F53B3"/>
    <w:rsid w:val="004F53EB"/>
    <w:rsid w:val="004F544D"/>
    <w:rsid w:val="004F547F"/>
    <w:rsid w:val="004F55A8"/>
    <w:rsid w:val="004F55E2"/>
    <w:rsid w:val="004F5613"/>
    <w:rsid w:val="004F564A"/>
    <w:rsid w:val="004F565E"/>
    <w:rsid w:val="004F567C"/>
    <w:rsid w:val="004F5720"/>
    <w:rsid w:val="004F57B1"/>
    <w:rsid w:val="004F57E8"/>
    <w:rsid w:val="004F585C"/>
    <w:rsid w:val="004F5A5C"/>
    <w:rsid w:val="004F5A5E"/>
    <w:rsid w:val="004F5A92"/>
    <w:rsid w:val="004F5BFC"/>
    <w:rsid w:val="004F5E76"/>
    <w:rsid w:val="004F5E97"/>
    <w:rsid w:val="004F5EBE"/>
    <w:rsid w:val="004F5F82"/>
    <w:rsid w:val="004F5FCD"/>
    <w:rsid w:val="004F6024"/>
    <w:rsid w:val="004F60ED"/>
    <w:rsid w:val="004F6198"/>
    <w:rsid w:val="004F61CB"/>
    <w:rsid w:val="004F6201"/>
    <w:rsid w:val="004F64E7"/>
    <w:rsid w:val="004F6644"/>
    <w:rsid w:val="004F672A"/>
    <w:rsid w:val="004F67EE"/>
    <w:rsid w:val="004F6862"/>
    <w:rsid w:val="004F690C"/>
    <w:rsid w:val="004F696A"/>
    <w:rsid w:val="004F69CE"/>
    <w:rsid w:val="004F6B02"/>
    <w:rsid w:val="004F6B8A"/>
    <w:rsid w:val="004F6BB0"/>
    <w:rsid w:val="004F6D32"/>
    <w:rsid w:val="004F6D34"/>
    <w:rsid w:val="004F6D3B"/>
    <w:rsid w:val="004F6D8B"/>
    <w:rsid w:val="004F6DE0"/>
    <w:rsid w:val="004F6F5C"/>
    <w:rsid w:val="004F7043"/>
    <w:rsid w:val="004F7192"/>
    <w:rsid w:val="004F719C"/>
    <w:rsid w:val="004F732B"/>
    <w:rsid w:val="004F7336"/>
    <w:rsid w:val="004F73AF"/>
    <w:rsid w:val="004F741C"/>
    <w:rsid w:val="004F7471"/>
    <w:rsid w:val="004F74D8"/>
    <w:rsid w:val="004F74FE"/>
    <w:rsid w:val="004F75DD"/>
    <w:rsid w:val="004F7600"/>
    <w:rsid w:val="004F762B"/>
    <w:rsid w:val="004F7782"/>
    <w:rsid w:val="004F78D0"/>
    <w:rsid w:val="004F79A5"/>
    <w:rsid w:val="004F7A3D"/>
    <w:rsid w:val="004F7AED"/>
    <w:rsid w:val="004F7B34"/>
    <w:rsid w:val="004F7CEE"/>
    <w:rsid w:val="004F7CFD"/>
    <w:rsid w:val="004F7DCE"/>
    <w:rsid w:val="004F7E15"/>
    <w:rsid w:val="004F7E8A"/>
    <w:rsid w:val="004F7EB6"/>
    <w:rsid w:val="004F7ED6"/>
    <w:rsid w:val="004F7F17"/>
    <w:rsid w:val="00500047"/>
    <w:rsid w:val="00500085"/>
    <w:rsid w:val="00500092"/>
    <w:rsid w:val="00500129"/>
    <w:rsid w:val="005001B4"/>
    <w:rsid w:val="00500283"/>
    <w:rsid w:val="00500292"/>
    <w:rsid w:val="00500385"/>
    <w:rsid w:val="005003C0"/>
    <w:rsid w:val="0050041D"/>
    <w:rsid w:val="005004A6"/>
    <w:rsid w:val="005004D2"/>
    <w:rsid w:val="005004DA"/>
    <w:rsid w:val="00500587"/>
    <w:rsid w:val="0050069F"/>
    <w:rsid w:val="00500706"/>
    <w:rsid w:val="005009AE"/>
    <w:rsid w:val="00500A6F"/>
    <w:rsid w:val="00500A9B"/>
    <w:rsid w:val="00500B3B"/>
    <w:rsid w:val="00500B8A"/>
    <w:rsid w:val="00500B97"/>
    <w:rsid w:val="00500BD1"/>
    <w:rsid w:val="00500BF9"/>
    <w:rsid w:val="00500C4E"/>
    <w:rsid w:val="00500CCD"/>
    <w:rsid w:val="00500DC7"/>
    <w:rsid w:val="00500EC5"/>
    <w:rsid w:val="00500F4E"/>
    <w:rsid w:val="00501035"/>
    <w:rsid w:val="005010A5"/>
    <w:rsid w:val="005011F0"/>
    <w:rsid w:val="005015A9"/>
    <w:rsid w:val="005015C3"/>
    <w:rsid w:val="005016E5"/>
    <w:rsid w:val="00501783"/>
    <w:rsid w:val="005017D4"/>
    <w:rsid w:val="00501818"/>
    <w:rsid w:val="00501852"/>
    <w:rsid w:val="00501866"/>
    <w:rsid w:val="0050189A"/>
    <w:rsid w:val="005018A0"/>
    <w:rsid w:val="0050196F"/>
    <w:rsid w:val="00501B5F"/>
    <w:rsid w:val="00501BDA"/>
    <w:rsid w:val="00501D30"/>
    <w:rsid w:val="00501DAB"/>
    <w:rsid w:val="00501DDD"/>
    <w:rsid w:val="00501E30"/>
    <w:rsid w:val="00501E6E"/>
    <w:rsid w:val="00501EDF"/>
    <w:rsid w:val="00501EE4"/>
    <w:rsid w:val="00501F7F"/>
    <w:rsid w:val="00501FB6"/>
    <w:rsid w:val="00502193"/>
    <w:rsid w:val="0050227B"/>
    <w:rsid w:val="005022E6"/>
    <w:rsid w:val="0050238A"/>
    <w:rsid w:val="0050238C"/>
    <w:rsid w:val="00502405"/>
    <w:rsid w:val="0050243D"/>
    <w:rsid w:val="005024CA"/>
    <w:rsid w:val="005024DD"/>
    <w:rsid w:val="005024F3"/>
    <w:rsid w:val="005026FB"/>
    <w:rsid w:val="005028E6"/>
    <w:rsid w:val="005029AA"/>
    <w:rsid w:val="005029CF"/>
    <w:rsid w:val="00502B06"/>
    <w:rsid w:val="00502B35"/>
    <w:rsid w:val="00502BBC"/>
    <w:rsid w:val="00502DD8"/>
    <w:rsid w:val="00502E60"/>
    <w:rsid w:val="00502F09"/>
    <w:rsid w:val="00502F55"/>
    <w:rsid w:val="00502FE3"/>
    <w:rsid w:val="00503163"/>
    <w:rsid w:val="00503211"/>
    <w:rsid w:val="0050321F"/>
    <w:rsid w:val="00503237"/>
    <w:rsid w:val="00503296"/>
    <w:rsid w:val="005032FD"/>
    <w:rsid w:val="00503438"/>
    <w:rsid w:val="005034F9"/>
    <w:rsid w:val="00503522"/>
    <w:rsid w:val="00503569"/>
    <w:rsid w:val="005035D9"/>
    <w:rsid w:val="00503741"/>
    <w:rsid w:val="00503778"/>
    <w:rsid w:val="00503779"/>
    <w:rsid w:val="00503898"/>
    <w:rsid w:val="0050394F"/>
    <w:rsid w:val="00503983"/>
    <w:rsid w:val="00503B6D"/>
    <w:rsid w:val="00503B6F"/>
    <w:rsid w:val="00503BDB"/>
    <w:rsid w:val="00503C8C"/>
    <w:rsid w:val="00503CAD"/>
    <w:rsid w:val="00503D1A"/>
    <w:rsid w:val="00503DC0"/>
    <w:rsid w:val="00503E33"/>
    <w:rsid w:val="00503FAB"/>
    <w:rsid w:val="0050400B"/>
    <w:rsid w:val="00504137"/>
    <w:rsid w:val="0050416E"/>
    <w:rsid w:val="005041A7"/>
    <w:rsid w:val="0050430D"/>
    <w:rsid w:val="0050434E"/>
    <w:rsid w:val="0050437F"/>
    <w:rsid w:val="005043C2"/>
    <w:rsid w:val="00504574"/>
    <w:rsid w:val="005045DB"/>
    <w:rsid w:val="00504669"/>
    <w:rsid w:val="0050470B"/>
    <w:rsid w:val="00504794"/>
    <w:rsid w:val="00504813"/>
    <w:rsid w:val="005048B4"/>
    <w:rsid w:val="00504A4E"/>
    <w:rsid w:val="00504A6B"/>
    <w:rsid w:val="00504A82"/>
    <w:rsid w:val="00504B86"/>
    <w:rsid w:val="00504B94"/>
    <w:rsid w:val="00504CB4"/>
    <w:rsid w:val="00504D68"/>
    <w:rsid w:val="00504EF8"/>
    <w:rsid w:val="00504F58"/>
    <w:rsid w:val="00504FD8"/>
    <w:rsid w:val="005050D1"/>
    <w:rsid w:val="00505175"/>
    <w:rsid w:val="00505465"/>
    <w:rsid w:val="005054A1"/>
    <w:rsid w:val="005054D1"/>
    <w:rsid w:val="005054DA"/>
    <w:rsid w:val="00505564"/>
    <w:rsid w:val="00505591"/>
    <w:rsid w:val="005056D8"/>
    <w:rsid w:val="00505796"/>
    <w:rsid w:val="005057AE"/>
    <w:rsid w:val="005059F5"/>
    <w:rsid w:val="00505A43"/>
    <w:rsid w:val="00505BD2"/>
    <w:rsid w:val="00505C90"/>
    <w:rsid w:val="00505CAE"/>
    <w:rsid w:val="00505D06"/>
    <w:rsid w:val="00505D82"/>
    <w:rsid w:val="00505E5D"/>
    <w:rsid w:val="00505EB4"/>
    <w:rsid w:val="00505F00"/>
    <w:rsid w:val="00505F11"/>
    <w:rsid w:val="00506052"/>
    <w:rsid w:val="005060CB"/>
    <w:rsid w:val="005060E0"/>
    <w:rsid w:val="00506192"/>
    <w:rsid w:val="005061D4"/>
    <w:rsid w:val="005062CA"/>
    <w:rsid w:val="00506318"/>
    <w:rsid w:val="00506334"/>
    <w:rsid w:val="0050639D"/>
    <w:rsid w:val="005063CD"/>
    <w:rsid w:val="00506453"/>
    <w:rsid w:val="0050651D"/>
    <w:rsid w:val="0050654D"/>
    <w:rsid w:val="00506651"/>
    <w:rsid w:val="00506669"/>
    <w:rsid w:val="00506672"/>
    <w:rsid w:val="005067EC"/>
    <w:rsid w:val="00506834"/>
    <w:rsid w:val="005068D7"/>
    <w:rsid w:val="00506948"/>
    <w:rsid w:val="0050697E"/>
    <w:rsid w:val="005069C0"/>
    <w:rsid w:val="00506A8D"/>
    <w:rsid w:val="00506AA4"/>
    <w:rsid w:val="00506AFC"/>
    <w:rsid w:val="00506BAE"/>
    <w:rsid w:val="00506C19"/>
    <w:rsid w:val="00506C2E"/>
    <w:rsid w:val="00506E4F"/>
    <w:rsid w:val="00506EC3"/>
    <w:rsid w:val="00507087"/>
    <w:rsid w:val="00507119"/>
    <w:rsid w:val="0050717B"/>
    <w:rsid w:val="005071EE"/>
    <w:rsid w:val="005071F8"/>
    <w:rsid w:val="00507260"/>
    <w:rsid w:val="00507364"/>
    <w:rsid w:val="0050746A"/>
    <w:rsid w:val="005074FD"/>
    <w:rsid w:val="005076E6"/>
    <w:rsid w:val="005077C9"/>
    <w:rsid w:val="00507850"/>
    <w:rsid w:val="00507872"/>
    <w:rsid w:val="00507950"/>
    <w:rsid w:val="0050796F"/>
    <w:rsid w:val="00507A76"/>
    <w:rsid w:val="00507AB2"/>
    <w:rsid w:val="00507B8C"/>
    <w:rsid w:val="00507CAA"/>
    <w:rsid w:val="00507CD8"/>
    <w:rsid w:val="00507CE0"/>
    <w:rsid w:val="00507DCE"/>
    <w:rsid w:val="00507E8F"/>
    <w:rsid w:val="00507F1C"/>
    <w:rsid w:val="00507FFB"/>
    <w:rsid w:val="0051018C"/>
    <w:rsid w:val="005101D2"/>
    <w:rsid w:val="00510264"/>
    <w:rsid w:val="0051026E"/>
    <w:rsid w:val="005103AF"/>
    <w:rsid w:val="005103C3"/>
    <w:rsid w:val="00510411"/>
    <w:rsid w:val="005105FD"/>
    <w:rsid w:val="00510638"/>
    <w:rsid w:val="005106E7"/>
    <w:rsid w:val="00510782"/>
    <w:rsid w:val="00510783"/>
    <w:rsid w:val="0051079B"/>
    <w:rsid w:val="00510864"/>
    <w:rsid w:val="005109F4"/>
    <w:rsid w:val="00510C57"/>
    <w:rsid w:val="00510C5D"/>
    <w:rsid w:val="00510D32"/>
    <w:rsid w:val="00510F61"/>
    <w:rsid w:val="0051101D"/>
    <w:rsid w:val="00511071"/>
    <w:rsid w:val="005111C1"/>
    <w:rsid w:val="0051123C"/>
    <w:rsid w:val="00511263"/>
    <w:rsid w:val="005115C6"/>
    <w:rsid w:val="005115F3"/>
    <w:rsid w:val="0051165F"/>
    <w:rsid w:val="00511849"/>
    <w:rsid w:val="005118C6"/>
    <w:rsid w:val="0051190C"/>
    <w:rsid w:val="005119DB"/>
    <w:rsid w:val="005119FC"/>
    <w:rsid w:val="00511CA5"/>
    <w:rsid w:val="00511D47"/>
    <w:rsid w:val="00511E13"/>
    <w:rsid w:val="00511E86"/>
    <w:rsid w:val="00511EB2"/>
    <w:rsid w:val="00511EBC"/>
    <w:rsid w:val="0051208C"/>
    <w:rsid w:val="00512144"/>
    <w:rsid w:val="00512175"/>
    <w:rsid w:val="00512234"/>
    <w:rsid w:val="00512311"/>
    <w:rsid w:val="005124AB"/>
    <w:rsid w:val="005124EB"/>
    <w:rsid w:val="005126B7"/>
    <w:rsid w:val="005126E4"/>
    <w:rsid w:val="005126ED"/>
    <w:rsid w:val="005126F5"/>
    <w:rsid w:val="0051277B"/>
    <w:rsid w:val="00512A09"/>
    <w:rsid w:val="00512B2C"/>
    <w:rsid w:val="00512BF3"/>
    <w:rsid w:val="00512C17"/>
    <w:rsid w:val="00512C22"/>
    <w:rsid w:val="00512C49"/>
    <w:rsid w:val="00512EB0"/>
    <w:rsid w:val="00512F17"/>
    <w:rsid w:val="00512FFB"/>
    <w:rsid w:val="0051300C"/>
    <w:rsid w:val="00513019"/>
    <w:rsid w:val="00513101"/>
    <w:rsid w:val="005131D4"/>
    <w:rsid w:val="00513455"/>
    <w:rsid w:val="0051349B"/>
    <w:rsid w:val="005134EA"/>
    <w:rsid w:val="00513541"/>
    <w:rsid w:val="00513590"/>
    <w:rsid w:val="0051375B"/>
    <w:rsid w:val="00513765"/>
    <w:rsid w:val="00513793"/>
    <w:rsid w:val="0051384B"/>
    <w:rsid w:val="00513941"/>
    <w:rsid w:val="005139C3"/>
    <w:rsid w:val="00513C5A"/>
    <w:rsid w:val="00513D83"/>
    <w:rsid w:val="00513DB7"/>
    <w:rsid w:val="00513EFF"/>
    <w:rsid w:val="00513FB1"/>
    <w:rsid w:val="00513FB8"/>
    <w:rsid w:val="0051408B"/>
    <w:rsid w:val="00514193"/>
    <w:rsid w:val="005141DE"/>
    <w:rsid w:val="005144EF"/>
    <w:rsid w:val="00514570"/>
    <w:rsid w:val="005145CC"/>
    <w:rsid w:val="0051460C"/>
    <w:rsid w:val="005146EC"/>
    <w:rsid w:val="00514726"/>
    <w:rsid w:val="005148A7"/>
    <w:rsid w:val="00514915"/>
    <w:rsid w:val="005149B3"/>
    <w:rsid w:val="00514A56"/>
    <w:rsid w:val="00514A5C"/>
    <w:rsid w:val="00514BED"/>
    <w:rsid w:val="00514C3E"/>
    <w:rsid w:val="00514C5A"/>
    <w:rsid w:val="00514C84"/>
    <w:rsid w:val="00514D5A"/>
    <w:rsid w:val="00514FE4"/>
    <w:rsid w:val="00515154"/>
    <w:rsid w:val="00515221"/>
    <w:rsid w:val="005152D5"/>
    <w:rsid w:val="005153A4"/>
    <w:rsid w:val="005153F6"/>
    <w:rsid w:val="0051547B"/>
    <w:rsid w:val="00515493"/>
    <w:rsid w:val="005154F7"/>
    <w:rsid w:val="00515572"/>
    <w:rsid w:val="0051560E"/>
    <w:rsid w:val="005156C5"/>
    <w:rsid w:val="00515765"/>
    <w:rsid w:val="00515841"/>
    <w:rsid w:val="00515883"/>
    <w:rsid w:val="00515977"/>
    <w:rsid w:val="005159A6"/>
    <w:rsid w:val="005159E7"/>
    <w:rsid w:val="00515C52"/>
    <w:rsid w:val="00515C8F"/>
    <w:rsid w:val="00515CAF"/>
    <w:rsid w:val="00515F0D"/>
    <w:rsid w:val="00515F4E"/>
    <w:rsid w:val="005161AB"/>
    <w:rsid w:val="0051626F"/>
    <w:rsid w:val="0051629D"/>
    <w:rsid w:val="005162DD"/>
    <w:rsid w:val="005162E7"/>
    <w:rsid w:val="00516379"/>
    <w:rsid w:val="005163FD"/>
    <w:rsid w:val="00516466"/>
    <w:rsid w:val="0051648E"/>
    <w:rsid w:val="00516612"/>
    <w:rsid w:val="0051662B"/>
    <w:rsid w:val="0051665E"/>
    <w:rsid w:val="00516675"/>
    <w:rsid w:val="005166DA"/>
    <w:rsid w:val="00516917"/>
    <w:rsid w:val="0051691B"/>
    <w:rsid w:val="0051697D"/>
    <w:rsid w:val="00516A13"/>
    <w:rsid w:val="00516B0F"/>
    <w:rsid w:val="00516B3C"/>
    <w:rsid w:val="00516BE8"/>
    <w:rsid w:val="00516BEF"/>
    <w:rsid w:val="00516C07"/>
    <w:rsid w:val="00516CD6"/>
    <w:rsid w:val="00516CD9"/>
    <w:rsid w:val="00516D55"/>
    <w:rsid w:val="00516D99"/>
    <w:rsid w:val="00516DBB"/>
    <w:rsid w:val="00516DE0"/>
    <w:rsid w:val="00516E6A"/>
    <w:rsid w:val="00516F2C"/>
    <w:rsid w:val="0051706F"/>
    <w:rsid w:val="005170B7"/>
    <w:rsid w:val="005171DF"/>
    <w:rsid w:val="00517226"/>
    <w:rsid w:val="0051731E"/>
    <w:rsid w:val="0051737E"/>
    <w:rsid w:val="005173D4"/>
    <w:rsid w:val="0051753B"/>
    <w:rsid w:val="0051753D"/>
    <w:rsid w:val="00517625"/>
    <w:rsid w:val="005176A0"/>
    <w:rsid w:val="005177FF"/>
    <w:rsid w:val="0051783A"/>
    <w:rsid w:val="00517939"/>
    <w:rsid w:val="00517A8A"/>
    <w:rsid w:val="00517AB3"/>
    <w:rsid w:val="00517AD8"/>
    <w:rsid w:val="00517BA0"/>
    <w:rsid w:val="00517C0A"/>
    <w:rsid w:val="00517D9C"/>
    <w:rsid w:val="00517DEF"/>
    <w:rsid w:val="00517E25"/>
    <w:rsid w:val="00517F27"/>
    <w:rsid w:val="00517FC4"/>
    <w:rsid w:val="00517FCB"/>
    <w:rsid w:val="00517FFD"/>
    <w:rsid w:val="00520052"/>
    <w:rsid w:val="005200C5"/>
    <w:rsid w:val="0052010A"/>
    <w:rsid w:val="00520178"/>
    <w:rsid w:val="00520196"/>
    <w:rsid w:val="00520217"/>
    <w:rsid w:val="00520283"/>
    <w:rsid w:val="00520293"/>
    <w:rsid w:val="00520330"/>
    <w:rsid w:val="005203D1"/>
    <w:rsid w:val="00520484"/>
    <w:rsid w:val="005204CE"/>
    <w:rsid w:val="00520577"/>
    <w:rsid w:val="005205B8"/>
    <w:rsid w:val="005205C7"/>
    <w:rsid w:val="0052060E"/>
    <w:rsid w:val="0052078F"/>
    <w:rsid w:val="0052080F"/>
    <w:rsid w:val="00520828"/>
    <w:rsid w:val="0052094F"/>
    <w:rsid w:val="00520B07"/>
    <w:rsid w:val="00520B28"/>
    <w:rsid w:val="00520C48"/>
    <w:rsid w:val="00520EBA"/>
    <w:rsid w:val="00520EC7"/>
    <w:rsid w:val="00520F55"/>
    <w:rsid w:val="00521008"/>
    <w:rsid w:val="00521098"/>
    <w:rsid w:val="00521129"/>
    <w:rsid w:val="00521165"/>
    <w:rsid w:val="005211B5"/>
    <w:rsid w:val="005212DA"/>
    <w:rsid w:val="00521304"/>
    <w:rsid w:val="0052137D"/>
    <w:rsid w:val="00521435"/>
    <w:rsid w:val="00521441"/>
    <w:rsid w:val="00521467"/>
    <w:rsid w:val="0052146A"/>
    <w:rsid w:val="0052156E"/>
    <w:rsid w:val="005215D6"/>
    <w:rsid w:val="005215F4"/>
    <w:rsid w:val="00521685"/>
    <w:rsid w:val="005216C0"/>
    <w:rsid w:val="005216C9"/>
    <w:rsid w:val="00521760"/>
    <w:rsid w:val="00521836"/>
    <w:rsid w:val="00521842"/>
    <w:rsid w:val="00521A0B"/>
    <w:rsid w:val="00521A54"/>
    <w:rsid w:val="00521ADA"/>
    <w:rsid w:val="00521B88"/>
    <w:rsid w:val="00521D36"/>
    <w:rsid w:val="00521D43"/>
    <w:rsid w:val="00521D6E"/>
    <w:rsid w:val="00521DDC"/>
    <w:rsid w:val="00521F0C"/>
    <w:rsid w:val="00521F10"/>
    <w:rsid w:val="00521F2B"/>
    <w:rsid w:val="00521FE5"/>
    <w:rsid w:val="005221DE"/>
    <w:rsid w:val="005222EC"/>
    <w:rsid w:val="0052234D"/>
    <w:rsid w:val="00522356"/>
    <w:rsid w:val="00522451"/>
    <w:rsid w:val="00522487"/>
    <w:rsid w:val="005224F3"/>
    <w:rsid w:val="00522544"/>
    <w:rsid w:val="005226C3"/>
    <w:rsid w:val="0052271E"/>
    <w:rsid w:val="005227A7"/>
    <w:rsid w:val="00522947"/>
    <w:rsid w:val="0052294C"/>
    <w:rsid w:val="00522A1B"/>
    <w:rsid w:val="00522A5A"/>
    <w:rsid w:val="00522B93"/>
    <w:rsid w:val="00522BEB"/>
    <w:rsid w:val="00522BF2"/>
    <w:rsid w:val="00522C72"/>
    <w:rsid w:val="00522E17"/>
    <w:rsid w:val="00522E18"/>
    <w:rsid w:val="00522E3D"/>
    <w:rsid w:val="00522E9C"/>
    <w:rsid w:val="00522F20"/>
    <w:rsid w:val="00522FB2"/>
    <w:rsid w:val="00522FE2"/>
    <w:rsid w:val="00523102"/>
    <w:rsid w:val="005231A2"/>
    <w:rsid w:val="005231F2"/>
    <w:rsid w:val="00523293"/>
    <w:rsid w:val="00523315"/>
    <w:rsid w:val="00523323"/>
    <w:rsid w:val="00523355"/>
    <w:rsid w:val="00523374"/>
    <w:rsid w:val="00523586"/>
    <w:rsid w:val="00523818"/>
    <w:rsid w:val="00523902"/>
    <w:rsid w:val="005239B9"/>
    <w:rsid w:val="00523BB1"/>
    <w:rsid w:val="00523C80"/>
    <w:rsid w:val="00523CA8"/>
    <w:rsid w:val="00523DAA"/>
    <w:rsid w:val="00523E2A"/>
    <w:rsid w:val="00523EE3"/>
    <w:rsid w:val="00523FF3"/>
    <w:rsid w:val="005240A6"/>
    <w:rsid w:val="00524215"/>
    <w:rsid w:val="0052429A"/>
    <w:rsid w:val="0052429B"/>
    <w:rsid w:val="0052430D"/>
    <w:rsid w:val="005243AA"/>
    <w:rsid w:val="00524443"/>
    <w:rsid w:val="0052445A"/>
    <w:rsid w:val="00524497"/>
    <w:rsid w:val="005244A3"/>
    <w:rsid w:val="005244DC"/>
    <w:rsid w:val="0052462D"/>
    <w:rsid w:val="00524632"/>
    <w:rsid w:val="0052470F"/>
    <w:rsid w:val="005247B9"/>
    <w:rsid w:val="0052487E"/>
    <w:rsid w:val="005248D7"/>
    <w:rsid w:val="005248E7"/>
    <w:rsid w:val="005248F8"/>
    <w:rsid w:val="0052496E"/>
    <w:rsid w:val="00524AF1"/>
    <w:rsid w:val="00524B2F"/>
    <w:rsid w:val="00524B3C"/>
    <w:rsid w:val="00524C31"/>
    <w:rsid w:val="00524D7C"/>
    <w:rsid w:val="00524E56"/>
    <w:rsid w:val="00524E5F"/>
    <w:rsid w:val="0052516D"/>
    <w:rsid w:val="005252B5"/>
    <w:rsid w:val="005252C2"/>
    <w:rsid w:val="00525535"/>
    <w:rsid w:val="0052553A"/>
    <w:rsid w:val="0052553F"/>
    <w:rsid w:val="005256A0"/>
    <w:rsid w:val="005256D7"/>
    <w:rsid w:val="005256F5"/>
    <w:rsid w:val="0052573E"/>
    <w:rsid w:val="005257FE"/>
    <w:rsid w:val="0052581D"/>
    <w:rsid w:val="00525857"/>
    <w:rsid w:val="005259C5"/>
    <w:rsid w:val="00525A00"/>
    <w:rsid w:val="00525C1B"/>
    <w:rsid w:val="00525CA9"/>
    <w:rsid w:val="00525D89"/>
    <w:rsid w:val="00526047"/>
    <w:rsid w:val="005260BA"/>
    <w:rsid w:val="0052616A"/>
    <w:rsid w:val="00526208"/>
    <w:rsid w:val="0052640F"/>
    <w:rsid w:val="00526486"/>
    <w:rsid w:val="00526506"/>
    <w:rsid w:val="00526574"/>
    <w:rsid w:val="00526627"/>
    <w:rsid w:val="00526638"/>
    <w:rsid w:val="0052677D"/>
    <w:rsid w:val="005267DF"/>
    <w:rsid w:val="00526824"/>
    <w:rsid w:val="0052684D"/>
    <w:rsid w:val="00526870"/>
    <w:rsid w:val="00526968"/>
    <w:rsid w:val="0052696D"/>
    <w:rsid w:val="00526A27"/>
    <w:rsid w:val="00526A62"/>
    <w:rsid w:val="00526BEB"/>
    <w:rsid w:val="00526D63"/>
    <w:rsid w:val="00526D65"/>
    <w:rsid w:val="00526D82"/>
    <w:rsid w:val="00526DDC"/>
    <w:rsid w:val="00526E29"/>
    <w:rsid w:val="00526E2A"/>
    <w:rsid w:val="00526E6D"/>
    <w:rsid w:val="00526F62"/>
    <w:rsid w:val="00526F94"/>
    <w:rsid w:val="00526F9D"/>
    <w:rsid w:val="00527038"/>
    <w:rsid w:val="0052703C"/>
    <w:rsid w:val="0052710D"/>
    <w:rsid w:val="00527169"/>
    <w:rsid w:val="00527527"/>
    <w:rsid w:val="0052765A"/>
    <w:rsid w:val="0052775C"/>
    <w:rsid w:val="00527817"/>
    <w:rsid w:val="00527900"/>
    <w:rsid w:val="0052796C"/>
    <w:rsid w:val="005279E1"/>
    <w:rsid w:val="00527A51"/>
    <w:rsid w:val="00527A6C"/>
    <w:rsid w:val="00527AE4"/>
    <w:rsid w:val="00527B19"/>
    <w:rsid w:val="00527BFB"/>
    <w:rsid w:val="00527BFF"/>
    <w:rsid w:val="00527C1F"/>
    <w:rsid w:val="00527C3D"/>
    <w:rsid w:val="00527C55"/>
    <w:rsid w:val="00527F77"/>
    <w:rsid w:val="00530059"/>
    <w:rsid w:val="00530121"/>
    <w:rsid w:val="00530153"/>
    <w:rsid w:val="00530162"/>
    <w:rsid w:val="005304AA"/>
    <w:rsid w:val="005305B4"/>
    <w:rsid w:val="005306AC"/>
    <w:rsid w:val="005306FB"/>
    <w:rsid w:val="0053071A"/>
    <w:rsid w:val="00530740"/>
    <w:rsid w:val="005307BB"/>
    <w:rsid w:val="0053095B"/>
    <w:rsid w:val="00530986"/>
    <w:rsid w:val="005309FF"/>
    <w:rsid w:val="00530A55"/>
    <w:rsid w:val="00530A65"/>
    <w:rsid w:val="00530A8B"/>
    <w:rsid w:val="00530BAE"/>
    <w:rsid w:val="00530C2C"/>
    <w:rsid w:val="00530D92"/>
    <w:rsid w:val="00530DD3"/>
    <w:rsid w:val="00530DD6"/>
    <w:rsid w:val="00530E8F"/>
    <w:rsid w:val="00530F6B"/>
    <w:rsid w:val="005310BD"/>
    <w:rsid w:val="005311DF"/>
    <w:rsid w:val="005312BE"/>
    <w:rsid w:val="0053134A"/>
    <w:rsid w:val="005313C3"/>
    <w:rsid w:val="005314A1"/>
    <w:rsid w:val="00531516"/>
    <w:rsid w:val="0053154B"/>
    <w:rsid w:val="00531550"/>
    <w:rsid w:val="005315FE"/>
    <w:rsid w:val="005318C6"/>
    <w:rsid w:val="005318DA"/>
    <w:rsid w:val="00531944"/>
    <w:rsid w:val="0053196C"/>
    <w:rsid w:val="005319F8"/>
    <w:rsid w:val="00531A82"/>
    <w:rsid w:val="00531AC8"/>
    <w:rsid w:val="00531B9E"/>
    <w:rsid w:val="00531C43"/>
    <w:rsid w:val="00531C7E"/>
    <w:rsid w:val="00531D2E"/>
    <w:rsid w:val="00531ECB"/>
    <w:rsid w:val="00531FD0"/>
    <w:rsid w:val="005320C6"/>
    <w:rsid w:val="005320D1"/>
    <w:rsid w:val="005321EA"/>
    <w:rsid w:val="005321EF"/>
    <w:rsid w:val="005322C8"/>
    <w:rsid w:val="00532412"/>
    <w:rsid w:val="00532474"/>
    <w:rsid w:val="005324A3"/>
    <w:rsid w:val="005324DE"/>
    <w:rsid w:val="005324EC"/>
    <w:rsid w:val="0053255B"/>
    <w:rsid w:val="0053284C"/>
    <w:rsid w:val="00532891"/>
    <w:rsid w:val="00532978"/>
    <w:rsid w:val="0053298E"/>
    <w:rsid w:val="005329FC"/>
    <w:rsid w:val="00532A15"/>
    <w:rsid w:val="00532BE5"/>
    <w:rsid w:val="00532BFC"/>
    <w:rsid w:val="00532D30"/>
    <w:rsid w:val="00532D87"/>
    <w:rsid w:val="00532DA3"/>
    <w:rsid w:val="00532DB9"/>
    <w:rsid w:val="00532DF4"/>
    <w:rsid w:val="00532E22"/>
    <w:rsid w:val="00533002"/>
    <w:rsid w:val="00533008"/>
    <w:rsid w:val="0053300B"/>
    <w:rsid w:val="00533041"/>
    <w:rsid w:val="0053326E"/>
    <w:rsid w:val="00533300"/>
    <w:rsid w:val="00533310"/>
    <w:rsid w:val="0053332C"/>
    <w:rsid w:val="0053344C"/>
    <w:rsid w:val="00533515"/>
    <w:rsid w:val="00533553"/>
    <w:rsid w:val="005335C1"/>
    <w:rsid w:val="00533783"/>
    <w:rsid w:val="005337DD"/>
    <w:rsid w:val="005337EB"/>
    <w:rsid w:val="00533821"/>
    <w:rsid w:val="00533880"/>
    <w:rsid w:val="005338E3"/>
    <w:rsid w:val="0053392A"/>
    <w:rsid w:val="0053396D"/>
    <w:rsid w:val="00533A85"/>
    <w:rsid w:val="00533AA1"/>
    <w:rsid w:val="00533AE2"/>
    <w:rsid w:val="00533BD2"/>
    <w:rsid w:val="00533C55"/>
    <w:rsid w:val="00533C5C"/>
    <w:rsid w:val="00533CB9"/>
    <w:rsid w:val="00533CED"/>
    <w:rsid w:val="00533D56"/>
    <w:rsid w:val="00533D61"/>
    <w:rsid w:val="00533D85"/>
    <w:rsid w:val="00533ECA"/>
    <w:rsid w:val="00533F7E"/>
    <w:rsid w:val="00533F88"/>
    <w:rsid w:val="00533F8A"/>
    <w:rsid w:val="0053400E"/>
    <w:rsid w:val="005340B8"/>
    <w:rsid w:val="005341AA"/>
    <w:rsid w:val="00534200"/>
    <w:rsid w:val="005342D1"/>
    <w:rsid w:val="00534308"/>
    <w:rsid w:val="0053439B"/>
    <w:rsid w:val="0053440F"/>
    <w:rsid w:val="00534444"/>
    <w:rsid w:val="00534480"/>
    <w:rsid w:val="005344AC"/>
    <w:rsid w:val="005346A4"/>
    <w:rsid w:val="005346AA"/>
    <w:rsid w:val="00534844"/>
    <w:rsid w:val="00534975"/>
    <w:rsid w:val="005349F9"/>
    <w:rsid w:val="00534C24"/>
    <w:rsid w:val="00534E9F"/>
    <w:rsid w:val="00534F4B"/>
    <w:rsid w:val="00534F83"/>
    <w:rsid w:val="005350EF"/>
    <w:rsid w:val="00535113"/>
    <w:rsid w:val="00535207"/>
    <w:rsid w:val="005352AD"/>
    <w:rsid w:val="005352DC"/>
    <w:rsid w:val="00535334"/>
    <w:rsid w:val="00535436"/>
    <w:rsid w:val="0053543A"/>
    <w:rsid w:val="005355F9"/>
    <w:rsid w:val="0053560F"/>
    <w:rsid w:val="0053569C"/>
    <w:rsid w:val="00535763"/>
    <w:rsid w:val="0053579B"/>
    <w:rsid w:val="005357F4"/>
    <w:rsid w:val="00535812"/>
    <w:rsid w:val="00535823"/>
    <w:rsid w:val="0053593A"/>
    <w:rsid w:val="00535AB1"/>
    <w:rsid w:val="00535AB8"/>
    <w:rsid w:val="00535C1F"/>
    <w:rsid w:val="00535D26"/>
    <w:rsid w:val="00535E0F"/>
    <w:rsid w:val="00535E1F"/>
    <w:rsid w:val="00535E69"/>
    <w:rsid w:val="00535ECD"/>
    <w:rsid w:val="00535F18"/>
    <w:rsid w:val="00536158"/>
    <w:rsid w:val="00536164"/>
    <w:rsid w:val="005361B1"/>
    <w:rsid w:val="0053625E"/>
    <w:rsid w:val="00536311"/>
    <w:rsid w:val="005363A5"/>
    <w:rsid w:val="00536458"/>
    <w:rsid w:val="005364B3"/>
    <w:rsid w:val="0053651B"/>
    <w:rsid w:val="0053657E"/>
    <w:rsid w:val="005365CC"/>
    <w:rsid w:val="00536601"/>
    <w:rsid w:val="00536800"/>
    <w:rsid w:val="00536A3D"/>
    <w:rsid w:val="00536A40"/>
    <w:rsid w:val="00536A6A"/>
    <w:rsid w:val="00536B10"/>
    <w:rsid w:val="00536B13"/>
    <w:rsid w:val="00536CA1"/>
    <w:rsid w:val="00536D39"/>
    <w:rsid w:val="00536D80"/>
    <w:rsid w:val="00536DD5"/>
    <w:rsid w:val="00536EB0"/>
    <w:rsid w:val="00536F04"/>
    <w:rsid w:val="00536F0B"/>
    <w:rsid w:val="00537069"/>
    <w:rsid w:val="005370B6"/>
    <w:rsid w:val="005371CB"/>
    <w:rsid w:val="005371F4"/>
    <w:rsid w:val="0053722C"/>
    <w:rsid w:val="005372AE"/>
    <w:rsid w:val="005373F5"/>
    <w:rsid w:val="0053743A"/>
    <w:rsid w:val="00537461"/>
    <w:rsid w:val="00537546"/>
    <w:rsid w:val="00537578"/>
    <w:rsid w:val="005375AA"/>
    <w:rsid w:val="005377EA"/>
    <w:rsid w:val="0053791C"/>
    <w:rsid w:val="0053797A"/>
    <w:rsid w:val="00537AA3"/>
    <w:rsid w:val="00537D1F"/>
    <w:rsid w:val="00537F5F"/>
    <w:rsid w:val="0054005F"/>
    <w:rsid w:val="00540080"/>
    <w:rsid w:val="0054009F"/>
    <w:rsid w:val="0054013F"/>
    <w:rsid w:val="00540190"/>
    <w:rsid w:val="005402EC"/>
    <w:rsid w:val="0054032A"/>
    <w:rsid w:val="00540362"/>
    <w:rsid w:val="005403B4"/>
    <w:rsid w:val="005403D9"/>
    <w:rsid w:val="005407EF"/>
    <w:rsid w:val="005408DD"/>
    <w:rsid w:val="00540A06"/>
    <w:rsid w:val="00540A65"/>
    <w:rsid w:val="00540ACC"/>
    <w:rsid w:val="00540AFE"/>
    <w:rsid w:val="00540BB4"/>
    <w:rsid w:val="00540BD1"/>
    <w:rsid w:val="00540E98"/>
    <w:rsid w:val="0054101A"/>
    <w:rsid w:val="005410F0"/>
    <w:rsid w:val="00541191"/>
    <w:rsid w:val="0054131C"/>
    <w:rsid w:val="00541352"/>
    <w:rsid w:val="00541370"/>
    <w:rsid w:val="005413C3"/>
    <w:rsid w:val="005414CE"/>
    <w:rsid w:val="005416D9"/>
    <w:rsid w:val="005416E8"/>
    <w:rsid w:val="00541958"/>
    <w:rsid w:val="00541990"/>
    <w:rsid w:val="005419EC"/>
    <w:rsid w:val="00541BE1"/>
    <w:rsid w:val="00541CB2"/>
    <w:rsid w:val="00541CBF"/>
    <w:rsid w:val="00541D34"/>
    <w:rsid w:val="00541DA0"/>
    <w:rsid w:val="00541F2C"/>
    <w:rsid w:val="00541F9F"/>
    <w:rsid w:val="00541FE0"/>
    <w:rsid w:val="00541FF0"/>
    <w:rsid w:val="00542067"/>
    <w:rsid w:val="005421C9"/>
    <w:rsid w:val="00542285"/>
    <w:rsid w:val="00542377"/>
    <w:rsid w:val="005423A8"/>
    <w:rsid w:val="005423BF"/>
    <w:rsid w:val="005423CA"/>
    <w:rsid w:val="005423FE"/>
    <w:rsid w:val="0054244C"/>
    <w:rsid w:val="00542549"/>
    <w:rsid w:val="005425C8"/>
    <w:rsid w:val="0054260D"/>
    <w:rsid w:val="005426BD"/>
    <w:rsid w:val="00542834"/>
    <w:rsid w:val="0054287D"/>
    <w:rsid w:val="00542885"/>
    <w:rsid w:val="005428C3"/>
    <w:rsid w:val="005428EB"/>
    <w:rsid w:val="0054298A"/>
    <w:rsid w:val="005429A8"/>
    <w:rsid w:val="00542A5D"/>
    <w:rsid w:val="00542BD1"/>
    <w:rsid w:val="00542C50"/>
    <w:rsid w:val="00542CA2"/>
    <w:rsid w:val="00542D3A"/>
    <w:rsid w:val="00542DA6"/>
    <w:rsid w:val="00542E26"/>
    <w:rsid w:val="00542FB9"/>
    <w:rsid w:val="005430F8"/>
    <w:rsid w:val="00543105"/>
    <w:rsid w:val="005433A5"/>
    <w:rsid w:val="005433D9"/>
    <w:rsid w:val="00543487"/>
    <w:rsid w:val="0054349A"/>
    <w:rsid w:val="005434C1"/>
    <w:rsid w:val="0054351E"/>
    <w:rsid w:val="00543562"/>
    <w:rsid w:val="00543606"/>
    <w:rsid w:val="00543626"/>
    <w:rsid w:val="00543633"/>
    <w:rsid w:val="0054369B"/>
    <w:rsid w:val="00543743"/>
    <w:rsid w:val="0054374F"/>
    <w:rsid w:val="005437A5"/>
    <w:rsid w:val="005437A9"/>
    <w:rsid w:val="0054381F"/>
    <w:rsid w:val="00543823"/>
    <w:rsid w:val="00543855"/>
    <w:rsid w:val="0054388D"/>
    <w:rsid w:val="00543901"/>
    <w:rsid w:val="00543A2B"/>
    <w:rsid w:val="00543A53"/>
    <w:rsid w:val="00543AB6"/>
    <w:rsid w:val="00543B4A"/>
    <w:rsid w:val="00543CC6"/>
    <w:rsid w:val="00543E63"/>
    <w:rsid w:val="00543F1B"/>
    <w:rsid w:val="00543F7B"/>
    <w:rsid w:val="0054401E"/>
    <w:rsid w:val="0054407D"/>
    <w:rsid w:val="005440C3"/>
    <w:rsid w:val="0054411B"/>
    <w:rsid w:val="00544185"/>
    <w:rsid w:val="00544341"/>
    <w:rsid w:val="0054436B"/>
    <w:rsid w:val="0054449B"/>
    <w:rsid w:val="005444CF"/>
    <w:rsid w:val="00544616"/>
    <w:rsid w:val="00544732"/>
    <w:rsid w:val="005447F3"/>
    <w:rsid w:val="0054485B"/>
    <w:rsid w:val="005449C8"/>
    <w:rsid w:val="005449D3"/>
    <w:rsid w:val="00544A52"/>
    <w:rsid w:val="00544A81"/>
    <w:rsid w:val="00544ABA"/>
    <w:rsid w:val="00544B70"/>
    <w:rsid w:val="00544C67"/>
    <w:rsid w:val="00544DFD"/>
    <w:rsid w:val="00544E1E"/>
    <w:rsid w:val="00544E33"/>
    <w:rsid w:val="00544F11"/>
    <w:rsid w:val="00544F5A"/>
    <w:rsid w:val="00544FF4"/>
    <w:rsid w:val="00545007"/>
    <w:rsid w:val="00545093"/>
    <w:rsid w:val="00545238"/>
    <w:rsid w:val="005452A3"/>
    <w:rsid w:val="00545544"/>
    <w:rsid w:val="00545710"/>
    <w:rsid w:val="0054576A"/>
    <w:rsid w:val="00545880"/>
    <w:rsid w:val="0054592D"/>
    <w:rsid w:val="00545964"/>
    <w:rsid w:val="005459F2"/>
    <w:rsid w:val="00545AAA"/>
    <w:rsid w:val="00545B6F"/>
    <w:rsid w:val="00545BA6"/>
    <w:rsid w:val="00545C06"/>
    <w:rsid w:val="00545C0D"/>
    <w:rsid w:val="00545C7D"/>
    <w:rsid w:val="00545E36"/>
    <w:rsid w:val="00545F22"/>
    <w:rsid w:val="0054602F"/>
    <w:rsid w:val="00546198"/>
    <w:rsid w:val="00546293"/>
    <w:rsid w:val="00546351"/>
    <w:rsid w:val="0054636D"/>
    <w:rsid w:val="005463CC"/>
    <w:rsid w:val="00546408"/>
    <w:rsid w:val="0054657A"/>
    <w:rsid w:val="00546620"/>
    <w:rsid w:val="0054668C"/>
    <w:rsid w:val="005466EF"/>
    <w:rsid w:val="0054678A"/>
    <w:rsid w:val="005469E6"/>
    <w:rsid w:val="00546A11"/>
    <w:rsid w:val="00546A5D"/>
    <w:rsid w:val="00546A6A"/>
    <w:rsid w:val="00546A8F"/>
    <w:rsid w:val="00546D31"/>
    <w:rsid w:val="00546D50"/>
    <w:rsid w:val="00546DE3"/>
    <w:rsid w:val="00546E44"/>
    <w:rsid w:val="00546E6C"/>
    <w:rsid w:val="00546E9F"/>
    <w:rsid w:val="00546EC0"/>
    <w:rsid w:val="00546F1A"/>
    <w:rsid w:val="00546F3D"/>
    <w:rsid w:val="00546FA1"/>
    <w:rsid w:val="005470A2"/>
    <w:rsid w:val="0054711B"/>
    <w:rsid w:val="0054715E"/>
    <w:rsid w:val="005471BC"/>
    <w:rsid w:val="0054724A"/>
    <w:rsid w:val="0054727D"/>
    <w:rsid w:val="00547418"/>
    <w:rsid w:val="0054744F"/>
    <w:rsid w:val="005474A0"/>
    <w:rsid w:val="005474B3"/>
    <w:rsid w:val="00547551"/>
    <w:rsid w:val="00547662"/>
    <w:rsid w:val="005477EF"/>
    <w:rsid w:val="005479C0"/>
    <w:rsid w:val="00547A01"/>
    <w:rsid w:val="00547A02"/>
    <w:rsid w:val="00547B68"/>
    <w:rsid w:val="00547B80"/>
    <w:rsid w:val="00547B9B"/>
    <w:rsid w:val="00547B9C"/>
    <w:rsid w:val="00547CA9"/>
    <w:rsid w:val="00547CFF"/>
    <w:rsid w:val="00547D18"/>
    <w:rsid w:val="00547DBE"/>
    <w:rsid w:val="00547DDD"/>
    <w:rsid w:val="00547E2A"/>
    <w:rsid w:val="00547E3C"/>
    <w:rsid w:val="00547E4B"/>
    <w:rsid w:val="00547EA4"/>
    <w:rsid w:val="00547F48"/>
    <w:rsid w:val="00547FB1"/>
    <w:rsid w:val="00547FBF"/>
    <w:rsid w:val="00547FEB"/>
    <w:rsid w:val="0055000A"/>
    <w:rsid w:val="00550065"/>
    <w:rsid w:val="005503BC"/>
    <w:rsid w:val="0055041B"/>
    <w:rsid w:val="00550473"/>
    <w:rsid w:val="00550497"/>
    <w:rsid w:val="005505D6"/>
    <w:rsid w:val="0055085F"/>
    <w:rsid w:val="0055096B"/>
    <w:rsid w:val="00550974"/>
    <w:rsid w:val="00550996"/>
    <w:rsid w:val="00550A66"/>
    <w:rsid w:val="00550A8B"/>
    <w:rsid w:val="00550AB2"/>
    <w:rsid w:val="00550AD3"/>
    <w:rsid w:val="00550CAF"/>
    <w:rsid w:val="00550CEE"/>
    <w:rsid w:val="00550E7A"/>
    <w:rsid w:val="00550EFE"/>
    <w:rsid w:val="00551042"/>
    <w:rsid w:val="005510C8"/>
    <w:rsid w:val="0055133A"/>
    <w:rsid w:val="00551450"/>
    <w:rsid w:val="00551468"/>
    <w:rsid w:val="00551502"/>
    <w:rsid w:val="005515ED"/>
    <w:rsid w:val="00551605"/>
    <w:rsid w:val="0055160F"/>
    <w:rsid w:val="005516A8"/>
    <w:rsid w:val="005516CB"/>
    <w:rsid w:val="00551772"/>
    <w:rsid w:val="005517B5"/>
    <w:rsid w:val="0055191C"/>
    <w:rsid w:val="0055195D"/>
    <w:rsid w:val="0055196D"/>
    <w:rsid w:val="005519AE"/>
    <w:rsid w:val="005519EB"/>
    <w:rsid w:val="00551A86"/>
    <w:rsid w:val="00551B43"/>
    <w:rsid w:val="00551B84"/>
    <w:rsid w:val="00551CC5"/>
    <w:rsid w:val="00551D1F"/>
    <w:rsid w:val="00551D5A"/>
    <w:rsid w:val="00551DFE"/>
    <w:rsid w:val="0055209E"/>
    <w:rsid w:val="00552119"/>
    <w:rsid w:val="0055216B"/>
    <w:rsid w:val="0055228D"/>
    <w:rsid w:val="005522A9"/>
    <w:rsid w:val="005522C4"/>
    <w:rsid w:val="005522D6"/>
    <w:rsid w:val="005522EA"/>
    <w:rsid w:val="005522EC"/>
    <w:rsid w:val="00552339"/>
    <w:rsid w:val="0055236B"/>
    <w:rsid w:val="005523B0"/>
    <w:rsid w:val="005523C5"/>
    <w:rsid w:val="005523F3"/>
    <w:rsid w:val="005523FA"/>
    <w:rsid w:val="005525F2"/>
    <w:rsid w:val="005526CA"/>
    <w:rsid w:val="005526D1"/>
    <w:rsid w:val="0055281C"/>
    <w:rsid w:val="005528B7"/>
    <w:rsid w:val="00552917"/>
    <w:rsid w:val="00552996"/>
    <w:rsid w:val="005529E6"/>
    <w:rsid w:val="00552C1D"/>
    <w:rsid w:val="00552C25"/>
    <w:rsid w:val="00552C79"/>
    <w:rsid w:val="00552C96"/>
    <w:rsid w:val="00552D17"/>
    <w:rsid w:val="00552D24"/>
    <w:rsid w:val="00552D45"/>
    <w:rsid w:val="00552E03"/>
    <w:rsid w:val="00552E29"/>
    <w:rsid w:val="00552E35"/>
    <w:rsid w:val="00552E3B"/>
    <w:rsid w:val="00552EBC"/>
    <w:rsid w:val="00552EFA"/>
    <w:rsid w:val="00553015"/>
    <w:rsid w:val="005530B8"/>
    <w:rsid w:val="00553177"/>
    <w:rsid w:val="005532C4"/>
    <w:rsid w:val="005532E9"/>
    <w:rsid w:val="00553328"/>
    <w:rsid w:val="0055335A"/>
    <w:rsid w:val="0055343C"/>
    <w:rsid w:val="005534AD"/>
    <w:rsid w:val="005534DB"/>
    <w:rsid w:val="005534F2"/>
    <w:rsid w:val="0055354F"/>
    <w:rsid w:val="00553565"/>
    <w:rsid w:val="0055358D"/>
    <w:rsid w:val="005537B3"/>
    <w:rsid w:val="00553823"/>
    <w:rsid w:val="0055386F"/>
    <w:rsid w:val="00553880"/>
    <w:rsid w:val="00553AAE"/>
    <w:rsid w:val="00553BC4"/>
    <w:rsid w:val="00553C25"/>
    <w:rsid w:val="00553C8F"/>
    <w:rsid w:val="00553D64"/>
    <w:rsid w:val="00553DC3"/>
    <w:rsid w:val="00553DCC"/>
    <w:rsid w:val="00553EE9"/>
    <w:rsid w:val="00553EFD"/>
    <w:rsid w:val="00553FDD"/>
    <w:rsid w:val="00554025"/>
    <w:rsid w:val="005540AA"/>
    <w:rsid w:val="0055410C"/>
    <w:rsid w:val="00554252"/>
    <w:rsid w:val="0055426D"/>
    <w:rsid w:val="0055429A"/>
    <w:rsid w:val="00554508"/>
    <w:rsid w:val="0055450D"/>
    <w:rsid w:val="005545A5"/>
    <w:rsid w:val="00554664"/>
    <w:rsid w:val="00554730"/>
    <w:rsid w:val="005547B5"/>
    <w:rsid w:val="005547BB"/>
    <w:rsid w:val="0055480D"/>
    <w:rsid w:val="0055482E"/>
    <w:rsid w:val="00554889"/>
    <w:rsid w:val="00554A74"/>
    <w:rsid w:val="00554AD8"/>
    <w:rsid w:val="00554BE7"/>
    <w:rsid w:val="00554D0E"/>
    <w:rsid w:val="00554D69"/>
    <w:rsid w:val="00554E64"/>
    <w:rsid w:val="00554E6C"/>
    <w:rsid w:val="00554EA1"/>
    <w:rsid w:val="00554FAD"/>
    <w:rsid w:val="00555014"/>
    <w:rsid w:val="005550D9"/>
    <w:rsid w:val="0055513A"/>
    <w:rsid w:val="00555172"/>
    <w:rsid w:val="005551AA"/>
    <w:rsid w:val="005551E3"/>
    <w:rsid w:val="005551FD"/>
    <w:rsid w:val="00555296"/>
    <w:rsid w:val="005552EF"/>
    <w:rsid w:val="00555346"/>
    <w:rsid w:val="00555441"/>
    <w:rsid w:val="005554FC"/>
    <w:rsid w:val="0055554A"/>
    <w:rsid w:val="0055574F"/>
    <w:rsid w:val="005558A9"/>
    <w:rsid w:val="005558B6"/>
    <w:rsid w:val="005558CA"/>
    <w:rsid w:val="005558D9"/>
    <w:rsid w:val="00555ABA"/>
    <w:rsid w:val="00555AD8"/>
    <w:rsid w:val="00555B6D"/>
    <w:rsid w:val="00555B74"/>
    <w:rsid w:val="00555BD6"/>
    <w:rsid w:val="00555C8B"/>
    <w:rsid w:val="00555DE8"/>
    <w:rsid w:val="00555EF3"/>
    <w:rsid w:val="00555F20"/>
    <w:rsid w:val="00555F4A"/>
    <w:rsid w:val="00555FE2"/>
    <w:rsid w:val="005560BB"/>
    <w:rsid w:val="005561B7"/>
    <w:rsid w:val="00556241"/>
    <w:rsid w:val="00556319"/>
    <w:rsid w:val="00556362"/>
    <w:rsid w:val="00556465"/>
    <w:rsid w:val="00556493"/>
    <w:rsid w:val="0055652E"/>
    <w:rsid w:val="0055657B"/>
    <w:rsid w:val="00556737"/>
    <w:rsid w:val="0055675F"/>
    <w:rsid w:val="005567A6"/>
    <w:rsid w:val="005567A9"/>
    <w:rsid w:val="005567BC"/>
    <w:rsid w:val="005567D2"/>
    <w:rsid w:val="005567EF"/>
    <w:rsid w:val="00556820"/>
    <w:rsid w:val="00556875"/>
    <w:rsid w:val="005568A7"/>
    <w:rsid w:val="005568DD"/>
    <w:rsid w:val="00556B20"/>
    <w:rsid w:val="00556B4C"/>
    <w:rsid w:val="00556B4D"/>
    <w:rsid w:val="00556B67"/>
    <w:rsid w:val="00556BC1"/>
    <w:rsid w:val="00556C5E"/>
    <w:rsid w:val="00556C8E"/>
    <w:rsid w:val="00556DE5"/>
    <w:rsid w:val="00556EDC"/>
    <w:rsid w:val="00556F66"/>
    <w:rsid w:val="0055707A"/>
    <w:rsid w:val="00557094"/>
    <w:rsid w:val="005572C4"/>
    <w:rsid w:val="005572F0"/>
    <w:rsid w:val="0055734D"/>
    <w:rsid w:val="005574B0"/>
    <w:rsid w:val="0055759C"/>
    <w:rsid w:val="005575CA"/>
    <w:rsid w:val="005576B5"/>
    <w:rsid w:val="005576E6"/>
    <w:rsid w:val="005577B6"/>
    <w:rsid w:val="0055786B"/>
    <w:rsid w:val="00557967"/>
    <w:rsid w:val="00557974"/>
    <w:rsid w:val="00557992"/>
    <w:rsid w:val="00557B78"/>
    <w:rsid w:val="00557B86"/>
    <w:rsid w:val="00557C68"/>
    <w:rsid w:val="00557CC3"/>
    <w:rsid w:val="00557D51"/>
    <w:rsid w:val="00557DC2"/>
    <w:rsid w:val="00557E06"/>
    <w:rsid w:val="00557E0C"/>
    <w:rsid w:val="00557FFB"/>
    <w:rsid w:val="005601F9"/>
    <w:rsid w:val="00560200"/>
    <w:rsid w:val="005602D3"/>
    <w:rsid w:val="005604DD"/>
    <w:rsid w:val="0056050B"/>
    <w:rsid w:val="00560560"/>
    <w:rsid w:val="00560570"/>
    <w:rsid w:val="00560613"/>
    <w:rsid w:val="00560866"/>
    <w:rsid w:val="005608DB"/>
    <w:rsid w:val="00560914"/>
    <w:rsid w:val="00560964"/>
    <w:rsid w:val="0056096C"/>
    <w:rsid w:val="00560988"/>
    <w:rsid w:val="005609F8"/>
    <w:rsid w:val="00560A38"/>
    <w:rsid w:val="00560A78"/>
    <w:rsid w:val="00560A7E"/>
    <w:rsid w:val="00560B52"/>
    <w:rsid w:val="00560B9F"/>
    <w:rsid w:val="00560BC7"/>
    <w:rsid w:val="00560C3B"/>
    <w:rsid w:val="00560C76"/>
    <w:rsid w:val="00560D40"/>
    <w:rsid w:val="00560E39"/>
    <w:rsid w:val="00560E8F"/>
    <w:rsid w:val="00560F36"/>
    <w:rsid w:val="00560FE4"/>
    <w:rsid w:val="005610A8"/>
    <w:rsid w:val="005610AD"/>
    <w:rsid w:val="005610F6"/>
    <w:rsid w:val="0056143E"/>
    <w:rsid w:val="00561453"/>
    <w:rsid w:val="00561489"/>
    <w:rsid w:val="0056153C"/>
    <w:rsid w:val="005615BE"/>
    <w:rsid w:val="00561651"/>
    <w:rsid w:val="0056168A"/>
    <w:rsid w:val="00561721"/>
    <w:rsid w:val="00561753"/>
    <w:rsid w:val="0056181B"/>
    <w:rsid w:val="005618AA"/>
    <w:rsid w:val="00561981"/>
    <w:rsid w:val="00561A06"/>
    <w:rsid w:val="00561A4E"/>
    <w:rsid w:val="00561AF5"/>
    <w:rsid w:val="00561B34"/>
    <w:rsid w:val="00561B6B"/>
    <w:rsid w:val="00561D62"/>
    <w:rsid w:val="00561D90"/>
    <w:rsid w:val="00561D98"/>
    <w:rsid w:val="00561EA6"/>
    <w:rsid w:val="00561EC2"/>
    <w:rsid w:val="00561F95"/>
    <w:rsid w:val="00562033"/>
    <w:rsid w:val="005620DF"/>
    <w:rsid w:val="00562405"/>
    <w:rsid w:val="00562488"/>
    <w:rsid w:val="005624AA"/>
    <w:rsid w:val="0056260D"/>
    <w:rsid w:val="00562635"/>
    <w:rsid w:val="0056271A"/>
    <w:rsid w:val="00562B38"/>
    <w:rsid w:val="00562B46"/>
    <w:rsid w:val="00562BE6"/>
    <w:rsid w:val="00562DF0"/>
    <w:rsid w:val="00562E52"/>
    <w:rsid w:val="00562FBB"/>
    <w:rsid w:val="00563056"/>
    <w:rsid w:val="0056306C"/>
    <w:rsid w:val="0056307F"/>
    <w:rsid w:val="005630F8"/>
    <w:rsid w:val="00563201"/>
    <w:rsid w:val="00563278"/>
    <w:rsid w:val="005632F8"/>
    <w:rsid w:val="005633E7"/>
    <w:rsid w:val="005636D9"/>
    <w:rsid w:val="00563836"/>
    <w:rsid w:val="005638CB"/>
    <w:rsid w:val="0056391D"/>
    <w:rsid w:val="00563995"/>
    <w:rsid w:val="00563C84"/>
    <w:rsid w:val="00563DCF"/>
    <w:rsid w:val="00563E32"/>
    <w:rsid w:val="00563E46"/>
    <w:rsid w:val="005640BE"/>
    <w:rsid w:val="0056421B"/>
    <w:rsid w:val="00564440"/>
    <w:rsid w:val="0056450F"/>
    <w:rsid w:val="005645F2"/>
    <w:rsid w:val="0056460D"/>
    <w:rsid w:val="00564678"/>
    <w:rsid w:val="0056467B"/>
    <w:rsid w:val="005647C4"/>
    <w:rsid w:val="005647E4"/>
    <w:rsid w:val="00564898"/>
    <w:rsid w:val="005649D4"/>
    <w:rsid w:val="005649DC"/>
    <w:rsid w:val="00564AC9"/>
    <w:rsid w:val="00564CE9"/>
    <w:rsid w:val="00564DB2"/>
    <w:rsid w:val="00564E46"/>
    <w:rsid w:val="00564EA8"/>
    <w:rsid w:val="00564FF1"/>
    <w:rsid w:val="0056501D"/>
    <w:rsid w:val="00565075"/>
    <w:rsid w:val="0056511C"/>
    <w:rsid w:val="0056519D"/>
    <w:rsid w:val="005651F9"/>
    <w:rsid w:val="0056525A"/>
    <w:rsid w:val="00565261"/>
    <w:rsid w:val="005652AB"/>
    <w:rsid w:val="00565323"/>
    <w:rsid w:val="0056538F"/>
    <w:rsid w:val="00565392"/>
    <w:rsid w:val="005653B5"/>
    <w:rsid w:val="005653C4"/>
    <w:rsid w:val="0056544B"/>
    <w:rsid w:val="0056544D"/>
    <w:rsid w:val="005654AA"/>
    <w:rsid w:val="0056557E"/>
    <w:rsid w:val="00565696"/>
    <w:rsid w:val="005657F4"/>
    <w:rsid w:val="005659F3"/>
    <w:rsid w:val="00565AE4"/>
    <w:rsid w:val="00565EAA"/>
    <w:rsid w:val="00565EC7"/>
    <w:rsid w:val="00565EFC"/>
    <w:rsid w:val="00565F2E"/>
    <w:rsid w:val="0056604E"/>
    <w:rsid w:val="0056606F"/>
    <w:rsid w:val="0056608D"/>
    <w:rsid w:val="005660AE"/>
    <w:rsid w:val="005660DE"/>
    <w:rsid w:val="00566113"/>
    <w:rsid w:val="00566123"/>
    <w:rsid w:val="005661AC"/>
    <w:rsid w:val="005661B9"/>
    <w:rsid w:val="005661D6"/>
    <w:rsid w:val="00566458"/>
    <w:rsid w:val="005666B5"/>
    <w:rsid w:val="005667F4"/>
    <w:rsid w:val="0056681B"/>
    <w:rsid w:val="0056682C"/>
    <w:rsid w:val="00566A1F"/>
    <w:rsid w:val="00566B44"/>
    <w:rsid w:val="00566B8C"/>
    <w:rsid w:val="00566CA8"/>
    <w:rsid w:val="00566CD2"/>
    <w:rsid w:val="00566E11"/>
    <w:rsid w:val="00566E34"/>
    <w:rsid w:val="00566EBC"/>
    <w:rsid w:val="005670D4"/>
    <w:rsid w:val="00567111"/>
    <w:rsid w:val="00567247"/>
    <w:rsid w:val="00567251"/>
    <w:rsid w:val="005672C5"/>
    <w:rsid w:val="005672D8"/>
    <w:rsid w:val="00567329"/>
    <w:rsid w:val="00567416"/>
    <w:rsid w:val="005674E0"/>
    <w:rsid w:val="00567566"/>
    <w:rsid w:val="005676C7"/>
    <w:rsid w:val="005676E2"/>
    <w:rsid w:val="00567917"/>
    <w:rsid w:val="00567923"/>
    <w:rsid w:val="00567945"/>
    <w:rsid w:val="005679C1"/>
    <w:rsid w:val="005679D1"/>
    <w:rsid w:val="00567AC8"/>
    <w:rsid w:val="00567B2D"/>
    <w:rsid w:val="00567BFC"/>
    <w:rsid w:val="00567C79"/>
    <w:rsid w:val="00567C9E"/>
    <w:rsid w:val="00567DDC"/>
    <w:rsid w:val="00567E90"/>
    <w:rsid w:val="00567F4A"/>
    <w:rsid w:val="00567FD0"/>
    <w:rsid w:val="00567FE5"/>
    <w:rsid w:val="00570100"/>
    <w:rsid w:val="00570116"/>
    <w:rsid w:val="0057018B"/>
    <w:rsid w:val="005701DF"/>
    <w:rsid w:val="005702F9"/>
    <w:rsid w:val="00570343"/>
    <w:rsid w:val="005703C9"/>
    <w:rsid w:val="005703D6"/>
    <w:rsid w:val="0057047C"/>
    <w:rsid w:val="00570622"/>
    <w:rsid w:val="00570676"/>
    <w:rsid w:val="00570746"/>
    <w:rsid w:val="00570779"/>
    <w:rsid w:val="0057094D"/>
    <w:rsid w:val="005709C9"/>
    <w:rsid w:val="00570A93"/>
    <w:rsid w:val="00570B06"/>
    <w:rsid w:val="00570B98"/>
    <w:rsid w:val="00570CC7"/>
    <w:rsid w:val="00570CED"/>
    <w:rsid w:val="00570DAF"/>
    <w:rsid w:val="00570F1D"/>
    <w:rsid w:val="0057110F"/>
    <w:rsid w:val="0057112C"/>
    <w:rsid w:val="005711EA"/>
    <w:rsid w:val="00571202"/>
    <w:rsid w:val="005712F0"/>
    <w:rsid w:val="0057139E"/>
    <w:rsid w:val="00571439"/>
    <w:rsid w:val="00571441"/>
    <w:rsid w:val="0057154F"/>
    <w:rsid w:val="00571632"/>
    <w:rsid w:val="0057169B"/>
    <w:rsid w:val="0057174C"/>
    <w:rsid w:val="005717C6"/>
    <w:rsid w:val="0057187A"/>
    <w:rsid w:val="00571884"/>
    <w:rsid w:val="00571950"/>
    <w:rsid w:val="00571983"/>
    <w:rsid w:val="00571A9B"/>
    <w:rsid w:val="00571BAE"/>
    <w:rsid w:val="00571C1C"/>
    <w:rsid w:val="00571CAC"/>
    <w:rsid w:val="00571CF4"/>
    <w:rsid w:val="00571D45"/>
    <w:rsid w:val="00571DCF"/>
    <w:rsid w:val="00571E75"/>
    <w:rsid w:val="00571EC3"/>
    <w:rsid w:val="00571F16"/>
    <w:rsid w:val="00571F23"/>
    <w:rsid w:val="00571F86"/>
    <w:rsid w:val="00571F9A"/>
    <w:rsid w:val="00571F9E"/>
    <w:rsid w:val="00571FCC"/>
    <w:rsid w:val="00571FEB"/>
    <w:rsid w:val="005720BC"/>
    <w:rsid w:val="00572119"/>
    <w:rsid w:val="005721E5"/>
    <w:rsid w:val="00572267"/>
    <w:rsid w:val="005722DF"/>
    <w:rsid w:val="00572380"/>
    <w:rsid w:val="005723E3"/>
    <w:rsid w:val="00572417"/>
    <w:rsid w:val="00572431"/>
    <w:rsid w:val="005724EE"/>
    <w:rsid w:val="00572577"/>
    <w:rsid w:val="005726C6"/>
    <w:rsid w:val="005726D3"/>
    <w:rsid w:val="00572712"/>
    <w:rsid w:val="0057275A"/>
    <w:rsid w:val="005727BD"/>
    <w:rsid w:val="00572872"/>
    <w:rsid w:val="005728FA"/>
    <w:rsid w:val="00572B18"/>
    <w:rsid w:val="00572C06"/>
    <w:rsid w:val="00572C2B"/>
    <w:rsid w:val="00572CD2"/>
    <w:rsid w:val="00572CDB"/>
    <w:rsid w:val="00572CF7"/>
    <w:rsid w:val="00572D5C"/>
    <w:rsid w:val="00572D6F"/>
    <w:rsid w:val="00572DCF"/>
    <w:rsid w:val="00573001"/>
    <w:rsid w:val="00573135"/>
    <w:rsid w:val="00573180"/>
    <w:rsid w:val="005731B3"/>
    <w:rsid w:val="0057326C"/>
    <w:rsid w:val="0057327D"/>
    <w:rsid w:val="005732AE"/>
    <w:rsid w:val="005732E8"/>
    <w:rsid w:val="00573391"/>
    <w:rsid w:val="00573508"/>
    <w:rsid w:val="00573603"/>
    <w:rsid w:val="00573697"/>
    <w:rsid w:val="005736DC"/>
    <w:rsid w:val="0057377F"/>
    <w:rsid w:val="00573865"/>
    <w:rsid w:val="00573878"/>
    <w:rsid w:val="0057397F"/>
    <w:rsid w:val="005739F6"/>
    <w:rsid w:val="00573AE5"/>
    <w:rsid w:val="00573D40"/>
    <w:rsid w:val="00573D4B"/>
    <w:rsid w:val="00573E2B"/>
    <w:rsid w:val="00573E61"/>
    <w:rsid w:val="00573F61"/>
    <w:rsid w:val="00574194"/>
    <w:rsid w:val="00574385"/>
    <w:rsid w:val="00574444"/>
    <w:rsid w:val="00574498"/>
    <w:rsid w:val="005744C6"/>
    <w:rsid w:val="00574688"/>
    <w:rsid w:val="00574771"/>
    <w:rsid w:val="0057477D"/>
    <w:rsid w:val="00574847"/>
    <w:rsid w:val="005748B8"/>
    <w:rsid w:val="00574B3A"/>
    <w:rsid w:val="00574BDE"/>
    <w:rsid w:val="00574C48"/>
    <w:rsid w:val="00574C5F"/>
    <w:rsid w:val="00574C70"/>
    <w:rsid w:val="00574C8B"/>
    <w:rsid w:val="00574CB3"/>
    <w:rsid w:val="00574DFC"/>
    <w:rsid w:val="00574E1F"/>
    <w:rsid w:val="00574EEB"/>
    <w:rsid w:val="00574F33"/>
    <w:rsid w:val="00574F43"/>
    <w:rsid w:val="00574F9B"/>
    <w:rsid w:val="0057514C"/>
    <w:rsid w:val="005751A3"/>
    <w:rsid w:val="005751B5"/>
    <w:rsid w:val="005753A8"/>
    <w:rsid w:val="00575412"/>
    <w:rsid w:val="005754A6"/>
    <w:rsid w:val="005754F8"/>
    <w:rsid w:val="005754FB"/>
    <w:rsid w:val="00575586"/>
    <w:rsid w:val="005756A0"/>
    <w:rsid w:val="0057576F"/>
    <w:rsid w:val="00575773"/>
    <w:rsid w:val="0057579E"/>
    <w:rsid w:val="005757C2"/>
    <w:rsid w:val="005757FD"/>
    <w:rsid w:val="005758CA"/>
    <w:rsid w:val="00575912"/>
    <w:rsid w:val="00575A64"/>
    <w:rsid w:val="00575AC9"/>
    <w:rsid w:val="00575AF6"/>
    <w:rsid w:val="00575C0A"/>
    <w:rsid w:val="00575C3B"/>
    <w:rsid w:val="00575C52"/>
    <w:rsid w:val="00575C7F"/>
    <w:rsid w:val="00575C8D"/>
    <w:rsid w:val="00575E76"/>
    <w:rsid w:val="00575F95"/>
    <w:rsid w:val="00576076"/>
    <w:rsid w:val="00576137"/>
    <w:rsid w:val="005762B6"/>
    <w:rsid w:val="005763C0"/>
    <w:rsid w:val="0057641C"/>
    <w:rsid w:val="005764BA"/>
    <w:rsid w:val="0057655B"/>
    <w:rsid w:val="00576604"/>
    <w:rsid w:val="00576663"/>
    <w:rsid w:val="00576667"/>
    <w:rsid w:val="0057668C"/>
    <w:rsid w:val="0057668E"/>
    <w:rsid w:val="0057689A"/>
    <w:rsid w:val="00576959"/>
    <w:rsid w:val="00576A1C"/>
    <w:rsid w:val="00576A25"/>
    <w:rsid w:val="00576A4C"/>
    <w:rsid w:val="00576A7B"/>
    <w:rsid w:val="00576AB6"/>
    <w:rsid w:val="00576B64"/>
    <w:rsid w:val="00576C57"/>
    <w:rsid w:val="00576C60"/>
    <w:rsid w:val="00576C95"/>
    <w:rsid w:val="00576CDE"/>
    <w:rsid w:val="00576D1F"/>
    <w:rsid w:val="00576D64"/>
    <w:rsid w:val="00576D88"/>
    <w:rsid w:val="00576E94"/>
    <w:rsid w:val="00576EDA"/>
    <w:rsid w:val="00576F7F"/>
    <w:rsid w:val="00577072"/>
    <w:rsid w:val="00577148"/>
    <w:rsid w:val="00577149"/>
    <w:rsid w:val="005771F7"/>
    <w:rsid w:val="00577366"/>
    <w:rsid w:val="005773F0"/>
    <w:rsid w:val="0057746C"/>
    <w:rsid w:val="005774C8"/>
    <w:rsid w:val="00577534"/>
    <w:rsid w:val="005775AC"/>
    <w:rsid w:val="00577614"/>
    <w:rsid w:val="005776CB"/>
    <w:rsid w:val="005776FA"/>
    <w:rsid w:val="005777DD"/>
    <w:rsid w:val="00577836"/>
    <w:rsid w:val="005778B4"/>
    <w:rsid w:val="00577B27"/>
    <w:rsid w:val="00577B35"/>
    <w:rsid w:val="00577CAE"/>
    <w:rsid w:val="00577D4F"/>
    <w:rsid w:val="00577D5D"/>
    <w:rsid w:val="00577EF1"/>
    <w:rsid w:val="00577FC3"/>
    <w:rsid w:val="00577FCF"/>
    <w:rsid w:val="00580007"/>
    <w:rsid w:val="0058005A"/>
    <w:rsid w:val="0058008A"/>
    <w:rsid w:val="005800B3"/>
    <w:rsid w:val="005800B9"/>
    <w:rsid w:val="00580233"/>
    <w:rsid w:val="00580235"/>
    <w:rsid w:val="00580262"/>
    <w:rsid w:val="005802DC"/>
    <w:rsid w:val="0058036C"/>
    <w:rsid w:val="005803DD"/>
    <w:rsid w:val="005805AC"/>
    <w:rsid w:val="005805DF"/>
    <w:rsid w:val="005805E8"/>
    <w:rsid w:val="005806D4"/>
    <w:rsid w:val="00580767"/>
    <w:rsid w:val="005807D4"/>
    <w:rsid w:val="005807F6"/>
    <w:rsid w:val="0058085F"/>
    <w:rsid w:val="005808F0"/>
    <w:rsid w:val="005809D3"/>
    <w:rsid w:val="005809FA"/>
    <w:rsid w:val="00580A17"/>
    <w:rsid w:val="00580A25"/>
    <w:rsid w:val="00580B01"/>
    <w:rsid w:val="00580B08"/>
    <w:rsid w:val="00580B47"/>
    <w:rsid w:val="00580BB3"/>
    <w:rsid w:val="00580C86"/>
    <w:rsid w:val="00580CFE"/>
    <w:rsid w:val="00580EC9"/>
    <w:rsid w:val="00581010"/>
    <w:rsid w:val="0058101F"/>
    <w:rsid w:val="0058102F"/>
    <w:rsid w:val="00581039"/>
    <w:rsid w:val="00581238"/>
    <w:rsid w:val="005812EE"/>
    <w:rsid w:val="0058130E"/>
    <w:rsid w:val="0058138C"/>
    <w:rsid w:val="005815A3"/>
    <w:rsid w:val="005816D0"/>
    <w:rsid w:val="00581778"/>
    <w:rsid w:val="00581819"/>
    <w:rsid w:val="0058183F"/>
    <w:rsid w:val="005818EC"/>
    <w:rsid w:val="00581C6A"/>
    <w:rsid w:val="00581C91"/>
    <w:rsid w:val="00581CEC"/>
    <w:rsid w:val="00581DB3"/>
    <w:rsid w:val="00581E4B"/>
    <w:rsid w:val="0058200B"/>
    <w:rsid w:val="0058200F"/>
    <w:rsid w:val="0058218D"/>
    <w:rsid w:val="005822C8"/>
    <w:rsid w:val="005822F0"/>
    <w:rsid w:val="005822F7"/>
    <w:rsid w:val="00582346"/>
    <w:rsid w:val="00582380"/>
    <w:rsid w:val="00582603"/>
    <w:rsid w:val="00582613"/>
    <w:rsid w:val="005826C3"/>
    <w:rsid w:val="00582708"/>
    <w:rsid w:val="0058272C"/>
    <w:rsid w:val="00582895"/>
    <w:rsid w:val="005828E2"/>
    <w:rsid w:val="005828E3"/>
    <w:rsid w:val="00582A02"/>
    <w:rsid w:val="00582B1F"/>
    <w:rsid w:val="00582B84"/>
    <w:rsid w:val="00582B90"/>
    <w:rsid w:val="00582C17"/>
    <w:rsid w:val="00582D66"/>
    <w:rsid w:val="00582DF0"/>
    <w:rsid w:val="00582DF4"/>
    <w:rsid w:val="00582F80"/>
    <w:rsid w:val="00582FF4"/>
    <w:rsid w:val="0058306E"/>
    <w:rsid w:val="005832F4"/>
    <w:rsid w:val="0058333C"/>
    <w:rsid w:val="0058333E"/>
    <w:rsid w:val="00583358"/>
    <w:rsid w:val="00583440"/>
    <w:rsid w:val="005834A9"/>
    <w:rsid w:val="005834B4"/>
    <w:rsid w:val="005834BD"/>
    <w:rsid w:val="00583516"/>
    <w:rsid w:val="005835B0"/>
    <w:rsid w:val="005835DA"/>
    <w:rsid w:val="0058364C"/>
    <w:rsid w:val="005836C1"/>
    <w:rsid w:val="0058373F"/>
    <w:rsid w:val="00583767"/>
    <w:rsid w:val="005837A8"/>
    <w:rsid w:val="00583815"/>
    <w:rsid w:val="00583898"/>
    <w:rsid w:val="005838AF"/>
    <w:rsid w:val="00583A8C"/>
    <w:rsid w:val="00583A94"/>
    <w:rsid w:val="00583AF0"/>
    <w:rsid w:val="00583BB1"/>
    <w:rsid w:val="00583BB6"/>
    <w:rsid w:val="00583C34"/>
    <w:rsid w:val="00583C7C"/>
    <w:rsid w:val="00583D1F"/>
    <w:rsid w:val="00583D26"/>
    <w:rsid w:val="00583EA2"/>
    <w:rsid w:val="00583F19"/>
    <w:rsid w:val="00583FB8"/>
    <w:rsid w:val="00584116"/>
    <w:rsid w:val="0058421B"/>
    <w:rsid w:val="0058424B"/>
    <w:rsid w:val="005842A8"/>
    <w:rsid w:val="005842C8"/>
    <w:rsid w:val="00584469"/>
    <w:rsid w:val="00584481"/>
    <w:rsid w:val="00584534"/>
    <w:rsid w:val="0058468E"/>
    <w:rsid w:val="0058472A"/>
    <w:rsid w:val="00584747"/>
    <w:rsid w:val="0058483A"/>
    <w:rsid w:val="005848E4"/>
    <w:rsid w:val="005848E6"/>
    <w:rsid w:val="005849F7"/>
    <w:rsid w:val="00584A96"/>
    <w:rsid w:val="00584AE0"/>
    <w:rsid w:val="00584B0B"/>
    <w:rsid w:val="00584C69"/>
    <w:rsid w:val="00584CC8"/>
    <w:rsid w:val="00584CDD"/>
    <w:rsid w:val="00584D00"/>
    <w:rsid w:val="00584D3C"/>
    <w:rsid w:val="00584E53"/>
    <w:rsid w:val="00584EAB"/>
    <w:rsid w:val="00584FA2"/>
    <w:rsid w:val="00584FB9"/>
    <w:rsid w:val="00584FD9"/>
    <w:rsid w:val="0058509D"/>
    <w:rsid w:val="00585128"/>
    <w:rsid w:val="00585175"/>
    <w:rsid w:val="005852CE"/>
    <w:rsid w:val="0058533F"/>
    <w:rsid w:val="00585385"/>
    <w:rsid w:val="005853F7"/>
    <w:rsid w:val="0058541B"/>
    <w:rsid w:val="005854A7"/>
    <w:rsid w:val="005855FA"/>
    <w:rsid w:val="00585756"/>
    <w:rsid w:val="00585767"/>
    <w:rsid w:val="00585786"/>
    <w:rsid w:val="0058586A"/>
    <w:rsid w:val="00585880"/>
    <w:rsid w:val="00585906"/>
    <w:rsid w:val="0058590E"/>
    <w:rsid w:val="00585970"/>
    <w:rsid w:val="005859A5"/>
    <w:rsid w:val="00585A47"/>
    <w:rsid w:val="00585AC7"/>
    <w:rsid w:val="00585B3F"/>
    <w:rsid w:val="00585BE4"/>
    <w:rsid w:val="00585E4F"/>
    <w:rsid w:val="00585E76"/>
    <w:rsid w:val="00585EE7"/>
    <w:rsid w:val="00585F10"/>
    <w:rsid w:val="00585F12"/>
    <w:rsid w:val="00585F41"/>
    <w:rsid w:val="00586050"/>
    <w:rsid w:val="00586074"/>
    <w:rsid w:val="005860C6"/>
    <w:rsid w:val="00586202"/>
    <w:rsid w:val="00586296"/>
    <w:rsid w:val="005862BB"/>
    <w:rsid w:val="005862FF"/>
    <w:rsid w:val="0058639F"/>
    <w:rsid w:val="005863C2"/>
    <w:rsid w:val="005864AC"/>
    <w:rsid w:val="0058655A"/>
    <w:rsid w:val="0058660C"/>
    <w:rsid w:val="00586659"/>
    <w:rsid w:val="005866A2"/>
    <w:rsid w:val="0058675B"/>
    <w:rsid w:val="0058676A"/>
    <w:rsid w:val="00586877"/>
    <w:rsid w:val="00586894"/>
    <w:rsid w:val="005869FA"/>
    <w:rsid w:val="00586C7C"/>
    <w:rsid w:val="00586C94"/>
    <w:rsid w:val="00586DAA"/>
    <w:rsid w:val="00586ECA"/>
    <w:rsid w:val="00586EED"/>
    <w:rsid w:val="00586F85"/>
    <w:rsid w:val="00586FDD"/>
    <w:rsid w:val="00587002"/>
    <w:rsid w:val="0058703E"/>
    <w:rsid w:val="005870BD"/>
    <w:rsid w:val="005870D6"/>
    <w:rsid w:val="0058714B"/>
    <w:rsid w:val="005871CC"/>
    <w:rsid w:val="00587221"/>
    <w:rsid w:val="005872C3"/>
    <w:rsid w:val="00587376"/>
    <w:rsid w:val="005873B4"/>
    <w:rsid w:val="005874B3"/>
    <w:rsid w:val="005875B9"/>
    <w:rsid w:val="005875E7"/>
    <w:rsid w:val="005876AF"/>
    <w:rsid w:val="005876C0"/>
    <w:rsid w:val="00587731"/>
    <w:rsid w:val="005878A8"/>
    <w:rsid w:val="0058796E"/>
    <w:rsid w:val="00587A28"/>
    <w:rsid w:val="00587ABB"/>
    <w:rsid w:val="00587AC0"/>
    <w:rsid w:val="00587B94"/>
    <w:rsid w:val="00587BD5"/>
    <w:rsid w:val="00587CBA"/>
    <w:rsid w:val="00587D91"/>
    <w:rsid w:val="00587DB2"/>
    <w:rsid w:val="00587DF8"/>
    <w:rsid w:val="00587EB5"/>
    <w:rsid w:val="00587FAA"/>
    <w:rsid w:val="00587FB1"/>
    <w:rsid w:val="00590004"/>
    <w:rsid w:val="00590006"/>
    <w:rsid w:val="0059004B"/>
    <w:rsid w:val="0059004F"/>
    <w:rsid w:val="00590075"/>
    <w:rsid w:val="005900D0"/>
    <w:rsid w:val="005900DD"/>
    <w:rsid w:val="0059019E"/>
    <w:rsid w:val="005902EA"/>
    <w:rsid w:val="00590352"/>
    <w:rsid w:val="00590361"/>
    <w:rsid w:val="005903A2"/>
    <w:rsid w:val="005903AC"/>
    <w:rsid w:val="005904D7"/>
    <w:rsid w:val="00590686"/>
    <w:rsid w:val="005906B0"/>
    <w:rsid w:val="005907A1"/>
    <w:rsid w:val="00590812"/>
    <w:rsid w:val="005909C5"/>
    <w:rsid w:val="00590A56"/>
    <w:rsid w:val="00590AC8"/>
    <w:rsid w:val="00590B10"/>
    <w:rsid w:val="00590C35"/>
    <w:rsid w:val="00590C4C"/>
    <w:rsid w:val="00590CE8"/>
    <w:rsid w:val="00590DBD"/>
    <w:rsid w:val="00590DE1"/>
    <w:rsid w:val="00590E00"/>
    <w:rsid w:val="00590E2C"/>
    <w:rsid w:val="00590E80"/>
    <w:rsid w:val="00590EE6"/>
    <w:rsid w:val="00590F61"/>
    <w:rsid w:val="00590FA7"/>
    <w:rsid w:val="00591089"/>
    <w:rsid w:val="0059108A"/>
    <w:rsid w:val="00591109"/>
    <w:rsid w:val="005911E7"/>
    <w:rsid w:val="005911F1"/>
    <w:rsid w:val="0059121F"/>
    <w:rsid w:val="005912CE"/>
    <w:rsid w:val="0059136B"/>
    <w:rsid w:val="005913C3"/>
    <w:rsid w:val="00591463"/>
    <w:rsid w:val="0059148A"/>
    <w:rsid w:val="00591660"/>
    <w:rsid w:val="00591772"/>
    <w:rsid w:val="00591838"/>
    <w:rsid w:val="0059183B"/>
    <w:rsid w:val="005918AC"/>
    <w:rsid w:val="005918F6"/>
    <w:rsid w:val="00591A1D"/>
    <w:rsid w:val="00591D26"/>
    <w:rsid w:val="00591DF5"/>
    <w:rsid w:val="00591F06"/>
    <w:rsid w:val="00591F8E"/>
    <w:rsid w:val="0059202B"/>
    <w:rsid w:val="005921AE"/>
    <w:rsid w:val="0059229B"/>
    <w:rsid w:val="005922A6"/>
    <w:rsid w:val="0059240F"/>
    <w:rsid w:val="005924C2"/>
    <w:rsid w:val="00592575"/>
    <w:rsid w:val="00592583"/>
    <w:rsid w:val="00592625"/>
    <w:rsid w:val="0059286C"/>
    <w:rsid w:val="0059289B"/>
    <w:rsid w:val="005928A8"/>
    <w:rsid w:val="005929CC"/>
    <w:rsid w:val="00592A42"/>
    <w:rsid w:val="00592A4B"/>
    <w:rsid w:val="00592B13"/>
    <w:rsid w:val="00592C2F"/>
    <w:rsid w:val="00592C59"/>
    <w:rsid w:val="00592E07"/>
    <w:rsid w:val="00592EBE"/>
    <w:rsid w:val="00592EEB"/>
    <w:rsid w:val="00592F54"/>
    <w:rsid w:val="00592FA8"/>
    <w:rsid w:val="00592FD6"/>
    <w:rsid w:val="00593043"/>
    <w:rsid w:val="0059304A"/>
    <w:rsid w:val="00593208"/>
    <w:rsid w:val="005933C5"/>
    <w:rsid w:val="00593454"/>
    <w:rsid w:val="005934B0"/>
    <w:rsid w:val="00593504"/>
    <w:rsid w:val="00593628"/>
    <w:rsid w:val="0059368C"/>
    <w:rsid w:val="005936E3"/>
    <w:rsid w:val="0059377D"/>
    <w:rsid w:val="00593780"/>
    <w:rsid w:val="00593833"/>
    <w:rsid w:val="00593914"/>
    <w:rsid w:val="00593927"/>
    <w:rsid w:val="00593A10"/>
    <w:rsid w:val="00593A30"/>
    <w:rsid w:val="00593A9F"/>
    <w:rsid w:val="00593C54"/>
    <w:rsid w:val="00593D04"/>
    <w:rsid w:val="00593D9B"/>
    <w:rsid w:val="00593DA6"/>
    <w:rsid w:val="00593E0A"/>
    <w:rsid w:val="00593E22"/>
    <w:rsid w:val="00593E58"/>
    <w:rsid w:val="00593E62"/>
    <w:rsid w:val="00593E7C"/>
    <w:rsid w:val="00593F27"/>
    <w:rsid w:val="00593F73"/>
    <w:rsid w:val="0059400D"/>
    <w:rsid w:val="00594107"/>
    <w:rsid w:val="00594125"/>
    <w:rsid w:val="00594195"/>
    <w:rsid w:val="005941FA"/>
    <w:rsid w:val="00594257"/>
    <w:rsid w:val="00594322"/>
    <w:rsid w:val="0059446A"/>
    <w:rsid w:val="00594539"/>
    <w:rsid w:val="00594553"/>
    <w:rsid w:val="00594572"/>
    <w:rsid w:val="005945C9"/>
    <w:rsid w:val="005946CA"/>
    <w:rsid w:val="0059477D"/>
    <w:rsid w:val="0059485B"/>
    <w:rsid w:val="005948BF"/>
    <w:rsid w:val="0059490F"/>
    <w:rsid w:val="00594974"/>
    <w:rsid w:val="00594AED"/>
    <w:rsid w:val="00594B14"/>
    <w:rsid w:val="00594C2D"/>
    <w:rsid w:val="00594CB4"/>
    <w:rsid w:val="00594D30"/>
    <w:rsid w:val="00594D33"/>
    <w:rsid w:val="00594D87"/>
    <w:rsid w:val="00594DA1"/>
    <w:rsid w:val="00594DA9"/>
    <w:rsid w:val="00594DE8"/>
    <w:rsid w:val="00595056"/>
    <w:rsid w:val="0059509C"/>
    <w:rsid w:val="00595237"/>
    <w:rsid w:val="00595273"/>
    <w:rsid w:val="0059530E"/>
    <w:rsid w:val="0059534C"/>
    <w:rsid w:val="005953C7"/>
    <w:rsid w:val="005953CF"/>
    <w:rsid w:val="0059555B"/>
    <w:rsid w:val="005956D5"/>
    <w:rsid w:val="00595758"/>
    <w:rsid w:val="005957AD"/>
    <w:rsid w:val="00595839"/>
    <w:rsid w:val="00595AF6"/>
    <w:rsid w:val="00595B26"/>
    <w:rsid w:val="00595BB1"/>
    <w:rsid w:val="00595BD3"/>
    <w:rsid w:val="00595C0A"/>
    <w:rsid w:val="00595D28"/>
    <w:rsid w:val="00595D71"/>
    <w:rsid w:val="00595DAB"/>
    <w:rsid w:val="00595DB4"/>
    <w:rsid w:val="00595E39"/>
    <w:rsid w:val="00596066"/>
    <w:rsid w:val="00596094"/>
    <w:rsid w:val="0059610D"/>
    <w:rsid w:val="0059623E"/>
    <w:rsid w:val="00596286"/>
    <w:rsid w:val="0059631C"/>
    <w:rsid w:val="005963D5"/>
    <w:rsid w:val="0059648D"/>
    <w:rsid w:val="00596638"/>
    <w:rsid w:val="005966CB"/>
    <w:rsid w:val="00596700"/>
    <w:rsid w:val="00596701"/>
    <w:rsid w:val="005967E9"/>
    <w:rsid w:val="005968A9"/>
    <w:rsid w:val="00596969"/>
    <w:rsid w:val="0059698B"/>
    <w:rsid w:val="005969D3"/>
    <w:rsid w:val="00596A33"/>
    <w:rsid w:val="00596A3B"/>
    <w:rsid w:val="00596DFC"/>
    <w:rsid w:val="00596E7E"/>
    <w:rsid w:val="00596EF0"/>
    <w:rsid w:val="00596FCB"/>
    <w:rsid w:val="00597054"/>
    <w:rsid w:val="0059722E"/>
    <w:rsid w:val="00597242"/>
    <w:rsid w:val="005972CD"/>
    <w:rsid w:val="00597373"/>
    <w:rsid w:val="005974D7"/>
    <w:rsid w:val="005974EA"/>
    <w:rsid w:val="0059750C"/>
    <w:rsid w:val="00597537"/>
    <w:rsid w:val="00597694"/>
    <w:rsid w:val="00597779"/>
    <w:rsid w:val="005977AC"/>
    <w:rsid w:val="005977DA"/>
    <w:rsid w:val="0059781E"/>
    <w:rsid w:val="00597848"/>
    <w:rsid w:val="005978C8"/>
    <w:rsid w:val="005978E7"/>
    <w:rsid w:val="00597988"/>
    <w:rsid w:val="005979CB"/>
    <w:rsid w:val="005979E6"/>
    <w:rsid w:val="00597A0A"/>
    <w:rsid w:val="00597B09"/>
    <w:rsid w:val="00597BAD"/>
    <w:rsid w:val="00597C1C"/>
    <w:rsid w:val="00597C53"/>
    <w:rsid w:val="00597D1A"/>
    <w:rsid w:val="00597DB8"/>
    <w:rsid w:val="00597DCF"/>
    <w:rsid w:val="00597DE0"/>
    <w:rsid w:val="00597E3F"/>
    <w:rsid w:val="00597E6F"/>
    <w:rsid w:val="00597F9A"/>
    <w:rsid w:val="005A0016"/>
    <w:rsid w:val="005A021B"/>
    <w:rsid w:val="005A0262"/>
    <w:rsid w:val="005A0321"/>
    <w:rsid w:val="005A0484"/>
    <w:rsid w:val="005A04DF"/>
    <w:rsid w:val="005A05CC"/>
    <w:rsid w:val="005A06E2"/>
    <w:rsid w:val="005A07C9"/>
    <w:rsid w:val="005A0902"/>
    <w:rsid w:val="005A091D"/>
    <w:rsid w:val="005A0937"/>
    <w:rsid w:val="005A09B4"/>
    <w:rsid w:val="005A09B5"/>
    <w:rsid w:val="005A0A8A"/>
    <w:rsid w:val="005A0AA7"/>
    <w:rsid w:val="005A0ACE"/>
    <w:rsid w:val="005A0B9C"/>
    <w:rsid w:val="005A0BDF"/>
    <w:rsid w:val="005A0C3C"/>
    <w:rsid w:val="005A0CA2"/>
    <w:rsid w:val="005A0CE2"/>
    <w:rsid w:val="005A0DF5"/>
    <w:rsid w:val="005A0EA1"/>
    <w:rsid w:val="005A0F4F"/>
    <w:rsid w:val="005A0F81"/>
    <w:rsid w:val="005A11FE"/>
    <w:rsid w:val="005A127D"/>
    <w:rsid w:val="005A13D5"/>
    <w:rsid w:val="005A1405"/>
    <w:rsid w:val="005A162B"/>
    <w:rsid w:val="005A16FF"/>
    <w:rsid w:val="005A176F"/>
    <w:rsid w:val="005A17D8"/>
    <w:rsid w:val="005A1825"/>
    <w:rsid w:val="005A1830"/>
    <w:rsid w:val="005A1857"/>
    <w:rsid w:val="005A1942"/>
    <w:rsid w:val="005A1B04"/>
    <w:rsid w:val="005A1BB7"/>
    <w:rsid w:val="005A1BCD"/>
    <w:rsid w:val="005A1C79"/>
    <w:rsid w:val="005A1CF7"/>
    <w:rsid w:val="005A1CFC"/>
    <w:rsid w:val="005A1D11"/>
    <w:rsid w:val="005A1D5D"/>
    <w:rsid w:val="005A1DFE"/>
    <w:rsid w:val="005A2037"/>
    <w:rsid w:val="005A2114"/>
    <w:rsid w:val="005A2122"/>
    <w:rsid w:val="005A215D"/>
    <w:rsid w:val="005A21C8"/>
    <w:rsid w:val="005A2275"/>
    <w:rsid w:val="005A2431"/>
    <w:rsid w:val="005A2597"/>
    <w:rsid w:val="005A2779"/>
    <w:rsid w:val="005A27D1"/>
    <w:rsid w:val="005A286D"/>
    <w:rsid w:val="005A29FD"/>
    <w:rsid w:val="005A2A2D"/>
    <w:rsid w:val="005A2A46"/>
    <w:rsid w:val="005A2B4F"/>
    <w:rsid w:val="005A2B56"/>
    <w:rsid w:val="005A2C84"/>
    <w:rsid w:val="005A2D1E"/>
    <w:rsid w:val="005A2E26"/>
    <w:rsid w:val="005A2E73"/>
    <w:rsid w:val="005A2F42"/>
    <w:rsid w:val="005A306B"/>
    <w:rsid w:val="005A30F9"/>
    <w:rsid w:val="005A33E6"/>
    <w:rsid w:val="005A345F"/>
    <w:rsid w:val="005A34F3"/>
    <w:rsid w:val="005A353E"/>
    <w:rsid w:val="005A35CF"/>
    <w:rsid w:val="005A3670"/>
    <w:rsid w:val="005A36E8"/>
    <w:rsid w:val="005A3791"/>
    <w:rsid w:val="005A37F8"/>
    <w:rsid w:val="005A3989"/>
    <w:rsid w:val="005A3A5E"/>
    <w:rsid w:val="005A3AA5"/>
    <w:rsid w:val="005A3AB1"/>
    <w:rsid w:val="005A3BB0"/>
    <w:rsid w:val="005A3BB7"/>
    <w:rsid w:val="005A3C21"/>
    <w:rsid w:val="005A3CF2"/>
    <w:rsid w:val="005A3D34"/>
    <w:rsid w:val="005A3F30"/>
    <w:rsid w:val="005A3F8B"/>
    <w:rsid w:val="005A4015"/>
    <w:rsid w:val="005A40D7"/>
    <w:rsid w:val="005A4125"/>
    <w:rsid w:val="005A4174"/>
    <w:rsid w:val="005A4283"/>
    <w:rsid w:val="005A436F"/>
    <w:rsid w:val="005A4483"/>
    <w:rsid w:val="005A44BF"/>
    <w:rsid w:val="005A4519"/>
    <w:rsid w:val="005A4647"/>
    <w:rsid w:val="005A469A"/>
    <w:rsid w:val="005A46BB"/>
    <w:rsid w:val="005A4837"/>
    <w:rsid w:val="005A4884"/>
    <w:rsid w:val="005A4889"/>
    <w:rsid w:val="005A48C8"/>
    <w:rsid w:val="005A4B00"/>
    <w:rsid w:val="005A4C00"/>
    <w:rsid w:val="005A4D26"/>
    <w:rsid w:val="005A4F9F"/>
    <w:rsid w:val="005A5127"/>
    <w:rsid w:val="005A517F"/>
    <w:rsid w:val="005A52B7"/>
    <w:rsid w:val="005A53B3"/>
    <w:rsid w:val="005A547B"/>
    <w:rsid w:val="005A5509"/>
    <w:rsid w:val="005A55E6"/>
    <w:rsid w:val="005A5685"/>
    <w:rsid w:val="005A5705"/>
    <w:rsid w:val="005A5774"/>
    <w:rsid w:val="005A57CE"/>
    <w:rsid w:val="005A5822"/>
    <w:rsid w:val="005A5940"/>
    <w:rsid w:val="005A59BB"/>
    <w:rsid w:val="005A5A53"/>
    <w:rsid w:val="005A5AAF"/>
    <w:rsid w:val="005A5AF3"/>
    <w:rsid w:val="005A5BC1"/>
    <w:rsid w:val="005A5C17"/>
    <w:rsid w:val="005A5C5F"/>
    <w:rsid w:val="005A5CAD"/>
    <w:rsid w:val="005A5D73"/>
    <w:rsid w:val="005A5D9C"/>
    <w:rsid w:val="005A5DC1"/>
    <w:rsid w:val="005A5E7E"/>
    <w:rsid w:val="005A5F52"/>
    <w:rsid w:val="005A5F8E"/>
    <w:rsid w:val="005A5FB0"/>
    <w:rsid w:val="005A61D7"/>
    <w:rsid w:val="005A62CE"/>
    <w:rsid w:val="005A6372"/>
    <w:rsid w:val="005A63CC"/>
    <w:rsid w:val="005A6419"/>
    <w:rsid w:val="005A64E4"/>
    <w:rsid w:val="005A64FD"/>
    <w:rsid w:val="005A650B"/>
    <w:rsid w:val="005A65A2"/>
    <w:rsid w:val="005A660D"/>
    <w:rsid w:val="005A6775"/>
    <w:rsid w:val="005A680C"/>
    <w:rsid w:val="005A683A"/>
    <w:rsid w:val="005A6A21"/>
    <w:rsid w:val="005A6A83"/>
    <w:rsid w:val="005A6AA9"/>
    <w:rsid w:val="005A6B47"/>
    <w:rsid w:val="005A6BAA"/>
    <w:rsid w:val="005A6BCB"/>
    <w:rsid w:val="005A6C15"/>
    <w:rsid w:val="005A6E7F"/>
    <w:rsid w:val="005A6E80"/>
    <w:rsid w:val="005A6F9C"/>
    <w:rsid w:val="005A7043"/>
    <w:rsid w:val="005A70EC"/>
    <w:rsid w:val="005A711D"/>
    <w:rsid w:val="005A7288"/>
    <w:rsid w:val="005A739E"/>
    <w:rsid w:val="005A743D"/>
    <w:rsid w:val="005A74AA"/>
    <w:rsid w:val="005A7522"/>
    <w:rsid w:val="005A75CA"/>
    <w:rsid w:val="005A76DC"/>
    <w:rsid w:val="005A7768"/>
    <w:rsid w:val="005A77FE"/>
    <w:rsid w:val="005A7801"/>
    <w:rsid w:val="005A782D"/>
    <w:rsid w:val="005A7849"/>
    <w:rsid w:val="005A7883"/>
    <w:rsid w:val="005A79E3"/>
    <w:rsid w:val="005A7BBD"/>
    <w:rsid w:val="005A7C1B"/>
    <w:rsid w:val="005A7D3D"/>
    <w:rsid w:val="005A7D73"/>
    <w:rsid w:val="005A7DAE"/>
    <w:rsid w:val="005A7F24"/>
    <w:rsid w:val="005B0019"/>
    <w:rsid w:val="005B006A"/>
    <w:rsid w:val="005B0070"/>
    <w:rsid w:val="005B00A8"/>
    <w:rsid w:val="005B0276"/>
    <w:rsid w:val="005B0469"/>
    <w:rsid w:val="005B0495"/>
    <w:rsid w:val="005B05A9"/>
    <w:rsid w:val="005B06A7"/>
    <w:rsid w:val="005B08BC"/>
    <w:rsid w:val="005B08DB"/>
    <w:rsid w:val="005B0908"/>
    <w:rsid w:val="005B0A5C"/>
    <w:rsid w:val="005B0AE5"/>
    <w:rsid w:val="005B0E12"/>
    <w:rsid w:val="005B0F8A"/>
    <w:rsid w:val="005B0F9D"/>
    <w:rsid w:val="005B0FF0"/>
    <w:rsid w:val="005B10AA"/>
    <w:rsid w:val="005B10BA"/>
    <w:rsid w:val="005B1220"/>
    <w:rsid w:val="005B127A"/>
    <w:rsid w:val="005B156F"/>
    <w:rsid w:val="005B15C0"/>
    <w:rsid w:val="005B15F6"/>
    <w:rsid w:val="005B16B4"/>
    <w:rsid w:val="005B170A"/>
    <w:rsid w:val="005B1733"/>
    <w:rsid w:val="005B188F"/>
    <w:rsid w:val="005B1A74"/>
    <w:rsid w:val="005B1AAF"/>
    <w:rsid w:val="005B1BA0"/>
    <w:rsid w:val="005B1C69"/>
    <w:rsid w:val="005B1FD8"/>
    <w:rsid w:val="005B2003"/>
    <w:rsid w:val="005B2009"/>
    <w:rsid w:val="005B207B"/>
    <w:rsid w:val="005B2156"/>
    <w:rsid w:val="005B2344"/>
    <w:rsid w:val="005B257C"/>
    <w:rsid w:val="005B25CF"/>
    <w:rsid w:val="005B269C"/>
    <w:rsid w:val="005B273B"/>
    <w:rsid w:val="005B27A6"/>
    <w:rsid w:val="005B27D4"/>
    <w:rsid w:val="005B280D"/>
    <w:rsid w:val="005B2859"/>
    <w:rsid w:val="005B297A"/>
    <w:rsid w:val="005B2A7D"/>
    <w:rsid w:val="005B2A94"/>
    <w:rsid w:val="005B2B36"/>
    <w:rsid w:val="005B2D17"/>
    <w:rsid w:val="005B2DB1"/>
    <w:rsid w:val="005B2DFC"/>
    <w:rsid w:val="005B2E00"/>
    <w:rsid w:val="005B2E51"/>
    <w:rsid w:val="005B2E66"/>
    <w:rsid w:val="005B2F5C"/>
    <w:rsid w:val="005B3076"/>
    <w:rsid w:val="005B3136"/>
    <w:rsid w:val="005B316D"/>
    <w:rsid w:val="005B31D9"/>
    <w:rsid w:val="005B323A"/>
    <w:rsid w:val="005B32C6"/>
    <w:rsid w:val="005B3423"/>
    <w:rsid w:val="005B34B7"/>
    <w:rsid w:val="005B34EF"/>
    <w:rsid w:val="005B355B"/>
    <w:rsid w:val="005B360E"/>
    <w:rsid w:val="005B36FF"/>
    <w:rsid w:val="005B3713"/>
    <w:rsid w:val="005B373E"/>
    <w:rsid w:val="005B37D0"/>
    <w:rsid w:val="005B3866"/>
    <w:rsid w:val="005B387E"/>
    <w:rsid w:val="005B3933"/>
    <w:rsid w:val="005B39F0"/>
    <w:rsid w:val="005B3AC1"/>
    <w:rsid w:val="005B3BAB"/>
    <w:rsid w:val="005B3C82"/>
    <w:rsid w:val="005B3CA8"/>
    <w:rsid w:val="005B3DE2"/>
    <w:rsid w:val="005B3DF1"/>
    <w:rsid w:val="005B3E0F"/>
    <w:rsid w:val="005B3EE1"/>
    <w:rsid w:val="005B3F9F"/>
    <w:rsid w:val="005B419A"/>
    <w:rsid w:val="005B425A"/>
    <w:rsid w:val="005B42F4"/>
    <w:rsid w:val="005B44DC"/>
    <w:rsid w:val="005B451C"/>
    <w:rsid w:val="005B46D4"/>
    <w:rsid w:val="005B4731"/>
    <w:rsid w:val="005B4758"/>
    <w:rsid w:val="005B48AA"/>
    <w:rsid w:val="005B48DA"/>
    <w:rsid w:val="005B4921"/>
    <w:rsid w:val="005B4A72"/>
    <w:rsid w:val="005B4A8D"/>
    <w:rsid w:val="005B4B68"/>
    <w:rsid w:val="005B4B80"/>
    <w:rsid w:val="005B4BA6"/>
    <w:rsid w:val="005B4BC4"/>
    <w:rsid w:val="005B4C47"/>
    <w:rsid w:val="005B4D73"/>
    <w:rsid w:val="005B4DD7"/>
    <w:rsid w:val="005B4E17"/>
    <w:rsid w:val="005B50E4"/>
    <w:rsid w:val="005B50F6"/>
    <w:rsid w:val="005B52E2"/>
    <w:rsid w:val="005B537D"/>
    <w:rsid w:val="005B5429"/>
    <w:rsid w:val="005B5442"/>
    <w:rsid w:val="005B5448"/>
    <w:rsid w:val="005B5496"/>
    <w:rsid w:val="005B54FA"/>
    <w:rsid w:val="005B551E"/>
    <w:rsid w:val="005B558F"/>
    <w:rsid w:val="005B55E9"/>
    <w:rsid w:val="005B5647"/>
    <w:rsid w:val="005B57A4"/>
    <w:rsid w:val="005B5821"/>
    <w:rsid w:val="005B5870"/>
    <w:rsid w:val="005B58E0"/>
    <w:rsid w:val="005B58EF"/>
    <w:rsid w:val="005B59BA"/>
    <w:rsid w:val="005B5A91"/>
    <w:rsid w:val="005B5B00"/>
    <w:rsid w:val="005B5D9A"/>
    <w:rsid w:val="005B5E31"/>
    <w:rsid w:val="005B5E48"/>
    <w:rsid w:val="005B5F64"/>
    <w:rsid w:val="005B5FA7"/>
    <w:rsid w:val="005B6100"/>
    <w:rsid w:val="005B63F6"/>
    <w:rsid w:val="005B6425"/>
    <w:rsid w:val="005B654F"/>
    <w:rsid w:val="005B6563"/>
    <w:rsid w:val="005B6628"/>
    <w:rsid w:val="005B662E"/>
    <w:rsid w:val="005B6734"/>
    <w:rsid w:val="005B674E"/>
    <w:rsid w:val="005B6800"/>
    <w:rsid w:val="005B6A04"/>
    <w:rsid w:val="005B6AA1"/>
    <w:rsid w:val="005B6B75"/>
    <w:rsid w:val="005B6D31"/>
    <w:rsid w:val="005B6DB8"/>
    <w:rsid w:val="005B7007"/>
    <w:rsid w:val="005B708F"/>
    <w:rsid w:val="005B7237"/>
    <w:rsid w:val="005B726C"/>
    <w:rsid w:val="005B728E"/>
    <w:rsid w:val="005B72A2"/>
    <w:rsid w:val="005B73CC"/>
    <w:rsid w:val="005B7409"/>
    <w:rsid w:val="005B767F"/>
    <w:rsid w:val="005B7835"/>
    <w:rsid w:val="005B784C"/>
    <w:rsid w:val="005B79CB"/>
    <w:rsid w:val="005B7A1B"/>
    <w:rsid w:val="005B7A24"/>
    <w:rsid w:val="005B7A68"/>
    <w:rsid w:val="005B7B45"/>
    <w:rsid w:val="005B7B5A"/>
    <w:rsid w:val="005B7BB7"/>
    <w:rsid w:val="005B7F0A"/>
    <w:rsid w:val="005C0170"/>
    <w:rsid w:val="005C01FA"/>
    <w:rsid w:val="005C02B0"/>
    <w:rsid w:val="005C032F"/>
    <w:rsid w:val="005C03D2"/>
    <w:rsid w:val="005C0422"/>
    <w:rsid w:val="005C0616"/>
    <w:rsid w:val="005C08EC"/>
    <w:rsid w:val="005C09E1"/>
    <w:rsid w:val="005C0A1C"/>
    <w:rsid w:val="005C0A24"/>
    <w:rsid w:val="005C0A5E"/>
    <w:rsid w:val="005C0B90"/>
    <w:rsid w:val="005C0C2D"/>
    <w:rsid w:val="005C0CAE"/>
    <w:rsid w:val="005C0EF1"/>
    <w:rsid w:val="005C0F0B"/>
    <w:rsid w:val="005C0F4B"/>
    <w:rsid w:val="005C0F7C"/>
    <w:rsid w:val="005C1014"/>
    <w:rsid w:val="005C1184"/>
    <w:rsid w:val="005C11BE"/>
    <w:rsid w:val="005C1223"/>
    <w:rsid w:val="005C122C"/>
    <w:rsid w:val="005C124D"/>
    <w:rsid w:val="005C12CC"/>
    <w:rsid w:val="005C12CD"/>
    <w:rsid w:val="005C12E5"/>
    <w:rsid w:val="005C1395"/>
    <w:rsid w:val="005C14C4"/>
    <w:rsid w:val="005C155D"/>
    <w:rsid w:val="005C1563"/>
    <w:rsid w:val="005C15DB"/>
    <w:rsid w:val="005C1669"/>
    <w:rsid w:val="005C16C8"/>
    <w:rsid w:val="005C1702"/>
    <w:rsid w:val="005C197B"/>
    <w:rsid w:val="005C1A0E"/>
    <w:rsid w:val="005C1C1D"/>
    <w:rsid w:val="005C1C3D"/>
    <w:rsid w:val="005C1C8F"/>
    <w:rsid w:val="005C1D11"/>
    <w:rsid w:val="005C1DB8"/>
    <w:rsid w:val="005C1F2A"/>
    <w:rsid w:val="005C2040"/>
    <w:rsid w:val="005C22A6"/>
    <w:rsid w:val="005C23A0"/>
    <w:rsid w:val="005C2412"/>
    <w:rsid w:val="005C24D2"/>
    <w:rsid w:val="005C264E"/>
    <w:rsid w:val="005C2700"/>
    <w:rsid w:val="005C2737"/>
    <w:rsid w:val="005C27B8"/>
    <w:rsid w:val="005C2883"/>
    <w:rsid w:val="005C291F"/>
    <w:rsid w:val="005C298F"/>
    <w:rsid w:val="005C2A7F"/>
    <w:rsid w:val="005C2B2D"/>
    <w:rsid w:val="005C2C7D"/>
    <w:rsid w:val="005C2D65"/>
    <w:rsid w:val="005C2E9F"/>
    <w:rsid w:val="005C2EB6"/>
    <w:rsid w:val="005C2F29"/>
    <w:rsid w:val="005C2F34"/>
    <w:rsid w:val="005C2FF3"/>
    <w:rsid w:val="005C300D"/>
    <w:rsid w:val="005C3029"/>
    <w:rsid w:val="005C31E9"/>
    <w:rsid w:val="005C3406"/>
    <w:rsid w:val="005C3412"/>
    <w:rsid w:val="005C341D"/>
    <w:rsid w:val="005C3439"/>
    <w:rsid w:val="005C3564"/>
    <w:rsid w:val="005C3636"/>
    <w:rsid w:val="005C366A"/>
    <w:rsid w:val="005C3739"/>
    <w:rsid w:val="005C381E"/>
    <w:rsid w:val="005C3A43"/>
    <w:rsid w:val="005C3AAB"/>
    <w:rsid w:val="005C3B3B"/>
    <w:rsid w:val="005C3F12"/>
    <w:rsid w:val="005C3F54"/>
    <w:rsid w:val="005C3F6B"/>
    <w:rsid w:val="005C40DF"/>
    <w:rsid w:val="005C41F2"/>
    <w:rsid w:val="005C42BD"/>
    <w:rsid w:val="005C440A"/>
    <w:rsid w:val="005C4421"/>
    <w:rsid w:val="005C4484"/>
    <w:rsid w:val="005C4517"/>
    <w:rsid w:val="005C4561"/>
    <w:rsid w:val="005C45D3"/>
    <w:rsid w:val="005C47A8"/>
    <w:rsid w:val="005C47CB"/>
    <w:rsid w:val="005C4887"/>
    <w:rsid w:val="005C48E5"/>
    <w:rsid w:val="005C4911"/>
    <w:rsid w:val="005C4958"/>
    <w:rsid w:val="005C497D"/>
    <w:rsid w:val="005C4B83"/>
    <w:rsid w:val="005C4C63"/>
    <w:rsid w:val="005C4E2C"/>
    <w:rsid w:val="005C4FEB"/>
    <w:rsid w:val="005C502D"/>
    <w:rsid w:val="005C50BC"/>
    <w:rsid w:val="005C5325"/>
    <w:rsid w:val="005C54C3"/>
    <w:rsid w:val="005C561B"/>
    <w:rsid w:val="005C5653"/>
    <w:rsid w:val="005C5681"/>
    <w:rsid w:val="005C56BD"/>
    <w:rsid w:val="005C5788"/>
    <w:rsid w:val="005C579F"/>
    <w:rsid w:val="005C596D"/>
    <w:rsid w:val="005C5B02"/>
    <w:rsid w:val="005C5B09"/>
    <w:rsid w:val="005C5BEC"/>
    <w:rsid w:val="005C5C99"/>
    <w:rsid w:val="005C5CB4"/>
    <w:rsid w:val="005C5D2E"/>
    <w:rsid w:val="005C5DFB"/>
    <w:rsid w:val="005C5F74"/>
    <w:rsid w:val="005C5F76"/>
    <w:rsid w:val="005C5F99"/>
    <w:rsid w:val="005C5FF6"/>
    <w:rsid w:val="005C6077"/>
    <w:rsid w:val="005C616D"/>
    <w:rsid w:val="005C623C"/>
    <w:rsid w:val="005C627F"/>
    <w:rsid w:val="005C6329"/>
    <w:rsid w:val="005C63D6"/>
    <w:rsid w:val="005C644E"/>
    <w:rsid w:val="005C65BE"/>
    <w:rsid w:val="005C6606"/>
    <w:rsid w:val="005C66D2"/>
    <w:rsid w:val="005C66FD"/>
    <w:rsid w:val="005C66FF"/>
    <w:rsid w:val="005C67AD"/>
    <w:rsid w:val="005C67EE"/>
    <w:rsid w:val="005C682E"/>
    <w:rsid w:val="005C6837"/>
    <w:rsid w:val="005C697A"/>
    <w:rsid w:val="005C6984"/>
    <w:rsid w:val="005C6BEA"/>
    <w:rsid w:val="005C6CEC"/>
    <w:rsid w:val="005C6D78"/>
    <w:rsid w:val="005C6E01"/>
    <w:rsid w:val="005C6EA0"/>
    <w:rsid w:val="005C6F0C"/>
    <w:rsid w:val="005C6F7A"/>
    <w:rsid w:val="005C7061"/>
    <w:rsid w:val="005C70CC"/>
    <w:rsid w:val="005C7136"/>
    <w:rsid w:val="005C713C"/>
    <w:rsid w:val="005C71F7"/>
    <w:rsid w:val="005C74AD"/>
    <w:rsid w:val="005C74ED"/>
    <w:rsid w:val="005C7621"/>
    <w:rsid w:val="005C76DF"/>
    <w:rsid w:val="005C775F"/>
    <w:rsid w:val="005C7895"/>
    <w:rsid w:val="005C7962"/>
    <w:rsid w:val="005C7A4F"/>
    <w:rsid w:val="005C7B8B"/>
    <w:rsid w:val="005C7CB9"/>
    <w:rsid w:val="005C7D19"/>
    <w:rsid w:val="005C7D1B"/>
    <w:rsid w:val="005C7F48"/>
    <w:rsid w:val="005C7FAC"/>
    <w:rsid w:val="005C7FB9"/>
    <w:rsid w:val="005D0042"/>
    <w:rsid w:val="005D015B"/>
    <w:rsid w:val="005D0205"/>
    <w:rsid w:val="005D040C"/>
    <w:rsid w:val="005D044D"/>
    <w:rsid w:val="005D059D"/>
    <w:rsid w:val="005D064F"/>
    <w:rsid w:val="005D072B"/>
    <w:rsid w:val="005D08FA"/>
    <w:rsid w:val="005D093F"/>
    <w:rsid w:val="005D09E3"/>
    <w:rsid w:val="005D0AE5"/>
    <w:rsid w:val="005D0B85"/>
    <w:rsid w:val="005D0C65"/>
    <w:rsid w:val="005D0C7F"/>
    <w:rsid w:val="005D0D40"/>
    <w:rsid w:val="005D0E4F"/>
    <w:rsid w:val="005D0F2E"/>
    <w:rsid w:val="005D1044"/>
    <w:rsid w:val="005D10F2"/>
    <w:rsid w:val="005D1175"/>
    <w:rsid w:val="005D11CD"/>
    <w:rsid w:val="005D130F"/>
    <w:rsid w:val="005D1328"/>
    <w:rsid w:val="005D138D"/>
    <w:rsid w:val="005D13FE"/>
    <w:rsid w:val="005D157B"/>
    <w:rsid w:val="005D15AC"/>
    <w:rsid w:val="005D165E"/>
    <w:rsid w:val="005D1684"/>
    <w:rsid w:val="005D16EB"/>
    <w:rsid w:val="005D17D6"/>
    <w:rsid w:val="005D180D"/>
    <w:rsid w:val="005D18C1"/>
    <w:rsid w:val="005D1B65"/>
    <w:rsid w:val="005D1C1D"/>
    <w:rsid w:val="005D1FCA"/>
    <w:rsid w:val="005D2038"/>
    <w:rsid w:val="005D2053"/>
    <w:rsid w:val="005D211B"/>
    <w:rsid w:val="005D215A"/>
    <w:rsid w:val="005D2243"/>
    <w:rsid w:val="005D2246"/>
    <w:rsid w:val="005D2269"/>
    <w:rsid w:val="005D2299"/>
    <w:rsid w:val="005D23E8"/>
    <w:rsid w:val="005D23E9"/>
    <w:rsid w:val="005D23F2"/>
    <w:rsid w:val="005D249A"/>
    <w:rsid w:val="005D24EA"/>
    <w:rsid w:val="005D24F6"/>
    <w:rsid w:val="005D257A"/>
    <w:rsid w:val="005D2638"/>
    <w:rsid w:val="005D26B5"/>
    <w:rsid w:val="005D270E"/>
    <w:rsid w:val="005D27D1"/>
    <w:rsid w:val="005D27E0"/>
    <w:rsid w:val="005D2857"/>
    <w:rsid w:val="005D2873"/>
    <w:rsid w:val="005D28CF"/>
    <w:rsid w:val="005D29E1"/>
    <w:rsid w:val="005D2AA7"/>
    <w:rsid w:val="005D2B25"/>
    <w:rsid w:val="005D2BA7"/>
    <w:rsid w:val="005D2C54"/>
    <w:rsid w:val="005D2C71"/>
    <w:rsid w:val="005D2C96"/>
    <w:rsid w:val="005D2CDA"/>
    <w:rsid w:val="005D2E89"/>
    <w:rsid w:val="005D2F8D"/>
    <w:rsid w:val="005D309A"/>
    <w:rsid w:val="005D30F9"/>
    <w:rsid w:val="005D3142"/>
    <w:rsid w:val="005D31B9"/>
    <w:rsid w:val="005D31DA"/>
    <w:rsid w:val="005D31E4"/>
    <w:rsid w:val="005D3206"/>
    <w:rsid w:val="005D3345"/>
    <w:rsid w:val="005D33BD"/>
    <w:rsid w:val="005D342C"/>
    <w:rsid w:val="005D3547"/>
    <w:rsid w:val="005D367D"/>
    <w:rsid w:val="005D3699"/>
    <w:rsid w:val="005D36C8"/>
    <w:rsid w:val="005D36E2"/>
    <w:rsid w:val="005D3743"/>
    <w:rsid w:val="005D38CD"/>
    <w:rsid w:val="005D3A28"/>
    <w:rsid w:val="005D3B13"/>
    <w:rsid w:val="005D3B4F"/>
    <w:rsid w:val="005D3BD4"/>
    <w:rsid w:val="005D3D43"/>
    <w:rsid w:val="005D3D5A"/>
    <w:rsid w:val="005D3DBD"/>
    <w:rsid w:val="005D409A"/>
    <w:rsid w:val="005D4168"/>
    <w:rsid w:val="005D423E"/>
    <w:rsid w:val="005D429C"/>
    <w:rsid w:val="005D4352"/>
    <w:rsid w:val="005D43D9"/>
    <w:rsid w:val="005D44A1"/>
    <w:rsid w:val="005D452A"/>
    <w:rsid w:val="005D4596"/>
    <w:rsid w:val="005D46A6"/>
    <w:rsid w:val="005D4800"/>
    <w:rsid w:val="005D4888"/>
    <w:rsid w:val="005D48AD"/>
    <w:rsid w:val="005D48D7"/>
    <w:rsid w:val="005D48EF"/>
    <w:rsid w:val="005D497E"/>
    <w:rsid w:val="005D49D3"/>
    <w:rsid w:val="005D4AC6"/>
    <w:rsid w:val="005D4B34"/>
    <w:rsid w:val="005D4BFC"/>
    <w:rsid w:val="005D4E08"/>
    <w:rsid w:val="005D4ED3"/>
    <w:rsid w:val="005D4F61"/>
    <w:rsid w:val="005D50B4"/>
    <w:rsid w:val="005D5162"/>
    <w:rsid w:val="005D5197"/>
    <w:rsid w:val="005D5273"/>
    <w:rsid w:val="005D527B"/>
    <w:rsid w:val="005D52D4"/>
    <w:rsid w:val="005D52E5"/>
    <w:rsid w:val="005D52F0"/>
    <w:rsid w:val="005D54AB"/>
    <w:rsid w:val="005D54B9"/>
    <w:rsid w:val="005D552B"/>
    <w:rsid w:val="005D553B"/>
    <w:rsid w:val="005D55A2"/>
    <w:rsid w:val="005D55E5"/>
    <w:rsid w:val="005D566D"/>
    <w:rsid w:val="005D57F2"/>
    <w:rsid w:val="005D5835"/>
    <w:rsid w:val="005D583B"/>
    <w:rsid w:val="005D586D"/>
    <w:rsid w:val="005D5A28"/>
    <w:rsid w:val="005D5B0A"/>
    <w:rsid w:val="005D5B53"/>
    <w:rsid w:val="005D5D3A"/>
    <w:rsid w:val="005D5D55"/>
    <w:rsid w:val="005D5D66"/>
    <w:rsid w:val="005D5E4E"/>
    <w:rsid w:val="005D5EB5"/>
    <w:rsid w:val="005D5F29"/>
    <w:rsid w:val="005D5FE2"/>
    <w:rsid w:val="005D60CA"/>
    <w:rsid w:val="005D60D0"/>
    <w:rsid w:val="005D6405"/>
    <w:rsid w:val="005D645F"/>
    <w:rsid w:val="005D6486"/>
    <w:rsid w:val="005D6495"/>
    <w:rsid w:val="005D649F"/>
    <w:rsid w:val="005D6529"/>
    <w:rsid w:val="005D65A2"/>
    <w:rsid w:val="005D65D7"/>
    <w:rsid w:val="005D663B"/>
    <w:rsid w:val="005D682A"/>
    <w:rsid w:val="005D6C95"/>
    <w:rsid w:val="005D6CD2"/>
    <w:rsid w:val="005D6D06"/>
    <w:rsid w:val="005D6D22"/>
    <w:rsid w:val="005D6D5C"/>
    <w:rsid w:val="005D6E0B"/>
    <w:rsid w:val="005D6ECC"/>
    <w:rsid w:val="005D6EFF"/>
    <w:rsid w:val="005D6F46"/>
    <w:rsid w:val="005D7069"/>
    <w:rsid w:val="005D7080"/>
    <w:rsid w:val="005D71B8"/>
    <w:rsid w:val="005D7207"/>
    <w:rsid w:val="005D7214"/>
    <w:rsid w:val="005D7222"/>
    <w:rsid w:val="005D7230"/>
    <w:rsid w:val="005D725A"/>
    <w:rsid w:val="005D73D3"/>
    <w:rsid w:val="005D7433"/>
    <w:rsid w:val="005D74FE"/>
    <w:rsid w:val="005D75F6"/>
    <w:rsid w:val="005D7625"/>
    <w:rsid w:val="005D7691"/>
    <w:rsid w:val="005D7759"/>
    <w:rsid w:val="005D795C"/>
    <w:rsid w:val="005D798D"/>
    <w:rsid w:val="005D7AFA"/>
    <w:rsid w:val="005D7C04"/>
    <w:rsid w:val="005D7D2D"/>
    <w:rsid w:val="005D7F17"/>
    <w:rsid w:val="005E0096"/>
    <w:rsid w:val="005E009A"/>
    <w:rsid w:val="005E009B"/>
    <w:rsid w:val="005E025B"/>
    <w:rsid w:val="005E0309"/>
    <w:rsid w:val="005E047F"/>
    <w:rsid w:val="005E04B4"/>
    <w:rsid w:val="005E058A"/>
    <w:rsid w:val="005E0601"/>
    <w:rsid w:val="005E0673"/>
    <w:rsid w:val="005E07D9"/>
    <w:rsid w:val="005E0874"/>
    <w:rsid w:val="005E0B48"/>
    <w:rsid w:val="005E0BA2"/>
    <w:rsid w:val="005E0BDC"/>
    <w:rsid w:val="005E0BE4"/>
    <w:rsid w:val="005E0BF6"/>
    <w:rsid w:val="005E0C5A"/>
    <w:rsid w:val="005E0CAE"/>
    <w:rsid w:val="005E0CB2"/>
    <w:rsid w:val="005E0E44"/>
    <w:rsid w:val="005E0E64"/>
    <w:rsid w:val="005E0EC3"/>
    <w:rsid w:val="005E101A"/>
    <w:rsid w:val="005E1044"/>
    <w:rsid w:val="005E10D4"/>
    <w:rsid w:val="005E1104"/>
    <w:rsid w:val="005E12F4"/>
    <w:rsid w:val="005E1348"/>
    <w:rsid w:val="005E13FE"/>
    <w:rsid w:val="005E14E4"/>
    <w:rsid w:val="005E150A"/>
    <w:rsid w:val="005E15A4"/>
    <w:rsid w:val="005E15D1"/>
    <w:rsid w:val="005E167B"/>
    <w:rsid w:val="005E16B8"/>
    <w:rsid w:val="005E16ED"/>
    <w:rsid w:val="005E1733"/>
    <w:rsid w:val="005E1745"/>
    <w:rsid w:val="005E17FF"/>
    <w:rsid w:val="005E1826"/>
    <w:rsid w:val="005E1854"/>
    <w:rsid w:val="005E18E7"/>
    <w:rsid w:val="005E18FB"/>
    <w:rsid w:val="005E1900"/>
    <w:rsid w:val="005E19D1"/>
    <w:rsid w:val="005E1C7F"/>
    <w:rsid w:val="005E1CF1"/>
    <w:rsid w:val="005E1D16"/>
    <w:rsid w:val="005E1DBE"/>
    <w:rsid w:val="005E1E54"/>
    <w:rsid w:val="005E1EBE"/>
    <w:rsid w:val="005E1FBB"/>
    <w:rsid w:val="005E207A"/>
    <w:rsid w:val="005E20E9"/>
    <w:rsid w:val="005E2133"/>
    <w:rsid w:val="005E2137"/>
    <w:rsid w:val="005E22C8"/>
    <w:rsid w:val="005E2384"/>
    <w:rsid w:val="005E23CD"/>
    <w:rsid w:val="005E24D7"/>
    <w:rsid w:val="005E256A"/>
    <w:rsid w:val="005E2656"/>
    <w:rsid w:val="005E265D"/>
    <w:rsid w:val="005E2682"/>
    <w:rsid w:val="005E2684"/>
    <w:rsid w:val="005E2814"/>
    <w:rsid w:val="005E282A"/>
    <w:rsid w:val="005E297A"/>
    <w:rsid w:val="005E29A6"/>
    <w:rsid w:val="005E2B4F"/>
    <w:rsid w:val="005E2BBB"/>
    <w:rsid w:val="005E2CE7"/>
    <w:rsid w:val="005E2D59"/>
    <w:rsid w:val="005E2D8B"/>
    <w:rsid w:val="005E2E49"/>
    <w:rsid w:val="005E2EA0"/>
    <w:rsid w:val="005E2F1E"/>
    <w:rsid w:val="005E3044"/>
    <w:rsid w:val="005E3131"/>
    <w:rsid w:val="005E314E"/>
    <w:rsid w:val="005E321D"/>
    <w:rsid w:val="005E3320"/>
    <w:rsid w:val="005E3325"/>
    <w:rsid w:val="005E3382"/>
    <w:rsid w:val="005E343B"/>
    <w:rsid w:val="005E34A6"/>
    <w:rsid w:val="005E35AF"/>
    <w:rsid w:val="005E35F3"/>
    <w:rsid w:val="005E3678"/>
    <w:rsid w:val="005E36DA"/>
    <w:rsid w:val="005E3725"/>
    <w:rsid w:val="005E3730"/>
    <w:rsid w:val="005E3735"/>
    <w:rsid w:val="005E3874"/>
    <w:rsid w:val="005E3964"/>
    <w:rsid w:val="005E39C9"/>
    <w:rsid w:val="005E3A72"/>
    <w:rsid w:val="005E3B3F"/>
    <w:rsid w:val="005E3B53"/>
    <w:rsid w:val="005E3B93"/>
    <w:rsid w:val="005E3BC4"/>
    <w:rsid w:val="005E3C04"/>
    <w:rsid w:val="005E3E76"/>
    <w:rsid w:val="005E405C"/>
    <w:rsid w:val="005E4114"/>
    <w:rsid w:val="005E425E"/>
    <w:rsid w:val="005E426C"/>
    <w:rsid w:val="005E42EB"/>
    <w:rsid w:val="005E43CA"/>
    <w:rsid w:val="005E4413"/>
    <w:rsid w:val="005E4463"/>
    <w:rsid w:val="005E461A"/>
    <w:rsid w:val="005E470C"/>
    <w:rsid w:val="005E4717"/>
    <w:rsid w:val="005E47EA"/>
    <w:rsid w:val="005E4814"/>
    <w:rsid w:val="005E49E1"/>
    <w:rsid w:val="005E4A91"/>
    <w:rsid w:val="005E4A92"/>
    <w:rsid w:val="005E4AC4"/>
    <w:rsid w:val="005E4BBA"/>
    <w:rsid w:val="005E4E4C"/>
    <w:rsid w:val="005E4EB5"/>
    <w:rsid w:val="005E4F17"/>
    <w:rsid w:val="005E4F46"/>
    <w:rsid w:val="005E50CE"/>
    <w:rsid w:val="005E516B"/>
    <w:rsid w:val="005E5297"/>
    <w:rsid w:val="005E52ED"/>
    <w:rsid w:val="005E5339"/>
    <w:rsid w:val="005E5348"/>
    <w:rsid w:val="005E53B0"/>
    <w:rsid w:val="005E53CC"/>
    <w:rsid w:val="005E5472"/>
    <w:rsid w:val="005E54A5"/>
    <w:rsid w:val="005E552C"/>
    <w:rsid w:val="005E554B"/>
    <w:rsid w:val="005E5622"/>
    <w:rsid w:val="005E56D8"/>
    <w:rsid w:val="005E5829"/>
    <w:rsid w:val="005E587E"/>
    <w:rsid w:val="005E5887"/>
    <w:rsid w:val="005E5999"/>
    <w:rsid w:val="005E5A77"/>
    <w:rsid w:val="005E5AC4"/>
    <w:rsid w:val="005E5B7E"/>
    <w:rsid w:val="005E5BF9"/>
    <w:rsid w:val="005E5C02"/>
    <w:rsid w:val="005E5C06"/>
    <w:rsid w:val="005E5C18"/>
    <w:rsid w:val="005E5D4A"/>
    <w:rsid w:val="005E5D9B"/>
    <w:rsid w:val="005E5DCC"/>
    <w:rsid w:val="005E5ED4"/>
    <w:rsid w:val="005E5FA3"/>
    <w:rsid w:val="005E617E"/>
    <w:rsid w:val="005E6195"/>
    <w:rsid w:val="005E61D8"/>
    <w:rsid w:val="005E6280"/>
    <w:rsid w:val="005E62C8"/>
    <w:rsid w:val="005E6381"/>
    <w:rsid w:val="005E6435"/>
    <w:rsid w:val="005E6446"/>
    <w:rsid w:val="005E6551"/>
    <w:rsid w:val="005E6585"/>
    <w:rsid w:val="005E67C0"/>
    <w:rsid w:val="005E68A4"/>
    <w:rsid w:val="005E68C9"/>
    <w:rsid w:val="005E693B"/>
    <w:rsid w:val="005E698C"/>
    <w:rsid w:val="005E69FA"/>
    <w:rsid w:val="005E6B2E"/>
    <w:rsid w:val="005E6B5F"/>
    <w:rsid w:val="005E6D30"/>
    <w:rsid w:val="005E6D65"/>
    <w:rsid w:val="005E6E9C"/>
    <w:rsid w:val="005E6F05"/>
    <w:rsid w:val="005E7002"/>
    <w:rsid w:val="005E7222"/>
    <w:rsid w:val="005E72C2"/>
    <w:rsid w:val="005E7314"/>
    <w:rsid w:val="005E7365"/>
    <w:rsid w:val="005E748C"/>
    <w:rsid w:val="005E7672"/>
    <w:rsid w:val="005E776F"/>
    <w:rsid w:val="005E7778"/>
    <w:rsid w:val="005E799A"/>
    <w:rsid w:val="005E7A06"/>
    <w:rsid w:val="005E7A2B"/>
    <w:rsid w:val="005E7A9F"/>
    <w:rsid w:val="005E7C42"/>
    <w:rsid w:val="005E7CC5"/>
    <w:rsid w:val="005E7CFE"/>
    <w:rsid w:val="005E7D50"/>
    <w:rsid w:val="005E7DC7"/>
    <w:rsid w:val="005E7E57"/>
    <w:rsid w:val="005E7E68"/>
    <w:rsid w:val="005E7E97"/>
    <w:rsid w:val="005E7F46"/>
    <w:rsid w:val="005E7F4B"/>
    <w:rsid w:val="005E7F60"/>
    <w:rsid w:val="005E7FAF"/>
    <w:rsid w:val="005F00F4"/>
    <w:rsid w:val="005F014C"/>
    <w:rsid w:val="005F0235"/>
    <w:rsid w:val="005F024F"/>
    <w:rsid w:val="005F0291"/>
    <w:rsid w:val="005F0396"/>
    <w:rsid w:val="005F03DC"/>
    <w:rsid w:val="005F0441"/>
    <w:rsid w:val="005F0495"/>
    <w:rsid w:val="005F0544"/>
    <w:rsid w:val="005F0681"/>
    <w:rsid w:val="005F07ED"/>
    <w:rsid w:val="005F08DB"/>
    <w:rsid w:val="005F09E1"/>
    <w:rsid w:val="005F0A00"/>
    <w:rsid w:val="005F0AFD"/>
    <w:rsid w:val="005F0B03"/>
    <w:rsid w:val="005F0C25"/>
    <w:rsid w:val="005F0C8E"/>
    <w:rsid w:val="005F0D03"/>
    <w:rsid w:val="005F0DD5"/>
    <w:rsid w:val="005F0E27"/>
    <w:rsid w:val="005F0EA8"/>
    <w:rsid w:val="005F0FF4"/>
    <w:rsid w:val="005F1127"/>
    <w:rsid w:val="005F1135"/>
    <w:rsid w:val="005F12A6"/>
    <w:rsid w:val="005F1370"/>
    <w:rsid w:val="005F13B1"/>
    <w:rsid w:val="005F145B"/>
    <w:rsid w:val="005F14AB"/>
    <w:rsid w:val="005F1557"/>
    <w:rsid w:val="005F172E"/>
    <w:rsid w:val="005F1781"/>
    <w:rsid w:val="005F17D2"/>
    <w:rsid w:val="005F184D"/>
    <w:rsid w:val="005F188D"/>
    <w:rsid w:val="005F1997"/>
    <w:rsid w:val="005F1A15"/>
    <w:rsid w:val="005F1A9A"/>
    <w:rsid w:val="005F1ADB"/>
    <w:rsid w:val="005F1B4A"/>
    <w:rsid w:val="005F1B63"/>
    <w:rsid w:val="005F1BAA"/>
    <w:rsid w:val="005F1C45"/>
    <w:rsid w:val="005F1C8F"/>
    <w:rsid w:val="005F1CB8"/>
    <w:rsid w:val="005F1D3F"/>
    <w:rsid w:val="005F1DED"/>
    <w:rsid w:val="005F1E87"/>
    <w:rsid w:val="005F1EAA"/>
    <w:rsid w:val="005F1F83"/>
    <w:rsid w:val="005F204F"/>
    <w:rsid w:val="005F2085"/>
    <w:rsid w:val="005F2165"/>
    <w:rsid w:val="005F2189"/>
    <w:rsid w:val="005F22B0"/>
    <w:rsid w:val="005F232D"/>
    <w:rsid w:val="005F235E"/>
    <w:rsid w:val="005F23C7"/>
    <w:rsid w:val="005F2594"/>
    <w:rsid w:val="005F26C5"/>
    <w:rsid w:val="005F278C"/>
    <w:rsid w:val="005F27D6"/>
    <w:rsid w:val="005F281D"/>
    <w:rsid w:val="005F2826"/>
    <w:rsid w:val="005F28B2"/>
    <w:rsid w:val="005F28F9"/>
    <w:rsid w:val="005F294C"/>
    <w:rsid w:val="005F2A6D"/>
    <w:rsid w:val="005F2B65"/>
    <w:rsid w:val="005F2BF8"/>
    <w:rsid w:val="005F2C8E"/>
    <w:rsid w:val="005F2E41"/>
    <w:rsid w:val="005F2E7D"/>
    <w:rsid w:val="005F2E83"/>
    <w:rsid w:val="005F2EA6"/>
    <w:rsid w:val="005F2FFA"/>
    <w:rsid w:val="005F304C"/>
    <w:rsid w:val="005F30D2"/>
    <w:rsid w:val="005F3108"/>
    <w:rsid w:val="005F317B"/>
    <w:rsid w:val="005F318A"/>
    <w:rsid w:val="005F3299"/>
    <w:rsid w:val="005F32B1"/>
    <w:rsid w:val="005F32C1"/>
    <w:rsid w:val="005F33A2"/>
    <w:rsid w:val="005F33A6"/>
    <w:rsid w:val="005F33BE"/>
    <w:rsid w:val="005F3470"/>
    <w:rsid w:val="005F3473"/>
    <w:rsid w:val="005F3633"/>
    <w:rsid w:val="005F367A"/>
    <w:rsid w:val="005F3772"/>
    <w:rsid w:val="005F38DA"/>
    <w:rsid w:val="005F3AB9"/>
    <w:rsid w:val="005F3ADA"/>
    <w:rsid w:val="005F3B3F"/>
    <w:rsid w:val="005F3BD8"/>
    <w:rsid w:val="005F3BDD"/>
    <w:rsid w:val="005F3BE0"/>
    <w:rsid w:val="005F3DDF"/>
    <w:rsid w:val="005F3E10"/>
    <w:rsid w:val="005F3ED5"/>
    <w:rsid w:val="005F3EF8"/>
    <w:rsid w:val="005F408E"/>
    <w:rsid w:val="005F40D8"/>
    <w:rsid w:val="005F4229"/>
    <w:rsid w:val="005F42AB"/>
    <w:rsid w:val="005F42EE"/>
    <w:rsid w:val="005F4421"/>
    <w:rsid w:val="005F44D7"/>
    <w:rsid w:val="005F4693"/>
    <w:rsid w:val="005F4760"/>
    <w:rsid w:val="005F47B4"/>
    <w:rsid w:val="005F4863"/>
    <w:rsid w:val="005F490D"/>
    <w:rsid w:val="005F4948"/>
    <w:rsid w:val="005F4978"/>
    <w:rsid w:val="005F49C0"/>
    <w:rsid w:val="005F4B5A"/>
    <w:rsid w:val="005F4B8C"/>
    <w:rsid w:val="005F4C47"/>
    <w:rsid w:val="005F4C57"/>
    <w:rsid w:val="005F4CFA"/>
    <w:rsid w:val="005F4D35"/>
    <w:rsid w:val="005F4ED8"/>
    <w:rsid w:val="005F4FEC"/>
    <w:rsid w:val="005F5074"/>
    <w:rsid w:val="005F50E2"/>
    <w:rsid w:val="005F5107"/>
    <w:rsid w:val="005F5148"/>
    <w:rsid w:val="005F5172"/>
    <w:rsid w:val="005F51BB"/>
    <w:rsid w:val="005F520A"/>
    <w:rsid w:val="005F5249"/>
    <w:rsid w:val="005F52D0"/>
    <w:rsid w:val="005F52EA"/>
    <w:rsid w:val="005F537F"/>
    <w:rsid w:val="005F54FF"/>
    <w:rsid w:val="005F5646"/>
    <w:rsid w:val="005F5763"/>
    <w:rsid w:val="005F582A"/>
    <w:rsid w:val="005F59BD"/>
    <w:rsid w:val="005F5A77"/>
    <w:rsid w:val="005F5B07"/>
    <w:rsid w:val="005F5CD6"/>
    <w:rsid w:val="005F5F37"/>
    <w:rsid w:val="005F5FC9"/>
    <w:rsid w:val="005F6259"/>
    <w:rsid w:val="005F6269"/>
    <w:rsid w:val="005F62C8"/>
    <w:rsid w:val="005F64BC"/>
    <w:rsid w:val="005F653E"/>
    <w:rsid w:val="005F66C3"/>
    <w:rsid w:val="005F67DE"/>
    <w:rsid w:val="005F67EF"/>
    <w:rsid w:val="005F68DF"/>
    <w:rsid w:val="005F68E9"/>
    <w:rsid w:val="005F698B"/>
    <w:rsid w:val="005F69CF"/>
    <w:rsid w:val="005F6A08"/>
    <w:rsid w:val="005F6A0A"/>
    <w:rsid w:val="005F6BAF"/>
    <w:rsid w:val="005F6C4F"/>
    <w:rsid w:val="005F6D57"/>
    <w:rsid w:val="005F6DAA"/>
    <w:rsid w:val="005F6E66"/>
    <w:rsid w:val="005F7061"/>
    <w:rsid w:val="005F7065"/>
    <w:rsid w:val="005F707A"/>
    <w:rsid w:val="005F70BA"/>
    <w:rsid w:val="005F712B"/>
    <w:rsid w:val="005F717A"/>
    <w:rsid w:val="005F7247"/>
    <w:rsid w:val="005F72DD"/>
    <w:rsid w:val="005F72EA"/>
    <w:rsid w:val="005F7372"/>
    <w:rsid w:val="005F7507"/>
    <w:rsid w:val="005F75F1"/>
    <w:rsid w:val="005F7680"/>
    <w:rsid w:val="005F76E9"/>
    <w:rsid w:val="005F773F"/>
    <w:rsid w:val="005F77CF"/>
    <w:rsid w:val="005F77DA"/>
    <w:rsid w:val="005F7845"/>
    <w:rsid w:val="005F79DB"/>
    <w:rsid w:val="005F7B9F"/>
    <w:rsid w:val="005F7C0C"/>
    <w:rsid w:val="005F7C13"/>
    <w:rsid w:val="005F7E27"/>
    <w:rsid w:val="005F7F24"/>
    <w:rsid w:val="005F7FE5"/>
    <w:rsid w:val="005F7FF4"/>
    <w:rsid w:val="00600023"/>
    <w:rsid w:val="0060009E"/>
    <w:rsid w:val="00600194"/>
    <w:rsid w:val="006001B6"/>
    <w:rsid w:val="00600492"/>
    <w:rsid w:val="006004A3"/>
    <w:rsid w:val="00600510"/>
    <w:rsid w:val="0060062C"/>
    <w:rsid w:val="006006CE"/>
    <w:rsid w:val="006006D9"/>
    <w:rsid w:val="0060073E"/>
    <w:rsid w:val="00600764"/>
    <w:rsid w:val="0060078B"/>
    <w:rsid w:val="006007F7"/>
    <w:rsid w:val="00600872"/>
    <w:rsid w:val="00600874"/>
    <w:rsid w:val="0060089C"/>
    <w:rsid w:val="0060089F"/>
    <w:rsid w:val="006008CE"/>
    <w:rsid w:val="006008DD"/>
    <w:rsid w:val="006008EF"/>
    <w:rsid w:val="00600915"/>
    <w:rsid w:val="006009E7"/>
    <w:rsid w:val="00600A78"/>
    <w:rsid w:val="00600B4C"/>
    <w:rsid w:val="00600B4F"/>
    <w:rsid w:val="00600B5C"/>
    <w:rsid w:val="00600B63"/>
    <w:rsid w:val="00600B70"/>
    <w:rsid w:val="00600B90"/>
    <w:rsid w:val="00600C97"/>
    <w:rsid w:val="00600D00"/>
    <w:rsid w:val="00600D1C"/>
    <w:rsid w:val="00600D9F"/>
    <w:rsid w:val="00600DA4"/>
    <w:rsid w:val="00600EFB"/>
    <w:rsid w:val="00600F97"/>
    <w:rsid w:val="0060106F"/>
    <w:rsid w:val="0060108A"/>
    <w:rsid w:val="0060112D"/>
    <w:rsid w:val="0060144C"/>
    <w:rsid w:val="006014B3"/>
    <w:rsid w:val="006014FA"/>
    <w:rsid w:val="00601643"/>
    <w:rsid w:val="00601691"/>
    <w:rsid w:val="0060170C"/>
    <w:rsid w:val="006017EA"/>
    <w:rsid w:val="00601881"/>
    <w:rsid w:val="006019A2"/>
    <w:rsid w:val="006019A5"/>
    <w:rsid w:val="00601AE1"/>
    <w:rsid w:val="00601B4C"/>
    <w:rsid w:val="00601BA2"/>
    <w:rsid w:val="00601DB7"/>
    <w:rsid w:val="00601E25"/>
    <w:rsid w:val="00601E93"/>
    <w:rsid w:val="00601F37"/>
    <w:rsid w:val="00601FCE"/>
    <w:rsid w:val="006020F6"/>
    <w:rsid w:val="0060226B"/>
    <w:rsid w:val="00602277"/>
    <w:rsid w:val="00602365"/>
    <w:rsid w:val="00602492"/>
    <w:rsid w:val="0060251F"/>
    <w:rsid w:val="00602576"/>
    <w:rsid w:val="006025A4"/>
    <w:rsid w:val="006025F2"/>
    <w:rsid w:val="00602657"/>
    <w:rsid w:val="00602672"/>
    <w:rsid w:val="006027BF"/>
    <w:rsid w:val="006028B9"/>
    <w:rsid w:val="006028C5"/>
    <w:rsid w:val="0060293D"/>
    <w:rsid w:val="00602942"/>
    <w:rsid w:val="006029D4"/>
    <w:rsid w:val="00602A2E"/>
    <w:rsid w:val="00602A91"/>
    <w:rsid w:val="00602AC5"/>
    <w:rsid w:val="00602AC8"/>
    <w:rsid w:val="00602B21"/>
    <w:rsid w:val="00602BF5"/>
    <w:rsid w:val="00602C72"/>
    <w:rsid w:val="00602CD7"/>
    <w:rsid w:val="00602CFB"/>
    <w:rsid w:val="00602D11"/>
    <w:rsid w:val="00602ED0"/>
    <w:rsid w:val="00602EFB"/>
    <w:rsid w:val="006030C4"/>
    <w:rsid w:val="006030DF"/>
    <w:rsid w:val="0060312B"/>
    <w:rsid w:val="006031D3"/>
    <w:rsid w:val="006033E9"/>
    <w:rsid w:val="006034FB"/>
    <w:rsid w:val="00603501"/>
    <w:rsid w:val="00603637"/>
    <w:rsid w:val="0060377C"/>
    <w:rsid w:val="006037E6"/>
    <w:rsid w:val="006038D7"/>
    <w:rsid w:val="00603987"/>
    <w:rsid w:val="006039DD"/>
    <w:rsid w:val="00603A2F"/>
    <w:rsid w:val="00603B20"/>
    <w:rsid w:val="00603BDD"/>
    <w:rsid w:val="00603C20"/>
    <w:rsid w:val="00603C6F"/>
    <w:rsid w:val="00603E21"/>
    <w:rsid w:val="00603F3F"/>
    <w:rsid w:val="006040FD"/>
    <w:rsid w:val="00604152"/>
    <w:rsid w:val="006042A2"/>
    <w:rsid w:val="006042EA"/>
    <w:rsid w:val="006042FA"/>
    <w:rsid w:val="00604300"/>
    <w:rsid w:val="00604533"/>
    <w:rsid w:val="006045FD"/>
    <w:rsid w:val="00604614"/>
    <w:rsid w:val="00604649"/>
    <w:rsid w:val="0060464B"/>
    <w:rsid w:val="00604676"/>
    <w:rsid w:val="006046F8"/>
    <w:rsid w:val="006047A2"/>
    <w:rsid w:val="006047D7"/>
    <w:rsid w:val="006048BA"/>
    <w:rsid w:val="006048D2"/>
    <w:rsid w:val="006049F2"/>
    <w:rsid w:val="00604A38"/>
    <w:rsid w:val="00604A46"/>
    <w:rsid w:val="00604B02"/>
    <w:rsid w:val="00604B0D"/>
    <w:rsid w:val="00604BD0"/>
    <w:rsid w:val="00604C43"/>
    <w:rsid w:val="00604DAC"/>
    <w:rsid w:val="00604DB4"/>
    <w:rsid w:val="00604E1C"/>
    <w:rsid w:val="00604EA1"/>
    <w:rsid w:val="00604EEA"/>
    <w:rsid w:val="00604FF6"/>
    <w:rsid w:val="006051DC"/>
    <w:rsid w:val="00605285"/>
    <w:rsid w:val="00605342"/>
    <w:rsid w:val="0060543D"/>
    <w:rsid w:val="00605464"/>
    <w:rsid w:val="00605717"/>
    <w:rsid w:val="006057C8"/>
    <w:rsid w:val="0060583A"/>
    <w:rsid w:val="006058A6"/>
    <w:rsid w:val="00605904"/>
    <w:rsid w:val="0060599C"/>
    <w:rsid w:val="00605D00"/>
    <w:rsid w:val="00605D9C"/>
    <w:rsid w:val="00605DEC"/>
    <w:rsid w:val="00605FA5"/>
    <w:rsid w:val="00605FE6"/>
    <w:rsid w:val="006060C8"/>
    <w:rsid w:val="0060615C"/>
    <w:rsid w:val="0060617D"/>
    <w:rsid w:val="00606284"/>
    <w:rsid w:val="006062F2"/>
    <w:rsid w:val="006063A5"/>
    <w:rsid w:val="006063D0"/>
    <w:rsid w:val="00606422"/>
    <w:rsid w:val="0060665F"/>
    <w:rsid w:val="006066DE"/>
    <w:rsid w:val="0060677F"/>
    <w:rsid w:val="006067F2"/>
    <w:rsid w:val="00606891"/>
    <w:rsid w:val="006068ED"/>
    <w:rsid w:val="00606974"/>
    <w:rsid w:val="00606A41"/>
    <w:rsid w:val="00606AA9"/>
    <w:rsid w:val="00606BA9"/>
    <w:rsid w:val="00606BD7"/>
    <w:rsid w:val="00606C7C"/>
    <w:rsid w:val="00606D50"/>
    <w:rsid w:val="00606DBB"/>
    <w:rsid w:val="00606DC7"/>
    <w:rsid w:val="00606E95"/>
    <w:rsid w:val="00606E9F"/>
    <w:rsid w:val="00606EAB"/>
    <w:rsid w:val="006070EC"/>
    <w:rsid w:val="00607114"/>
    <w:rsid w:val="0060712F"/>
    <w:rsid w:val="00607150"/>
    <w:rsid w:val="0060719C"/>
    <w:rsid w:val="006071F7"/>
    <w:rsid w:val="006073BF"/>
    <w:rsid w:val="006074DA"/>
    <w:rsid w:val="006074FC"/>
    <w:rsid w:val="00607601"/>
    <w:rsid w:val="0060777B"/>
    <w:rsid w:val="006077C5"/>
    <w:rsid w:val="006077EC"/>
    <w:rsid w:val="00607812"/>
    <w:rsid w:val="00607816"/>
    <w:rsid w:val="006078D0"/>
    <w:rsid w:val="00607AFD"/>
    <w:rsid w:val="00607BDA"/>
    <w:rsid w:val="00607C62"/>
    <w:rsid w:val="00607C94"/>
    <w:rsid w:val="00607E56"/>
    <w:rsid w:val="00607ED7"/>
    <w:rsid w:val="00607EF4"/>
    <w:rsid w:val="0061014C"/>
    <w:rsid w:val="0061018F"/>
    <w:rsid w:val="0061036A"/>
    <w:rsid w:val="006103EE"/>
    <w:rsid w:val="0061044F"/>
    <w:rsid w:val="0061046C"/>
    <w:rsid w:val="006105C9"/>
    <w:rsid w:val="006106DB"/>
    <w:rsid w:val="00610767"/>
    <w:rsid w:val="00610888"/>
    <w:rsid w:val="006108B7"/>
    <w:rsid w:val="0061097B"/>
    <w:rsid w:val="00610989"/>
    <w:rsid w:val="006109B9"/>
    <w:rsid w:val="006109FF"/>
    <w:rsid w:val="00610AC5"/>
    <w:rsid w:val="00610B4A"/>
    <w:rsid w:val="00610B92"/>
    <w:rsid w:val="00610D60"/>
    <w:rsid w:val="00610D6F"/>
    <w:rsid w:val="00610DFC"/>
    <w:rsid w:val="00610EF0"/>
    <w:rsid w:val="00611057"/>
    <w:rsid w:val="0061111A"/>
    <w:rsid w:val="006111A9"/>
    <w:rsid w:val="00611329"/>
    <w:rsid w:val="00611513"/>
    <w:rsid w:val="00611584"/>
    <w:rsid w:val="0061169D"/>
    <w:rsid w:val="00611772"/>
    <w:rsid w:val="006117EC"/>
    <w:rsid w:val="006119BD"/>
    <w:rsid w:val="006119F2"/>
    <w:rsid w:val="00611A14"/>
    <w:rsid w:val="00611A38"/>
    <w:rsid w:val="00611A5D"/>
    <w:rsid w:val="00611AB6"/>
    <w:rsid w:val="00611AF8"/>
    <w:rsid w:val="00611BA0"/>
    <w:rsid w:val="00611CE6"/>
    <w:rsid w:val="00611CEC"/>
    <w:rsid w:val="00611CEE"/>
    <w:rsid w:val="00611CFB"/>
    <w:rsid w:val="00611D47"/>
    <w:rsid w:val="00611D93"/>
    <w:rsid w:val="00611DB8"/>
    <w:rsid w:val="00611F20"/>
    <w:rsid w:val="00611F2C"/>
    <w:rsid w:val="00611F6E"/>
    <w:rsid w:val="00612055"/>
    <w:rsid w:val="00612074"/>
    <w:rsid w:val="0061209E"/>
    <w:rsid w:val="006120A7"/>
    <w:rsid w:val="006120EF"/>
    <w:rsid w:val="00612194"/>
    <w:rsid w:val="0061219E"/>
    <w:rsid w:val="00612214"/>
    <w:rsid w:val="0061221A"/>
    <w:rsid w:val="006122F8"/>
    <w:rsid w:val="0061230F"/>
    <w:rsid w:val="00612343"/>
    <w:rsid w:val="006123AA"/>
    <w:rsid w:val="00612413"/>
    <w:rsid w:val="00612607"/>
    <w:rsid w:val="006126C1"/>
    <w:rsid w:val="006127D0"/>
    <w:rsid w:val="006128E9"/>
    <w:rsid w:val="00612959"/>
    <w:rsid w:val="00612AB8"/>
    <w:rsid w:val="00612ABF"/>
    <w:rsid w:val="00612B48"/>
    <w:rsid w:val="00612C76"/>
    <w:rsid w:val="00612D37"/>
    <w:rsid w:val="00612E3F"/>
    <w:rsid w:val="00612E8B"/>
    <w:rsid w:val="006130B2"/>
    <w:rsid w:val="00613235"/>
    <w:rsid w:val="006132F2"/>
    <w:rsid w:val="00613346"/>
    <w:rsid w:val="00613456"/>
    <w:rsid w:val="00613496"/>
    <w:rsid w:val="006137D4"/>
    <w:rsid w:val="006138AE"/>
    <w:rsid w:val="006138E5"/>
    <w:rsid w:val="0061398C"/>
    <w:rsid w:val="006139A2"/>
    <w:rsid w:val="00613A05"/>
    <w:rsid w:val="00613A1D"/>
    <w:rsid w:val="00613ACD"/>
    <w:rsid w:val="00613CCC"/>
    <w:rsid w:val="00613E45"/>
    <w:rsid w:val="00613F13"/>
    <w:rsid w:val="00613FB6"/>
    <w:rsid w:val="00614110"/>
    <w:rsid w:val="006141F8"/>
    <w:rsid w:val="00614308"/>
    <w:rsid w:val="00614357"/>
    <w:rsid w:val="0061435D"/>
    <w:rsid w:val="00614533"/>
    <w:rsid w:val="006145AB"/>
    <w:rsid w:val="00614642"/>
    <w:rsid w:val="006147CB"/>
    <w:rsid w:val="006148DB"/>
    <w:rsid w:val="006148E5"/>
    <w:rsid w:val="00614939"/>
    <w:rsid w:val="0061499E"/>
    <w:rsid w:val="00614A1A"/>
    <w:rsid w:val="00614A47"/>
    <w:rsid w:val="00614A58"/>
    <w:rsid w:val="00614AC9"/>
    <w:rsid w:val="00614B99"/>
    <w:rsid w:val="00614C72"/>
    <w:rsid w:val="00614CA6"/>
    <w:rsid w:val="00614DDA"/>
    <w:rsid w:val="00614E1B"/>
    <w:rsid w:val="00614EC7"/>
    <w:rsid w:val="00614F85"/>
    <w:rsid w:val="006150ED"/>
    <w:rsid w:val="006151DD"/>
    <w:rsid w:val="00615241"/>
    <w:rsid w:val="006152B7"/>
    <w:rsid w:val="006152DE"/>
    <w:rsid w:val="00615399"/>
    <w:rsid w:val="00615416"/>
    <w:rsid w:val="00615453"/>
    <w:rsid w:val="0061551F"/>
    <w:rsid w:val="00615772"/>
    <w:rsid w:val="00615787"/>
    <w:rsid w:val="0061591E"/>
    <w:rsid w:val="006159A9"/>
    <w:rsid w:val="00615ADA"/>
    <w:rsid w:val="00615C22"/>
    <w:rsid w:val="00615C6C"/>
    <w:rsid w:val="00615F60"/>
    <w:rsid w:val="0061608B"/>
    <w:rsid w:val="00616155"/>
    <w:rsid w:val="0061619A"/>
    <w:rsid w:val="006161BC"/>
    <w:rsid w:val="00616206"/>
    <w:rsid w:val="0061627C"/>
    <w:rsid w:val="006162C8"/>
    <w:rsid w:val="0061641D"/>
    <w:rsid w:val="00616599"/>
    <w:rsid w:val="00616780"/>
    <w:rsid w:val="00616816"/>
    <w:rsid w:val="0061698C"/>
    <w:rsid w:val="0061698E"/>
    <w:rsid w:val="006169B4"/>
    <w:rsid w:val="00616A2A"/>
    <w:rsid w:val="00616A68"/>
    <w:rsid w:val="00616B71"/>
    <w:rsid w:val="00616BBB"/>
    <w:rsid w:val="00616C42"/>
    <w:rsid w:val="00616CA0"/>
    <w:rsid w:val="00616D41"/>
    <w:rsid w:val="00616DC1"/>
    <w:rsid w:val="00616DD9"/>
    <w:rsid w:val="00616F1E"/>
    <w:rsid w:val="0061708E"/>
    <w:rsid w:val="00617241"/>
    <w:rsid w:val="006172AA"/>
    <w:rsid w:val="00617313"/>
    <w:rsid w:val="0061731C"/>
    <w:rsid w:val="006173B8"/>
    <w:rsid w:val="006175AB"/>
    <w:rsid w:val="006175F7"/>
    <w:rsid w:val="0061764A"/>
    <w:rsid w:val="0061771D"/>
    <w:rsid w:val="0061773C"/>
    <w:rsid w:val="0061787E"/>
    <w:rsid w:val="0061798F"/>
    <w:rsid w:val="00617BB6"/>
    <w:rsid w:val="00617E58"/>
    <w:rsid w:val="00617EAA"/>
    <w:rsid w:val="00617F11"/>
    <w:rsid w:val="00617FF8"/>
    <w:rsid w:val="00620002"/>
    <w:rsid w:val="0062005E"/>
    <w:rsid w:val="0062010F"/>
    <w:rsid w:val="00620156"/>
    <w:rsid w:val="00620170"/>
    <w:rsid w:val="00620181"/>
    <w:rsid w:val="00620279"/>
    <w:rsid w:val="00620346"/>
    <w:rsid w:val="00620417"/>
    <w:rsid w:val="0062045D"/>
    <w:rsid w:val="00620525"/>
    <w:rsid w:val="00620549"/>
    <w:rsid w:val="00620551"/>
    <w:rsid w:val="006205CB"/>
    <w:rsid w:val="006206EC"/>
    <w:rsid w:val="0062088A"/>
    <w:rsid w:val="006209FE"/>
    <w:rsid w:val="00620A3C"/>
    <w:rsid w:val="00620AAC"/>
    <w:rsid w:val="00620BC5"/>
    <w:rsid w:val="00620BE1"/>
    <w:rsid w:val="00620C0F"/>
    <w:rsid w:val="00620C20"/>
    <w:rsid w:val="00620CD0"/>
    <w:rsid w:val="00620D9C"/>
    <w:rsid w:val="00620DA7"/>
    <w:rsid w:val="00620DB5"/>
    <w:rsid w:val="00620F3F"/>
    <w:rsid w:val="00620F4C"/>
    <w:rsid w:val="00620F96"/>
    <w:rsid w:val="00620FD3"/>
    <w:rsid w:val="00621046"/>
    <w:rsid w:val="00621267"/>
    <w:rsid w:val="0062154A"/>
    <w:rsid w:val="006215C7"/>
    <w:rsid w:val="006215E0"/>
    <w:rsid w:val="0062161F"/>
    <w:rsid w:val="00621992"/>
    <w:rsid w:val="006219D7"/>
    <w:rsid w:val="006219DE"/>
    <w:rsid w:val="00621A4E"/>
    <w:rsid w:val="00621A84"/>
    <w:rsid w:val="00621CD7"/>
    <w:rsid w:val="00621D3A"/>
    <w:rsid w:val="00621D9D"/>
    <w:rsid w:val="00621DB7"/>
    <w:rsid w:val="00621DC4"/>
    <w:rsid w:val="00621F5A"/>
    <w:rsid w:val="00621F72"/>
    <w:rsid w:val="00621F87"/>
    <w:rsid w:val="00621FCC"/>
    <w:rsid w:val="00622005"/>
    <w:rsid w:val="00622131"/>
    <w:rsid w:val="00622134"/>
    <w:rsid w:val="006221A6"/>
    <w:rsid w:val="006221C3"/>
    <w:rsid w:val="00622201"/>
    <w:rsid w:val="0062221E"/>
    <w:rsid w:val="00622249"/>
    <w:rsid w:val="006222DA"/>
    <w:rsid w:val="006222E2"/>
    <w:rsid w:val="00622311"/>
    <w:rsid w:val="00622460"/>
    <w:rsid w:val="006224A9"/>
    <w:rsid w:val="0062256E"/>
    <w:rsid w:val="00622779"/>
    <w:rsid w:val="006228AB"/>
    <w:rsid w:val="006228DC"/>
    <w:rsid w:val="006228FB"/>
    <w:rsid w:val="00622A28"/>
    <w:rsid w:val="00622A99"/>
    <w:rsid w:val="00622AED"/>
    <w:rsid w:val="00622BE5"/>
    <w:rsid w:val="00622BF5"/>
    <w:rsid w:val="00622C53"/>
    <w:rsid w:val="00622C80"/>
    <w:rsid w:val="00622CC3"/>
    <w:rsid w:val="00622D03"/>
    <w:rsid w:val="00622D3A"/>
    <w:rsid w:val="00622E4A"/>
    <w:rsid w:val="00622EE5"/>
    <w:rsid w:val="00622F3E"/>
    <w:rsid w:val="00622F6D"/>
    <w:rsid w:val="0062311E"/>
    <w:rsid w:val="0062316E"/>
    <w:rsid w:val="006231AF"/>
    <w:rsid w:val="00623347"/>
    <w:rsid w:val="006234AF"/>
    <w:rsid w:val="006235B7"/>
    <w:rsid w:val="00623626"/>
    <w:rsid w:val="00623733"/>
    <w:rsid w:val="0062376C"/>
    <w:rsid w:val="00623A0F"/>
    <w:rsid w:val="00623A96"/>
    <w:rsid w:val="00623AA0"/>
    <w:rsid w:val="00623B39"/>
    <w:rsid w:val="00623D0B"/>
    <w:rsid w:val="00623DF0"/>
    <w:rsid w:val="00623E39"/>
    <w:rsid w:val="00623F8F"/>
    <w:rsid w:val="00623FD2"/>
    <w:rsid w:val="00623FD7"/>
    <w:rsid w:val="0062408A"/>
    <w:rsid w:val="006240A1"/>
    <w:rsid w:val="00624101"/>
    <w:rsid w:val="006241C4"/>
    <w:rsid w:val="006241CA"/>
    <w:rsid w:val="00624244"/>
    <w:rsid w:val="006242B9"/>
    <w:rsid w:val="0062434E"/>
    <w:rsid w:val="00624668"/>
    <w:rsid w:val="006246EF"/>
    <w:rsid w:val="006247C1"/>
    <w:rsid w:val="00624852"/>
    <w:rsid w:val="0062492C"/>
    <w:rsid w:val="0062496A"/>
    <w:rsid w:val="00624A00"/>
    <w:rsid w:val="00624A8E"/>
    <w:rsid w:val="00624AA1"/>
    <w:rsid w:val="00624B04"/>
    <w:rsid w:val="00624B40"/>
    <w:rsid w:val="00624C3F"/>
    <w:rsid w:val="00624E11"/>
    <w:rsid w:val="00624E5D"/>
    <w:rsid w:val="00624EB1"/>
    <w:rsid w:val="00624ED3"/>
    <w:rsid w:val="00624F04"/>
    <w:rsid w:val="00624F8D"/>
    <w:rsid w:val="00624F99"/>
    <w:rsid w:val="00624FB8"/>
    <w:rsid w:val="00624FFD"/>
    <w:rsid w:val="00625032"/>
    <w:rsid w:val="006250ED"/>
    <w:rsid w:val="00625175"/>
    <w:rsid w:val="006251D6"/>
    <w:rsid w:val="00625241"/>
    <w:rsid w:val="006252B8"/>
    <w:rsid w:val="0062530A"/>
    <w:rsid w:val="00625324"/>
    <w:rsid w:val="00625384"/>
    <w:rsid w:val="006254AE"/>
    <w:rsid w:val="00625504"/>
    <w:rsid w:val="00625511"/>
    <w:rsid w:val="00625571"/>
    <w:rsid w:val="0062558F"/>
    <w:rsid w:val="0062560A"/>
    <w:rsid w:val="0062569F"/>
    <w:rsid w:val="006257A0"/>
    <w:rsid w:val="006257E7"/>
    <w:rsid w:val="00625825"/>
    <w:rsid w:val="0062595F"/>
    <w:rsid w:val="006259F5"/>
    <w:rsid w:val="00625A89"/>
    <w:rsid w:val="00625C14"/>
    <w:rsid w:val="00625C7D"/>
    <w:rsid w:val="00625CAF"/>
    <w:rsid w:val="00625CD0"/>
    <w:rsid w:val="00625CD3"/>
    <w:rsid w:val="00625D20"/>
    <w:rsid w:val="00625D63"/>
    <w:rsid w:val="00625D77"/>
    <w:rsid w:val="00625E33"/>
    <w:rsid w:val="00625E82"/>
    <w:rsid w:val="00625E83"/>
    <w:rsid w:val="00625F50"/>
    <w:rsid w:val="00626036"/>
    <w:rsid w:val="00626110"/>
    <w:rsid w:val="00626115"/>
    <w:rsid w:val="0062624A"/>
    <w:rsid w:val="00626467"/>
    <w:rsid w:val="0062657C"/>
    <w:rsid w:val="00626714"/>
    <w:rsid w:val="00626764"/>
    <w:rsid w:val="00626785"/>
    <w:rsid w:val="006268AB"/>
    <w:rsid w:val="006269D3"/>
    <w:rsid w:val="006269E4"/>
    <w:rsid w:val="00626A23"/>
    <w:rsid w:val="00626A28"/>
    <w:rsid w:val="00626ADA"/>
    <w:rsid w:val="00626B34"/>
    <w:rsid w:val="00626D36"/>
    <w:rsid w:val="00626FBD"/>
    <w:rsid w:val="00627026"/>
    <w:rsid w:val="0062704D"/>
    <w:rsid w:val="006270ED"/>
    <w:rsid w:val="0062713B"/>
    <w:rsid w:val="006272A4"/>
    <w:rsid w:val="0062733A"/>
    <w:rsid w:val="006273A8"/>
    <w:rsid w:val="006274E1"/>
    <w:rsid w:val="006274F3"/>
    <w:rsid w:val="006275C4"/>
    <w:rsid w:val="006275D2"/>
    <w:rsid w:val="0062766C"/>
    <w:rsid w:val="006276B8"/>
    <w:rsid w:val="006277FF"/>
    <w:rsid w:val="006278D1"/>
    <w:rsid w:val="00627903"/>
    <w:rsid w:val="0062792D"/>
    <w:rsid w:val="00627A4F"/>
    <w:rsid w:val="00627A7F"/>
    <w:rsid w:val="00627B7F"/>
    <w:rsid w:val="00627CB9"/>
    <w:rsid w:val="00627D4A"/>
    <w:rsid w:val="00627DE8"/>
    <w:rsid w:val="00627EAC"/>
    <w:rsid w:val="00627ECE"/>
    <w:rsid w:val="00627EE2"/>
    <w:rsid w:val="00627F60"/>
    <w:rsid w:val="00627FB5"/>
    <w:rsid w:val="00627FC9"/>
    <w:rsid w:val="00630032"/>
    <w:rsid w:val="0063004B"/>
    <w:rsid w:val="006300C7"/>
    <w:rsid w:val="00630158"/>
    <w:rsid w:val="00630268"/>
    <w:rsid w:val="00630277"/>
    <w:rsid w:val="006302D2"/>
    <w:rsid w:val="0063032A"/>
    <w:rsid w:val="006303C5"/>
    <w:rsid w:val="006303CE"/>
    <w:rsid w:val="00630426"/>
    <w:rsid w:val="0063051A"/>
    <w:rsid w:val="006306F8"/>
    <w:rsid w:val="00630730"/>
    <w:rsid w:val="0063078E"/>
    <w:rsid w:val="006307AE"/>
    <w:rsid w:val="00630865"/>
    <w:rsid w:val="00630888"/>
    <w:rsid w:val="006308AE"/>
    <w:rsid w:val="00630A03"/>
    <w:rsid w:val="00630A89"/>
    <w:rsid w:val="00630B04"/>
    <w:rsid w:val="00630B2E"/>
    <w:rsid w:val="00630B67"/>
    <w:rsid w:val="00630C5C"/>
    <w:rsid w:val="00630C96"/>
    <w:rsid w:val="00630D84"/>
    <w:rsid w:val="00630D8B"/>
    <w:rsid w:val="00630E81"/>
    <w:rsid w:val="00630F01"/>
    <w:rsid w:val="00630F91"/>
    <w:rsid w:val="006310A5"/>
    <w:rsid w:val="006310F9"/>
    <w:rsid w:val="00631131"/>
    <w:rsid w:val="00631198"/>
    <w:rsid w:val="006313A9"/>
    <w:rsid w:val="006314AF"/>
    <w:rsid w:val="00631511"/>
    <w:rsid w:val="00631580"/>
    <w:rsid w:val="0063174A"/>
    <w:rsid w:val="00631778"/>
    <w:rsid w:val="006317ED"/>
    <w:rsid w:val="006318CE"/>
    <w:rsid w:val="0063190E"/>
    <w:rsid w:val="0063197F"/>
    <w:rsid w:val="006319AE"/>
    <w:rsid w:val="006319C6"/>
    <w:rsid w:val="006319F3"/>
    <w:rsid w:val="00631AC5"/>
    <w:rsid w:val="00631B6E"/>
    <w:rsid w:val="00631DC1"/>
    <w:rsid w:val="00631DD6"/>
    <w:rsid w:val="00631FC1"/>
    <w:rsid w:val="00631FD6"/>
    <w:rsid w:val="00632031"/>
    <w:rsid w:val="0063214E"/>
    <w:rsid w:val="006322A2"/>
    <w:rsid w:val="00632535"/>
    <w:rsid w:val="00632697"/>
    <w:rsid w:val="006327B5"/>
    <w:rsid w:val="00632834"/>
    <w:rsid w:val="00632875"/>
    <w:rsid w:val="00632915"/>
    <w:rsid w:val="00632963"/>
    <w:rsid w:val="006329AE"/>
    <w:rsid w:val="00632C3F"/>
    <w:rsid w:val="00632C79"/>
    <w:rsid w:val="00632C9C"/>
    <w:rsid w:val="00632CA2"/>
    <w:rsid w:val="00632CDB"/>
    <w:rsid w:val="00632DF9"/>
    <w:rsid w:val="00632E67"/>
    <w:rsid w:val="00632F62"/>
    <w:rsid w:val="00633016"/>
    <w:rsid w:val="006330F6"/>
    <w:rsid w:val="00633136"/>
    <w:rsid w:val="00633140"/>
    <w:rsid w:val="006331CB"/>
    <w:rsid w:val="006332C0"/>
    <w:rsid w:val="006332C2"/>
    <w:rsid w:val="006333EF"/>
    <w:rsid w:val="0063345F"/>
    <w:rsid w:val="0063346C"/>
    <w:rsid w:val="006334B8"/>
    <w:rsid w:val="00633526"/>
    <w:rsid w:val="0063353D"/>
    <w:rsid w:val="0063353F"/>
    <w:rsid w:val="00633550"/>
    <w:rsid w:val="00633581"/>
    <w:rsid w:val="00633647"/>
    <w:rsid w:val="00633670"/>
    <w:rsid w:val="00633766"/>
    <w:rsid w:val="00633923"/>
    <w:rsid w:val="00633947"/>
    <w:rsid w:val="006339BE"/>
    <w:rsid w:val="00633A91"/>
    <w:rsid w:val="00633AA2"/>
    <w:rsid w:val="00633AC7"/>
    <w:rsid w:val="00633BD5"/>
    <w:rsid w:val="00633BF4"/>
    <w:rsid w:val="00633C97"/>
    <w:rsid w:val="00633C9E"/>
    <w:rsid w:val="00633D7C"/>
    <w:rsid w:val="00633E89"/>
    <w:rsid w:val="00633E9F"/>
    <w:rsid w:val="00633EAC"/>
    <w:rsid w:val="00634059"/>
    <w:rsid w:val="00634095"/>
    <w:rsid w:val="006340B2"/>
    <w:rsid w:val="00634242"/>
    <w:rsid w:val="00634325"/>
    <w:rsid w:val="00634428"/>
    <w:rsid w:val="006344DC"/>
    <w:rsid w:val="006344FB"/>
    <w:rsid w:val="0063454D"/>
    <w:rsid w:val="00634554"/>
    <w:rsid w:val="0063473A"/>
    <w:rsid w:val="0063473B"/>
    <w:rsid w:val="00634749"/>
    <w:rsid w:val="0063489E"/>
    <w:rsid w:val="006349C8"/>
    <w:rsid w:val="00634BD1"/>
    <w:rsid w:val="00634C94"/>
    <w:rsid w:val="00634CA5"/>
    <w:rsid w:val="00634D38"/>
    <w:rsid w:val="00634DEC"/>
    <w:rsid w:val="00634E15"/>
    <w:rsid w:val="00634EF4"/>
    <w:rsid w:val="00634F04"/>
    <w:rsid w:val="0063501B"/>
    <w:rsid w:val="00635023"/>
    <w:rsid w:val="00635052"/>
    <w:rsid w:val="00635071"/>
    <w:rsid w:val="006350ED"/>
    <w:rsid w:val="00635169"/>
    <w:rsid w:val="006351BD"/>
    <w:rsid w:val="006352E9"/>
    <w:rsid w:val="006352F2"/>
    <w:rsid w:val="0063543F"/>
    <w:rsid w:val="00635588"/>
    <w:rsid w:val="006356BB"/>
    <w:rsid w:val="006356CE"/>
    <w:rsid w:val="006356EB"/>
    <w:rsid w:val="00635753"/>
    <w:rsid w:val="0063588D"/>
    <w:rsid w:val="0063591F"/>
    <w:rsid w:val="0063593E"/>
    <w:rsid w:val="006359D8"/>
    <w:rsid w:val="00635A0F"/>
    <w:rsid w:val="00635C3A"/>
    <w:rsid w:val="00635C96"/>
    <w:rsid w:val="00635D16"/>
    <w:rsid w:val="00635D53"/>
    <w:rsid w:val="00635F47"/>
    <w:rsid w:val="00636025"/>
    <w:rsid w:val="00636029"/>
    <w:rsid w:val="0063608D"/>
    <w:rsid w:val="006360E5"/>
    <w:rsid w:val="00636131"/>
    <w:rsid w:val="0063614B"/>
    <w:rsid w:val="006361D2"/>
    <w:rsid w:val="0063634D"/>
    <w:rsid w:val="00636439"/>
    <w:rsid w:val="006365A2"/>
    <w:rsid w:val="00636653"/>
    <w:rsid w:val="006366F5"/>
    <w:rsid w:val="00636758"/>
    <w:rsid w:val="0063675C"/>
    <w:rsid w:val="006367FE"/>
    <w:rsid w:val="00636807"/>
    <w:rsid w:val="00636868"/>
    <w:rsid w:val="006368CE"/>
    <w:rsid w:val="006369B4"/>
    <w:rsid w:val="006369CD"/>
    <w:rsid w:val="00636AED"/>
    <w:rsid w:val="00636BD0"/>
    <w:rsid w:val="00636BDA"/>
    <w:rsid w:val="00636BDD"/>
    <w:rsid w:val="00636C45"/>
    <w:rsid w:val="00636C70"/>
    <w:rsid w:val="00636D8D"/>
    <w:rsid w:val="00636E37"/>
    <w:rsid w:val="00636F37"/>
    <w:rsid w:val="00636F68"/>
    <w:rsid w:val="00637152"/>
    <w:rsid w:val="0063720F"/>
    <w:rsid w:val="00637282"/>
    <w:rsid w:val="00637298"/>
    <w:rsid w:val="006373D1"/>
    <w:rsid w:val="0063753E"/>
    <w:rsid w:val="0063757E"/>
    <w:rsid w:val="00637590"/>
    <w:rsid w:val="006376D7"/>
    <w:rsid w:val="0063771C"/>
    <w:rsid w:val="00637753"/>
    <w:rsid w:val="006377BF"/>
    <w:rsid w:val="006377C6"/>
    <w:rsid w:val="00637A3F"/>
    <w:rsid w:val="00637A71"/>
    <w:rsid w:val="00637A93"/>
    <w:rsid w:val="00637B1A"/>
    <w:rsid w:val="00637B48"/>
    <w:rsid w:val="00637C10"/>
    <w:rsid w:val="00637C74"/>
    <w:rsid w:val="00637D0F"/>
    <w:rsid w:val="00637D1F"/>
    <w:rsid w:val="00637DEE"/>
    <w:rsid w:val="00637DFB"/>
    <w:rsid w:val="00637EEF"/>
    <w:rsid w:val="00637F52"/>
    <w:rsid w:val="00640063"/>
    <w:rsid w:val="006400DA"/>
    <w:rsid w:val="006400DC"/>
    <w:rsid w:val="006402B2"/>
    <w:rsid w:val="00640332"/>
    <w:rsid w:val="006403B2"/>
    <w:rsid w:val="00640491"/>
    <w:rsid w:val="006404CD"/>
    <w:rsid w:val="006404EF"/>
    <w:rsid w:val="00640516"/>
    <w:rsid w:val="006405A7"/>
    <w:rsid w:val="00640683"/>
    <w:rsid w:val="00640696"/>
    <w:rsid w:val="00640697"/>
    <w:rsid w:val="0064086E"/>
    <w:rsid w:val="0064097C"/>
    <w:rsid w:val="00640AC2"/>
    <w:rsid w:val="00640B5B"/>
    <w:rsid w:val="00640B8C"/>
    <w:rsid w:val="00640C39"/>
    <w:rsid w:val="00640E2C"/>
    <w:rsid w:val="00640EC2"/>
    <w:rsid w:val="00640FAA"/>
    <w:rsid w:val="00640FBF"/>
    <w:rsid w:val="006410E6"/>
    <w:rsid w:val="00641272"/>
    <w:rsid w:val="00641376"/>
    <w:rsid w:val="00641485"/>
    <w:rsid w:val="0064148C"/>
    <w:rsid w:val="006414CD"/>
    <w:rsid w:val="006416E2"/>
    <w:rsid w:val="006417B9"/>
    <w:rsid w:val="006417C9"/>
    <w:rsid w:val="00641909"/>
    <w:rsid w:val="00641981"/>
    <w:rsid w:val="00641A3F"/>
    <w:rsid w:val="00641B5B"/>
    <w:rsid w:val="00641C0F"/>
    <w:rsid w:val="00641CBF"/>
    <w:rsid w:val="00641CDC"/>
    <w:rsid w:val="00641D2D"/>
    <w:rsid w:val="00641EBD"/>
    <w:rsid w:val="00641EC5"/>
    <w:rsid w:val="00641F5E"/>
    <w:rsid w:val="00642116"/>
    <w:rsid w:val="00642179"/>
    <w:rsid w:val="006421AC"/>
    <w:rsid w:val="006421AE"/>
    <w:rsid w:val="0064231D"/>
    <w:rsid w:val="006423FC"/>
    <w:rsid w:val="00642465"/>
    <w:rsid w:val="00642484"/>
    <w:rsid w:val="006424AA"/>
    <w:rsid w:val="006424C6"/>
    <w:rsid w:val="006424F6"/>
    <w:rsid w:val="00642526"/>
    <w:rsid w:val="0064252B"/>
    <w:rsid w:val="00642550"/>
    <w:rsid w:val="00642599"/>
    <w:rsid w:val="0064265A"/>
    <w:rsid w:val="006426E8"/>
    <w:rsid w:val="0064274B"/>
    <w:rsid w:val="006427CA"/>
    <w:rsid w:val="006428B1"/>
    <w:rsid w:val="00642920"/>
    <w:rsid w:val="0064293C"/>
    <w:rsid w:val="00642973"/>
    <w:rsid w:val="00642A30"/>
    <w:rsid w:val="00642A3A"/>
    <w:rsid w:val="00642BA4"/>
    <w:rsid w:val="00642C0A"/>
    <w:rsid w:val="00642F22"/>
    <w:rsid w:val="00642F74"/>
    <w:rsid w:val="00643139"/>
    <w:rsid w:val="006431A1"/>
    <w:rsid w:val="00643292"/>
    <w:rsid w:val="00643339"/>
    <w:rsid w:val="006433C1"/>
    <w:rsid w:val="006433FB"/>
    <w:rsid w:val="0064355F"/>
    <w:rsid w:val="006435E2"/>
    <w:rsid w:val="00643661"/>
    <w:rsid w:val="006436E9"/>
    <w:rsid w:val="00643725"/>
    <w:rsid w:val="00643764"/>
    <w:rsid w:val="0064389E"/>
    <w:rsid w:val="00643987"/>
    <w:rsid w:val="006439A9"/>
    <w:rsid w:val="006439E7"/>
    <w:rsid w:val="00643A24"/>
    <w:rsid w:val="00643ADE"/>
    <w:rsid w:val="00643C0A"/>
    <w:rsid w:val="00643C4C"/>
    <w:rsid w:val="00643CB6"/>
    <w:rsid w:val="00643E81"/>
    <w:rsid w:val="00643F45"/>
    <w:rsid w:val="00643FA9"/>
    <w:rsid w:val="0064406F"/>
    <w:rsid w:val="00644077"/>
    <w:rsid w:val="006440FB"/>
    <w:rsid w:val="00644194"/>
    <w:rsid w:val="00644366"/>
    <w:rsid w:val="0064439A"/>
    <w:rsid w:val="0064449A"/>
    <w:rsid w:val="00644527"/>
    <w:rsid w:val="00644531"/>
    <w:rsid w:val="00644630"/>
    <w:rsid w:val="00644636"/>
    <w:rsid w:val="006446C0"/>
    <w:rsid w:val="0064478E"/>
    <w:rsid w:val="006447CC"/>
    <w:rsid w:val="00644965"/>
    <w:rsid w:val="00644980"/>
    <w:rsid w:val="006449DC"/>
    <w:rsid w:val="00644BB6"/>
    <w:rsid w:val="00644BD4"/>
    <w:rsid w:val="00644C03"/>
    <w:rsid w:val="00644C8E"/>
    <w:rsid w:val="00644E14"/>
    <w:rsid w:val="00644F09"/>
    <w:rsid w:val="00645157"/>
    <w:rsid w:val="00645335"/>
    <w:rsid w:val="00645341"/>
    <w:rsid w:val="0064537E"/>
    <w:rsid w:val="006453AB"/>
    <w:rsid w:val="006453C9"/>
    <w:rsid w:val="006453E4"/>
    <w:rsid w:val="0064544F"/>
    <w:rsid w:val="0064545F"/>
    <w:rsid w:val="006454DE"/>
    <w:rsid w:val="006454E6"/>
    <w:rsid w:val="006454E7"/>
    <w:rsid w:val="0064557C"/>
    <w:rsid w:val="0064564F"/>
    <w:rsid w:val="006456B0"/>
    <w:rsid w:val="006456D1"/>
    <w:rsid w:val="00645766"/>
    <w:rsid w:val="006458AE"/>
    <w:rsid w:val="00645977"/>
    <w:rsid w:val="0064597A"/>
    <w:rsid w:val="006459E3"/>
    <w:rsid w:val="00645A3A"/>
    <w:rsid w:val="00645CBC"/>
    <w:rsid w:val="00645DC9"/>
    <w:rsid w:val="00645DCC"/>
    <w:rsid w:val="00645FB8"/>
    <w:rsid w:val="0064619E"/>
    <w:rsid w:val="00646366"/>
    <w:rsid w:val="006463FC"/>
    <w:rsid w:val="0064646D"/>
    <w:rsid w:val="00646492"/>
    <w:rsid w:val="006464D7"/>
    <w:rsid w:val="006464E7"/>
    <w:rsid w:val="0064676E"/>
    <w:rsid w:val="0064677F"/>
    <w:rsid w:val="006467C1"/>
    <w:rsid w:val="006467E0"/>
    <w:rsid w:val="00646880"/>
    <w:rsid w:val="0064688A"/>
    <w:rsid w:val="006468D0"/>
    <w:rsid w:val="00646A71"/>
    <w:rsid w:val="00646ADA"/>
    <w:rsid w:val="00646B2D"/>
    <w:rsid w:val="00646B7D"/>
    <w:rsid w:val="00646C60"/>
    <w:rsid w:val="00646C62"/>
    <w:rsid w:val="00646D13"/>
    <w:rsid w:val="00646DB9"/>
    <w:rsid w:val="00646DE2"/>
    <w:rsid w:val="00647044"/>
    <w:rsid w:val="0064717F"/>
    <w:rsid w:val="0064727A"/>
    <w:rsid w:val="006472CE"/>
    <w:rsid w:val="00647386"/>
    <w:rsid w:val="006473A7"/>
    <w:rsid w:val="006474FF"/>
    <w:rsid w:val="006475F6"/>
    <w:rsid w:val="0064779F"/>
    <w:rsid w:val="006478D5"/>
    <w:rsid w:val="00647940"/>
    <w:rsid w:val="0064797F"/>
    <w:rsid w:val="00647AA0"/>
    <w:rsid w:val="00647B1C"/>
    <w:rsid w:val="00647B5C"/>
    <w:rsid w:val="00647BF4"/>
    <w:rsid w:val="00647C16"/>
    <w:rsid w:val="00647C8B"/>
    <w:rsid w:val="00647CD0"/>
    <w:rsid w:val="00647F5A"/>
    <w:rsid w:val="00647FE3"/>
    <w:rsid w:val="006500B4"/>
    <w:rsid w:val="006503A6"/>
    <w:rsid w:val="00650714"/>
    <w:rsid w:val="00650750"/>
    <w:rsid w:val="006507A5"/>
    <w:rsid w:val="006507EB"/>
    <w:rsid w:val="006508A4"/>
    <w:rsid w:val="006508C4"/>
    <w:rsid w:val="00650AFC"/>
    <w:rsid w:val="00650B5B"/>
    <w:rsid w:val="00650B6B"/>
    <w:rsid w:val="00650C32"/>
    <w:rsid w:val="00650CB8"/>
    <w:rsid w:val="00650CC5"/>
    <w:rsid w:val="00650CE0"/>
    <w:rsid w:val="00650CED"/>
    <w:rsid w:val="00650D0C"/>
    <w:rsid w:val="00650E17"/>
    <w:rsid w:val="00650E90"/>
    <w:rsid w:val="00650ECC"/>
    <w:rsid w:val="00650F4D"/>
    <w:rsid w:val="00650F88"/>
    <w:rsid w:val="00651106"/>
    <w:rsid w:val="00651117"/>
    <w:rsid w:val="006511AA"/>
    <w:rsid w:val="00651208"/>
    <w:rsid w:val="00651470"/>
    <w:rsid w:val="00651477"/>
    <w:rsid w:val="00651572"/>
    <w:rsid w:val="0065157A"/>
    <w:rsid w:val="006515F5"/>
    <w:rsid w:val="00651626"/>
    <w:rsid w:val="006516D9"/>
    <w:rsid w:val="00651703"/>
    <w:rsid w:val="00651785"/>
    <w:rsid w:val="006517E7"/>
    <w:rsid w:val="0065181C"/>
    <w:rsid w:val="006518BC"/>
    <w:rsid w:val="00651982"/>
    <w:rsid w:val="006519BC"/>
    <w:rsid w:val="006519F4"/>
    <w:rsid w:val="00651A1B"/>
    <w:rsid w:val="00651ADE"/>
    <w:rsid w:val="00651AF3"/>
    <w:rsid w:val="00651E1D"/>
    <w:rsid w:val="00651EB4"/>
    <w:rsid w:val="00651F25"/>
    <w:rsid w:val="00651F84"/>
    <w:rsid w:val="00651F8F"/>
    <w:rsid w:val="00652025"/>
    <w:rsid w:val="006523A0"/>
    <w:rsid w:val="006524E6"/>
    <w:rsid w:val="006525CC"/>
    <w:rsid w:val="006526D6"/>
    <w:rsid w:val="00652715"/>
    <w:rsid w:val="0065284E"/>
    <w:rsid w:val="00652873"/>
    <w:rsid w:val="006528DF"/>
    <w:rsid w:val="00652904"/>
    <w:rsid w:val="0065292C"/>
    <w:rsid w:val="00652A15"/>
    <w:rsid w:val="00652D6C"/>
    <w:rsid w:val="00652DCF"/>
    <w:rsid w:val="00652E7D"/>
    <w:rsid w:val="00652F30"/>
    <w:rsid w:val="0065302A"/>
    <w:rsid w:val="00653073"/>
    <w:rsid w:val="00653346"/>
    <w:rsid w:val="00653546"/>
    <w:rsid w:val="00653571"/>
    <w:rsid w:val="006536F0"/>
    <w:rsid w:val="006537C1"/>
    <w:rsid w:val="006538E7"/>
    <w:rsid w:val="00653943"/>
    <w:rsid w:val="00653961"/>
    <w:rsid w:val="0065397E"/>
    <w:rsid w:val="00653A1B"/>
    <w:rsid w:val="00653AAE"/>
    <w:rsid w:val="00653AE0"/>
    <w:rsid w:val="00653B5F"/>
    <w:rsid w:val="00653B88"/>
    <w:rsid w:val="00653C7A"/>
    <w:rsid w:val="00653D7A"/>
    <w:rsid w:val="00653DD1"/>
    <w:rsid w:val="00653E18"/>
    <w:rsid w:val="00653E1F"/>
    <w:rsid w:val="00653E91"/>
    <w:rsid w:val="00653EE4"/>
    <w:rsid w:val="00653FB7"/>
    <w:rsid w:val="00654028"/>
    <w:rsid w:val="0065411E"/>
    <w:rsid w:val="006541A7"/>
    <w:rsid w:val="006542D3"/>
    <w:rsid w:val="00654307"/>
    <w:rsid w:val="0065439D"/>
    <w:rsid w:val="0065446C"/>
    <w:rsid w:val="006544BF"/>
    <w:rsid w:val="00654688"/>
    <w:rsid w:val="006546CD"/>
    <w:rsid w:val="006547C6"/>
    <w:rsid w:val="006547F6"/>
    <w:rsid w:val="00654857"/>
    <w:rsid w:val="00654890"/>
    <w:rsid w:val="0065491D"/>
    <w:rsid w:val="00654B6A"/>
    <w:rsid w:val="00654BCC"/>
    <w:rsid w:val="00654DC2"/>
    <w:rsid w:val="00654F27"/>
    <w:rsid w:val="00654FA6"/>
    <w:rsid w:val="0065504B"/>
    <w:rsid w:val="006550F2"/>
    <w:rsid w:val="0065517B"/>
    <w:rsid w:val="006551C4"/>
    <w:rsid w:val="006551D6"/>
    <w:rsid w:val="00655227"/>
    <w:rsid w:val="00655271"/>
    <w:rsid w:val="0065529E"/>
    <w:rsid w:val="006552CE"/>
    <w:rsid w:val="006552F0"/>
    <w:rsid w:val="0065549F"/>
    <w:rsid w:val="006554AA"/>
    <w:rsid w:val="006554F9"/>
    <w:rsid w:val="00655568"/>
    <w:rsid w:val="006555CE"/>
    <w:rsid w:val="006555F9"/>
    <w:rsid w:val="00655661"/>
    <w:rsid w:val="006556EE"/>
    <w:rsid w:val="00655931"/>
    <w:rsid w:val="00655984"/>
    <w:rsid w:val="00655986"/>
    <w:rsid w:val="006559D8"/>
    <w:rsid w:val="00655A2D"/>
    <w:rsid w:val="00655A91"/>
    <w:rsid w:val="00655ADA"/>
    <w:rsid w:val="00655BBC"/>
    <w:rsid w:val="00655C8C"/>
    <w:rsid w:val="00656157"/>
    <w:rsid w:val="00656230"/>
    <w:rsid w:val="00656438"/>
    <w:rsid w:val="006564AF"/>
    <w:rsid w:val="00656513"/>
    <w:rsid w:val="00656644"/>
    <w:rsid w:val="00656668"/>
    <w:rsid w:val="0065668B"/>
    <w:rsid w:val="00656794"/>
    <w:rsid w:val="006567A6"/>
    <w:rsid w:val="006567C9"/>
    <w:rsid w:val="00656817"/>
    <w:rsid w:val="006568B4"/>
    <w:rsid w:val="00656967"/>
    <w:rsid w:val="0065697A"/>
    <w:rsid w:val="00656A7A"/>
    <w:rsid w:val="00656A9B"/>
    <w:rsid w:val="00656AF2"/>
    <w:rsid w:val="00656BAE"/>
    <w:rsid w:val="00656C16"/>
    <w:rsid w:val="00656CE3"/>
    <w:rsid w:val="00656D61"/>
    <w:rsid w:val="00656DFE"/>
    <w:rsid w:val="00657030"/>
    <w:rsid w:val="0065704C"/>
    <w:rsid w:val="0065711B"/>
    <w:rsid w:val="00657168"/>
    <w:rsid w:val="006571DE"/>
    <w:rsid w:val="0065720E"/>
    <w:rsid w:val="0065720F"/>
    <w:rsid w:val="00657307"/>
    <w:rsid w:val="006573B7"/>
    <w:rsid w:val="00657431"/>
    <w:rsid w:val="00657442"/>
    <w:rsid w:val="006574E9"/>
    <w:rsid w:val="00657606"/>
    <w:rsid w:val="0065761F"/>
    <w:rsid w:val="0065771B"/>
    <w:rsid w:val="00657749"/>
    <w:rsid w:val="006577C5"/>
    <w:rsid w:val="006578C4"/>
    <w:rsid w:val="006578E7"/>
    <w:rsid w:val="00657944"/>
    <w:rsid w:val="00657969"/>
    <w:rsid w:val="006579A4"/>
    <w:rsid w:val="00657AD1"/>
    <w:rsid w:val="00657AF9"/>
    <w:rsid w:val="00657B43"/>
    <w:rsid w:val="00657B86"/>
    <w:rsid w:val="00657BD6"/>
    <w:rsid w:val="00657C3A"/>
    <w:rsid w:val="00657D30"/>
    <w:rsid w:val="00657D92"/>
    <w:rsid w:val="00657DD8"/>
    <w:rsid w:val="00657F21"/>
    <w:rsid w:val="006600E4"/>
    <w:rsid w:val="00660163"/>
    <w:rsid w:val="0066018E"/>
    <w:rsid w:val="0066025B"/>
    <w:rsid w:val="006602B0"/>
    <w:rsid w:val="0066031C"/>
    <w:rsid w:val="00660393"/>
    <w:rsid w:val="00660431"/>
    <w:rsid w:val="006604BC"/>
    <w:rsid w:val="006604F9"/>
    <w:rsid w:val="006608AB"/>
    <w:rsid w:val="0066093C"/>
    <w:rsid w:val="006609C9"/>
    <w:rsid w:val="006609E3"/>
    <w:rsid w:val="00660A61"/>
    <w:rsid w:val="00660AE9"/>
    <w:rsid w:val="00660B08"/>
    <w:rsid w:val="00660BCA"/>
    <w:rsid w:val="00660C35"/>
    <w:rsid w:val="00660CE7"/>
    <w:rsid w:val="00660D0D"/>
    <w:rsid w:val="00660D56"/>
    <w:rsid w:val="00660DF8"/>
    <w:rsid w:val="00660EC9"/>
    <w:rsid w:val="00660F0D"/>
    <w:rsid w:val="00661011"/>
    <w:rsid w:val="00661227"/>
    <w:rsid w:val="0066124A"/>
    <w:rsid w:val="006613DB"/>
    <w:rsid w:val="0066146D"/>
    <w:rsid w:val="00661499"/>
    <w:rsid w:val="006614EF"/>
    <w:rsid w:val="006614FE"/>
    <w:rsid w:val="0066152E"/>
    <w:rsid w:val="0066158A"/>
    <w:rsid w:val="006615A2"/>
    <w:rsid w:val="006615C8"/>
    <w:rsid w:val="0066176D"/>
    <w:rsid w:val="00661817"/>
    <w:rsid w:val="0066183C"/>
    <w:rsid w:val="00661934"/>
    <w:rsid w:val="0066194A"/>
    <w:rsid w:val="00661A44"/>
    <w:rsid w:val="00661A77"/>
    <w:rsid w:val="00661AE3"/>
    <w:rsid w:val="00661B37"/>
    <w:rsid w:val="00661BE8"/>
    <w:rsid w:val="00661C3F"/>
    <w:rsid w:val="00661CDC"/>
    <w:rsid w:val="00661D72"/>
    <w:rsid w:val="00661D85"/>
    <w:rsid w:val="00661DCC"/>
    <w:rsid w:val="00661E06"/>
    <w:rsid w:val="00661E40"/>
    <w:rsid w:val="00661E79"/>
    <w:rsid w:val="00661EB2"/>
    <w:rsid w:val="00661F82"/>
    <w:rsid w:val="00661F8D"/>
    <w:rsid w:val="006620B8"/>
    <w:rsid w:val="0066211E"/>
    <w:rsid w:val="006621DB"/>
    <w:rsid w:val="00662275"/>
    <w:rsid w:val="00662292"/>
    <w:rsid w:val="00662497"/>
    <w:rsid w:val="0066255D"/>
    <w:rsid w:val="006625B8"/>
    <w:rsid w:val="0066267A"/>
    <w:rsid w:val="00662726"/>
    <w:rsid w:val="00662A14"/>
    <w:rsid w:val="00662B02"/>
    <w:rsid w:val="00662B1A"/>
    <w:rsid w:val="00662B38"/>
    <w:rsid w:val="00662B60"/>
    <w:rsid w:val="00662C2F"/>
    <w:rsid w:val="00662CBB"/>
    <w:rsid w:val="00662F4D"/>
    <w:rsid w:val="00663065"/>
    <w:rsid w:val="00663095"/>
    <w:rsid w:val="00663314"/>
    <w:rsid w:val="00663326"/>
    <w:rsid w:val="006633D5"/>
    <w:rsid w:val="006633F7"/>
    <w:rsid w:val="00663478"/>
    <w:rsid w:val="006634EF"/>
    <w:rsid w:val="00663533"/>
    <w:rsid w:val="006635B3"/>
    <w:rsid w:val="006636D8"/>
    <w:rsid w:val="0066377F"/>
    <w:rsid w:val="006637B1"/>
    <w:rsid w:val="00663937"/>
    <w:rsid w:val="00663B8B"/>
    <w:rsid w:val="00663C21"/>
    <w:rsid w:val="00663CA8"/>
    <w:rsid w:val="00663CAB"/>
    <w:rsid w:val="00663CD5"/>
    <w:rsid w:val="00663D1A"/>
    <w:rsid w:val="00663DAF"/>
    <w:rsid w:val="00663DCA"/>
    <w:rsid w:val="00663E42"/>
    <w:rsid w:val="00663E4F"/>
    <w:rsid w:val="00663F70"/>
    <w:rsid w:val="00664057"/>
    <w:rsid w:val="0066405F"/>
    <w:rsid w:val="00664085"/>
    <w:rsid w:val="006640C8"/>
    <w:rsid w:val="00664550"/>
    <w:rsid w:val="006645C4"/>
    <w:rsid w:val="00664670"/>
    <w:rsid w:val="006648AF"/>
    <w:rsid w:val="006648E2"/>
    <w:rsid w:val="0066490A"/>
    <w:rsid w:val="00664ADD"/>
    <w:rsid w:val="00664B09"/>
    <w:rsid w:val="00664D1D"/>
    <w:rsid w:val="00664D75"/>
    <w:rsid w:val="00664D9F"/>
    <w:rsid w:val="00664DE6"/>
    <w:rsid w:val="00664E52"/>
    <w:rsid w:val="00664EF1"/>
    <w:rsid w:val="00664F82"/>
    <w:rsid w:val="00664F88"/>
    <w:rsid w:val="00664FD2"/>
    <w:rsid w:val="0066509A"/>
    <w:rsid w:val="006651D7"/>
    <w:rsid w:val="00665209"/>
    <w:rsid w:val="00665306"/>
    <w:rsid w:val="0066539F"/>
    <w:rsid w:val="006653B6"/>
    <w:rsid w:val="00665449"/>
    <w:rsid w:val="00665508"/>
    <w:rsid w:val="006656E6"/>
    <w:rsid w:val="006658D3"/>
    <w:rsid w:val="00665A91"/>
    <w:rsid w:val="00665AC3"/>
    <w:rsid w:val="00665B16"/>
    <w:rsid w:val="00665B6D"/>
    <w:rsid w:val="00665BF7"/>
    <w:rsid w:val="00665C0D"/>
    <w:rsid w:val="00665C4C"/>
    <w:rsid w:val="00665DBE"/>
    <w:rsid w:val="00665F54"/>
    <w:rsid w:val="0066604C"/>
    <w:rsid w:val="0066614B"/>
    <w:rsid w:val="00666208"/>
    <w:rsid w:val="00666211"/>
    <w:rsid w:val="00666334"/>
    <w:rsid w:val="00666351"/>
    <w:rsid w:val="00666370"/>
    <w:rsid w:val="006663D2"/>
    <w:rsid w:val="00666535"/>
    <w:rsid w:val="006665A9"/>
    <w:rsid w:val="006665D8"/>
    <w:rsid w:val="006667E0"/>
    <w:rsid w:val="0066688B"/>
    <w:rsid w:val="006668C0"/>
    <w:rsid w:val="0066692B"/>
    <w:rsid w:val="00666A29"/>
    <w:rsid w:val="00666B6B"/>
    <w:rsid w:val="00666BA7"/>
    <w:rsid w:val="00666BFB"/>
    <w:rsid w:val="00666C1E"/>
    <w:rsid w:val="00666CC3"/>
    <w:rsid w:val="00666CCF"/>
    <w:rsid w:val="00666DB4"/>
    <w:rsid w:val="00666E6B"/>
    <w:rsid w:val="00666F73"/>
    <w:rsid w:val="006671A0"/>
    <w:rsid w:val="006671CA"/>
    <w:rsid w:val="006672E9"/>
    <w:rsid w:val="006673D3"/>
    <w:rsid w:val="00667603"/>
    <w:rsid w:val="00667698"/>
    <w:rsid w:val="006676FF"/>
    <w:rsid w:val="006677CE"/>
    <w:rsid w:val="006678A6"/>
    <w:rsid w:val="006678FC"/>
    <w:rsid w:val="006679F2"/>
    <w:rsid w:val="00667A94"/>
    <w:rsid w:val="00667AB1"/>
    <w:rsid w:val="00667AD1"/>
    <w:rsid w:val="00667BAB"/>
    <w:rsid w:val="00667FD9"/>
    <w:rsid w:val="00670038"/>
    <w:rsid w:val="00670039"/>
    <w:rsid w:val="00670310"/>
    <w:rsid w:val="006704A8"/>
    <w:rsid w:val="006704E9"/>
    <w:rsid w:val="00670572"/>
    <w:rsid w:val="006705B3"/>
    <w:rsid w:val="006705BD"/>
    <w:rsid w:val="006707AF"/>
    <w:rsid w:val="0067083E"/>
    <w:rsid w:val="00670866"/>
    <w:rsid w:val="00670A09"/>
    <w:rsid w:val="00670B89"/>
    <w:rsid w:val="00670BBB"/>
    <w:rsid w:val="00670CF4"/>
    <w:rsid w:val="00670D8B"/>
    <w:rsid w:val="00670EF9"/>
    <w:rsid w:val="00670F7A"/>
    <w:rsid w:val="00670F8B"/>
    <w:rsid w:val="00671008"/>
    <w:rsid w:val="00671018"/>
    <w:rsid w:val="006710B0"/>
    <w:rsid w:val="00671452"/>
    <w:rsid w:val="00671A12"/>
    <w:rsid w:val="00671A20"/>
    <w:rsid w:val="00671AB3"/>
    <w:rsid w:val="00671AC0"/>
    <w:rsid w:val="00671AFF"/>
    <w:rsid w:val="00671B75"/>
    <w:rsid w:val="00671B77"/>
    <w:rsid w:val="00671BD7"/>
    <w:rsid w:val="00671CD6"/>
    <w:rsid w:val="00671D8C"/>
    <w:rsid w:val="00672059"/>
    <w:rsid w:val="00672125"/>
    <w:rsid w:val="006722AE"/>
    <w:rsid w:val="0067244A"/>
    <w:rsid w:val="006725CF"/>
    <w:rsid w:val="0067260C"/>
    <w:rsid w:val="00672729"/>
    <w:rsid w:val="00672780"/>
    <w:rsid w:val="006727E8"/>
    <w:rsid w:val="006728ED"/>
    <w:rsid w:val="006728F3"/>
    <w:rsid w:val="00672971"/>
    <w:rsid w:val="0067297F"/>
    <w:rsid w:val="006729ED"/>
    <w:rsid w:val="00672A88"/>
    <w:rsid w:val="00672B25"/>
    <w:rsid w:val="00672B72"/>
    <w:rsid w:val="00672C76"/>
    <w:rsid w:val="00672D9F"/>
    <w:rsid w:val="00672E05"/>
    <w:rsid w:val="00672E9A"/>
    <w:rsid w:val="00672F2F"/>
    <w:rsid w:val="00672F54"/>
    <w:rsid w:val="00672FB8"/>
    <w:rsid w:val="00673033"/>
    <w:rsid w:val="0067312C"/>
    <w:rsid w:val="00673180"/>
    <w:rsid w:val="0067328B"/>
    <w:rsid w:val="00673416"/>
    <w:rsid w:val="00673475"/>
    <w:rsid w:val="0067364B"/>
    <w:rsid w:val="0067382D"/>
    <w:rsid w:val="00673905"/>
    <w:rsid w:val="0067397F"/>
    <w:rsid w:val="0067399D"/>
    <w:rsid w:val="00673B89"/>
    <w:rsid w:val="00673E21"/>
    <w:rsid w:val="00673EEB"/>
    <w:rsid w:val="00673F43"/>
    <w:rsid w:val="006740B9"/>
    <w:rsid w:val="006743A7"/>
    <w:rsid w:val="00674580"/>
    <w:rsid w:val="006747E0"/>
    <w:rsid w:val="00674848"/>
    <w:rsid w:val="00674AD1"/>
    <w:rsid w:val="00674BD3"/>
    <w:rsid w:val="00674BEA"/>
    <w:rsid w:val="00674C8C"/>
    <w:rsid w:val="00674E96"/>
    <w:rsid w:val="00674EFA"/>
    <w:rsid w:val="00674F00"/>
    <w:rsid w:val="00674FD6"/>
    <w:rsid w:val="00674FD7"/>
    <w:rsid w:val="0067500E"/>
    <w:rsid w:val="00675030"/>
    <w:rsid w:val="0067503B"/>
    <w:rsid w:val="006750C8"/>
    <w:rsid w:val="0067516C"/>
    <w:rsid w:val="00675173"/>
    <w:rsid w:val="00675180"/>
    <w:rsid w:val="00675303"/>
    <w:rsid w:val="0067549B"/>
    <w:rsid w:val="00675596"/>
    <w:rsid w:val="006756A6"/>
    <w:rsid w:val="006756D4"/>
    <w:rsid w:val="00675783"/>
    <w:rsid w:val="0067581C"/>
    <w:rsid w:val="006758E6"/>
    <w:rsid w:val="00675AF1"/>
    <w:rsid w:val="00675C5C"/>
    <w:rsid w:val="00675D50"/>
    <w:rsid w:val="00675DDD"/>
    <w:rsid w:val="00675E66"/>
    <w:rsid w:val="00675ECE"/>
    <w:rsid w:val="00675EF1"/>
    <w:rsid w:val="00675EF8"/>
    <w:rsid w:val="00675F51"/>
    <w:rsid w:val="00675F99"/>
    <w:rsid w:val="00675FD6"/>
    <w:rsid w:val="00676020"/>
    <w:rsid w:val="00676050"/>
    <w:rsid w:val="00676051"/>
    <w:rsid w:val="0067611D"/>
    <w:rsid w:val="0067613D"/>
    <w:rsid w:val="006761B9"/>
    <w:rsid w:val="00676204"/>
    <w:rsid w:val="006762CE"/>
    <w:rsid w:val="006762EC"/>
    <w:rsid w:val="00676335"/>
    <w:rsid w:val="006763C2"/>
    <w:rsid w:val="0067647E"/>
    <w:rsid w:val="006764E1"/>
    <w:rsid w:val="00676621"/>
    <w:rsid w:val="006766B3"/>
    <w:rsid w:val="00676764"/>
    <w:rsid w:val="00676890"/>
    <w:rsid w:val="0067698A"/>
    <w:rsid w:val="006769B1"/>
    <w:rsid w:val="006769E8"/>
    <w:rsid w:val="006769ED"/>
    <w:rsid w:val="00676A19"/>
    <w:rsid w:val="00676A24"/>
    <w:rsid w:val="00676AB0"/>
    <w:rsid w:val="00676C1F"/>
    <w:rsid w:val="00676D5E"/>
    <w:rsid w:val="00676E31"/>
    <w:rsid w:val="00676F00"/>
    <w:rsid w:val="00676F29"/>
    <w:rsid w:val="00676F58"/>
    <w:rsid w:val="00677101"/>
    <w:rsid w:val="00677201"/>
    <w:rsid w:val="00677215"/>
    <w:rsid w:val="006772CA"/>
    <w:rsid w:val="006773B8"/>
    <w:rsid w:val="00677550"/>
    <w:rsid w:val="0067765F"/>
    <w:rsid w:val="0067768D"/>
    <w:rsid w:val="006776F3"/>
    <w:rsid w:val="00677731"/>
    <w:rsid w:val="00677747"/>
    <w:rsid w:val="006777B5"/>
    <w:rsid w:val="00677845"/>
    <w:rsid w:val="00677870"/>
    <w:rsid w:val="00677877"/>
    <w:rsid w:val="00677A7C"/>
    <w:rsid w:val="00677C55"/>
    <w:rsid w:val="00677D74"/>
    <w:rsid w:val="00677DC5"/>
    <w:rsid w:val="00677E3B"/>
    <w:rsid w:val="00677F12"/>
    <w:rsid w:val="00677F6A"/>
    <w:rsid w:val="00677FB7"/>
    <w:rsid w:val="00680080"/>
    <w:rsid w:val="006802FB"/>
    <w:rsid w:val="00680464"/>
    <w:rsid w:val="0068047B"/>
    <w:rsid w:val="006806FA"/>
    <w:rsid w:val="00680763"/>
    <w:rsid w:val="006807E3"/>
    <w:rsid w:val="00680BC1"/>
    <w:rsid w:val="00680BE9"/>
    <w:rsid w:val="00680D25"/>
    <w:rsid w:val="00680D28"/>
    <w:rsid w:val="00680D4F"/>
    <w:rsid w:val="00680E18"/>
    <w:rsid w:val="00680ECC"/>
    <w:rsid w:val="00680EF5"/>
    <w:rsid w:val="00680F01"/>
    <w:rsid w:val="00680F2E"/>
    <w:rsid w:val="00680FC4"/>
    <w:rsid w:val="00680FCE"/>
    <w:rsid w:val="00681054"/>
    <w:rsid w:val="00681081"/>
    <w:rsid w:val="00681100"/>
    <w:rsid w:val="00681279"/>
    <w:rsid w:val="00681298"/>
    <w:rsid w:val="00681387"/>
    <w:rsid w:val="006813D3"/>
    <w:rsid w:val="00681488"/>
    <w:rsid w:val="00681534"/>
    <w:rsid w:val="0068157D"/>
    <w:rsid w:val="00681644"/>
    <w:rsid w:val="0068179C"/>
    <w:rsid w:val="00681817"/>
    <w:rsid w:val="0068188A"/>
    <w:rsid w:val="00681968"/>
    <w:rsid w:val="00681985"/>
    <w:rsid w:val="00681A36"/>
    <w:rsid w:val="00681B1E"/>
    <w:rsid w:val="00681B98"/>
    <w:rsid w:val="00681BF8"/>
    <w:rsid w:val="00681D04"/>
    <w:rsid w:val="00681DA1"/>
    <w:rsid w:val="00681F6E"/>
    <w:rsid w:val="00681F86"/>
    <w:rsid w:val="00682032"/>
    <w:rsid w:val="006821F6"/>
    <w:rsid w:val="0068226D"/>
    <w:rsid w:val="0068229C"/>
    <w:rsid w:val="00682362"/>
    <w:rsid w:val="00682498"/>
    <w:rsid w:val="006824A7"/>
    <w:rsid w:val="00682601"/>
    <w:rsid w:val="006826E4"/>
    <w:rsid w:val="00682893"/>
    <w:rsid w:val="006828AF"/>
    <w:rsid w:val="00682913"/>
    <w:rsid w:val="0068296C"/>
    <w:rsid w:val="00682982"/>
    <w:rsid w:val="006829B8"/>
    <w:rsid w:val="00682A28"/>
    <w:rsid w:val="00682A57"/>
    <w:rsid w:val="00682AAB"/>
    <w:rsid w:val="00682AC4"/>
    <w:rsid w:val="00682B97"/>
    <w:rsid w:val="00682CBA"/>
    <w:rsid w:val="00682D63"/>
    <w:rsid w:val="00682F51"/>
    <w:rsid w:val="00682F6C"/>
    <w:rsid w:val="00682F6E"/>
    <w:rsid w:val="0068303C"/>
    <w:rsid w:val="00683051"/>
    <w:rsid w:val="00683064"/>
    <w:rsid w:val="00683081"/>
    <w:rsid w:val="006830FD"/>
    <w:rsid w:val="00683135"/>
    <w:rsid w:val="00683257"/>
    <w:rsid w:val="006832B8"/>
    <w:rsid w:val="006832BE"/>
    <w:rsid w:val="006832F6"/>
    <w:rsid w:val="006833B4"/>
    <w:rsid w:val="00683593"/>
    <w:rsid w:val="00683600"/>
    <w:rsid w:val="00683604"/>
    <w:rsid w:val="00683700"/>
    <w:rsid w:val="00683703"/>
    <w:rsid w:val="0068395A"/>
    <w:rsid w:val="006839E7"/>
    <w:rsid w:val="00683A0F"/>
    <w:rsid w:val="00683CBC"/>
    <w:rsid w:val="00683D0F"/>
    <w:rsid w:val="00683D45"/>
    <w:rsid w:val="00683DAD"/>
    <w:rsid w:val="00683EAC"/>
    <w:rsid w:val="00683F1C"/>
    <w:rsid w:val="00684080"/>
    <w:rsid w:val="00684230"/>
    <w:rsid w:val="006842EA"/>
    <w:rsid w:val="00684490"/>
    <w:rsid w:val="0068449D"/>
    <w:rsid w:val="00684614"/>
    <w:rsid w:val="006848D7"/>
    <w:rsid w:val="00684AB5"/>
    <w:rsid w:val="00684AC2"/>
    <w:rsid w:val="00684AFD"/>
    <w:rsid w:val="00684B17"/>
    <w:rsid w:val="00684B7C"/>
    <w:rsid w:val="00684C3B"/>
    <w:rsid w:val="00684CA5"/>
    <w:rsid w:val="00684E03"/>
    <w:rsid w:val="00684E1A"/>
    <w:rsid w:val="00684F26"/>
    <w:rsid w:val="0068507A"/>
    <w:rsid w:val="00685130"/>
    <w:rsid w:val="00685198"/>
    <w:rsid w:val="006851A7"/>
    <w:rsid w:val="00685845"/>
    <w:rsid w:val="006859BF"/>
    <w:rsid w:val="00685A37"/>
    <w:rsid w:val="00685A45"/>
    <w:rsid w:val="00685B1E"/>
    <w:rsid w:val="00685B36"/>
    <w:rsid w:val="00685F28"/>
    <w:rsid w:val="00685F8E"/>
    <w:rsid w:val="00685FE4"/>
    <w:rsid w:val="006862E6"/>
    <w:rsid w:val="006863A9"/>
    <w:rsid w:val="006863B4"/>
    <w:rsid w:val="0068650F"/>
    <w:rsid w:val="0068663A"/>
    <w:rsid w:val="00686743"/>
    <w:rsid w:val="006867D4"/>
    <w:rsid w:val="006867EB"/>
    <w:rsid w:val="00686810"/>
    <w:rsid w:val="0068683F"/>
    <w:rsid w:val="00686841"/>
    <w:rsid w:val="00686892"/>
    <w:rsid w:val="00686932"/>
    <w:rsid w:val="00686B19"/>
    <w:rsid w:val="00686B91"/>
    <w:rsid w:val="00686BC0"/>
    <w:rsid w:val="00686CB0"/>
    <w:rsid w:val="00686D49"/>
    <w:rsid w:val="00686D4F"/>
    <w:rsid w:val="00686DD1"/>
    <w:rsid w:val="00686DE0"/>
    <w:rsid w:val="00686E8D"/>
    <w:rsid w:val="00686ECE"/>
    <w:rsid w:val="00686FBB"/>
    <w:rsid w:val="00687000"/>
    <w:rsid w:val="0068706A"/>
    <w:rsid w:val="0068709A"/>
    <w:rsid w:val="00687151"/>
    <w:rsid w:val="00687202"/>
    <w:rsid w:val="006873CC"/>
    <w:rsid w:val="0068752C"/>
    <w:rsid w:val="006875BC"/>
    <w:rsid w:val="00687679"/>
    <w:rsid w:val="0068767A"/>
    <w:rsid w:val="0068783B"/>
    <w:rsid w:val="006878B4"/>
    <w:rsid w:val="00687922"/>
    <w:rsid w:val="00687950"/>
    <w:rsid w:val="0068797D"/>
    <w:rsid w:val="006879A3"/>
    <w:rsid w:val="00687A75"/>
    <w:rsid w:val="00687BC0"/>
    <w:rsid w:val="00687DDF"/>
    <w:rsid w:val="00687EDB"/>
    <w:rsid w:val="00690083"/>
    <w:rsid w:val="00690241"/>
    <w:rsid w:val="0069024C"/>
    <w:rsid w:val="006902C1"/>
    <w:rsid w:val="00690346"/>
    <w:rsid w:val="0069034F"/>
    <w:rsid w:val="006903DE"/>
    <w:rsid w:val="00690420"/>
    <w:rsid w:val="0069068E"/>
    <w:rsid w:val="006906B6"/>
    <w:rsid w:val="006907A0"/>
    <w:rsid w:val="006907B6"/>
    <w:rsid w:val="006907BE"/>
    <w:rsid w:val="00690829"/>
    <w:rsid w:val="00690885"/>
    <w:rsid w:val="006908AF"/>
    <w:rsid w:val="00690B32"/>
    <w:rsid w:val="00690C17"/>
    <w:rsid w:val="00690C6D"/>
    <w:rsid w:val="00690D5E"/>
    <w:rsid w:val="00690D9C"/>
    <w:rsid w:val="00690DA6"/>
    <w:rsid w:val="00690DC7"/>
    <w:rsid w:val="00690E9A"/>
    <w:rsid w:val="00690EC4"/>
    <w:rsid w:val="006910C8"/>
    <w:rsid w:val="006911AD"/>
    <w:rsid w:val="006911CE"/>
    <w:rsid w:val="0069122E"/>
    <w:rsid w:val="00691243"/>
    <w:rsid w:val="006912A1"/>
    <w:rsid w:val="006912FA"/>
    <w:rsid w:val="0069139F"/>
    <w:rsid w:val="0069142D"/>
    <w:rsid w:val="00691536"/>
    <w:rsid w:val="0069158F"/>
    <w:rsid w:val="006916FB"/>
    <w:rsid w:val="00691787"/>
    <w:rsid w:val="00691855"/>
    <w:rsid w:val="006918C0"/>
    <w:rsid w:val="00691937"/>
    <w:rsid w:val="006919E0"/>
    <w:rsid w:val="00691A1D"/>
    <w:rsid w:val="00691A39"/>
    <w:rsid w:val="00691BE9"/>
    <w:rsid w:val="00691D1A"/>
    <w:rsid w:val="00691F44"/>
    <w:rsid w:val="00691F4E"/>
    <w:rsid w:val="0069202C"/>
    <w:rsid w:val="00692095"/>
    <w:rsid w:val="006920E0"/>
    <w:rsid w:val="0069218B"/>
    <w:rsid w:val="006921E0"/>
    <w:rsid w:val="00692281"/>
    <w:rsid w:val="0069235D"/>
    <w:rsid w:val="0069235E"/>
    <w:rsid w:val="0069235F"/>
    <w:rsid w:val="00692360"/>
    <w:rsid w:val="0069242C"/>
    <w:rsid w:val="00692598"/>
    <w:rsid w:val="00692626"/>
    <w:rsid w:val="006927B5"/>
    <w:rsid w:val="00692928"/>
    <w:rsid w:val="00692AEA"/>
    <w:rsid w:val="00692C21"/>
    <w:rsid w:val="00692C56"/>
    <w:rsid w:val="00692D8E"/>
    <w:rsid w:val="00692DF8"/>
    <w:rsid w:val="0069302F"/>
    <w:rsid w:val="006930CA"/>
    <w:rsid w:val="0069310D"/>
    <w:rsid w:val="0069330E"/>
    <w:rsid w:val="0069334E"/>
    <w:rsid w:val="00693381"/>
    <w:rsid w:val="00693488"/>
    <w:rsid w:val="00693520"/>
    <w:rsid w:val="00693565"/>
    <w:rsid w:val="0069373E"/>
    <w:rsid w:val="00693804"/>
    <w:rsid w:val="0069389F"/>
    <w:rsid w:val="00693A16"/>
    <w:rsid w:val="00693B57"/>
    <w:rsid w:val="00693B96"/>
    <w:rsid w:val="00693B9E"/>
    <w:rsid w:val="00693BEC"/>
    <w:rsid w:val="00693C1D"/>
    <w:rsid w:val="00693C86"/>
    <w:rsid w:val="00693D68"/>
    <w:rsid w:val="00693F78"/>
    <w:rsid w:val="00693FB4"/>
    <w:rsid w:val="00694013"/>
    <w:rsid w:val="00694069"/>
    <w:rsid w:val="006940ED"/>
    <w:rsid w:val="006942AB"/>
    <w:rsid w:val="00694306"/>
    <w:rsid w:val="0069434B"/>
    <w:rsid w:val="0069446A"/>
    <w:rsid w:val="0069446E"/>
    <w:rsid w:val="006944FB"/>
    <w:rsid w:val="006945D3"/>
    <w:rsid w:val="006945E9"/>
    <w:rsid w:val="00694606"/>
    <w:rsid w:val="0069475B"/>
    <w:rsid w:val="006947E1"/>
    <w:rsid w:val="0069490D"/>
    <w:rsid w:val="0069494B"/>
    <w:rsid w:val="00694992"/>
    <w:rsid w:val="00694A29"/>
    <w:rsid w:val="00694E39"/>
    <w:rsid w:val="00695048"/>
    <w:rsid w:val="0069513B"/>
    <w:rsid w:val="006952F6"/>
    <w:rsid w:val="00695312"/>
    <w:rsid w:val="006953D7"/>
    <w:rsid w:val="00695403"/>
    <w:rsid w:val="006954C3"/>
    <w:rsid w:val="0069553F"/>
    <w:rsid w:val="006955CD"/>
    <w:rsid w:val="006955CE"/>
    <w:rsid w:val="006955EA"/>
    <w:rsid w:val="006957F2"/>
    <w:rsid w:val="00695837"/>
    <w:rsid w:val="00695859"/>
    <w:rsid w:val="0069589A"/>
    <w:rsid w:val="00695A23"/>
    <w:rsid w:val="00695A4B"/>
    <w:rsid w:val="00695A5C"/>
    <w:rsid w:val="00695AB5"/>
    <w:rsid w:val="00695B17"/>
    <w:rsid w:val="00695B25"/>
    <w:rsid w:val="00695B6C"/>
    <w:rsid w:val="00695BE2"/>
    <w:rsid w:val="00695C62"/>
    <w:rsid w:val="00695DF8"/>
    <w:rsid w:val="0069604A"/>
    <w:rsid w:val="0069607E"/>
    <w:rsid w:val="00696167"/>
    <w:rsid w:val="00696279"/>
    <w:rsid w:val="00696452"/>
    <w:rsid w:val="00696553"/>
    <w:rsid w:val="006967A2"/>
    <w:rsid w:val="0069684A"/>
    <w:rsid w:val="006968BA"/>
    <w:rsid w:val="006968EE"/>
    <w:rsid w:val="0069692E"/>
    <w:rsid w:val="006969D8"/>
    <w:rsid w:val="00696B2E"/>
    <w:rsid w:val="00696B47"/>
    <w:rsid w:val="00696BCC"/>
    <w:rsid w:val="00696D96"/>
    <w:rsid w:val="00696DE2"/>
    <w:rsid w:val="00696E4B"/>
    <w:rsid w:val="00696EFB"/>
    <w:rsid w:val="00696F19"/>
    <w:rsid w:val="00696F41"/>
    <w:rsid w:val="00696F5F"/>
    <w:rsid w:val="00696F82"/>
    <w:rsid w:val="006971F4"/>
    <w:rsid w:val="006972E6"/>
    <w:rsid w:val="00697304"/>
    <w:rsid w:val="00697358"/>
    <w:rsid w:val="0069737D"/>
    <w:rsid w:val="0069744E"/>
    <w:rsid w:val="00697547"/>
    <w:rsid w:val="00697579"/>
    <w:rsid w:val="006977CB"/>
    <w:rsid w:val="00697893"/>
    <w:rsid w:val="0069798F"/>
    <w:rsid w:val="00697993"/>
    <w:rsid w:val="00697B7E"/>
    <w:rsid w:val="00697BDA"/>
    <w:rsid w:val="00697CDF"/>
    <w:rsid w:val="00697D2D"/>
    <w:rsid w:val="00697D9E"/>
    <w:rsid w:val="00697E7D"/>
    <w:rsid w:val="00697EBF"/>
    <w:rsid w:val="00697ECD"/>
    <w:rsid w:val="00697F73"/>
    <w:rsid w:val="006A008F"/>
    <w:rsid w:val="006A0099"/>
    <w:rsid w:val="006A00F0"/>
    <w:rsid w:val="006A011A"/>
    <w:rsid w:val="006A02FA"/>
    <w:rsid w:val="006A030C"/>
    <w:rsid w:val="006A050B"/>
    <w:rsid w:val="006A0511"/>
    <w:rsid w:val="006A059F"/>
    <w:rsid w:val="006A06E0"/>
    <w:rsid w:val="006A07C9"/>
    <w:rsid w:val="006A081C"/>
    <w:rsid w:val="006A0877"/>
    <w:rsid w:val="006A097D"/>
    <w:rsid w:val="006A09AF"/>
    <w:rsid w:val="006A0A0E"/>
    <w:rsid w:val="006A0B32"/>
    <w:rsid w:val="006A0B33"/>
    <w:rsid w:val="006A0B74"/>
    <w:rsid w:val="006A0BD3"/>
    <w:rsid w:val="006A0C1C"/>
    <w:rsid w:val="006A0C20"/>
    <w:rsid w:val="006A0D5B"/>
    <w:rsid w:val="006A0DFD"/>
    <w:rsid w:val="006A0E61"/>
    <w:rsid w:val="006A0E7F"/>
    <w:rsid w:val="006A0EAE"/>
    <w:rsid w:val="006A0EC1"/>
    <w:rsid w:val="006A0EEE"/>
    <w:rsid w:val="006A0EF8"/>
    <w:rsid w:val="006A0F65"/>
    <w:rsid w:val="006A11B8"/>
    <w:rsid w:val="006A12B2"/>
    <w:rsid w:val="006A1335"/>
    <w:rsid w:val="006A1339"/>
    <w:rsid w:val="006A1433"/>
    <w:rsid w:val="006A15DD"/>
    <w:rsid w:val="006A182D"/>
    <w:rsid w:val="006A1919"/>
    <w:rsid w:val="006A191B"/>
    <w:rsid w:val="006A1A5E"/>
    <w:rsid w:val="006A1B3A"/>
    <w:rsid w:val="006A1B7F"/>
    <w:rsid w:val="006A1BEB"/>
    <w:rsid w:val="006A1C7C"/>
    <w:rsid w:val="006A1CBC"/>
    <w:rsid w:val="006A1D1A"/>
    <w:rsid w:val="006A1D71"/>
    <w:rsid w:val="006A1F3E"/>
    <w:rsid w:val="006A20CB"/>
    <w:rsid w:val="006A20E9"/>
    <w:rsid w:val="006A2131"/>
    <w:rsid w:val="006A2196"/>
    <w:rsid w:val="006A23AF"/>
    <w:rsid w:val="006A2487"/>
    <w:rsid w:val="006A26BA"/>
    <w:rsid w:val="006A26C0"/>
    <w:rsid w:val="006A273A"/>
    <w:rsid w:val="006A2775"/>
    <w:rsid w:val="006A2AF3"/>
    <w:rsid w:val="006A2B09"/>
    <w:rsid w:val="006A2B1D"/>
    <w:rsid w:val="006A2C0D"/>
    <w:rsid w:val="006A2C14"/>
    <w:rsid w:val="006A2C72"/>
    <w:rsid w:val="006A2CD4"/>
    <w:rsid w:val="006A2F92"/>
    <w:rsid w:val="006A2FA1"/>
    <w:rsid w:val="006A3002"/>
    <w:rsid w:val="006A304D"/>
    <w:rsid w:val="006A30CE"/>
    <w:rsid w:val="006A30CF"/>
    <w:rsid w:val="006A315A"/>
    <w:rsid w:val="006A3166"/>
    <w:rsid w:val="006A3267"/>
    <w:rsid w:val="006A327E"/>
    <w:rsid w:val="006A3290"/>
    <w:rsid w:val="006A3370"/>
    <w:rsid w:val="006A3532"/>
    <w:rsid w:val="006A358B"/>
    <w:rsid w:val="006A3604"/>
    <w:rsid w:val="006A367C"/>
    <w:rsid w:val="006A36B3"/>
    <w:rsid w:val="006A391B"/>
    <w:rsid w:val="006A3B05"/>
    <w:rsid w:val="006A3BFE"/>
    <w:rsid w:val="006A3CA0"/>
    <w:rsid w:val="006A3D9A"/>
    <w:rsid w:val="006A3DA4"/>
    <w:rsid w:val="006A3E2D"/>
    <w:rsid w:val="006A4102"/>
    <w:rsid w:val="006A4137"/>
    <w:rsid w:val="006A424D"/>
    <w:rsid w:val="006A429D"/>
    <w:rsid w:val="006A434C"/>
    <w:rsid w:val="006A4511"/>
    <w:rsid w:val="006A458D"/>
    <w:rsid w:val="006A45C7"/>
    <w:rsid w:val="006A46BC"/>
    <w:rsid w:val="006A46C0"/>
    <w:rsid w:val="006A46DA"/>
    <w:rsid w:val="006A474A"/>
    <w:rsid w:val="006A482D"/>
    <w:rsid w:val="006A496E"/>
    <w:rsid w:val="006A4A7A"/>
    <w:rsid w:val="006A4AD9"/>
    <w:rsid w:val="006A4B40"/>
    <w:rsid w:val="006A4B4A"/>
    <w:rsid w:val="006A4BB9"/>
    <w:rsid w:val="006A4C0D"/>
    <w:rsid w:val="006A4D8E"/>
    <w:rsid w:val="006A4E54"/>
    <w:rsid w:val="006A4EE5"/>
    <w:rsid w:val="006A5050"/>
    <w:rsid w:val="006A5095"/>
    <w:rsid w:val="006A50E6"/>
    <w:rsid w:val="006A5127"/>
    <w:rsid w:val="006A51D0"/>
    <w:rsid w:val="006A5216"/>
    <w:rsid w:val="006A5263"/>
    <w:rsid w:val="006A531F"/>
    <w:rsid w:val="006A53C0"/>
    <w:rsid w:val="006A53F4"/>
    <w:rsid w:val="006A5422"/>
    <w:rsid w:val="006A5529"/>
    <w:rsid w:val="006A5623"/>
    <w:rsid w:val="006A57BE"/>
    <w:rsid w:val="006A584F"/>
    <w:rsid w:val="006A5B06"/>
    <w:rsid w:val="006A5D02"/>
    <w:rsid w:val="006A5D18"/>
    <w:rsid w:val="006A5D6A"/>
    <w:rsid w:val="006A5E94"/>
    <w:rsid w:val="006A5FFD"/>
    <w:rsid w:val="006A60F1"/>
    <w:rsid w:val="006A61B4"/>
    <w:rsid w:val="006A6269"/>
    <w:rsid w:val="006A6270"/>
    <w:rsid w:val="006A629E"/>
    <w:rsid w:val="006A63C1"/>
    <w:rsid w:val="006A63E9"/>
    <w:rsid w:val="006A6567"/>
    <w:rsid w:val="006A667A"/>
    <w:rsid w:val="006A667B"/>
    <w:rsid w:val="006A66F1"/>
    <w:rsid w:val="006A6713"/>
    <w:rsid w:val="006A678C"/>
    <w:rsid w:val="006A67E0"/>
    <w:rsid w:val="006A67F3"/>
    <w:rsid w:val="006A6873"/>
    <w:rsid w:val="006A68B5"/>
    <w:rsid w:val="006A6919"/>
    <w:rsid w:val="006A691F"/>
    <w:rsid w:val="006A694A"/>
    <w:rsid w:val="006A6A8F"/>
    <w:rsid w:val="006A6ACB"/>
    <w:rsid w:val="006A6B5F"/>
    <w:rsid w:val="006A6B75"/>
    <w:rsid w:val="006A6BB3"/>
    <w:rsid w:val="006A6BF3"/>
    <w:rsid w:val="006A6CA4"/>
    <w:rsid w:val="006A6CB0"/>
    <w:rsid w:val="006A6CE5"/>
    <w:rsid w:val="006A6EE7"/>
    <w:rsid w:val="006A6F20"/>
    <w:rsid w:val="006A6F57"/>
    <w:rsid w:val="006A6FBD"/>
    <w:rsid w:val="006A7189"/>
    <w:rsid w:val="006A71F1"/>
    <w:rsid w:val="006A7208"/>
    <w:rsid w:val="006A728C"/>
    <w:rsid w:val="006A7385"/>
    <w:rsid w:val="006A74B1"/>
    <w:rsid w:val="006A7514"/>
    <w:rsid w:val="006A75AC"/>
    <w:rsid w:val="006A75E5"/>
    <w:rsid w:val="006A7734"/>
    <w:rsid w:val="006A7749"/>
    <w:rsid w:val="006A7777"/>
    <w:rsid w:val="006A79F7"/>
    <w:rsid w:val="006A7A21"/>
    <w:rsid w:val="006A7A6E"/>
    <w:rsid w:val="006A7B7E"/>
    <w:rsid w:val="006A7B9D"/>
    <w:rsid w:val="006A7C41"/>
    <w:rsid w:val="006A7C42"/>
    <w:rsid w:val="006A7D37"/>
    <w:rsid w:val="006A7E76"/>
    <w:rsid w:val="006A7EB9"/>
    <w:rsid w:val="006B0099"/>
    <w:rsid w:val="006B00BF"/>
    <w:rsid w:val="006B00CF"/>
    <w:rsid w:val="006B012B"/>
    <w:rsid w:val="006B020C"/>
    <w:rsid w:val="006B02A7"/>
    <w:rsid w:val="006B046E"/>
    <w:rsid w:val="006B0494"/>
    <w:rsid w:val="006B0508"/>
    <w:rsid w:val="006B052F"/>
    <w:rsid w:val="006B0558"/>
    <w:rsid w:val="006B0661"/>
    <w:rsid w:val="006B08AD"/>
    <w:rsid w:val="006B091C"/>
    <w:rsid w:val="006B092D"/>
    <w:rsid w:val="006B0A57"/>
    <w:rsid w:val="006B0B0B"/>
    <w:rsid w:val="006B0C97"/>
    <w:rsid w:val="006B0D93"/>
    <w:rsid w:val="006B0DB8"/>
    <w:rsid w:val="006B0E18"/>
    <w:rsid w:val="006B0F5B"/>
    <w:rsid w:val="006B101E"/>
    <w:rsid w:val="006B1079"/>
    <w:rsid w:val="006B10B9"/>
    <w:rsid w:val="006B10D3"/>
    <w:rsid w:val="006B1111"/>
    <w:rsid w:val="006B11C0"/>
    <w:rsid w:val="006B125F"/>
    <w:rsid w:val="006B1279"/>
    <w:rsid w:val="006B13E8"/>
    <w:rsid w:val="006B1442"/>
    <w:rsid w:val="006B14D7"/>
    <w:rsid w:val="006B1512"/>
    <w:rsid w:val="006B157E"/>
    <w:rsid w:val="006B160B"/>
    <w:rsid w:val="006B1630"/>
    <w:rsid w:val="006B16B5"/>
    <w:rsid w:val="006B1812"/>
    <w:rsid w:val="006B181D"/>
    <w:rsid w:val="006B1A84"/>
    <w:rsid w:val="006B1ADD"/>
    <w:rsid w:val="006B1B27"/>
    <w:rsid w:val="006B1BE3"/>
    <w:rsid w:val="006B1BEC"/>
    <w:rsid w:val="006B1CC6"/>
    <w:rsid w:val="006B1D0C"/>
    <w:rsid w:val="006B1DE8"/>
    <w:rsid w:val="006B1E8C"/>
    <w:rsid w:val="006B1EA2"/>
    <w:rsid w:val="006B1EBE"/>
    <w:rsid w:val="006B205D"/>
    <w:rsid w:val="006B20FD"/>
    <w:rsid w:val="006B212D"/>
    <w:rsid w:val="006B2158"/>
    <w:rsid w:val="006B2176"/>
    <w:rsid w:val="006B21B7"/>
    <w:rsid w:val="006B2200"/>
    <w:rsid w:val="006B2214"/>
    <w:rsid w:val="006B241B"/>
    <w:rsid w:val="006B2422"/>
    <w:rsid w:val="006B249F"/>
    <w:rsid w:val="006B24DA"/>
    <w:rsid w:val="006B253B"/>
    <w:rsid w:val="006B2599"/>
    <w:rsid w:val="006B26B8"/>
    <w:rsid w:val="006B2933"/>
    <w:rsid w:val="006B29BF"/>
    <w:rsid w:val="006B29C2"/>
    <w:rsid w:val="006B2A2D"/>
    <w:rsid w:val="006B2AB2"/>
    <w:rsid w:val="006B2ABD"/>
    <w:rsid w:val="006B2C2E"/>
    <w:rsid w:val="006B2D44"/>
    <w:rsid w:val="006B2E19"/>
    <w:rsid w:val="006B2E21"/>
    <w:rsid w:val="006B2E41"/>
    <w:rsid w:val="006B2F73"/>
    <w:rsid w:val="006B312C"/>
    <w:rsid w:val="006B31EA"/>
    <w:rsid w:val="006B3279"/>
    <w:rsid w:val="006B338E"/>
    <w:rsid w:val="006B3577"/>
    <w:rsid w:val="006B36BE"/>
    <w:rsid w:val="006B36E2"/>
    <w:rsid w:val="006B36EA"/>
    <w:rsid w:val="006B3735"/>
    <w:rsid w:val="006B3830"/>
    <w:rsid w:val="006B386F"/>
    <w:rsid w:val="006B38FB"/>
    <w:rsid w:val="006B39F0"/>
    <w:rsid w:val="006B3B6F"/>
    <w:rsid w:val="006B3BC0"/>
    <w:rsid w:val="006B3BCF"/>
    <w:rsid w:val="006B3C73"/>
    <w:rsid w:val="006B3DA7"/>
    <w:rsid w:val="006B406D"/>
    <w:rsid w:val="006B407C"/>
    <w:rsid w:val="006B410D"/>
    <w:rsid w:val="006B4250"/>
    <w:rsid w:val="006B441D"/>
    <w:rsid w:val="006B468F"/>
    <w:rsid w:val="006B47F5"/>
    <w:rsid w:val="006B48F1"/>
    <w:rsid w:val="006B490C"/>
    <w:rsid w:val="006B4A14"/>
    <w:rsid w:val="006B4A58"/>
    <w:rsid w:val="006B4A75"/>
    <w:rsid w:val="006B4B27"/>
    <w:rsid w:val="006B4B5B"/>
    <w:rsid w:val="006B4C53"/>
    <w:rsid w:val="006B4CDF"/>
    <w:rsid w:val="006B4E34"/>
    <w:rsid w:val="006B4E47"/>
    <w:rsid w:val="006B4EBB"/>
    <w:rsid w:val="006B4F07"/>
    <w:rsid w:val="006B4FEA"/>
    <w:rsid w:val="006B51EC"/>
    <w:rsid w:val="006B53B8"/>
    <w:rsid w:val="006B5454"/>
    <w:rsid w:val="006B56D1"/>
    <w:rsid w:val="006B56DF"/>
    <w:rsid w:val="006B571F"/>
    <w:rsid w:val="006B5798"/>
    <w:rsid w:val="006B57A4"/>
    <w:rsid w:val="006B5840"/>
    <w:rsid w:val="006B589D"/>
    <w:rsid w:val="006B5941"/>
    <w:rsid w:val="006B59F8"/>
    <w:rsid w:val="006B5A0B"/>
    <w:rsid w:val="006B5B40"/>
    <w:rsid w:val="006B5BA9"/>
    <w:rsid w:val="006B5BC6"/>
    <w:rsid w:val="006B5D5E"/>
    <w:rsid w:val="006B5E0E"/>
    <w:rsid w:val="006B5E36"/>
    <w:rsid w:val="006B5F29"/>
    <w:rsid w:val="006B5F9D"/>
    <w:rsid w:val="006B5FF7"/>
    <w:rsid w:val="006B6075"/>
    <w:rsid w:val="006B60D7"/>
    <w:rsid w:val="006B60E1"/>
    <w:rsid w:val="006B60E2"/>
    <w:rsid w:val="006B60FD"/>
    <w:rsid w:val="006B61B1"/>
    <w:rsid w:val="006B6225"/>
    <w:rsid w:val="006B622E"/>
    <w:rsid w:val="006B6315"/>
    <w:rsid w:val="006B64B2"/>
    <w:rsid w:val="006B65F3"/>
    <w:rsid w:val="006B66E1"/>
    <w:rsid w:val="006B674B"/>
    <w:rsid w:val="006B67A4"/>
    <w:rsid w:val="006B6801"/>
    <w:rsid w:val="006B6901"/>
    <w:rsid w:val="006B6917"/>
    <w:rsid w:val="006B69FC"/>
    <w:rsid w:val="006B6A16"/>
    <w:rsid w:val="006B6A84"/>
    <w:rsid w:val="006B6A93"/>
    <w:rsid w:val="006B6B83"/>
    <w:rsid w:val="006B6C62"/>
    <w:rsid w:val="006B6CFC"/>
    <w:rsid w:val="006B6D99"/>
    <w:rsid w:val="006B6DA7"/>
    <w:rsid w:val="006B6DAD"/>
    <w:rsid w:val="006B6EBB"/>
    <w:rsid w:val="006B6EDC"/>
    <w:rsid w:val="006B70E1"/>
    <w:rsid w:val="006B717D"/>
    <w:rsid w:val="006B739A"/>
    <w:rsid w:val="006B73A0"/>
    <w:rsid w:val="006B73BD"/>
    <w:rsid w:val="006B7469"/>
    <w:rsid w:val="006B75CF"/>
    <w:rsid w:val="006B75FA"/>
    <w:rsid w:val="006B760F"/>
    <w:rsid w:val="006B77C5"/>
    <w:rsid w:val="006B782E"/>
    <w:rsid w:val="006B78EE"/>
    <w:rsid w:val="006B7B69"/>
    <w:rsid w:val="006B7C04"/>
    <w:rsid w:val="006B7C1C"/>
    <w:rsid w:val="006B7D32"/>
    <w:rsid w:val="006B7DB9"/>
    <w:rsid w:val="006B7F2B"/>
    <w:rsid w:val="006C0079"/>
    <w:rsid w:val="006C0095"/>
    <w:rsid w:val="006C00B9"/>
    <w:rsid w:val="006C02CD"/>
    <w:rsid w:val="006C0400"/>
    <w:rsid w:val="006C0536"/>
    <w:rsid w:val="006C05A1"/>
    <w:rsid w:val="006C06B0"/>
    <w:rsid w:val="006C06EC"/>
    <w:rsid w:val="006C06FB"/>
    <w:rsid w:val="006C07C5"/>
    <w:rsid w:val="006C0828"/>
    <w:rsid w:val="006C08D2"/>
    <w:rsid w:val="006C08E7"/>
    <w:rsid w:val="006C093B"/>
    <w:rsid w:val="006C0AD1"/>
    <w:rsid w:val="006C0AFA"/>
    <w:rsid w:val="006C0B4E"/>
    <w:rsid w:val="006C0DA6"/>
    <w:rsid w:val="006C0DCB"/>
    <w:rsid w:val="006C0E28"/>
    <w:rsid w:val="006C0E83"/>
    <w:rsid w:val="006C0F96"/>
    <w:rsid w:val="006C10B5"/>
    <w:rsid w:val="006C1161"/>
    <w:rsid w:val="006C1203"/>
    <w:rsid w:val="006C1406"/>
    <w:rsid w:val="006C146C"/>
    <w:rsid w:val="006C151A"/>
    <w:rsid w:val="006C15AB"/>
    <w:rsid w:val="006C169C"/>
    <w:rsid w:val="006C1848"/>
    <w:rsid w:val="006C188E"/>
    <w:rsid w:val="006C1B2A"/>
    <w:rsid w:val="006C1B7A"/>
    <w:rsid w:val="006C1C08"/>
    <w:rsid w:val="006C1C81"/>
    <w:rsid w:val="006C1C9F"/>
    <w:rsid w:val="006C1D12"/>
    <w:rsid w:val="006C1DF7"/>
    <w:rsid w:val="006C1E77"/>
    <w:rsid w:val="006C1F03"/>
    <w:rsid w:val="006C1F74"/>
    <w:rsid w:val="006C1FAF"/>
    <w:rsid w:val="006C1FE2"/>
    <w:rsid w:val="006C2006"/>
    <w:rsid w:val="006C207A"/>
    <w:rsid w:val="006C2123"/>
    <w:rsid w:val="006C213D"/>
    <w:rsid w:val="006C214E"/>
    <w:rsid w:val="006C2185"/>
    <w:rsid w:val="006C21BB"/>
    <w:rsid w:val="006C2244"/>
    <w:rsid w:val="006C2258"/>
    <w:rsid w:val="006C23D0"/>
    <w:rsid w:val="006C24E7"/>
    <w:rsid w:val="006C25D0"/>
    <w:rsid w:val="006C264E"/>
    <w:rsid w:val="006C27D3"/>
    <w:rsid w:val="006C2801"/>
    <w:rsid w:val="006C281F"/>
    <w:rsid w:val="006C2A14"/>
    <w:rsid w:val="006C2A3E"/>
    <w:rsid w:val="006C2A6A"/>
    <w:rsid w:val="006C2B41"/>
    <w:rsid w:val="006C2B75"/>
    <w:rsid w:val="006C2BE4"/>
    <w:rsid w:val="006C2BF4"/>
    <w:rsid w:val="006C2C1F"/>
    <w:rsid w:val="006C2D10"/>
    <w:rsid w:val="006C2D54"/>
    <w:rsid w:val="006C2DBE"/>
    <w:rsid w:val="006C2DDA"/>
    <w:rsid w:val="006C3092"/>
    <w:rsid w:val="006C30C8"/>
    <w:rsid w:val="006C30CA"/>
    <w:rsid w:val="006C30FC"/>
    <w:rsid w:val="006C31A2"/>
    <w:rsid w:val="006C31D0"/>
    <w:rsid w:val="006C3517"/>
    <w:rsid w:val="006C3629"/>
    <w:rsid w:val="006C36CA"/>
    <w:rsid w:val="006C3944"/>
    <w:rsid w:val="006C3963"/>
    <w:rsid w:val="006C3A40"/>
    <w:rsid w:val="006C3AAF"/>
    <w:rsid w:val="006C3EA1"/>
    <w:rsid w:val="006C3F2F"/>
    <w:rsid w:val="006C40D3"/>
    <w:rsid w:val="006C430D"/>
    <w:rsid w:val="006C449E"/>
    <w:rsid w:val="006C45AE"/>
    <w:rsid w:val="006C4622"/>
    <w:rsid w:val="006C46FC"/>
    <w:rsid w:val="006C478E"/>
    <w:rsid w:val="006C47CD"/>
    <w:rsid w:val="006C483E"/>
    <w:rsid w:val="006C48B1"/>
    <w:rsid w:val="006C4B0D"/>
    <w:rsid w:val="006C4B14"/>
    <w:rsid w:val="006C4B9E"/>
    <w:rsid w:val="006C4C75"/>
    <w:rsid w:val="006C4CA5"/>
    <w:rsid w:val="006C4D26"/>
    <w:rsid w:val="006C4D3F"/>
    <w:rsid w:val="006C4D5A"/>
    <w:rsid w:val="006C4DF4"/>
    <w:rsid w:val="006C4DFC"/>
    <w:rsid w:val="006C4E24"/>
    <w:rsid w:val="006C4EA7"/>
    <w:rsid w:val="006C4F1B"/>
    <w:rsid w:val="006C4F3B"/>
    <w:rsid w:val="006C4FE8"/>
    <w:rsid w:val="006C50BE"/>
    <w:rsid w:val="006C513F"/>
    <w:rsid w:val="006C5191"/>
    <w:rsid w:val="006C5208"/>
    <w:rsid w:val="006C5389"/>
    <w:rsid w:val="006C5479"/>
    <w:rsid w:val="006C548C"/>
    <w:rsid w:val="006C553B"/>
    <w:rsid w:val="006C55F2"/>
    <w:rsid w:val="006C55F3"/>
    <w:rsid w:val="006C57F5"/>
    <w:rsid w:val="006C5838"/>
    <w:rsid w:val="006C58B2"/>
    <w:rsid w:val="006C59BA"/>
    <w:rsid w:val="006C5C15"/>
    <w:rsid w:val="006C5D63"/>
    <w:rsid w:val="006C5DD3"/>
    <w:rsid w:val="006C5EAC"/>
    <w:rsid w:val="006C5EB3"/>
    <w:rsid w:val="006C60D6"/>
    <w:rsid w:val="006C613B"/>
    <w:rsid w:val="006C6157"/>
    <w:rsid w:val="006C618C"/>
    <w:rsid w:val="006C61F1"/>
    <w:rsid w:val="006C63E3"/>
    <w:rsid w:val="006C65D3"/>
    <w:rsid w:val="006C67FD"/>
    <w:rsid w:val="006C68D8"/>
    <w:rsid w:val="006C6925"/>
    <w:rsid w:val="006C6A3D"/>
    <w:rsid w:val="006C6A87"/>
    <w:rsid w:val="006C6ADB"/>
    <w:rsid w:val="006C6ADF"/>
    <w:rsid w:val="006C6AE5"/>
    <w:rsid w:val="006C6C12"/>
    <w:rsid w:val="006C6C7A"/>
    <w:rsid w:val="006C6CC0"/>
    <w:rsid w:val="006C6CDC"/>
    <w:rsid w:val="006C6DE7"/>
    <w:rsid w:val="006C6FBC"/>
    <w:rsid w:val="006C6FF4"/>
    <w:rsid w:val="006C7013"/>
    <w:rsid w:val="006C701E"/>
    <w:rsid w:val="006C721F"/>
    <w:rsid w:val="006C7291"/>
    <w:rsid w:val="006C72F0"/>
    <w:rsid w:val="006C732E"/>
    <w:rsid w:val="006C73B3"/>
    <w:rsid w:val="006C7454"/>
    <w:rsid w:val="006C751B"/>
    <w:rsid w:val="006C753E"/>
    <w:rsid w:val="006C7613"/>
    <w:rsid w:val="006C7680"/>
    <w:rsid w:val="006C7693"/>
    <w:rsid w:val="006C78AB"/>
    <w:rsid w:val="006C7A68"/>
    <w:rsid w:val="006C7A8F"/>
    <w:rsid w:val="006C7B8F"/>
    <w:rsid w:val="006C7E7B"/>
    <w:rsid w:val="006C7F11"/>
    <w:rsid w:val="006C7FEE"/>
    <w:rsid w:val="006D0036"/>
    <w:rsid w:val="006D00F7"/>
    <w:rsid w:val="006D01D1"/>
    <w:rsid w:val="006D0216"/>
    <w:rsid w:val="006D031C"/>
    <w:rsid w:val="006D031F"/>
    <w:rsid w:val="006D0492"/>
    <w:rsid w:val="006D0522"/>
    <w:rsid w:val="006D0557"/>
    <w:rsid w:val="006D0665"/>
    <w:rsid w:val="006D0773"/>
    <w:rsid w:val="006D0784"/>
    <w:rsid w:val="006D0799"/>
    <w:rsid w:val="006D07BF"/>
    <w:rsid w:val="006D07CA"/>
    <w:rsid w:val="006D07F7"/>
    <w:rsid w:val="006D0806"/>
    <w:rsid w:val="006D086F"/>
    <w:rsid w:val="006D087B"/>
    <w:rsid w:val="006D0973"/>
    <w:rsid w:val="006D097D"/>
    <w:rsid w:val="006D09A7"/>
    <w:rsid w:val="006D0A13"/>
    <w:rsid w:val="006D0C10"/>
    <w:rsid w:val="006D0D26"/>
    <w:rsid w:val="006D0D75"/>
    <w:rsid w:val="006D0F6F"/>
    <w:rsid w:val="006D10B2"/>
    <w:rsid w:val="006D123C"/>
    <w:rsid w:val="006D12AA"/>
    <w:rsid w:val="006D146A"/>
    <w:rsid w:val="006D1597"/>
    <w:rsid w:val="006D1717"/>
    <w:rsid w:val="006D1897"/>
    <w:rsid w:val="006D18E8"/>
    <w:rsid w:val="006D1986"/>
    <w:rsid w:val="006D1AF0"/>
    <w:rsid w:val="006D1C49"/>
    <w:rsid w:val="006D1CC8"/>
    <w:rsid w:val="006D1D35"/>
    <w:rsid w:val="006D1DA8"/>
    <w:rsid w:val="006D1DAE"/>
    <w:rsid w:val="006D1E0E"/>
    <w:rsid w:val="006D1EBA"/>
    <w:rsid w:val="006D1F24"/>
    <w:rsid w:val="006D204E"/>
    <w:rsid w:val="006D2163"/>
    <w:rsid w:val="006D21F2"/>
    <w:rsid w:val="006D22C5"/>
    <w:rsid w:val="006D241A"/>
    <w:rsid w:val="006D2458"/>
    <w:rsid w:val="006D24C5"/>
    <w:rsid w:val="006D2529"/>
    <w:rsid w:val="006D2584"/>
    <w:rsid w:val="006D25AA"/>
    <w:rsid w:val="006D2754"/>
    <w:rsid w:val="006D287A"/>
    <w:rsid w:val="006D2909"/>
    <w:rsid w:val="006D297E"/>
    <w:rsid w:val="006D2A08"/>
    <w:rsid w:val="006D2C15"/>
    <w:rsid w:val="006D2CB5"/>
    <w:rsid w:val="006D2DC5"/>
    <w:rsid w:val="006D2E07"/>
    <w:rsid w:val="006D2EAE"/>
    <w:rsid w:val="006D3059"/>
    <w:rsid w:val="006D30A1"/>
    <w:rsid w:val="006D30D8"/>
    <w:rsid w:val="006D315F"/>
    <w:rsid w:val="006D3302"/>
    <w:rsid w:val="006D34B9"/>
    <w:rsid w:val="006D3509"/>
    <w:rsid w:val="006D3517"/>
    <w:rsid w:val="006D35A7"/>
    <w:rsid w:val="006D360F"/>
    <w:rsid w:val="006D3869"/>
    <w:rsid w:val="006D3897"/>
    <w:rsid w:val="006D3A3F"/>
    <w:rsid w:val="006D3B19"/>
    <w:rsid w:val="006D3B46"/>
    <w:rsid w:val="006D3BA6"/>
    <w:rsid w:val="006D3CAF"/>
    <w:rsid w:val="006D3D94"/>
    <w:rsid w:val="006D3DB5"/>
    <w:rsid w:val="006D3E14"/>
    <w:rsid w:val="006D3E4F"/>
    <w:rsid w:val="006D3E7A"/>
    <w:rsid w:val="006D3FB7"/>
    <w:rsid w:val="006D4021"/>
    <w:rsid w:val="006D4076"/>
    <w:rsid w:val="006D4118"/>
    <w:rsid w:val="006D41B4"/>
    <w:rsid w:val="006D41C1"/>
    <w:rsid w:val="006D41E8"/>
    <w:rsid w:val="006D4234"/>
    <w:rsid w:val="006D428F"/>
    <w:rsid w:val="006D42E8"/>
    <w:rsid w:val="006D4371"/>
    <w:rsid w:val="006D43AD"/>
    <w:rsid w:val="006D44F0"/>
    <w:rsid w:val="006D4556"/>
    <w:rsid w:val="006D4570"/>
    <w:rsid w:val="006D45E2"/>
    <w:rsid w:val="006D4663"/>
    <w:rsid w:val="006D46C8"/>
    <w:rsid w:val="006D4780"/>
    <w:rsid w:val="006D47C6"/>
    <w:rsid w:val="006D4828"/>
    <w:rsid w:val="006D493D"/>
    <w:rsid w:val="006D4A12"/>
    <w:rsid w:val="006D4AFB"/>
    <w:rsid w:val="006D4B3E"/>
    <w:rsid w:val="006D4B57"/>
    <w:rsid w:val="006D4B71"/>
    <w:rsid w:val="006D4B88"/>
    <w:rsid w:val="006D4BD3"/>
    <w:rsid w:val="006D4C5F"/>
    <w:rsid w:val="006D4D97"/>
    <w:rsid w:val="006D4DA5"/>
    <w:rsid w:val="006D4E03"/>
    <w:rsid w:val="006D4E2F"/>
    <w:rsid w:val="006D4EDB"/>
    <w:rsid w:val="006D4F0A"/>
    <w:rsid w:val="006D501F"/>
    <w:rsid w:val="006D51C8"/>
    <w:rsid w:val="006D5295"/>
    <w:rsid w:val="006D5388"/>
    <w:rsid w:val="006D55E5"/>
    <w:rsid w:val="006D5633"/>
    <w:rsid w:val="006D57BC"/>
    <w:rsid w:val="006D5818"/>
    <w:rsid w:val="006D5829"/>
    <w:rsid w:val="006D5864"/>
    <w:rsid w:val="006D58EE"/>
    <w:rsid w:val="006D5A0E"/>
    <w:rsid w:val="006D5B22"/>
    <w:rsid w:val="006D5BAC"/>
    <w:rsid w:val="006D5D76"/>
    <w:rsid w:val="006D5DB8"/>
    <w:rsid w:val="006D5DED"/>
    <w:rsid w:val="006D5EB9"/>
    <w:rsid w:val="006D5ECF"/>
    <w:rsid w:val="006D5F25"/>
    <w:rsid w:val="006D5FE5"/>
    <w:rsid w:val="006D60E8"/>
    <w:rsid w:val="006D60E9"/>
    <w:rsid w:val="006D6106"/>
    <w:rsid w:val="006D6149"/>
    <w:rsid w:val="006D618C"/>
    <w:rsid w:val="006D61D1"/>
    <w:rsid w:val="006D61F2"/>
    <w:rsid w:val="006D6212"/>
    <w:rsid w:val="006D6225"/>
    <w:rsid w:val="006D62A0"/>
    <w:rsid w:val="006D63C6"/>
    <w:rsid w:val="006D6459"/>
    <w:rsid w:val="006D64A1"/>
    <w:rsid w:val="006D64C3"/>
    <w:rsid w:val="006D6533"/>
    <w:rsid w:val="006D654F"/>
    <w:rsid w:val="006D6564"/>
    <w:rsid w:val="006D6641"/>
    <w:rsid w:val="006D6691"/>
    <w:rsid w:val="006D67D5"/>
    <w:rsid w:val="006D68A8"/>
    <w:rsid w:val="006D69C5"/>
    <w:rsid w:val="006D6B47"/>
    <w:rsid w:val="006D6E84"/>
    <w:rsid w:val="006D6FB2"/>
    <w:rsid w:val="006D7031"/>
    <w:rsid w:val="006D70AE"/>
    <w:rsid w:val="006D7114"/>
    <w:rsid w:val="006D7204"/>
    <w:rsid w:val="006D72A9"/>
    <w:rsid w:val="006D72AA"/>
    <w:rsid w:val="006D7364"/>
    <w:rsid w:val="006D7393"/>
    <w:rsid w:val="006D73EB"/>
    <w:rsid w:val="006D7521"/>
    <w:rsid w:val="006D7577"/>
    <w:rsid w:val="006D76FA"/>
    <w:rsid w:val="006D7937"/>
    <w:rsid w:val="006D7954"/>
    <w:rsid w:val="006D7A19"/>
    <w:rsid w:val="006D7A30"/>
    <w:rsid w:val="006D7C4C"/>
    <w:rsid w:val="006D7D35"/>
    <w:rsid w:val="006D7E81"/>
    <w:rsid w:val="006D7F18"/>
    <w:rsid w:val="006D7F86"/>
    <w:rsid w:val="006E027F"/>
    <w:rsid w:val="006E0300"/>
    <w:rsid w:val="006E0364"/>
    <w:rsid w:val="006E03B8"/>
    <w:rsid w:val="006E03D7"/>
    <w:rsid w:val="006E040C"/>
    <w:rsid w:val="006E04A3"/>
    <w:rsid w:val="006E0511"/>
    <w:rsid w:val="006E05C1"/>
    <w:rsid w:val="006E0606"/>
    <w:rsid w:val="006E06DB"/>
    <w:rsid w:val="006E0713"/>
    <w:rsid w:val="006E078D"/>
    <w:rsid w:val="006E07DC"/>
    <w:rsid w:val="006E0861"/>
    <w:rsid w:val="006E08C3"/>
    <w:rsid w:val="006E08C9"/>
    <w:rsid w:val="006E08DF"/>
    <w:rsid w:val="006E08E7"/>
    <w:rsid w:val="006E09C0"/>
    <w:rsid w:val="006E0A0A"/>
    <w:rsid w:val="006E0BB9"/>
    <w:rsid w:val="006E0C53"/>
    <w:rsid w:val="006E0D94"/>
    <w:rsid w:val="006E0E02"/>
    <w:rsid w:val="006E0E55"/>
    <w:rsid w:val="006E0E79"/>
    <w:rsid w:val="006E0ED2"/>
    <w:rsid w:val="006E0F72"/>
    <w:rsid w:val="006E1078"/>
    <w:rsid w:val="006E1095"/>
    <w:rsid w:val="006E115D"/>
    <w:rsid w:val="006E1235"/>
    <w:rsid w:val="006E12DB"/>
    <w:rsid w:val="006E12F6"/>
    <w:rsid w:val="006E134E"/>
    <w:rsid w:val="006E141A"/>
    <w:rsid w:val="006E144A"/>
    <w:rsid w:val="006E1495"/>
    <w:rsid w:val="006E153F"/>
    <w:rsid w:val="006E17ED"/>
    <w:rsid w:val="006E1867"/>
    <w:rsid w:val="006E1981"/>
    <w:rsid w:val="006E1A25"/>
    <w:rsid w:val="006E1B8B"/>
    <w:rsid w:val="006E1C46"/>
    <w:rsid w:val="006E1CEF"/>
    <w:rsid w:val="006E1DA0"/>
    <w:rsid w:val="006E1F45"/>
    <w:rsid w:val="006E2021"/>
    <w:rsid w:val="006E20D3"/>
    <w:rsid w:val="006E20DD"/>
    <w:rsid w:val="006E210C"/>
    <w:rsid w:val="006E2188"/>
    <w:rsid w:val="006E21A3"/>
    <w:rsid w:val="006E21EE"/>
    <w:rsid w:val="006E221C"/>
    <w:rsid w:val="006E243F"/>
    <w:rsid w:val="006E2454"/>
    <w:rsid w:val="006E2517"/>
    <w:rsid w:val="006E2616"/>
    <w:rsid w:val="006E2676"/>
    <w:rsid w:val="006E26B8"/>
    <w:rsid w:val="006E28D0"/>
    <w:rsid w:val="006E2AB0"/>
    <w:rsid w:val="006E2AD0"/>
    <w:rsid w:val="006E2B4B"/>
    <w:rsid w:val="006E2B53"/>
    <w:rsid w:val="006E2BFD"/>
    <w:rsid w:val="006E2EFC"/>
    <w:rsid w:val="006E2F4B"/>
    <w:rsid w:val="006E320F"/>
    <w:rsid w:val="006E32BD"/>
    <w:rsid w:val="006E32CF"/>
    <w:rsid w:val="006E34B4"/>
    <w:rsid w:val="006E34F1"/>
    <w:rsid w:val="006E35B4"/>
    <w:rsid w:val="006E35F9"/>
    <w:rsid w:val="006E3640"/>
    <w:rsid w:val="006E3666"/>
    <w:rsid w:val="006E37BA"/>
    <w:rsid w:val="006E384A"/>
    <w:rsid w:val="006E38DE"/>
    <w:rsid w:val="006E3922"/>
    <w:rsid w:val="006E3933"/>
    <w:rsid w:val="006E39CB"/>
    <w:rsid w:val="006E3AC4"/>
    <w:rsid w:val="006E3CC4"/>
    <w:rsid w:val="006E3D3A"/>
    <w:rsid w:val="006E3DDC"/>
    <w:rsid w:val="006E3F58"/>
    <w:rsid w:val="006E42FF"/>
    <w:rsid w:val="006E4393"/>
    <w:rsid w:val="006E43BB"/>
    <w:rsid w:val="006E4435"/>
    <w:rsid w:val="006E44B5"/>
    <w:rsid w:val="006E458F"/>
    <w:rsid w:val="006E4596"/>
    <w:rsid w:val="006E45F7"/>
    <w:rsid w:val="006E471B"/>
    <w:rsid w:val="006E484A"/>
    <w:rsid w:val="006E485A"/>
    <w:rsid w:val="006E49DD"/>
    <w:rsid w:val="006E49E7"/>
    <w:rsid w:val="006E4A74"/>
    <w:rsid w:val="006E4B17"/>
    <w:rsid w:val="006E4B50"/>
    <w:rsid w:val="006E4B64"/>
    <w:rsid w:val="006E4CE6"/>
    <w:rsid w:val="006E4E88"/>
    <w:rsid w:val="006E4F4E"/>
    <w:rsid w:val="006E4F60"/>
    <w:rsid w:val="006E4FD9"/>
    <w:rsid w:val="006E506A"/>
    <w:rsid w:val="006E5197"/>
    <w:rsid w:val="006E5319"/>
    <w:rsid w:val="006E53DB"/>
    <w:rsid w:val="006E5451"/>
    <w:rsid w:val="006E546F"/>
    <w:rsid w:val="006E5646"/>
    <w:rsid w:val="006E56B3"/>
    <w:rsid w:val="006E59A4"/>
    <w:rsid w:val="006E5A26"/>
    <w:rsid w:val="006E5A38"/>
    <w:rsid w:val="006E5A4E"/>
    <w:rsid w:val="006E5ABA"/>
    <w:rsid w:val="006E5AF7"/>
    <w:rsid w:val="006E5B2D"/>
    <w:rsid w:val="006E5CED"/>
    <w:rsid w:val="006E5D31"/>
    <w:rsid w:val="006E6010"/>
    <w:rsid w:val="006E603E"/>
    <w:rsid w:val="006E6071"/>
    <w:rsid w:val="006E6087"/>
    <w:rsid w:val="006E60D0"/>
    <w:rsid w:val="006E6105"/>
    <w:rsid w:val="006E61CD"/>
    <w:rsid w:val="006E620E"/>
    <w:rsid w:val="006E63C6"/>
    <w:rsid w:val="006E63D5"/>
    <w:rsid w:val="006E642A"/>
    <w:rsid w:val="006E6573"/>
    <w:rsid w:val="006E65EB"/>
    <w:rsid w:val="006E6647"/>
    <w:rsid w:val="006E6649"/>
    <w:rsid w:val="006E664E"/>
    <w:rsid w:val="006E6733"/>
    <w:rsid w:val="006E67F8"/>
    <w:rsid w:val="006E68E1"/>
    <w:rsid w:val="006E6910"/>
    <w:rsid w:val="006E69A6"/>
    <w:rsid w:val="006E6A1D"/>
    <w:rsid w:val="006E6B23"/>
    <w:rsid w:val="006E6C3F"/>
    <w:rsid w:val="006E6C90"/>
    <w:rsid w:val="006E6CB6"/>
    <w:rsid w:val="006E6CF0"/>
    <w:rsid w:val="006E6D63"/>
    <w:rsid w:val="006E6E1E"/>
    <w:rsid w:val="006E6E73"/>
    <w:rsid w:val="006E6EE4"/>
    <w:rsid w:val="006E7079"/>
    <w:rsid w:val="006E7118"/>
    <w:rsid w:val="006E7195"/>
    <w:rsid w:val="006E723E"/>
    <w:rsid w:val="006E728E"/>
    <w:rsid w:val="006E72AB"/>
    <w:rsid w:val="006E7353"/>
    <w:rsid w:val="006E7367"/>
    <w:rsid w:val="006E73F7"/>
    <w:rsid w:val="006E7469"/>
    <w:rsid w:val="006E7660"/>
    <w:rsid w:val="006E7A51"/>
    <w:rsid w:val="006E7A75"/>
    <w:rsid w:val="006E7BAC"/>
    <w:rsid w:val="006E7BD1"/>
    <w:rsid w:val="006E7BE2"/>
    <w:rsid w:val="006E7CAD"/>
    <w:rsid w:val="006E7D06"/>
    <w:rsid w:val="006E7D85"/>
    <w:rsid w:val="006E7DB7"/>
    <w:rsid w:val="006E7DE6"/>
    <w:rsid w:val="006E7DEF"/>
    <w:rsid w:val="006E7E34"/>
    <w:rsid w:val="006E7E43"/>
    <w:rsid w:val="006E7F08"/>
    <w:rsid w:val="006E7F9C"/>
    <w:rsid w:val="006F0032"/>
    <w:rsid w:val="006F016C"/>
    <w:rsid w:val="006F019F"/>
    <w:rsid w:val="006F01A3"/>
    <w:rsid w:val="006F03ED"/>
    <w:rsid w:val="006F044E"/>
    <w:rsid w:val="006F0627"/>
    <w:rsid w:val="006F0713"/>
    <w:rsid w:val="006F077F"/>
    <w:rsid w:val="006F07CD"/>
    <w:rsid w:val="006F081A"/>
    <w:rsid w:val="006F0872"/>
    <w:rsid w:val="006F088F"/>
    <w:rsid w:val="006F08C0"/>
    <w:rsid w:val="006F0904"/>
    <w:rsid w:val="006F0B52"/>
    <w:rsid w:val="006F0C21"/>
    <w:rsid w:val="006F0E32"/>
    <w:rsid w:val="006F0EDB"/>
    <w:rsid w:val="006F0EEC"/>
    <w:rsid w:val="006F0F36"/>
    <w:rsid w:val="006F103F"/>
    <w:rsid w:val="006F10D4"/>
    <w:rsid w:val="006F132B"/>
    <w:rsid w:val="006F135C"/>
    <w:rsid w:val="006F13AE"/>
    <w:rsid w:val="006F13D9"/>
    <w:rsid w:val="006F1420"/>
    <w:rsid w:val="006F1478"/>
    <w:rsid w:val="006F15C2"/>
    <w:rsid w:val="006F167F"/>
    <w:rsid w:val="006F16A1"/>
    <w:rsid w:val="006F1801"/>
    <w:rsid w:val="006F188E"/>
    <w:rsid w:val="006F1A81"/>
    <w:rsid w:val="006F1BA1"/>
    <w:rsid w:val="006F1BEE"/>
    <w:rsid w:val="006F1C7B"/>
    <w:rsid w:val="006F1DB9"/>
    <w:rsid w:val="006F1ED4"/>
    <w:rsid w:val="006F2005"/>
    <w:rsid w:val="006F207C"/>
    <w:rsid w:val="006F2101"/>
    <w:rsid w:val="006F2132"/>
    <w:rsid w:val="006F21AE"/>
    <w:rsid w:val="006F2235"/>
    <w:rsid w:val="006F2245"/>
    <w:rsid w:val="006F229B"/>
    <w:rsid w:val="006F22FF"/>
    <w:rsid w:val="006F231F"/>
    <w:rsid w:val="006F2403"/>
    <w:rsid w:val="006F24B7"/>
    <w:rsid w:val="006F2661"/>
    <w:rsid w:val="006F27D5"/>
    <w:rsid w:val="006F28B9"/>
    <w:rsid w:val="006F28C6"/>
    <w:rsid w:val="006F29AA"/>
    <w:rsid w:val="006F2AE4"/>
    <w:rsid w:val="006F2B51"/>
    <w:rsid w:val="006F2C29"/>
    <w:rsid w:val="006F2C75"/>
    <w:rsid w:val="006F2F43"/>
    <w:rsid w:val="006F30AE"/>
    <w:rsid w:val="006F3108"/>
    <w:rsid w:val="006F311C"/>
    <w:rsid w:val="006F32A9"/>
    <w:rsid w:val="006F343B"/>
    <w:rsid w:val="006F3452"/>
    <w:rsid w:val="006F345D"/>
    <w:rsid w:val="006F34B3"/>
    <w:rsid w:val="006F3517"/>
    <w:rsid w:val="006F3603"/>
    <w:rsid w:val="006F3747"/>
    <w:rsid w:val="006F3899"/>
    <w:rsid w:val="006F38BB"/>
    <w:rsid w:val="006F3907"/>
    <w:rsid w:val="006F397B"/>
    <w:rsid w:val="006F3BD5"/>
    <w:rsid w:val="006F3D56"/>
    <w:rsid w:val="006F3D9B"/>
    <w:rsid w:val="006F3FC2"/>
    <w:rsid w:val="006F3FF8"/>
    <w:rsid w:val="006F4079"/>
    <w:rsid w:val="006F4151"/>
    <w:rsid w:val="006F4217"/>
    <w:rsid w:val="006F428E"/>
    <w:rsid w:val="006F42A4"/>
    <w:rsid w:val="006F4378"/>
    <w:rsid w:val="006F4452"/>
    <w:rsid w:val="006F447F"/>
    <w:rsid w:val="006F46CB"/>
    <w:rsid w:val="006F4708"/>
    <w:rsid w:val="006F4717"/>
    <w:rsid w:val="006F47F4"/>
    <w:rsid w:val="006F4CB6"/>
    <w:rsid w:val="006F4D83"/>
    <w:rsid w:val="006F4DBB"/>
    <w:rsid w:val="006F4E69"/>
    <w:rsid w:val="006F4EB2"/>
    <w:rsid w:val="006F4F7B"/>
    <w:rsid w:val="006F4F94"/>
    <w:rsid w:val="006F504B"/>
    <w:rsid w:val="006F505A"/>
    <w:rsid w:val="006F5076"/>
    <w:rsid w:val="006F523A"/>
    <w:rsid w:val="006F52FD"/>
    <w:rsid w:val="006F5438"/>
    <w:rsid w:val="006F5446"/>
    <w:rsid w:val="006F54F5"/>
    <w:rsid w:val="006F5636"/>
    <w:rsid w:val="006F564D"/>
    <w:rsid w:val="006F568E"/>
    <w:rsid w:val="006F569F"/>
    <w:rsid w:val="006F589E"/>
    <w:rsid w:val="006F59B6"/>
    <w:rsid w:val="006F5A6C"/>
    <w:rsid w:val="006F5AD8"/>
    <w:rsid w:val="006F5B92"/>
    <w:rsid w:val="006F5CB9"/>
    <w:rsid w:val="006F5E89"/>
    <w:rsid w:val="006F5F61"/>
    <w:rsid w:val="006F5F9F"/>
    <w:rsid w:val="006F5FE4"/>
    <w:rsid w:val="006F600E"/>
    <w:rsid w:val="006F604C"/>
    <w:rsid w:val="006F6309"/>
    <w:rsid w:val="006F6317"/>
    <w:rsid w:val="006F63C7"/>
    <w:rsid w:val="006F65A0"/>
    <w:rsid w:val="006F675C"/>
    <w:rsid w:val="006F6768"/>
    <w:rsid w:val="006F6832"/>
    <w:rsid w:val="006F6887"/>
    <w:rsid w:val="006F6A4F"/>
    <w:rsid w:val="006F6A7F"/>
    <w:rsid w:val="006F6AC2"/>
    <w:rsid w:val="006F6CAC"/>
    <w:rsid w:val="006F6CD6"/>
    <w:rsid w:val="006F6DFF"/>
    <w:rsid w:val="006F6E4B"/>
    <w:rsid w:val="006F7044"/>
    <w:rsid w:val="006F7080"/>
    <w:rsid w:val="006F712B"/>
    <w:rsid w:val="006F72E0"/>
    <w:rsid w:val="006F72E2"/>
    <w:rsid w:val="006F72E6"/>
    <w:rsid w:val="006F72E9"/>
    <w:rsid w:val="006F7300"/>
    <w:rsid w:val="006F732A"/>
    <w:rsid w:val="006F73F2"/>
    <w:rsid w:val="006F7400"/>
    <w:rsid w:val="006F74D3"/>
    <w:rsid w:val="006F75D4"/>
    <w:rsid w:val="006F7685"/>
    <w:rsid w:val="006F769E"/>
    <w:rsid w:val="006F7785"/>
    <w:rsid w:val="006F7909"/>
    <w:rsid w:val="006F7929"/>
    <w:rsid w:val="006F7974"/>
    <w:rsid w:val="006F7AB4"/>
    <w:rsid w:val="006F7B2B"/>
    <w:rsid w:val="006F7BA6"/>
    <w:rsid w:val="006F7D3B"/>
    <w:rsid w:val="006F7DB3"/>
    <w:rsid w:val="006F7DFD"/>
    <w:rsid w:val="006F7E57"/>
    <w:rsid w:val="006F7F06"/>
    <w:rsid w:val="006F7F54"/>
    <w:rsid w:val="006F7F71"/>
    <w:rsid w:val="0070001B"/>
    <w:rsid w:val="00700073"/>
    <w:rsid w:val="007000C8"/>
    <w:rsid w:val="00700108"/>
    <w:rsid w:val="007001C1"/>
    <w:rsid w:val="0070020F"/>
    <w:rsid w:val="00700331"/>
    <w:rsid w:val="00700422"/>
    <w:rsid w:val="0070044E"/>
    <w:rsid w:val="007004EB"/>
    <w:rsid w:val="00700567"/>
    <w:rsid w:val="00700779"/>
    <w:rsid w:val="007007BF"/>
    <w:rsid w:val="0070096E"/>
    <w:rsid w:val="00700A3F"/>
    <w:rsid w:val="00700A4B"/>
    <w:rsid w:val="00700A60"/>
    <w:rsid w:val="00700A66"/>
    <w:rsid w:val="00700AEB"/>
    <w:rsid w:val="00700B6A"/>
    <w:rsid w:val="00700C0C"/>
    <w:rsid w:val="00700C4E"/>
    <w:rsid w:val="00700D7D"/>
    <w:rsid w:val="00700E6A"/>
    <w:rsid w:val="00700E83"/>
    <w:rsid w:val="00700EF6"/>
    <w:rsid w:val="00700F47"/>
    <w:rsid w:val="00700F64"/>
    <w:rsid w:val="0070109B"/>
    <w:rsid w:val="007010DA"/>
    <w:rsid w:val="0070116F"/>
    <w:rsid w:val="007011B7"/>
    <w:rsid w:val="007011DA"/>
    <w:rsid w:val="007012C2"/>
    <w:rsid w:val="00701592"/>
    <w:rsid w:val="007015DD"/>
    <w:rsid w:val="00701666"/>
    <w:rsid w:val="0070166D"/>
    <w:rsid w:val="00701682"/>
    <w:rsid w:val="007016CB"/>
    <w:rsid w:val="007016DE"/>
    <w:rsid w:val="00701D09"/>
    <w:rsid w:val="007020EE"/>
    <w:rsid w:val="00702164"/>
    <w:rsid w:val="00702189"/>
    <w:rsid w:val="007021E6"/>
    <w:rsid w:val="0070222A"/>
    <w:rsid w:val="00702348"/>
    <w:rsid w:val="007023A4"/>
    <w:rsid w:val="00702423"/>
    <w:rsid w:val="007024A8"/>
    <w:rsid w:val="007025E3"/>
    <w:rsid w:val="00702720"/>
    <w:rsid w:val="00702725"/>
    <w:rsid w:val="0070279E"/>
    <w:rsid w:val="00702A89"/>
    <w:rsid w:val="00702B10"/>
    <w:rsid w:val="00702C97"/>
    <w:rsid w:val="00702D66"/>
    <w:rsid w:val="00702F6D"/>
    <w:rsid w:val="00702FEE"/>
    <w:rsid w:val="0070309E"/>
    <w:rsid w:val="007030A3"/>
    <w:rsid w:val="007030EA"/>
    <w:rsid w:val="007031AB"/>
    <w:rsid w:val="007031BB"/>
    <w:rsid w:val="007032DB"/>
    <w:rsid w:val="00703339"/>
    <w:rsid w:val="0070348E"/>
    <w:rsid w:val="00703751"/>
    <w:rsid w:val="0070375F"/>
    <w:rsid w:val="00703801"/>
    <w:rsid w:val="00703895"/>
    <w:rsid w:val="0070390C"/>
    <w:rsid w:val="00703921"/>
    <w:rsid w:val="00703949"/>
    <w:rsid w:val="007039E7"/>
    <w:rsid w:val="00703A3B"/>
    <w:rsid w:val="00703A5A"/>
    <w:rsid w:val="00703BB3"/>
    <w:rsid w:val="00703C34"/>
    <w:rsid w:val="00703CE0"/>
    <w:rsid w:val="00703D43"/>
    <w:rsid w:val="0070405A"/>
    <w:rsid w:val="007040CD"/>
    <w:rsid w:val="00704174"/>
    <w:rsid w:val="00704229"/>
    <w:rsid w:val="007042AF"/>
    <w:rsid w:val="007043DE"/>
    <w:rsid w:val="0070446A"/>
    <w:rsid w:val="00704547"/>
    <w:rsid w:val="0070455E"/>
    <w:rsid w:val="00704581"/>
    <w:rsid w:val="00704651"/>
    <w:rsid w:val="00704763"/>
    <w:rsid w:val="007047DB"/>
    <w:rsid w:val="0070489A"/>
    <w:rsid w:val="00704983"/>
    <w:rsid w:val="00704A3B"/>
    <w:rsid w:val="00704C45"/>
    <w:rsid w:val="00704ED7"/>
    <w:rsid w:val="00704F6C"/>
    <w:rsid w:val="00704FE0"/>
    <w:rsid w:val="007050A5"/>
    <w:rsid w:val="007051A2"/>
    <w:rsid w:val="007051AD"/>
    <w:rsid w:val="007051BC"/>
    <w:rsid w:val="007051F2"/>
    <w:rsid w:val="007051F9"/>
    <w:rsid w:val="007052B1"/>
    <w:rsid w:val="0070537D"/>
    <w:rsid w:val="007053E9"/>
    <w:rsid w:val="00705463"/>
    <w:rsid w:val="007054B0"/>
    <w:rsid w:val="007054DC"/>
    <w:rsid w:val="007056AB"/>
    <w:rsid w:val="007058D2"/>
    <w:rsid w:val="007058F8"/>
    <w:rsid w:val="0070595D"/>
    <w:rsid w:val="00705A38"/>
    <w:rsid w:val="00705A69"/>
    <w:rsid w:val="00705A9D"/>
    <w:rsid w:val="00705C29"/>
    <w:rsid w:val="00705C80"/>
    <w:rsid w:val="00705CA6"/>
    <w:rsid w:val="00705CDC"/>
    <w:rsid w:val="00705D9F"/>
    <w:rsid w:val="00705FC1"/>
    <w:rsid w:val="0070604B"/>
    <w:rsid w:val="00706066"/>
    <w:rsid w:val="0070609A"/>
    <w:rsid w:val="007060C1"/>
    <w:rsid w:val="00706108"/>
    <w:rsid w:val="00706132"/>
    <w:rsid w:val="007061E6"/>
    <w:rsid w:val="007063B0"/>
    <w:rsid w:val="007063FE"/>
    <w:rsid w:val="00706408"/>
    <w:rsid w:val="00706520"/>
    <w:rsid w:val="00706587"/>
    <w:rsid w:val="0070658B"/>
    <w:rsid w:val="007065F9"/>
    <w:rsid w:val="007066A7"/>
    <w:rsid w:val="0070670F"/>
    <w:rsid w:val="00706740"/>
    <w:rsid w:val="007068B9"/>
    <w:rsid w:val="00706931"/>
    <w:rsid w:val="00706961"/>
    <w:rsid w:val="007069CA"/>
    <w:rsid w:val="007069F4"/>
    <w:rsid w:val="00706A1F"/>
    <w:rsid w:val="00706B6F"/>
    <w:rsid w:val="00706BEB"/>
    <w:rsid w:val="00706C25"/>
    <w:rsid w:val="00706D49"/>
    <w:rsid w:val="00706DAB"/>
    <w:rsid w:val="00706E1E"/>
    <w:rsid w:val="00706FAE"/>
    <w:rsid w:val="007070D0"/>
    <w:rsid w:val="007070DF"/>
    <w:rsid w:val="00707109"/>
    <w:rsid w:val="007071A2"/>
    <w:rsid w:val="00707218"/>
    <w:rsid w:val="00707224"/>
    <w:rsid w:val="0070729C"/>
    <w:rsid w:val="0070733D"/>
    <w:rsid w:val="007075F9"/>
    <w:rsid w:val="00707662"/>
    <w:rsid w:val="0070766C"/>
    <w:rsid w:val="00707705"/>
    <w:rsid w:val="0070774A"/>
    <w:rsid w:val="0070775C"/>
    <w:rsid w:val="0070781A"/>
    <w:rsid w:val="0070781F"/>
    <w:rsid w:val="00707A21"/>
    <w:rsid w:val="00707B4A"/>
    <w:rsid w:val="00707B82"/>
    <w:rsid w:val="00707CEF"/>
    <w:rsid w:val="00707D4A"/>
    <w:rsid w:val="00707D83"/>
    <w:rsid w:val="00707D86"/>
    <w:rsid w:val="00707EF5"/>
    <w:rsid w:val="00707F8B"/>
    <w:rsid w:val="00707F91"/>
    <w:rsid w:val="007100A6"/>
    <w:rsid w:val="00710154"/>
    <w:rsid w:val="0071018F"/>
    <w:rsid w:val="007103CA"/>
    <w:rsid w:val="0071055F"/>
    <w:rsid w:val="0071059F"/>
    <w:rsid w:val="007105B9"/>
    <w:rsid w:val="00710608"/>
    <w:rsid w:val="00710631"/>
    <w:rsid w:val="00710641"/>
    <w:rsid w:val="007106B6"/>
    <w:rsid w:val="00710743"/>
    <w:rsid w:val="00710878"/>
    <w:rsid w:val="00710879"/>
    <w:rsid w:val="0071088E"/>
    <w:rsid w:val="007108B8"/>
    <w:rsid w:val="00710941"/>
    <w:rsid w:val="00710982"/>
    <w:rsid w:val="00710A06"/>
    <w:rsid w:val="00710AF6"/>
    <w:rsid w:val="00710BA2"/>
    <w:rsid w:val="00710C76"/>
    <w:rsid w:val="00710CA4"/>
    <w:rsid w:val="00710D1C"/>
    <w:rsid w:val="00710F3F"/>
    <w:rsid w:val="00710F59"/>
    <w:rsid w:val="00710FC2"/>
    <w:rsid w:val="007110AB"/>
    <w:rsid w:val="007110CB"/>
    <w:rsid w:val="0071110F"/>
    <w:rsid w:val="00711178"/>
    <w:rsid w:val="00711262"/>
    <w:rsid w:val="00711301"/>
    <w:rsid w:val="0071130E"/>
    <w:rsid w:val="0071134A"/>
    <w:rsid w:val="00711487"/>
    <w:rsid w:val="0071174A"/>
    <w:rsid w:val="007117DB"/>
    <w:rsid w:val="0071183B"/>
    <w:rsid w:val="0071187F"/>
    <w:rsid w:val="007118AF"/>
    <w:rsid w:val="007118BF"/>
    <w:rsid w:val="007118DB"/>
    <w:rsid w:val="00711906"/>
    <w:rsid w:val="0071191F"/>
    <w:rsid w:val="00711973"/>
    <w:rsid w:val="00711A70"/>
    <w:rsid w:val="00711A84"/>
    <w:rsid w:val="00711AF3"/>
    <w:rsid w:val="00711BCF"/>
    <w:rsid w:val="00711C46"/>
    <w:rsid w:val="00711D17"/>
    <w:rsid w:val="00711D63"/>
    <w:rsid w:val="00711DF6"/>
    <w:rsid w:val="00711EF8"/>
    <w:rsid w:val="00711F2A"/>
    <w:rsid w:val="00711F99"/>
    <w:rsid w:val="00712026"/>
    <w:rsid w:val="007120CF"/>
    <w:rsid w:val="00712180"/>
    <w:rsid w:val="00712197"/>
    <w:rsid w:val="007121E0"/>
    <w:rsid w:val="007121EC"/>
    <w:rsid w:val="00712204"/>
    <w:rsid w:val="007123E5"/>
    <w:rsid w:val="007124C4"/>
    <w:rsid w:val="0071255E"/>
    <w:rsid w:val="0071262B"/>
    <w:rsid w:val="00712688"/>
    <w:rsid w:val="00712696"/>
    <w:rsid w:val="007126D9"/>
    <w:rsid w:val="00712719"/>
    <w:rsid w:val="0071282E"/>
    <w:rsid w:val="0071284C"/>
    <w:rsid w:val="007129C9"/>
    <w:rsid w:val="00712A35"/>
    <w:rsid w:val="00712A44"/>
    <w:rsid w:val="00712A46"/>
    <w:rsid w:val="00712A77"/>
    <w:rsid w:val="00712B43"/>
    <w:rsid w:val="00712B4B"/>
    <w:rsid w:val="00712BB1"/>
    <w:rsid w:val="00712BD0"/>
    <w:rsid w:val="00712C59"/>
    <w:rsid w:val="00712C72"/>
    <w:rsid w:val="00712CC9"/>
    <w:rsid w:val="00712D00"/>
    <w:rsid w:val="00712D19"/>
    <w:rsid w:val="00712D21"/>
    <w:rsid w:val="00712D32"/>
    <w:rsid w:val="00712D6B"/>
    <w:rsid w:val="00712EBA"/>
    <w:rsid w:val="00712F29"/>
    <w:rsid w:val="0071309F"/>
    <w:rsid w:val="007130D5"/>
    <w:rsid w:val="00713125"/>
    <w:rsid w:val="00713128"/>
    <w:rsid w:val="00713159"/>
    <w:rsid w:val="0071321E"/>
    <w:rsid w:val="0071325C"/>
    <w:rsid w:val="0071328A"/>
    <w:rsid w:val="0071355C"/>
    <w:rsid w:val="0071356B"/>
    <w:rsid w:val="007135E1"/>
    <w:rsid w:val="0071366E"/>
    <w:rsid w:val="00713809"/>
    <w:rsid w:val="007139D4"/>
    <w:rsid w:val="00713A66"/>
    <w:rsid w:val="00713A87"/>
    <w:rsid w:val="00713B24"/>
    <w:rsid w:val="00713B3F"/>
    <w:rsid w:val="00713B55"/>
    <w:rsid w:val="00713B97"/>
    <w:rsid w:val="00713C96"/>
    <w:rsid w:val="00713CA3"/>
    <w:rsid w:val="00713CE5"/>
    <w:rsid w:val="00713DA3"/>
    <w:rsid w:val="00713E4D"/>
    <w:rsid w:val="00713E6A"/>
    <w:rsid w:val="00713E72"/>
    <w:rsid w:val="00714014"/>
    <w:rsid w:val="00714047"/>
    <w:rsid w:val="0071415B"/>
    <w:rsid w:val="0071424E"/>
    <w:rsid w:val="007143F4"/>
    <w:rsid w:val="007144D4"/>
    <w:rsid w:val="007144E2"/>
    <w:rsid w:val="00714548"/>
    <w:rsid w:val="007145D5"/>
    <w:rsid w:val="0071465E"/>
    <w:rsid w:val="00714874"/>
    <w:rsid w:val="007148D5"/>
    <w:rsid w:val="0071493D"/>
    <w:rsid w:val="00714A43"/>
    <w:rsid w:val="00714A76"/>
    <w:rsid w:val="00714A7E"/>
    <w:rsid w:val="00714A83"/>
    <w:rsid w:val="00714B3F"/>
    <w:rsid w:val="00714B68"/>
    <w:rsid w:val="00714B7E"/>
    <w:rsid w:val="00714BD8"/>
    <w:rsid w:val="00714D08"/>
    <w:rsid w:val="00714D3B"/>
    <w:rsid w:val="00714D84"/>
    <w:rsid w:val="00714E71"/>
    <w:rsid w:val="00714E86"/>
    <w:rsid w:val="00714F50"/>
    <w:rsid w:val="00714F5F"/>
    <w:rsid w:val="00714F85"/>
    <w:rsid w:val="00714FDE"/>
    <w:rsid w:val="0071516F"/>
    <w:rsid w:val="007151A8"/>
    <w:rsid w:val="007151E9"/>
    <w:rsid w:val="0071528E"/>
    <w:rsid w:val="007152DC"/>
    <w:rsid w:val="0071554C"/>
    <w:rsid w:val="0071561F"/>
    <w:rsid w:val="007156BB"/>
    <w:rsid w:val="0071576C"/>
    <w:rsid w:val="00715875"/>
    <w:rsid w:val="007158C6"/>
    <w:rsid w:val="0071596E"/>
    <w:rsid w:val="0071598C"/>
    <w:rsid w:val="00715A04"/>
    <w:rsid w:val="00715B85"/>
    <w:rsid w:val="00715C66"/>
    <w:rsid w:val="00715D4E"/>
    <w:rsid w:val="00715D9C"/>
    <w:rsid w:val="00715E2C"/>
    <w:rsid w:val="00715E49"/>
    <w:rsid w:val="00715F19"/>
    <w:rsid w:val="00715F62"/>
    <w:rsid w:val="00715F71"/>
    <w:rsid w:val="00715F93"/>
    <w:rsid w:val="00715FCB"/>
    <w:rsid w:val="007160B0"/>
    <w:rsid w:val="0071610B"/>
    <w:rsid w:val="007161B8"/>
    <w:rsid w:val="007161CA"/>
    <w:rsid w:val="007161E3"/>
    <w:rsid w:val="007162D1"/>
    <w:rsid w:val="007162DE"/>
    <w:rsid w:val="00716368"/>
    <w:rsid w:val="00716412"/>
    <w:rsid w:val="00716576"/>
    <w:rsid w:val="007166A8"/>
    <w:rsid w:val="0071672F"/>
    <w:rsid w:val="00716736"/>
    <w:rsid w:val="00716756"/>
    <w:rsid w:val="00716820"/>
    <w:rsid w:val="00716872"/>
    <w:rsid w:val="00716875"/>
    <w:rsid w:val="0071687B"/>
    <w:rsid w:val="007168A3"/>
    <w:rsid w:val="0071696D"/>
    <w:rsid w:val="0071696F"/>
    <w:rsid w:val="007169BB"/>
    <w:rsid w:val="00716A1C"/>
    <w:rsid w:val="00716A2A"/>
    <w:rsid w:val="00716B10"/>
    <w:rsid w:val="00716BDC"/>
    <w:rsid w:val="00716C92"/>
    <w:rsid w:val="00716DA9"/>
    <w:rsid w:val="00716DBB"/>
    <w:rsid w:val="00716E3C"/>
    <w:rsid w:val="00716EE4"/>
    <w:rsid w:val="00716EEE"/>
    <w:rsid w:val="00716F8C"/>
    <w:rsid w:val="0071705F"/>
    <w:rsid w:val="00717060"/>
    <w:rsid w:val="0071713D"/>
    <w:rsid w:val="007172E4"/>
    <w:rsid w:val="00717311"/>
    <w:rsid w:val="0071741C"/>
    <w:rsid w:val="00717457"/>
    <w:rsid w:val="0071748F"/>
    <w:rsid w:val="00717641"/>
    <w:rsid w:val="0071770E"/>
    <w:rsid w:val="00717781"/>
    <w:rsid w:val="0071782F"/>
    <w:rsid w:val="00717840"/>
    <w:rsid w:val="007178E6"/>
    <w:rsid w:val="0071793A"/>
    <w:rsid w:val="007179DE"/>
    <w:rsid w:val="00717B27"/>
    <w:rsid w:val="00717B76"/>
    <w:rsid w:val="00717B81"/>
    <w:rsid w:val="00717B84"/>
    <w:rsid w:val="00717C18"/>
    <w:rsid w:val="00717C7E"/>
    <w:rsid w:val="00717D5C"/>
    <w:rsid w:val="00717E58"/>
    <w:rsid w:val="00717E6E"/>
    <w:rsid w:val="00717E8F"/>
    <w:rsid w:val="00717FB3"/>
    <w:rsid w:val="0072005B"/>
    <w:rsid w:val="0072013C"/>
    <w:rsid w:val="00720169"/>
    <w:rsid w:val="00720175"/>
    <w:rsid w:val="00720183"/>
    <w:rsid w:val="007201DC"/>
    <w:rsid w:val="00720265"/>
    <w:rsid w:val="007203C8"/>
    <w:rsid w:val="007204F1"/>
    <w:rsid w:val="0072057C"/>
    <w:rsid w:val="00720587"/>
    <w:rsid w:val="0072072B"/>
    <w:rsid w:val="007207B5"/>
    <w:rsid w:val="007207CD"/>
    <w:rsid w:val="00720863"/>
    <w:rsid w:val="00720866"/>
    <w:rsid w:val="007209A0"/>
    <w:rsid w:val="00720A63"/>
    <w:rsid w:val="00720AD3"/>
    <w:rsid w:val="00720BA6"/>
    <w:rsid w:val="00720BBA"/>
    <w:rsid w:val="00720BCB"/>
    <w:rsid w:val="00720D9C"/>
    <w:rsid w:val="00720EF8"/>
    <w:rsid w:val="00720F16"/>
    <w:rsid w:val="00720F85"/>
    <w:rsid w:val="0072109F"/>
    <w:rsid w:val="0072113C"/>
    <w:rsid w:val="007211C1"/>
    <w:rsid w:val="007211D0"/>
    <w:rsid w:val="007211E4"/>
    <w:rsid w:val="007211ED"/>
    <w:rsid w:val="007212B1"/>
    <w:rsid w:val="0072143D"/>
    <w:rsid w:val="0072154E"/>
    <w:rsid w:val="0072178E"/>
    <w:rsid w:val="0072179A"/>
    <w:rsid w:val="007217E5"/>
    <w:rsid w:val="007218FA"/>
    <w:rsid w:val="007219CD"/>
    <w:rsid w:val="00721A1E"/>
    <w:rsid w:val="00721A80"/>
    <w:rsid w:val="00721B62"/>
    <w:rsid w:val="00721B90"/>
    <w:rsid w:val="00721BAC"/>
    <w:rsid w:val="00721C6E"/>
    <w:rsid w:val="00721DEA"/>
    <w:rsid w:val="00721F59"/>
    <w:rsid w:val="00721FCE"/>
    <w:rsid w:val="00721FD8"/>
    <w:rsid w:val="00721FE8"/>
    <w:rsid w:val="00722045"/>
    <w:rsid w:val="0072207C"/>
    <w:rsid w:val="0072215B"/>
    <w:rsid w:val="00722261"/>
    <w:rsid w:val="007222DC"/>
    <w:rsid w:val="0072235D"/>
    <w:rsid w:val="007224DE"/>
    <w:rsid w:val="00722594"/>
    <w:rsid w:val="0072263D"/>
    <w:rsid w:val="00722656"/>
    <w:rsid w:val="0072266B"/>
    <w:rsid w:val="00722673"/>
    <w:rsid w:val="007226D1"/>
    <w:rsid w:val="00722735"/>
    <w:rsid w:val="00722786"/>
    <w:rsid w:val="007228A8"/>
    <w:rsid w:val="0072293B"/>
    <w:rsid w:val="007229A0"/>
    <w:rsid w:val="00722A00"/>
    <w:rsid w:val="00722A5C"/>
    <w:rsid w:val="00722AB5"/>
    <w:rsid w:val="00722B13"/>
    <w:rsid w:val="00722B37"/>
    <w:rsid w:val="00722CA9"/>
    <w:rsid w:val="00722D0C"/>
    <w:rsid w:val="00722D6B"/>
    <w:rsid w:val="00722DCF"/>
    <w:rsid w:val="00722DE4"/>
    <w:rsid w:val="00722E1A"/>
    <w:rsid w:val="00722EE8"/>
    <w:rsid w:val="00722F12"/>
    <w:rsid w:val="00722FA9"/>
    <w:rsid w:val="0072303D"/>
    <w:rsid w:val="0072304C"/>
    <w:rsid w:val="00723314"/>
    <w:rsid w:val="00723327"/>
    <w:rsid w:val="00723356"/>
    <w:rsid w:val="00723362"/>
    <w:rsid w:val="00723563"/>
    <w:rsid w:val="007235D6"/>
    <w:rsid w:val="007236B5"/>
    <w:rsid w:val="00723709"/>
    <w:rsid w:val="00723729"/>
    <w:rsid w:val="00723737"/>
    <w:rsid w:val="00723756"/>
    <w:rsid w:val="007237FD"/>
    <w:rsid w:val="00723890"/>
    <w:rsid w:val="00723A85"/>
    <w:rsid w:val="00723AFD"/>
    <w:rsid w:val="00723B2F"/>
    <w:rsid w:val="00723B34"/>
    <w:rsid w:val="00723BA4"/>
    <w:rsid w:val="00723BC2"/>
    <w:rsid w:val="00723BF1"/>
    <w:rsid w:val="00723BF6"/>
    <w:rsid w:val="00723E8E"/>
    <w:rsid w:val="0072405E"/>
    <w:rsid w:val="0072406A"/>
    <w:rsid w:val="007240D5"/>
    <w:rsid w:val="007241A1"/>
    <w:rsid w:val="007241DC"/>
    <w:rsid w:val="00724229"/>
    <w:rsid w:val="00724265"/>
    <w:rsid w:val="007242D1"/>
    <w:rsid w:val="0072435E"/>
    <w:rsid w:val="0072437A"/>
    <w:rsid w:val="007243F4"/>
    <w:rsid w:val="0072445A"/>
    <w:rsid w:val="00724461"/>
    <w:rsid w:val="00724602"/>
    <w:rsid w:val="0072464D"/>
    <w:rsid w:val="00724697"/>
    <w:rsid w:val="00724837"/>
    <w:rsid w:val="007248E6"/>
    <w:rsid w:val="0072494F"/>
    <w:rsid w:val="0072498D"/>
    <w:rsid w:val="00724B35"/>
    <w:rsid w:val="00724E9B"/>
    <w:rsid w:val="00724EAC"/>
    <w:rsid w:val="00724FB9"/>
    <w:rsid w:val="00724FCC"/>
    <w:rsid w:val="00725029"/>
    <w:rsid w:val="00725185"/>
    <w:rsid w:val="00725212"/>
    <w:rsid w:val="00725303"/>
    <w:rsid w:val="007253E3"/>
    <w:rsid w:val="0072543D"/>
    <w:rsid w:val="0072556C"/>
    <w:rsid w:val="007255A1"/>
    <w:rsid w:val="00725649"/>
    <w:rsid w:val="007256EC"/>
    <w:rsid w:val="0072576F"/>
    <w:rsid w:val="007257C9"/>
    <w:rsid w:val="007257E6"/>
    <w:rsid w:val="00725880"/>
    <w:rsid w:val="0072594E"/>
    <w:rsid w:val="00725A05"/>
    <w:rsid w:val="00725A68"/>
    <w:rsid w:val="00725A9D"/>
    <w:rsid w:val="00725BF0"/>
    <w:rsid w:val="00725C8A"/>
    <w:rsid w:val="00725D7A"/>
    <w:rsid w:val="00725DEF"/>
    <w:rsid w:val="00725EC7"/>
    <w:rsid w:val="00725ECA"/>
    <w:rsid w:val="00725EF4"/>
    <w:rsid w:val="00725FEB"/>
    <w:rsid w:val="0072600A"/>
    <w:rsid w:val="00726172"/>
    <w:rsid w:val="00726178"/>
    <w:rsid w:val="0072620F"/>
    <w:rsid w:val="00726295"/>
    <w:rsid w:val="007263D6"/>
    <w:rsid w:val="00726413"/>
    <w:rsid w:val="00726472"/>
    <w:rsid w:val="007264A6"/>
    <w:rsid w:val="00726520"/>
    <w:rsid w:val="0072653D"/>
    <w:rsid w:val="00726541"/>
    <w:rsid w:val="007265F6"/>
    <w:rsid w:val="00726792"/>
    <w:rsid w:val="007267A1"/>
    <w:rsid w:val="00726A30"/>
    <w:rsid w:val="00726A84"/>
    <w:rsid w:val="00726ADD"/>
    <w:rsid w:val="00726B17"/>
    <w:rsid w:val="00726B5F"/>
    <w:rsid w:val="00726B60"/>
    <w:rsid w:val="00726B86"/>
    <w:rsid w:val="00726BD8"/>
    <w:rsid w:val="00726E03"/>
    <w:rsid w:val="00726EB5"/>
    <w:rsid w:val="00726ED8"/>
    <w:rsid w:val="00726F9E"/>
    <w:rsid w:val="00727013"/>
    <w:rsid w:val="00727061"/>
    <w:rsid w:val="00727260"/>
    <w:rsid w:val="007272FA"/>
    <w:rsid w:val="0072731F"/>
    <w:rsid w:val="00727371"/>
    <w:rsid w:val="007273D3"/>
    <w:rsid w:val="0072759A"/>
    <w:rsid w:val="00727809"/>
    <w:rsid w:val="0072788D"/>
    <w:rsid w:val="00727931"/>
    <w:rsid w:val="007279EC"/>
    <w:rsid w:val="00727BD5"/>
    <w:rsid w:val="00727BE5"/>
    <w:rsid w:val="00727D00"/>
    <w:rsid w:val="00727D61"/>
    <w:rsid w:val="00727DA6"/>
    <w:rsid w:val="00727E12"/>
    <w:rsid w:val="00730075"/>
    <w:rsid w:val="007300CF"/>
    <w:rsid w:val="00730143"/>
    <w:rsid w:val="007301E7"/>
    <w:rsid w:val="00730230"/>
    <w:rsid w:val="007302D2"/>
    <w:rsid w:val="007304B9"/>
    <w:rsid w:val="007304FF"/>
    <w:rsid w:val="0073055B"/>
    <w:rsid w:val="0073056C"/>
    <w:rsid w:val="00730624"/>
    <w:rsid w:val="00730757"/>
    <w:rsid w:val="00730876"/>
    <w:rsid w:val="0073097C"/>
    <w:rsid w:val="00730993"/>
    <w:rsid w:val="00730AF0"/>
    <w:rsid w:val="00730AFD"/>
    <w:rsid w:val="00730B10"/>
    <w:rsid w:val="00730B40"/>
    <w:rsid w:val="00730B82"/>
    <w:rsid w:val="00730C13"/>
    <w:rsid w:val="00730C4C"/>
    <w:rsid w:val="00730CE4"/>
    <w:rsid w:val="00730CF0"/>
    <w:rsid w:val="00730D00"/>
    <w:rsid w:val="00730D68"/>
    <w:rsid w:val="00730D72"/>
    <w:rsid w:val="00730E7F"/>
    <w:rsid w:val="00730E92"/>
    <w:rsid w:val="00730ECF"/>
    <w:rsid w:val="00730F41"/>
    <w:rsid w:val="00730F5B"/>
    <w:rsid w:val="007310E5"/>
    <w:rsid w:val="00731141"/>
    <w:rsid w:val="0073127A"/>
    <w:rsid w:val="007312BF"/>
    <w:rsid w:val="00731353"/>
    <w:rsid w:val="00731440"/>
    <w:rsid w:val="007314CB"/>
    <w:rsid w:val="0073160B"/>
    <w:rsid w:val="00731615"/>
    <w:rsid w:val="0073167C"/>
    <w:rsid w:val="00731710"/>
    <w:rsid w:val="0073171C"/>
    <w:rsid w:val="007317D4"/>
    <w:rsid w:val="007318AA"/>
    <w:rsid w:val="007318C5"/>
    <w:rsid w:val="0073193A"/>
    <w:rsid w:val="00731951"/>
    <w:rsid w:val="00731C23"/>
    <w:rsid w:val="00731CDE"/>
    <w:rsid w:val="00731DEF"/>
    <w:rsid w:val="00731E1E"/>
    <w:rsid w:val="00731E56"/>
    <w:rsid w:val="00731EA5"/>
    <w:rsid w:val="00731EC8"/>
    <w:rsid w:val="00731F14"/>
    <w:rsid w:val="00731F9E"/>
    <w:rsid w:val="00732188"/>
    <w:rsid w:val="007321D6"/>
    <w:rsid w:val="00732218"/>
    <w:rsid w:val="0073223F"/>
    <w:rsid w:val="00732332"/>
    <w:rsid w:val="0073235C"/>
    <w:rsid w:val="00732362"/>
    <w:rsid w:val="00732366"/>
    <w:rsid w:val="007323D9"/>
    <w:rsid w:val="007324AB"/>
    <w:rsid w:val="007324ED"/>
    <w:rsid w:val="00732547"/>
    <w:rsid w:val="00732589"/>
    <w:rsid w:val="007325BF"/>
    <w:rsid w:val="007325C5"/>
    <w:rsid w:val="00732609"/>
    <w:rsid w:val="007326AB"/>
    <w:rsid w:val="007327B3"/>
    <w:rsid w:val="0073280B"/>
    <w:rsid w:val="0073284F"/>
    <w:rsid w:val="00732C75"/>
    <w:rsid w:val="00732CF1"/>
    <w:rsid w:val="00732D80"/>
    <w:rsid w:val="00732DE5"/>
    <w:rsid w:val="00732E74"/>
    <w:rsid w:val="00732EAC"/>
    <w:rsid w:val="00732F19"/>
    <w:rsid w:val="00732F3E"/>
    <w:rsid w:val="00732F96"/>
    <w:rsid w:val="0073306B"/>
    <w:rsid w:val="00733089"/>
    <w:rsid w:val="00733155"/>
    <w:rsid w:val="007334EC"/>
    <w:rsid w:val="00733591"/>
    <w:rsid w:val="0073363D"/>
    <w:rsid w:val="0073366F"/>
    <w:rsid w:val="0073384C"/>
    <w:rsid w:val="0073390D"/>
    <w:rsid w:val="00733A54"/>
    <w:rsid w:val="00733AFD"/>
    <w:rsid w:val="00733C70"/>
    <w:rsid w:val="00733E30"/>
    <w:rsid w:val="00733F56"/>
    <w:rsid w:val="007341AF"/>
    <w:rsid w:val="0073424A"/>
    <w:rsid w:val="00734255"/>
    <w:rsid w:val="0073428D"/>
    <w:rsid w:val="00734443"/>
    <w:rsid w:val="00734452"/>
    <w:rsid w:val="007345C2"/>
    <w:rsid w:val="007346A2"/>
    <w:rsid w:val="00734782"/>
    <w:rsid w:val="00734855"/>
    <w:rsid w:val="0073492C"/>
    <w:rsid w:val="00734A97"/>
    <w:rsid w:val="00734BB8"/>
    <w:rsid w:val="00734C02"/>
    <w:rsid w:val="00734C18"/>
    <w:rsid w:val="00734CA9"/>
    <w:rsid w:val="00734CD1"/>
    <w:rsid w:val="00734CD7"/>
    <w:rsid w:val="00734CF3"/>
    <w:rsid w:val="00734D0C"/>
    <w:rsid w:val="00734DBD"/>
    <w:rsid w:val="00734E80"/>
    <w:rsid w:val="00734E89"/>
    <w:rsid w:val="00734EA3"/>
    <w:rsid w:val="00734F08"/>
    <w:rsid w:val="00734F64"/>
    <w:rsid w:val="00735004"/>
    <w:rsid w:val="0073540A"/>
    <w:rsid w:val="007354DA"/>
    <w:rsid w:val="007355DD"/>
    <w:rsid w:val="0073563C"/>
    <w:rsid w:val="00735760"/>
    <w:rsid w:val="007357F2"/>
    <w:rsid w:val="0073580C"/>
    <w:rsid w:val="0073581A"/>
    <w:rsid w:val="007358A7"/>
    <w:rsid w:val="00735960"/>
    <w:rsid w:val="007359A2"/>
    <w:rsid w:val="00735A42"/>
    <w:rsid w:val="00735B58"/>
    <w:rsid w:val="00735BE3"/>
    <w:rsid w:val="00735C85"/>
    <w:rsid w:val="00735E63"/>
    <w:rsid w:val="00735E6B"/>
    <w:rsid w:val="00735E8B"/>
    <w:rsid w:val="0073607D"/>
    <w:rsid w:val="00736086"/>
    <w:rsid w:val="007361CD"/>
    <w:rsid w:val="007361DC"/>
    <w:rsid w:val="00736333"/>
    <w:rsid w:val="00736363"/>
    <w:rsid w:val="00736438"/>
    <w:rsid w:val="00736623"/>
    <w:rsid w:val="00736667"/>
    <w:rsid w:val="0073679E"/>
    <w:rsid w:val="007367B4"/>
    <w:rsid w:val="007368C7"/>
    <w:rsid w:val="0073691B"/>
    <w:rsid w:val="00736934"/>
    <w:rsid w:val="00736961"/>
    <w:rsid w:val="00736ABD"/>
    <w:rsid w:val="00736B1B"/>
    <w:rsid w:val="00736BA9"/>
    <w:rsid w:val="00736BCE"/>
    <w:rsid w:val="00736D0C"/>
    <w:rsid w:val="00736D0F"/>
    <w:rsid w:val="00736DBA"/>
    <w:rsid w:val="00736DBC"/>
    <w:rsid w:val="00736E0D"/>
    <w:rsid w:val="00736E15"/>
    <w:rsid w:val="00736F1F"/>
    <w:rsid w:val="0073702A"/>
    <w:rsid w:val="007371D6"/>
    <w:rsid w:val="00737216"/>
    <w:rsid w:val="00737251"/>
    <w:rsid w:val="00737295"/>
    <w:rsid w:val="00737388"/>
    <w:rsid w:val="007373D1"/>
    <w:rsid w:val="00737413"/>
    <w:rsid w:val="007375B4"/>
    <w:rsid w:val="007375F8"/>
    <w:rsid w:val="007377D9"/>
    <w:rsid w:val="007378BA"/>
    <w:rsid w:val="007378BE"/>
    <w:rsid w:val="007379A8"/>
    <w:rsid w:val="007379B5"/>
    <w:rsid w:val="00737A02"/>
    <w:rsid w:val="00737AE2"/>
    <w:rsid w:val="00737E04"/>
    <w:rsid w:val="00737E8F"/>
    <w:rsid w:val="00737FF5"/>
    <w:rsid w:val="00740013"/>
    <w:rsid w:val="00740088"/>
    <w:rsid w:val="007401A2"/>
    <w:rsid w:val="00740389"/>
    <w:rsid w:val="0074055F"/>
    <w:rsid w:val="007405C3"/>
    <w:rsid w:val="007405EE"/>
    <w:rsid w:val="0074074F"/>
    <w:rsid w:val="0074075B"/>
    <w:rsid w:val="00740883"/>
    <w:rsid w:val="007408A0"/>
    <w:rsid w:val="007408FE"/>
    <w:rsid w:val="0074090A"/>
    <w:rsid w:val="007409E2"/>
    <w:rsid w:val="00740B36"/>
    <w:rsid w:val="00740BCB"/>
    <w:rsid w:val="00740D09"/>
    <w:rsid w:val="00740EF5"/>
    <w:rsid w:val="00740F44"/>
    <w:rsid w:val="007410AB"/>
    <w:rsid w:val="007410C5"/>
    <w:rsid w:val="00741177"/>
    <w:rsid w:val="00741178"/>
    <w:rsid w:val="00741200"/>
    <w:rsid w:val="0074124F"/>
    <w:rsid w:val="00741280"/>
    <w:rsid w:val="00741315"/>
    <w:rsid w:val="007415C1"/>
    <w:rsid w:val="007415EB"/>
    <w:rsid w:val="00741646"/>
    <w:rsid w:val="00741875"/>
    <w:rsid w:val="00741881"/>
    <w:rsid w:val="0074192D"/>
    <w:rsid w:val="00741930"/>
    <w:rsid w:val="007419A9"/>
    <w:rsid w:val="00741A7F"/>
    <w:rsid w:val="00741AB3"/>
    <w:rsid w:val="00741AED"/>
    <w:rsid w:val="00741B0B"/>
    <w:rsid w:val="00741B48"/>
    <w:rsid w:val="00741DA1"/>
    <w:rsid w:val="00741DA9"/>
    <w:rsid w:val="00741DC1"/>
    <w:rsid w:val="00741E5F"/>
    <w:rsid w:val="00741E90"/>
    <w:rsid w:val="00741F1F"/>
    <w:rsid w:val="007420A5"/>
    <w:rsid w:val="00742154"/>
    <w:rsid w:val="00742225"/>
    <w:rsid w:val="00742249"/>
    <w:rsid w:val="007422F0"/>
    <w:rsid w:val="00742349"/>
    <w:rsid w:val="007423BA"/>
    <w:rsid w:val="007424A1"/>
    <w:rsid w:val="007424F8"/>
    <w:rsid w:val="007425CD"/>
    <w:rsid w:val="00742662"/>
    <w:rsid w:val="007426A5"/>
    <w:rsid w:val="0074287C"/>
    <w:rsid w:val="0074298F"/>
    <w:rsid w:val="007429C8"/>
    <w:rsid w:val="00742C17"/>
    <w:rsid w:val="00742C25"/>
    <w:rsid w:val="00742C4D"/>
    <w:rsid w:val="00742C7A"/>
    <w:rsid w:val="00742D8E"/>
    <w:rsid w:val="00742DF9"/>
    <w:rsid w:val="00742E9C"/>
    <w:rsid w:val="00742FD9"/>
    <w:rsid w:val="0074300D"/>
    <w:rsid w:val="0074301F"/>
    <w:rsid w:val="00743070"/>
    <w:rsid w:val="00743134"/>
    <w:rsid w:val="00743149"/>
    <w:rsid w:val="007431EE"/>
    <w:rsid w:val="0074322C"/>
    <w:rsid w:val="007436A9"/>
    <w:rsid w:val="007436B0"/>
    <w:rsid w:val="0074371C"/>
    <w:rsid w:val="007437F4"/>
    <w:rsid w:val="00743879"/>
    <w:rsid w:val="0074398E"/>
    <w:rsid w:val="00743990"/>
    <w:rsid w:val="007439B8"/>
    <w:rsid w:val="00743A1A"/>
    <w:rsid w:val="00743A87"/>
    <w:rsid w:val="00743AAA"/>
    <w:rsid w:val="00743CA3"/>
    <w:rsid w:val="00743E67"/>
    <w:rsid w:val="00743E80"/>
    <w:rsid w:val="00743E8B"/>
    <w:rsid w:val="00743FAF"/>
    <w:rsid w:val="00743FDF"/>
    <w:rsid w:val="00744038"/>
    <w:rsid w:val="00744136"/>
    <w:rsid w:val="007441BD"/>
    <w:rsid w:val="00744587"/>
    <w:rsid w:val="00744649"/>
    <w:rsid w:val="00744744"/>
    <w:rsid w:val="007447AA"/>
    <w:rsid w:val="007447D3"/>
    <w:rsid w:val="0074482C"/>
    <w:rsid w:val="0074483B"/>
    <w:rsid w:val="00744847"/>
    <w:rsid w:val="007448F6"/>
    <w:rsid w:val="007449BB"/>
    <w:rsid w:val="00744A46"/>
    <w:rsid w:val="00744CB8"/>
    <w:rsid w:val="00744CBA"/>
    <w:rsid w:val="00744D21"/>
    <w:rsid w:val="00744D35"/>
    <w:rsid w:val="00744D76"/>
    <w:rsid w:val="00744DBB"/>
    <w:rsid w:val="00744EAC"/>
    <w:rsid w:val="00744F8E"/>
    <w:rsid w:val="00745062"/>
    <w:rsid w:val="00745138"/>
    <w:rsid w:val="0074521E"/>
    <w:rsid w:val="0074526A"/>
    <w:rsid w:val="007452F0"/>
    <w:rsid w:val="00745347"/>
    <w:rsid w:val="007453CA"/>
    <w:rsid w:val="007453D0"/>
    <w:rsid w:val="0074547C"/>
    <w:rsid w:val="00745487"/>
    <w:rsid w:val="00745543"/>
    <w:rsid w:val="00745554"/>
    <w:rsid w:val="007455FF"/>
    <w:rsid w:val="00745656"/>
    <w:rsid w:val="007456F2"/>
    <w:rsid w:val="00745710"/>
    <w:rsid w:val="00745782"/>
    <w:rsid w:val="007458D1"/>
    <w:rsid w:val="0074593D"/>
    <w:rsid w:val="007459A3"/>
    <w:rsid w:val="00745B14"/>
    <w:rsid w:val="00745B7E"/>
    <w:rsid w:val="00745BCF"/>
    <w:rsid w:val="00745CBB"/>
    <w:rsid w:val="00745DAC"/>
    <w:rsid w:val="00745E46"/>
    <w:rsid w:val="00745EC8"/>
    <w:rsid w:val="00745FA7"/>
    <w:rsid w:val="007460B4"/>
    <w:rsid w:val="007460CA"/>
    <w:rsid w:val="007462BC"/>
    <w:rsid w:val="007462C3"/>
    <w:rsid w:val="00746306"/>
    <w:rsid w:val="0074637C"/>
    <w:rsid w:val="007464A8"/>
    <w:rsid w:val="00746587"/>
    <w:rsid w:val="007468D7"/>
    <w:rsid w:val="00746A38"/>
    <w:rsid w:val="00746B28"/>
    <w:rsid w:val="00746BE3"/>
    <w:rsid w:val="00746C2D"/>
    <w:rsid w:val="00746C6A"/>
    <w:rsid w:val="00746C98"/>
    <w:rsid w:val="00746D35"/>
    <w:rsid w:val="00746F13"/>
    <w:rsid w:val="00746F44"/>
    <w:rsid w:val="00746FAF"/>
    <w:rsid w:val="00746FE8"/>
    <w:rsid w:val="007470A2"/>
    <w:rsid w:val="007470A6"/>
    <w:rsid w:val="007471A1"/>
    <w:rsid w:val="007471B4"/>
    <w:rsid w:val="007471EF"/>
    <w:rsid w:val="007472BE"/>
    <w:rsid w:val="007472D3"/>
    <w:rsid w:val="0074742A"/>
    <w:rsid w:val="00747457"/>
    <w:rsid w:val="0074745A"/>
    <w:rsid w:val="007475B7"/>
    <w:rsid w:val="007476C6"/>
    <w:rsid w:val="007477AD"/>
    <w:rsid w:val="007477DB"/>
    <w:rsid w:val="0074796E"/>
    <w:rsid w:val="007479EC"/>
    <w:rsid w:val="00747B27"/>
    <w:rsid w:val="00747CFD"/>
    <w:rsid w:val="00747D44"/>
    <w:rsid w:val="00747D8B"/>
    <w:rsid w:val="00747F3C"/>
    <w:rsid w:val="00747F6F"/>
    <w:rsid w:val="00747FBD"/>
    <w:rsid w:val="00747FD6"/>
    <w:rsid w:val="00747FFA"/>
    <w:rsid w:val="00750192"/>
    <w:rsid w:val="007501CD"/>
    <w:rsid w:val="007501DE"/>
    <w:rsid w:val="007502B2"/>
    <w:rsid w:val="0075038D"/>
    <w:rsid w:val="007503FD"/>
    <w:rsid w:val="00750527"/>
    <w:rsid w:val="00750632"/>
    <w:rsid w:val="0075068C"/>
    <w:rsid w:val="00750740"/>
    <w:rsid w:val="007508C5"/>
    <w:rsid w:val="00750904"/>
    <w:rsid w:val="00750A9B"/>
    <w:rsid w:val="00750B06"/>
    <w:rsid w:val="00750BA9"/>
    <w:rsid w:val="00750C96"/>
    <w:rsid w:val="00750CFE"/>
    <w:rsid w:val="00750D8C"/>
    <w:rsid w:val="00750D97"/>
    <w:rsid w:val="00750E1B"/>
    <w:rsid w:val="00750EBD"/>
    <w:rsid w:val="00750F27"/>
    <w:rsid w:val="00750FB2"/>
    <w:rsid w:val="00750FE4"/>
    <w:rsid w:val="00751043"/>
    <w:rsid w:val="0075111C"/>
    <w:rsid w:val="007511F5"/>
    <w:rsid w:val="0075123F"/>
    <w:rsid w:val="00751306"/>
    <w:rsid w:val="0075141E"/>
    <w:rsid w:val="00751533"/>
    <w:rsid w:val="0075157F"/>
    <w:rsid w:val="0075164D"/>
    <w:rsid w:val="007516F1"/>
    <w:rsid w:val="007517C9"/>
    <w:rsid w:val="007518FF"/>
    <w:rsid w:val="00751A4B"/>
    <w:rsid w:val="00751B9F"/>
    <w:rsid w:val="00751BBE"/>
    <w:rsid w:val="00751CA0"/>
    <w:rsid w:val="00751D8D"/>
    <w:rsid w:val="00751E1B"/>
    <w:rsid w:val="00751E74"/>
    <w:rsid w:val="00751E7E"/>
    <w:rsid w:val="00751F83"/>
    <w:rsid w:val="00751FA2"/>
    <w:rsid w:val="007520E1"/>
    <w:rsid w:val="00752261"/>
    <w:rsid w:val="0075234F"/>
    <w:rsid w:val="007523C1"/>
    <w:rsid w:val="007523F7"/>
    <w:rsid w:val="00752558"/>
    <w:rsid w:val="0075262B"/>
    <w:rsid w:val="00752816"/>
    <w:rsid w:val="007528A4"/>
    <w:rsid w:val="0075295C"/>
    <w:rsid w:val="00752971"/>
    <w:rsid w:val="0075297B"/>
    <w:rsid w:val="00752A22"/>
    <w:rsid w:val="00752B3E"/>
    <w:rsid w:val="00752BA3"/>
    <w:rsid w:val="00752CE0"/>
    <w:rsid w:val="00752D8F"/>
    <w:rsid w:val="00752DAB"/>
    <w:rsid w:val="00752E81"/>
    <w:rsid w:val="00752EA0"/>
    <w:rsid w:val="00752EB1"/>
    <w:rsid w:val="00753035"/>
    <w:rsid w:val="007530F2"/>
    <w:rsid w:val="00753132"/>
    <w:rsid w:val="00753148"/>
    <w:rsid w:val="0075340B"/>
    <w:rsid w:val="007534F4"/>
    <w:rsid w:val="00753543"/>
    <w:rsid w:val="007536CD"/>
    <w:rsid w:val="00753924"/>
    <w:rsid w:val="00753979"/>
    <w:rsid w:val="007539DD"/>
    <w:rsid w:val="00753B54"/>
    <w:rsid w:val="00753B84"/>
    <w:rsid w:val="00753F32"/>
    <w:rsid w:val="00753FA4"/>
    <w:rsid w:val="00753FC2"/>
    <w:rsid w:val="00753FE4"/>
    <w:rsid w:val="00754058"/>
    <w:rsid w:val="0075410F"/>
    <w:rsid w:val="0075416E"/>
    <w:rsid w:val="00754259"/>
    <w:rsid w:val="00754385"/>
    <w:rsid w:val="0075442D"/>
    <w:rsid w:val="00754512"/>
    <w:rsid w:val="0075453C"/>
    <w:rsid w:val="007547D9"/>
    <w:rsid w:val="00754838"/>
    <w:rsid w:val="00754943"/>
    <w:rsid w:val="007549DB"/>
    <w:rsid w:val="00754AB3"/>
    <w:rsid w:val="00754D19"/>
    <w:rsid w:val="00754FBB"/>
    <w:rsid w:val="0075506B"/>
    <w:rsid w:val="00755104"/>
    <w:rsid w:val="00755143"/>
    <w:rsid w:val="0075516B"/>
    <w:rsid w:val="00755346"/>
    <w:rsid w:val="00755366"/>
    <w:rsid w:val="0075550B"/>
    <w:rsid w:val="00755516"/>
    <w:rsid w:val="00755548"/>
    <w:rsid w:val="00755678"/>
    <w:rsid w:val="007558F4"/>
    <w:rsid w:val="00755BBD"/>
    <w:rsid w:val="00755CB7"/>
    <w:rsid w:val="00755CF1"/>
    <w:rsid w:val="00755D25"/>
    <w:rsid w:val="00755E81"/>
    <w:rsid w:val="00755F5B"/>
    <w:rsid w:val="00756079"/>
    <w:rsid w:val="007560B3"/>
    <w:rsid w:val="007561C0"/>
    <w:rsid w:val="0075620F"/>
    <w:rsid w:val="007565DD"/>
    <w:rsid w:val="007566C0"/>
    <w:rsid w:val="00756711"/>
    <w:rsid w:val="0075677C"/>
    <w:rsid w:val="00756816"/>
    <w:rsid w:val="007568B1"/>
    <w:rsid w:val="00756917"/>
    <w:rsid w:val="00756961"/>
    <w:rsid w:val="00756A50"/>
    <w:rsid w:val="00756AC4"/>
    <w:rsid w:val="00756D37"/>
    <w:rsid w:val="00756E05"/>
    <w:rsid w:val="00756F1C"/>
    <w:rsid w:val="00756F4C"/>
    <w:rsid w:val="00756FBF"/>
    <w:rsid w:val="00756FF2"/>
    <w:rsid w:val="00757007"/>
    <w:rsid w:val="00757034"/>
    <w:rsid w:val="0075707B"/>
    <w:rsid w:val="00757128"/>
    <w:rsid w:val="007574D4"/>
    <w:rsid w:val="007575C4"/>
    <w:rsid w:val="007575EE"/>
    <w:rsid w:val="007577E9"/>
    <w:rsid w:val="007578D3"/>
    <w:rsid w:val="00757927"/>
    <w:rsid w:val="0075799D"/>
    <w:rsid w:val="007579FD"/>
    <w:rsid w:val="00757BD8"/>
    <w:rsid w:val="00757C83"/>
    <w:rsid w:val="00757FFA"/>
    <w:rsid w:val="00760153"/>
    <w:rsid w:val="007601EA"/>
    <w:rsid w:val="007601FE"/>
    <w:rsid w:val="0076025B"/>
    <w:rsid w:val="0076034F"/>
    <w:rsid w:val="00760428"/>
    <w:rsid w:val="00760478"/>
    <w:rsid w:val="007604BE"/>
    <w:rsid w:val="007604F2"/>
    <w:rsid w:val="0076055F"/>
    <w:rsid w:val="007605A1"/>
    <w:rsid w:val="00760622"/>
    <w:rsid w:val="00760666"/>
    <w:rsid w:val="007606B8"/>
    <w:rsid w:val="007606F4"/>
    <w:rsid w:val="007607F8"/>
    <w:rsid w:val="00760810"/>
    <w:rsid w:val="007608BC"/>
    <w:rsid w:val="00760985"/>
    <w:rsid w:val="00760BEE"/>
    <w:rsid w:val="00760C24"/>
    <w:rsid w:val="00760CFA"/>
    <w:rsid w:val="00760E1A"/>
    <w:rsid w:val="00760EF2"/>
    <w:rsid w:val="00760EFD"/>
    <w:rsid w:val="00760F1D"/>
    <w:rsid w:val="00760F3B"/>
    <w:rsid w:val="00760FA2"/>
    <w:rsid w:val="00761013"/>
    <w:rsid w:val="00761096"/>
    <w:rsid w:val="00761144"/>
    <w:rsid w:val="00761154"/>
    <w:rsid w:val="00761169"/>
    <w:rsid w:val="007612B1"/>
    <w:rsid w:val="007612DF"/>
    <w:rsid w:val="0076131E"/>
    <w:rsid w:val="0076135F"/>
    <w:rsid w:val="00761396"/>
    <w:rsid w:val="00761420"/>
    <w:rsid w:val="00761490"/>
    <w:rsid w:val="007614B6"/>
    <w:rsid w:val="007614BE"/>
    <w:rsid w:val="007614C8"/>
    <w:rsid w:val="00761511"/>
    <w:rsid w:val="0076153B"/>
    <w:rsid w:val="0076158F"/>
    <w:rsid w:val="007615FF"/>
    <w:rsid w:val="00761662"/>
    <w:rsid w:val="00761721"/>
    <w:rsid w:val="007617A7"/>
    <w:rsid w:val="0076191D"/>
    <w:rsid w:val="00761937"/>
    <w:rsid w:val="00761940"/>
    <w:rsid w:val="00761A02"/>
    <w:rsid w:val="00761A61"/>
    <w:rsid w:val="00761CBC"/>
    <w:rsid w:val="00761CFA"/>
    <w:rsid w:val="00761CFC"/>
    <w:rsid w:val="00761E10"/>
    <w:rsid w:val="00761E2F"/>
    <w:rsid w:val="0076204B"/>
    <w:rsid w:val="007620B2"/>
    <w:rsid w:val="007620BA"/>
    <w:rsid w:val="007622FE"/>
    <w:rsid w:val="00762357"/>
    <w:rsid w:val="00762421"/>
    <w:rsid w:val="007624F2"/>
    <w:rsid w:val="00762508"/>
    <w:rsid w:val="00762592"/>
    <w:rsid w:val="007626F3"/>
    <w:rsid w:val="0076291B"/>
    <w:rsid w:val="007629B6"/>
    <w:rsid w:val="00762A2D"/>
    <w:rsid w:val="00762A85"/>
    <w:rsid w:val="00762ACB"/>
    <w:rsid w:val="00762AD2"/>
    <w:rsid w:val="00762B4D"/>
    <w:rsid w:val="00762C29"/>
    <w:rsid w:val="00762C80"/>
    <w:rsid w:val="00762C8A"/>
    <w:rsid w:val="00762F48"/>
    <w:rsid w:val="00762FAF"/>
    <w:rsid w:val="00762FE5"/>
    <w:rsid w:val="007631A6"/>
    <w:rsid w:val="007633B6"/>
    <w:rsid w:val="007633CB"/>
    <w:rsid w:val="007633DC"/>
    <w:rsid w:val="00763425"/>
    <w:rsid w:val="007634C9"/>
    <w:rsid w:val="007634CF"/>
    <w:rsid w:val="00763550"/>
    <w:rsid w:val="00763769"/>
    <w:rsid w:val="00763817"/>
    <w:rsid w:val="00763A04"/>
    <w:rsid w:val="00763A1F"/>
    <w:rsid w:val="00763AF7"/>
    <w:rsid w:val="00763BBA"/>
    <w:rsid w:val="00763BFC"/>
    <w:rsid w:val="00763C47"/>
    <w:rsid w:val="00763CBB"/>
    <w:rsid w:val="00763D44"/>
    <w:rsid w:val="00763D7F"/>
    <w:rsid w:val="00763DE3"/>
    <w:rsid w:val="00763E10"/>
    <w:rsid w:val="00763E12"/>
    <w:rsid w:val="00763E81"/>
    <w:rsid w:val="00764016"/>
    <w:rsid w:val="00764159"/>
    <w:rsid w:val="00764164"/>
    <w:rsid w:val="007641C8"/>
    <w:rsid w:val="007642EF"/>
    <w:rsid w:val="0076437F"/>
    <w:rsid w:val="007643BA"/>
    <w:rsid w:val="00764482"/>
    <w:rsid w:val="007644D3"/>
    <w:rsid w:val="007645F7"/>
    <w:rsid w:val="00764694"/>
    <w:rsid w:val="00764743"/>
    <w:rsid w:val="0076482A"/>
    <w:rsid w:val="00764842"/>
    <w:rsid w:val="007648B9"/>
    <w:rsid w:val="00764940"/>
    <w:rsid w:val="007649BF"/>
    <w:rsid w:val="00764A2C"/>
    <w:rsid w:val="00764A31"/>
    <w:rsid w:val="00764B05"/>
    <w:rsid w:val="00764D26"/>
    <w:rsid w:val="00764D57"/>
    <w:rsid w:val="00764E2B"/>
    <w:rsid w:val="00764E61"/>
    <w:rsid w:val="00764FD0"/>
    <w:rsid w:val="007650D9"/>
    <w:rsid w:val="0076511B"/>
    <w:rsid w:val="007654A8"/>
    <w:rsid w:val="0076551B"/>
    <w:rsid w:val="007655C8"/>
    <w:rsid w:val="00765662"/>
    <w:rsid w:val="00765686"/>
    <w:rsid w:val="007656A8"/>
    <w:rsid w:val="0076572F"/>
    <w:rsid w:val="00765766"/>
    <w:rsid w:val="0076578C"/>
    <w:rsid w:val="0076579A"/>
    <w:rsid w:val="007657C0"/>
    <w:rsid w:val="007657DD"/>
    <w:rsid w:val="007657DE"/>
    <w:rsid w:val="007657E9"/>
    <w:rsid w:val="007657EF"/>
    <w:rsid w:val="00765835"/>
    <w:rsid w:val="00765877"/>
    <w:rsid w:val="0076591F"/>
    <w:rsid w:val="007659F3"/>
    <w:rsid w:val="00765A3D"/>
    <w:rsid w:val="00765A99"/>
    <w:rsid w:val="00765AD3"/>
    <w:rsid w:val="00765AFC"/>
    <w:rsid w:val="00765BFB"/>
    <w:rsid w:val="00765C47"/>
    <w:rsid w:val="00765C9F"/>
    <w:rsid w:val="00765CFD"/>
    <w:rsid w:val="00765D90"/>
    <w:rsid w:val="00765DD8"/>
    <w:rsid w:val="00765E1A"/>
    <w:rsid w:val="00766024"/>
    <w:rsid w:val="00766152"/>
    <w:rsid w:val="00766173"/>
    <w:rsid w:val="007663E6"/>
    <w:rsid w:val="007664ED"/>
    <w:rsid w:val="0076659A"/>
    <w:rsid w:val="007665BB"/>
    <w:rsid w:val="007665CF"/>
    <w:rsid w:val="0076672F"/>
    <w:rsid w:val="007667A5"/>
    <w:rsid w:val="007667C3"/>
    <w:rsid w:val="0076688C"/>
    <w:rsid w:val="00766910"/>
    <w:rsid w:val="00766936"/>
    <w:rsid w:val="00766A3E"/>
    <w:rsid w:val="00766A4F"/>
    <w:rsid w:val="00766CDA"/>
    <w:rsid w:val="00766DF0"/>
    <w:rsid w:val="00766FC0"/>
    <w:rsid w:val="00767053"/>
    <w:rsid w:val="007670B3"/>
    <w:rsid w:val="007670BA"/>
    <w:rsid w:val="00767120"/>
    <w:rsid w:val="00767405"/>
    <w:rsid w:val="00767560"/>
    <w:rsid w:val="0076767E"/>
    <w:rsid w:val="007676C9"/>
    <w:rsid w:val="007676DF"/>
    <w:rsid w:val="00767901"/>
    <w:rsid w:val="00767908"/>
    <w:rsid w:val="00767918"/>
    <w:rsid w:val="00767981"/>
    <w:rsid w:val="00767997"/>
    <w:rsid w:val="007679D9"/>
    <w:rsid w:val="00767A8A"/>
    <w:rsid w:val="00767BD3"/>
    <w:rsid w:val="00767C06"/>
    <w:rsid w:val="00767C65"/>
    <w:rsid w:val="00767E84"/>
    <w:rsid w:val="00767F1D"/>
    <w:rsid w:val="00767F5B"/>
    <w:rsid w:val="00767F95"/>
    <w:rsid w:val="007700A1"/>
    <w:rsid w:val="007701C3"/>
    <w:rsid w:val="0077024E"/>
    <w:rsid w:val="0077028E"/>
    <w:rsid w:val="007702ED"/>
    <w:rsid w:val="007703E8"/>
    <w:rsid w:val="007704DA"/>
    <w:rsid w:val="0077053A"/>
    <w:rsid w:val="00770565"/>
    <w:rsid w:val="00770599"/>
    <w:rsid w:val="00770629"/>
    <w:rsid w:val="0077062A"/>
    <w:rsid w:val="007706B1"/>
    <w:rsid w:val="007707FC"/>
    <w:rsid w:val="0077081C"/>
    <w:rsid w:val="007708B6"/>
    <w:rsid w:val="0077092D"/>
    <w:rsid w:val="00770952"/>
    <w:rsid w:val="00770A0C"/>
    <w:rsid w:val="00770A3C"/>
    <w:rsid w:val="00770A4E"/>
    <w:rsid w:val="00770A5F"/>
    <w:rsid w:val="00770BB4"/>
    <w:rsid w:val="00770C80"/>
    <w:rsid w:val="00770CBF"/>
    <w:rsid w:val="00770D3B"/>
    <w:rsid w:val="00770D7A"/>
    <w:rsid w:val="00771053"/>
    <w:rsid w:val="00771266"/>
    <w:rsid w:val="007713EA"/>
    <w:rsid w:val="007714FB"/>
    <w:rsid w:val="00771518"/>
    <w:rsid w:val="00771523"/>
    <w:rsid w:val="007715E3"/>
    <w:rsid w:val="0077166D"/>
    <w:rsid w:val="0077169C"/>
    <w:rsid w:val="00771823"/>
    <w:rsid w:val="0077197D"/>
    <w:rsid w:val="00771981"/>
    <w:rsid w:val="007719DE"/>
    <w:rsid w:val="007719EA"/>
    <w:rsid w:val="00771AD2"/>
    <w:rsid w:val="00771B92"/>
    <w:rsid w:val="00771C5B"/>
    <w:rsid w:val="00771C61"/>
    <w:rsid w:val="00771CCC"/>
    <w:rsid w:val="00771D7D"/>
    <w:rsid w:val="00771DAA"/>
    <w:rsid w:val="00771DED"/>
    <w:rsid w:val="00771E12"/>
    <w:rsid w:val="00771F9A"/>
    <w:rsid w:val="00771FF8"/>
    <w:rsid w:val="007721BF"/>
    <w:rsid w:val="007721D0"/>
    <w:rsid w:val="007721E4"/>
    <w:rsid w:val="0077264F"/>
    <w:rsid w:val="00772684"/>
    <w:rsid w:val="007726D0"/>
    <w:rsid w:val="00772741"/>
    <w:rsid w:val="007728A3"/>
    <w:rsid w:val="00772A23"/>
    <w:rsid w:val="00772A4D"/>
    <w:rsid w:val="00772A9F"/>
    <w:rsid w:val="00772B54"/>
    <w:rsid w:val="00772BE8"/>
    <w:rsid w:val="00772D55"/>
    <w:rsid w:val="00772E8F"/>
    <w:rsid w:val="00772F5C"/>
    <w:rsid w:val="00772F70"/>
    <w:rsid w:val="00772F95"/>
    <w:rsid w:val="0077305F"/>
    <w:rsid w:val="00773293"/>
    <w:rsid w:val="0077331D"/>
    <w:rsid w:val="0077333D"/>
    <w:rsid w:val="0077341B"/>
    <w:rsid w:val="0077345E"/>
    <w:rsid w:val="0077357B"/>
    <w:rsid w:val="00773594"/>
    <w:rsid w:val="007736D0"/>
    <w:rsid w:val="00773707"/>
    <w:rsid w:val="00773773"/>
    <w:rsid w:val="007738EC"/>
    <w:rsid w:val="00773913"/>
    <w:rsid w:val="007739B8"/>
    <w:rsid w:val="00773A5A"/>
    <w:rsid w:val="00773AB1"/>
    <w:rsid w:val="00773B01"/>
    <w:rsid w:val="00773B3D"/>
    <w:rsid w:val="00773BD7"/>
    <w:rsid w:val="00773C0D"/>
    <w:rsid w:val="00773C3E"/>
    <w:rsid w:val="00773CC9"/>
    <w:rsid w:val="00773CDA"/>
    <w:rsid w:val="00773D75"/>
    <w:rsid w:val="00773E0F"/>
    <w:rsid w:val="00773E5C"/>
    <w:rsid w:val="00773FC1"/>
    <w:rsid w:val="00774067"/>
    <w:rsid w:val="007740CE"/>
    <w:rsid w:val="00774118"/>
    <w:rsid w:val="0077413B"/>
    <w:rsid w:val="00774150"/>
    <w:rsid w:val="0077419F"/>
    <w:rsid w:val="0077423A"/>
    <w:rsid w:val="0077424D"/>
    <w:rsid w:val="007744B0"/>
    <w:rsid w:val="00774558"/>
    <w:rsid w:val="00774616"/>
    <w:rsid w:val="007746AB"/>
    <w:rsid w:val="0077479F"/>
    <w:rsid w:val="007747A6"/>
    <w:rsid w:val="007747D7"/>
    <w:rsid w:val="00774845"/>
    <w:rsid w:val="00774A13"/>
    <w:rsid w:val="00774A1D"/>
    <w:rsid w:val="00774A38"/>
    <w:rsid w:val="00774A4F"/>
    <w:rsid w:val="00774ABA"/>
    <w:rsid w:val="00774BB4"/>
    <w:rsid w:val="00774DA7"/>
    <w:rsid w:val="00774E1E"/>
    <w:rsid w:val="00774E86"/>
    <w:rsid w:val="00774ED1"/>
    <w:rsid w:val="00774FAE"/>
    <w:rsid w:val="00775054"/>
    <w:rsid w:val="0077519A"/>
    <w:rsid w:val="00775329"/>
    <w:rsid w:val="0077536C"/>
    <w:rsid w:val="00775416"/>
    <w:rsid w:val="0077550B"/>
    <w:rsid w:val="007755A4"/>
    <w:rsid w:val="0077560E"/>
    <w:rsid w:val="00775703"/>
    <w:rsid w:val="00775849"/>
    <w:rsid w:val="00775979"/>
    <w:rsid w:val="007759DC"/>
    <w:rsid w:val="007759DD"/>
    <w:rsid w:val="00775A6E"/>
    <w:rsid w:val="00775C24"/>
    <w:rsid w:val="00775C8F"/>
    <w:rsid w:val="00775CCD"/>
    <w:rsid w:val="00775D98"/>
    <w:rsid w:val="00775EA5"/>
    <w:rsid w:val="00775F1A"/>
    <w:rsid w:val="00775F5B"/>
    <w:rsid w:val="00775FB7"/>
    <w:rsid w:val="00776033"/>
    <w:rsid w:val="007761A7"/>
    <w:rsid w:val="00776218"/>
    <w:rsid w:val="007762C2"/>
    <w:rsid w:val="007762DF"/>
    <w:rsid w:val="00776405"/>
    <w:rsid w:val="0077641A"/>
    <w:rsid w:val="00776459"/>
    <w:rsid w:val="00776554"/>
    <w:rsid w:val="007765E0"/>
    <w:rsid w:val="007765F4"/>
    <w:rsid w:val="0077665A"/>
    <w:rsid w:val="0077685F"/>
    <w:rsid w:val="0077690C"/>
    <w:rsid w:val="0077693F"/>
    <w:rsid w:val="00776945"/>
    <w:rsid w:val="00776AB9"/>
    <w:rsid w:val="00776AF3"/>
    <w:rsid w:val="00776AF4"/>
    <w:rsid w:val="00776C02"/>
    <w:rsid w:val="00776C78"/>
    <w:rsid w:val="00776CF7"/>
    <w:rsid w:val="00776F3F"/>
    <w:rsid w:val="007770F3"/>
    <w:rsid w:val="0077751C"/>
    <w:rsid w:val="0077751E"/>
    <w:rsid w:val="0077759D"/>
    <w:rsid w:val="00777766"/>
    <w:rsid w:val="00777952"/>
    <w:rsid w:val="00777A2D"/>
    <w:rsid w:val="00777A69"/>
    <w:rsid w:val="00777BDA"/>
    <w:rsid w:val="00777BFF"/>
    <w:rsid w:val="00777C17"/>
    <w:rsid w:val="00777E5C"/>
    <w:rsid w:val="00777ED7"/>
    <w:rsid w:val="00777F1B"/>
    <w:rsid w:val="00780080"/>
    <w:rsid w:val="007800BF"/>
    <w:rsid w:val="007802B4"/>
    <w:rsid w:val="007802E0"/>
    <w:rsid w:val="00780487"/>
    <w:rsid w:val="0078049B"/>
    <w:rsid w:val="0078063D"/>
    <w:rsid w:val="00780731"/>
    <w:rsid w:val="0078081C"/>
    <w:rsid w:val="007808A8"/>
    <w:rsid w:val="0078099C"/>
    <w:rsid w:val="00780A7A"/>
    <w:rsid w:val="00780ABF"/>
    <w:rsid w:val="00780BC6"/>
    <w:rsid w:val="00780C8F"/>
    <w:rsid w:val="00780CD9"/>
    <w:rsid w:val="00780D3E"/>
    <w:rsid w:val="00780D82"/>
    <w:rsid w:val="00780D9D"/>
    <w:rsid w:val="00780E58"/>
    <w:rsid w:val="00780EC6"/>
    <w:rsid w:val="00780EF1"/>
    <w:rsid w:val="00780F07"/>
    <w:rsid w:val="00780F57"/>
    <w:rsid w:val="00780FFB"/>
    <w:rsid w:val="007810A3"/>
    <w:rsid w:val="007810AE"/>
    <w:rsid w:val="007810AF"/>
    <w:rsid w:val="007810B8"/>
    <w:rsid w:val="0078120D"/>
    <w:rsid w:val="00781234"/>
    <w:rsid w:val="00781263"/>
    <w:rsid w:val="007815B1"/>
    <w:rsid w:val="007816C9"/>
    <w:rsid w:val="00781779"/>
    <w:rsid w:val="00781790"/>
    <w:rsid w:val="00781813"/>
    <w:rsid w:val="0078189C"/>
    <w:rsid w:val="0078192A"/>
    <w:rsid w:val="00781A06"/>
    <w:rsid w:val="00781BCF"/>
    <w:rsid w:val="00781CCC"/>
    <w:rsid w:val="00781CF3"/>
    <w:rsid w:val="00781E38"/>
    <w:rsid w:val="00781FD3"/>
    <w:rsid w:val="00781FE4"/>
    <w:rsid w:val="0078200E"/>
    <w:rsid w:val="0078202F"/>
    <w:rsid w:val="00782051"/>
    <w:rsid w:val="007820F5"/>
    <w:rsid w:val="007820F9"/>
    <w:rsid w:val="007822C9"/>
    <w:rsid w:val="007823DB"/>
    <w:rsid w:val="007824B6"/>
    <w:rsid w:val="00782560"/>
    <w:rsid w:val="00782630"/>
    <w:rsid w:val="00782687"/>
    <w:rsid w:val="007827EA"/>
    <w:rsid w:val="007829A9"/>
    <w:rsid w:val="007829BC"/>
    <w:rsid w:val="00782B56"/>
    <w:rsid w:val="00782B7F"/>
    <w:rsid w:val="00782BB7"/>
    <w:rsid w:val="00782CCC"/>
    <w:rsid w:val="00782CEA"/>
    <w:rsid w:val="00782D32"/>
    <w:rsid w:val="00782D62"/>
    <w:rsid w:val="00782EF9"/>
    <w:rsid w:val="00782F5F"/>
    <w:rsid w:val="00782F67"/>
    <w:rsid w:val="00782FD3"/>
    <w:rsid w:val="0078305B"/>
    <w:rsid w:val="00783067"/>
    <w:rsid w:val="0078307B"/>
    <w:rsid w:val="00783105"/>
    <w:rsid w:val="00783307"/>
    <w:rsid w:val="0078339A"/>
    <w:rsid w:val="007833DE"/>
    <w:rsid w:val="00783403"/>
    <w:rsid w:val="0078347C"/>
    <w:rsid w:val="00783556"/>
    <w:rsid w:val="00783926"/>
    <w:rsid w:val="007839B2"/>
    <w:rsid w:val="007839F5"/>
    <w:rsid w:val="00783B2E"/>
    <w:rsid w:val="00783C20"/>
    <w:rsid w:val="00783C61"/>
    <w:rsid w:val="00783CFE"/>
    <w:rsid w:val="00783D1A"/>
    <w:rsid w:val="00783D4F"/>
    <w:rsid w:val="00783D59"/>
    <w:rsid w:val="00783E8D"/>
    <w:rsid w:val="00783ECC"/>
    <w:rsid w:val="00783F19"/>
    <w:rsid w:val="007840FC"/>
    <w:rsid w:val="00784110"/>
    <w:rsid w:val="00784188"/>
    <w:rsid w:val="007842B7"/>
    <w:rsid w:val="0078439D"/>
    <w:rsid w:val="007843D7"/>
    <w:rsid w:val="007844A0"/>
    <w:rsid w:val="0078485C"/>
    <w:rsid w:val="00784888"/>
    <w:rsid w:val="00784AC2"/>
    <w:rsid w:val="00784B81"/>
    <w:rsid w:val="00784C59"/>
    <w:rsid w:val="00784C75"/>
    <w:rsid w:val="00784C81"/>
    <w:rsid w:val="00784CB8"/>
    <w:rsid w:val="00784E21"/>
    <w:rsid w:val="00784E60"/>
    <w:rsid w:val="00784FCB"/>
    <w:rsid w:val="00785021"/>
    <w:rsid w:val="00785147"/>
    <w:rsid w:val="00785202"/>
    <w:rsid w:val="007853F6"/>
    <w:rsid w:val="00785448"/>
    <w:rsid w:val="00785480"/>
    <w:rsid w:val="007854AC"/>
    <w:rsid w:val="00785522"/>
    <w:rsid w:val="00785545"/>
    <w:rsid w:val="00785554"/>
    <w:rsid w:val="0078555C"/>
    <w:rsid w:val="00785594"/>
    <w:rsid w:val="00785614"/>
    <w:rsid w:val="0078568C"/>
    <w:rsid w:val="007857F3"/>
    <w:rsid w:val="0078580C"/>
    <w:rsid w:val="00785848"/>
    <w:rsid w:val="00785882"/>
    <w:rsid w:val="0078598E"/>
    <w:rsid w:val="007859FC"/>
    <w:rsid w:val="00785B08"/>
    <w:rsid w:val="00785BA6"/>
    <w:rsid w:val="00785C3F"/>
    <w:rsid w:val="00785CC0"/>
    <w:rsid w:val="00785D41"/>
    <w:rsid w:val="00785E5C"/>
    <w:rsid w:val="00785F9B"/>
    <w:rsid w:val="00785FC6"/>
    <w:rsid w:val="007860F5"/>
    <w:rsid w:val="0078611D"/>
    <w:rsid w:val="0078615F"/>
    <w:rsid w:val="00786211"/>
    <w:rsid w:val="0078623F"/>
    <w:rsid w:val="007862F3"/>
    <w:rsid w:val="007863D5"/>
    <w:rsid w:val="007863ED"/>
    <w:rsid w:val="00786404"/>
    <w:rsid w:val="0078642F"/>
    <w:rsid w:val="00786482"/>
    <w:rsid w:val="0078652D"/>
    <w:rsid w:val="0078657C"/>
    <w:rsid w:val="00786600"/>
    <w:rsid w:val="0078661C"/>
    <w:rsid w:val="00786622"/>
    <w:rsid w:val="0078681C"/>
    <w:rsid w:val="0078686A"/>
    <w:rsid w:val="0078694F"/>
    <w:rsid w:val="007869C3"/>
    <w:rsid w:val="007869D6"/>
    <w:rsid w:val="00786AAC"/>
    <w:rsid w:val="00786AD4"/>
    <w:rsid w:val="00786B05"/>
    <w:rsid w:val="00786BFE"/>
    <w:rsid w:val="00786C06"/>
    <w:rsid w:val="00786C0F"/>
    <w:rsid w:val="00786D2E"/>
    <w:rsid w:val="00786D39"/>
    <w:rsid w:val="00786D3B"/>
    <w:rsid w:val="00786D7B"/>
    <w:rsid w:val="00786DFC"/>
    <w:rsid w:val="00786E0F"/>
    <w:rsid w:val="00786FE9"/>
    <w:rsid w:val="007871BC"/>
    <w:rsid w:val="0078723C"/>
    <w:rsid w:val="00787270"/>
    <w:rsid w:val="007872E7"/>
    <w:rsid w:val="00787333"/>
    <w:rsid w:val="007873C2"/>
    <w:rsid w:val="00787457"/>
    <w:rsid w:val="00787462"/>
    <w:rsid w:val="007874D6"/>
    <w:rsid w:val="0078754D"/>
    <w:rsid w:val="007875A8"/>
    <w:rsid w:val="0078761F"/>
    <w:rsid w:val="007877F7"/>
    <w:rsid w:val="0078789A"/>
    <w:rsid w:val="00787947"/>
    <w:rsid w:val="00787984"/>
    <w:rsid w:val="00787A53"/>
    <w:rsid w:val="00787B24"/>
    <w:rsid w:val="00787B82"/>
    <w:rsid w:val="00787BB8"/>
    <w:rsid w:val="00787BE1"/>
    <w:rsid w:val="00787DE7"/>
    <w:rsid w:val="007900DF"/>
    <w:rsid w:val="007901FF"/>
    <w:rsid w:val="00790211"/>
    <w:rsid w:val="00790431"/>
    <w:rsid w:val="00790559"/>
    <w:rsid w:val="007905FE"/>
    <w:rsid w:val="0079068E"/>
    <w:rsid w:val="00790721"/>
    <w:rsid w:val="00790749"/>
    <w:rsid w:val="0079075A"/>
    <w:rsid w:val="007907E7"/>
    <w:rsid w:val="007907F2"/>
    <w:rsid w:val="007908BB"/>
    <w:rsid w:val="00790913"/>
    <w:rsid w:val="00790A40"/>
    <w:rsid w:val="00790C39"/>
    <w:rsid w:val="00790C8B"/>
    <w:rsid w:val="00790E43"/>
    <w:rsid w:val="00790F42"/>
    <w:rsid w:val="00790FB4"/>
    <w:rsid w:val="00790FBF"/>
    <w:rsid w:val="007910A0"/>
    <w:rsid w:val="007910DD"/>
    <w:rsid w:val="00791211"/>
    <w:rsid w:val="00791504"/>
    <w:rsid w:val="007916B4"/>
    <w:rsid w:val="00791741"/>
    <w:rsid w:val="007917BA"/>
    <w:rsid w:val="007917D8"/>
    <w:rsid w:val="007918D2"/>
    <w:rsid w:val="00791944"/>
    <w:rsid w:val="007919AB"/>
    <w:rsid w:val="007919FE"/>
    <w:rsid w:val="00791A11"/>
    <w:rsid w:val="00791A32"/>
    <w:rsid w:val="00791A3D"/>
    <w:rsid w:val="00791A87"/>
    <w:rsid w:val="00791B16"/>
    <w:rsid w:val="00791C91"/>
    <w:rsid w:val="00791D54"/>
    <w:rsid w:val="00791DAF"/>
    <w:rsid w:val="00791DDC"/>
    <w:rsid w:val="00791E65"/>
    <w:rsid w:val="00791E8D"/>
    <w:rsid w:val="00791F8D"/>
    <w:rsid w:val="0079209F"/>
    <w:rsid w:val="007920E3"/>
    <w:rsid w:val="00792111"/>
    <w:rsid w:val="00792212"/>
    <w:rsid w:val="00792244"/>
    <w:rsid w:val="00792353"/>
    <w:rsid w:val="007923CD"/>
    <w:rsid w:val="00792552"/>
    <w:rsid w:val="007925C9"/>
    <w:rsid w:val="007925DD"/>
    <w:rsid w:val="007925EA"/>
    <w:rsid w:val="0079260B"/>
    <w:rsid w:val="00792660"/>
    <w:rsid w:val="007926E3"/>
    <w:rsid w:val="0079270D"/>
    <w:rsid w:val="0079274B"/>
    <w:rsid w:val="00792753"/>
    <w:rsid w:val="007927F1"/>
    <w:rsid w:val="007927FB"/>
    <w:rsid w:val="0079281A"/>
    <w:rsid w:val="007928C1"/>
    <w:rsid w:val="007929AA"/>
    <w:rsid w:val="00792B54"/>
    <w:rsid w:val="00792D43"/>
    <w:rsid w:val="00792D70"/>
    <w:rsid w:val="00792E9E"/>
    <w:rsid w:val="00792EBF"/>
    <w:rsid w:val="00792F11"/>
    <w:rsid w:val="00792F7B"/>
    <w:rsid w:val="007930FB"/>
    <w:rsid w:val="007931F6"/>
    <w:rsid w:val="00793233"/>
    <w:rsid w:val="0079339B"/>
    <w:rsid w:val="00793423"/>
    <w:rsid w:val="00793613"/>
    <w:rsid w:val="00793650"/>
    <w:rsid w:val="007936D7"/>
    <w:rsid w:val="007936EC"/>
    <w:rsid w:val="0079373D"/>
    <w:rsid w:val="0079375C"/>
    <w:rsid w:val="00793768"/>
    <w:rsid w:val="007937A0"/>
    <w:rsid w:val="007937D6"/>
    <w:rsid w:val="0079382F"/>
    <w:rsid w:val="00793872"/>
    <w:rsid w:val="0079391E"/>
    <w:rsid w:val="00793933"/>
    <w:rsid w:val="00793935"/>
    <w:rsid w:val="00793946"/>
    <w:rsid w:val="0079397D"/>
    <w:rsid w:val="007939E2"/>
    <w:rsid w:val="00793B9C"/>
    <w:rsid w:val="00793C27"/>
    <w:rsid w:val="00793D9E"/>
    <w:rsid w:val="00793E5A"/>
    <w:rsid w:val="00793E79"/>
    <w:rsid w:val="00793ED6"/>
    <w:rsid w:val="00793F6F"/>
    <w:rsid w:val="0079409F"/>
    <w:rsid w:val="00794202"/>
    <w:rsid w:val="00794279"/>
    <w:rsid w:val="007942D2"/>
    <w:rsid w:val="007944DB"/>
    <w:rsid w:val="007944F7"/>
    <w:rsid w:val="00794517"/>
    <w:rsid w:val="00794923"/>
    <w:rsid w:val="0079496F"/>
    <w:rsid w:val="00794988"/>
    <w:rsid w:val="00794999"/>
    <w:rsid w:val="00794A9B"/>
    <w:rsid w:val="00794B11"/>
    <w:rsid w:val="00794E92"/>
    <w:rsid w:val="007951BE"/>
    <w:rsid w:val="00795296"/>
    <w:rsid w:val="007952D9"/>
    <w:rsid w:val="0079539F"/>
    <w:rsid w:val="00795407"/>
    <w:rsid w:val="00795440"/>
    <w:rsid w:val="0079559F"/>
    <w:rsid w:val="007955A1"/>
    <w:rsid w:val="0079560D"/>
    <w:rsid w:val="007956EE"/>
    <w:rsid w:val="0079578E"/>
    <w:rsid w:val="0079581F"/>
    <w:rsid w:val="00795B4F"/>
    <w:rsid w:val="00795C5A"/>
    <w:rsid w:val="00795CB7"/>
    <w:rsid w:val="00795DF0"/>
    <w:rsid w:val="00795E1E"/>
    <w:rsid w:val="00795E99"/>
    <w:rsid w:val="00795EB6"/>
    <w:rsid w:val="00795EEA"/>
    <w:rsid w:val="00795F19"/>
    <w:rsid w:val="00795F23"/>
    <w:rsid w:val="00795F46"/>
    <w:rsid w:val="00795FA2"/>
    <w:rsid w:val="00796071"/>
    <w:rsid w:val="00796114"/>
    <w:rsid w:val="007961BA"/>
    <w:rsid w:val="00796206"/>
    <w:rsid w:val="0079630C"/>
    <w:rsid w:val="007964A8"/>
    <w:rsid w:val="00796546"/>
    <w:rsid w:val="00796589"/>
    <w:rsid w:val="0079661E"/>
    <w:rsid w:val="00796682"/>
    <w:rsid w:val="0079689B"/>
    <w:rsid w:val="00796985"/>
    <w:rsid w:val="00796A85"/>
    <w:rsid w:val="00796AFA"/>
    <w:rsid w:val="00796BAC"/>
    <w:rsid w:val="00796C86"/>
    <w:rsid w:val="00796D74"/>
    <w:rsid w:val="00796DFD"/>
    <w:rsid w:val="00796F6C"/>
    <w:rsid w:val="0079700B"/>
    <w:rsid w:val="00797146"/>
    <w:rsid w:val="00797257"/>
    <w:rsid w:val="007972C7"/>
    <w:rsid w:val="00797434"/>
    <w:rsid w:val="007975A9"/>
    <w:rsid w:val="0079762D"/>
    <w:rsid w:val="007977AF"/>
    <w:rsid w:val="0079783F"/>
    <w:rsid w:val="007978B1"/>
    <w:rsid w:val="007978BF"/>
    <w:rsid w:val="0079795B"/>
    <w:rsid w:val="0079798A"/>
    <w:rsid w:val="00797A86"/>
    <w:rsid w:val="00797BA9"/>
    <w:rsid w:val="00797BCA"/>
    <w:rsid w:val="00797C7B"/>
    <w:rsid w:val="00797D45"/>
    <w:rsid w:val="00797DD4"/>
    <w:rsid w:val="00797E17"/>
    <w:rsid w:val="00797EBB"/>
    <w:rsid w:val="00797EF0"/>
    <w:rsid w:val="00797F53"/>
    <w:rsid w:val="007A005D"/>
    <w:rsid w:val="007A00D4"/>
    <w:rsid w:val="007A0101"/>
    <w:rsid w:val="007A01DC"/>
    <w:rsid w:val="007A022A"/>
    <w:rsid w:val="007A035F"/>
    <w:rsid w:val="007A0447"/>
    <w:rsid w:val="007A0470"/>
    <w:rsid w:val="007A04FC"/>
    <w:rsid w:val="007A0533"/>
    <w:rsid w:val="007A063F"/>
    <w:rsid w:val="007A06B8"/>
    <w:rsid w:val="007A06FC"/>
    <w:rsid w:val="007A0731"/>
    <w:rsid w:val="007A0734"/>
    <w:rsid w:val="007A07C9"/>
    <w:rsid w:val="007A083A"/>
    <w:rsid w:val="007A08E8"/>
    <w:rsid w:val="007A09AA"/>
    <w:rsid w:val="007A09B8"/>
    <w:rsid w:val="007A09D8"/>
    <w:rsid w:val="007A0ADB"/>
    <w:rsid w:val="007A0C09"/>
    <w:rsid w:val="007A0D44"/>
    <w:rsid w:val="007A0D88"/>
    <w:rsid w:val="007A0E2D"/>
    <w:rsid w:val="007A0E3B"/>
    <w:rsid w:val="007A0F95"/>
    <w:rsid w:val="007A10A7"/>
    <w:rsid w:val="007A10D9"/>
    <w:rsid w:val="007A10FB"/>
    <w:rsid w:val="007A1309"/>
    <w:rsid w:val="007A1345"/>
    <w:rsid w:val="007A1346"/>
    <w:rsid w:val="007A1385"/>
    <w:rsid w:val="007A14F6"/>
    <w:rsid w:val="007A154B"/>
    <w:rsid w:val="007A1550"/>
    <w:rsid w:val="007A15E2"/>
    <w:rsid w:val="007A16B9"/>
    <w:rsid w:val="007A1795"/>
    <w:rsid w:val="007A17C7"/>
    <w:rsid w:val="007A189B"/>
    <w:rsid w:val="007A192A"/>
    <w:rsid w:val="007A1ABD"/>
    <w:rsid w:val="007A1B0F"/>
    <w:rsid w:val="007A1B65"/>
    <w:rsid w:val="007A1BE3"/>
    <w:rsid w:val="007A1C22"/>
    <w:rsid w:val="007A1C7F"/>
    <w:rsid w:val="007A1D3B"/>
    <w:rsid w:val="007A1D97"/>
    <w:rsid w:val="007A1DF1"/>
    <w:rsid w:val="007A1E54"/>
    <w:rsid w:val="007A1F2B"/>
    <w:rsid w:val="007A1F73"/>
    <w:rsid w:val="007A2035"/>
    <w:rsid w:val="007A2319"/>
    <w:rsid w:val="007A2450"/>
    <w:rsid w:val="007A254E"/>
    <w:rsid w:val="007A283B"/>
    <w:rsid w:val="007A28D2"/>
    <w:rsid w:val="007A294A"/>
    <w:rsid w:val="007A29BE"/>
    <w:rsid w:val="007A2A16"/>
    <w:rsid w:val="007A2A81"/>
    <w:rsid w:val="007A2BEB"/>
    <w:rsid w:val="007A2C8A"/>
    <w:rsid w:val="007A2C93"/>
    <w:rsid w:val="007A2CCB"/>
    <w:rsid w:val="007A2D8A"/>
    <w:rsid w:val="007A2DAD"/>
    <w:rsid w:val="007A2E21"/>
    <w:rsid w:val="007A2E5B"/>
    <w:rsid w:val="007A2EF5"/>
    <w:rsid w:val="007A2FC1"/>
    <w:rsid w:val="007A3085"/>
    <w:rsid w:val="007A311C"/>
    <w:rsid w:val="007A3336"/>
    <w:rsid w:val="007A3349"/>
    <w:rsid w:val="007A3477"/>
    <w:rsid w:val="007A359D"/>
    <w:rsid w:val="007A3679"/>
    <w:rsid w:val="007A37C6"/>
    <w:rsid w:val="007A3819"/>
    <w:rsid w:val="007A383F"/>
    <w:rsid w:val="007A3AB9"/>
    <w:rsid w:val="007A3BD1"/>
    <w:rsid w:val="007A3BDF"/>
    <w:rsid w:val="007A3BFC"/>
    <w:rsid w:val="007A3D3B"/>
    <w:rsid w:val="007A3D83"/>
    <w:rsid w:val="007A3DA0"/>
    <w:rsid w:val="007A3E64"/>
    <w:rsid w:val="007A3F41"/>
    <w:rsid w:val="007A3FA5"/>
    <w:rsid w:val="007A3FE3"/>
    <w:rsid w:val="007A3FF3"/>
    <w:rsid w:val="007A4058"/>
    <w:rsid w:val="007A4079"/>
    <w:rsid w:val="007A4189"/>
    <w:rsid w:val="007A41E2"/>
    <w:rsid w:val="007A423F"/>
    <w:rsid w:val="007A42CA"/>
    <w:rsid w:val="007A4478"/>
    <w:rsid w:val="007A451E"/>
    <w:rsid w:val="007A45E9"/>
    <w:rsid w:val="007A45F7"/>
    <w:rsid w:val="007A4627"/>
    <w:rsid w:val="007A4639"/>
    <w:rsid w:val="007A46E4"/>
    <w:rsid w:val="007A478A"/>
    <w:rsid w:val="007A4880"/>
    <w:rsid w:val="007A48CA"/>
    <w:rsid w:val="007A48FC"/>
    <w:rsid w:val="007A492A"/>
    <w:rsid w:val="007A4968"/>
    <w:rsid w:val="007A4A2F"/>
    <w:rsid w:val="007A4AAA"/>
    <w:rsid w:val="007A4B32"/>
    <w:rsid w:val="007A4B66"/>
    <w:rsid w:val="007A4D50"/>
    <w:rsid w:val="007A4D7C"/>
    <w:rsid w:val="007A4F1E"/>
    <w:rsid w:val="007A503C"/>
    <w:rsid w:val="007A509F"/>
    <w:rsid w:val="007A50A8"/>
    <w:rsid w:val="007A50D2"/>
    <w:rsid w:val="007A5133"/>
    <w:rsid w:val="007A51E8"/>
    <w:rsid w:val="007A52AB"/>
    <w:rsid w:val="007A52EB"/>
    <w:rsid w:val="007A530C"/>
    <w:rsid w:val="007A5365"/>
    <w:rsid w:val="007A537D"/>
    <w:rsid w:val="007A53DB"/>
    <w:rsid w:val="007A55A2"/>
    <w:rsid w:val="007A5647"/>
    <w:rsid w:val="007A56D1"/>
    <w:rsid w:val="007A575B"/>
    <w:rsid w:val="007A5801"/>
    <w:rsid w:val="007A58A5"/>
    <w:rsid w:val="007A5950"/>
    <w:rsid w:val="007A5955"/>
    <w:rsid w:val="007A5964"/>
    <w:rsid w:val="007A5967"/>
    <w:rsid w:val="007A5975"/>
    <w:rsid w:val="007A59CD"/>
    <w:rsid w:val="007A5A24"/>
    <w:rsid w:val="007A5A32"/>
    <w:rsid w:val="007A5A61"/>
    <w:rsid w:val="007A5AD6"/>
    <w:rsid w:val="007A5B77"/>
    <w:rsid w:val="007A5CC5"/>
    <w:rsid w:val="007A5D9B"/>
    <w:rsid w:val="007A60CD"/>
    <w:rsid w:val="007A6217"/>
    <w:rsid w:val="007A6296"/>
    <w:rsid w:val="007A6342"/>
    <w:rsid w:val="007A6363"/>
    <w:rsid w:val="007A6384"/>
    <w:rsid w:val="007A64E5"/>
    <w:rsid w:val="007A6537"/>
    <w:rsid w:val="007A6645"/>
    <w:rsid w:val="007A6701"/>
    <w:rsid w:val="007A6772"/>
    <w:rsid w:val="007A67B9"/>
    <w:rsid w:val="007A688C"/>
    <w:rsid w:val="007A68FA"/>
    <w:rsid w:val="007A6A38"/>
    <w:rsid w:val="007A6A5A"/>
    <w:rsid w:val="007A6B20"/>
    <w:rsid w:val="007A6B60"/>
    <w:rsid w:val="007A6C69"/>
    <w:rsid w:val="007A6CFC"/>
    <w:rsid w:val="007A6D58"/>
    <w:rsid w:val="007A6DF2"/>
    <w:rsid w:val="007A6E8D"/>
    <w:rsid w:val="007A6F06"/>
    <w:rsid w:val="007A6FB3"/>
    <w:rsid w:val="007A7059"/>
    <w:rsid w:val="007A705D"/>
    <w:rsid w:val="007A70F1"/>
    <w:rsid w:val="007A710D"/>
    <w:rsid w:val="007A727F"/>
    <w:rsid w:val="007A72BD"/>
    <w:rsid w:val="007A7343"/>
    <w:rsid w:val="007A73A9"/>
    <w:rsid w:val="007A7430"/>
    <w:rsid w:val="007A749E"/>
    <w:rsid w:val="007A74CA"/>
    <w:rsid w:val="007A75BE"/>
    <w:rsid w:val="007A77C6"/>
    <w:rsid w:val="007A7AAF"/>
    <w:rsid w:val="007A7B19"/>
    <w:rsid w:val="007A7B1A"/>
    <w:rsid w:val="007A7BBA"/>
    <w:rsid w:val="007A7C15"/>
    <w:rsid w:val="007A7C31"/>
    <w:rsid w:val="007A7E07"/>
    <w:rsid w:val="007A7E12"/>
    <w:rsid w:val="007A7F90"/>
    <w:rsid w:val="007A7FBA"/>
    <w:rsid w:val="007AAF13"/>
    <w:rsid w:val="007B005B"/>
    <w:rsid w:val="007B0134"/>
    <w:rsid w:val="007B013F"/>
    <w:rsid w:val="007B01A7"/>
    <w:rsid w:val="007B0281"/>
    <w:rsid w:val="007B03E5"/>
    <w:rsid w:val="007B03FD"/>
    <w:rsid w:val="007B0424"/>
    <w:rsid w:val="007B048D"/>
    <w:rsid w:val="007B049C"/>
    <w:rsid w:val="007B05B7"/>
    <w:rsid w:val="007B05DF"/>
    <w:rsid w:val="007B070F"/>
    <w:rsid w:val="007B0807"/>
    <w:rsid w:val="007B0874"/>
    <w:rsid w:val="007B0888"/>
    <w:rsid w:val="007B094C"/>
    <w:rsid w:val="007B0A5D"/>
    <w:rsid w:val="007B0AE2"/>
    <w:rsid w:val="007B0B1B"/>
    <w:rsid w:val="007B0D04"/>
    <w:rsid w:val="007B0ECA"/>
    <w:rsid w:val="007B0F26"/>
    <w:rsid w:val="007B0F90"/>
    <w:rsid w:val="007B102B"/>
    <w:rsid w:val="007B1139"/>
    <w:rsid w:val="007B113B"/>
    <w:rsid w:val="007B119A"/>
    <w:rsid w:val="007B1361"/>
    <w:rsid w:val="007B1441"/>
    <w:rsid w:val="007B1550"/>
    <w:rsid w:val="007B15B0"/>
    <w:rsid w:val="007B175E"/>
    <w:rsid w:val="007B17A4"/>
    <w:rsid w:val="007B1840"/>
    <w:rsid w:val="007B188F"/>
    <w:rsid w:val="007B1954"/>
    <w:rsid w:val="007B19BB"/>
    <w:rsid w:val="007B1A54"/>
    <w:rsid w:val="007B1B73"/>
    <w:rsid w:val="007B1B84"/>
    <w:rsid w:val="007B1CC8"/>
    <w:rsid w:val="007B1DE7"/>
    <w:rsid w:val="007B1FBC"/>
    <w:rsid w:val="007B202B"/>
    <w:rsid w:val="007B20D4"/>
    <w:rsid w:val="007B20E3"/>
    <w:rsid w:val="007B2120"/>
    <w:rsid w:val="007B2286"/>
    <w:rsid w:val="007B2489"/>
    <w:rsid w:val="007B2589"/>
    <w:rsid w:val="007B265B"/>
    <w:rsid w:val="007B26D6"/>
    <w:rsid w:val="007B2753"/>
    <w:rsid w:val="007B276F"/>
    <w:rsid w:val="007B278A"/>
    <w:rsid w:val="007B27B5"/>
    <w:rsid w:val="007B2920"/>
    <w:rsid w:val="007B2A30"/>
    <w:rsid w:val="007B2B30"/>
    <w:rsid w:val="007B2B91"/>
    <w:rsid w:val="007B2BA6"/>
    <w:rsid w:val="007B2C47"/>
    <w:rsid w:val="007B2C6A"/>
    <w:rsid w:val="007B2C91"/>
    <w:rsid w:val="007B2CFD"/>
    <w:rsid w:val="007B2DF5"/>
    <w:rsid w:val="007B2ED3"/>
    <w:rsid w:val="007B2F30"/>
    <w:rsid w:val="007B2F7F"/>
    <w:rsid w:val="007B2FDB"/>
    <w:rsid w:val="007B302D"/>
    <w:rsid w:val="007B3136"/>
    <w:rsid w:val="007B313B"/>
    <w:rsid w:val="007B313E"/>
    <w:rsid w:val="007B322C"/>
    <w:rsid w:val="007B3301"/>
    <w:rsid w:val="007B3337"/>
    <w:rsid w:val="007B33BC"/>
    <w:rsid w:val="007B33C6"/>
    <w:rsid w:val="007B345C"/>
    <w:rsid w:val="007B363F"/>
    <w:rsid w:val="007B370E"/>
    <w:rsid w:val="007B3782"/>
    <w:rsid w:val="007B38D3"/>
    <w:rsid w:val="007B39A7"/>
    <w:rsid w:val="007B3A73"/>
    <w:rsid w:val="007B3B1A"/>
    <w:rsid w:val="007B3BB1"/>
    <w:rsid w:val="007B3BC8"/>
    <w:rsid w:val="007B3C80"/>
    <w:rsid w:val="007B3CA4"/>
    <w:rsid w:val="007B3EAA"/>
    <w:rsid w:val="007B4025"/>
    <w:rsid w:val="007B403E"/>
    <w:rsid w:val="007B4095"/>
    <w:rsid w:val="007B427C"/>
    <w:rsid w:val="007B42F8"/>
    <w:rsid w:val="007B43A9"/>
    <w:rsid w:val="007B44BF"/>
    <w:rsid w:val="007B457A"/>
    <w:rsid w:val="007B4710"/>
    <w:rsid w:val="007B47BD"/>
    <w:rsid w:val="007B4808"/>
    <w:rsid w:val="007B4996"/>
    <w:rsid w:val="007B4A1A"/>
    <w:rsid w:val="007B4B24"/>
    <w:rsid w:val="007B4C1B"/>
    <w:rsid w:val="007B4C6D"/>
    <w:rsid w:val="007B4C77"/>
    <w:rsid w:val="007B4C94"/>
    <w:rsid w:val="007B4D49"/>
    <w:rsid w:val="007B4DAB"/>
    <w:rsid w:val="007B4DF1"/>
    <w:rsid w:val="007B4F7E"/>
    <w:rsid w:val="007B50EE"/>
    <w:rsid w:val="007B51F6"/>
    <w:rsid w:val="007B5210"/>
    <w:rsid w:val="007B5275"/>
    <w:rsid w:val="007B5339"/>
    <w:rsid w:val="007B53EC"/>
    <w:rsid w:val="007B54C9"/>
    <w:rsid w:val="007B54D5"/>
    <w:rsid w:val="007B54FD"/>
    <w:rsid w:val="007B5585"/>
    <w:rsid w:val="007B5668"/>
    <w:rsid w:val="007B566D"/>
    <w:rsid w:val="007B5702"/>
    <w:rsid w:val="007B5706"/>
    <w:rsid w:val="007B5732"/>
    <w:rsid w:val="007B5808"/>
    <w:rsid w:val="007B5845"/>
    <w:rsid w:val="007B5A6F"/>
    <w:rsid w:val="007B5B14"/>
    <w:rsid w:val="007B5C7F"/>
    <w:rsid w:val="007B5D1A"/>
    <w:rsid w:val="007B5E33"/>
    <w:rsid w:val="007B5E5C"/>
    <w:rsid w:val="007B5F2C"/>
    <w:rsid w:val="007B5F4E"/>
    <w:rsid w:val="007B5FE8"/>
    <w:rsid w:val="007B6097"/>
    <w:rsid w:val="007B60EB"/>
    <w:rsid w:val="007B6180"/>
    <w:rsid w:val="007B61ED"/>
    <w:rsid w:val="007B620B"/>
    <w:rsid w:val="007B6255"/>
    <w:rsid w:val="007B627D"/>
    <w:rsid w:val="007B62B6"/>
    <w:rsid w:val="007B6308"/>
    <w:rsid w:val="007B6358"/>
    <w:rsid w:val="007B63A0"/>
    <w:rsid w:val="007B6598"/>
    <w:rsid w:val="007B65CE"/>
    <w:rsid w:val="007B6698"/>
    <w:rsid w:val="007B677E"/>
    <w:rsid w:val="007B6B38"/>
    <w:rsid w:val="007B6CDA"/>
    <w:rsid w:val="007B6D32"/>
    <w:rsid w:val="007B6D4E"/>
    <w:rsid w:val="007B6E5D"/>
    <w:rsid w:val="007B6EB9"/>
    <w:rsid w:val="007B6FFB"/>
    <w:rsid w:val="007B707D"/>
    <w:rsid w:val="007B72D0"/>
    <w:rsid w:val="007B7348"/>
    <w:rsid w:val="007B7403"/>
    <w:rsid w:val="007B7471"/>
    <w:rsid w:val="007B74EE"/>
    <w:rsid w:val="007B755B"/>
    <w:rsid w:val="007B75FC"/>
    <w:rsid w:val="007B768E"/>
    <w:rsid w:val="007B7885"/>
    <w:rsid w:val="007B7974"/>
    <w:rsid w:val="007B79FD"/>
    <w:rsid w:val="007B7A1E"/>
    <w:rsid w:val="007B7AB3"/>
    <w:rsid w:val="007B7B12"/>
    <w:rsid w:val="007B7CCA"/>
    <w:rsid w:val="007B7E3C"/>
    <w:rsid w:val="007B7E59"/>
    <w:rsid w:val="007B7E87"/>
    <w:rsid w:val="007B7FA0"/>
    <w:rsid w:val="007B7FC7"/>
    <w:rsid w:val="007C0137"/>
    <w:rsid w:val="007C0258"/>
    <w:rsid w:val="007C02EF"/>
    <w:rsid w:val="007C035A"/>
    <w:rsid w:val="007C03CE"/>
    <w:rsid w:val="007C04DD"/>
    <w:rsid w:val="007C051D"/>
    <w:rsid w:val="007C07A4"/>
    <w:rsid w:val="007C07E6"/>
    <w:rsid w:val="007C08F5"/>
    <w:rsid w:val="007C0B04"/>
    <w:rsid w:val="007C0BC3"/>
    <w:rsid w:val="007C0CD6"/>
    <w:rsid w:val="007C0D5B"/>
    <w:rsid w:val="007C0D5F"/>
    <w:rsid w:val="007C0D7D"/>
    <w:rsid w:val="007C0D95"/>
    <w:rsid w:val="007C0F11"/>
    <w:rsid w:val="007C0F5A"/>
    <w:rsid w:val="007C112C"/>
    <w:rsid w:val="007C1205"/>
    <w:rsid w:val="007C13F9"/>
    <w:rsid w:val="007C13FF"/>
    <w:rsid w:val="007C1434"/>
    <w:rsid w:val="007C1479"/>
    <w:rsid w:val="007C14CC"/>
    <w:rsid w:val="007C1560"/>
    <w:rsid w:val="007C1583"/>
    <w:rsid w:val="007C15A0"/>
    <w:rsid w:val="007C1618"/>
    <w:rsid w:val="007C17B7"/>
    <w:rsid w:val="007C193B"/>
    <w:rsid w:val="007C1948"/>
    <w:rsid w:val="007C194D"/>
    <w:rsid w:val="007C195A"/>
    <w:rsid w:val="007C195E"/>
    <w:rsid w:val="007C1A15"/>
    <w:rsid w:val="007C1AAA"/>
    <w:rsid w:val="007C1BF5"/>
    <w:rsid w:val="007C1C77"/>
    <w:rsid w:val="007C1CBD"/>
    <w:rsid w:val="007C1D33"/>
    <w:rsid w:val="007C1D4B"/>
    <w:rsid w:val="007C214B"/>
    <w:rsid w:val="007C215F"/>
    <w:rsid w:val="007C217C"/>
    <w:rsid w:val="007C2189"/>
    <w:rsid w:val="007C2234"/>
    <w:rsid w:val="007C2249"/>
    <w:rsid w:val="007C2298"/>
    <w:rsid w:val="007C22B5"/>
    <w:rsid w:val="007C22DD"/>
    <w:rsid w:val="007C2301"/>
    <w:rsid w:val="007C230B"/>
    <w:rsid w:val="007C23BB"/>
    <w:rsid w:val="007C23C9"/>
    <w:rsid w:val="007C2498"/>
    <w:rsid w:val="007C279E"/>
    <w:rsid w:val="007C2851"/>
    <w:rsid w:val="007C28AE"/>
    <w:rsid w:val="007C292C"/>
    <w:rsid w:val="007C2946"/>
    <w:rsid w:val="007C297C"/>
    <w:rsid w:val="007C2A0D"/>
    <w:rsid w:val="007C2A6E"/>
    <w:rsid w:val="007C2ABA"/>
    <w:rsid w:val="007C2B74"/>
    <w:rsid w:val="007C2CBF"/>
    <w:rsid w:val="007C2DF4"/>
    <w:rsid w:val="007C2F41"/>
    <w:rsid w:val="007C2F8E"/>
    <w:rsid w:val="007C2FBA"/>
    <w:rsid w:val="007C32CF"/>
    <w:rsid w:val="007C3305"/>
    <w:rsid w:val="007C339A"/>
    <w:rsid w:val="007C33AD"/>
    <w:rsid w:val="007C340B"/>
    <w:rsid w:val="007C3479"/>
    <w:rsid w:val="007C3580"/>
    <w:rsid w:val="007C3606"/>
    <w:rsid w:val="007C36A2"/>
    <w:rsid w:val="007C3748"/>
    <w:rsid w:val="007C37DC"/>
    <w:rsid w:val="007C3808"/>
    <w:rsid w:val="007C3898"/>
    <w:rsid w:val="007C38D0"/>
    <w:rsid w:val="007C38DF"/>
    <w:rsid w:val="007C3994"/>
    <w:rsid w:val="007C3B1E"/>
    <w:rsid w:val="007C3B24"/>
    <w:rsid w:val="007C3B6B"/>
    <w:rsid w:val="007C3B74"/>
    <w:rsid w:val="007C3BA8"/>
    <w:rsid w:val="007C3BAE"/>
    <w:rsid w:val="007C3C5F"/>
    <w:rsid w:val="007C3D2E"/>
    <w:rsid w:val="007C3E23"/>
    <w:rsid w:val="007C3EA6"/>
    <w:rsid w:val="007C3F3E"/>
    <w:rsid w:val="007C407B"/>
    <w:rsid w:val="007C40E3"/>
    <w:rsid w:val="007C4120"/>
    <w:rsid w:val="007C41BC"/>
    <w:rsid w:val="007C4200"/>
    <w:rsid w:val="007C4220"/>
    <w:rsid w:val="007C4495"/>
    <w:rsid w:val="007C44F1"/>
    <w:rsid w:val="007C466E"/>
    <w:rsid w:val="007C46F8"/>
    <w:rsid w:val="007C4777"/>
    <w:rsid w:val="007C47E6"/>
    <w:rsid w:val="007C482B"/>
    <w:rsid w:val="007C48E6"/>
    <w:rsid w:val="007C4932"/>
    <w:rsid w:val="007C4A46"/>
    <w:rsid w:val="007C4A4A"/>
    <w:rsid w:val="007C4A97"/>
    <w:rsid w:val="007C4ACA"/>
    <w:rsid w:val="007C4AD5"/>
    <w:rsid w:val="007C4B01"/>
    <w:rsid w:val="007C4BE0"/>
    <w:rsid w:val="007C4DDB"/>
    <w:rsid w:val="007C4E15"/>
    <w:rsid w:val="007C4F16"/>
    <w:rsid w:val="007C4F6D"/>
    <w:rsid w:val="007C50C5"/>
    <w:rsid w:val="007C517E"/>
    <w:rsid w:val="007C5220"/>
    <w:rsid w:val="007C5222"/>
    <w:rsid w:val="007C5223"/>
    <w:rsid w:val="007C5259"/>
    <w:rsid w:val="007C5261"/>
    <w:rsid w:val="007C5265"/>
    <w:rsid w:val="007C53E3"/>
    <w:rsid w:val="007C56B2"/>
    <w:rsid w:val="007C5741"/>
    <w:rsid w:val="007C578A"/>
    <w:rsid w:val="007C5815"/>
    <w:rsid w:val="007C581E"/>
    <w:rsid w:val="007C58F4"/>
    <w:rsid w:val="007C5B04"/>
    <w:rsid w:val="007C5C2B"/>
    <w:rsid w:val="007C5DAE"/>
    <w:rsid w:val="007C5DB9"/>
    <w:rsid w:val="007C5EBA"/>
    <w:rsid w:val="007C60BF"/>
    <w:rsid w:val="007C6102"/>
    <w:rsid w:val="007C612C"/>
    <w:rsid w:val="007C6158"/>
    <w:rsid w:val="007C6164"/>
    <w:rsid w:val="007C624D"/>
    <w:rsid w:val="007C62C9"/>
    <w:rsid w:val="007C6307"/>
    <w:rsid w:val="007C630E"/>
    <w:rsid w:val="007C640D"/>
    <w:rsid w:val="007C645E"/>
    <w:rsid w:val="007C64F4"/>
    <w:rsid w:val="007C654E"/>
    <w:rsid w:val="007C655F"/>
    <w:rsid w:val="007C6584"/>
    <w:rsid w:val="007C65CA"/>
    <w:rsid w:val="007C668F"/>
    <w:rsid w:val="007C683D"/>
    <w:rsid w:val="007C6858"/>
    <w:rsid w:val="007C68B3"/>
    <w:rsid w:val="007C6923"/>
    <w:rsid w:val="007C6926"/>
    <w:rsid w:val="007C698D"/>
    <w:rsid w:val="007C69BC"/>
    <w:rsid w:val="007C6B05"/>
    <w:rsid w:val="007C6CCB"/>
    <w:rsid w:val="007C6D5B"/>
    <w:rsid w:val="007C6E1E"/>
    <w:rsid w:val="007C6E51"/>
    <w:rsid w:val="007C6EA9"/>
    <w:rsid w:val="007C6FF0"/>
    <w:rsid w:val="007C7120"/>
    <w:rsid w:val="007C7122"/>
    <w:rsid w:val="007C7177"/>
    <w:rsid w:val="007C71C0"/>
    <w:rsid w:val="007C7215"/>
    <w:rsid w:val="007C7240"/>
    <w:rsid w:val="007C72B9"/>
    <w:rsid w:val="007C7338"/>
    <w:rsid w:val="007C7395"/>
    <w:rsid w:val="007C746E"/>
    <w:rsid w:val="007C74B3"/>
    <w:rsid w:val="007C7558"/>
    <w:rsid w:val="007C7586"/>
    <w:rsid w:val="007C767E"/>
    <w:rsid w:val="007C76BE"/>
    <w:rsid w:val="007C7801"/>
    <w:rsid w:val="007C7812"/>
    <w:rsid w:val="007C78A7"/>
    <w:rsid w:val="007C7914"/>
    <w:rsid w:val="007C7AD2"/>
    <w:rsid w:val="007C7B13"/>
    <w:rsid w:val="007C7BCA"/>
    <w:rsid w:val="007C7CEC"/>
    <w:rsid w:val="007C7D45"/>
    <w:rsid w:val="007C7D5D"/>
    <w:rsid w:val="007C7D94"/>
    <w:rsid w:val="007C7DC0"/>
    <w:rsid w:val="007C7E1D"/>
    <w:rsid w:val="007C7E35"/>
    <w:rsid w:val="007C7FB1"/>
    <w:rsid w:val="007D00DB"/>
    <w:rsid w:val="007D014A"/>
    <w:rsid w:val="007D01E1"/>
    <w:rsid w:val="007D02AB"/>
    <w:rsid w:val="007D02D0"/>
    <w:rsid w:val="007D0642"/>
    <w:rsid w:val="007D0996"/>
    <w:rsid w:val="007D09DE"/>
    <w:rsid w:val="007D0A35"/>
    <w:rsid w:val="007D0BB9"/>
    <w:rsid w:val="007D0C42"/>
    <w:rsid w:val="007D0D5D"/>
    <w:rsid w:val="007D0D9E"/>
    <w:rsid w:val="007D0DC5"/>
    <w:rsid w:val="007D0DDB"/>
    <w:rsid w:val="007D0F2B"/>
    <w:rsid w:val="007D0FE3"/>
    <w:rsid w:val="007D1089"/>
    <w:rsid w:val="007D10BE"/>
    <w:rsid w:val="007D1192"/>
    <w:rsid w:val="007D11A3"/>
    <w:rsid w:val="007D12B1"/>
    <w:rsid w:val="007D13DF"/>
    <w:rsid w:val="007D1491"/>
    <w:rsid w:val="007D151B"/>
    <w:rsid w:val="007D152D"/>
    <w:rsid w:val="007D1735"/>
    <w:rsid w:val="007D1741"/>
    <w:rsid w:val="007D1844"/>
    <w:rsid w:val="007D1947"/>
    <w:rsid w:val="007D1A14"/>
    <w:rsid w:val="007D1D15"/>
    <w:rsid w:val="007D1E62"/>
    <w:rsid w:val="007D1E6E"/>
    <w:rsid w:val="007D1F03"/>
    <w:rsid w:val="007D201C"/>
    <w:rsid w:val="007D20C5"/>
    <w:rsid w:val="007D2105"/>
    <w:rsid w:val="007D21E4"/>
    <w:rsid w:val="007D21E8"/>
    <w:rsid w:val="007D2260"/>
    <w:rsid w:val="007D2334"/>
    <w:rsid w:val="007D2461"/>
    <w:rsid w:val="007D252A"/>
    <w:rsid w:val="007D2553"/>
    <w:rsid w:val="007D2565"/>
    <w:rsid w:val="007D25B3"/>
    <w:rsid w:val="007D25E4"/>
    <w:rsid w:val="007D2626"/>
    <w:rsid w:val="007D26C8"/>
    <w:rsid w:val="007D2707"/>
    <w:rsid w:val="007D2714"/>
    <w:rsid w:val="007D2751"/>
    <w:rsid w:val="007D278A"/>
    <w:rsid w:val="007D27A2"/>
    <w:rsid w:val="007D2859"/>
    <w:rsid w:val="007D285D"/>
    <w:rsid w:val="007D28A2"/>
    <w:rsid w:val="007D28DE"/>
    <w:rsid w:val="007D2936"/>
    <w:rsid w:val="007D2943"/>
    <w:rsid w:val="007D2BB3"/>
    <w:rsid w:val="007D2C09"/>
    <w:rsid w:val="007D2C48"/>
    <w:rsid w:val="007D2C9E"/>
    <w:rsid w:val="007D2E64"/>
    <w:rsid w:val="007D2EF4"/>
    <w:rsid w:val="007D3038"/>
    <w:rsid w:val="007D3074"/>
    <w:rsid w:val="007D33AF"/>
    <w:rsid w:val="007D33CE"/>
    <w:rsid w:val="007D3656"/>
    <w:rsid w:val="007D36A1"/>
    <w:rsid w:val="007D37D0"/>
    <w:rsid w:val="007D3887"/>
    <w:rsid w:val="007D3A77"/>
    <w:rsid w:val="007D3A8F"/>
    <w:rsid w:val="007D3BCC"/>
    <w:rsid w:val="007D3D0E"/>
    <w:rsid w:val="007D3D65"/>
    <w:rsid w:val="007D3E05"/>
    <w:rsid w:val="007D3E3F"/>
    <w:rsid w:val="007D3EE7"/>
    <w:rsid w:val="007D3F2C"/>
    <w:rsid w:val="007D3FCD"/>
    <w:rsid w:val="007D3FEB"/>
    <w:rsid w:val="007D4090"/>
    <w:rsid w:val="007D40AA"/>
    <w:rsid w:val="007D40C6"/>
    <w:rsid w:val="007D40FA"/>
    <w:rsid w:val="007D414B"/>
    <w:rsid w:val="007D4191"/>
    <w:rsid w:val="007D4222"/>
    <w:rsid w:val="007D4330"/>
    <w:rsid w:val="007D446A"/>
    <w:rsid w:val="007D452B"/>
    <w:rsid w:val="007D45BB"/>
    <w:rsid w:val="007D45EF"/>
    <w:rsid w:val="007D46AC"/>
    <w:rsid w:val="007D47BE"/>
    <w:rsid w:val="007D4806"/>
    <w:rsid w:val="007D4813"/>
    <w:rsid w:val="007D496F"/>
    <w:rsid w:val="007D4A36"/>
    <w:rsid w:val="007D4A7B"/>
    <w:rsid w:val="007D4B1B"/>
    <w:rsid w:val="007D4BDC"/>
    <w:rsid w:val="007D4C61"/>
    <w:rsid w:val="007D4CDE"/>
    <w:rsid w:val="007D4E33"/>
    <w:rsid w:val="007D5043"/>
    <w:rsid w:val="007D521F"/>
    <w:rsid w:val="007D540E"/>
    <w:rsid w:val="007D5591"/>
    <w:rsid w:val="007D56C3"/>
    <w:rsid w:val="007D5870"/>
    <w:rsid w:val="007D5873"/>
    <w:rsid w:val="007D58D0"/>
    <w:rsid w:val="007D58DF"/>
    <w:rsid w:val="007D5945"/>
    <w:rsid w:val="007D598B"/>
    <w:rsid w:val="007D5A92"/>
    <w:rsid w:val="007D5C3D"/>
    <w:rsid w:val="007D5D4D"/>
    <w:rsid w:val="007D5DF0"/>
    <w:rsid w:val="007D5EB7"/>
    <w:rsid w:val="007D5EFD"/>
    <w:rsid w:val="007D5FA7"/>
    <w:rsid w:val="007D6003"/>
    <w:rsid w:val="007D6057"/>
    <w:rsid w:val="007D60A5"/>
    <w:rsid w:val="007D60C3"/>
    <w:rsid w:val="007D6127"/>
    <w:rsid w:val="007D6152"/>
    <w:rsid w:val="007D6184"/>
    <w:rsid w:val="007D6308"/>
    <w:rsid w:val="007D63A9"/>
    <w:rsid w:val="007D6530"/>
    <w:rsid w:val="007D6542"/>
    <w:rsid w:val="007D65DD"/>
    <w:rsid w:val="007D6631"/>
    <w:rsid w:val="007D66DC"/>
    <w:rsid w:val="007D68C7"/>
    <w:rsid w:val="007D6911"/>
    <w:rsid w:val="007D6991"/>
    <w:rsid w:val="007D6A20"/>
    <w:rsid w:val="007D6A60"/>
    <w:rsid w:val="007D6B7D"/>
    <w:rsid w:val="007D6BAE"/>
    <w:rsid w:val="007D6C7C"/>
    <w:rsid w:val="007D6C81"/>
    <w:rsid w:val="007D6CC7"/>
    <w:rsid w:val="007D6D36"/>
    <w:rsid w:val="007D6DF9"/>
    <w:rsid w:val="007D6E79"/>
    <w:rsid w:val="007D6FCF"/>
    <w:rsid w:val="007D6FF8"/>
    <w:rsid w:val="007D7017"/>
    <w:rsid w:val="007D7083"/>
    <w:rsid w:val="007D7093"/>
    <w:rsid w:val="007D70D2"/>
    <w:rsid w:val="007D71C6"/>
    <w:rsid w:val="007D71CD"/>
    <w:rsid w:val="007D7214"/>
    <w:rsid w:val="007D729B"/>
    <w:rsid w:val="007D7426"/>
    <w:rsid w:val="007D74DA"/>
    <w:rsid w:val="007D7514"/>
    <w:rsid w:val="007D7545"/>
    <w:rsid w:val="007D76D3"/>
    <w:rsid w:val="007D7700"/>
    <w:rsid w:val="007D7812"/>
    <w:rsid w:val="007D7A2D"/>
    <w:rsid w:val="007D7B5A"/>
    <w:rsid w:val="007D7B64"/>
    <w:rsid w:val="007D7D95"/>
    <w:rsid w:val="007D7DE9"/>
    <w:rsid w:val="007D7E68"/>
    <w:rsid w:val="007D7EFA"/>
    <w:rsid w:val="007D7F2C"/>
    <w:rsid w:val="007E0087"/>
    <w:rsid w:val="007E008F"/>
    <w:rsid w:val="007E01C9"/>
    <w:rsid w:val="007E01EA"/>
    <w:rsid w:val="007E037A"/>
    <w:rsid w:val="007E03E1"/>
    <w:rsid w:val="007E03F6"/>
    <w:rsid w:val="007E048B"/>
    <w:rsid w:val="007E04C0"/>
    <w:rsid w:val="007E069C"/>
    <w:rsid w:val="007E074E"/>
    <w:rsid w:val="007E07B0"/>
    <w:rsid w:val="007E07F8"/>
    <w:rsid w:val="007E093A"/>
    <w:rsid w:val="007E0963"/>
    <w:rsid w:val="007E09B0"/>
    <w:rsid w:val="007E09BB"/>
    <w:rsid w:val="007E09D3"/>
    <w:rsid w:val="007E0A53"/>
    <w:rsid w:val="007E0AB6"/>
    <w:rsid w:val="007E0AD2"/>
    <w:rsid w:val="007E0B20"/>
    <w:rsid w:val="007E0B60"/>
    <w:rsid w:val="007E0CB3"/>
    <w:rsid w:val="007E0DF3"/>
    <w:rsid w:val="007E0E65"/>
    <w:rsid w:val="007E0E76"/>
    <w:rsid w:val="007E0EA7"/>
    <w:rsid w:val="007E0F6F"/>
    <w:rsid w:val="007E0F70"/>
    <w:rsid w:val="007E0F93"/>
    <w:rsid w:val="007E1040"/>
    <w:rsid w:val="007E1108"/>
    <w:rsid w:val="007E114E"/>
    <w:rsid w:val="007E11C6"/>
    <w:rsid w:val="007E137D"/>
    <w:rsid w:val="007E13DC"/>
    <w:rsid w:val="007E1530"/>
    <w:rsid w:val="007E1635"/>
    <w:rsid w:val="007E1665"/>
    <w:rsid w:val="007E17B2"/>
    <w:rsid w:val="007E18C0"/>
    <w:rsid w:val="007E18ED"/>
    <w:rsid w:val="007E1D4D"/>
    <w:rsid w:val="007E1D6F"/>
    <w:rsid w:val="007E1DA8"/>
    <w:rsid w:val="007E1F1C"/>
    <w:rsid w:val="007E1F1F"/>
    <w:rsid w:val="007E1F68"/>
    <w:rsid w:val="007E20C0"/>
    <w:rsid w:val="007E20E3"/>
    <w:rsid w:val="007E2255"/>
    <w:rsid w:val="007E226B"/>
    <w:rsid w:val="007E2302"/>
    <w:rsid w:val="007E23E7"/>
    <w:rsid w:val="007E2432"/>
    <w:rsid w:val="007E252E"/>
    <w:rsid w:val="007E267E"/>
    <w:rsid w:val="007E2970"/>
    <w:rsid w:val="007E29B0"/>
    <w:rsid w:val="007E29F1"/>
    <w:rsid w:val="007E2A26"/>
    <w:rsid w:val="007E2A50"/>
    <w:rsid w:val="007E2B4A"/>
    <w:rsid w:val="007E2CAD"/>
    <w:rsid w:val="007E2CDA"/>
    <w:rsid w:val="007E2DEA"/>
    <w:rsid w:val="007E2F9F"/>
    <w:rsid w:val="007E2FEE"/>
    <w:rsid w:val="007E309C"/>
    <w:rsid w:val="007E33DE"/>
    <w:rsid w:val="007E3402"/>
    <w:rsid w:val="007E361A"/>
    <w:rsid w:val="007E3635"/>
    <w:rsid w:val="007E3641"/>
    <w:rsid w:val="007E3726"/>
    <w:rsid w:val="007E3786"/>
    <w:rsid w:val="007E37CD"/>
    <w:rsid w:val="007E3951"/>
    <w:rsid w:val="007E39A4"/>
    <w:rsid w:val="007E3B06"/>
    <w:rsid w:val="007E3B9D"/>
    <w:rsid w:val="007E3C70"/>
    <w:rsid w:val="007E3C74"/>
    <w:rsid w:val="007E3CA8"/>
    <w:rsid w:val="007E3CB8"/>
    <w:rsid w:val="007E3D8D"/>
    <w:rsid w:val="007E3D96"/>
    <w:rsid w:val="007E3E8E"/>
    <w:rsid w:val="007E3F0B"/>
    <w:rsid w:val="007E404E"/>
    <w:rsid w:val="007E406F"/>
    <w:rsid w:val="007E40EC"/>
    <w:rsid w:val="007E4143"/>
    <w:rsid w:val="007E415F"/>
    <w:rsid w:val="007E41D7"/>
    <w:rsid w:val="007E41F7"/>
    <w:rsid w:val="007E420E"/>
    <w:rsid w:val="007E4327"/>
    <w:rsid w:val="007E43AA"/>
    <w:rsid w:val="007E45AF"/>
    <w:rsid w:val="007E45D2"/>
    <w:rsid w:val="007E463C"/>
    <w:rsid w:val="007E466B"/>
    <w:rsid w:val="007E498D"/>
    <w:rsid w:val="007E4A1F"/>
    <w:rsid w:val="007E4BA3"/>
    <w:rsid w:val="007E4BCB"/>
    <w:rsid w:val="007E4C2E"/>
    <w:rsid w:val="007E4CC6"/>
    <w:rsid w:val="007E4CD6"/>
    <w:rsid w:val="007E4D5F"/>
    <w:rsid w:val="007E4DF2"/>
    <w:rsid w:val="007E4E8E"/>
    <w:rsid w:val="007E4E9B"/>
    <w:rsid w:val="007E4F33"/>
    <w:rsid w:val="007E5117"/>
    <w:rsid w:val="007E5170"/>
    <w:rsid w:val="007E520A"/>
    <w:rsid w:val="007E53A5"/>
    <w:rsid w:val="007E5442"/>
    <w:rsid w:val="007E558C"/>
    <w:rsid w:val="007E5638"/>
    <w:rsid w:val="007E56BC"/>
    <w:rsid w:val="007E5722"/>
    <w:rsid w:val="007E581A"/>
    <w:rsid w:val="007E58E2"/>
    <w:rsid w:val="007E59E2"/>
    <w:rsid w:val="007E5A79"/>
    <w:rsid w:val="007E5ADB"/>
    <w:rsid w:val="007E5B55"/>
    <w:rsid w:val="007E5B5B"/>
    <w:rsid w:val="007E5B6D"/>
    <w:rsid w:val="007E5B98"/>
    <w:rsid w:val="007E5BFC"/>
    <w:rsid w:val="007E5D7B"/>
    <w:rsid w:val="007E5DE7"/>
    <w:rsid w:val="007E5FBE"/>
    <w:rsid w:val="007E6044"/>
    <w:rsid w:val="007E61AA"/>
    <w:rsid w:val="007E6229"/>
    <w:rsid w:val="007E638C"/>
    <w:rsid w:val="007E63C9"/>
    <w:rsid w:val="007E6422"/>
    <w:rsid w:val="007E64AF"/>
    <w:rsid w:val="007E6647"/>
    <w:rsid w:val="007E6683"/>
    <w:rsid w:val="007E6737"/>
    <w:rsid w:val="007E6956"/>
    <w:rsid w:val="007E6968"/>
    <w:rsid w:val="007E69D8"/>
    <w:rsid w:val="007E6A2B"/>
    <w:rsid w:val="007E6A62"/>
    <w:rsid w:val="007E6C1E"/>
    <w:rsid w:val="007E6C1F"/>
    <w:rsid w:val="007E6CD0"/>
    <w:rsid w:val="007E6E61"/>
    <w:rsid w:val="007E7001"/>
    <w:rsid w:val="007E7026"/>
    <w:rsid w:val="007E725E"/>
    <w:rsid w:val="007E727B"/>
    <w:rsid w:val="007E72A6"/>
    <w:rsid w:val="007E7495"/>
    <w:rsid w:val="007E74A8"/>
    <w:rsid w:val="007E751C"/>
    <w:rsid w:val="007E767C"/>
    <w:rsid w:val="007E77A5"/>
    <w:rsid w:val="007E7802"/>
    <w:rsid w:val="007E784E"/>
    <w:rsid w:val="007E7944"/>
    <w:rsid w:val="007E7A6B"/>
    <w:rsid w:val="007E7D14"/>
    <w:rsid w:val="007E7D3B"/>
    <w:rsid w:val="007E7E2E"/>
    <w:rsid w:val="007E7E54"/>
    <w:rsid w:val="007F0078"/>
    <w:rsid w:val="007F0222"/>
    <w:rsid w:val="007F02AA"/>
    <w:rsid w:val="007F0317"/>
    <w:rsid w:val="007F045A"/>
    <w:rsid w:val="007F0475"/>
    <w:rsid w:val="007F053D"/>
    <w:rsid w:val="007F056B"/>
    <w:rsid w:val="007F058D"/>
    <w:rsid w:val="007F05A1"/>
    <w:rsid w:val="007F05BD"/>
    <w:rsid w:val="007F05EF"/>
    <w:rsid w:val="007F0689"/>
    <w:rsid w:val="007F07E5"/>
    <w:rsid w:val="007F0856"/>
    <w:rsid w:val="007F08DC"/>
    <w:rsid w:val="007F09C7"/>
    <w:rsid w:val="007F0A6A"/>
    <w:rsid w:val="007F0B51"/>
    <w:rsid w:val="007F0BA2"/>
    <w:rsid w:val="007F0C0F"/>
    <w:rsid w:val="007F0C92"/>
    <w:rsid w:val="007F0CBF"/>
    <w:rsid w:val="007F0D3D"/>
    <w:rsid w:val="007F0D5A"/>
    <w:rsid w:val="007F0D5E"/>
    <w:rsid w:val="007F0E8A"/>
    <w:rsid w:val="007F0F63"/>
    <w:rsid w:val="007F0FA6"/>
    <w:rsid w:val="007F1037"/>
    <w:rsid w:val="007F10C7"/>
    <w:rsid w:val="007F119B"/>
    <w:rsid w:val="007F11DE"/>
    <w:rsid w:val="007F11EE"/>
    <w:rsid w:val="007F121E"/>
    <w:rsid w:val="007F1257"/>
    <w:rsid w:val="007F135D"/>
    <w:rsid w:val="007F13EB"/>
    <w:rsid w:val="007F140A"/>
    <w:rsid w:val="007F14FC"/>
    <w:rsid w:val="007F15A7"/>
    <w:rsid w:val="007F172E"/>
    <w:rsid w:val="007F17AC"/>
    <w:rsid w:val="007F182B"/>
    <w:rsid w:val="007F190B"/>
    <w:rsid w:val="007F1912"/>
    <w:rsid w:val="007F1925"/>
    <w:rsid w:val="007F197E"/>
    <w:rsid w:val="007F1998"/>
    <w:rsid w:val="007F19C0"/>
    <w:rsid w:val="007F19FC"/>
    <w:rsid w:val="007F1A04"/>
    <w:rsid w:val="007F1A8F"/>
    <w:rsid w:val="007F1B96"/>
    <w:rsid w:val="007F1BC7"/>
    <w:rsid w:val="007F1D8D"/>
    <w:rsid w:val="007F1DDF"/>
    <w:rsid w:val="007F1EF4"/>
    <w:rsid w:val="007F2131"/>
    <w:rsid w:val="007F21C4"/>
    <w:rsid w:val="007F21DD"/>
    <w:rsid w:val="007F22A5"/>
    <w:rsid w:val="007F22B6"/>
    <w:rsid w:val="007F2451"/>
    <w:rsid w:val="007F2464"/>
    <w:rsid w:val="007F24E2"/>
    <w:rsid w:val="007F2504"/>
    <w:rsid w:val="007F2506"/>
    <w:rsid w:val="007F251E"/>
    <w:rsid w:val="007F2576"/>
    <w:rsid w:val="007F257A"/>
    <w:rsid w:val="007F2586"/>
    <w:rsid w:val="007F270D"/>
    <w:rsid w:val="007F2740"/>
    <w:rsid w:val="007F28FB"/>
    <w:rsid w:val="007F2A52"/>
    <w:rsid w:val="007F2AF9"/>
    <w:rsid w:val="007F2B12"/>
    <w:rsid w:val="007F2CAE"/>
    <w:rsid w:val="007F2E93"/>
    <w:rsid w:val="007F2F0D"/>
    <w:rsid w:val="007F2F37"/>
    <w:rsid w:val="007F2F8F"/>
    <w:rsid w:val="007F3000"/>
    <w:rsid w:val="007F3004"/>
    <w:rsid w:val="007F30F1"/>
    <w:rsid w:val="007F30F8"/>
    <w:rsid w:val="007F3176"/>
    <w:rsid w:val="007F32B1"/>
    <w:rsid w:val="007F338F"/>
    <w:rsid w:val="007F33BC"/>
    <w:rsid w:val="007F33C7"/>
    <w:rsid w:val="007F345D"/>
    <w:rsid w:val="007F3498"/>
    <w:rsid w:val="007F366A"/>
    <w:rsid w:val="007F36C9"/>
    <w:rsid w:val="007F371C"/>
    <w:rsid w:val="007F37B9"/>
    <w:rsid w:val="007F37C2"/>
    <w:rsid w:val="007F37F6"/>
    <w:rsid w:val="007F37F8"/>
    <w:rsid w:val="007F382D"/>
    <w:rsid w:val="007F38A3"/>
    <w:rsid w:val="007F39F1"/>
    <w:rsid w:val="007F39FA"/>
    <w:rsid w:val="007F3A0C"/>
    <w:rsid w:val="007F3A0D"/>
    <w:rsid w:val="007F3A20"/>
    <w:rsid w:val="007F3A3C"/>
    <w:rsid w:val="007F3AFC"/>
    <w:rsid w:val="007F3C29"/>
    <w:rsid w:val="007F3C7E"/>
    <w:rsid w:val="007F3CFA"/>
    <w:rsid w:val="007F3E87"/>
    <w:rsid w:val="007F4040"/>
    <w:rsid w:val="007F40B3"/>
    <w:rsid w:val="007F40CF"/>
    <w:rsid w:val="007F41C0"/>
    <w:rsid w:val="007F43B8"/>
    <w:rsid w:val="007F451A"/>
    <w:rsid w:val="007F4525"/>
    <w:rsid w:val="007F4527"/>
    <w:rsid w:val="007F4572"/>
    <w:rsid w:val="007F460B"/>
    <w:rsid w:val="007F468E"/>
    <w:rsid w:val="007F4733"/>
    <w:rsid w:val="007F485F"/>
    <w:rsid w:val="007F49C2"/>
    <w:rsid w:val="007F4B77"/>
    <w:rsid w:val="007F4D24"/>
    <w:rsid w:val="007F50DA"/>
    <w:rsid w:val="007F5247"/>
    <w:rsid w:val="007F5277"/>
    <w:rsid w:val="007F52CE"/>
    <w:rsid w:val="007F53D3"/>
    <w:rsid w:val="007F5431"/>
    <w:rsid w:val="007F563F"/>
    <w:rsid w:val="007F5687"/>
    <w:rsid w:val="007F579D"/>
    <w:rsid w:val="007F57CA"/>
    <w:rsid w:val="007F5AE4"/>
    <w:rsid w:val="007F5B41"/>
    <w:rsid w:val="007F5C57"/>
    <w:rsid w:val="007F5CD2"/>
    <w:rsid w:val="007F5CF9"/>
    <w:rsid w:val="007F5E6D"/>
    <w:rsid w:val="007F5E8F"/>
    <w:rsid w:val="007F5F0A"/>
    <w:rsid w:val="007F5F18"/>
    <w:rsid w:val="007F5F23"/>
    <w:rsid w:val="007F5F94"/>
    <w:rsid w:val="007F5FD3"/>
    <w:rsid w:val="007F5FFF"/>
    <w:rsid w:val="007F6038"/>
    <w:rsid w:val="007F611A"/>
    <w:rsid w:val="007F6131"/>
    <w:rsid w:val="007F6171"/>
    <w:rsid w:val="007F6212"/>
    <w:rsid w:val="007F623A"/>
    <w:rsid w:val="007F6369"/>
    <w:rsid w:val="007F6397"/>
    <w:rsid w:val="007F63A1"/>
    <w:rsid w:val="007F63F9"/>
    <w:rsid w:val="007F6525"/>
    <w:rsid w:val="007F658C"/>
    <w:rsid w:val="007F65D9"/>
    <w:rsid w:val="007F6682"/>
    <w:rsid w:val="007F676B"/>
    <w:rsid w:val="007F6851"/>
    <w:rsid w:val="007F69F0"/>
    <w:rsid w:val="007F6D45"/>
    <w:rsid w:val="007F6DD0"/>
    <w:rsid w:val="007F6E32"/>
    <w:rsid w:val="007F6E4E"/>
    <w:rsid w:val="007F6F49"/>
    <w:rsid w:val="007F7013"/>
    <w:rsid w:val="007F70DE"/>
    <w:rsid w:val="007F713E"/>
    <w:rsid w:val="007F740C"/>
    <w:rsid w:val="007F7525"/>
    <w:rsid w:val="007F7554"/>
    <w:rsid w:val="007F7560"/>
    <w:rsid w:val="007F759E"/>
    <w:rsid w:val="007F7634"/>
    <w:rsid w:val="007F7667"/>
    <w:rsid w:val="007F76D4"/>
    <w:rsid w:val="007F77BB"/>
    <w:rsid w:val="007F788B"/>
    <w:rsid w:val="007F79A5"/>
    <w:rsid w:val="007F7ADB"/>
    <w:rsid w:val="007F7B2A"/>
    <w:rsid w:val="007F7B81"/>
    <w:rsid w:val="007F7B8C"/>
    <w:rsid w:val="007F7BFF"/>
    <w:rsid w:val="007F7C67"/>
    <w:rsid w:val="007F7E1D"/>
    <w:rsid w:val="007F7ED0"/>
    <w:rsid w:val="007F7F22"/>
    <w:rsid w:val="007F7F30"/>
    <w:rsid w:val="008000E5"/>
    <w:rsid w:val="008000EC"/>
    <w:rsid w:val="0080011D"/>
    <w:rsid w:val="0080015B"/>
    <w:rsid w:val="008001D9"/>
    <w:rsid w:val="00800300"/>
    <w:rsid w:val="0080044E"/>
    <w:rsid w:val="00800667"/>
    <w:rsid w:val="008007B8"/>
    <w:rsid w:val="008007E0"/>
    <w:rsid w:val="008008C3"/>
    <w:rsid w:val="00800956"/>
    <w:rsid w:val="00800B98"/>
    <w:rsid w:val="00800C3A"/>
    <w:rsid w:val="00800C4C"/>
    <w:rsid w:val="00800C76"/>
    <w:rsid w:val="00800D43"/>
    <w:rsid w:val="00800D6A"/>
    <w:rsid w:val="00800D95"/>
    <w:rsid w:val="00800DA1"/>
    <w:rsid w:val="00800E61"/>
    <w:rsid w:val="00800E79"/>
    <w:rsid w:val="00800F15"/>
    <w:rsid w:val="00800F56"/>
    <w:rsid w:val="00800FCF"/>
    <w:rsid w:val="00801020"/>
    <w:rsid w:val="00801032"/>
    <w:rsid w:val="00801082"/>
    <w:rsid w:val="008010A7"/>
    <w:rsid w:val="008010C7"/>
    <w:rsid w:val="00801163"/>
    <w:rsid w:val="0080123C"/>
    <w:rsid w:val="0080123F"/>
    <w:rsid w:val="008012C5"/>
    <w:rsid w:val="008012F2"/>
    <w:rsid w:val="00801348"/>
    <w:rsid w:val="008015B0"/>
    <w:rsid w:val="0080164A"/>
    <w:rsid w:val="008016D1"/>
    <w:rsid w:val="008016FD"/>
    <w:rsid w:val="008017B5"/>
    <w:rsid w:val="00801930"/>
    <w:rsid w:val="0080194F"/>
    <w:rsid w:val="00801997"/>
    <w:rsid w:val="008019FD"/>
    <w:rsid w:val="00801A60"/>
    <w:rsid w:val="00801AB6"/>
    <w:rsid w:val="00801B69"/>
    <w:rsid w:val="00801C4D"/>
    <w:rsid w:val="00801CD7"/>
    <w:rsid w:val="00801D31"/>
    <w:rsid w:val="00801D35"/>
    <w:rsid w:val="00801EC2"/>
    <w:rsid w:val="00801F4D"/>
    <w:rsid w:val="00801FD7"/>
    <w:rsid w:val="00802038"/>
    <w:rsid w:val="008020D1"/>
    <w:rsid w:val="0080211A"/>
    <w:rsid w:val="00802200"/>
    <w:rsid w:val="008023A9"/>
    <w:rsid w:val="00802494"/>
    <w:rsid w:val="008025EF"/>
    <w:rsid w:val="00802612"/>
    <w:rsid w:val="00802623"/>
    <w:rsid w:val="00802664"/>
    <w:rsid w:val="008026DF"/>
    <w:rsid w:val="00802971"/>
    <w:rsid w:val="00802A37"/>
    <w:rsid w:val="00802B91"/>
    <w:rsid w:val="00802C6F"/>
    <w:rsid w:val="00802D4C"/>
    <w:rsid w:val="00802E88"/>
    <w:rsid w:val="00802F45"/>
    <w:rsid w:val="00803014"/>
    <w:rsid w:val="00803101"/>
    <w:rsid w:val="0080321A"/>
    <w:rsid w:val="008032F8"/>
    <w:rsid w:val="0080337F"/>
    <w:rsid w:val="008033CF"/>
    <w:rsid w:val="00803408"/>
    <w:rsid w:val="0080341D"/>
    <w:rsid w:val="00803485"/>
    <w:rsid w:val="0080348C"/>
    <w:rsid w:val="008034A6"/>
    <w:rsid w:val="00803651"/>
    <w:rsid w:val="00803697"/>
    <w:rsid w:val="008037A3"/>
    <w:rsid w:val="00803874"/>
    <w:rsid w:val="008039E8"/>
    <w:rsid w:val="00803A29"/>
    <w:rsid w:val="00803A35"/>
    <w:rsid w:val="00803A59"/>
    <w:rsid w:val="00803A60"/>
    <w:rsid w:val="00803A7F"/>
    <w:rsid w:val="00803AF6"/>
    <w:rsid w:val="00803B34"/>
    <w:rsid w:val="00803BD6"/>
    <w:rsid w:val="00803C1F"/>
    <w:rsid w:val="00803C2B"/>
    <w:rsid w:val="00803C89"/>
    <w:rsid w:val="00803CB9"/>
    <w:rsid w:val="00803DD3"/>
    <w:rsid w:val="00803DFE"/>
    <w:rsid w:val="00803DFF"/>
    <w:rsid w:val="00803F33"/>
    <w:rsid w:val="00803F88"/>
    <w:rsid w:val="00804069"/>
    <w:rsid w:val="0080409D"/>
    <w:rsid w:val="00804102"/>
    <w:rsid w:val="008041E8"/>
    <w:rsid w:val="0080422F"/>
    <w:rsid w:val="008042A0"/>
    <w:rsid w:val="008043F4"/>
    <w:rsid w:val="008044A3"/>
    <w:rsid w:val="00804550"/>
    <w:rsid w:val="00804589"/>
    <w:rsid w:val="008045C6"/>
    <w:rsid w:val="0080469B"/>
    <w:rsid w:val="00804702"/>
    <w:rsid w:val="00804778"/>
    <w:rsid w:val="008047C3"/>
    <w:rsid w:val="008047F1"/>
    <w:rsid w:val="008048C8"/>
    <w:rsid w:val="00804AFC"/>
    <w:rsid w:val="00804B3F"/>
    <w:rsid w:val="00804C50"/>
    <w:rsid w:val="00804DF8"/>
    <w:rsid w:val="00804EEC"/>
    <w:rsid w:val="00804F13"/>
    <w:rsid w:val="00804F18"/>
    <w:rsid w:val="00804F6F"/>
    <w:rsid w:val="0080504A"/>
    <w:rsid w:val="00805074"/>
    <w:rsid w:val="008050E6"/>
    <w:rsid w:val="00805131"/>
    <w:rsid w:val="00805183"/>
    <w:rsid w:val="008051BD"/>
    <w:rsid w:val="008051D7"/>
    <w:rsid w:val="00805202"/>
    <w:rsid w:val="0080521D"/>
    <w:rsid w:val="008052C4"/>
    <w:rsid w:val="00805435"/>
    <w:rsid w:val="0080545F"/>
    <w:rsid w:val="008055B1"/>
    <w:rsid w:val="008055DD"/>
    <w:rsid w:val="008055E3"/>
    <w:rsid w:val="008056D4"/>
    <w:rsid w:val="008056E4"/>
    <w:rsid w:val="00805777"/>
    <w:rsid w:val="0080578B"/>
    <w:rsid w:val="0080578E"/>
    <w:rsid w:val="00805893"/>
    <w:rsid w:val="00805A35"/>
    <w:rsid w:val="00805B09"/>
    <w:rsid w:val="00805B7A"/>
    <w:rsid w:val="00805BDE"/>
    <w:rsid w:val="00805DC8"/>
    <w:rsid w:val="00805DC9"/>
    <w:rsid w:val="00805EFD"/>
    <w:rsid w:val="00805F67"/>
    <w:rsid w:val="0080602B"/>
    <w:rsid w:val="008060E1"/>
    <w:rsid w:val="008062A3"/>
    <w:rsid w:val="008062C9"/>
    <w:rsid w:val="00806339"/>
    <w:rsid w:val="008065B5"/>
    <w:rsid w:val="0080665D"/>
    <w:rsid w:val="00806750"/>
    <w:rsid w:val="00806805"/>
    <w:rsid w:val="00806893"/>
    <w:rsid w:val="0080694F"/>
    <w:rsid w:val="0080697D"/>
    <w:rsid w:val="00806A00"/>
    <w:rsid w:val="00806A06"/>
    <w:rsid w:val="00806AFE"/>
    <w:rsid w:val="00806B40"/>
    <w:rsid w:val="00806BD3"/>
    <w:rsid w:val="00806E39"/>
    <w:rsid w:val="00806EF6"/>
    <w:rsid w:val="00806FAA"/>
    <w:rsid w:val="00807013"/>
    <w:rsid w:val="008070F0"/>
    <w:rsid w:val="00807195"/>
    <w:rsid w:val="008072DC"/>
    <w:rsid w:val="0080731B"/>
    <w:rsid w:val="00807354"/>
    <w:rsid w:val="008074C1"/>
    <w:rsid w:val="008075A1"/>
    <w:rsid w:val="0080772D"/>
    <w:rsid w:val="0080781E"/>
    <w:rsid w:val="00807920"/>
    <w:rsid w:val="00807960"/>
    <w:rsid w:val="00807BAF"/>
    <w:rsid w:val="00807C11"/>
    <w:rsid w:val="00807C19"/>
    <w:rsid w:val="00807CCF"/>
    <w:rsid w:val="00807CEC"/>
    <w:rsid w:val="00807D41"/>
    <w:rsid w:val="00807D4C"/>
    <w:rsid w:val="008101B3"/>
    <w:rsid w:val="008102F5"/>
    <w:rsid w:val="008102F6"/>
    <w:rsid w:val="0081036E"/>
    <w:rsid w:val="00810392"/>
    <w:rsid w:val="0081055F"/>
    <w:rsid w:val="008105E4"/>
    <w:rsid w:val="00810627"/>
    <w:rsid w:val="008106F5"/>
    <w:rsid w:val="00810875"/>
    <w:rsid w:val="008108B9"/>
    <w:rsid w:val="00810942"/>
    <w:rsid w:val="00810987"/>
    <w:rsid w:val="008109D9"/>
    <w:rsid w:val="008109F1"/>
    <w:rsid w:val="00810A98"/>
    <w:rsid w:val="00810AB5"/>
    <w:rsid w:val="00810B75"/>
    <w:rsid w:val="00810BA1"/>
    <w:rsid w:val="00810D01"/>
    <w:rsid w:val="00810DEC"/>
    <w:rsid w:val="00810EB9"/>
    <w:rsid w:val="00810F5F"/>
    <w:rsid w:val="00811089"/>
    <w:rsid w:val="008110F2"/>
    <w:rsid w:val="008112A0"/>
    <w:rsid w:val="00811590"/>
    <w:rsid w:val="00811656"/>
    <w:rsid w:val="00811728"/>
    <w:rsid w:val="00811769"/>
    <w:rsid w:val="0081180D"/>
    <w:rsid w:val="00811865"/>
    <w:rsid w:val="00811899"/>
    <w:rsid w:val="008118A1"/>
    <w:rsid w:val="00811929"/>
    <w:rsid w:val="00811A27"/>
    <w:rsid w:val="00811A2C"/>
    <w:rsid w:val="00811ACF"/>
    <w:rsid w:val="00811E7D"/>
    <w:rsid w:val="0081211A"/>
    <w:rsid w:val="0081217E"/>
    <w:rsid w:val="008121BB"/>
    <w:rsid w:val="008122B7"/>
    <w:rsid w:val="008123BF"/>
    <w:rsid w:val="008123E4"/>
    <w:rsid w:val="008124D1"/>
    <w:rsid w:val="008125BB"/>
    <w:rsid w:val="00812670"/>
    <w:rsid w:val="00812831"/>
    <w:rsid w:val="008128C0"/>
    <w:rsid w:val="0081298D"/>
    <w:rsid w:val="00812BD5"/>
    <w:rsid w:val="00812D41"/>
    <w:rsid w:val="00812D89"/>
    <w:rsid w:val="00812DCE"/>
    <w:rsid w:val="00812EBD"/>
    <w:rsid w:val="00812F20"/>
    <w:rsid w:val="00812F55"/>
    <w:rsid w:val="0081321F"/>
    <w:rsid w:val="0081325F"/>
    <w:rsid w:val="00813338"/>
    <w:rsid w:val="0081342C"/>
    <w:rsid w:val="008134E0"/>
    <w:rsid w:val="0081374F"/>
    <w:rsid w:val="008137D0"/>
    <w:rsid w:val="008137E2"/>
    <w:rsid w:val="00813803"/>
    <w:rsid w:val="00813865"/>
    <w:rsid w:val="008138FF"/>
    <w:rsid w:val="0081399D"/>
    <w:rsid w:val="0081399F"/>
    <w:rsid w:val="00813A4A"/>
    <w:rsid w:val="00813A51"/>
    <w:rsid w:val="00813A80"/>
    <w:rsid w:val="00813A94"/>
    <w:rsid w:val="00813AA3"/>
    <w:rsid w:val="00813AFF"/>
    <w:rsid w:val="00813C27"/>
    <w:rsid w:val="00813CBA"/>
    <w:rsid w:val="00813D71"/>
    <w:rsid w:val="00813D82"/>
    <w:rsid w:val="00813D9C"/>
    <w:rsid w:val="00813E7F"/>
    <w:rsid w:val="00813F32"/>
    <w:rsid w:val="00813F60"/>
    <w:rsid w:val="00813FD3"/>
    <w:rsid w:val="00813FDC"/>
    <w:rsid w:val="00814027"/>
    <w:rsid w:val="00814057"/>
    <w:rsid w:val="008140CF"/>
    <w:rsid w:val="008140DE"/>
    <w:rsid w:val="0081424D"/>
    <w:rsid w:val="008142EC"/>
    <w:rsid w:val="0081435B"/>
    <w:rsid w:val="00814485"/>
    <w:rsid w:val="0081451E"/>
    <w:rsid w:val="008145D4"/>
    <w:rsid w:val="00814746"/>
    <w:rsid w:val="0081478A"/>
    <w:rsid w:val="00814828"/>
    <w:rsid w:val="00814876"/>
    <w:rsid w:val="00814884"/>
    <w:rsid w:val="008148BC"/>
    <w:rsid w:val="008148E0"/>
    <w:rsid w:val="00814977"/>
    <w:rsid w:val="008149BB"/>
    <w:rsid w:val="008149DD"/>
    <w:rsid w:val="00814A59"/>
    <w:rsid w:val="00814C00"/>
    <w:rsid w:val="00814C24"/>
    <w:rsid w:val="00814C44"/>
    <w:rsid w:val="00814DA6"/>
    <w:rsid w:val="00814E56"/>
    <w:rsid w:val="00814ED0"/>
    <w:rsid w:val="00814F96"/>
    <w:rsid w:val="00814FF6"/>
    <w:rsid w:val="0081503B"/>
    <w:rsid w:val="00815043"/>
    <w:rsid w:val="0081505E"/>
    <w:rsid w:val="00815093"/>
    <w:rsid w:val="0081509A"/>
    <w:rsid w:val="008150C3"/>
    <w:rsid w:val="00815542"/>
    <w:rsid w:val="00815795"/>
    <w:rsid w:val="0081588E"/>
    <w:rsid w:val="00815997"/>
    <w:rsid w:val="00815A43"/>
    <w:rsid w:val="00815A8E"/>
    <w:rsid w:val="00815BF6"/>
    <w:rsid w:val="00815CBE"/>
    <w:rsid w:val="00815D91"/>
    <w:rsid w:val="00815DC3"/>
    <w:rsid w:val="00815DC9"/>
    <w:rsid w:val="00815E32"/>
    <w:rsid w:val="00815E33"/>
    <w:rsid w:val="00815E92"/>
    <w:rsid w:val="00815F82"/>
    <w:rsid w:val="00815FA2"/>
    <w:rsid w:val="00816061"/>
    <w:rsid w:val="008160E9"/>
    <w:rsid w:val="00816127"/>
    <w:rsid w:val="00816197"/>
    <w:rsid w:val="00816312"/>
    <w:rsid w:val="008165C3"/>
    <w:rsid w:val="0081661B"/>
    <w:rsid w:val="00816622"/>
    <w:rsid w:val="00816641"/>
    <w:rsid w:val="00816708"/>
    <w:rsid w:val="0081671C"/>
    <w:rsid w:val="0081682E"/>
    <w:rsid w:val="008168FD"/>
    <w:rsid w:val="00816918"/>
    <w:rsid w:val="00816A3E"/>
    <w:rsid w:val="00816A94"/>
    <w:rsid w:val="00816AFC"/>
    <w:rsid w:val="00816CB8"/>
    <w:rsid w:val="00816D37"/>
    <w:rsid w:val="00816E8F"/>
    <w:rsid w:val="00816EFA"/>
    <w:rsid w:val="00816F30"/>
    <w:rsid w:val="00816F35"/>
    <w:rsid w:val="00816F54"/>
    <w:rsid w:val="00816F7B"/>
    <w:rsid w:val="0081707B"/>
    <w:rsid w:val="0081733A"/>
    <w:rsid w:val="008173AC"/>
    <w:rsid w:val="00817595"/>
    <w:rsid w:val="0081766E"/>
    <w:rsid w:val="0081782A"/>
    <w:rsid w:val="00817863"/>
    <w:rsid w:val="008178D5"/>
    <w:rsid w:val="008179E3"/>
    <w:rsid w:val="00817C05"/>
    <w:rsid w:val="00817C70"/>
    <w:rsid w:val="00817C98"/>
    <w:rsid w:val="00817EEB"/>
    <w:rsid w:val="008201C4"/>
    <w:rsid w:val="008201DC"/>
    <w:rsid w:val="008205A9"/>
    <w:rsid w:val="008206B9"/>
    <w:rsid w:val="00820705"/>
    <w:rsid w:val="00820794"/>
    <w:rsid w:val="00820796"/>
    <w:rsid w:val="00820952"/>
    <w:rsid w:val="00820AFD"/>
    <w:rsid w:val="00820B4C"/>
    <w:rsid w:val="00820BA7"/>
    <w:rsid w:val="00820D88"/>
    <w:rsid w:val="00820DAF"/>
    <w:rsid w:val="00820F2C"/>
    <w:rsid w:val="00820F84"/>
    <w:rsid w:val="00820F85"/>
    <w:rsid w:val="00820FBA"/>
    <w:rsid w:val="00821047"/>
    <w:rsid w:val="008211F9"/>
    <w:rsid w:val="0082138B"/>
    <w:rsid w:val="008213B4"/>
    <w:rsid w:val="00821436"/>
    <w:rsid w:val="00821461"/>
    <w:rsid w:val="00821532"/>
    <w:rsid w:val="008215BF"/>
    <w:rsid w:val="0082185C"/>
    <w:rsid w:val="008219AE"/>
    <w:rsid w:val="00821C31"/>
    <w:rsid w:val="00821D69"/>
    <w:rsid w:val="00821DAA"/>
    <w:rsid w:val="00821DC1"/>
    <w:rsid w:val="00821EDC"/>
    <w:rsid w:val="00821F5C"/>
    <w:rsid w:val="00821FCE"/>
    <w:rsid w:val="008220BD"/>
    <w:rsid w:val="008222C5"/>
    <w:rsid w:val="008222EC"/>
    <w:rsid w:val="00822377"/>
    <w:rsid w:val="008223BF"/>
    <w:rsid w:val="0082243E"/>
    <w:rsid w:val="00822583"/>
    <w:rsid w:val="008227A0"/>
    <w:rsid w:val="008227F1"/>
    <w:rsid w:val="00822885"/>
    <w:rsid w:val="00822921"/>
    <w:rsid w:val="008229DA"/>
    <w:rsid w:val="008229EF"/>
    <w:rsid w:val="00822A78"/>
    <w:rsid w:val="00822AC5"/>
    <w:rsid w:val="00822B0C"/>
    <w:rsid w:val="00822BB6"/>
    <w:rsid w:val="00822BC1"/>
    <w:rsid w:val="00822BCB"/>
    <w:rsid w:val="00822BD3"/>
    <w:rsid w:val="00822BDB"/>
    <w:rsid w:val="00822BF8"/>
    <w:rsid w:val="00822D6A"/>
    <w:rsid w:val="00822ECC"/>
    <w:rsid w:val="00823199"/>
    <w:rsid w:val="00823205"/>
    <w:rsid w:val="00823206"/>
    <w:rsid w:val="0082324C"/>
    <w:rsid w:val="0082343F"/>
    <w:rsid w:val="0082347B"/>
    <w:rsid w:val="008234E1"/>
    <w:rsid w:val="00823648"/>
    <w:rsid w:val="008236FD"/>
    <w:rsid w:val="0082371F"/>
    <w:rsid w:val="008237A8"/>
    <w:rsid w:val="008237AE"/>
    <w:rsid w:val="008237C5"/>
    <w:rsid w:val="008237C6"/>
    <w:rsid w:val="0082384C"/>
    <w:rsid w:val="0082389C"/>
    <w:rsid w:val="00823A8F"/>
    <w:rsid w:val="00823D28"/>
    <w:rsid w:val="00823E0A"/>
    <w:rsid w:val="00823ED4"/>
    <w:rsid w:val="00823F85"/>
    <w:rsid w:val="00823F8D"/>
    <w:rsid w:val="00823FC5"/>
    <w:rsid w:val="00823FE8"/>
    <w:rsid w:val="00824065"/>
    <w:rsid w:val="00824224"/>
    <w:rsid w:val="00824399"/>
    <w:rsid w:val="008243AD"/>
    <w:rsid w:val="008243D7"/>
    <w:rsid w:val="00824425"/>
    <w:rsid w:val="00824447"/>
    <w:rsid w:val="0082446A"/>
    <w:rsid w:val="00824516"/>
    <w:rsid w:val="00824598"/>
    <w:rsid w:val="0082460A"/>
    <w:rsid w:val="008246C1"/>
    <w:rsid w:val="0082485C"/>
    <w:rsid w:val="0082490A"/>
    <w:rsid w:val="00824B1A"/>
    <w:rsid w:val="00824B68"/>
    <w:rsid w:val="00824DEA"/>
    <w:rsid w:val="00824E61"/>
    <w:rsid w:val="00824FD5"/>
    <w:rsid w:val="0082506D"/>
    <w:rsid w:val="008251CF"/>
    <w:rsid w:val="00825303"/>
    <w:rsid w:val="00825397"/>
    <w:rsid w:val="00825422"/>
    <w:rsid w:val="00825429"/>
    <w:rsid w:val="0082554E"/>
    <w:rsid w:val="00825589"/>
    <w:rsid w:val="008255A9"/>
    <w:rsid w:val="00825687"/>
    <w:rsid w:val="008256E9"/>
    <w:rsid w:val="0082570A"/>
    <w:rsid w:val="0082579E"/>
    <w:rsid w:val="0082586B"/>
    <w:rsid w:val="0082595E"/>
    <w:rsid w:val="00825A2E"/>
    <w:rsid w:val="00825AD0"/>
    <w:rsid w:val="00825AD3"/>
    <w:rsid w:val="00825D61"/>
    <w:rsid w:val="00825D97"/>
    <w:rsid w:val="00825EAB"/>
    <w:rsid w:val="00825FA8"/>
    <w:rsid w:val="008261C6"/>
    <w:rsid w:val="0082638F"/>
    <w:rsid w:val="008263E8"/>
    <w:rsid w:val="00826475"/>
    <w:rsid w:val="008264A1"/>
    <w:rsid w:val="00826571"/>
    <w:rsid w:val="008266FB"/>
    <w:rsid w:val="0082671D"/>
    <w:rsid w:val="0082682E"/>
    <w:rsid w:val="00826967"/>
    <w:rsid w:val="00826A2B"/>
    <w:rsid w:val="00826CD3"/>
    <w:rsid w:val="00826D60"/>
    <w:rsid w:val="00826D7A"/>
    <w:rsid w:val="00827151"/>
    <w:rsid w:val="00827175"/>
    <w:rsid w:val="0082724C"/>
    <w:rsid w:val="008273F5"/>
    <w:rsid w:val="008274CB"/>
    <w:rsid w:val="0082751D"/>
    <w:rsid w:val="00827619"/>
    <w:rsid w:val="0082764C"/>
    <w:rsid w:val="008276EE"/>
    <w:rsid w:val="008277EC"/>
    <w:rsid w:val="00827836"/>
    <w:rsid w:val="00827870"/>
    <w:rsid w:val="008279D0"/>
    <w:rsid w:val="00827A41"/>
    <w:rsid w:val="00827A5C"/>
    <w:rsid w:val="00827B55"/>
    <w:rsid w:val="00827B90"/>
    <w:rsid w:val="00827E16"/>
    <w:rsid w:val="00827E28"/>
    <w:rsid w:val="00827E51"/>
    <w:rsid w:val="00827E57"/>
    <w:rsid w:val="00827E6C"/>
    <w:rsid w:val="00827FA1"/>
    <w:rsid w:val="00830106"/>
    <w:rsid w:val="008301E9"/>
    <w:rsid w:val="00830347"/>
    <w:rsid w:val="00830394"/>
    <w:rsid w:val="00830436"/>
    <w:rsid w:val="0083047C"/>
    <w:rsid w:val="008304B4"/>
    <w:rsid w:val="008304BA"/>
    <w:rsid w:val="0083056D"/>
    <w:rsid w:val="00830640"/>
    <w:rsid w:val="0083076D"/>
    <w:rsid w:val="008307A1"/>
    <w:rsid w:val="0083090B"/>
    <w:rsid w:val="0083093E"/>
    <w:rsid w:val="008309E0"/>
    <w:rsid w:val="00830A28"/>
    <w:rsid w:val="00830A83"/>
    <w:rsid w:val="00830A84"/>
    <w:rsid w:val="00830AEB"/>
    <w:rsid w:val="00830B07"/>
    <w:rsid w:val="00830BD5"/>
    <w:rsid w:val="00830D08"/>
    <w:rsid w:val="00830D17"/>
    <w:rsid w:val="00830E0A"/>
    <w:rsid w:val="00830E29"/>
    <w:rsid w:val="00830F8A"/>
    <w:rsid w:val="00830FD4"/>
    <w:rsid w:val="00831013"/>
    <w:rsid w:val="008311C1"/>
    <w:rsid w:val="008312C9"/>
    <w:rsid w:val="008313A4"/>
    <w:rsid w:val="00831485"/>
    <w:rsid w:val="0083151A"/>
    <w:rsid w:val="008315F0"/>
    <w:rsid w:val="00831621"/>
    <w:rsid w:val="0083164C"/>
    <w:rsid w:val="008316DF"/>
    <w:rsid w:val="0083170D"/>
    <w:rsid w:val="008317AF"/>
    <w:rsid w:val="008319D3"/>
    <w:rsid w:val="00831AFB"/>
    <w:rsid w:val="00831B46"/>
    <w:rsid w:val="00831B51"/>
    <w:rsid w:val="00831BC6"/>
    <w:rsid w:val="00831C5D"/>
    <w:rsid w:val="00831E4F"/>
    <w:rsid w:val="00831EC8"/>
    <w:rsid w:val="00831FAA"/>
    <w:rsid w:val="00832004"/>
    <w:rsid w:val="00832015"/>
    <w:rsid w:val="008320B4"/>
    <w:rsid w:val="00832158"/>
    <w:rsid w:val="00832232"/>
    <w:rsid w:val="00832270"/>
    <w:rsid w:val="00832374"/>
    <w:rsid w:val="008323C2"/>
    <w:rsid w:val="008324D7"/>
    <w:rsid w:val="0083252A"/>
    <w:rsid w:val="00832591"/>
    <w:rsid w:val="0083260C"/>
    <w:rsid w:val="0083277F"/>
    <w:rsid w:val="008328B6"/>
    <w:rsid w:val="008329D5"/>
    <w:rsid w:val="008329F6"/>
    <w:rsid w:val="00832A7E"/>
    <w:rsid w:val="00832AC7"/>
    <w:rsid w:val="00832BBF"/>
    <w:rsid w:val="00832BF1"/>
    <w:rsid w:val="00832DD3"/>
    <w:rsid w:val="00832E52"/>
    <w:rsid w:val="00832F1B"/>
    <w:rsid w:val="00832F6A"/>
    <w:rsid w:val="00833050"/>
    <w:rsid w:val="0083306F"/>
    <w:rsid w:val="0083307C"/>
    <w:rsid w:val="008331C4"/>
    <w:rsid w:val="0083329C"/>
    <w:rsid w:val="008333BF"/>
    <w:rsid w:val="008333CB"/>
    <w:rsid w:val="008334E9"/>
    <w:rsid w:val="008335A6"/>
    <w:rsid w:val="008335C2"/>
    <w:rsid w:val="008335E7"/>
    <w:rsid w:val="0083363B"/>
    <w:rsid w:val="00833658"/>
    <w:rsid w:val="00833737"/>
    <w:rsid w:val="00833775"/>
    <w:rsid w:val="00833907"/>
    <w:rsid w:val="00833920"/>
    <w:rsid w:val="00833A0A"/>
    <w:rsid w:val="00833A53"/>
    <w:rsid w:val="00833AA6"/>
    <w:rsid w:val="00833B0A"/>
    <w:rsid w:val="00833D25"/>
    <w:rsid w:val="00833E27"/>
    <w:rsid w:val="00833E2F"/>
    <w:rsid w:val="00833E43"/>
    <w:rsid w:val="00833E52"/>
    <w:rsid w:val="00833E61"/>
    <w:rsid w:val="00833E8B"/>
    <w:rsid w:val="00834019"/>
    <w:rsid w:val="00834081"/>
    <w:rsid w:val="00834139"/>
    <w:rsid w:val="00834141"/>
    <w:rsid w:val="008342F3"/>
    <w:rsid w:val="00834309"/>
    <w:rsid w:val="0083433A"/>
    <w:rsid w:val="008345A0"/>
    <w:rsid w:val="00834607"/>
    <w:rsid w:val="00834614"/>
    <w:rsid w:val="00834660"/>
    <w:rsid w:val="0083468F"/>
    <w:rsid w:val="008347FA"/>
    <w:rsid w:val="0083495E"/>
    <w:rsid w:val="00834AF3"/>
    <w:rsid w:val="00834BD8"/>
    <w:rsid w:val="00834C17"/>
    <w:rsid w:val="00834C18"/>
    <w:rsid w:val="00834DCB"/>
    <w:rsid w:val="00834FFF"/>
    <w:rsid w:val="0083500F"/>
    <w:rsid w:val="00835032"/>
    <w:rsid w:val="00835124"/>
    <w:rsid w:val="008351D4"/>
    <w:rsid w:val="008352E7"/>
    <w:rsid w:val="0083535A"/>
    <w:rsid w:val="00835397"/>
    <w:rsid w:val="0083546E"/>
    <w:rsid w:val="00835497"/>
    <w:rsid w:val="008354A3"/>
    <w:rsid w:val="0083551F"/>
    <w:rsid w:val="008355AC"/>
    <w:rsid w:val="008355E9"/>
    <w:rsid w:val="008356AA"/>
    <w:rsid w:val="0083570B"/>
    <w:rsid w:val="0083578E"/>
    <w:rsid w:val="0083578F"/>
    <w:rsid w:val="008358A5"/>
    <w:rsid w:val="008358C8"/>
    <w:rsid w:val="008358D0"/>
    <w:rsid w:val="0083594F"/>
    <w:rsid w:val="0083597D"/>
    <w:rsid w:val="00835B4F"/>
    <w:rsid w:val="00835CF2"/>
    <w:rsid w:val="00835D3A"/>
    <w:rsid w:val="00835F75"/>
    <w:rsid w:val="008360B4"/>
    <w:rsid w:val="00836130"/>
    <w:rsid w:val="0083615D"/>
    <w:rsid w:val="00836161"/>
    <w:rsid w:val="008362D0"/>
    <w:rsid w:val="008362EB"/>
    <w:rsid w:val="0083659F"/>
    <w:rsid w:val="008365D7"/>
    <w:rsid w:val="00836765"/>
    <w:rsid w:val="0083680B"/>
    <w:rsid w:val="00836816"/>
    <w:rsid w:val="008369E3"/>
    <w:rsid w:val="00836A72"/>
    <w:rsid w:val="00836AEE"/>
    <w:rsid w:val="00836B81"/>
    <w:rsid w:val="00836DCD"/>
    <w:rsid w:val="00836E79"/>
    <w:rsid w:val="00836EC6"/>
    <w:rsid w:val="00836EDE"/>
    <w:rsid w:val="0083703F"/>
    <w:rsid w:val="008370AD"/>
    <w:rsid w:val="008370DB"/>
    <w:rsid w:val="008371A9"/>
    <w:rsid w:val="008373AF"/>
    <w:rsid w:val="008374DC"/>
    <w:rsid w:val="0083756E"/>
    <w:rsid w:val="00837572"/>
    <w:rsid w:val="00837593"/>
    <w:rsid w:val="0083761B"/>
    <w:rsid w:val="00837665"/>
    <w:rsid w:val="0083773A"/>
    <w:rsid w:val="0083774F"/>
    <w:rsid w:val="0083777A"/>
    <w:rsid w:val="0083786D"/>
    <w:rsid w:val="008379F9"/>
    <w:rsid w:val="00837A1D"/>
    <w:rsid w:val="00837ACB"/>
    <w:rsid w:val="00837AE4"/>
    <w:rsid w:val="00837BEC"/>
    <w:rsid w:val="00837CD2"/>
    <w:rsid w:val="00837CEB"/>
    <w:rsid w:val="00837E3E"/>
    <w:rsid w:val="00837E68"/>
    <w:rsid w:val="0084004B"/>
    <w:rsid w:val="00840104"/>
    <w:rsid w:val="00840155"/>
    <w:rsid w:val="00840170"/>
    <w:rsid w:val="0084028C"/>
    <w:rsid w:val="008404CB"/>
    <w:rsid w:val="008404D5"/>
    <w:rsid w:val="00840575"/>
    <w:rsid w:val="0084058F"/>
    <w:rsid w:val="0084074F"/>
    <w:rsid w:val="0084084A"/>
    <w:rsid w:val="00840889"/>
    <w:rsid w:val="008408CE"/>
    <w:rsid w:val="00840924"/>
    <w:rsid w:val="00840959"/>
    <w:rsid w:val="00840B66"/>
    <w:rsid w:val="00840D5A"/>
    <w:rsid w:val="00841034"/>
    <w:rsid w:val="0084110F"/>
    <w:rsid w:val="00841142"/>
    <w:rsid w:val="00841182"/>
    <w:rsid w:val="00841460"/>
    <w:rsid w:val="0084157B"/>
    <w:rsid w:val="008415E6"/>
    <w:rsid w:val="00841699"/>
    <w:rsid w:val="008417CB"/>
    <w:rsid w:val="0084181B"/>
    <w:rsid w:val="00841ABC"/>
    <w:rsid w:val="00841AE2"/>
    <w:rsid w:val="00841AF9"/>
    <w:rsid w:val="00841B2B"/>
    <w:rsid w:val="00841B55"/>
    <w:rsid w:val="00841DC9"/>
    <w:rsid w:val="00841DD7"/>
    <w:rsid w:val="00841F81"/>
    <w:rsid w:val="00841FCB"/>
    <w:rsid w:val="00841FDC"/>
    <w:rsid w:val="00842064"/>
    <w:rsid w:val="0084208D"/>
    <w:rsid w:val="0084219E"/>
    <w:rsid w:val="00842275"/>
    <w:rsid w:val="008424C7"/>
    <w:rsid w:val="008425FA"/>
    <w:rsid w:val="00842658"/>
    <w:rsid w:val="00842676"/>
    <w:rsid w:val="008426A2"/>
    <w:rsid w:val="008426E2"/>
    <w:rsid w:val="00842768"/>
    <w:rsid w:val="0084278E"/>
    <w:rsid w:val="00842907"/>
    <w:rsid w:val="00842950"/>
    <w:rsid w:val="0084296B"/>
    <w:rsid w:val="00842A4F"/>
    <w:rsid w:val="00842A87"/>
    <w:rsid w:val="00842A88"/>
    <w:rsid w:val="00842CBD"/>
    <w:rsid w:val="00842CC0"/>
    <w:rsid w:val="00842D3F"/>
    <w:rsid w:val="00842DAC"/>
    <w:rsid w:val="00842DED"/>
    <w:rsid w:val="00842F6A"/>
    <w:rsid w:val="00842F9D"/>
    <w:rsid w:val="00842FF1"/>
    <w:rsid w:val="008430D1"/>
    <w:rsid w:val="008430D4"/>
    <w:rsid w:val="008431DD"/>
    <w:rsid w:val="00843273"/>
    <w:rsid w:val="008432EF"/>
    <w:rsid w:val="008432F8"/>
    <w:rsid w:val="0084331A"/>
    <w:rsid w:val="00843327"/>
    <w:rsid w:val="008434CB"/>
    <w:rsid w:val="008434F0"/>
    <w:rsid w:val="0084358D"/>
    <w:rsid w:val="008436A7"/>
    <w:rsid w:val="00843736"/>
    <w:rsid w:val="0084374E"/>
    <w:rsid w:val="008438BD"/>
    <w:rsid w:val="00843902"/>
    <w:rsid w:val="00843992"/>
    <w:rsid w:val="008439AD"/>
    <w:rsid w:val="00843A8C"/>
    <w:rsid w:val="00843B04"/>
    <w:rsid w:val="00843C20"/>
    <w:rsid w:val="00843C32"/>
    <w:rsid w:val="00843C3E"/>
    <w:rsid w:val="00843C81"/>
    <w:rsid w:val="00843D9E"/>
    <w:rsid w:val="00843E26"/>
    <w:rsid w:val="00843F06"/>
    <w:rsid w:val="008440AA"/>
    <w:rsid w:val="008440B9"/>
    <w:rsid w:val="0084410A"/>
    <w:rsid w:val="00844155"/>
    <w:rsid w:val="0084415A"/>
    <w:rsid w:val="008442F1"/>
    <w:rsid w:val="008443B3"/>
    <w:rsid w:val="00844490"/>
    <w:rsid w:val="008444CC"/>
    <w:rsid w:val="0084453F"/>
    <w:rsid w:val="0084464A"/>
    <w:rsid w:val="00844783"/>
    <w:rsid w:val="00844831"/>
    <w:rsid w:val="0084486D"/>
    <w:rsid w:val="00844894"/>
    <w:rsid w:val="00844A9E"/>
    <w:rsid w:val="00844B03"/>
    <w:rsid w:val="00844C9B"/>
    <w:rsid w:val="00844D89"/>
    <w:rsid w:val="00844DB2"/>
    <w:rsid w:val="00844E15"/>
    <w:rsid w:val="00844EF2"/>
    <w:rsid w:val="00844F41"/>
    <w:rsid w:val="00844FCC"/>
    <w:rsid w:val="008451B4"/>
    <w:rsid w:val="008451CE"/>
    <w:rsid w:val="0084520D"/>
    <w:rsid w:val="0084526A"/>
    <w:rsid w:val="008452C5"/>
    <w:rsid w:val="008452CF"/>
    <w:rsid w:val="00845326"/>
    <w:rsid w:val="0084538F"/>
    <w:rsid w:val="00845452"/>
    <w:rsid w:val="008454B0"/>
    <w:rsid w:val="008455D9"/>
    <w:rsid w:val="00845660"/>
    <w:rsid w:val="0084567B"/>
    <w:rsid w:val="0084569E"/>
    <w:rsid w:val="008457C8"/>
    <w:rsid w:val="008457EE"/>
    <w:rsid w:val="00845818"/>
    <w:rsid w:val="00845862"/>
    <w:rsid w:val="008458A1"/>
    <w:rsid w:val="00845961"/>
    <w:rsid w:val="008459A0"/>
    <w:rsid w:val="008459A8"/>
    <w:rsid w:val="00845A03"/>
    <w:rsid w:val="00845AA3"/>
    <w:rsid w:val="00845BB6"/>
    <w:rsid w:val="00845BC1"/>
    <w:rsid w:val="00845D22"/>
    <w:rsid w:val="00845D52"/>
    <w:rsid w:val="00845DBB"/>
    <w:rsid w:val="00845FD5"/>
    <w:rsid w:val="00846067"/>
    <w:rsid w:val="0084613B"/>
    <w:rsid w:val="00846156"/>
    <w:rsid w:val="008461EC"/>
    <w:rsid w:val="0084621E"/>
    <w:rsid w:val="008467C1"/>
    <w:rsid w:val="00846810"/>
    <w:rsid w:val="008468E3"/>
    <w:rsid w:val="00846982"/>
    <w:rsid w:val="00846AC1"/>
    <w:rsid w:val="00846B10"/>
    <w:rsid w:val="00846B1C"/>
    <w:rsid w:val="00846B5B"/>
    <w:rsid w:val="00846BF4"/>
    <w:rsid w:val="00846BFF"/>
    <w:rsid w:val="00846CBF"/>
    <w:rsid w:val="00846D19"/>
    <w:rsid w:val="00846D6C"/>
    <w:rsid w:val="00846DA1"/>
    <w:rsid w:val="00846E14"/>
    <w:rsid w:val="00846ED6"/>
    <w:rsid w:val="00846F81"/>
    <w:rsid w:val="008470F8"/>
    <w:rsid w:val="00847189"/>
    <w:rsid w:val="008472F2"/>
    <w:rsid w:val="008473E8"/>
    <w:rsid w:val="00847433"/>
    <w:rsid w:val="008474FB"/>
    <w:rsid w:val="00847571"/>
    <w:rsid w:val="008475BD"/>
    <w:rsid w:val="00847644"/>
    <w:rsid w:val="0084764C"/>
    <w:rsid w:val="008476D6"/>
    <w:rsid w:val="008476E8"/>
    <w:rsid w:val="00847700"/>
    <w:rsid w:val="00847706"/>
    <w:rsid w:val="008477B6"/>
    <w:rsid w:val="0084780C"/>
    <w:rsid w:val="0084784D"/>
    <w:rsid w:val="00847970"/>
    <w:rsid w:val="00847972"/>
    <w:rsid w:val="00847983"/>
    <w:rsid w:val="008479C9"/>
    <w:rsid w:val="008479DD"/>
    <w:rsid w:val="00847B55"/>
    <w:rsid w:val="00847BDB"/>
    <w:rsid w:val="00847BF5"/>
    <w:rsid w:val="00847CAD"/>
    <w:rsid w:val="00847D31"/>
    <w:rsid w:val="00847EC7"/>
    <w:rsid w:val="00847F10"/>
    <w:rsid w:val="00847F58"/>
    <w:rsid w:val="00847F6B"/>
    <w:rsid w:val="008500F5"/>
    <w:rsid w:val="00850107"/>
    <w:rsid w:val="008501A6"/>
    <w:rsid w:val="00850579"/>
    <w:rsid w:val="0085059F"/>
    <w:rsid w:val="008505E0"/>
    <w:rsid w:val="008506E2"/>
    <w:rsid w:val="008507CC"/>
    <w:rsid w:val="008508F3"/>
    <w:rsid w:val="00850988"/>
    <w:rsid w:val="00850A36"/>
    <w:rsid w:val="00850AC4"/>
    <w:rsid w:val="00850B02"/>
    <w:rsid w:val="00850B36"/>
    <w:rsid w:val="00850BC1"/>
    <w:rsid w:val="00850C1B"/>
    <w:rsid w:val="00850CB0"/>
    <w:rsid w:val="00850CED"/>
    <w:rsid w:val="00850D29"/>
    <w:rsid w:val="00850D52"/>
    <w:rsid w:val="00850E4E"/>
    <w:rsid w:val="00850ED6"/>
    <w:rsid w:val="00850F09"/>
    <w:rsid w:val="00851040"/>
    <w:rsid w:val="0085105F"/>
    <w:rsid w:val="00851182"/>
    <w:rsid w:val="00851362"/>
    <w:rsid w:val="008513A0"/>
    <w:rsid w:val="008513FF"/>
    <w:rsid w:val="00851462"/>
    <w:rsid w:val="008514C6"/>
    <w:rsid w:val="008514D6"/>
    <w:rsid w:val="008514E5"/>
    <w:rsid w:val="008515C7"/>
    <w:rsid w:val="008515D3"/>
    <w:rsid w:val="00851686"/>
    <w:rsid w:val="008516F9"/>
    <w:rsid w:val="0085176B"/>
    <w:rsid w:val="0085180C"/>
    <w:rsid w:val="0085187D"/>
    <w:rsid w:val="00851A0F"/>
    <w:rsid w:val="00851B87"/>
    <w:rsid w:val="00851C04"/>
    <w:rsid w:val="00851C3F"/>
    <w:rsid w:val="00851CA2"/>
    <w:rsid w:val="00851D91"/>
    <w:rsid w:val="00851DF9"/>
    <w:rsid w:val="00851E21"/>
    <w:rsid w:val="00851EA3"/>
    <w:rsid w:val="00851ECE"/>
    <w:rsid w:val="00851ED1"/>
    <w:rsid w:val="00851EEB"/>
    <w:rsid w:val="00851F27"/>
    <w:rsid w:val="00851F5B"/>
    <w:rsid w:val="00852024"/>
    <w:rsid w:val="00852148"/>
    <w:rsid w:val="008521C8"/>
    <w:rsid w:val="00852293"/>
    <w:rsid w:val="008524B2"/>
    <w:rsid w:val="008524B8"/>
    <w:rsid w:val="008526D2"/>
    <w:rsid w:val="00852741"/>
    <w:rsid w:val="0085280C"/>
    <w:rsid w:val="00852812"/>
    <w:rsid w:val="008528D9"/>
    <w:rsid w:val="008528F2"/>
    <w:rsid w:val="00852AC7"/>
    <w:rsid w:val="00852B24"/>
    <w:rsid w:val="00852BC8"/>
    <w:rsid w:val="00852C6B"/>
    <w:rsid w:val="00852CC3"/>
    <w:rsid w:val="00852D8A"/>
    <w:rsid w:val="00852DBF"/>
    <w:rsid w:val="00852DCA"/>
    <w:rsid w:val="00852EC2"/>
    <w:rsid w:val="00852F77"/>
    <w:rsid w:val="00852F9E"/>
    <w:rsid w:val="00852FAD"/>
    <w:rsid w:val="00852FCE"/>
    <w:rsid w:val="00852FFA"/>
    <w:rsid w:val="00853087"/>
    <w:rsid w:val="008530D1"/>
    <w:rsid w:val="008531C0"/>
    <w:rsid w:val="00853289"/>
    <w:rsid w:val="008532AF"/>
    <w:rsid w:val="00853392"/>
    <w:rsid w:val="008533B9"/>
    <w:rsid w:val="008533C2"/>
    <w:rsid w:val="008534FB"/>
    <w:rsid w:val="0085353A"/>
    <w:rsid w:val="00853541"/>
    <w:rsid w:val="008538E8"/>
    <w:rsid w:val="00853976"/>
    <w:rsid w:val="00853ABF"/>
    <w:rsid w:val="00853B4C"/>
    <w:rsid w:val="00853E68"/>
    <w:rsid w:val="00853F8A"/>
    <w:rsid w:val="00854014"/>
    <w:rsid w:val="0085407C"/>
    <w:rsid w:val="008540F3"/>
    <w:rsid w:val="008544C5"/>
    <w:rsid w:val="00854584"/>
    <w:rsid w:val="008546AC"/>
    <w:rsid w:val="00854720"/>
    <w:rsid w:val="0085475F"/>
    <w:rsid w:val="00854839"/>
    <w:rsid w:val="00854873"/>
    <w:rsid w:val="00854B95"/>
    <w:rsid w:val="00854BE8"/>
    <w:rsid w:val="00854C9B"/>
    <w:rsid w:val="00854CBD"/>
    <w:rsid w:val="00854DEF"/>
    <w:rsid w:val="00854E20"/>
    <w:rsid w:val="00854E76"/>
    <w:rsid w:val="00854F38"/>
    <w:rsid w:val="00854FA0"/>
    <w:rsid w:val="00854FA8"/>
    <w:rsid w:val="00854FDB"/>
    <w:rsid w:val="00855014"/>
    <w:rsid w:val="00855046"/>
    <w:rsid w:val="00855246"/>
    <w:rsid w:val="00855256"/>
    <w:rsid w:val="008552BC"/>
    <w:rsid w:val="0085534B"/>
    <w:rsid w:val="00855447"/>
    <w:rsid w:val="008554CC"/>
    <w:rsid w:val="00855642"/>
    <w:rsid w:val="00855669"/>
    <w:rsid w:val="008556A2"/>
    <w:rsid w:val="008557A6"/>
    <w:rsid w:val="00855815"/>
    <w:rsid w:val="00855902"/>
    <w:rsid w:val="00855AFD"/>
    <w:rsid w:val="00855C12"/>
    <w:rsid w:val="00855C27"/>
    <w:rsid w:val="00855C6A"/>
    <w:rsid w:val="00855CB8"/>
    <w:rsid w:val="00855D19"/>
    <w:rsid w:val="00855D3E"/>
    <w:rsid w:val="00855FF4"/>
    <w:rsid w:val="0085604F"/>
    <w:rsid w:val="008560A5"/>
    <w:rsid w:val="008560D3"/>
    <w:rsid w:val="008561B5"/>
    <w:rsid w:val="0085633C"/>
    <w:rsid w:val="0085651E"/>
    <w:rsid w:val="00856531"/>
    <w:rsid w:val="00856560"/>
    <w:rsid w:val="00856649"/>
    <w:rsid w:val="00856689"/>
    <w:rsid w:val="00856711"/>
    <w:rsid w:val="0085680F"/>
    <w:rsid w:val="00856840"/>
    <w:rsid w:val="00856A0D"/>
    <w:rsid w:val="00856AAA"/>
    <w:rsid w:val="00856E7D"/>
    <w:rsid w:val="00856EE1"/>
    <w:rsid w:val="00856F8D"/>
    <w:rsid w:val="0085705B"/>
    <w:rsid w:val="008570BD"/>
    <w:rsid w:val="008570E0"/>
    <w:rsid w:val="008571AF"/>
    <w:rsid w:val="008571E4"/>
    <w:rsid w:val="00857290"/>
    <w:rsid w:val="008572AB"/>
    <w:rsid w:val="008572EE"/>
    <w:rsid w:val="0085731C"/>
    <w:rsid w:val="008573BA"/>
    <w:rsid w:val="0085742B"/>
    <w:rsid w:val="008574B6"/>
    <w:rsid w:val="0085750B"/>
    <w:rsid w:val="00857538"/>
    <w:rsid w:val="00857544"/>
    <w:rsid w:val="008576AF"/>
    <w:rsid w:val="008576BA"/>
    <w:rsid w:val="008576E8"/>
    <w:rsid w:val="008577BB"/>
    <w:rsid w:val="0085788D"/>
    <w:rsid w:val="00857969"/>
    <w:rsid w:val="00857B94"/>
    <w:rsid w:val="00857C32"/>
    <w:rsid w:val="00857C98"/>
    <w:rsid w:val="00857D06"/>
    <w:rsid w:val="00857D2E"/>
    <w:rsid w:val="00857DE9"/>
    <w:rsid w:val="00857DF6"/>
    <w:rsid w:val="00857F2D"/>
    <w:rsid w:val="00857FC5"/>
    <w:rsid w:val="00857FF3"/>
    <w:rsid w:val="008600F2"/>
    <w:rsid w:val="008604BB"/>
    <w:rsid w:val="008604E1"/>
    <w:rsid w:val="0086050E"/>
    <w:rsid w:val="00860533"/>
    <w:rsid w:val="00860562"/>
    <w:rsid w:val="008605C1"/>
    <w:rsid w:val="008605D0"/>
    <w:rsid w:val="008605DD"/>
    <w:rsid w:val="008605E9"/>
    <w:rsid w:val="00860664"/>
    <w:rsid w:val="00860679"/>
    <w:rsid w:val="00860707"/>
    <w:rsid w:val="00860756"/>
    <w:rsid w:val="00860820"/>
    <w:rsid w:val="0086093C"/>
    <w:rsid w:val="0086096E"/>
    <w:rsid w:val="00860974"/>
    <w:rsid w:val="00860A20"/>
    <w:rsid w:val="00860A89"/>
    <w:rsid w:val="00860CCF"/>
    <w:rsid w:val="00860D3B"/>
    <w:rsid w:val="00860D60"/>
    <w:rsid w:val="00860F16"/>
    <w:rsid w:val="00860F73"/>
    <w:rsid w:val="00860FB6"/>
    <w:rsid w:val="0086117E"/>
    <w:rsid w:val="00861225"/>
    <w:rsid w:val="00861328"/>
    <w:rsid w:val="0086134B"/>
    <w:rsid w:val="00861399"/>
    <w:rsid w:val="00861474"/>
    <w:rsid w:val="0086155F"/>
    <w:rsid w:val="0086159D"/>
    <w:rsid w:val="008615C9"/>
    <w:rsid w:val="008615FC"/>
    <w:rsid w:val="008615FE"/>
    <w:rsid w:val="008616B2"/>
    <w:rsid w:val="008618D5"/>
    <w:rsid w:val="008619DA"/>
    <w:rsid w:val="00861AC5"/>
    <w:rsid w:val="00861AD0"/>
    <w:rsid w:val="00861B4C"/>
    <w:rsid w:val="00861BBD"/>
    <w:rsid w:val="00861BF8"/>
    <w:rsid w:val="00861D91"/>
    <w:rsid w:val="00861DD3"/>
    <w:rsid w:val="00861E1B"/>
    <w:rsid w:val="00861EE4"/>
    <w:rsid w:val="00861F2C"/>
    <w:rsid w:val="00861FB7"/>
    <w:rsid w:val="00862041"/>
    <w:rsid w:val="0086207A"/>
    <w:rsid w:val="008620BE"/>
    <w:rsid w:val="00862196"/>
    <w:rsid w:val="008621D1"/>
    <w:rsid w:val="00862257"/>
    <w:rsid w:val="00862272"/>
    <w:rsid w:val="008622B5"/>
    <w:rsid w:val="00862385"/>
    <w:rsid w:val="00862468"/>
    <w:rsid w:val="00862501"/>
    <w:rsid w:val="0086263C"/>
    <w:rsid w:val="008626DB"/>
    <w:rsid w:val="00862717"/>
    <w:rsid w:val="008627BB"/>
    <w:rsid w:val="0086281B"/>
    <w:rsid w:val="008628A9"/>
    <w:rsid w:val="00862A19"/>
    <w:rsid w:val="00862A93"/>
    <w:rsid w:val="00862AF9"/>
    <w:rsid w:val="00862B56"/>
    <w:rsid w:val="00862C04"/>
    <w:rsid w:val="00862FE4"/>
    <w:rsid w:val="00863007"/>
    <w:rsid w:val="008630F5"/>
    <w:rsid w:val="0086316E"/>
    <w:rsid w:val="0086319A"/>
    <w:rsid w:val="0086356F"/>
    <w:rsid w:val="00863585"/>
    <w:rsid w:val="0086364C"/>
    <w:rsid w:val="00863805"/>
    <w:rsid w:val="0086394C"/>
    <w:rsid w:val="00863985"/>
    <w:rsid w:val="008639AE"/>
    <w:rsid w:val="00863A26"/>
    <w:rsid w:val="00863A4E"/>
    <w:rsid w:val="00863AC6"/>
    <w:rsid w:val="00863BF6"/>
    <w:rsid w:val="00863C3B"/>
    <w:rsid w:val="00863C6D"/>
    <w:rsid w:val="00863D2E"/>
    <w:rsid w:val="00863D56"/>
    <w:rsid w:val="00863DE6"/>
    <w:rsid w:val="00863F86"/>
    <w:rsid w:val="00863FC8"/>
    <w:rsid w:val="00864051"/>
    <w:rsid w:val="0086409F"/>
    <w:rsid w:val="00864131"/>
    <w:rsid w:val="00864207"/>
    <w:rsid w:val="0086422A"/>
    <w:rsid w:val="00864281"/>
    <w:rsid w:val="008642DD"/>
    <w:rsid w:val="00864361"/>
    <w:rsid w:val="00864587"/>
    <w:rsid w:val="00864649"/>
    <w:rsid w:val="008646E8"/>
    <w:rsid w:val="00864709"/>
    <w:rsid w:val="00864768"/>
    <w:rsid w:val="008647BB"/>
    <w:rsid w:val="008648AB"/>
    <w:rsid w:val="008648CC"/>
    <w:rsid w:val="00864B19"/>
    <w:rsid w:val="00864CAA"/>
    <w:rsid w:val="00864E95"/>
    <w:rsid w:val="00864ECE"/>
    <w:rsid w:val="00864FAE"/>
    <w:rsid w:val="0086518C"/>
    <w:rsid w:val="00865330"/>
    <w:rsid w:val="008653AE"/>
    <w:rsid w:val="00865430"/>
    <w:rsid w:val="0086545D"/>
    <w:rsid w:val="0086558E"/>
    <w:rsid w:val="00865773"/>
    <w:rsid w:val="0086594A"/>
    <w:rsid w:val="00865954"/>
    <w:rsid w:val="00865A2B"/>
    <w:rsid w:val="00865A33"/>
    <w:rsid w:val="00865BC8"/>
    <w:rsid w:val="00865D11"/>
    <w:rsid w:val="00865D60"/>
    <w:rsid w:val="00865E01"/>
    <w:rsid w:val="00865F91"/>
    <w:rsid w:val="00865FA0"/>
    <w:rsid w:val="00866198"/>
    <w:rsid w:val="008661A3"/>
    <w:rsid w:val="008661B7"/>
    <w:rsid w:val="00866210"/>
    <w:rsid w:val="008662CB"/>
    <w:rsid w:val="008664BD"/>
    <w:rsid w:val="00866593"/>
    <w:rsid w:val="008665BE"/>
    <w:rsid w:val="00866890"/>
    <w:rsid w:val="008669E0"/>
    <w:rsid w:val="00866A2A"/>
    <w:rsid w:val="00866AAA"/>
    <w:rsid w:val="00866B8B"/>
    <w:rsid w:val="00866CA4"/>
    <w:rsid w:val="00866CBD"/>
    <w:rsid w:val="00866EA0"/>
    <w:rsid w:val="00866EBB"/>
    <w:rsid w:val="00866FF6"/>
    <w:rsid w:val="008670E8"/>
    <w:rsid w:val="00867107"/>
    <w:rsid w:val="00867249"/>
    <w:rsid w:val="00867337"/>
    <w:rsid w:val="008673CB"/>
    <w:rsid w:val="00867403"/>
    <w:rsid w:val="00867497"/>
    <w:rsid w:val="00867503"/>
    <w:rsid w:val="00867582"/>
    <w:rsid w:val="0086759B"/>
    <w:rsid w:val="00867612"/>
    <w:rsid w:val="0086770C"/>
    <w:rsid w:val="008677D3"/>
    <w:rsid w:val="008677E7"/>
    <w:rsid w:val="0086780F"/>
    <w:rsid w:val="008678BE"/>
    <w:rsid w:val="00867932"/>
    <w:rsid w:val="008679DA"/>
    <w:rsid w:val="00867A09"/>
    <w:rsid w:val="00867A6A"/>
    <w:rsid w:val="00867AC4"/>
    <w:rsid w:val="00867B21"/>
    <w:rsid w:val="00867BFC"/>
    <w:rsid w:val="00867C1F"/>
    <w:rsid w:val="00867C36"/>
    <w:rsid w:val="00867C6B"/>
    <w:rsid w:val="00867C75"/>
    <w:rsid w:val="00867CBF"/>
    <w:rsid w:val="00867D9B"/>
    <w:rsid w:val="00867DF9"/>
    <w:rsid w:val="00867E5B"/>
    <w:rsid w:val="00867F2A"/>
    <w:rsid w:val="00867F7A"/>
    <w:rsid w:val="0087000A"/>
    <w:rsid w:val="00870056"/>
    <w:rsid w:val="0087015B"/>
    <w:rsid w:val="00870225"/>
    <w:rsid w:val="0087026E"/>
    <w:rsid w:val="00870332"/>
    <w:rsid w:val="0087047F"/>
    <w:rsid w:val="00870589"/>
    <w:rsid w:val="00870650"/>
    <w:rsid w:val="00870713"/>
    <w:rsid w:val="00870789"/>
    <w:rsid w:val="008708C9"/>
    <w:rsid w:val="00870AA7"/>
    <w:rsid w:val="00870B09"/>
    <w:rsid w:val="00870B30"/>
    <w:rsid w:val="00870B48"/>
    <w:rsid w:val="00870BE7"/>
    <w:rsid w:val="00870C5D"/>
    <w:rsid w:val="00870C9E"/>
    <w:rsid w:val="00870D19"/>
    <w:rsid w:val="00870D99"/>
    <w:rsid w:val="00870D9D"/>
    <w:rsid w:val="00870FB6"/>
    <w:rsid w:val="00871141"/>
    <w:rsid w:val="008711BB"/>
    <w:rsid w:val="008711F2"/>
    <w:rsid w:val="00871236"/>
    <w:rsid w:val="008712BE"/>
    <w:rsid w:val="0087130F"/>
    <w:rsid w:val="0087136F"/>
    <w:rsid w:val="00871379"/>
    <w:rsid w:val="00871382"/>
    <w:rsid w:val="008713DA"/>
    <w:rsid w:val="0087143C"/>
    <w:rsid w:val="008714E6"/>
    <w:rsid w:val="008714FD"/>
    <w:rsid w:val="0087165D"/>
    <w:rsid w:val="008716C0"/>
    <w:rsid w:val="00871956"/>
    <w:rsid w:val="00871964"/>
    <w:rsid w:val="00871A0F"/>
    <w:rsid w:val="00871A17"/>
    <w:rsid w:val="00871AED"/>
    <w:rsid w:val="00871B11"/>
    <w:rsid w:val="00871B92"/>
    <w:rsid w:val="00871C78"/>
    <w:rsid w:val="00871CA9"/>
    <w:rsid w:val="00871D8C"/>
    <w:rsid w:val="00871E9B"/>
    <w:rsid w:val="00871EBC"/>
    <w:rsid w:val="00871ECF"/>
    <w:rsid w:val="00871FED"/>
    <w:rsid w:val="00872063"/>
    <w:rsid w:val="0087207C"/>
    <w:rsid w:val="00872097"/>
    <w:rsid w:val="0087218D"/>
    <w:rsid w:val="00872300"/>
    <w:rsid w:val="00872301"/>
    <w:rsid w:val="008723F1"/>
    <w:rsid w:val="00872431"/>
    <w:rsid w:val="0087245F"/>
    <w:rsid w:val="008724F1"/>
    <w:rsid w:val="008725B7"/>
    <w:rsid w:val="008725B9"/>
    <w:rsid w:val="008725C7"/>
    <w:rsid w:val="0087269E"/>
    <w:rsid w:val="0087278F"/>
    <w:rsid w:val="008727E4"/>
    <w:rsid w:val="0087286C"/>
    <w:rsid w:val="0087294A"/>
    <w:rsid w:val="00872974"/>
    <w:rsid w:val="008729FC"/>
    <w:rsid w:val="00872AAA"/>
    <w:rsid w:val="00872B66"/>
    <w:rsid w:val="00872CE1"/>
    <w:rsid w:val="00872D54"/>
    <w:rsid w:val="00872E3E"/>
    <w:rsid w:val="00872E47"/>
    <w:rsid w:val="00872EED"/>
    <w:rsid w:val="00872F9E"/>
    <w:rsid w:val="0087305E"/>
    <w:rsid w:val="00873090"/>
    <w:rsid w:val="00873158"/>
    <w:rsid w:val="008731B2"/>
    <w:rsid w:val="0087329B"/>
    <w:rsid w:val="0087329F"/>
    <w:rsid w:val="00873395"/>
    <w:rsid w:val="008735F3"/>
    <w:rsid w:val="00873633"/>
    <w:rsid w:val="00873673"/>
    <w:rsid w:val="00873677"/>
    <w:rsid w:val="00873679"/>
    <w:rsid w:val="008738DC"/>
    <w:rsid w:val="00873928"/>
    <w:rsid w:val="00873947"/>
    <w:rsid w:val="00873953"/>
    <w:rsid w:val="008739D8"/>
    <w:rsid w:val="00873B64"/>
    <w:rsid w:val="00873BDA"/>
    <w:rsid w:val="00873CA1"/>
    <w:rsid w:val="00873CF0"/>
    <w:rsid w:val="00873D01"/>
    <w:rsid w:val="00873DC1"/>
    <w:rsid w:val="00873DFE"/>
    <w:rsid w:val="00873F6E"/>
    <w:rsid w:val="00873F84"/>
    <w:rsid w:val="00873FDC"/>
    <w:rsid w:val="00874060"/>
    <w:rsid w:val="00874226"/>
    <w:rsid w:val="008742D9"/>
    <w:rsid w:val="00874357"/>
    <w:rsid w:val="0087437C"/>
    <w:rsid w:val="008743D1"/>
    <w:rsid w:val="008743EE"/>
    <w:rsid w:val="00874504"/>
    <w:rsid w:val="0087457C"/>
    <w:rsid w:val="0087458C"/>
    <w:rsid w:val="00874712"/>
    <w:rsid w:val="0087471F"/>
    <w:rsid w:val="00874763"/>
    <w:rsid w:val="008747AB"/>
    <w:rsid w:val="008747B5"/>
    <w:rsid w:val="00874866"/>
    <w:rsid w:val="008748C5"/>
    <w:rsid w:val="00874A00"/>
    <w:rsid w:val="00874A09"/>
    <w:rsid w:val="00874A10"/>
    <w:rsid w:val="00874AB7"/>
    <w:rsid w:val="00874ACB"/>
    <w:rsid w:val="00874B3F"/>
    <w:rsid w:val="00874B50"/>
    <w:rsid w:val="00874B57"/>
    <w:rsid w:val="00874B8F"/>
    <w:rsid w:val="00874BFC"/>
    <w:rsid w:val="00874C89"/>
    <w:rsid w:val="00874E74"/>
    <w:rsid w:val="00874E9B"/>
    <w:rsid w:val="008750A9"/>
    <w:rsid w:val="008751A6"/>
    <w:rsid w:val="008751B4"/>
    <w:rsid w:val="00875270"/>
    <w:rsid w:val="008752A6"/>
    <w:rsid w:val="00875390"/>
    <w:rsid w:val="008753D4"/>
    <w:rsid w:val="0087540E"/>
    <w:rsid w:val="00875519"/>
    <w:rsid w:val="00875520"/>
    <w:rsid w:val="00875521"/>
    <w:rsid w:val="00875526"/>
    <w:rsid w:val="008756FD"/>
    <w:rsid w:val="00875713"/>
    <w:rsid w:val="0087571E"/>
    <w:rsid w:val="008758BE"/>
    <w:rsid w:val="00875988"/>
    <w:rsid w:val="00875B3B"/>
    <w:rsid w:val="00875B9B"/>
    <w:rsid w:val="00875BE5"/>
    <w:rsid w:val="00875C1E"/>
    <w:rsid w:val="00875D34"/>
    <w:rsid w:val="00875D9C"/>
    <w:rsid w:val="00875E98"/>
    <w:rsid w:val="00875FA6"/>
    <w:rsid w:val="00875FD5"/>
    <w:rsid w:val="00876057"/>
    <w:rsid w:val="00876120"/>
    <w:rsid w:val="00876184"/>
    <w:rsid w:val="008761DF"/>
    <w:rsid w:val="0087628D"/>
    <w:rsid w:val="00876471"/>
    <w:rsid w:val="0087649D"/>
    <w:rsid w:val="008764D3"/>
    <w:rsid w:val="008764F9"/>
    <w:rsid w:val="0087651F"/>
    <w:rsid w:val="00876535"/>
    <w:rsid w:val="0087656B"/>
    <w:rsid w:val="00876572"/>
    <w:rsid w:val="0087659D"/>
    <w:rsid w:val="00876786"/>
    <w:rsid w:val="00876A60"/>
    <w:rsid w:val="00876B99"/>
    <w:rsid w:val="00876BA4"/>
    <w:rsid w:val="00876D6E"/>
    <w:rsid w:val="00876DF3"/>
    <w:rsid w:val="00876F30"/>
    <w:rsid w:val="00877063"/>
    <w:rsid w:val="008770F7"/>
    <w:rsid w:val="008771D0"/>
    <w:rsid w:val="00877222"/>
    <w:rsid w:val="008772F8"/>
    <w:rsid w:val="00877376"/>
    <w:rsid w:val="00877456"/>
    <w:rsid w:val="00877482"/>
    <w:rsid w:val="008774D0"/>
    <w:rsid w:val="00877549"/>
    <w:rsid w:val="008776BD"/>
    <w:rsid w:val="00877707"/>
    <w:rsid w:val="0087771C"/>
    <w:rsid w:val="0087776A"/>
    <w:rsid w:val="00877796"/>
    <w:rsid w:val="008777AC"/>
    <w:rsid w:val="00877A1F"/>
    <w:rsid w:val="00877ADE"/>
    <w:rsid w:val="00877B12"/>
    <w:rsid w:val="00877BBF"/>
    <w:rsid w:val="00877C9B"/>
    <w:rsid w:val="00877CD3"/>
    <w:rsid w:val="00877DC5"/>
    <w:rsid w:val="00877E74"/>
    <w:rsid w:val="00877EE1"/>
    <w:rsid w:val="00877F2F"/>
    <w:rsid w:val="00877FD0"/>
    <w:rsid w:val="00880082"/>
    <w:rsid w:val="00880095"/>
    <w:rsid w:val="00880162"/>
    <w:rsid w:val="00880243"/>
    <w:rsid w:val="0088026C"/>
    <w:rsid w:val="008802EB"/>
    <w:rsid w:val="0088031C"/>
    <w:rsid w:val="008804B7"/>
    <w:rsid w:val="008807E2"/>
    <w:rsid w:val="008808F5"/>
    <w:rsid w:val="00880919"/>
    <w:rsid w:val="0088097A"/>
    <w:rsid w:val="00880995"/>
    <w:rsid w:val="00880A19"/>
    <w:rsid w:val="00880A9F"/>
    <w:rsid w:val="00880BD2"/>
    <w:rsid w:val="00880C09"/>
    <w:rsid w:val="00880C95"/>
    <w:rsid w:val="00880DDA"/>
    <w:rsid w:val="00880DDB"/>
    <w:rsid w:val="00880E86"/>
    <w:rsid w:val="00880EDB"/>
    <w:rsid w:val="00880F21"/>
    <w:rsid w:val="00880F9E"/>
    <w:rsid w:val="00880FA0"/>
    <w:rsid w:val="0088102B"/>
    <w:rsid w:val="0088118D"/>
    <w:rsid w:val="008811D7"/>
    <w:rsid w:val="00881280"/>
    <w:rsid w:val="008812D8"/>
    <w:rsid w:val="0088132B"/>
    <w:rsid w:val="0088148A"/>
    <w:rsid w:val="008814C8"/>
    <w:rsid w:val="008814F4"/>
    <w:rsid w:val="008815B0"/>
    <w:rsid w:val="0088161A"/>
    <w:rsid w:val="00881674"/>
    <w:rsid w:val="008816C5"/>
    <w:rsid w:val="00881780"/>
    <w:rsid w:val="008817F3"/>
    <w:rsid w:val="00881978"/>
    <w:rsid w:val="00881A62"/>
    <w:rsid w:val="00881AF7"/>
    <w:rsid w:val="00881B02"/>
    <w:rsid w:val="00881B71"/>
    <w:rsid w:val="00881BD8"/>
    <w:rsid w:val="00881C30"/>
    <w:rsid w:val="00881CB7"/>
    <w:rsid w:val="00881DE7"/>
    <w:rsid w:val="00881F47"/>
    <w:rsid w:val="00881FEC"/>
    <w:rsid w:val="008821BD"/>
    <w:rsid w:val="008822ED"/>
    <w:rsid w:val="0088235E"/>
    <w:rsid w:val="00882383"/>
    <w:rsid w:val="0088238A"/>
    <w:rsid w:val="008824A3"/>
    <w:rsid w:val="00882560"/>
    <w:rsid w:val="0088259F"/>
    <w:rsid w:val="00882615"/>
    <w:rsid w:val="0088267B"/>
    <w:rsid w:val="008826E0"/>
    <w:rsid w:val="00882888"/>
    <w:rsid w:val="008828B7"/>
    <w:rsid w:val="008829B2"/>
    <w:rsid w:val="008829BD"/>
    <w:rsid w:val="008829C7"/>
    <w:rsid w:val="008829C9"/>
    <w:rsid w:val="008829FB"/>
    <w:rsid w:val="00882B45"/>
    <w:rsid w:val="00882BE8"/>
    <w:rsid w:val="00882C3C"/>
    <w:rsid w:val="00882D52"/>
    <w:rsid w:val="00882DBA"/>
    <w:rsid w:val="00882F53"/>
    <w:rsid w:val="00882F7A"/>
    <w:rsid w:val="00883126"/>
    <w:rsid w:val="008832EF"/>
    <w:rsid w:val="00883320"/>
    <w:rsid w:val="008834E6"/>
    <w:rsid w:val="0088356A"/>
    <w:rsid w:val="008835AA"/>
    <w:rsid w:val="008835AB"/>
    <w:rsid w:val="00883696"/>
    <w:rsid w:val="00883735"/>
    <w:rsid w:val="00883764"/>
    <w:rsid w:val="00883771"/>
    <w:rsid w:val="00883807"/>
    <w:rsid w:val="00883992"/>
    <w:rsid w:val="008839DC"/>
    <w:rsid w:val="00883A6A"/>
    <w:rsid w:val="00883C54"/>
    <w:rsid w:val="00883C69"/>
    <w:rsid w:val="00883C84"/>
    <w:rsid w:val="00883CB8"/>
    <w:rsid w:val="00883CFB"/>
    <w:rsid w:val="00883DF0"/>
    <w:rsid w:val="00883E20"/>
    <w:rsid w:val="00883E3D"/>
    <w:rsid w:val="00884034"/>
    <w:rsid w:val="0088409D"/>
    <w:rsid w:val="00884173"/>
    <w:rsid w:val="00884224"/>
    <w:rsid w:val="008843FB"/>
    <w:rsid w:val="00884589"/>
    <w:rsid w:val="00884642"/>
    <w:rsid w:val="0088465C"/>
    <w:rsid w:val="008846D5"/>
    <w:rsid w:val="008846DD"/>
    <w:rsid w:val="00884792"/>
    <w:rsid w:val="0088499B"/>
    <w:rsid w:val="008849A3"/>
    <w:rsid w:val="008849FF"/>
    <w:rsid w:val="00884A3A"/>
    <w:rsid w:val="00884A41"/>
    <w:rsid w:val="00884B4D"/>
    <w:rsid w:val="00884BC3"/>
    <w:rsid w:val="00884F36"/>
    <w:rsid w:val="00884F46"/>
    <w:rsid w:val="00884FC4"/>
    <w:rsid w:val="00884FDA"/>
    <w:rsid w:val="00885211"/>
    <w:rsid w:val="008852E9"/>
    <w:rsid w:val="0088535E"/>
    <w:rsid w:val="008855C2"/>
    <w:rsid w:val="008855F6"/>
    <w:rsid w:val="0088565D"/>
    <w:rsid w:val="008857D1"/>
    <w:rsid w:val="00885835"/>
    <w:rsid w:val="008858D1"/>
    <w:rsid w:val="00885916"/>
    <w:rsid w:val="0088595F"/>
    <w:rsid w:val="00885966"/>
    <w:rsid w:val="008859B3"/>
    <w:rsid w:val="00885ACA"/>
    <w:rsid w:val="00885B83"/>
    <w:rsid w:val="00885C63"/>
    <w:rsid w:val="00885CAF"/>
    <w:rsid w:val="00885CB5"/>
    <w:rsid w:val="00885CBE"/>
    <w:rsid w:val="00885DAB"/>
    <w:rsid w:val="00885E9B"/>
    <w:rsid w:val="00885FDC"/>
    <w:rsid w:val="008860D8"/>
    <w:rsid w:val="008861EB"/>
    <w:rsid w:val="0088623F"/>
    <w:rsid w:val="00886289"/>
    <w:rsid w:val="0088636D"/>
    <w:rsid w:val="00886397"/>
    <w:rsid w:val="008864BA"/>
    <w:rsid w:val="008864E3"/>
    <w:rsid w:val="00886626"/>
    <w:rsid w:val="00886631"/>
    <w:rsid w:val="0088664C"/>
    <w:rsid w:val="00886664"/>
    <w:rsid w:val="00886711"/>
    <w:rsid w:val="00886748"/>
    <w:rsid w:val="00886891"/>
    <w:rsid w:val="008868D9"/>
    <w:rsid w:val="00886B1D"/>
    <w:rsid w:val="00886B28"/>
    <w:rsid w:val="00886B65"/>
    <w:rsid w:val="00886BC3"/>
    <w:rsid w:val="00886C9C"/>
    <w:rsid w:val="00886D0E"/>
    <w:rsid w:val="00886D79"/>
    <w:rsid w:val="00886F43"/>
    <w:rsid w:val="00886F96"/>
    <w:rsid w:val="00886FC5"/>
    <w:rsid w:val="008870DC"/>
    <w:rsid w:val="00887167"/>
    <w:rsid w:val="00887191"/>
    <w:rsid w:val="008871AE"/>
    <w:rsid w:val="008871E8"/>
    <w:rsid w:val="00887218"/>
    <w:rsid w:val="0088725E"/>
    <w:rsid w:val="008872F5"/>
    <w:rsid w:val="008872FC"/>
    <w:rsid w:val="00887402"/>
    <w:rsid w:val="0088741B"/>
    <w:rsid w:val="0088744B"/>
    <w:rsid w:val="00887654"/>
    <w:rsid w:val="00887680"/>
    <w:rsid w:val="00887763"/>
    <w:rsid w:val="0088787A"/>
    <w:rsid w:val="00887892"/>
    <w:rsid w:val="008878A1"/>
    <w:rsid w:val="00887992"/>
    <w:rsid w:val="00887B1D"/>
    <w:rsid w:val="00887C0F"/>
    <w:rsid w:val="00887C9F"/>
    <w:rsid w:val="00887CA8"/>
    <w:rsid w:val="00887CBD"/>
    <w:rsid w:val="00887D60"/>
    <w:rsid w:val="00887E1D"/>
    <w:rsid w:val="00887E51"/>
    <w:rsid w:val="00887E75"/>
    <w:rsid w:val="00887E9E"/>
    <w:rsid w:val="00887EB5"/>
    <w:rsid w:val="00887FBE"/>
    <w:rsid w:val="00887FD0"/>
    <w:rsid w:val="00890093"/>
    <w:rsid w:val="0089013B"/>
    <w:rsid w:val="0089015E"/>
    <w:rsid w:val="00890191"/>
    <w:rsid w:val="0089021A"/>
    <w:rsid w:val="0089021B"/>
    <w:rsid w:val="0089030D"/>
    <w:rsid w:val="008903AA"/>
    <w:rsid w:val="0089048F"/>
    <w:rsid w:val="0089057B"/>
    <w:rsid w:val="008905B9"/>
    <w:rsid w:val="0089080C"/>
    <w:rsid w:val="0089087D"/>
    <w:rsid w:val="00890890"/>
    <w:rsid w:val="00890A8D"/>
    <w:rsid w:val="00890AAF"/>
    <w:rsid w:val="00890B4F"/>
    <w:rsid w:val="00890C67"/>
    <w:rsid w:val="00890D6B"/>
    <w:rsid w:val="00890D92"/>
    <w:rsid w:val="00890E08"/>
    <w:rsid w:val="00890E34"/>
    <w:rsid w:val="00890FBC"/>
    <w:rsid w:val="00891047"/>
    <w:rsid w:val="008910F7"/>
    <w:rsid w:val="00891143"/>
    <w:rsid w:val="0089116C"/>
    <w:rsid w:val="0089116D"/>
    <w:rsid w:val="0089117E"/>
    <w:rsid w:val="008911DB"/>
    <w:rsid w:val="008911F2"/>
    <w:rsid w:val="00891368"/>
    <w:rsid w:val="0089140F"/>
    <w:rsid w:val="008914F2"/>
    <w:rsid w:val="00891653"/>
    <w:rsid w:val="00891776"/>
    <w:rsid w:val="00891834"/>
    <w:rsid w:val="00891864"/>
    <w:rsid w:val="00891887"/>
    <w:rsid w:val="0089195A"/>
    <w:rsid w:val="00891A91"/>
    <w:rsid w:val="00891AAF"/>
    <w:rsid w:val="00891B4C"/>
    <w:rsid w:val="00891B93"/>
    <w:rsid w:val="00891CFC"/>
    <w:rsid w:val="00891D3B"/>
    <w:rsid w:val="00891DD2"/>
    <w:rsid w:val="00891E5A"/>
    <w:rsid w:val="00891F0F"/>
    <w:rsid w:val="00891FE5"/>
    <w:rsid w:val="0089228E"/>
    <w:rsid w:val="00892321"/>
    <w:rsid w:val="00892478"/>
    <w:rsid w:val="008924FE"/>
    <w:rsid w:val="00892508"/>
    <w:rsid w:val="00892585"/>
    <w:rsid w:val="0089269B"/>
    <w:rsid w:val="0089299A"/>
    <w:rsid w:val="00892C44"/>
    <w:rsid w:val="00892C74"/>
    <w:rsid w:val="00892D39"/>
    <w:rsid w:val="00892D71"/>
    <w:rsid w:val="00892DC6"/>
    <w:rsid w:val="00892DE0"/>
    <w:rsid w:val="00892DF5"/>
    <w:rsid w:val="00892E72"/>
    <w:rsid w:val="00892EBD"/>
    <w:rsid w:val="00892EDC"/>
    <w:rsid w:val="00892F13"/>
    <w:rsid w:val="00892F18"/>
    <w:rsid w:val="00892FB3"/>
    <w:rsid w:val="00893012"/>
    <w:rsid w:val="00893040"/>
    <w:rsid w:val="008930A1"/>
    <w:rsid w:val="008930BF"/>
    <w:rsid w:val="008930E5"/>
    <w:rsid w:val="00893109"/>
    <w:rsid w:val="00893143"/>
    <w:rsid w:val="0089319B"/>
    <w:rsid w:val="008932F8"/>
    <w:rsid w:val="0089334F"/>
    <w:rsid w:val="008933CE"/>
    <w:rsid w:val="00893410"/>
    <w:rsid w:val="0089353D"/>
    <w:rsid w:val="00893546"/>
    <w:rsid w:val="008936E1"/>
    <w:rsid w:val="0089371D"/>
    <w:rsid w:val="008937D2"/>
    <w:rsid w:val="0089390C"/>
    <w:rsid w:val="00893920"/>
    <w:rsid w:val="008939EA"/>
    <w:rsid w:val="00893AB9"/>
    <w:rsid w:val="00893B2B"/>
    <w:rsid w:val="00893B6F"/>
    <w:rsid w:val="00893C33"/>
    <w:rsid w:val="00893C3E"/>
    <w:rsid w:val="00893C6B"/>
    <w:rsid w:val="00893C6E"/>
    <w:rsid w:val="00893D17"/>
    <w:rsid w:val="00893DF8"/>
    <w:rsid w:val="00893E42"/>
    <w:rsid w:val="00893E9B"/>
    <w:rsid w:val="00893EF9"/>
    <w:rsid w:val="00893F54"/>
    <w:rsid w:val="0089408F"/>
    <w:rsid w:val="00894129"/>
    <w:rsid w:val="0089417A"/>
    <w:rsid w:val="00894195"/>
    <w:rsid w:val="008941EA"/>
    <w:rsid w:val="008941F0"/>
    <w:rsid w:val="008942DB"/>
    <w:rsid w:val="0089438F"/>
    <w:rsid w:val="0089439E"/>
    <w:rsid w:val="008945B7"/>
    <w:rsid w:val="0089462E"/>
    <w:rsid w:val="008946DE"/>
    <w:rsid w:val="008947B2"/>
    <w:rsid w:val="008947DE"/>
    <w:rsid w:val="0089485A"/>
    <w:rsid w:val="0089485F"/>
    <w:rsid w:val="008949EE"/>
    <w:rsid w:val="00894A81"/>
    <w:rsid w:val="00894D89"/>
    <w:rsid w:val="00894D9F"/>
    <w:rsid w:val="00894DEA"/>
    <w:rsid w:val="00894E2A"/>
    <w:rsid w:val="00894FBD"/>
    <w:rsid w:val="0089503C"/>
    <w:rsid w:val="008950EA"/>
    <w:rsid w:val="00895162"/>
    <w:rsid w:val="0089520E"/>
    <w:rsid w:val="00895312"/>
    <w:rsid w:val="008953F7"/>
    <w:rsid w:val="00895596"/>
    <w:rsid w:val="00895645"/>
    <w:rsid w:val="00895997"/>
    <w:rsid w:val="00895A26"/>
    <w:rsid w:val="00895A52"/>
    <w:rsid w:val="00895B9D"/>
    <w:rsid w:val="00895BFE"/>
    <w:rsid w:val="00895BFF"/>
    <w:rsid w:val="00895C59"/>
    <w:rsid w:val="00895CFC"/>
    <w:rsid w:val="00895D8C"/>
    <w:rsid w:val="00895EF0"/>
    <w:rsid w:val="008960C9"/>
    <w:rsid w:val="008960DE"/>
    <w:rsid w:val="008960E6"/>
    <w:rsid w:val="008961EF"/>
    <w:rsid w:val="0089623F"/>
    <w:rsid w:val="0089627A"/>
    <w:rsid w:val="008962E9"/>
    <w:rsid w:val="008962EE"/>
    <w:rsid w:val="00896339"/>
    <w:rsid w:val="0089634B"/>
    <w:rsid w:val="0089636B"/>
    <w:rsid w:val="008963DC"/>
    <w:rsid w:val="008964B2"/>
    <w:rsid w:val="00896612"/>
    <w:rsid w:val="00896765"/>
    <w:rsid w:val="008967E9"/>
    <w:rsid w:val="0089680F"/>
    <w:rsid w:val="00896858"/>
    <w:rsid w:val="00896895"/>
    <w:rsid w:val="00896940"/>
    <w:rsid w:val="00896BBB"/>
    <w:rsid w:val="00896BFC"/>
    <w:rsid w:val="00896C27"/>
    <w:rsid w:val="00896CCC"/>
    <w:rsid w:val="00896D4E"/>
    <w:rsid w:val="00896DA3"/>
    <w:rsid w:val="00896F47"/>
    <w:rsid w:val="0089707A"/>
    <w:rsid w:val="00897138"/>
    <w:rsid w:val="00897236"/>
    <w:rsid w:val="00897414"/>
    <w:rsid w:val="0089741D"/>
    <w:rsid w:val="00897505"/>
    <w:rsid w:val="00897557"/>
    <w:rsid w:val="00897599"/>
    <w:rsid w:val="008975B4"/>
    <w:rsid w:val="00897676"/>
    <w:rsid w:val="008976E2"/>
    <w:rsid w:val="008976FE"/>
    <w:rsid w:val="00897909"/>
    <w:rsid w:val="00897918"/>
    <w:rsid w:val="00897C5E"/>
    <w:rsid w:val="00897F1B"/>
    <w:rsid w:val="00897F86"/>
    <w:rsid w:val="008A00A5"/>
    <w:rsid w:val="008A00EF"/>
    <w:rsid w:val="008A0371"/>
    <w:rsid w:val="008A039D"/>
    <w:rsid w:val="008A0406"/>
    <w:rsid w:val="008A049F"/>
    <w:rsid w:val="008A04BC"/>
    <w:rsid w:val="008A0569"/>
    <w:rsid w:val="008A05C3"/>
    <w:rsid w:val="008A06A9"/>
    <w:rsid w:val="008A06AF"/>
    <w:rsid w:val="008A06BC"/>
    <w:rsid w:val="008A06DE"/>
    <w:rsid w:val="008A07EF"/>
    <w:rsid w:val="008A081C"/>
    <w:rsid w:val="008A08E6"/>
    <w:rsid w:val="008A0912"/>
    <w:rsid w:val="008A0A38"/>
    <w:rsid w:val="008A0AFF"/>
    <w:rsid w:val="008A0BE7"/>
    <w:rsid w:val="008A0CB6"/>
    <w:rsid w:val="008A0CBE"/>
    <w:rsid w:val="008A0CE7"/>
    <w:rsid w:val="008A0DD1"/>
    <w:rsid w:val="008A0E67"/>
    <w:rsid w:val="008A0ED8"/>
    <w:rsid w:val="008A0F7B"/>
    <w:rsid w:val="008A0FC4"/>
    <w:rsid w:val="008A0FD2"/>
    <w:rsid w:val="008A1272"/>
    <w:rsid w:val="008A12D7"/>
    <w:rsid w:val="008A1348"/>
    <w:rsid w:val="008A1596"/>
    <w:rsid w:val="008A15CD"/>
    <w:rsid w:val="008A15F9"/>
    <w:rsid w:val="008A16CD"/>
    <w:rsid w:val="008A192B"/>
    <w:rsid w:val="008A1959"/>
    <w:rsid w:val="008A1A92"/>
    <w:rsid w:val="008A1AC0"/>
    <w:rsid w:val="008A1BE6"/>
    <w:rsid w:val="008A1BEC"/>
    <w:rsid w:val="008A1F3E"/>
    <w:rsid w:val="008A1FE8"/>
    <w:rsid w:val="008A1FFB"/>
    <w:rsid w:val="008A2206"/>
    <w:rsid w:val="008A2217"/>
    <w:rsid w:val="008A2326"/>
    <w:rsid w:val="008A23FD"/>
    <w:rsid w:val="008A249D"/>
    <w:rsid w:val="008A253F"/>
    <w:rsid w:val="008A25A5"/>
    <w:rsid w:val="008A25CF"/>
    <w:rsid w:val="008A2768"/>
    <w:rsid w:val="008A2774"/>
    <w:rsid w:val="008A27BE"/>
    <w:rsid w:val="008A28D3"/>
    <w:rsid w:val="008A28FA"/>
    <w:rsid w:val="008A2940"/>
    <w:rsid w:val="008A297A"/>
    <w:rsid w:val="008A2AF3"/>
    <w:rsid w:val="008A2B63"/>
    <w:rsid w:val="008A2CE1"/>
    <w:rsid w:val="008A2EE7"/>
    <w:rsid w:val="008A313F"/>
    <w:rsid w:val="008A326D"/>
    <w:rsid w:val="008A3321"/>
    <w:rsid w:val="008A338A"/>
    <w:rsid w:val="008A33C0"/>
    <w:rsid w:val="008A345C"/>
    <w:rsid w:val="008A34C8"/>
    <w:rsid w:val="008A34C9"/>
    <w:rsid w:val="008A3533"/>
    <w:rsid w:val="008A35A0"/>
    <w:rsid w:val="008A3604"/>
    <w:rsid w:val="008A38AA"/>
    <w:rsid w:val="008A38D2"/>
    <w:rsid w:val="008A3A50"/>
    <w:rsid w:val="008A3C3E"/>
    <w:rsid w:val="008A3C59"/>
    <w:rsid w:val="008A3C8E"/>
    <w:rsid w:val="008A3DAF"/>
    <w:rsid w:val="008A3DF9"/>
    <w:rsid w:val="008A3E22"/>
    <w:rsid w:val="008A3E3A"/>
    <w:rsid w:val="008A3E60"/>
    <w:rsid w:val="008A3F0C"/>
    <w:rsid w:val="008A3F4C"/>
    <w:rsid w:val="008A402D"/>
    <w:rsid w:val="008A4105"/>
    <w:rsid w:val="008A41DA"/>
    <w:rsid w:val="008A4241"/>
    <w:rsid w:val="008A426A"/>
    <w:rsid w:val="008A428B"/>
    <w:rsid w:val="008A43A1"/>
    <w:rsid w:val="008A4459"/>
    <w:rsid w:val="008A45D6"/>
    <w:rsid w:val="008A47B9"/>
    <w:rsid w:val="008A48A9"/>
    <w:rsid w:val="008A4940"/>
    <w:rsid w:val="008A49E1"/>
    <w:rsid w:val="008A4A43"/>
    <w:rsid w:val="008A4B14"/>
    <w:rsid w:val="008A4B9F"/>
    <w:rsid w:val="008A4BC1"/>
    <w:rsid w:val="008A4BDD"/>
    <w:rsid w:val="008A4DA0"/>
    <w:rsid w:val="008A4F9F"/>
    <w:rsid w:val="008A5103"/>
    <w:rsid w:val="008A512A"/>
    <w:rsid w:val="008A514B"/>
    <w:rsid w:val="008A514F"/>
    <w:rsid w:val="008A5365"/>
    <w:rsid w:val="008A537A"/>
    <w:rsid w:val="008A5486"/>
    <w:rsid w:val="008A54D3"/>
    <w:rsid w:val="008A5553"/>
    <w:rsid w:val="008A55CC"/>
    <w:rsid w:val="008A56DB"/>
    <w:rsid w:val="008A5815"/>
    <w:rsid w:val="008A58F9"/>
    <w:rsid w:val="008A590A"/>
    <w:rsid w:val="008A5974"/>
    <w:rsid w:val="008A5A34"/>
    <w:rsid w:val="008A5A4D"/>
    <w:rsid w:val="008A5AD4"/>
    <w:rsid w:val="008A5B9A"/>
    <w:rsid w:val="008A5B9D"/>
    <w:rsid w:val="008A5BFD"/>
    <w:rsid w:val="008A5CEB"/>
    <w:rsid w:val="008A5F5E"/>
    <w:rsid w:val="008A5FCA"/>
    <w:rsid w:val="008A60D7"/>
    <w:rsid w:val="008A6146"/>
    <w:rsid w:val="008A628A"/>
    <w:rsid w:val="008A6381"/>
    <w:rsid w:val="008A6464"/>
    <w:rsid w:val="008A6497"/>
    <w:rsid w:val="008A6538"/>
    <w:rsid w:val="008A668E"/>
    <w:rsid w:val="008A66AE"/>
    <w:rsid w:val="008A6724"/>
    <w:rsid w:val="008A6757"/>
    <w:rsid w:val="008A69ED"/>
    <w:rsid w:val="008A6ABA"/>
    <w:rsid w:val="008A6B14"/>
    <w:rsid w:val="008A6B6F"/>
    <w:rsid w:val="008A6BDB"/>
    <w:rsid w:val="008A6C46"/>
    <w:rsid w:val="008A6C83"/>
    <w:rsid w:val="008A6CD5"/>
    <w:rsid w:val="008A6D11"/>
    <w:rsid w:val="008A6E42"/>
    <w:rsid w:val="008A6E8A"/>
    <w:rsid w:val="008A703E"/>
    <w:rsid w:val="008A7122"/>
    <w:rsid w:val="008A7406"/>
    <w:rsid w:val="008A744E"/>
    <w:rsid w:val="008A74E5"/>
    <w:rsid w:val="008A7581"/>
    <w:rsid w:val="008A75DB"/>
    <w:rsid w:val="008A773D"/>
    <w:rsid w:val="008A7799"/>
    <w:rsid w:val="008A7821"/>
    <w:rsid w:val="008A78A6"/>
    <w:rsid w:val="008A799F"/>
    <w:rsid w:val="008A7AF3"/>
    <w:rsid w:val="008A7B8A"/>
    <w:rsid w:val="008A7BE8"/>
    <w:rsid w:val="008A7DA4"/>
    <w:rsid w:val="008A7DAF"/>
    <w:rsid w:val="008A7DFF"/>
    <w:rsid w:val="008A7EF8"/>
    <w:rsid w:val="008A7F43"/>
    <w:rsid w:val="008A7F5F"/>
    <w:rsid w:val="008A7FB3"/>
    <w:rsid w:val="008B005B"/>
    <w:rsid w:val="008B005C"/>
    <w:rsid w:val="008B01DF"/>
    <w:rsid w:val="008B029B"/>
    <w:rsid w:val="008B02F1"/>
    <w:rsid w:val="008B03CF"/>
    <w:rsid w:val="008B0489"/>
    <w:rsid w:val="008B04C8"/>
    <w:rsid w:val="008B0560"/>
    <w:rsid w:val="008B06CB"/>
    <w:rsid w:val="008B070B"/>
    <w:rsid w:val="008B0722"/>
    <w:rsid w:val="008B08D9"/>
    <w:rsid w:val="008B09E0"/>
    <w:rsid w:val="008B0AC1"/>
    <w:rsid w:val="008B0ACD"/>
    <w:rsid w:val="008B0ADE"/>
    <w:rsid w:val="008B0C7F"/>
    <w:rsid w:val="008B0C94"/>
    <w:rsid w:val="008B0CED"/>
    <w:rsid w:val="008B0DFC"/>
    <w:rsid w:val="008B0E38"/>
    <w:rsid w:val="008B0EA4"/>
    <w:rsid w:val="008B0EE5"/>
    <w:rsid w:val="008B0F31"/>
    <w:rsid w:val="008B0F45"/>
    <w:rsid w:val="008B0F94"/>
    <w:rsid w:val="008B1010"/>
    <w:rsid w:val="008B1168"/>
    <w:rsid w:val="008B12AB"/>
    <w:rsid w:val="008B1370"/>
    <w:rsid w:val="008B13AD"/>
    <w:rsid w:val="008B1488"/>
    <w:rsid w:val="008B1511"/>
    <w:rsid w:val="008B1601"/>
    <w:rsid w:val="008B16E3"/>
    <w:rsid w:val="008B18A1"/>
    <w:rsid w:val="008B18D5"/>
    <w:rsid w:val="008B1C60"/>
    <w:rsid w:val="008B1CED"/>
    <w:rsid w:val="008B1D6C"/>
    <w:rsid w:val="008B1D9F"/>
    <w:rsid w:val="008B1DC7"/>
    <w:rsid w:val="008B1DD8"/>
    <w:rsid w:val="008B1EDB"/>
    <w:rsid w:val="008B1EFC"/>
    <w:rsid w:val="008B1F51"/>
    <w:rsid w:val="008B2057"/>
    <w:rsid w:val="008B213B"/>
    <w:rsid w:val="008B2141"/>
    <w:rsid w:val="008B2193"/>
    <w:rsid w:val="008B227E"/>
    <w:rsid w:val="008B2314"/>
    <w:rsid w:val="008B231C"/>
    <w:rsid w:val="008B23B1"/>
    <w:rsid w:val="008B244A"/>
    <w:rsid w:val="008B24A9"/>
    <w:rsid w:val="008B251B"/>
    <w:rsid w:val="008B262D"/>
    <w:rsid w:val="008B2702"/>
    <w:rsid w:val="008B270C"/>
    <w:rsid w:val="008B2740"/>
    <w:rsid w:val="008B2777"/>
    <w:rsid w:val="008B27DF"/>
    <w:rsid w:val="008B2890"/>
    <w:rsid w:val="008B28DE"/>
    <w:rsid w:val="008B2A6D"/>
    <w:rsid w:val="008B2B4A"/>
    <w:rsid w:val="008B2CFA"/>
    <w:rsid w:val="008B2D11"/>
    <w:rsid w:val="008B2D34"/>
    <w:rsid w:val="008B2D7B"/>
    <w:rsid w:val="008B2DCA"/>
    <w:rsid w:val="008B2DE2"/>
    <w:rsid w:val="008B2E0C"/>
    <w:rsid w:val="008B2E0D"/>
    <w:rsid w:val="008B2E1A"/>
    <w:rsid w:val="008B2E5E"/>
    <w:rsid w:val="008B2F92"/>
    <w:rsid w:val="008B3042"/>
    <w:rsid w:val="008B3068"/>
    <w:rsid w:val="008B3086"/>
    <w:rsid w:val="008B3101"/>
    <w:rsid w:val="008B3129"/>
    <w:rsid w:val="008B3432"/>
    <w:rsid w:val="008B34FD"/>
    <w:rsid w:val="008B36EB"/>
    <w:rsid w:val="008B36EC"/>
    <w:rsid w:val="008B371D"/>
    <w:rsid w:val="008B37A8"/>
    <w:rsid w:val="008B37D0"/>
    <w:rsid w:val="008B38DE"/>
    <w:rsid w:val="008B393C"/>
    <w:rsid w:val="008B3948"/>
    <w:rsid w:val="008B399F"/>
    <w:rsid w:val="008B39C8"/>
    <w:rsid w:val="008B3A27"/>
    <w:rsid w:val="008B3A37"/>
    <w:rsid w:val="008B3A63"/>
    <w:rsid w:val="008B3A70"/>
    <w:rsid w:val="008B3AC1"/>
    <w:rsid w:val="008B3B93"/>
    <w:rsid w:val="008B3B9F"/>
    <w:rsid w:val="008B3BC8"/>
    <w:rsid w:val="008B3C09"/>
    <w:rsid w:val="008B3C16"/>
    <w:rsid w:val="008B3CAD"/>
    <w:rsid w:val="008B3CEF"/>
    <w:rsid w:val="008B3ECE"/>
    <w:rsid w:val="008B418A"/>
    <w:rsid w:val="008B4205"/>
    <w:rsid w:val="008B436C"/>
    <w:rsid w:val="008B4371"/>
    <w:rsid w:val="008B444A"/>
    <w:rsid w:val="008B4518"/>
    <w:rsid w:val="008B45EB"/>
    <w:rsid w:val="008B463F"/>
    <w:rsid w:val="008B4648"/>
    <w:rsid w:val="008B48A6"/>
    <w:rsid w:val="008B48A8"/>
    <w:rsid w:val="008B4A7F"/>
    <w:rsid w:val="008B4BC9"/>
    <w:rsid w:val="008B4D66"/>
    <w:rsid w:val="008B4EF6"/>
    <w:rsid w:val="008B4F81"/>
    <w:rsid w:val="008B5105"/>
    <w:rsid w:val="008B5112"/>
    <w:rsid w:val="008B5138"/>
    <w:rsid w:val="008B51B9"/>
    <w:rsid w:val="008B51F0"/>
    <w:rsid w:val="008B52C2"/>
    <w:rsid w:val="008B5416"/>
    <w:rsid w:val="008B5433"/>
    <w:rsid w:val="008B54D2"/>
    <w:rsid w:val="008B5727"/>
    <w:rsid w:val="008B5796"/>
    <w:rsid w:val="008B580F"/>
    <w:rsid w:val="008B5919"/>
    <w:rsid w:val="008B5A30"/>
    <w:rsid w:val="008B5A9B"/>
    <w:rsid w:val="008B5ACD"/>
    <w:rsid w:val="008B5AE7"/>
    <w:rsid w:val="008B5AF1"/>
    <w:rsid w:val="008B5B1D"/>
    <w:rsid w:val="008B5B7A"/>
    <w:rsid w:val="008B5BA3"/>
    <w:rsid w:val="008B5C0F"/>
    <w:rsid w:val="008B5C83"/>
    <w:rsid w:val="008B5CAF"/>
    <w:rsid w:val="008B5D27"/>
    <w:rsid w:val="008B5D4A"/>
    <w:rsid w:val="008B5E9F"/>
    <w:rsid w:val="008B5F45"/>
    <w:rsid w:val="008B5F81"/>
    <w:rsid w:val="008B5FF4"/>
    <w:rsid w:val="008B60F3"/>
    <w:rsid w:val="008B614C"/>
    <w:rsid w:val="008B61B8"/>
    <w:rsid w:val="008B6290"/>
    <w:rsid w:val="008B643B"/>
    <w:rsid w:val="008B6441"/>
    <w:rsid w:val="008B64AD"/>
    <w:rsid w:val="008B64EA"/>
    <w:rsid w:val="008B6675"/>
    <w:rsid w:val="008B673A"/>
    <w:rsid w:val="008B675C"/>
    <w:rsid w:val="008B6819"/>
    <w:rsid w:val="008B6821"/>
    <w:rsid w:val="008B6865"/>
    <w:rsid w:val="008B69E5"/>
    <w:rsid w:val="008B6A45"/>
    <w:rsid w:val="008B6A7B"/>
    <w:rsid w:val="008B6B6C"/>
    <w:rsid w:val="008B6DDB"/>
    <w:rsid w:val="008B6EE0"/>
    <w:rsid w:val="008B6F00"/>
    <w:rsid w:val="008B6F8A"/>
    <w:rsid w:val="008B6FFC"/>
    <w:rsid w:val="008B7087"/>
    <w:rsid w:val="008B713A"/>
    <w:rsid w:val="008B7187"/>
    <w:rsid w:val="008B726D"/>
    <w:rsid w:val="008B7327"/>
    <w:rsid w:val="008B7420"/>
    <w:rsid w:val="008B7509"/>
    <w:rsid w:val="008B75A3"/>
    <w:rsid w:val="008B763F"/>
    <w:rsid w:val="008B7792"/>
    <w:rsid w:val="008B77E6"/>
    <w:rsid w:val="008B7846"/>
    <w:rsid w:val="008B785A"/>
    <w:rsid w:val="008B7895"/>
    <w:rsid w:val="008B789D"/>
    <w:rsid w:val="008B79A9"/>
    <w:rsid w:val="008B79FB"/>
    <w:rsid w:val="008B7A1C"/>
    <w:rsid w:val="008B7A86"/>
    <w:rsid w:val="008B7AC1"/>
    <w:rsid w:val="008B7AD6"/>
    <w:rsid w:val="008B7B7F"/>
    <w:rsid w:val="008B7BA5"/>
    <w:rsid w:val="008B7BBB"/>
    <w:rsid w:val="008B7C40"/>
    <w:rsid w:val="008B7CAC"/>
    <w:rsid w:val="008B7CCA"/>
    <w:rsid w:val="008B7E0F"/>
    <w:rsid w:val="008B7E95"/>
    <w:rsid w:val="008B7E97"/>
    <w:rsid w:val="008C008B"/>
    <w:rsid w:val="008C0131"/>
    <w:rsid w:val="008C02A1"/>
    <w:rsid w:val="008C039A"/>
    <w:rsid w:val="008C03A5"/>
    <w:rsid w:val="008C0474"/>
    <w:rsid w:val="008C055F"/>
    <w:rsid w:val="008C0605"/>
    <w:rsid w:val="008C06D5"/>
    <w:rsid w:val="008C0797"/>
    <w:rsid w:val="008C0B96"/>
    <w:rsid w:val="008C0BE2"/>
    <w:rsid w:val="008C0CDF"/>
    <w:rsid w:val="008C0D52"/>
    <w:rsid w:val="008C0DE9"/>
    <w:rsid w:val="008C1015"/>
    <w:rsid w:val="008C1035"/>
    <w:rsid w:val="008C1098"/>
    <w:rsid w:val="008C10BA"/>
    <w:rsid w:val="008C1169"/>
    <w:rsid w:val="008C1225"/>
    <w:rsid w:val="008C12BC"/>
    <w:rsid w:val="008C12D4"/>
    <w:rsid w:val="008C12F6"/>
    <w:rsid w:val="008C1443"/>
    <w:rsid w:val="008C14D8"/>
    <w:rsid w:val="008C1502"/>
    <w:rsid w:val="008C1515"/>
    <w:rsid w:val="008C1560"/>
    <w:rsid w:val="008C15ED"/>
    <w:rsid w:val="008C1609"/>
    <w:rsid w:val="008C1666"/>
    <w:rsid w:val="008C1667"/>
    <w:rsid w:val="008C167C"/>
    <w:rsid w:val="008C16D5"/>
    <w:rsid w:val="008C16E5"/>
    <w:rsid w:val="008C189E"/>
    <w:rsid w:val="008C18C4"/>
    <w:rsid w:val="008C199B"/>
    <w:rsid w:val="008C1A33"/>
    <w:rsid w:val="008C1A90"/>
    <w:rsid w:val="008C1B2E"/>
    <w:rsid w:val="008C1B4D"/>
    <w:rsid w:val="008C1B93"/>
    <w:rsid w:val="008C1BA8"/>
    <w:rsid w:val="008C1BF2"/>
    <w:rsid w:val="008C1C12"/>
    <w:rsid w:val="008C1C19"/>
    <w:rsid w:val="008C1CA7"/>
    <w:rsid w:val="008C1D68"/>
    <w:rsid w:val="008C1EB3"/>
    <w:rsid w:val="008C1FDE"/>
    <w:rsid w:val="008C205F"/>
    <w:rsid w:val="008C21B8"/>
    <w:rsid w:val="008C21CE"/>
    <w:rsid w:val="008C2210"/>
    <w:rsid w:val="008C228B"/>
    <w:rsid w:val="008C229E"/>
    <w:rsid w:val="008C2300"/>
    <w:rsid w:val="008C240D"/>
    <w:rsid w:val="008C2564"/>
    <w:rsid w:val="008C25B7"/>
    <w:rsid w:val="008C25DC"/>
    <w:rsid w:val="008C2667"/>
    <w:rsid w:val="008C26AE"/>
    <w:rsid w:val="008C26E0"/>
    <w:rsid w:val="008C2767"/>
    <w:rsid w:val="008C2786"/>
    <w:rsid w:val="008C2851"/>
    <w:rsid w:val="008C2888"/>
    <w:rsid w:val="008C2A25"/>
    <w:rsid w:val="008C2C1F"/>
    <w:rsid w:val="008C2C6E"/>
    <w:rsid w:val="008C2C82"/>
    <w:rsid w:val="008C2D07"/>
    <w:rsid w:val="008C2D19"/>
    <w:rsid w:val="008C2D55"/>
    <w:rsid w:val="008C2E2D"/>
    <w:rsid w:val="008C2FC6"/>
    <w:rsid w:val="008C3033"/>
    <w:rsid w:val="008C3209"/>
    <w:rsid w:val="008C33C0"/>
    <w:rsid w:val="008C345C"/>
    <w:rsid w:val="008C3478"/>
    <w:rsid w:val="008C35E2"/>
    <w:rsid w:val="008C35F7"/>
    <w:rsid w:val="008C3605"/>
    <w:rsid w:val="008C36A1"/>
    <w:rsid w:val="008C36C1"/>
    <w:rsid w:val="008C3995"/>
    <w:rsid w:val="008C39A2"/>
    <w:rsid w:val="008C39A4"/>
    <w:rsid w:val="008C39A5"/>
    <w:rsid w:val="008C39C4"/>
    <w:rsid w:val="008C3B3D"/>
    <w:rsid w:val="008C3B9D"/>
    <w:rsid w:val="008C3BCF"/>
    <w:rsid w:val="008C3CD2"/>
    <w:rsid w:val="008C3E78"/>
    <w:rsid w:val="008C3F23"/>
    <w:rsid w:val="008C3FAD"/>
    <w:rsid w:val="008C412F"/>
    <w:rsid w:val="008C417C"/>
    <w:rsid w:val="008C41CD"/>
    <w:rsid w:val="008C441B"/>
    <w:rsid w:val="008C44B6"/>
    <w:rsid w:val="008C4673"/>
    <w:rsid w:val="008C4816"/>
    <w:rsid w:val="008C4916"/>
    <w:rsid w:val="008C4A24"/>
    <w:rsid w:val="008C4B54"/>
    <w:rsid w:val="008C4C39"/>
    <w:rsid w:val="008C4C87"/>
    <w:rsid w:val="008C4E09"/>
    <w:rsid w:val="008C4E8B"/>
    <w:rsid w:val="008C4EF9"/>
    <w:rsid w:val="008C5088"/>
    <w:rsid w:val="008C5258"/>
    <w:rsid w:val="008C52F3"/>
    <w:rsid w:val="008C538C"/>
    <w:rsid w:val="008C539A"/>
    <w:rsid w:val="008C53AE"/>
    <w:rsid w:val="008C54A8"/>
    <w:rsid w:val="008C553F"/>
    <w:rsid w:val="008C5558"/>
    <w:rsid w:val="008C55F3"/>
    <w:rsid w:val="008C564F"/>
    <w:rsid w:val="008C56DB"/>
    <w:rsid w:val="008C57E6"/>
    <w:rsid w:val="008C57F5"/>
    <w:rsid w:val="008C5908"/>
    <w:rsid w:val="008C590A"/>
    <w:rsid w:val="008C59B9"/>
    <w:rsid w:val="008C5C02"/>
    <w:rsid w:val="008C5C23"/>
    <w:rsid w:val="008C5E39"/>
    <w:rsid w:val="008C60D9"/>
    <w:rsid w:val="008C60F5"/>
    <w:rsid w:val="008C625D"/>
    <w:rsid w:val="008C6266"/>
    <w:rsid w:val="008C6351"/>
    <w:rsid w:val="008C63B6"/>
    <w:rsid w:val="008C6400"/>
    <w:rsid w:val="008C6533"/>
    <w:rsid w:val="008C6564"/>
    <w:rsid w:val="008C673C"/>
    <w:rsid w:val="008C6762"/>
    <w:rsid w:val="008C67A4"/>
    <w:rsid w:val="008C6839"/>
    <w:rsid w:val="008C68EE"/>
    <w:rsid w:val="008C69EA"/>
    <w:rsid w:val="008C6A11"/>
    <w:rsid w:val="008C6A47"/>
    <w:rsid w:val="008C6BA4"/>
    <w:rsid w:val="008C6BB3"/>
    <w:rsid w:val="008C6BD5"/>
    <w:rsid w:val="008C6BE5"/>
    <w:rsid w:val="008C6C14"/>
    <w:rsid w:val="008C6C50"/>
    <w:rsid w:val="008C6CEA"/>
    <w:rsid w:val="008C6DC4"/>
    <w:rsid w:val="008C6E18"/>
    <w:rsid w:val="008C6E28"/>
    <w:rsid w:val="008C6E42"/>
    <w:rsid w:val="008C6F7F"/>
    <w:rsid w:val="008C6F86"/>
    <w:rsid w:val="008C7096"/>
    <w:rsid w:val="008C7106"/>
    <w:rsid w:val="008C7227"/>
    <w:rsid w:val="008C723E"/>
    <w:rsid w:val="008C7318"/>
    <w:rsid w:val="008C733B"/>
    <w:rsid w:val="008C7524"/>
    <w:rsid w:val="008C753C"/>
    <w:rsid w:val="008C7604"/>
    <w:rsid w:val="008C774A"/>
    <w:rsid w:val="008C7803"/>
    <w:rsid w:val="008C7845"/>
    <w:rsid w:val="008C7866"/>
    <w:rsid w:val="008C786D"/>
    <w:rsid w:val="008C7890"/>
    <w:rsid w:val="008C79AD"/>
    <w:rsid w:val="008C7A55"/>
    <w:rsid w:val="008C7AA0"/>
    <w:rsid w:val="008C7BB3"/>
    <w:rsid w:val="008C7C2D"/>
    <w:rsid w:val="008C7C78"/>
    <w:rsid w:val="008C7D04"/>
    <w:rsid w:val="008C7F36"/>
    <w:rsid w:val="008D014E"/>
    <w:rsid w:val="008D01FD"/>
    <w:rsid w:val="008D03D2"/>
    <w:rsid w:val="008D048D"/>
    <w:rsid w:val="008D04A1"/>
    <w:rsid w:val="008D05F8"/>
    <w:rsid w:val="008D0605"/>
    <w:rsid w:val="008D068B"/>
    <w:rsid w:val="008D0696"/>
    <w:rsid w:val="008D07A6"/>
    <w:rsid w:val="008D07C0"/>
    <w:rsid w:val="008D0818"/>
    <w:rsid w:val="008D0931"/>
    <w:rsid w:val="008D0947"/>
    <w:rsid w:val="008D09B8"/>
    <w:rsid w:val="008D0B9F"/>
    <w:rsid w:val="008D0BC2"/>
    <w:rsid w:val="008D0C07"/>
    <w:rsid w:val="008D0C91"/>
    <w:rsid w:val="008D0CDF"/>
    <w:rsid w:val="008D0D26"/>
    <w:rsid w:val="008D0D67"/>
    <w:rsid w:val="008D0DDE"/>
    <w:rsid w:val="008D0E0F"/>
    <w:rsid w:val="008D0E26"/>
    <w:rsid w:val="008D0EC9"/>
    <w:rsid w:val="008D0F43"/>
    <w:rsid w:val="008D0F9E"/>
    <w:rsid w:val="008D1005"/>
    <w:rsid w:val="008D1075"/>
    <w:rsid w:val="008D10B2"/>
    <w:rsid w:val="008D10DA"/>
    <w:rsid w:val="008D110B"/>
    <w:rsid w:val="008D1157"/>
    <w:rsid w:val="008D11CF"/>
    <w:rsid w:val="008D11E7"/>
    <w:rsid w:val="008D11FC"/>
    <w:rsid w:val="008D1229"/>
    <w:rsid w:val="008D12DD"/>
    <w:rsid w:val="008D1315"/>
    <w:rsid w:val="008D136A"/>
    <w:rsid w:val="008D13B9"/>
    <w:rsid w:val="008D13E8"/>
    <w:rsid w:val="008D1416"/>
    <w:rsid w:val="008D1576"/>
    <w:rsid w:val="008D1588"/>
    <w:rsid w:val="008D15E3"/>
    <w:rsid w:val="008D16B8"/>
    <w:rsid w:val="008D179D"/>
    <w:rsid w:val="008D17D3"/>
    <w:rsid w:val="008D17DB"/>
    <w:rsid w:val="008D182D"/>
    <w:rsid w:val="008D1840"/>
    <w:rsid w:val="008D19A1"/>
    <w:rsid w:val="008D19E7"/>
    <w:rsid w:val="008D1A1C"/>
    <w:rsid w:val="008D1A3D"/>
    <w:rsid w:val="008D1B4E"/>
    <w:rsid w:val="008D1C08"/>
    <w:rsid w:val="008D1CEB"/>
    <w:rsid w:val="008D1D0E"/>
    <w:rsid w:val="008D1D11"/>
    <w:rsid w:val="008D1EDD"/>
    <w:rsid w:val="008D1F89"/>
    <w:rsid w:val="008D1FB8"/>
    <w:rsid w:val="008D203E"/>
    <w:rsid w:val="008D204E"/>
    <w:rsid w:val="008D222D"/>
    <w:rsid w:val="008D2324"/>
    <w:rsid w:val="008D23DB"/>
    <w:rsid w:val="008D2462"/>
    <w:rsid w:val="008D2488"/>
    <w:rsid w:val="008D2555"/>
    <w:rsid w:val="008D260A"/>
    <w:rsid w:val="008D2865"/>
    <w:rsid w:val="008D287D"/>
    <w:rsid w:val="008D298F"/>
    <w:rsid w:val="008D2BB5"/>
    <w:rsid w:val="008D2D16"/>
    <w:rsid w:val="008D2D5E"/>
    <w:rsid w:val="008D2E3E"/>
    <w:rsid w:val="008D302C"/>
    <w:rsid w:val="008D3047"/>
    <w:rsid w:val="008D327A"/>
    <w:rsid w:val="008D335F"/>
    <w:rsid w:val="008D3405"/>
    <w:rsid w:val="008D34E1"/>
    <w:rsid w:val="008D363C"/>
    <w:rsid w:val="008D36AE"/>
    <w:rsid w:val="008D36B5"/>
    <w:rsid w:val="008D372E"/>
    <w:rsid w:val="008D37E5"/>
    <w:rsid w:val="008D37EE"/>
    <w:rsid w:val="008D3837"/>
    <w:rsid w:val="008D38B1"/>
    <w:rsid w:val="008D396A"/>
    <w:rsid w:val="008D3AC9"/>
    <w:rsid w:val="008D3B28"/>
    <w:rsid w:val="008D3BD2"/>
    <w:rsid w:val="008D3C44"/>
    <w:rsid w:val="008D3CDE"/>
    <w:rsid w:val="008D4087"/>
    <w:rsid w:val="008D40B8"/>
    <w:rsid w:val="008D412B"/>
    <w:rsid w:val="008D4150"/>
    <w:rsid w:val="008D4267"/>
    <w:rsid w:val="008D4294"/>
    <w:rsid w:val="008D4352"/>
    <w:rsid w:val="008D43E0"/>
    <w:rsid w:val="008D4614"/>
    <w:rsid w:val="008D46E1"/>
    <w:rsid w:val="008D47B4"/>
    <w:rsid w:val="008D4823"/>
    <w:rsid w:val="008D4AE8"/>
    <w:rsid w:val="008D4B15"/>
    <w:rsid w:val="008D4BD0"/>
    <w:rsid w:val="008D4C42"/>
    <w:rsid w:val="008D4D8A"/>
    <w:rsid w:val="008D4DB7"/>
    <w:rsid w:val="008D4F96"/>
    <w:rsid w:val="008D4FD7"/>
    <w:rsid w:val="008D4FD9"/>
    <w:rsid w:val="008D5054"/>
    <w:rsid w:val="008D50E8"/>
    <w:rsid w:val="008D5132"/>
    <w:rsid w:val="008D5287"/>
    <w:rsid w:val="008D5306"/>
    <w:rsid w:val="008D53B8"/>
    <w:rsid w:val="008D5463"/>
    <w:rsid w:val="008D5494"/>
    <w:rsid w:val="008D54DE"/>
    <w:rsid w:val="008D5671"/>
    <w:rsid w:val="008D5673"/>
    <w:rsid w:val="008D567D"/>
    <w:rsid w:val="008D5827"/>
    <w:rsid w:val="008D584D"/>
    <w:rsid w:val="008D5882"/>
    <w:rsid w:val="008D58C3"/>
    <w:rsid w:val="008D5A8B"/>
    <w:rsid w:val="008D5AF4"/>
    <w:rsid w:val="008D5B95"/>
    <w:rsid w:val="008D5D13"/>
    <w:rsid w:val="008D5D33"/>
    <w:rsid w:val="008D5DC9"/>
    <w:rsid w:val="008D5E9C"/>
    <w:rsid w:val="008D5F38"/>
    <w:rsid w:val="008D60EA"/>
    <w:rsid w:val="008D6158"/>
    <w:rsid w:val="008D621E"/>
    <w:rsid w:val="008D63AD"/>
    <w:rsid w:val="008D63BC"/>
    <w:rsid w:val="008D6423"/>
    <w:rsid w:val="008D642C"/>
    <w:rsid w:val="008D647D"/>
    <w:rsid w:val="008D653B"/>
    <w:rsid w:val="008D6617"/>
    <w:rsid w:val="008D662B"/>
    <w:rsid w:val="008D6707"/>
    <w:rsid w:val="008D6719"/>
    <w:rsid w:val="008D688D"/>
    <w:rsid w:val="008D690F"/>
    <w:rsid w:val="008D6952"/>
    <w:rsid w:val="008D6A2C"/>
    <w:rsid w:val="008D6B2B"/>
    <w:rsid w:val="008D6D8E"/>
    <w:rsid w:val="008D6EE2"/>
    <w:rsid w:val="008D6F63"/>
    <w:rsid w:val="008D6F98"/>
    <w:rsid w:val="008D6FB3"/>
    <w:rsid w:val="008D6FE3"/>
    <w:rsid w:val="008D702E"/>
    <w:rsid w:val="008D7081"/>
    <w:rsid w:val="008D714C"/>
    <w:rsid w:val="008D71DA"/>
    <w:rsid w:val="008D71FB"/>
    <w:rsid w:val="008D72C1"/>
    <w:rsid w:val="008D7311"/>
    <w:rsid w:val="008D7413"/>
    <w:rsid w:val="008D7490"/>
    <w:rsid w:val="008D759B"/>
    <w:rsid w:val="008D75B6"/>
    <w:rsid w:val="008D75B7"/>
    <w:rsid w:val="008D7726"/>
    <w:rsid w:val="008D77D6"/>
    <w:rsid w:val="008D7808"/>
    <w:rsid w:val="008D780A"/>
    <w:rsid w:val="008D784B"/>
    <w:rsid w:val="008D78EA"/>
    <w:rsid w:val="008D78FD"/>
    <w:rsid w:val="008D793E"/>
    <w:rsid w:val="008D7A2A"/>
    <w:rsid w:val="008D7AD7"/>
    <w:rsid w:val="008D7C0B"/>
    <w:rsid w:val="008D7C1A"/>
    <w:rsid w:val="008D7C3C"/>
    <w:rsid w:val="008D7D14"/>
    <w:rsid w:val="008D7D3C"/>
    <w:rsid w:val="008D7E7F"/>
    <w:rsid w:val="008D7EAC"/>
    <w:rsid w:val="008D7EC4"/>
    <w:rsid w:val="008D7EE0"/>
    <w:rsid w:val="008E003D"/>
    <w:rsid w:val="008E00A2"/>
    <w:rsid w:val="008E00A4"/>
    <w:rsid w:val="008E01F1"/>
    <w:rsid w:val="008E02B2"/>
    <w:rsid w:val="008E02BC"/>
    <w:rsid w:val="008E02DE"/>
    <w:rsid w:val="008E0319"/>
    <w:rsid w:val="008E035B"/>
    <w:rsid w:val="008E0363"/>
    <w:rsid w:val="008E03D9"/>
    <w:rsid w:val="008E03E3"/>
    <w:rsid w:val="008E03E7"/>
    <w:rsid w:val="008E03EC"/>
    <w:rsid w:val="008E049A"/>
    <w:rsid w:val="008E0517"/>
    <w:rsid w:val="008E0523"/>
    <w:rsid w:val="008E0561"/>
    <w:rsid w:val="008E05A9"/>
    <w:rsid w:val="008E05F8"/>
    <w:rsid w:val="008E060A"/>
    <w:rsid w:val="008E0646"/>
    <w:rsid w:val="008E07FE"/>
    <w:rsid w:val="008E0958"/>
    <w:rsid w:val="008E0969"/>
    <w:rsid w:val="008E0974"/>
    <w:rsid w:val="008E0999"/>
    <w:rsid w:val="008E09B9"/>
    <w:rsid w:val="008E0A12"/>
    <w:rsid w:val="008E0A79"/>
    <w:rsid w:val="008E0AD7"/>
    <w:rsid w:val="008E0B0E"/>
    <w:rsid w:val="008E0BB1"/>
    <w:rsid w:val="008E0E22"/>
    <w:rsid w:val="008E0E3C"/>
    <w:rsid w:val="008E0E48"/>
    <w:rsid w:val="008E0F3B"/>
    <w:rsid w:val="008E0F6B"/>
    <w:rsid w:val="008E1128"/>
    <w:rsid w:val="008E11CC"/>
    <w:rsid w:val="008E11FE"/>
    <w:rsid w:val="008E121C"/>
    <w:rsid w:val="008E1270"/>
    <w:rsid w:val="008E12FD"/>
    <w:rsid w:val="008E1366"/>
    <w:rsid w:val="008E1382"/>
    <w:rsid w:val="008E13AA"/>
    <w:rsid w:val="008E13CB"/>
    <w:rsid w:val="008E155D"/>
    <w:rsid w:val="008E15BB"/>
    <w:rsid w:val="008E1647"/>
    <w:rsid w:val="008E179C"/>
    <w:rsid w:val="008E1839"/>
    <w:rsid w:val="008E18FB"/>
    <w:rsid w:val="008E1958"/>
    <w:rsid w:val="008E19CA"/>
    <w:rsid w:val="008E1A55"/>
    <w:rsid w:val="008E1A87"/>
    <w:rsid w:val="008E1AA5"/>
    <w:rsid w:val="008E1AB8"/>
    <w:rsid w:val="008E1B34"/>
    <w:rsid w:val="008E1C35"/>
    <w:rsid w:val="008E1C7E"/>
    <w:rsid w:val="008E1CC1"/>
    <w:rsid w:val="008E1D09"/>
    <w:rsid w:val="008E1DD7"/>
    <w:rsid w:val="008E1E1B"/>
    <w:rsid w:val="008E1E34"/>
    <w:rsid w:val="008E1E55"/>
    <w:rsid w:val="008E1EC7"/>
    <w:rsid w:val="008E1EF9"/>
    <w:rsid w:val="008E203D"/>
    <w:rsid w:val="008E2195"/>
    <w:rsid w:val="008E2386"/>
    <w:rsid w:val="008E24CD"/>
    <w:rsid w:val="008E27EC"/>
    <w:rsid w:val="008E287D"/>
    <w:rsid w:val="008E291A"/>
    <w:rsid w:val="008E2995"/>
    <w:rsid w:val="008E2B68"/>
    <w:rsid w:val="008E2B8C"/>
    <w:rsid w:val="008E2B9C"/>
    <w:rsid w:val="008E2CA8"/>
    <w:rsid w:val="008E2DA5"/>
    <w:rsid w:val="008E2DD8"/>
    <w:rsid w:val="008E2DF2"/>
    <w:rsid w:val="008E2E72"/>
    <w:rsid w:val="008E308C"/>
    <w:rsid w:val="008E3287"/>
    <w:rsid w:val="008E32E7"/>
    <w:rsid w:val="008E33B8"/>
    <w:rsid w:val="008E33BB"/>
    <w:rsid w:val="008E33C7"/>
    <w:rsid w:val="008E34C2"/>
    <w:rsid w:val="008E34EF"/>
    <w:rsid w:val="008E3678"/>
    <w:rsid w:val="008E3686"/>
    <w:rsid w:val="008E36EC"/>
    <w:rsid w:val="008E37C0"/>
    <w:rsid w:val="008E3866"/>
    <w:rsid w:val="008E38E3"/>
    <w:rsid w:val="008E38F6"/>
    <w:rsid w:val="008E3A73"/>
    <w:rsid w:val="008E3BC3"/>
    <w:rsid w:val="008E3D88"/>
    <w:rsid w:val="008E3E35"/>
    <w:rsid w:val="008E3E78"/>
    <w:rsid w:val="008E3EFF"/>
    <w:rsid w:val="008E3F44"/>
    <w:rsid w:val="008E402D"/>
    <w:rsid w:val="008E40D7"/>
    <w:rsid w:val="008E40E3"/>
    <w:rsid w:val="008E412A"/>
    <w:rsid w:val="008E4136"/>
    <w:rsid w:val="008E423B"/>
    <w:rsid w:val="008E433A"/>
    <w:rsid w:val="008E434C"/>
    <w:rsid w:val="008E4468"/>
    <w:rsid w:val="008E44A0"/>
    <w:rsid w:val="008E44EE"/>
    <w:rsid w:val="008E4524"/>
    <w:rsid w:val="008E453A"/>
    <w:rsid w:val="008E479B"/>
    <w:rsid w:val="008E47C5"/>
    <w:rsid w:val="008E47D0"/>
    <w:rsid w:val="008E48BC"/>
    <w:rsid w:val="008E4914"/>
    <w:rsid w:val="008E4AE0"/>
    <w:rsid w:val="008E4BA0"/>
    <w:rsid w:val="008E4BF7"/>
    <w:rsid w:val="008E4D4E"/>
    <w:rsid w:val="008E4E10"/>
    <w:rsid w:val="008E4E2A"/>
    <w:rsid w:val="008E5001"/>
    <w:rsid w:val="008E509C"/>
    <w:rsid w:val="008E50A4"/>
    <w:rsid w:val="008E50CD"/>
    <w:rsid w:val="008E5246"/>
    <w:rsid w:val="008E52E4"/>
    <w:rsid w:val="008E530D"/>
    <w:rsid w:val="008E538A"/>
    <w:rsid w:val="008E5408"/>
    <w:rsid w:val="008E544C"/>
    <w:rsid w:val="008E54BC"/>
    <w:rsid w:val="008E5620"/>
    <w:rsid w:val="008E5672"/>
    <w:rsid w:val="008E583D"/>
    <w:rsid w:val="008E5842"/>
    <w:rsid w:val="008E58CD"/>
    <w:rsid w:val="008E5A17"/>
    <w:rsid w:val="008E5A3E"/>
    <w:rsid w:val="008E5A3F"/>
    <w:rsid w:val="008E5A5C"/>
    <w:rsid w:val="008E5AC5"/>
    <w:rsid w:val="008E5C84"/>
    <w:rsid w:val="008E5CEC"/>
    <w:rsid w:val="008E5D66"/>
    <w:rsid w:val="008E5DD6"/>
    <w:rsid w:val="008E5F1A"/>
    <w:rsid w:val="008E5F6E"/>
    <w:rsid w:val="008E6069"/>
    <w:rsid w:val="008E60C8"/>
    <w:rsid w:val="008E6245"/>
    <w:rsid w:val="008E627D"/>
    <w:rsid w:val="008E6306"/>
    <w:rsid w:val="008E6335"/>
    <w:rsid w:val="008E63C7"/>
    <w:rsid w:val="008E6457"/>
    <w:rsid w:val="008E654F"/>
    <w:rsid w:val="008E6594"/>
    <w:rsid w:val="008E65DF"/>
    <w:rsid w:val="008E6660"/>
    <w:rsid w:val="008E679B"/>
    <w:rsid w:val="008E67D8"/>
    <w:rsid w:val="008E67DC"/>
    <w:rsid w:val="008E6A4F"/>
    <w:rsid w:val="008E6B27"/>
    <w:rsid w:val="008E6D3A"/>
    <w:rsid w:val="008E6D48"/>
    <w:rsid w:val="008E6D5C"/>
    <w:rsid w:val="008E6D76"/>
    <w:rsid w:val="008E6D7F"/>
    <w:rsid w:val="008E6E01"/>
    <w:rsid w:val="008E6E69"/>
    <w:rsid w:val="008E6EB0"/>
    <w:rsid w:val="008E6F09"/>
    <w:rsid w:val="008E70C1"/>
    <w:rsid w:val="008E730D"/>
    <w:rsid w:val="008E7360"/>
    <w:rsid w:val="008E73E2"/>
    <w:rsid w:val="008E74F1"/>
    <w:rsid w:val="008E7595"/>
    <w:rsid w:val="008E76CD"/>
    <w:rsid w:val="008E77E3"/>
    <w:rsid w:val="008E787B"/>
    <w:rsid w:val="008E7888"/>
    <w:rsid w:val="008E7A23"/>
    <w:rsid w:val="008E7A5F"/>
    <w:rsid w:val="008E7AD4"/>
    <w:rsid w:val="008E7B7E"/>
    <w:rsid w:val="008E7BB4"/>
    <w:rsid w:val="008E7DD8"/>
    <w:rsid w:val="008E7E32"/>
    <w:rsid w:val="008F0002"/>
    <w:rsid w:val="008F0039"/>
    <w:rsid w:val="008F0075"/>
    <w:rsid w:val="008F00C5"/>
    <w:rsid w:val="008F0238"/>
    <w:rsid w:val="008F0247"/>
    <w:rsid w:val="008F02FF"/>
    <w:rsid w:val="008F031D"/>
    <w:rsid w:val="008F0358"/>
    <w:rsid w:val="008F03C0"/>
    <w:rsid w:val="008F0440"/>
    <w:rsid w:val="008F05A6"/>
    <w:rsid w:val="008F05E8"/>
    <w:rsid w:val="008F06DB"/>
    <w:rsid w:val="008F0810"/>
    <w:rsid w:val="008F0879"/>
    <w:rsid w:val="008F093A"/>
    <w:rsid w:val="008F0A7B"/>
    <w:rsid w:val="008F0ADC"/>
    <w:rsid w:val="008F0B3E"/>
    <w:rsid w:val="008F0C0E"/>
    <w:rsid w:val="008F10AB"/>
    <w:rsid w:val="008F11BF"/>
    <w:rsid w:val="008F11C2"/>
    <w:rsid w:val="008F11E2"/>
    <w:rsid w:val="008F1261"/>
    <w:rsid w:val="008F16EB"/>
    <w:rsid w:val="008F1871"/>
    <w:rsid w:val="008F18B8"/>
    <w:rsid w:val="008F19D3"/>
    <w:rsid w:val="008F1A34"/>
    <w:rsid w:val="008F1A3C"/>
    <w:rsid w:val="008F1AAD"/>
    <w:rsid w:val="008F1BEA"/>
    <w:rsid w:val="008F1C07"/>
    <w:rsid w:val="008F1D43"/>
    <w:rsid w:val="008F1E11"/>
    <w:rsid w:val="008F1E76"/>
    <w:rsid w:val="008F1E9B"/>
    <w:rsid w:val="008F1F6B"/>
    <w:rsid w:val="008F202B"/>
    <w:rsid w:val="008F212C"/>
    <w:rsid w:val="008F219D"/>
    <w:rsid w:val="008F2264"/>
    <w:rsid w:val="008F226C"/>
    <w:rsid w:val="008F2309"/>
    <w:rsid w:val="008F23D3"/>
    <w:rsid w:val="008F23E7"/>
    <w:rsid w:val="008F2410"/>
    <w:rsid w:val="008F2534"/>
    <w:rsid w:val="008F2651"/>
    <w:rsid w:val="008F26C5"/>
    <w:rsid w:val="008F27BC"/>
    <w:rsid w:val="008F283C"/>
    <w:rsid w:val="008F2846"/>
    <w:rsid w:val="008F28FA"/>
    <w:rsid w:val="008F2911"/>
    <w:rsid w:val="008F29A9"/>
    <w:rsid w:val="008F2A4F"/>
    <w:rsid w:val="008F2A5E"/>
    <w:rsid w:val="008F2CB2"/>
    <w:rsid w:val="008F2E77"/>
    <w:rsid w:val="008F2F96"/>
    <w:rsid w:val="008F2FC6"/>
    <w:rsid w:val="008F3164"/>
    <w:rsid w:val="008F31BC"/>
    <w:rsid w:val="008F3252"/>
    <w:rsid w:val="008F32E7"/>
    <w:rsid w:val="008F3304"/>
    <w:rsid w:val="008F344E"/>
    <w:rsid w:val="008F346A"/>
    <w:rsid w:val="008F351E"/>
    <w:rsid w:val="008F356F"/>
    <w:rsid w:val="008F36F4"/>
    <w:rsid w:val="008F37C7"/>
    <w:rsid w:val="008F38BA"/>
    <w:rsid w:val="008F39E9"/>
    <w:rsid w:val="008F3AC9"/>
    <w:rsid w:val="008F3B63"/>
    <w:rsid w:val="008F3C6B"/>
    <w:rsid w:val="008F3D0F"/>
    <w:rsid w:val="008F3D1A"/>
    <w:rsid w:val="008F3D88"/>
    <w:rsid w:val="008F3DBE"/>
    <w:rsid w:val="008F3E17"/>
    <w:rsid w:val="008F3E91"/>
    <w:rsid w:val="008F3E98"/>
    <w:rsid w:val="008F3F40"/>
    <w:rsid w:val="008F4217"/>
    <w:rsid w:val="008F424B"/>
    <w:rsid w:val="008F429E"/>
    <w:rsid w:val="008F439E"/>
    <w:rsid w:val="008F4512"/>
    <w:rsid w:val="008F4598"/>
    <w:rsid w:val="008F45D7"/>
    <w:rsid w:val="008F4628"/>
    <w:rsid w:val="008F464D"/>
    <w:rsid w:val="008F46B0"/>
    <w:rsid w:val="008F46B6"/>
    <w:rsid w:val="008F471B"/>
    <w:rsid w:val="008F4769"/>
    <w:rsid w:val="008F47D4"/>
    <w:rsid w:val="008F4841"/>
    <w:rsid w:val="008F4968"/>
    <w:rsid w:val="008F49D0"/>
    <w:rsid w:val="008F49D1"/>
    <w:rsid w:val="008F49E8"/>
    <w:rsid w:val="008F4A16"/>
    <w:rsid w:val="008F4AEE"/>
    <w:rsid w:val="008F4B55"/>
    <w:rsid w:val="008F4C49"/>
    <w:rsid w:val="008F4C80"/>
    <w:rsid w:val="008F4CB9"/>
    <w:rsid w:val="008F4D9E"/>
    <w:rsid w:val="008F4E2C"/>
    <w:rsid w:val="008F4EDC"/>
    <w:rsid w:val="008F4FBB"/>
    <w:rsid w:val="008F5057"/>
    <w:rsid w:val="008F5059"/>
    <w:rsid w:val="008F505D"/>
    <w:rsid w:val="008F5298"/>
    <w:rsid w:val="008F531D"/>
    <w:rsid w:val="008F53DA"/>
    <w:rsid w:val="008F5480"/>
    <w:rsid w:val="008F564F"/>
    <w:rsid w:val="008F5671"/>
    <w:rsid w:val="008F5688"/>
    <w:rsid w:val="008F5691"/>
    <w:rsid w:val="008F5710"/>
    <w:rsid w:val="008F5753"/>
    <w:rsid w:val="008F57E2"/>
    <w:rsid w:val="008F58BB"/>
    <w:rsid w:val="008F592F"/>
    <w:rsid w:val="008F595F"/>
    <w:rsid w:val="008F59B1"/>
    <w:rsid w:val="008F59D1"/>
    <w:rsid w:val="008F5B43"/>
    <w:rsid w:val="008F5C34"/>
    <w:rsid w:val="008F5E39"/>
    <w:rsid w:val="008F5EE0"/>
    <w:rsid w:val="008F5FC2"/>
    <w:rsid w:val="008F5FC9"/>
    <w:rsid w:val="008F6144"/>
    <w:rsid w:val="008F61FB"/>
    <w:rsid w:val="008F622B"/>
    <w:rsid w:val="008F6278"/>
    <w:rsid w:val="008F62CC"/>
    <w:rsid w:val="008F65D9"/>
    <w:rsid w:val="008F6646"/>
    <w:rsid w:val="008F6735"/>
    <w:rsid w:val="008F676F"/>
    <w:rsid w:val="008F6792"/>
    <w:rsid w:val="008F68CC"/>
    <w:rsid w:val="008F68FD"/>
    <w:rsid w:val="008F692B"/>
    <w:rsid w:val="008F6980"/>
    <w:rsid w:val="008F69B5"/>
    <w:rsid w:val="008F69FD"/>
    <w:rsid w:val="008F6B89"/>
    <w:rsid w:val="008F6C7D"/>
    <w:rsid w:val="008F6D95"/>
    <w:rsid w:val="008F6DE7"/>
    <w:rsid w:val="008F6DFB"/>
    <w:rsid w:val="008F6EBA"/>
    <w:rsid w:val="008F6F4D"/>
    <w:rsid w:val="008F6F6B"/>
    <w:rsid w:val="008F6FD3"/>
    <w:rsid w:val="008F700C"/>
    <w:rsid w:val="008F70CA"/>
    <w:rsid w:val="008F70FA"/>
    <w:rsid w:val="008F7154"/>
    <w:rsid w:val="008F7240"/>
    <w:rsid w:val="008F724F"/>
    <w:rsid w:val="008F7345"/>
    <w:rsid w:val="008F73A1"/>
    <w:rsid w:val="008F73C9"/>
    <w:rsid w:val="008F741D"/>
    <w:rsid w:val="008F7742"/>
    <w:rsid w:val="008F776A"/>
    <w:rsid w:val="008F77A8"/>
    <w:rsid w:val="008F789D"/>
    <w:rsid w:val="008F7918"/>
    <w:rsid w:val="008F792D"/>
    <w:rsid w:val="008F795F"/>
    <w:rsid w:val="008F7B2C"/>
    <w:rsid w:val="008F7BEE"/>
    <w:rsid w:val="008F7E38"/>
    <w:rsid w:val="008F7EF0"/>
    <w:rsid w:val="008F7F5F"/>
    <w:rsid w:val="008F7F69"/>
    <w:rsid w:val="008F7FB1"/>
    <w:rsid w:val="008F7FD6"/>
    <w:rsid w:val="00900042"/>
    <w:rsid w:val="00900175"/>
    <w:rsid w:val="009001B9"/>
    <w:rsid w:val="009002BD"/>
    <w:rsid w:val="00900330"/>
    <w:rsid w:val="009003E7"/>
    <w:rsid w:val="009007D3"/>
    <w:rsid w:val="0090080A"/>
    <w:rsid w:val="00900860"/>
    <w:rsid w:val="00900885"/>
    <w:rsid w:val="00900938"/>
    <w:rsid w:val="00900A05"/>
    <w:rsid w:val="00900A17"/>
    <w:rsid w:val="00900D3E"/>
    <w:rsid w:val="00900D4A"/>
    <w:rsid w:val="00900E2F"/>
    <w:rsid w:val="00900EDF"/>
    <w:rsid w:val="00900FB5"/>
    <w:rsid w:val="00900FE9"/>
    <w:rsid w:val="00901006"/>
    <w:rsid w:val="00901081"/>
    <w:rsid w:val="0090117B"/>
    <w:rsid w:val="00901206"/>
    <w:rsid w:val="0090136C"/>
    <w:rsid w:val="00901396"/>
    <w:rsid w:val="00901476"/>
    <w:rsid w:val="00901492"/>
    <w:rsid w:val="00901579"/>
    <w:rsid w:val="00901687"/>
    <w:rsid w:val="009017E7"/>
    <w:rsid w:val="00901826"/>
    <w:rsid w:val="0090195C"/>
    <w:rsid w:val="00901A52"/>
    <w:rsid w:val="00901ABE"/>
    <w:rsid w:val="00901B5D"/>
    <w:rsid w:val="00901B89"/>
    <w:rsid w:val="00901D0C"/>
    <w:rsid w:val="00901D5F"/>
    <w:rsid w:val="00901DCF"/>
    <w:rsid w:val="00901E41"/>
    <w:rsid w:val="00901E81"/>
    <w:rsid w:val="00901EB0"/>
    <w:rsid w:val="00901F0F"/>
    <w:rsid w:val="009021F1"/>
    <w:rsid w:val="0090220A"/>
    <w:rsid w:val="009022CB"/>
    <w:rsid w:val="00902383"/>
    <w:rsid w:val="0090248B"/>
    <w:rsid w:val="00902534"/>
    <w:rsid w:val="0090273F"/>
    <w:rsid w:val="009027C1"/>
    <w:rsid w:val="00902A15"/>
    <w:rsid w:val="00902B22"/>
    <w:rsid w:val="00902B88"/>
    <w:rsid w:val="00902CAE"/>
    <w:rsid w:val="00902D53"/>
    <w:rsid w:val="00902E8A"/>
    <w:rsid w:val="00902EF5"/>
    <w:rsid w:val="00902F2D"/>
    <w:rsid w:val="00902F48"/>
    <w:rsid w:val="00902F8B"/>
    <w:rsid w:val="00902FC8"/>
    <w:rsid w:val="009030BE"/>
    <w:rsid w:val="009030D4"/>
    <w:rsid w:val="009031BA"/>
    <w:rsid w:val="009032A5"/>
    <w:rsid w:val="009032C1"/>
    <w:rsid w:val="00903344"/>
    <w:rsid w:val="0090349C"/>
    <w:rsid w:val="009034C5"/>
    <w:rsid w:val="00903723"/>
    <w:rsid w:val="0090374F"/>
    <w:rsid w:val="00903777"/>
    <w:rsid w:val="0090389A"/>
    <w:rsid w:val="009038B8"/>
    <w:rsid w:val="0090395D"/>
    <w:rsid w:val="00903A1A"/>
    <w:rsid w:val="00903D5D"/>
    <w:rsid w:val="00903DD2"/>
    <w:rsid w:val="00903DE5"/>
    <w:rsid w:val="00903EE9"/>
    <w:rsid w:val="00903F19"/>
    <w:rsid w:val="00903F45"/>
    <w:rsid w:val="00904088"/>
    <w:rsid w:val="009041B6"/>
    <w:rsid w:val="00904286"/>
    <w:rsid w:val="0090430B"/>
    <w:rsid w:val="0090435C"/>
    <w:rsid w:val="009043A0"/>
    <w:rsid w:val="00904413"/>
    <w:rsid w:val="00904466"/>
    <w:rsid w:val="00904481"/>
    <w:rsid w:val="00904556"/>
    <w:rsid w:val="009045B4"/>
    <w:rsid w:val="00904738"/>
    <w:rsid w:val="00904818"/>
    <w:rsid w:val="0090482A"/>
    <w:rsid w:val="0090483C"/>
    <w:rsid w:val="0090489F"/>
    <w:rsid w:val="00904914"/>
    <w:rsid w:val="0090493D"/>
    <w:rsid w:val="00904986"/>
    <w:rsid w:val="009049F5"/>
    <w:rsid w:val="00904A53"/>
    <w:rsid w:val="00904ACB"/>
    <w:rsid w:val="00904B75"/>
    <w:rsid w:val="00904C5A"/>
    <w:rsid w:val="00904C6F"/>
    <w:rsid w:val="00904D5D"/>
    <w:rsid w:val="00904F4B"/>
    <w:rsid w:val="00905058"/>
    <w:rsid w:val="00905095"/>
    <w:rsid w:val="009051EF"/>
    <w:rsid w:val="009051F8"/>
    <w:rsid w:val="00905279"/>
    <w:rsid w:val="0090532E"/>
    <w:rsid w:val="009053DA"/>
    <w:rsid w:val="009053F8"/>
    <w:rsid w:val="00905492"/>
    <w:rsid w:val="009054C4"/>
    <w:rsid w:val="009054E0"/>
    <w:rsid w:val="00905514"/>
    <w:rsid w:val="009055CF"/>
    <w:rsid w:val="00905735"/>
    <w:rsid w:val="009057FA"/>
    <w:rsid w:val="00905802"/>
    <w:rsid w:val="00905807"/>
    <w:rsid w:val="0090583A"/>
    <w:rsid w:val="00905AC2"/>
    <w:rsid w:val="00905ADF"/>
    <w:rsid w:val="00905AE0"/>
    <w:rsid w:val="00905B2E"/>
    <w:rsid w:val="00905B4D"/>
    <w:rsid w:val="00905B5D"/>
    <w:rsid w:val="00905B70"/>
    <w:rsid w:val="00905C54"/>
    <w:rsid w:val="00905D9B"/>
    <w:rsid w:val="00905E64"/>
    <w:rsid w:val="00905FB6"/>
    <w:rsid w:val="0090603A"/>
    <w:rsid w:val="00906091"/>
    <w:rsid w:val="00906153"/>
    <w:rsid w:val="0090626A"/>
    <w:rsid w:val="009062FE"/>
    <w:rsid w:val="00906356"/>
    <w:rsid w:val="00906358"/>
    <w:rsid w:val="009063D8"/>
    <w:rsid w:val="00906429"/>
    <w:rsid w:val="0090646C"/>
    <w:rsid w:val="009064A1"/>
    <w:rsid w:val="00906763"/>
    <w:rsid w:val="009067F8"/>
    <w:rsid w:val="009068C2"/>
    <w:rsid w:val="0090698F"/>
    <w:rsid w:val="00906A4D"/>
    <w:rsid w:val="00906C15"/>
    <w:rsid w:val="00906D5B"/>
    <w:rsid w:val="00906DED"/>
    <w:rsid w:val="00906E36"/>
    <w:rsid w:val="00906E8A"/>
    <w:rsid w:val="00906F38"/>
    <w:rsid w:val="00907025"/>
    <w:rsid w:val="00907091"/>
    <w:rsid w:val="00907136"/>
    <w:rsid w:val="009071BF"/>
    <w:rsid w:val="009071EA"/>
    <w:rsid w:val="00907216"/>
    <w:rsid w:val="009072E4"/>
    <w:rsid w:val="009072E7"/>
    <w:rsid w:val="00907353"/>
    <w:rsid w:val="0090736A"/>
    <w:rsid w:val="0090736E"/>
    <w:rsid w:val="0090741C"/>
    <w:rsid w:val="009074C0"/>
    <w:rsid w:val="009074F9"/>
    <w:rsid w:val="00907544"/>
    <w:rsid w:val="00907647"/>
    <w:rsid w:val="0090766E"/>
    <w:rsid w:val="00907673"/>
    <w:rsid w:val="0090771B"/>
    <w:rsid w:val="009077AB"/>
    <w:rsid w:val="009078DA"/>
    <w:rsid w:val="009079A6"/>
    <w:rsid w:val="00907B44"/>
    <w:rsid w:val="00907B69"/>
    <w:rsid w:val="00907C71"/>
    <w:rsid w:val="00907DC2"/>
    <w:rsid w:val="00907F16"/>
    <w:rsid w:val="009100D5"/>
    <w:rsid w:val="0091014A"/>
    <w:rsid w:val="0091015E"/>
    <w:rsid w:val="00910170"/>
    <w:rsid w:val="00910183"/>
    <w:rsid w:val="009102EF"/>
    <w:rsid w:val="009103E7"/>
    <w:rsid w:val="00910445"/>
    <w:rsid w:val="009104DD"/>
    <w:rsid w:val="009105DD"/>
    <w:rsid w:val="00910676"/>
    <w:rsid w:val="009106C6"/>
    <w:rsid w:val="0091077A"/>
    <w:rsid w:val="009107A7"/>
    <w:rsid w:val="009107B0"/>
    <w:rsid w:val="009108D2"/>
    <w:rsid w:val="00910991"/>
    <w:rsid w:val="009109A5"/>
    <w:rsid w:val="009109A7"/>
    <w:rsid w:val="00910A1E"/>
    <w:rsid w:val="00910BA2"/>
    <w:rsid w:val="00910CB2"/>
    <w:rsid w:val="00910D37"/>
    <w:rsid w:val="00910E84"/>
    <w:rsid w:val="00910EA9"/>
    <w:rsid w:val="00910ED2"/>
    <w:rsid w:val="0091107B"/>
    <w:rsid w:val="0091108F"/>
    <w:rsid w:val="009113AA"/>
    <w:rsid w:val="0091142E"/>
    <w:rsid w:val="00911499"/>
    <w:rsid w:val="009114CA"/>
    <w:rsid w:val="0091161F"/>
    <w:rsid w:val="0091193C"/>
    <w:rsid w:val="00911956"/>
    <w:rsid w:val="0091197D"/>
    <w:rsid w:val="00911997"/>
    <w:rsid w:val="009119D2"/>
    <w:rsid w:val="00911A07"/>
    <w:rsid w:val="00911AA3"/>
    <w:rsid w:val="00911AA7"/>
    <w:rsid w:val="00911AD3"/>
    <w:rsid w:val="00911AE3"/>
    <w:rsid w:val="00911C26"/>
    <w:rsid w:val="00911C35"/>
    <w:rsid w:val="00911C97"/>
    <w:rsid w:val="00911CB2"/>
    <w:rsid w:val="00911D32"/>
    <w:rsid w:val="00911E90"/>
    <w:rsid w:val="00911F8A"/>
    <w:rsid w:val="0091203C"/>
    <w:rsid w:val="0091205A"/>
    <w:rsid w:val="00912102"/>
    <w:rsid w:val="00912157"/>
    <w:rsid w:val="0091220D"/>
    <w:rsid w:val="00912212"/>
    <w:rsid w:val="0091223F"/>
    <w:rsid w:val="009125EA"/>
    <w:rsid w:val="00912785"/>
    <w:rsid w:val="009127DC"/>
    <w:rsid w:val="00912841"/>
    <w:rsid w:val="0091292F"/>
    <w:rsid w:val="0091297D"/>
    <w:rsid w:val="00912B17"/>
    <w:rsid w:val="00912BA2"/>
    <w:rsid w:val="00912DB4"/>
    <w:rsid w:val="00912DD0"/>
    <w:rsid w:val="00912DE1"/>
    <w:rsid w:val="00912E72"/>
    <w:rsid w:val="00912F4E"/>
    <w:rsid w:val="00912F9A"/>
    <w:rsid w:val="00912FC7"/>
    <w:rsid w:val="00913092"/>
    <w:rsid w:val="009131F4"/>
    <w:rsid w:val="00913209"/>
    <w:rsid w:val="0091339B"/>
    <w:rsid w:val="00913475"/>
    <w:rsid w:val="009134D7"/>
    <w:rsid w:val="00913626"/>
    <w:rsid w:val="0091364C"/>
    <w:rsid w:val="00913650"/>
    <w:rsid w:val="00913824"/>
    <w:rsid w:val="0091384A"/>
    <w:rsid w:val="0091384B"/>
    <w:rsid w:val="009138B8"/>
    <w:rsid w:val="009138BB"/>
    <w:rsid w:val="009138D6"/>
    <w:rsid w:val="009138EE"/>
    <w:rsid w:val="009138F4"/>
    <w:rsid w:val="009138F8"/>
    <w:rsid w:val="00913947"/>
    <w:rsid w:val="00913985"/>
    <w:rsid w:val="009139CD"/>
    <w:rsid w:val="00913A32"/>
    <w:rsid w:val="00913B20"/>
    <w:rsid w:val="00913B34"/>
    <w:rsid w:val="00913B8E"/>
    <w:rsid w:val="00913BA0"/>
    <w:rsid w:val="00913C87"/>
    <w:rsid w:val="00913CC3"/>
    <w:rsid w:val="00913E4A"/>
    <w:rsid w:val="00913F41"/>
    <w:rsid w:val="00914026"/>
    <w:rsid w:val="009140D4"/>
    <w:rsid w:val="00914151"/>
    <w:rsid w:val="009141BA"/>
    <w:rsid w:val="009141D5"/>
    <w:rsid w:val="009141E8"/>
    <w:rsid w:val="0091425B"/>
    <w:rsid w:val="0091429D"/>
    <w:rsid w:val="0091431D"/>
    <w:rsid w:val="00914374"/>
    <w:rsid w:val="0091437E"/>
    <w:rsid w:val="00914410"/>
    <w:rsid w:val="00914507"/>
    <w:rsid w:val="009145B7"/>
    <w:rsid w:val="0091466A"/>
    <w:rsid w:val="009146F4"/>
    <w:rsid w:val="00914713"/>
    <w:rsid w:val="009147B4"/>
    <w:rsid w:val="00914984"/>
    <w:rsid w:val="00914995"/>
    <w:rsid w:val="00914A85"/>
    <w:rsid w:val="00914B46"/>
    <w:rsid w:val="00914B98"/>
    <w:rsid w:val="00914C27"/>
    <w:rsid w:val="00914D0A"/>
    <w:rsid w:val="00914D13"/>
    <w:rsid w:val="00914D9D"/>
    <w:rsid w:val="00914EF4"/>
    <w:rsid w:val="00914F7E"/>
    <w:rsid w:val="0091507C"/>
    <w:rsid w:val="00915169"/>
    <w:rsid w:val="00915189"/>
    <w:rsid w:val="00915216"/>
    <w:rsid w:val="0091528A"/>
    <w:rsid w:val="00915340"/>
    <w:rsid w:val="009153FD"/>
    <w:rsid w:val="00915469"/>
    <w:rsid w:val="00915504"/>
    <w:rsid w:val="00915515"/>
    <w:rsid w:val="0091565E"/>
    <w:rsid w:val="00915687"/>
    <w:rsid w:val="009156A5"/>
    <w:rsid w:val="0091570A"/>
    <w:rsid w:val="00915806"/>
    <w:rsid w:val="00915A35"/>
    <w:rsid w:val="00915BD0"/>
    <w:rsid w:val="00915D0E"/>
    <w:rsid w:val="00915D14"/>
    <w:rsid w:val="00915E3C"/>
    <w:rsid w:val="00915E60"/>
    <w:rsid w:val="00915E65"/>
    <w:rsid w:val="0091608D"/>
    <w:rsid w:val="00916172"/>
    <w:rsid w:val="0091626B"/>
    <w:rsid w:val="00916316"/>
    <w:rsid w:val="0091646B"/>
    <w:rsid w:val="0091649E"/>
    <w:rsid w:val="009165D7"/>
    <w:rsid w:val="009165FC"/>
    <w:rsid w:val="009166BA"/>
    <w:rsid w:val="00916703"/>
    <w:rsid w:val="00916714"/>
    <w:rsid w:val="00916841"/>
    <w:rsid w:val="00916872"/>
    <w:rsid w:val="009168C7"/>
    <w:rsid w:val="009168D0"/>
    <w:rsid w:val="0091691F"/>
    <w:rsid w:val="00916995"/>
    <w:rsid w:val="009169E8"/>
    <w:rsid w:val="00916C88"/>
    <w:rsid w:val="00916C9A"/>
    <w:rsid w:val="00916D0A"/>
    <w:rsid w:val="00916E46"/>
    <w:rsid w:val="00916E49"/>
    <w:rsid w:val="00916F6D"/>
    <w:rsid w:val="00916FD6"/>
    <w:rsid w:val="009170FD"/>
    <w:rsid w:val="009171AE"/>
    <w:rsid w:val="009171F2"/>
    <w:rsid w:val="009171F6"/>
    <w:rsid w:val="00917305"/>
    <w:rsid w:val="00917338"/>
    <w:rsid w:val="009175FF"/>
    <w:rsid w:val="009176A6"/>
    <w:rsid w:val="00917705"/>
    <w:rsid w:val="0091771E"/>
    <w:rsid w:val="00917989"/>
    <w:rsid w:val="00917A37"/>
    <w:rsid w:val="00917ABF"/>
    <w:rsid w:val="00917AF4"/>
    <w:rsid w:val="00917B45"/>
    <w:rsid w:val="00917C05"/>
    <w:rsid w:val="00917C20"/>
    <w:rsid w:val="00917C54"/>
    <w:rsid w:val="00917D27"/>
    <w:rsid w:val="00917DBF"/>
    <w:rsid w:val="00917DC6"/>
    <w:rsid w:val="00917DDE"/>
    <w:rsid w:val="00917F87"/>
    <w:rsid w:val="00917FA0"/>
    <w:rsid w:val="0092021A"/>
    <w:rsid w:val="0092035B"/>
    <w:rsid w:val="00920379"/>
    <w:rsid w:val="009203BB"/>
    <w:rsid w:val="009204C9"/>
    <w:rsid w:val="00920624"/>
    <w:rsid w:val="0092087D"/>
    <w:rsid w:val="009208DD"/>
    <w:rsid w:val="009208FB"/>
    <w:rsid w:val="009208FD"/>
    <w:rsid w:val="00920981"/>
    <w:rsid w:val="00920A12"/>
    <w:rsid w:val="00920C7E"/>
    <w:rsid w:val="00920DF6"/>
    <w:rsid w:val="00920F54"/>
    <w:rsid w:val="00920FD7"/>
    <w:rsid w:val="00921000"/>
    <w:rsid w:val="0092100B"/>
    <w:rsid w:val="009210F0"/>
    <w:rsid w:val="00921144"/>
    <w:rsid w:val="009211B4"/>
    <w:rsid w:val="009211F2"/>
    <w:rsid w:val="00921210"/>
    <w:rsid w:val="009213EF"/>
    <w:rsid w:val="0092155B"/>
    <w:rsid w:val="00921564"/>
    <w:rsid w:val="0092156F"/>
    <w:rsid w:val="009215DA"/>
    <w:rsid w:val="0092163D"/>
    <w:rsid w:val="00921700"/>
    <w:rsid w:val="0092175A"/>
    <w:rsid w:val="009217AD"/>
    <w:rsid w:val="00921804"/>
    <w:rsid w:val="00921AA9"/>
    <w:rsid w:val="00921ACC"/>
    <w:rsid w:val="00921AD6"/>
    <w:rsid w:val="00921B3C"/>
    <w:rsid w:val="00921C0A"/>
    <w:rsid w:val="00921D45"/>
    <w:rsid w:val="00921DF8"/>
    <w:rsid w:val="00921EF2"/>
    <w:rsid w:val="00921F11"/>
    <w:rsid w:val="00922044"/>
    <w:rsid w:val="0092207C"/>
    <w:rsid w:val="00922194"/>
    <w:rsid w:val="0092222C"/>
    <w:rsid w:val="00922270"/>
    <w:rsid w:val="0092237A"/>
    <w:rsid w:val="009223B5"/>
    <w:rsid w:val="00922423"/>
    <w:rsid w:val="0092245F"/>
    <w:rsid w:val="0092254B"/>
    <w:rsid w:val="009225C3"/>
    <w:rsid w:val="009226AE"/>
    <w:rsid w:val="009227AD"/>
    <w:rsid w:val="0092282F"/>
    <w:rsid w:val="009229F8"/>
    <w:rsid w:val="00922A2F"/>
    <w:rsid w:val="00922BCA"/>
    <w:rsid w:val="00922C84"/>
    <w:rsid w:val="00922CD8"/>
    <w:rsid w:val="00922D9D"/>
    <w:rsid w:val="00922E15"/>
    <w:rsid w:val="00922F1A"/>
    <w:rsid w:val="00922FB8"/>
    <w:rsid w:val="0092305F"/>
    <w:rsid w:val="009230DB"/>
    <w:rsid w:val="009230E4"/>
    <w:rsid w:val="0092316F"/>
    <w:rsid w:val="00923172"/>
    <w:rsid w:val="0092319D"/>
    <w:rsid w:val="009231F9"/>
    <w:rsid w:val="009232C6"/>
    <w:rsid w:val="0092339F"/>
    <w:rsid w:val="009233F1"/>
    <w:rsid w:val="009234BF"/>
    <w:rsid w:val="00923502"/>
    <w:rsid w:val="0092356C"/>
    <w:rsid w:val="009236DC"/>
    <w:rsid w:val="00923753"/>
    <w:rsid w:val="0092375B"/>
    <w:rsid w:val="009237AB"/>
    <w:rsid w:val="009237D8"/>
    <w:rsid w:val="00923878"/>
    <w:rsid w:val="00923912"/>
    <w:rsid w:val="00923958"/>
    <w:rsid w:val="009239C9"/>
    <w:rsid w:val="009239D8"/>
    <w:rsid w:val="00923CDC"/>
    <w:rsid w:val="00923D00"/>
    <w:rsid w:val="00923D4C"/>
    <w:rsid w:val="00923E7F"/>
    <w:rsid w:val="00923F2F"/>
    <w:rsid w:val="00923FCF"/>
    <w:rsid w:val="00924011"/>
    <w:rsid w:val="009240A4"/>
    <w:rsid w:val="009240B4"/>
    <w:rsid w:val="0092411A"/>
    <w:rsid w:val="00924178"/>
    <w:rsid w:val="009241E2"/>
    <w:rsid w:val="00924332"/>
    <w:rsid w:val="0092460F"/>
    <w:rsid w:val="009246D4"/>
    <w:rsid w:val="0092472D"/>
    <w:rsid w:val="0092473B"/>
    <w:rsid w:val="009247AE"/>
    <w:rsid w:val="009247B9"/>
    <w:rsid w:val="009247C7"/>
    <w:rsid w:val="009247CC"/>
    <w:rsid w:val="009247E7"/>
    <w:rsid w:val="009247FC"/>
    <w:rsid w:val="00924904"/>
    <w:rsid w:val="00924951"/>
    <w:rsid w:val="009249BE"/>
    <w:rsid w:val="00924A2E"/>
    <w:rsid w:val="00924B32"/>
    <w:rsid w:val="00924B4D"/>
    <w:rsid w:val="00924B91"/>
    <w:rsid w:val="00924BCA"/>
    <w:rsid w:val="00924C64"/>
    <w:rsid w:val="00924C6F"/>
    <w:rsid w:val="00924D0D"/>
    <w:rsid w:val="00924DB6"/>
    <w:rsid w:val="00924DDD"/>
    <w:rsid w:val="00924DEB"/>
    <w:rsid w:val="00924E09"/>
    <w:rsid w:val="00924E79"/>
    <w:rsid w:val="00924FED"/>
    <w:rsid w:val="00925046"/>
    <w:rsid w:val="00925104"/>
    <w:rsid w:val="0092530B"/>
    <w:rsid w:val="00925392"/>
    <w:rsid w:val="009253A0"/>
    <w:rsid w:val="009253FD"/>
    <w:rsid w:val="0092543C"/>
    <w:rsid w:val="00925488"/>
    <w:rsid w:val="0092562F"/>
    <w:rsid w:val="009256D6"/>
    <w:rsid w:val="009256DD"/>
    <w:rsid w:val="00925731"/>
    <w:rsid w:val="00925826"/>
    <w:rsid w:val="00925A17"/>
    <w:rsid w:val="00925A58"/>
    <w:rsid w:val="00925B61"/>
    <w:rsid w:val="00925D67"/>
    <w:rsid w:val="00925ECF"/>
    <w:rsid w:val="00925F32"/>
    <w:rsid w:val="00925F62"/>
    <w:rsid w:val="00925F7F"/>
    <w:rsid w:val="00925FD8"/>
    <w:rsid w:val="009260DF"/>
    <w:rsid w:val="00926107"/>
    <w:rsid w:val="0092616B"/>
    <w:rsid w:val="0092627B"/>
    <w:rsid w:val="009262AD"/>
    <w:rsid w:val="009262D4"/>
    <w:rsid w:val="00926364"/>
    <w:rsid w:val="00926449"/>
    <w:rsid w:val="009264B8"/>
    <w:rsid w:val="009265B9"/>
    <w:rsid w:val="00926614"/>
    <w:rsid w:val="009266FD"/>
    <w:rsid w:val="00926842"/>
    <w:rsid w:val="00926902"/>
    <w:rsid w:val="00926957"/>
    <w:rsid w:val="00926A0E"/>
    <w:rsid w:val="00926B63"/>
    <w:rsid w:val="00926B66"/>
    <w:rsid w:val="00926B6A"/>
    <w:rsid w:val="00926B83"/>
    <w:rsid w:val="00926D76"/>
    <w:rsid w:val="00926D95"/>
    <w:rsid w:val="00926E6E"/>
    <w:rsid w:val="00926E99"/>
    <w:rsid w:val="00926F29"/>
    <w:rsid w:val="00926F68"/>
    <w:rsid w:val="00927010"/>
    <w:rsid w:val="0092703C"/>
    <w:rsid w:val="00927115"/>
    <w:rsid w:val="0092732B"/>
    <w:rsid w:val="00927351"/>
    <w:rsid w:val="009273FC"/>
    <w:rsid w:val="00927410"/>
    <w:rsid w:val="0092745B"/>
    <w:rsid w:val="00927617"/>
    <w:rsid w:val="00927638"/>
    <w:rsid w:val="0092766C"/>
    <w:rsid w:val="009276D1"/>
    <w:rsid w:val="009277BC"/>
    <w:rsid w:val="00927828"/>
    <w:rsid w:val="0092782A"/>
    <w:rsid w:val="009278F6"/>
    <w:rsid w:val="0092793A"/>
    <w:rsid w:val="00927A08"/>
    <w:rsid w:val="00927A70"/>
    <w:rsid w:val="00927A87"/>
    <w:rsid w:val="00927ABB"/>
    <w:rsid w:val="00927BB3"/>
    <w:rsid w:val="00927BBD"/>
    <w:rsid w:val="00927C36"/>
    <w:rsid w:val="00927C89"/>
    <w:rsid w:val="00927D2D"/>
    <w:rsid w:val="00927D72"/>
    <w:rsid w:val="00927ECE"/>
    <w:rsid w:val="009300CC"/>
    <w:rsid w:val="009301CA"/>
    <w:rsid w:val="00930242"/>
    <w:rsid w:val="009302A3"/>
    <w:rsid w:val="00930460"/>
    <w:rsid w:val="00930585"/>
    <w:rsid w:val="009305C7"/>
    <w:rsid w:val="00930627"/>
    <w:rsid w:val="0093066D"/>
    <w:rsid w:val="009306C7"/>
    <w:rsid w:val="0093076F"/>
    <w:rsid w:val="009307C1"/>
    <w:rsid w:val="00930999"/>
    <w:rsid w:val="00930A11"/>
    <w:rsid w:val="00930A77"/>
    <w:rsid w:val="00930B09"/>
    <w:rsid w:val="00930B94"/>
    <w:rsid w:val="00930CFE"/>
    <w:rsid w:val="00930E2A"/>
    <w:rsid w:val="00930EC2"/>
    <w:rsid w:val="00930FA5"/>
    <w:rsid w:val="00930FB6"/>
    <w:rsid w:val="00931006"/>
    <w:rsid w:val="00931029"/>
    <w:rsid w:val="0093114F"/>
    <w:rsid w:val="00931171"/>
    <w:rsid w:val="00931311"/>
    <w:rsid w:val="00931372"/>
    <w:rsid w:val="009313EE"/>
    <w:rsid w:val="00931403"/>
    <w:rsid w:val="009314AD"/>
    <w:rsid w:val="009315DE"/>
    <w:rsid w:val="0093165C"/>
    <w:rsid w:val="009316DE"/>
    <w:rsid w:val="00931814"/>
    <w:rsid w:val="0093182B"/>
    <w:rsid w:val="00931A71"/>
    <w:rsid w:val="00931D27"/>
    <w:rsid w:val="00931D70"/>
    <w:rsid w:val="00931ECB"/>
    <w:rsid w:val="00931EF6"/>
    <w:rsid w:val="00931F1E"/>
    <w:rsid w:val="00931FC8"/>
    <w:rsid w:val="00932044"/>
    <w:rsid w:val="00932058"/>
    <w:rsid w:val="0093211A"/>
    <w:rsid w:val="009321C5"/>
    <w:rsid w:val="009322E9"/>
    <w:rsid w:val="00932338"/>
    <w:rsid w:val="00932365"/>
    <w:rsid w:val="00932387"/>
    <w:rsid w:val="009323EB"/>
    <w:rsid w:val="0093243A"/>
    <w:rsid w:val="00932461"/>
    <w:rsid w:val="0093253C"/>
    <w:rsid w:val="0093257B"/>
    <w:rsid w:val="009325C6"/>
    <w:rsid w:val="009325E9"/>
    <w:rsid w:val="009326A4"/>
    <w:rsid w:val="0093272E"/>
    <w:rsid w:val="009327B2"/>
    <w:rsid w:val="0093284B"/>
    <w:rsid w:val="00932A26"/>
    <w:rsid w:val="00932A2D"/>
    <w:rsid w:val="00932A9C"/>
    <w:rsid w:val="00932A9E"/>
    <w:rsid w:val="00932B01"/>
    <w:rsid w:val="00932B13"/>
    <w:rsid w:val="00932B39"/>
    <w:rsid w:val="00932B52"/>
    <w:rsid w:val="00932B8C"/>
    <w:rsid w:val="00932B8E"/>
    <w:rsid w:val="00932B99"/>
    <w:rsid w:val="00932D6E"/>
    <w:rsid w:val="00932F0E"/>
    <w:rsid w:val="00932FA3"/>
    <w:rsid w:val="00933019"/>
    <w:rsid w:val="0093309B"/>
    <w:rsid w:val="0093310B"/>
    <w:rsid w:val="00933135"/>
    <w:rsid w:val="00933255"/>
    <w:rsid w:val="009333C2"/>
    <w:rsid w:val="009333C9"/>
    <w:rsid w:val="009333E3"/>
    <w:rsid w:val="0093342E"/>
    <w:rsid w:val="00933574"/>
    <w:rsid w:val="009335F4"/>
    <w:rsid w:val="009338EA"/>
    <w:rsid w:val="009338FF"/>
    <w:rsid w:val="00933A28"/>
    <w:rsid w:val="00933A99"/>
    <w:rsid w:val="00933AC4"/>
    <w:rsid w:val="00933BC4"/>
    <w:rsid w:val="00933C8A"/>
    <w:rsid w:val="00933D73"/>
    <w:rsid w:val="00933E9D"/>
    <w:rsid w:val="00933EEA"/>
    <w:rsid w:val="00933FFC"/>
    <w:rsid w:val="00934000"/>
    <w:rsid w:val="00934006"/>
    <w:rsid w:val="009342D3"/>
    <w:rsid w:val="00934465"/>
    <w:rsid w:val="009344E9"/>
    <w:rsid w:val="00934505"/>
    <w:rsid w:val="0093455B"/>
    <w:rsid w:val="009345B8"/>
    <w:rsid w:val="00934622"/>
    <w:rsid w:val="00934634"/>
    <w:rsid w:val="00934700"/>
    <w:rsid w:val="009348F5"/>
    <w:rsid w:val="00934A14"/>
    <w:rsid w:val="00934A2F"/>
    <w:rsid w:val="00934BF3"/>
    <w:rsid w:val="00934CE4"/>
    <w:rsid w:val="00934D55"/>
    <w:rsid w:val="00934D67"/>
    <w:rsid w:val="00934E23"/>
    <w:rsid w:val="00934FEC"/>
    <w:rsid w:val="00935049"/>
    <w:rsid w:val="0093515A"/>
    <w:rsid w:val="009351D5"/>
    <w:rsid w:val="00935219"/>
    <w:rsid w:val="00935222"/>
    <w:rsid w:val="0093530C"/>
    <w:rsid w:val="00935314"/>
    <w:rsid w:val="00935399"/>
    <w:rsid w:val="0093539E"/>
    <w:rsid w:val="009353D7"/>
    <w:rsid w:val="00935523"/>
    <w:rsid w:val="009355F7"/>
    <w:rsid w:val="0093575F"/>
    <w:rsid w:val="0093577B"/>
    <w:rsid w:val="00935804"/>
    <w:rsid w:val="00935829"/>
    <w:rsid w:val="0093587E"/>
    <w:rsid w:val="009358E3"/>
    <w:rsid w:val="009358FA"/>
    <w:rsid w:val="0093591F"/>
    <w:rsid w:val="00935986"/>
    <w:rsid w:val="0093599E"/>
    <w:rsid w:val="00935B66"/>
    <w:rsid w:val="00935B9F"/>
    <w:rsid w:val="00935C0A"/>
    <w:rsid w:val="00935CE5"/>
    <w:rsid w:val="00935DB1"/>
    <w:rsid w:val="00935F0D"/>
    <w:rsid w:val="00935F1D"/>
    <w:rsid w:val="00935FA5"/>
    <w:rsid w:val="0093602E"/>
    <w:rsid w:val="009361B5"/>
    <w:rsid w:val="009361C8"/>
    <w:rsid w:val="009361EA"/>
    <w:rsid w:val="00936206"/>
    <w:rsid w:val="00936236"/>
    <w:rsid w:val="00936270"/>
    <w:rsid w:val="009362EB"/>
    <w:rsid w:val="00936324"/>
    <w:rsid w:val="00936564"/>
    <w:rsid w:val="00936716"/>
    <w:rsid w:val="009368E4"/>
    <w:rsid w:val="0093690A"/>
    <w:rsid w:val="0093693A"/>
    <w:rsid w:val="00936AB5"/>
    <w:rsid w:val="00936B0F"/>
    <w:rsid w:val="00936B18"/>
    <w:rsid w:val="00936C2D"/>
    <w:rsid w:val="00936C57"/>
    <w:rsid w:val="00936C96"/>
    <w:rsid w:val="00936D3E"/>
    <w:rsid w:val="00936DBA"/>
    <w:rsid w:val="00936E34"/>
    <w:rsid w:val="00936E65"/>
    <w:rsid w:val="00936EFB"/>
    <w:rsid w:val="00936FED"/>
    <w:rsid w:val="0093710D"/>
    <w:rsid w:val="0093710E"/>
    <w:rsid w:val="00937120"/>
    <w:rsid w:val="009372D4"/>
    <w:rsid w:val="00937685"/>
    <w:rsid w:val="009376FC"/>
    <w:rsid w:val="009377AA"/>
    <w:rsid w:val="009377F5"/>
    <w:rsid w:val="00937969"/>
    <w:rsid w:val="00937A24"/>
    <w:rsid w:val="00937A2F"/>
    <w:rsid w:val="00937A37"/>
    <w:rsid w:val="00937A8C"/>
    <w:rsid w:val="00937AA0"/>
    <w:rsid w:val="00937B35"/>
    <w:rsid w:val="00937BA7"/>
    <w:rsid w:val="00937BB6"/>
    <w:rsid w:val="00937BEC"/>
    <w:rsid w:val="00937C04"/>
    <w:rsid w:val="00937C0C"/>
    <w:rsid w:val="00937C6D"/>
    <w:rsid w:val="00937CA1"/>
    <w:rsid w:val="00937D52"/>
    <w:rsid w:val="00937DBE"/>
    <w:rsid w:val="00937E3C"/>
    <w:rsid w:val="00937E97"/>
    <w:rsid w:val="00937F9E"/>
    <w:rsid w:val="00937FF1"/>
    <w:rsid w:val="00940076"/>
    <w:rsid w:val="009404AF"/>
    <w:rsid w:val="009404DD"/>
    <w:rsid w:val="009404F0"/>
    <w:rsid w:val="009404FD"/>
    <w:rsid w:val="00940664"/>
    <w:rsid w:val="009406D5"/>
    <w:rsid w:val="00940744"/>
    <w:rsid w:val="009408BC"/>
    <w:rsid w:val="00940927"/>
    <w:rsid w:val="00940ADB"/>
    <w:rsid w:val="00940CD6"/>
    <w:rsid w:val="00940DC7"/>
    <w:rsid w:val="00940EB5"/>
    <w:rsid w:val="00940F76"/>
    <w:rsid w:val="00940F99"/>
    <w:rsid w:val="00940FAA"/>
    <w:rsid w:val="00941063"/>
    <w:rsid w:val="00941259"/>
    <w:rsid w:val="0094127E"/>
    <w:rsid w:val="009412ED"/>
    <w:rsid w:val="00941378"/>
    <w:rsid w:val="0094147A"/>
    <w:rsid w:val="00941550"/>
    <w:rsid w:val="0094184C"/>
    <w:rsid w:val="0094185B"/>
    <w:rsid w:val="0094185D"/>
    <w:rsid w:val="009418EF"/>
    <w:rsid w:val="00941A0B"/>
    <w:rsid w:val="00941AE1"/>
    <w:rsid w:val="00941BB9"/>
    <w:rsid w:val="00941C2F"/>
    <w:rsid w:val="00941F19"/>
    <w:rsid w:val="00941F79"/>
    <w:rsid w:val="0094205E"/>
    <w:rsid w:val="00942075"/>
    <w:rsid w:val="009420FD"/>
    <w:rsid w:val="009422C5"/>
    <w:rsid w:val="009423B5"/>
    <w:rsid w:val="00942469"/>
    <w:rsid w:val="00942487"/>
    <w:rsid w:val="009424C5"/>
    <w:rsid w:val="0094256E"/>
    <w:rsid w:val="00942637"/>
    <w:rsid w:val="0094266B"/>
    <w:rsid w:val="009427A8"/>
    <w:rsid w:val="009427CC"/>
    <w:rsid w:val="00942921"/>
    <w:rsid w:val="009429C3"/>
    <w:rsid w:val="00942B12"/>
    <w:rsid w:val="00942B5E"/>
    <w:rsid w:val="00942BA8"/>
    <w:rsid w:val="00942CB1"/>
    <w:rsid w:val="00942DA3"/>
    <w:rsid w:val="00942F3F"/>
    <w:rsid w:val="00942FA7"/>
    <w:rsid w:val="00942FCD"/>
    <w:rsid w:val="00943082"/>
    <w:rsid w:val="009430B6"/>
    <w:rsid w:val="0094316F"/>
    <w:rsid w:val="009431D4"/>
    <w:rsid w:val="00943316"/>
    <w:rsid w:val="0094336B"/>
    <w:rsid w:val="009434D9"/>
    <w:rsid w:val="00943533"/>
    <w:rsid w:val="0094358E"/>
    <w:rsid w:val="00943643"/>
    <w:rsid w:val="0094369B"/>
    <w:rsid w:val="00943707"/>
    <w:rsid w:val="009437A6"/>
    <w:rsid w:val="0094381A"/>
    <w:rsid w:val="009438F4"/>
    <w:rsid w:val="00943916"/>
    <w:rsid w:val="00943AA0"/>
    <w:rsid w:val="00943AD5"/>
    <w:rsid w:val="00943B2C"/>
    <w:rsid w:val="00943CE6"/>
    <w:rsid w:val="00943D31"/>
    <w:rsid w:val="00943DF0"/>
    <w:rsid w:val="00943DF8"/>
    <w:rsid w:val="00943FEF"/>
    <w:rsid w:val="00943FFC"/>
    <w:rsid w:val="0094416F"/>
    <w:rsid w:val="009441BC"/>
    <w:rsid w:val="009441D4"/>
    <w:rsid w:val="0094420C"/>
    <w:rsid w:val="00944279"/>
    <w:rsid w:val="00944290"/>
    <w:rsid w:val="00944298"/>
    <w:rsid w:val="009442F9"/>
    <w:rsid w:val="00944307"/>
    <w:rsid w:val="0094433A"/>
    <w:rsid w:val="00944392"/>
    <w:rsid w:val="00944396"/>
    <w:rsid w:val="0094447A"/>
    <w:rsid w:val="009444CE"/>
    <w:rsid w:val="009444FD"/>
    <w:rsid w:val="0094451A"/>
    <w:rsid w:val="0094451E"/>
    <w:rsid w:val="00944589"/>
    <w:rsid w:val="00944646"/>
    <w:rsid w:val="009446F8"/>
    <w:rsid w:val="0094476D"/>
    <w:rsid w:val="0094479B"/>
    <w:rsid w:val="009447EE"/>
    <w:rsid w:val="009448AF"/>
    <w:rsid w:val="009448FE"/>
    <w:rsid w:val="00944A49"/>
    <w:rsid w:val="00944B96"/>
    <w:rsid w:val="00944BAB"/>
    <w:rsid w:val="00944D70"/>
    <w:rsid w:val="00944ECB"/>
    <w:rsid w:val="00944F19"/>
    <w:rsid w:val="00944F7D"/>
    <w:rsid w:val="00944FE0"/>
    <w:rsid w:val="009450C9"/>
    <w:rsid w:val="00945189"/>
    <w:rsid w:val="0094519E"/>
    <w:rsid w:val="009452E8"/>
    <w:rsid w:val="00945311"/>
    <w:rsid w:val="0094535D"/>
    <w:rsid w:val="0094547A"/>
    <w:rsid w:val="00945552"/>
    <w:rsid w:val="009455F8"/>
    <w:rsid w:val="0094574A"/>
    <w:rsid w:val="0094577A"/>
    <w:rsid w:val="00945824"/>
    <w:rsid w:val="00945A05"/>
    <w:rsid w:val="00945AB3"/>
    <w:rsid w:val="00945AD4"/>
    <w:rsid w:val="00945AF5"/>
    <w:rsid w:val="00945B1A"/>
    <w:rsid w:val="00945E30"/>
    <w:rsid w:val="00945E87"/>
    <w:rsid w:val="00945EA8"/>
    <w:rsid w:val="00945F0F"/>
    <w:rsid w:val="00945F62"/>
    <w:rsid w:val="0094602C"/>
    <w:rsid w:val="00946070"/>
    <w:rsid w:val="0094607D"/>
    <w:rsid w:val="009460F5"/>
    <w:rsid w:val="00946176"/>
    <w:rsid w:val="009461A8"/>
    <w:rsid w:val="0094639D"/>
    <w:rsid w:val="0094640E"/>
    <w:rsid w:val="00946581"/>
    <w:rsid w:val="0094659E"/>
    <w:rsid w:val="009465CB"/>
    <w:rsid w:val="00946669"/>
    <w:rsid w:val="009466C2"/>
    <w:rsid w:val="009466C9"/>
    <w:rsid w:val="009466F6"/>
    <w:rsid w:val="009466F8"/>
    <w:rsid w:val="0094676E"/>
    <w:rsid w:val="00946851"/>
    <w:rsid w:val="009468A5"/>
    <w:rsid w:val="009469D3"/>
    <w:rsid w:val="00946A04"/>
    <w:rsid w:val="00946A88"/>
    <w:rsid w:val="00946BFD"/>
    <w:rsid w:val="00946C1C"/>
    <w:rsid w:val="00946C6F"/>
    <w:rsid w:val="00946C9B"/>
    <w:rsid w:val="00946CBA"/>
    <w:rsid w:val="00946CDC"/>
    <w:rsid w:val="00946D16"/>
    <w:rsid w:val="00946DCA"/>
    <w:rsid w:val="00946DD9"/>
    <w:rsid w:val="00946DEB"/>
    <w:rsid w:val="00946E08"/>
    <w:rsid w:val="00946F0F"/>
    <w:rsid w:val="00946FC1"/>
    <w:rsid w:val="0094709C"/>
    <w:rsid w:val="009470C3"/>
    <w:rsid w:val="009470D5"/>
    <w:rsid w:val="00947185"/>
    <w:rsid w:val="009471AC"/>
    <w:rsid w:val="0094740E"/>
    <w:rsid w:val="00947585"/>
    <w:rsid w:val="009475E3"/>
    <w:rsid w:val="009475EF"/>
    <w:rsid w:val="009477DB"/>
    <w:rsid w:val="00947817"/>
    <w:rsid w:val="00947875"/>
    <w:rsid w:val="0094790F"/>
    <w:rsid w:val="00947AE1"/>
    <w:rsid w:val="00947B21"/>
    <w:rsid w:val="00947B27"/>
    <w:rsid w:val="00947B62"/>
    <w:rsid w:val="00947C38"/>
    <w:rsid w:val="00947CA0"/>
    <w:rsid w:val="00947EE3"/>
    <w:rsid w:val="00947F36"/>
    <w:rsid w:val="00947FA9"/>
    <w:rsid w:val="00947FB1"/>
    <w:rsid w:val="00950081"/>
    <w:rsid w:val="009502E9"/>
    <w:rsid w:val="0095035B"/>
    <w:rsid w:val="00950362"/>
    <w:rsid w:val="009505BC"/>
    <w:rsid w:val="0095060C"/>
    <w:rsid w:val="0095066B"/>
    <w:rsid w:val="009506B9"/>
    <w:rsid w:val="009507C2"/>
    <w:rsid w:val="009508E3"/>
    <w:rsid w:val="0095099B"/>
    <w:rsid w:val="009509E5"/>
    <w:rsid w:val="00950A17"/>
    <w:rsid w:val="00950A18"/>
    <w:rsid w:val="00950A2D"/>
    <w:rsid w:val="00950A34"/>
    <w:rsid w:val="00950B6C"/>
    <w:rsid w:val="00950E20"/>
    <w:rsid w:val="00950E21"/>
    <w:rsid w:val="00950E8B"/>
    <w:rsid w:val="00950FBE"/>
    <w:rsid w:val="0095100A"/>
    <w:rsid w:val="009510DA"/>
    <w:rsid w:val="00951242"/>
    <w:rsid w:val="00951272"/>
    <w:rsid w:val="009512A2"/>
    <w:rsid w:val="009515A9"/>
    <w:rsid w:val="0095161F"/>
    <w:rsid w:val="0095169D"/>
    <w:rsid w:val="009518A9"/>
    <w:rsid w:val="0095194A"/>
    <w:rsid w:val="00951C3A"/>
    <w:rsid w:val="00951CCA"/>
    <w:rsid w:val="00951D0E"/>
    <w:rsid w:val="00951D2A"/>
    <w:rsid w:val="00951D4E"/>
    <w:rsid w:val="00951E43"/>
    <w:rsid w:val="00951F04"/>
    <w:rsid w:val="00951F4D"/>
    <w:rsid w:val="00951F8A"/>
    <w:rsid w:val="009520BF"/>
    <w:rsid w:val="00952146"/>
    <w:rsid w:val="0095221C"/>
    <w:rsid w:val="00952223"/>
    <w:rsid w:val="00952504"/>
    <w:rsid w:val="009525E5"/>
    <w:rsid w:val="00952613"/>
    <w:rsid w:val="00952750"/>
    <w:rsid w:val="00952755"/>
    <w:rsid w:val="0095276F"/>
    <w:rsid w:val="00952779"/>
    <w:rsid w:val="00952868"/>
    <w:rsid w:val="009528BF"/>
    <w:rsid w:val="00952B60"/>
    <w:rsid w:val="00952B93"/>
    <w:rsid w:val="00952C0E"/>
    <w:rsid w:val="00952D4A"/>
    <w:rsid w:val="00952E69"/>
    <w:rsid w:val="00952EA2"/>
    <w:rsid w:val="00952EB1"/>
    <w:rsid w:val="00952F27"/>
    <w:rsid w:val="00952FC2"/>
    <w:rsid w:val="00952FDB"/>
    <w:rsid w:val="0095305E"/>
    <w:rsid w:val="009532AB"/>
    <w:rsid w:val="00953397"/>
    <w:rsid w:val="00953463"/>
    <w:rsid w:val="0095350A"/>
    <w:rsid w:val="00953536"/>
    <w:rsid w:val="009535BB"/>
    <w:rsid w:val="009535C6"/>
    <w:rsid w:val="00953649"/>
    <w:rsid w:val="0095377A"/>
    <w:rsid w:val="0095381A"/>
    <w:rsid w:val="0095389D"/>
    <w:rsid w:val="009538AF"/>
    <w:rsid w:val="009539A5"/>
    <w:rsid w:val="00953A02"/>
    <w:rsid w:val="00953A1B"/>
    <w:rsid w:val="00953B95"/>
    <w:rsid w:val="00953BC9"/>
    <w:rsid w:val="00953C0B"/>
    <w:rsid w:val="00953C35"/>
    <w:rsid w:val="00953D68"/>
    <w:rsid w:val="00953F8C"/>
    <w:rsid w:val="00953FBE"/>
    <w:rsid w:val="00953FC8"/>
    <w:rsid w:val="00953FEC"/>
    <w:rsid w:val="00953FF4"/>
    <w:rsid w:val="0095402E"/>
    <w:rsid w:val="00954080"/>
    <w:rsid w:val="00954179"/>
    <w:rsid w:val="00954187"/>
    <w:rsid w:val="00954276"/>
    <w:rsid w:val="0095433E"/>
    <w:rsid w:val="00954373"/>
    <w:rsid w:val="009543D2"/>
    <w:rsid w:val="009544B5"/>
    <w:rsid w:val="009544C8"/>
    <w:rsid w:val="00954577"/>
    <w:rsid w:val="00954710"/>
    <w:rsid w:val="009547B3"/>
    <w:rsid w:val="0095495B"/>
    <w:rsid w:val="0095499B"/>
    <w:rsid w:val="009549AF"/>
    <w:rsid w:val="00954A73"/>
    <w:rsid w:val="00954B6A"/>
    <w:rsid w:val="00954D0C"/>
    <w:rsid w:val="00954D1C"/>
    <w:rsid w:val="00954D6E"/>
    <w:rsid w:val="00954DAE"/>
    <w:rsid w:val="00954E4F"/>
    <w:rsid w:val="00954ECA"/>
    <w:rsid w:val="00954F26"/>
    <w:rsid w:val="00954F4F"/>
    <w:rsid w:val="00954FC4"/>
    <w:rsid w:val="00954FDA"/>
    <w:rsid w:val="0095505A"/>
    <w:rsid w:val="00955117"/>
    <w:rsid w:val="0095524B"/>
    <w:rsid w:val="00955272"/>
    <w:rsid w:val="009552CE"/>
    <w:rsid w:val="0095533C"/>
    <w:rsid w:val="00955387"/>
    <w:rsid w:val="009553DA"/>
    <w:rsid w:val="009553F8"/>
    <w:rsid w:val="009554BE"/>
    <w:rsid w:val="0095552B"/>
    <w:rsid w:val="0095560C"/>
    <w:rsid w:val="00955625"/>
    <w:rsid w:val="00955699"/>
    <w:rsid w:val="009556F8"/>
    <w:rsid w:val="00955811"/>
    <w:rsid w:val="00955857"/>
    <w:rsid w:val="00955994"/>
    <w:rsid w:val="009559AA"/>
    <w:rsid w:val="009559C8"/>
    <w:rsid w:val="009559F3"/>
    <w:rsid w:val="00955ABC"/>
    <w:rsid w:val="00955B9A"/>
    <w:rsid w:val="00955BCC"/>
    <w:rsid w:val="00955CAF"/>
    <w:rsid w:val="00955CB6"/>
    <w:rsid w:val="00955CF1"/>
    <w:rsid w:val="00955D31"/>
    <w:rsid w:val="00955D3D"/>
    <w:rsid w:val="00955D79"/>
    <w:rsid w:val="00955E69"/>
    <w:rsid w:val="00955E71"/>
    <w:rsid w:val="00955E8C"/>
    <w:rsid w:val="00955E94"/>
    <w:rsid w:val="00955F30"/>
    <w:rsid w:val="00955F7D"/>
    <w:rsid w:val="00956033"/>
    <w:rsid w:val="00956047"/>
    <w:rsid w:val="00956162"/>
    <w:rsid w:val="00956355"/>
    <w:rsid w:val="00956565"/>
    <w:rsid w:val="00956617"/>
    <w:rsid w:val="00956741"/>
    <w:rsid w:val="00956747"/>
    <w:rsid w:val="00956930"/>
    <w:rsid w:val="009569C9"/>
    <w:rsid w:val="00956B07"/>
    <w:rsid w:val="00956BD3"/>
    <w:rsid w:val="00956CC5"/>
    <w:rsid w:val="00956D54"/>
    <w:rsid w:val="00956DF3"/>
    <w:rsid w:val="00956E10"/>
    <w:rsid w:val="00956FB5"/>
    <w:rsid w:val="009571C7"/>
    <w:rsid w:val="009571D7"/>
    <w:rsid w:val="0095720D"/>
    <w:rsid w:val="0095727F"/>
    <w:rsid w:val="009572C4"/>
    <w:rsid w:val="0095730A"/>
    <w:rsid w:val="00957374"/>
    <w:rsid w:val="0095742F"/>
    <w:rsid w:val="00957599"/>
    <w:rsid w:val="0095768B"/>
    <w:rsid w:val="009576D3"/>
    <w:rsid w:val="009577F9"/>
    <w:rsid w:val="0095786E"/>
    <w:rsid w:val="009578DC"/>
    <w:rsid w:val="00957961"/>
    <w:rsid w:val="009579C1"/>
    <w:rsid w:val="00957C42"/>
    <w:rsid w:val="00957D37"/>
    <w:rsid w:val="00957E94"/>
    <w:rsid w:val="00957EF3"/>
    <w:rsid w:val="00957F35"/>
    <w:rsid w:val="0096006B"/>
    <w:rsid w:val="009600ED"/>
    <w:rsid w:val="0096017C"/>
    <w:rsid w:val="00960233"/>
    <w:rsid w:val="00960251"/>
    <w:rsid w:val="009602EC"/>
    <w:rsid w:val="009602FE"/>
    <w:rsid w:val="0096030D"/>
    <w:rsid w:val="00960364"/>
    <w:rsid w:val="00960398"/>
    <w:rsid w:val="00960415"/>
    <w:rsid w:val="00960444"/>
    <w:rsid w:val="0096052D"/>
    <w:rsid w:val="009605F4"/>
    <w:rsid w:val="00960606"/>
    <w:rsid w:val="00960676"/>
    <w:rsid w:val="009606CA"/>
    <w:rsid w:val="00960708"/>
    <w:rsid w:val="0096070B"/>
    <w:rsid w:val="00960724"/>
    <w:rsid w:val="00960773"/>
    <w:rsid w:val="0096099A"/>
    <w:rsid w:val="0096099C"/>
    <w:rsid w:val="00960A0E"/>
    <w:rsid w:val="00960A8E"/>
    <w:rsid w:val="00960BF5"/>
    <w:rsid w:val="00960C13"/>
    <w:rsid w:val="00960C41"/>
    <w:rsid w:val="00960C73"/>
    <w:rsid w:val="00960CCC"/>
    <w:rsid w:val="00960DDB"/>
    <w:rsid w:val="00960E06"/>
    <w:rsid w:val="00960EA0"/>
    <w:rsid w:val="00960F66"/>
    <w:rsid w:val="00961039"/>
    <w:rsid w:val="0096103B"/>
    <w:rsid w:val="009610CE"/>
    <w:rsid w:val="00961109"/>
    <w:rsid w:val="0096120B"/>
    <w:rsid w:val="009612BF"/>
    <w:rsid w:val="0096132A"/>
    <w:rsid w:val="00961432"/>
    <w:rsid w:val="00961503"/>
    <w:rsid w:val="009615D2"/>
    <w:rsid w:val="00961602"/>
    <w:rsid w:val="00961728"/>
    <w:rsid w:val="0096179F"/>
    <w:rsid w:val="0096187A"/>
    <w:rsid w:val="00961A22"/>
    <w:rsid w:val="00961A4B"/>
    <w:rsid w:val="00961A96"/>
    <w:rsid w:val="00961B0B"/>
    <w:rsid w:val="00961B3A"/>
    <w:rsid w:val="00961B71"/>
    <w:rsid w:val="00961D67"/>
    <w:rsid w:val="00961ED2"/>
    <w:rsid w:val="00961F22"/>
    <w:rsid w:val="009620B0"/>
    <w:rsid w:val="009621FD"/>
    <w:rsid w:val="0096221B"/>
    <w:rsid w:val="0096246D"/>
    <w:rsid w:val="00962564"/>
    <w:rsid w:val="00962662"/>
    <w:rsid w:val="00962739"/>
    <w:rsid w:val="0096278F"/>
    <w:rsid w:val="00962832"/>
    <w:rsid w:val="00962850"/>
    <w:rsid w:val="009628C3"/>
    <w:rsid w:val="009628EA"/>
    <w:rsid w:val="009629C1"/>
    <w:rsid w:val="00962B1D"/>
    <w:rsid w:val="00962BA9"/>
    <w:rsid w:val="00962BC0"/>
    <w:rsid w:val="00962C52"/>
    <w:rsid w:val="00962C64"/>
    <w:rsid w:val="00962CF5"/>
    <w:rsid w:val="00962D3C"/>
    <w:rsid w:val="00962D4C"/>
    <w:rsid w:val="00962D8A"/>
    <w:rsid w:val="00962DFB"/>
    <w:rsid w:val="00962E46"/>
    <w:rsid w:val="00963031"/>
    <w:rsid w:val="009631D1"/>
    <w:rsid w:val="00963241"/>
    <w:rsid w:val="0096329D"/>
    <w:rsid w:val="009632B4"/>
    <w:rsid w:val="009632E1"/>
    <w:rsid w:val="00963351"/>
    <w:rsid w:val="00963474"/>
    <w:rsid w:val="0096353A"/>
    <w:rsid w:val="009637EB"/>
    <w:rsid w:val="00963892"/>
    <w:rsid w:val="0096394B"/>
    <w:rsid w:val="00963A0C"/>
    <w:rsid w:val="00963A46"/>
    <w:rsid w:val="00963AE6"/>
    <w:rsid w:val="00963C21"/>
    <w:rsid w:val="00963D49"/>
    <w:rsid w:val="00963D98"/>
    <w:rsid w:val="00963E66"/>
    <w:rsid w:val="00963E78"/>
    <w:rsid w:val="00963E85"/>
    <w:rsid w:val="0096402A"/>
    <w:rsid w:val="00964037"/>
    <w:rsid w:val="00964100"/>
    <w:rsid w:val="00964145"/>
    <w:rsid w:val="0096442F"/>
    <w:rsid w:val="0096448A"/>
    <w:rsid w:val="00964787"/>
    <w:rsid w:val="009647F9"/>
    <w:rsid w:val="009647FF"/>
    <w:rsid w:val="00964834"/>
    <w:rsid w:val="0096489B"/>
    <w:rsid w:val="0096498E"/>
    <w:rsid w:val="0096498F"/>
    <w:rsid w:val="00964D0C"/>
    <w:rsid w:val="00964D1B"/>
    <w:rsid w:val="00964D3F"/>
    <w:rsid w:val="00964DB2"/>
    <w:rsid w:val="00964F90"/>
    <w:rsid w:val="00964FBE"/>
    <w:rsid w:val="00964FF3"/>
    <w:rsid w:val="0096507D"/>
    <w:rsid w:val="009650B1"/>
    <w:rsid w:val="009650DE"/>
    <w:rsid w:val="00965108"/>
    <w:rsid w:val="0096515B"/>
    <w:rsid w:val="0096517E"/>
    <w:rsid w:val="0096520B"/>
    <w:rsid w:val="00965352"/>
    <w:rsid w:val="00965551"/>
    <w:rsid w:val="009655EA"/>
    <w:rsid w:val="0096561F"/>
    <w:rsid w:val="009656F7"/>
    <w:rsid w:val="00965712"/>
    <w:rsid w:val="00965774"/>
    <w:rsid w:val="00965792"/>
    <w:rsid w:val="00965840"/>
    <w:rsid w:val="0096586C"/>
    <w:rsid w:val="0096596F"/>
    <w:rsid w:val="009659CC"/>
    <w:rsid w:val="009659CE"/>
    <w:rsid w:val="00965B3E"/>
    <w:rsid w:val="00965B6F"/>
    <w:rsid w:val="00965D30"/>
    <w:rsid w:val="00965DB0"/>
    <w:rsid w:val="00965F10"/>
    <w:rsid w:val="00965FA3"/>
    <w:rsid w:val="00965FF3"/>
    <w:rsid w:val="009660A7"/>
    <w:rsid w:val="009660E0"/>
    <w:rsid w:val="0096616F"/>
    <w:rsid w:val="009661F0"/>
    <w:rsid w:val="0096624C"/>
    <w:rsid w:val="00966366"/>
    <w:rsid w:val="009664BA"/>
    <w:rsid w:val="00966519"/>
    <w:rsid w:val="0096651F"/>
    <w:rsid w:val="00966584"/>
    <w:rsid w:val="0096659D"/>
    <w:rsid w:val="0096664F"/>
    <w:rsid w:val="0096674F"/>
    <w:rsid w:val="0096676B"/>
    <w:rsid w:val="0096679F"/>
    <w:rsid w:val="00966A3D"/>
    <w:rsid w:val="00966AE9"/>
    <w:rsid w:val="00966AEF"/>
    <w:rsid w:val="00966B0E"/>
    <w:rsid w:val="00966C19"/>
    <w:rsid w:val="00966C5F"/>
    <w:rsid w:val="00966D00"/>
    <w:rsid w:val="00966D6A"/>
    <w:rsid w:val="00966D9D"/>
    <w:rsid w:val="00966DA3"/>
    <w:rsid w:val="00966FD4"/>
    <w:rsid w:val="0096703C"/>
    <w:rsid w:val="0096705B"/>
    <w:rsid w:val="009670FE"/>
    <w:rsid w:val="00967214"/>
    <w:rsid w:val="00967295"/>
    <w:rsid w:val="00967338"/>
    <w:rsid w:val="0096738D"/>
    <w:rsid w:val="009673B9"/>
    <w:rsid w:val="009673FB"/>
    <w:rsid w:val="0096742B"/>
    <w:rsid w:val="009675EB"/>
    <w:rsid w:val="009675FB"/>
    <w:rsid w:val="00967659"/>
    <w:rsid w:val="0096781E"/>
    <w:rsid w:val="0096783B"/>
    <w:rsid w:val="0096791D"/>
    <w:rsid w:val="00967A25"/>
    <w:rsid w:val="00967B3B"/>
    <w:rsid w:val="00967BFB"/>
    <w:rsid w:val="00967C2E"/>
    <w:rsid w:val="00967CEB"/>
    <w:rsid w:val="00967CF0"/>
    <w:rsid w:val="00967D0B"/>
    <w:rsid w:val="00967DBC"/>
    <w:rsid w:val="00967E62"/>
    <w:rsid w:val="00967F7F"/>
    <w:rsid w:val="0097028D"/>
    <w:rsid w:val="0097033D"/>
    <w:rsid w:val="009703A8"/>
    <w:rsid w:val="009703C4"/>
    <w:rsid w:val="009703F5"/>
    <w:rsid w:val="00970535"/>
    <w:rsid w:val="00970565"/>
    <w:rsid w:val="0097056E"/>
    <w:rsid w:val="00970683"/>
    <w:rsid w:val="009706F4"/>
    <w:rsid w:val="0097084E"/>
    <w:rsid w:val="00970A8E"/>
    <w:rsid w:val="00970AFA"/>
    <w:rsid w:val="00970CA6"/>
    <w:rsid w:val="00970CBC"/>
    <w:rsid w:val="00970CC8"/>
    <w:rsid w:val="00970CF4"/>
    <w:rsid w:val="00970DE3"/>
    <w:rsid w:val="00970E19"/>
    <w:rsid w:val="00970E8E"/>
    <w:rsid w:val="00970EF2"/>
    <w:rsid w:val="009710DA"/>
    <w:rsid w:val="00971175"/>
    <w:rsid w:val="009712BD"/>
    <w:rsid w:val="00971398"/>
    <w:rsid w:val="00971418"/>
    <w:rsid w:val="0097143D"/>
    <w:rsid w:val="00971458"/>
    <w:rsid w:val="0097155E"/>
    <w:rsid w:val="009715EC"/>
    <w:rsid w:val="00971648"/>
    <w:rsid w:val="00971696"/>
    <w:rsid w:val="009717A3"/>
    <w:rsid w:val="00971873"/>
    <w:rsid w:val="00971887"/>
    <w:rsid w:val="009719F5"/>
    <w:rsid w:val="00971AD8"/>
    <w:rsid w:val="00971B9F"/>
    <w:rsid w:val="00971D60"/>
    <w:rsid w:val="00971E15"/>
    <w:rsid w:val="00971FBC"/>
    <w:rsid w:val="009720B7"/>
    <w:rsid w:val="009721E6"/>
    <w:rsid w:val="009721F6"/>
    <w:rsid w:val="0097232A"/>
    <w:rsid w:val="00972333"/>
    <w:rsid w:val="009723C7"/>
    <w:rsid w:val="00972472"/>
    <w:rsid w:val="009726C3"/>
    <w:rsid w:val="009726E3"/>
    <w:rsid w:val="009726E7"/>
    <w:rsid w:val="0097274F"/>
    <w:rsid w:val="0097280E"/>
    <w:rsid w:val="0097283E"/>
    <w:rsid w:val="0097289C"/>
    <w:rsid w:val="0097295D"/>
    <w:rsid w:val="00972994"/>
    <w:rsid w:val="00972BB6"/>
    <w:rsid w:val="00972C2E"/>
    <w:rsid w:val="00972D2A"/>
    <w:rsid w:val="00973023"/>
    <w:rsid w:val="0097311B"/>
    <w:rsid w:val="00973138"/>
    <w:rsid w:val="00973182"/>
    <w:rsid w:val="009731B9"/>
    <w:rsid w:val="00973314"/>
    <w:rsid w:val="00973336"/>
    <w:rsid w:val="009733B6"/>
    <w:rsid w:val="00973448"/>
    <w:rsid w:val="009734D6"/>
    <w:rsid w:val="0097352C"/>
    <w:rsid w:val="00973572"/>
    <w:rsid w:val="009736B0"/>
    <w:rsid w:val="009736F8"/>
    <w:rsid w:val="00973738"/>
    <w:rsid w:val="00973751"/>
    <w:rsid w:val="009737C2"/>
    <w:rsid w:val="0097385C"/>
    <w:rsid w:val="009738A2"/>
    <w:rsid w:val="009738DB"/>
    <w:rsid w:val="00973914"/>
    <w:rsid w:val="0097391A"/>
    <w:rsid w:val="00973990"/>
    <w:rsid w:val="009739D8"/>
    <w:rsid w:val="00973ADA"/>
    <w:rsid w:val="00973AE9"/>
    <w:rsid w:val="00973C4E"/>
    <w:rsid w:val="00973D49"/>
    <w:rsid w:val="00973D4D"/>
    <w:rsid w:val="00973D78"/>
    <w:rsid w:val="00973DA6"/>
    <w:rsid w:val="00973E06"/>
    <w:rsid w:val="00973E33"/>
    <w:rsid w:val="00973FA0"/>
    <w:rsid w:val="0097419B"/>
    <w:rsid w:val="0097421D"/>
    <w:rsid w:val="00974253"/>
    <w:rsid w:val="00974274"/>
    <w:rsid w:val="00974374"/>
    <w:rsid w:val="009743E7"/>
    <w:rsid w:val="0097443A"/>
    <w:rsid w:val="009744E8"/>
    <w:rsid w:val="00974572"/>
    <w:rsid w:val="0097458C"/>
    <w:rsid w:val="00974682"/>
    <w:rsid w:val="00974721"/>
    <w:rsid w:val="0097475F"/>
    <w:rsid w:val="0097478E"/>
    <w:rsid w:val="00974921"/>
    <w:rsid w:val="00974963"/>
    <w:rsid w:val="009749C4"/>
    <w:rsid w:val="00974A48"/>
    <w:rsid w:val="00974B3F"/>
    <w:rsid w:val="00974B47"/>
    <w:rsid w:val="00974C44"/>
    <w:rsid w:val="00974CEC"/>
    <w:rsid w:val="00974D39"/>
    <w:rsid w:val="00974DE3"/>
    <w:rsid w:val="009750C2"/>
    <w:rsid w:val="00975154"/>
    <w:rsid w:val="009754AC"/>
    <w:rsid w:val="0097565A"/>
    <w:rsid w:val="00975691"/>
    <w:rsid w:val="0097580E"/>
    <w:rsid w:val="00975900"/>
    <w:rsid w:val="0097592A"/>
    <w:rsid w:val="00975977"/>
    <w:rsid w:val="00975AAD"/>
    <w:rsid w:val="00975AE2"/>
    <w:rsid w:val="00975BDE"/>
    <w:rsid w:val="00975BE8"/>
    <w:rsid w:val="00975E9F"/>
    <w:rsid w:val="00975FBF"/>
    <w:rsid w:val="00976038"/>
    <w:rsid w:val="009761FC"/>
    <w:rsid w:val="0097623F"/>
    <w:rsid w:val="0097628A"/>
    <w:rsid w:val="009762CE"/>
    <w:rsid w:val="00976422"/>
    <w:rsid w:val="00976443"/>
    <w:rsid w:val="00976485"/>
    <w:rsid w:val="009764FA"/>
    <w:rsid w:val="00976549"/>
    <w:rsid w:val="009765A7"/>
    <w:rsid w:val="00976742"/>
    <w:rsid w:val="0097675C"/>
    <w:rsid w:val="009767F9"/>
    <w:rsid w:val="0097680A"/>
    <w:rsid w:val="00976963"/>
    <w:rsid w:val="009769D3"/>
    <w:rsid w:val="009769EF"/>
    <w:rsid w:val="00976A0A"/>
    <w:rsid w:val="00976A35"/>
    <w:rsid w:val="00976B57"/>
    <w:rsid w:val="00976BA0"/>
    <w:rsid w:val="00976C41"/>
    <w:rsid w:val="00976C5B"/>
    <w:rsid w:val="00976D62"/>
    <w:rsid w:val="00976ED9"/>
    <w:rsid w:val="00977013"/>
    <w:rsid w:val="00977054"/>
    <w:rsid w:val="00977214"/>
    <w:rsid w:val="009773F8"/>
    <w:rsid w:val="00977406"/>
    <w:rsid w:val="00977427"/>
    <w:rsid w:val="00977435"/>
    <w:rsid w:val="009774B1"/>
    <w:rsid w:val="0097758D"/>
    <w:rsid w:val="00977602"/>
    <w:rsid w:val="009776B5"/>
    <w:rsid w:val="009777BF"/>
    <w:rsid w:val="009777E5"/>
    <w:rsid w:val="0097782C"/>
    <w:rsid w:val="009778F0"/>
    <w:rsid w:val="00977952"/>
    <w:rsid w:val="00977A03"/>
    <w:rsid w:val="00977A06"/>
    <w:rsid w:val="00977AD7"/>
    <w:rsid w:val="00977B6A"/>
    <w:rsid w:val="00977DAA"/>
    <w:rsid w:val="00977E55"/>
    <w:rsid w:val="00977F4A"/>
    <w:rsid w:val="00977F95"/>
    <w:rsid w:val="00977FB6"/>
    <w:rsid w:val="00977FCA"/>
    <w:rsid w:val="00980063"/>
    <w:rsid w:val="009800E9"/>
    <w:rsid w:val="009802E3"/>
    <w:rsid w:val="0098030B"/>
    <w:rsid w:val="00980334"/>
    <w:rsid w:val="00980404"/>
    <w:rsid w:val="00980428"/>
    <w:rsid w:val="009804FF"/>
    <w:rsid w:val="00980580"/>
    <w:rsid w:val="0098076F"/>
    <w:rsid w:val="009807A0"/>
    <w:rsid w:val="00980854"/>
    <w:rsid w:val="00980A65"/>
    <w:rsid w:val="00980B9E"/>
    <w:rsid w:val="00980CA3"/>
    <w:rsid w:val="00980D64"/>
    <w:rsid w:val="00980EB4"/>
    <w:rsid w:val="00980F37"/>
    <w:rsid w:val="00980F6E"/>
    <w:rsid w:val="009810C8"/>
    <w:rsid w:val="00981262"/>
    <w:rsid w:val="00981280"/>
    <w:rsid w:val="009812B4"/>
    <w:rsid w:val="0098139B"/>
    <w:rsid w:val="009813F3"/>
    <w:rsid w:val="0098145A"/>
    <w:rsid w:val="0098146E"/>
    <w:rsid w:val="00981531"/>
    <w:rsid w:val="00981756"/>
    <w:rsid w:val="00981851"/>
    <w:rsid w:val="00981859"/>
    <w:rsid w:val="009818D3"/>
    <w:rsid w:val="009819A8"/>
    <w:rsid w:val="00981A07"/>
    <w:rsid w:val="00981A30"/>
    <w:rsid w:val="00981ACC"/>
    <w:rsid w:val="00981ACE"/>
    <w:rsid w:val="00981BE5"/>
    <w:rsid w:val="00981CC6"/>
    <w:rsid w:val="00981D91"/>
    <w:rsid w:val="00981DA4"/>
    <w:rsid w:val="00981DC7"/>
    <w:rsid w:val="00981E7D"/>
    <w:rsid w:val="00981EF1"/>
    <w:rsid w:val="00981F73"/>
    <w:rsid w:val="00981F7F"/>
    <w:rsid w:val="00981FE9"/>
    <w:rsid w:val="009820AE"/>
    <w:rsid w:val="0098215F"/>
    <w:rsid w:val="0098216A"/>
    <w:rsid w:val="00982295"/>
    <w:rsid w:val="009822E7"/>
    <w:rsid w:val="009822EA"/>
    <w:rsid w:val="0098234F"/>
    <w:rsid w:val="009823AC"/>
    <w:rsid w:val="00982457"/>
    <w:rsid w:val="00982534"/>
    <w:rsid w:val="0098258E"/>
    <w:rsid w:val="009825B3"/>
    <w:rsid w:val="00982614"/>
    <w:rsid w:val="00982651"/>
    <w:rsid w:val="0098269A"/>
    <w:rsid w:val="009826E8"/>
    <w:rsid w:val="00982747"/>
    <w:rsid w:val="00982810"/>
    <w:rsid w:val="00982866"/>
    <w:rsid w:val="009829B4"/>
    <w:rsid w:val="009829DC"/>
    <w:rsid w:val="00982A1B"/>
    <w:rsid w:val="00982A21"/>
    <w:rsid w:val="00982A26"/>
    <w:rsid w:val="00982BEF"/>
    <w:rsid w:val="00982DEF"/>
    <w:rsid w:val="00982F0C"/>
    <w:rsid w:val="00982F75"/>
    <w:rsid w:val="00982F7F"/>
    <w:rsid w:val="00982FD5"/>
    <w:rsid w:val="00982FD7"/>
    <w:rsid w:val="00983024"/>
    <w:rsid w:val="0098302D"/>
    <w:rsid w:val="009830B7"/>
    <w:rsid w:val="00983103"/>
    <w:rsid w:val="00983152"/>
    <w:rsid w:val="009831BB"/>
    <w:rsid w:val="009831F7"/>
    <w:rsid w:val="009832BB"/>
    <w:rsid w:val="009833FA"/>
    <w:rsid w:val="00983425"/>
    <w:rsid w:val="009835C3"/>
    <w:rsid w:val="0098362B"/>
    <w:rsid w:val="0098366D"/>
    <w:rsid w:val="009836BB"/>
    <w:rsid w:val="009836F0"/>
    <w:rsid w:val="0098375C"/>
    <w:rsid w:val="009837CE"/>
    <w:rsid w:val="009838C3"/>
    <w:rsid w:val="0098393B"/>
    <w:rsid w:val="0098395D"/>
    <w:rsid w:val="009839E1"/>
    <w:rsid w:val="009839ED"/>
    <w:rsid w:val="00983AC1"/>
    <w:rsid w:val="00983C4C"/>
    <w:rsid w:val="00983EBF"/>
    <w:rsid w:val="00983F09"/>
    <w:rsid w:val="00983F30"/>
    <w:rsid w:val="00984005"/>
    <w:rsid w:val="00984077"/>
    <w:rsid w:val="009840A0"/>
    <w:rsid w:val="009840FD"/>
    <w:rsid w:val="0098420A"/>
    <w:rsid w:val="00984242"/>
    <w:rsid w:val="0098449F"/>
    <w:rsid w:val="00984526"/>
    <w:rsid w:val="0098456C"/>
    <w:rsid w:val="009845C3"/>
    <w:rsid w:val="00984639"/>
    <w:rsid w:val="0098466B"/>
    <w:rsid w:val="009846AE"/>
    <w:rsid w:val="009846B7"/>
    <w:rsid w:val="009846C3"/>
    <w:rsid w:val="00984750"/>
    <w:rsid w:val="009847B3"/>
    <w:rsid w:val="00984838"/>
    <w:rsid w:val="00984840"/>
    <w:rsid w:val="009848AA"/>
    <w:rsid w:val="009848AC"/>
    <w:rsid w:val="00984912"/>
    <w:rsid w:val="00984AE2"/>
    <w:rsid w:val="00984AFB"/>
    <w:rsid w:val="00984BF2"/>
    <w:rsid w:val="00984D4A"/>
    <w:rsid w:val="00984E7A"/>
    <w:rsid w:val="009850DE"/>
    <w:rsid w:val="0098528F"/>
    <w:rsid w:val="009852CA"/>
    <w:rsid w:val="00985308"/>
    <w:rsid w:val="00985376"/>
    <w:rsid w:val="009854FC"/>
    <w:rsid w:val="0098555B"/>
    <w:rsid w:val="009855A4"/>
    <w:rsid w:val="009855CE"/>
    <w:rsid w:val="009855E9"/>
    <w:rsid w:val="009856C9"/>
    <w:rsid w:val="009856EE"/>
    <w:rsid w:val="0098585A"/>
    <w:rsid w:val="00985B04"/>
    <w:rsid w:val="00985BDB"/>
    <w:rsid w:val="00985D37"/>
    <w:rsid w:val="00985D8C"/>
    <w:rsid w:val="00985D9B"/>
    <w:rsid w:val="00985E85"/>
    <w:rsid w:val="00985E9F"/>
    <w:rsid w:val="00985EEF"/>
    <w:rsid w:val="00985FC8"/>
    <w:rsid w:val="0098600E"/>
    <w:rsid w:val="00986346"/>
    <w:rsid w:val="0098636D"/>
    <w:rsid w:val="00986416"/>
    <w:rsid w:val="00986447"/>
    <w:rsid w:val="009864AE"/>
    <w:rsid w:val="00986516"/>
    <w:rsid w:val="009865BE"/>
    <w:rsid w:val="0098661A"/>
    <w:rsid w:val="00986650"/>
    <w:rsid w:val="009866A5"/>
    <w:rsid w:val="009866C5"/>
    <w:rsid w:val="009867C7"/>
    <w:rsid w:val="009867E5"/>
    <w:rsid w:val="009867E9"/>
    <w:rsid w:val="00986826"/>
    <w:rsid w:val="00986846"/>
    <w:rsid w:val="00986867"/>
    <w:rsid w:val="009868A7"/>
    <w:rsid w:val="00986916"/>
    <w:rsid w:val="00986A65"/>
    <w:rsid w:val="00986A75"/>
    <w:rsid w:val="00986ADC"/>
    <w:rsid w:val="00986BC0"/>
    <w:rsid w:val="00986C58"/>
    <w:rsid w:val="00986D75"/>
    <w:rsid w:val="00986D8A"/>
    <w:rsid w:val="00987161"/>
    <w:rsid w:val="009871CA"/>
    <w:rsid w:val="00987299"/>
    <w:rsid w:val="0098736D"/>
    <w:rsid w:val="009874DA"/>
    <w:rsid w:val="009874DF"/>
    <w:rsid w:val="00987724"/>
    <w:rsid w:val="00987733"/>
    <w:rsid w:val="0098775E"/>
    <w:rsid w:val="00987912"/>
    <w:rsid w:val="00987A66"/>
    <w:rsid w:val="00987AF3"/>
    <w:rsid w:val="00987B00"/>
    <w:rsid w:val="00987B3A"/>
    <w:rsid w:val="00987CC5"/>
    <w:rsid w:val="00987D4C"/>
    <w:rsid w:val="00987E04"/>
    <w:rsid w:val="00987E79"/>
    <w:rsid w:val="00987E88"/>
    <w:rsid w:val="00987EB6"/>
    <w:rsid w:val="00987F3A"/>
    <w:rsid w:val="00987FAA"/>
    <w:rsid w:val="00990060"/>
    <w:rsid w:val="009900F8"/>
    <w:rsid w:val="00990265"/>
    <w:rsid w:val="0099055B"/>
    <w:rsid w:val="00990597"/>
    <w:rsid w:val="009905AF"/>
    <w:rsid w:val="009906B1"/>
    <w:rsid w:val="00990756"/>
    <w:rsid w:val="009907D2"/>
    <w:rsid w:val="009909D1"/>
    <w:rsid w:val="00990BDD"/>
    <w:rsid w:val="00990CDE"/>
    <w:rsid w:val="00990CFA"/>
    <w:rsid w:val="00990D09"/>
    <w:rsid w:val="00990DFC"/>
    <w:rsid w:val="00990E8E"/>
    <w:rsid w:val="00990F9D"/>
    <w:rsid w:val="00991011"/>
    <w:rsid w:val="009910A6"/>
    <w:rsid w:val="009910F0"/>
    <w:rsid w:val="0099112D"/>
    <w:rsid w:val="0099119A"/>
    <w:rsid w:val="009911C5"/>
    <w:rsid w:val="00991237"/>
    <w:rsid w:val="009912EE"/>
    <w:rsid w:val="009913A0"/>
    <w:rsid w:val="00991454"/>
    <w:rsid w:val="009914F1"/>
    <w:rsid w:val="0099153B"/>
    <w:rsid w:val="00991580"/>
    <w:rsid w:val="009916EC"/>
    <w:rsid w:val="00991725"/>
    <w:rsid w:val="0099179C"/>
    <w:rsid w:val="009917E4"/>
    <w:rsid w:val="009917E9"/>
    <w:rsid w:val="009918F2"/>
    <w:rsid w:val="0099190B"/>
    <w:rsid w:val="00991A07"/>
    <w:rsid w:val="00991A11"/>
    <w:rsid w:val="00991A1E"/>
    <w:rsid w:val="00991A2C"/>
    <w:rsid w:val="00991B8A"/>
    <w:rsid w:val="00991DF6"/>
    <w:rsid w:val="00991F77"/>
    <w:rsid w:val="00992096"/>
    <w:rsid w:val="00992256"/>
    <w:rsid w:val="00992302"/>
    <w:rsid w:val="00992418"/>
    <w:rsid w:val="00992523"/>
    <w:rsid w:val="00992564"/>
    <w:rsid w:val="00992664"/>
    <w:rsid w:val="00992668"/>
    <w:rsid w:val="00992775"/>
    <w:rsid w:val="009927E1"/>
    <w:rsid w:val="009928D7"/>
    <w:rsid w:val="00992955"/>
    <w:rsid w:val="0099295D"/>
    <w:rsid w:val="009929EA"/>
    <w:rsid w:val="00992A40"/>
    <w:rsid w:val="00992B3C"/>
    <w:rsid w:val="00992BB6"/>
    <w:rsid w:val="00992C5B"/>
    <w:rsid w:val="00992D08"/>
    <w:rsid w:val="00992D56"/>
    <w:rsid w:val="00992D96"/>
    <w:rsid w:val="00992E37"/>
    <w:rsid w:val="00992EE4"/>
    <w:rsid w:val="00992F50"/>
    <w:rsid w:val="00993017"/>
    <w:rsid w:val="0099304D"/>
    <w:rsid w:val="0099307C"/>
    <w:rsid w:val="00993083"/>
    <w:rsid w:val="009930D3"/>
    <w:rsid w:val="00993109"/>
    <w:rsid w:val="009931C5"/>
    <w:rsid w:val="00993291"/>
    <w:rsid w:val="00993354"/>
    <w:rsid w:val="00993532"/>
    <w:rsid w:val="00993658"/>
    <w:rsid w:val="00993670"/>
    <w:rsid w:val="009936DD"/>
    <w:rsid w:val="0099370C"/>
    <w:rsid w:val="009937C9"/>
    <w:rsid w:val="0099383A"/>
    <w:rsid w:val="00993928"/>
    <w:rsid w:val="00993B1E"/>
    <w:rsid w:val="00993B91"/>
    <w:rsid w:val="00993BA4"/>
    <w:rsid w:val="00993BD4"/>
    <w:rsid w:val="00993E28"/>
    <w:rsid w:val="00993EB2"/>
    <w:rsid w:val="00993F28"/>
    <w:rsid w:val="00993F91"/>
    <w:rsid w:val="0099410E"/>
    <w:rsid w:val="009941B7"/>
    <w:rsid w:val="0099425B"/>
    <w:rsid w:val="009942D5"/>
    <w:rsid w:val="0099431F"/>
    <w:rsid w:val="00994362"/>
    <w:rsid w:val="00994383"/>
    <w:rsid w:val="0099444E"/>
    <w:rsid w:val="00994487"/>
    <w:rsid w:val="009945A0"/>
    <w:rsid w:val="0099468E"/>
    <w:rsid w:val="009946FA"/>
    <w:rsid w:val="009947D3"/>
    <w:rsid w:val="0099489A"/>
    <w:rsid w:val="009949CD"/>
    <w:rsid w:val="00994A09"/>
    <w:rsid w:val="00994AF5"/>
    <w:rsid w:val="00994B13"/>
    <w:rsid w:val="00994D10"/>
    <w:rsid w:val="00994D56"/>
    <w:rsid w:val="00994EE9"/>
    <w:rsid w:val="00995007"/>
    <w:rsid w:val="00995047"/>
    <w:rsid w:val="009951D8"/>
    <w:rsid w:val="00995236"/>
    <w:rsid w:val="00995276"/>
    <w:rsid w:val="009952F3"/>
    <w:rsid w:val="009952FB"/>
    <w:rsid w:val="009954B2"/>
    <w:rsid w:val="009954F2"/>
    <w:rsid w:val="00995530"/>
    <w:rsid w:val="00995533"/>
    <w:rsid w:val="0099559A"/>
    <w:rsid w:val="009955D6"/>
    <w:rsid w:val="00995654"/>
    <w:rsid w:val="009957C2"/>
    <w:rsid w:val="00995965"/>
    <w:rsid w:val="009959B5"/>
    <w:rsid w:val="00995AA9"/>
    <w:rsid w:val="00995BD3"/>
    <w:rsid w:val="00995E9F"/>
    <w:rsid w:val="00995EF6"/>
    <w:rsid w:val="0099608E"/>
    <w:rsid w:val="009960C8"/>
    <w:rsid w:val="009961E1"/>
    <w:rsid w:val="00996231"/>
    <w:rsid w:val="00996244"/>
    <w:rsid w:val="00996302"/>
    <w:rsid w:val="00996335"/>
    <w:rsid w:val="00996389"/>
    <w:rsid w:val="0099639C"/>
    <w:rsid w:val="00996768"/>
    <w:rsid w:val="00996883"/>
    <w:rsid w:val="00996978"/>
    <w:rsid w:val="009969FC"/>
    <w:rsid w:val="00996AA5"/>
    <w:rsid w:val="00996AC2"/>
    <w:rsid w:val="00996B5E"/>
    <w:rsid w:val="00996BF2"/>
    <w:rsid w:val="00996CF8"/>
    <w:rsid w:val="00996E67"/>
    <w:rsid w:val="00996FC9"/>
    <w:rsid w:val="00997001"/>
    <w:rsid w:val="009970D4"/>
    <w:rsid w:val="00997221"/>
    <w:rsid w:val="0099739F"/>
    <w:rsid w:val="009973E6"/>
    <w:rsid w:val="0099743C"/>
    <w:rsid w:val="00997492"/>
    <w:rsid w:val="009974C4"/>
    <w:rsid w:val="009974CF"/>
    <w:rsid w:val="0099751B"/>
    <w:rsid w:val="0099755D"/>
    <w:rsid w:val="0099759C"/>
    <w:rsid w:val="009975EF"/>
    <w:rsid w:val="0099764D"/>
    <w:rsid w:val="00997698"/>
    <w:rsid w:val="009976A3"/>
    <w:rsid w:val="00997745"/>
    <w:rsid w:val="0099774F"/>
    <w:rsid w:val="00997792"/>
    <w:rsid w:val="009977C4"/>
    <w:rsid w:val="009977D5"/>
    <w:rsid w:val="00997863"/>
    <w:rsid w:val="00997876"/>
    <w:rsid w:val="009978A9"/>
    <w:rsid w:val="009978DB"/>
    <w:rsid w:val="009979BA"/>
    <w:rsid w:val="009979E9"/>
    <w:rsid w:val="00997A20"/>
    <w:rsid w:val="00997A5E"/>
    <w:rsid w:val="00997A8E"/>
    <w:rsid w:val="00997AC1"/>
    <w:rsid w:val="00997B28"/>
    <w:rsid w:val="00997B31"/>
    <w:rsid w:val="00997C1E"/>
    <w:rsid w:val="00997CC5"/>
    <w:rsid w:val="00997E1A"/>
    <w:rsid w:val="00997F19"/>
    <w:rsid w:val="00997F6C"/>
    <w:rsid w:val="009A0011"/>
    <w:rsid w:val="009A0052"/>
    <w:rsid w:val="009A0065"/>
    <w:rsid w:val="009A00B1"/>
    <w:rsid w:val="009A00E7"/>
    <w:rsid w:val="009A01E8"/>
    <w:rsid w:val="009A04B4"/>
    <w:rsid w:val="009A058C"/>
    <w:rsid w:val="009A0606"/>
    <w:rsid w:val="009A061F"/>
    <w:rsid w:val="009A0649"/>
    <w:rsid w:val="009A07F4"/>
    <w:rsid w:val="009A0961"/>
    <w:rsid w:val="009A0CEA"/>
    <w:rsid w:val="009A0ED1"/>
    <w:rsid w:val="009A0FB5"/>
    <w:rsid w:val="009A102D"/>
    <w:rsid w:val="009A104B"/>
    <w:rsid w:val="009A1204"/>
    <w:rsid w:val="009A122C"/>
    <w:rsid w:val="009A1255"/>
    <w:rsid w:val="009A135F"/>
    <w:rsid w:val="009A1410"/>
    <w:rsid w:val="009A1537"/>
    <w:rsid w:val="009A15B8"/>
    <w:rsid w:val="009A17A7"/>
    <w:rsid w:val="009A17CB"/>
    <w:rsid w:val="009A1863"/>
    <w:rsid w:val="009A18A7"/>
    <w:rsid w:val="009A197E"/>
    <w:rsid w:val="009A1A30"/>
    <w:rsid w:val="009A1AA0"/>
    <w:rsid w:val="009A1DA3"/>
    <w:rsid w:val="009A1FB6"/>
    <w:rsid w:val="009A204C"/>
    <w:rsid w:val="009A2094"/>
    <w:rsid w:val="009A23C0"/>
    <w:rsid w:val="009A23FA"/>
    <w:rsid w:val="009A2481"/>
    <w:rsid w:val="009A24DF"/>
    <w:rsid w:val="009A2510"/>
    <w:rsid w:val="009A25D7"/>
    <w:rsid w:val="009A25F2"/>
    <w:rsid w:val="009A27FE"/>
    <w:rsid w:val="009A281A"/>
    <w:rsid w:val="009A291E"/>
    <w:rsid w:val="009A2935"/>
    <w:rsid w:val="009A295E"/>
    <w:rsid w:val="009A29AA"/>
    <w:rsid w:val="009A2A2C"/>
    <w:rsid w:val="009A2A9B"/>
    <w:rsid w:val="009A2B0A"/>
    <w:rsid w:val="009A2B4E"/>
    <w:rsid w:val="009A2C4E"/>
    <w:rsid w:val="009A2C6C"/>
    <w:rsid w:val="009A2C99"/>
    <w:rsid w:val="009A2D11"/>
    <w:rsid w:val="009A2E3B"/>
    <w:rsid w:val="009A2E8E"/>
    <w:rsid w:val="009A2F30"/>
    <w:rsid w:val="009A3117"/>
    <w:rsid w:val="009A3193"/>
    <w:rsid w:val="009A3222"/>
    <w:rsid w:val="009A325F"/>
    <w:rsid w:val="009A3278"/>
    <w:rsid w:val="009A3365"/>
    <w:rsid w:val="009A3379"/>
    <w:rsid w:val="009A3534"/>
    <w:rsid w:val="009A3569"/>
    <w:rsid w:val="009A35E5"/>
    <w:rsid w:val="009A3707"/>
    <w:rsid w:val="009A371B"/>
    <w:rsid w:val="009A3762"/>
    <w:rsid w:val="009A3979"/>
    <w:rsid w:val="009A39E3"/>
    <w:rsid w:val="009A3A62"/>
    <w:rsid w:val="009A3AE9"/>
    <w:rsid w:val="009A3B6D"/>
    <w:rsid w:val="009A3D98"/>
    <w:rsid w:val="009A3DEF"/>
    <w:rsid w:val="009A3E0B"/>
    <w:rsid w:val="009A3E78"/>
    <w:rsid w:val="009A3FEF"/>
    <w:rsid w:val="009A4026"/>
    <w:rsid w:val="009A4032"/>
    <w:rsid w:val="009A4091"/>
    <w:rsid w:val="009A40C4"/>
    <w:rsid w:val="009A4175"/>
    <w:rsid w:val="009A422B"/>
    <w:rsid w:val="009A4256"/>
    <w:rsid w:val="009A4269"/>
    <w:rsid w:val="009A42BB"/>
    <w:rsid w:val="009A434E"/>
    <w:rsid w:val="009A43C1"/>
    <w:rsid w:val="009A4435"/>
    <w:rsid w:val="009A44FA"/>
    <w:rsid w:val="009A478D"/>
    <w:rsid w:val="009A47F3"/>
    <w:rsid w:val="009A48C8"/>
    <w:rsid w:val="009A4970"/>
    <w:rsid w:val="009A4A5D"/>
    <w:rsid w:val="009A4B9B"/>
    <w:rsid w:val="009A4BBE"/>
    <w:rsid w:val="009A4C0A"/>
    <w:rsid w:val="009A4C84"/>
    <w:rsid w:val="009A4DFC"/>
    <w:rsid w:val="009A4EE3"/>
    <w:rsid w:val="009A4F82"/>
    <w:rsid w:val="009A4FD1"/>
    <w:rsid w:val="009A514A"/>
    <w:rsid w:val="009A5187"/>
    <w:rsid w:val="009A51C8"/>
    <w:rsid w:val="009A522F"/>
    <w:rsid w:val="009A5248"/>
    <w:rsid w:val="009A53BF"/>
    <w:rsid w:val="009A5447"/>
    <w:rsid w:val="009A547D"/>
    <w:rsid w:val="009A5543"/>
    <w:rsid w:val="009A57A1"/>
    <w:rsid w:val="009A57AF"/>
    <w:rsid w:val="009A57F0"/>
    <w:rsid w:val="009A580D"/>
    <w:rsid w:val="009A587E"/>
    <w:rsid w:val="009A587F"/>
    <w:rsid w:val="009A5989"/>
    <w:rsid w:val="009A5A18"/>
    <w:rsid w:val="009A5A3F"/>
    <w:rsid w:val="009A5BB7"/>
    <w:rsid w:val="009A5E43"/>
    <w:rsid w:val="009A5EF4"/>
    <w:rsid w:val="009A5FB1"/>
    <w:rsid w:val="009A617B"/>
    <w:rsid w:val="009A6287"/>
    <w:rsid w:val="009A6721"/>
    <w:rsid w:val="009A673A"/>
    <w:rsid w:val="009A674E"/>
    <w:rsid w:val="009A6778"/>
    <w:rsid w:val="009A67B1"/>
    <w:rsid w:val="009A6824"/>
    <w:rsid w:val="009A6866"/>
    <w:rsid w:val="009A69E2"/>
    <w:rsid w:val="009A6A5B"/>
    <w:rsid w:val="009A6A69"/>
    <w:rsid w:val="009A6ADF"/>
    <w:rsid w:val="009A6C9B"/>
    <w:rsid w:val="009A6D17"/>
    <w:rsid w:val="009A6D2C"/>
    <w:rsid w:val="009A6D60"/>
    <w:rsid w:val="009A6DAE"/>
    <w:rsid w:val="009A7046"/>
    <w:rsid w:val="009A708F"/>
    <w:rsid w:val="009A70BE"/>
    <w:rsid w:val="009A7108"/>
    <w:rsid w:val="009A711A"/>
    <w:rsid w:val="009A7137"/>
    <w:rsid w:val="009A7138"/>
    <w:rsid w:val="009A715A"/>
    <w:rsid w:val="009A716E"/>
    <w:rsid w:val="009A71FE"/>
    <w:rsid w:val="009A7218"/>
    <w:rsid w:val="009A7258"/>
    <w:rsid w:val="009A730B"/>
    <w:rsid w:val="009A7318"/>
    <w:rsid w:val="009A7351"/>
    <w:rsid w:val="009A7379"/>
    <w:rsid w:val="009A7383"/>
    <w:rsid w:val="009A747E"/>
    <w:rsid w:val="009A74EA"/>
    <w:rsid w:val="009A75D5"/>
    <w:rsid w:val="009A762F"/>
    <w:rsid w:val="009A77C4"/>
    <w:rsid w:val="009A785F"/>
    <w:rsid w:val="009A79B9"/>
    <w:rsid w:val="009A7A5F"/>
    <w:rsid w:val="009A7A97"/>
    <w:rsid w:val="009A7BC0"/>
    <w:rsid w:val="009A7C1F"/>
    <w:rsid w:val="009A7C3B"/>
    <w:rsid w:val="009A7C62"/>
    <w:rsid w:val="009A7CF3"/>
    <w:rsid w:val="009A7F33"/>
    <w:rsid w:val="009B0033"/>
    <w:rsid w:val="009B009D"/>
    <w:rsid w:val="009B0174"/>
    <w:rsid w:val="009B0177"/>
    <w:rsid w:val="009B027A"/>
    <w:rsid w:val="009B03E6"/>
    <w:rsid w:val="009B047A"/>
    <w:rsid w:val="009B0541"/>
    <w:rsid w:val="009B05D7"/>
    <w:rsid w:val="009B05EB"/>
    <w:rsid w:val="009B0640"/>
    <w:rsid w:val="009B065F"/>
    <w:rsid w:val="009B0700"/>
    <w:rsid w:val="009B0703"/>
    <w:rsid w:val="009B072A"/>
    <w:rsid w:val="009B07DD"/>
    <w:rsid w:val="009B0885"/>
    <w:rsid w:val="009B08A0"/>
    <w:rsid w:val="009B08E0"/>
    <w:rsid w:val="009B08ED"/>
    <w:rsid w:val="009B0934"/>
    <w:rsid w:val="009B0A4F"/>
    <w:rsid w:val="009B0A72"/>
    <w:rsid w:val="009B0AD5"/>
    <w:rsid w:val="009B0ADC"/>
    <w:rsid w:val="009B0AFB"/>
    <w:rsid w:val="009B0F46"/>
    <w:rsid w:val="009B0FBA"/>
    <w:rsid w:val="009B0FC4"/>
    <w:rsid w:val="009B1127"/>
    <w:rsid w:val="009B119E"/>
    <w:rsid w:val="009B1243"/>
    <w:rsid w:val="009B1344"/>
    <w:rsid w:val="009B1462"/>
    <w:rsid w:val="009B15AD"/>
    <w:rsid w:val="009B15B8"/>
    <w:rsid w:val="009B1654"/>
    <w:rsid w:val="009B16B0"/>
    <w:rsid w:val="009B175E"/>
    <w:rsid w:val="009B18CB"/>
    <w:rsid w:val="009B18CF"/>
    <w:rsid w:val="009B190D"/>
    <w:rsid w:val="009B198E"/>
    <w:rsid w:val="009B1A21"/>
    <w:rsid w:val="009B1A24"/>
    <w:rsid w:val="009B1A60"/>
    <w:rsid w:val="009B1CF9"/>
    <w:rsid w:val="009B1D5C"/>
    <w:rsid w:val="009B1E2C"/>
    <w:rsid w:val="009B1E93"/>
    <w:rsid w:val="009B1F69"/>
    <w:rsid w:val="009B1FBE"/>
    <w:rsid w:val="009B1FC9"/>
    <w:rsid w:val="009B1FEC"/>
    <w:rsid w:val="009B2134"/>
    <w:rsid w:val="009B22BE"/>
    <w:rsid w:val="009B2370"/>
    <w:rsid w:val="009B23C6"/>
    <w:rsid w:val="009B24AC"/>
    <w:rsid w:val="009B24E9"/>
    <w:rsid w:val="009B251E"/>
    <w:rsid w:val="009B2524"/>
    <w:rsid w:val="009B2596"/>
    <w:rsid w:val="009B2745"/>
    <w:rsid w:val="009B2763"/>
    <w:rsid w:val="009B28A8"/>
    <w:rsid w:val="009B28B8"/>
    <w:rsid w:val="009B29E9"/>
    <w:rsid w:val="009B2B64"/>
    <w:rsid w:val="009B2B88"/>
    <w:rsid w:val="009B2E6D"/>
    <w:rsid w:val="009B2E79"/>
    <w:rsid w:val="009B2E7A"/>
    <w:rsid w:val="009B2FC2"/>
    <w:rsid w:val="009B2FC9"/>
    <w:rsid w:val="009B301C"/>
    <w:rsid w:val="009B3037"/>
    <w:rsid w:val="009B319E"/>
    <w:rsid w:val="009B31EC"/>
    <w:rsid w:val="009B3295"/>
    <w:rsid w:val="009B32C8"/>
    <w:rsid w:val="009B332A"/>
    <w:rsid w:val="009B348A"/>
    <w:rsid w:val="009B34F7"/>
    <w:rsid w:val="009B354F"/>
    <w:rsid w:val="009B356D"/>
    <w:rsid w:val="009B36A6"/>
    <w:rsid w:val="009B36B7"/>
    <w:rsid w:val="009B36D2"/>
    <w:rsid w:val="009B37B3"/>
    <w:rsid w:val="009B37BD"/>
    <w:rsid w:val="009B38D6"/>
    <w:rsid w:val="009B3960"/>
    <w:rsid w:val="009B3A1A"/>
    <w:rsid w:val="009B3B21"/>
    <w:rsid w:val="009B3B40"/>
    <w:rsid w:val="009B3B4B"/>
    <w:rsid w:val="009B3BDA"/>
    <w:rsid w:val="009B3C03"/>
    <w:rsid w:val="009B3D9A"/>
    <w:rsid w:val="009B3DBF"/>
    <w:rsid w:val="009B3DC6"/>
    <w:rsid w:val="009B3F65"/>
    <w:rsid w:val="009B3F98"/>
    <w:rsid w:val="009B40D6"/>
    <w:rsid w:val="009B41AA"/>
    <w:rsid w:val="009B41AB"/>
    <w:rsid w:val="009B41D8"/>
    <w:rsid w:val="009B4529"/>
    <w:rsid w:val="009B452D"/>
    <w:rsid w:val="009B4586"/>
    <w:rsid w:val="009B459D"/>
    <w:rsid w:val="009B4692"/>
    <w:rsid w:val="009B469B"/>
    <w:rsid w:val="009B475E"/>
    <w:rsid w:val="009B4A79"/>
    <w:rsid w:val="009B4A9C"/>
    <w:rsid w:val="009B4BB6"/>
    <w:rsid w:val="009B4C55"/>
    <w:rsid w:val="009B4CB4"/>
    <w:rsid w:val="009B4D95"/>
    <w:rsid w:val="009B4EED"/>
    <w:rsid w:val="009B501E"/>
    <w:rsid w:val="009B502E"/>
    <w:rsid w:val="009B506E"/>
    <w:rsid w:val="009B5083"/>
    <w:rsid w:val="009B5167"/>
    <w:rsid w:val="009B518D"/>
    <w:rsid w:val="009B5357"/>
    <w:rsid w:val="009B53C0"/>
    <w:rsid w:val="009B53DD"/>
    <w:rsid w:val="009B5615"/>
    <w:rsid w:val="009B563D"/>
    <w:rsid w:val="009B567F"/>
    <w:rsid w:val="009B56B7"/>
    <w:rsid w:val="009B56CB"/>
    <w:rsid w:val="009B56EB"/>
    <w:rsid w:val="009B573F"/>
    <w:rsid w:val="009B57B6"/>
    <w:rsid w:val="009B5877"/>
    <w:rsid w:val="009B5917"/>
    <w:rsid w:val="009B59D5"/>
    <w:rsid w:val="009B59E6"/>
    <w:rsid w:val="009B59E9"/>
    <w:rsid w:val="009B5A0F"/>
    <w:rsid w:val="009B5B79"/>
    <w:rsid w:val="009B5BD0"/>
    <w:rsid w:val="009B5DB0"/>
    <w:rsid w:val="009B5DC5"/>
    <w:rsid w:val="009B5E66"/>
    <w:rsid w:val="009B5F1B"/>
    <w:rsid w:val="009B5F25"/>
    <w:rsid w:val="009B6007"/>
    <w:rsid w:val="009B6068"/>
    <w:rsid w:val="009B6193"/>
    <w:rsid w:val="009B6377"/>
    <w:rsid w:val="009B63ED"/>
    <w:rsid w:val="009B6403"/>
    <w:rsid w:val="009B6455"/>
    <w:rsid w:val="009B6456"/>
    <w:rsid w:val="009B64B2"/>
    <w:rsid w:val="009B64C7"/>
    <w:rsid w:val="009B659E"/>
    <w:rsid w:val="009B662C"/>
    <w:rsid w:val="009B6836"/>
    <w:rsid w:val="009B6841"/>
    <w:rsid w:val="009B6873"/>
    <w:rsid w:val="009B6994"/>
    <w:rsid w:val="009B6A55"/>
    <w:rsid w:val="009B6A7F"/>
    <w:rsid w:val="009B6C13"/>
    <w:rsid w:val="009B6C61"/>
    <w:rsid w:val="009B6C9C"/>
    <w:rsid w:val="009B6CDB"/>
    <w:rsid w:val="009B6ED7"/>
    <w:rsid w:val="009B6FEA"/>
    <w:rsid w:val="009B703D"/>
    <w:rsid w:val="009B7072"/>
    <w:rsid w:val="009B70FC"/>
    <w:rsid w:val="009B714C"/>
    <w:rsid w:val="009B71FA"/>
    <w:rsid w:val="009B721B"/>
    <w:rsid w:val="009B7271"/>
    <w:rsid w:val="009B7540"/>
    <w:rsid w:val="009B7542"/>
    <w:rsid w:val="009B75CD"/>
    <w:rsid w:val="009B75F8"/>
    <w:rsid w:val="009B76BD"/>
    <w:rsid w:val="009B77A3"/>
    <w:rsid w:val="009B77E8"/>
    <w:rsid w:val="009B77F5"/>
    <w:rsid w:val="009B79B5"/>
    <w:rsid w:val="009B7AF2"/>
    <w:rsid w:val="009B7C8A"/>
    <w:rsid w:val="009B7D8B"/>
    <w:rsid w:val="009B7F17"/>
    <w:rsid w:val="009B7FC9"/>
    <w:rsid w:val="009B7FE4"/>
    <w:rsid w:val="009C00A3"/>
    <w:rsid w:val="009C00C1"/>
    <w:rsid w:val="009C01EB"/>
    <w:rsid w:val="009C0454"/>
    <w:rsid w:val="009C046C"/>
    <w:rsid w:val="009C0488"/>
    <w:rsid w:val="009C04C5"/>
    <w:rsid w:val="009C0558"/>
    <w:rsid w:val="009C056E"/>
    <w:rsid w:val="009C0605"/>
    <w:rsid w:val="009C0770"/>
    <w:rsid w:val="009C07A0"/>
    <w:rsid w:val="009C08B7"/>
    <w:rsid w:val="009C08BF"/>
    <w:rsid w:val="009C095A"/>
    <w:rsid w:val="009C0A7F"/>
    <w:rsid w:val="009C0AA1"/>
    <w:rsid w:val="009C0BDD"/>
    <w:rsid w:val="009C0E4E"/>
    <w:rsid w:val="009C0E9B"/>
    <w:rsid w:val="009C0FEC"/>
    <w:rsid w:val="009C10EB"/>
    <w:rsid w:val="009C10FA"/>
    <w:rsid w:val="009C1133"/>
    <w:rsid w:val="009C1252"/>
    <w:rsid w:val="009C13A0"/>
    <w:rsid w:val="009C13FE"/>
    <w:rsid w:val="009C14BF"/>
    <w:rsid w:val="009C16C6"/>
    <w:rsid w:val="009C16DA"/>
    <w:rsid w:val="009C177C"/>
    <w:rsid w:val="009C17F6"/>
    <w:rsid w:val="009C1812"/>
    <w:rsid w:val="009C181C"/>
    <w:rsid w:val="009C1937"/>
    <w:rsid w:val="009C1A83"/>
    <w:rsid w:val="009C1B38"/>
    <w:rsid w:val="009C1C30"/>
    <w:rsid w:val="009C1E3D"/>
    <w:rsid w:val="009C1FDD"/>
    <w:rsid w:val="009C20BE"/>
    <w:rsid w:val="009C20E4"/>
    <w:rsid w:val="009C21EF"/>
    <w:rsid w:val="009C22EB"/>
    <w:rsid w:val="009C237D"/>
    <w:rsid w:val="009C237F"/>
    <w:rsid w:val="009C23F6"/>
    <w:rsid w:val="009C2437"/>
    <w:rsid w:val="009C2447"/>
    <w:rsid w:val="009C2454"/>
    <w:rsid w:val="009C252C"/>
    <w:rsid w:val="009C2598"/>
    <w:rsid w:val="009C25AF"/>
    <w:rsid w:val="009C2785"/>
    <w:rsid w:val="009C28C3"/>
    <w:rsid w:val="009C2905"/>
    <w:rsid w:val="009C293B"/>
    <w:rsid w:val="009C2A5F"/>
    <w:rsid w:val="009C2AAE"/>
    <w:rsid w:val="009C2BA9"/>
    <w:rsid w:val="009C2CE1"/>
    <w:rsid w:val="009C2E44"/>
    <w:rsid w:val="009C2F84"/>
    <w:rsid w:val="009C2F87"/>
    <w:rsid w:val="009C2FC0"/>
    <w:rsid w:val="009C3010"/>
    <w:rsid w:val="009C306A"/>
    <w:rsid w:val="009C313B"/>
    <w:rsid w:val="009C31AD"/>
    <w:rsid w:val="009C31E0"/>
    <w:rsid w:val="009C3366"/>
    <w:rsid w:val="009C3432"/>
    <w:rsid w:val="009C3440"/>
    <w:rsid w:val="009C3462"/>
    <w:rsid w:val="009C34D0"/>
    <w:rsid w:val="009C35A4"/>
    <w:rsid w:val="009C3612"/>
    <w:rsid w:val="009C36AC"/>
    <w:rsid w:val="009C3814"/>
    <w:rsid w:val="009C3870"/>
    <w:rsid w:val="009C3891"/>
    <w:rsid w:val="009C3A70"/>
    <w:rsid w:val="009C3ABA"/>
    <w:rsid w:val="009C3BDC"/>
    <w:rsid w:val="009C3CEA"/>
    <w:rsid w:val="009C3D01"/>
    <w:rsid w:val="009C3D54"/>
    <w:rsid w:val="009C3D9D"/>
    <w:rsid w:val="009C3DAC"/>
    <w:rsid w:val="009C3DFC"/>
    <w:rsid w:val="009C3E12"/>
    <w:rsid w:val="009C3F5C"/>
    <w:rsid w:val="009C4149"/>
    <w:rsid w:val="009C43DA"/>
    <w:rsid w:val="009C43EE"/>
    <w:rsid w:val="009C44C2"/>
    <w:rsid w:val="009C4569"/>
    <w:rsid w:val="009C459E"/>
    <w:rsid w:val="009C462A"/>
    <w:rsid w:val="009C4742"/>
    <w:rsid w:val="009C47A2"/>
    <w:rsid w:val="009C47BE"/>
    <w:rsid w:val="009C4891"/>
    <w:rsid w:val="009C48B9"/>
    <w:rsid w:val="009C48F1"/>
    <w:rsid w:val="009C4909"/>
    <w:rsid w:val="009C49C1"/>
    <w:rsid w:val="009C4A58"/>
    <w:rsid w:val="009C4AA1"/>
    <w:rsid w:val="009C4C32"/>
    <w:rsid w:val="009C4C92"/>
    <w:rsid w:val="009C4E5D"/>
    <w:rsid w:val="009C4F3D"/>
    <w:rsid w:val="009C4F48"/>
    <w:rsid w:val="009C5168"/>
    <w:rsid w:val="009C5179"/>
    <w:rsid w:val="009C51DD"/>
    <w:rsid w:val="009C5292"/>
    <w:rsid w:val="009C52CB"/>
    <w:rsid w:val="009C545A"/>
    <w:rsid w:val="009C5601"/>
    <w:rsid w:val="009C5664"/>
    <w:rsid w:val="009C57C3"/>
    <w:rsid w:val="009C57EC"/>
    <w:rsid w:val="009C5805"/>
    <w:rsid w:val="009C581F"/>
    <w:rsid w:val="009C5A05"/>
    <w:rsid w:val="009C5A34"/>
    <w:rsid w:val="009C5A6C"/>
    <w:rsid w:val="009C5B12"/>
    <w:rsid w:val="009C5B2C"/>
    <w:rsid w:val="009C5B97"/>
    <w:rsid w:val="009C5BDB"/>
    <w:rsid w:val="009C5C0B"/>
    <w:rsid w:val="009C5C8E"/>
    <w:rsid w:val="009C5E12"/>
    <w:rsid w:val="009C5E1F"/>
    <w:rsid w:val="009C5F38"/>
    <w:rsid w:val="009C605D"/>
    <w:rsid w:val="009C60D8"/>
    <w:rsid w:val="009C6108"/>
    <w:rsid w:val="009C6169"/>
    <w:rsid w:val="009C61BD"/>
    <w:rsid w:val="009C622C"/>
    <w:rsid w:val="009C627C"/>
    <w:rsid w:val="009C62D0"/>
    <w:rsid w:val="009C6317"/>
    <w:rsid w:val="009C6365"/>
    <w:rsid w:val="009C64AA"/>
    <w:rsid w:val="009C664D"/>
    <w:rsid w:val="009C6819"/>
    <w:rsid w:val="009C682F"/>
    <w:rsid w:val="009C68E5"/>
    <w:rsid w:val="009C6987"/>
    <w:rsid w:val="009C6997"/>
    <w:rsid w:val="009C6A6C"/>
    <w:rsid w:val="009C6AC7"/>
    <w:rsid w:val="009C6B89"/>
    <w:rsid w:val="009C6BAF"/>
    <w:rsid w:val="009C6BFC"/>
    <w:rsid w:val="009C6CD1"/>
    <w:rsid w:val="009C6E05"/>
    <w:rsid w:val="009C6E5A"/>
    <w:rsid w:val="009C6E7D"/>
    <w:rsid w:val="009C6FA9"/>
    <w:rsid w:val="009C7002"/>
    <w:rsid w:val="009C7065"/>
    <w:rsid w:val="009C7099"/>
    <w:rsid w:val="009C70EB"/>
    <w:rsid w:val="009C721E"/>
    <w:rsid w:val="009C7296"/>
    <w:rsid w:val="009C72EE"/>
    <w:rsid w:val="009C7306"/>
    <w:rsid w:val="009C7586"/>
    <w:rsid w:val="009C75E7"/>
    <w:rsid w:val="009C7657"/>
    <w:rsid w:val="009C77D2"/>
    <w:rsid w:val="009C78E6"/>
    <w:rsid w:val="009C78FE"/>
    <w:rsid w:val="009C79CF"/>
    <w:rsid w:val="009C79FB"/>
    <w:rsid w:val="009C7B2C"/>
    <w:rsid w:val="009C7C12"/>
    <w:rsid w:val="009C7C93"/>
    <w:rsid w:val="009C7CA8"/>
    <w:rsid w:val="009C7D41"/>
    <w:rsid w:val="009C7D45"/>
    <w:rsid w:val="009C7D47"/>
    <w:rsid w:val="009C7D57"/>
    <w:rsid w:val="009C7EE6"/>
    <w:rsid w:val="009C7EEE"/>
    <w:rsid w:val="009C7F68"/>
    <w:rsid w:val="009D003C"/>
    <w:rsid w:val="009D00E8"/>
    <w:rsid w:val="009D013C"/>
    <w:rsid w:val="009D013D"/>
    <w:rsid w:val="009D0198"/>
    <w:rsid w:val="009D0298"/>
    <w:rsid w:val="009D0309"/>
    <w:rsid w:val="009D037F"/>
    <w:rsid w:val="009D0429"/>
    <w:rsid w:val="009D04B3"/>
    <w:rsid w:val="009D04ED"/>
    <w:rsid w:val="009D0521"/>
    <w:rsid w:val="009D057F"/>
    <w:rsid w:val="009D05B5"/>
    <w:rsid w:val="009D05D3"/>
    <w:rsid w:val="009D05DD"/>
    <w:rsid w:val="009D0600"/>
    <w:rsid w:val="009D06A1"/>
    <w:rsid w:val="009D0851"/>
    <w:rsid w:val="009D09FB"/>
    <w:rsid w:val="009D0A5F"/>
    <w:rsid w:val="009D0B83"/>
    <w:rsid w:val="009D0D13"/>
    <w:rsid w:val="009D0E8A"/>
    <w:rsid w:val="009D0FBB"/>
    <w:rsid w:val="009D1004"/>
    <w:rsid w:val="009D1038"/>
    <w:rsid w:val="009D106E"/>
    <w:rsid w:val="009D1074"/>
    <w:rsid w:val="009D1097"/>
    <w:rsid w:val="009D10A9"/>
    <w:rsid w:val="009D1122"/>
    <w:rsid w:val="009D1196"/>
    <w:rsid w:val="009D11AC"/>
    <w:rsid w:val="009D1220"/>
    <w:rsid w:val="009D1256"/>
    <w:rsid w:val="009D128E"/>
    <w:rsid w:val="009D134E"/>
    <w:rsid w:val="009D14A5"/>
    <w:rsid w:val="009D1599"/>
    <w:rsid w:val="009D1A41"/>
    <w:rsid w:val="009D1D60"/>
    <w:rsid w:val="009D1D64"/>
    <w:rsid w:val="009D1EA1"/>
    <w:rsid w:val="009D1F82"/>
    <w:rsid w:val="009D1FD1"/>
    <w:rsid w:val="009D2007"/>
    <w:rsid w:val="009D21A9"/>
    <w:rsid w:val="009D221A"/>
    <w:rsid w:val="009D228C"/>
    <w:rsid w:val="009D2339"/>
    <w:rsid w:val="009D24DA"/>
    <w:rsid w:val="009D2592"/>
    <w:rsid w:val="009D25BB"/>
    <w:rsid w:val="009D25FF"/>
    <w:rsid w:val="009D2604"/>
    <w:rsid w:val="009D26BC"/>
    <w:rsid w:val="009D2732"/>
    <w:rsid w:val="009D2776"/>
    <w:rsid w:val="009D2784"/>
    <w:rsid w:val="009D2874"/>
    <w:rsid w:val="009D2A73"/>
    <w:rsid w:val="009D2A90"/>
    <w:rsid w:val="009D2CA6"/>
    <w:rsid w:val="009D2CE4"/>
    <w:rsid w:val="009D2ED4"/>
    <w:rsid w:val="009D2EDB"/>
    <w:rsid w:val="009D2EDF"/>
    <w:rsid w:val="009D2F53"/>
    <w:rsid w:val="009D2F56"/>
    <w:rsid w:val="009D2F7D"/>
    <w:rsid w:val="009D3084"/>
    <w:rsid w:val="009D30D8"/>
    <w:rsid w:val="009D3189"/>
    <w:rsid w:val="009D32D5"/>
    <w:rsid w:val="009D32DD"/>
    <w:rsid w:val="009D33A8"/>
    <w:rsid w:val="009D3410"/>
    <w:rsid w:val="009D3434"/>
    <w:rsid w:val="009D34C0"/>
    <w:rsid w:val="009D34F6"/>
    <w:rsid w:val="009D3517"/>
    <w:rsid w:val="009D3527"/>
    <w:rsid w:val="009D35C8"/>
    <w:rsid w:val="009D35F9"/>
    <w:rsid w:val="009D3693"/>
    <w:rsid w:val="009D3796"/>
    <w:rsid w:val="009D382A"/>
    <w:rsid w:val="009D382C"/>
    <w:rsid w:val="009D38DD"/>
    <w:rsid w:val="009D3B1E"/>
    <w:rsid w:val="009D3BEA"/>
    <w:rsid w:val="009D3C80"/>
    <w:rsid w:val="009D3CC1"/>
    <w:rsid w:val="009D3F10"/>
    <w:rsid w:val="009D3F1E"/>
    <w:rsid w:val="009D401C"/>
    <w:rsid w:val="009D4068"/>
    <w:rsid w:val="009D4119"/>
    <w:rsid w:val="009D419E"/>
    <w:rsid w:val="009D41F2"/>
    <w:rsid w:val="009D4206"/>
    <w:rsid w:val="009D4227"/>
    <w:rsid w:val="009D42B2"/>
    <w:rsid w:val="009D4382"/>
    <w:rsid w:val="009D4664"/>
    <w:rsid w:val="009D467E"/>
    <w:rsid w:val="009D46EB"/>
    <w:rsid w:val="009D4763"/>
    <w:rsid w:val="009D476E"/>
    <w:rsid w:val="009D478A"/>
    <w:rsid w:val="009D4797"/>
    <w:rsid w:val="009D482F"/>
    <w:rsid w:val="009D4845"/>
    <w:rsid w:val="009D4886"/>
    <w:rsid w:val="009D4B1A"/>
    <w:rsid w:val="009D4B2D"/>
    <w:rsid w:val="009D4D4E"/>
    <w:rsid w:val="009D4D7E"/>
    <w:rsid w:val="009D4DE6"/>
    <w:rsid w:val="009D4F34"/>
    <w:rsid w:val="009D5160"/>
    <w:rsid w:val="009D517B"/>
    <w:rsid w:val="009D5230"/>
    <w:rsid w:val="009D52AC"/>
    <w:rsid w:val="009D52BD"/>
    <w:rsid w:val="009D530A"/>
    <w:rsid w:val="009D53A8"/>
    <w:rsid w:val="009D5464"/>
    <w:rsid w:val="009D5571"/>
    <w:rsid w:val="009D562E"/>
    <w:rsid w:val="009D5631"/>
    <w:rsid w:val="009D570D"/>
    <w:rsid w:val="009D5724"/>
    <w:rsid w:val="009D5818"/>
    <w:rsid w:val="009D5A4F"/>
    <w:rsid w:val="009D5AEF"/>
    <w:rsid w:val="009D5AF4"/>
    <w:rsid w:val="009D5CF7"/>
    <w:rsid w:val="009D5D1C"/>
    <w:rsid w:val="009D5D6E"/>
    <w:rsid w:val="009D5E11"/>
    <w:rsid w:val="009D5E57"/>
    <w:rsid w:val="009D5E69"/>
    <w:rsid w:val="009D5ED0"/>
    <w:rsid w:val="009D5F11"/>
    <w:rsid w:val="009D5F36"/>
    <w:rsid w:val="009D6010"/>
    <w:rsid w:val="009D607D"/>
    <w:rsid w:val="009D6184"/>
    <w:rsid w:val="009D6185"/>
    <w:rsid w:val="009D61E0"/>
    <w:rsid w:val="009D622C"/>
    <w:rsid w:val="009D6259"/>
    <w:rsid w:val="009D6295"/>
    <w:rsid w:val="009D6448"/>
    <w:rsid w:val="009D644E"/>
    <w:rsid w:val="009D6494"/>
    <w:rsid w:val="009D6514"/>
    <w:rsid w:val="009D6543"/>
    <w:rsid w:val="009D6602"/>
    <w:rsid w:val="009D6667"/>
    <w:rsid w:val="009D66F6"/>
    <w:rsid w:val="009D6740"/>
    <w:rsid w:val="009D6972"/>
    <w:rsid w:val="009D69E7"/>
    <w:rsid w:val="009D6A5E"/>
    <w:rsid w:val="009D6A6A"/>
    <w:rsid w:val="009D6A85"/>
    <w:rsid w:val="009D6B00"/>
    <w:rsid w:val="009D6BF8"/>
    <w:rsid w:val="009D6C75"/>
    <w:rsid w:val="009D6CE4"/>
    <w:rsid w:val="009D6D25"/>
    <w:rsid w:val="009D6D91"/>
    <w:rsid w:val="009D6D9E"/>
    <w:rsid w:val="009D6DEB"/>
    <w:rsid w:val="009D6E51"/>
    <w:rsid w:val="009D6F3E"/>
    <w:rsid w:val="009D6FC6"/>
    <w:rsid w:val="009D702E"/>
    <w:rsid w:val="009D705C"/>
    <w:rsid w:val="009D7138"/>
    <w:rsid w:val="009D714D"/>
    <w:rsid w:val="009D7160"/>
    <w:rsid w:val="009D71B4"/>
    <w:rsid w:val="009D71D9"/>
    <w:rsid w:val="009D7252"/>
    <w:rsid w:val="009D72E0"/>
    <w:rsid w:val="009D7430"/>
    <w:rsid w:val="009D745B"/>
    <w:rsid w:val="009D7489"/>
    <w:rsid w:val="009D754A"/>
    <w:rsid w:val="009D75AE"/>
    <w:rsid w:val="009D7796"/>
    <w:rsid w:val="009D77D9"/>
    <w:rsid w:val="009D781C"/>
    <w:rsid w:val="009D782B"/>
    <w:rsid w:val="009D7849"/>
    <w:rsid w:val="009D789C"/>
    <w:rsid w:val="009D78AB"/>
    <w:rsid w:val="009D78D8"/>
    <w:rsid w:val="009D793F"/>
    <w:rsid w:val="009D7A2D"/>
    <w:rsid w:val="009D7A3A"/>
    <w:rsid w:val="009D7A64"/>
    <w:rsid w:val="009D7A6C"/>
    <w:rsid w:val="009D7C04"/>
    <w:rsid w:val="009D7C11"/>
    <w:rsid w:val="009D7C65"/>
    <w:rsid w:val="009D7D0C"/>
    <w:rsid w:val="009D7DCC"/>
    <w:rsid w:val="009D7E1B"/>
    <w:rsid w:val="009D7F96"/>
    <w:rsid w:val="009E0036"/>
    <w:rsid w:val="009E0136"/>
    <w:rsid w:val="009E019B"/>
    <w:rsid w:val="009E03C0"/>
    <w:rsid w:val="009E0514"/>
    <w:rsid w:val="009E06FD"/>
    <w:rsid w:val="009E0840"/>
    <w:rsid w:val="009E0891"/>
    <w:rsid w:val="009E08C0"/>
    <w:rsid w:val="009E092F"/>
    <w:rsid w:val="009E09C6"/>
    <w:rsid w:val="009E09E9"/>
    <w:rsid w:val="009E0A00"/>
    <w:rsid w:val="009E0A9F"/>
    <w:rsid w:val="009E0BDE"/>
    <w:rsid w:val="009E0CB6"/>
    <w:rsid w:val="009E0CBE"/>
    <w:rsid w:val="009E0D69"/>
    <w:rsid w:val="009E0DA5"/>
    <w:rsid w:val="009E0DE8"/>
    <w:rsid w:val="009E0DEB"/>
    <w:rsid w:val="009E0E9B"/>
    <w:rsid w:val="009E0EA0"/>
    <w:rsid w:val="009E0EDB"/>
    <w:rsid w:val="009E0EDF"/>
    <w:rsid w:val="009E1144"/>
    <w:rsid w:val="009E118E"/>
    <w:rsid w:val="009E122A"/>
    <w:rsid w:val="009E123A"/>
    <w:rsid w:val="009E131D"/>
    <w:rsid w:val="009E1361"/>
    <w:rsid w:val="009E1519"/>
    <w:rsid w:val="009E15AE"/>
    <w:rsid w:val="009E15BE"/>
    <w:rsid w:val="009E15F3"/>
    <w:rsid w:val="009E165E"/>
    <w:rsid w:val="009E166B"/>
    <w:rsid w:val="009E16C8"/>
    <w:rsid w:val="009E177B"/>
    <w:rsid w:val="009E17DF"/>
    <w:rsid w:val="009E1980"/>
    <w:rsid w:val="009E1A29"/>
    <w:rsid w:val="009E1BD3"/>
    <w:rsid w:val="009E1C83"/>
    <w:rsid w:val="009E1D05"/>
    <w:rsid w:val="009E1D1D"/>
    <w:rsid w:val="009E1D5D"/>
    <w:rsid w:val="009E1E99"/>
    <w:rsid w:val="009E248B"/>
    <w:rsid w:val="009E25A5"/>
    <w:rsid w:val="009E2603"/>
    <w:rsid w:val="009E264F"/>
    <w:rsid w:val="009E2662"/>
    <w:rsid w:val="009E27CF"/>
    <w:rsid w:val="009E282A"/>
    <w:rsid w:val="009E2857"/>
    <w:rsid w:val="009E2861"/>
    <w:rsid w:val="009E288B"/>
    <w:rsid w:val="009E28CD"/>
    <w:rsid w:val="009E2912"/>
    <w:rsid w:val="009E29BC"/>
    <w:rsid w:val="009E29E2"/>
    <w:rsid w:val="009E2AC0"/>
    <w:rsid w:val="009E2C04"/>
    <w:rsid w:val="009E2D48"/>
    <w:rsid w:val="009E2EB5"/>
    <w:rsid w:val="009E2F00"/>
    <w:rsid w:val="009E2F56"/>
    <w:rsid w:val="009E310A"/>
    <w:rsid w:val="009E3147"/>
    <w:rsid w:val="009E3247"/>
    <w:rsid w:val="009E3275"/>
    <w:rsid w:val="009E32B9"/>
    <w:rsid w:val="009E32F2"/>
    <w:rsid w:val="009E3333"/>
    <w:rsid w:val="009E333F"/>
    <w:rsid w:val="009E3406"/>
    <w:rsid w:val="009E3450"/>
    <w:rsid w:val="009E350B"/>
    <w:rsid w:val="009E35D5"/>
    <w:rsid w:val="009E3658"/>
    <w:rsid w:val="009E3690"/>
    <w:rsid w:val="009E3729"/>
    <w:rsid w:val="009E3774"/>
    <w:rsid w:val="009E3870"/>
    <w:rsid w:val="009E398B"/>
    <w:rsid w:val="009E3A26"/>
    <w:rsid w:val="009E3ABA"/>
    <w:rsid w:val="009E3C31"/>
    <w:rsid w:val="009E3C74"/>
    <w:rsid w:val="009E3CE8"/>
    <w:rsid w:val="009E3DFE"/>
    <w:rsid w:val="009E3E99"/>
    <w:rsid w:val="009E3F48"/>
    <w:rsid w:val="009E3F51"/>
    <w:rsid w:val="009E3FEE"/>
    <w:rsid w:val="009E40A2"/>
    <w:rsid w:val="009E410E"/>
    <w:rsid w:val="009E4155"/>
    <w:rsid w:val="009E41C2"/>
    <w:rsid w:val="009E42A5"/>
    <w:rsid w:val="009E43C6"/>
    <w:rsid w:val="009E4408"/>
    <w:rsid w:val="009E4427"/>
    <w:rsid w:val="009E45CD"/>
    <w:rsid w:val="009E461E"/>
    <w:rsid w:val="009E462F"/>
    <w:rsid w:val="009E46AA"/>
    <w:rsid w:val="009E47AF"/>
    <w:rsid w:val="009E47CF"/>
    <w:rsid w:val="009E481C"/>
    <w:rsid w:val="009E48EF"/>
    <w:rsid w:val="009E497A"/>
    <w:rsid w:val="009E49B2"/>
    <w:rsid w:val="009E49BF"/>
    <w:rsid w:val="009E49EC"/>
    <w:rsid w:val="009E4B49"/>
    <w:rsid w:val="009E4B8C"/>
    <w:rsid w:val="009E4C46"/>
    <w:rsid w:val="009E4CC5"/>
    <w:rsid w:val="009E4DA5"/>
    <w:rsid w:val="009E4E92"/>
    <w:rsid w:val="009E4EC0"/>
    <w:rsid w:val="009E4EFC"/>
    <w:rsid w:val="009E4FBF"/>
    <w:rsid w:val="009E4FCE"/>
    <w:rsid w:val="009E50FA"/>
    <w:rsid w:val="009E52DC"/>
    <w:rsid w:val="009E5315"/>
    <w:rsid w:val="009E536E"/>
    <w:rsid w:val="009E53B0"/>
    <w:rsid w:val="009E543E"/>
    <w:rsid w:val="009E54B6"/>
    <w:rsid w:val="009E55A5"/>
    <w:rsid w:val="009E563A"/>
    <w:rsid w:val="009E5684"/>
    <w:rsid w:val="009E571A"/>
    <w:rsid w:val="009E5856"/>
    <w:rsid w:val="009E596A"/>
    <w:rsid w:val="009E5C65"/>
    <w:rsid w:val="009E5CC9"/>
    <w:rsid w:val="009E5D85"/>
    <w:rsid w:val="009E60B1"/>
    <w:rsid w:val="009E6132"/>
    <w:rsid w:val="009E613E"/>
    <w:rsid w:val="009E617C"/>
    <w:rsid w:val="009E61BB"/>
    <w:rsid w:val="009E61BC"/>
    <w:rsid w:val="009E6205"/>
    <w:rsid w:val="009E6256"/>
    <w:rsid w:val="009E6273"/>
    <w:rsid w:val="009E63E6"/>
    <w:rsid w:val="009E646E"/>
    <w:rsid w:val="009E647D"/>
    <w:rsid w:val="009E64A1"/>
    <w:rsid w:val="009E661E"/>
    <w:rsid w:val="009E6680"/>
    <w:rsid w:val="009E6820"/>
    <w:rsid w:val="009E68AA"/>
    <w:rsid w:val="009E68B3"/>
    <w:rsid w:val="009E6959"/>
    <w:rsid w:val="009E696B"/>
    <w:rsid w:val="009E69AB"/>
    <w:rsid w:val="009E6AE6"/>
    <w:rsid w:val="009E6C57"/>
    <w:rsid w:val="009E6CAA"/>
    <w:rsid w:val="009E6CD9"/>
    <w:rsid w:val="009E6CFF"/>
    <w:rsid w:val="009E6D1B"/>
    <w:rsid w:val="009E6E0B"/>
    <w:rsid w:val="009E6E3E"/>
    <w:rsid w:val="009E6EA6"/>
    <w:rsid w:val="009E6F83"/>
    <w:rsid w:val="009E708E"/>
    <w:rsid w:val="009E7092"/>
    <w:rsid w:val="009E7164"/>
    <w:rsid w:val="009E72B5"/>
    <w:rsid w:val="009E7368"/>
    <w:rsid w:val="009E736E"/>
    <w:rsid w:val="009E73CB"/>
    <w:rsid w:val="009E7429"/>
    <w:rsid w:val="009E7447"/>
    <w:rsid w:val="009E7593"/>
    <w:rsid w:val="009E75ED"/>
    <w:rsid w:val="009E7748"/>
    <w:rsid w:val="009E7835"/>
    <w:rsid w:val="009E78B7"/>
    <w:rsid w:val="009E792E"/>
    <w:rsid w:val="009E7B73"/>
    <w:rsid w:val="009E7BC5"/>
    <w:rsid w:val="009E7C47"/>
    <w:rsid w:val="009E7DA1"/>
    <w:rsid w:val="009E7E07"/>
    <w:rsid w:val="009E7EAA"/>
    <w:rsid w:val="009E7EDB"/>
    <w:rsid w:val="009E7F0C"/>
    <w:rsid w:val="009E7F11"/>
    <w:rsid w:val="009E7F8D"/>
    <w:rsid w:val="009F0058"/>
    <w:rsid w:val="009F007C"/>
    <w:rsid w:val="009F008E"/>
    <w:rsid w:val="009F024A"/>
    <w:rsid w:val="009F028B"/>
    <w:rsid w:val="009F03FD"/>
    <w:rsid w:val="009F0520"/>
    <w:rsid w:val="009F0550"/>
    <w:rsid w:val="009F0645"/>
    <w:rsid w:val="009F0666"/>
    <w:rsid w:val="009F0700"/>
    <w:rsid w:val="009F07F2"/>
    <w:rsid w:val="009F084F"/>
    <w:rsid w:val="009F0908"/>
    <w:rsid w:val="009F0B0D"/>
    <w:rsid w:val="009F0B85"/>
    <w:rsid w:val="009F0C11"/>
    <w:rsid w:val="009F0C30"/>
    <w:rsid w:val="009F0E71"/>
    <w:rsid w:val="009F122B"/>
    <w:rsid w:val="009F1270"/>
    <w:rsid w:val="009F1391"/>
    <w:rsid w:val="009F1419"/>
    <w:rsid w:val="009F142E"/>
    <w:rsid w:val="009F1491"/>
    <w:rsid w:val="009F1522"/>
    <w:rsid w:val="009F167C"/>
    <w:rsid w:val="009F173B"/>
    <w:rsid w:val="009F18B5"/>
    <w:rsid w:val="009F191E"/>
    <w:rsid w:val="009F19AD"/>
    <w:rsid w:val="009F19B9"/>
    <w:rsid w:val="009F1B58"/>
    <w:rsid w:val="009F1BB4"/>
    <w:rsid w:val="009F1C17"/>
    <w:rsid w:val="009F1E43"/>
    <w:rsid w:val="009F1ED2"/>
    <w:rsid w:val="009F1F33"/>
    <w:rsid w:val="009F2069"/>
    <w:rsid w:val="009F207F"/>
    <w:rsid w:val="009F211C"/>
    <w:rsid w:val="009F2318"/>
    <w:rsid w:val="009F2444"/>
    <w:rsid w:val="009F2590"/>
    <w:rsid w:val="009F2700"/>
    <w:rsid w:val="009F2776"/>
    <w:rsid w:val="009F279C"/>
    <w:rsid w:val="009F2808"/>
    <w:rsid w:val="009F28D2"/>
    <w:rsid w:val="009F2A1D"/>
    <w:rsid w:val="009F2A53"/>
    <w:rsid w:val="009F2C13"/>
    <w:rsid w:val="009F2DDD"/>
    <w:rsid w:val="009F2E2B"/>
    <w:rsid w:val="009F2E9C"/>
    <w:rsid w:val="009F2EBE"/>
    <w:rsid w:val="009F2EDE"/>
    <w:rsid w:val="009F2F41"/>
    <w:rsid w:val="009F2F4E"/>
    <w:rsid w:val="009F2F52"/>
    <w:rsid w:val="009F2FCE"/>
    <w:rsid w:val="009F30C1"/>
    <w:rsid w:val="009F3221"/>
    <w:rsid w:val="009F32E8"/>
    <w:rsid w:val="009F3325"/>
    <w:rsid w:val="009F33C4"/>
    <w:rsid w:val="009F3662"/>
    <w:rsid w:val="009F388A"/>
    <w:rsid w:val="009F38A0"/>
    <w:rsid w:val="009F38DE"/>
    <w:rsid w:val="009F3A42"/>
    <w:rsid w:val="009F3AAB"/>
    <w:rsid w:val="009F3AF9"/>
    <w:rsid w:val="009F3B1F"/>
    <w:rsid w:val="009F3D29"/>
    <w:rsid w:val="009F3D40"/>
    <w:rsid w:val="009F3E36"/>
    <w:rsid w:val="009F3E52"/>
    <w:rsid w:val="009F3E81"/>
    <w:rsid w:val="009F3F3C"/>
    <w:rsid w:val="009F3F84"/>
    <w:rsid w:val="009F3F8F"/>
    <w:rsid w:val="009F3FD6"/>
    <w:rsid w:val="009F4002"/>
    <w:rsid w:val="009F400D"/>
    <w:rsid w:val="009F416B"/>
    <w:rsid w:val="009F41CB"/>
    <w:rsid w:val="009F420B"/>
    <w:rsid w:val="009F426F"/>
    <w:rsid w:val="009F427F"/>
    <w:rsid w:val="009F4351"/>
    <w:rsid w:val="009F44E6"/>
    <w:rsid w:val="009F451C"/>
    <w:rsid w:val="009F4575"/>
    <w:rsid w:val="009F458A"/>
    <w:rsid w:val="009F4621"/>
    <w:rsid w:val="009F4682"/>
    <w:rsid w:val="009F468F"/>
    <w:rsid w:val="009F475D"/>
    <w:rsid w:val="009F47B8"/>
    <w:rsid w:val="009F47C7"/>
    <w:rsid w:val="009F4816"/>
    <w:rsid w:val="009F487D"/>
    <w:rsid w:val="009F4886"/>
    <w:rsid w:val="009F48F8"/>
    <w:rsid w:val="009F4917"/>
    <w:rsid w:val="009F49B6"/>
    <w:rsid w:val="009F4A15"/>
    <w:rsid w:val="009F4AB7"/>
    <w:rsid w:val="009F4B33"/>
    <w:rsid w:val="009F4B43"/>
    <w:rsid w:val="009F4C2C"/>
    <w:rsid w:val="009F4C44"/>
    <w:rsid w:val="009F4CAC"/>
    <w:rsid w:val="009F504D"/>
    <w:rsid w:val="009F5241"/>
    <w:rsid w:val="009F52F4"/>
    <w:rsid w:val="009F5306"/>
    <w:rsid w:val="009F53CD"/>
    <w:rsid w:val="009F5458"/>
    <w:rsid w:val="009F55B8"/>
    <w:rsid w:val="009F55D6"/>
    <w:rsid w:val="009F55F9"/>
    <w:rsid w:val="009F568B"/>
    <w:rsid w:val="009F56AA"/>
    <w:rsid w:val="009F5942"/>
    <w:rsid w:val="009F59A6"/>
    <w:rsid w:val="009F5A2B"/>
    <w:rsid w:val="009F5B3B"/>
    <w:rsid w:val="009F5BCC"/>
    <w:rsid w:val="009F5DBE"/>
    <w:rsid w:val="009F5E13"/>
    <w:rsid w:val="009F5E7D"/>
    <w:rsid w:val="009F5EAD"/>
    <w:rsid w:val="009F5FF6"/>
    <w:rsid w:val="009F603B"/>
    <w:rsid w:val="009F60AE"/>
    <w:rsid w:val="009F60DA"/>
    <w:rsid w:val="009F612D"/>
    <w:rsid w:val="009F61A4"/>
    <w:rsid w:val="009F6311"/>
    <w:rsid w:val="009F64B0"/>
    <w:rsid w:val="009F6581"/>
    <w:rsid w:val="009F67BA"/>
    <w:rsid w:val="009F683D"/>
    <w:rsid w:val="009F684E"/>
    <w:rsid w:val="009F69FA"/>
    <w:rsid w:val="009F6B25"/>
    <w:rsid w:val="009F6B47"/>
    <w:rsid w:val="009F6C25"/>
    <w:rsid w:val="009F6C5E"/>
    <w:rsid w:val="009F6C9A"/>
    <w:rsid w:val="009F6CE2"/>
    <w:rsid w:val="009F6CFD"/>
    <w:rsid w:val="009F6E73"/>
    <w:rsid w:val="009F6E92"/>
    <w:rsid w:val="009F6F36"/>
    <w:rsid w:val="009F6F5F"/>
    <w:rsid w:val="009F6F77"/>
    <w:rsid w:val="009F6FE9"/>
    <w:rsid w:val="009F70C8"/>
    <w:rsid w:val="009F72EF"/>
    <w:rsid w:val="009F7305"/>
    <w:rsid w:val="009F7315"/>
    <w:rsid w:val="009F73FD"/>
    <w:rsid w:val="009F74B2"/>
    <w:rsid w:val="009F7679"/>
    <w:rsid w:val="009F76C4"/>
    <w:rsid w:val="009F76C7"/>
    <w:rsid w:val="009F78E1"/>
    <w:rsid w:val="009F792E"/>
    <w:rsid w:val="009F79DE"/>
    <w:rsid w:val="009F7B0D"/>
    <w:rsid w:val="009F7B24"/>
    <w:rsid w:val="009F7C95"/>
    <w:rsid w:val="009F7CD5"/>
    <w:rsid w:val="009F7E0D"/>
    <w:rsid w:val="009F7E5E"/>
    <w:rsid w:val="009F7EAA"/>
    <w:rsid w:val="009F7F5D"/>
    <w:rsid w:val="009F7F61"/>
    <w:rsid w:val="00A000A3"/>
    <w:rsid w:val="00A000FD"/>
    <w:rsid w:val="00A0012F"/>
    <w:rsid w:val="00A003A6"/>
    <w:rsid w:val="00A00404"/>
    <w:rsid w:val="00A0046C"/>
    <w:rsid w:val="00A0046D"/>
    <w:rsid w:val="00A0048B"/>
    <w:rsid w:val="00A0049A"/>
    <w:rsid w:val="00A0053A"/>
    <w:rsid w:val="00A0069F"/>
    <w:rsid w:val="00A006EF"/>
    <w:rsid w:val="00A00748"/>
    <w:rsid w:val="00A00786"/>
    <w:rsid w:val="00A007A4"/>
    <w:rsid w:val="00A0082E"/>
    <w:rsid w:val="00A008EA"/>
    <w:rsid w:val="00A00A03"/>
    <w:rsid w:val="00A00A50"/>
    <w:rsid w:val="00A00AB4"/>
    <w:rsid w:val="00A00BCB"/>
    <w:rsid w:val="00A00CE7"/>
    <w:rsid w:val="00A00D99"/>
    <w:rsid w:val="00A00FB7"/>
    <w:rsid w:val="00A01060"/>
    <w:rsid w:val="00A011A1"/>
    <w:rsid w:val="00A011DC"/>
    <w:rsid w:val="00A0122A"/>
    <w:rsid w:val="00A012C8"/>
    <w:rsid w:val="00A01463"/>
    <w:rsid w:val="00A0158F"/>
    <w:rsid w:val="00A015AC"/>
    <w:rsid w:val="00A0164B"/>
    <w:rsid w:val="00A01725"/>
    <w:rsid w:val="00A018A3"/>
    <w:rsid w:val="00A018D3"/>
    <w:rsid w:val="00A018F9"/>
    <w:rsid w:val="00A0193A"/>
    <w:rsid w:val="00A01970"/>
    <w:rsid w:val="00A019D0"/>
    <w:rsid w:val="00A01A6E"/>
    <w:rsid w:val="00A01B4D"/>
    <w:rsid w:val="00A01C2C"/>
    <w:rsid w:val="00A01CFE"/>
    <w:rsid w:val="00A021B5"/>
    <w:rsid w:val="00A02229"/>
    <w:rsid w:val="00A0222B"/>
    <w:rsid w:val="00A022E7"/>
    <w:rsid w:val="00A024D2"/>
    <w:rsid w:val="00A0252D"/>
    <w:rsid w:val="00A0258D"/>
    <w:rsid w:val="00A02606"/>
    <w:rsid w:val="00A02612"/>
    <w:rsid w:val="00A0271B"/>
    <w:rsid w:val="00A027A3"/>
    <w:rsid w:val="00A027F8"/>
    <w:rsid w:val="00A028DA"/>
    <w:rsid w:val="00A029BF"/>
    <w:rsid w:val="00A02A5F"/>
    <w:rsid w:val="00A02A7A"/>
    <w:rsid w:val="00A02CA8"/>
    <w:rsid w:val="00A02D56"/>
    <w:rsid w:val="00A02E56"/>
    <w:rsid w:val="00A0300F"/>
    <w:rsid w:val="00A03127"/>
    <w:rsid w:val="00A0318C"/>
    <w:rsid w:val="00A03198"/>
    <w:rsid w:val="00A031FD"/>
    <w:rsid w:val="00A03225"/>
    <w:rsid w:val="00A03298"/>
    <w:rsid w:val="00A032C0"/>
    <w:rsid w:val="00A032E9"/>
    <w:rsid w:val="00A0332A"/>
    <w:rsid w:val="00A0338F"/>
    <w:rsid w:val="00A033F8"/>
    <w:rsid w:val="00A034A3"/>
    <w:rsid w:val="00A0354D"/>
    <w:rsid w:val="00A03732"/>
    <w:rsid w:val="00A0374A"/>
    <w:rsid w:val="00A0376F"/>
    <w:rsid w:val="00A03874"/>
    <w:rsid w:val="00A038B8"/>
    <w:rsid w:val="00A03902"/>
    <w:rsid w:val="00A039C7"/>
    <w:rsid w:val="00A039E1"/>
    <w:rsid w:val="00A03A2B"/>
    <w:rsid w:val="00A03A5E"/>
    <w:rsid w:val="00A03A69"/>
    <w:rsid w:val="00A03B79"/>
    <w:rsid w:val="00A03D8B"/>
    <w:rsid w:val="00A03DD1"/>
    <w:rsid w:val="00A04046"/>
    <w:rsid w:val="00A040D1"/>
    <w:rsid w:val="00A040D7"/>
    <w:rsid w:val="00A0438E"/>
    <w:rsid w:val="00A04398"/>
    <w:rsid w:val="00A043D8"/>
    <w:rsid w:val="00A04428"/>
    <w:rsid w:val="00A045EB"/>
    <w:rsid w:val="00A04688"/>
    <w:rsid w:val="00A0474D"/>
    <w:rsid w:val="00A047C5"/>
    <w:rsid w:val="00A04830"/>
    <w:rsid w:val="00A0483C"/>
    <w:rsid w:val="00A0487D"/>
    <w:rsid w:val="00A048F1"/>
    <w:rsid w:val="00A04A26"/>
    <w:rsid w:val="00A04A2E"/>
    <w:rsid w:val="00A04A56"/>
    <w:rsid w:val="00A04A91"/>
    <w:rsid w:val="00A04B98"/>
    <w:rsid w:val="00A04B9A"/>
    <w:rsid w:val="00A04C61"/>
    <w:rsid w:val="00A04CF9"/>
    <w:rsid w:val="00A04E36"/>
    <w:rsid w:val="00A04E70"/>
    <w:rsid w:val="00A04ECA"/>
    <w:rsid w:val="00A04FB9"/>
    <w:rsid w:val="00A0506D"/>
    <w:rsid w:val="00A0514E"/>
    <w:rsid w:val="00A051AA"/>
    <w:rsid w:val="00A051E6"/>
    <w:rsid w:val="00A05478"/>
    <w:rsid w:val="00A054A3"/>
    <w:rsid w:val="00A054ED"/>
    <w:rsid w:val="00A05511"/>
    <w:rsid w:val="00A055CC"/>
    <w:rsid w:val="00A055F2"/>
    <w:rsid w:val="00A05668"/>
    <w:rsid w:val="00A057B9"/>
    <w:rsid w:val="00A057C3"/>
    <w:rsid w:val="00A058C5"/>
    <w:rsid w:val="00A059B2"/>
    <w:rsid w:val="00A05A9C"/>
    <w:rsid w:val="00A05B92"/>
    <w:rsid w:val="00A05BBB"/>
    <w:rsid w:val="00A05CA2"/>
    <w:rsid w:val="00A05E0B"/>
    <w:rsid w:val="00A05E5A"/>
    <w:rsid w:val="00A05EA6"/>
    <w:rsid w:val="00A05F93"/>
    <w:rsid w:val="00A060D2"/>
    <w:rsid w:val="00A060FD"/>
    <w:rsid w:val="00A0635B"/>
    <w:rsid w:val="00A06402"/>
    <w:rsid w:val="00A0651D"/>
    <w:rsid w:val="00A0658C"/>
    <w:rsid w:val="00A06593"/>
    <w:rsid w:val="00A06620"/>
    <w:rsid w:val="00A06663"/>
    <w:rsid w:val="00A0667F"/>
    <w:rsid w:val="00A066D6"/>
    <w:rsid w:val="00A0670E"/>
    <w:rsid w:val="00A06727"/>
    <w:rsid w:val="00A067BA"/>
    <w:rsid w:val="00A06823"/>
    <w:rsid w:val="00A0682A"/>
    <w:rsid w:val="00A06996"/>
    <w:rsid w:val="00A069F3"/>
    <w:rsid w:val="00A06B29"/>
    <w:rsid w:val="00A06B97"/>
    <w:rsid w:val="00A06BC6"/>
    <w:rsid w:val="00A06D3F"/>
    <w:rsid w:val="00A06E49"/>
    <w:rsid w:val="00A06E80"/>
    <w:rsid w:val="00A06F1E"/>
    <w:rsid w:val="00A06F48"/>
    <w:rsid w:val="00A06F92"/>
    <w:rsid w:val="00A07082"/>
    <w:rsid w:val="00A07216"/>
    <w:rsid w:val="00A07242"/>
    <w:rsid w:val="00A073E0"/>
    <w:rsid w:val="00A07453"/>
    <w:rsid w:val="00A07527"/>
    <w:rsid w:val="00A0754D"/>
    <w:rsid w:val="00A0760D"/>
    <w:rsid w:val="00A07681"/>
    <w:rsid w:val="00A0776A"/>
    <w:rsid w:val="00A07799"/>
    <w:rsid w:val="00A0782C"/>
    <w:rsid w:val="00A0793E"/>
    <w:rsid w:val="00A07953"/>
    <w:rsid w:val="00A07977"/>
    <w:rsid w:val="00A07B1A"/>
    <w:rsid w:val="00A07BBB"/>
    <w:rsid w:val="00A07BBC"/>
    <w:rsid w:val="00A07C13"/>
    <w:rsid w:val="00A07C59"/>
    <w:rsid w:val="00A07D13"/>
    <w:rsid w:val="00A07E86"/>
    <w:rsid w:val="00A07E89"/>
    <w:rsid w:val="00A07E9A"/>
    <w:rsid w:val="00A07EAC"/>
    <w:rsid w:val="00A07F09"/>
    <w:rsid w:val="00A10048"/>
    <w:rsid w:val="00A10093"/>
    <w:rsid w:val="00A101A9"/>
    <w:rsid w:val="00A10214"/>
    <w:rsid w:val="00A102B3"/>
    <w:rsid w:val="00A1051C"/>
    <w:rsid w:val="00A10601"/>
    <w:rsid w:val="00A10661"/>
    <w:rsid w:val="00A1072A"/>
    <w:rsid w:val="00A10745"/>
    <w:rsid w:val="00A10832"/>
    <w:rsid w:val="00A10865"/>
    <w:rsid w:val="00A108B7"/>
    <w:rsid w:val="00A108E8"/>
    <w:rsid w:val="00A10982"/>
    <w:rsid w:val="00A10989"/>
    <w:rsid w:val="00A109F6"/>
    <w:rsid w:val="00A10AA0"/>
    <w:rsid w:val="00A10AB5"/>
    <w:rsid w:val="00A10BAF"/>
    <w:rsid w:val="00A10C6E"/>
    <w:rsid w:val="00A10D3C"/>
    <w:rsid w:val="00A10D55"/>
    <w:rsid w:val="00A10E48"/>
    <w:rsid w:val="00A10EBB"/>
    <w:rsid w:val="00A11003"/>
    <w:rsid w:val="00A110A6"/>
    <w:rsid w:val="00A112B8"/>
    <w:rsid w:val="00A112E5"/>
    <w:rsid w:val="00A11331"/>
    <w:rsid w:val="00A114D5"/>
    <w:rsid w:val="00A1151C"/>
    <w:rsid w:val="00A1153F"/>
    <w:rsid w:val="00A11560"/>
    <w:rsid w:val="00A11561"/>
    <w:rsid w:val="00A1167E"/>
    <w:rsid w:val="00A11913"/>
    <w:rsid w:val="00A11A5B"/>
    <w:rsid w:val="00A11A9B"/>
    <w:rsid w:val="00A11AAF"/>
    <w:rsid w:val="00A11ABA"/>
    <w:rsid w:val="00A11AC0"/>
    <w:rsid w:val="00A11D37"/>
    <w:rsid w:val="00A11E8D"/>
    <w:rsid w:val="00A1200B"/>
    <w:rsid w:val="00A12063"/>
    <w:rsid w:val="00A12162"/>
    <w:rsid w:val="00A1217C"/>
    <w:rsid w:val="00A1220D"/>
    <w:rsid w:val="00A12284"/>
    <w:rsid w:val="00A12359"/>
    <w:rsid w:val="00A12379"/>
    <w:rsid w:val="00A123A7"/>
    <w:rsid w:val="00A12451"/>
    <w:rsid w:val="00A125E9"/>
    <w:rsid w:val="00A12797"/>
    <w:rsid w:val="00A1280B"/>
    <w:rsid w:val="00A12846"/>
    <w:rsid w:val="00A12A5C"/>
    <w:rsid w:val="00A12AB6"/>
    <w:rsid w:val="00A12BF7"/>
    <w:rsid w:val="00A12D54"/>
    <w:rsid w:val="00A12D85"/>
    <w:rsid w:val="00A12F67"/>
    <w:rsid w:val="00A12FFF"/>
    <w:rsid w:val="00A13094"/>
    <w:rsid w:val="00A130C3"/>
    <w:rsid w:val="00A132F2"/>
    <w:rsid w:val="00A13311"/>
    <w:rsid w:val="00A1340E"/>
    <w:rsid w:val="00A1347E"/>
    <w:rsid w:val="00A136CB"/>
    <w:rsid w:val="00A137B1"/>
    <w:rsid w:val="00A138F9"/>
    <w:rsid w:val="00A13939"/>
    <w:rsid w:val="00A13990"/>
    <w:rsid w:val="00A13A30"/>
    <w:rsid w:val="00A13B11"/>
    <w:rsid w:val="00A13C73"/>
    <w:rsid w:val="00A13D31"/>
    <w:rsid w:val="00A13DA2"/>
    <w:rsid w:val="00A13DDC"/>
    <w:rsid w:val="00A13E19"/>
    <w:rsid w:val="00A13F31"/>
    <w:rsid w:val="00A13F49"/>
    <w:rsid w:val="00A13F7F"/>
    <w:rsid w:val="00A13F88"/>
    <w:rsid w:val="00A13F99"/>
    <w:rsid w:val="00A13F9B"/>
    <w:rsid w:val="00A14001"/>
    <w:rsid w:val="00A140DB"/>
    <w:rsid w:val="00A1418D"/>
    <w:rsid w:val="00A141C8"/>
    <w:rsid w:val="00A141D0"/>
    <w:rsid w:val="00A14208"/>
    <w:rsid w:val="00A14240"/>
    <w:rsid w:val="00A14297"/>
    <w:rsid w:val="00A142E8"/>
    <w:rsid w:val="00A1431D"/>
    <w:rsid w:val="00A14357"/>
    <w:rsid w:val="00A14365"/>
    <w:rsid w:val="00A143BE"/>
    <w:rsid w:val="00A143C4"/>
    <w:rsid w:val="00A14496"/>
    <w:rsid w:val="00A1449A"/>
    <w:rsid w:val="00A144AD"/>
    <w:rsid w:val="00A144BB"/>
    <w:rsid w:val="00A14602"/>
    <w:rsid w:val="00A1465B"/>
    <w:rsid w:val="00A14667"/>
    <w:rsid w:val="00A1473E"/>
    <w:rsid w:val="00A148C6"/>
    <w:rsid w:val="00A14A17"/>
    <w:rsid w:val="00A14B52"/>
    <w:rsid w:val="00A14B6E"/>
    <w:rsid w:val="00A14B9D"/>
    <w:rsid w:val="00A14DE1"/>
    <w:rsid w:val="00A14E67"/>
    <w:rsid w:val="00A14EE8"/>
    <w:rsid w:val="00A14F43"/>
    <w:rsid w:val="00A14FCA"/>
    <w:rsid w:val="00A14FCB"/>
    <w:rsid w:val="00A15007"/>
    <w:rsid w:val="00A15018"/>
    <w:rsid w:val="00A1504B"/>
    <w:rsid w:val="00A150E8"/>
    <w:rsid w:val="00A1517E"/>
    <w:rsid w:val="00A15183"/>
    <w:rsid w:val="00A1519E"/>
    <w:rsid w:val="00A153BE"/>
    <w:rsid w:val="00A153EC"/>
    <w:rsid w:val="00A1555A"/>
    <w:rsid w:val="00A155ED"/>
    <w:rsid w:val="00A1581E"/>
    <w:rsid w:val="00A15885"/>
    <w:rsid w:val="00A158BB"/>
    <w:rsid w:val="00A1592E"/>
    <w:rsid w:val="00A1598A"/>
    <w:rsid w:val="00A15BD2"/>
    <w:rsid w:val="00A15BED"/>
    <w:rsid w:val="00A15C11"/>
    <w:rsid w:val="00A15C18"/>
    <w:rsid w:val="00A15CFF"/>
    <w:rsid w:val="00A15DD1"/>
    <w:rsid w:val="00A15DDB"/>
    <w:rsid w:val="00A15E2B"/>
    <w:rsid w:val="00A15EB9"/>
    <w:rsid w:val="00A15FFF"/>
    <w:rsid w:val="00A16023"/>
    <w:rsid w:val="00A1609E"/>
    <w:rsid w:val="00A160DC"/>
    <w:rsid w:val="00A16228"/>
    <w:rsid w:val="00A1639C"/>
    <w:rsid w:val="00A163C5"/>
    <w:rsid w:val="00A163E2"/>
    <w:rsid w:val="00A164AF"/>
    <w:rsid w:val="00A164F2"/>
    <w:rsid w:val="00A1654D"/>
    <w:rsid w:val="00A1662F"/>
    <w:rsid w:val="00A1665A"/>
    <w:rsid w:val="00A168F4"/>
    <w:rsid w:val="00A16988"/>
    <w:rsid w:val="00A16A3C"/>
    <w:rsid w:val="00A16A91"/>
    <w:rsid w:val="00A16B20"/>
    <w:rsid w:val="00A16B39"/>
    <w:rsid w:val="00A16D17"/>
    <w:rsid w:val="00A16D80"/>
    <w:rsid w:val="00A16D9B"/>
    <w:rsid w:val="00A16DA0"/>
    <w:rsid w:val="00A16E5A"/>
    <w:rsid w:val="00A16F09"/>
    <w:rsid w:val="00A1700E"/>
    <w:rsid w:val="00A17019"/>
    <w:rsid w:val="00A170EA"/>
    <w:rsid w:val="00A17283"/>
    <w:rsid w:val="00A172DF"/>
    <w:rsid w:val="00A1733B"/>
    <w:rsid w:val="00A174AF"/>
    <w:rsid w:val="00A174C2"/>
    <w:rsid w:val="00A174CF"/>
    <w:rsid w:val="00A175A1"/>
    <w:rsid w:val="00A175C2"/>
    <w:rsid w:val="00A1764B"/>
    <w:rsid w:val="00A1768C"/>
    <w:rsid w:val="00A17693"/>
    <w:rsid w:val="00A1778B"/>
    <w:rsid w:val="00A177D1"/>
    <w:rsid w:val="00A1797C"/>
    <w:rsid w:val="00A179D3"/>
    <w:rsid w:val="00A17CDA"/>
    <w:rsid w:val="00A17CF8"/>
    <w:rsid w:val="00A17ECE"/>
    <w:rsid w:val="00A17F1D"/>
    <w:rsid w:val="00A17F69"/>
    <w:rsid w:val="00A17FF2"/>
    <w:rsid w:val="00A20073"/>
    <w:rsid w:val="00A2041A"/>
    <w:rsid w:val="00A20436"/>
    <w:rsid w:val="00A2047C"/>
    <w:rsid w:val="00A205BB"/>
    <w:rsid w:val="00A2060F"/>
    <w:rsid w:val="00A20775"/>
    <w:rsid w:val="00A207F6"/>
    <w:rsid w:val="00A2098A"/>
    <w:rsid w:val="00A2098F"/>
    <w:rsid w:val="00A20B86"/>
    <w:rsid w:val="00A20C5B"/>
    <w:rsid w:val="00A20C66"/>
    <w:rsid w:val="00A20CF8"/>
    <w:rsid w:val="00A20D9A"/>
    <w:rsid w:val="00A20DE1"/>
    <w:rsid w:val="00A21016"/>
    <w:rsid w:val="00A21131"/>
    <w:rsid w:val="00A212DB"/>
    <w:rsid w:val="00A212FE"/>
    <w:rsid w:val="00A21377"/>
    <w:rsid w:val="00A213B7"/>
    <w:rsid w:val="00A21405"/>
    <w:rsid w:val="00A21615"/>
    <w:rsid w:val="00A21816"/>
    <w:rsid w:val="00A21835"/>
    <w:rsid w:val="00A21940"/>
    <w:rsid w:val="00A219B7"/>
    <w:rsid w:val="00A21A29"/>
    <w:rsid w:val="00A21A91"/>
    <w:rsid w:val="00A21B17"/>
    <w:rsid w:val="00A21BA8"/>
    <w:rsid w:val="00A21DD0"/>
    <w:rsid w:val="00A21E71"/>
    <w:rsid w:val="00A21EC3"/>
    <w:rsid w:val="00A221D3"/>
    <w:rsid w:val="00A222A7"/>
    <w:rsid w:val="00A222CD"/>
    <w:rsid w:val="00A22397"/>
    <w:rsid w:val="00A2253A"/>
    <w:rsid w:val="00A22585"/>
    <w:rsid w:val="00A2259E"/>
    <w:rsid w:val="00A2261E"/>
    <w:rsid w:val="00A226A8"/>
    <w:rsid w:val="00A227B3"/>
    <w:rsid w:val="00A22813"/>
    <w:rsid w:val="00A22899"/>
    <w:rsid w:val="00A2292C"/>
    <w:rsid w:val="00A22A62"/>
    <w:rsid w:val="00A22B4D"/>
    <w:rsid w:val="00A22CCD"/>
    <w:rsid w:val="00A22D3F"/>
    <w:rsid w:val="00A22DFF"/>
    <w:rsid w:val="00A22F15"/>
    <w:rsid w:val="00A22F55"/>
    <w:rsid w:val="00A22FB6"/>
    <w:rsid w:val="00A22FFE"/>
    <w:rsid w:val="00A23091"/>
    <w:rsid w:val="00A230C5"/>
    <w:rsid w:val="00A2312A"/>
    <w:rsid w:val="00A2317F"/>
    <w:rsid w:val="00A23221"/>
    <w:rsid w:val="00A2326C"/>
    <w:rsid w:val="00A232FD"/>
    <w:rsid w:val="00A23309"/>
    <w:rsid w:val="00A2335B"/>
    <w:rsid w:val="00A23376"/>
    <w:rsid w:val="00A2338A"/>
    <w:rsid w:val="00A2339B"/>
    <w:rsid w:val="00A233B3"/>
    <w:rsid w:val="00A233FA"/>
    <w:rsid w:val="00A23504"/>
    <w:rsid w:val="00A236BF"/>
    <w:rsid w:val="00A236CF"/>
    <w:rsid w:val="00A236F2"/>
    <w:rsid w:val="00A2377C"/>
    <w:rsid w:val="00A2396B"/>
    <w:rsid w:val="00A239E4"/>
    <w:rsid w:val="00A23B25"/>
    <w:rsid w:val="00A23B2A"/>
    <w:rsid w:val="00A23B2B"/>
    <w:rsid w:val="00A23B34"/>
    <w:rsid w:val="00A23B90"/>
    <w:rsid w:val="00A23C2A"/>
    <w:rsid w:val="00A23D47"/>
    <w:rsid w:val="00A23D49"/>
    <w:rsid w:val="00A23D7F"/>
    <w:rsid w:val="00A23EC6"/>
    <w:rsid w:val="00A23F47"/>
    <w:rsid w:val="00A23FE8"/>
    <w:rsid w:val="00A23FFF"/>
    <w:rsid w:val="00A240EE"/>
    <w:rsid w:val="00A2413D"/>
    <w:rsid w:val="00A241A4"/>
    <w:rsid w:val="00A2429D"/>
    <w:rsid w:val="00A242AF"/>
    <w:rsid w:val="00A242CF"/>
    <w:rsid w:val="00A242FE"/>
    <w:rsid w:val="00A24589"/>
    <w:rsid w:val="00A24735"/>
    <w:rsid w:val="00A24892"/>
    <w:rsid w:val="00A24B9E"/>
    <w:rsid w:val="00A24C0F"/>
    <w:rsid w:val="00A24C35"/>
    <w:rsid w:val="00A24D25"/>
    <w:rsid w:val="00A24D81"/>
    <w:rsid w:val="00A24DD5"/>
    <w:rsid w:val="00A24E02"/>
    <w:rsid w:val="00A24E14"/>
    <w:rsid w:val="00A24E3C"/>
    <w:rsid w:val="00A24E63"/>
    <w:rsid w:val="00A24EDA"/>
    <w:rsid w:val="00A24F37"/>
    <w:rsid w:val="00A25030"/>
    <w:rsid w:val="00A25155"/>
    <w:rsid w:val="00A252BB"/>
    <w:rsid w:val="00A252FA"/>
    <w:rsid w:val="00A25300"/>
    <w:rsid w:val="00A25359"/>
    <w:rsid w:val="00A253DA"/>
    <w:rsid w:val="00A2541B"/>
    <w:rsid w:val="00A25453"/>
    <w:rsid w:val="00A255A4"/>
    <w:rsid w:val="00A2572F"/>
    <w:rsid w:val="00A258F1"/>
    <w:rsid w:val="00A2591B"/>
    <w:rsid w:val="00A25AB0"/>
    <w:rsid w:val="00A25B6F"/>
    <w:rsid w:val="00A25CA6"/>
    <w:rsid w:val="00A25CCB"/>
    <w:rsid w:val="00A25D83"/>
    <w:rsid w:val="00A25EAF"/>
    <w:rsid w:val="00A25F14"/>
    <w:rsid w:val="00A25F3E"/>
    <w:rsid w:val="00A26009"/>
    <w:rsid w:val="00A2609A"/>
    <w:rsid w:val="00A2611E"/>
    <w:rsid w:val="00A261D3"/>
    <w:rsid w:val="00A26210"/>
    <w:rsid w:val="00A26284"/>
    <w:rsid w:val="00A262F9"/>
    <w:rsid w:val="00A26389"/>
    <w:rsid w:val="00A263DE"/>
    <w:rsid w:val="00A265E8"/>
    <w:rsid w:val="00A265E9"/>
    <w:rsid w:val="00A265FA"/>
    <w:rsid w:val="00A26635"/>
    <w:rsid w:val="00A26659"/>
    <w:rsid w:val="00A26672"/>
    <w:rsid w:val="00A2667B"/>
    <w:rsid w:val="00A266B2"/>
    <w:rsid w:val="00A26785"/>
    <w:rsid w:val="00A26916"/>
    <w:rsid w:val="00A26927"/>
    <w:rsid w:val="00A26C13"/>
    <w:rsid w:val="00A26C24"/>
    <w:rsid w:val="00A26D86"/>
    <w:rsid w:val="00A26DB2"/>
    <w:rsid w:val="00A26E7E"/>
    <w:rsid w:val="00A26F2B"/>
    <w:rsid w:val="00A26F3D"/>
    <w:rsid w:val="00A26F9A"/>
    <w:rsid w:val="00A27038"/>
    <w:rsid w:val="00A27090"/>
    <w:rsid w:val="00A270D5"/>
    <w:rsid w:val="00A270F8"/>
    <w:rsid w:val="00A27143"/>
    <w:rsid w:val="00A271FD"/>
    <w:rsid w:val="00A27224"/>
    <w:rsid w:val="00A2730B"/>
    <w:rsid w:val="00A27380"/>
    <w:rsid w:val="00A275A5"/>
    <w:rsid w:val="00A27898"/>
    <w:rsid w:val="00A27945"/>
    <w:rsid w:val="00A27A0D"/>
    <w:rsid w:val="00A27A44"/>
    <w:rsid w:val="00A27A51"/>
    <w:rsid w:val="00A27A72"/>
    <w:rsid w:val="00A27B8E"/>
    <w:rsid w:val="00A27C03"/>
    <w:rsid w:val="00A27E2D"/>
    <w:rsid w:val="00A27EC1"/>
    <w:rsid w:val="00A27EF7"/>
    <w:rsid w:val="00A27F7B"/>
    <w:rsid w:val="00A27FF6"/>
    <w:rsid w:val="00A3004D"/>
    <w:rsid w:val="00A30133"/>
    <w:rsid w:val="00A30174"/>
    <w:rsid w:val="00A3019F"/>
    <w:rsid w:val="00A30236"/>
    <w:rsid w:val="00A30300"/>
    <w:rsid w:val="00A30309"/>
    <w:rsid w:val="00A30313"/>
    <w:rsid w:val="00A30499"/>
    <w:rsid w:val="00A304D2"/>
    <w:rsid w:val="00A304DE"/>
    <w:rsid w:val="00A305BB"/>
    <w:rsid w:val="00A305D4"/>
    <w:rsid w:val="00A30603"/>
    <w:rsid w:val="00A306ED"/>
    <w:rsid w:val="00A306F9"/>
    <w:rsid w:val="00A3079B"/>
    <w:rsid w:val="00A30809"/>
    <w:rsid w:val="00A3085D"/>
    <w:rsid w:val="00A3086D"/>
    <w:rsid w:val="00A3092F"/>
    <w:rsid w:val="00A309C4"/>
    <w:rsid w:val="00A309D3"/>
    <w:rsid w:val="00A30A07"/>
    <w:rsid w:val="00A30AF6"/>
    <w:rsid w:val="00A30B40"/>
    <w:rsid w:val="00A30B7F"/>
    <w:rsid w:val="00A30BAC"/>
    <w:rsid w:val="00A30C13"/>
    <w:rsid w:val="00A30C61"/>
    <w:rsid w:val="00A30DC5"/>
    <w:rsid w:val="00A30E04"/>
    <w:rsid w:val="00A30F7A"/>
    <w:rsid w:val="00A31132"/>
    <w:rsid w:val="00A312AB"/>
    <w:rsid w:val="00A313AB"/>
    <w:rsid w:val="00A313AC"/>
    <w:rsid w:val="00A313EC"/>
    <w:rsid w:val="00A313F9"/>
    <w:rsid w:val="00A3140F"/>
    <w:rsid w:val="00A314AF"/>
    <w:rsid w:val="00A314DC"/>
    <w:rsid w:val="00A31561"/>
    <w:rsid w:val="00A315C0"/>
    <w:rsid w:val="00A31678"/>
    <w:rsid w:val="00A316BA"/>
    <w:rsid w:val="00A317AC"/>
    <w:rsid w:val="00A317BF"/>
    <w:rsid w:val="00A3192B"/>
    <w:rsid w:val="00A3197B"/>
    <w:rsid w:val="00A31982"/>
    <w:rsid w:val="00A31A73"/>
    <w:rsid w:val="00A31A8A"/>
    <w:rsid w:val="00A31AE9"/>
    <w:rsid w:val="00A31AFE"/>
    <w:rsid w:val="00A31BE8"/>
    <w:rsid w:val="00A31C18"/>
    <w:rsid w:val="00A31C4D"/>
    <w:rsid w:val="00A31D8E"/>
    <w:rsid w:val="00A31DF9"/>
    <w:rsid w:val="00A31E07"/>
    <w:rsid w:val="00A31E48"/>
    <w:rsid w:val="00A31E4D"/>
    <w:rsid w:val="00A31EB9"/>
    <w:rsid w:val="00A32099"/>
    <w:rsid w:val="00A3222F"/>
    <w:rsid w:val="00A3225A"/>
    <w:rsid w:val="00A3233C"/>
    <w:rsid w:val="00A323F4"/>
    <w:rsid w:val="00A32470"/>
    <w:rsid w:val="00A3253A"/>
    <w:rsid w:val="00A32550"/>
    <w:rsid w:val="00A32551"/>
    <w:rsid w:val="00A3261C"/>
    <w:rsid w:val="00A326C0"/>
    <w:rsid w:val="00A326CF"/>
    <w:rsid w:val="00A327B1"/>
    <w:rsid w:val="00A32A32"/>
    <w:rsid w:val="00A32C27"/>
    <w:rsid w:val="00A32C5C"/>
    <w:rsid w:val="00A32C73"/>
    <w:rsid w:val="00A32C96"/>
    <w:rsid w:val="00A32CF3"/>
    <w:rsid w:val="00A32DE4"/>
    <w:rsid w:val="00A32E70"/>
    <w:rsid w:val="00A32E79"/>
    <w:rsid w:val="00A32EBB"/>
    <w:rsid w:val="00A32F62"/>
    <w:rsid w:val="00A32FA7"/>
    <w:rsid w:val="00A330BB"/>
    <w:rsid w:val="00A3311B"/>
    <w:rsid w:val="00A331C8"/>
    <w:rsid w:val="00A331DF"/>
    <w:rsid w:val="00A33377"/>
    <w:rsid w:val="00A3348E"/>
    <w:rsid w:val="00A335A8"/>
    <w:rsid w:val="00A336C3"/>
    <w:rsid w:val="00A336F5"/>
    <w:rsid w:val="00A3371E"/>
    <w:rsid w:val="00A33729"/>
    <w:rsid w:val="00A33751"/>
    <w:rsid w:val="00A33853"/>
    <w:rsid w:val="00A33959"/>
    <w:rsid w:val="00A33A67"/>
    <w:rsid w:val="00A33AB7"/>
    <w:rsid w:val="00A33AE5"/>
    <w:rsid w:val="00A33AF8"/>
    <w:rsid w:val="00A33B21"/>
    <w:rsid w:val="00A33BC2"/>
    <w:rsid w:val="00A33C1A"/>
    <w:rsid w:val="00A33CAC"/>
    <w:rsid w:val="00A33E08"/>
    <w:rsid w:val="00A33EC6"/>
    <w:rsid w:val="00A33FAE"/>
    <w:rsid w:val="00A3423B"/>
    <w:rsid w:val="00A3441B"/>
    <w:rsid w:val="00A34425"/>
    <w:rsid w:val="00A3446F"/>
    <w:rsid w:val="00A34476"/>
    <w:rsid w:val="00A3453F"/>
    <w:rsid w:val="00A3458A"/>
    <w:rsid w:val="00A345C1"/>
    <w:rsid w:val="00A345C3"/>
    <w:rsid w:val="00A34770"/>
    <w:rsid w:val="00A3482E"/>
    <w:rsid w:val="00A34839"/>
    <w:rsid w:val="00A3497A"/>
    <w:rsid w:val="00A34A04"/>
    <w:rsid w:val="00A34AE8"/>
    <w:rsid w:val="00A34BDD"/>
    <w:rsid w:val="00A34BFE"/>
    <w:rsid w:val="00A34CD2"/>
    <w:rsid w:val="00A34D00"/>
    <w:rsid w:val="00A34DB2"/>
    <w:rsid w:val="00A34F51"/>
    <w:rsid w:val="00A34FCB"/>
    <w:rsid w:val="00A3500C"/>
    <w:rsid w:val="00A35131"/>
    <w:rsid w:val="00A35310"/>
    <w:rsid w:val="00A353A2"/>
    <w:rsid w:val="00A35521"/>
    <w:rsid w:val="00A35664"/>
    <w:rsid w:val="00A35684"/>
    <w:rsid w:val="00A35741"/>
    <w:rsid w:val="00A357FB"/>
    <w:rsid w:val="00A35850"/>
    <w:rsid w:val="00A35AD2"/>
    <w:rsid w:val="00A35B52"/>
    <w:rsid w:val="00A35C99"/>
    <w:rsid w:val="00A35EB7"/>
    <w:rsid w:val="00A35FB0"/>
    <w:rsid w:val="00A3606B"/>
    <w:rsid w:val="00A36156"/>
    <w:rsid w:val="00A36170"/>
    <w:rsid w:val="00A36214"/>
    <w:rsid w:val="00A362E3"/>
    <w:rsid w:val="00A362EE"/>
    <w:rsid w:val="00A36457"/>
    <w:rsid w:val="00A364B5"/>
    <w:rsid w:val="00A366E3"/>
    <w:rsid w:val="00A36778"/>
    <w:rsid w:val="00A367A5"/>
    <w:rsid w:val="00A367C6"/>
    <w:rsid w:val="00A3682D"/>
    <w:rsid w:val="00A368CE"/>
    <w:rsid w:val="00A36965"/>
    <w:rsid w:val="00A36977"/>
    <w:rsid w:val="00A36B9E"/>
    <w:rsid w:val="00A36CDC"/>
    <w:rsid w:val="00A36D17"/>
    <w:rsid w:val="00A36D25"/>
    <w:rsid w:val="00A36E63"/>
    <w:rsid w:val="00A36F08"/>
    <w:rsid w:val="00A37108"/>
    <w:rsid w:val="00A3712D"/>
    <w:rsid w:val="00A37134"/>
    <w:rsid w:val="00A371CC"/>
    <w:rsid w:val="00A373B1"/>
    <w:rsid w:val="00A37456"/>
    <w:rsid w:val="00A374E7"/>
    <w:rsid w:val="00A375CD"/>
    <w:rsid w:val="00A37632"/>
    <w:rsid w:val="00A37769"/>
    <w:rsid w:val="00A3790F"/>
    <w:rsid w:val="00A37A3A"/>
    <w:rsid w:val="00A37A90"/>
    <w:rsid w:val="00A37CC1"/>
    <w:rsid w:val="00A37CCB"/>
    <w:rsid w:val="00A37D33"/>
    <w:rsid w:val="00A37E79"/>
    <w:rsid w:val="00A37F68"/>
    <w:rsid w:val="00A400A6"/>
    <w:rsid w:val="00A4014E"/>
    <w:rsid w:val="00A40171"/>
    <w:rsid w:val="00A403C9"/>
    <w:rsid w:val="00A40489"/>
    <w:rsid w:val="00A404A5"/>
    <w:rsid w:val="00A404AA"/>
    <w:rsid w:val="00A4050C"/>
    <w:rsid w:val="00A40591"/>
    <w:rsid w:val="00A405EA"/>
    <w:rsid w:val="00A407F8"/>
    <w:rsid w:val="00A40876"/>
    <w:rsid w:val="00A408D0"/>
    <w:rsid w:val="00A409EF"/>
    <w:rsid w:val="00A40B41"/>
    <w:rsid w:val="00A40D36"/>
    <w:rsid w:val="00A40DD7"/>
    <w:rsid w:val="00A40DFF"/>
    <w:rsid w:val="00A40E01"/>
    <w:rsid w:val="00A40E98"/>
    <w:rsid w:val="00A40F5E"/>
    <w:rsid w:val="00A40FBC"/>
    <w:rsid w:val="00A40FE9"/>
    <w:rsid w:val="00A410A7"/>
    <w:rsid w:val="00A41340"/>
    <w:rsid w:val="00A4149E"/>
    <w:rsid w:val="00A414B9"/>
    <w:rsid w:val="00A41570"/>
    <w:rsid w:val="00A4158A"/>
    <w:rsid w:val="00A415BF"/>
    <w:rsid w:val="00A41605"/>
    <w:rsid w:val="00A41619"/>
    <w:rsid w:val="00A41671"/>
    <w:rsid w:val="00A416BA"/>
    <w:rsid w:val="00A4173E"/>
    <w:rsid w:val="00A417E0"/>
    <w:rsid w:val="00A4188C"/>
    <w:rsid w:val="00A419EE"/>
    <w:rsid w:val="00A41A9D"/>
    <w:rsid w:val="00A41B6A"/>
    <w:rsid w:val="00A41BCF"/>
    <w:rsid w:val="00A41C19"/>
    <w:rsid w:val="00A41C1C"/>
    <w:rsid w:val="00A41CF6"/>
    <w:rsid w:val="00A41DD6"/>
    <w:rsid w:val="00A41F28"/>
    <w:rsid w:val="00A41FD0"/>
    <w:rsid w:val="00A422E2"/>
    <w:rsid w:val="00A4230B"/>
    <w:rsid w:val="00A42368"/>
    <w:rsid w:val="00A423DB"/>
    <w:rsid w:val="00A423F1"/>
    <w:rsid w:val="00A4244E"/>
    <w:rsid w:val="00A424C7"/>
    <w:rsid w:val="00A4252A"/>
    <w:rsid w:val="00A42571"/>
    <w:rsid w:val="00A425FE"/>
    <w:rsid w:val="00A4264D"/>
    <w:rsid w:val="00A426DB"/>
    <w:rsid w:val="00A42749"/>
    <w:rsid w:val="00A427A5"/>
    <w:rsid w:val="00A42883"/>
    <w:rsid w:val="00A428E2"/>
    <w:rsid w:val="00A428F5"/>
    <w:rsid w:val="00A4291E"/>
    <w:rsid w:val="00A42A7A"/>
    <w:rsid w:val="00A42B75"/>
    <w:rsid w:val="00A42D3F"/>
    <w:rsid w:val="00A42E35"/>
    <w:rsid w:val="00A42ECE"/>
    <w:rsid w:val="00A42F97"/>
    <w:rsid w:val="00A42FD0"/>
    <w:rsid w:val="00A4317D"/>
    <w:rsid w:val="00A4324C"/>
    <w:rsid w:val="00A4327A"/>
    <w:rsid w:val="00A432EE"/>
    <w:rsid w:val="00A43318"/>
    <w:rsid w:val="00A43326"/>
    <w:rsid w:val="00A4337B"/>
    <w:rsid w:val="00A4348E"/>
    <w:rsid w:val="00A434E7"/>
    <w:rsid w:val="00A43531"/>
    <w:rsid w:val="00A436B6"/>
    <w:rsid w:val="00A4371C"/>
    <w:rsid w:val="00A4372A"/>
    <w:rsid w:val="00A4373D"/>
    <w:rsid w:val="00A43744"/>
    <w:rsid w:val="00A43896"/>
    <w:rsid w:val="00A43933"/>
    <w:rsid w:val="00A43A01"/>
    <w:rsid w:val="00A43B19"/>
    <w:rsid w:val="00A43B41"/>
    <w:rsid w:val="00A43B42"/>
    <w:rsid w:val="00A43BAA"/>
    <w:rsid w:val="00A43C2D"/>
    <w:rsid w:val="00A43D03"/>
    <w:rsid w:val="00A43D3F"/>
    <w:rsid w:val="00A43D6C"/>
    <w:rsid w:val="00A43D96"/>
    <w:rsid w:val="00A43EB9"/>
    <w:rsid w:val="00A44225"/>
    <w:rsid w:val="00A4425C"/>
    <w:rsid w:val="00A442BD"/>
    <w:rsid w:val="00A4431C"/>
    <w:rsid w:val="00A4439A"/>
    <w:rsid w:val="00A44401"/>
    <w:rsid w:val="00A44452"/>
    <w:rsid w:val="00A4451B"/>
    <w:rsid w:val="00A44593"/>
    <w:rsid w:val="00A4474C"/>
    <w:rsid w:val="00A4479F"/>
    <w:rsid w:val="00A44859"/>
    <w:rsid w:val="00A4486A"/>
    <w:rsid w:val="00A448AE"/>
    <w:rsid w:val="00A448E8"/>
    <w:rsid w:val="00A44923"/>
    <w:rsid w:val="00A44AC3"/>
    <w:rsid w:val="00A44B6C"/>
    <w:rsid w:val="00A44CA3"/>
    <w:rsid w:val="00A44D83"/>
    <w:rsid w:val="00A44E76"/>
    <w:rsid w:val="00A44E80"/>
    <w:rsid w:val="00A44E87"/>
    <w:rsid w:val="00A44FBE"/>
    <w:rsid w:val="00A45146"/>
    <w:rsid w:val="00A4518B"/>
    <w:rsid w:val="00A451C9"/>
    <w:rsid w:val="00A45224"/>
    <w:rsid w:val="00A45226"/>
    <w:rsid w:val="00A45333"/>
    <w:rsid w:val="00A45388"/>
    <w:rsid w:val="00A453A7"/>
    <w:rsid w:val="00A45490"/>
    <w:rsid w:val="00A4559F"/>
    <w:rsid w:val="00A4568A"/>
    <w:rsid w:val="00A4578B"/>
    <w:rsid w:val="00A457A6"/>
    <w:rsid w:val="00A45A0C"/>
    <w:rsid w:val="00A45A11"/>
    <w:rsid w:val="00A45A4B"/>
    <w:rsid w:val="00A45ACF"/>
    <w:rsid w:val="00A45AE4"/>
    <w:rsid w:val="00A45B7E"/>
    <w:rsid w:val="00A45CED"/>
    <w:rsid w:val="00A45DBD"/>
    <w:rsid w:val="00A45DDC"/>
    <w:rsid w:val="00A45E0D"/>
    <w:rsid w:val="00A45E13"/>
    <w:rsid w:val="00A45F6E"/>
    <w:rsid w:val="00A45F80"/>
    <w:rsid w:val="00A45FDC"/>
    <w:rsid w:val="00A46010"/>
    <w:rsid w:val="00A46014"/>
    <w:rsid w:val="00A4606C"/>
    <w:rsid w:val="00A46105"/>
    <w:rsid w:val="00A4614A"/>
    <w:rsid w:val="00A46220"/>
    <w:rsid w:val="00A46222"/>
    <w:rsid w:val="00A4623D"/>
    <w:rsid w:val="00A462AD"/>
    <w:rsid w:val="00A46305"/>
    <w:rsid w:val="00A4647F"/>
    <w:rsid w:val="00A4653D"/>
    <w:rsid w:val="00A466FB"/>
    <w:rsid w:val="00A4673C"/>
    <w:rsid w:val="00A468B0"/>
    <w:rsid w:val="00A468B2"/>
    <w:rsid w:val="00A46952"/>
    <w:rsid w:val="00A46990"/>
    <w:rsid w:val="00A46AD7"/>
    <w:rsid w:val="00A46CB6"/>
    <w:rsid w:val="00A46D57"/>
    <w:rsid w:val="00A46F4D"/>
    <w:rsid w:val="00A46FDB"/>
    <w:rsid w:val="00A47009"/>
    <w:rsid w:val="00A4701A"/>
    <w:rsid w:val="00A4716A"/>
    <w:rsid w:val="00A47175"/>
    <w:rsid w:val="00A47277"/>
    <w:rsid w:val="00A475FA"/>
    <w:rsid w:val="00A4768C"/>
    <w:rsid w:val="00A47695"/>
    <w:rsid w:val="00A476EC"/>
    <w:rsid w:val="00A476EF"/>
    <w:rsid w:val="00A477AA"/>
    <w:rsid w:val="00A477D8"/>
    <w:rsid w:val="00A477F2"/>
    <w:rsid w:val="00A479F0"/>
    <w:rsid w:val="00A47A35"/>
    <w:rsid w:val="00A47ABB"/>
    <w:rsid w:val="00A47AF3"/>
    <w:rsid w:val="00A47C4C"/>
    <w:rsid w:val="00A47C6B"/>
    <w:rsid w:val="00A47D6C"/>
    <w:rsid w:val="00A47E57"/>
    <w:rsid w:val="00A47EB9"/>
    <w:rsid w:val="00A47F31"/>
    <w:rsid w:val="00A47F48"/>
    <w:rsid w:val="00A47F54"/>
    <w:rsid w:val="00A47F68"/>
    <w:rsid w:val="00A50020"/>
    <w:rsid w:val="00A50057"/>
    <w:rsid w:val="00A500BA"/>
    <w:rsid w:val="00A500D9"/>
    <w:rsid w:val="00A500F8"/>
    <w:rsid w:val="00A50169"/>
    <w:rsid w:val="00A50313"/>
    <w:rsid w:val="00A5037C"/>
    <w:rsid w:val="00A50444"/>
    <w:rsid w:val="00A504A9"/>
    <w:rsid w:val="00A5052E"/>
    <w:rsid w:val="00A505A6"/>
    <w:rsid w:val="00A50673"/>
    <w:rsid w:val="00A506A4"/>
    <w:rsid w:val="00A507CA"/>
    <w:rsid w:val="00A507EF"/>
    <w:rsid w:val="00A50883"/>
    <w:rsid w:val="00A508AA"/>
    <w:rsid w:val="00A508AD"/>
    <w:rsid w:val="00A508DC"/>
    <w:rsid w:val="00A50918"/>
    <w:rsid w:val="00A509C0"/>
    <w:rsid w:val="00A509CC"/>
    <w:rsid w:val="00A509DD"/>
    <w:rsid w:val="00A50A7B"/>
    <w:rsid w:val="00A50AF8"/>
    <w:rsid w:val="00A50CAD"/>
    <w:rsid w:val="00A50CB1"/>
    <w:rsid w:val="00A50CF8"/>
    <w:rsid w:val="00A50D72"/>
    <w:rsid w:val="00A50DF1"/>
    <w:rsid w:val="00A50E45"/>
    <w:rsid w:val="00A50EE8"/>
    <w:rsid w:val="00A51100"/>
    <w:rsid w:val="00A51116"/>
    <w:rsid w:val="00A511F7"/>
    <w:rsid w:val="00A5131C"/>
    <w:rsid w:val="00A513DB"/>
    <w:rsid w:val="00A51452"/>
    <w:rsid w:val="00A5145D"/>
    <w:rsid w:val="00A51510"/>
    <w:rsid w:val="00A51549"/>
    <w:rsid w:val="00A5169A"/>
    <w:rsid w:val="00A516A5"/>
    <w:rsid w:val="00A51776"/>
    <w:rsid w:val="00A5189C"/>
    <w:rsid w:val="00A518B6"/>
    <w:rsid w:val="00A51972"/>
    <w:rsid w:val="00A519CC"/>
    <w:rsid w:val="00A51A8A"/>
    <w:rsid w:val="00A51A8D"/>
    <w:rsid w:val="00A51AAC"/>
    <w:rsid w:val="00A51ABC"/>
    <w:rsid w:val="00A51ADC"/>
    <w:rsid w:val="00A51BBF"/>
    <w:rsid w:val="00A51CC5"/>
    <w:rsid w:val="00A51D09"/>
    <w:rsid w:val="00A51DC6"/>
    <w:rsid w:val="00A51DEE"/>
    <w:rsid w:val="00A51E3A"/>
    <w:rsid w:val="00A51E86"/>
    <w:rsid w:val="00A51F1D"/>
    <w:rsid w:val="00A51F7A"/>
    <w:rsid w:val="00A5210F"/>
    <w:rsid w:val="00A521FE"/>
    <w:rsid w:val="00A522F7"/>
    <w:rsid w:val="00A52334"/>
    <w:rsid w:val="00A52525"/>
    <w:rsid w:val="00A525E5"/>
    <w:rsid w:val="00A5262C"/>
    <w:rsid w:val="00A5264F"/>
    <w:rsid w:val="00A526BB"/>
    <w:rsid w:val="00A52737"/>
    <w:rsid w:val="00A52810"/>
    <w:rsid w:val="00A528B6"/>
    <w:rsid w:val="00A529A9"/>
    <w:rsid w:val="00A52A47"/>
    <w:rsid w:val="00A52AD2"/>
    <w:rsid w:val="00A52AD7"/>
    <w:rsid w:val="00A52BDA"/>
    <w:rsid w:val="00A52C8B"/>
    <w:rsid w:val="00A52CCB"/>
    <w:rsid w:val="00A52CE0"/>
    <w:rsid w:val="00A52CE7"/>
    <w:rsid w:val="00A52D9C"/>
    <w:rsid w:val="00A52DBF"/>
    <w:rsid w:val="00A52F27"/>
    <w:rsid w:val="00A53015"/>
    <w:rsid w:val="00A53296"/>
    <w:rsid w:val="00A532FA"/>
    <w:rsid w:val="00A53333"/>
    <w:rsid w:val="00A53428"/>
    <w:rsid w:val="00A5343A"/>
    <w:rsid w:val="00A534D6"/>
    <w:rsid w:val="00A53521"/>
    <w:rsid w:val="00A53679"/>
    <w:rsid w:val="00A53713"/>
    <w:rsid w:val="00A5375C"/>
    <w:rsid w:val="00A537E1"/>
    <w:rsid w:val="00A53833"/>
    <w:rsid w:val="00A538BE"/>
    <w:rsid w:val="00A53930"/>
    <w:rsid w:val="00A5395B"/>
    <w:rsid w:val="00A539D3"/>
    <w:rsid w:val="00A53A25"/>
    <w:rsid w:val="00A53A91"/>
    <w:rsid w:val="00A53B4E"/>
    <w:rsid w:val="00A53B70"/>
    <w:rsid w:val="00A53C3C"/>
    <w:rsid w:val="00A53CFA"/>
    <w:rsid w:val="00A53D1B"/>
    <w:rsid w:val="00A53D38"/>
    <w:rsid w:val="00A53D77"/>
    <w:rsid w:val="00A53F13"/>
    <w:rsid w:val="00A53F58"/>
    <w:rsid w:val="00A53F69"/>
    <w:rsid w:val="00A53F86"/>
    <w:rsid w:val="00A540DD"/>
    <w:rsid w:val="00A54150"/>
    <w:rsid w:val="00A541BB"/>
    <w:rsid w:val="00A54222"/>
    <w:rsid w:val="00A54387"/>
    <w:rsid w:val="00A544EB"/>
    <w:rsid w:val="00A5454F"/>
    <w:rsid w:val="00A54568"/>
    <w:rsid w:val="00A54673"/>
    <w:rsid w:val="00A546CF"/>
    <w:rsid w:val="00A54751"/>
    <w:rsid w:val="00A54856"/>
    <w:rsid w:val="00A5489A"/>
    <w:rsid w:val="00A54919"/>
    <w:rsid w:val="00A54928"/>
    <w:rsid w:val="00A54941"/>
    <w:rsid w:val="00A549EA"/>
    <w:rsid w:val="00A54A4D"/>
    <w:rsid w:val="00A54A96"/>
    <w:rsid w:val="00A54ABF"/>
    <w:rsid w:val="00A54C9E"/>
    <w:rsid w:val="00A54E9A"/>
    <w:rsid w:val="00A54F09"/>
    <w:rsid w:val="00A54F50"/>
    <w:rsid w:val="00A55083"/>
    <w:rsid w:val="00A5511F"/>
    <w:rsid w:val="00A55230"/>
    <w:rsid w:val="00A55324"/>
    <w:rsid w:val="00A55366"/>
    <w:rsid w:val="00A553D0"/>
    <w:rsid w:val="00A55480"/>
    <w:rsid w:val="00A554FF"/>
    <w:rsid w:val="00A55565"/>
    <w:rsid w:val="00A555F7"/>
    <w:rsid w:val="00A5567D"/>
    <w:rsid w:val="00A556E7"/>
    <w:rsid w:val="00A557DE"/>
    <w:rsid w:val="00A558AD"/>
    <w:rsid w:val="00A55B0A"/>
    <w:rsid w:val="00A55D07"/>
    <w:rsid w:val="00A55D3A"/>
    <w:rsid w:val="00A55DC7"/>
    <w:rsid w:val="00A55ED9"/>
    <w:rsid w:val="00A55F4A"/>
    <w:rsid w:val="00A560BA"/>
    <w:rsid w:val="00A56195"/>
    <w:rsid w:val="00A561DB"/>
    <w:rsid w:val="00A56274"/>
    <w:rsid w:val="00A56309"/>
    <w:rsid w:val="00A56358"/>
    <w:rsid w:val="00A563C0"/>
    <w:rsid w:val="00A565B5"/>
    <w:rsid w:val="00A565CA"/>
    <w:rsid w:val="00A566A9"/>
    <w:rsid w:val="00A567E0"/>
    <w:rsid w:val="00A568C7"/>
    <w:rsid w:val="00A568EF"/>
    <w:rsid w:val="00A569CD"/>
    <w:rsid w:val="00A56ACC"/>
    <w:rsid w:val="00A56BA5"/>
    <w:rsid w:val="00A56C20"/>
    <w:rsid w:val="00A56DC2"/>
    <w:rsid w:val="00A56DE8"/>
    <w:rsid w:val="00A56E2A"/>
    <w:rsid w:val="00A56F1A"/>
    <w:rsid w:val="00A56FA4"/>
    <w:rsid w:val="00A57231"/>
    <w:rsid w:val="00A57243"/>
    <w:rsid w:val="00A57313"/>
    <w:rsid w:val="00A57369"/>
    <w:rsid w:val="00A57392"/>
    <w:rsid w:val="00A5742D"/>
    <w:rsid w:val="00A57531"/>
    <w:rsid w:val="00A57700"/>
    <w:rsid w:val="00A577D7"/>
    <w:rsid w:val="00A5784D"/>
    <w:rsid w:val="00A578DC"/>
    <w:rsid w:val="00A57AD1"/>
    <w:rsid w:val="00A57B2F"/>
    <w:rsid w:val="00A57B8F"/>
    <w:rsid w:val="00A57C1C"/>
    <w:rsid w:val="00A57CCA"/>
    <w:rsid w:val="00A57D04"/>
    <w:rsid w:val="00A57F8B"/>
    <w:rsid w:val="00A60004"/>
    <w:rsid w:val="00A60159"/>
    <w:rsid w:val="00A60336"/>
    <w:rsid w:val="00A60370"/>
    <w:rsid w:val="00A6040A"/>
    <w:rsid w:val="00A60587"/>
    <w:rsid w:val="00A607F0"/>
    <w:rsid w:val="00A6081D"/>
    <w:rsid w:val="00A6083D"/>
    <w:rsid w:val="00A60878"/>
    <w:rsid w:val="00A60906"/>
    <w:rsid w:val="00A60A48"/>
    <w:rsid w:val="00A60B1A"/>
    <w:rsid w:val="00A60B9F"/>
    <w:rsid w:val="00A60BBE"/>
    <w:rsid w:val="00A60C60"/>
    <w:rsid w:val="00A60D4B"/>
    <w:rsid w:val="00A60F1C"/>
    <w:rsid w:val="00A60F5A"/>
    <w:rsid w:val="00A60F7F"/>
    <w:rsid w:val="00A60F97"/>
    <w:rsid w:val="00A60FBF"/>
    <w:rsid w:val="00A610AA"/>
    <w:rsid w:val="00A6117E"/>
    <w:rsid w:val="00A611DC"/>
    <w:rsid w:val="00A61327"/>
    <w:rsid w:val="00A61369"/>
    <w:rsid w:val="00A613C9"/>
    <w:rsid w:val="00A613FC"/>
    <w:rsid w:val="00A61428"/>
    <w:rsid w:val="00A614F2"/>
    <w:rsid w:val="00A6151D"/>
    <w:rsid w:val="00A61585"/>
    <w:rsid w:val="00A6164F"/>
    <w:rsid w:val="00A61654"/>
    <w:rsid w:val="00A617AF"/>
    <w:rsid w:val="00A618A2"/>
    <w:rsid w:val="00A6194A"/>
    <w:rsid w:val="00A6195F"/>
    <w:rsid w:val="00A61967"/>
    <w:rsid w:val="00A6198B"/>
    <w:rsid w:val="00A619C5"/>
    <w:rsid w:val="00A61A05"/>
    <w:rsid w:val="00A61A69"/>
    <w:rsid w:val="00A61A75"/>
    <w:rsid w:val="00A61AA6"/>
    <w:rsid w:val="00A61BA9"/>
    <w:rsid w:val="00A61BFB"/>
    <w:rsid w:val="00A61C1B"/>
    <w:rsid w:val="00A61F75"/>
    <w:rsid w:val="00A620BA"/>
    <w:rsid w:val="00A62162"/>
    <w:rsid w:val="00A62204"/>
    <w:rsid w:val="00A622C5"/>
    <w:rsid w:val="00A623B9"/>
    <w:rsid w:val="00A62490"/>
    <w:rsid w:val="00A62498"/>
    <w:rsid w:val="00A624AE"/>
    <w:rsid w:val="00A624E9"/>
    <w:rsid w:val="00A62589"/>
    <w:rsid w:val="00A626A9"/>
    <w:rsid w:val="00A627EE"/>
    <w:rsid w:val="00A62810"/>
    <w:rsid w:val="00A62A57"/>
    <w:rsid w:val="00A62A68"/>
    <w:rsid w:val="00A62C40"/>
    <w:rsid w:val="00A62DC1"/>
    <w:rsid w:val="00A62E94"/>
    <w:rsid w:val="00A62EC9"/>
    <w:rsid w:val="00A62F26"/>
    <w:rsid w:val="00A62FA3"/>
    <w:rsid w:val="00A62FE2"/>
    <w:rsid w:val="00A63071"/>
    <w:rsid w:val="00A630DD"/>
    <w:rsid w:val="00A63229"/>
    <w:rsid w:val="00A63323"/>
    <w:rsid w:val="00A6337B"/>
    <w:rsid w:val="00A63404"/>
    <w:rsid w:val="00A63557"/>
    <w:rsid w:val="00A6355D"/>
    <w:rsid w:val="00A6358A"/>
    <w:rsid w:val="00A636D9"/>
    <w:rsid w:val="00A63742"/>
    <w:rsid w:val="00A6381D"/>
    <w:rsid w:val="00A63890"/>
    <w:rsid w:val="00A638C2"/>
    <w:rsid w:val="00A638FE"/>
    <w:rsid w:val="00A6393D"/>
    <w:rsid w:val="00A63A4F"/>
    <w:rsid w:val="00A63C1A"/>
    <w:rsid w:val="00A63CAB"/>
    <w:rsid w:val="00A63DB5"/>
    <w:rsid w:val="00A64032"/>
    <w:rsid w:val="00A64036"/>
    <w:rsid w:val="00A64083"/>
    <w:rsid w:val="00A640A5"/>
    <w:rsid w:val="00A64198"/>
    <w:rsid w:val="00A641A5"/>
    <w:rsid w:val="00A642BE"/>
    <w:rsid w:val="00A6430C"/>
    <w:rsid w:val="00A64456"/>
    <w:rsid w:val="00A644EA"/>
    <w:rsid w:val="00A64507"/>
    <w:rsid w:val="00A64541"/>
    <w:rsid w:val="00A64575"/>
    <w:rsid w:val="00A64598"/>
    <w:rsid w:val="00A64655"/>
    <w:rsid w:val="00A6472C"/>
    <w:rsid w:val="00A64841"/>
    <w:rsid w:val="00A64884"/>
    <w:rsid w:val="00A64950"/>
    <w:rsid w:val="00A6496A"/>
    <w:rsid w:val="00A6496D"/>
    <w:rsid w:val="00A6498C"/>
    <w:rsid w:val="00A64A45"/>
    <w:rsid w:val="00A64A65"/>
    <w:rsid w:val="00A64AA2"/>
    <w:rsid w:val="00A64ACF"/>
    <w:rsid w:val="00A64C7A"/>
    <w:rsid w:val="00A64C9D"/>
    <w:rsid w:val="00A64CC7"/>
    <w:rsid w:val="00A64CCB"/>
    <w:rsid w:val="00A64D6F"/>
    <w:rsid w:val="00A64D93"/>
    <w:rsid w:val="00A64E95"/>
    <w:rsid w:val="00A64EE0"/>
    <w:rsid w:val="00A64F11"/>
    <w:rsid w:val="00A64F4F"/>
    <w:rsid w:val="00A6526D"/>
    <w:rsid w:val="00A6533C"/>
    <w:rsid w:val="00A65385"/>
    <w:rsid w:val="00A654F6"/>
    <w:rsid w:val="00A6551A"/>
    <w:rsid w:val="00A65625"/>
    <w:rsid w:val="00A65822"/>
    <w:rsid w:val="00A658AB"/>
    <w:rsid w:val="00A6590D"/>
    <w:rsid w:val="00A6590E"/>
    <w:rsid w:val="00A65984"/>
    <w:rsid w:val="00A659FC"/>
    <w:rsid w:val="00A65C0A"/>
    <w:rsid w:val="00A65C63"/>
    <w:rsid w:val="00A65C7E"/>
    <w:rsid w:val="00A65CC3"/>
    <w:rsid w:val="00A65D0E"/>
    <w:rsid w:val="00A65D1B"/>
    <w:rsid w:val="00A65DF3"/>
    <w:rsid w:val="00A65E24"/>
    <w:rsid w:val="00A65E97"/>
    <w:rsid w:val="00A65EE6"/>
    <w:rsid w:val="00A66029"/>
    <w:rsid w:val="00A66037"/>
    <w:rsid w:val="00A66043"/>
    <w:rsid w:val="00A66106"/>
    <w:rsid w:val="00A66182"/>
    <w:rsid w:val="00A66202"/>
    <w:rsid w:val="00A6630D"/>
    <w:rsid w:val="00A663F0"/>
    <w:rsid w:val="00A66405"/>
    <w:rsid w:val="00A6644F"/>
    <w:rsid w:val="00A664DF"/>
    <w:rsid w:val="00A666CA"/>
    <w:rsid w:val="00A66706"/>
    <w:rsid w:val="00A66707"/>
    <w:rsid w:val="00A667CF"/>
    <w:rsid w:val="00A668D3"/>
    <w:rsid w:val="00A66A35"/>
    <w:rsid w:val="00A66CA0"/>
    <w:rsid w:val="00A66CC6"/>
    <w:rsid w:val="00A66CED"/>
    <w:rsid w:val="00A66CFD"/>
    <w:rsid w:val="00A66D47"/>
    <w:rsid w:val="00A66D6A"/>
    <w:rsid w:val="00A66E81"/>
    <w:rsid w:val="00A66EE8"/>
    <w:rsid w:val="00A66FB8"/>
    <w:rsid w:val="00A67036"/>
    <w:rsid w:val="00A6716F"/>
    <w:rsid w:val="00A671E4"/>
    <w:rsid w:val="00A67329"/>
    <w:rsid w:val="00A6737F"/>
    <w:rsid w:val="00A67585"/>
    <w:rsid w:val="00A67630"/>
    <w:rsid w:val="00A67736"/>
    <w:rsid w:val="00A677B8"/>
    <w:rsid w:val="00A6783F"/>
    <w:rsid w:val="00A67AB2"/>
    <w:rsid w:val="00A67C79"/>
    <w:rsid w:val="00A67D79"/>
    <w:rsid w:val="00A67D9B"/>
    <w:rsid w:val="00A67DDF"/>
    <w:rsid w:val="00A67E99"/>
    <w:rsid w:val="00A67EB7"/>
    <w:rsid w:val="00A67EEF"/>
    <w:rsid w:val="00A67EF6"/>
    <w:rsid w:val="00A67F2F"/>
    <w:rsid w:val="00A70086"/>
    <w:rsid w:val="00A700BA"/>
    <w:rsid w:val="00A700E7"/>
    <w:rsid w:val="00A70169"/>
    <w:rsid w:val="00A701D0"/>
    <w:rsid w:val="00A701E0"/>
    <w:rsid w:val="00A701E4"/>
    <w:rsid w:val="00A701F8"/>
    <w:rsid w:val="00A70307"/>
    <w:rsid w:val="00A7031F"/>
    <w:rsid w:val="00A70371"/>
    <w:rsid w:val="00A703A3"/>
    <w:rsid w:val="00A704AB"/>
    <w:rsid w:val="00A704CA"/>
    <w:rsid w:val="00A704D9"/>
    <w:rsid w:val="00A705B2"/>
    <w:rsid w:val="00A7070A"/>
    <w:rsid w:val="00A70982"/>
    <w:rsid w:val="00A709C0"/>
    <w:rsid w:val="00A709C1"/>
    <w:rsid w:val="00A709D1"/>
    <w:rsid w:val="00A70A09"/>
    <w:rsid w:val="00A70AB5"/>
    <w:rsid w:val="00A70B06"/>
    <w:rsid w:val="00A70B42"/>
    <w:rsid w:val="00A70B71"/>
    <w:rsid w:val="00A70B8C"/>
    <w:rsid w:val="00A70C0B"/>
    <w:rsid w:val="00A70C10"/>
    <w:rsid w:val="00A70C9C"/>
    <w:rsid w:val="00A70CDA"/>
    <w:rsid w:val="00A70CEC"/>
    <w:rsid w:val="00A70D13"/>
    <w:rsid w:val="00A70D20"/>
    <w:rsid w:val="00A70DA2"/>
    <w:rsid w:val="00A70E4F"/>
    <w:rsid w:val="00A70F78"/>
    <w:rsid w:val="00A71047"/>
    <w:rsid w:val="00A710A1"/>
    <w:rsid w:val="00A71212"/>
    <w:rsid w:val="00A71254"/>
    <w:rsid w:val="00A7127B"/>
    <w:rsid w:val="00A71447"/>
    <w:rsid w:val="00A71703"/>
    <w:rsid w:val="00A7186B"/>
    <w:rsid w:val="00A718F2"/>
    <w:rsid w:val="00A7192F"/>
    <w:rsid w:val="00A7193E"/>
    <w:rsid w:val="00A71A63"/>
    <w:rsid w:val="00A71AD5"/>
    <w:rsid w:val="00A71AEC"/>
    <w:rsid w:val="00A71B0C"/>
    <w:rsid w:val="00A71B5D"/>
    <w:rsid w:val="00A71C1A"/>
    <w:rsid w:val="00A71C6A"/>
    <w:rsid w:val="00A71CB5"/>
    <w:rsid w:val="00A71DDC"/>
    <w:rsid w:val="00A71EFD"/>
    <w:rsid w:val="00A71FE3"/>
    <w:rsid w:val="00A7204D"/>
    <w:rsid w:val="00A72102"/>
    <w:rsid w:val="00A7216A"/>
    <w:rsid w:val="00A721F2"/>
    <w:rsid w:val="00A72263"/>
    <w:rsid w:val="00A72289"/>
    <w:rsid w:val="00A722B5"/>
    <w:rsid w:val="00A724CF"/>
    <w:rsid w:val="00A725A9"/>
    <w:rsid w:val="00A725C9"/>
    <w:rsid w:val="00A72613"/>
    <w:rsid w:val="00A72A50"/>
    <w:rsid w:val="00A72BF5"/>
    <w:rsid w:val="00A72D15"/>
    <w:rsid w:val="00A72D95"/>
    <w:rsid w:val="00A72DC2"/>
    <w:rsid w:val="00A72F84"/>
    <w:rsid w:val="00A73019"/>
    <w:rsid w:val="00A7303E"/>
    <w:rsid w:val="00A73043"/>
    <w:rsid w:val="00A73093"/>
    <w:rsid w:val="00A7311D"/>
    <w:rsid w:val="00A731B7"/>
    <w:rsid w:val="00A7323C"/>
    <w:rsid w:val="00A732A9"/>
    <w:rsid w:val="00A732B6"/>
    <w:rsid w:val="00A732BA"/>
    <w:rsid w:val="00A7331D"/>
    <w:rsid w:val="00A73578"/>
    <w:rsid w:val="00A73630"/>
    <w:rsid w:val="00A73644"/>
    <w:rsid w:val="00A7365F"/>
    <w:rsid w:val="00A7371F"/>
    <w:rsid w:val="00A73783"/>
    <w:rsid w:val="00A737BA"/>
    <w:rsid w:val="00A7384D"/>
    <w:rsid w:val="00A7386D"/>
    <w:rsid w:val="00A739A4"/>
    <w:rsid w:val="00A73B01"/>
    <w:rsid w:val="00A73B31"/>
    <w:rsid w:val="00A73BBF"/>
    <w:rsid w:val="00A73C31"/>
    <w:rsid w:val="00A73C3D"/>
    <w:rsid w:val="00A73CF9"/>
    <w:rsid w:val="00A73DA7"/>
    <w:rsid w:val="00A73E08"/>
    <w:rsid w:val="00A73E0D"/>
    <w:rsid w:val="00A73FD5"/>
    <w:rsid w:val="00A74063"/>
    <w:rsid w:val="00A7418F"/>
    <w:rsid w:val="00A7422F"/>
    <w:rsid w:val="00A74263"/>
    <w:rsid w:val="00A742E9"/>
    <w:rsid w:val="00A742FE"/>
    <w:rsid w:val="00A7436D"/>
    <w:rsid w:val="00A7441A"/>
    <w:rsid w:val="00A74514"/>
    <w:rsid w:val="00A74515"/>
    <w:rsid w:val="00A746CE"/>
    <w:rsid w:val="00A746D1"/>
    <w:rsid w:val="00A7471A"/>
    <w:rsid w:val="00A747FE"/>
    <w:rsid w:val="00A74866"/>
    <w:rsid w:val="00A7488D"/>
    <w:rsid w:val="00A7488E"/>
    <w:rsid w:val="00A7489B"/>
    <w:rsid w:val="00A7491F"/>
    <w:rsid w:val="00A749A4"/>
    <w:rsid w:val="00A74A82"/>
    <w:rsid w:val="00A74B5A"/>
    <w:rsid w:val="00A74C78"/>
    <w:rsid w:val="00A74D6B"/>
    <w:rsid w:val="00A74E2D"/>
    <w:rsid w:val="00A74F6C"/>
    <w:rsid w:val="00A74FC9"/>
    <w:rsid w:val="00A75030"/>
    <w:rsid w:val="00A75115"/>
    <w:rsid w:val="00A75222"/>
    <w:rsid w:val="00A7523B"/>
    <w:rsid w:val="00A7525C"/>
    <w:rsid w:val="00A7533E"/>
    <w:rsid w:val="00A75408"/>
    <w:rsid w:val="00A7558D"/>
    <w:rsid w:val="00A755F1"/>
    <w:rsid w:val="00A75611"/>
    <w:rsid w:val="00A7561D"/>
    <w:rsid w:val="00A75755"/>
    <w:rsid w:val="00A7577F"/>
    <w:rsid w:val="00A757AF"/>
    <w:rsid w:val="00A757ED"/>
    <w:rsid w:val="00A757FE"/>
    <w:rsid w:val="00A75828"/>
    <w:rsid w:val="00A75851"/>
    <w:rsid w:val="00A75853"/>
    <w:rsid w:val="00A758DA"/>
    <w:rsid w:val="00A758E8"/>
    <w:rsid w:val="00A7590D"/>
    <w:rsid w:val="00A75951"/>
    <w:rsid w:val="00A759D4"/>
    <w:rsid w:val="00A75A23"/>
    <w:rsid w:val="00A75A74"/>
    <w:rsid w:val="00A75AE4"/>
    <w:rsid w:val="00A75AF1"/>
    <w:rsid w:val="00A75B62"/>
    <w:rsid w:val="00A75BA8"/>
    <w:rsid w:val="00A75BBD"/>
    <w:rsid w:val="00A75BCA"/>
    <w:rsid w:val="00A75BD5"/>
    <w:rsid w:val="00A75C16"/>
    <w:rsid w:val="00A75D3C"/>
    <w:rsid w:val="00A75DF1"/>
    <w:rsid w:val="00A75E26"/>
    <w:rsid w:val="00A75E3F"/>
    <w:rsid w:val="00A75EC9"/>
    <w:rsid w:val="00A76067"/>
    <w:rsid w:val="00A76075"/>
    <w:rsid w:val="00A76117"/>
    <w:rsid w:val="00A762F0"/>
    <w:rsid w:val="00A7630F"/>
    <w:rsid w:val="00A76547"/>
    <w:rsid w:val="00A76648"/>
    <w:rsid w:val="00A7667C"/>
    <w:rsid w:val="00A76700"/>
    <w:rsid w:val="00A76706"/>
    <w:rsid w:val="00A767EB"/>
    <w:rsid w:val="00A76882"/>
    <w:rsid w:val="00A768A1"/>
    <w:rsid w:val="00A76912"/>
    <w:rsid w:val="00A76920"/>
    <w:rsid w:val="00A769E7"/>
    <w:rsid w:val="00A76A20"/>
    <w:rsid w:val="00A76A86"/>
    <w:rsid w:val="00A76B87"/>
    <w:rsid w:val="00A76BD9"/>
    <w:rsid w:val="00A76D4B"/>
    <w:rsid w:val="00A76DA3"/>
    <w:rsid w:val="00A76EED"/>
    <w:rsid w:val="00A76F6C"/>
    <w:rsid w:val="00A76F87"/>
    <w:rsid w:val="00A76FA4"/>
    <w:rsid w:val="00A770C5"/>
    <w:rsid w:val="00A771A2"/>
    <w:rsid w:val="00A772A5"/>
    <w:rsid w:val="00A77513"/>
    <w:rsid w:val="00A77519"/>
    <w:rsid w:val="00A77535"/>
    <w:rsid w:val="00A77562"/>
    <w:rsid w:val="00A775FC"/>
    <w:rsid w:val="00A776DA"/>
    <w:rsid w:val="00A77796"/>
    <w:rsid w:val="00A77867"/>
    <w:rsid w:val="00A778BE"/>
    <w:rsid w:val="00A779A5"/>
    <w:rsid w:val="00A779CD"/>
    <w:rsid w:val="00A779FA"/>
    <w:rsid w:val="00A77A80"/>
    <w:rsid w:val="00A77AF3"/>
    <w:rsid w:val="00A77B62"/>
    <w:rsid w:val="00A77B86"/>
    <w:rsid w:val="00A77CCC"/>
    <w:rsid w:val="00A77CEE"/>
    <w:rsid w:val="00A77CF4"/>
    <w:rsid w:val="00A77D1A"/>
    <w:rsid w:val="00A77D71"/>
    <w:rsid w:val="00A77DE3"/>
    <w:rsid w:val="00A77DFC"/>
    <w:rsid w:val="00A77E2F"/>
    <w:rsid w:val="00A77F0E"/>
    <w:rsid w:val="00A77FA5"/>
    <w:rsid w:val="00A80092"/>
    <w:rsid w:val="00A800EA"/>
    <w:rsid w:val="00A80102"/>
    <w:rsid w:val="00A80263"/>
    <w:rsid w:val="00A80269"/>
    <w:rsid w:val="00A802A9"/>
    <w:rsid w:val="00A803D1"/>
    <w:rsid w:val="00A8045D"/>
    <w:rsid w:val="00A8046D"/>
    <w:rsid w:val="00A80479"/>
    <w:rsid w:val="00A80598"/>
    <w:rsid w:val="00A805DB"/>
    <w:rsid w:val="00A805EA"/>
    <w:rsid w:val="00A80674"/>
    <w:rsid w:val="00A808E8"/>
    <w:rsid w:val="00A80920"/>
    <w:rsid w:val="00A8095A"/>
    <w:rsid w:val="00A80BA6"/>
    <w:rsid w:val="00A80BCB"/>
    <w:rsid w:val="00A80C72"/>
    <w:rsid w:val="00A80CFF"/>
    <w:rsid w:val="00A80D82"/>
    <w:rsid w:val="00A80D92"/>
    <w:rsid w:val="00A80DAE"/>
    <w:rsid w:val="00A80F67"/>
    <w:rsid w:val="00A81128"/>
    <w:rsid w:val="00A8119E"/>
    <w:rsid w:val="00A811D2"/>
    <w:rsid w:val="00A811E7"/>
    <w:rsid w:val="00A81264"/>
    <w:rsid w:val="00A81299"/>
    <w:rsid w:val="00A81307"/>
    <w:rsid w:val="00A81422"/>
    <w:rsid w:val="00A81581"/>
    <w:rsid w:val="00A8162E"/>
    <w:rsid w:val="00A8178C"/>
    <w:rsid w:val="00A81897"/>
    <w:rsid w:val="00A81915"/>
    <w:rsid w:val="00A81966"/>
    <w:rsid w:val="00A8199E"/>
    <w:rsid w:val="00A8199F"/>
    <w:rsid w:val="00A81B84"/>
    <w:rsid w:val="00A81B9E"/>
    <w:rsid w:val="00A81E33"/>
    <w:rsid w:val="00A81F02"/>
    <w:rsid w:val="00A81F82"/>
    <w:rsid w:val="00A81FDE"/>
    <w:rsid w:val="00A82060"/>
    <w:rsid w:val="00A82068"/>
    <w:rsid w:val="00A8213B"/>
    <w:rsid w:val="00A82172"/>
    <w:rsid w:val="00A822C4"/>
    <w:rsid w:val="00A822D4"/>
    <w:rsid w:val="00A8230B"/>
    <w:rsid w:val="00A82442"/>
    <w:rsid w:val="00A82697"/>
    <w:rsid w:val="00A82713"/>
    <w:rsid w:val="00A82740"/>
    <w:rsid w:val="00A82792"/>
    <w:rsid w:val="00A827F7"/>
    <w:rsid w:val="00A82981"/>
    <w:rsid w:val="00A829AF"/>
    <w:rsid w:val="00A82AC0"/>
    <w:rsid w:val="00A82AD0"/>
    <w:rsid w:val="00A82AE7"/>
    <w:rsid w:val="00A82BC9"/>
    <w:rsid w:val="00A82D39"/>
    <w:rsid w:val="00A82E2B"/>
    <w:rsid w:val="00A82E8C"/>
    <w:rsid w:val="00A8301F"/>
    <w:rsid w:val="00A83083"/>
    <w:rsid w:val="00A830A1"/>
    <w:rsid w:val="00A8310F"/>
    <w:rsid w:val="00A83118"/>
    <w:rsid w:val="00A83149"/>
    <w:rsid w:val="00A83253"/>
    <w:rsid w:val="00A833B1"/>
    <w:rsid w:val="00A83525"/>
    <w:rsid w:val="00A83565"/>
    <w:rsid w:val="00A8361B"/>
    <w:rsid w:val="00A83740"/>
    <w:rsid w:val="00A8376C"/>
    <w:rsid w:val="00A83786"/>
    <w:rsid w:val="00A837C4"/>
    <w:rsid w:val="00A83A35"/>
    <w:rsid w:val="00A83A8C"/>
    <w:rsid w:val="00A83A96"/>
    <w:rsid w:val="00A83ABC"/>
    <w:rsid w:val="00A83B25"/>
    <w:rsid w:val="00A83CA3"/>
    <w:rsid w:val="00A83CAD"/>
    <w:rsid w:val="00A83F20"/>
    <w:rsid w:val="00A83FBC"/>
    <w:rsid w:val="00A8416A"/>
    <w:rsid w:val="00A842F9"/>
    <w:rsid w:val="00A84404"/>
    <w:rsid w:val="00A84626"/>
    <w:rsid w:val="00A84627"/>
    <w:rsid w:val="00A8464B"/>
    <w:rsid w:val="00A846E9"/>
    <w:rsid w:val="00A848DF"/>
    <w:rsid w:val="00A84A14"/>
    <w:rsid w:val="00A84AC7"/>
    <w:rsid w:val="00A84AD5"/>
    <w:rsid w:val="00A84AF1"/>
    <w:rsid w:val="00A84B9E"/>
    <w:rsid w:val="00A84C70"/>
    <w:rsid w:val="00A84D75"/>
    <w:rsid w:val="00A84DB2"/>
    <w:rsid w:val="00A84DD3"/>
    <w:rsid w:val="00A84EF8"/>
    <w:rsid w:val="00A84F86"/>
    <w:rsid w:val="00A85238"/>
    <w:rsid w:val="00A8543D"/>
    <w:rsid w:val="00A85502"/>
    <w:rsid w:val="00A85668"/>
    <w:rsid w:val="00A85669"/>
    <w:rsid w:val="00A856CF"/>
    <w:rsid w:val="00A85771"/>
    <w:rsid w:val="00A85878"/>
    <w:rsid w:val="00A85A0B"/>
    <w:rsid w:val="00A85A4D"/>
    <w:rsid w:val="00A85A84"/>
    <w:rsid w:val="00A85BA3"/>
    <w:rsid w:val="00A85BE0"/>
    <w:rsid w:val="00A85D92"/>
    <w:rsid w:val="00A85DD8"/>
    <w:rsid w:val="00A85ECC"/>
    <w:rsid w:val="00A85F47"/>
    <w:rsid w:val="00A85F58"/>
    <w:rsid w:val="00A85FE7"/>
    <w:rsid w:val="00A8601C"/>
    <w:rsid w:val="00A86063"/>
    <w:rsid w:val="00A8608A"/>
    <w:rsid w:val="00A860CC"/>
    <w:rsid w:val="00A861AD"/>
    <w:rsid w:val="00A862F3"/>
    <w:rsid w:val="00A8637B"/>
    <w:rsid w:val="00A863AE"/>
    <w:rsid w:val="00A864FC"/>
    <w:rsid w:val="00A8666A"/>
    <w:rsid w:val="00A8669E"/>
    <w:rsid w:val="00A86837"/>
    <w:rsid w:val="00A868AC"/>
    <w:rsid w:val="00A868AD"/>
    <w:rsid w:val="00A868F1"/>
    <w:rsid w:val="00A86901"/>
    <w:rsid w:val="00A86937"/>
    <w:rsid w:val="00A8695F"/>
    <w:rsid w:val="00A86ADF"/>
    <w:rsid w:val="00A86AE0"/>
    <w:rsid w:val="00A86AE8"/>
    <w:rsid w:val="00A86B25"/>
    <w:rsid w:val="00A86BBA"/>
    <w:rsid w:val="00A86C0E"/>
    <w:rsid w:val="00A86C37"/>
    <w:rsid w:val="00A86CA7"/>
    <w:rsid w:val="00A86DB6"/>
    <w:rsid w:val="00A86E08"/>
    <w:rsid w:val="00A86E3B"/>
    <w:rsid w:val="00A86EF7"/>
    <w:rsid w:val="00A86FE4"/>
    <w:rsid w:val="00A86FE7"/>
    <w:rsid w:val="00A87083"/>
    <w:rsid w:val="00A87196"/>
    <w:rsid w:val="00A87208"/>
    <w:rsid w:val="00A87330"/>
    <w:rsid w:val="00A874AB"/>
    <w:rsid w:val="00A8755D"/>
    <w:rsid w:val="00A875B4"/>
    <w:rsid w:val="00A87673"/>
    <w:rsid w:val="00A876FD"/>
    <w:rsid w:val="00A877A7"/>
    <w:rsid w:val="00A87805"/>
    <w:rsid w:val="00A8792C"/>
    <w:rsid w:val="00A87982"/>
    <w:rsid w:val="00A87991"/>
    <w:rsid w:val="00A879C6"/>
    <w:rsid w:val="00A879DD"/>
    <w:rsid w:val="00A87B21"/>
    <w:rsid w:val="00A87B7C"/>
    <w:rsid w:val="00A87CCE"/>
    <w:rsid w:val="00A87CFF"/>
    <w:rsid w:val="00A87DA5"/>
    <w:rsid w:val="00A87DD9"/>
    <w:rsid w:val="00A87E0D"/>
    <w:rsid w:val="00A87F51"/>
    <w:rsid w:val="00A87FAA"/>
    <w:rsid w:val="00A90064"/>
    <w:rsid w:val="00A90094"/>
    <w:rsid w:val="00A9009D"/>
    <w:rsid w:val="00A900A4"/>
    <w:rsid w:val="00A90136"/>
    <w:rsid w:val="00A901A7"/>
    <w:rsid w:val="00A9024E"/>
    <w:rsid w:val="00A90327"/>
    <w:rsid w:val="00A90431"/>
    <w:rsid w:val="00A90493"/>
    <w:rsid w:val="00A9053F"/>
    <w:rsid w:val="00A9054C"/>
    <w:rsid w:val="00A905FE"/>
    <w:rsid w:val="00A9062E"/>
    <w:rsid w:val="00A90655"/>
    <w:rsid w:val="00A9069F"/>
    <w:rsid w:val="00A906C4"/>
    <w:rsid w:val="00A9071F"/>
    <w:rsid w:val="00A9072F"/>
    <w:rsid w:val="00A90797"/>
    <w:rsid w:val="00A9082D"/>
    <w:rsid w:val="00A90855"/>
    <w:rsid w:val="00A908F1"/>
    <w:rsid w:val="00A90AD8"/>
    <w:rsid w:val="00A90B04"/>
    <w:rsid w:val="00A90BB2"/>
    <w:rsid w:val="00A90D47"/>
    <w:rsid w:val="00A90DF3"/>
    <w:rsid w:val="00A90EE8"/>
    <w:rsid w:val="00A90EFA"/>
    <w:rsid w:val="00A90F14"/>
    <w:rsid w:val="00A90F24"/>
    <w:rsid w:val="00A90FD9"/>
    <w:rsid w:val="00A90FF5"/>
    <w:rsid w:val="00A91194"/>
    <w:rsid w:val="00A912D7"/>
    <w:rsid w:val="00A9135D"/>
    <w:rsid w:val="00A9140D"/>
    <w:rsid w:val="00A914C6"/>
    <w:rsid w:val="00A914CD"/>
    <w:rsid w:val="00A914E4"/>
    <w:rsid w:val="00A9150A"/>
    <w:rsid w:val="00A91553"/>
    <w:rsid w:val="00A915D9"/>
    <w:rsid w:val="00A91691"/>
    <w:rsid w:val="00A918A7"/>
    <w:rsid w:val="00A918F2"/>
    <w:rsid w:val="00A91A04"/>
    <w:rsid w:val="00A91A2D"/>
    <w:rsid w:val="00A91ACE"/>
    <w:rsid w:val="00A91B06"/>
    <w:rsid w:val="00A91B22"/>
    <w:rsid w:val="00A91CCD"/>
    <w:rsid w:val="00A91CDD"/>
    <w:rsid w:val="00A91D99"/>
    <w:rsid w:val="00A91E9A"/>
    <w:rsid w:val="00A91EBD"/>
    <w:rsid w:val="00A91F20"/>
    <w:rsid w:val="00A91F9D"/>
    <w:rsid w:val="00A91FA0"/>
    <w:rsid w:val="00A91FB6"/>
    <w:rsid w:val="00A921C7"/>
    <w:rsid w:val="00A92302"/>
    <w:rsid w:val="00A92376"/>
    <w:rsid w:val="00A923A0"/>
    <w:rsid w:val="00A923EB"/>
    <w:rsid w:val="00A92468"/>
    <w:rsid w:val="00A925CA"/>
    <w:rsid w:val="00A925DA"/>
    <w:rsid w:val="00A926A3"/>
    <w:rsid w:val="00A92701"/>
    <w:rsid w:val="00A927BC"/>
    <w:rsid w:val="00A927D0"/>
    <w:rsid w:val="00A927D1"/>
    <w:rsid w:val="00A92897"/>
    <w:rsid w:val="00A92AE6"/>
    <w:rsid w:val="00A92B2A"/>
    <w:rsid w:val="00A92BB7"/>
    <w:rsid w:val="00A92D55"/>
    <w:rsid w:val="00A92D83"/>
    <w:rsid w:val="00A92DFD"/>
    <w:rsid w:val="00A92E9D"/>
    <w:rsid w:val="00A930A6"/>
    <w:rsid w:val="00A93173"/>
    <w:rsid w:val="00A9318C"/>
    <w:rsid w:val="00A931AF"/>
    <w:rsid w:val="00A932A1"/>
    <w:rsid w:val="00A9334E"/>
    <w:rsid w:val="00A93384"/>
    <w:rsid w:val="00A9357F"/>
    <w:rsid w:val="00A935CA"/>
    <w:rsid w:val="00A9362F"/>
    <w:rsid w:val="00A93784"/>
    <w:rsid w:val="00A9389B"/>
    <w:rsid w:val="00A938CC"/>
    <w:rsid w:val="00A938E7"/>
    <w:rsid w:val="00A93915"/>
    <w:rsid w:val="00A93A25"/>
    <w:rsid w:val="00A93A42"/>
    <w:rsid w:val="00A93A9E"/>
    <w:rsid w:val="00A93BA9"/>
    <w:rsid w:val="00A93C19"/>
    <w:rsid w:val="00A93C3A"/>
    <w:rsid w:val="00A93CB1"/>
    <w:rsid w:val="00A93E72"/>
    <w:rsid w:val="00A94188"/>
    <w:rsid w:val="00A942F2"/>
    <w:rsid w:val="00A942FD"/>
    <w:rsid w:val="00A9430B"/>
    <w:rsid w:val="00A943A5"/>
    <w:rsid w:val="00A94478"/>
    <w:rsid w:val="00A9449A"/>
    <w:rsid w:val="00A94529"/>
    <w:rsid w:val="00A94658"/>
    <w:rsid w:val="00A9479A"/>
    <w:rsid w:val="00A947B9"/>
    <w:rsid w:val="00A94921"/>
    <w:rsid w:val="00A949AE"/>
    <w:rsid w:val="00A94A9C"/>
    <w:rsid w:val="00A94AA2"/>
    <w:rsid w:val="00A94B08"/>
    <w:rsid w:val="00A94BCB"/>
    <w:rsid w:val="00A94C97"/>
    <w:rsid w:val="00A94CB5"/>
    <w:rsid w:val="00A94D1B"/>
    <w:rsid w:val="00A94DA6"/>
    <w:rsid w:val="00A94DAB"/>
    <w:rsid w:val="00A94E0A"/>
    <w:rsid w:val="00A95079"/>
    <w:rsid w:val="00A950E3"/>
    <w:rsid w:val="00A951BB"/>
    <w:rsid w:val="00A951F7"/>
    <w:rsid w:val="00A95324"/>
    <w:rsid w:val="00A95463"/>
    <w:rsid w:val="00A95502"/>
    <w:rsid w:val="00A95511"/>
    <w:rsid w:val="00A95561"/>
    <w:rsid w:val="00A955A0"/>
    <w:rsid w:val="00A95615"/>
    <w:rsid w:val="00A95664"/>
    <w:rsid w:val="00A956F3"/>
    <w:rsid w:val="00A9577F"/>
    <w:rsid w:val="00A957CC"/>
    <w:rsid w:val="00A95814"/>
    <w:rsid w:val="00A95837"/>
    <w:rsid w:val="00A9590D"/>
    <w:rsid w:val="00A95938"/>
    <w:rsid w:val="00A95943"/>
    <w:rsid w:val="00A95985"/>
    <w:rsid w:val="00A95A1C"/>
    <w:rsid w:val="00A95AA5"/>
    <w:rsid w:val="00A95AD8"/>
    <w:rsid w:val="00A95B40"/>
    <w:rsid w:val="00A95BD5"/>
    <w:rsid w:val="00A95D2A"/>
    <w:rsid w:val="00A95EEC"/>
    <w:rsid w:val="00A9600B"/>
    <w:rsid w:val="00A96032"/>
    <w:rsid w:val="00A96052"/>
    <w:rsid w:val="00A960DA"/>
    <w:rsid w:val="00A96100"/>
    <w:rsid w:val="00A96191"/>
    <w:rsid w:val="00A961CA"/>
    <w:rsid w:val="00A96249"/>
    <w:rsid w:val="00A9627A"/>
    <w:rsid w:val="00A96282"/>
    <w:rsid w:val="00A962B6"/>
    <w:rsid w:val="00A96412"/>
    <w:rsid w:val="00A965AB"/>
    <w:rsid w:val="00A966E1"/>
    <w:rsid w:val="00A966F2"/>
    <w:rsid w:val="00A96732"/>
    <w:rsid w:val="00A96855"/>
    <w:rsid w:val="00A968C0"/>
    <w:rsid w:val="00A96948"/>
    <w:rsid w:val="00A9694D"/>
    <w:rsid w:val="00A969F7"/>
    <w:rsid w:val="00A96AFE"/>
    <w:rsid w:val="00A96B96"/>
    <w:rsid w:val="00A96BEB"/>
    <w:rsid w:val="00A96BFA"/>
    <w:rsid w:val="00A96C7B"/>
    <w:rsid w:val="00A96C96"/>
    <w:rsid w:val="00A96E30"/>
    <w:rsid w:val="00A96E38"/>
    <w:rsid w:val="00A96ECB"/>
    <w:rsid w:val="00A96F14"/>
    <w:rsid w:val="00A96F25"/>
    <w:rsid w:val="00A96FF7"/>
    <w:rsid w:val="00A97087"/>
    <w:rsid w:val="00A971F1"/>
    <w:rsid w:val="00A9722B"/>
    <w:rsid w:val="00A972FC"/>
    <w:rsid w:val="00A9731A"/>
    <w:rsid w:val="00A97459"/>
    <w:rsid w:val="00A97637"/>
    <w:rsid w:val="00A97664"/>
    <w:rsid w:val="00A976B6"/>
    <w:rsid w:val="00A977D2"/>
    <w:rsid w:val="00A9781F"/>
    <w:rsid w:val="00A9786F"/>
    <w:rsid w:val="00A978B0"/>
    <w:rsid w:val="00A978F4"/>
    <w:rsid w:val="00A97D11"/>
    <w:rsid w:val="00A97D23"/>
    <w:rsid w:val="00A97D96"/>
    <w:rsid w:val="00A97DFB"/>
    <w:rsid w:val="00A97E71"/>
    <w:rsid w:val="00A97F82"/>
    <w:rsid w:val="00AA0041"/>
    <w:rsid w:val="00AA00BE"/>
    <w:rsid w:val="00AA0105"/>
    <w:rsid w:val="00AA0174"/>
    <w:rsid w:val="00AA01B8"/>
    <w:rsid w:val="00AA0256"/>
    <w:rsid w:val="00AA02B5"/>
    <w:rsid w:val="00AA02EE"/>
    <w:rsid w:val="00AA0341"/>
    <w:rsid w:val="00AA036B"/>
    <w:rsid w:val="00AA0380"/>
    <w:rsid w:val="00AA040C"/>
    <w:rsid w:val="00AA043A"/>
    <w:rsid w:val="00AA050C"/>
    <w:rsid w:val="00AA051D"/>
    <w:rsid w:val="00AA0575"/>
    <w:rsid w:val="00AA0576"/>
    <w:rsid w:val="00AA0594"/>
    <w:rsid w:val="00AA060A"/>
    <w:rsid w:val="00AA0635"/>
    <w:rsid w:val="00AA06D2"/>
    <w:rsid w:val="00AA08C0"/>
    <w:rsid w:val="00AA0916"/>
    <w:rsid w:val="00AA0987"/>
    <w:rsid w:val="00AA09E3"/>
    <w:rsid w:val="00AA0AF8"/>
    <w:rsid w:val="00AA0BEC"/>
    <w:rsid w:val="00AA0C0D"/>
    <w:rsid w:val="00AA0C51"/>
    <w:rsid w:val="00AA0CC8"/>
    <w:rsid w:val="00AA0D9D"/>
    <w:rsid w:val="00AA0E91"/>
    <w:rsid w:val="00AA0EAD"/>
    <w:rsid w:val="00AA0FAF"/>
    <w:rsid w:val="00AA100F"/>
    <w:rsid w:val="00AA1018"/>
    <w:rsid w:val="00AA11B1"/>
    <w:rsid w:val="00AA1225"/>
    <w:rsid w:val="00AA127B"/>
    <w:rsid w:val="00AA12D0"/>
    <w:rsid w:val="00AA149D"/>
    <w:rsid w:val="00AA14B2"/>
    <w:rsid w:val="00AA158D"/>
    <w:rsid w:val="00AA16FE"/>
    <w:rsid w:val="00AA171F"/>
    <w:rsid w:val="00AA1799"/>
    <w:rsid w:val="00AA17CF"/>
    <w:rsid w:val="00AA184A"/>
    <w:rsid w:val="00AA1892"/>
    <w:rsid w:val="00AA18D8"/>
    <w:rsid w:val="00AA195B"/>
    <w:rsid w:val="00AA1A17"/>
    <w:rsid w:val="00AA1A1B"/>
    <w:rsid w:val="00AA1AB8"/>
    <w:rsid w:val="00AA1BD0"/>
    <w:rsid w:val="00AA1BD6"/>
    <w:rsid w:val="00AA1C01"/>
    <w:rsid w:val="00AA1C02"/>
    <w:rsid w:val="00AA1C61"/>
    <w:rsid w:val="00AA1D4B"/>
    <w:rsid w:val="00AA1D6C"/>
    <w:rsid w:val="00AA1DE1"/>
    <w:rsid w:val="00AA1E04"/>
    <w:rsid w:val="00AA1E83"/>
    <w:rsid w:val="00AA1EB0"/>
    <w:rsid w:val="00AA1F0F"/>
    <w:rsid w:val="00AA1F2C"/>
    <w:rsid w:val="00AA1F4B"/>
    <w:rsid w:val="00AA1F6D"/>
    <w:rsid w:val="00AA201A"/>
    <w:rsid w:val="00AA2060"/>
    <w:rsid w:val="00AA211D"/>
    <w:rsid w:val="00AA2224"/>
    <w:rsid w:val="00AA225F"/>
    <w:rsid w:val="00AA2260"/>
    <w:rsid w:val="00AA2312"/>
    <w:rsid w:val="00AA2355"/>
    <w:rsid w:val="00AA2457"/>
    <w:rsid w:val="00AA24E9"/>
    <w:rsid w:val="00AA2636"/>
    <w:rsid w:val="00AA26C4"/>
    <w:rsid w:val="00AA276E"/>
    <w:rsid w:val="00AA27DD"/>
    <w:rsid w:val="00AA27EF"/>
    <w:rsid w:val="00AA2814"/>
    <w:rsid w:val="00AA294C"/>
    <w:rsid w:val="00AA2954"/>
    <w:rsid w:val="00AA2A4F"/>
    <w:rsid w:val="00AA2A8C"/>
    <w:rsid w:val="00AA2AE2"/>
    <w:rsid w:val="00AA2B2F"/>
    <w:rsid w:val="00AA2BDC"/>
    <w:rsid w:val="00AA2D5E"/>
    <w:rsid w:val="00AA2ECA"/>
    <w:rsid w:val="00AA2EE2"/>
    <w:rsid w:val="00AA302B"/>
    <w:rsid w:val="00AA32E0"/>
    <w:rsid w:val="00AA33F6"/>
    <w:rsid w:val="00AA34C1"/>
    <w:rsid w:val="00AA34DD"/>
    <w:rsid w:val="00AA3525"/>
    <w:rsid w:val="00AA35BB"/>
    <w:rsid w:val="00AA37A2"/>
    <w:rsid w:val="00AA3877"/>
    <w:rsid w:val="00AA38C2"/>
    <w:rsid w:val="00AA3990"/>
    <w:rsid w:val="00AA3A2B"/>
    <w:rsid w:val="00AA3A62"/>
    <w:rsid w:val="00AA3A68"/>
    <w:rsid w:val="00AA3B20"/>
    <w:rsid w:val="00AA3BC8"/>
    <w:rsid w:val="00AA3BF1"/>
    <w:rsid w:val="00AA3C9E"/>
    <w:rsid w:val="00AA3D09"/>
    <w:rsid w:val="00AA3D30"/>
    <w:rsid w:val="00AA3D68"/>
    <w:rsid w:val="00AA3DDD"/>
    <w:rsid w:val="00AA3E3A"/>
    <w:rsid w:val="00AA3F4B"/>
    <w:rsid w:val="00AA3FCA"/>
    <w:rsid w:val="00AA426A"/>
    <w:rsid w:val="00AA429A"/>
    <w:rsid w:val="00AA4323"/>
    <w:rsid w:val="00AA4340"/>
    <w:rsid w:val="00AA4461"/>
    <w:rsid w:val="00AA44E3"/>
    <w:rsid w:val="00AA4562"/>
    <w:rsid w:val="00AA45A8"/>
    <w:rsid w:val="00AA46A0"/>
    <w:rsid w:val="00AA46E3"/>
    <w:rsid w:val="00AA4722"/>
    <w:rsid w:val="00AA4748"/>
    <w:rsid w:val="00AA490C"/>
    <w:rsid w:val="00AA49C4"/>
    <w:rsid w:val="00AA4A08"/>
    <w:rsid w:val="00AA4A0D"/>
    <w:rsid w:val="00AA4A1D"/>
    <w:rsid w:val="00AA4B03"/>
    <w:rsid w:val="00AA4B19"/>
    <w:rsid w:val="00AA4B49"/>
    <w:rsid w:val="00AA4B6D"/>
    <w:rsid w:val="00AA4C8E"/>
    <w:rsid w:val="00AA4D99"/>
    <w:rsid w:val="00AA4E56"/>
    <w:rsid w:val="00AA4EDB"/>
    <w:rsid w:val="00AA4EE1"/>
    <w:rsid w:val="00AA4EFC"/>
    <w:rsid w:val="00AA4F06"/>
    <w:rsid w:val="00AA4F4E"/>
    <w:rsid w:val="00AA4F65"/>
    <w:rsid w:val="00AA4F8D"/>
    <w:rsid w:val="00AA509B"/>
    <w:rsid w:val="00AA517D"/>
    <w:rsid w:val="00AA52DF"/>
    <w:rsid w:val="00AA5314"/>
    <w:rsid w:val="00AA53C7"/>
    <w:rsid w:val="00AA53FB"/>
    <w:rsid w:val="00AA55C8"/>
    <w:rsid w:val="00AA55E8"/>
    <w:rsid w:val="00AA575A"/>
    <w:rsid w:val="00AA5862"/>
    <w:rsid w:val="00AA58F3"/>
    <w:rsid w:val="00AA5A64"/>
    <w:rsid w:val="00AA5B12"/>
    <w:rsid w:val="00AA5B85"/>
    <w:rsid w:val="00AA5CA1"/>
    <w:rsid w:val="00AA5CAA"/>
    <w:rsid w:val="00AA5D25"/>
    <w:rsid w:val="00AA5D49"/>
    <w:rsid w:val="00AA5F48"/>
    <w:rsid w:val="00AA60A0"/>
    <w:rsid w:val="00AA613E"/>
    <w:rsid w:val="00AA6269"/>
    <w:rsid w:val="00AA6371"/>
    <w:rsid w:val="00AA63FA"/>
    <w:rsid w:val="00AA6467"/>
    <w:rsid w:val="00AA651C"/>
    <w:rsid w:val="00AA65B4"/>
    <w:rsid w:val="00AA65DA"/>
    <w:rsid w:val="00AA6616"/>
    <w:rsid w:val="00AA680D"/>
    <w:rsid w:val="00AA68BA"/>
    <w:rsid w:val="00AA691C"/>
    <w:rsid w:val="00AA69FE"/>
    <w:rsid w:val="00AA6A57"/>
    <w:rsid w:val="00AA6AAC"/>
    <w:rsid w:val="00AA6B45"/>
    <w:rsid w:val="00AA6B49"/>
    <w:rsid w:val="00AA6C1D"/>
    <w:rsid w:val="00AA6C2B"/>
    <w:rsid w:val="00AA6C79"/>
    <w:rsid w:val="00AA6C7F"/>
    <w:rsid w:val="00AA6D04"/>
    <w:rsid w:val="00AA6ED6"/>
    <w:rsid w:val="00AA70D2"/>
    <w:rsid w:val="00AA7259"/>
    <w:rsid w:val="00AA7281"/>
    <w:rsid w:val="00AA72C8"/>
    <w:rsid w:val="00AA7319"/>
    <w:rsid w:val="00AA7329"/>
    <w:rsid w:val="00AA732A"/>
    <w:rsid w:val="00AA74A3"/>
    <w:rsid w:val="00AA74AE"/>
    <w:rsid w:val="00AA74CD"/>
    <w:rsid w:val="00AA76E7"/>
    <w:rsid w:val="00AA7849"/>
    <w:rsid w:val="00AA7887"/>
    <w:rsid w:val="00AA788B"/>
    <w:rsid w:val="00AA79B0"/>
    <w:rsid w:val="00AA7A6F"/>
    <w:rsid w:val="00AA7CCE"/>
    <w:rsid w:val="00AA7D34"/>
    <w:rsid w:val="00AA7E87"/>
    <w:rsid w:val="00AA7F60"/>
    <w:rsid w:val="00AB0150"/>
    <w:rsid w:val="00AB0198"/>
    <w:rsid w:val="00AB0211"/>
    <w:rsid w:val="00AB0252"/>
    <w:rsid w:val="00AB031F"/>
    <w:rsid w:val="00AB0471"/>
    <w:rsid w:val="00AB04A5"/>
    <w:rsid w:val="00AB0571"/>
    <w:rsid w:val="00AB05DC"/>
    <w:rsid w:val="00AB073A"/>
    <w:rsid w:val="00AB0854"/>
    <w:rsid w:val="00AB0A05"/>
    <w:rsid w:val="00AB0AD2"/>
    <w:rsid w:val="00AB0B1E"/>
    <w:rsid w:val="00AB0B7C"/>
    <w:rsid w:val="00AB0C3A"/>
    <w:rsid w:val="00AB0C3C"/>
    <w:rsid w:val="00AB0CA4"/>
    <w:rsid w:val="00AB0F8B"/>
    <w:rsid w:val="00AB1001"/>
    <w:rsid w:val="00AB11C7"/>
    <w:rsid w:val="00AB1335"/>
    <w:rsid w:val="00AB13DE"/>
    <w:rsid w:val="00AB141B"/>
    <w:rsid w:val="00AB1439"/>
    <w:rsid w:val="00AB14AF"/>
    <w:rsid w:val="00AB14BD"/>
    <w:rsid w:val="00AB164D"/>
    <w:rsid w:val="00AB1735"/>
    <w:rsid w:val="00AB1742"/>
    <w:rsid w:val="00AB1826"/>
    <w:rsid w:val="00AB184B"/>
    <w:rsid w:val="00AB18C3"/>
    <w:rsid w:val="00AB19D6"/>
    <w:rsid w:val="00AB19E1"/>
    <w:rsid w:val="00AB1A32"/>
    <w:rsid w:val="00AB1A48"/>
    <w:rsid w:val="00AB1AC8"/>
    <w:rsid w:val="00AB1B76"/>
    <w:rsid w:val="00AB1C5E"/>
    <w:rsid w:val="00AB1C96"/>
    <w:rsid w:val="00AB1E6C"/>
    <w:rsid w:val="00AB1EE7"/>
    <w:rsid w:val="00AB1FC5"/>
    <w:rsid w:val="00AB202D"/>
    <w:rsid w:val="00AB2031"/>
    <w:rsid w:val="00AB21EE"/>
    <w:rsid w:val="00AB21FC"/>
    <w:rsid w:val="00AB2205"/>
    <w:rsid w:val="00AB2216"/>
    <w:rsid w:val="00AB242A"/>
    <w:rsid w:val="00AB2448"/>
    <w:rsid w:val="00AB2527"/>
    <w:rsid w:val="00AB25E2"/>
    <w:rsid w:val="00AB2622"/>
    <w:rsid w:val="00AB28C0"/>
    <w:rsid w:val="00AB294F"/>
    <w:rsid w:val="00AB2A09"/>
    <w:rsid w:val="00AB2A5A"/>
    <w:rsid w:val="00AB2AE4"/>
    <w:rsid w:val="00AB2B86"/>
    <w:rsid w:val="00AB2B92"/>
    <w:rsid w:val="00AB2C07"/>
    <w:rsid w:val="00AB2E02"/>
    <w:rsid w:val="00AB2E36"/>
    <w:rsid w:val="00AB2E8A"/>
    <w:rsid w:val="00AB2F10"/>
    <w:rsid w:val="00AB2F68"/>
    <w:rsid w:val="00AB30B5"/>
    <w:rsid w:val="00AB31F2"/>
    <w:rsid w:val="00AB3255"/>
    <w:rsid w:val="00AB3459"/>
    <w:rsid w:val="00AB34D9"/>
    <w:rsid w:val="00AB351C"/>
    <w:rsid w:val="00AB3556"/>
    <w:rsid w:val="00AB357C"/>
    <w:rsid w:val="00AB35B3"/>
    <w:rsid w:val="00AB3607"/>
    <w:rsid w:val="00AB3796"/>
    <w:rsid w:val="00AB3810"/>
    <w:rsid w:val="00AB387D"/>
    <w:rsid w:val="00AB3893"/>
    <w:rsid w:val="00AB38E1"/>
    <w:rsid w:val="00AB3951"/>
    <w:rsid w:val="00AB3A5E"/>
    <w:rsid w:val="00AB3AC4"/>
    <w:rsid w:val="00AB3B92"/>
    <w:rsid w:val="00AB3C24"/>
    <w:rsid w:val="00AB3D8E"/>
    <w:rsid w:val="00AB3DBB"/>
    <w:rsid w:val="00AB4035"/>
    <w:rsid w:val="00AB405D"/>
    <w:rsid w:val="00AB4123"/>
    <w:rsid w:val="00AB413F"/>
    <w:rsid w:val="00AB4177"/>
    <w:rsid w:val="00AB4238"/>
    <w:rsid w:val="00AB4297"/>
    <w:rsid w:val="00AB42A8"/>
    <w:rsid w:val="00AB44E3"/>
    <w:rsid w:val="00AB458E"/>
    <w:rsid w:val="00AB4608"/>
    <w:rsid w:val="00AB466B"/>
    <w:rsid w:val="00AB46D3"/>
    <w:rsid w:val="00AB46EC"/>
    <w:rsid w:val="00AB4778"/>
    <w:rsid w:val="00AB47A3"/>
    <w:rsid w:val="00AB47B6"/>
    <w:rsid w:val="00AB4894"/>
    <w:rsid w:val="00AB48BC"/>
    <w:rsid w:val="00AB4A50"/>
    <w:rsid w:val="00AB4A57"/>
    <w:rsid w:val="00AB4C9D"/>
    <w:rsid w:val="00AB4CA0"/>
    <w:rsid w:val="00AB4CA4"/>
    <w:rsid w:val="00AB4D4C"/>
    <w:rsid w:val="00AB4D4F"/>
    <w:rsid w:val="00AB4DB6"/>
    <w:rsid w:val="00AB4DD4"/>
    <w:rsid w:val="00AB4EB4"/>
    <w:rsid w:val="00AB4EC0"/>
    <w:rsid w:val="00AB4EEC"/>
    <w:rsid w:val="00AB4F35"/>
    <w:rsid w:val="00AB5333"/>
    <w:rsid w:val="00AB533E"/>
    <w:rsid w:val="00AB533F"/>
    <w:rsid w:val="00AB5516"/>
    <w:rsid w:val="00AB552F"/>
    <w:rsid w:val="00AB55AA"/>
    <w:rsid w:val="00AB5644"/>
    <w:rsid w:val="00AB564D"/>
    <w:rsid w:val="00AB56D6"/>
    <w:rsid w:val="00AB5700"/>
    <w:rsid w:val="00AB5726"/>
    <w:rsid w:val="00AB575E"/>
    <w:rsid w:val="00AB57BE"/>
    <w:rsid w:val="00AB5899"/>
    <w:rsid w:val="00AB58C7"/>
    <w:rsid w:val="00AB58EA"/>
    <w:rsid w:val="00AB58EF"/>
    <w:rsid w:val="00AB5969"/>
    <w:rsid w:val="00AB5AB6"/>
    <w:rsid w:val="00AB5BA8"/>
    <w:rsid w:val="00AB5C38"/>
    <w:rsid w:val="00AB5C96"/>
    <w:rsid w:val="00AB5CE1"/>
    <w:rsid w:val="00AB5DAE"/>
    <w:rsid w:val="00AB5DF9"/>
    <w:rsid w:val="00AB5E15"/>
    <w:rsid w:val="00AB5E76"/>
    <w:rsid w:val="00AB5E97"/>
    <w:rsid w:val="00AB5FEC"/>
    <w:rsid w:val="00AB6004"/>
    <w:rsid w:val="00AB61B3"/>
    <w:rsid w:val="00AB642C"/>
    <w:rsid w:val="00AB64B4"/>
    <w:rsid w:val="00AB64B8"/>
    <w:rsid w:val="00AB6589"/>
    <w:rsid w:val="00AB664C"/>
    <w:rsid w:val="00AB66D5"/>
    <w:rsid w:val="00AB6778"/>
    <w:rsid w:val="00AB6867"/>
    <w:rsid w:val="00AB6890"/>
    <w:rsid w:val="00AB6925"/>
    <w:rsid w:val="00AB6A75"/>
    <w:rsid w:val="00AB6B5F"/>
    <w:rsid w:val="00AB6DB3"/>
    <w:rsid w:val="00AB6E06"/>
    <w:rsid w:val="00AB6E92"/>
    <w:rsid w:val="00AB6EF6"/>
    <w:rsid w:val="00AB6F0B"/>
    <w:rsid w:val="00AB6F42"/>
    <w:rsid w:val="00AB705B"/>
    <w:rsid w:val="00AB7113"/>
    <w:rsid w:val="00AB715A"/>
    <w:rsid w:val="00AB7170"/>
    <w:rsid w:val="00AB72CE"/>
    <w:rsid w:val="00AB7452"/>
    <w:rsid w:val="00AB7464"/>
    <w:rsid w:val="00AB7468"/>
    <w:rsid w:val="00AB74F5"/>
    <w:rsid w:val="00AB75D7"/>
    <w:rsid w:val="00AB780F"/>
    <w:rsid w:val="00AB78AC"/>
    <w:rsid w:val="00AB7987"/>
    <w:rsid w:val="00AB799A"/>
    <w:rsid w:val="00AB7ACD"/>
    <w:rsid w:val="00AB7AEC"/>
    <w:rsid w:val="00AB7B47"/>
    <w:rsid w:val="00AB7BBC"/>
    <w:rsid w:val="00AB7BE7"/>
    <w:rsid w:val="00AB7C2F"/>
    <w:rsid w:val="00AB7C78"/>
    <w:rsid w:val="00AB7CDE"/>
    <w:rsid w:val="00AB7D11"/>
    <w:rsid w:val="00AB7DFB"/>
    <w:rsid w:val="00AB7E21"/>
    <w:rsid w:val="00AB7F65"/>
    <w:rsid w:val="00AC0016"/>
    <w:rsid w:val="00AC00DB"/>
    <w:rsid w:val="00AC01D9"/>
    <w:rsid w:val="00AC0340"/>
    <w:rsid w:val="00AC0383"/>
    <w:rsid w:val="00AC056D"/>
    <w:rsid w:val="00AC06FB"/>
    <w:rsid w:val="00AC07B7"/>
    <w:rsid w:val="00AC07B8"/>
    <w:rsid w:val="00AC08B6"/>
    <w:rsid w:val="00AC08C1"/>
    <w:rsid w:val="00AC08F7"/>
    <w:rsid w:val="00AC0A8C"/>
    <w:rsid w:val="00AC0CCD"/>
    <w:rsid w:val="00AC0E4C"/>
    <w:rsid w:val="00AC0EE1"/>
    <w:rsid w:val="00AC0EE4"/>
    <w:rsid w:val="00AC0EEC"/>
    <w:rsid w:val="00AC0FA7"/>
    <w:rsid w:val="00AC1087"/>
    <w:rsid w:val="00AC10DE"/>
    <w:rsid w:val="00AC10E7"/>
    <w:rsid w:val="00AC111B"/>
    <w:rsid w:val="00AC112A"/>
    <w:rsid w:val="00AC11ED"/>
    <w:rsid w:val="00AC1306"/>
    <w:rsid w:val="00AC1375"/>
    <w:rsid w:val="00AC1390"/>
    <w:rsid w:val="00AC1444"/>
    <w:rsid w:val="00AC151A"/>
    <w:rsid w:val="00AC1551"/>
    <w:rsid w:val="00AC175F"/>
    <w:rsid w:val="00AC1780"/>
    <w:rsid w:val="00AC17DF"/>
    <w:rsid w:val="00AC1822"/>
    <w:rsid w:val="00AC18CB"/>
    <w:rsid w:val="00AC197C"/>
    <w:rsid w:val="00AC19A1"/>
    <w:rsid w:val="00AC1A6D"/>
    <w:rsid w:val="00AC1DAE"/>
    <w:rsid w:val="00AC1E10"/>
    <w:rsid w:val="00AC1F1D"/>
    <w:rsid w:val="00AC208D"/>
    <w:rsid w:val="00AC20D3"/>
    <w:rsid w:val="00AC216F"/>
    <w:rsid w:val="00AC224D"/>
    <w:rsid w:val="00AC225D"/>
    <w:rsid w:val="00AC2426"/>
    <w:rsid w:val="00AC2439"/>
    <w:rsid w:val="00AC2443"/>
    <w:rsid w:val="00AC248C"/>
    <w:rsid w:val="00AC24E8"/>
    <w:rsid w:val="00AC2569"/>
    <w:rsid w:val="00AC2588"/>
    <w:rsid w:val="00AC2629"/>
    <w:rsid w:val="00AC2695"/>
    <w:rsid w:val="00AC269C"/>
    <w:rsid w:val="00AC29A8"/>
    <w:rsid w:val="00AC2B3F"/>
    <w:rsid w:val="00AC2B85"/>
    <w:rsid w:val="00AC2C98"/>
    <w:rsid w:val="00AC2F1C"/>
    <w:rsid w:val="00AC2F5C"/>
    <w:rsid w:val="00AC2FDA"/>
    <w:rsid w:val="00AC2FFB"/>
    <w:rsid w:val="00AC3042"/>
    <w:rsid w:val="00AC3080"/>
    <w:rsid w:val="00AC30FE"/>
    <w:rsid w:val="00AC31AD"/>
    <w:rsid w:val="00AC32BA"/>
    <w:rsid w:val="00AC331D"/>
    <w:rsid w:val="00AC3396"/>
    <w:rsid w:val="00AC346E"/>
    <w:rsid w:val="00AC3496"/>
    <w:rsid w:val="00AC34E7"/>
    <w:rsid w:val="00AC351B"/>
    <w:rsid w:val="00AC362E"/>
    <w:rsid w:val="00AC3685"/>
    <w:rsid w:val="00AC3977"/>
    <w:rsid w:val="00AC3A41"/>
    <w:rsid w:val="00AC3BF2"/>
    <w:rsid w:val="00AC3C34"/>
    <w:rsid w:val="00AC3D91"/>
    <w:rsid w:val="00AC3E0E"/>
    <w:rsid w:val="00AC3F07"/>
    <w:rsid w:val="00AC3FBB"/>
    <w:rsid w:val="00AC40EF"/>
    <w:rsid w:val="00AC4157"/>
    <w:rsid w:val="00AC4171"/>
    <w:rsid w:val="00AC41A5"/>
    <w:rsid w:val="00AC41FA"/>
    <w:rsid w:val="00AC4299"/>
    <w:rsid w:val="00AC43D9"/>
    <w:rsid w:val="00AC43E2"/>
    <w:rsid w:val="00AC4408"/>
    <w:rsid w:val="00AC446A"/>
    <w:rsid w:val="00AC4539"/>
    <w:rsid w:val="00AC46B0"/>
    <w:rsid w:val="00AC470D"/>
    <w:rsid w:val="00AC4796"/>
    <w:rsid w:val="00AC4965"/>
    <w:rsid w:val="00AC49A4"/>
    <w:rsid w:val="00AC49C3"/>
    <w:rsid w:val="00AC49C5"/>
    <w:rsid w:val="00AC49F5"/>
    <w:rsid w:val="00AC4AE9"/>
    <w:rsid w:val="00AC4B02"/>
    <w:rsid w:val="00AC4C0C"/>
    <w:rsid w:val="00AC4CB3"/>
    <w:rsid w:val="00AC4D2D"/>
    <w:rsid w:val="00AC4E64"/>
    <w:rsid w:val="00AC4EFC"/>
    <w:rsid w:val="00AC4FD0"/>
    <w:rsid w:val="00AC50F4"/>
    <w:rsid w:val="00AC5105"/>
    <w:rsid w:val="00AC518A"/>
    <w:rsid w:val="00AC522A"/>
    <w:rsid w:val="00AC528A"/>
    <w:rsid w:val="00AC5539"/>
    <w:rsid w:val="00AC559F"/>
    <w:rsid w:val="00AC55EA"/>
    <w:rsid w:val="00AC55EE"/>
    <w:rsid w:val="00AC565D"/>
    <w:rsid w:val="00AC569D"/>
    <w:rsid w:val="00AC56D6"/>
    <w:rsid w:val="00AC571B"/>
    <w:rsid w:val="00AC57C4"/>
    <w:rsid w:val="00AC580A"/>
    <w:rsid w:val="00AC5817"/>
    <w:rsid w:val="00AC5827"/>
    <w:rsid w:val="00AC586F"/>
    <w:rsid w:val="00AC587A"/>
    <w:rsid w:val="00AC5A65"/>
    <w:rsid w:val="00AC5C0C"/>
    <w:rsid w:val="00AC5D5B"/>
    <w:rsid w:val="00AC6018"/>
    <w:rsid w:val="00AC6093"/>
    <w:rsid w:val="00AC6269"/>
    <w:rsid w:val="00AC6292"/>
    <w:rsid w:val="00AC6376"/>
    <w:rsid w:val="00AC64CE"/>
    <w:rsid w:val="00AC6502"/>
    <w:rsid w:val="00AC657A"/>
    <w:rsid w:val="00AC6598"/>
    <w:rsid w:val="00AC65DC"/>
    <w:rsid w:val="00AC65F2"/>
    <w:rsid w:val="00AC66B9"/>
    <w:rsid w:val="00AC67D9"/>
    <w:rsid w:val="00AC67F9"/>
    <w:rsid w:val="00AC6828"/>
    <w:rsid w:val="00AC684F"/>
    <w:rsid w:val="00AC69A1"/>
    <w:rsid w:val="00AC6BAE"/>
    <w:rsid w:val="00AC6BFD"/>
    <w:rsid w:val="00AC6C87"/>
    <w:rsid w:val="00AC6CE0"/>
    <w:rsid w:val="00AC6CF4"/>
    <w:rsid w:val="00AC6D16"/>
    <w:rsid w:val="00AC6DB7"/>
    <w:rsid w:val="00AC6DE6"/>
    <w:rsid w:val="00AC6EE4"/>
    <w:rsid w:val="00AC7078"/>
    <w:rsid w:val="00AC72D6"/>
    <w:rsid w:val="00AC74EA"/>
    <w:rsid w:val="00AC7574"/>
    <w:rsid w:val="00AC7899"/>
    <w:rsid w:val="00AC78DA"/>
    <w:rsid w:val="00AC7953"/>
    <w:rsid w:val="00AC7B47"/>
    <w:rsid w:val="00AC7B48"/>
    <w:rsid w:val="00AC7BEC"/>
    <w:rsid w:val="00AC7C3E"/>
    <w:rsid w:val="00AC7C5B"/>
    <w:rsid w:val="00AC7CF2"/>
    <w:rsid w:val="00AC7D03"/>
    <w:rsid w:val="00AC7DA3"/>
    <w:rsid w:val="00AD0024"/>
    <w:rsid w:val="00AD0029"/>
    <w:rsid w:val="00AD005D"/>
    <w:rsid w:val="00AD006F"/>
    <w:rsid w:val="00AD0123"/>
    <w:rsid w:val="00AD043A"/>
    <w:rsid w:val="00AD0557"/>
    <w:rsid w:val="00AD074F"/>
    <w:rsid w:val="00AD076B"/>
    <w:rsid w:val="00AD07A8"/>
    <w:rsid w:val="00AD08CB"/>
    <w:rsid w:val="00AD0A06"/>
    <w:rsid w:val="00AD0BA7"/>
    <w:rsid w:val="00AD0BE9"/>
    <w:rsid w:val="00AD0E3E"/>
    <w:rsid w:val="00AD0E3F"/>
    <w:rsid w:val="00AD0E83"/>
    <w:rsid w:val="00AD0ED3"/>
    <w:rsid w:val="00AD0F3A"/>
    <w:rsid w:val="00AD0F9A"/>
    <w:rsid w:val="00AD100A"/>
    <w:rsid w:val="00AD1032"/>
    <w:rsid w:val="00AD10C3"/>
    <w:rsid w:val="00AD11C9"/>
    <w:rsid w:val="00AD1256"/>
    <w:rsid w:val="00AD1282"/>
    <w:rsid w:val="00AD128E"/>
    <w:rsid w:val="00AD13A5"/>
    <w:rsid w:val="00AD1442"/>
    <w:rsid w:val="00AD1514"/>
    <w:rsid w:val="00AD155E"/>
    <w:rsid w:val="00AD1633"/>
    <w:rsid w:val="00AD1639"/>
    <w:rsid w:val="00AD1665"/>
    <w:rsid w:val="00AD166E"/>
    <w:rsid w:val="00AD1674"/>
    <w:rsid w:val="00AD16E8"/>
    <w:rsid w:val="00AD181D"/>
    <w:rsid w:val="00AD183B"/>
    <w:rsid w:val="00AD196F"/>
    <w:rsid w:val="00AD1A12"/>
    <w:rsid w:val="00AD1B7E"/>
    <w:rsid w:val="00AD1CEE"/>
    <w:rsid w:val="00AD1DF8"/>
    <w:rsid w:val="00AD1EC4"/>
    <w:rsid w:val="00AD1FE1"/>
    <w:rsid w:val="00AD20B6"/>
    <w:rsid w:val="00AD20D6"/>
    <w:rsid w:val="00AD2148"/>
    <w:rsid w:val="00AD2156"/>
    <w:rsid w:val="00AD21EC"/>
    <w:rsid w:val="00AD22B7"/>
    <w:rsid w:val="00AD23AD"/>
    <w:rsid w:val="00AD23B7"/>
    <w:rsid w:val="00AD245E"/>
    <w:rsid w:val="00AD24FF"/>
    <w:rsid w:val="00AD251D"/>
    <w:rsid w:val="00AD252F"/>
    <w:rsid w:val="00AD25A2"/>
    <w:rsid w:val="00AD25A8"/>
    <w:rsid w:val="00AD2612"/>
    <w:rsid w:val="00AD2647"/>
    <w:rsid w:val="00AD2746"/>
    <w:rsid w:val="00AD274E"/>
    <w:rsid w:val="00AD2763"/>
    <w:rsid w:val="00AD2857"/>
    <w:rsid w:val="00AD28F6"/>
    <w:rsid w:val="00AD2996"/>
    <w:rsid w:val="00AD2ADA"/>
    <w:rsid w:val="00AD2CDF"/>
    <w:rsid w:val="00AD2D44"/>
    <w:rsid w:val="00AD2E96"/>
    <w:rsid w:val="00AD2FBC"/>
    <w:rsid w:val="00AD2FC9"/>
    <w:rsid w:val="00AD30BB"/>
    <w:rsid w:val="00AD315A"/>
    <w:rsid w:val="00AD31CE"/>
    <w:rsid w:val="00AD328A"/>
    <w:rsid w:val="00AD3399"/>
    <w:rsid w:val="00AD34E4"/>
    <w:rsid w:val="00AD3513"/>
    <w:rsid w:val="00AD35B3"/>
    <w:rsid w:val="00AD36A8"/>
    <w:rsid w:val="00AD36F7"/>
    <w:rsid w:val="00AD3728"/>
    <w:rsid w:val="00AD3732"/>
    <w:rsid w:val="00AD3745"/>
    <w:rsid w:val="00AD3764"/>
    <w:rsid w:val="00AD37D2"/>
    <w:rsid w:val="00AD3837"/>
    <w:rsid w:val="00AD389D"/>
    <w:rsid w:val="00AD38A3"/>
    <w:rsid w:val="00AD38EA"/>
    <w:rsid w:val="00AD3908"/>
    <w:rsid w:val="00AD399E"/>
    <w:rsid w:val="00AD3A16"/>
    <w:rsid w:val="00AD3D5A"/>
    <w:rsid w:val="00AD3E61"/>
    <w:rsid w:val="00AD3EB9"/>
    <w:rsid w:val="00AD3EC2"/>
    <w:rsid w:val="00AD3EEB"/>
    <w:rsid w:val="00AD3FAB"/>
    <w:rsid w:val="00AD3FFE"/>
    <w:rsid w:val="00AD4043"/>
    <w:rsid w:val="00AD40C3"/>
    <w:rsid w:val="00AD415B"/>
    <w:rsid w:val="00AD4173"/>
    <w:rsid w:val="00AD4193"/>
    <w:rsid w:val="00AD421F"/>
    <w:rsid w:val="00AD42BE"/>
    <w:rsid w:val="00AD42CB"/>
    <w:rsid w:val="00AD42F0"/>
    <w:rsid w:val="00AD4390"/>
    <w:rsid w:val="00AD43C7"/>
    <w:rsid w:val="00AD4433"/>
    <w:rsid w:val="00AD463C"/>
    <w:rsid w:val="00AD468A"/>
    <w:rsid w:val="00AD46FF"/>
    <w:rsid w:val="00AD4751"/>
    <w:rsid w:val="00AD485F"/>
    <w:rsid w:val="00AD4899"/>
    <w:rsid w:val="00AD4920"/>
    <w:rsid w:val="00AD49A7"/>
    <w:rsid w:val="00AD4A00"/>
    <w:rsid w:val="00AD4A31"/>
    <w:rsid w:val="00AD4B27"/>
    <w:rsid w:val="00AD4BE6"/>
    <w:rsid w:val="00AD4D27"/>
    <w:rsid w:val="00AD4D47"/>
    <w:rsid w:val="00AD4DA1"/>
    <w:rsid w:val="00AD4DDD"/>
    <w:rsid w:val="00AD4E90"/>
    <w:rsid w:val="00AD4F12"/>
    <w:rsid w:val="00AD4FC7"/>
    <w:rsid w:val="00AD5058"/>
    <w:rsid w:val="00AD50DB"/>
    <w:rsid w:val="00AD5139"/>
    <w:rsid w:val="00AD5171"/>
    <w:rsid w:val="00AD5222"/>
    <w:rsid w:val="00AD5266"/>
    <w:rsid w:val="00AD546D"/>
    <w:rsid w:val="00AD54B1"/>
    <w:rsid w:val="00AD554D"/>
    <w:rsid w:val="00AD55C6"/>
    <w:rsid w:val="00AD55CB"/>
    <w:rsid w:val="00AD5609"/>
    <w:rsid w:val="00AD56F2"/>
    <w:rsid w:val="00AD578D"/>
    <w:rsid w:val="00AD581B"/>
    <w:rsid w:val="00AD583E"/>
    <w:rsid w:val="00AD5842"/>
    <w:rsid w:val="00AD584A"/>
    <w:rsid w:val="00AD588F"/>
    <w:rsid w:val="00AD5894"/>
    <w:rsid w:val="00AD58C1"/>
    <w:rsid w:val="00AD58E9"/>
    <w:rsid w:val="00AD5927"/>
    <w:rsid w:val="00AD5938"/>
    <w:rsid w:val="00AD5A04"/>
    <w:rsid w:val="00AD5A0C"/>
    <w:rsid w:val="00AD5A47"/>
    <w:rsid w:val="00AD5A56"/>
    <w:rsid w:val="00AD5B4A"/>
    <w:rsid w:val="00AD5B6B"/>
    <w:rsid w:val="00AD5BD4"/>
    <w:rsid w:val="00AD5D09"/>
    <w:rsid w:val="00AD5D34"/>
    <w:rsid w:val="00AD5D5A"/>
    <w:rsid w:val="00AD5D67"/>
    <w:rsid w:val="00AD5DAB"/>
    <w:rsid w:val="00AD5DB2"/>
    <w:rsid w:val="00AD5F18"/>
    <w:rsid w:val="00AD6029"/>
    <w:rsid w:val="00AD60D0"/>
    <w:rsid w:val="00AD6388"/>
    <w:rsid w:val="00AD6567"/>
    <w:rsid w:val="00AD65A4"/>
    <w:rsid w:val="00AD6645"/>
    <w:rsid w:val="00AD6663"/>
    <w:rsid w:val="00AD6693"/>
    <w:rsid w:val="00AD66A9"/>
    <w:rsid w:val="00AD66DE"/>
    <w:rsid w:val="00AD67FC"/>
    <w:rsid w:val="00AD6816"/>
    <w:rsid w:val="00AD68DB"/>
    <w:rsid w:val="00AD691E"/>
    <w:rsid w:val="00AD699D"/>
    <w:rsid w:val="00AD6AF5"/>
    <w:rsid w:val="00AD6B6E"/>
    <w:rsid w:val="00AD6BF6"/>
    <w:rsid w:val="00AD6DC5"/>
    <w:rsid w:val="00AD6E04"/>
    <w:rsid w:val="00AD6ED9"/>
    <w:rsid w:val="00AD6F00"/>
    <w:rsid w:val="00AD6F48"/>
    <w:rsid w:val="00AD6FBD"/>
    <w:rsid w:val="00AD7056"/>
    <w:rsid w:val="00AD70A1"/>
    <w:rsid w:val="00AD7109"/>
    <w:rsid w:val="00AD7126"/>
    <w:rsid w:val="00AD718B"/>
    <w:rsid w:val="00AD71F1"/>
    <w:rsid w:val="00AD722C"/>
    <w:rsid w:val="00AD722E"/>
    <w:rsid w:val="00AD72E8"/>
    <w:rsid w:val="00AD73D7"/>
    <w:rsid w:val="00AD745C"/>
    <w:rsid w:val="00AD7464"/>
    <w:rsid w:val="00AD749D"/>
    <w:rsid w:val="00AD74D9"/>
    <w:rsid w:val="00AD751B"/>
    <w:rsid w:val="00AD75B5"/>
    <w:rsid w:val="00AD760E"/>
    <w:rsid w:val="00AD76D3"/>
    <w:rsid w:val="00AD77F8"/>
    <w:rsid w:val="00AD78EE"/>
    <w:rsid w:val="00AD7A71"/>
    <w:rsid w:val="00AD7B1D"/>
    <w:rsid w:val="00AD7B44"/>
    <w:rsid w:val="00AD7C31"/>
    <w:rsid w:val="00AD7C8A"/>
    <w:rsid w:val="00AE0067"/>
    <w:rsid w:val="00AE0092"/>
    <w:rsid w:val="00AE00B8"/>
    <w:rsid w:val="00AE00D1"/>
    <w:rsid w:val="00AE01B8"/>
    <w:rsid w:val="00AE01E5"/>
    <w:rsid w:val="00AE02C4"/>
    <w:rsid w:val="00AE02ED"/>
    <w:rsid w:val="00AE042F"/>
    <w:rsid w:val="00AE0544"/>
    <w:rsid w:val="00AE0584"/>
    <w:rsid w:val="00AE06F0"/>
    <w:rsid w:val="00AE0959"/>
    <w:rsid w:val="00AE09DB"/>
    <w:rsid w:val="00AE0AF5"/>
    <w:rsid w:val="00AE0B2E"/>
    <w:rsid w:val="00AE0B88"/>
    <w:rsid w:val="00AE0BBC"/>
    <w:rsid w:val="00AE0F03"/>
    <w:rsid w:val="00AE0FB3"/>
    <w:rsid w:val="00AE0FE1"/>
    <w:rsid w:val="00AE13D9"/>
    <w:rsid w:val="00AE1431"/>
    <w:rsid w:val="00AE1490"/>
    <w:rsid w:val="00AE15DE"/>
    <w:rsid w:val="00AE15E1"/>
    <w:rsid w:val="00AE1951"/>
    <w:rsid w:val="00AE1963"/>
    <w:rsid w:val="00AE1B0A"/>
    <w:rsid w:val="00AE1B6A"/>
    <w:rsid w:val="00AE1BDE"/>
    <w:rsid w:val="00AE1DD3"/>
    <w:rsid w:val="00AE1F55"/>
    <w:rsid w:val="00AE1F91"/>
    <w:rsid w:val="00AE1F94"/>
    <w:rsid w:val="00AE221C"/>
    <w:rsid w:val="00AE2282"/>
    <w:rsid w:val="00AE2359"/>
    <w:rsid w:val="00AE241F"/>
    <w:rsid w:val="00AE254B"/>
    <w:rsid w:val="00AE257B"/>
    <w:rsid w:val="00AE27A7"/>
    <w:rsid w:val="00AE28A3"/>
    <w:rsid w:val="00AE2922"/>
    <w:rsid w:val="00AE2969"/>
    <w:rsid w:val="00AE29D2"/>
    <w:rsid w:val="00AE2A29"/>
    <w:rsid w:val="00AE2A45"/>
    <w:rsid w:val="00AE2A9B"/>
    <w:rsid w:val="00AE2BAC"/>
    <w:rsid w:val="00AE2BD3"/>
    <w:rsid w:val="00AE2C71"/>
    <w:rsid w:val="00AE2DAA"/>
    <w:rsid w:val="00AE2E07"/>
    <w:rsid w:val="00AE2EBB"/>
    <w:rsid w:val="00AE2F91"/>
    <w:rsid w:val="00AE304E"/>
    <w:rsid w:val="00AE30A3"/>
    <w:rsid w:val="00AE30C8"/>
    <w:rsid w:val="00AE3208"/>
    <w:rsid w:val="00AE321B"/>
    <w:rsid w:val="00AE3269"/>
    <w:rsid w:val="00AE327B"/>
    <w:rsid w:val="00AE33B0"/>
    <w:rsid w:val="00AE3406"/>
    <w:rsid w:val="00AE3475"/>
    <w:rsid w:val="00AE35FD"/>
    <w:rsid w:val="00AE36DA"/>
    <w:rsid w:val="00AE378E"/>
    <w:rsid w:val="00AE3875"/>
    <w:rsid w:val="00AE390E"/>
    <w:rsid w:val="00AE392F"/>
    <w:rsid w:val="00AE39ED"/>
    <w:rsid w:val="00AE39FE"/>
    <w:rsid w:val="00AE3A21"/>
    <w:rsid w:val="00AE3A30"/>
    <w:rsid w:val="00AE3BF9"/>
    <w:rsid w:val="00AE3CCC"/>
    <w:rsid w:val="00AE3DA5"/>
    <w:rsid w:val="00AE3EAF"/>
    <w:rsid w:val="00AE4006"/>
    <w:rsid w:val="00AE413C"/>
    <w:rsid w:val="00AE4199"/>
    <w:rsid w:val="00AE4380"/>
    <w:rsid w:val="00AE43FE"/>
    <w:rsid w:val="00AE4463"/>
    <w:rsid w:val="00AE452E"/>
    <w:rsid w:val="00AE4677"/>
    <w:rsid w:val="00AE46DB"/>
    <w:rsid w:val="00AE47B6"/>
    <w:rsid w:val="00AE47D1"/>
    <w:rsid w:val="00AE47FC"/>
    <w:rsid w:val="00AE48EE"/>
    <w:rsid w:val="00AE4A62"/>
    <w:rsid w:val="00AE4AEB"/>
    <w:rsid w:val="00AE4BB0"/>
    <w:rsid w:val="00AE4D86"/>
    <w:rsid w:val="00AE4E39"/>
    <w:rsid w:val="00AE4EE9"/>
    <w:rsid w:val="00AE4F24"/>
    <w:rsid w:val="00AE5094"/>
    <w:rsid w:val="00AE51EB"/>
    <w:rsid w:val="00AE5260"/>
    <w:rsid w:val="00AE5271"/>
    <w:rsid w:val="00AE54CC"/>
    <w:rsid w:val="00AE5589"/>
    <w:rsid w:val="00AE5598"/>
    <w:rsid w:val="00AE55BD"/>
    <w:rsid w:val="00AE55F1"/>
    <w:rsid w:val="00AE5606"/>
    <w:rsid w:val="00AE5620"/>
    <w:rsid w:val="00AE5755"/>
    <w:rsid w:val="00AE5824"/>
    <w:rsid w:val="00AE585D"/>
    <w:rsid w:val="00AE598F"/>
    <w:rsid w:val="00AE59DA"/>
    <w:rsid w:val="00AE5B4A"/>
    <w:rsid w:val="00AE5B78"/>
    <w:rsid w:val="00AE5BAE"/>
    <w:rsid w:val="00AE5D18"/>
    <w:rsid w:val="00AE5E42"/>
    <w:rsid w:val="00AE5E55"/>
    <w:rsid w:val="00AE6120"/>
    <w:rsid w:val="00AE6128"/>
    <w:rsid w:val="00AE6254"/>
    <w:rsid w:val="00AE626B"/>
    <w:rsid w:val="00AE6322"/>
    <w:rsid w:val="00AE633D"/>
    <w:rsid w:val="00AE637B"/>
    <w:rsid w:val="00AE63E1"/>
    <w:rsid w:val="00AE6406"/>
    <w:rsid w:val="00AE64D2"/>
    <w:rsid w:val="00AE655F"/>
    <w:rsid w:val="00AE65D5"/>
    <w:rsid w:val="00AE6724"/>
    <w:rsid w:val="00AE672E"/>
    <w:rsid w:val="00AE6782"/>
    <w:rsid w:val="00AE6859"/>
    <w:rsid w:val="00AE6928"/>
    <w:rsid w:val="00AE69FD"/>
    <w:rsid w:val="00AE6A53"/>
    <w:rsid w:val="00AE6A63"/>
    <w:rsid w:val="00AE6AA6"/>
    <w:rsid w:val="00AE6AF7"/>
    <w:rsid w:val="00AE6B08"/>
    <w:rsid w:val="00AE6B44"/>
    <w:rsid w:val="00AE6C70"/>
    <w:rsid w:val="00AE6CC2"/>
    <w:rsid w:val="00AE6E5C"/>
    <w:rsid w:val="00AE6E63"/>
    <w:rsid w:val="00AE6EE3"/>
    <w:rsid w:val="00AE6F2B"/>
    <w:rsid w:val="00AE6F62"/>
    <w:rsid w:val="00AE6FB5"/>
    <w:rsid w:val="00AE6FDC"/>
    <w:rsid w:val="00AE700B"/>
    <w:rsid w:val="00AE70AD"/>
    <w:rsid w:val="00AE70FC"/>
    <w:rsid w:val="00AE71A0"/>
    <w:rsid w:val="00AE72FC"/>
    <w:rsid w:val="00AE7310"/>
    <w:rsid w:val="00AE7362"/>
    <w:rsid w:val="00AE7396"/>
    <w:rsid w:val="00AE73C2"/>
    <w:rsid w:val="00AE74F8"/>
    <w:rsid w:val="00AE7576"/>
    <w:rsid w:val="00AE76DE"/>
    <w:rsid w:val="00AE7706"/>
    <w:rsid w:val="00AE77D8"/>
    <w:rsid w:val="00AE77FF"/>
    <w:rsid w:val="00AE782E"/>
    <w:rsid w:val="00AE782F"/>
    <w:rsid w:val="00AE7878"/>
    <w:rsid w:val="00AE7911"/>
    <w:rsid w:val="00AE79E0"/>
    <w:rsid w:val="00AE7A13"/>
    <w:rsid w:val="00AE7A25"/>
    <w:rsid w:val="00AE7A39"/>
    <w:rsid w:val="00AE7A52"/>
    <w:rsid w:val="00AE7AC2"/>
    <w:rsid w:val="00AE7B0C"/>
    <w:rsid w:val="00AE7BD3"/>
    <w:rsid w:val="00AE7BEA"/>
    <w:rsid w:val="00AE7D4F"/>
    <w:rsid w:val="00AE7E66"/>
    <w:rsid w:val="00AE7F0A"/>
    <w:rsid w:val="00AF0211"/>
    <w:rsid w:val="00AF0234"/>
    <w:rsid w:val="00AF02CD"/>
    <w:rsid w:val="00AF02EB"/>
    <w:rsid w:val="00AF033B"/>
    <w:rsid w:val="00AF038A"/>
    <w:rsid w:val="00AF03ED"/>
    <w:rsid w:val="00AF042F"/>
    <w:rsid w:val="00AF04D4"/>
    <w:rsid w:val="00AF05BD"/>
    <w:rsid w:val="00AF0797"/>
    <w:rsid w:val="00AF07CF"/>
    <w:rsid w:val="00AF0AC5"/>
    <w:rsid w:val="00AF0AD4"/>
    <w:rsid w:val="00AF0B31"/>
    <w:rsid w:val="00AF0BA5"/>
    <w:rsid w:val="00AF0D19"/>
    <w:rsid w:val="00AF0F56"/>
    <w:rsid w:val="00AF0F7E"/>
    <w:rsid w:val="00AF1114"/>
    <w:rsid w:val="00AF17A8"/>
    <w:rsid w:val="00AF1871"/>
    <w:rsid w:val="00AF19CC"/>
    <w:rsid w:val="00AF1A5A"/>
    <w:rsid w:val="00AF1B48"/>
    <w:rsid w:val="00AF1C03"/>
    <w:rsid w:val="00AF1C13"/>
    <w:rsid w:val="00AF1DE0"/>
    <w:rsid w:val="00AF1E14"/>
    <w:rsid w:val="00AF1F2A"/>
    <w:rsid w:val="00AF2150"/>
    <w:rsid w:val="00AF2177"/>
    <w:rsid w:val="00AF21E1"/>
    <w:rsid w:val="00AF2264"/>
    <w:rsid w:val="00AF227A"/>
    <w:rsid w:val="00AF22EC"/>
    <w:rsid w:val="00AF2341"/>
    <w:rsid w:val="00AF23BD"/>
    <w:rsid w:val="00AF2419"/>
    <w:rsid w:val="00AF2528"/>
    <w:rsid w:val="00AF255D"/>
    <w:rsid w:val="00AF26C1"/>
    <w:rsid w:val="00AF26E2"/>
    <w:rsid w:val="00AF270F"/>
    <w:rsid w:val="00AF28AC"/>
    <w:rsid w:val="00AF28BA"/>
    <w:rsid w:val="00AF291D"/>
    <w:rsid w:val="00AF29A1"/>
    <w:rsid w:val="00AF29CB"/>
    <w:rsid w:val="00AF2ADC"/>
    <w:rsid w:val="00AF2B03"/>
    <w:rsid w:val="00AF2B9C"/>
    <w:rsid w:val="00AF2C14"/>
    <w:rsid w:val="00AF2CB2"/>
    <w:rsid w:val="00AF2D02"/>
    <w:rsid w:val="00AF2D37"/>
    <w:rsid w:val="00AF2DA2"/>
    <w:rsid w:val="00AF2DC8"/>
    <w:rsid w:val="00AF2E01"/>
    <w:rsid w:val="00AF3056"/>
    <w:rsid w:val="00AF314E"/>
    <w:rsid w:val="00AF31BC"/>
    <w:rsid w:val="00AF31DF"/>
    <w:rsid w:val="00AF31F5"/>
    <w:rsid w:val="00AF3282"/>
    <w:rsid w:val="00AF32A6"/>
    <w:rsid w:val="00AF33CF"/>
    <w:rsid w:val="00AF3401"/>
    <w:rsid w:val="00AF3425"/>
    <w:rsid w:val="00AF345E"/>
    <w:rsid w:val="00AF34E4"/>
    <w:rsid w:val="00AF37D4"/>
    <w:rsid w:val="00AF38AE"/>
    <w:rsid w:val="00AF38D0"/>
    <w:rsid w:val="00AF38EF"/>
    <w:rsid w:val="00AF38F1"/>
    <w:rsid w:val="00AF3920"/>
    <w:rsid w:val="00AF3AB7"/>
    <w:rsid w:val="00AF3B96"/>
    <w:rsid w:val="00AF3C77"/>
    <w:rsid w:val="00AF3CA2"/>
    <w:rsid w:val="00AF3CEF"/>
    <w:rsid w:val="00AF3D27"/>
    <w:rsid w:val="00AF3D93"/>
    <w:rsid w:val="00AF3DAB"/>
    <w:rsid w:val="00AF3E19"/>
    <w:rsid w:val="00AF3E1A"/>
    <w:rsid w:val="00AF3EBA"/>
    <w:rsid w:val="00AF3EBD"/>
    <w:rsid w:val="00AF3ED5"/>
    <w:rsid w:val="00AF3F00"/>
    <w:rsid w:val="00AF3FDA"/>
    <w:rsid w:val="00AF3FEF"/>
    <w:rsid w:val="00AF40D9"/>
    <w:rsid w:val="00AF414B"/>
    <w:rsid w:val="00AF41F0"/>
    <w:rsid w:val="00AF42C8"/>
    <w:rsid w:val="00AF437D"/>
    <w:rsid w:val="00AF4394"/>
    <w:rsid w:val="00AF440B"/>
    <w:rsid w:val="00AF4429"/>
    <w:rsid w:val="00AF46DF"/>
    <w:rsid w:val="00AF47E0"/>
    <w:rsid w:val="00AF4967"/>
    <w:rsid w:val="00AF4976"/>
    <w:rsid w:val="00AF4A58"/>
    <w:rsid w:val="00AF4A65"/>
    <w:rsid w:val="00AF4ADD"/>
    <w:rsid w:val="00AF4B0C"/>
    <w:rsid w:val="00AF4BC6"/>
    <w:rsid w:val="00AF4C35"/>
    <w:rsid w:val="00AF4C49"/>
    <w:rsid w:val="00AF4CEA"/>
    <w:rsid w:val="00AF4F4A"/>
    <w:rsid w:val="00AF500D"/>
    <w:rsid w:val="00AF5078"/>
    <w:rsid w:val="00AF50F9"/>
    <w:rsid w:val="00AF5121"/>
    <w:rsid w:val="00AF525F"/>
    <w:rsid w:val="00AF5307"/>
    <w:rsid w:val="00AF5381"/>
    <w:rsid w:val="00AF53D2"/>
    <w:rsid w:val="00AF5523"/>
    <w:rsid w:val="00AF55CF"/>
    <w:rsid w:val="00AF576A"/>
    <w:rsid w:val="00AF57CC"/>
    <w:rsid w:val="00AF57F1"/>
    <w:rsid w:val="00AF5BCB"/>
    <w:rsid w:val="00AF5BE9"/>
    <w:rsid w:val="00AF5DFA"/>
    <w:rsid w:val="00AF5F08"/>
    <w:rsid w:val="00AF5FF2"/>
    <w:rsid w:val="00AF606A"/>
    <w:rsid w:val="00AF6193"/>
    <w:rsid w:val="00AF6295"/>
    <w:rsid w:val="00AF62EC"/>
    <w:rsid w:val="00AF6342"/>
    <w:rsid w:val="00AF6349"/>
    <w:rsid w:val="00AF6423"/>
    <w:rsid w:val="00AF64CE"/>
    <w:rsid w:val="00AF652A"/>
    <w:rsid w:val="00AF6778"/>
    <w:rsid w:val="00AF682F"/>
    <w:rsid w:val="00AF6901"/>
    <w:rsid w:val="00AF6A39"/>
    <w:rsid w:val="00AF6AC1"/>
    <w:rsid w:val="00AF6B7C"/>
    <w:rsid w:val="00AF6B92"/>
    <w:rsid w:val="00AF6CCF"/>
    <w:rsid w:val="00AF6D24"/>
    <w:rsid w:val="00AF6D4F"/>
    <w:rsid w:val="00AF6FFF"/>
    <w:rsid w:val="00AF7197"/>
    <w:rsid w:val="00AF719E"/>
    <w:rsid w:val="00AF71A6"/>
    <w:rsid w:val="00AF72A5"/>
    <w:rsid w:val="00AF72F3"/>
    <w:rsid w:val="00AF7419"/>
    <w:rsid w:val="00AF7482"/>
    <w:rsid w:val="00AF74D4"/>
    <w:rsid w:val="00AF74E2"/>
    <w:rsid w:val="00AF7580"/>
    <w:rsid w:val="00AF75F0"/>
    <w:rsid w:val="00AF7746"/>
    <w:rsid w:val="00AF7753"/>
    <w:rsid w:val="00AF788F"/>
    <w:rsid w:val="00AF78F2"/>
    <w:rsid w:val="00AF79D8"/>
    <w:rsid w:val="00AF7A69"/>
    <w:rsid w:val="00AF7A6A"/>
    <w:rsid w:val="00AF7B2D"/>
    <w:rsid w:val="00AF7D25"/>
    <w:rsid w:val="00AF7F9E"/>
    <w:rsid w:val="00B00777"/>
    <w:rsid w:val="00B00781"/>
    <w:rsid w:val="00B007BD"/>
    <w:rsid w:val="00B0090C"/>
    <w:rsid w:val="00B0095B"/>
    <w:rsid w:val="00B009DA"/>
    <w:rsid w:val="00B00A6C"/>
    <w:rsid w:val="00B00AFD"/>
    <w:rsid w:val="00B00BCA"/>
    <w:rsid w:val="00B00D44"/>
    <w:rsid w:val="00B00D80"/>
    <w:rsid w:val="00B00D96"/>
    <w:rsid w:val="00B00E42"/>
    <w:rsid w:val="00B00EDC"/>
    <w:rsid w:val="00B00F41"/>
    <w:rsid w:val="00B00F53"/>
    <w:rsid w:val="00B0101F"/>
    <w:rsid w:val="00B01092"/>
    <w:rsid w:val="00B010FB"/>
    <w:rsid w:val="00B01141"/>
    <w:rsid w:val="00B011CB"/>
    <w:rsid w:val="00B012E9"/>
    <w:rsid w:val="00B01316"/>
    <w:rsid w:val="00B014F8"/>
    <w:rsid w:val="00B01519"/>
    <w:rsid w:val="00B0156A"/>
    <w:rsid w:val="00B015A6"/>
    <w:rsid w:val="00B015B4"/>
    <w:rsid w:val="00B015D5"/>
    <w:rsid w:val="00B016DA"/>
    <w:rsid w:val="00B01848"/>
    <w:rsid w:val="00B0186A"/>
    <w:rsid w:val="00B0188D"/>
    <w:rsid w:val="00B01911"/>
    <w:rsid w:val="00B019D3"/>
    <w:rsid w:val="00B01A8F"/>
    <w:rsid w:val="00B01AD8"/>
    <w:rsid w:val="00B01B71"/>
    <w:rsid w:val="00B01B98"/>
    <w:rsid w:val="00B01BD0"/>
    <w:rsid w:val="00B01D41"/>
    <w:rsid w:val="00B01F45"/>
    <w:rsid w:val="00B01F88"/>
    <w:rsid w:val="00B0216A"/>
    <w:rsid w:val="00B021BD"/>
    <w:rsid w:val="00B02287"/>
    <w:rsid w:val="00B022A3"/>
    <w:rsid w:val="00B022E5"/>
    <w:rsid w:val="00B0234A"/>
    <w:rsid w:val="00B024F1"/>
    <w:rsid w:val="00B024F7"/>
    <w:rsid w:val="00B02507"/>
    <w:rsid w:val="00B02523"/>
    <w:rsid w:val="00B025FB"/>
    <w:rsid w:val="00B02612"/>
    <w:rsid w:val="00B0263B"/>
    <w:rsid w:val="00B02775"/>
    <w:rsid w:val="00B027F7"/>
    <w:rsid w:val="00B02B5F"/>
    <w:rsid w:val="00B02C40"/>
    <w:rsid w:val="00B02C4B"/>
    <w:rsid w:val="00B02D90"/>
    <w:rsid w:val="00B02DC8"/>
    <w:rsid w:val="00B02E73"/>
    <w:rsid w:val="00B02FA9"/>
    <w:rsid w:val="00B030BC"/>
    <w:rsid w:val="00B0312E"/>
    <w:rsid w:val="00B031B9"/>
    <w:rsid w:val="00B032C8"/>
    <w:rsid w:val="00B032DF"/>
    <w:rsid w:val="00B032FC"/>
    <w:rsid w:val="00B03332"/>
    <w:rsid w:val="00B03349"/>
    <w:rsid w:val="00B0356C"/>
    <w:rsid w:val="00B036A3"/>
    <w:rsid w:val="00B037C9"/>
    <w:rsid w:val="00B03A58"/>
    <w:rsid w:val="00B03A9C"/>
    <w:rsid w:val="00B03A9E"/>
    <w:rsid w:val="00B03B5F"/>
    <w:rsid w:val="00B03B74"/>
    <w:rsid w:val="00B03B7E"/>
    <w:rsid w:val="00B03BAC"/>
    <w:rsid w:val="00B03BCB"/>
    <w:rsid w:val="00B03BE0"/>
    <w:rsid w:val="00B03CC0"/>
    <w:rsid w:val="00B03DC8"/>
    <w:rsid w:val="00B03DCD"/>
    <w:rsid w:val="00B03E14"/>
    <w:rsid w:val="00B03E2E"/>
    <w:rsid w:val="00B03E9E"/>
    <w:rsid w:val="00B03F85"/>
    <w:rsid w:val="00B04028"/>
    <w:rsid w:val="00B04081"/>
    <w:rsid w:val="00B040A9"/>
    <w:rsid w:val="00B041DF"/>
    <w:rsid w:val="00B04269"/>
    <w:rsid w:val="00B04293"/>
    <w:rsid w:val="00B042CE"/>
    <w:rsid w:val="00B042E8"/>
    <w:rsid w:val="00B04321"/>
    <w:rsid w:val="00B04377"/>
    <w:rsid w:val="00B0440C"/>
    <w:rsid w:val="00B0441B"/>
    <w:rsid w:val="00B045DA"/>
    <w:rsid w:val="00B04670"/>
    <w:rsid w:val="00B04772"/>
    <w:rsid w:val="00B04836"/>
    <w:rsid w:val="00B0494F"/>
    <w:rsid w:val="00B049AB"/>
    <w:rsid w:val="00B04B34"/>
    <w:rsid w:val="00B04B78"/>
    <w:rsid w:val="00B04B93"/>
    <w:rsid w:val="00B04C80"/>
    <w:rsid w:val="00B04CB6"/>
    <w:rsid w:val="00B04D88"/>
    <w:rsid w:val="00B04E23"/>
    <w:rsid w:val="00B04F32"/>
    <w:rsid w:val="00B04F42"/>
    <w:rsid w:val="00B04F75"/>
    <w:rsid w:val="00B04F8C"/>
    <w:rsid w:val="00B050C5"/>
    <w:rsid w:val="00B050C8"/>
    <w:rsid w:val="00B05136"/>
    <w:rsid w:val="00B051C9"/>
    <w:rsid w:val="00B05209"/>
    <w:rsid w:val="00B05259"/>
    <w:rsid w:val="00B05285"/>
    <w:rsid w:val="00B05338"/>
    <w:rsid w:val="00B05450"/>
    <w:rsid w:val="00B0553E"/>
    <w:rsid w:val="00B0559A"/>
    <w:rsid w:val="00B055DD"/>
    <w:rsid w:val="00B0561F"/>
    <w:rsid w:val="00B05660"/>
    <w:rsid w:val="00B0573D"/>
    <w:rsid w:val="00B05760"/>
    <w:rsid w:val="00B057E4"/>
    <w:rsid w:val="00B05870"/>
    <w:rsid w:val="00B05899"/>
    <w:rsid w:val="00B05A5B"/>
    <w:rsid w:val="00B05AFD"/>
    <w:rsid w:val="00B05B53"/>
    <w:rsid w:val="00B05B82"/>
    <w:rsid w:val="00B05C18"/>
    <w:rsid w:val="00B05D41"/>
    <w:rsid w:val="00B05D7E"/>
    <w:rsid w:val="00B05E6F"/>
    <w:rsid w:val="00B06274"/>
    <w:rsid w:val="00B06289"/>
    <w:rsid w:val="00B06297"/>
    <w:rsid w:val="00B06542"/>
    <w:rsid w:val="00B06555"/>
    <w:rsid w:val="00B066A5"/>
    <w:rsid w:val="00B06737"/>
    <w:rsid w:val="00B0674C"/>
    <w:rsid w:val="00B0675C"/>
    <w:rsid w:val="00B067A6"/>
    <w:rsid w:val="00B067F1"/>
    <w:rsid w:val="00B067FD"/>
    <w:rsid w:val="00B06828"/>
    <w:rsid w:val="00B06995"/>
    <w:rsid w:val="00B06B26"/>
    <w:rsid w:val="00B06B37"/>
    <w:rsid w:val="00B06BB0"/>
    <w:rsid w:val="00B06BD2"/>
    <w:rsid w:val="00B06C1E"/>
    <w:rsid w:val="00B06CB2"/>
    <w:rsid w:val="00B06F72"/>
    <w:rsid w:val="00B06F92"/>
    <w:rsid w:val="00B0706F"/>
    <w:rsid w:val="00B071B8"/>
    <w:rsid w:val="00B07296"/>
    <w:rsid w:val="00B072CB"/>
    <w:rsid w:val="00B072DE"/>
    <w:rsid w:val="00B07390"/>
    <w:rsid w:val="00B07645"/>
    <w:rsid w:val="00B0769D"/>
    <w:rsid w:val="00B077C2"/>
    <w:rsid w:val="00B07857"/>
    <w:rsid w:val="00B07871"/>
    <w:rsid w:val="00B07988"/>
    <w:rsid w:val="00B0798C"/>
    <w:rsid w:val="00B079A9"/>
    <w:rsid w:val="00B07A3A"/>
    <w:rsid w:val="00B07B39"/>
    <w:rsid w:val="00B07C3F"/>
    <w:rsid w:val="00B07C76"/>
    <w:rsid w:val="00B07D31"/>
    <w:rsid w:val="00B07E01"/>
    <w:rsid w:val="00B07F01"/>
    <w:rsid w:val="00B1005E"/>
    <w:rsid w:val="00B1031D"/>
    <w:rsid w:val="00B104F5"/>
    <w:rsid w:val="00B105E8"/>
    <w:rsid w:val="00B10606"/>
    <w:rsid w:val="00B10631"/>
    <w:rsid w:val="00B10685"/>
    <w:rsid w:val="00B106F3"/>
    <w:rsid w:val="00B107E3"/>
    <w:rsid w:val="00B10855"/>
    <w:rsid w:val="00B10926"/>
    <w:rsid w:val="00B10944"/>
    <w:rsid w:val="00B10A08"/>
    <w:rsid w:val="00B10A31"/>
    <w:rsid w:val="00B10AAF"/>
    <w:rsid w:val="00B10AEA"/>
    <w:rsid w:val="00B10AF3"/>
    <w:rsid w:val="00B10B7D"/>
    <w:rsid w:val="00B10C5B"/>
    <w:rsid w:val="00B10E4F"/>
    <w:rsid w:val="00B11090"/>
    <w:rsid w:val="00B11109"/>
    <w:rsid w:val="00B11184"/>
    <w:rsid w:val="00B113EE"/>
    <w:rsid w:val="00B11417"/>
    <w:rsid w:val="00B11468"/>
    <w:rsid w:val="00B1148A"/>
    <w:rsid w:val="00B114B2"/>
    <w:rsid w:val="00B118A4"/>
    <w:rsid w:val="00B11942"/>
    <w:rsid w:val="00B1195D"/>
    <w:rsid w:val="00B119B4"/>
    <w:rsid w:val="00B11A8E"/>
    <w:rsid w:val="00B11B17"/>
    <w:rsid w:val="00B11B31"/>
    <w:rsid w:val="00B11C1E"/>
    <w:rsid w:val="00B11C5B"/>
    <w:rsid w:val="00B11D0A"/>
    <w:rsid w:val="00B11D40"/>
    <w:rsid w:val="00B11D42"/>
    <w:rsid w:val="00B11D86"/>
    <w:rsid w:val="00B11EF6"/>
    <w:rsid w:val="00B11FFA"/>
    <w:rsid w:val="00B120C0"/>
    <w:rsid w:val="00B120DF"/>
    <w:rsid w:val="00B1217D"/>
    <w:rsid w:val="00B1222D"/>
    <w:rsid w:val="00B122F9"/>
    <w:rsid w:val="00B1233C"/>
    <w:rsid w:val="00B12341"/>
    <w:rsid w:val="00B123F3"/>
    <w:rsid w:val="00B124EF"/>
    <w:rsid w:val="00B1250A"/>
    <w:rsid w:val="00B12710"/>
    <w:rsid w:val="00B1272A"/>
    <w:rsid w:val="00B12777"/>
    <w:rsid w:val="00B12789"/>
    <w:rsid w:val="00B127FF"/>
    <w:rsid w:val="00B1298B"/>
    <w:rsid w:val="00B12A1D"/>
    <w:rsid w:val="00B12A37"/>
    <w:rsid w:val="00B12B50"/>
    <w:rsid w:val="00B12B74"/>
    <w:rsid w:val="00B12B9B"/>
    <w:rsid w:val="00B12C0A"/>
    <w:rsid w:val="00B12C3F"/>
    <w:rsid w:val="00B12D44"/>
    <w:rsid w:val="00B12D98"/>
    <w:rsid w:val="00B12E10"/>
    <w:rsid w:val="00B12EC9"/>
    <w:rsid w:val="00B12FF7"/>
    <w:rsid w:val="00B1307A"/>
    <w:rsid w:val="00B1328A"/>
    <w:rsid w:val="00B133BC"/>
    <w:rsid w:val="00B1347C"/>
    <w:rsid w:val="00B134C1"/>
    <w:rsid w:val="00B134FD"/>
    <w:rsid w:val="00B1362D"/>
    <w:rsid w:val="00B1365C"/>
    <w:rsid w:val="00B136A7"/>
    <w:rsid w:val="00B136C8"/>
    <w:rsid w:val="00B13A19"/>
    <w:rsid w:val="00B13A25"/>
    <w:rsid w:val="00B13B1A"/>
    <w:rsid w:val="00B13BA3"/>
    <w:rsid w:val="00B13C86"/>
    <w:rsid w:val="00B13D6C"/>
    <w:rsid w:val="00B13D87"/>
    <w:rsid w:val="00B13DDD"/>
    <w:rsid w:val="00B13DEA"/>
    <w:rsid w:val="00B13E63"/>
    <w:rsid w:val="00B13EF6"/>
    <w:rsid w:val="00B13FD8"/>
    <w:rsid w:val="00B14136"/>
    <w:rsid w:val="00B141C8"/>
    <w:rsid w:val="00B142CE"/>
    <w:rsid w:val="00B1435A"/>
    <w:rsid w:val="00B14375"/>
    <w:rsid w:val="00B143F9"/>
    <w:rsid w:val="00B1442A"/>
    <w:rsid w:val="00B14593"/>
    <w:rsid w:val="00B147C4"/>
    <w:rsid w:val="00B147D6"/>
    <w:rsid w:val="00B1484D"/>
    <w:rsid w:val="00B148EA"/>
    <w:rsid w:val="00B14921"/>
    <w:rsid w:val="00B14A89"/>
    <w:rsid w:val="00B14ACE"/>
    <w:rsid w:val="00B14AE6"/>
    <w:rsid w:val="00B14B4F"/>
    <w:rsid w:val="00B14C88"/>
    <w:rsid w:val="00B14CC2"/>
    <w:rsid w:val="00B14CF1"/>
    <w:rsid w:val="00B14CFC"/>
    <w:rsid w:val="00B14E59"/>
    <w:rsid w:val="00B14FE8"/>
    <w:rsid w:val="00B150B4"/>
    <w:rsid w:val="00B150D6"/>
    <w:rsid w:val="00B152AC"/>
    <w:rsid w:val="00B1533A"/>
    <w:rsid w:val="00B153F8"/>
    <w:rsid w:val="00B15455"/>
    <w:rsid w:val="00B15456"/>
    <w:rsid w:val="00B154E0"/>
    <w:rsid w:val="00B15555"/>
    <w:rsid w:val="00B155C0"/>
    <w:rsid w:val="00B156C5"/>
    <w:rsid w:val="00B15758"/>
    <w:rsid w:val="00B1582E"/>
    <w:rsid w:val="00B15920"/>
    <w:rsid w:val="00B159A5"/>
    <w:rsid w:val="00B159B8"/>
    <w:rsid w:val="00B15A8E"/>
    <w:rsid w:val="00B15AA6"/>
    <w:rsid w:val="00B15B83"/>
    <w:rsid w:val="00B15C1B"/>
    <w:rsid w:val="00B15C78"/>
    <w:rsid w:val="00B15D19"/>
    <w:rsid w:val="00B15D9B"/>
    <w:rsid w:val="00B15E47"/>
    <w:rsid w:val="00B15E60"/>
    <w:rsid w:val="00B15EF2"/>
    <w:rsid w:val="00B15F64"/>
    <w:rsid w:val="00B15FC0"/>
    <w:rsid w:val="00B161CD"/>
    <w:rsid w:val="00B16295"/>
    <w:rsid w:val="00B1650B"/>
    <w:rsid w:val="00B165CD"/>
    <w:rsid w:val="00B166B4"/>
    <w:rsid w:val="00B166EA"/>
    <w:rsid w:val="00B16732"/>
    <w:rsid w:val="00B167C9"/>
    <w:rsid w:val="00B167D7"/>
    <w:rsid w:val="00B167E0"/>
    <w:rsid w:val="00B1686F"/>
    <w:rsid w:val="00B168C2"/>
    <w:rsid w:val="00B16953"/>
    <w:rsid w:val="00B16958"/>
    <w:rsid w:val="00B16AEE"/>
    <w:rsid w:val="00B16AF9"/>
    <w:rsid w:val="00B16B8A"/>
    <w:rsid w:val="00B16C3D"/>
    <w:rsid w:val="00B16C44"/>
    <w:rsid w:val="00B16C93"/>
    <w:rsid w:val="00B16CBA"/>
    <w:rsid w:val="00B16D39"/>
    <w:rsid w:val="00B16DD5"/>
    <w:rsid w:val="00B16E57"/>
    <w:rsid w:val="00B16E67"/>
    <w:rsid w:val="00B16F4A"/>
    <w:rsid w:val="00B17012"/>
    <w:rsid w:val="00B171AC"/>
    <w:rsid w:val="00B173A9"/>
    <w:rsid w:val="00B1763B"/>
    <w:rsid w:val="00B176A1"/>
    <w:rsid w:val="00B176D2"/>
    <w:rsid w:val="00B17724"/>
    <w:rsid w:val="00B17749"/>
    <w:rsid w:val="00B17799"/>
    <w:rsid w:val="00B178C3"/>
    <w:rsid w:val="00B178DC"/>
    <w:rsid w:val="00B17A1C"/>
    <w:rsid w:val="00B17A3D"/>
    <w:rsid w:val="00B17A46"/>
    <w:rsid w:val="00B17A63"/>
    <w:rsid w:val="00B17C2D"/>
    <w:rsid w:val="00B17E7E"/>
    <w:rsid w:val="00B17E86"/>
    <w:rsid w:val="00B17EAD"/>
    <w:rsid w:val="00B17ED7"/>
    <w:rsid w:val="00B17EF0"/>
    <w:rsid w:val="00B17FA6"/>
    <w:rsid w:val="00B20007"/>
    <w:rsid w:val="00B2012E"/>
    <w:rsid w:val="00B20321"/>
    <w:rsid w:val="00B2032D"/>
    <w:rsid w:val="00B20356"/>
    <w:rsid w:val="00B203A6"/>
    <w:rsid w:val="00B20470"/>
    <w:rsid w:val="00B2048B"/>
    <w:rsid w:val="00B205E2"/>
    <w:rsid w:val="00B2074B"/>
    <w:rsid w:val="00B20830"/>
    <w:rsid w:val="00B2084C"/>
    <w:rsid w:val="00B20936"/>
    <w:rsid w:val="00B209F1"/>
    <w:rsid w:val="00B20A83"/>
    <w:rsid w:val="00B20E72"/>
    <w:rsid w:val="00B20FF5"/>
    <w:rsid w:val="00B21118"/>
    <w:rsid w:val="00B21147"/>
    <w:rsid w:val="00B2131D"/>
    <w:rsid w:val="00B21363"/>
    <w:rsid w:val="00B2138C"/>
    <w:rsid w:val="00B213BD"/>
    <w:rsid w:val="00B2140E"/>
    <w:rsid w:val="00B214E0"/>
    <w:rsid w:val="00B21519"/>
    <w:rsid w:val="00B215F0"/>
    <w:rsid w:val="00B21877"/>
    <w:rsid w:val="00B21A16"/>
    <w:rsid w:val="00B21B43"/>
    <w:rsid w:val="00B21BD2"/>
    <w:rsid w:val="00B21BF8"/>
    <w:rsid w:val="00B21C22"/>
    <w:rsid w:val="00B21C4A"/>
    <w:rsid w:val="00B21CBC"/>
    <w:rsid w:val="00B21DB2"/>
    <w:rsid w:val="00B21DDE"/>
    <w:rsid w:val="00B21E69"/>
    <w:rsid w:val="00B21E73"/>
    <w:rsid w:val="00B21FB2"/>
    <w:rsid w:val="00B21FDE"/>
    <w:rsid w:val="00B21FEC"/>
    <w:rsid w:val="00B22017"/>
    <w:rsid w:val="00B2214A"/>
    <w:rsid w:val="00B222AB"/>
    <w:rsid w:val="00B223B0"/>
    <w:rsid w:val="00B223D3"/>
    <w:rsid w:val="00B22491"/>
    <w:rsid w:val="00B224D7"/>
    <w:rsid w:val="00B226AA"/>
    <w:rsid w:val="00B227C2"/>
    <w:rsid w:val="00B227D9"/>
    <w:rsid w:val="00B22817"/>
    <w:rsid w:val="00B22840"/>
    <w:rsid w:val="00B2289E"/>
    <w:rsid w:val="00B228C2"/>
    <w:rsid w:val="00B22908"/>
    <w:rsid w:val="00B22924"/>
    <w:rsid w:val="00B22A03"/>
    <w:rsid w:val="00B22A28"/>
    <w:rsid w:val="00B22AB5"/>
    <w:rsid w:val="00B22B0A"/>
    <w:rsid w:val="00B22BEF"/>
    <w:rsid w:val="00B22D99"/>
    <w:rsid w:val="00B22DE1"/>
    <w:rsid w:val="00B22FED"/>
    <w:rsid w:val="00B233B0"/>
    <w:rsid w:val="00B2346D"/>
    <w:rsid w:val="00B23752"/>
    <w:rsid w:val="00B2376E"/>
    <w:rsid w:val="00B23964"/>
    <w:rsid w:val="00B23B71"/>
    <w:rsid w:val="00B23B86"/>
    <w:rsid w:val="00B23C5D"/>
    <w:rsid w:val="00B23E19"/>
    <w:rsid w:val="00B23EF3"/>
    <w:rsid w:val="00B23FE6"/>
    <w:rsid w:val="00B24067"/>
    <w:rsid w:val="00B24094"/>
    <w:rsid w:val="00B240CA"/>
    <w:rsid w:val="00B240D2"/>
    <w:rsid w:val="00B2410C"/>
    <w:rsid w:val="00B24112"/>
    <w:rsid w:val="00B2418F"/>
    <w:rsid w:val="00B241BA"/>
    <w:rsid w:val="00B241BC"/>
    <w:rsid w:val="00B241ED"/>
    <w:rsid w:val="00B24219"/>
    <w:rsid w:val="00B2423A"/>
    <w:rsid w:val="00B2444A"/>
    <w:rsid w:val="00B24543"/>
    <w:rsid w:val="00B247EC"/>
    <w:rsid w:val="00B24958"/>
    <w:rsid w:val="00B24A0F"/>
    <w:rsid w:val="00B24B51"/>
    <w:rsid w:val="00B24C00"/>
    <w:rsid w:val="00B24C4D"/>
    <w:rsid w:val="00B24E2F"/>
    <w:rsid w:val="00B24E55"/>
    <w:rsid w:val="00B24E77"/>
    <w:rsid w:val="00B24F10"/>
    <w:rsid w:val="00B24F6D"/>
    <w:rsid w:val="00B250F2"/>
    <w:rsid w:val="00B25142"/>
    <w:rsid w:val="00B25247"/>
    <w:rsid w:val="00B252D5"/>
    <w:rsid w:val="00B2532B"/>
    <w:rsid w:val="00B253B3"/>
    <w:rsid w:val="00B253C6"/>
    <w:rsid w:val="00B253FA"/>
    <w:rsid w:val="00B25445"/>
    <w:rsid w:val="00B25480"/>
    <w:rsid w:val="00B25525"/>
    <w:rsid w:val="00B25528"/>
    <w:rsid w:val="00B2555B"/>
    <w:rsid w:val="00B2560E"/>
    <w:rsid w:val="00B256C8"/>
    <w:rsid w:val="00B256FB"/>
    <w:rsid w:val="00B2572A"/>
    <w:rsid w:val="00B25762"/>
    <w:rsid w:val="00B257F5"/>
    <w:rsid w:val="00B257FE"/>
    <w:rsid w:val="00B25820"/>
    <w:rsid w:val="00B258C3"/>
    <w:rsid w:val="00B258C5"/>
    <w:rsid w:val="00B258CE"/>
    <w:rsid w:val="00B2590B"/>
    <w:rsid w:val="00B259AE"/>
    <w:rsid w:val="00B259FE"/>
    <w:rsid w:val="00B25A17"/>
    <w:rsid w:val="00B25B27"/>
    <w:rsid w:val="00B25BA3"/>
    <w:rsid w:val="00B25CC5"/>
    <w:rsid w:val="00B25D2E"/>
    <w:rsid w:val="00B25E96"/>
    <w:rsid w:val="00B25F4E"/>
    <w:rsid w:val="00B2602E"/>
    <w:rsid w:val="00B261E8"/>
    <w:rsid w:val="00B2624B"/>
    <w:rsid w:val="00B262DB"/>
    <w:rsid w:val="00B26401"/>
    <w:rsid w:val="00B264D6"/>
    <w:rsid w:val="00B2651B"/>
    <w:rsid w:val="00B26526"/>
    <w:rsid w:val="00B2667E"/>
    <w:rsid w:val="00B26833"/>
    <w:rsid w:val="00B2694E"/>
    <w:rsid w:val="00B269A7"/>
    <w:rsid w:val="00B26A46"/>
    <w:rsid w:val="00B26A7C"/>
    <w:rsid w:val="00B26ACF"/>
    <w:rsid w:val="00B26C25"/>
    <w:rsid w:val="00B26C86"/>
    <w:rsid w:val="00B26C8E"/>
    <w:rsid w:val="00B26D26"/>
    <w:rsid w:val="00B26D9F"/>
    <w:rsid w:val="00B26DD7"/>
    <w:rsid w:val="00B26E2F"/>
    <w:rsid w:val="00B26E3A"/>
    <w:rsid w:val="00B26EF8"/>
    <w:rsid w:val="00B27092"/>
    <w:rsid w:val="00B270F4"/>
    <w:rsid w:val="00B2719E"/>
    <w:rsid w:val="00B271C5"/>
    <w:rsid w:val="00B27251"/>
    <w:rsid w:val="00B272BE"/>
    <w:rsid w:val="00B273BE"/>
    <w:rsid w:val="00B274EB"/>
    <w:rsid w:val="00B274F6"/>
    <w:rsid w:val="00B276D2"/>
    <w:rsid w:val="00B2772D"/>
    <w:rsid w:val="00B2784A"/>
    <w:rsid w:val="00B2786F"/>
    <w:rsid w:val="00B27941"/>
    <w:rsid w:val="00B27A85"/>
    <w:rsid w:val="00B27B5D"/>
    <w:rsid w:val="00B27C29"/>
    <w:rsid w:val="00B27D15"/>
    <w:rsid w:val="00B27EC9"/>
    <w:rsid w:val="00B27F23"/>
    <w:rsid w:val="00B27F61"/>
    <w:rsid w:val="00B27FAF"/>
    <w:rsid w:val="00B27FEC"/>
    <w:rsid w:val="00B30024"/>
    <w:rsid w:val="00B3006C"/>
    <w:rsid w:val="00B300C4"/>
    <w:rsid w:val="00B30146"/>
    <w:rsid w:val="00B30505"/>
    <w:rsid w:val="00B30555"/>
    <w:rsid w:val="00B306C0"/>
    <w:rsid w:val="00B306DD"/>
    <w:rsid w:val="00B3070D"/>
    <w:rsid w:val="00B3073F"/>
    <w:rsid w:val="00B30795"/>
    <w:rsid w:val="00B3089A"/>
    <w:rsid w:val="00B30937"/>
    <w:rsid w:val="00B309B8"/>
    <w:rsid w:val="00B30B43"/>
    <w:rsid w:val="00B30BA6"/>
    <w:rsid w:val="00B30BD4"/>
    <w:rsid w:val="00B30C27"/>
    <w:rsid w:val="00B30C9D"/>
    <w:rsid w:val="00B30CD5"/>
    <w:rsid w:val="00B30CEB"/>
    <w:rsid w:val="00B30D05"/>
    <w:rsid w:val="00B30D42"/>
    <w:rsid w:val="00B30D83"/>
    <w:rsid w:val="00B30DBD"/>
    <w:rsid w:val="00B30DFA"/>
    <w:rsid w:val="00B30E6E"/>
    <w:rsid w:val="00B30E8A"/>
    <w:rsid w:val="00B30EB5"/>
    <w:rsid w:val="00B310BD"/>
    <w:rsid w:val="00B31161"/>
    <w:rsid w:val="00B3118B"/>
    <w:rsid w:val="00B31218"/>
    <w:rsid w:val="00B312F7"/>
    <w:rsid w:val="00B314F5"/>
    <w:rsid w:val="00B31835"/>
    <w:rsid w:val="00B319B5"/>
    <w:rsid w:val="00B31A5F"/>
    <w:rsid w:val="00B31D09"/>
    <w:rsid w:val="00B31D2D"/>
    <w:rsid w:val="00B31D70"/>
    <w:rsid w:val="00B31ED6"/>
    <w:rsid w:val="00B31FE5"/>
    <w:rsid w:val="00B320B0"/>
    <w:rsid w:val="00B32227"/>
    <w:rsid w:val="00B32240"/>
    <w:rsid w:val="00B32335"/>
    <w:rsid w:val="00B32400"/>
    <w:rsid w:val="00B32430"/>
    <w:rsid w:val="00B324CB"/>
    <w:rsid w:val="00B32579"/>
    <w:rsid w:val="00B327FE"/>
    <w:rsid w:val="00B32829"/>
    <w:rsid w:val="00B328F8"/>
    <w:rsid w:val="00B3295F"/>
    <w:rsid w:val="00B329E7"/>
    <w:rsid w:val="00B32A29"/>
    <w:rsid w:val="00B32B4E"/>
    <w:rsid w:val="00B32CCC"/>
    <w:rsid w:val="00B32DE3"/>
    <w:rsid w:val="00B32E5C"/>
    <w:rsid w:val="00B32EC0"/>
    <w:rsid w:val="00B32F16"/>
    <w:rsid w:val="00B32F95"/>
    <w:rsid w:val="00B32FF8"/>
    <w:rsid w:val="00B330CA"/>
    <w:rsid w:val="00B331F1"/>
    <w:rsid w:val="00B3331D"/>
    <w:rsid w:val="00B334ED"/>
    <w:rsid w:val="00B33501"/>
    <w:rsid w:val="00B33606"/>
    <w:rsid w:val="00B33679"/>
    <w:rsid w:val="00B3371B"/>
    <w:rsid w:val="00B338F1"/>
    <w:rsid w:val="00B3399E"/>
    <w:rsid w:val="00B33CBD"/>
    <w:rsid w:val="00B33D88"/>
    <w:rsid w:val="00B33DB8"/>
    <w:rsid w:val="00B33E7E"/>
    <w:rsid w:val="00B33ED7"/>
    <w:rsid w:val="00B33F0B"/>
    <w:rsid w:val="00B340EF"/>
    <w:rsid w:val="00B3414B"/>
    <w:rsid w:val="00B341A6"/>
    <w:rsid w:val="00B341B9"/>
    <w:rsid w:val="00B341C1"/>
    <w:rsid w:val="00B34317"/>
    <w:rsid w:val="00B3434F"/>
    <w:rsid w:val="00B34433"/>
    <w:rsid w:val="00B34455"/>
    <w:rsid w:val="00B344B7"/>
    <w:rsid w:val="00B345A0"/>
    <w:rsid w:val="00B347EF"/>
    <w:rsid w:val="00B34976"/>
    <w:rsid w:val="00B3498D"/>
    <w:rsid w:val="00B34C9D"/>
    <w:rsid w:val="00B34D26"/>
    <w:rsid w:val="00B34D76"/>
    <w:rsid w:val="00B34E2F"/>
    <w:rsid w:val="00B34F55"/>
    <w:rsid w:val="00B35042"/>
    <w:rsid w:val="00B3506D"/>
    <w:rsid w:val="00B3511E"/>
    <w:rsid w:val="00B35133"/>
    <w:rsid w:val="00B3514F"/>
    <w:rsid w:val="00B35377"/>
    <w:rsid w:val="00B35681"/>
    <w:rsid w:val="00B356A6"/>
    <w:rsid w:val="00B3589B"/>
    <w:rsid w:val="00B359BE"/>
    <w:rsid w:val="00B359CD"/>
    <w:rsid w:val="00B35A4B"/>
    <w:rsid w:val="00B35C47"/>
    <w:rsid w:val="00B35D1F"/>
    <w:rsid w:val="00B35D54"/>
    <w:rsid w:val="00B35DD1"/>
    <w:rsid w:val="00B35E43"/>
    <w:rsid w:val="00B35E66"/>
    <w:rsid w:val="00B35E7C"/>
    <w:rsid w:val="00B35E81"/>
    <w:rsid w:val="00B35F00"/>
    <w:rsid w:val="00B35F43"/>
    <w:rsid w:val="00B35F55"/>
    <w:rsid w:val="00B360F4"/>
    <w:rsid w:val="00B36103"/>
    <w:rsid w:val="00B36182"/>
    <w:rsid w:val="00B362D6"/>
    <w:rsid w:val="00B36345"/>
    <w:rsid w:val="00B36365"/>
    <w:rsid w:val="00B3660C"/>
    <w:rsid w:val="00B3669A"/>
    <w:rsid w:val="00B3683D"/>
    <w:rsid w:val="00B368CE"/>
    <w:rsid w:val="00B36B54"/>
    <w:rsid w:val="00B36CD1"/>
    <w:rsid w:val="00B36D4C"/>
    <w:rsid w:val="00B36D6D"/>
    <w:rsid w:val="00B36DB3"/>
    <w:rsid w:val="00B36DFE"/>
    <w:rsid w:val="00B36EC3"/>
    <w:rsid w:val="00B36F7A"/>
    <w:rsid w:val="00B37190"/>
    <w:rsid w:val="00B37280"/>
    <w:rsid w:val="00B372AE"/>
    <w:rsid w:val="00B3735B"/>
    <w:rsid w:val="00B373E0"/>
    <w:rsid w:val="00B3742C"/>
    <w:rsid w:val="00B374A5"/>
    <w:rsid w:val="00B375B6"/>
    <w:rsid w:val="00B3768D"/>
    <w:rsid w:val="00B376B1"/>
    <w:rsid w:val="00B376DC"/>
    <w:rsid w:val="00B3774B"/>
    <w:rsid w:val="00B3790D"/>
    <w:rsid w:val="00B3796C"/>
    <w:rsid w:val="00B379BA"/>
    <w:rsid w:val="00B379BE"/>
    <w:rsid w:val="00B37A3B"/>
    <w:rsid w:val="00B37AAE"/>
    <w:rsid w:val="00B37BB8"/>
    <w:rsid w:val="00B37C61"/>
    <w:rsid w:val="00B37EDD"/>
    <w:rsid w:val="00B37F73"/>
    <w:rsid w:val="00B37FF3"/>
    <w:rsid w:val="00B4008F"/>
    <w:rsid w:val="00B400BE"/>
    <w:rsid w:val="00B4014E"/>
    <w:rsid w:val="00B402C9"/>
    <w:rsid w:val="00B40324"/>
    <w:rsid w:val="00B403E9"/>
    <w:rsid w:val="00B40413"/>
    <w:rsid w:val="00B40507"/>
    <w:rsid w:val="00B40646"/>
    <w:rsid w:val="00B407D3"/>
    <w:rsid w:val="00B409E0"/>
    <w:rsid w:val="00B40A0A"/>
    <w:rsid w:val="00B40A71"/>
    <w:rsid w:val="00B40AA5"/>
    <w:rsid w:val="00B40ACD"/>
    <w:rsid w:val="00B40B6E"/>
    <w:rsid w:val="00B40C9F"/>
    <w:rsid w:val="00B40D22"/>
    <w:rsid w:val="00B40D35"/>
    <w:rsid w:val="00B40D42"/>
    <w:rsid w:val="00B40D95"/>
    <w:rsid w:val="00B40DDA"/>
    <w:rsid w:val="00B40EB2"/>
    <w:rsid w:val="00B40EE1"/>
    <w:rsid w:val="00B40F3B"/>
    <w:rsid w:val="00B40F75"/>
    <w:rsid w:val="00B40F86"/>
    <w:rsid w:val="00B40FDA"/>
    <w:rsid w:val="00B40FEF"/>
    <w:rsid w:val="00B4115A"/>
    <w:rsid w:val="00B4120B"/>
    <w:rsid w:val="00B41221"/>
    <w:rsid w:val="00B412E8"/>
    <w:rsid w:val="00B41553"/>
    <w:rsid w:val="00B415AA"/>
    <w:rsid w:val="00B4167F"/>
    <w:rsid w:val="00B417E2"/>
    <w:rsid w:val="00B41879"/>
    <w:rsid w:val="00B418DC"/>
    <w:rsid w:val="00B41938"/>
    <w:rsid w:val="00B419D7"/>
    <w:rsid w:val="00B41A62"/>
    <w:rsid w:val="00B41AD2"/>
    <w:rsid w:val="00B41B05"/>
    <w:rsid w:val="00B41B11"/>
    <w:rsid w:val="00B41B14"/>
    <w:rsid w:val="00B41BA6"/>
    <w:rsid w:val="00B41BB6"/>
    <w:rsid w:val="00B41C15"/>
    <w:rsid w:val="00B41C5D"/>
    <w:rsid w:val="00B41D00"/>
    <w:rsid w:val="00B41D2F"/>
    <w:rsid w:val="00B41D89"/>
    <w:rsid w:val="00B41E1B"/>
    <w:rsid w:val="00B41E60"/>
    <w:rsid w:val="00B41F67"/>
    <w:rsid w:val="00B420A5"/>
    <w:rsid w:val="00B420A6"/>
    <w:rsid w:val="00B42105"/>
    <w:rsid w:val="00B42189"/>
    <w:rsid w:val="00B42199"/>
    <w:rsid w:val="00B4224B"/>
    <w:rsid w:val="00B422AB"/>
    <w:rsid w:val="00B42335"/>
    <w:rsid w:val="00B4233E"/>
    <w:rsid w:val="00B424FB"/>
    <w:rsid w:val="00B4254A"/>
    <w:rsid w:val="00B42616"/>
    <w:rsid w:val="00B4262F"/>
    <w:rsid w:val="00B42868"/>
    <w:rsid w:val="00B42918"/>
    <w:rsid w:val="00B42933"/>
    <w:rsid w:val="00B429A4"/>
    <w:rsid w:val="00B429F0"/>
    <w:rsid w:val="00B42A2B"/>
    <w:rsid w:val="00B42A7B"/>
    <w:rsid w:val="00B42A98"/>
    <w:rsid w:val="00B42B34"/>
    <w:rsid w:val="00B42B4C"/>
    <w:rsid w:val="00B42BC6"/>
    <w:rsid w:val="00B42CD2"/>
    <w:rsid w:val="00B42E1C"/>
    <w:rsid w:val="00B42E84"/>
    <w:rsid w:val="00B42FF7"/>
    <w:rsid w:val="00B4302B"/>
    <w:rsid w:val="00B430A0"/>
    <w:rsid w:val="00B4317A"/>
    <w:rsid w:val="00B4319B"/>
    <w:rsid w:val="00B431B5"/>
    <w:rsid w:val="00B431BC"/>
    <w:rsid w:val="00B4320D"/>
    <w:rsid w:val="00B43356"/>
    <w:rsid w:val="00B433B6"/>
    <w:rsid w:val="00B43532"/>
    <w:rsid w:val="00B43548"/>
    <w:rsid w:val="00B43687"/>
    <w:rsid w:val="00B43800"/>
    <w:rsid w:val="00B4390F"/>
    <w:rsid w:val="00B43A05"/>
    <w:rsid w:val="00B43A69"/>
    <w:rsid w:val="00B43A95"/>
    <w:rsid w:val="00B43AC7"/>
    <w:rsid w:val="00B43AF5"/>
    <w:rsid w:val="00B43B62"/>
    <w:rsid w:val="00B43C83"/>
    <w:rsid w:val="00B43C9C"/>
    <w:rsid w:val="00B43CF1"/>
    <w:rsid w:val="00B43D10"/>
    <w:rsid w:val="00B43DE5"/>
    <w:rsid w:val="00B43F17"/>
    <w:rsid w:val="00B43F2C"/>
    <w:rsid w:val="00B4407E"/>
    <w:rsid w:val="00B440CA"/>
    <w:rsid w:val="00B440FF"/>
    <w:rsid w:val="00B441B8"/>
    <w:rsid w:val="00B44262"/>
    <w:rsid w:val="00B44288"/>
    <w:rsid w:val="00B442E0"/>
    <w:rsid w:val="00B44379"/>
    <w:rsid w:val="00B44411"/>
    <w:rsid w:val="00B444B9"/>
    <w:rsid w:val="00B444EA"/>
    <w:rsid w:val="00B446BA"/>
    <w:rsid w:val="00B446C8"/>
    <w:rsid w:val="00B4478F"/>
    <w:rsid w:val="00B4479C"/>
    <w:rsid w:val="00B447C6"/>
    <w:rsid w:val="00B447CC"/>
    <w:rsid w:val="00B44869"/>
    <w:rsid w:val="00B4493C"/>
    <w:rsid w:val="00B449C9"/>
    <w:rsid w:val="00B44A64"/>
    <w:rsid w:val="00B44A74"/>
    <w:rsid w:val="00B44A8A"/>
    <w:rsid w:val="00B44B56"/>
    <w:rsid w:val="00B44BA6"/>
    <w:rsid w:val="00B44C24"/>
    <w:rsid w:val="00B44C79"/>
    <w:rsid w:val="00B44C90"/>
    <w:rsid w:val="00B44CF1"/>
    <w:rsid w:val="00B44E0B"/>
    <w:rsid w:val="00B44E21"/>
    <w:rsid w:val="00B44EB8"/>
    <w:rsid w:val="00B44F70"/>
    <w:rsid w:val="00B44F9B"/>
    <w:rsid w:val="00B44FE3"/>
    <w:rsid w:val="00B4501D"/>
    <w:rsid w:val="00B45083"/>
    <w:rsid w:val="00B450DF"/>
    <w:rsid w:val="00B451BA"/>
    <w:rsid w:val="00B451CB"/>
    <w:rsid w:val="00B45215"/>
    <w:rsid w:val="00B452FA"/>
    <w:rsid w:val="00B4539C"/>
    <w:rsid w:val="00B454D8"/>
    <w:rsid w:val="00B45502"/>
    <w:rsid w:val="00B45530"/>
    <w:rsid w:val="00B4553D"/>
    <w:rsid w:val="00B456E1"/>
    <w:rsid w:val="00B45809"/>
    <w:rsid w:val="00B4585A"/>
    <w:rsid w:val="00B45939"/>
    <w:rsid w:val="00B4598F"/>
    <w:rsid w:val="00B45A9D"/>
    <w:rsid w:val="00B45CDF"/>
    <w:rsid w:val="00B45DB1"/>
    <w:rsid w:val="00B45DE0"/>
    <w:rsid w:val="00B45E48"/>
    <w:rsid w:val="00B45E7A"/>
    <w:rsid w:val="00B45EBB"/>
    <w:rsid w:val="00B45F8F"/>
    <w:rsid w:val="00B45FE6"/>
    <w:rsid w:val="00B45FEB"/>
    <w:rsid w:val="00B46065"/>
    <w:rsid w:val="00B4617C"/>
    <w:rsid w:val="00B4617F"/>
    <w:rsid w:val="00B4619F"/>
    <w:rsid w:val="00B461A8"/>
    <w:rsid w:val="00B46267"/>
    <w:rsid w:val="00B4630C"/>
    <w:rsid w:val="00B4644B"/>
    <w:rsid w:val="00B46481"/>
    <w:rsid w:val="00B464B9"/>
    <w:rsid w:val="00B46542"/>
    <w:rsid w:val="00B465C7"/>
    <w:rsid w:val="00B465D9"/>
    <w:rsid w:val="00B46768"/>
    <w:rsid w:val="00B467A1"/>
    <w:rsid w:val="00B46871"/>
    <w:rsid w:val="00B46879"/>
    <w:rsid w:val="00B46899"/>
    <w:rsid w:val="00B46936"/>
    <w:rsid w:val="00B469BF"/>
    <w:rsid w:val="00B46AD9"/>
    <w:rsid w:val="00B46AEF"/>
    <w:rsid w:val="00B46B26"/>
    <w:rsid w:val="00B46C26"/>
    <w:rsid w:val="00B46C72"/>
    <w:rsid w:val="00B46D40"/>
    <w:rsid w:val="00B46D72"/>
    <w:rsid w:val="00B46E60"/>
    <w:rsid w:val="00B46E8C"/>
    <w:rsid w:val="00B46EC5"/>
    <w:rsid w:val="00B46F62"/>
    <w:rsid w:val="00B47041"/>
    <w:rsid w:val="00B47042"/>
    <w:rsid w:val="00B47245"/>
    <w:rsid w:val="00B4725A"/>
    <w:rsid w:val="00B472FF"/>
    <w:rsid w:val="00B473B1"/>
    <w:rsid w:val="00B476E8"/>
    <w:rsid w:val="00B476ED"/>
    <w:rsid w:val="00B47724"/>
    <w:rsid w:val="00B4772E"/>
    <w:rsid w:val="00B478BE"/>
    <w:rsid w:val="00B47935"/>
    <w:rsid w:val="00B47C23"/>
    <w:rsid w:val="00B47D4F"/>
    <w:rsid w:val="00B47DEA"/>
    <w:rsid w:val="00B47E55"/>
    <w:rsid w:val="00B47ED2"/>
    <w:rsid w:val="00B47FE8"/>
    <w:rsid w:val="00B47FF2"/>
    <w:rsid w:val="00B50027"/>
    <w:rsid w:val="00B500D4"/>
    <w:rsid w:val="00B50244"/>
    <w:rsid w:val="00B50296"/>
    <w:rsid w:val="00B502D6"/>
    <w:rsid w:val="00B5032A"/>
    <w:rsid w:val="00B5033C"/>
    <w:rsid w:val="00B504FC"/>
    <w:rsid w:val="00B50502"/>
    <w:rsid w:val="00B505E8"/>
    <w:rsid w:val="00B5064B"/>
    <w:rsid w:val="00B506B1"/>
    <w:rsid w:val="00B5076B"/>
    <w:rsid w:val="00B508F2"/>
    <w:rsid w:val="00B509E5"/>
    <w:rsid w:val="00B50A90"/>
    <w:rsid w:val="00B50A95"/>
    <w:rsid w:val="00B50B2F"/>
    <w:rsid w:val="00B50B84"/>
    <w:rsid w:val="00B50BB4"/>
    <w:rsid w:val="00B50D8E"/>
    <w:rsid w:val="00B50DCD"/>
    <w:rsid w:val="00B50E67"/>
    <w:rsid w:val="00B50EC6"/>
    <w:rsid w:val="00B50EDF"/>
    <w:rsid w:val="00B50EED"/>
    <w:rsid w:val="00B50F4C"/>
    <w:rsid w:val="00B5101C"/>
    <w:rsid w:val="00B5102A"/>
    <w:rsid w:val="00B51053"/>
    <w:rsid w:val="00B5106A"/>
    <w:rsid w:val="00B510E0"/>
    <w:rsid w:val="00B5110A"/>
    <w:rsid w:val="00B51169"/>
    <w:rsid w:val="00B511B0"/>
    <w:rsid w:val="00B511D7"/>
    <w:rsid w:val="00B51329"/>
    <w:rsid w:val="00B51334"/>
    <w:rsid w:val="00B513DE"/>
    <w:rsid w:val="00B5140A"/>
    <w:rsid w:val="00B514C0"/>
    <w:rsid w:val="00B5150F"/>
    <w:rsid w:val="00B5153B"/>
    <w:rsid w:val="00B5156F"/>
    <w:rsid w:val="00B51743"/>
    <w:rsid w:val="00B518A9"/>
    <w:rsid w:val="00B519EA"/>
    <w:rsid w:val="00B51A51"/>
    <w:rsid w:val="00B51A61"/>
    <w:rsid w:val="00B51A6D"/>
    <w:rsid w:val="00B51A85"/>
    <w:rsid w:val="00B51AD7"/>
    <w:rsid w:val="00B51ADB"/>
    <w:rsid w:val="00B51B3B"/>
    <w:rsid w:val="00B51B91"/>
    <w:rsid w:val="00B51C95"/>
    <w:rsid w:val="00B51D64"/>
    <w:rsid w:val="00B51E9A"/>
    <w:rsid w:val="00B51EE1"/>
    <w:rsid w:val="00B51F2C"/>
    <w:rsid w:val="00B51F2D"/>
    <w:rsid w:val="00B520A8"/>
    <w:rsid w:val="00B520BC"/>
    <w:rsid w:val="00B521D1"/>
    <w:rsid w:val="00B52255"/>
    <w:rsid w:val="00B5228A"/>
    <w:rsid w:val="00B522CE"/>
    <w:rsid w:val="00B522DF"/>
    <w:rsid w:val="00B52487"/>
    <w:rsid w:val="00B52494"/>
    <w:rsid w:val="00B525BC"/>
    <w:rsid w:val="00B52661"/>
    <w:rsid w:val="00B5267F"/>
    <w:rsid w:val="00B5275F"/>
    <w:rsid w:val="00B5276F"/>
    <w:rsid w:val="00B52790"/>
    <w:rsid w:val="00B527C8"/>
    <w:rsid w:val="00B529D9"/>
    <w:rsid w:val="00B52AB2"/>
    <w:rsid w:val="00B52B81"/>
    <w:rsid w:val="00B52B84"/>
    <w:rsid w:val="00B52BE5"/>
    <w:rsid w:val="00B52D0C"/>
    <w:rsid w:val="00B52DA6"/>
    <w:rsid w:val="00B52E54"/>
    <w:rsid w:val="00B52E56"/>
    <w:rsid w:val="00B52E64"/>
    <w:rsid w:val="00B52E95"/>
    <w:rsid w:val="00B53092"/>
    <w:rsid w:val="00B532D7"/>
    <w:rsid w:val="00B535A0"/>
    <w:rsid w:val="00B535F8"/>
    <w:rsid w:val="00B53623"/>
    <w:rsid w:val="00B536A4"/>
    <w:rsid w:val="00B536B6"/>
    <w:rsid w:val="00B536DF"/>
    <w:rsid w:val="00B537DF"/>
    <w:rsid w:val="00B5384F"/>
    <w:rsid w:val="00B53861"/>
    <w:rsid w:val="00B53A4D"/>
    <w:rsid w:val="00B53AD2"/>
    <w:rsid w:val="00B53B6C"/>
    <w:rsid w:val="00B53C6E"/>
    <w:rsid w:val="00B53EF1"/>
    <w:rsid w:val="00B53F0A"/>
    <w:rsid w:val="00B53F0C"/>
    <w:rsid w:val="00B53F1D"/>
    <w:rsid w:val="00B54039"/>
    <w:rsid w:val="00B5438D"/>
    <w:rsid w:val="00B545CB"/>
    <w:rsid w:val="00B54726"/>
    <w:rsid w:val="00B5473F"/>
    <w:rsid w:val="00B54780"/>
    <w:rsid w:val="00B547E0"/>
    <w:rsid w:val="00B548A3"/>
    <w:rsid w:val="00B548D8"/>
    <w:rsid w:val="00B54934"/>
    <w:rsid w:val="00B54A4F"/>
    <w:rsid w:val="00B54A78"/>
    <w:rsid w:val="00B54A7C"/>
    <w:rsid w:val="00B54C0E"/>
    <w:rsid w:val="00B54C51"/>
    <w:rsid w:val="00B54C70"/>
    <w:rsid w:val="00B54C95"/>
    <w:rsid w:val="00B54CB6"/>
    <w:rsid w:val="00B54D33"/>
    <w:rsid w:val="00B54D61"/>
    <w:rsid w:val="00B54DEE"/>
    <w:rsid w:val="00B54DFA"/>
    <w:rsid w:val="00B54E42"/>
    <w:rsid w:val="00B54ED9"/>
    <w:rsid w:val="00B54EDA"/>
    <w:rsid w:val="00B5502D"/>
    <w:rsid w:val="00B5556E"/>
    <w:rsid w:val="00B55709"/>
    <w:rsid w:val="00B5577A"/>
    <w:rsid w:val="00B5585E"/>
    <w:rsid w:val="00B55865"/>
    <w:rsid w:val="00B55925"/>
    <w:rsid w:val="00B559ED"/>
    <w:rsid w:val="00B55A81"/>
    <w:rsid w:val="00B55AEC"/>
    <w:rsid w:val="00B55B80"/>
    <w:rsid w:val="00B55C15"/>
    <w:rsid w:val="00B55C39"/>
    <w:rsid w:val="00B55C62"/>
    <w:rsid w:val="00B55DA6"/>
    <w:rsid w:val="00B55E4D"/>
    <w:rsid w:val="00B55F20"/>
    <w:rsid w:val="00B56006"/>
    <w:rsid w:val="00B560BA"/>
    <w:rsid w:val="00B560F7"/>
    <w:rsid w:val="00B56128"/>
    <w:rsid w:val="00B56224"/>
    <w:rsid w:val="00B56441"/>
    <w:rsid w:val="00B5656C"/>
    <w:rsid w:val="00B56579"/>
    <w:rsid w:val="00B56689"/>
    <w:rsid w:val="00B566E3"/>
    <w:rsid w:val="00B5677B"/>
    <w:rsid w:val="00B56872"/>
    <w:rsid w:val="00B568BD"/>
    <w:rsid w:val="00B568C4"/>
    <w:rsid w:val="00B569CE"/>
    <w:rsid w:val="00B56A9F"/>
    <w:rsid w:val="00B56BD4"/>
    <w:rsid w:val="00B56C0D"/>
    <w:rsid w:val="00B56D0F"/>
    <w:rsid w:val="00B56EE6"/>
    <w:rsid w:val="00B56EEF"/>
    <w:rsid w:val="00B57017"/>
    <w:rsid w:val="00B570B0"/>
    <w:rsid w:val="00B570F4"/>
    <w:rsid w:val="00B57102"/>
    <w:rsid w:val="00B57136"/>
    <w:rsid w:val="00B5714D"/>
    <w:rsid w:val="00B57271"/>
    <w:rsid w:val="00B57279"/>
    <w:rsid w:val="00B573D4"/>
    <w:rsid w:val="00B57426"/>
    <w:rsid w:val="00B57437"/>
    <w:rsid w:val="00B57465"/>
    <w:rsid w:val="00B57564"/>
    <w:rsid w:val="00B57593"/>
    <w:rsid w:val="00B57749"/>
    <w:rsid w:val="00B577CA"/>
    <w:rsid w:val="00B5792B"/>
    <w:rsid w:val="00B579F0"/>
    <w:rsid w:val="00B57A40"/>
    <w:rsid w:val="00B57A83"/>
    <w:rsid w:val="00B57B8B"/>
    <w:rsid w:val="00B57C5C"/>
    <w:rsid w:val="00B57E8A"/>
    <w:rsid w:val="00B60003"/>
    <w:rsid w:val="00B60122"/>
    <w:rsid w:val="00B6015D"/>
    <w:rsid w:val="00B601B6"/>
    <w:rsid w:val="00B60270"/>
    <w:rsid w:val="00B602E0"/>
    <w:rsid w:val="00B60388"/>
    <w:rsid w:val="00B603EA"/>
    <w:rsid w:val="00B604EF"/>
    <w:rsid w:val="00B605CF"/>
    <w:rsid w:val="00B605F4"/>
    <w:rsid w:val="00B6068B"/>
    <w:rsid w:val="00B60733"/>
    <w:rsid w:val="00B60805"/>
    <w:rsid w:val="00B60858"/>
    <w:rsid w:val="00B60860"/>
    <w:rsid w:val="00B60898"/>
    <w:rsid w:val="00B608D5"/>
    <w:rsid w:val="00B608E8"/>
    <w:rsid w:val="00B6090E"/>
    <w:rsid w:val="00B60961"/>
    <w:rsid w:val="00B60A41"/>
    <w:rsid w:val="00B60A54"/>
    <w:rsid w:val="00B60AC8"/>
    <w:rsid w:val="00B60BBF"/>
    <w:rsid w:val="00B60C67"/>
    <w:rsid w:val="00B60CF9"/>
    <w:rsid w:val="00B60D2C"/>
    <w:rsid w:val="00B60E0A"/>
    <w:rsid w:val="00B60F6D"/>
    <w:rsid w:val="00B60F73"/>
    <w:rsid w:val="00B60F98"/>
    <w:rsid w:val="00B60FBD"/>
    <w:rsid w:val="00B610C6"/>
    <w:rsid w:val="00B6119D"/>
    <w:rsid w:val="00B6122A"/>
    <w:rsid w:val="00B61263"/>
    <w:rsid w:val="00B612D3"/>
    <w:rsid w:val="00B61391"/>
    <w:rsid w:val="00B61458"/>
    <w:rsid w:val="00B61466"/>
    <w:rsid w:val="00B6148D"/>
    <w:rsid w:val="00B614EE"/>
    <w:rsid w:val="00B615AC"/>
    <w:rsid w:val="00B6163C"/>
    <w:rsid w:val="00B6167C"/>
    <w:rsid w:val="00B618C2"/>
    <w:rsid w:val="00B618CD"/>
    <w:rsid w:val="00B61A70"/>
    <w:rsid w:val="00B61BD0"/>
    <w:rsid w:val="00B61BE2"/>
    <w:rsid w:val="00B61C33"/>
    <w:rsid w:val="00B61D1A"/>
    <w:rsid w:val="00B61DBB"/>
    <w:rsid w:val="00B62079"/>
    <w:rsid w:val="00B623A1"/>
    <w:rsid w:val="00B62550"/>
    <w:rsid w:val="00B62571"/>
    <w:rsid w:val="00B625E0"/>
    <w:rsid w:val="00B62632"/>
    <w:rsid w:val="00B62669"/>
    <w:rsid w:val="00B62676"/>
    <w:rsid w:val="00B626BF"/>
    <w:rsid w:val="00B62930"/>
    <w:rsid w:val="00B62931"/>
    <w:rsid w:val="00B62999"/>
    <w:rsid w:val="00B629CF"/>
    <w:rsid w:val="00B62A40"/>
    <w:rsid w:val="00B62A51"/>
    <w:rsid w:val="00B62A83"/>
    <w:rsid w:val="00B62A86"/>
    <w:rsid w:val="00B62B75"/>
    <w:rsid w:val="00B62BB8"/>
    <w:rsid w:val="00B62C29"/>
    <w:rsid w:val="00B62D3C"/>
    <w:rsid w:val="00B62D9A"/>
    <w:rsid w:val="00B62DDD"/>
    <w:rsid w:val="00B62E29"/>
    <w:rsid w:val="00B62E31"/>
    <w:rsid w:val="00B62E62"/>
    <w:rsid w:val="00B62E68"/>
    <w:rsid w:val="00B62F91"/>
    <w:rsid w:val="00B63008"/>
    <w:rsid w:val="00B6307E"/>
    <w:rsid w:val="00B630FC"/>
    <w:rsid w:val="00B6326A"/>
    <w:rsid w:val="00B63359"/>
    <w:rsid w:val="00B6344A"/>
    <w:rsid w:val="00B63561"/>
    <w:rsid w:val="00B6359C"/>
    <w:rsid w:val="00B6365F"/>
    <w:rsid w:val="00B6369A"/>
    <w:rsid w:val="00B636EC"/>
    <w:rsid w:val="00B63702"/>
    <w:rsid w:val="00B638AC"/>
    <w:rsid w:val="00B6396B"/>
    <w:rsid w:val="00B63B62"/>
    <w:rsid w:val="00B63B9E"/>
    <w:rsid w:val="00B63C28"/>
    <w:rsid w:val="00B63C85"/>
    <w:rsid w:val="00B63CEA"/>
    <w:rsid w:val="00B63D9A"/>
    <w:rsid w:val="00B63E9A"/>
    <w:rsid w:val="00B63ECF"/>
    <w:rsid w:val="00B63EE8"/>
    <w:rsid w:val="00B63F73"/>
    <w:rsid w:val="00B64023"/>
    <w:rsid w:val="00B64196"/>
    <w:rsid w:val="00B64241"/>
    <w:rsid w:val="00B6426D"/>
    <w:rsid w:val="00B642AD"/>
    <w:rsid w:val="00B642DA"/>
    <w:rsid w:val="00B643AA"/>
    <w:rsid w:val="00B643FD"/>
    <w:rsid w:val="00B64407"/>
    <w:rsid w:val="00B64496"/>
    <w:rsid w:val="00B644A3"/>
    <w:rsid w:val="00B644D9"/>
    <w:rsid w:val="00B6458F"/>
    <w:rsid w:val="00B6464E"/>
    <w:rsid w:val="00B647AC"/>
    <w:rsid w:val="00B6496F"/>
    <w:rsid w:val="00B649B1"/>
    <w:rsid w:val="00B64A5F"/>
    <w:rsid w:val="00B64C07"/>
    <w:rsid w:val="00B64C16"/>
    <w:rsid w:val="00B64D40"/>
    <w:rsid w:val="00B64D66"/>
    <w:rsid w:val="00B64DF3"/>
    <w:rsid w:val="00B64E6E"/>
    <w:rsid w:val="00B64FAF"/>
    <w:rsid w:val="00B64FFD"/>
    <w:rsid w:val="00B6510A"/>
    <w:rsid w:val="00B65185"/>
    <w:rsid w:val="00B65193"/>
    <w:rsid w:val="00B651E0"/>
    <w:rsid w:val="00B6520B"/>
    <w:rsid w:val="00B65237"/>
    <w:rsid w:val="00B654F6"/>
    <w:rsid w:val="00B6550B"/>
    <w:rsid w:val="00B655B7"/>
    <w:rsid w:val="00B6560F"/>
    <w:rsid w:val="00B6561B"/>
    <w:rsid w:val="00B6574E"/>
    <w:rsid w:val="00B65762"/>
    <w:rsid w:val="00B6581F"/>
    <w:rsid w:val="00B658C9"/>
    <w:rsid w:val="00B65957"/>
    <w:rsid w:val="00B6598B"/>
    <w:rsid w:val="00B65A7A"/>
    <w:rsid w:val="00B65C10"/>
    <w:rsid w:val="00B65CB3"/>
    <w:rsid w:val="00B65CC5"/>
    <w:rsid w:val="00B65D2C"/>
    <w:rsid w:val="00B65DF8"/>
    <w:rsid w:val="00B65E2D"/>
    <w:rsid w:val="00B65EFD"/>
    <w:rsid w:val="00B65F5F"/>
    <w:rsid w:val="00B65F8C"/>
    <w:rsid w:val="00B65F98"/>
    <w:rsid w:val="00B66124"/>
    <w:rsid w:val="00B66282"/>
    <w:rsid w:val="00B662F1"/>
    <w:rsid w:val="00B665B2"/>
    <w:rsid w:val="00B667A9"/>
    <w:rsid w:val="00B668CD"/>
    <w:rsid w:val="00B66996"/>
    <w:rsid w:val="00B66B1D"/>
    <w:rsid w:val="00B66B90"/>
    <w:rsid w:val="00B66C5C"/>
    <w:rsid w:val="00B66CD4"/>
    <w:rsid w:val="00B66D0D"/>
    <w:rsid w:val="00B66D18"/>
    <w:rsid w:val="00B66E78"/>
    <w:rsid w:val="00B66E7B"/>
    <w:rsid w:val="00B66FA3"/>
    <w:rsid w:val="00B66FB3"/>
    <w:rsid w:val="00B67021"/>
    <w:rsid w:val="00B6707E"/>
    <w:rsid w:val="00B670E6"/>
    <w:rsid w:val="00B67287"/>
    <w:rsid w:val="00B672BB"/>
    <w:rsid w:val="00B672D4"/>
    <w:rsid w:val="00B672F1"/>
    <w:rsid w:val="00B673FB"/>
    <w:rsid w:val="00B674E1"/>
    <w:rsid w:val="00B67671"/>
    <w:rsid w:val="00B67677"/>
    <w:rsid w:val="00B677B1"/>
    <w:rsid w:val="00B677E7"/>
    <w:rsid w:val="00B677F2"/>
    <w:rsid w:val="00B679BE"/>
    <w:rsid w:val="00B679DE"/>
    <w:rsid w:val="00B67AA1"/>
    <w:rsid w:val="00B67BF7"/>
    <w:rsid w:val="00B67C7A"/>
    <w:rsid w:val="00B67CEB"/>
    <w:rsid w:val="00B67D03"/>
    <w:rsid w:val="00B67E0E"/>
    <w:rsid w:val="00B67F18"/>
    <w:rsid w:val="00B67F44"/>
    <w:rsid w:val="00B67F65"/>
    <w:rsid w:val="00B67F95"/>
    <w:rsid w:val="00B70043"/>
    <w:rsid w:val="00B700D7"/>
    <w:rsid w:val="00B7010F"/>
    <w:rsid w:val="00B7020E"/>
    <w:rsid w:val="00B7024F"/>
    <w:rsid w:val="00B7040D"/>
    <w:rsid w:val="00B705C9"/>
    <w:rsid w:val="00B70633"/>
    <w:rsid w:val="00B7073B"/>
    <w:rsid w:val="00B7075B"/>
    <w:rsid w:val="00B70865"/>
    <w:rsid w:val="00B70B8E"/>
    <w:rsid w:val="00B70BB1"/>
    <w:rsid w:val="00B70C70"/>
    <w:rsid w:val="00B70D29"/>
    <w:rsid w:val="00B70D61"/>
    <w:rsid w:val="00B70D9A"/>
    <w:rsid w:val="00B70E31"/>
    <w:rsid w:val="00B70E4B"/>
    <w:rsid w:val="00B70EEC"/>
    <w:rsid w:val="00B70F48"/>
    <w:rsid w:val="00B71049"/>
    <w:rsid w:val="00B7116B"/>
    <w:rsid w:val="00B711B4"/>
    <w:rsid w:val="00B711EE"/>
    <w:rsid w:val="00B7120C"/>
    <w:rsid w:val="00B712B4"/>
    <w:rsid w:val="00B712D8"/>
    <w:rsid w:val="00B712E3"/>
    <w:rsid w:val="00B7132B"/>
    <w:rsid w:val="00B713E0"/>
    <w:rsid w:val="00B714F1"/>
    <w:rsid w:val="00B714FA"/>
    <w:rsid w:val="00B71513"/>
    <w:rsid w:val="00B71548"/>
    <w:rsid w:val="00B7155A"/>
    <w:rsid w:val="00B7160F"/>
    <w:rsid w:val="00B71654"/>
    <w:rsid w:val="00B7166E"/>
    <w:rsid w:val="00B7176A"/>
    <w:rsid w:val="00B71788"/>
    <w:rsid w:val="00B717B9"/>
    <w:rsid w:val="00B717DF"/>
    <w:rsid w:val="00B71808"/>
    <w:rsid w:val="00B71845"/>
    <w:rsid w:val="00B718CE"/>
    <w:rsid w:val="00B7190D"/>
    <w:rsid w:val="00B719CD"/>
    <w:rsid w:val="00B71A12"/>
    <w:rsid w:val="00B71B2A"/>
    <w:rsid w:val="00B71B39"/>
    <w:rsid w:val="00B71B68"/>
    <w:rsid w:val="00B71CBD"/>
    <w:rsid w:val="00B71CD1"/>
    <w:rsid w:val="00B71D14"/>
    <w:rsid w:val="00B7233E"/>
    <w:rsid w:val="00B724A6"/>
    <w:rsid w:val="00B724AE"/>
    <w:rsid w:val="00B7253A"/>
    <w:rsid w:val="00B72588"/>
    <w:rsid w:val="00B72624"/>
    <w:rsid w:val="00B7284F"/>
    <w:rsid w:val="00B728AF"/>
    <w:rsid w:val="00B72938"/>
    <w:rsid w:val="00B72977"/>
    <w:rsid w:val="00B72A8C"/>
    <w:rsid w:val="00B72ABD"/>
    <w:rsid w:val="00B72C45"/>
    <w:rsid w:val="00B72C59"/>
    <w:rsid w:val="00B72C91"/>
    <w:rsid w:val="00B72CC0"/>
    <w:rsid w:val="00B72D31"/>
    <w:rsid w:val="00B72D8B"/>
    <w:rsid w:val="00B72DF8"/>
    <w:rsid w:val="00B72E2D"/>
    <w:rsid w:val="00B73058"/>
    <w:rsid w:val="00B73114"/>
    <w:rsid w:val="00B73167"/>
    <w:rsid w:val="00B732DC"/>
    <w:rsid w:val="00B73421"/>
    <w:rsid w:val="00B7346C"/>
    <w:rsid w:val="00B734AE"/>
    <w:rsid w:val="00B734F3"/>
    <w:rsid w:val="00B7356E"/>
    <w:rsid w:val="00B735D2"/>
    <w:rsid w:val="00B7369B"/>
    <w:rsid w:val="00B737CF"/>
    <w:rsid w:val="00B73944"/>
    <w:rsid w:val="00B73B55"/>
    <w:rsid w:val="00B73B59"/>
    <w:rsid w:val="00B73BAA"/>
    <w:rsid w:val="00B73C54"/>
    <w:rsid w:val="00B7418B"/>
    <w:rsid w:val="00B7428F"/>
    <w:rsid w:val="00B74371"/>
    <w:rsid w:val="00B74437"/>
    <w:rsid w:val="00B7455A"/>
    <w:rsid w:val="00B746A7"/>
    <w:rsid w:val="00B746F6"/>
    <w:rsid w:val="00B747CE"/>
    <w:rsid w:val="00B74831"/>
    <w:rsid w:val="00B74893"/>
    <w:rsid w:val="00B7498D"/>
    <w:rsid w:val="00B749EC"/>
    <w:rsid w:val="00B74A18"/>
    <w:rsid w:val="00B74A37"/>
    <w:rsid w:val="00B74A90"/>
    <w:rsid w:val="00B74DE0"/>
    <w:rsid w:val="00B74E72"/>
    <w:rsid w:val="00B74E8B"/>
    <w:rsid w:val="00B75008"/>
    <w:rsid w:val="00B75058"/>
    <w:rsid w:val="00B75073"/>
    <w:rsid w:val="00B750DB"/>
    <w:rsid w:val="00B75133"/>
    <w:rsid w:val="00B7519D"/>
    <w:rsid w:val="00B751F3"/>
    <w:rsid w:val="00B751FA"/>
    <w:rsid w:val="00B75233"/>
    <w:rsid w:val="00B75250"/>
    <w:rsid w:val="00B7528A"/>
    <w:rsid w:val="00B7553C"/>
    <w:rsid w:val="00B7562A"/>
    <w:rsid w:val="00B75825"/>
    <w:rsid w:val="00B758D3"/>
    <w:rsid w:val="00B75925"/>
    <w:rsid w:val="00B759E4"/>
    <w:rsid w:val="00B75A51"/>
    <w:rsid w:val="00B75B90"/>
    <w:rsid w:val="00B75BA2"/>
    <w:rsid w:val="00B75BF4"/>
    <w:rsid w:val="00B75C75"/>
    <w:rsid w:val="00B75D7C"/>
    <w:rsid w:val="00B75F6D"/>
    <w:rsid w:val="00B75FED"/>
    <w:rsid w:val="00B7601F"/>
    <w:rsid w:val="00B7602F"/>
    <w:rsid w:val="00B76075"/>
    <w:rsid w:val="00B76096"/>
    <w:rsid w:val="00B76137"/>
    <w:rsid w:val="00B76200"/>
    <w:rsid w:val="00B76229"/>
    <w:rsid w:val="00B7622D"/>
    <w:rsid w:val="00B7632F"/>
    <w:rsid w:val="00B763B7"/>
    <w:rsid w:val="00B763EA"/>
    <w:rsid w:val="00B76413"/>
    <w:rsid w:val="00B7655A"/>
    <w:rsid w:val="00B76585"/>
    <w:rsid w:val="00B7662D"/>
    <w:rsid w:val="00B766AD"/>
    <w:rsid w:val="00B766B2"/>
    <w:rsid w:val="00B76794"/>
    <w:rsid w:val="00B76982"/>
    <w:rsid w:val="00B76991"/>
    <w:rsid w:val="00B76CA8"/>
    <w:rsid w:val="00B76F3A"/>
    <w:rsid w:val="00B76F3B"/>
    <w:rsid w:val="00B76FF4"/>
    <w:rsid w:val="00B77080"/>
    <w:rsid w:val="00B77107"/>
    <w:rsid w:val="00B7712F"/>
    <w:rsid w:val="00B771EB"/>
    <w:rsid w:val="00B772D1"/>
    <w:rsid w:val="00B77347"/>
    <w:rsid w:val="00B7737C"/>
    <w:rsid w:val="00B773C5"/>
    <w:rsid w:val="00B773FB"/>
    <w:rsid w:val="00B774C1"/>
    <w:rsid w:val="00B77549"/>
    <w:rsid w:val="00B77588"/>
    <w:rsid w:val="00B77606"/>
    <w:rsid w:val="00B7765A"/>
    <w:rsid w:val="00B77752"/>
    <w:rsid w:val="00B778DA"/>
    <w:rsid w:val="00B778EB"/>
    <w:rsid w:val="00B77B1D"/>
    <w:rsid w:val="00B77BD0"/>
    <w:rsid w:val="00B77CE3"/>
    <w:rsid w:val="00B77E39"/>
    <w:rsid w:val="00B77EED"/>
    <w:rsid w:val="00B77F23"/>
    <w:rsid w:val="00B77FB9"/>
    <w:rsid w:val="00B8007F"/>
    <w:rsid w:val="00B80173"/>
    <w:rsid w:val="00B801B1"/>
    <w:rsid w:val="00B80203"/>
    <w:rsid w:val="00B80225"/>
    <w:rsid w:val="00B80256"/>
    <w:rsid w:val="00B8028E"/>
    <w:rsid w:val="00B8030A"/>
    <w:rsid w:val="00B80408"/>
    <w:rsid w:val="00B80410"/>
    <w:rsid w:val="00B80496"/>
    <w:rsid w:val="00B804CA"/>
    <w:rsid w:val="00B80506"/>
    <w:rsid w:val="00B8072A"/>
    <w:rsid w:val="00B80791"/>
    <w:rsid w:val="00B8079C"/>
    <w:rsid w:val="00B80A06"/>
    <w:rsid w:val="00B80AEA"/>
    <w:rsid w:val="00B80B3A"/>
    <w:rsid w:val="00B80B70"/>
    <w:rsid w:val="00B80B87"/>
    <w:rsid w:val="00B80CB8"/>
    <w:rsid w:val="00B80EB6"/>
    <w:rsid w:val="00B80EDB"/>
    <w:rsid w:val="00B80FC6"/>
    <w:rsid w:val="00B8105A"/>
    <w:rsid w:val="00B81097"/>
    <w:rsid w:val="00B81123"/>
    <w:rsid w:val="00B811F0"/>
    <w:rsid w:val="00B8126D"/>
    <w:rsid w:val="00B81276"/>
    <w:rsid w:val="00B8145D"/>
    <w:rsid w:val="00B8149C"/>
    <w:rsid w:val="00B81603"/>
    <w:rsid w:val="00B81640"/>
    <w:rsid w:val="00B81739"/>
    <w:rsid w:val="00B8180E"/>
    <w:rsid w:val="00B81859"/>
    <w:rsid w:val="00B8199C"/>
    <w:rsid w:val="00B819C9"/>
    <w:rsid w:val="00B819D4"/>
    <w:rsid w:val="00B81B73"/>
    <w:rsid w:val="00B81C96"/>
    <w:rsid w:val="00B81CE7"/>
    <w:rsid w:val="00B81D63"/>
    <w:rsid w:val="00B81D7E"/>
    <w:rsid w:val="00B81D96"/>
    <w:rsid w:val="00B81E00"/>
    <w:rsid w:val="00B81FA9"/>
    <w:rsid w:val="00B82026"/>
    <w:rsid w:val="00B8202F"/>
    <w:rsid w:val="00B820C9"/>
    <w:rsid w:val="00B820E7"/>
    <w:rsid w:val="00B82245"/>
    <w:rsid w:val="00B822D2"/>
    <w:rsid w:val="00B8230D"/>
    <w:rsid w:val="00B8236D"/>
    <w:rsid w:val="00B8257A"/>
    <w:rsid w:val="00B825A1"/>
    <w:rsid w:val="00B8262D"/>
    <w:rsid w:val="00B8266F"/>
    <w:rsid w:val="00B8268E"/>
    <w:rsid w:val="00B826D3"/>
    <w:rsid w:val="00B827F2"/>
    <w:rsid w:val="00B827FD"/>
    <w:rsid w:val="00B8285B"/>
    <w:rsid w:val="00B8290F"/>
    <w:rsid w:val="00B829BA"/>
    <w:rsid w:val="00B82A49"/>
    <w:rsid w:val="00B82AE8"/>
    <w:rsid w:val="00B82AEF"/>
    <w:rsid w:val="00B82B65"/>
    <w:rsid w:val="00B82C1D"/>
    <w:rsid w:val="00B82C89"/>
    <w:rsid w:val="00B82CE0"/>
    <w:rsid w:val="00B82D38"/>
    <w:rsid w:val="00B82E1C"/>
    <w:rsid w:val="00B82EB1"/>
    <w:rsid w:val="00B82F5E"/>
    <w:rsid w:val="00B82FBC"/>
    <w:rsid w:val="00B830BF"/>
    <w:rsid w:val="00B831D4"/>
    <w:rsid w:val="00B832BA"/>
    <w:rsid w:val="00B832D7"/>
    <w:rsid w:val="00B83336"/>
    <w:rsid w:val="00B8344B"/>
    <w:rsid w:val="00B83454"/>
    <w:rsid w:val="00B834ED"/>
    <w:rsid w:val="00B834F9"/>
    <w:rsid w:val="00B83515"/>
    <w:rsid w:val="00B835A0"/>
    <w:rsid w:val="00B835A3"/>
    <w:rsid w:val="00B83605"/>
    <w:rsid w:val="00B83712"/>
    <w:rsid w:val="00B83720"/>
    <w:rsid w:val="00B83820"/>
    <w:rsid w:val="00B839B5"/>
    <w:rsid w:val="00B83A51"/>
    <w:rsid w:val="00B83A9B"/>
    <w:rsid w:val="00B83B7F"/>
    <w:rsid w:val="00B83DD1"/>
    <w:rsid w:val="00B83F5B"/>
    <w:rsid w:val="00B83FEF"/>
    <w:rsid w:val="00B84027"/>
    <w:rsid w:val="00B841A7"/>
    <w:rsid w:val="00B84206"/>
    <w:rsid w:val="00B8428A"/>
    <w:rsid w:val="00B8429C"/>
    <w:rsid w:val="00B842BD"/>
    <w:rsid w:val="00B843E3"/>
    <w:rsid w:val="00B8447B"/>
    <w:rsid w:val="00B844C4"/>
    <w:rsid w:val="00B844EB"/>
    <w:rsid w:val="00B84569"/>
    <w:rsid w:val="00B84634"/>
    <w:rsid w:val="00B84762"/>
    <w:rsid w:val="00B8486D"/>
    <w:rsid w:val="00B848BA"/>
    <w:rsid w:val="00B84A04"/>
    <w:rsid w:val="00B84AD8"/>
    <w:rsid w:val="00B84C83"/>
    <w:rsid w:val="00B84CFA"/>
    <w:rsid w:val="00B84D74"/>
    <w:rsid w:val="00B84E85"/>
    <w:rsid w:val="00B84EE8"/>
    <w:rsid w:val="00B84FAB"/>
    <w:rsid w:val="00B84FD5"/>
    <w:rsid w:val="00B84FDB"/>
    <w:rsid w:val="00B85215"/>
    <w:rsid w:val="00B8554C"/>
    <w:rsid w:val="00B85567"/>
    <w:rsid w:val="00B855BD"/>
    <w:rsid w:val="00B85630"/>
    <w:rsid w:val="00B856E0"/>
    <w:rsid w:val="00B8573E"/>
    <w:rsid w:val="00B857DE"/>
    <w:rsid w:val="00B8585C"/>
    <w:rsid w:val="00B85945"/>
    <w:rsid w:val="00B859B0"/>
    <w:rsid w:val="00B85A9E"/>
    <w:rsid w:val="00B85B31"/>
    <w:rsid w:val="00B85B37"/>
    <w:rsid w:val="00B85CDE"/>
    <w:rsid w:val="00B85D1A"/>
    <w:rsid w:val="00B85D4F"/>
    <w:rsid w:val="00B85E07"/>
    <w:rsid w:val="00B85F38"/>
    <w:rsid w:val="00B85F4A"/>
    <w:rsid w:val="00B85FC7"/>
    <w:rsid w:val="00B85FE9"/>
    <w:rsid w:val="00B86061"/>
    <w:rsid w:val="00B861CE"/>
    <w:rsid w:val="00B862AF"/>
    <w:rsid w:val="00B862BD"/>
    <w:rsid w:val="00B8635D"/>
    <w:rsid w:val="00B86369"/>
    <w:rsid w:val="00B86401"/>
    <w:rsid w:val="00B8650F"/>
    <w:rsid w:val="00B86519"/>
    <w:rsid w:val="00B86599"/>
    <w:rsid w:val="00B8675B"/>
    <w:rsid w:val="00B868B2"/>
    <w:rsid w:val="00B869BC"/>
    <w:rsid w:val="00B869FB"/>
    <w:rsid w:val="00B86A01"/>
    <w:rsid w:val="00B86A39"/>
    <w:rsid w:val="00B86A49"/>
    <w:rsid w:val="00B86AD3"/>
    <w:rsid w:val="00B86BCC"/>
    <w:rsid w:val="00B86C13"/>
    <w:rsid w:val="00B86C49"/>
    <w:rsid w:val="00B86D52"/>
    <w:rsid w:val="00B86E0F"/>
    <w:rsid w:val="00B86E59"/>
    <w:rsid w:val="00B87067"/>
    <w:rsid w:val="00B871C1"/>
    <w:rsid w:val="00B87477"/>
    <w:rsid w:val="00B874AB"/>
    <w:rsid w:val="00B874CF"/>
    <w:rsid w:val="00B8764B"/>
    <w:rsid w:val="00B8793B"/>
    <w:rsid w:val="00B87B20"/>
    <w:rsid w:val="00B87B62"/>
    <w:rsid w:val="00B87BAB"/>
    <w:rsid w:val="00B87C78"/>
    <w:rsid w:val="00B87C8A"/>
    <w:rsid w:val="00B87CA0"/>
    <w:rsid w:val="00B87CB7"/>
    <w:rsid w:val="00B87DB5"/>
    <w:rsid w:val="00B87E21"/>
    <w:rsid w:val="00B87EB7"/>
    <w:rsid w:val="00B87F87"/>
    <w:rsid w:val="00B9000F"/>
    <w:rsid w:val="00B900C0"/>
    <w:rsid w:val="00B900EC"/>
    <w:rsid w:val="00B9010A"/>
    <w:rsid w:val="00B902B2"/>
    <w:rsid w:val="00B902CF"/>
    <w:rsid w:val="00B902E1"/>
    <w:rsid w:val="00B90317"/>
    <w:rsid w:val="00B9055C"/>
    <w:rsid w:val="00B90651"/>
    <w:rsid w:val="00B906B6"/>
    <w:rsid w:val="00B906E7"/>
    <w:rsid w:val="00B90721"/>
    <w:rsid w:val="00B90730"/>
    <w:rsid w:val="00B907D4"/>
    <w:rsid w:val="00B90873"/>
    <w:rsid w:val="00B908D6"/>
    <w:rsid w:val="00B9092A"/>
    <w:rsid w:val="00B90A9F"/>
    <w:rsid w:val="00B90AA2"/>
    <w:rsid w:val="00B90AC3"/>
    <w:rsid w:val="00B90ACF"/>
    <w:rsid w:val="00B90ADA"/>
    <w:rsid w:val="00B90ADF"/>
    <w:rsid w:val="00B90BA3"/>
    <w:rsid w:val="00B90CB8"/>
    <w:rsid w:val="00B90D5C"/>
    <w:rsid w:val="00B90E11"/>
    <w:rsid w:val="00B90F5D"/>
    <w:rsid w:val="00B912DF"/>
    <w:rsid w:val="00B913F7"/>
    <w:rsid w:val="00B91429"/>
    <w:rsid w:val="00B91434"/>
    <w:rsid w:val="00B91446"/>
    <w:rsid w:val="00B914B8"/>
    <w:rsid w:val="00B914DB"/>
    <w:rsid w:val="00B915B8"/>
    <w:rsid w:val="00B916BD"/>
    <w:rsid w:val="00B91789"/>
    <w:rsid w:val="00B91AE5"/>
    <w:rsid w:val="00B91B53"/>
    <w:rsid w:val="00B91BDD"/>
    <w:rsid w:val="00B91C84"/>
    <w:rsid w:val="00B91D70"/>
    <w:rsid w:val="00B91E59"/>
    <w:rsid w:val="00B91E9A"/>
    <w:rsid w:val="00B91FCD"/>
    <w:rsid w:val="00B91FF7"/>
    <w:rsid w:val="00B92053"/>
    <w:rsid w:val="00B92158"/>
    <w:rsid w:val="00B9217B"/>
    <w:rsid w:val="00B9221D"/>
    <w:rsid w:val="00B9227A"/>
    <w:rsid w:val="00B9235B"/>
    <w:rsid w:val="00B92532"/>
    <w:rsid w:val="00B92570"/>
    <w:rsid w:val="00B925A0"/>
    <w:rsid w:val="00B925BF"/>
    <w:rsid w:val="00B9270E"/>
    <w:rsid w:val="00B92732"/>
    <w:rsid w:val="00B927BE"/>
    <w:rsid w:val="00B9282B"/>
    <w:rsid w:val="00B92839"/>
    <w:rsid w:val="00B928A0"/>
    <w:rsid w:val="00B928DB"/>
    <w:rsid w:val="00B9291C"/>
    <w:rsid w:val="00B92AA5"/>
    <w:rsid w:val="00B92B16"/>
    <w:rsid w:val="00B92B60"/>
    <w:rsid w:val="00B92BE8"/>
    <w:rsid w:val="00B92C17"/>
    <w:rsid w:val="00B92C51"/>
    <w:rsid w:val="00B92C9D"/>
    <w:rsid w:val="00B92CFA"/>
    <w:rsid w:val="00B92E1B"/>
    <w:rsid w:val="00B92E34"/>
    <w:rsid w:val="00B92E7A"/>
    <w:rsid w:val="00B92FA1"/>
    <w:rsid w:val="00B93034"/>
    <w:rsid w:val="00B930C0"/>
    <w:rsid w:val="00B93282"/>
    <w:rsid w:val="00B93309"/>
    <w:rsid w:val="00B9333A"/>
    <w:rsid w:val="00B93346"/>
    <w:rsid w:val="00B9335C"/>
    <w:rsid w:val="00B93438"/>
    <w:rsid w:val="00B93445"/>
    <w:rsid w:val="00B9349F"/>
    <w:rsid w:val="00B93576"/>
    <w:rsid w:val="00B93635"/>
    <w:rsid w:val="00B936B3"/>
    <w:rsid w:val="00B936BF"/>
    <w:rsid w:val="00B936EA"/>
    <w:rsid w:val="00B9383F"/>
    <w:rsid w:val="00B93977"/>
    <w:rsid w:val="00B939B9"/>
    <w:rsid w:val="00B93AD2"/>
    <w:rsid w:val="00B93B7A"/>
    <w:rsid w:val="00B93BA7"/>
    <w:rsid w:val="00B93CAA"/>
    <w:rsid w:val="00B93D77"/>
    <w:rsid w:val="00B93E8C"/>
    <w:rsid w:val="00B93EE3"/>
    <w:rsid w:val="00B9405E"/>
    <w:rsid w:val="00B94069"/>
    <w:rsid w:val="00B940E4"/>
    <w:rsid w:val="00B942C6"/>
    <w:rsid w:val="00B942DE"/>
    <w:rsid w:val="00B94311"/>
    <w:rsid w:val="00B9431C"/>
    <w:rsid w:val="00B94332"/>
    <w:rsid w:val="00B94380"/>
    <w:rsid w:val="00B943FC"/>
    <w:rsid w:val="00B9446A"/>
    <w:rsid w:val="00B944DE"/>
    <w:rsid w:val="00B94535"/>
    <w:rsid w:val="00B94562"/>
    <w:rsid w:val="00B94617"/>
    <w:rsid w:val="00B9462C"/>
    <w:rsid w:val="00B9465F"/>
    <w:rsid w:val="00B94662"/>
    <w:rsid w:val="00B94690"/>
    <w:rsid w:val="00B946E2"/>
    <w:rsid w:val="00B94852"/>
    <w:rsid w:val="00B94993"/>
    <w:rsid w:val="00B94A13"/>
    <w:rsid w:val="00B94DE4"/>
    <w:rsid w:val="00B94E37"/>
    <w:rsid w:val="00B94E42"/>
    <w:rsid w:val="00B94F3D"/>
    <w:rsid w:val="00B9506D"/>
    <w:rsid w:val="00B950DC"/>
    <w:rsid w:val="00B9512A"/>
    <w:rsid w:val="00B9513A"/>
    <w:rsid w:val="00B95213"/>
    <w:rsid w:val="00B952F6"/>
    <w:rsid w:val="00B9536D"/>
    <w:rsid w:val="00B9538F"/>
    <w:rsid w:val="00B954ED"/>
    <w:rsid w:val="00B955ED"/>
    <w:rsid w:val="00B95713"/>
    <w:rsid w:val="00B95728"/>
    <w:rsid w:val="00B95984"/>
    <w:rsid w:val="00B95A4F"/>
    <w:rsid w:val="00B95B7E"/>
    <w:rsid w:val="00B95CE1"/>
    <w:rsid w:val="00B95CEC"/>
    <w:rsid w:val="00B95D1B"/>
    <w:rsid w:val="00B95F7A"/>
    <w:rsid w:val="00B95FBD"/>
    <w:rsid w:val="00B960E1"/>
    <w:rsid w:val="00B96100"/>
    <w:rsid w:val="00B96171"/>
    <w:rsid w:val="00B96266"/>
    <w:rsid w:val="00B9633C"/>
    <w:rsid w:val="00B96349"/>
    <w:rsid w:val="00B9637F"/>
    <w:rsid w:val="00B9643F"/>
    <w:rsid w:val="00B96491"/>
    <w:rsid w:val="00B9651C"/>
    <w:rsid w:val="00B9660F"/>
    <w:rsid w:val="00B966E3"/>
    <w:rsid w:val="00B96744"/>
    <w:rsid w:val="00B9680D"/>
    <w:rsid w:val="00B96848"/>
    <w:rsid w:val="00B96AF9"/>
    <w:rsid w:val="00B96C83"/>
    <w:rsid w:val="00B96CB3"/>
    <w:rsid w:val="00B96D47"/>
    <w:rsid w:val="00B96D71"/>
    <w:rsid w:val="00B96E03"/>
    <w:rsid w:val="00B96E94"/>
    <w:rsid w:val="00B96ED6"/>
    <w:rsid w:val="00B96EDD"/>
    <w:rsid w:val="00B96FB8"/>
    <w:rsid w:val="00B96FFF"/>
    <w:rsid w:val="00B97040"/>
    <w:rsid w:val="00B970DB"/>
    <w:rsid w:val="00B97165"/>
    <w:rsid w:val="00B9720F"/>
    <w:rsid w:val="00B972C3"/>
    <w:rsid w:val="00B972E2"/>
    <w:rsid w:val="00B974C8"/>
    <w:rsid w:val="00B9761D"/>
    <w:rsid w:val="00B97779"/>
    <w:rsid w:val="00B9781C"/>
    <w:rsid w:val="00B979BF"/>
    <w:rsid w:val="00B97AB0"/>
    <w:rsid w:val="00B97C65"/>
    <w:rsid w:val="00B97CC2"/>
    <w:rsid w:val="00B97D31"/>
    <w:rsid w:val="00B97D4C"/>
    <w:rsid w:val="00B97DDE"/>
    <w:rsid w:val="00B97FE9"/>
    <w:rsid w:val="00BA01D2"/>
    <w:rsid w:val="00BA0239"/>
    <w:rsid w:val="00BA0262"/>
    <w:rsid w:val="00BA0281"/>
    <w:rsid w:val="00BA0342"/>
    <w:rsid w:val="00BA03BB"/>
    <w:rsid w:val="00BA0457"/>
    <w:rsid w:val="00BA04CE"/>
    <w:rsid w:val="00BA0585"/>
    <w:rsid w:val="00BA065D"/>
    <w:rsid w:val="00BA07C9"/>
    <w:rsid w:val="00BA085C"/>
    <w:rsid w:val="00BA08AF"/>
    <w:rsid w:val="00BA08F6"/>
    <w:rsid w:val="00BA0A21"/>
    <w:rsid w:val="00BA0AF5"/>
    <w:rsid w:val="00BA0B6D"/>
    <w:rsid w:val="00BA0B8A"/>
    <w:rsid w:val="00BA0BAB"/>
    <w:rsid w:val="00BA0C2B"/>
    <w:rsid w:val="00BA0CEC"/>
    <w:rsid w:val="00BA0DBA"/>
    <w:rsid w:val="00BA1079"/>
    <w:rsid w:val="00BA10BE"/>
    <w:rsid w:val="00BA115A"/>
    <w:rsid w:val="00BA12DD"/>
    <w:rsid w:val="00BA14D7"/>
    <w:rsid w:val="00BA15BC"/>
    <w:rsid w:val="00BA15D1"/>
    <w:rsid w:val="00BA15DD"/>
    <w:rsid w:val="00BA15F4"/>
    <w:rsid w:val="00BA1688"/>
    <w:rsid w:val="00BA182F"/>
    <w:rsid w:val="00BA1835"/>
    <w:rsid w:val="00BA189D"/>
    <w:rsid w:val="00BA1904"/>
    <w:rsid w:val="00BA1A00"/>
    <w:rsid w:val="00BA1ABF"/>
    <w:rsid w:val="00BA1C46"/>
    <w:rsid w:val="00BA1C4E"/>
    <w:rsid w:val="00BA1C9B"/>
    <w:rsid w:val="00BA1D2D"/>
    <w:rsid w:val="00BA1D6E"/>
    <w:rsid w:val="00BA1DE0"/>
    <w:rsid w:val="00BA1E0E"/>
    <w:rsid w:val="00BA1E7E"/>
    <w:rsid w:val="00BA1F81"/>
    <w:rsid w:val="00BA2039"/>
    <w:rsid w:val="00BA20CD"/>
    <w:rsid w:val="00BA2173"/>
    <w:rsid w:val="00BA2253"/>
    <w:rsid w:val="00BA2369"/>
    <w:rsid w:val="00BA2417"/>
    <w:rsid w:val="00BA261E"/>
    <w:rsid w:val="00BA266D"/>
    <w:rsid w:val="00BA27D6"/>
    <w:rsid w:val="00BA2809"/>
    <w:rsid w:val="00BA282A"/>
    <w:rsid w:val="00BA29AC"/>
    <w:rsid w:val="00BA2A81"/>
    <w:rsid w:val="00BA2B71"/>
    <w:rsid w:val="00BA2B7C"/>
    <w:rsid w:val="00BA2BFE"/>
    <w:rsid w:val="00BA2C12"/>
    <w:rsid w:val="00BA2C2E"/>
    <w:rsid w:val="00BA2C61"/>
    <w:rsid w:val="00BA2CA1"/>
    <w:rsid w:val="00BA2D3F"/>
    <w:rsid w:val="00BA2D70"/>
    <w:rsid w:val="00BA2E16"/>
    <w:rsid w:val="00BA2E64"/>
    <w:rsid w:val="00BA2F5A"/>
    <w:rsid w:val="00BA32D2"/>
    <w:rsid w:val="00BA342D"/>
    <w:rsid w:val="00BA34A2"/>
    <w:rsid w:val="00BA36E9"/>
    <w:rsid w:val="00BA3706"/>
    <w:rsid w:val="00BA3747"/>
    <w:rsid w:val="00BA385C"/>
    <w:rsid w:val="00BA38BA"/>
    <w:rsid w:val="00BA39DC"/>
    <w:rsid w:val="00BA39EF"/>
    <w:rsid w:val="00BA3A46"/>
    <w:rsid w:val="00BA3A79"/>
    <w:rsid w:val="00BA3A84"/>
    <w:rsid w:val="00BA3D8C"/>
    <w:rsid w:val="00BA3E9C"/>
    <w:rsid w:val="00BA3EBE"/>
    <w:rsid w:val="00BA3F81"/>
    <w:rsid w:val="00BA4101"/>
    <w:rsid w:val="00BA41E6"/>
    <w:rsid w:val="00BA4592"/>
    <w:rsid w:val="00BA461B"/>
    <w:rsid w:val="00BA473F"/>
    <w:rsid w:val="00BA4766"/>
    <w:rsid w:val="00BA47A2"/>
    <w:rsid w:val="00BA4AD3"/>
    <w:rsid w:val="00BA4BFC"/>
    <w:rsid w:val="00BA4D91"/>
    <w:rsid w:val="00BA4E74"/>
    <w:rsid w:val="00BA4E89"/>
    <w:rsid w:val="00BA4EC9"/>
    <w:rsid w:val="00BA4ECF"/>
    <w:rsid w:val="00BA4ED8"/>
    <w:rsid w:val="00BA4F3E"/>
    <w:rsid w:val="00BA4FED"/>
    <w:rsid w:val="00BA4FF8"/>
    <w:rsid w:val="00BA4FFA"/>
    <w:rsid w:val="00BA4FFB"/>
    <w:rsid w:val="00BA5097"/>
    <w:rsid w:val="00BA5145"/>
    <w:rsid w:val="00BA5236"/>
    <w:rsid w:val="00BA5255"/>
    <w:rsid w:val="00BA569A"/>
    <w:rsid w:val="00BA56A1"/>
    <w:rsid w:val="00BA56F9"/>
    <w:rsid w:val="00BA578E"/>
    <w:rsid w:val="00BA5895"/>
    <w:rsid w:val="00BA58C8"/>
    <w:rsid w:val="00BA591B"/>
    <w:rsid w:val="00BA5931"/>
    <w:rsid w:val="00BA5A78"/>
    <w:rsid w:val="00BA5A8F"/>
    <w:rsid w:val="00BA5AA9"/>
    <w:rsid w:val="00BA5AB6"/>
    <w:rsid w:val="00BA5AE0"/>
    <w:rsid w:val="00BA5AE8"/>
    <w:rsid w:val="00BA5BE6"/>
    <w:rsid w:val="00BA5C6A"/>
    <w:rsid w:val="00BA5D17"/>
    <w:rsid w:val="00BA5D65"/>
    <w:rsid w:val="00BA5DC5"/>
    <w:rsid w:val="00BA5E23"/>
    <w:rsid w:val="00BA5E31"/>
    <w:rsid w:val="00BA608F"/>
    <w:rsid w:val="00BA6123"/>
    <w:rsid w:val="00BA622E"/>
    <w:rsid w:val="00BA6282"/>
    <w:rsid w:val="00BA631D"/>
    <w:rsid w:val="00BA637A"/>
    <w:rsid w:val="00BA63A3"/>
    <w:rsid w:val="00BA646B"/>
    <w:rsid w:val="00BA64B0"/>
    <w:rsid w:val="00BA6623"/>
    <w:rsid w:val="00BA6757"/>
    <w:rsid w:val="00BA67CF"/>
    <w:rsid w:val="00BA6898"/>
    <w:rsid w:val="00BA68E6"/>
    <w:rsid w:val="00BA6ACE"/>
    <w:rsid w:val="00BA6B50"/>
    <w:rsid w:val="00BA6B71"/>
    <w:rsid w:val="00BA6BA2"/>
    <w:rsid w:val="00BA6BCF"/>
    <w:rsid w:val="00BA6C11"/>
    <w:rsid w:val="00BA6FA5"/>
    <w:rsid w:val="00BA6FC3"/>
    <w:rsid w:val="00BA6FDF"/>
    <w:rsid w:val="00BA7010"/>
    <w:rsid w:val="00BA71FA"/>
    <w:rsid w:val="00BA7259"/>
    <w:rsid w:val="00BA73AB"/>
    <w:rsid w:val="00BA7622"/>
    <w:rsid w:val="00BA7635"/>
    <w:rsid w:val="00BA7696"/>
    <w:rsid w:val="00BA777A"/>
    <w:rsid w:val="00BA78F0"/>
    <w:rsid w:val="00BA79B7"/>
    <w:rsid w:val="00BA7ACB"/>
    <w:rsid w:val="00BA7AF8"/>
    <w:rsid w:val="00BA7B54"/>
    <w:rsid w:val="00BA7B6A"/>
    <w:rsid w:val="00BA7BA5"/>
    <w:rsid w:val="00BA7CB9"/>
    <w:rsid w:val="00BA7CBB"/>
    <w:rsid w:val="00BA7DE3"/>
    <w:rsid w:val="00BA7FA5"/>
    <w:rsid w:val="00BB00E6"/>
    <w:rsid w:val="00BB01B8"/>
    <w:rsid w:val="00BB01C4"/>
    <w:rsid w:val="00BB02EC"/>
    <w:rsid w:val="00BB0332"/>
    <w:rsid w:val="00BB0448"/>
    <w:rsid w:val="00BB0564"/>
    <w:rsid w:val="00BB056D"/>
    <w:rsid w:val="00BB05C6"/>
    <w:rsid w:val="00BB05E1"/>
    <w:rsid w:val="00BB064F"/>
    <w:rsid w:val="00BB0781"/>
    <w:rsid w:val="00BB08BC"/>
    <w:rsid w:val="00BB0995"/>
    <w:rsid w:val="00BB0CB7"/>
    <w:rsid w:val="00BB0F02"/>
    <w:rsid w:val="00BB1007"/>
    <w:rsid w:val="00BB11B9"/>
    <w:rsid w:val="00BB15D0"/>
    <w:rsid w:val="00BB17B7"/>
    <w:rsid w:val="00BB187E"/>
    <w:rsid w:val="00BB1A01"/>
    <w:rsid w:val="00BB1B7D"/>
    <w:rsid w:val="00BB1BDC"/>
    <w:rsid w:val="00BB1D59"/>
    <w:rsid w:val="00BB1D87"/>
    <w:rsid w:val="00BB1E21"/>
    <w:rsid w:val="00BB1E7F"/>
    <w:rsid w:val="00BB1F3F"/>
    <w:rsid w:val="00BB20BD"/>
    <w:rsid w:val="00BB216D"/>
    <w:rsid w:val="00BB2193"/>
    <w:rsid w:val="00BB21CC"/>
    <w:rsid w:val="00BB2287"/>
    <w:rsid w:val="00BB2312"/>
    <w:rsid w:val="00BB2483"/>
    <w:rsid w:val="00BB248C"/>
    <w:rsid w:val="00BB24E2"/>
    <w:rsid w:val="00BB24E9"/>
    <w:rsid w:val="00BB2556"/>
    <w:rsid w:val="00BB2758"/>
    <w:rsid w:val="00BB2780"/>
    <w:rsid w:val="00BB2945"/>
    <w:rsid w:val="00BB2981"/>
    <w:rsid w:val="00BB2A5D"/>
    <w:rsid w:val="00BB2AA2"/>
    <w:rsid w:val="00BB2B3F"/>
    <w:rsid w:val="00BB2B50"/>
    <w:rsid w:val="00BB2B7A"/>
    <w:rsid w:val="00BB2C91"/>
    <w:rsid w:val="00BB2CE4"/>
    <w:rsid w:val="00BB2DAC"/>
    <w:rsid w:val="00BB2DDA"/>
    <w:rsid w:val="00BB2FF4"/>
    <w:rsid w:val="00BB3007"/>
    <w:rsid w:val="00BB3038"/>
    <w:rsid w:val="00BB30A6"/>
    <w:rsid w:val="00BB30ED"/>
    <w:rsid w:val="00BB3184"/>
    <w:rsid w:val="00BB31B7"/>
    <w:rsid w:val="00BB32E4"/>
    <w:rsid w:val="00BB3366"/>
    <w:rsid w:val="00BB33A8"/>
    <w:rsid w:val="00BB34BD"/>
    <w:rsid w:val="00BB34D2"/>
    <w:rsid w:val="00BB34F0"/>
    <w:rsid w:val="00BB3500"/>
    <w:rsid w:val="00BB3528"/>
    <w:rsid w:val="00BB35F0"/>
    <w:rsid w:val="00BB35FE"/>
    <w:rsid w:val="00BB36D1"/>
    <w:rsid w:val="00BB3700"/>
    <w:rsid w:val="00BB37B4"/>
    <w:rsid w:val="00BB3864"/>
    <w:rsid w:val="00BB3899"/>
    <w:rsid w:val="00BB392C"/>
    <w:rsid w:val="00BB3954"/>
    <w:rsid w:val="00BB3A90"/>
    <w:rsid w:val="00BB3AC5"/>
    <w:rsid w:val="00BB3B32"/>
    <w:rsid w:val="00BB3B63"/>
    <w:rsid w:val="00BB3B89"/>
    <w:rsid w:val="00BB3BE2"/>
    <w:rsid w:val="00BB3C3D"/>
    <w:rsid w:val="00BB3D66"/>
    <w:rsid w:val="00BB3DAB"/>
    <w:rsid w:val="00BB3E46"/>
    <w:rsid w:val="00BB3E82"/>
    <w:rsid w:val="00BB431B"/>
    <w:rsid w:val="00BB436E"/>
    <w:rsid w:val="00BB4445"/>
    <w:rsid w:val="00BB4484"/>
    <w:rsid w:val="00BB44C9"/>
    <w:rsid w:val="00BB4655"/>
    <w:rsid w:val="00BB4689"/>
    <w:rsid w:val="00BB47D6"/>
    <w:rsid w:val="00BB4830"/>
    <w:rsid w:val="00BB49D9"/>
    <w:rsid w:val="00BB4A3C"/>
    <w:rsid w:val="00BB4A9A"/>
    <w:rsid w:val="00BB4B2C"/>
    <w:rsid w:val="00BB4C37"/>
    <w:rsid w:val="00BB4CD3"/>
    <w:rsid w:val="00BB4D27"/>
    <w:rsid w:val="00BB4E37"/>
    <w:rsid w:val="00BB4F7D"/>
    <w:rsid w:val="00BB4FD5"/>
    <w:rsid w:val="00BB5069"/>
    <w:rsid w:val="00BB5089"/>
    <w:rsid w:val="00BB51D4"/>
    <w:rsid w:val="00BB521E"/>
    <w:rsid w:val="00BB5255"/>
    <w:rsid w:val="00BB5256"/>
    <w:rsid w:val="00BB52BC"/>
    <w:rsid w:val="00BB52EF"/>
    <w:rsid w:val="00BB52FE"/>
    <w:rsid w:val="00BB531E"/>
    <w:rsid w:val="00BB53B9"/>
    <w:rsid w:val="00BB5541"/>
    <w:rsid w:val="00BB55C1"/>
    <w:rsid w:val="00BB55E2"/>
    <w:rsid w:val="00BB58B6"/>
    <w:rsid w:val="00BB5913"/>
    <w:rsid w:val="00BB5997"/>
    <w:rsid w:val="00BB5ABF"/>
    <w:rsid w:val="00BB5B91"/>
    <w:rsid w:val="00BB5BB4"/>
    <w:rsid w:val="00BB5BDC"/>
    <w:rsid w:val="00BB5C7D"/>
    <w:rsid w:val="00BB5CB8"/>
    <w:rsid w:val="00BB5CE1"/>
    <w:rsid w:val="00BB5D5C"/>
    <w:rsid w:val="00BB5E22"/>
    <w:rsid w:val="00BB5E9C"/>
    <w:rsid w:val="00BB5FA1"/>
    <w:rsid w:val="00BB6180"/>
    <w:rsid w:val="00BB61B7"/>
    <w:rsid w:val="00BB6335"/>
    <w:rsid w:val="00BB63A5"/>
    <w:rsid w:val="00BB65D0"/>
    <w:rsid w:val="00BB66A4"/>
    <w:rsid w:val="00BB66F3"/>
    <w:rsid w:val="00BB678C"/>
    <w:rsid w:val="00BB682E"/>
    <w:rsid w:val="00BB691F"/>
    <w:rsid w:val="00BB6A2D"/>
    <w:rsid w:val="00BB6A51"/>
    <w:rsid w:val="00BB6A9E"/>
    <w:rsid w:val="00BB6D00"/>
    <w:rsid w:val="00BB6EE4"/>
    <w:rsid w:val="00BB703A"/>
    <w:rsid w:val="00BB70A7"/>
    <w:rsid w:val="00BB7176"/>
    <w:rsid w:val="00BB7199"/>
    <w:rsid w:val="00BB71C2"/>
    <w:rsid w:val="00BB71EC"/>
    <w:rsid w:val="00BB732D"/>
    <w:rsid w:val="00BB7434"/>
    <w:rsid w:val="00BB7450"/>
    <w:rsid w:val="00BB748A"/>
    <w:rsid w:val="00BB7506"/>
    <w:rsid w:val="00BB7626"/>
    <w:rsid w:val="00BB7670"/>
    <w:rsid w:val="00BB76AC"/>
    <w:rsid w:val="00BB76B7"/>
    <w:rsid w:val="00BB76CF"/>
    <w:rsid w:val="00BB76E8"/>
    <w:rsid w:val="00BB7715"/>
    <w:rsid w:val="00BB77F7"/>
    <w:rsid w:val="00BB7838"/>
    <w:rsid w:val="00BB7998"/>
    <w:rsid w:val="00BB7AD1"/>
    <w:rsid w:val="00BB7AD7"/>
    <w:rsid w:val="00BB7B9A"/>
    <w:rsid w:val="00BB7BA9"/>
    <w:rsid w:val="00BB7C00"/>
    <w:rsid w:val="00BB7C45"/>
    <w:rsid w:val="00BB7C71"/>
    <w:rsid w:val="00BB7C9E"/>
    <w:rsid w:val="00BB7DF0"/>
    <w:rsid w:val="00BB7E37"/>
    <w:rsid w:val="00BB7E94"/>
    <w:rsid w:val="00BC014D"/>
    <w:rsid w:val="00BC0232"/>
    <w:rsid w:val="00BC0254"/>
    <w:rsid w:val="00BC02C2"/>
    <w:rsid w:val="00BC0375"/>
    <w:rsid w:val="00BC0401"/>
    <w:rsid w:val="00BC0437"/>
    <w:rsid w:val="00BC04C4"/>
    <w:rsid w:val="00BC057A"/>
    <w:rsid w:val="00BC05ED"/>
    <w:rsid w:val="00BC0675"/>
    <w:rsid w:val="00BC06D7"/>
    <w:rsid w:val="00BC0803"/>
    <w:rsid w:val="00BC089B"/>
    <w:rsid w:val="00BC098C"/>
    <w:rsid w:val="00BC09A9"/>
    <w:rsid w:val="00BC0A98"/>
    <w:rsid w:val="00BC0F1B"/>
    <w:rsid w:val="00BC1029"/>
    <w:rsid w:val="00BC10BD"/>
    <w:rsid w:val="00BC10C8"/>
    <w:rsid w:val="00BC1216"/>
    <w:rsid w:val="00BC1258"/>
    <w:rsid w:val="00BC12CC"/>
    <w:rsid w:val="00BC1384"/>
    <w:rsid w:val="00BC1456"/>
    <w:rsid w:val="00BC14F0"/>
    <w:rsid w:val="00BC159B"/>
    <w:rsid w:val="00BC15B1"/>
    <w:rsid w:val="00BC1619"/>
    <w:rsid w:val="00BC16DA"/>
    <w:rsid w:val="00BC1792"/>
    <w:rsid w:val="00BC17D2"/>
    <w:rsid w:val="00BC18BE"/>
    <w:rsid w:val="00BC18D0"/>
    <w:rsid w:val="00BC18F0"/>
    <w:rsid w:val="00BC1938"/>
    <w:rsid w:val="00BC199E"/>
    <w:rsid w:val="00BC19C1"/>
    <w:rsid w:val="00BC19D0"/>
    <w:rsid w:val="00BC1A7E"/>
    <w:rsid w:val="00BC1B7E"/>
    <w:rsid w:val="00BC1CAC"/>
    <w:rsid w:val="00BC1D4E"/>
    <w:rsid w:val="00BC1DCA"/>
    <w:rsid w:val="00BC2089"/>
    <w:rsid w:val="00BC21D0"/>
    <w:rsid w:val="00BC2202"/>
    <w:rsid w:val="00BC229A"/>
    <w:rsid w:val="00BC22BB"/>
    <w:rsid w:val="00BC22EE"/>
    <w:rsid w:val="00BC238A"/>
    <w:rsid w:val="00BC2509"/>
    <w:rsid w:val="00BC262F"/>
    <w:rsid w:val="00BC2667"/>
    <w:rsid w:val="00BC2770"/>
    <w:rsid w:val="00BC27A1"/>
    <w:rsid w:val="00BC2950"/>
    <w:rsid w:val="00BC299C"/>
    <w:rsid w:val="00BC29FE"/>
    <w:rsid w:val="00BC2B43"/>
    <w:rsid w:val="00BC2B44"/>
    <w:rsid w:val="00BC2B56"/>
    <w:rsid w:val="00BC2C4F"/>
    <w:rsid w:val="00BC2C5B"/>
    <w:rsid w:val="00BC2CD3"/>
    <w:rsid w:val="00BC2D17"/>
    <w:rsid w:val="00BC2DD8"/>
    <w:rsid w:val="00BC2DE7"/>
    <w:rsid w:val="00BC2EFA"/>
    <w:rsid w:val="00BC2F09"/>
    <w:rsid w:val="00BC2F30"/>
    <w:rsid w:val="00BC2F6D"/>
    <w:rsid w:val="00BC3018"/>
    <w:rsid w:val="00BC30FB"/>
    <w:rsid w:val="00BC31DA"/>
    <w:rsid w:val="00BC3460"/>
    <w:rsid w:val="00BC34D1"/>
    <w:rsid w:val="00BC355D"/>
    <w:rsid w:val="00BC3568"/>
    <w:rsid w:val="00BC35D8"/>
    <w:rsid w:val="00BC35FB"/>
    <w:rsid w:val="00BC361C"/>
    <w:rsid w:val="00BC3663"/>
    <w:rsid w:val="00BC36E7"/>
    <w:rsid w:val="00BC3703"/>
    <w:rsid w:val="00BC3775"/>
    <w:rsid w:val="00BC3778"/>
    <w:rsid w:val="00BC3790"/>
    <w:rsid w:val="00BC3871"/>
    <w:rsid w:val="00BC38F8"/>
    <w:rsid w:val="00BC3940"/>
    <w:rsid w:val="00BC39EF"/>
    <w:rsid w:val="00BC3A96"/>
    <w:rsid w:val="00BC3B06"/>
    <w:rsid w:val="00BC3BA0"/>
    <w:rsid w:val="00BC3D62"/>
    <w:rsid w:val="00BC4038"/>
    <w:rsid w:val="00BC406D"/>
    <w:rsid w:val="00BC408D"/>
    <w:rsid w:val="00BC40F5"/>
    <w:rsid w:val="00BC41A5"/>
    <w:rsid w:val="00BC41FC"/>
    <w:rsid w:val="00BC42CB"/>
    <w:rsid w:val="00BC4385"/>
    <w:rsid w:val="00BC43FD"/>
    <w:rsid w:val="00BC440B"/>
    <w:rsid w:val="00BC44AF"/>
    <w:rsid w:val="00BC45A4"/>
    <w:rsid w:val="00BC4620"/>
    <w:rsid w:val="00BC462C"/>
    <w:rsid w:val="00BC4634"/>
    <w:rsid w:val="00BC4645"/>
    <w:rsid w:val="00BC46D5"/>
    <w:rsid w:val="00BC46D9"/>
    <w:rsid w:val="00BC470C"/>
    <w:rsid w:val="00BC4760"/>
    <w:rsid w:val="00BC4974"/>
    <w:rsid w:val="00BC4A22"/>
    <w:rsid w:val="00BC4A4C"/>
    <w:rsid w:val="00BC4A57"/>
    <w:rsid w:val="00BC4AA7"/>
    <w:rsid w:val="00BC4B9A"/>
    <w:rsid w:val="00BC4BAC"/>
    <w:rsid w:val="00BC4C26"/>
    <w:rsid w:val="00BC4C42"/>
    <w:rsid w:val="00BC4D4B"/>
    <w:rsid w:val="00BC4E29"/>
    <w:rsid w:val="00BC4E67"/>
    <w:rsid w:val="00BC4E9B"/>
    <w:rsid w:val="00BC506F"/>
    <w:rsid w:val="00BC50BD"/>
    <w:rsid w:val="00BC5136"/>
    <w:rsid w:val="00BC517D"/>
    <w:rsid w:val="00BC52B4"/>
    <w:rsid w:val="00BC5313"/>
    <w:rsid w:val="00BC5365"/>
    <w:rsid w:val="00BC5368"/>
    <w:rsid w:val="00BC5397"/>
    <w:rsid w:val="00BC5428"/>
    <w:rsid w:val="00BC552E"/>
    <w:rsid w:val="00BC5621"/>
    <w:rsid w:val="00BC5692"/>
    <w:rsid w:val="00BC56E7"/>
    <w:rsid w:val="00BC56EF"/>
    <w:rsid w:val="00BC585E"/>
    <w:rsid w:val="00BC58B6"/>
    <w:rsid w:val="00BC5A6E"/>
    <w:rsid w:val="00BC5ADB"/>
    <w:rsid w:val="00BC5BED"/>
    <w:rsid w:val="00BC5C66"/>
    <w:rsid w:val="00BC5C71"/>
    <w:rsid w:val="00BC5C81"/>
    <w:rsid w:val="00BC5C9C"/>
    <w:rsid w:val="00BC5D0E"/>
    <w:rsid w:val="00BC5DEA"/>
    <w:rsid w:val="00BC5ECF"/>
    <w:rsid w:val="00BC5EED"/>
    <w:rsid w:val="00BC5F25"/>
    <w:rsid w:val="00BC6091"/>
    <w:rsid w:val="00BC60E7"/>
    <w:rsid w:val="00BC62A5"/>
    <w:rsid w:val="00BC62F5"/>
    <w:rsid w:val="00BC63FE"/>
    <w:rsid w:val="00BC64CF"/>
    <w:rsid w:val="00BC6524"/>
    <w:rsid w:val="00BC6559"/>
    <w:rsid w:val="00BC65C2"/>
    <w:rsid w:val="00BC66D7"/>
    <w:rsid w:val="00BC66DC"/>
    <w:rsid w:val="00BC673A"/>
    <w:rsid w:val="00BC6758"/>
    <w:rsid w:val="00BC693A"/>
    <w:rsid w:val="00BC69AA"/>
    <w:rsid w:val="00BC69C0"/>
    <w:rsid w:val="00BC6A81"/>
    <w:rsid w:val="00BC6B51"/>
    <w:rsid w:val="00BC6B77"/>
    <w:rsid w:val="00BC6BD7"/>
    <w:rsid w:val="00BC6C61"/>
    <w:rsid w:val="00BC6C77"/>
    <w:rsid w:val="00BC6D75"/>
    <w:rsid w:val="00BC6E72"/>
    <w:rsid w:val="00BC736B"/>
    <w:rsid w:val="00BC74A3"/>
    <w:rsid w:val="00BC74B1"/>
    <w:rsid w:val="00BC7509"/>
    <w:rsid w:val="00BC7514"/>
    <w:rsid w:val="00BC7573"/>
    <w:rsid w:val="00BC76A5"/>
    <w:rsid w:val="00BC77E7"/>
    <w:rsid w:val="00BC79CC"/>
    <w:rsid w:val="00BC79CD"/>
    <w:rsid w:val="00BC7B95"/>
    <w:rsid w:val="00BC7C4A"/>
    <w:rsid w:val="00BC7CE0"/>
    <w:rsid w:val="00BC7DDF"/>
    <w:rsid w:val="00BC7DEB"/>
    <w:rsid w:val="00BC7E05"/>
    <w:rsid w:val="00BC7E31"/>
    <w:rsid w:val="00BC7E7C"/>
    <w:rsid w:val="00BC7EA2"/>
    <w:rsid w:val="00BC7EA4"/>
    <w:rsid w:val="00BC7F5B"/>
    <w:rsid w:val="00BC7F72"/>
    <w:rsid w:val="00BC7F76"/>
    <w:rsid w:val="00BD002F"/>
    <w:rsid w:val="00BD0167"/>
    <w:rsid w:val="00BD01EE"/>
    <w:rsid w:val="00BD0239"/>
    <w:rsid w:val="00BD02CC"/>
    <w:rsid w:val="00BD0364"/>
    <w:rsid w:val="00BD04C2"/>
    <w:rsid w:val="00BD058C"/>
    <w:rsid w:val="00BD0593"/>
    <w:rsid w:val="00BD06B6"/>
    <w:rsid w:val="00BD06C5"/>
    <w:rsid w:val="00BD070C"/>
    <w:rsid w:val="00BD07A9"/>
    <w:rsid w:val="00BD0846"/>
    <w:rsid w:val="00BD087C"/>
    <w:rsid w:val="00BD0B50"/>
    <w:rsid w:val="00BD0B6D"/>
    <w:rsid w:val="00BD0B87"/>
    <w:rsid w:val="00BD0C57"/>
    <w:rsid w:val="00BD0D86"/>
    <w:rsid w:val="00BD0DF0"/>
    <w:rsid w:val="00BD0E52"/>
    <w:rsid w:val="00BD0ED0"/>
    <w:rsid w:val="00BD0F98"/>
    <w:rsid w:val="00BD0FC4"/>
    <w:rsid w:val="00BD1001"/>
    <w:rsid w:val="00BD101F"/>
    <w:rsid w:val="00BD1075"/>
    <w:rsid w:val="00BD1228"/>
    <w:rsid w:val="00BD123E"/>
    <w:rsid w:val="00BD1309"/>
    <w:rsid w:val="00BD134C"/>
    <w:rsid w:val="00BD1469"/>
    <w:rsid w:val="00BD146B"/>
    <w:rsid w:val="00BD1556"/>
    <w:rsid w:val="00BD15B9"/>
    <w:rsid w:val="00BD15BC"/>
    <w:rsid w:val="00BD1629"/>
    <w:rsid w:val="00BD1644"/>
    <w:rsid w:val="00BD1661"/>
    <w:rsid w:val="00BD16F0"/>
    <w:rsid w:val="00BD1709"/>
    <w:rsid w:val="00BD171C"/>
    <w:rsid w:val="00BD185B"/>
    <w:rsid w:val="00BD19B7"/>
    <w:rsid w:val="00BD1AAD"/>
    <w:rsid w:val="00BD1B08"/>
    <w:rsid w:val="00BD1B58"/>
    <w:rsid w:val="00BD1D3F"/>
    <w:rsid w:val="00BD1D4F"/>
    <w:rsid w:val="00BD1D82"/>
    <w:rsid w:val="00BD1E06"/>
    <w:rsid w:val="00BD1E45"/>
    <w:rsid w:val="00BD1F9B"/>
    <w:rsid w:val="00BD1FB0"/>
    <w:rsid w:val="00BD1FB4"/>
    <w:rsid w:val="00BD209D"/>
    <w:rsid w:val="00BD20E7"/>
    <w:rsid w:val="00BD20F6"/>
    <w:rsid w:val="00BD22F2"/>
    <w:rsid w:val="00BD2358"/>
    <w:rsid w:val="00BD237F"/>
    <w:rsid w:val="00BD2484"/>
    <w:rsid w:val="00BD24EF"/>
    <w:rsid w:val="00BD2567"/>
    <w:rsid w:val="00BD2625"/>
    <w:rsid w:val="00BD2627"/>
    <w:rsid w:val="00BD26BA"/>
    <w:rsid w:val="00BD275E"/>
    <w:rsid w:val="00BD279B"/>
    <w:rsid w:val="00BD27B8"/>
    <w:rsid w:val="00BD27C3"/>
    <w:rsid w:val="00BD29AF"/>
    <w:rsid w:val="00BD29FF"/>
    <w:rsid w:val="00BD2A4B"/>
    <w:rsid w:val="00BD2ABB"/>
    <w:rsid w:val="00BD2AC6"/>
    <w:rsid w:val="00BD2AFD"/>
    <w:rsid w:val="00BD2D9F"/>
    <w:rsid w:val="00BD2DF0"/>
    <w:rsid w:val="00BD2E67"/>
    <w:rsid w:val="00BD2EDC"/>
    <w:rsid w:val="00BD2F7A"/>
    <w:rsid w:val="00BD3023"/>
    <w:rsid w:val="00BD317C"/>
    <w:rsid w:val="00BD31A0"/>
    <w:rsid w:val="00BD31B3"/>
    <w:rsid w:val="00BD3212"/>
    <w:rsid w:val="00BD3267"/>
    <w:rsid w:val="00BD329F"/>
    <w:rsid w:val="00BD32AC"/>
    <w:rsid w:val="00BD345B"/>
    <w:rsid w:val="00BD34F7"/>
    <w:rsid w:val="00BD36EB"/>
    <w:rsid w:val="00BD374C"/>
    <w:rsid w:val="00BD396A"/>
    <w:rsid w:val="00BD3A66"/>
    <w:rsid w:val="00BD3AD3"/>
    <w:rsid w:val="00BD3B89"/>
    <w:rsid w:val="00BD3C5C"/>
    <w:rsid w:val="00BD3D16"/>
    <w:rsid w:val="00BD3D1B"/>
    <w:rsid w:val="00BD3E3B"/>
    <w:rsid w:val="00BD3F52"/>
    <w:rsid w:val="00BD409C"/>
    <w:rsid w:val="00BD4259"/>
    <w:rsid w:val="00BD4277"/>
    <w:rsid w:val="00BD4334"/>
    <w:rsid w:val="00BD438B"/>
    <w:rsid w:val="00BD4394"/>
    <w:rsid w:val="00BD452A"/>
    <w:rsid w:val="00BD456C"/>
    <w:rsid w:val="00BD46C6"/>
    <w:rsid w:val="00BD47F6"/>
    <w:rsid w:val="00BD4894"/>
    <w:rsid w:val="00BD4938"/>
    <w:rsid w:val="00BD49A7"/>
    <w:rsid w:val="00BD49BE"/>
    <w:rsid w:val="00BD4A1B"/>
    <w:rsid w:val="00BD4A73"/>
    <w:rsid w:val="00BD4B62"/>
    <w:rsid w:val="00BD4CE9"/>
    <w:rsid w:val="00BD4F2A"/>
    <w:rsid w:val="00BD4F7C"/>
    <w:rsid w:val="00BD4FD7"/>
    <w:rsid w:val="00BD4FE2"/>
    <w:rsid w:val="00BD5073"/>
    <w:rsid w:val="00BD50D0"/>
    <w:rsid w:val="00BD50F2"/>
    <w:rsid w:val="00BD5105"/>
    <w:rsid w:val="00BD5178"/>
    <w:rsid w:val="00BD5322"/>
    <w:rsid w:val="00BD5394"/>
    <w:rsid w:val="00BD5430"/>
    <w:rsid w:val="00BD56AC"/>
    <w:rsid w:val="00BD57D7"/>
    <w:rsid w:val="00BD5883"/>
    <w:rsid w:val="00BD58D4"/>
    <w:rsid w:val="00BD58EC"/>
    <w:rsid w:val="00BD5AA9"/>
    <w:rsid w:val="00BD5AAE"/>
    <w:rsid w:val="00BD5ABA"/>
    <w:rsid w:val="00BD5AF3"/>
    <w:rsid w:val="00BD5B36"/>
    <w:rsid w:val="00BD5C13"/>
    <w:rsid w:val="00BD5C14"/>
    <w:rsid w:val="00BD5C4F"/>
    <w:rsid w:val="00BD5C86"/>
    <w:rsid w:val="00BD5CC7"/>
    <w:rsid w:val="00BD5CF2"/>
    <w:rsid w:val="00BD5E18"/>
    <w:rsid w:val="00BD5E8E"/>
    <w:rsid w:val="00BD5FC5"/>
    <w:rsid w:val="00BD605D"/>
    <w:rsid w:val="00BD60BB"/>
    <w:rsid w:val="00BD611F"/>
    <w:rsid w:val="00BD634C"/>
    <w:rsid w:val="00BD63B2"/>
    <w:rsid w:val="00BD640C"/>
    <w:rsid w:val="00BD642F"/>
    <w:rsid w:val="00BD646E"/>
    <w:rsid w:val="00BD6494"/>
    <w:rsid w:val="00BD64A4"/>
    <w:rsid w:val="00BD658E"/>
    <w:rsid w:val="00BD662D"/>
    <w:rsid w:val="00BD66E3"/>
    <w:rsid w:val="00BD66E7"/>
    <w:rsid w:val="00BD673E"/>
    <w:rsid w:val="00BD6778"/>
    <w:rsid w:val="00BD6A30"/>
    <w:rsid w:val="00BD6A4F"/>
    <w:rsid w:val="00BD6B9C"/>
    <w:rsid w:val="00BD6DB3"/>
    <w:rsid w:val="00BD6E44"/>
    <w:rsid w:val="00BD6E8A"/>
    <w:rsid w:val="00BD6EB8"/>
    <w:rsid w:val="00BD6F6E"/>
    <w:rsid w:val="00BD7043"/>
    <w:rsid w:val="00BD70B1"/>
    <w:rsid w:val="00BD70C7"/>
    <w:rsid w:val="00BD70F9"/>
    <w:rsid w:val="00BD721D"/>
    <w:rsid w:val="00BD73CB"/>
    <w:rsid w:val="00BD73F8"/>
    <w:rsid w:val="00BD7406"/>
    <w:rsid w:val="00BD7578"/>
    <w:rsid w:val="00BD75A0"/>
    <w:rsid w:val="00BD770C"/>
    <w:rsid w:val="00BD77A4"/>
    <w:rsid w:val="00BD7825"/>
    <w:rsid w:val="00BD783B"/>
    <w:rsid w:val="00BD783D"/>
    <w:rsid w:val="00BD78B8"/>
    <w:rsid w:val="00BD78C7"/>
    <w:rsid w:val="00BD78E4"/>
    <w:rsid w:val="00BD78F6"/>
    <w:rsid w:val="00BD7955"/>
    <w:rsid w:val="00BD79C6"/>
    <w:rsid w:val="00BD7A21"/>
    <w:rsid w:val="00BD7A49"/>
    <w:rsid w:val="00BD7ABD"/>
    <w:rsid w:val="00BD7AF2"/>
    <w:rsid w:val="00BD7BF7"/>
    <w:rsid w:val="00BD7C0F"/>
    <w:rsid w:val="00BD7C16"/>
    <w:rsid w:val="00BD7CCF"/>
    <w:rsid w:val="00BD7D42"/>
    <w:rsid w:val="00BD7D53"/>
    <w:rsid w:val="00BD7F34"/>
    <w:rsid w:val="00BD7F8F"/>
    <w:rsid w:val="00BD7F95"/>
    <w:rsid w:val="00BD7FDD"/>
    <w:rsid w:val="00BE0037"/>
    <w:rsid w:val="00BE0103"/>
    <w:rsid w:val="00BE018F"/>
    <w:rsid w:val="00BE05CF"/>
    <w:rsid w:val="00BE0685"/>
    <w:rsid w:val="00BE0782"/>
    <w:rsid w:val="00BE07AE"/>
    <w:rsid w:val="00BE08D7"/>
    <w:rsid w:val="00BE08F6"/>
    <w:rsid w:val="00BE093E"/>
    <w:rsid w:val="00BE0B77"/>
    <w:rsid w:val="00BE0BEE"/>
    <w:rsid w:val="00BE0C63"/>
    <w:rsid w:val="00BE0DBF"/>
    <w:rsid w:val="00BE0E8B"/>
    <w:rsid w:val="00BE0E97"/>
    <w:rsid w:val="00BE0F16"/>
    <w:rsid w:val="00BE103A"/>
    <w:rsid w:val="00BE1042"/>
    <w:rsid w:val="00BE105B"/>
    <w:rsid w:val="00BE1090"/>
    <w:rsid w:val="00BE10CE"/>
    <w:rsid w:val="00BE10DE"/>
    <w:rsid w:val="00BE1217"/>
    <w:rsid w:val="00BE1226"/>
    <w:rsid w:val="00BE12CA"/>
    <w:rsid w:val="00BE14D1"/>
    <w:rsid w:val="00BE153B"/>
    <w:rsid w:val="00BE1551"/>
    <w:rsid w:val="00BE1777"/>
    <w:rsid w:val="00BE1CE8"/>
    <w:rsid w:val="00BE1D42"/>
    <w:rsid w:val="00BE1D7E"/>
    <w:rsid w:val="00BE1E0A"/>
    <w:rsid w:val="00BE1E6A"/>
    <w:rsid w:val="00BE1EB0"/>
    <w:rsid w:val="00BE1F35"/>
    <w:rsid w:val="00BE1FC9"/>
    <w:rsid w:val="00BE1FE1"/>
    <w:rsid w:val="00BE21A7"/>
    <w:rsid w:val="00BE2297"/>
    <w:rsid w:val="00BE22AE"/>
    <w:rsid w:val="00BE23B7"/>
    <w:rsid w:val="00BE23DE"/>
    <w:rsid w:val="00BE2406"/>
    <w:rsid w:val="00BE2486"/>
    <w:rsid w:val="00BE24DC"/>
    <w:rsid w:val="00BE259C"/>
    <w:rsid w:val="00BE263C"/>
    <w:rsid w:val="00BE2674"/>
    <w:rsid w:val="00BE2AB5"/>
    <w:rsid w:val="00BE2ACF"/>
    <w:rsid w:val="00BE2C43"/>
    <w:rsid w:val="00BE2CAF"/>
    <w:rsid w:val="00BE2E08"/>
    <w:rsid w:val="00BE2E6E"/>
    <w:rsid w:val="00BE2F0E"/>
    <w:rsid w:val="00BE2FB9"/>
    <w:rsid w:val="00BE2FE8"/>
    <w:rsid w:val="00BE3009"/>
    <w:rsid w:val="00BE313E"/>
    <w:rsid w:val="00BE315B"/>
    <w:rsid w:val="00BE315E"/>
    <w:rsid w:val="00BE3234"/>
    <w:rsid w:val="00BE3285"/>
    <w:rsid w:val="00BE330A"/>
    <w:rsid w:val="00BE33C0"/>
    <w:rsid w:val="00BE33C1"/>
    <w:rsid w:val="00BE34E3"/>
    <w:rsid w:val="00BE356D"/>
    <w:rsid w:val="00BE35D2"/>
    <w:rsid w:val="00BE35EC"/>
    <w:rsid w:val="00BE35F2"/>
    <w:rsid w:val="00BE360C"/>
    <w:rsid w:val="00BE36D2"/>
    <w:rsid w:val="00BE3716"/>
    <w:rsid w:val="00BE3740"/>
    <w:rsid w:val="00BE3867"/>
    <w:rsid w:val="00BE3961"/>
    <w:rsid w:val="00BE3999"/>
    <w:rsid w:val="00BE3A71"/>
    <w:rsid w:val="00BE3BA6"/>
    <w:rsid w:val="00BE3BDD"/>
    <w:rsid w:val="00BE3C4F"/>
    <w:rsid w:val="00BE3F03"/>
    <w:rsid w:val="00BE3F1E"/>
    <w:rsid w:val="00BE3FA7"/>
    <w:rsid w:val="00BE400E"/>
    <w:rsid w:val="00BE40A4"/>
    <w:rsid w:val="00BE411B"/>
    <w:rsid w:val="00BE4206"/>
    <w:rsid w:val="00BE4300"/>
    <w:rsid w:val="00BE4348"/>
    <w:rsid w:val="00BE456C"/>
    <w:rsid w:val="00BE45CA"/>
    <w:rsid w:val="00BE45EC"/>
    <w:rsid w:val="00BE466C"/>
    <w:rsid w:val="00BE4692"/>
    <w:rsid w:val="00BE47B2"/>
    <w:rsid w:val="00BE4843"/>
    <w:rsid w:val="00BE494A"/>
    <w:rsid w:val="00BE49C4"/>
    <w:rsid w:val="00BE4A0C"/>
    <w:rsid w:val="00BE4B35"/>
    <w:rsid w:val="00BE4B99"/>
    <w:rsid w:val="00BE4C9D"/>
    <w:rsid w:val="00BE4CE8"/>
    <w:rsid w:val="00BE4CF7"/>
    <w:rsid w:val="00BE4D20"/>
    <w:rsid w:val="00BE4DCD"/>
    <w:rsid w:val="00BE5107"/>
    <w:rsid w:val="00BE51E2"/>
    <w:rsid w:val="00BE527D"/>
    <w:rsid w:val="00BE529F"/>
    <w:rsid w:val="00BE5327"/>
    <w:rsid w:val="00BE5341"/>
    <w:rsid w:val="00BE537D"/>
    <w:rsid w:val="00BE5418"/>
    <w:rsid w:val="00BE54EF"/>
    <w:rsid w:val="00BE5577"/>
    <w:rsid w:val="00BE55DB"/>
    <w:rsid w:val="00BE576C"/>
    <w:rsid w:val="00BE57EF"/>
    <w:rsid w:val="00BE5825"/>
    <w:rsid w:val="00BE5964"/>
    <w:rsid w:val="00BE59A0"/>
    <w:rsid w:val="00BE59C8"/>
    <w:rsid w:val="00BE5A45"/>
    <w:rsid w:val="00BE5A5E"/>
    <w:rsid w:val="00BE5B00"/>
    <w:rsid w:val="00BE5C2F"/>
    <w:rsid w:val="00BE5C6F"/>
    <w:rsid w:val="00BE5D69"/>
    <w:rsid w:val="00BE5DA8"/>
    <w:rsid w:val="00BE5DC0"/>
    <w:rsid w:val="00BE5E53"/>
    <w:rsid w:val="00BE5E89"/>
    <w:rsid w:val="00BE5E8B"/>
    <w:rsid w:val="00BE5E94"/>
    <w:rsid w:val="00BE5F9C"/>
    <w:rsid w:val="00BE5FD1"/>
    <w:rsid w:val="00BE614A"/>
    <w:rsid w:val="00BE620C"/>
    <w:rsid w:val="00BE621C"/>
    <w:rsid w:val="00BE6366"/>
    <w:rsid w:val="00BE63F4"/>
    <w:rsid w:val="00BE65F4"/>
    <w:rsid w:val="00BE6628"/>
    <w:rsid w:val="00BE6660"/>
    <w:rsid w:val="00BE67CC"/>
    <w:rsid w:val="00BE67D1"/>
    <w:rsid w:val="00BE6857"/>
    <w:rsid w:val="00BE687E"/>
    <w:rsid w:val="00BE6AA7"/>
    <w:rsid w:val="00BE6BAA"/>
    <w:rsid w:val="00BE6C21"/>
    <w:rsid w:val="00BE6E78"/>
    <w:rsid w:val="00BE7098"/>
    <w:rsid w:val="00BE709D"/>
    <w:rsid w:val="00BE70FA"/>
    <w:rsid w:val="00BE7148"/>
    <w:rsid w:val="00BE7200"/>
    <w:rsid w:val="00BE723B"/>
    <w:rsid w:val="00BE7310"/>
    <w:rsid w:val="00BE731A"/>
    <w:rsid w:val="00BE73B3"/>
    <w:rsid w:val="00BE73E2"/>
    <w:rsid w:val="00BE740A"/>
    <w:rsid w:val="00BE74D5"/>
    <w:rsid w:val="00BE7597"/>
    <w:rsid w:val="00BE75D8"/>
    <w:rsid w:val="00BE75F3"/>
    <w:rsid w:val="00BE7689"/>
    <w:rsid w:val="00BE768E"/>
    <w:rsid w:val="00BE76B7"/>
    <w:rsid w:val="00BE7803"/>
    <w:rsid w:val="00BE7889"/>
    <w:rsid w:val="00BE78F6"/>
    <w:rsid w:val="00BE791A"/>
    <w:rsid w:val="00BE7A87"/>
    <w:rsid w:val="00BE7A8E"/>
    <w:rsid w:val="00BE7B1F"/>
    <w:rsid w:val="00BE7BDA"/>
    <w:rsid w:val="00BE7C0D"/>
    <w:rsid w:val="00BE7CBC"/>
    <w:rsid w:val="00BE7F49"/>
    <w:rsid w:val="00BE7FD7"/>
    <w:rsid w:val="00BF00FC"/>
    <w:rsid w:val="00BF0105"/>
    <w:rsid w:val="00BF029B"/>
    <w:rsid w:val="00BF030F"/>
    <w:rsid w:val="00BF0365"/>
    <w:rsid w:val="00BF0391"/>
    <w:rsid w:val="00BF0402"/>
    <w:rsid w:val="00BF0447"/>
    <w:rsid w:val="00BF0520"/>
    <w:rsid w:val="00BF05D1"/>
    <w:rsid w:val="00BF05F8"/>
    <w:rsid w:val="00BF0615"/>
    <w:rsid w:val="00BF0636"/>
    <w:rsid w:val="00BF06A8"/>
    <w:rsid w:val="00BF0772"/>
    <w:rsid w:val="00BF081E"/>
    <w:rsid w:val="00BF0846"/>
    <w:rsid w:val="00BF0AD0"/>
    <w:rsid w:val="00BF0AE4"/>
    <w:rsid w:val="00BF0B28"/>
    <w:rsid w:val="00BF0B62"/>
    <w:rsid w:val="00BF0B88"/>
    <w:rsid w:val="00BF0C10"/>
    <w:rsid w:val="00BF0CA1"/>
    <w:rsid w:val="00BF0DD2"/>
    <w:rsid w:val="00BF0E34"/>
    <w:rsid w:val="00BF0EE2"/>
    <w:rsid w:val="00BF0FD4"/>
    <w:rsid w:val="00BF1021"/>
    <w:rsid w:val="00BF1150"/>
    <w:rsid w:val="00BF11E1"/>
    <w:rsid w:val="00BF11F1"/>
    <w:rsid w:val="00BF127C"/>
    <w:rsid w:val="00BF13B2"/>
    <w:rsid w:val="00BF14C3"/>
    <w:rsid w:val="00BF1519"/>
    <w:rsid w:val="00BF16B1"/>
    <w:rsid w:val="00BF16E1"/>
    <w:rsid w:val="00BF1734"/>
    <w:rsid w:val="00BF181F"/>
    <w:rsid w:val="00BF1964"/>
    <w:rsid w:val="00BF1A70"/>
    <w:rsid w:val="00BF1B3B"/>
    <w:rsid w:val="00BF1C39"/>
    <w:rsid w:val="00BF1DF1"/>
    <w:rsid w:val="00BF1F2F"/>
    <w:rsid w:val="00BF1F72"/>
    <w:rsid w:val="00BF2048"/>
    <w:rsid w:val="00BF207D"/>
    <w:rsid w:val="00BF20EB"/>
    <w:rsid w:val="00BF2106"/>
    <w:rsid w:val="00BF2164"/>
    <w:rsid w:val="00BF2234"/>
    <w:rsid w:val="00BF2320"/>
    <w:rsid w:val="00BF2378"/>
    <w:rsid w:val="00BF2381"/>
    <w:rsid w:val="00BF23D2"/>
    <w:rsid w:val="00BF2414"/>
    <w:rsid w:val="00BF2465"/>
    <w:rsid w:val="00BF24C6"/>
    <w:rsid w:val="00BF24CF"/>
    <w:rsid w:val="00BF24D1"/>
    <w:rsid w:val="00BF266B"/>
    <w:rsid w:val="00BF267E"/>
    <w:rsid w:val="00BF2750"/>
    <w:rsid w:val="00BF28AB"/>
    <w:rsid w:val="00BF29AB"/>
    <w:rsid w:val="00BF2B9F"/>
    <w:rsid w:val="00BF2BEC"/>
    <w:rsid w:val="00BF2BF9"/>
    <w:rsid w:val="00BF2C15"/>
    <w:rsid w:val="00BF2CF1"/>
    <w:rsid w:val="00BF2DAB"/>
    <w:rsid w:val="00BF2DEA"/>
    <w:rsid w:val="00BF2EFF"/>
    <w:rsid w:val="00BF2F2E"/>
    <w:rsid w:val="00BF2F64"/>
    <w:rsid w:val="00BF2F66"/>
    <w:rsid w:val="00BF2F78"/>
    <w:rsid w:val="00BF3044"/>
    <w:rsid w:val="00BF3081"/>
    <w:rsid w:val="00BF3103"/>
    <w:rsid w:val="00BF3162"/>
    <w:rsid w:val="00BF323F"/>
    <w:rsid w:val="00BF3285"/>
    <w:rsid w:val="00BF333D"/>
    <w:rsid w:val="00BF3450"/>
    <w:rsid w:val="00BF35EA"/>
    <w:rsid w:val="00BF35F2"/>
    <w:rsid w:val="00BF382E"/>
    <w:rsid w:val="00BF387B"/>
    <w:rsid w:val="00BF38A7"/>
    <w:rsid w:val="00BF39F1"/>
    <w:rsid w:val="00BF39FC"/>
    <w:rsid w:val="00BF3B0F"/>
    <w:rsid w:val="00BF3C2E"/>
    <w:rsid w:val="00BF3C45"/>
    <w:rsid w:val="00BF3ECB"/>
    <w:rsid w:val="00BF3F99"/>
    <w:rsid w:val="00BF3FAB"/>
    <w:rsid w:val="00BF3FED"/>
    <w:rsid w:val="00BF3FFB"/>
    <w:rsid w:val="00BF400A"/>
    <w:rsid w:val="00BF4054"/>
    <w:rsid w:val="00BF419B"/>
    <w:rsid w:val="00BF4250"/>
    <w:rsid w:val="00BF468E"/>
    <w:rsid w:val="00BF46CD"/>
    <w:rsid w:val="00BF476C"/>
    <w:rsid w:val="00BF47A6"/>
    <w:rsid w:val="00BF481B"/>
    <w:rsid w:val="00BF4984"/>
    <w:rsid w:val="00BF49AD"/>
    <w:rsid w:val="00BF4CE7"/>
    <w:rsid w:val="00BF4DCA"/>
    <w:rsid w:val="00BF4DCE"/>
    <w:rsid w:val="00BF4DD1"/>
    <w:rsid w:val="00BF4DF6"/>
    <w:rsid w:val="00BF4EB3"/>
    <w:rsid w:val="00BF4F40"/>
    <w:rsid w:val="00BF50B1"/>
    <w:rsid w:val="00BF50E3"/>
    <w:rsid w:val="00BF5134"/>
    <w:rsid w:val="00BF51A8"/>
    <w:rsid w:val="00BF5370"/>
    <w:rsid w:val="00BF5389"/>
    <w:rsid w:val="00BF53A8"/>
    <w:rsid w:val="00BF53E0"/>
    <w:rsid w:val="00BF5408"/>
    <w:rsid w:val="00BF558B"/>
    <w:rsid w:val="00BF5674"/>
    <w:rsid w:val="00BF56C7"/>
    <w:rsid w:val="00BF576D"/>
    <w:rsid w:val="00BF57EC"/>
    <w:rsid w:val="00BF5817"/>
    <w:rsid w:val="00BF5913"/>
    <w:rsid w:val="00BF5942"/>
    <w:rsid w:val="00BF5C77"/>
    <w:rsid w:val="00BF5C87"/>
    <w:rsid w:val="00BF5CCF"/>
    <w:rsid w:val="00BF5CE6"/>
    <w:rsid w:val="00BF5D63"/>
    <w:rsid w:val="00BF5DF4"/>
    <w:rsid w:val="00BF5E8D"/>
    <w:rsid w:val="00BF5EB0"/>
    <w:rsid w:val="00BF5FB9"/>
    <w:rsid w:val="00BF5FE7"/>
    <w:rsid w:val="00BF6446"/>
    <w:rsid w:val="00BF64EA"/>
    <w:rsid w:val="00BF6620"/>
    <w:rsid w:val="00BF6741"/>
    <w:rsid w:val="00BF67CE"/>
    <w:rsid w:val="00BF682E"/>
    <w:rsid w:val="00BF6830"/>
    <w:rsid w:val="00BF6938"/>
    <w:rsid w:val="00BF6A52"/>
    <w:rsid w:val="00BF6AF3"/>
    <w:rsid w:val="00BF6B00"/>
    <w:rsid w:val="00BF6B18"/>
    <w:rsid w:val="00BF6B5E"/>
    <w:rsid w:val="00BF6D6C"/>
    <w:rsid w:val="00BF6D8B"/>
    <w:rsid w:val="00BF6E1A"/>
    <w:rsid w:val="00BF6F51"/>
    <w:rsid w:val="00BF6F95"/>
    <w:rsid w:val="00BF70A9"/>
    <w:rsid w:val="00BF71AA"/>
    <w:rsid w:val="00BF73B4"/>
    <w:rsid w:val="00BF73C7"/>
    <w:rsid w:val="00BF74C0"/>
    <w:rsid w:val="00BF7625"/>
    <w:rsid w:val="00BF7663"/>
    <w:rsid w:val="00BF76BC"/>
    <w:rsid w:val="00BF76E0"/>
    <w:rsid w:val="00BF782D"/>
    <w:rsid w:val="00BF783D"/>
    <w:rsid w:val="00BF78C5"/>
    <w:rsid w:val="00BF78DF"/>
    <w:rsid w:val="00BF7C03"/>
    <w:rsid w:val="00BF7C16"/>
    <w:rsid w:val="00BF7C23"/>
    <w:rsid w:val="00BF7C8B"/>
    <w:rsid w:val="00BF7CB9"/>
    <w:rsid w:val="00BF7D59"/>
    <w:rsid w:val="00BF7D77"/>
    <w:rsid w:val="00BF7E46"/>
    <w:rsid w:val="00BF7E8F"/>
    <w:rsid w:val="00C00066"/>
    <w:rsid w:val="00C0022C"/>
    <w:rsid w:val="00C002DA"/>
    <w:rsid w:val="00C003A0"/>
    <w:rsid w:val="00C00401"/>
    <w:rsid w:val="00C00451"/>
    <w:rsid w:val="00C004AE"/>
    <w:rsid w:val="00C0054A"/>
    <w:rsid w:val="00C0055D"/>
    <w:rsid w:val="00C006AC"/>
    <w:rsid w:val="00C006B6"/>
    <w:rsid w:val="00C0076B"/>
    <w:rsid w:val="00C007C3"/>
    <w:rsid w:val="00C0083D"/>
    <w:rsid w:val="00C008DB"/>
    <w:rsid w:val="00C00A87"/>
    <w:rsid w:val="00C00B0E"/>
    <w:rsid w:val="00C00BAE"/>
    <w:rsid w:val="00C00BC6"/>
    <w:rsid w:val="00C00C4C"/>
    <w:rsid w:val="00C00C65"/>
    <w:rsid w:val="00C00C74"/>
    <w:rsid w:val="00C00CAD"/>
    <w:rsid w:val="00C00D3F"/>
    <w:rsid w:val="00C00E9C"/>
    <w:rsid w:val="00C00FF2"/>
    <w:rsid w:val="00C01146"/>
    <w:rsid w:val="00C0125F"/>
    <w:rsid w:val="00C012A9"/>
    <w:rsid w:val="00C012B9"/>
    <w:rsid w:val="00C01432"/>
    <w:rsid w:val="00C014ED"/>
    <w:rsid w:val="00C0155E"/>
    <w:rsid w:val="00C0157D"/>
    <w:rsid w:val="00C015E4"/>
    <w:rsid w:val="00C015F4"/>
    <w:rsid w:val="00C01772"/>
    <w:rsid w:val="00C0187E"/>
    <w:rsid w:val="00C01978"/>
    <w:rsid w:val="00C01992"/>
    <w:rsid w:val="00C019A6"/>
    <w:rsid w:val="00C01B42"/>
    <w:rsid w:val="00C01CDE"/>
    <w:rsid w:val="00C01D65"/>
    <w:rsid w:val="00C01DDA"/>
    <w:rsid w:val="00C01E74"/>
    <w:rsid w:val="00C01EAE"/>
    <w:rsid w:val="00C01ECF"/>
    <w:rsid w:val="00C01EF7"/>
    <w:rsid w:val="00C020E9"/>
    <w:rsid w:val="00C02134"/>
    <w:rsid w:val="00C02181"/>
    <w:rsid w:val="00C021BB"/>
    <w:rsid w:val="00C021D1"/>
    <w:rsid w:val="00C02286"/>
    <w:rsid w:val="00C02327"/>
    <w:rsid w:val="00C0235E"/>
    <w:rsid w:val="00C023DE"/>
    <w:rsid w:val="00C0241B"/>
    <w:rsid w:val="00C025E3"/>
    <w:rsid w:val="00C0260E"/>
    <w:rsid w:val="00C026B6"/>
    <w:rsid w:val="00C02784"/>
    <w:rsid w:val="00C02805"/>
    <w:rsid w:val="00C029AD"/>
    <w:rsid w:val="00C02A06"/>
    <w:rsid w:val="00C02A80"/>
    <w:rsid w:val="00C02B82"/>
    <w:rsid w:val="00C02C4E"/>
    <w:rsid w:val="00C02C9B"/>
    <w:rsid w:val="00C02DDA"/>
    <w:rsid w:val="00C02E1F"/>
    <w:rsid w:val="00C030A7"/>
    <w:rsid w:val="00C03175"/>
    <w:rsid w:val="00C03281"/>
    <w:rsid w:val="00C032E8"/>
    <w:rsid w:val="00C0337A"/>
    <w:rsid w:val="00C0339F"/>
    <w:rsid w:val="00C03474"/>
    <w:rsid w:val="00C035A2"/>
    <w:rsid w:val="00C035DC"/>
    <w:rsid w:val="00C03632"/>
    <w:rsid w:val="00C03683"/>
    <w:rsid w:val="00C03852"/>
    <w:rsid w:val="00C03A60"/>
    <w:rsid w:val="00C03A63"/>
    <w:rsid w:val="00C03B04"/>
    <w:rsid w:val="00C03BD9"/>
    <w:rsid w:val="00C03C06"/>
    <w:rsid w:val="00C03C11"/>
    <w:rsid w:val="00C03C46"/>
    <w:rsid w:val="00C03C97"/>
    <w:rsid w:val="00C03CAF"/>
    <w:rsid w:val="00C03D71"/>
    <w:rsid w:val="00C03D86"/>
    <w:rsid w:val="00C03EC3"/>
    <w:rsid w:val="00C03EEC"/>
    <w:rsid w:val="00C0402C"/>
    <w:rsid w:val="00C04047"/>
    <w:rsid w:val="00C040E6"/>
    <w:rsid w:val="00C04161"/>
    <w:rsid w:val="00C0416F"/>
    <w:rsid w:val="00C0419E"/>
    <w:rsid w:val="00C041A6"/>
    <w:rsid w:val="00C04297"/>
    <w:rsid w:val="00C0434F"/>
    <w:rsid w:val="00C0439A"/>
    <w:rsid w:val="00C04542"/>
    <w:rsid w:val="00C04553"/>
    <w:rsid w:val="00C045B3"/>
    <w:rsid w:val="00C04603"/>
    <w:rsid w:val="00C04786"/>
    <w:rsid w:val="00C047B1"/>
    <w:rsid w:val="00C047C8"/>
    <w:rsid w:val="00C048DC"/>
    <w:rsid w:val="00C04999"/>
    <w:rsid w:val="00C04A45"/>
    <w:rsid w:val="00C04AD7"/>
    <w:rsid w:val="00C04B8B"/>
    <w:rsid w:val="00C04CA7"/>
    <w:rsid w:val="00C04CF5"/>
    <w:rsid w:val="00C04F15"/>
    <w:rsid w:val="00C04F72"/>
    <w:rsid w:val="00C04F8D"/>
    <w:rsid w:val="00C04FED"/>
    <w:rsid w:val="00C05012"/>
    <w:rsid w:val="00C0501A"/>
    <w:rsid w:val="00C05077"/>
    <w:rsid w:val="00C051E8"/>
    <w:rsid w:val="00C0540C"/>
    <w:rsid w:val="00C0542A"/>
    <w:rsid w:val="00C05453"/>
    <w:rsid w:val="00C0545F"/>
    <w:rsid w:val="00C055EC"/>
    <w:rsid w:val="00C05694"/>
    <w:rsid w:val="00C0579E"/>
    <w:rsid w:val="00C057B2"/>
    <w:rsid w:val="00C057DE"/>
    <w:rsid w:val="00C05842"/>
    <w:rsid w:val="00C058B6"/>
    <w:rsid w:val="00C05A86"/>
    <w:rsid w:val="00C05B5D"/>
    <w:rsid w:val="00C05D67"/>
    <w:rsid w:val="00C05D82"/>
    <w:rsid w:val="00C05DD1"/>
    <w:rsid w:val="00C05EF5"/>
    <w:rsid w:val="00C06040"/>
    <w:rsid w:val="00C06050"/>
    <w:rsid w:val="00C060B1"/>
    <w:rsid w:val="00C06117"/>
    <w:rsid w:val="00C061BB"/>
    <w:rsid w:val="00C061DB"/>
    <w:rsid w:val="00C06280"/>
    <w:rsid w:val="00C0639C"/>
    <w:rsid w:val="00C06470"/>
    <w:rsid w:val="00C06535"/>
    <w:rsid w:val="00C0669F"/>
    <w:rsid w:val="00C0670A"/>
    <w:rsid w:val="00C0675C"/>
    <w:rsid w:val="00C06781"/>
    <w:rsid w:val="00C06919"/>
    <w:rsid w:val="00C0697C"/>
    <w:rsid w:val="00C069CC"/>
    <w:rsid w:val="00C06B8C"/>
    <w:rsid w:val="00C06C72"/>
    <w:rsid w:val="00C06E3A"/>
    <w:rsid w:val="00C06EFD"/>
    <w:rsid w:val="00C06F20"/>
    <w:rsid w:val="00C06FDF"/>
    <w:rsid w:val="00C07115"/>
    <w:rsid w:val="00C071C1"/>
    <w:rsid w:val="00C073EB"/>
    <w:rsid w:val="00C0742B"/>
    <w:rsid w:val="00C0746F"/>
    <w:rsid w:val="00C0749D"/>
    <w:rsid w:val="00C074AC"/>
    <w:rsid w:val="00C076FB"/>
    <w:rsid w:val="00C077E6"/>
    <w:rsid w:val="00C07867"/>
    <w:rsid w:val="00C07932"/>
    <w:rsid w:val="00C07A1E"/>
    <w:rsid w:val="00C07A7E"/>
    <w:rsid w:val="00C07AF5"/>
    <w:rsid w:val="00C07B06"/>
    <w:rsid w:val="00C07BC9"/>
    <w:rsid w:val="00C07D0E"/>
    <w:rsid w:val="00C07D3E"/>
    <w:rsid w:val="00C07DC6"/>
    <w:rsid w:val="00C07F82"/>
    <w:rsid w:val="00C100C9"/>
    <w:rsid w:val="00C101B7"/>
    <w:rsid w:val="00C10209"/>
    <w:rsid w:val="00C10273"/>
    <w:rsid w:val="00C10321"/>
    <w:rsid w:val="00C10480"/>
    <w:rsid w:val="00C104BE"/>
    <w:rsid w:val="00C1059C"/>
    <w:rsid w:val="00C10674"/>
    <w:rsid w:val="00C10695"/>
    <w:rsid w:val="00C10738"/>
    <w:rsid w:val="00C1075B"/>
    <w:rsid w:val="00C107E0"/>
    <w:rsid w:val="00C107F1"/>
    <w:rsid w:val="00C10842"/>
    <w:rsid w:val="00C10C02"/>
    <w:rsid w:val="00C10D18"/>
    <w:rsid w:val="00C10E0F"/>
    <w:rsid w:val="00C10EAF"/>
    <w:rsid w:val="00C10F33"/>
    <w:rsid w:val="00C10F5D"/>
    <w:rsid w:val="00C11189"/>
    <w:rsid w:val="00C111A9"/>
    <w:rsid w:val="00C1123C"/>
    <w:rsid w:val="00C112B1"/>
    <w:rsid w:val="00C11325"/>
    <w:rsid w:val="00C11429"/>
    <w:rsid w:val="00C11489"/>
    <w:rsid w:val="00C114A3"/>
    <w:rsid w:val="00C1154F"/>
    <w:rsid w:val="00C11626"/>
    <w:rsid w:val="00C116C6"/>
    <w:rsid w:val="00C1176D"/>
    <w:rsid w:val="00C117A0"/>
    <w:rsid w:val="00C11854"/>
    <w:rsid w:val="00C118CA"/>
    <w:rsid w:val="00C118EB"/>
    <w:rsid w:val="00C11940"/>
    <w:rsid w:val="00C11992"/>
    <w:rsid w:val="00C11AD2"/>
    <w:rsid w:val="00C11B2D"/>
    <w:rsid w:val="00C11C1B"/>
    <w:rsid w:val="00C11C4D"/>
    <w:rsid w:val="00C11D15"/>
    <w:rsid w:val="00C11D5E"/>
    <w:rsid w:val="00C11D64"/>
    <w:rsid w:val="00C11DDB"/>
    <w:rsid w:val="00C11E33"/>
    <w:rsid w:val="00C11F30"/>
    <w:rsid w:val="00C11F7C"/>
    <w:rsid w:val="00C11FD6"/>
    <w:rsid w:val="00C12026"/>
    <w:rsid w:val="00C12043"/>
    <w:rsid w:val="00C120D6"/>
    <w:rsid w:val="00C122CF"/>
    <w:rsid w:val="00C12323"/>
    <w:rsid w:val="00C124DF"/>
    <w:rsid w:val="00C12511"/>
    <w:rsid w:val="00C1257B"/>
    <w:rsid w:val="00C12677"/>
    <w:rsid w:val="00C12725"/>
    <w:rsid w:val="00C1273E"/>
    <w:rsid w:val="00C12784"/>
    <w:rsid w:val="00C127BB"/>
    <w:rsid w:val="00C1281F"/>
    <w:rsid w:val="00C12853"/>
    <w:rsid w:val="00C12999"/>
    <w:rsid w:val="00C12AA7"/>
    <w:rsid w:val="00C12AF6"/>
    <w:rsid w:val="00C12C01"/>
    <w:rsid w:val="00C12C08"/>
    <w:rsid w:val="00C12D67"/>
    <w:rsid w:val="00C12DA6"/>
    <w:rsid w:val="00C12E29"/>
    <w:rsid w:val="00C12F92"/>
    <w:rsid w:val="00C13034"/>
    <w:rsid w:val="00C13110"/>
    <w:rsid w:val="00C1325E"/>
    <w:rsid w:val="00C132BE"/>
    <w:rsid w:val="00C1330F"/>
    <w:rsid w:val="00C133C8"/>
    <w:rsid w:val="00C1343D"/>
    <w:rsid w:val="00C13475"/>
    <w:rsid w:val="00C134C1"/>
    <w:rsid w:val="00C135BE"/>
    <w:rsid w:val="00C136E4"/>
    <w:rsid w:val="00C13813"/>
    <w:rsid w:val="00C13832"/>
    <w:rsid w:val="00C138C5"/>
    <w:rsid w:val="00C139B9"/>
    <w:rsid w:val="00C13A19"/>
    <w:rsid w:val="00C13A63"/>
    <w:rsid w:val="00C13B6F"/>
    <w:rsid w:val="00C13BB7"/>
    <w:rsid w:val="00C13C52"/>
    <w:rsid w:val="00C13C8A"/>
    <w:rsid w:val="00C13C8E"/>
    <w:rsid w:val="00C13C91"/>
    <w:rsid w:val="00C13CC4"/>
    <w:rsid w:val="00C13CCA"/>
    <w:rsid w:val="00C13DD1"/>
    <w:rsid w:val="00C13EA1"/>
    <w:rsid w:val="00C13EA9"/>
    <w:rsid w:val="00C13F79"/>
    <w:rsid w:val="00C14144"/>
    <w:rsid w:val="00C14186"/>
    <w:rsid w:val="00C1418F"/>
    <w:rsid w:val="00C141E3"/>
    <w:rsid w:val="00C14319"/>
    <w:rsid w:val="00C1432C"/>
    <w:rsid w:val="00C144B3"/>
    <w:rsid w:val="00C1457C"/>
    <w:rsid w:val="00C146F2"/>
    <w:rsid w:val="00C14708"/>
    <w:rsid w:val="00C14735"/>
    <w:rsid w:val="00C1485E"/>
    <w:rsid w:val="00C149BC"/>
    <w:rsid w:val="00C149E6"/>
    <w:rsid w:val="00C14A22"/>
    <w:rsid w:val="00C14A98"/>
    <w:rsid w:val="00C14BA4"/>
    <w:rsid w:val="00C14BF3"/>
    <w:rsid w:val="00C14D70"/>
    <w:rsid w:val="00C14E1C"/>
    <w:rsid w:val="00C14E9B"/>
    <w:rsid w:val="00C1506A"/>
    <w:rsid w:val="00C150C8"/>
    <w:rsid w:val="00C150D9"/>
    <w:rsid w:val="00C152A3"/>
    <w:rsid w:val="00C152F2"/>
    <w:rsid w:val="00C15322"/>
    <w:rsid w:val="00C15464"/>
    <w:rsid w:val="00C1567B"/>
    <w:rsid w:val="00C156A9"/>
    <w:rsid w:val="00C15780"/>
    <w:rsid w:val="00C15840"/>
    <w:rsid w:val="00C15867"/>
    <w:rsid w:val="00C15896"/>
    <w:rsid w:val="00C15ADE"/>
    <w:rsid w:val="00C15B87"/>
    <w:rsid w:val="00C15BE2"/>
    <w:rsid w:val="00C15C9F"/>
    <w:rsid w:val="00C15D8B"/>
    <w:rsid w:val="00C15DA2"/>
    <w:rsid w:val="00C15DE4"/>
    <w:rsid w:val="00C15E31"/>
    <w:rsid w:val="00C15E8E"/>
    <w:rsid w:val="00C160B4"/>
    <w:rsid w:val="00C160C7"/>
    <w:rsid w:val="00C1627D"/>
    <w:rsid w:val="00C1630A"/>
    <w:rsid w:val="00C16400"/>
    <w:rsid w:val="00C16401"/>
    <w:rsid w:val="00C16427"/>
    <w:rsid w:val="00C16510"/>
    <w:rsid w:val="00C16561"/>
    <w:rsid w:val="00C1656D"/>
    <w:rsid w:val="00C16598"/>
    <w:rsid w:val="00C16675"/>
    <w:rsid w:val="00C16687"/>
    <w:rsid w:val="00C1668B"/>
    <w:rsid w:val="00C166E1"/>
    <w:rsid w:val="00C16770"/>
    <w:rsid w:val="00C167AB"/>
    <w:rsid w:val="00C168E6"/>
    <w:rsid w:val="00C169AB"/>
    <w:rsid w:val="00C169D9"/>
    <w:rsid w:val="00C16A56"/>
    <w:rsid w:val="00C16A57"/>
    <w:rsid w:val="00C16BFC"/>
    <w:rsid w:val="00C16CEF"/>
    <w:rsid w:val="00C16DE0"/>
    <w:rsid w:val="00C16E3C"/>
    <w:rsid w:val="00C16E6A"/>
    <w:rsid w:val="00C16EB1"/>
    <w:rsid w:val="00C16F63"/>
    <w:rsid w:val="00C16FDA"/>
    <w:rsid w:val="00C1704E"/>
    <w:rsid w:val="00C170AB"/>
    <w:rsid w:val="00C17287"/>
    <w:rsid w:val="00C172D9"/>
    <w:rsid w:val="00C17353"/>
    <w:rsid w:val="00C173C4"/>
    <w:rsid w:val="00C173E9"/>
    <w:rsid w:val="00C17458"/>
    <w:rsid w:val="00C174C9"/>
    <w:rsid w:val="00C17504"/>
    <w:rsid w:val="00C17564"/>
    <w:rsid w:val="00C17566"/>
    <w:rsid w:val="00C17576"/>
    <w:rsid w:val="00C175AE"/>
    <w:rsid w:val="00C175FF"/>
    <w:rsid w:val="00C1761D"/>
    <w:rsid w:val="00C176EE"/>
    <w:rsid w:val="00C179D2"/>
    <w:rsid w:val="00C17A41"/>
    <w:rsid w:val="00C17A85"/>
    <w:rsid w:val="00C17B08"/>
    <w:rsid w:val="00C17C35"/>
    <w:rsid w:val="00C17CB9"/>
    <w:rsid w:val="00C17D77"/>
    <w:rsid w:val="00C17EA7"/>
    <w:rsid w:val="00C17ED8"/>
    <w:rsid w:val="00C20118"/>
    <w:rsid w:val="00C20133"/>
    <w:rsid w:val="00C20175"/>
    <w:rsid w:val="00C202C3"/>
    <w:rsid w:val="00C20335"/>
    <w:rsid w:val="00C203AD"/>
    <w:rsid w:val="00C203AF"/>
    <w:rsid w:val="00C203B9"/>
    <w:rsid w:val="00C2057B"/>
    <w:rsid w:val="00C20587"/>
    <w:rsid w:val="00C20661"/>
    <w:rsid w:val="00C20665"/>
    <w:rsid w:val="00C2075B"/>
    <w:rsid w:val="00C2086C"/>
    <w:rsid w:val="00C20957"/>
    <w:rsid w:val="00C20A29"/>
    <w:rsid w:val="00C20ABD"/>
    <w:rsid w:val="00C20B29"/>
    <w:rsid w:val="00C20CF8"/>
    <w:rsid w:val="00C20D19"/>
    <w:rsid w:val="00C20DF8"/>
    <w:rsid w:val="00C20E4F"/>
    <w:rsid w:val="00C20E53"/>
    <w:rsid w:val="00C20E72"/>
    <w:rsid w:val="00C20EFA"/>
    <w:rsid w:val="00C20EFB"/>
    <w:rsid w:val="00C20F2F"/>
    <w:rsid w:val="00C20FC2"/>
    <w:rsid w:val="00C2105C"/>
    <w:rsid w:val="00C21387"/>
    <w:rsid w:val="00C213BA"/>
    <w:rsid w:val="00C213BF"/>
    <w:rsid w:val="00C214FF"/>
    <w:rsid w:val="00C21580"/>
    <w:rsid w:val="00C215F3"/>
    <w:rsid w:val="00C21671"/>
    <w:rsid w:val="00C216EE"/>
    <w:rsid w:val="00C216F6"/>
    <w:rsid w:val="00C2179B"/>
    <w:rsid w:val="00C217B8"/>
    <w:rsid w:val="00C21840"/>
    <w:rsid w:val="00C218CD"/>
    <w:rsid w:val="00C218FE"/>
    <w:rsid w:val="00C21902"/>
    <w:rsid w:val="00C219D2"/>
    <w:rsid w:val="00C21A0F"/>
    <w:rsid w:val="00C21AD3"/>
    <w:rsid w:val="00C21B06"/>
    <w:rsid w:val="00C21B9A"/>
    <w:rsid w:val="00C21CB5"/>
    <w:rsid w:val="00C21CF5"/>
    <w:rsid w:val="00C21FAD"/>
    <w:rsid w:val="00C22085"/>
    <w:rsid w:val="00C22089"/>
    <w:rsid w:val="00C2208D"/>
    <w:rsid w:val="00C22157"/>
    <w:rsid w:val="00C221C5"/>
    <w:rsid w:val="00C22344"/>
    <w:rsid w:val="00C2235B"/>
    <w:rsid w:val="00C22366"/>
    <w:rsid w:val="00C22387"/>
    <w:rsid w:val="00C2241D"/>
    <w:rsid w:val="00C22461"/>
    <w:rsid w:val="00C22470"/>
    <w:rsid w:val="00C22631"/>
    <w:rsid w:val="00C226BD"/>
    <w:rsid w:val="00C227E4"/>
    <w:rsid w:val="00C22861"/>
    <w:rsid w:val="00C228D9"/>
    <w:rsid w:val="00C22A17"/>
    <w:rsid w:val="00C22B37"/>
    <w:rsid w:val="00C22BB4"/>
    <w:rsid w:val="00C22CAE"/>
    <w:rsid w:val="00C22D7C"/>
    <w:rsid w:val="00C22E25"/>
    <w:rsid w:val="00C22EBD"/>
    <w:rsid w:val="00C22EEC"/>
    <w:rsid w:val="00C22F09"/>
    <w:rsid w:val="00C22F2D"/>
    <w:rsid w:val="00C22F7F"/>
    <w:rsid w:val="00C22F85"/>
    <w:rsid w:val="00C23019"/>
    <w:rsid w:val="00C23083"/>
    <w:rsid w:val="00C231AF"/>
    <w:rsid w:val="00C231E1"/>
    <w:rsid w:val="00C23214"/>
    <w:rsid w:val="00C23260"/>
    <w:rsid w:val="00C23308"/>
    <w:rsid w:val="00C233E0"/>
    <w:rsid w:val="00C233EA"/>
    <w:rsid w:val="00C23434"/>
    <w:rsid w:val="00C23484"/>
    <w:rsid w:val="00C23585"/>
    <w:rsid w:val="00C23594"/>
    <w:rsid w:val="00C2385E"/>
    <w:rsid w:val="00C2386D"/>
    <w:rsid w:val="00C2399B"/>
    <w:rsid w:val="00C239EF"/>
    <w:rsid w:val="00C23B40"/>
    <w:rsid w:val="00C23B4C"/>
    <w:rsid w:val="00C23B62"/>
    <w:rsid w:val="00C23B9F"/>
    <w:rsid w:val="00C23C0C"/>
    <w:rsid w:val="00C23C7D"/>
    <w:rsid w:val="00C23CF8"/>
    <w:rsid w:val="00C23D1C"/>
    <w:rsid w:val="00C23DFD"/>
    <w:rsid w:val="00C23EE3"/>
    <w:rsid w:val="00C24051"/>
    <w:rsid w:val="00C24179"/>
    <w:rsid w:val="00C2431E"/>
    <w:rsid w:val="00C243BE"/>
    <w:rsid w:val="00C24407"/>
    <w:rsid w:val="00C246B4"/>
    <w:rsid w:val="00C246DB"/>
    <w:rsid w:val="00C248A0"/>
    <w:rsid w:val="00C248B5"/>
    <w:rsid w:val="00C24903"/>
    <w:rsid w:val="00C2499A"/>
    <w:rsid w:val="00C249F3"/>
    <w:rsid w:val="00C24A25"/>
    <w:rsid w:val="00C24A3D"/>
    <w:rsid w:val="00C24C6B"/>
    <w:rsid w:val="00C24CF5"/>
    <w:rsid w:val="00C24D16"/>
    <w:rsid w:val="00C24E00"/>
    <w:rsid w:val="00C24E24"/>
    <w:rsid w:val="00C24E9E"/>
    <w:rsid w:val="00C24EC9"/>
    <w:rsid w:val="00C24EF3"/>
    <w:rsid w:val="00C25066"/>
    <w:rsid w:val="00C25083"/>
    <w:rsid w:val="00C25115"/>
    <w:rsid w:val="00C25225"/>
    <w:rsid w:val="00C25232"/>
    <w:rsid w:val="00C2524F"/>
    <w:rsid w:val="00C253F7"/>
    <w:rsid w:val="00C25405"/>
    <w:rsid w:val="00C2542C"/>
    <w:rsid w:val="00C25453"/>
    <w:rsid w:val="00C254E9"/>
    <w:rsid w:val="00C254F2"/>
    <w:rsid w:val="00C25511"/>
    <w:rsid w:val="00C255F2"/>
    <w:rsid w:val="00C25743"/>
    <w:rsid w:val="00C25825"/>
    <w:rsid w:val="00C25995"/>
    <w:rsid w:val="00C25A1D"/>
    <w:rsid w:val="00C25B28"/>
    <w:rsid w:val="00C25B3F"/>
    <w:rsid w:val="00C25B8C"/>
    <w:rsid w:val="00C25BC3"/>
    <w:rsid w:val="00C25BD7"/>
    <w:rsid w:val="00C25BE4"/>
    <w:rsid w:val="00C25CD7"/>
    <w:rsid w:val="00C25D46"/>
    <w:rsid w:val="00C25D94"/>
    <w:rsid w:val="00C25E8B"/>
    <w:rsid w:val="00C25EDD"/>
    <w:rsid w:val="00C25FC0"/>
    <w:rsid w:val="00C2604D"/>
    <w:rsid w:val="00C2614B"/>
    <w:rsid w:val="00C2615C"/>
    <w:rsid w:val="00C262C5"/>
    <w:rsid w:val="00C264FE"/>
    <w:rsid w:val="00C2655D"/>
    <w:rsid w:val="00C2667A"/>
    <w:rsid w:val="00C266E5"/>
    <w:rsid w:val="00C267F3"/>
    <w:rsid w:val="00C26807"/>
    <w:rsid w:val="00C26856"/>
    <w:rsid w:val="00C26879"/>
    <w:rsid w:val="00C269B8"/>
    <w:rsid w:val="00C26A27"/>
    <w:rsid w:val="00C26AA4"/>
    <w:rsid w:val="00C26AE7"/>
    <w:rsid w:val="00C26B8E"/>
    <w:rsid w:val="00C26CDB"/>
    <w:rsid w:val="00C26D5E"/>
    <w:rsid w:val="00C26DC7"/>
    <w:rsid w:val="00C26E9C"/>
    <w:rsid w:val="00C26F1A"/>
    <w:rsid w:val="00C26FC3"/>
    <w:rsid w:val="00C26FD1"/>
    <w:rsid w:val="00C26FF6"/>
    <w:rsid w:val="00C27067"/>
    <w:rsid w:val="00C27215"/>
    <w:rsid w:val="00C272A9"/>
    <w:rsid w:val="00C272BA"/>
    <w:rsid w:val="00C272BB"/>
    <w:rsid w:val="00C27328"/>
    <w:rsid w:val="00C27345"/>
    <w:rsid w:val="00C27349"/>
    <w:rsid w:val="00C2742A"/>
    <w:rsid w:val="00C275A8"/>
    <w:rsid w:val="00C27615"/>
    <w:rsid w:val="00C2764B"/>
    <w:rsid w:val="00C27760"/>
    <w:rsid w:val="00C277E7"/>
    <w:rsid w:val="00C277F2"/>
    <w:rsid w:val="00C2787E"/>
    <w:rsid w:val="00C27896"/>
    <w:rsid w:val="00C27898"/>
    <w:rsid w:val="00C27920"/>
    <w:rsid w:val="00C27C1D"/>
    <w:rsid w:val="00C27CBA"/>
    <w:rsid w:val="00C27CC5"/>
    <w:rsid w:val="00C27D1D"/>
    <w:rsid w:val="00C27D1F"/>
    <w:rsid w:val="00C27D7F"/>
    <w:rsid w:val="00C27DA7"/>
    <w:rsid w:val="00C27EAB"/>
    <w:rsid w:val="00C3004D"/>
    <w:rsid w:val="00C3012A"/>
    <w:rsid w:val="00C30214"/>
    <w:rsid w:val="00C30243"/>
    <w:rsid w:val="00C302B7"/>
    <w:rsid w:val="00C303C5"/>
    <w:rsid w:val="00C30405"/>
    <w:rsid w:val="00C304DC"/>
    <w:rsid w:val="00C3057C"/>
    <w:rsid w:val="00C308AE"/>
    <w:rsid w:val="00C308C3"/>
    <w:rsid w:val="00C309E2"/>
    <w:rsid w:val="00C30A19"/>
    <w:rsid w:val="00C30A65"/>
    <w:rsid w:val="00C30B89"/>
    <w:rsid w:val="00C30BD6"/>
    <w:rsid w:val="00C30C9D"/>
    <w:rsid w:val="00C30D05"/>
    <w:rsid w:val="00C30D35"/>
    <w:rsid w:val="00C30DA8"/>
    <w:rsid w:val="00C30DAB"/>
    <w:rsid w:val="00C30E39"/>
    <w:rsid w:val="00C30E3A"/>
    <w:rsid w:val="00C30E62"/>
    <w:rsid w:val="00C30E9A"/>
    <w:rsid w:val="00C3107D"/>
    <w:rsid w:val="00C31116"/>
    <w:rsid w:val="00C311AA"/>
    <w:rsid w:val="00C3157A"/>
    <w:rsid w:val="00C31580"/>
    <w:rsid w:val="00C315A9"/>
    <w:rsid w:val="00C3168B"/>
    <w:rsid w:val="00C31702"/>
    <w:rsid w:val="00C31848"/>
    <w:rsid w:val="00C31938"/>
    <w:rsid w:val="00C31A24"/>
    <w:rsid w:val="00C31A4E"/>
    <w:rsid w:val="00C31AC2"/>
    <w:rsid w:val="00C31AC4"/>
    <w:rsid w:val="00C31AFA"/>
    <w:rsid w:val="00C31C7A"/>
    <w:rsid w:val="00C31DB7"/>
    <w:rsid w:val="00C31E1E"/>
    <w:rsid w:val="00C3238F"/>
    <w:rsid w:val="00C32398"/>
    <w:rsid w:val="00C323DD"/>
    <w:rsid w:val="00C3242E"/>
    <w:rsid w:val="00C32458"/>
    <w:rsid w:val="00C324A3"/>
    <w:rsid w:val="00C324BC"/>
    <w:rsid w:val="00C32591"/>
    <w:rsid w:val="00C325BC"/>
    <w:rsid w:val="00C3261E"/>
    <w:rsid w:val="00C326BD"/>
    <w:rsid w:val="00C326C4"/>
    <w:rsid w:val="00C326E2"/>
    <w:rsid w:val="00C326E7"/>
    <w:rsid w:val="00C327A9"/>
    <w:rsid w:val="00C32803"/>
    <w:rsid w:val="00C328DC"/>
    <w:rsid w:val="00C32A48"/>
    <w:rsid w:val="00C32A49"/>
    <w:rsid w:val="00C32B06"/>
    <w:rsid w:val="00C32C7E"/>
    <w:rsid w:val="00C32E5E"/>
    <w:rsid w:val="00C32EA3"/>
    <w:rsid w:val="00C330B0"/>
    <w:rsid w:val="00C33217"/>
    <w:rsid w:val="00C33276"/>
    <w:rsid w:val="00C33483"/>
    <w:rsid w:val="00C334B5"/>
    <w:rsid w:val="00C334F3"/>
    <w:rsid w:val="00C3368E"/>
    <w:rsid w:val="00C336CF"/>
    <w:rsid w:val="00C33769"/>
    <w:rsid w:val="00C33775"/>
    <w:rsid w:val="00C3379E"/>
    <w:rsid w:val="00C337A7"/>
    <w:rsid w:val="00C33A30"/>
    <w:rsid w:val="00C33D90"/>
    <w:rsid w:val="00C33DC1"/>
    <w:rsid w:val="00C33DE2"/>
    <w:rsid w:val="00C33E2E"/>
    <w:rsid w:val="00C33F73"/>
    <w:rsid w:val="00C34151"/>
    <w:rsid w:val="00C3415A"/>
    <w:rsid w:val="00C34291"/>
    <w:rsid w:val="00C342A2"/>
    <w:rsid w:val="00C342CF"/>
    <w:rsid w:val="00C342FC"/>
    <w:rsid w:val="00C3437C"/>
    <w:rsid w:val="00C3439E"/>
    <w:rsid w:val="00C3446B"/>
    <w:rsid w:val="00C34572"/>
    <w:rsid w:val="00C34598"/>
    <w:rsid w:val="00C3462B"/>
    <w:rsid w:val="00C34632"/>
    <w:rsid w:val="00C346C2"/>
    <w:rsid w:val="00C34706"/>
    <w:rsid w:val="00C3475D"/>
    <w:rsid w:val="00C3498F"/>
    <w:rsid w:val="00C349AF"/>
    <w:rsid w:val="00C34AB7"/>
    <w:rsid w:val="00C34B63"/>
    <w:rsid w:val="00C34B99"/>
    <w:rsid w:val="00C34C42"/>
    <w:rsid w:val="00C34C9A"/>
    <w:rsid w:val="00C34CA7"/>
    <w:rsid w:val="00C34D76"/>
    <w:rsid w:val="00C34E84"/>
    <w:rsid w:val="00C34EB1"/>
    <w:rsid w:val="00C34EF7"/>
    <w:rsid w:val="00C3507A"/>
    <w:rsid w:val="00C350F0"/>
    <w:rsid w:val="00C3514C"/>
    <w:rsid w:val="00C35164"/>
    <w:rsid w:val="00C351AE"/>
    <w:rsid w:val="00C35222"/>
    <w:rsid w:val="00C35382"/>
    <w:rsid w:val="00C353A7"/>
    <w:rsid w:val="00C353B3"/>
    <w:rsid w:val="00C354F4"/>
    <w:rsid w:val="00C3552C"/>
    <w:rsid w:val="00C3572C"/>
    <w:rsid w:val="00C357EB"/>
    <w:rsid w:val="00C35821"/>
    <w:rsid w:val="00C35889"/>
    <w:rsid w:val="00C3593B"/>
    <w:rsid w:val="00C3599A"/>
    <w:rsid w:val="00C359E1"/>
    <w:rsid w:val="00C35A43"/>
    <w:rsid w:val="00C35A4F"/>
    <w:rsid w:val="00C35A5A"/>
    <w:rsid w:val="00C35AEF"/>
    <w:rsid w:val="00C35B8F"/>
    <w:rsid w:val="00C35C8C"/>
    <w:rsid w:val="00C35F55"/>
    <w:rsid w:val="00C35F95"/>
    <w:rsid w:val="00C36060"/>
    <w:rsid w:val="00C360AE"/>
    <w:rsid w:val="00C3619B"/>
    <w:rsid w:val="00C361FB"/>
    <w:rsid w:val="00C3635A"/>
    <w:rsid w:val="00C363B3"/>
    <w:rsid w:val="00C363FE"/>
    <w:rsid w:val="00C365AB"/>
    <w:rsid w:val="00C365BA"/>
    <w:rsid w:val="00C365D6"/>
    <w:rsid w:val="00C36822"/>
    <w:rsid w:val="00C368E7"/>
    <w:rsid w:val="00C36940"/>
    <w:rsid w:val="00C36BAF"/>
    <w:rsid w:val="00C36BF8"/>
    <w:rsid w:val="00C36C14"/>
    <w:rsid w:val="00C36C1E"/>
    <w:rsid w:val="00C36C51"/>
    <w:rsid w:val="00C36D9B"/>
    <w:rsid w:val="00C36EC8"/>
    <w:rsid w:val="00C36ECF"/>
    <w:rsid w:val="00C36EEE"/>
    <w:rsid w:val="00C36F02"/>
    <w:rsid w:val="00C36F09"/>
    <w:rsid w:val="00C36F60"/>
    <w:rsid w:val="00C36FF3"/>
    <w:rsid w:val="00C37097"/>
    <w:rsid w:val="00C370C3"/>
    <w:rsid w:val="00C3716A"/>
    <w:rsid w:val="00C371BF"/>
    <w:rsid w:val="00C3726A"/>
    <w:rsid w:val="00C37289"/>
    <w:rsid w:val="00C3730A"/>
    <w:rsid w:val="00C37492"/>
    <w:rsid w:val="00C37510"/>
    <w:rsid w:val="00C375AD"/>
    <w:rsid w:val="00C37730"/>
    <w:rsid w:val="00C3776D"/>
    <w:rsid w:val="00C378A1"/>
    <w:rsid w:val="00C37A15"/>
    <w:rsid w:val="00C37B17"/>
    <w:rsid w:val="00C37B5A"/>
    <w:rsid w:val="00C37C8F"/>
    <w:rsid w:val="00C37D98"/>
    <w:rsid w:val="00C37DDC"/>
    <w:rsid w:val="00C37DF3"/>
    <w:rsid w:val="00C37ECF"/>
    <w:rsid w:val="00C37F5D"/>
    <w:rsid w:val="00C37F85"/>
    <w:rsid w:val="00C4007A"/>
    <w:rsid w:val="00C40114"/>
    <w:rsid w:val="00C4013A"/>
    <w:rsid w:val="00C401C8"/>
    <w:rsid w:val="00C4020E"/>
    <w:rsid w:val="00C40474"/>
    <w:rsid w:val="00C405AA"/>
    <w:rsid w:val="00C4069C"/>
    <w:rsid w:val="00C407C6"/>
    <w:rsid w:val="00C407EF"/>
    <w:rsid w:val="00C40852"/>
    <w:rsid w:val="00C408A6"/>
    <w:rsid w:val="00C408DC"/>
    <w:rsid w:val="00C40974"/>
    <w:rsid w:val="00C409E2"/>
    <w:rsid w:val="00C40C32"/>
    <w:rsid w:val="00C40C52"/>
    <w:rsid w:val="00C40C9E"/>
    <w:rsid w:val="00C40D02"/>
    <w:rsid w:val="00C40E72"/>
    <w:rsid w:val="00C40F5A"/>
    <w:rsid w:val="00C40F5E"/>
    <w:rsid w:val="00C40FAC"/>
    <w:rsid w:val="00C40FD2"/>
    <w:rsid w:val="00C40FEB"/>
    <w:rsid w:val="00C41036"/>
    <w:rsid w:val="00C4114B"/>
    <w:rsid w:val="00C411BC"/>
    <w:rsid w:val="00C411DD"/>
    <w:rsid w:val="00C41268"/>
    <w:rsid w:val="00C412DE"/>
    <w:rsid w:val="00C412ED"/>
    <w:rsid w:val="00C41579"/>
    <w:rsid w:val="00C41596"/>
    <w:rsid w:val="00C4166A"/>
    <w:rsid w:val="00C416E4"/>
    <w:rsid w:val="00C41729"/>
    <w:rsid w:val="00C41748"/>
    <w:rsid w:val="00C4174B"/>
    <w:rsid w:val="00C41781"/>
    <w:rsid w:val="00C41939"/>
    <w:rsid w:val="00C4193E"/>
    <w:rsid w:val="00C4195E"/>
    <w:rsid w:val="00C41A3F"/>
    <w:rsid w:val="00C41AA2"/>
    <w:rsid w:val="00C41AE6"/>
    <w:rsid w:val="00C41B64"/>
    <w:rsid w:val="00C41CAA"/>
    <w:rsid w:val="00C41D8D"/>
    <w:rsid w:val="00C41DF7"/>
    <w:rsid w:val="00C41E34"/>
    <w:rsid w:val="00C41E89"/>
    <w:rsid w:val="00C41EA0"/>
    <w:rsid w:val="00C41ECC"/>
    <w:rsid w:val="00C41EDC"/>
    <w:rsid w:val="00C41F3D"/>
    <w:rsid w:val="00C41F68"/>
    <w:rsid w:val="00C41FC0"/>
    <w:rsid w:val="00C42048"/>
    <w:rsid w:val="00C4204E"/>
    <w:rsid w:val="00C42151"/>
    <w:rsid w:val="00C42152"/>
    <w:rsid w:val="00C42277"/>
    <w:rsid w:val="00C4231D"/>
    <w:rsid w:val="00C4237A"/>
    <w:rsid w:val="00C42399"/>
    <w:rsid w:val="00C42458"/>
    <w:rsid w:val="00C42538"/>
    <w:rsid w:val="00C4262E"/>
    <w:rsid w:val="00C42640"/>
    <w:rsid w:val="00C42982"/>
    <w:rsid w:val="00C42983"/>
    <w:rsid w:val="00C42A75"/>
    <w:rsid w:val="00C42B33"/>
    <w:rsid w:val="00C42B43"/>
    <w:rsid w:val="00C42C1D"/>
    <w:rsid w:val="00C42DD5"/>
    <w:rsid w:val="00C42DDC"/>
    <w:rsid w:val="00C42F34"/>
    <w:rsid w:val="00C42F6B"/>
    <w:rsid w:val="00C42F97"/>
    <w:rsid w:val="00C42FB4"/>
    <w:rsid w:val="00C4301C"/>
    <w:rsid w:val="00C430CE"/>
    <w:rsid w:val="00C4311A"/>
    <w:rsid w:val="00C4328E"/>
    <w:rsid w:val="00C432DD"/>
    <w:rsid w:val="00C433C6"/>
    <w:rsid w:val="00C43424"/>
    <w:rsid w:val="00C43448"/>
    <w:rsid w:val="00C43450"/>
    <w:rsid w:val="00C435A0"/>
    <w:rsid w:val="00C4371F"/>
    <w:rsid w:val="00C4372A"/>
    <w:rsid w:val="00C43745"/>
    <w:rsid w:val="00C43847"/>
    <w:rsid w:val="00C43877"/>
    <w:rsid w:val="00C439E5"/>
    <w:rsid w:val="00C43A02"/>
    <w:rsid w:val="00C43A3C"/>
    <w:rsid w:val="00C43BE4"/>
    <w:rsid w:val="00C43BF9"/>
    <w:rsid w:val="00C43C4E"/>
    <w:rsid w:val="00C43C9F"/>
    <w:rsid w:val="00C43CE2"/>
    <w:rsid w:val="00C43D1A"/>
    <w:rsid w:val="00C43E50"/>
    <w:rsid w:val="00C43E56"/>
    <w:rsid w:val="00C43F40"/>
    <w:rsid w:val="00C44121"/>
    <w:rsid w:val="00C44176"/>
    <w:rsid w:val="00C44254"/>
    <w:rsid w:val="00C442EF"/>
    <w:rsid w:val="00C4436A"/>
    <w:rsid w:val="00C44564"/>
    <w:rsid w:val="00C44680"/>
    <w:rsid w:val="00C44725"/>
    <w:rsid w:val="00C44755"/>
    <w:rsid w:val="00C44849"/>
    <w:rsid w:val="00C4484A"/>
    <w:rsid w:val="00C449FE"/>
    <w:rsid w:val="00C44ADC"/>
    <w:rsid w:val="00C44C29"/>
    <w:rsid w:val="00C44D82"/>
    <w:rsid w:val="00C44D90"/>
    <w:rsid w:val="00C44F74"/>
    <w:rsid w:val="00C4500A"/>
    <w:rsid w:val="00C4500D"/>
    <w:rsid w:val="00C450B1"/>
    <w:rsid w:val="00C450E5"/>
    <w:rsid w:val="00C450F1"/>
    <w:rsid w:val="00C45109"/>
    <w:rsid w:val="00C45233"/>
    <w:rsid w:val="00C4529C"/>
    <w:rsid w:val="00C452FB"/>
    <w:rsid w:val="00C45329"/>
    <w:rsid w:val="00C45367"/>
    <w:rsid w:val="00C453D1"/>
    <w:rsid w:val="00C454F3"/>
    <w:rsid w:val="00C45598"/>
    <w:rsid w:val="00C455EE"/>
    <w:rsid w:val="00C4560E"/>
    <w:rsid w:val="00C456BA"/>
    <w:rsid w:val="00C458C2"/>
    <w:rsid w:val="00C45AA5"/>
    <w:rsid w:val="00C45AD4"/>
    <w:rsid w:val="00C45B9A"/>
    <w:rsid w:val="00C45BE3"/>
    <w:rsid w:val="00C45C7A"/>
    <w:rsid w:val="00C45DE8"/>
    <w:rsid w:val="00C45E5B"/>
    <w:rsid w:val="00C45E7B"/>
    <w:rsid w:val="00C45F3B"/>
    <w:rsid w:val="00C45F83"/>
    <w:rsid w:val="00C460F2"/>
    <w:rsid w:val="00C4620D"/>
    <w:rsid w:val="00C4624E"/>
    <w:rsid w:val="00C4642D"/>
    <w:rsid w:val="00C4654E"/>
    <w:rsid w:val="00C4659D"/>
    <w:rsid w:val="00C46655"/>
    <w:rsid w:val="00C46681"/>
    <w:rsid w:val="00C4669E"/>
    <w:rsid w:val="00C46761"/>
    <w:rsid w:val="00C467A4"/>
    <w:rsid w:val="00C467D1"/>
    <w:rsid w:val="00C467D3"/>
    <w:rsid w:val="00C46800"/>
    <w:rsid w:val="00C46885"/>
    <w:rsid w:val="00C46AD6"/>
    <w:rsid w:val="00C46B1F"/>
    <w:rsid w:val="00C46B3C"/>
    <w:rsid w:val="00C46BFB"/>
    <w:rsid w:val="00C46D7F"/>
    <w:rsid w:val="00C46E5F"/>
    <w:rsid w:val="00C46EE1"/>
    <w:rsid w:val="00C46FB8"/>
    <w:rsid w:val="00C470F4"/>
    <w:rsid w:val="00C47115"/>
    <w:rsid w:val="00C4713C"/>
    <w:rsid w:val="00C47230"/>
    <w:rsid w:val="00C4732A"/>
    <w:rsid w:val="00C4734B"/>
    <w:rsid w:val="00C4735F"/>
    <w:rsid w:val="00C473F1"/>
    <w:rsid w:val="00C4747D"/>
    <w:rsid w:val="00C4749E"/>
    <w:rsid w:val="00C474D0"/>
    <w:rsid w:val="00C475A2"/>
    <w:rsid w:val="00C47602"/>
    <w:rsid w:val="00C47638"/>
    <w:rsid w:val="00C4763E"/>
    <w:rsid w:val="00C4784D"/>
    <w:rsid w:val="00C47968"/>
    <w:rsid w:val="00C47A0C"/>
    <w:rsid w:val="00C47AF1"/>
    <w:rsid w:val="00C47B7E"/>
    <w:rsid w:val="00C47B83"/>
    <w:rsid w:val="00C47BA0"/>
    <w:rsid w:val="00C47C03"/>
    <w:rsid w:val="00C47C3A"/>
    <w:rsid w:val="00C47CC2"/>
    <w:rsid w:val="00C47D17"/>
    <w:rsid w:val="00C47D36"/>
    <w:rsid w:val="00C47D7B"/>
    <w:rsid w:val="00C47D83"/>
    <w:rsid w:val="00C47E33"/>
    <w:rsid w:val="00C47E93"/>
    <w:rsid w:val="00C47F05"/>
    <w:rsid w:val="00C500D1"/>
    <w:rsid w:val="00C50226"/>
    <w:rsid w:val="00C5025E"/>
    <w:rsid w:val="00C502B0"/>
    <w:rsid w:val="00C50318"/>
    <w:rsid w:val="00C5047F"/>
    <w:rsid w:val="00C50498"/>
    <w:rsid w:val="00C5059F"/>
    <w:rsid w:val="00C50625"/>
    <w:rsid w:val="00C5073A"/>
    <w:rsid w:val="00C50833"/>
    <w:rsid w:val="00C50986"/>
    <w:rsid w:val="00C50B3F"/>
    <w:rsid w:val="00C50C2A"/>
    <w:rsid w:val="00C50E5D"/>
    <w:rsid w:val="00C50ED0"/>
    <w:rsid w:val="00C50F80"/>
    <w:rsid w:val="00C51054"/>
    <w:rsid w:val="00C5105E"/>
    <w:rsid w:val="00C5116B"/>
    <w:rsid w:val="00C51226"/>
    <w:rsid w:val="00C51339"/>
    <w:rsid w:val="00C51347"/>
    <w:rsid w:val="00C5135F"/>
    <w:rsid w:val="00C51507"/>
    <w:rsid w:val="00C516EA"/>
    <w:rsid w:val="00C5170F"/>
    <w:rsid w:val="00C5177D"/>
    <w:rsid w:val="00C51B64"/>
    <w:rsid w:val="00C51CE1"/>
    <w:rsid w:val="00C51E41"/>
    <w:rsid w:val="00C51EBF"/>
    <w:rsid w:val="00C520C9"/>
    <w:rsid w:val="00C520E2"/>
    <w:rsid w:val="00C520F7"/>
    <w:rsid w:val="00C52134"/>
    <w:rsid w:val="00C52176"/>
    <w:rsid w:val="00C52195"/>
    <w:rsid w:val="00C5245A"/>
    <w:rsid w:val="00C52478"/>
    <w:rsid w:val="00C524C8"/>
    <w:rsid w:val="00C52735"/>
    <w:rsid w:val="00C5274C"/>
    <w:rsid w:val="00C5282A"/>
    <w:rsid w:val="00C52878"/>
    <w:rsid w:val="00C52A19"/>
    <w:rsid w:val="00C52AEE"/>
    <w:rsid w:val="00C52B37"/>
    <w:rsid w:val="00C52B39"/>
    <w:rsid w:val="00C52C1E"/>
    <w:rsid w:val="00C52CCB"/>
    <w:rsid w:val="00C52E81"/>
    <w:rsid w:val="00C52FAA"/>
    <w:rsid w:val="00C52FF4"/>
    <w:rsid w:val="00C53017"/>
    <w:rsid w:val="00C5309D"/>
    <w:rsid w:val="00C530F9"/>
    <w:rsid w:val="00C5314C"/>
    <w:rsid w:val="00C532D1"/>
    <w:rsid w:val="00C53441"/>
    <w:rsid w:val="00C534C1"/>
    <w:rsid w:val="00C53672"/>
    <w:rsid w:val="00C53762"/>
    <w:rsid w:val="00C53833"/>
    <w:rsid w:val="00C538DA"/>
    <w:rsid w:val="00C5395B"/>
    <w:rsid w:val="00C53A10"/>
    <w:rsid w:val="00C53AB6"/>
    <w:rsid w:val="00C53B77"/>
    <w:rsid w:val="00C53B9C"/>
    <w:rsid w:val="00C53D64"/>
    <w:rsid w:val="00C53D6D"/>
    <w:rsid w:val="00C53E21"/>
    <w:rsid w:val="00C53E4D"/>
    <w:rsid w:val="00C5404F"/>
    <w:rsid w:val="00C54099"/>
    <w:rsid w:val="00C5409A"/>
    <w:rsid w:val="00C5414A"/>
    <w:rsid w:val="00C54198"/>
    <w:rsid w:val="00C541A5"/>
    <w:rsid w:val="00C5431C"/>
    <w:rsid w:val="00C543E7"/>
    <w:rsid w:val="00C5464E"/>
    <w:rsid w:val="00C54733"/>
    <w:rsid w:val="00C54832"/>
    <w:rsid w:val="00C5484B"/>
    <w:rsid w:val="00C54A42"/>
    <w:rsid w:val="00C54DE1"/>
    <w:rsid w:val="00C54E74"/>
    <w:rsid w:val="00C54E94"/>
    <w:rsid w:val="00C54EB3"/>
    <w:rsid w:val="00C54EEC"/>
    <w:rsid w:val="00C5500C"/>
    <w:rsid w:val="00C5509C"/>
    <w:rsid w:val="00C550E9"/>
    <w:rsid w:val="00C550FB"/>
    <w:rsid w:val="00C550FC"/>
    <w:rsid w:val="00C551B3"/>
    <w:rsid w:val="00C55275"/>
    <w:rsid w:val="00C553DE"/>
    <w:rsid w:val="00C5549F"/>
    <w:rsid w:val="00C5572E"/>
    <w:rsid w:val="00C5580C"/>
    <w:rsid w:val="00C55844"/>
    <w:rsid w:val="00C55862"/>
    <w:rsid w:val="00C558B4"/>
    <w:rsid w:val="00C558D1"/>
    <w:rsid w:val="00C55A8F"/>
    <w:rsid w:val="00C55AB5"/>
    <w:rsid w:val="00C55C8B"/>
    <w:rsid w:val="00C55CB3"/>
    <w:rsid w:val="00C55DF8"/>
    <w:rsid w:val="00C55E71"/>
    <w:rsid w:val="00C55F0B"/>
    <w:rsid w:val="00C56056"/>
    <w:rsid w:val="00C56065"/>
    <w:rsid w:val="00C56069"/>
    <w:rsid w:val="00C56225"/>
    <w:rsid w:val="00C565DC"/>
    <w:rsid w:val="00C5664B"/>
    <w:rsid w:val="00C566FD"/>
    <w:rsid w:val="00C56895"/>
    <w:rsid w:val="00C568F1"/>
    <w:rsid w:val="00C56938"/>
    <w:rsid w:val="00C56AB6"/>
    <w:rsid w:val="00C56ACC"/>
    <w:rsid w:val="00C56B7F"/>
    <w:rsid w:val="00C56E49"/>
    <w:rsid w:val="00C56FA1"/>
    <w:rsid w:val="00C5710A"/>
    <w:rsid w:val="00C5711F"/>
    <w:rsid w:val="00C571A7"/>
    <w:rsid w:val="00C57208"/>
    <w:rsid w:val="00C572D7"/>
    <w:rsid w:val="00C572E7"/>
    <w:rsid w:val="00C572ED"/>
    <w:rsid w:val="00C5731A"/>
    <w:rsid w:val="00C57333"/>
    <w:rsid w:val="00C574D6"/>
    <w:rsid w:val="00C57587"/>
    <w:rsid w:val="00C57843"/>
    <w:rsid w:val="00C57886"/>
    <w:rsid w:val="00C578A2"/>
    <w:rsid w:val="00C57924"/>
    <w:rsid w:val="00C579E0"/>
    <w:rsid w:val="00C579E4"/>
    <w:rsid w:val="00C57A28"/>
    <w:rsid w:val="00C57B0D"/>
    <w:rsid w:val="00C57BE9"/>
    <w:rsid w:val="00C57D39"/>
    <w:rsid w:val="00C57D9B"/>
    <w:rsid w:val="00C57DB4"/>
    <w:rsid w:val="00C57DF0"/>
    <w:rsid w:val="00C57E0A"/>
    <w:rsid w:val="00C57E89"/>
    <w:rsid w:val="00C57F35"/>
    <w:rsid w:val="00C57F78"/>
    <w:rsid w:val="00C60115"/>
    <w:rsid w:val="00C601B8"/>
    <w:rsid w:val="00C60244"/>
    <w:rsid w:val="00C60297"/>
    <w:rsid w:val="00C60359"/>
    <w:rsid w:val="00C6037D"/>
    <w:rsid w:val="00C60381"/>
    <w:rsid w:val="00C60463"/>
    <w:rsid w:val="00C60491"/>
    <w:rsid w:val="00C60547"/>
    <w:rsid w:val="00C6058C"/>
    <w:rsid w:val="00C605D2"/>
    <w:rsid w:val="00C60675"/>
    <w:rsid w:val="00C6068A"/>
    <w:rsid w:val="00C606B6"/>
    <w:rsid w:val="00C607D1"/>
    <w:rsid w:val="00C60820"/>
    <w:rsid w:val="00C6083D"/>
    <w:rsid w:val="00C60896"/>
    <w:rsid w:val="00C608B5"/>
    <w:rsid w:val="00C609FE"/>
    <w:rsid w:val="00C60A13"/>
    <w:rsid w:val="00C60A28"/>
    <w:rsid w:val="00C60A74"/>
    <w:rsid w:val="00C60AD5"/>
    <w:rsid w:val="00C60C3B"/>
    <w:rsid w:val="00C60C5C"/>
    <w:rsid w:val="00C60EE2"/>
    <w:rsid w:val="00C60F2A"/>
    <w:rsid w:val="00C61000"/>
    <w:rsid w:val="00C6105E"/>
    <w:rsid w:val="00C61064"/>
    <w:rsid w:val="00C61066"/>
    <w:rsid w:val="00C61128"/>
    <w:rsid w:val="00C6113D"/>
    <w:rsid w:val="00C6113F"/>
    <w:rsid w:val="00C6117B"/>
    <w:rsid w:val="00C61200"/>
    <w:rsid w:val="00C612B5"/>
    <w:rsid w:val="00C613FE"/>
    <w:rsid w:val="00C61466"/>
    <w:rsid w:val="00C61561"/>
    <w:rsid w:val="00C61592"/>
    <w:rsid w:val="00C615E5"/>
    <w:rsid w:val="00C61631"/>
    <w:rsid w:val="00C6181B"/>
    <w:rsid w:val="00C618C9"/>
    <w:rsid w:val="00C61933"/>
    <w:rsid w:val="00C619E5"/>
    <w:rsid w:val="00C61A26"/>
    <w:rsid w:val="00C61A4C"/>
    <w:rsid w:val="00C61B35"/>
    <w:rsid w:val="00C61B87"/>
    <w:rsid w:val="00C61BF3"/>
    <w:rsid w:val="00C61C00"/>
    <w:rsid w:val="00C61C3D"/>
    <w:rsid w:val="00C61DB5"/>
    <w:rsid w:val="00C61E43"/>
    <w:rsid w:val="00C61E59"/>
    <w:rsid w:val="00C61ECD"/>
    <w:rsid w:val="00C61FA7"/>
    <w:rsid w:val="00C621DB"/>
    <w:rsid w:val="00C621F0"/>
    <w:rsid w:val="00C62254"/>
    <w:rsid w:val="00C62876"/>
    <w:rsid w:val="00C6287B"/>
    <w:rsid w:val="00C628B0"/>
    <w:rsid w:val="00C62906"/>
    <w:rsid w:val="00C62937"/>
    <w:rsid w:val="00C62AD6"/>
    <w:rsid w:val="00C62B54"/>
    <w:rsid w:val="00C62C30"/>
    <w:rsid w:val="00C62DB8"/>
    <w:rsid w:val="00C62E1B"/>
    <w:rsid w:val="00C62E1C"/>
    <w:rsid w:val="00C62EC3"/>
    <w:rsid w:val="00C6303B"/>
    <w:rsid w:val="00C63180"/>
    <w:rsid w:val="00C63193"/>
    <w:rsid w:val="00C6323C"/>
    <w:rsid w:val="00C6323D"/>
    <w:rsid w:val="00C63380"/>
    <w:rsid w:val="00C634B7"/>
    <w:rsid w:val="00C6379C"/>
    <w:rsid w:val="00C637D5"/>
    <w:rsid w:val="00C6381B"/>
    <w:rsid w:val="00C6385A"/>
    <w:rsid w:val="00C6387E"/>
    <w:rsid w:val="00C638B9"/>
    <w:rsid w:val="00C6392E"/>
    <w:rsid w:val="00C639A3"/>
    <w:rsid w:val="00C639DD"/>
    <w:rsid w:val="00C63C64"/>
    <w:rsid w:val="00C63CF0"/>
    <w:rsid w:val="00C63DAA"/>
    <w:rsid w:val="00C63E46"/>
    <w:rsid w:val="00C63E62"/>
    <w:rsid w:val="00C63F24"/>
    <w:rsid w:val="00C6415A"/>
    <w:rsid w:val="00C64221"/>
    <w:rsid w:val="00C64379"/>
    <w:rsid w:val="00C64592"/>
    <w:rsid w:val="00C645C3"/>
    <w:rsid w:val="00C645ED"/>
    <w:rsid w:val="00C64638"/>
    <w:rsid w:val="00C64656"/>
    <w:rsid w:val="00C646EF"/>
    <w:rsid w:val="00C64787"/>
    <w:rsid w:val="00C6480A"/>
    <w:rsid w:val="00C648F1"/>
    <w:rsid w:val="00C64932"/>
    <w:rsid w:val="00C6493C"/>
    <w:rsid w:val="00C649AF"/>
    <w:rsid w:val="00C649F8"/>
    <w:rsid w:val="00C64A5D"/>
    <w:rsid w:val="00C64AE1"/>
    <w:rsid w:val="00C64B64"/>
    <w:rsid w:val="00C64B99"/>
    <w:rsid w:val="00C64BE7"/>
    <w:rsid w:val="00C64DAB"/>
    <w:rsid w:val="00C64E9A"/>
    <w:rsid w:val="00C650C1"/>
    <w:rsid w:val="00C650C2"/>
    <w:rsid w:val="00C65115"/>
    <w:rsid w:val="00C651A1"/>
    <w:rsid w:val="00C651B9"/>
    <w:rsid w:val="00C65247"/>
    <w:rsid w:val="00C6541A"/>
    <w:rsid w:val="00C6557B"/>
    <w:rsid w:val="00C657B2"/>
    <w:rsid w:val="00C657E2"/>
    <w:rsid w:val="00C657F7"/>
    <w:rsid w:val="00C659EB"/>
    <w:rsid w:val="00C65B68"/>
    <w:rsid w:val="00C65B91"/>
    <w:rsid w:val="00C65C01"/>
    <w:rsid w:val="00C65C18"/>
    <w:rsid w:val="00C65C6B"/>
    <w:rsid w:val="00C65D11"/>
    <w:rsid w:val="00C65D36"/>
    <w:rsid w:val="00C65D85"/>
    <w:rsid w:val="00C65F27"/>
    <w:rsid w:val="00C660DF"/>
    <w:rsid w:val="00C661F3"/>
    <w:rsid w:val="00C66242"/>
    <w:rsid w:val="00C662A7"/>
    <w:rsid w:val="00C662D9"/>
    <w:rsid w:val="00C66363"/>
    <w:rsid w:val="00C6642C"/>
    <w:rsid w:val="00C66592"/>
    <w:rsid w:val="00C665E9"/>
    <w:rsid w:val="00C667B7"/>
    <w:rsid w:val="00C667CE"/>
    <w:rsid w:val="00C6680C"/>
    <w:rsid w:val="00C6687F"/>
    <w:rsid w:val="00C6688A"/>
    <w:rsid w:val="00C6699B"/>
    <w:rsid w:val="00C669A3"/>
    <w:rsid w:val="00C66AB5"/>
    <w:rsid w:val="00C66B09"/>
    <w:rsid w:val="00C66B71"/>
    <w:rsid w:val="00C66BBD"/>
    <w:rsid w:val="00C66C57"/>
    <w:rsid w:val="00C66C93"/>
    <w:rsid w:val="00C66E2F"/>
    <w:rsid w:val="00C66EFE"/>
    <w:rsid w:val="00C66F6F"/>
    <w:rsid w:val="00C67033"/>
    <w:rsid w:val="00C67128"/>
    <w:rsid w:val="00C671FC"/>
    <w:rsid w:val="00C67212"/>
    <w:rsid w:val="00C6728D"/>
    <w:rsid w:val="00C67294"/>
    <w:rsid w:val="00C67389"/>
    <w:rsid w:val="00C67413"/>
    <w:rsid w:val="00C67485"/>
    <w:rsid w:val="00C6758E"/>
    <w:rsid w:val="00C675C8"/>
    <w:rsid w:val="00C6762B"/>
    <w:rsid w:val="00C6778F"/>
    <w:rsid w:val="00C677CA"/>
    <w:rsid w:val="00C677F2"/>
    <w:rsid w:val="00C6788D"/>
    <w:rsid w:val="00C678B4"/>
    <w:rsid w:val="00C6791C"/>
    <w:rsid w:val="00C67954"/>
    <w:rsid w:val="00C679DF"/>
    <w:rsid w:val="00C67A39"/>
    <w:rsid w:val="00C67AA5"/>
    <w:rsid w:val="00C67B5E"/>
    <w:rsid w:val="00C67D39"/>
    <w:rsid w:val="00C67D49"/>
    <w:rsid w:val="00C67DD8"/>
    <w:rsid w:val="00C67E4E"/>
    <w:rsid w:val="00C67E86"/>
    <w:rsid w:val="00C67EC3"/>
    <w:rsid w:val="00C67F07"/>
    <w:rsid w:val="00C7003A"/>
    <w:rsid w:val="00C7007D"/>
    <w:rsid w:val="00C700C9"/>
    <w:rsid w:val="00C7013D"/>
    <w:rsid w:val="00C70157"/>
    <w:rsid w:val="00C701D4"/>
    <w:rsid w:val="00C7024E"/>
    <w:rsid w:val="00C702EF"/>
    <w:rsid w:val="00C702FC"/>
    <w:rsid w:val="00C70387"/>
    <w:rsid w:val="00C70420"/>
    <w:rsid w:val="00C7054B"/>
    <w:rsid w:val="00C705CD"/>
    <w:rsid w:val="00C7064B"/>
    <w:rsid w:val="00C706EB"/>
    <w:rsid w:val="00C7072F"/>
    <w:rsid w:val="00C707E2"/>
    <w:rsid w:val="00C70A20"/>
    <w:rsid w:val="00C70CF9"/>
    <w:rsid w:val="00C70D5C"/>
    <w:rsid w:val="00C70F74"/>
    <w:rsid w:val="00C71063"/>
    <w:rsid w:val="00C7108B"/>
    <w:rsid w:val="00C710DA"/>
    <w:rsid w:val="00C712D2"/>
    <w:rsid w:val="00C712ED"/>
    <w:rsid w:val="00C71358"/>
    <w:rsid w:val="00C713F5"/>
    <w:rsid w:val="00C713F8"/>
    <w:rsid w:val="00C71413"/>
    <w:rsid w:val="00C71461"/>
    <w:rsid w:val="00C716D1"/>
    <w:rsid w:val="00C717CF"/>
    <w:rsid w:val="00C718AB"/>
    <w:rsid w:val="00C71904"/>
    <w:rsid w:val="00C7195D"/>
    <w:rsid w:val="00C719E2"/>
    <w:rsid w:val="00C71A0A"/>
    <w:rsid w:val="00C71CCE"/>
    <w:rsid w:val="00C71DD6"/>
    <w:rsid w:val="00C71E2F"/>
    <w:rsid w:val="00C71EDC"/>
    <w:rsid w:val="00C72045"/>
    <w:rsid w:val="00C720D1"/>
    <w:rsid w:val="00C72101"/>
    <w:rsid w:val="00C72132"/>
    <w:rsid w:val="00C72170"/>
    <w:rsid w:val="00C72174"/>
    <w:rsid w:val="00C72217"/>
    <w:rsid w:val="00C722B7"/>
    <w:rsid w:val="00C723B7"/>
    <w:rsid w:val="00C72482"/>
    <w:rsid w:val="00C7253F"/>
    <w:rsid w:val="00C72677"/>
    <w:rsid w:val="00C72800"/>
    <w:rsid w:val="00C72957"/>
    <w:rsid w:val="00C729D6"/>
    <w:rsid w:val="00C72A15"/>
    <w:rsid w:val="00C72BF4"/>
    <w:rsid w:val="00C72DFB"/>
    <w:rsid w:val="00C72E59"/>
    <w:rsid w:val="00C72EAC"/>
    <w:rsid w:val="00C72EEE"/>
    <w:rsid w:val="00C7301F"/>
    <w:rsid w:val="00C7308A"/>
    <w:rsid w:val="00C730AC"/>
    <w:rsid w:val="00C73208"/>
    <w:rsid w:val="00C734B5"/>
    <w:rsid w:val="00C735E9"/>
    <w:rsid w:val="00C73682"/>
    <w:rsid w:val="00C73686"/>
    <w:rsid w:val="00C7371E"/>
    <w:rsid w:val="00C73896"/>
    <w:rsid w:val="00C73916"/>
    <w:rsid w:val="00C73A9F"/>
    <w:rsid w:val="00C73AA7"/>
    <w:rsid w:val="00C73ACE"/>
    <w:rsid w:val="00C73B28"/>
    <w:rsid w:val="00C73BBD"/>
    <w:rsid w:val="00C74061"/>
    <w:rsid w:val="00C7410E"/>
    <w:rsid w:val="00C742E0"/>
    <w:rsid w:val="00C74302"/>
    <w:rsid w:val="00C7431A"/>
    <w:rsid w:val="00C74364"/>
    <w:rsid w:val="00C744A0"/>
    <w:rsid w:val="00C74548"/>
    <w:rsid w:val="00C7456C"/>
    <w:rsid w:val="00C7457F"/>
    <w:rsid w:val="00C745E1"/>
    <w:rsid w:val="00C747CA"/>
    <w:rsid w:val="00C747F5"/>
    <w:rsid w:val="00C74929"/>
    <w:rsid w:val="00C749A0"/>
    <w:rsid w:val="00C74B0D"/>
    <w:rsid w:val="00C74B7B"/>
    <w:rsid w:val="00C74BD5"/>
    <w:rsid w:val="00C74BF8"/>
    <w:rsid w:val="00C74C5D"/>
    <w:rsid w:val="00C74C69"/>
    <w:rsid w:val="00C74D5B"/>
    <w:rsid w:val="00C74DAB"/>
    <w:rsid w:val="00C74DFB"/>
    <w:rsid w:val="00C74EAC"/>
    <w:rsid w:val="00C74F26"/>
    <w:rsid w:val="00C74F2E"/>
    <w:rsid w:val="00C7501E"/>
    <w:rsid w:val="00C75038"/>
    <w:rsid w:val="00C7503D"/>
    <w:rsid w:val="00C75080"/>
    <w:rsid w:val="00C7510A"/>
    <w:rsid w:val="00C7514C"/>
    <w:rsid w:val="00C751AE"/>
    <w:rsid w:val="00C75241"/>
    <w:rsid w:val="00C752F8"/>
    <w:rsid w:val="00C75440"/>
    <w:rsid w:val="00C75452"/>
    <w:rsid w:val="00C7546B"/>
    <w:rsid w:val="00C7558D"/>
    <w:rsid w:val="00C75621"/>
    <w:rsid w:val="00C75687"/>
    <w:rsid w:val="00C75715"/>
    <w:rsid w:val="00C75721"/>
    <w:rsid w:val="00C7577A"/>
    <w:rsid w:val="00C75867"/>
    <w:rsid w:val="00C7588D"/>
    <w:rsid w:val="00C7595A"/>
    <w:rsid w:val="00C7595B"/>
    <w:rsid w:val="00C75A83"/>
    <w:rsid w:val="00C75AAE"/>
    <w:rsid w:val="00C75AC7"/>
    <w:rsid w:val="00C75B11"/>
    <w:rsid w:val="00C75B29"/>
    <w:rsid w:val="00C75B96"/>
    <w:rsid w:val="00C75BE0"/>
    <w:rsid w:val="00C75CDE"/>
    <w:rsid w:val="00C75D07"/>
    <w:rsid w:val="00C75F10"/>
    <w:rsid w:val="00C75F56"/>
    <w:rsid w:val="00C7609D"/>
    <w:rsid w:val="00C76113"/>
    <w:rsid w:val="00C7618D"/>
    <w:rsid w:val="00C761AD"/>
    <w:rsid w:val="00C761B3"/>
    <w:rsid w:val="00C761D8"/>
    <w:rsid w:val="00C76225"/>
    <w:rsid w:val="00C76263"/>
    <w:rsid w:val="00C7627A"/>
    <w:rsid w:val="00C762BF"/>
    <w:rsid w:val="00C762D6"/>
    <w:rsid w:val="00C762F9"/>
    <w:rsid w:val="00C763A9"/>
    <w:rsid w:val="00C764AD"/>
    <w:rsid w:val="00C76589"/>
    <w:rsid w:val="00C765F6"/>
    <w:rsid w:val="00C7662C"/>
    <w:rsid w:val="00C767A9"/>
    <w:rsid w:val="00C767B8"/>
    <w:rsid w:val="00C76B4C"/>
    <w:rsid w:val="00C76C25"/>
    <w:rsid w:val="00C76DDC"/>
    <w:rsid w:val="00C76E55"/>
    <w:rsid w:val="00C76F1F"/>
    <w:rsid w:val="00C76F24"/>
    <w:rsid w:val="00C76FAB"/>
    <w:rsid w:val="00C76FC6"/>
    <w:rsid w:val="00C77016"/>
    <w:rsid w:val="00C770C7"/>
    <w:rsid w:val="00C77156"/>
    <w:rsid w:val="00C771C8"/>
    <w:rsid w:val="00C7722A"/>
    <w:rsid w:val="00C772AB"/>
    <w:rsid w:val="00C772C9"/>
    <w:rsid w:val="00C77303"/>
    <w:rsid w:val="00C77394"/>
    <w:rsid w:val="00C7756B"/>
    <w:rsid w:val="00C7757D"/>
    <w:rsid w:val="00C77794"/>
    <w:rsid w:val="00C778B3"/>
    <w:rsid w:val="00C77A11"/>
    <w:rsid w:val="00C77B40"/>
    <w:rsid w:val="00C77BA4"/>
    <w:rsid w:val="00C77C60"/>
    <w:rsid w:val="00C77CE5"/>
    <w:rsid w:val="00C77F2B"/>
    <w:rsid w:val="00C77FAF"/>
    <w:rsid w:val="00C80082"/>
    <w:rsid w:val="00C800DB"/>
    <w:rsid w:val="00C802FB"/>
    <w:rsid w:val="00C80385"/>
    <w:rsid w:val="00C80416"/>
    <w:rsid w:val="00C804B7"/>
    <w:rsid w:val="00C80528"/>
    <w:rsid w:val="00C8071E"/>
    <w:rsid w:val="00C80993"/>
    <w:rsid w:val="00C80A06"/>
    <w:rsid w:val="00C80A51"/>
    <w:rsid w:val="00C80A80"/>
    <w:rsid w:val="00C80C79"/>
    <w:rsid w:val="00C80F4D"/>
    <w:rsid w:val="00C8101C"/>
    <w:rsid w:val="00C81091"/>
    <w:rsid w:val="00C810E2"/>
    <w:rsid w:val="00C81388"/>
    <w:rsid w:val="00C8138F"/>
    <w:rsid w:val="00C813AD"/>
    <w:rsid w:val="00C81419"/>
    <w:rsid w:val="00C81430"/>
    <w:rsid w:val="00C8174B"/>
    <w:rsid w:val="00C81769"/>
    <w:rsid w:val="00C817AB"/>
    <w:rsid w:val="00C81845"/>
    <w:rsid w:val="00C81905"/>
    <w:rsid w:val="00C8190E"/>
    <w:rsid w:val="00C819A4"/>
    <w:rsid w:val="00C81B09"/>
    <w:rsid w:val="00C81BD8"/>
    <w:rsid w:val="00C81C49"/>
    <w:rsid w:val="00C81D22"/>
    <w:rsid w:val="00C81D61"/>
    <w:rsid w:val="00C81E2E"/>
    <w:rsid w:val="00C81FCB"/>
    <w:rsid w:val="00C820B9"/>
    <w:rsid w:val="00C82188"/>
    <w:rsid w:val="00C821A2"/>
    <w:rsid w:val="00C82212"/>
    <w:rsid w:val="00C82249"/>
    <w:rsid w:val="00C8225A"/>
    <w:rsid w:val="00C822F5"/>
    <w:rsid w:val="00C82384"/>
    <w:rsid w:val="00C823F2"/>
    <w:rsid w:val="00C824EA"/>
    <w:rsid w:val="00C82552"/>
    <w:rsid w:val="00C82556"/>
    <w:rsid w:val="00C82605"/>
    <w:rsid w:val="00C826C1"/>
    <w:rsid w:val="00C82702"/>
    <w:rsid w:val="00C828BC"/>
    <w:rsid w:val="00C828E3"/>
    <w:rsid w:val="00C82903"/>
    <w:rsid w:val="00C82A0E"/>
    <w:rsid w:val="00C82A2C"/>
    <w:rsid w:val="00C82ADA"/>
    <w:rsid w:val="00C82B31"/>
    <w:rsid w:val="00C82C82"/>
    <w:rsid w:val="00C82C8D"/>
    <w:rsid w:val="00C82D37"/>
    <w:rsid w:val="00C82D44"/>
    <w:rsid w:val="00C82D60"/>
    <w:rsid w:val="00C82D8D"/>
    <w:rsid w:val="00C82E4C"/>
    <w:rsid w:val="00C82E6F"/>
    <w:rsid w:val="00C82EC7"/>
    <w:rsid w:val="00C82FAF"/>
    <w:rsid w:val="00C83057"/>
    <w:rsid w:val="00C830E8"/>
    <w:rsid w:val="00C83123"/>
    <w:rsid w:val="00C83132"/>
    <w:rsid w:val="00C831AC"/>
    <w:rsid w:val="00C832B0"/>
    <w:rsid w:val="00C833D4"/>
    <w:rsid w:val="00C8341A"/>
    <w:rsid w:val="00C834A4"/>
    <w:rsid w:val="00C834D6"/>
    <w:rsid w:val="00C835D4"/>
    <w:rsid w:val="00C8361D"/>
    <w:rsid w:val="00C83691"/>
    <w:rsid w:val="00C836CF"/>
    <w:rsid w:val="00C83805"/>
    <w:rsid w:val="00C83B24"/>
    <w:rsid w:val="00C83C2A"/>
    <w:rsid w:val="00C83CA8"/>
    <w:rsid w:val="00C83CFB"/>
    <w:rsid w:val="00C83D7E"/>
    <w:rsid w:val="00C83E31"/>
    <w:rsid w:val="00C83EE9"/>
    <w:rsid w:val="00C83F6E"/>
    <w:rsid w:val="00C84051"/>
    <w:rsid w:val="00C8412F"/>
    <w:rsid w:val="00C84137"/>
    <w:rsid w:val="00C84185"/>
    <w:rsid w:val="00C841B0"/>
    <w:rsid w:val="00C843C1"/>
    <w:rsid w:val="00C844E9"/>
    <w:rsid w:val="00C844F8"/>
    <w:rsid w:val="00C84530"/>
    <w:rsid w:val="00C84588"/>
    <w:rsid w:val="00C845FF"/>
    <w:rsid w:val="00C84607"/>
    <w:rsid w:val="00C8461F"/>
    <w:rsid w:val="00C8463B"/>
    <w:rsid w:val="00C846AF"/>
    <w:rsid w:val="00C8479D"/>
    <w:rsid w:val="00C8479F"/>
    <w:rsid w:val="00C84832"/>
    <w:rsid w:val="00C8487C"/>
    <w:rsid w:val="00C848A5"/>
    <w:rsid w:val="00C848D1"/>
    <w:rsid w:val="00C84B67"/>
    <w:rsid w:val="00C84BFF"/>
    <w:rsid w:val="00C84C75"/>
    <w:rsid w:val="00C84D18"/>
    <w:rsid w:val="00C84F2D"/>
    <w:rsid w:val="00C84FDC"/>
    <w:rsid w:val="00C8501B"/>
    <w:rsid w:val="00C850E6"/>
    <w:rsid w:val="00C850FC"/>
    <w:rsid w:val="00C8510C"/>
    <w:rsid w:val="00C851BB"/>
    <w:rsid w:val="00C85307"/>
    <w:rsid w:val="00C8539B"/>
    <w:rsid w:val="00C853A0"/>
    <w:rsid w:val="00C853F8"/>
    <w:rsid w:val="00C8543D"/>
    <w:rsid w:val="00C854E0"/>
    <w:rsid w:val="00C854FA"/>
    <w:rsid w:val="00C85650"/>
    <w:rsid w:val="00C856AA"/>
    <w:rsid w:val="00C85897"/>
    <w:rsid w:val="00C858B6"/>
    <w:rsid w:val="00C85A11"/>
    <w:rsid w:val="00C85BEB"/>
    <w:rsid w:val="00C85C4F"/>
    <w:rsid w:val="00C85D5F"/>
    <w:rsid w:val="00C85DBD"/>
    <w:rsid w:val="00C85EA0"/>
    <w:rsid w:val="00C85EA5"/>
    <w:rsid w:val="00C85F24"/>
    <w:rsid w:val="00C85F2C"/>
    <w:rsid w:val="00C85F93"/>
    <w:rsid w:val="00C85FCC"/>
    <w:rsid w:val="00C862B8"/>
    <w:rsid w:val="00C86348"/>
    <w:rsid w:val="00C86454"/>
    <w:rsid w:val="00C8647C"/>
    <w:rsid w:val="00C86555"/>
    <w:rsid w:val="00C86587"/>
    <w:rsid w:val="00C865CA"/>
    <w:rsid w:val="00C867ED"/>
    <w:rsid w:val="00C8683C"/>
    <w:rsid w:val="00C86881"/>
    <w:rsid w:val="00C868A1"/>
    <w:rsid w:val="00C868E1"/>
    <w:rsid w:val="00C869FB"/>
    <w:rsid w:val="00C86AF8"/>
    <w:rsid w:val="00C86B5C"/>
    <w:rsid w:val="00C86BB6"/>
    <w:rsid w:val="00C86BCB"/>
    <w:rsid w:val="00C86E32"/>
    <w:rsid w:val="00C86E4A"/>
    <w:rsid w:val="00C86F02"/>
    <w:rsid w:val="00C86F3B"/>
    <w:rsid w:val="00C870A5"/>
    <w:rsid w:val="00C87148"/>
    <w:rsid w:val="00C871DF"/>
    <w:rsid w:val="00C87222"/>
    <w:rsid w:val="00C8740B"/>
    <w:rsid w:val="00C87462"/>
    <w:rsid w:val="00C875D9"/>
    <w:rsid w:val="00C8761D"/>
    <w:rsid w:val="00C876AA"/>
    <w:rsid w:val="00C876CD"/>
    <w:rsid w:val="00C8770A"/>
    <w:rsid w:val="00C87804"/>
    <w:rsid w:val="00C87824"/>
    <w:rsid w:val="00C878E8"/>
    <w:rsid w:val="00C87AC8"/>
    <w:rsid w:val="00C87B49"/>
    <w:rsid w:val="00C87DCB"/>
    <w:rsid w:val="00C87E4D"/>
    <w:rsid w:val="00C87E68"/>
    <w:rsid w:val="00C87E76"/>
    <w:rsid w:val="00C87E7C"/>
    <w:rsid w:val="00C87EF5"/>
    <w:rsid w:val="00C87F7A"/>
    <w:rsid w:val="00C90022"/>
    <w:rsid w:val="00C90128"/>
    <w:rsid w:val="00C9034F"/>
    <w:rsid w:val="00C903F6"/>
    <w:rsid w:val="00C90429"/>
    <w:rsid w:val="00C904C0"/>
    <w:rsid w:val="00C904C4"/>
    <w:rsid w:val="00C90597"/>
    <w:rsid w:val="00C906E0"/>
    <w:rsid w:val="00C9076E"/>
    <w:rsid w:val="00C90867"/>
    <w:rsid w:val="00C9088A"/>
    <w:rsid w:val="00C90A81"/>
    <w:rsid w:val="00C90AFB"/>
    <w:rsid w:val="00C90C21"/>
    <w:rsid w:val="00C90C66"/>
    <w:rsid w:val="00C90D68"/>
    <w:rsid w:val="00C90D80"/>
    <w:rsid w:val="00C90DF9"/>
    <w:rsid w:val="00C90E10"/>
    <w:rsid w:val="00C90E5B"/>
    <w:rsid w:val="00C90E84"/>
    <w:rsid w:val="00C90F6C"/>
    <w:rsid w:val="00C90F7E"/>
    <w:rsid w:val="00C910D0"/>
    <w:rsid w:val="00C91196"/>
    <w:rsid w:val="00C911AB"/>
    <w:rsid w:val="00C9134A"/>
    <w:rsid w:val="00C91373"/>
    <w:rsid w:val="00C9154D"/>
    <w:rsid w:val="00C9159F"/>
    <w:rsid w:val="00C915A3"/>
    <w:rsid w:val="00C9161F"/>
    <w:rsid w:val="00C91671"/>
    <w:rsid w:val="00C9171B"/>
    <w:rsid w:val="00C91788"/>
    <w:rsid w:val="00C91A29"/>
    <w:rsid w:val="00C91AA3"/>
    <w:rsid w:val="00C91B3E"/>
    <w:rsid w:val="00C91BA6"/>
    <w:rsid w:val="00C91C63"/>
    <w:rsid w:val="00C91D8A"/>
    <w:rsid w:val="00C91DE9"/>
    <w:rsid w:val="00C91E83"/>
    <w:rsid w:val="00C91EB4"/>
    <w:rsid w:val="00C92091"/>
    <w:rsid w:val="00C9211A"/>
    <w:rsid w:val="00C9217F"/>
    <w:rsid w:val="00C92325"/>
    <w:rsid w:val="00C924B2"/>
    <w:rsid w:val="00C92543"/>
    <w:rsid w:val="00C925B4"/>
    <w:rsid w:val="00C925CE"/>
    <w:rsid w:val="00C92617"/>
    <w:rsid w:val="00C92638"/>
    <w:rsid w:val="00C92677"/>
    <w:rsid w:val="00C92739"/>
    <w:rsid w:val="00C92763"/>
    <w:rsid w:val="00C927D5"/>
    <w:rsid w:val="00C9290A"/>
    <w:rsid w:val="00C92ACD"/>
    <w:rsid w:val="00C92B78"/>
    <w:rsid w:val="00C92DF3"/>
    <w:rsid w:val="00C92EBD"/>
    <w:rsid w:val="00C92FD0"/>
    <w:rsid w:val="00C92FFD"/>
    <w:rsid w:val="00C930D6"/>
    <w:rsid w:val="00C93133"/>
    <w:rsid w:val="00C9318C"/>
    <w:rsid w:val="00C9318F"/>
    <w:rsid w:val="00C93226"/>
    <w:rsid w:val="00C9323F"/>
    <w:rsid w:val="00C932E1"/>
    <w:rsid w:val="00C9334B"/>
    <w:rsid w:val="00C9345C"/>
    <w:rsid w:val="00C934B2"/>
    <w:rsid w:val="00C9350F"/>
    <w:rsid w:val="00C93519"/>
    <w:rsid w:val="00C93679"/>
    <w:rsid w:val="00C9367F"/>
    <w:rsid w:val="00C93768"/>
    <w:rsid w:val="00C93802"/>
    <w:rsid w:val="00C938C7"/>
    <w:rsid w:val="00C938DA"/>
    <w:rsid w:val="00C9397E"/>
    <w:rsid w:val="00C9398D"/>
    <w:rsid w:val="00C939EE"/>
    <w:rsid w:val="00C939FF"/>
    <w:rsid w:val="00C93A38"/>
    <w:rsid w:val="00C93A55"/>
    <w:rsid w:val="00C93A84"/>
    <w:rsid w:val="00C93CBA"/>
    <w:rsid w:val="00C93CD8"/>
    <w:rsid w:val="00C93D9E"/>
    <w:rsid w:val="00C93E1E"/>
    <w:rsid w:val="00C93E31"/>
    <w:rsid w:val="00C93F5A"/>
    <w:rsid w:val="00C94185"/>
    <w:rsid w:val="00C943A4"/>
    <w:rsid w:val="00C943FA"/>
    <w:rsid w:val="00C94577"/>
    <w:rsid w:val="00C945A9"/>
    <w:rsid w:val="00C9460A"/>
    <w:rsid w:val="00C94625"/>
    <w:rsid w:val="00C9463A"/>
    <w:rsid w:val="00C946EE"/>
    <w:rsid w:val="00C947CB"/>
    <w:rsid w:val="00C94823"/>
    <w:rsid w:val="00C94A8A"/>
    <w:rsid w:val="00C94C0D"/>
    <w:rsid w:val="00C94CE7"/>
    <w:rsid w:val="00C94E57"/>
    <w:rsid w:val="00C952C6"/>
    <w:rsid w:val="00C953EC"/>
    <w:rsid w:val="00C95413"/>
    <w:rsid w:val="00C95459"/>
    <w:rsid w:val="00C95532"/>
    <w:rsid w:val="00C955C8"/>
    <w:rsid w:val="00C955D9"/>
    <w:rsid w:val="00C95616"/>
    <w:rsid w:val="00C95671"/>
    <w:rsid w:val="00C9567C"/>
    <w:rsid w:val="00C95873"/>
    <w:rsid w:val="00C958D9"/>
    <w:rsid w:val="00C958F3"/>
    <w:rsid w:val="00C958F9"/>
    <w:rsid w:val="00C95C26"/>
    <w:rsid w:val="00C95C5B"/>
    <w:rsid w:val="00C95CDD"/>
    <w:rsid w:val="00C95EA5"/>
    <w:rsid w:val="00C95EDF"/>
    <w:rsid w:val="00C95EF2"/>
    <w:rsid w:val="00C95FE4"/>
    <w:rsid w:val="00C9603F"/>
    <w:rsid w:val="00C96059"/>
    <w:rsid w:val="00C9615C"/>
    <w:rsid w:val="00C961BD"/>
    <w:rsid w:val="00C9624D"/>
    <w:rsid w:val="00C96251"/>
    <w:rsid w:val="00C962C1"/>
    <w:rsid w:val="00C962DF"/>
    <w:rsid w:val="00C962E7"/>
    <w:rsid w:val="00C962ED"/>
    <w:rsid w:val="00C96355"/>
    <w:rsid w:val="00C96523"/>
    <w:rsid w:val="00C966F0"/>
    <w:rsid w:val="00C96797"/>
    <w:rsid w:val="00C967FD"/>
    <w:rsid w:val="00C968B3"/>
    <w:rsid w:val="00C969FD"/>
    <w:rsid w:val="00C96A05"/>
    <w:rsid w:val="00C96C69"/>
    <w:rsid w:val="00C96DDA"/>
    <w:rsid w:val="00C96DEC"/>
    <w:rsid w:val="00C96E10"/>
    <w:rsid w:val="00C970CC"/>
    <w:rsid w:val="00C97136"/>
    <w:rsid w:val="00C9719B"/>
    <w:rsid w:val="00C9720D"/>
    <w:rsid w:val="00C97211"/>
    <w:rsid w:val="00C97213"/>
    <w:rsid w:val="00C9733D"/>
    <w:rsid w:val="00C97360"/>
    <w:rsid w:val="00C9742B"/>
    <w:rsid w:val="00C97438"/>
    <w:rsid w:val="00C9752D"/>
    <w:rsid w:val="00C975AF"/>
    <w:rsid w:val="00C975B7"/>
    <w:rsid w:val="00C975E1"/>
    <w:rsid w:val="00C9775E"/>
    <w:rsid w:val="00C97766"/>
    <w:rsid w:val="00C979B2"/>
    <w:rsid w:val="00C979D1"/>
    <w:rsid w:val="00C97AAB"/>
    <w:rsid w:val="00C97ACF"/>
    <w:rsid w:val="00C97AFF"/>
    <w:rsid w:val="00C97CA4"/>
    <w:rsid w:val="00C97D19"/>
    <w:rsid w:val="00C97D4D"/>
    <w:rsid w:val="00CA0126"/>
    <w:rsid w:val="00CA018C"/>
    <w:rsid w:val="00CA0304"/>
    <w:rsid w:val="00CA0359"/>
    <w:rsid w:val="00CA0399"/>
    <w:rsid w:val="00CA03B2"/>
    <w:rsid w:val="00CA047D"/>
    <w:rsid w:val="00CA059F"/>
    <w:rsid w:val="00CA05E1"/>
    <w:rsid w:val="00CA064F"/>
    <w:rsid w:val="00CA06FE"/>
    <w:rsid w:val="00CA077C"/>
    <w:rsid w:val="00CA0916"/>
    <w:rsid w:val="00CA09C8"/>
    <w:rsid w:val="00CA09E1"/>
    <w:rsid w:val="00CA0A9D"/>
    <w:rsid w:val="00CA0C45"/>
    <w:rsid w:val="00CA0C95"/>
    <w:rsid w:val="00CA0CBE"/>
    <w:rsid w:val="00CA0D45"/>
    <w:rsid w:val="00CA0E18"/>
    <w:rsid w:val="00CA0E1C"/>
    <w:rsid w:val="00CA0E2A"/>
    <w:rsid w:val="00CA10BF"/>
    <w:rsid w:val="00CA12B7"/>
    <w:rsid w:val="00CA1323"/>
    <w:rsid w:val="00CA1364"/>
    <w:rsid w:val="00CA13C8"/>
    <w:rsid w:val="00CA1580"/>
    <w:rsid w:val="00CA161B"/>
    <w:rsid w:val="00CA1643"/>
    <w:rsid w:val="00CA16D5"/>
    <w:rsid w:val="00CA16F2"/>
    <w:rsid w:val="00CA17A5"/>
    <w:rsid w:val="00CA17F5"/>
    <w:rsid w:val="00CA1855"/>
    <w:rsid w:val="00CA18DE"/>
    <w:rsid w:val="00CA1952"/>
    <w:rsid w:val="00CA19C0"/>
    <w:rsid w:val="00CA19F7"/>
    <w:rsid w:val="00CA1A99"/>
    <w:rsid w:val="00CA1AA4"/>
    <w:rsid w:val="00CA1B0E"/>
    <w:rsid w:val="00CA1C22"/>
    <w:rsid w:val="00CA1CC9"/>
    <w:rsid w:val="00CA1D8F"/>
    <w:rsid w:val="00CA1E6D"/>
    <w:rsid w:val="00CA1F5D"/>
    <w:rsid w:val="00CA1FD3"/>
    <w:rsid w:val="00CA20F4"/>
    <w:rsid w:val="00CA2261"/>
    <w:rsid w:val="00CA2399"/>
    <w:rsid w:val="00CA240F"/>
    <w:rsid w:val="00CA2529"/>
    <w:rsid w:val="00CA257E"/>
    <w:rsid w:val="00CA26AF"/>
    <w:rsid w:val="00CA2724"/>
    <w:rsid w:val="00CA279D"/>
    <w:rsid w:val="00CA27FC"/>
    <w:rsid w:val="00CA28C9"/>
    <w:rsid w:val="00CA28ED"/>
    <w:rsid w:val="00CA29B1"/>
    <w:rsid w:val="00CA2A22"/>
    <w:rsid w:val="00CA2A30"/>
    <w:rsid w:val="00CA2A90"/>
    <w:rsid w:val="00CA2BA0"/>
    <w:rsid w:val="00CA2BB1"/>
    <w:rsid w:val="00CA2BE0"/>
    <w:rsid w:val="00CA2BE4"/>
    <w:rsid w:val="00CA2E00"/>
    <w:rsid w:val="00CA308C"/>
    <w:rsid w:val="00CA30FE"/>
    <w:rsid w:val="00CA31F2"/>
    <w:rsid w:val="00CA32AE"/>
    <w:rsid w:val="00CA32C0"/>
    <w:rsid w:val="00CA32C5"/>
    <w:rsid w:val="00CA33EC"/>
    <w:rsid w:val="00CA3418"/>
    <w:rsid w:val="00CA341B"/>
    <w:rsid w:val="00CA3429"/>
    <w:rsid w:val="00CA348F"/>
    <w:rsid w:val="00CA3491"/>
    <w:rsid w:val="00CA3559"/>
    <w:rsid w:val="00CA36D4"/>
    <w:rsid w:val="00CA3819"/>
    <w:rsid w:val="00CA3A3B"/>
    <w:rsid w:val="00CA3CB8"/>
    <w:rsid w:val="00CA3D11"/>
    <w:rsid w:val="00CA3D44"/>
    <w:rsid w:val="00CA3EEB"/>
    <w:rsid w:val="00CA405E"/>
    <w:rsid w:val="00CA408A"/>
    <w:rsid w:val="00CA42D6"/>
    <w:rsid w:val="00CA42F9"/>
    <w:rsid w:val="00CA430D"/>
    <w:rsid w:val="00CA431E"/>
    <w:rsid w:val="00CA432D"/>
    <w:rsid w:val="00CA4462"/>
    <w:rsid w:val="00CA44A2"/>
    <w:rsid w:val="00CA46BC"/>
    <w:rsid w:val="00CA4838"/>
    <w:rsid w:val="00CA4850"/>
    <w:rsid w:val="00CA48DF"/>
    <w:rsid w:val="00CA4A3F"/>
    <w:rsid w:val="00CA4B37"/>
    <w:rsid w:val="00CA4C46"/>
    <w:rsid w:val="00CA4CF7"/>
    <w:rsid w:val="00CA4D09"/>
    <w:rsid w:val="00CA4EC2"/>
    <w:rsid w:val="00CA4EFE"/>
    <w:rsid w:val="00CA4FD8"/>
    <w:rsid w:val="00CA5030"/>
    <w:rsid w:val="00CA513E"/>
    <w:rsid w:val="00CA5230"/>
    <w:rsid w:val="00CA5316"/>
    <w:rsid w:val="00CA5404"/>
    <w:rsid w:val="00CA542A"/>
    <w:rsid w:val="00CA54A3"/>
    <w:rsid w:val="00CA557C"/>
    <w:rsid w:val="00CA5622"/>
    <w:rsid w:val="00CA56B9"/>
    <w:rsid w:val="00CA5804"/>
    <w:rsid w:val="00CA5814"/>
    <w:rsid w:val="00CA58C7"/>
    <w:rsid w:val="00CA58EE"/>
    <w:rsid w:val="00CA59AF"/>
    <w:rsid w:val="00CA59CB"/>
    <w:rsid w:val="00CA5A22"/>
    <w:rsid w:val="00CA5AA2"/>
    <w:rsid w:val="00CA5AC4"/>
    <w:rsid w:val="00CA5AE2"/>
    <w:rsid w:val="00CA5B35"/>
    <w:rsid w:val="00CA5B65"/>
    <w:rsid w:val="00CA5BEC"/>
    <w:rsid w:val="00CA5D1E"/>
    <w:rsid w:val="00CA5D49"/>
    <w:rsid w:val="00CA5D81"/>
    <w:rsid w:val="00CA5E9A"/>
    <w:rsid w:val="00CA5ED3"/>
    <w:rsid w:val="00CA60F4"/>
    <w:rsid w:val="00CA6103"/>
    <w:rsid w:val="00CA6170"/>
    <w:rsid w:val="00CA621E"/>
    <w:rsid w:val="00CA62DA"/>
    <w:rsid w:val="00CA632E"/>
    <w:rsid w:val="00CA6337"/>
    <w:rsid w:val="00CA6388"/>
    <w:rsid w:val="00CA63CA"/>
    <w:rsid w:val="00CA63D5"/>
    <w:rsid w:val="00CA6428"/>
    <w:rsid w:val="00CA6484"/>
    <w:rsid w:val="00CA6517"/>
    <w:rsid w:val="00CA653F"/>
    <w:rsid w:val="00CA6545"/>
    <w:rsid w:val="00CA65CA"/>
    <w:rsid w:val="00CA665C"/>
    <w:rsid w:val="00CA6888"/>
    <w:rsid w:val="00CA68C3"/>
    <w:rsid w:val="00CA6B85"/>
    <w:rsid w:val="00CA6BBD"/>
    <w:rsid w:val="00CA6BEB"/>
    <w:rsid w:val="00CA6C37"/>
    <w:rsid w:val="00CA6D09"/>
    <w:rsid w:val="00CA6DE7"/>
    <w:rsid w:val="00CA6E34"/>
    <w:rsid w:val="00CA6E82"/>
    <w:rsid w:val="00CA6EA5"/>
    <w:rsid w:val="00CA6EE1"/>
    <w:rsid w:val="00CA6F09"/>
    <w:rsid w:val="00CA6F56"/>
    <w:rsid w:val="00CA7357"/>
    <w:rsid w:val="00CA7366"/>
    <w:rsid w:val="00CA73FB"/>
    <w:rsid w:val="00CA7464"/>
    <w:rsid w:val="00CA766F"/>
    <w:rsid w:val="00CA7687"/>
    <w:rsid w:val="00CA76DE"/>
    <w:rsid w:val="00CA771B"/>
    <w:rsid w:val="00CA7804"/>
    <w:rsid w:val="00CA784C"/>
    <w:rsid w:val="00CA7863"/>
    <w:rsid w:val="00CA7876"/>
    <w:rsid w:val="00CA789F"/>
    <w:rsid w:val="00CA7905"/>
    <w:rsid w:val="00CA7AEE"/>
    <w:rsid w:val="00CA7B44"/>
    <w:rsid w:val="00CA7B47"/>
    <w:rsid w:val="00CA7B73"/>
    <w:rsid w:val="00CA7C98"/>
    <w:rsid w:val="00CA7D35"/>
    <w:rsid w:val="00CA7D48"/>
    <w:rsid w:val="00CA7D69"/>
    <w:rsid w:val="00CA7E97"/>
    <w:rsid w:val="00CA7FC7"/>
    <w:rsid w:val="00CB01B6"/>
    <w:rsid w:val="00CB04A2"/>
    <w:rsid w:val="00CB07E6"/>
    <w:rsid w:val="00CB0A83"/>
    <w:rsid w:val="00CB0AC3"/>
    <w:rsid w:val="00CB0AD9"/>
    <w:rsid w:val="00CB0B8A"/>
    <w:rsid w:val="00CB0C42"/>
    <w:rsid w:val="00CB0C57"/>
    <w:rsid w:val="00CB10F5"/>
    <w:rsid w:val="00CB1158"/>
    <w:rsid w:val="00CB11BC"/>
    <w:rsid w:val="00CB12E1"/>
    <w:rsid w:val="00CB131F"/>
    <w:rsid w:val="00CB13EE"/>
    <w:rsid w:val="00CB149B"/>
    <w:rsid w:val="00CB1521"/>
    <w:rsid w:val="00CB15CD"/>
    <w:rsid w:val="00CB160E"/>
    <w:rsid w:val="00CB168F"/>
    <w:rsid w:val="00CB1900"/>
    <w:rsid w:val="00CB194F"/>
    <w:rsid w:val="00CB19C5"/>
    <w:rsid w:val="00CB19E1"/>
    <w:rsid w:val="00CB1B02"/>
    <w:rsid w:val="00CB1C89"/>
    <w:rsid w:val="00CB1CED"/>
    <w:rsid w:val="00CB1D85"/>
    <w:rsid w:val="00CB1EA7"/>
    <w:rsid w:val="00CB1F3F"/>
    <w:rsid w:val="00CB2023"/>
    <w:rsid w:val="00CB204C"/>
    <w:rsid w:val="00CB20B1"/>
    <w:rsid w:val="00CB20F6"/>
    <w:rsid w:val="00CB2276"/>
    <w:rsid w:val="00CB227D"/>
    <w:rsid w:val="00CB22B6"/>
    <w:rsid w:val="00CB2324"/>
    <w:rsid w:val="00CB23B3"/>
    <w:rsid w:val="00CB2462"/>
    <w:rsid w:val="00CB258F"/>
    <w:rsid w:val="00CB262A"/>
    <w:rsid w:val="00CB2675"/>
    <w:rsid w:val="00CB26B9"/>
    <w:rsid w:val="00CB2898"/>
    <w:rsid w:val="00CB2963"/>
    <w:rsid w:val="00CB2B4A"/>
    <w:rsid w:val="00CB2B4C"/>
    <w:rsid w:val="00CB2BD7"/>
    <w:rsid w:val="00CB2C1A"/>
    <w:rsid w:val="00CB2CB2"/>
    <w:rsid w:val="00CB2CF8"/>
    <w:rsid w:val="00CB2D09"/>
    <w:rsid w:val="00CB2D2D"/>
    <w:rsid w:val="00CB2EB1"/>
    <w:rsid w:val="00CB2EBB"/>
    <w:rsid w:val="00CB316A"/>
    <w:rsid w:val="00CB318C"/>
    <w:rsid w:val="00CB325D"/>
    <w:rsid w:val="00CB32FB"/>
    <w:rsid w:val="00CB33C0"/>
    <w:rsid w:val="00CB34ED"/>
    <w:rsid w:val="00CB353F"/>
    <w:rsid w:val="00CB356D"/>
    <w:rsid w:val="00CB374E"/>
    <w:rsid w:val="00CB3888"/>
    <w:rsid w:val="00CB3895"/>
    <w:rsid w:val="00CB392E"/>
    <w:rsid w:val="00CB3936"/>
    <w:rsid w:val="00CB3A7F"/>
    <w:rsid w:val="00CB3AFF"/>
    <w:rsid w:val="00CB3B7D"/>
    <w:rsid w:val="00CB3BAA"/>
    <w:rsid w:val="00CB3C01"/>
    <w:rsid w:val="00CB3C3D"/>
    <w:rsid w:val="00CB3CF6"/>
    <w:rsid w:val="00CB3D10"/>
    <w:rsid w:val="00CB3D7B"/>
    <w:rsid w:val="00CB3E98"/>
    <w:rsid w:val="00CB3F85"/>
    <w:rsid w:val="00CB41B5"/>
    <w:rsid w:val="00CB41DE"/>
    <w:rsid w:val="00CB4212"/>
    <w:rsid w:val="00CB43D7"/>
    <w:rsid w:val="00CB448A"/>
    <w:rsid w:val="00CB4630"/>
    <w:rsid w:val="00CB4690"/>
    <w:rsid w:val="00CB47A0"/>
    <w:rsid w:val="00CB4809"/>
    <w:rsid w:val="00CB4844"/>
    <w:rsid w:val="00CB485A"/>
    <w:rsid w:val="00CB49EB"/>
    <w:rsid w:val="00CB4A67"/>
    <w:rsid w:val="00CB4C91"/>
    <w:rsid w:val="00CB4D07"/>
    <w:rsid w:val="00CB4DA8"/>
    <w:rsid w:val="00CB4F1B"/>
    <w:rsid w:val="00CB510D"/>
    <w:rsid w:val="00CB5122"/>
    <w:rsid w:val="00CB522C"/>
    <w:rsid w:val="00CB5248"/>
    <w:rsid w:val="00CB53B3"/>
    <w:rsid w:val="00CB53FF"/>
    <w:rsid w:val="00CB5439"/>
    <w:rsid w:val="00CB543A"/>
    <w:rsid w:val="00CB54B6"/>
    <w:rsid w:val="00CB5876"/>
    <w:rsid w:val="00CB58A9"/>
    <w:rsid w:val="00CB5A9A"/>
    <w:rsid w:val="00CB5B2A"/>
    <w:rsid w:val="00CB5B45"/>
    <w:rsid w:val="00CB5B65"/>
    <w:rsid w:val="00CB5BAE"/>
    <w:rsid w:val="00CB5C08"/>
    <w:rsid w:val="00CB5C34"/>
    <w:rsid w:val="00CB5C38"/>
    <w:rsid w:val="00CB5C66"/>
    <w:rsid w:val="00CB5C70"/>
    <w:rsid w:val="00CB5CB2"/>
    <w:rsid w:val="00CB5CD3"/>
    <w:rsid w:val="00CB5D95"/>
    <w:rsid w:val="00CB5EC7"/>
    <w:rsid w:val="00CB5EEE"/>
    <w:rsid w:val="00CB5F02"/>
    <w:rsid w:val="00CB5FC0"/>
    <w:rsid w:val="00CB5FC3"/>
    <w:rsid w:val="00CB6018"/>
    <w:rsid w:val="00CB60EF"/>
    <w:rsid w:val="00CB61C9"/>
    <w:rsid w:val="00CB6241"/>
    <w:rsid w:val="00CB6267"/>
    <w:rsid w:val="00CB62DD"/>
    <w:rsid w:val="00CB6468"/>
    <w:rsid w:val="00CB65A9"/>
    <w:rsid w:val="00CB65EF"/>
    <w:rsid w:val="00CB66F8"/>
    <w:rsid w:val="00CB672C"/>
    <w:rsid w:val="00CB6775"/>
    <w:rsid w:val="00CB6842"/>
    <w:rsid w:val="00CB6870"/>
    <w:rsid w:val="00CB6896"/>
    <w:rsid w:val="00CB690A"/>
    <w:rsid w:val="00CB6C22"/>
    <w:rsid w:val="00CB6CC4"/>
    <w:rsid w:val="00CB6D9C"/>
    <w:rsid w:val="00CB6E37"/>
    <w:rsid w:val="00CB6F31"/>
    <w:rsid w:val="00CB6F5D"/>
    <w:rsid w:val="00CB6F88"/>
    <w:rsid w:val="00CB6F9E"/>
    <w:rsid w:val="00CB6FBA"/>
    <w:rsid w:val="00CB7181"/>
    <w:rsid w:val="00CB71D2"/>
    <w:rsid w:val="00CB728F"/>
    <w:rsid w:val="00CB72F6"/>
    <w:rsid w:val="00CB7391"/>
    <w:rsid w:val="00CB739C"/>
    <w:rsid w:val="00CB73A0"/>
    <w:rsid w:val="00CB73A7"/>
    <w:rsid w:val="00CB73AC"/>
    <w:rsid w:val="00CB7450"/>
    <w:rsid w:val="00CB74D8"/>
    <w:rsid w:val="00CB755C"/>
    <w:rsid w:val="00CB772C"/>
    <w:rsid w:val="00CB778A"/>
    <w:rsid w:val="00CB77C9"/>
    <w:rsid w:val="00CB77CB"/>
    <w:rsid w:val="00CB7809"/>
    <w:rsid w:val="00CB785A"/>
    <w:rsid w:val="00CB7889"/>
    <w:rsid w:val="00CB7898"/>
    <w:rsid w:val="00CB78A0"/>
    <w:rsid w:val="00CB7B61"/>
    <w:rsid w:val="00CB7B70"/>
    <w:rsid w:val="00CB7D7A"/>
    <w:rsid w:val="00CB7F42"/>
    <w:rsid w:val="00CB7F57"/>
    <w:rsid w:val="00CB7FE4"/>
    <w:rsid w:val="00CC00A2"/>
    <w:rsid w:val="00CC02A5"/>
    <w:rsid w:val="00CC031D"/>
    <w:rsid w:val="00CC0330"/>
    <w:rsid w:val="00CC0333"/>
    <w:rsid w:val="00CC0336"/>
    <w:rsid w:val="00CC034B"/>
    <w:rsid w:val="00CC03B5"/>
    <w:rsid w:val="00CC0418"/>
    <w:rsid w:val="00CC049C"/>
    <w:rsid w:val="00CC04B1"/>
    <w:rsid w:val="00CC0741"/>
    <w:rsid w:val="00CC07EF"/>
    <w:rsid w:val="00CC07F8"/>
    <w:rsid w:val="00CC0809"/>
    <w:rsid w:val="00CC08B1"/>
    <w:rsid w:val="00CC0915"/>
    <w:rsid w:val="00CC09DA"/>
    <w:rsid w:val="00CC0A2C"/>
    <w:rsid w:val="00CC0A91"/>
    <w:rsid w:val="00CC0B85"/>
    <w:rsid w:val="00CC0C33"/>
    <w:rsid w:val="00CC0CEE"/>
    <w:rsid w:val="00CC0E69"/>
    <w:rsid w:val="00CC0EE3"/>
    <w:rsid w:val="00CC0F63"/>
    <w:rsid w:val="00CC10A8"/>
    <w:rsid w:val="00CC10C1"/>
    <w:rsid w:val="00CC10C7"/>
    <w:rsid w:val="00CC11F3"/>
    <w:rsid w:val="00CC129B"/>
    <w:rsid w:val="00CC1324"/>
    <w:rsid w:val="00CC13B8"/>
    <w:rsid w:val="00CC1436"/>
    <w:rsid w:val="00CC146B"/>
    <w:rsid w:val="00CC14C3"/>
    <w:rsid w:val="00CC14E1"/>
    <w:rsid w:val="00CC14EB"/>
    <w:rsid w:val="00CC1655"/>
    <w:rsid w:val="00CC16DD"/>
    <w:rsid w:val="00CC1706"/>
    <w:rsid w:val="00CC17AF"/>
    <w:rsid w:val="00CC1867"/>
    <w:rsid w:val="00CC18A3"/>
    <w:rsid w:val="00CC18A5"/>
    <w:rsid w:val="00CC19DB"/>
    <w:rsid w:val="00CC1AAB"/>
    <w:rsid w:val="00CC1BDF"/>
    <w:rsid w:val="00CC1C7B"/>
    <w:rsid w:val="00CC1D2F"/>
    <w:rsid w:val="00CC1D6D"/>
    <w:rsid w:val="00CC1DC0"/>
    <w:rsid w:val="00CC1DFD"/>
    <w:rsid w:val="00CC1E19"/>
    <w:rsid w:val="00CC1FC2"/>
    <w:rsid w:val="00CC1FE7"/>
    <w:rsid w:val="00CC20BE"/>
    <w:rsid w:val="00CC20C0"/>
    <w:rsid w:val="00CC2142"/>
    <w:rsid w:val="00CC21F3"/>
    <w:rsid w:val="00CC2205"/>
    <w:rsid w:val="00CC220D"/>
    <w:rsid w:val="00CC226B"/>
    <w:rsid w:val="00CC227A"/>
    <w:rsid w:val="00CC2357"/>
    <w:rsid w:val="00CC2394"/>
    <w:rsid w:val="00CC24A5"/>
    <w:rsid w:val="00CC24C3"/>
    <w:rsid w:val="00CC24CC"/>
    <w:rsid w:val="00CC256B"/>
    <w:rsid w:val="00CC2579"/>
    <w:rsid w:val="00CC25A4"/>
    <w:rsid w:val="00CC25BA"/>
    <w:rsid w:val="00CC2650"/>
    <w:rsid w:val="00CC26A4"/>
    <w:rsid w:val="00CC273F"/>
    <w:rsid w:val="00CC27FC"/>
    <w:rsid w:val="00CC2868"/>
    <w:rsid w:val="00CC288E"/>
    <w:rsid w:val="00CC28BC"/>
    <w:rsid w:val="00CC296D"/>
    <w:rsid w:val="00CC29DC"/>
    <w:rsid w:val="00CC29FA"/>
    <w:rsid w:val="00CC2A2E"/>
    <w:rsid w:val="00CC2A99"/>
    <w:rsid w:val="00CC2AB9"/>
    <w:rsid w:val="00CC2B3C"/>
    <w:rsid w:val="00CC2C71"/>
    <w:rsid w:val="00CC2D84"/>
    <w:rsid w:val="00CC2D9C"/>
    <w:rsid w:val="00CC2EA3"/>
    <w:rsid w:val="00CC2F2F"/>
    <w:rsid w:val="00CC3042"/>
    <w:rsid w:val="00CC3092"/>
    <w:rsid w:val="00CC32E7"/>
    <w:rsid w:val="00CC344D"/>
    <w:rsid w:val="00CC34BC"/>
    <w:rsid w:val="00CC3607"/>
    <w:rsid w:val="00CC366B"/>
    <w:rsid w:val="00CC36B9"/>
    <w:rsid w:val="00CC384C"/>
    <w:rsid w:val="00CC393A"/>
    <w:rsid w:val="00CC3942"/>
    <w:rsid w:val="00CC39A8"/>
    <w:rsid w:val="00CC39C6"/>
    <w:rsid w:val="00CC39FB"/>
    <w:rsid w:val="00CC3AE2"/>
    <w:rsid w:val="00CC3B7F"/>
    <w:rsid w:val="00CC3B97"/>
    <w:rsid w:val="00CC3B9F"/>
    <w:rsid w:val="00CC3C9E"/>
    <w:rsid w:val="00CC3CAC"/>
    <w:rsid w:val="00CC3D09"/>
    <w:rsid w:val="00CC3D3F"/>
    <w:rsid w:val="00CC3DAF"/>
    <w:rsid w:val="00CC3EF7"/>
    <w:rsid w:val="00CC3F66"/>
    <w:rsid w:val="00CC4002"/>
    <w:rsid w:val="00CC4112"/>
    <w:rsid w:val="00CC412B"/>
    <w:rsid w:val="00CC4159"/>
    <w:rsid w:val="00CC431D"/>
    <w:rsid w:val="00CC435C"/>
    <w:rsid w:val="00CC43E2"/>
    <w:rsid w:val="00CC4424"/>
    <w:rsid w:val="00CC4476"/>
    <w:rsid w:val="00CC44FF"/>
    <w:rsid w:val="00CC4511"/>
    <w:rsid w:val="00CC4541"/>
    <w:rsid w:val="00CC45E0"/>
    <w:rsid w:val="00CC45F3"/>
    <w:rsid w:val="00CC463C"/>
    <w:rsid w:val="00CC4650"/>
    <w:rsid w:val="00CC46B2"/>
    <w:rsid w:val="00CC46E8"/>
    <w:rsid w:val="00CC4718"/>
    <w:rsid w:val="00CC491A"/>
    <w:rsid w:val="00CC493A"/>
    <w:rsid w:val="00CC4953"/>
    <w:rsid w:val="00CC4A08"/>
    <w:rsid w:val="00CC4A14"/>
    <w:rsid w:val="00CC4AD8"/>
    <w:rsid w:val="00CC4C3D"/>
    <w:rsid w:val="00CC4C48"/>
    <w:rsid w:val="00CC4D22"/>
    <w:rsid w:val="00CC4E4D"/>
    <w:rsid w:val="00CC4FEC"/>
    <w:rsid w:val="00CC500D"/>
    <w:rsid w:val="00CC508C"/>
    <w:rsid w:val="00CC509F"/>
    <w:rsid w:val="00CC5206"/>
    <w:rsid w:val="00CC527F"/>
    <w:rsid w:val="00CC5372"/>
    <w:rsid w:val="00CC547E"/>
    <w:rsid w:val="00CC54D2"/>
    <w:rsid w:val="00CC5504"/>
    <w:rsid w:val="00CC559E"/>
    <w:rsid w:val="00CC5687"/>
    <w:rsid w:val="00CC5690"/>
    <w:rsid w:val="00CC5780"/>
    <w:rsid w:val="00CC5785"/>
    <w:rsid w:val="00CC58E2"/>
    <w:rsid w:val="00CC5C5A"/>
    <w:rsid w:val="00CC5C63"/>
    <w:rsid w:val="00CC5CF4"/>
    <w:rsid w:val="00CC5DB6"/>
    <w:rsid w:val="00CC5E03"/>
    <w:rsid w:val="00CC5E1D"/>
    <w:rsid w:val="00CC5E7F"/>
    <w:rsid w:val="00CC5F9E"/>
    <w:rsid w:val="00CC60E8"/>
    <w:rsid w:val="00CC6218"/>
    <w:rsid w:val="00CC6301"/>
    <w:rsid w:val="00CC6561"/>
    <w:rsid w:val="00CC6660"/>
    <w:rsid w:val="00CC669E"/>
    <w:rsid w:val="00CC66E3"/>
    <w:rsid w:val="00CC675C"/>
    <w:rsid w:val="00CC686F"/>
    <w:rsid w:val="00CC6916"/>
    <w:rsid w:val="00CC6950"/>
    <w:rsid w:val="00CC6AFE"/>
    <w:rsid w:val="00CC6BDF"/>
    <w:rsid w:val="00CC6C1B"/>
    <w:rsid w:val="00CC6C2C"/>
    <w:rsid w:val="00CC6DD9"/>
    <w:rsid w:val="00CC6E9E"/>
    <w:rsid w:val="00CC6F06"/>
    <w:rsid w:val="00CC6F8C"/>
    <w:rsid w:val="00CC6FC9"/>
    <w:rsid w:val="00CC7117"/>
    <w:rsid w:val="00CC712C"/>
    <w:rsid w:val="00CC7160"/>
    <w:rsid w:val="00CC724C"/>
    <w:rsid w:val="00CC73F8"/>
    <w:rsid w:val="00CC7488"/>
    <w:rsid w:val="00CC7499"/>
    <w:rsid w:val="00CC75B4"/>
    <w:rsid w:val="00CC760F"/>
    <w:rsid w:val="00CC7666"/>
    <w:rsid w:val="00CC76C3"/>
    <w:rsid w:val="00CC76FC"/>
    <w:rsid w:val="00CC7880"/>
    <w:rsid w:val="00CC78B3"/>
    <w:rsid w:val="00CC78D6"/>
    <w:rsid w:val="00CC790E"/>
    <w:rsid w:val="00CC792A"/>
    <w:rsid w:val="00CC7A99"/>
    <w:rsid w:val="00CC7B59"/>
    <w:rsid w:val="00CC7B9D"/>
    <w:rsid w:val="00CC7CA3"/>
    <w:rsid w:val="00CC7D0F"/>
    <w:rsid w:val="00CC7D42"/>
    <w:rsid w:val="00CC7E7F"/>
    <w:rsid w:val="00CC7ED3"/>
    <w:rsid w:val="00CC7F44"/>
    <w:rsid w:val="00CC7F52"/>
    <w:rsid w:val="00CC7F69"/>
    <w:rsid w:val="00CC7FD2"/>
    <w:rsid w:val="00CC7FE1"/>
    <w:rsid w:val="00CD0081"/>
    <w:rsid w:val="00CD0189"/>
    <w:rsid w:val="00CD0232"/>
    <w:rsid w:val="00CD02DB"/>
    <w:rsid w:val="00CD03D3"/>
    <w:rsid w:val="00CD03F0"/>
    <w:rsid w:val="00CD040F"/>
    <w:rsid w:val="00CD042D"/>
    <w:rsid w:val="00CD04BC"/>
    <w:rsid w:val="00CD0560"/>
    <w:rsid w:val="00CD0564"/>
    <w:rsid w:val="00CD0570"/>
    <w:rsid w:val="00CD05C9"/>
    <w:rsid w:val="00CD061D"/>
    <w:rsid w:val="00CD0658"/>
    <w:rsid w:val="00CD06FE"/>
    <w:rsid w:val="00CD07A7"/>
    <w:rsid w:val="00CD0918"/>
    <w:rsid w:val="00CD0A0A"/>
    <w:rsid w:val="00CD0A0E"/>
    <w:rsid w:val="00CD0A96"/>
    <w:rsid w:val="00CD0AD5"/>
    <w:rsid w:val="00CD0AF6"/>
    <w:rsid w:val="00CD0D05"/>
    <w:rsid w:val="00CD0D27"/>
    <w:rsid w:val="00CD0DAB"/>
    <w:rsid w:val="00CD0F95"/>
    <w:rsid w:val="00CD0FB2"/>
    <w:rsid w:val="00CD106A"/>
    <w:rsid w:val="00CD106B"/>
    <w:rsid w:val="00CD109E"/>
    <w:rsid w:val="00CD10CC"/>
    <w:rsid w:val="00CD112F"/>
    <w:rsid w:val="00CD1179"/>
    <w:rsid w:val="00CD1181"/>
    <w:rsid w:val="00CD14E5"/>
    <w:rsid w:val="00CD156D"/>
    <w:rsid w:val="00CD158E"/>
    <w:rsid w:val="00CD1608"/>
    <w:rsid w:val="00CD1706"/>
    <w:rsid w:val="00CD17B2"/>
    <w:rsid w:val="00CD1806"/>
    <w:rsid w:val="00CD1867"/>
    <w:rsid w:val="00CD18DC"/>
    <w:rsid w:val="00CD196B"/>
    <w:rsid w:val="00CD196E"/>
    <w:rsid w:val="00CD1A73"/>
    <w:rsid w:val="00CD1C69"/>
    <w:rsid w:val="00CD1C8D"/>
    <w:rsid w:val="00CD1C92"/>
    <w:rsid w:val="00CD1D13"/>
    <w:rsid w:val="00CD1FA4"/>
    <w:rsid w:val="00CD20C1"/>
    <w:rsid w:val="00CD213F"/>
    <w:rsid w:val="00CD2145"/>
    <w:rsid w:val="00CD2200"/>
    <w:rsid w:val="00CD2308"/>
    <w:rsid w:val="00CD232B"/>
    <w:rsid w:val="00CD2411"/>
    <w:rsid w:val="00CD2446"/>
    <w:rsid w:val="00CD25B0"/>
    <w:rsid w:val="00CD2771"/>
    <w:rsid w:val="00CD2796"/>
    <w:rsid w:val="00CD27C1"/>
    <w:rsid w:val="00CD286A"/>
    <w:rsid w:val="00CD2923"/>
    <w:rsid w:val="00CD29E1"/>
    <w:rsid w:val="00CD2A0A"/>
    <w:rsid w:val="00CD2A51"/>
    <w:rsid w:val="00CD2AC8"/>
    <w:rsid w:val="00CD2BCC"/>
    <w:rsid w:val="00CD2C70"/>
    <w:rsid w:val="00CD2C97"/>
    <w:rsid w:val="00CD2DD8"/>
    <w:rsid w:val="00CD2F69"/>
    <w:rsid w:val="00CD3019"/>
    <w:rsid w:val="00CD307A"/>
    <w:rsid w:val="00CD307F"/>
    <w:rsid w:val="00CD318F"/>
    <w:rsid w:val="00CD330C"/>
    <w:rsid w:val="00CD334B"/>
    <w:rsid w:val="00CD3499"/>
    <w:rsid w:val="00CD3536"/>
    <w:rsid w:val="00CD3538"/>
    <w:rsid w:val="00CD3564"/>
    <w:rsid w:val="00CD381F"/>
    <w:rsid w:val="00CD3A9F"/>
    <w:rsid w:val="00CD3AA2"/>
    <w:rsid w:val="00CD3B5A"/>
    <w:rsid w:val="00CD3B73"/>
    <w:rsid w:val="00CD3C20"/>
    <w:rsid w:val="00CD3CE1"/>
    <w:rsid w:val="00CD3DCF"/>
    <w:rsid w:val="00CD3E75"/>
    <w:rsid w:val="00CD3E96"/>
    <w:rsid w:val="00CD3F6B"/>
    <w:rsid w:val="00CD4031"/>
    <w:rsid w:val="00CD4066"/>
    <w:rsid w:val="00CD406E"/>
    <w:rsid w:val="00CD41C7"/>
    <w:rsid w:val="00CD4282"/>
    <w:rsid w:val="00CD42B2"/>
    <w:rsid w:val="00CD4388"/>
    <w:rsid w:val="00CD4392"/>
    <w:rsid w:val="00CD4397"/>
    <w:rsid w:val="00CD43F6"/>
    <w:rsid w:val="00CD43FC"/>
    <w:rsid w:val="00CD4447"/>
    <w:rsid w:val="00CD44FD"/>
    <w:rsid w:val="00CD4989"/>
    <w:rsid w:val="00CD49B1"/>
    <w:rsid w:val="00CD4A6A"/>
    <w:rsid w:val="00CD4B74"/>
    <w:rsid w:val="00CD4BEE"/>
    <w:rsid w:val="00CD4DA8"/>
    <w:rsid w:val="00CD4DC1"/>
    <w:rsid w:val="00CD4E63"/>
    <w:rsid w:val="00CD4ED6"/>
    <w:rsid w:val="00CD4FA9"/>
    <w:rsid w:val="00CD4FAB"/>
    <w:rsid w:val="00CD5057"/>
    <w:rsid w:val="00CD51F0"/>
    <w:rsid w:val="00CD52CC"/>
    <w:rsid w:val="00CD52F9"/>
    <w:rsid w:val="00CD5514"/>
    <w:rsid w:val="00CD557C"/>
    <w:rsid w:val="00CD55A9"/>
    <w:rsid w:val="00CD573F"/>
    <w:rsid w:val="00CD5809"/>
    <w:rsid w:val="00CD5893"/>
    <w:rsid w:val="00CD589F"/>
    <w:rsid w:val="00CD59B4"/>
    <w:rsid w:val="00CD5A8A"/>
    <w:rsid w:val="00CD5A96"/>
    <w:rsid w:val="00CD5B86"/>
    <w:rsid w:val="00CD5C2E"/>
    <w:rsid w:val="00CD5D56"/>
    <w:rsid w:val="00CD5DBA"/>
    <w:rsid w:val="00CD5E16"/>
    <w:rsid w:val="00CD5EB0"/>
    <w:rsid w:val="00CD5ED5"/>
    <w:rsid w:val="00CD5F4D"/>
    <w:rsid w:val="00CD5F62"/>
    <w:rsid w:val="00CD6040"/>
    <w:rsid w:val="00CD6069"/>
    <w:rsid w:val="00CD610F"/>
    <w:rsid w:val="00CD6210"/>
    <w:rsid w:val="00CD6241"/>
    <w:rsid w:val="00CD633B"/>
    <w:rsid w:val="00CD6346"/>
    <w:rsid w:val="00CD63E6"/>
    <w:rsid w:val="00CD649F"/>
    <w:rsid w:val="00CD651D"/>
    <w:rsid w:val="00CD6635"/>
    <w:rsid w:val="00CD67B1"/>
    <w:rsid w:val="00CD69B3"/>
    <w:rsid w:val="00CD6A38"/>
    <w:rsid w:val="00CD6AE9"/>
    <w:rsid w:val="00CD6BB0"/>
    <w:rsid w:val="00CD6BEB"/>
    <w:rsid w:val="00CD6CDF"/>
    <w:rsid w:val="00CD6DA0"/>
    <w:rsid w:val="00CD6DB7"/>
    <w:rsid w:val="00CD6E29"/>
    <w:rsid w:val="00CD6E57"/>
    <w:rsid w:val="00CD6FC1"/>
    <w:rsid w:val="00CD6FF7"/>
    <w:rsid w:val="00CD7079"/>
    <w:rsid w:val="00CD70BE"/>
    <w:rsid w:val="00CD70D3"/>
    <w:rsid w:val="00CD724C"/>
    <w:rsid w:val="00CD7262"/>
    <w:rsid w:val="00CD72D4"/>
    <w:rsid w:val="00CD72FA"/>
    <w:rsid w:val="00CD735A"/>
    <w:rsid w:val="00CD736C"/>
    <w:rsid w:val="00CD7372"/>
    <w:rsid w:val="00CD7388"/>
    <w:rsid w:val="00CD7423"/>
    <w:rsid w:val="00CD7535"/>
    <w:rsid w:val="00CD7642"/>
    <w:rsid w:val="00CD7778"/>
    <w:rsid w:val="00CD7783"/>
    <w:rsid w:val="00CD77BA"/>
    <w:rsid w:val="00CD7921"/>
    <w:rsid w:val="00CD7A25"/>
    <w:rsid w:val="00CD7D15"/>
    <w:rsid w:val="00CD7DA7"/>
    <w:rsid w:val="00CD7DB5"/>
    <w:rsid w:val="00CD7EA1"/>
    <w:rsid w:val="00CD7EB1"/>
    <w:rsid w:val="00CE00B6"/>
    <w:rsid w:val="00CE015D"/>
    <w:rsid w:val="00CE01BF"/>
    <w:rsid w:val="00CE033A"/>
    <w:rsid w:val="00CE049F"/>
    <w:rsid w:val="00CE057C"/>
    <w:rsid w:val="00CE059A"/>
    <w:rsid w:val="00CE05D4"/>
    <w:rsid w:val="00CE0684"/>
    <w:rsid w:val="00CE06AB"/>
    <w:rsid w:val="00CE06D4"/>
    <w:rsid w:val="00CE071E"/>
    <w:rsid w:val="00CE077B"/>
    <w:rsid w:val="00CE0833"/>
    <w:rsid w:val="00CE08BC"/>
    <w:rsid w:val="00CE08FF"/>
    <w:rsid w:val="00CE0946"/>
    <w:rsid w:val="00CE09A9"/>
    <w:rsid w:val="00CE09B6"/>
    <w:rsid w:val="00CE0A54"/>
    <w:rsid w:val="00CE0A69"/>
    <w:rsid w:val="00CE0A9B"/>
    <w:rsid w:val="00CE0ACB"/>
    <w:rsid w:val="00CE0B35"/>
    <w:rsid w:val="00CE0C60"/>
    <w:rsid w:val="00CE0C85"/>
    <w:rsid w:val="00CE0D0D"/>
    <w:rsid w:val="00CE0D1C"/>
    <w:rsid w:val="00CE0DD7"/>
    <w:rsid w:val="00CE0E39"/>
    <w:rsid w:val="00CE0E96"/>
    <w:rsid w:val="00CE0EB5"/>
    <w:rsid w:val="00CE0F32"/>
    <w:rsid w:val="00CE0F57"/>
    <w:rsid w:val="00CE0F83"/>
    <w:rsid w:val="00CE102E"/>
    <w:rsid w:val="00CE10B1"/>
    <w:rsid w:val="00CE1162"/>
    <w:rsid w:val="00CE11B4"/>
    <w:rsid w:val="00CE11D4"/>
    <w:rsid w:val="00CE123F"/>
    <w:rsid w:val="00CE12BC"/>
    <w:rsid w:val="00CE12BE"/>
    <w:rsid w:val="00CE136F"/>
    <w:rsid w:val="00CE1469"/>
    <w:rsid w:val="00CE14CC"/>
    <w:rsid w:val="00CE15FE"/>
    <w:rsid w:val="00CE1606"/>
    <w:rsid w:val="00CE1616"/>
    <w:rsid w:val="00CE165D"/>
    <w:rsid w:val="00CE16FB"/>
    <w:rsid w:val="00CE1710"/>
    <w:rsid w:val="00CE1715"/>
    <w:rsid w:val="00CE171A"/>
    <w:rsid w:val="00CE180B"/>
    <w:rsid w:val="00CE187C"/>
    <w:rsid w:val="00CE18DD"/>
    <w:rsid w:val="00CE1ABA"/>
    <w:rsid w:val="00CE1BD9"/>
    <w:rsid w:val="00CE1D0D"/>
    <w:rsid w:val="00CE1D2B"/>
    <w:rsid w:val="00CE1E30"/>
    <w:rsid w:val="00CE1EAE"/>
    <w:rsid w:val="00CE1F1C"/>
    <w:rsid w:val="00CE1F72"/>
    <w:rsid w:val="00CE208B"/>
    <w:rsid w:val="00CE22CD"/>
    <w:rsid w:val="00CE24FF"/>
    <w:rsid w:val="00CE255D"/>
    <w:rsid w:val="00CE2578"/>
    <w:rsid w:val="00CE28C7"/>
    <w:rsid w:val="00CE29D4"/>
    <w:rsid w:val="00CE2A58"/>
    <w:rsid w:val="00CE2A6C"/>
    <w:rsid w:val="00CE2ABE"/>
    <w:rsid w:val="00CE2AC0"/>
    <w:rsid w:val="00CE2B8E"/>
    <w:rsid w:val="00CE2BFF"/>
    <w:rsid w:val="00CE2C13"/>
    <w:rsid w:val="00CE2CA5"/>
    <w:rsid w:val="00CE2D8D"/>
    <w:rsid w:val="00CE2E46"/>
    <w:rsid w:val="00CE2F4B"/>
    <w:rsid w:val="00CE2F6C"/>
    <w:rsid w:val="00CE3115"/>
    <w:rsid w:val="00CE332F"/>
    <w:rsid w:val="00CE3332"/>
    <w:rsid w:val="00CE338E"/>
    <w:rsid w:val="00CE3476"/>
    <w:rsid w:val="00CE34C8"/>
    <w:rsid w:val="00CE356B"/>
    <w:rsid w:val="00CE35F3"/>
    <w:rsid w:val="00CE3641"/>
    <w:rsid w:val="00CE366E"/>
    <w:rsid w:val="00CE36CE"/>
    <w:rsid w:val="00CE36CF"/>
    <w:rsid w:val="00CE372E"/>
    <w:rsid w:val="00CE3732"/>
    <w:rsid w:val="00CE37E3"/>
    <w:rsid w:val="00CE387A"/>
    <w:rsid w:val="00CE3909"/>
    <w:rsid w:val="00CE3928"/>
    <w:rsid w:val="00CE39EC"/>
    <w:rsid w:val="00CE3B75"/>
    <w:rsid w:val="00CE3B79"/>
    <w:rsid w:val="00CE3C03"/>
    <w:rsid w:val="00CE3C78"/>
    <w:rsid w:val="00CE3C8F"/>
    <w:rsid w:val="00CE3D59"/>
    <w:rsid w:val="00CE3E8B"/>
    <w:rsid w:val="00CE3F01"/>
    <w:rsid w:val="00CE40BE"/>
    <w:rsid w:val="00CE4143"/>
    <w:rsid w:val="00CE416D"/>
    <w:rsid w:val="00CE4204"/>
    <w:rsid w:val="00CE4228"/>
    <w:rsid w:val="00CE4288"/>
    <w:rsid w:val="00CE42D5"/>
    <w:rsid w:val="00CE4306"/>
    <w:rsid w:val="00CE44B5"/>
    <w:rsid w:val="00CE452B"/>
    <w:rsid w:val="00CE46BD"/>
    <w:rsid w:val="00CE4730"/>
    <w:rsid w:val="00CE4817"/>
    <w:rsid w:val="00CE48F5"/>
    <w:rsid w:val="00CE499E"/>
    <w:rsid w:val="00CE4AE4"/>
    <w:rsid w:val="00CE4B4E"/>
    <w:rsid w:val="00CE4FD4"/>
    <w:rsid w:val="00CE4FFB"/>
    <w:rsid w:val="00CE5050"/>
    <w:rsid w:val="00CE5073"/>
    <w:rsid w:val="00CE509F"/>
    <w:rsid w:val="00CE51ED"/>
    <w:rsid w:val="00CE5309"/>
    <w:rsid w:val="00CE54B3"/>
    <w:rsid w:val="00CE5506"/>
    <w:rsid w:val="00CE5543"/>
    <w:rsid w:val="00CE5567"/>
    <w:rsid w:val="00CE567C"/>
    <w:rsid w:val="00CE5753"/>
    <w:rsid w:val="00CE5780"/>
    <w:rsid w:val="00CE57F9"/>
    <w:rsid w:val="00CE58CF"/>
    <w:rsid w:val="00CE59F0"/>
    <w:rsid w:val="00CE5A6B"/>
    <w:rsid w:val="00CE5BE9"/>
    <w:rsid w:val="00CE5C23"/>
    <w:rsid w:val="00CE5C2A"/>
    <w:rsid w:val="00CE5DA1"/>
    <w:rsid w:val="00CE6063"/>
    <w:rsid w:val="00CE60A3"/>
    <w:rsid w:val="00CE6108"/>
    <w:rsid w:val="00CE6189"/>
    <w:rsid w:val="00CE621F"/>
    <w:rsid w:val="00CE645B"/>
    <w:rsid w:val="00CE6499"/>
    <w:rsid w:val="00CE658D"/>
    <w:rsid w:val="00CE65A0"/>
    <w:rsid w:val="00CE6646"/>
    <w:rsid w:val="00CE66A7"/>
    <w:rsid w:val="00CE6792"/>
    <w:rsid w:val="00CE69D8"/>
    <w:rsid w:val="00CE6A8A"/>
    <w:rsid w:val="00CE6BBD"/>
    <w:rsid w:val="00CE6BE8"/>
    <w:rsid w:val="00CE6C90"/>
    <w:rsid w:val="00CE6D10"/>
    <w:rsid w:val="00CE6D36"/>
    <w:rsid w:val="00CE6DC4"/>
    <w:rsid w:val="00CE6E15"/>
    <w:rsid w:val="00CE6FAA"/>
    <w:rsid w:val="00CE7278"/>
    <w:rsid w:val="00CE7282"/>
    <w:rsid w:val="00CE729D"/>
    <w:rsid w:val="00CE732F"/>
    <w:rsid w:val="00CE7454"/>
    <w:rsid w:val="00CE7662"/>
    <w:rsid w:val="00CE76BA"/>
    <w:rsid w:val="00CE774D"/>
    <w:rsid w:val="00CE7892"/>
    <w:rsid w:val="00CE79C7"/>
    <w:rsid w:val="00CE7A0C"/>
    <w:rsid w:val="00CE7A77"/>
    <w:rsid w:val="00CE7B81"/>
    <w:rsid w:val="00CE7CB3"/>
    <w:rsid w:val="00CE7D49"/>
    <w:rsid w:val="00CE7D4A"/>
    <w:rsid w:val="00CE7D9A"/>
    <w:rsid w:val="00CE7EF7"/>
    <w:rsid w:val="00CE7F2F"/>
    <w:rsid w:val="00CE7F71"/>
    <w:rsid w:val="00CE7F99"/>
    <w:rsid w:val="00CF0014"/>
    <w:rsid w:val="00CF001D"/>
    <w:rsid w:val="00CF00D3"/>
    <w:rsid w:val="00CF014E"/>
    <w:rsid w:val="00CF015B"/>
    <w:rsid w:val="00CF0360"/>
    <w:rsid w:val="00CF03C1"/>
    <w:rsid w:val="00CF03D1"/>
    <w:rsid w:val="00CF062E"/>
    <w:rsid w:val="00CF06B9"/>
    <w:rsid w:val="00CF079E"/>
    <w:rsid w:val="00CF07B8"/>
    <w:rsid w:val="00CF07C9"/>
    <w:rsid w:val="00CF0881"/>
    <w:rsid w:val="00CF088E"/>
    <w:rsid w:val="00CF08A0"/>
    <w:rsid w:val="00CF08AC"/>
    <w:rsid w:val="00CF0A19"/>
    <w:rsid w:val="00CF0AC2"/>
    <w:rsid w:val="00CF0AEC"/>
    <w:rsid w:val="00CF0C89"/>
    <w:rsid w:val="00CF0CF7"/>
    <w:rsid w:val="00CF0D2D"/>
    <w:rsid w:val="00CF0D40"/>
    <w:rsid w:val="00CF0E9B"/>
    <w:rsid w:val="00CF0EB7"/>
    <w:rsid w:val="00CF0F42"/>
    <w:rsid w:val="00CF0F63"/>
    <w:rsid w:val="00CF0F9A"/>
    <w:rsid w:val="00CF108C"/>
    <w:rsid w:val="00CF10AF"/>
    <w:rsid w:val="00CF10D4"/>
    <w:rsid w:val="00CF114E"/>
    <w:rsid w:val="00CF1193"/>
    <w:rsid w:val="00CF126D"/>
    <w:rsid w:val="00CF13A4"/>
    <w:rsid w:val="00CF1465"/>
    <w:rsid w:val="00CF14B1"/>
    <w:rsid w:val="00CF1509"/>
    <w:rsid w:val="00CF1616"/>
    <w:rsid w:val="00CF167B"/>
    <w:rsid w:val="00CF172E"/>
    <w:rsid w:val="00CF175B"/>
    <w:rsid w:val="00CF1778"/>
    <w:rsid w:val="00CF195C"/>
    <w:rsid w:val="00CF1973"/>
    <w:rsid w:val="00CF1976"/>
    <w:rsid w:val="00CF1A1E"/>
    <w:rsid w:val="00CF1ABA"/>
    <w:rsid w:val="00CF1AD1"/>
    <w:rsid w:val="00CF1B81"/>
    <w:rsid w:val="00CF1C70"/>
    <w:rsid w:val="00CF1E04"/>
    <w:rsid w:val="00CF1E75"/>
    <w:rsid w:val="00CF1E9E"/>
    <w:rsid w:val="00CF20DA"/>
    <w:rsid w:val="00CF2120"/>
    <w:rsid w:val="00CF2234"/>
    <w:rsid w:val="00CF23C5"/>
    <w:rsid w:val="00CF2407"/>
    <w:rsid w:val="00CF249A"/>
    <w:rsid w:val="00CF24BF"/>
    <w:rsid w:val="00CF24D2"/>
    <w:rsid w:val="00CF2573"/>
    <w:rsid w:val="00CF2606"/>
    <w:rsid w:val="00CF263C"/>
    <w:rsid w:val="00CF2649"/>
    <w:rsid w:val="00CF2892"/>
    <w:rsid w:val="00CF2941"/>
    <w:rsid w:val="00CF29F9"/>
    <w:rsid w:val="00CF2B2D"/>
    <w:rsid w:val="00CF2B8B"/>
    <w:rsid w:val="00CF2CAD"/>
    <w:rsid w:val="00CF2CDC"/>
    <w:rsid w:val="00CF2CF7"/>
    <w:rsid w:val="00CF2DB5"/>
    <w:rsid w:val="00CF2F40"/>
    <w:rsid w:val="00CF2F94"/>
    <w:rsid w:val="00CF2FA4"/>
    <w:rsid w:val="00CF308E"/>
    <w:rsid w:val="00CF30B6"/>
    <w:rsid w:val="00CF31DA"/>
    <w:rsid w:val="00CF3302"/>
    <w:rsid w:val="00CF3308"/>
    <w:rsid w:val="00CF3363"/>
    <w:rsid w:val="00CF34F6"/>
    <w:rsid w:val="00CF3552"/>
    <w:rsid w:val="00CF35A0"/>
    <w:rsid w:val="00CF35C5"/>
    <w:rsid w:val="00CF36B6"/>
    <w:rsid w:val="00CF3708"/>
    <w:rsid w:val="00CF3790"/>
    <w:rsid w:val="00CF37DD"/>
    <w:rsid w:val="00CF386E"/>
    <w:rsid w:val="00CF38B1"/>
    <w:rsid w:val="00CF3A49"/>
    <w:rsid w:val="00CF3B15"/>
    <w:rsid w:val="00CF3B22"/>
    <w:rsid w:val="00CF3C62"/>
    <w:rsid w:val="00CF3D0C"/>
    <w:rsid w:val="00CF3D9A"/>
    <w:rsid w:val="00CF3EA2"/>
    <w:rsid w:val="00CF401A"/>
    <w:rsid w:val="00CF40F7"/>
    <w:rsid w:val="00CF415F"/>
    <w:rsid w:val="00CF4246"/>
    <w:rsid w:val="00CF4293"/>
    <w:rsid w:val="00CF43C5"/>
    <w:rsid w:val="00CF4436"/>
    <w:rsid w:val="00CF4688"/>
    <w:rsid w:val="00CF47B3"/>
    <w:rsid w:val="00CF47F5"/>
    <w:rsid w:val="00CF4847"/>
    <w:rsid w:val="00CF488E"/>
    <w:rsid w:val="00CF48F3"/>
    <w:rsid w:val="00CF4910"/>
    <w:rsid w:val="00CF493C"/>
    <w:rsid w:val="00CF4972"/>
    <w:rsid w:val="00CF49BA"/>
    <w:rsid w:val="00CF4BE4"/>
    <w:rsid w:val="00CF4CE0"/>
    <w:rsid w:val="00CF4D92"/>
    <w:rsid w:val="00CF4DC0"/>
    <w:rsid w:val="00CF4EB6"/>
    <w:rsid w:val="00CF4ED0"/>
    <w:rsid w:val="00CF4F7D"/>
    <w:rsid w:val="00CF5023"/>
    <w:rsid w:val="00CF50B9"/>
    <w:rsid w:val="00CF51AA"/>
    <w:rsid w:val="00CF5293"/>
    <w:rsid w:val="00CF52A3"/>
    <w:rsid w:val="00CF5502"/>
    <w:rsid w:val="00CF559F"/>
    <w:rsid w:val="00CF55A3"/>
    <w:rsid w:val="00CF5614"/>
    <w:rsid w:val="00CF5635"/>
    <w:rsid w:val="00CF5650"/>
    <w:rsid w:val="00CF5681"/>
    <w:rsid w:val="00CF5847"/>
    <w:rsid w:val="00CF58E0"/>
    <w:rsid w:val="00CF59EF"/>
    <w:rsid w:val="00CF59F3"/>
    <w:rsid w:val="00CF5A8D"/>
    <w:rsid w:val="00CF5B76"/>
    <w:rsid w:val="00CF5C1C"/>
    <w:rsid w:val="00CF5D6C"/>
    <w:rsid w:val="00CF5EAF"/>
    <w:rsid w:val="00CF5F8A"/>
    <w:rsid w:val="00CF611F"/>
    <w:rsid w:val="00CF6169"/>
    <w:rsid w:val="00CF61C0"/>
    <w:rsid w:val="00CF6277"/>
    <w:rsid w:val="00CF62EF"/>
    <w:rsid w:val="00CF6375"/>
    <w:rsid w:val="00CF6395"/>
    <w:rsid w:val="00CF6405"/>
    <w:rsid w:val="00CF6544"/>
    <w:rsid w:val="00CF6601"/>
    <w:rsid w:val="00CF6662"/>
    <w:rsid w:val="00CF66FB"/>
    <w:rsid w:val="00CF6728"/>
    <w:rsid w:val="00CF67B3"/>
    <w:rsid w:val="00CF67E6"/>
    <w:rsid w:val="00CF67F7"/>
    <w:rsid w:val="00CF680A"/>
    <w:rsid w:val="00CF6856"/>
    <w:rsid w:val="00CF686F"/>
    <w:rsid w:val="00CF693F"/>
    <w:rsid w:val="00CF6A0D"/>
    <w:rsid w:val="00CF6B0A"/>
    <w:rsid w:val="00CF6E07"/>
    <w:rsid w:val="00CF6E15"/>
    <w:rsid w:val="00CF6E73"/>
    <w:rsid w:val="00CF6E94"/>
    <w:rsid w:val="00CF6FB3"/>
    <w:rsid w:val="00CF70A5"/>
    <w:rsid w:val="00CF715B"/>
    <w:rsid w:val="00CF71F6"/>
    <w:rsid w:val="00CF720E"/>
    <w:rsid w:val="00CF74FE"/>
    <w:rsid w:val="00CF7551"/>
    <w:rsid w:val="00CF78B0"/>
    <w:rsid w:val="00CF7903"/>
    <w:rsid w:val="00CF792F"/>
    <w:rsid w:val="00CF7942"/>
    <w:rsid w:val="00CF79B8"/>
    <w:rsid w:val="00CF7A14"/>
    <w:rsid w:val="00CF7B1F"/>
    <w:rsid w:val="00CF7C44"/>
    <w:rsid w:val="00CF7EB4"/>
    <w:rsid w:val="00CF7EBF"/>
    <w:rsid w:val="00CF7EE1"/>
    <w:rsid w:val="00CF7FDB"/>
    <w:rsid w:val="00D001C6"/>
    <w:rsid w:val="00D001E3"/>
    <w:rsid w:val="00D002C7"/>
    <w:rsid w:val="00D0037C"/>
    <w:rsid w:val="00D0052D"/>
    <w:rsid w:val="00D00581"/>
    <w:rsid w:val="00D005B2"/>
    <w:rsid w:val="00D005F1"/>
    <w:rsid w:val="00D00623"/>
    <w:rsid w:val="00D0062D"/>
    <w:rsid w:val="00D0074D"/>
    <w:rsid w:val="00D00818"/>
    <w:rsid w:val="00D00ABF"/>
    <w:rsid w:val="00D00AD8"/>
    <w:rsid w:val="00D00AFD"/>
    <w:rsid w:val="00D00B79"/>
    <w:rsid w:val="00D00CE7"/>
    <w:rsid w:val="00D00D9F"/>
    <w:rsid w:val="00D00EAE"/>
    <w:rsid w:val="00D0100F"/>
    <w:rsid w:val="00D01028"/>
    <w:rsid w:val="00D0102D"/>
    <w:rsid w:val="00D01039"/>
    <w:rsid w:val="00D0109A"/>
    <w:rsid w:val="00D013BD"/>
    <w:rsid w:val="00D01449"/>
    <w:rsid w:val="00D01625"/>
    <w:rsid w:val="00D01710"/>
    <w:rsid w:val="00D01718"/>
    <w:rsid w:val="00D01721"/>
    <w:rsid w:val="00D01758"/>
    <w:rsid w:val="00D017C8"/>
    <w:rsid w:val="00D0185F"/>
    <w:rsid w:val="00D01863"/>
    <w:rsid w:val="00D01A1C"/>
    <w:rsid w:val="00D01BC5"/>
    <w:rsid w:val="00D01C00"/>
    <w:rsid w:val="00D01CB2"/>
    <w:rsid w:val="00D01CDC"/>
    <w:rsid w:val="00D01E7B"/>
    <w:rsid w:val="00D01ED6"/>
    <w:rsid w:val="00D02069"/>
    <w:rsid w:val="00D020CE"/>
    <w:rsid w:val="00D020DC"/>
    <w:rsid w:val="00D02126"/>
    <w:rsid w:val="00D022CB"/>
    <w:rsid w:val="00D0231F"/>
    <w:rsid w:val="00D02400"/>
    <w:rsid w:val="00D024DE"/>
    <w:rsid w:val="00D02608"/>
    <w:rsid w:val="00D02694"/>
    <w:rsid w:val="00D026C0"/>
    <w:rsid w:val="00D0271E"/>
    <w:rsid w:val="00D027E7"/>
    <w:rsid w:val="00D02916"/>
    <w:rsid w:val="00D029B7"/>
    <w:rsid w:val="00D029E2"/>
    <w:rsid w:val="00D029F9"/>
    <w:rsid w:val="00D029FE"/>
    <w:rsid w:val="00D02A1F"/>
    <w:rsid w:val="00D02B05"/>
    <w:rsid w:val="00D02C4B"/>
    <w:rsid w:val="00D02D84"/>
    <w:rsid w:val="00D02E75"/>
    <w:rsid w:val="00D02F30"/>
    <w:rsid w:val="00D03009"/>
    <w:rsid w:val="00D0300E"/>
    <w:rsid w:val="00D03059"/>
    <w:rsid w:val="00D031BE"/>
    <w:rsid w:val="00D031FB"/>
    <w:rsid w:val="00D03240"/>
    <w:rsid w:val="00D032A7"/>
    <w:rsid w:val="00D033B2"/>
    <w:rsid w:val="00D033C0"/>
    <w:rsid w:val="00D03401"/>
    <w:rsid w:val="00D03589"/>
    <w:rsid w:val="00D036CF"/>
    <w:rsid w:val="00D036D8"/>
    <w:rsid w:val="00D03722"/>
    <w:rsid w:val="00D03728"/>
    <w:rsid w:val="00D03729"/>
    <w:rsid w:val="00D03851"/>
    <w:rsid w:val="00D038E8"/>
    <w:rsid w:val="00D039BB"/>
    <w:rsid w:val="00D039C7"/>
    <w:rsid w:val="00D03A2F"/>
    <w:rsid w:val="00D03A3A"/>
    <w:rsid w:val="00D03ADE"/>
    <w:rsid w:val="00D03B63"/>
    <w:rsid w:val="00D03CFF"/>
    <w:rsid w:val="00D03D0B"/>
    <w:rsid w:val="00D03D20"/>
    <w:rsid w:val="00D03D59"/>
    <w:rsid w:val="00D03E14"/>
    <w:rsid w:val="00D03EF5"/>
    <w:rsid w:val="00D03FB9"/>
    <w:rsid w:val="00D04034"/>
    <w:rsid w:val="00D040B6"/>
    <w:rsid w:val="00D04100"/>
    <w:rsid w:val="00D04104"/>
    <w:rsid w:val="00D04122"/>
    <w:rsid w:val="00D0424C"/>
    <w:rsid w:val="00D04284"/>
    <w:rsid w:val="00D0443B"/>
    <w:rsid w:val="00D04500"/>
    <w:rsid w:val="00D045F0"/>
    <w:rsid w:val="00D04667"/>
    <w:rsid w:val="00D046C1"/>
    <w:rsid w:val="00D047A8"/>
    <w:rsid w:val="00D047C3"/>
    <w:rsid w:val="00D0483C"/>
    <w:rsid w:val="00D04842"/>
    <w:rsid w:val="00D04919"/>
    <w:rsid w:val="00D04943"/>
    <w:rsid w:val="00D049D1"/>
    <w:rsid w:val="00D04A33"/>
    <w:rsid w:val="00D04A7E"/>
    <w:rsid w:val="00D04AFB"/>
    <w:rsid w:val="00D04B3A"/>
    <w:rsid w:val="00D04B51"/>
    <w:rsid w:val="00D04BBB"/>
    <w:rsid w:val="00D04C28"/>
    <w:rsid w:val="00D04CBA"/>
    <w:rsid w:val="00D04D1C"/>
    <w:rsid w:val="00D04DDB"/>
    <w:rsid w:val="00D04F18"/>
    <w:rsid w:val="00D05047"/>
    <w:rsid w:val="00D05090"/>
    <w:rsid w:val="00D05207"/>
    <w:rsid w:val="00D05409"/>
    <w:rsid w:val="00D05594"/>
    <w:rsid w:val="00D055EE"/>
    <w:rsid w:val="00D05628"/>
    <w:rsid w:val="00D056A2"/>
    <w:rsid w:val="00D05748"/>
    <w:rsid w:val="00D05757"/>
    <w:rsid w:val="00D0576D"/>
    <w:rsid w:val="00D05786"/>
    <w:rsid w:val="00D058A0"/>
    <w:rsid w:val="00D0593B"/>
    <w:rsid w:val="00D0594E"/>
    <w:rsid w:val="00D0598E"/>
    <w:rsid w:val="00D05A20"/>
    <w:rsid w:val="00D05A6B"/>
    <w:rsid w:val="00D05A9C"/>
    <w:rsid w:val="00D05B5A"/>
    <w:rsid w:val="00D05BA0"/>
    <w:rsid w:val="00D05C4B"/>
    <w:rsid w:val="00D05C6F"/>
    <w:rsid w:val="00D05CA3"/>
    <w:rsid w:val="00D05D58"/>
    <w:rsid w:val="00D05D8C"/>
    <w:rsid w:val="00D05D95"/>
    <w:rsid w:val="00D05E36"/>
    <w:rsid w:val="00D05E9B"/>
    <w:rsid w:val="00D05EF5"/>
    <w:rsid w:val="00D05FAE"/>
    <w:rsid w:val="00D05FF6"/>
    <w:rsid w:val="00D06022"/>
    <w:rsid w:val="00D060EF"/>
    <w:rsid w:val="00D06204"/>
    <w:rsid w:val="00D06212"/>
    <w:rsid w:val="00D06243"/>
    <w:rsid w:val="00D062BB"/>
    <w:rsid w:val="00D063F0"/>
    <w:rsid w:val="00D063F3"/>
    <w:rsid w:val="00D06413"/>
    <w:rsid w:val="00D06417"/>
    <w:rsid w:val="00D065EC"/>
    <w:rsid w:val="00D06660"/>
    <w:rsid w:val="00D066A4"/>
    <w:rsid w:val="00D066B3"/>
    <w:rsid w:val="00D066B6"/>
    <w:rsid w:val="00D066CA"/>
    <w:rsid w:val="00D06773"/>
    <w:rsid w:val="00D06870"/>
    <w:rsid w:val="00D0698B"/>
    <w:rsid w:val="00D0699E"/>
    <w:rsid w:val="00D069A9"/>
    <w:rsid w:val="00D069F3"/>
    <w:rsid w:val="00D06A57"/>
    <w:rsid w:val="00D06A7A"/>
    <w:rsid w:val="00D06B8A"/>
    <w:rsid w:val="00D06B8C"/>
    <w:rsid w:val="00D06BB6"/>
    <w:rsid w:val="00D06C69"/>
    <w:rsid w:val="00D06CB1"/>
    <w:rsid w:val="00D06EED"/>
    <w:rsid w:val="00D06F07"/>
    <w:rsid w:val="00D06FF0"/>
    <w:rsid w:val="00D0713E"/>
    <w:rsid w:val="00D07145"/>
    <w:rsid w:val="00D071B2"/>
    <w:rsid w:val="00D07284"/>
    <w:rsid w:val="00D07292"/>
    <w:rsid w:val="00D072DA"/>
    <w:rsid w:val="00D0734B"/>
    <w:rsid w:val="00D073DF"/>
    <w:rsid w:val="00D07681"/>
    <w:rsid w:val="00D07703"/>
    <w:rsid w:val="00D07824"/>
    <w:rsid w:val="00D07895"/>
    <w:rsid w:val="00D078C3"/>
    <w:rsid w:val="00D078F1"/>
    <w:rsid w:val="00D078FE"/>
    <w:rsid w:val="00D07985"/>
    <w:rsid w:val="00D07CA0"/>
    <w:rsid w:val="00D07CE1"/>
    <w:rsid w:val="00D07D02"/>
    <w:rsid w:val="00D07D56"/>
    <w:rsid w:val="00D07D5A"/>
    <w:rsid w:val="00D07D99"/>
    <w:rsid w:val="00D07E3F"/>
    <w:rsid w:val="00D07E9D"/>
    <w:rsid w:val="00D07F40"/>
    <w:rsid w:val="00D07F75"/>
    <w:rsid w:val="00D10086"/>
    <w:rsid w:val="00D1023F"/>
    <w:rsid w:val="00D10439"/>
    <w:rsid w:val="00D10567"/>
    <w:rsid w:val="00D105D1"/>
    <w:rsid w:val="00D105E1"/>
    <w:rsid w:val="00D1060B"/>
    <w:rsid w:val="00D10648"/>
    <w:rsid w:val="00D10657"/>
    <w:rsid w:val="00D10680"/>
    <w:rsid w:val="00D106FD"/>
    <w:rsid w:val="00D1080D"/>
    <w:rsid w:val="00D1092E"/>
    <w:rsid w:val="00D10935"/>
    <w:rsid w:val="00D109F3"/>
    <w:rsid w:val="00D10AAD"/>
    <w:rsid w:val="00D10C0E"/>
    <w:rsid w:val="00D10C1D"/>
    <w:rsid w:val="00D10C7C"/>
    <w:rsid w:val="00D10CD3"/>
    <w:rsid w:val="00D10DDA"/>
    <w:rsid w:val="00D10DF4"/>
    <w:rsid w:val="00D10EC8"/>
    <w:rsid w:val="00D10F28"/>
    <w:rsid w:val="00D10FC1"/>
    <w:rsid w:val="00D11188"/>
    <w:rsid w:val="00D11306"/>
    <w:rsid w:val="00D11323"/>
    <w:rsid w:val="00D1135F"/>
    <w:rsid w:val="00D11365"/>
    <w:rsid w:val="00D1136C"/>
    <w:rsid w:val="00D11517"/>
    <w:rsid w:val="00D1156D"/>
    <w:rsid w:val="00D11570"/>
    <w:rsid w:val="00D11589"/>
    <w:rsid w:val="00D11664"/>
    <w:rsid w:val="00D1171F"/>
    <w:rsid w:val="00D1175A"/>
    <w:rsid w:val="00D117DA"/>
    <w:rsid w:val="00D11824"/>
    <w:rsid w:val="00D11875"/>
    <w:rsid w:val="00D118A6"/>
    <w:rsid w:val="00D11A06"/>
    <w:rsid w:val="00D11A3D"/>
    <w:rsid w:val="00D11A42"/>
    <w:rsid w:val="00D11A6A"/>
    <w:rsid w:val="00D11B92"/>
    <w:rsid w:val="00D11BBE"/>
    <w:rsid w:val="00D11C02"/>
    <w:rsid w:val="00D11D27"/>
    <w:rsid w:val="00D11D34"/>
    <w:rsid w:val="00D11D36"/>
    <w:rsid w:val="00D11E68"/>
    <w:rsid w:val="00D11E7C"/>
    <w:rsid w:val="00D11F35"/>
    <w:rsid w:val="00D120E0"/>
    <w:rsid w:val="00D12232"/>
    <w:rsid w:val="00D122EB"/>
    <w:rsid w:val="00D124A1"/>
    <w:rsid w:val="00D124B3"/>
    <w:rsid w:val="00D124C3"/>
    <w:rsid w:val="00D124D1"/>
    <w:rsid w:val="00D1252E"/>
    <w:rsid w:val="00D12765"/>
    <w:rsid w:val="00D127B0"/>
    <w:rsid w:val="00D1286C"/>
    <w:rsid w:val="00D128D4"/>
    <w:rsid w:val="00D128E0"/>
    <w:rsid w:val="00D12902"/>
    <w:rsid w:val="00D12A3E"/>
    <w:rsid w:val="00D12BC7"/>
    <w:rsid w:val="00D12D2B"/>
    <w:rsid w:val="00D12E19"/>
    <w:rsid w:val="00D12F54"/>
    <w:rsid w:val="00D12FD6"/>
    <w:rsid w:val="00D13038"/>
    <w:rsid w:val="00D13075"/>
    <w:rsid w:val="00D13149"/>
    <w:rsid w:val="00D132A5"/>
    <w:rsid w:val="00D13335"/>
    <w:rsid w:val="00D134F8"/>
    <w:rsid w:val="00D13552"/>
    <w:rsid w:val="00D135B6"/>
    <w:rsid w:val="00D1374A"/>
    <w:rsid w:val="00D1374F"/>
    <w:rsid w:val="00D13789"/>
    <w:rsid w:val="00D137DC"/>
    <w:rsid w:val="00D13909"/>
    <w:rsid w:val="00D1392F"/>
    <w:rsid w:val="00D13985"/>
    <w:rsid w:val="00D1399D"/>
    <w:rsid w:val="00D139D7"/>
    <w:rsid w:val="00D13A5B"/>
    <w:rsid w:val="00D13AFF"/>
    <w:rsid w:val="00D13BB7"/>
    <w:rsid w:val="00D13DA2"/>
    <w:rsid w:val="00D13E4F"/>
    <w:rsid w:val="00D13FF3"/>
    <w:rsid w:val="00D140B5"/>
    <w:rsid w:val="00D14192"/>
    <w:rsid w:val="00D141AC"/>
    <w:rsid w:val="00D141B5"/>
    <w:rsid w:val="00D141E2"/>
    <w:rsid w:val="00D141EF"/>
    <w:rsid w:val="00D141F4"/>
    <w:rsid w:val="00D142D0"/>
    <w:rsid w:val="00D1433D"/>
    <w:rsid w:val="00D1434E"/>
    <w:rsid w:val="00D14419"/>
    <w:rsid w:val="00D14423"/>
    <w:rsid w:val="00D14448"/>
    <w:rsid w:val="00D144DA"/>
    <w:rsid w:val="00D1463E"/>
    <w:rsid w:val="00D14749"/>
    <w:rsid w:val="00D14771"/>
    <w:rsid w:val="00D1482F"/>
    <w:rsid w:val="00D14853"/>
    <w:rsid w:val="00D149D8"/>
    <w:rsid w:val="00D149E9"/>
    <w:rsid w:val="00D14AE6"/>
    <w:rsid w:val="00D14BEA"/>
    <w:rsid w:val="00D14E3B"/>
    <w:rsid w:val="00D14FDC"/>
    <w:rsid w:val="00D150A1"/>
    <w:rsid w:val="00D150DC"/>
    <w:rsid w:val="00D15156"/>
    <w:rsid w:val="00D1521B"/>
    <w:rsid w:val="00D1526B"/>
    <w:rsid w:val="00D152DC"/>
    <w:rsid w:val="00D15320"/>
    <w:rsid w:val="00D153AE"/>
    <w:rsid w:val="00D1549B"/>
    <w:rsid w:val="00D15542"/>
    <w:rsid w:val="00D15561"/>
    <w:rsid w:val="00D155B8"/>
    <w:rsid w:val="00D155D0"/>
    <w:rsid w:val="00D1579C"/>
    <w:rsid w:val="00D157AA"/>
    <w:rsid w:val="00D158F7"/>
    <w:rsid w:val="00D15917"/>
    <w:rsid w:val="00D15926"/>
    <w:rsid w:val="00D159BE"/>
    <w:rsid w:val="00D159C3"/>
    <w:rsid w:val="00D15A6F"/>
    <w:rsid w:val="00D15C28"/>
    <w:rsid w:val="00D15DC0"/>
    <w:rsid w:val="00D15DE0"/>
    <w:rsid w:val="00D15E77"/>
    <w:rsid w:val="00D15EAD"/>
    <w:rsid w:val="00D15ED1"/>
    <w:rsid w:val="00D15F17"/>
    <w:rsid w:val="00D15F3B"/>
    <w:rsid w:val="00D1601E"/>
    <w:rsid w:val="00D160D8"/>
    <w:rsid w:val="00D160F6"/>
    <w:rsid w:val="00D16159"/>
    <w:rsid w:val="00D16235"/>
    <w:rsid w:val="00D16471"/>
    <w:rsid w:val="00D16472"/>
    <w:rsid w:val="00D164F6"/>
    <w:rsid w:val="00D16665"/>
    <w:rsid w:val="00D16769"/>
    <w:rsid w:val="00D1679E"/>
    <w:rsid w:val="00D167CF"/>
    <w:rsid w:val="00D167DC"/>
    <w:rsid w:val="00D16823"/>
    <w:rsid w:val="00D16837"/>
    <w:rsid w:val="00D16879"/>
    <w:rsid w:val="00D16963"/>
    <w:rsid w:val="00D16B74"/>
    <w:rsid w:val="00D16BB1"/>
    <w:rsid w:val="00D16C72"/>
    <w:rsid w:val="00D16DFB"/>
    <w:rsid w:val="00D16E1E"/>
    <w:rsid w:val="00D16E36"/>
    <w:rsid w:val="00D16E4D"/>
    <w:rsid w:val="00D16E65"/>
    <w:rsid w:val="00D16FED"/>
    <w:rsid w:val="00D1705F"/>
    <w:rsid w:val="00D1706F"/>
    <w:rsid w:val="00D170A2"/>
    <w:rsid w:val="00D170D2"/>
    <w:rsid w:val="00D17137"/>
    <w:rsid w:val="00D17185"/>
    <w:rsid w:val="00D171EC"/>
    <w:rsid w:val="00D173C3"/>
    <w:rsid w:val="00D1744B"/>
    <w:rsid w:val="00D175E9"/>
    <w:rsid w:val="00D1760E"/>
    <w:rsid w:val="00D17638"/>
    <w:rsid w:val="00D177EC"/>
    <w:rsid w:val="00D1780F"/>
    <w:rsid w:val="00D17920"/>
    <w:rsid w:val="00D179C3"/>
    <w:rsid w:val="00D17A48"/>
    <w:rsid w:val="00D17ABE"/>
    <w:rsid w:val="00D17B3E"/>
    <w:rsid w:val="00D17B8B"/>
    <w:rsid w:val="00D17EA3"/>
    <w:rsid w:val="00D17F4C"/>
    <w:rsid w:val="00D20016"/>
    <w:rsid w:val="00D20023"/>
    <w:rsid w:val="00D201A7"/>
    <w:rsid w:val="00D2025A"/>
    <w:rsid w:val="00D202B4"/>
    <w:rsid w:val="00D20331"/>
    <w:rsid w:val="00D2035D"/>
    <w:rsid w:val="00D20368"/>
    <w:rsid w:val="00D2037F"/>
    <w:rsid w:val="00D2038A"/>
    <w:rsid w:val="00D205B7"/>
    <w:rsid w:val="00D2061F"/>
    <w:rsid w:val="00D2068A"/>
    <w:rsid w:val="00D2072D"/>
    <w:rsid w:val="00D20731"/>
    <w:rsid w:val="00D2074B"/>
    <w:rsid w:val="00D20767"/>
    <w:rsid w:val="00D20788"/>
    <w:rsid w:val="00D207BF"/>
    <w:rsid w:val="00D20B11"/>
    <w:rsid w:val="00D20B18"/>
    <w:rsid w:val="00D20B6E"/>
    <w:rsid w:val="00D20BFA"/>
    <w:rsid w:val="00D20E40"/>
    <w:rsid w:val="00D20FE4"/>
    <w:rsid w:val="00D2108B"/>
    <w:rsid w:val="00D210F9"/>
    <w:rsid w:val="00D211AF"/>
    <w:rsid w:val="00D211F7"/>
    <w:rsid w:val="00D2124D"/>
    <w:rsid w:val="00D2139A"/>
    <w:rsid w:val="00D21654"/>
    <w:rsid w:val="00D21721"/>
    <w:rsid w:val="00D21730"/>
    <w:rsid w:val="00D217C5"/>
    <w:rsid w:val="00D21900"/>
    <w:rsid w:val="00D2191A"/>
    <w:rsid w:val="00D2191D"/>
    <w:rsid w:val="00D21A2F"/>
    <w:rsid w:val="00D21B62"/>
    <w:rsid w:val="00D21B71"/>
    <w:rsid w:val="00D21BAF"/>
    <w:rsid w:val="00D21C9F"/>
    <w:rsid w:val="00D21D42"/>
    <w:rsid w:val="00D21DF4"/>
    <w:rsid w:val="00D21E55"/>
    <w:rsid w:val="00D21EA6"/>
    <w:rsid w:val="00D21EDC"/>
    <w:rsid w:val="00D2207C"/>
    <w:rsid w:val="00D22189"/>
    <w:rsid w:val="00D221D7"/>
    <w:rsid w:val="00D2239A"/>
    <w:rsid w:val="00D22401"/>
    <w:rsid w:val="00D22643"/>
    <w:rsid w:val="00D22651"/>
    <w:rsid w:val="00D226EE"/>
    <w:rsid w:val="00D2271B"/>
    <w:rsid w:val="00D2277B"/>
    <w:rsid w:val="00D22828"/>
    <w:rsid w:val="00D22A0A"/>
    <w:rsid w:val="00D22B61"/>
    <w:rsid w:val="00D22C35"/>
    <w:rsid w:val="00D22D3A"/>
    <w:rsid w:val="00D22E78"/>
    <w:rsid w:val="00D23023"/>
    <w:rsid w:val="00D230A5"/>
    <w:rsid w:val="00D23130"/>
    <w:rsid w:val="00D23183"/>
    <w:rsid w:val="00D231B2"/>
    <w:rsid w:val="00D23367"/>
    <w:rsid w:val="00D233FE"/>
    <w:rsid w:val="00D23458"/>
    <w:rsid w:val="00D2353F"/>
    <w:rsid w:val="00D236E0"/>
    <w:rsid w:val="00D2370C"/>
    <w:rsid w:val="00D238AD"/>
    <w:rsid w:val="00D2398A"/>
    <w:rsid w:val="00D23992"/>
    <w:rsid w:val="00D23BA7"/>
    <w:rsid w:val="00D23BC2"/>
    <w:rsid w:val="00D23D63"/>
    <w:rsid w:val="00D23E07"/>
    <w:rsid w:val="00D23EBE"/>
    <w:rsid w:val="00D23F37"/>
    <w:rsid w:val="00D23F82"/>
    <w:rsid w:val="00D23F98"/>
    <w:rsid w:val="00D23FBC"/>
    <w:rsid w:val="00D240F1"/>
    <w:rsid w:val="00D2418F"/>
    <w:rsid w:val="00D2428D"/>
    <w:rsid w:val="00D242D5"/>
    <w:rsid w:val="00D24305"/>
    <w:rsid w:val="00D24402"/>
    <w:rsid w:val="00D24446"/>
    <w:rsid w:val="00D2450E"/>
    <w:rsid w:val="00D245F0"/>
    <w:rsid w:val="00D24711"/>
    <w:rsid w:val="00D24731"/>
    <w:rsid w:val="00D24792"/>
    <w:rsid w:val="00D247E9"/>
    <w:rsid w:val="00D2486C"/>
    <w:rsid w:val="00D24906"/>
    <w:rsid w:val="00D24921"/>
    <w:rsid w:val="00D2496A"/>
    <w:rsid w:val="00D2497D"/>
    <w:rsid w:val="00D249C2"/>
    <w:rsid w:val="00D24A86"/>
    <w:rsid w:val="00D24B45"/>
    <w:rsid w:val="00D24CAC"/>
    <w:rsid w:val="00D24CAD"/>
    <w:rsid w:val="00D24DF3"/>
    <w:rsid w:val="00D24E16"/>
    <w:rsid w:val="00D24E20"/>
    <w:rsid w:val="00D24E76"/>
    <w:rsid w:val="00D24F81"/>
    <w:rsid w:val="00D2503E"/>
    <w:rsid w:val="00D2509D"/>
    <w:rsid w:val="00D25108"/>
    <w:rsid w:val="00D25400"/>
    <w:rsid w:val="00D254E5"/>
    <w:rsid w:val="00D256D6"/>
    <w:rsid w:val="00D25717"/>
    <w:rsid w:val="00D25795"/>
    <w:rsid w:val="00D25850"/>
    <w:rsid w:val="00D258B6"/>
    <w:rsid w:val="00D25969"/>
    <w:rsid w:val="00D25A1B"/>
    <w:rsid w:val="00D25ABC"/>
    <w:rsid w:val="00D25B44"/>
    <w:rsid w:val="00D25C6D"/>
    <w:rsid w:val="00D25CCF"/>
    <w:rsid w:val="00D25D3B"/>
    <w:rsid w:val="00D25EC2"/>
    <w:rsid w:val="00D25ECC"/>
    <w:rsid w:val="00D26226"/>
    <w:rsid w:val="00D262C4"/>
    <w:rsid w:val="00D263B5"/>
    <w:rsid w:val="00D264C7"/>
    <w:rsid w:val="00D265DD"/>
    <w:rsid w:val="00D2663D"/>
    <w:rsid w:val="00D266ED"/>
    <w:rsid w:val="00D2679A"/>
    <w:rsid w:val="00D267F2"/>
    <w:rsid w:val="00D2682B"/>
    <w:rsid w:val="00D268D6"/>
    <w:rsid w:val="00D269B1"/>
    <w:rsid w:val="00D26AAE"/>
    <w:rsid w:val="00D26ACD"/>
    <w:rsid w:val="00D26B2A"/>
    <w:rsid w:val="00D26BE9"/>
    <w:rsid w:val="00D26D3A"/>
    <w:rsid w:val="00D27001"/>
    <w:rsid w:val="00D27025"/>
    <w:rsid w:val="00D2706F"/>
    <w:rsid w:val="00D2714F"/>
    <w:rsid w:val="00D27162"/>
    <w:rsid w:val="00D2717F"/>
    <w:rsid w:val="00D271A5"/>
    <w:rsid w:val="00D27219"/>
    <w:rsid w:val="00D27263"/>
    <w:rsid w:val="00D272C2"/>
    <w:rsid w:val="00D272F7"/>
    <w:rsid w:val="00D273F6"/>
    <w:rsid w:val="00D27524"/>
    <w:rsid w:val="00D27653"/>
    <w:rsid w:val="00D2765C"/>
    <w:rsid w:val="00D276B1"/>
    <w:rsid w:val="00D276F9"/>
    <w:rsid w:val="00D27780"/>
    <w:rsid w:val="00D277DF"/>
    <w:rsid w:val="00D2787D"/>
    <w:rsid w:val="00D27887"/>
    <w:rsid w:val="00D27952"/>
    <w:rsid w:val="00D27B13"/>
    <w:rsid w:val="00D27B57"/>
    <w:rsid w:val="00D27CCC"/>
    <w:rsid w:val="00D27D16"/>
    <w:rsid w:val="00D27D5A"/>
    <w:rsid w:val="00D27DBB"/>
    <w:rsid w:val="00D27F20"/>
    <w:rsid w:val="00D30025"/>
    <w:rsid w:val="00D300C1"/>
    <w:rsid w:val="00D3019B"/>
    <w:rsid w:val="00D301A8"/>
    <w:rsid w:val="00D301F1"/>
    <w:rsid w:val="00D302D5"/>
    <w:rsid w:val="00D30335"/>
    <w:rsid w:val="00D303A9"/>
    <w:rsid w:val="00D303E2"/>
    <w:rsid w:val="00D304B2"/>
    <w:rsid w:val="00D30589"/>
    <w:rsid w:val="00D305FF"/>
    <w:rsid w:val="00D306CB"/>
    <w:rsid w:val="00D30796"/>
    <w:rsid w:val="00D307BA"/>
    <w:rsid w:val="00D3080B"/>
    <w:rsid w:val="00D308B3"/>
    <w:rsid w:val="00D308D6"/>
    <w:rsid w:val="00D30991"/>
    <w:rsid w:val="00D309E0"/>
    <w:rsid w:val="00D30A5A"/>
    <w:rsid w:val="00D30A5D"/>
    <w:rsid w:val="00D30C7A"/>
    <w:rsid w:val="00D30CB3"/>
    <w:rsid w:val="00D30CCB"/>
    <w:rsid w:val="00D30E2E"/>
    <w:rsid w:val="00D3101A"/>
    <w:rsid w:val="00D3110B"/>
    <w:rsid w:val="00D3119A"/>
    <w:rsid w:val="00D311C2"/>
    <w:rsid w:val="00D311C4"/>
    <w:rsid w:val="00D311F6"/>
    <w:rsid w:val="00D3122A"/>
    <w:rsid w:val="00D313F3"/>
    <w:rsid w:val="00D31512"/>
    <w:rsid w:val="00D31513"/>
    <w:rsid w:val="00D3164D"/>
    <w:rsid w:val="00D316CA"/>
    <w:rsid w:val="00D3174A"/>
    <w:rsid w:val="00D3182B"/>
    <w:rsid w:val="00D31845"/>
    <w:rsid w:val="00D318F2"/>
    <w:rsid w:val="00D31903"/>
    <w:rsid w:val="00D31921"/>
    <w:rsid w:val="00D31998"/>
    <w:rsid w:val="00D319BB"/>
    <w:rsid w:val="00D31A04"/>
    <w:rsid w:val="00D31AD1"/>
    <w:rsid w:val="00D31C3F"/>
    <w:rsid w:val="00D31E35"/>
    <w:rsid w:val="00D31EE8"/>
    <w:rsid w:val="00D31FA7"/>
    <w:rsid w:val="00D3201C"/>
    <w:rsid w:val="00D32110"/>
    <w:rsid w:val="00D32222"/>
    <w:rsid w:val="00D32261"/>
    <w:rsid w:val="00D322A3"/>
    <w:rsid w:val="00D322D4"/>
    <w:rsid w:val="00D32311"/>
    <w:rsid w:val="00D32531"/>
    <w:rsid w:val="00D3253A"/>
    <w:rsid w:val="00D3254A"/>
    <w:rsid w:val="00D32610"/>
    <w:rsid w:val="00D32714"/>
    <w:rsid w:val="00D328CC"/>
    <w:rsid w:val="00D32906"/>
    <w:rsid w:val="00D32972"/>
    <w:rsid w:val="00D329BB"/>
    <w:rsid w:val="00D329F2"/>
    <w:rsid w:val="00D32BBA"/>
    <w:rsid w:val="00D32CB3"/>
    <w:rsid w:val="00D32D3E"/>
    <w:rsid w:val="00D32DFD"/>
    <w:rsid w:val="00D32E1F"/>
    <w:rsid w:val="00D32ED1"/>
    <w:rsid w:val="00D32F9A"/>
    <w:rsid w:val="00D32FCE"/>
    <w:rsid w:val="00D3302C"/>
    <w:rsid w:val="00D33107"/>
    <w:rsid w:val="00D3327F"/>
    <w:rsid w:val="00D33288"/>
    <w:rsid w:val="00D33292"/>
    <w:rsid w:val="00D333D5"/>
    <w:rsid w:val="00D333F3"/>
    <w:rsid w:val="00D3341B"/>
    <w:rsid w:val="00D33580"/>
    <w:rsid w:val="00D33694"/>
    <w:rsid w:val="00D33A3C"/>
    <w:rsid w:val="00D33C50"/>
    <w:rsid w:val="00D33C69"/>
    <w:rsid w:val="00D33D2B"/>
    <w:rsid w:val="00D33F02"/>
    <w:rsid w:val="00D33F0D"/>
    <w:rsid w:val="00D33F21"/>
    <w:rsid w:val="00D33F6C"/>
    <w:rsid w:val="00D33F7C"/>
    <w:rsid w:val="00D33FA7"/>
    <w:rsid w:val="00D33FB1"/>
    <w:rsid w:val="00D34026"/>
    <w:rsid w:val="00D342F2"/>
    <w:rsid w:val="00D3436A"/>
    <w:rsid w:val="00D34466"/>
    <w:rsid w:val="00D344E2"/>
    <w:rsid w:val="00D344F9"/>
    <w:rsid w:val="00D34547"/>
    <w:rsid w:val="00D34561"/>
    <w:rsid w:val="00D34675"/>
    <w:rsid w:val="00D34716"/>
    <w:rsid w:val="00D3482F"/>
    <w:rsid w:val="00D34893"/>
    <w:rsid w:val="00D348B4"/>
    <w:rsid w:val="00D34A15"/>
    <w:rsid w:val="00D34C0F"/>
    <w:rsid w:val="00D34CA5"/>
    <w:rsid w:val="00D34CCC"/>
    <w:rsid w:val="00D34E6C"/>
    <w:rsid w:val="00D34E74"/>
    <w:rsid w:val="00D34EAA"/>
    <w:rsid w:val="00D34F16"/>
    <w:rsid w:val="00D34FFA"/>
    <w:rsid w:val="00D35086"/>
    <w:rsid w:val="00D350F3"/>
    <w:rsid w:val="00D352BA"/>
    <w:rsid w:val="00D35308"/>
    <w:rsid w:val="00D35387"/>
    <w:rsid w:val="00D354B0"/>
    <w:rsid w:val="00D354DE"/>
    <w:rsid w:val="00D355A8"/>
    <w:rsid w:val="00D355E6"/>
    <w:rsid w:val="00D35694"/>
    <w:rsid w:val="00D35729"/>
    <w:rsid w:val="00D357BE"/>
    <w:rsid w:val="00D35808"/>
    <w:rsid w:val="00D35848"/>
    <w:rsid w:val="00D35860"/>
    <w:rsid w:val="00D35996"/>
    <w:rsid w:val="00D35B35"/>
    <w:rsid w:val="00D35CBD"/>
    <w:rsid w:val="00D35D02"/>
    <w:rsid w:val="00D35E3E"/>
    <w:rsid w:val="00D35E48"/>
    <w:rsid w:val="00D35E81"/>
    <w:rsid w:val="00D35F24"/>
    <w:rsid w:val="00D35F3F"/>
    <w:rsid w:val="00D360BF"/>
    <w:rsid w:val="00D36117"/>
    <w:rsid w:val="00D361C0"/>
    <w:rsid w:val="00D361DF"/>
    <w:rsid w:val="00D36277"/>
    <w:rsid w:val="00D362E2"/>
    <w:rsid w:val="00D363B2"/>
    <w:rsid w:val="00D363F5"/>
    <w:rsid w:val="00D3641F"/>
    <w:rsid w:val="00D365FE"/>
    <w:rsid w:val="00D36768"/>
    <w:rsid w:val="00D369F0"/>
    <w:rsid w:val="00D36B8E"/>
    <w:rsid w:val="00D36BC1"/>
    <w:rsid w:val="00D36C00"/>
    <w:rsid w:val="00D36C09"/>
    <w:rsid w:val="00D36E32"/>
    <w:rsid w:val="00D36E38"/>
    <w:rsid w:val="00D36F1D"/>
    <w:rsid w:val="00D36FF8"/>
    <w:rsid w:val="00D370CB"/>
    <w:rsid w:val="00D37174"/>
    <w:rsid w:val="00D371EB"/>
    <w:rsid w:val="00D37202"/>
    <w:rsid w:val="00D37217"/>
    <w:rsid w:val="00D3726F"/>
    <w:rsid w:val="00D37272"/>
    <w:rsid w:val="00D373C7"/>
    <w:rsid w:val="00D3747B"/>
    <w:rsid w:val="00D37611"/>
    <w:rsid w:val="00D37804"/>
    <w:rsid w:val="00D37A59"/>
    <w:rsid w:val="00D37AFF"/>
    <w:rsid w:val="00D37B5E"/>
    <w:rsid w:val="00D37B8B"/>
    <w:rsid w:val="00D37E6B"/>
    <w:rsid w:val="00D400A7"/>
    <w:rsid w:val="00D400D6"/>
    <w:rsid w:val="00D40133"/>
    <w:rsid w:val="00D401E2"/>
    <w:rsid w:val="00D40226"/>
    <w:rsid w:val="00D40227"/>
    <w:rsid w:val="00D40332"/>
    <w:rsid w:val="00D4034D"/>
    <w:rsid w:val="00D40379"/>
    <w:rsid w:val="00D40383"/>
    <w:rsid w:val="00D403B3"/>
    <w:rsid w:val="00D403BB"/>
    <w:rsid w:val="00D404A8"/>
    <w:rsid w:val="00D406AB"/>
    <w:rsid w:val="00D4080D"/>
    <w:rsid w:val="00D40849"/>
    <w:rsid w:val="00D408A7"/>
    <w:rsid w:val="00D4095A"/>
    <w:rsid w:val="00D409B3"/>
    <w:rsid w:val="00D40A17"/>
    <w:rsid w:val="00D40A18"/>
    <w:rsid w:val="00D40A5A"/>
    <w:rsid w:val="00D40B0C"/>
    <w:rsid w:val="00D40B38"/>
    <w:rsid w:val="00D40CCA"/>
    <w:rsid w:val="00D40D00"/>
    <w:rsid w:val="00D40F6D"/>
    <w:rsid w:val="00D41004"/>
    <w:rsid w:val="00D41077"/>
    <w:rsid w:val="00D410FB"/>
    <w:rsid w:val="00D4120A"/>
    <w:rsid w:val="00D41233"/>
    <w:rsid w:val="00D413AF"/>
    <w:rsid w:val="00D414A4"/>
    <w:rsid w:val="00D415F4"/>
    <w:rsid w:val="00D41647"/>
    <w:rsid w:val="00D41694"/>
    <w:rsid w:val="00D4184A"/>
    <w:rsid w:val="00D41908"/>
    <w:rsid w:val="00D4198E"/>
    <w:rsid w:val="00D419CA"/>
    <w:rsid w:val="00D41C74"/>
    <w:rsid w:val="00D41CA5"/>
    <w:rsid w:val="00D41CCA"/>
    <w:rsid w:val="00D41D1D"/>
    <w:rsid w:val="00D41D88"/>
    <w:rsid w:val="00D41D9A"/>
    <w:rsid w:val="00D41E92"/>
    <w:rsid w:val="00D41EEB"/>
    <w:rsid w:val="00D41F04"/>
    <w:rsid w:val="00D41F24"/>
    <w:rsid w:val="00D41FEC"/>
    <w:rsid w:val="00D42167"/>
    <w:rsid w:val="00D421E7"/>
    <w:rsid w:val="00D42226"/>
    <w:rsid w:val="00D422DC"/>
    <w:rsid w:val="00D423E6"/>
    <w:rsid w:val="00D423F9"/>
    <w:rsid w:val="00D42504"/>
    <w:rsid w:val="00D42533"/>
    <w:rsid w:val="00D425A3"/>
    <w:rsid w:val="00D42688"/>
    <w:rsid w:val="00D4281E"/>
    <w:rsid w:val="00D4291F"/>
    <w:rsid w:val="00D42C15"/>
    <w:rsid w:val="00D42E60"/>
    <w:rsid w:val="00D42EA2"/>
    <w:rsid w:val="00D42EB5"/>
    <w:rsid w:val="00D42F97"/>
    <w:rsid w:val="00D42FAB"/>
    <w:rsid w:val="00D4302D"/>
    <w:rsid w:val="00D43103"/>
    <w:rsid w:val="00D43124"/>
    <w:rsid w:val="00D43147"/>
    <w:rsid w:val="00D431C9"/>
    <w:rsid w:val="00D43261"/>
    <w:rsid w:val="00D43322"/>
    <w:rsid w:val="00D4336B"/>
    <w:rsid w:val="00D434B2"/>
    <w:rsid w:val="00D43528"/>
    <w:rsid w:val="00D43583"/>
    <w:rsid w:val="00D43632"/>
    <w:rsid w:val="00D43649"/>
    <w:rsid w:val="00D43660"/>
    <w:rsid w:val="00D436B8"/>
    <w:rsid w:val="00D4372C"/>
    <w:rsid w:val="00D43827"/>
    <w:rsid w:val="00D43838"/>
    <w:rsid w:val="00D438D5"/>
    <w:rsid w:val="00D43953"/>
    <w:rsid w:val="00D43A00"/>
    <w:rsid w:val="00D43AA2"/>
    <w:rsid w:val="00D43B93"/>
    <w:rsid w:val="00D43BBE"/>
    <w:rsid w:val="00D43C44"/>
    <w:rsid w:val="00D43C90"/>
    <w:rsid w:val="00D43E37"/>
    <w:rsid w:val="00D43EC2"/>
    <w:rsid w:val="00D43F23"/>
    <w:rsid w:val="00D43F43"/>
    <w:rsid w:val="00D4410D"/>
    <w:rsid w:val="00D441F1"/>
    <w:rsid w:val="00D44212"/>
    <w:rsid w:val="00D44392"/>
    <w:rsid w:val="00D44493"/>
    <w:rsid w:val="00D44515"/>
    <w:rsid w:val="00D44573"/>
    <w:rsid w:val="00D44625"/>
    <w:rsid w:val="00D44655"/>
    <w:rsid w:val="00D44725"/>
    <w:rsid w:val="00D44955"/>
    <w:rsid w:val="00D44A67"/>
    <w:rsid w:val="00D44ADB"/>
    <w:rsid w:val="00D44AFD"/>
    <w:rsid w:val="00D44C3E"/>
    <w:rsid w:val="00D44D25"/>
    <w:rsid w:val="00D44D8C"/>
    <w:rsid w:val="00D44E5E"/>
    <w:rsid w:val="00D44F40"/>
    <w:rsid w:val="00D44F9F"/>
    <w:rsid w:val="00D45072"/>
    <w:rsid w:val="00D45197"/>
    <w:rsid w:val="00D451A9"/>
    <w:rsid w:val="00D451C7"/>
    <w:rsid w:val="00D4523F"/>
    <w:rsid w:val="00D452B4"/>
    <w:rsid w:val="00D452BD"/>
    <w:rsid w:val="00D45415"/>
    <w:rsid w:val="00D4549B"/>
    <w:rsid w:val="00D455A8"/>
    <w:rsid w:val="00D457D2"/>
    <w:rsid w:val="00D457D8"/>
    <w:rsid w:val="00D457E2"/>
    <w:rsid w:val="00D458DC"/>
    <w:rsid w:val="00D45904"/>
    <w:rsid w:val="00D45977"/>
    <w:rsid w:val="00D45987"/>
    <w:rsid w:val="00D45A17"/>
    <w:rsid w:val="00D45BA2"/>
    <w:rsid w:val="00D45BB5"/>
    <w:rsid w:val="00D45BFD"/>
    <w:rsid w:val="00D45CF9"/>
    <w:rsid w:val="00D45E5C"/>
    <w:rsid w:val="00D45ED0"/>
    <w:rsid w:val="00D45F09"/>
    <w:rsid w:val="00D45FC1"/>
    <w:rsid w:val="00D460A7"/>
    <w:rsid w:val="00D4611B"/>
    <w:rsid w:val="00D46132"/>
    <w:rsid w:val="00D46175"/>
    <w:rsid w:val="00D462EA"/>
    <w:rsid w:val="00D463AE"/>
    <w:rsid w:val="00D463D7"/>
    <w:rsid w:val="00D463E5"/>
    <w:rsid w:val="00D464F6"/>
    <w:rsid w:val="00D4660B"/>
    <w:rsid w:val="00D46625"/>
    <w:rsid w:val="00D46641"/>
    <w:rsid w:val="00D4693D"/>
    <w:rsid w:val="00D46A08"/>
    <w:rsid w:val="00D46A67"/>
    <w:rsid w:val="00D46B99"/>
    <w:rsid w:val="00D46BBF"/>
    <w:rsid w:val="00D46DDB"/>
    <w:rsid w:val="00D46E32"/>
    <w:rsid w:val="00D46E86"/>
    <w:rsid w:val="00D46F1E"/>
    <w:rsid w:val="00D470FE"/>
    <w:rsid w:val="00D47229"/>
    <w:rsid w:val="00D472AD"/>
    <w:rsid w:val="00D472BC"/>
    <w:rsid w:val="00D47328"/>
    <w:rsid w:val="00D47344"/>
    <w:rsid w:val="00D47416"/>
    <w:rsid w:val="00D4744C"/>
    <w:rsid w:val="00D474FB"/>
    <w:rsid w:val="00D475D7"/>
    <w:rsid w:val="00D47802"/>
    <w:rsid w:val="00D4784A"/>
    <w:rsid w:val="00D478DE"/>
    <w:rsid w:val="00D47915"/>
    <w:rsid w:val="00D47A01"/>
    <w:rsid w:val="00D47A3D"/>
    <w:rsid w:val="00D47A81"/>
    <w:rsid w:val="00D47BD0"/>
    <w:rsid w:val="00D47C51"/>
    <w:rsid w:val="00D47EA8"/>
    <w:rsid w:val="00D500C3"/>
    <w:rsid w:val="00D500F2"/>
    <w:rsid w:val="00D5012E"/>
    <w:rsid w:val="00D501B4"/>
    <w:rsid w:val="00D501D8"/>
    <w:rsid w:val="00D50670"/>
    <w:rsid w:val="00D506DD"/>
    <w:rsid w:val="00D5082B"/>
    <w:rsid w:val="00D50875"/>
    <w:rsid w:val="00D50A03"/>
    <w:rsid w:val="00D50A14"/>
    <w:rsid w:val="00D50AB8"/>
    <w:rsid w:val="00D50AFC"/>
    <w:rsid w:val="00D50BEF"/>
    <w:rsid w:val="00D50CA0"/>
    <w:rsid w:val="00D50CD0"/>
    <w:rsid w:val="00D50CFA"/>
    <w:rsid w:val="00D50DF1"/>
    <w:rsid w:val="00D50F2D"/>
    <w:rsid w:val="00D510F0"/>
    <w:rsid w:val="00D51133"/>
    <w:rsid w:val="00D51248"/>
    <w:rsid w:val="00D5141F"/>
    <w:rsid w:val="00D5144F"/>
    <w:rsid w:val="00D51612"/>
    <w:rsid w:val="00D51616"/>
    <w:rsid w:val="00D51618"/>
    <w:rsid w:val="00D51641"/>
    <w:rsid w:val="00D5175E"/>
    <w:rsid w:val="00D517B5"/>
    <w:rsid w:val="00D517E2"/>
    <w:rsid w:val="00D51816"/>
    <w:rsid w:val="00D5193C"/>
    <w:rsid w:val="00D51C0C"/>
    <w:rsid w:val="00D51C3D"/>
    <w:rsid w:val="00D51C45"/>
    <w:rsid w:val="00D51CDB"/>
    <w:rsid w:val="00D51D9A"/>
    <w:rsid w:val="00D51DB5"/>
    <w:rsid w:val="00D51E3E"/>
    <w:rsid w:val="00D51E5A"/>
    <w:rsid w:val="00D51F90"/>
    <w:rsid w:val="00D52123"/>
    <w:rsid w:val="00D52201"/>
    <w:rsid w:val="00D52240"/>
    <w:rsid w:val="00D5233D"/>
    <w:rsid w:val="00D5240D"/>
    <w:rsid w:val="00D5256F"/>
    <w:rsid w:val="00D5267F"/>
    <w:rsid w:val="00D52685"/>
    <w:rsid w:val="00D528CB"/>
    <w:rsid w:val="00D5291A"/>
    <w:rsid w:val="00D52974"/>
    <w:rsid w:val="00D52994"/>
    <w:rsid w:val="00D52A55"/>
    <w:rsid w:val="00D52A70"/>
    <w:rsid w:val="00D52AE1"/>
    <w:rsid w:val="00D52B22"/>
    <w:rsid w:val="00D52B64"/>
    <w:rsid w:val="00D52BC6"/>
    <w:rsid w:val="00D52D15"/>
    <w:rsid w:val="00D52D26"/>
    <w:rsid w:val="00D52D32"/>
    <w:rsid w:val="00D52DBB"/>
    <w:rsid w:val="00D52E3C"/>
    <w:rsid w:val="00D52E5E"/>
    <w:rsid w:val="00D52F3D"/>
    <w:rsid w:val="00D5305E"/>
    <w:rsid w:val="00D53060"/>
    <w:rsid w:val="00D530CF"/>
    <w:rsid w:val="00D5312E"/>
    <w:rsid w:val="00D53152"/>
    <w:rsid w:val="00D53326"/>
    <w:rsid w:val="00D53376"/>
    <w:rsid w:val="00D533DC"/>
    <w:rsid w:val="00D5346A"/>
    <w:rsid w:val="00D534A6"/>
    <w:rsid w:val="00D53576"/>
    <w:rsid w:val="00D53682"/>
    <w:rsid w:val="00D5374E"/>
    <w:rsid w:val="00D53786"/>
    <w:rsid w:val="00D537A0"/>
    <w:rsid w:val="00D53820"/>
    <w:rsid w:val="00D538AF"/>
    <w:rsid w:val="00D539C6"/>
    <w:rsid w:val="00D53A47"/>
    <w:rsid w:val="00D53AF3"/>
    <w:rsid w:val="00D53B96"/>
    <w:rsid w:val="00D53BAA"/>
    <w:rsid w:val="00D53D65"/>
    <w:rsid w:val="00D53EE1"/>
    <w:rsid w:val="00D5401D"/>
    <w:rsid w:val="00D5403E"/>
    <w:rsid w:val="00D54044"/>
    <w:rsid w:val="00D54075"/>
    <w:rsid w:val="00D54095"/>
    <w:rsid w:val="00D54299"/>
    <w:rsid w:val="00D544F7"/>
    <w:rsid w:val="00D54505"/>
    <w:rsid w:val="00D5450A"/>
    <w:rsid w:val="00D54510"/>
    <w:rsid w:val="00D545A0"/>
    <w:rsid w:val="00D545A6"/>
    <w:rsid w:val="00D5462B"/>
    <w:rsid w:val="00D5462D"/>
    <w:rsid w:val="00D54716"/>
    <w:rsid w:val="00D547EC"/>
    <w:rsid w:val="00D548AA"/>
    <w:rsid w:val="00D5494E"/>
    <w:rsid w:val="00D54B68"/>
    <w:rsid w:val="00D54BBF"/>
    <w:rsid w:val="00D54BFB"/>
    <w:rsid w:val="00D54C59"/>
    <w:rsid w:val="00D54D9E"/>
    <w:rsid w:val="00D54EBA"/>
    <w:rsid w:val="00D54F1E"/>
    <w:rsid w:val="00D5507C"/>
    <w:rsid w:val="00D5517F"/>
    <w:rsid w:val="00D5535A"/>
    <w:rsid w:val="00D55368"/>
    <w:rsid w:val="00D554B9"/>
    <w:rsid w:val="00D5563E"/>
    <w:rsid w:val="00D55652"/>
    <w:rsid w:val="00D558E3"/>
    <w:rsid w:val="00D5596F"/>
    <w:rsid w:val="00D559A2"/>
    <w:rsid w:val="00D55A84"/>
    <w:rsid w:val="00D55D50"/>
    <w:rsid w:val="00D55E63"/>
    <w:rsid w:val="00D55EB4"/>
    <w:rsid w:val="00D55EC4"/>
    <w:rsid w:val="00D55F9B"/>
    <w:rsid w:val="00D55FAB"/>
    <w:rsid w:val="00D55FC7"/>
    <w:rsid w:val="00D56202"/>
    <w:rsid w:val="00D5624C"/>
    <w:rsid w:val="00D56259"/>
    <w:rsid w:val="00D56467"/>
    <w:rsid w:val="00D56611"/>
    <w:rsid w:val="00D566ED"/>
    <w:rsid w:val="00D56768"/>
    <w:rsid w:val="00D56788"/>
    <w:rsid w:val="00D567F6"/>
    <w:rsid w:val="00D56861"/>
    <w:rsid w:val="00D568C8"/>
    <w:rsid w:val="00D56977"/>
    <w:rsid w:val="00D5699D"/>
    <w:rsid w:val="00D56B80"/>
    <w:rsid w:val="00D56B9A"/>
    <w:rsid w:val="00D56BC2"/>
    <w:rsid w:val="00D56C05"/>
    <w:rsid w:val="00D56C8B"/>
    <w:rsid w:val="00D56D51"/>
    <w:rsid w:val="00D5700E"/>
    <w:rsid w:val="00D57018"/>
    <w:rsid w:val="00D57066"/>
    <w:rsid w:val="00D5708C"/>
    <w:rsid w:val="00D570A7"/>
    <w:rsid w:val="00D570B6"/>
    <w:rsid w:val="00D57151"/>
    <w:rsid w:val="00D57192"/>
    <w:rsid w:val="00D571ED"/>
    <w:rsid w:val="00D57277"/>
    <w:rsid w:val="00D57284"/>
    <w:rsid w:val="00D573A2"/>
    <w:rsid w:val="00D57448"/>
    <w:rsid w:val="00D57486"/>
    <w:rsid w:val="00D575C9"/>
    <w:rsid w:val="00D57696"/>
    <w:rsid w:val="00D578A4"/>
    <w:rsid w:val="00D57CC3"/>
    <w:rsid w:val="00D57D8E"/>
    <w:rsid w:val="00D57E56"/>
    <w:rsid w:val="00D57F0A"/>
    <w:rsid w:val="00D57F16"/>
    <w:rsid w:val="00D60005"/>
    <w:rsid w:val="00D60068"/>
    <w:rsid w:val="00D60097"/>
    <w:rsid w:val="00D601E9"/>
    <w:rsid w:val="00D60206"/>
    <w:rsid w:val="00D60227"/>
    <w:rsid w:val="00D60291"/>
    <w:rsid w:val="00D602DD"/>
    <w:rsid w:val="00D603FC"/>
    <w:rsid w:val="00D60402"/>
    <w:rsid w:val="00D605BC"/>
    <w:rsid w:val="00D606C0"/>
    <w:rsid w:val="00D60725"/>
    <w:rsid w:val="00D6080A"/>
    <w:rsid w:val="00D6080F"/>
    <w:rsid w:val="00D60828"/>
    <w:rsid w:val="00D608B0"/>
    <w:rsid w:val="00D6093E"/>
    <w:rsid w:val="00D60959"/>
    <w:rsid w:val="00D609D9"/>
    <w:rsid w:val="00D60A9F"/>
    <w:rsid w:val="00D60B15"/>
    <w:rsid w:val="00D60BA7"/>
    <w:rsid w:val="00D60BF7"/>
    <w:rsid w:val="00D60C24"/>
    <w:rsid w:val="00D61002"/>
    <w:rsid w:val="00D61154"/>
    <w:rsid w:val="00D611AA"/>
    <w:rsid w:val="00D613C6"/>
    <w:rsid w:val="00D61530"/>
    <w:rsid w:val="00D61543"/>
    <w:rsid w:val="00D616C0"/>
    <w:rsid w:val="00D6178A"/>
    <w:rsid w:val="00D61812"/>
    <w:rsid w:val="00D6188F"/>
    <w:rsid w:val="00D618AF"/>
    <w:rsid w:val="00D619A3"/>
    <w:rsid w:val="00D61AC1"/>
    <w:rsid w:val="00D61AF9"/>
    <w:rsid w:val="00D61C9A"/>
    <w:rsid w:val="00D61CE1"/>
    <w:rsid w:val="00D61D23"/>
    <w:rsid w:val="00D61F1B"/>
    <w:rsid w:val="00D61F53"/>
    <w:rsid w:val="00D620C4"/>
    <w:rsid w:val="00D622C5"/>
    <w:rsid w:val="00D62304"/>
    <w:rsid w:val="00D6230D"/>
    <w:rsid w:val="00D62382"/>
    <w:rsid w:val="00D623F2"/>
    <w:rsid w:val="00D62408"/>
    <w:rsid w:val="00D62426"/>
    <w:rsid w:val="00D624B2"/>
    <w:rsid w:val="00D62647"/>
    <w:rsid w:val="00D62802"/>
    <w:rsid w:val="00D62843"/>
    <w:rsid w:val="00D62964"/>
    <w:rsid w:val="00D62975"/>
    <w:rsid w:val="00D629B6"/>
    <w:rsid w:val="00D62A57"/>
    <w:rsid w:val="00D62B48"/>
    <w:rsid w:val="00D62C00"/>
    <w:rsid w:val="00D62C03"/>
    <w:rsid w:val="00D62C2C"/>
    <w:rsid w:val="00D62C7E"/>
    <w:rsid w:val="00D62E49"/>
    <w:rsid w:val="00D62EF5"/>
    <w:rsid w:val="00D62F29"/>
    <w:rsid w:val="00D62FA5"/>
    <w:rsid w:val="00D62FC7"/>
    <w:rsid w:val="00D631F4"/>
    <w:rsid w:val="00D6322D"/>
    <w:rsid w:val="00D6323A"/>
    <w:rsid w:val="00D632E0"/>
    <w:rsid w:val="00D63333"/>
    <w:rsid w:val="00D634D6"/>
    <w:rsid w:val="00D635AC"/>
    <w:rsid w:val="00D636EB"/>
    <w:rsid w:val="00D63787"/>
    <w:rsid w:val="00D6379D"/>
    <w:rsid w:val="00D637BD"/>
    <w:rsid w:val="00D63905"/>
    <w:rsid w:val="00D639DB"/>
    <w:rsid w:val="00D63A2A"/>
    <w:rsid w:val="00D63A3A"/>
    <w:rsid w:val="00D63A9D"/>
    <w:rsid w:val="00D63BE7"/>
    <w:rsid w:val="00D63CBD"/>
    <w:rsid w:val="00D63D2B"/>
    <w:rsid w:val="00D63D50"/>
    <w:rsid w:val="00D63DA8"/>
    <w:rsid w:val="00D63E73"/>
    <w:rsid w:val="00D63F58"/>
    <w:rsid w:val="00D6404F"/>
    <w:rsid w:val="00D64231"/>
    <w:rsid w:val="00D64424"/>
    <w:rsid w:val="00D644DA"/>
    <w:rsid w:val="00D644FF"/>
    <w:rsid w:val="00D64530"/>
    <w:rsid w:val="00D645D8"/>
    <w:rsid w:val="00D6460D"/>
    <w:rsid w:val="00D6474E"/>
    <w:rsid w:val="00D6477F"/>
    <w:rsid w:val="00D64832"/>
    <w:rsid w:val="00D64927"/>
    <w:rsid w:val="00D6499A"/>
    <w:rsid w:val="00D649DC"/>
    <w:rsid w:val="00D64B59"/>
    <w:rsid w:val="00D64BB5"/>
    <w:rsid w:val="00D64C18"/>
    <w:rsid w:val="00D64CBF"/>
    <w:rsid w:val="00D64D68"/>
    <w:rsid w:val="00D64E28"/>
    <w:rsid w:val="00D64E91"/>
    <w:rsid w:val="00D65085"/>
    <w:rsid w:val="00D65096"/>
    <w:rsid w:val="00D65209"/>
    <w:rsid w:val="00D6533C"/>
    <w:rsid w:val="00D65349"/>
    <w:rsid w:val="00D6539D"/>
    <w:rsid w:val="00D65480"/>
    <w:rsid w:val="00D65493"/>
    <w:rsid w:val="00D654DC"/>
    <w:rsid w:val="00D65619"/>
    <w:rsid w:val="00D658BA"/>
    <w:rsid w:val="00D658D3"/>
    <w:rsid w:val="00D65933"/>
    <w:rsid w:val="00D65AC8"/>
    <w:rsid w:val="00D65B08"/>
    <w:rsid w:val="00D65BF7"/>
    <w:rsid w:val="00D65C1A"/>
    <w:rsid w:val="00D65C78"/>
    <w:rsid w:val="00D65E33"/>
    <w:rsid w:val="00D65E6E"/>
    <w:rsid w:val="00D65EC7"/>
    <w:rsid w:val="00D65FC7"/>
    <w:rsid w:val="00D66031"/>
    <w:rsid w:val="00D6603C"/>
    <w:rsid w:val="00D660E5"/>
    <w:rsid w:val="00D66211"/>
    <w:rsid w:val="00D662CA"/>
    <w:rsid w:val="00D66310"/>
    <w:rsid w:val="00D6641B"/>
    <w:rsid w:val="00D66469"/>
    <w:rsid w:val="00D665A9"/>
    <w:rsid w:val="00D665CA"/>
    <w:rsid w:val="00D66700"/>
    <w:rsid w:val="00D6670F"/>
    <w:rsid w:val="00D66741"/>
    <w:rsid w:val="00D669CA"/>
    <w:rsid w:val="00D66AFA"/>
    <w:rsid w:val="00D66B45"/>
    <w:rsid w:val="00D66BF5"/>
    <w:rsid w:val="00D66CEE"/>
    <w:rsid w:val="00D66D1E"/>
    <w:rsid w:val="00D66D3F"/>
    <w:rsid w:val="00D66DFF"/>
    <w:rsid w:val="00D66EB0"/>
    <w:rsid w:val="00D66EE6"/>
    <w:rsid w:val="00D67139"/>
    <w:rsid w:val="00D67421"/>
    <w:rsid w:val="00D67443"/>
    <w:rsid w:val="00D67486"/>
    <w:rsid w:val="00D674C6"/>
    <w:rsid w:val="00D674E3"/>
    <w:rsid w:val="00D6755E"/>
    <w:rsid w:val="00D6757C"/>
    <w:rsid w:val="00D6778A"/>
    <w:rsid w:val="00D677CD"/>
    <w:rsid w:val="00D6798E"/>
    <w:rsid w:val="00D67A1C"/>
    <w:rsid w:val="00D67A4B"/>
    <w:rsid w:val="00D67B18"/>
    <w:rsid w:val="00D67B1D"/>
    <w:rsid w:val="00D67B4B"/>
    <w:rsid w:val="00D67BC3"/>
    <w:rsid w:val="00D67CA9"/>
    <w:rsid w:val="00D67CE4"/>
    <w:rsid w:val="00D67D0E"/>
    <w:rsid w:val="00D67D29"/>
    <w:rsid w:val="00D67D63"/>
    <w:rsid w:val="00D67D72"/>
    <w:rsid w:val="00D67DA8"/>
    <w:rsid w:val="00D67FA4"/>
    <w:rsid w:val="00D67FD5"/>
    <w:rsid w:val="00D70073"/>
    <w:rsid w:val="00D700C8"/>
    <w:rsid w:val="00D7014D"/>
    <w:rsid w:val="00D70242"/>
    <w:rsid w:val="00D70254"/>
    <w:rsid w:val="00D70481"/>
    <w:rsid w:val="00D70499"/>
    <w:rsid w:val="00D704C9"/>
    <w:rsid w:val="00D7057D"/>
    <w:rsid w:val="00D705C7"/>
    <w:rsid w:val="00D706D8"/>
    <w:rsid w:val="00D7074D"/>
    <w:rsid w:val="00D7075C"/>
    <w:rsid w:val="00D70763"/>
    <w:rsid w:val="00D7077D"/>
    <w:rsid w:val="00D707FE"/>
    <w:rsid w:val="00D708C3"/>
    <w:rsid w:val="00D708F3"/>
    <w:rsid w:val="00D708FA"/>
    <w:rsid w:val="00D70936"/>
    <w:rsid w:val="00D7098B"/>
    <w:rsid w:val="00D709A2"/>
    <w:rsid w:val="00D709D9"/>
    <w:rsid w:val="00D70ABD"/>
    <w:rsid w:val="00D70AF0"/>
    <w:rsid w:val="00D70B2E"/>
    <w:rsid w:val="00D70B6D"/>
    <w:rsid w:val="00D70B84"/>
    <w:rsid w:val="00D70C2C"/>
    <w:rsid w:val="00D70CD3"/>
    <w:rsid w:val="00D70EEB"/>
    <w:rsid w:val="00D70F43"/>
    <w:rsid w:val="00D7107A"/>
    <w:rsid w:val="00D711FD"/>
    <w:rsid w:val="00D71281"/>
    <w:rsid w:val="00D71293"/>
    <w:rsid w:val="00D71329"/>
    <w:rsid w:val="00D7138E"/>
    <w:rsid w:val="00D7152C"/>
    <w:rsid w:val="00D7157A"/>
    <w:rsid w:val="00D715E0"/>
    <w:rsid w:val="00D71755"/>
    <w:rsid w:val="00D717FE"/>
    <w:rsid w:val="00D7186B"/>
    <w:rsid w:val="00D718C6"/>
    <w:rsid w:val="00D718EA"/>
    <w:rsid w:val="00D71ACF"/>
    <w:rsid w:val="00D71C28"/>
    <w:rsid w:val="00D71D6A"/>
    <w:rsid w:val="00D71D78"/>
    <w:rsid w:val="00D71D7A"/>
    <w:rsid w:val="00D71D89"/>
    <w:rsid w:val="00D71D93"/>
    <w:rsid w:val="00D71E33"/>
    <w:rsid w:val="00D7208C"/>
    <w:rsid w:val="00D720DB"/>
    <w:rsid w:val="00D72140"/>
    <w:rsid w:val="00D72210"/>
    <w:rsid w:val="00D72251"/>
    <w:rsid w:val="00D7233F"/>
    <w:rsid w:val="00D72367"/>
    <w:rsid w:val="00D723C5"/>
    <w:rsid w:val="00D723FA"/>
    <w:rsid w:val="00D72441"/>
    <w:rsid w:val="00D72569"/>
    <w:rsid w:val="00D725BB"/>
    <w:rsid w:val="00D725E2"/>
    <w:rsid w:val="00D72625"/>
    <w:rsid w:val="00D7266A"/>
    <w:rsid w:val="00D72841"/>
    <w:rsid w:val="00D7284A"/>
    <w:rsid w:val="00D7285A"/>
    <w:rsid w:val="00D729AF"/>
    <w:rsid w:val="00D72A0D"/>
    <w:rsid w:val="00D72AF9"/>
    <w:rsid w:val="00D72BB7"/>
    <w:rsid w:val="00D72CFC"/>
    <w:rsid w:val="00D72D54"/>
    <w:rsid w:val="00D72D77"/>
    <w:rsid w:val="00D72DD1"/>
    <w:rsid w:val="00D72E25"/>
    <w:rsid w:val="00D72E5E"/>
    <w:rsid w:val="00D72F20"/>
    <w:rsid w:val="00D72F42"/>
    <w:rsid w:val="00D72FF5"/>
    <w:rsid w:val="00D73165"/>
    <w:rsid w:val="00D731A9"/>
    <w:rsid w:val="00D731B2"/>
    <w:rsid w:val="00D7324B"/>
    <w:rsid w:val="00D732A6"/>
    <w:rsid w:val="00D733D3"/>
    <w:rsid w:val="00D73417"/>
    <w:rsid w:val="00D73662"/>
    <w:rsid w:val="00D736DE"/>
    <w:rsid w:val="00D73762"/>
    <w:rsid w:val="00D73781"/>
    <w:rsid w:val="00D73939"/>
    <w:rsid w:val="00D7398F"/>
    <w:rsid w:val="00D73A39"/>
    <w:rsid w:val="00D73A3D"/>
    <w:rsid w:val="00D73AA0"/>
    <w:rsid w:val="00D73BD2"/>
    <w:rsid w:val="00D73C73"/>
    <w:rsid w:val="00D73C7F"/>
    <w:rsid w:val="00D73CC9"/>
    <w:rsid w:val="00D73D15"/>
    <w:rsid w:val="00D73E0D"/>
    <w:rsid w:val="00D73E9F"/>
    <w:rsid w:val="00D73F95"/>
    <w:rsid w:val="00D73FF6"/>
    <w:rsid w:val="00D74019"/>
    <w:rsid w:val="00D74065"/>
    <w:rsid w:val="00D74182"/>
    <w:rsid w:val="00D74188"/>
    <w:rsid w:val="00D741AC"/>
    <w:rsid w:val="00D7420D"/>
    <w:rsid w:val="00D7431B"/>
    <w:rsid w:val="00D74324"/>
    <w:rsid w:val="00D74577"/>
    <w:rsid w:val="00D74726"/>
    <w:rsid w:val="00D7474C"/>
    <w:rsid w:val="00D748E8"/>
    <w:rsid w:val="00D7498E"/>
    <w:rsid w:val="00D749DC"/>
    <w:rsid w:val="00D74A52"/>
    <w:rsid w:val="00D74A53"/>
    <w:rsid w:val="00D74AEF"/>
    <w:rsid w:val="00D74B42"/>
    <w:rsid w:val="00D74BF3"/>
    <w:rsid w:val="00D74C3B"/>
    <w:rsid w:val="00D74CA6"/>
    <w:rsid w:val="00D74D41"/>
    <w:rsid w:val="00D74DC3"/>
    <w:rsid w:val="00D74DF7"/>
    <w:rsid w:val="00D74F08"/>
    <w:rsid w:val="00D74F4D"/>
    <w:rsid w:val="00D74FFB"/>
    <w:rsid w:val="00D75271"/>
    <w:rsid w:val="00D752DD"/>
    <w:rsid w:val="00D75304"/>
    <w:rsid w:val="00D75321"/>
    <w:rsid w:val="00D7555C"/>
    <w:rsid w:val="00D755BC"/>
    <w:rsid w:val="00D755E8"/>
    <w:rsid w:val="00D7560C"/>
    <w:rsid w:val="00D75689"/>
    <w:rsid w:val="00D756E5"/>
    <w:rsid w:val="00D757B6"/>
    <w:rsid w:val="00D757D3"/>
    <w:rsid w:val="00D759D0"/>
    <w:rsid w:val="00D75A46"/>
    <w:rsid w:val="00D75AC0"/>
    <w:rsid w:val="00D75ACB"/>
    <w:rsid w:val="00D75B80"/>
    <w:rsid w:val="00D75F13"/>
    <w:rsid w:val="00D75F5C"/>
    <w:rsid w:val="00D760E0"/>
    <w:rsid w:val="00D760EA"/>
    <w:rsid w:val="00D76178"/>
    <w:rsid w:val="00D76186"/>
    <w:rsid w:val="00D7620D"/>
    <w:rsid w:val="00D7626A"/>
    <w:rsid w:val="00D763DC"/>
    <w:rsid w:val="00D7659F"/>
    <w:rsid w:val="00D76678"/>
    <w:rsid w:val="00D766C0"/>
    <w:rsid w:val="00D76751"/>
    <w:rsid w:val="00D767D3"/>
    <w:rsid w:val="00D767EB"/>
    <w:rsid w:val="00D769E4"/>
    <w:rsid w:val="00D769EA"/>
    <w:rsid w:val="00D76C28"/>
    <w:rsid w:val="00D76CC3"/>
    <w:rsid w:val="00D76E2C"/>
    <w:rsid w:val="00D76EEB"/>
    <w:rsid w:val="00D770B4"/>
    <w:rsid w:val="00D770FD"/>
    <w:rsid w:val="00D771ED"/>
    <w:rsid w:val="00D7724A"/>
    <w:rsid w:val="00D77336"/>
    <w:rsid w:val="00D7742B"/>
    <w:rsid w:val="00D77459"/>
    <w:rsid w:val="00D77550"/>
    <w:rsid w:val="00D77681"/>
    <w:rsid w:val="00D77795"/>
    <w:rsid w:val="00D779E5"/>
    <w:rsid w:val="00D77BA3"/>
    <w:rsid w:val="00D77BC7"/>
    <w:rsid w:val="00D77D6D"/>
    <w:rsid w:val="00D77F51"/>
    <w:rsid w:val="00D80003"/>
    <w:rsid w:val="00D8001F"/>
    <w:rsid w:val="00D800FC"/>
    <w:rsid w:val="00D8034B"/>
    <w:rsid w:val="00D8036F"/>
    <w:rsid w:val="00D8046F"/>
    <w:rsid w:val="00D8047E"/>
    <w:rsid w:val="00D804BB"/>
    <w:rsid w:val="00D80500"/>
    <w:rsid w:val="00D806F3"/>
    <w:rsid w:val="00D80837"/>
    <w:rsid w:val="00D8083D"/>
    <w:rsid w:val="00D80884"/>
    <w:rsid w:val="00D808A7"/>
    <w:rsid w:val="00D80A1A"/>
    <w:rsid w:val="00D80A90"/>
    <w:rsid w:val="00D80AD0"/>
    <w:rsid w:val="00D80BBB"/>
    <w:rsid w:val="00D80BC9"/>
    <w:rsid w:val="00D80C0D"/>
    <w:rsid w:val="00D80C18"/>
    <w:rsid w:val="00D80DB5"/>
    <w:rsid w:val="00D80DF8"/>
    <w:rsid w:val="00D80E16"/>
    <w:rsid w:val="00D81023"/>
    <w:rsid w:val="00D81072"/>
    <w:rsid w:val="00D810B3"/>
    <w:rsid w:val="00D81104"/>
    <w:rsid w:val="00D8114E"/>
    <w:rsid w:val="00D81361"/>
    <w:rsid w:val="00D81377"/>
    <w:rsid w:val="00D813B8"/>
    <w:rsid w:val="00D814E5"/>
    <w:rsid w:val="00D8150D"/>
    <w:rsid w:val="00D81557"/>
    <w:rsid w:val="00D81704"/>
    <w:rsid w:val="00D81738"/>
    <w:rsid w:val="00D8175D"/>
    <w:rsid w:val="00D817C5"/>
    <w:rsid w:val="00D818C8"/>
    <w:rsid w:val="00D819CD"/>
    <w:rsid w:val="00D81A27"/>
    <w:rsid w:val="00D81A3A"/>
    <w:rsid w:val="00D81A4C"/>
    <w:rsid w:val="00D81E12"/>
    <w:rsid w:val="00D81F65"/>
    <w:rsid w:val="00D81FA6"/>
    <w:rsid w:val="00D82028"/>
    <w:rsid w:val="00D82052"/>
    <w:rsid w:val="00D820C5"/>
    <w:rsid w:val="00D820E8"/>
    <w:rsid w:val="00D821AF"/>
    <w:rsid w:val="00D821C9"/>
    <w:rsid w:val="00D822C4"/>
    <w:rsid w:val="00D8230E"/>
    <w:rsid w:val="00D8242B"/>
    <w:rsid w:val="00D82498"/>
    <w:rsid w:val="00D824C6"/>
    <w:rsid w:val="00D82545"/>
    <w:rsid w:val="00D8265B"/>
    <w:rsid w:val="00D8266E"/>
    <w:rsid w:val="00D82835"/>
    <w:rsid w:val="00D8284C"/>
    <w:rsid w:val="00D8286E"/>
    <w:rsid w:val="00D82A7C"/>
    <w:rsid w:val="00D82BFA"/>
    <w:rsid w:val="00D82C1C"/>
    <w:rsid w:val="00D82C2B"/>
    <w:rsid w:val="00D82C92"/>
    <w:rsid w:val="00D82CD0"/>
    <w:rsid w:val="00D82D0A"/>
    <w:rsid w:val="00D82D36"/>
    <w:rsid w:val="00D82D9E"/>
    <w:rsid w:val="00D82E51"/>
    <w:rsid w:val="00D82E88"/>
    <w:rsid w:val="00D82F76"/>
    <w:rsid w:val="00D83056"/>
    <w:rsid w:val="00D83175"/>
    <w:rsid w:val="00D833FC"/>
    <w:rsid w:val="00D834C3"/>
    <w:rsid w:val="00D835B8"/>
    <w:rsid w:val="00D835C7"/>
    <w:rsid w:val="00D836B4"/>
    <w:rsid w:val="00D836BC"/>
    <w:rsid w:val="00D8373A"/>
    <w:rsid w:val="00D83775"/>
    <w:rsid w:val="00D838CA"/>
    <w:rsid w:val="00D838DE"/>
    <w:rsid w:val="00D838EC"/>
    <w:rsid w:val="00D8392B"/>
    <w:rsid w:val="00D8397D"/>
    <w:rsid w:val="00D83A69"/>
    <w:rsid w:val="00D83AB3"/>
    <w:rsid w:val="00D83C17"/>
    <w:rsid w:val="00D83C26"/>
    <w:rsid w:val="00D83DC2"/>
    <w:rsid w:val="00D83F41"/>
    <w:rsid w:val="00D84163"/>
    <w:rsid w:val="00D841E8"/>
    <w:rsid w:val="00D84226"/>
    <w:rsid w:val="00D84395"/>
    <w:rsid w:val="00D843A2"/>
    <w:rsid w:val="00D843DE"/>
    <w:rsid w:val="00D844EE"/>
    <w:rsid w:val="00D845A8"/>
    <w:rsid w:val="00D845C0"/>
    <w:rsid w:val="00D845F9"/>
    <w:rsid w:val="00D8469A"/>
    <w:rsid w:val="00D8472F"/>
    <w:rsid w:val="00D84821"/>
    <w:rsid w:val="00D8492E"/>
    <w:rsid w:val="00D84A21"/>
    <w:rsid w:val="00D84AAA"/>
    <w:rsid w:val="00D84AD9"/>
    <w:rsid w:val="00D84B7C"/>
    <w:rsid w:val="00D84BA8"/>
    <w:rsid w:val="00D84BAA"/>
    <w:rsid w:val="00D84C1B"/>
    <w:rsid w:val="00D84C39"/>
    <w:rsid w:val="00D84C9C"/>
    <w:rsid w:val="00D84D32"/>
    <w:rsid w:val="00D84D7B"/>
    <w:rsid w:val="00D84D9C"/>
    <w:rsid w:val="00D84DCF"/>
    <w:rsid w:val="00D84EFF"/>
    <w:rsid w:val="00D84F8C"/>
    <w:rsid w:val="00D84F90"/>
    <w:rsid w:val="00D850A1"/>
    <w:rsid w:val="00D850D9"/>
    <w:rsid w:val="00D85221"/>
    <w:rsid w:val="00D8522D"/>
    <w:rsid w:val="00D85245"/>
    <w:rsid w:val="00D85249"/>
    <w:rsid w:val="00D853BF"/>
    <w:rsid w:val="00D853EA"/>
    <w:rsid w:val="00D85451"/>
    <w:rsid w:val="00D8546A"/>
    <w:rsid w:val="00D8554A"/>
    <w:rsid w:val="00D855BE"/>
    <w:rsid w:val="00D855C0"/>
    <w:rsid w:val="00D8560B"/>
    <w:rsid w:val="00D85661"/>
    <w:rsid w:val="00D85675"/>
    <w:rsid w:val="00D856A4"/>
    <w:rsid w:val="00D85739"/>
    <w:rsid w:val="00D857C3"/>
    <w:rsid w:val="00D85807"/>
    <w:rsid w:val="00D8582B"/>
    <w:rsid w:val="00D859FA"/>
    <w:rsid w:val="00D85AB7"/>
    <w:rsid w:val="00D85B68"/>
    <w:rsid w:val="00D85BB0"/>
    <w:rsid w:val="00D85C4E"/>
    <w:rsid w:val="00D85CE6"/>
    <w:rsid w:val="00D85D16"/>
    <w:rsid w:val="00D85D22"/>
    <w:rsid w:val="00D85F27"/>
    <w:rsid w:val="00D8611A"/>
    <w:rsid w:val="00D8615E"/>
    <w:rsid w:val="00D86160"/>
    <w:rsid w:val="00D861D6"/>
    <w:rsid w:val="00D862BD"/>
    <w:rsid w:val="00D86338"/>
    <w:rsid w:val="00D863FD"/>
    <w:rsid w:val="00D8641C"/>
    <w:rsid w:val="00D864BD"/>
    <w:rsid w:val="00D864F0"/>
    <w:rsid w:val="00D8653D"/>
    <w:rsid w:val="00D865C7"/>
    <w:rsid w:val="00D865FB"/>
    <w:rsid w:val="00D8662E"/>
    <w:rsid w:val="00D866EF"/>
    <w:rsid w:val="00D86700"/>
    <w:rsid w:val="00D86756"/>
    <w:rsid w:val="00D867D2"/>
    <w:rsid w:val="00D868B9"/>
    <w:rsid w:val="00D8692E"/>
    <w:rsid w:val="00D869C4"/>
    <w:rsid w:val="00D869F9"/>
    <w:rsid w:val="00D86A5D"/>
    <w:rsid w:val="00D86ACC"/>
    <w:rsid w:val="00D86B83"/>
    <w:rsid w:val="00D86C62"/>
    <w:rsid w:val="00D86D8F"/>
    <w:rsid w:val="00D86E33"/>
    <w:rsid w:val="00D86ED3"/>
    <w:rsid w:val="00D86F12"/>
    <w:rsid w:val="00D86F21"/>
    <w:rsid w:val="00D87162"/>
    <w:rsid w:val="00D87189"/>
    <w:rsid w:val="00D871B4"/>
    <w:rsid w:val="00D8720F"/>
    <w:rsid w:val="00D8735E"/>
    <w:rsid w:val="00D87364"/>
    <w:rsid w:val="00D87411"/>
    <w:rsid w:val="00D87496"/>
    <w:rsid w:val="00D874AB"/>
    <w:rsid w:val="00D8750E"/>
    <w:rsid w:val="00D8751F"/>
    <w:rsid w:val="00D8753E"/>
    <w:rsid w:val="00D875BF"/>
    <w:rsid w:val="00D87742"/>
    <w:rsid w:val="00D87769"/>
    <w:rsid w:val="00D877FD"/>
    <w:rsid w:val="00D87853"/>
    <w:rsid w:val="00D8788B"/>
    <w:rsid w:val="00D878BE"/>
    <w:rsid w:val="00D879D2"/>
    <w:rsid w:val="00D87C0E"/>
    <w:rsid w:val="00D87C69"/>
    <w:rsid w:val="00D87DE3"/>
    <w:rsid w:val="00D87E09"/>
    <w:rsid w:val="00D87E96"/>
    <w:rsid w:val="00D87F50"/>
    <w:rsid w:val="00D87FB0"/>
    <w:rsid w:val="00D90018"/>
    <w:rsid w:val="00D90164"/>
    <w:rsid w:val="00D9020C"/>
    <w:rsid w:val="00D9023D"/>
    <w:rsid w:val="00D90284"/>
    <w:rsid w:val="00D90425"/>
    <w:rsid w:val="00D9049C"/>
    <w:rsid w:val="00D904CF"/>
    <w:rsid w:val="00D904EE"/>
    <w:rsid w:val="00D9050B"/>
    <w:rsid w:val="00D9051F"/>
    <w:rsid w:val="00D90584"/>
    <w:rsid w:val="00D905A1"/>
    <w:rsid w:val="00D90664"/>
    <w:rsid w:val="00D906A2"/>
    <w:rsid w:val="00D906AB"/>
    <w:rsid w:val="00D906E2"/>
    <w:rsid w:val="00D90737"/>
    <w:rsid w:val="00D90740"/>
    <w:rsid w:val="00D90787"/>
    <w:rsid w:val="00D907E0"/>
    <w:rsid w:val="00D909FC"/>
    <w:rsid w:val="00D90AB0"/>
    <w:rsid w:val="00D90C03"/>
    <w:rsid w:val="00D90D13"/>
    <w:rsid w:val="00D90D5A"/>
    <w:rsid w:val="00D90F02"/>
    <w:rsid w:val="00D90F55"/>
    <w:rsid w:val="00D90F76"/>
    <w:rsid w:val="00D91286"/>
    <w:rsid w:val="00D9140F"/>
    <w:rsid w:val="00D914A6"/>
    <w:rsid w:val="00D914FD"/>
    <w:rsid w:val="00D91519"/>
    <w:rsid w:val="00D9152A"/>
    <w:rsid w:val="00D91534"/>
    <w:rsid w:val="00D915AE"/>
    <w:rsid w:val="00D91822"/>
    <w:rsid w:val="00D91873"/>
    <w:rsid w:val="00D919C7"/>
    <w:rsid w:val="00D91A19"/>
    <w:rsid w:val="00D91A6E"/>
    <w:rsid w:val="00D91B89"/>
    <w:rsid w:val="00D91D89"/>
    <w:rsid w:val="00D91F15"/>
    <w:rsid w:val="00D91FBA"/>
    <w:rsid w:val="00D91FC4"/>
    <w:rsid w:val="00D920A1"/>
    <w:rsid w:val="00D920C8"/>
    <w:rsid w:val="00D92154"/>
    <w:rsid w:val="00D9216C"/>
    <w:rsid w:val="00D9216D"/>
    <w:rsid w:val="00D921FF"/>
    <w:rsid w:val="00D9231C"/>
    <w:rsid w:val="00D92409"/>
    <w:rsid w:val="00D9240E"/>
    <w:rsid w:val="00D92498"/>
    <w:rsid w:val="00D9249C"/>
    <w:rsid w:val="00D92528"/>
    <w:rsid w:val="00D92545"/>
    <w:rsid w:val="00D9271F"/>
    <w:rsid w:val="00D92806"/>
    <w:rsid w:val="00D9288D"/>
    <w:rsid w:val="00D92923"/>
    <w:rsid w:val="00D929DA"/>
    <w:rsid w:val="00D929E3"/>
    <w:rsid w:val="00D92A0E"/>
    <w:rsid w:val="00D92C11"/>
    <w:rsid w:val="00D92C78"/>
    <w:rsid w:val="00D92C90"/>
    <w:rsid w:val="00D92CB0"/>
    <w:rsid w:val="00D92CBC"/>
    <w:rsid w:val="00D92D29"/>
    <w:rsid w:val="00D92D69"/>
    <w:rsid w:val="00D92DAB"/>
    <w:rsid w:val="00D92FFA"/>
    <w:rsid w:val="00D931D3"/>
    <w:rsid w:val="00D93220"/>
    <w:rsid w:val="00D93308"/>
    <w:rsid w:val="00D93572"/>
    <w:rsid w:val="00D93593"/>
    <w:rsid w:val="00D935B8"/>
    <w:rsid w:val="00D93686"/>
    <w:rsid w:val="00D936DB"/>
    <w:rsid w:val="00D93748"/>
    <w:rsid w:val="00D93761"/>
    <w:rsid w:val="00D9381B"/>
    <w:rsid w:val="00D93857"/>
    <w:rsid w:val="00D938D6"/>
    <w:rsid w:val="00D93975"/>
    <w:rsid w:val="00D939AD"/>
    <w:rsid w:val="00D93A03"/>
    <w:rsid w:val="00D93A6A"/>
    <w:rsid w:val="00D93D1E"/>
    <w:rsid w:val="00D93DAF"/>
    <w:rsid w:val="00D940E6"/>
    <w:rsid w:val="00D94156"/>
    <w:rsid w:val="00D94286"/>
    <w:rsid w:val="00D94337"/>
    <w:rsid w:val="00D944B3"/>
    <w:rsid w:val="00D9458C"/>
    <w:rsid w:val="00D945A4"/>
    <w:rsid w:val="00D9464C"/>
    <w:rsid w:val="00D946B7"/>
    <w:rsid w:val="00D94703"/>
    <w:rsid w:val="00D9472B"/>
    <w:rsid w:val="00D94767"/>
    <w:rsid w:val="00D9479B"/>
    <w:rsid w:val="00D947F8"/>
    <w:rsid w:val="00D94941"/>
    <w:rsid w:val="00D949DE"/>
    <w:rsid w:val="00D94A18"/>
    <w:rsid w:val="00D94A43"/>
    <w:rsid w:val="00D94AA1"/>
    <w:rsid w:val="00D94B54"/>
    <w:rsid w:val="00D94BDC"/>
    <w:rsid w:val="00D94C0A"/>
    <w:rsid w:val="00D94C55"/>
    <w:rsid w:val="00D94D26"/>
    <w:rsid w:val="00D94D93"/>
    <w:rsid w:val="00D94D94"/>
    <w:rsid w:val="00D94E8F"/>
    <w:rsid w:val="00D94FA4"/>
    <w:rsid w:val="00D95072"/>
    <w:rsid w:val="00D950A0"/>
    <w:rsid w:val="00D952E4"/>
    <w:rsid w:val="00D9546D"/>
    <w:rsid w:val="00D954AC"/>
    <w:rsid w:val="00D955AB"/>
    <w:rsid w:val="00D955C8"/>
    <w:rsid w:val="00D9564D"/>
    <w:rsid w:val="00D95676"/>
    <w:rsid w:val="00D95784"/>
    <w:rsid w:val="00D9587E"/>
    <w:rsid w:val="00D958E6"/>
    <w:rsid w:val="00D959C3"/>
    <w:rsid w:val="00D95A7F"/>
    <w:rsid w:val="00D95B2A"/>
    <w:rsid w:val="00D95B6B"/>
    <w:rsid w:val="00D95C17"/>
    <w:rsid w:val="00D95DD7"/>
    <w:rsid w:val="00D95FFE"/>
    <w:rsid w:val="00D96094"/>
    <w:rsid w:val="00D96244"/>
    <w:rsid w:val="00D962C9"/>
    <w:rsid w:val="00D962E7"/>
    <w:rsid w:val="00D96318"/>
    <w:rsid w:val="00D96328"/>
    <w:rsid w:val="00D96348"/>
    <w:rsid w:val="00D963E8"/>
    <w:rsid w:val="00D96490"/>
    <w:rsid w:val="00D9674C"/>
    <w:rsid w:val="00D967AE"/>
    <w:rsid w:val="00D96804"/>
    <w:rsid w:val="00D968C4"/>
    <w:rsid w:val="00D96B22"/>
    <w:rsid w:val="00D96C45"/>
    <w:rsid w:val="00D96D36"/>
    <w:rsid w:val="00D96D6E"/>
    <w:rsid w:val="00D96EAD"/>
    <w:rsid w:val="00D96F51"/>
    <w:rsid w:val="00D9704B"/>
    <w:rsid w:val="00D970EF"/>
    <w:rsid w:val="00D970F4"/>
    <w:rsid w:val="00D97119"/>
    <w:rsid w:val="00D97137"/>
    <w:rsid w:val="00D97199"/>
    <w:rsid w:val="00D974D8"/>
    <w:rsid w:val="00D97589"/>
    <w:rsid w:val="00D975A2"/>
    <w:rsid w:val="00D975DA"/>
    <w:rsid w:val="00D97696"/>
    <w:rsid w:val="00D976FB"/>
    <w:rsid w:val="00D977D1"/>
    <w:rsid w:val="00D97807"/>
    <w:rsid w:val="00D97864"/>
    <w:rsid w:val="00D978D9"/>
    <w:rsid w:val="00D97928"/>
    <w:rsid w:val="00D9794C"/>
    <w:rsid w:val="00D97A79"/>
    <w:rsid w:val="00D97AE1"/>
    <w:rsid w:val="00D97C0C"/>
    <w:rsid w:val="00D97C86"/>
    <w:rsid w:val="00D97DA6"/>
    <w:rsid w:val="00D97EED"/>
    <w:rsid w:val="00D97F01"/>
    <w:rsid w:val="00D97F0D"/>
    <w:rsid w:val="00DA0007"/>
    <w:rsid w:val="00DA0055"/>
    <w:rsid w:val="00DA017E"/>
    <w:rsid w:val="00DA0236"/>
    <w:rsid w:val="00DA02B7"/>
    <w:rsid w:val="00DA02EA"/>
    <w:rsid w:val="00DA036E"/>
    <w:rsid w:val="00DA0387"/>
    <w:rsid w:val="00DA0457"/>
    <w:rsid w:val="00DA04AA"/>
    <w:rsid w:val="00DA04D4"/>
    <w:rsid w:val="00DA0593"/>
    <w:rsid w:val="00DA068C"/>
    <w:rsid w:val="00DA06CF"/>
    <w:rsid w:val="00DA0778"/>
    <w:rsid w:val="00DA08B9"/>
    <w:rsid w:val="00DA0937"/>
    <w:rsid w:val="00DA0941"/>
    <w:rsid w:val="00DA09F9"/>
    <w:rsid w:val="00DA0B04"/>
    <w:rsid w:val="00DA0B76"/>
    <w:rsid w:val="00DA0D53"/>
    <w:rsid w:val="00DA0DFA"/>
    <w:rsid w:val="00DA0E20"/>
    <w:rsid w:val="00DA0E33"/>
    <w:rsid w:val="00DA0F33"/>
    <w:rsid w:val="00DA0FE1"/>
    <w:rsid w:val="00DA106B"/>
    <w:rsid w:val="00DA10B9"/>
    <w:rsid w:val="00DA13B8"/>
    <w:rsid w:val="00DA149D"/>
    <w:rsid w:val="00DA14B5"/>
    <w:rsid w:val="00DA14DD"/>
    <w:rsid w:val="00DA1685"/>
    <w:rsid w:val="00DA1769"/>
    <w:rsid w:val="00DA1916"/>
    <w:rsid w:val="00DA198B"/>
    <w:rsid w:val="00DA19D7"/>
    <w:rsid w:val="00DA1A1A"/>
    <w:rsid w:val="00DA1A55"/>
    <w:rsid w:val="00DA1A5B"/>
    <w:rsid w:val="00DA1A86"/>
    <w:rsid w:val="00DA1C31"/>
    <w:rsid w:val="00DA1C75"/>
    <w:rsid w:val="00DA1D33"/>
    <w:rsid w:val="00DA1D98"/>
    <w:rsid w:val="00DA1E1E"/>
    <w:rsid w:val="00DA1E48"/>
    <w:rsid w:val="00DA1F3D"/>
    <w:rsid w:val="00DA2038"/>
    <w:rsid w:val="00DA207D"/>
    <w:rsid w:val="00DA20C9"/>
    <w:rsid w:val="00DA21F3"/>
    <w:rsid w:val="00DA223C"/>
    <w:rsid w:val="00DA237B"/>
    <w:rsid w:val="00DA2561"/>
    <w:rsid w:val="00DA2589"/>
    <w:rsid w:val="00DA2693"/>
    <w:rsid w:val="00DA284A"/>
    <w:rsid w:val="00DA2A10"/>
    <w:rsid w:val="00DA2AFF"/>
    <w:rsid w:val="00DA2C5E"/>
    <w:rsid w:val="00DA2DA3"/>
    <w:rsid w:val="00DA2EE3"/>
    <w:rsid w:val="00DA2FD4"/>
    <w:rsid w:val="00DA310F"/>
    <w:rsid w:val="00DA3160"/>
    <w:rsid w:val="00DA318C"/>
    <w:rsid w:val="00DA31CC"/>
    <w:rsid w:val="00DA31FA"/>
    <w:rsid w:val="00DA321B"/>
    <w:rsid w:val="00DA3265"/>
    <w:rsid w:val="00DA32D4"/>
    <w:rsid w:val="00DA32D8"/>
    <w:rsid w:val="00DA3353"/>
    <w:rsid w:val="00DA3373"/>
    <w:rsid w:val="00DA34AE"/>
    <w:rsid w:val="00DA34DE"/>
    <w:rsid w:val="00DA35FB"/>
    <w:rsid w:val="00DA3678"/>
    <w:rsid w:val="00DA36FD"/>
    <w:rsid w:val="00DA393F"/>
    <w:rsid w:val="00DA396B"/>
    <w:rsid w:val="00DA3A5B"/>
    <w:rsid w:val="00DA3AE9"/>
    <w:rsid w:val="00DA3AEE"/>
    <w:rsid w:val="00DA3B8B"/>
    <w:rsid w:val="00DA3B92"/>
    <w:rsid w:val="00DA3C26"/>
    <w:rsid w:val="00DA3C9F"/>
    <w:rsid w:val="00DA3D30"/>
    <w:rsid w:val="00DA3D67"/>
    <w:rsid w:val="00DA3DAA"/>
    <w:rsid w:val="00DA3DAC"/>
    <w:rsid w:val="00DA3E14"/>
    <w:rsid w:val="00DA3E19"/>
    <w:rsid w:val="00DA3F10"/>
    <w:rsid w:val="00DA3F90"/>
    <w:rsid w:val="00DA3F9A"/>
    <w:rsid w:val="00DA3FD7"/>
    <w:rsid w:val="00DA3FE2"/>
    <w:rsid w:val="00DA3FF9"/>
    <w:rsid w:val="00DA4090"/>
    <w:rsid w:val="00DA41CA"/>
    <w:rsid w:val="00DA4232"/>
    <w:rsid w:val="00DA4234"/>
    <w:rsid w:val="00DA427D"/>
    <w:rsid w:val="00DA4283"/>
    <w:rsid w:val="00DA436A"/>
    <w:rsid w:val="00DA4395"/>
    <w:rsid w:val="00DA450F"/>
    <w:rsid w:val="00DA46A5"/>
    <w:rsid w:val="00DA46F7"/>
    <w:rsid w:val="00DA4710"/>
    <w:rsid w:val="00DA4744"/>
    <w:rsid w:val="00DA4768"/>
    <w:rsid w:val="00DA47E7"/>
    <w:rsid w:val="00DA4860"/>
    <w:rsid w:val="00DA4985"/>
    <w:rsid w:val="00DA4E11"/>
    <w:rsid w:val="00DA4F3C"/>
    <w:rsid w:val="00DA4F81"/>
    <w:rsid w:val="00DA4FCD"/>
    <w:rsid w:val="00DA5099"/>
    <w:rsid w:val="00DA50C9"/>
    <w:rsid w:val="00DA51CF"/>
    <w:rsid w:val="00DA547A"/>
    <w:rsid w:val="00DA5546"/>
    <w:rsid w:val="00DA55FD"/>
    <w:rsid w:val="00DA5638"/>
    <w:rsid w:val="00DA56B2"/>
    <w:rsid w:val="00DA572B"/>
    <w:rsid w:val="00DA57A7"/>
    <w:rsid w:val="00DA57EE"/>
    <w:rsid w:val="00DA5849"/>
    <w:rsid w:val="00DA5A03"/>
    <w:rsid w:val="00DA5B38"/>
    <w:rsid w:val="00DA5B77"/>
    <w:rsid w:val="00DA5CD2"/>
    <w:rsid w:val="00DA5D9D"/>
    <w:rsid w:val="00DA5E40"/>
    <w:rsid w:val="00DA5F20"/>
    <w:rsid w:val="00DA5F6D"/>
    <w:rsid w:val="00DA5FDB"/>
    <w:rsid w:val="00DA6082"/>
    <w:rsid w:val="00DA6088"/>
    <w:rsid w:val="00DA619D"/>
    <w:rsid w:val="00DA6227"/>
    <w:rsid w:val="00DA62A4"/>
    <w:rsid w:val="00DA62CA"/>
    <w:rsid w:val="00DA63E3"/>
    <w:rsid w:val="00DA63F4"/>
    <w:rsid w:val="00DA66A4"/>
    <w:rsid w:val="00DA66A5"/>
    <w:rsid w:val="00DA6799"/>
    <w:rsid w:val="00DA67D1"/>
    <w:rsid w:val="00DA69F1"/>
    <w:rsid w:val="00DA6A78"/>
    <w:rsid w:val="00DA6A92"/>
    <w:rsid w:val="00DA6AB9"/>
    <w:rsid w:val="00DA6B29"/>
    <w:rsid w:val="00DA6B43"/>
    <w:rsid w:val="00DA6B48"/>
    <w:rsid w:val="00DA6BC4"/>
    <w:rsid w:val="00DA6D15"/>
    <w:rsid w:val="00DA6E9C"/>
    <w:rsid w:val="00DA6F16"/>
    <w:rsid w:val="00DA6F3E"/>
    <w:rsid w:val="00DA6F48"/>
    <w:rsid w:val="00DA71E4"/>
    <w:rsid w:val="00DA7296"/>
    <w:rsid w:val="00DA7362"/>
    <w:rsid w:val="00DA7368"/>
    <w:rsid w:val="00DA755E"/>
    <w:rsid w:val="00DA756D"/>
    <w:rsid w:val="00DA7694"/>
    <w:rsid w:val="00DA76C4"/>
    <w:rsid w:val="00DA7744"/>
    <w:rsid w:val="00DA7755"/>
    <w:rsid w:val="00DA7767"/>
    <w:rsid w:val="00DA7894"/>
    <w:rsid w:val="00DA79D6"/>
    <w:rsid w:val="00DA7A0F"/>
    <w:rsid w:val="00DA7A51"/>
    <w:rsid w:val="00DA7AFB"/>
    <w:rsid w:val="00DA7B37"/>
    <w:rsid w:val="00DA7B40"/>
    <w:rsid w:val="00DA7B86"/>
    <w:rsid w:val="00DA7BDA"/>
    <w:rsid w:val="00DA7CFB"/>
    <w:rsid w:val="00DA7DFE"/>
    <w:rsid w:val="00DA7E37"/>
    <w:rsid w:val="00DA7E66"/>
    <w:rsid w:val="00DA7E73"/>
    <w:rsid w:val="00DA7F6F"/>
    <w:rsid w:val="00DA7FA4"/>
    <w:rsid w:val="00DA7FC9"/>
    <w:rsid w:val="00DB0108"/>
    <w:rsid w:val="00DB0128"/>
    <w:rsid w:val="00DB0296"/>
    <w:rsid w:val="00DB0322"/>
    <w:rsid w:val="00DB0334"/>
    <w:rsid w:val="00DB0519"/>
    <w:rsid w:val="00DB0784"/>
    <w:rsid w:val="00DB07AF"/>
    <w:rsid w:val="00DB08E8"/>
    <w:rsid w:val="00DB0943"/>
    <w:rsid w:val="00DB0978"/>
    <w:rsid w:val="00DB0A80"/>
    <w:rsid w:val="00DB0BB9"/>
    <w:rsid w:val="00DB0C67"/>
    <w:rsid w:val="00DB0D84"/>
    <w:rsid w:val="00DB0D95"/>
    <w:rsid w:val="00DB0FE5"/>
    <w:rsid w:val="00DB1023"/>
    <w:rsid w:val="00DB106A"/>
    <w:rsid w:val="00DB114E"/>
    <w:rsid w:val="00DB1161"/>
    <w:rsid w:val="00DB135F"/>
    <w:rsid w:val="00DB136F"/>
    <w:rsid w:val="00DB1374"/>
    <w:rsid w:val="00DB1638"/>
    <w:rsid w:val="00DB16C6"/>
    <w:rsid w:val="00DB1735"/>
    <w:rsid w:val="00DB1738"/>
    <w:rsid w:val="00DB1822"/>
    <w:rsid w:val="00DB1853"/>
    <w:rsid w:val="00DB1902"/>
    <w:rsid w:val="00DB1A58"/>
    <w:rsid w:val="00DB1B28"/>
    <w:rsid w:val="00DB1B6F"/>
    <w:rsid w:val="00DB1C13"/>
    <w:rsid w:val="00DB1C3A"/>
    <w:rsid w:val="00DB1C83"/>
    <w:rsid w:val="00DB1C88"/>
    <w:rsid w:val="00DB1CC7"/>
    <w:rsid w:val="00DB1D16"/>
    <w:rsid w:val="00DB1D29"/>
    <w:rsid w:val="00DB1E03"/>
    <w:rsid w:val="00DB1F05"/>
    <w:rsid w:val="00DB1FA2"/>
    <w:rsid w:val="00DB2001"/>
    <w:rsid w:val="00DB208A"/>
    <w:rsid w:val="00DB20D9"/>
    <w:rsid w:val="00DB2190"/>
    <w:rsid w:val="00DB21F5"/>
    <w:rsid w:val="00DB2580"/>
    <w:rsid w:val="00DB26E2"/>
    <w:rsid w:val="00DB26F4"/>
    <w:rsid w:val="00DB282E"/>
    <w:rsid w:val="00DB29E3"/>
    <w:rsid w:val="00DB2A6E"/>
    <w:rsid w:val="00DB2B3E"/>
    <w:rsid w:val="00DB2C35"/>
    <w:rsid w:val="00DB2C45"/>
    <w:rsid w:val="00DB2C7C"/>
    <w:rsid w:val="00DB2C9D"/>
    <w:rsid w:val="00DB2DE4"/>
    <w:rsid w:val="00DB2EC8"/>
    <w:rsid w:val="00DB2EE8"/>
    <w:rsid w:val="00DB2F68"/>
    <w:rsid w:val="00DB2FE2"/>
    <w:rsid w:val="00DB2FF8"/>
    <w:rsid w:val="00DB3010"/>
    <w:rsid w:val="00DB3060"/>
    <w:rsid w:val="00DB3187"/>
    <w:rsid w:val="00DB31F3"/>
    <w:rsid w:val="00DB321E"/>
    <w:rsid w:val="00DB322A"/>
    <w:rsid w:val="00DB3334"/>
    <w:rsid w:val="00DB336B"/>
    <w:rsid w:val="00DB33B8"/>
    <w:rsid w:val="00DB34AA"/>
    <w:rsid w:val="00DB3528"/>
    <w:rsid w:val="00DB35E4"/>
    <w:rsid w:val="00DB36A7"/>
    <w:rsid w:val="00DB38F8"/>
    <w:rsid w:val="00DB391D"/>
    <w:rsid w:val="00DB3AC9"/>
    <w:rsid w:val="00DB3B8F"/>
    <w:rsid w:val="00DB3BB9"/>
    <w:rsid w:val="00DB3C8A"/>
    <w:rsid w:val="00DB3CC5"/>
    <w:rsid w:val="00DB3D19"/>
    <w:rsid w:val="00DB3D1D"/>
    <w:rsid w:val="00DB3D25"/>
    <w:rsid w:val="00DB3DFD"/>
    <w:rsid w:val="00DB3F08"/>
    <w:rsid w:val="00DB3FC7"/>
    <w:rsid w:val="00DB3FF6"/>
    <w:rsid w:val="00DB402B"/>
    <w:rsid w:val="00DB4080"/>
    <w:rsid w:val="00DB40EA"/>
    <w:rsid w:val="00DB416C"/>
    <w:rsid w:val="00DB41BA"/>
    <w:rsid w:val="00DB42BB"/>
    <w:rsid w:val="00DB43A3"/>
    <w:rsid w:val="00DB43C7"/>
    <w:rsid w:val="00DB43F7"/>
    <w:rsid w:val="00DB4471"/>
    <w:rsid w:val="00DB458F"/>
    <w:rsid w:val="00DB45D0"/>
    <w:rsid w:val="00DB465D"/>
    <w:rsid w:val="00DB4673"/>
    <w:rsid w:val="00DB46AE"/>
    <w:rsid w:val="00DB46CB"/>
    <w:rsid w:val="00DB4702"/>
    <w:rsid w:val="00DB47E8"/>
    <w:rsid w:val="00DB48EE"/>
    <w:rsid w:val="00DB4989"/>
    <w:rsid w:val="00DB4B39"/>
    <w:rsid w:val="00DB4BB3"/>
    <w:rsid w:val="00DB4C25"/>
    <w:rsid w:val="00DB4CBD"/>
    <w:rsid w:val="00DB4CD2"/>
    <w:rsid w:val="00DB4E40"/>
    <w:rsid w:val="00DB4F52"/>
    <w:rsid w:val="00DB5012"/>
    <w:rsid w:val="00DB507A"/>
    <w:rsid w:val="00DB5105"/>
    <w:rsid w:val="00DB5112"/>
    <w:rsid w:val="00DB5210"/>
    <w:rsid w:val="00DB523F"/>
    <w:rsid w:val="00DB5252"/>
    <w:rsid w:val="00DB5346"/>
    <w:rsid w:val="00DB5366"/>
    <w:rsid w:val="00DB53B0"/>
    <w:rsid w:val="00DB552D"/>
    <w:rsid w:val="00DB558B"/>
    <w:rsid w:val="00DB5737"/>
    <w:rsid w:val="00DB5902"/>
    <w:rsid w:val="00DB594F"/>
    <w:rsid w:val="00DB5972"/>
    <w:rsid w:val="00DB5A5D"/>
    <w:rsid w:val="00DB5A98"/>
    <w:rsid w:val="00DB5B96"/>
    <w:rsid w:val="00DB5DD8"/>
    <w:rsid w:val="00DB5DF3"/>
    <w:rsid w:val="00DB5E4C"/>
    <w:rsid w:val="00DB5E66"/>
    <w:rsid w:val="00DB5F2D"/>
    <w:rsid w:val="00DB5F51"/>
    <w:rsid w:val="00DB5FF0"/>
    <w:rsid w:val="00DB6041"/>
    <w:rsid w:val="00DB6292"/>
    <w:rsid w:val="00DB62AA"/>
    <w:rsid w:val="00DB62F6"/>
    <w:rsid w:val="00DB6334"/>
    <w:rsid w:val="00DB63E5"/>
    <w:rsid w:val="00DB6475"/>
    <w:rsid w:val="00DB65AE"/>
    <w:rsid w:val="00DB671E"/>
    <w:rsid w:val="00DB6738"/>
    <w:rsid w:val="00DB67A9"/>
    <w:rsid w:val="00DB6893"/>
    <w:rsid w:val="00DB68FE"/>
    <w:rsid w:val="00DB69C4"/>
    <w:rsid w:val="00DB69DC"/>
    <w:rsid w:val="00DB6A19"/>
    <w:rsid w:val="00DB6A72"/>
    <w:rsid w:val="00DB6AE7"/>
    <w:rsid w:val="00DB6B95"/>
    <w:rsid w:val="00DB6D8E"/>
    <w:rsid w:val="00DB6DD5"/>
    <w:rsid w:val="00DB6F8A"/>
    <w:rsid w:val="00DB70C6"/>
    <w:rsid w:val="00DB71FB"/>
    <w:rsid w:val="00DB7233"/>
    <w:rsid w:val="00DB723B"/>
    <w:rsid w:val="00DB7278"/>
    <w:rsid w:val="00DB731F"/>
    <w:rsid w:val="00DB751D"/>
    <w:rsid w:val="00DB7602"/>
    <w:rsid w:val="00DB769C"/>
    <w:rsid w:val="00DB78B6"/>
    <w:rsid w:val="00DB7AE2"/>
    <w:rsid w:val="00DB7B03"/>
    <w:rsid w:val="00DB7B5E"/>
    <w:rsid w:val="00DB7B6C"/>
    <w:rsid w:val="00DB7B84"/>
    <w:rsid w:val="00DB7BE3"/>
    <w:rsid w:val="00DB7C58"/>
    <w:rsid w:val="00DB7C72"/>
    <w:rsid w:val="00DB7D37"/>
    <w:rsid w:val="00DB7D71"/>
    <w:rsid w:val="00DB7D74"/>
    <w:rsid w:val="00DB7E28"/>
    <w:rsid w:val="00DB7ECE"/>
    <w:rsid w:val="00DB7EE1"/>
    <w:rsid w:val="00DC01FD"/>
    <w:rsid w:val="00DC0210"/>
    <w:rsid w:val="00DC03C5"/>
    <w:rsid w:val="00DC03DF"/>
    <w:rsid w:val="00DC040E"/>
    <w:rsid w:val="00DC0418"/>
    <w:rsid w:val="00DC05E0"/>
    <w:rsid w:val="00DC0628"/>
    <w:rsid w:val="00DC0668"/>
    <w:rsid w:val="00DC0729"/>
    <w:rsid w:val="00DC0AF9"/>
    <w:rsid w:val="00DC0B55"/>
    <w:rsid w:val="00DC0C09"/>
    <w:rsid w:val="00DC0C56"/>
    <w:rsid w:val="00DC0C5C"/>
    <w:rsid w:val="00DC0CA1"/>
    <w:rsid w:val="00DC0D87"/>
    <w:rsid w:val="00DC0DDF"/>
    <w:rsid w:val="00DC0F67"/>
    <w:rsid w:val="00DC1096"/>
    <w:rsid w:val="00DC10F1"/>
    <w:rsid w:val="00DC1316"/>
    <w:rsid w:val="00DC1329"/>
    <w:rsid w:val="00DC1458"/>
    <w:rsid w:val="00DC16B6"/>
    <w:rsid w:val="00DC17E3"/>
    <w:rsid w:val="00DC18DA"/>
    <w:rsid w:val="00DC1914"/>
    <w:rsid w:val="00DC1960"/>
    <w:rsid w:val="00DC1A05"/>
    <w:rsid w:val="00DC1A46"/>
    <w:rsid w:val="00DC1AAE"/>
    <w:rsid w:val="00DC1B06"/>
    <w:rsid w:val="00DC1BB8"/>
    <w:rsid w:val="00DC1C08"/>
    <w:rsid w:val="00DC1CFD"/>
    <w:rsid w:val="00DC1F06"/>
    <w:rsid w:val="00DC1F23"/>
    <w:rsid w:val="00DC2017"/>
    <w:rsid w:val="00DC2103"/>
    <w:rsid w:val="00DC2137"/>
    <w:rsid w:val="00DC2158"/>
    <w:rsid w:val="00DC2210"/>
    <w:rsid w:val="00DC225D"/>
    <w:rsid w:val="00DC2260"/>
    <w:rsid w:val="00DC22F8"/>
    <w:rsid w:val="00DC23C6"/>
    <w:rsid w:val="00DC2476"/>
    <w:rsid w:val="00DC24CB"/>
    <w:rsid w:val="00DC24E2"/>
    <w:rsid w:val="00DC255E"/>
    <w:rsid w:val="00DC25FF"/>
    <w:rsid w:val="00DC2697"/>
    <w:rsid w:val="00DC26A4"/>
    <w:rsid w:val="00DC26B1"/>
    <w:rsid w:val="00DC2712"/>
    <w:rsid w:val="00DC280E"/>
    <w:rsid w:val="00DC2813"/>
    <w:rsid w:val="00DC28BA"/>
    <w:rsid w:val="00DC290A"/>
    <w:rsid w:val="00DC29E0"/>
    <w:rsid w:val="00DC2A67"/>
    <w:rsid w:val="00DC2B9E"/>
    <w:rsid w:val="00DC2BC2"/>
    <w:rsid w:val="00DC2BD3"/>
    <w:rsid w:val="00DC2C59"/>
    <w:rsid w:val="00DC2E8C"/>
    <w:rsid w:val="00DC2F1B"/>
    <w:rsid w:val="00DC2F45"/>
    <w:rsid w:val="00DC30A3"/>
    <w:rsid w:val="00DC30C7"/>
    <w:rsid w:val="00DC30C9"/>
    <w:rsid w:val="00DC30FA"/>
    <w:rsid w:val="00DC3203"/>
    <w:rsid w:val="00DC33C6"/>
    <w:rsid w:val="00DC34CC"/>
    <w:rsid w:val="00DC3567"/>
    <w:rsid w:val="00DC3716"/>
    <w:rsid w:val="00DC3727"/>
    <w:rsid w:val="00DC3741"/>
    <w:rsid w:val="00DC37A0"/>
    <w:rsid w:val="00DC37B5"/>
    <w:rsid w:val="00DC37F9"/>
    <w:rsid w:val="00DC38EE"/>
    <w:rsid w:val="00DC3998"/>
    <w:rsid w:val="00DC3A31"/>
    <w:rsid w:val="00DC3A33"/>
    <w:rsid w:val="00DC3B6B"/>
    <w:rsid w:val="00DC3BFF"/>
    <w:rsid w:val="00DC3DEA"/>
    <w:rsid w:val="00DC3E67"/>
    <w:rsid w:val="00DC3F64"/>
    <w:rsid w:val="00DC401F"/>
    <w:rsid w:val="00DC4163"/>
    <w:rsid w:val="00DC4285"/>
    <w:rsid w:val="00DC432D"/>
    <w:rsid w:val="00DC4375"/>
    <w:rsid w:val="00DC457E"/>
    <w:rsid w:val="00DC4590"/>
    <w:rsid w:val="00DC4592"/>
    <w:rsid w:val="00DC45ED"/>
    <w:rsid w:val="00DC4799"/>
    <w:rsid w:val="00DC47A2"/>
    <w:rsid w:val="00DC47E5"/>
    <w:rsid w:val="00DC494B"/>
    <w:rsid w:val="00DC498B"/>
    <w:rsid w:val="00DC49C9"/>
    <w:rsid w:val="00DC4B04"/>
    <w:rsid w:val="00DC4B97"/>
    <w:rsid w:val="00DC4C9E"/>
    <w:rsid w:val="00DC4CB5"/>
    <w:rsid w:val="00DC4EE5"/>
    <w:rsid w:val="00DC4EF0"/>
    <w:rsid w:val="00DC4F17"/>
    <w:rsid w:val="00DC4F59"/>
    <w:rsid w:val="00DC5103"/>
    <w:rsid w:val="00DC510E"/>
    <w:rsid w:val="00DC5138"/>
    <w:rsid w:val="00DC5182"/>
    <w:rsid w:val="00DC51B5"/>
    <w:rsid w:val="00DC51F3"/>
    <w:rsid w:val="00DC52E1"/>
    <w:rsid w:val="00DC55C1"/>
    <w:rsid w:val="00DC5644"/>
    <w:rsid w:val="00DC5665"/>
    <w:rsid w:val="00DC566D"/>
    <w:rsid w:val="00DC5681"/>
    <w:rsid w:val="00DC5685"/>
    <w:rsid w:val="00DC56B4"/>
    <w:rsid w:val="00DC5749"/>
    <w:rsid w:val="00DC5902"/>
    <w:rsid w:val="00DC5978"/>
    <w:rsid w:val="00DC5A99"/>
    <w:rsid w:val="00DC5B2C"/>
    <w:rsid w:val="00DC5BD8"/>
    <w:rsid w:val="00DC5C51"/>
    <w:rsid w:val="00DC5CA3"/>
    <w:rsid w:val="00DC5DDC"/>
    <w:rsid w:val="00DC5DE3"/>
    <w:rsid w:val="00DC5E85"/>
    <w:rsid w:val="00DC6168"/>
    <w:rsid w:val="00DC61D0"/>
    <w:rsid w:val="00DC630F"/>
    <w:rsid w:val="00DC63B9"/>
    <w:rsid w:val="00DC63F1"/>
    <w:rsid w:val="00DC641C"/>
    <w:rsid w:val="00DC6488"/>
    <w:rsid w:val="00DC64AE"/>
    <w:rsid w:val="00DC64DE"/>
    <w:rsid w:val="00DC64F3"/>
    <w:rsid w:val="00DC6560"/>
    <w:rsid w:val="00DC66C2"/>
    <w:rsid w:val="00DC66D0"/>
    <w:rsid w:val="00DC6756"/>
    <w:rsid w:val="00DC67A7"/>
    <w:rsid w:val="00DC68E4"/>
    <w:rsid w:val="00DC698A"/>
    <w:rsid w:val="00DC69E4"/>
    <w:rsid w:val="00DC6A28"/>
    <w:rsid w:val="00DC6A78"/>
    <w:rsid w:val="00DC6A8E"/>
    <w:rsid w:val="00DC6AA2"/>
    <w:rsid w:val="00DC6AD3"/>
    <w:rsid w:val="00DC6B41"/>
    <w:rsid w:val="00DC6BC8"/>
    <w:rsid w:val="00DC6BD1"/>
    <w:rsid w:val="00DC6BDD"/>
    <w:rsid w:val="00DC6BFC"/>
    <w:rsid w:val="00DC6C29"/>
    <w:rsid w:val="00DC6C77"/>
    <w:rsid w:val="00DC6C9C"/>
    <w:rsid w:val="00DC6CD4"/>
    <w:rsid w:val="00DC6D0A"/>
    <w:rsid w:val="00DC6DD9"/>
    <w:rsid w:val="00DC6E51"/>
    <w:rsid w:val="00DC6FD3"/>
    <w:rsid w:val="00DC7089"/>
    <w:rsid w:val="00DC7096"/>
    <w:rsid w:val="00DC70A3"/>
    <w:rsid w:val="00DC717F"/>
    <w:rsid w:val="00DC71EC"/>
    <w:rsid w:val="00DC72A0"/>
    <w:rsid w:val="00DC72D0"/>
    <w:rsid w:val="00DC73A6"/>
    <w:rsid w:val="00DC73E1"/>
    <w:rsid w:val="00DC76C7"/>
    <w:rsid w:val="00DC77E0"/>
    <w:rsid w:val="00DC77F8"/>
    <w:rsid w:val="00DC782A"/>
    <w:rsid w:val="00DC78A8"/>
    <w:rsid w:val="00DC79ED"/>
    <w:rsid w:val="00DC7A73"/>
    <w:rsid w:val="00DC7C8D"/>
    <w:rsid w:val="00DC7CA9"/>
    <w:rsid w:val="00DD0027"/>
    <w:rsid w:val="00DD0032"/>
    <w:rsid w:val="00DD006D"/>
    <w:rsid w:val="00DD010D"/>
    <w:rsid w:val="00DD01CE"/>
    <w:rsid w:val="00DD03F6"/>
    <w:rsid w:val="00DD0406"/>
    <w:rsid w:val="00DD045C"/>
    <w:rsid w:val="00DD0556"/>
    <w:rsid w:val="00DD0698"/>
    <w:rsid w:val="00DD06CF"/>
    <w:rsid w:val="00DD070B"/>
    <w:rsid w:val="00DD07BD"/>
    <w:rsid w:val="00DD099A"/>
    <w:rsid w:val="00DD09A6"/>
    <w:rsid w:val="00DD0A47"/>
    <w:rsid w:val="00DD0C83"/>
    <w:rsid w:val="00DD0D37"/>
    <w:rsid w:val="00DD0E39"/>
    <w:rsid w:val="00DD0F86"/>
    <w:rsid w:val="00DD0FF5"/>
    <w:rsid w:val="00DD1063"/>
    <w:rsid w:val="00DD1123"/>
    <w:rsid w:val="00DD1178"/>
    <w:rsid w:val="00DD11A5"/>
    <w:rsid w:val="00DD11AC"/>
    <w:rsid w:val="00DD11B6"/>
    <w:rsid w:val="00DD11CA"/>
    <w:rsid w:val="00DD12A7"/>
    <w:rsid w:val="00DD134F"/>
    <w:rsid w:val="00DD1475"/>
    <w:rsid w:val="00DD14F4"/>
    <w:rsid w:val="00DD1536"/>
    <w:rsid w:val="00DD1546"/>
    <w:rsid w:val="00DD1608"/>
    <w:rsid w:val="00DD166B"/>
    <w:rsid w:val="00DD16C3"/>
    <w:rsid w:val="00DD16E5"/>
    <w:rsid w:val="00DD1705"/>
    <w:rsid w:val="00DD17E8"/>
    <w:rsid w:val="00DD17F7"/>
    <w:rsid w:val="00DD18D9"/>
    <w:rsid w:val="00DD190B"/>
    <w:rsid w:val="00DD1A2C"/>
    <w:rsid w:val="00DD1ACE"/>
    <w:rsid w:val="00DD1B38"/>
    <w:rsid w:val="00DD1C07"/>
    <w:rsid w:val="00DD1C42"/>
    <w:rsid w:val="00DD1C80"/>
    <w:rsid w:val="00DD1CEE"/>
    <w:rsid w:val="00DD1D1A"/>
    <w:rsid w:val="00DD1FC0"/>
    <w:rsid w:val="00DD20A3"/>
    <w:rsid w:val="00DD23D4"/>
    <w:rsid w:val="00DD2408"/>
    <w:rsid w:val="00DD2468"/>
    <w:rsid w:val="00DD250F"/>
    <w:rsid w:val="00DD258D"/>
    <w:rsid w:val="00DD25CC"/>
    <w:rsid w:val="00DD26C7"/>
    <w:rsid w:val="00DD26ED"/>
    <w:rsid w:val="00DD2843"/>
    <w:rsid w:val="00DD284B"/>
    <w:rsid w:val="00DD2965"/>
    <w:rsid w:val="00DD29B7"/>
    <w:rsid w:val="00DD29E3"/>
    <w:rsid w:val="00DD29E6"/>
    <w:rsid w:val="00DD2A3B"/>
    <w:rsid w:val="00DD2AE6"/>
    <w:rsid w:val="00DD2B49"/>
    <w:rsid w:val="00DD2C9B"/>
    <w:rsid w:val="00DD2DFA"/>
    <w:rsid w:val="00DD2E7A"/>
    <w:rsid w:val="00DD2EC8"/>
    <w:rsid w:val="00DD2F27"/>
    <w:rsid w:val="00DD2FC4"/>
    <w:rsid w:val="00DD2FD0"/>
    <w:rsid w:val="00DD30C0"/>
    <w:rsid w:val="00DD318B"/>
    <w:rsid w:val="00DD320B"/>
    <w:rsid w:val="00DD321A"/>
    <w:rsid w:val="00DD33A6"/>
    <w:rsid w:val="00DD3457"/>
    <w:rsid w:val="00DD3467"/>
    <w:rsid w:val="00DD358B"/>
    <w:rsid w:val="00DD35F8"/>
    <w:rsid w:val="00DD3605"/>
    <w:rsid w:val="00DD365C"/>
    <w:rsid w:val="00DD36A4"/>
    <w:rsid w:val="00DD36D5"/>
    <w:rsid w:val="00DD3706"/>
    <w:rsid w:val="00DD3780"/>
    <w:rsid w:val="00DD37B9"/>
    <w:rsid w:val="00DD38D8"/>
    <w:rsid w:val="00DD396D"/>
    <w:rsid w:val="00DD3998"/>
    <w:rsid w:val="00DD3A5A"/>
    <w:rsid w:val="00DD3B0C"/>
    <w:rsid w:val="00DD3BA1"/>
    <w:rsid w:val="00DD3C01"/>
    <w:rsid w:val="00DD3C4A"/>
    <w:rsid w:val="00DD3D6F"/>
    <w:rsid w:val="00DD3EB9"/>
    <w:rsid w:val="00DD3F42"/>
    <w:rsid w:val="00DD40AF"/>
    <w:rsid w:val="00DD4145"/>
    <w:rsid w:val="00DD4278"/>
    <w:rsid w:val="00DD42F0"/>
    <w:rsid w:val="00DD4406"/>
    <w:rsid w:val="00DD443C"/>
    <w:rsid w:val="00DD4504"/>
    <w:rsid w:val="00DD470B"/>
    <w:rsid w:val="00DD4711"/>
    <w:rsid w:val="00DD477C"/>
    <w:rsid w:val="00DD491B"/>
    <w:rsid w:val="00DD493F"/>
    <w:rsid w:val="00DD4978"/>
    <w:rsid w:val="00DD49A9"/>
    <w:rsid w:val="00DD49F1"/>
    <w:rsid w:val="00DD4B09"/>
    <w:rsid w:val="00DD4B38"/>
    <w:rsid w:val="00DD4B56"/>
    <w:rsid w:val="00DD4B7D"/>
    <w:rsid w:val="00DD4CCC"/>
    <w:rsid w:val="00DD4E01"/>
    <w:rsid w:val="00DD4E90"/>
    <w:rsid w:val="00DD4F48"/>
    <w:rsid w:val="00DD50EE"/>
    <w:rsid w:val="00DD5128"/>
    <w:rsid w:val="00DD512E"/>
    <w:rsid w:val="00DD5256"/>
    <w:rsid w:val="00DD5389"/>
    <w:rsid w:val="00DD53D5"/>
    <w:rsid w:val="00DD53F9"/>
    <w:rsid w:val="00DD54C4"/>
    <w:rsid w:val="00DD5540"/>
    <w:rsid w:val="00DD554E"/>
    <w:rsid w:val="00DD5604"/>
    <w:rsid w:val="00DD566E"/>
    <w:rsid w:val="00DD56AA"/>
    <w:rsid w:val="00DD5708"/>
    <w:rsid w:val="00DD57AF"/>
    <w:rsid w:val="00DD590A"/>
    <w:rsid w:val="00DD5933"/>
    <w:rsid w:val="00DD5957"/>
    <w:rsid w:val="00DD5991"/>
    <w:rsid w:val="00DD5A5B"/>
    <w:rsid w:val="00DD5A5D"/>
    <w:rsid w:val="00DD5A68"/>
    <w:rsid w:val="00DD5AD3"/>
    <w:rsid w:val="00DD5B2C"/>
    <w:rsid w:val="00DD5B49"/>
    <w:rsid w:val="00DD5B56"/>
    <w:rsid w:val="00DD5C34"/>
    <w:rsid w:val="00DD5C73"/>
    <w:rsid w:val="00DD5C89"/>
    <w:rsid w:val="00DD5CC4"/>
    <w:rsid w:val="00DD5D50"/>
    <w:rsid w:val="00DD5D63"/>
    <w:rsid w:val="00DD5E4E"/>
    <w:rsid w:val="00DD5F70"/>
    <w:rsid w:val="00DD5FE2"/>
    <w:rsid w:val="00DD606F"/>
    <w:rsid w:val="00DD60EB"/>
    <w:rsid w:val="00DD60F0"/>
    <w:rsid w:val="00DD612E"/>
    <w:rsid w:val="00DD618D"/>
    <w:rsid w:val="00DD61A0"/>
    <w:rsid w:val="00DD61FA"/>
    <w:rsid w:val="00DD6209"/>
    <w:rsid w:val="00DD6283"/>
    <w:rsid w:val="00DD6296"/>
    <w:rsid w:val="00DD62DE"/>
    <w:rsid w:val="00DD630F"/>
    <w:rsid w:val="00DD63B5"/>
    <w:rsid w:val="00DD63CE"/>
    <w:rsid w:val="00DD6696"/>
    <w:rsid w:val="00DD68A8"/>
    <w:rsid w:val="00DD6939"/>
    <w:rsid w:val="00DD6AD2"/>
    <w:rsid w:val="00DD6B0B"/>
    <w:rsid w:val="00DD6BFA"/>
    <w:rsid w:val="00DD6C9C"/>
    <w:rsid w:val="00DD6CB8"/>
    <w:rsid w:val="00DD6D49"/>
    <w:rsid w:val="00DD6DA5"/>
    <w:rsid w:val="00DD6DD3"/>
    <w:rsid w:val="00DD6EA3"/>
    <w:rsid w:val="00DD6ED2"/>
    <w:rsid w:val="00DD6F4B"/>
    <w:rsid w:val="00DD7038"/>
    <w:rsid w:val="00DD7292"/>
    <w:rsid w:val="00DD7359"/>
    <w:rsid w:val="00DD7382"/>
    <w:rsid w:val="00DD74CA"/>
    <w:rsid w:val="00DD7512"/>
    <w:rsid w:val="00DD7640"/>
    <w:rsid w:val="00DD777F"/>
    <w:rsid w:val="00DD7913"/>
    <w:rsid w:val="00DD792D"/>
    <w:rsid w:val="00DD7A9F"/>
    <w:rsid w:val="00DD7AD7"/>
    <w:rsid w:val="00DD7AF6"/>
    <w:rsid w:val="00DD7BFA"/>
    <w:rsid w:val="00DD7C87"/>
    <w:rsid w:val="00DD7CC5"/>
    <w:rsid w:val="00DD7CC6"/>
    <w:rsid w:val="00DD7DEA"/>
    <w:rsid w:val="00DD7EC3"/>
    <w:rsid w:val="00DD7F0D"/>
    <w:rsid w:val="00DD7FA4"/>
    <w:rsid w:val="00DD7FDC"/>
    <w:rsid w:val="00DE0038"/>
    <w:rsid w:val="00DE003A"/>
    <w:rsid w:val="00DE01A4"/>
    <w:rsid w:val="00DE0228"/>
    <w:rsid w:val="00DE0249"/>
    <w:rsid w:val="00DE024A"/>
    <w:rsid w:val="00DE0254"/>
    <w:rsid w:val="00DE0299"/>
    <w:rsid w:val="00DE03C9"/>
    <w:rsid w:val="00DE04EA"/>
    <w:rsid w:val="00DE04F1"/>
    <w:rsid w:val="00DE0545"/>
    <w:rsid w:val="00DE06B4"/>
    <w:rsid w:val="00DE06F1"/>
    <w:rsid w:val="00DE0826"/>
    <w:rsid w:val="00DE0897"/>
    <w:rsid w:val="00DE0AB1"/>
    <w:rsid w:val="00DE0B63"/>
    <w:rsid w:val="00DE0BEB"/>
    <w:rsid w:val="00DE0C28"/>
    <w:rsid w:val="00DE0CF1"/>
    <w:rsid w:val="00DE0D9C"/>
    <w:rsid w:val="00DE0DCA"/>
    <w:rsid w:val="00DE0E2E"/>
    <w:rsid w:val="00DE0E50"/>
    <w:rsid w:val="00DE0EC9"/>
    <w:rsid w:val="00DE0F15"/>
    <w:rsid w:val="00DE0F5E"/>
    <w:rsid w:val="00DE11F4"/>
    <w:rsid w:val="00DE1334"/>
    <w:rsid w:val="00DE135C"/>
    <w:rsid w:val="00DE139B"/>
    <w:rsid w:val="00DE140D"/>
    <w:rsid w:val="00DE147C"/>
    <w:rsid w:val="00DE1483"/>
    <w:rsid w:val="00DE149B"/>
    <w:rsid w:val="00DE1671"/>
    <w:rsid w:val="00DE16D2"/>
    <w:rsid w:val="00DE1719"/>
    <w:rsid w:val="00DE1746"/>
    <w:rsid w:val="00DE1A00"/>
    <w:rsid w:val="00DE1A8C"/>
    <w:rsid w:val="00DE1ADB"/>
    <w:rsid w:val="00DE1B00"/>
    <w:rsid w:val="00DE1B15"/>
    <w:rsid w:val="00DE1BB0"/>
    <w:rsid w:val="00DE1BF6"/>
    <w:rsid w:val="00DE1C66"/>
    <w:rsid w:val="00DE1CA0"/>
    <w:rsid w:val="00DE1E2F"/>
    <w:rsid w:val="00DE211C"/>
    <w:rsid w:val="00DE2122"/>
    <w:rsid w:val="00DE2134"/>
    <w:rsid w:val="00DE21A5"/>
    <w:rsid w:val="00DE21F5"/>
    <w:rsid w:val="00DE22D1"/>
    <w:rsid w:val="00DE232A"/>
    <w:rsid w:val="00DE236F"/>
    <w:rsid w:val="00DE2393"/>
    <w:rsid w:val="00DE2488"/>
    <w:rsid w:val="00DE2495"/>
    <w:rsid w:val="00DE24EA"/>
    <w:rsid w:val="00DE2669"/>
    <w:rsid w:val="00DE27C0"/>
    <w:rsid w:val="00DE2827"/>
    <w:rsid w:val="00DE2892"/>
    <w:rsid w:val="00DE2988"/>
    <w:rsid w:val="00DE29A4"/>
    <w:rsid w:val="00DE29F6"/>
    <w:rsid w:val="00DE2B1E"/>
    <w:rsid w:val="00DE2B2E"/>
    <w:rsid w:val="00DE2B3E"/>
    <w:rsid w:val="00DE2BFB"/>
    <w:rsid w:val="00DE2C85"/>
    <w:rsid w:val="00DE2EA2"/>
    <w:rsid w:val="00DE2F3A"/>
    <w:rsid w:val="00DE2F6C"/>
    <w:rsid w:val="00DE3010"/>
    <w:rsid w:val="00DE3018"/>
    <w:rsid w:val="00DE3155"/>
    <w:rsid w:val="00DE31CA"/>
    <w:rsid w:val="00DE31F3"/>
    <w:rsid w:val="00DE325D"/>
    <w:rsid w:val="00DE32E0"/>
    <w:rsid w:val="00DE33CA"/>
    <w:rsid w:val="00DE3505"/>
    <w:rsid w:val="00DE3530"/>
    <w:rsid w:val="00DE3541"/>
    <w:rsid w:val="00DE358C"/>
    <w:rsid w:val="00DE3666"/>
    <w:rsid w:val="00DE3675"/>
    <w:rsid w:val="00DE369B"/>
    <w:rsid w:val="00DE375B"/>
    <w:rsid w:val="00DE383D"/>
    <w:rsid w:val="00DE38D1"/>
    <w:rsid w:val="00DE38E2"/>
    <w:rsid w:val="00DE3A6C"/>
    <w:rsid w:val="00DE3A9C"/>
    <w:rsid w:val="00DE3AC0"/>
    <w:rsid w:val="00DE3ACD"/>
    <w:rsid w:val="00DE3AE3"/>
    <w:rsid w:val="00DE3B58"/>
    <w:rsid w:val="00DE3B65"/>
    <w:rsid w:val="00DE3B89"/>
    <w:rsid w:val="00DE3C9C"/>
    <w:rsid w:val="00DE3CEC"/>
    <w:rsid w:val="00DE3D9B"/>
    <w:rsid w:val="00DE3DCB"/>
    <w:rsid w:val="00DE3E59"/>
    <w:rsid w:val="00DE3F4F"/>
    <w:rsid w:val="00DE40EF"/>
    <w:rsid w:val="00DE43B3"/>
    <w:rsid w:val="00DE441E"/>
    <w:rsid w:val="00DE4623"/>
    <w:rsid w:val="00DE46B9"/>
    <w:rsid w:val="00DE470B"/>
    <w:rsid w:val="00DE4787"/>
    <w:rsid w:val="00DE479E"/>
    <w:rsid w:val="00DE4855"/>
    <w:rsid w:val="00DE49C1"/>
    <w:rsid w:val="00DE49E1"/>
    <w:rsid w:val="00DE4AD0"/>
    <w:rsid w:val="00DE4C31"/>
    <w:rsid w:val="00DE4C43"/>
    <w:rsid w:val="00DE4CAF"/>
    <w:rsid w:val="00DE4E09"/>
    <w:rsid w:val="00DE4F95"/>
    <w:rsid w:val="00DE4FAD"/>
    <w:rsid w:val="00DE5034"/>
    <w:rsid w:val="00DE504A"/>
    <w:rsid w:val="00DE505D"/>
    <w:rsid w:val="00DE5077"/>
    <w:rsid w:val="00DE5097"/>
    <w:rsid w:val="00DE50D4"/>
    <w:rsid w:val="00DE50D6"/>
    <w:rsid w:val="00DE50EA"/>
    <w:rsid w:val="00DE5258"/>
    <w:rsid w:val="00DE52AA"/>
    <w:rsid w:val="00DE5379"/>
    <w:rsid w:val="00DE53E4"/>
    <w:rsid w:val="00DE53F4"/>
    <w:rsid w:val="00DE548E"/>
    <w:rsid w:val="00DE549B"/>
    <w:rsid w:val="00DE54AE"/>
    <w:rsid w:val="00DE554A"/>
    <w:rsid w:val="00DE55CF"/>
    <w:rsid w:val="00DE5689"/>
    <w:rsid w:val="00DE569D"/>
    <w:rsid w:val="00DE56AB"/>
    <w:rsid w:val="00DE56CC"/>
    <w:rsid w:val="00DE56E2"/>
    <w:rsid w:val="00DE5793"/>
    <w:rsid w:val="00DE57E4"/>
    <w:rsid w:val="00DE5809"/>
    <w:rsid w:val="00DE5865"/>
    <w:rsid w:val="00DE595F"/>
    <w:rsid w:val="00DE5AB0"/>
    <w:rsid w:val="00DE5B46"/>
    <w:rsid w:val="00DE5BA1"/>
    <w:rsid w:val="00DE5D92"/>
    <w:rsid w:val="00DE5D96"/>
    <w:rsid w:val="00DE5EC3"/>
    <w:rsid w:val="00DE5F7D"/>
    <w:rsid w:val="00DE5FA0"/>
    <w:rsid w:val="00DE5FA3"/>
    <w:rsid w:val="00DE5FBA"/>
    <w:rsid w:val="00DE614F"/>
    <w:rsid w:val="00DE619B"/>
    <w:rsid w:val="00DE61C1"/>
    <w:rsid w:val="00DE6245"/>
    <w:rsid w:val="00DE63B4"/>
    <w:rsid w:val="00DE6418"/>
    <w:rsid w:val="00DE642A"/>
    <w:rsid w:val="00DE64AD"/>
    <w:rsid w:val="00DE64F5"/>
    <w:rsid w:val="00DE650C"/>
    <w:rsid w:val="00DE6541"/>
    <w:rsid w:val="00DE6663"/>
    <w:rsid w:val="00DE66C9"/>
    <w:rsid w:val="00DE6725"/>
    <w:rsid w:val="00DE6966"/>
    <w:rsid w:val="00DE697C"/>
    <w:rsid w:val="00DE69E0"/>
    <w:rsid w:val="00DE6A2F"/>
    <w:rsid w:val="00DE6AF6"/>
    <w:rsid w:val="00DE6D54"/>
    <w:rsid w:val="00DE6D7D"/>
    <w:rsid w:val="00DE6DAD"/>
    <w:rsid w:val="00DE6E6B"/>
    <w:rsid w:val="00DE6EA2"/>
    <w:rsid w:val="00DE6F78"/>
    <w:rsid w:val="00DE7145"/>
    <w:rsid w:val="00DE7148"/>
    <w:rsid w:val="00DE7158"/>
    <w:rsid w:val="00DE7261"/>
    <w:rsid w:val="00DE73A4"/>
    <w:rsid w:val="00DE7417"/>
    <w:rsid w:val="00DE745B"/>
    <w:rsid w:val="00DE751A"/>
    <w:rsid w:val="00DE7592"/>
    <w:rsid w:val="00DE7873"/>
    <w:rsid w:val="00DE78FE"/>
    <w:rsid w:val="00DE79A8"/>
    <w:rsid w:val="00DE7A67"/>
    <w:rsid w:val="00DE7B88"/>
    <w:rsid w:val="00DE7C3B"/>
    <w:rsid w:val="00DE7D0D"/>
    <w:rsid w:val="00DE7E02"/>
    <w:rsid w:val="00DE7E19"/>
    <w:rsid w:val="00DE7ECC"/>
    <w:rsid w:val="00DE7F9B"/>
    <w:rsid w:val="00DF00A0"/>
    <w:rsid w:val="00DF00C2"/>
    <w:rsid w:val="00DF0150"/>
    <w:rsid w:val="00DF01CC"/>
    <w:rsid w:val="00DF0250"/>
    <w:rsid w:val="00DF02D6"/>
    <w:rsid w:val="00DF0370"/>
    <w:rsid w:val="00DF03A3"/>
    <w:rsid w:val="00DF03EF"/>
    <w:rsid w:val="00DF041F"/>
    <w:rsid w:val="00DF049A"/>
    <w:rsid w:val="00DF04EE"/>
    <w:rsid w:val="00DF054B"/>
    <w:rsid w:val="00DF055C"/>
    <w:rsid w:val="00DF0666"/>
    <w:rsid w:val="00DF06A7"/>
    <w:rsid w:val="00DF0714"/>
    <w:rsid w:val="00DF0736"/>
    <w:rsid w:val="00DF0751"/>
    <w:rsid w:val="00DF0873"/>
    <w:rsid w:val="00DF09C3"/>
    <w:rsid w:val="00DF0A56"/>
    <w:rsid w:val="00DF0A77"/>
    <w:rsid w:val="00DF0B2D"/>
    <w:rsid w:val="00DF0BE9"/>
    <w:rsid w:val="00DF0C28"/>
    <w:rsid w:val="00DF0D05"/>
    <w:rsid w:val="00DF0D48"/>
    <w:rsid w:val="00DF0EAD"/>
    <w:rsid w:val="00DF0EDE"/>
    <w:rsid w:val="00DF0F36"/>
    <w:rsid w:val="00DF0FC3"/>
    <w:rsid w:val="00DF0FCE"/>
    <w:rsid w:val="00DF10D7"/>
    <w:rsid w:val="00DF111D"/>
    <w:rsid w:val="00DF1190"/>
    <w:rsid w:val="00DF133E"/>
    <w:rsid w:val="00DF1477"/>
    <w:rsid w:val="00DF157C"/>
    <w:rsid w:val="00DF163A"/>
    <w:rsid w:val="00DF172E"/>
    <w:rsid w:val="00DF1748"/>
    <w:rsid w:val="00DF17CA"/>
    <w:rsid w:val="00DF1824"/>
    <w:rsid w:val="00DF182F"/>
    <w:rsid w:val="00DF1AF8"/>
    <w:rsid w:val="00DF1B77"/>
    <w:rsid w:val="00DF1BFF"/>
    <w:rsid w:val="00DF1D73"/>
    <w:rsid w:val="00DF20AE"/>
    <w:rsid w:val="00DF20C3"/>
    <w:rsid w:val="00DF20D1"/>
    <w:rsid w:val="00DF21C5"/>
    <w:rsid w:val="00DF23A6"/>
    <w:rsid w:val="00DF23AB"/>
    <w:rsid w:val="00DF23B2"/>
    <w:rsid w:val="00DF23D1"/>
    <w:rsid w:val="00DF23FB"/>
    <w:rsid w:val="00DF23FC"/>
    <w:rsid w:val="00DF2428"/>
    <w:rsid w:val="00DF2479"/>
    <w:rsid w:val="00DF2642"/>
    <w:rsid w:val="00DF26EE"/>
    <w:rsid w:val="00DF2751"/>
    <w:rsid w:val="00DF27C3"/>
    <w:rsid w:val="00DF291A"/>
    <w:rsid w:val="00DF292E"/>
    <w:rsid w:val="00DF29B4"/>
    <w:rsid w:val="00DF2C07"/>
    <w:rsid w:val="00DF2DF8"/>
    <w:rsid w:val="00DF2E02"/>
    <w:rsid w:val="00DF2EE6"/>
    <w:rsid w:val="00DF2F9E"/>
    <w:rsid w:val="00DF2FBD"/>
    <w:rsid w:val="00DF30AB"/>
    <w:rsid w:val="00DF30F4"/>
    <w:rsid w:val="00DF32F6"/>
    <w:rsid w:val="00DF3417"/>
    <w:rsid w:val="00DF3444"/>
    <w:rsid w:val="00DF347E"/>
    <w:rsid w:val="00DF34C0"/>
    <w:rsid w:val="00DF34DC"/>
    <w:rsid w:val="00DF3630"/>
    <w:rsid w:val="00DF368F"/>
    <w:rsid w:val="00DF3788"/>
    <w:rsid w:val="00DF37B0"/>
    <w:rsid w:val="00DF3909"/>
    <w:rsid w:val="00DF3A01"/>
    <w:rsid w:val="00DF3B9E"/>
    <w:rsid w:val="00DF3BDF"/>
    <w:rsid w:val="00DF3CEC"/>
    <w:rsid w:val="00DF3F6D"/>
    <w:rsid w:val="00DF4110"/>
    <w:rsid w:val="00DF4127"/>
    <w:rsid w:val="00DF4223"/>
    <w:rsid w:val="00DF4230"/>
    <w:rsid w:val="00DF42CF"/>
    <w:rsid w:val="00DF42D0"/>
    <w:rsid w:val="00DF43D3"/>
    <w:rsid w:val="00DF44C7"/>
    <w:rsid w:val="00DF4592"/>
    <w:rsid w:val="00DF4663"/>
    <w:rsid w:val="00DF4670"/>
    <w:rsid w:val="00DF4685"/>
    <w:rsid w:val="00DF48BD"/>
    <w:rsid w:val="00DF4913"/>
    <w:rsid w:val="00DF4986"/>
    <w:rsid w:val="00DF4A86"/>
    <w:rsid w:val="00DF4BEB"/>
    <w:rsid w:val="00DF4F0A"/>
    <w:rsid w:val="00DF4F2B"/>
    <w:rsid w:val="00DF4F52"/>
    <w:rsid w:val="00DF504C"/>
    <w:rsid w:val="00DF50A4"/>
    <w:rsid w:val="00DF5113"/>
    <w:rsid w:val="00DF5263"/>
    <w:rsid w:val="00DF5389"/>
    <w:rsid w:val="00DF543A"/>
    <w:rsid w:val="00DF5482"/>
    <w:rsid w:val="00DF55E0"/>
    <w:rsid w:val="00DF568A"/>
    <w:rsid w:val="00DF56EF"/>
    <w:rsid w:val="00DF5853"/>
    <w:rsid w:val="00DF591C"/>
    <w:rsid w:val="00DF599A"/>
    <w:rsid w:val="00DF59FF"/>
    <w:rsid w:val="00DF5BB7"/>
    <w:rsid w:val="00DF5BBD"/>
    <w:rsid w:val="00DF5CA0"/>
    <w:rsid w:val="00DF5EBE"/>
    <w:rsid w:val="00DF6087"/>
    <w:rsid w:val="00DF60E3"/>
    <w:rsid w:val="00DF616F"/>
    <w:rsid w:val="00DF6174"/>
    <w:rsid w:val="00DF61BB"/>
    <w:rsid w:val="00DF6251"/>
    <w:rsid w:val="00DF629F"/>
    <w:rsid w:val="00DF638F"/>
    <w:rsid w:val="00DF645D"/>
    <w:rsid w:val="00DF648F"/>
    <w:rsid w:val="00DF64DC"/>
    <w:rsid w:val="00DF651C"/>
    <w:rsid w:val="00DF656D"/>
    <w:rsid w:val="00DF6626"/>
    <w:rsid w:val="00DF669F"/>
    <w:rsid w:val="00DF6708"/>
    <w:rsid w:val="00DF67BE"/>
    <w:rsid w:val="00DF67EF"/>
    <w:rsid w:val="00DF6822"/>
    <w:rsid w:val="00DF68D8"/>
    <w:rsid w:val="00DF6903"/>
    <w:rsid w:val="00DF690F"/>
    <w:rsid w:val="00DF6BBC"/>
    <w:rsid w:val="00DF6BE4"/>
    <w:rsid w:val="00DF6C3E"/>
    <w:rsid w:val="00DF6CF6"/>
    <w:rsid w:val="00DF6CFB"/>
    <w:rsid w:val="00DF6D10"/>
    <w:rsid w:val="00DF6D14"/>
    <w:rsid w:val="00DF6DC9"/>
    <w:rsid w:val="00DF6F91"/>
    <w:rsid w:val="00DF705B"/>
    <w:rsid w:val="00DF70A7"/>
    <w:rsid w:val="00DF7130"/>
    <w:rsid w:val="00DF7251"/>
    <w:rsid w:val="00DF7254"/>
    <w:rsid w:val="00DF7285"/>
    <w:rsid w:val="00DF72B1"/>
    <w:rsid w:val="00DF733C"/>
    <w:rsid w:val="00DF7390"/>
    <w:rsid w:val="00DF7584"/>
    <w:rsid w:val="00DF7617"/>
    <w:rsid w:val="00DF76D2"/>
    <w:rsid w:val="00DF7770"/>
    <w:rsid w:val="00DF77B7"/>
    <w:rsid w:val="00DF77C5"/>
    <w:rsid w:val="00DF78DF"/>
    <w:rsid w:val="00DF78E1"/>
    <w:rsid w:val="00DF79F7"/>
    <w:rsid w:val="00DF7A39"/>
    <w:rsid w:val="00DF7AE5"/>
    <w:rsid w:val="00DF7B98"/>
    <w:rsid w:val="00DF7CB5"/>
    <w:rsid w:val="00DF7CF5"/>
    <w:rsid w:val="00DF7D6B"/>
    <w:rsid w:val="00DF7DA1"/>
    <w:rsid w:val="00DF7DC1"/>
    <w:rsid w:val="00DF7E5D"/>
    <w:rsid w:val="00DF7EA8"/>
    <w:rsid w:val="00DF7EBC"/>
    <w:rsid w:val="00E00041"/>
    <w:rsid w:val="00E0007B"/>
    <w:rsid w:val="00E00177"/>
    <w:rsid w:val="00E001F8"/>
    <w:rsid w:val="00E0027A"/>
    <w:rsid w:val="00E002BB"/>
    <w:rsid w:val="00E00325"/>
    <w:rsid w:val="00E00341"/>
    <w:rsid w:val="00E0036C"/>
    <w:rsid w:val="00E003A4"/>
    <w:rsid w:val="00E00466"/>
    <w:rsid w:val="00E004C8"/>
    <w:rsid w:val="00E005D5"/>
    <w:rsid w:val="00E0066B"/>
    <w:rsid w:val="00E00674"/>
    <w:rsid w:val="00E006CD"/>
    <w:rsid w:val="00E006DE"/>
    <w:rsid w:val="00E0077B"/>
    <w:rsid w:val="00E00788"/>
    <w:rsid w:val="00E007D1"/>
    <w:rsid w:val="00E007F8"/>
    <w:rsid w:val="00E00838"/>
    <w:rsid w:val="00E00848"/>
    <w:rsid w:val="00E008A4"/>
    <w:rsid w:val="00E0099F"/>
    <w:rsid w:val="00E00A39"/>
    <w:rsid w:val="00E00B29"/>
    <w:rsid w:val="00E00BC2"/>
    <w:rsid w:val="00E00C20"/>
    <w:rsid w:val="00E00C7B"/>
    <w:rsid w:val="00E00CC7"/>
    <w:rsid w:val="00E00F1C"/>
    <w:rsid w:val="00E00FE6"/>
    <w:rsid w:val="00E01043"/>
    <w:rsid w:val="00E01061"/>
    <w:rsid w:val="00E010A7"/>
    <w:rsid w:val="00E011E2"/>
    <w:rsid w:val="00E0128B"/>
    <w:rsid w:val="00E01297"/>
    <w:rsid w:val="00E012B6"/>
    <w:rsid w:val="00E01391"/>
    <w:rsid w:val="00E01440"/>
    <w:rsid w:val="00E014D8"/>
    <w:rsid w:val="00E01534"/>
    <w:rsid w:val="00E015FB"/>
    <w:rsid w:val="00E01766"/>
    <w:rsid w:val="00E0182A"/>
    <w:rsid w:val="00E01A18"/>
    <w:rsid w:val="00E01BD5"/>
    <w:rsid w:val="00E01DC4"/>
    <w:rsid w:val="00E01DEE"/>
    <w:rsid w:val="00E01EB7"/>
    <w:rsid w:val="00E01F5D"/>
    <w:rsid w:val="00E01F69"/>
    <w:rsid w:val="00E0203B"/>
    <w:rsid w:val="00E021BE"/>
    <w:rsid w:val="00E02265"/>
    <w:rsid w:val="00E02298"/>
    <w:rsid w:val="00E02324"/>
    <w:rsid w:val="00E02367"/>
    <w:rsid w:val="00E0236B"/>
    <w:rsid w:val="00E0237F"/>
    <w:rsid w:val="00E02398"/>
    <w:rsid w:val="00E02454"/>
    <w:rsid w:val="00E024EB"/>
    <w:rsid w:val="00E0251D"/>
    <w:rsid w:val="00E02527"/>
    <w:rsid w:val="00E0259F"/>
    <w:rsid w:val="00E025AC"/>
    <w:rsid w:val="00E025FD"/>
    <w:rsid w:val="00E0268C"/>
    <w:rsid w:val="00E02696"/>
    <w:rsid w:val="00E02722"/>
    <w:rsid w:val="00E0291B"/>
    <w:rsid w:val="00E029C0"/>
    <w:rsid w:val="00E029CB"/>
    <w:rsid w:val="00E02A93"/>
    <w:rsid w:val="00E02B6D"/>
    <w:rsid w:val="00E02C24"/>
    <w:rsid w:val="00E02D15"/>
    <w:rsid w:val="00E02D3D"/>
    <w:rsid w:val="00E02D99"/>
    <w:rsid w:val="00E02DAF"/>
    <w:rsid w:val="00E02ED2"/>
    <w:rsid w:val="00E0301D"/>
    <w:rsid w:val="00E0319D"/>
    <w:rsid w:val="00E031B2"/>
    <w:rsid w:val="00E031CD"/>
    <w:rsid w:val="00E03287"/>
    <w:rsid w:val="00E033AB"/>
    <w:rsid w:val="00E0357F"/>
    <w:rsid w:val="00E0358F"/>
    <w:rsid w:val="00E03637"/>
    <w:rsid w:val="00E036B8"/>
    <w:rsid w:val="00E0381D"/>
    <w:rsid w:val="00E03968"/>
    <w:rsid w:val="00E03970"/>
    <w:rsid w:val="00E039CE"/>
    <w:rsid w:val="00E03B1A"/>
    <w:rsid w:val="00E03BBE"/>
    <w:rsid w:val="00E03D57"/>
    <w:rsid w:val="00E03D63"/>
    <w:rsid w:val="00E03DDC"/>
    <w:rsid w:val="00E03EF6"/>
    <w:rsid w:val="00E03F15"/>
    <w:rsid w:val="00E03F3F"/>
    <w:rsid w:val="00E04195"/>
    <w:rsid w:val="00E0424C"/>
    <w:rsid w:val="00E04405"/>
    <w:rsid w:val="00E04413"/>
    <w:rsid w:val="00E044B7"/>
    <w:rsid w:val="00E04629"/>
    <w:rsid w:val="00E0462C"/>
    <w:rsid w:val="00E04656"/>
    <w:rsid w:val="00E046B1"/>
    <w:rsid w:val="00E0473A"/>
    <w:rsid w:val="00E04835"/>
    <w:rsid w:val="00E04892"/>
    <w:rsid w:val="00E048A9"/>
    <w:rsid w:val="00E048AC"/>
    <w:rsid w:val="00E048E7"/>
    <w:rsid w:val="00E0493C"/>
    <w:rsid w:val="00E049B8"/>
    <w:rsid w:val="00E04A87"/>
    <w:rsid w:val="00E04B53"/>
    <w:rsid w:val="00E04BBF"/>
    <w:rsid w:val="00E04C2C"/>
    <w:rsid w:val="00E04CEA"/>
    <w:rsid w:val="00E04E3E"/>
    <w:rsid w:val="00E04F6F"/>
    <w:rsid w:val="00E04FA8"/>
    <w:rsid w:val="00E04FF3"/>
    <w:rsid w:val="00E05051"/>
    <w:rsid w:val="00E0527B"/>
    <w:rsid w:val="00E052AB"/>
    <w:rsid w:val="00E0533B"/>
    <w:rsid w:val="00E0546B"/>
    <w:rsid w:val="00E0553D"/>
    <w:rsid w:val="00E056C8"/>
    <w:rsid w:val="00E05919"/>
    <w:rsid w:val="00E05AD0"/>
    <w:rsid w:val="00E05B54"/>
    <w:rsid w:val="00E05D29"/>
    <w:rsid w:val="00E05D2A"/>
    <w:rsid w:val="00E05D94"/>
    <w:rsid w:val="00E05E61"/>
    <w:rsid w:val="00E05ED3"/>
    <w:rsid w:val="00E05FA5"/>
    <w:rsid w:val="00E05FAD"/>
    <w:rsid w:val="00E05FAF"/>
    <w:rsid w:val="00E05FBD"/>
    <w:rsid w:val="00E0602B"/>
    <w:rsid w:val="00E061F0"/>
    <w:rsid w:val="00E063EA"/>
    <w:rsid w:val="00E06475"/>
    <w:rsid w:val="00E064AB"/>
    <w:rsid w:val="00E064FA"/>
    <w:rsid w:val="00E06509"/>
    <w:rsid w:val="00E06515"/>
    <w:rsid w:val="00E06653"/>
    <w:rsid w:val="00E0665B"/>
    <w:rsid w:val="00E06A36"/>
    <w:rsid w:val="00E06ADD"/>
    <w:rsid w:val="00E06BED"/>
    <w:rsid w:val="00E06D92"/>
    <w:rsid w:val="00E06DCD"/>
    <w:rsid w:val="00E071C3"/>
    <w:rsid w:val="00E0726F"/>
    <w:rsid w:val="00E0736F"/>
    <w:rsid w:val="00E07383"/>
    <w:rsid w:val="00E073F3"/>
    <w:rsid w:val="00E074B5"/>
    <w:rsid w:val="00E07508"/>
    <w:rsid w:val="00E07566"/>
    <w:rsid w:val="00E07605"/>
    <w:rsid w:val="00E07690"/>
    <w:rsid w:val="00E076A2"/>
    <w:rsid w:val="00E0772B"/>
    <w:rsid w:val="00E07875"/>
    <w:rsid w:val="00E079AF"/>
    <w:rsid w:val="00E079CB"/>
    <w:rsid w:val="00E07B21"/>
    <w:rsid w:val="00E07CEB"/>
    <w:rsid w:val="00E07EEF"/>
    <w:rsid w:val="00E07FD2"/>
    <w:rsid w:val="00E100F0"/>
    <w:rsid w:val="00E10117"/>
    <w:rsid w:val="00E1013C"/>
    <w:rsid w:val="00E1017A"/>
    <w:rsid w:val="00E1017F"/>
    <w:rsid w:val="00E101D4"/>
    <w:rsid w:val="00E101FD"/>
    <w:rsid w:val="00E102C2"/>
    <w:rsid w:val="00E1043E"/>
    <w:rsid w:val="00E1048B"/>
    <w:rsid w:val="00E104DB"/>
    <w:rsid w:val="00E10571"/>
    <w:rsid w:val="00E10723"/>
    <w:rsid w:val="00E1074E"/>
    <w:rsid w:val="00E107C8"/>
    <w:rsid w:val="00E1081B"/>
    <w:rsid w:val="00E10901"/>
    <w:rsid w:val="00E10949"/>
    <w:rsid w:val="00E10976"/>
    <w:rsid w:val="00E1097B"/>
    <w:rsid w:val="00E10AA1"/>
    <w:rsid w:val="00E10C9F"/>
    <w:rsid w:val="00E10CB4"/>
    <w:rsid w:val="00E10DCA"/>
    <w:rsid w:val="00E10E0F"/>
    <w:rsid w:val="00E10F82"/>
    <w:rsid w:val="00E110A6"/>
    <w:rsid w:val="00E11160"/>
    <w:rsid w:val="00E1122E"/>
    <w:rsid w:val="00E11245"/>
    <w:rsid w:val="00E1139B"/>
    <w:rsid w:val="00E114D6"/>
    <w:rsid w:val="00E1156E"/>
    <w:rsid w:val="00E115B7"/>
    <w:rsid w:val="00E116F6"/>
    <w:rsid w:val="00E1181E"/>
    <w:rsid w:val="00E1185F"/>
    <w:rsid w:val="00E11920"/>
    <w:rsid w:val="00E11A62"/>
    <w:rsid w:val="00E11AA8"/>
    <w:rsid w:val="00E11B7E"/>
    <w:rsid w:val="00E11B9F"/>
    <w:rsid w:val="00E11BA6"/>
    <w:rsid w:val="00E11EA8"/>
    <w:rsid w:val="00E11EF6"/>
    <w:rsid w:val="00E11F06"/>
    <w:rsid w:val="00E11FA1"/>
    <w:rsid w:val="00E12217"/>
    <w:rsid w:val="00E1224A"/>
    <w:rsid w:val="00E122BB"/>
    <w:rsid w:val="00E122C0"/>
    <w:rsid w:val="00E12407"/>
    <w:rsid w:val="00E124BF"/>
    <w:rsid w:val="00E126B6"/>
    <w:rsid w:val="00E12773"/>
    <w:rsid w:val="00E12958"/>
    <w:rsid w:val="00E129F7"/>
    <w:rsid w:val="00E12A3C"/>
    <w:rsid w:val="00E12AF1"/>
    <w:rsid w:val="00E12B03"/>
    <w:rsid w:val="00E12B23"/>
    <w:rsid w:val="00E12B47"/>
    <w:rsid w:val="00E12B66"/>
    <w:rsid w:val="00E12C46"/>
    <w:rsid w:val="00E12C93"/>
    <w:rsid w:val="00E12CDA"/>
    <w:rsid w:val="00E12D84"/>
    <w:rsid w:val="00E12D92"/>
    <w:rsid w:val="00E12DBE"/>
    <w:rsid w:val="00E12EF5"/>
    <w:rsid w:val="00E12F40"/>
    <w:rsid w:val="00E12F67"/>
    <w:rsid w:val="00E13090"/>
    <w:rsid w:val="00E1310C"/>
    <w:rsid w:val="00E13145"/>
    <w:rsid w:val="00E13419"/>
    <w:rsid w:val="00E134F8"/>
    <w:rsid w:val="00E1354B"/>
    <w:rsid w:val="00E1363F"/>
    <w:rsid w:val="00E136ED"/>
    <w:rsid w:val="00E13729"/>
    <w:rsid w:val="00E13786"/>
    <w:rsid w:val="00E137B1"/>
    <w:rsid w:val="00E13985"/>
    <w:rsid w:val="00E139DE"/>
    <w:rsid w:val="00E13A3E"/>
    <w:rsid w:val="00E13B31"/>
    <w:rsid w:val="00E13D63"/>
    <w:rsid w:val="00E13DC7"/>
    <w:rsid w:val="00E13F00"/>
    <w:rsid w:val="00E140F3"/>
    <w:rsid w:val="00E1415D"/>
    <w:rsid w:val="00E14198"/>
    <w:rsid w:val="00E141FA"/>
    <w:rsid w:val="00E14297"/>
    <w:rsid w:val="00E142B1"/>
    <w:rsid w:val="00E1437D"/>
    <w:rsid w:val="00E143AD"/>
    <w:rsid w:val="00E143B6"/>
    <w:rsid w:val="00E143EE"/>
    <w:rsid w:val="00E1459F"/>
    <w:rsid w:val="00E145C4"/>
    <w:rsid w:val="00E1465F"/>
    <w:rsid w:val="00E14682"/>
    <w:rsid w:val="00E146C5"/>
    <w:rsid w:val="00E146EE"/>
    <w:rsid w:val="00E1475B"/>
    <w:rsid w:val="00E147EB"/>
    <w:rsid w:val="00E14976"/>
    <w:rsid w:val="00E1497B"/>
    <w:rsid w:val="00E14A13"/>
    <w:rsid w:val="00E14B38"/>
    <w:rsid w:val="00E14C26"/>
    <w:rsid w:val="00E14D2D"/>
    <w:rsid w:val="00E14DD9"/>
    <w:rsid w:val="00E14E16"/>
    <w:rsid w:val="00E14E89"/>
    <w:rsid w:val="00E14E9E"/>
    <w:rsid w:val="00E14EC7"/>
    <w:rsid w:val="00E14F0D"/>
    <w:rsid w:val="00E14FC8"/>
    <w:rsid w:val="00E15012"/>
    <w:rsid w:val="00E15249"/>
    <w:rsid w:val="00E15347"/>
    <w:rsid w:val="00E153DC"/>
    <w:rsid w:val="00E15449"/>
    <w:rsid w:val="00E15501"/>
    <w:rsid w:val="00E1555D"/>
    <w:rsid w:val="00E15643"/>
    <w:rsid w:val="00E156CD"/>
    <w:rsid w:val="00E1581D"/>
    <w:rsid w:val="00E1584E"/>
    <w:rsid w:val="00E158CE"/>
    <w:rsid w:val="00E1592F"/>
    <w:rsid w:val="00E15B52"/>
    <w:rsid w:val="00E15B5D"/>
    <w:rsid w:val="00E15C33"/>
    <w:rsid w:val="00E15CB9"/>
    <w:rsid w:val="00E15CFC"/>
    <w:rsid w:val="00E15D4A"/>
    <w:rsid w:val="00E15DB7"/>
    <w:rsid w:val="00E15E51"/>
    <w:rsid w:val="00E15E94"/>
    <w:rsid w:val="00E15F3D"/>
    <w:rsid w:val="00E15F6E"/>
    <w:rsid w:val="00E15FDF"/>
    <w:rsid w:val="00E16049"/>
    <w:rsid w:val="00E16111"/>
    <w:rsid w:val="00E1613D"/>
    <w:rsid w:val="00E16158"/>
    <w:rsid w:val="00E162ED"/>
    <w:rsid w:val="00E1631E"/>
    <w:rsid w:val="00E1638D"/>
    <w:rsid w:val="00E163F7"/>
    <w:rsid w:val="00E1656B"/>
    <w:rsid w:val="00E166B9"/>
    <w:rsid w:val="00E1678D"/>
    <w:rsid w:val="00E168CF"/>
    <w:rsid w:val="00E1699D"/>
    <w:rsid w:val="00E169F6"/>
    <w:rsid w:val="00E16AE0"/>
    <w:rsid w:val="00E16B5C"/>
    <w:rsid w:val="00E16CAF"/>
    <w:rsid w:val="00E16D89"/>
    <w:rsid w:val="00E16E0B"/>
    <w:rsid w:val="00E16E93"/>
    <w:rsid w:val="00E16ECA"/>
    <w:rsid w:val="00E16F2F"/>
    <w:rsid w:val="00E16FAD"/>
    <w:rsid w:val="00E171AC"/>
    <w:rsid w:val="00E172BD"/>
    <w:rsid w:val="00E173A7"/>
    <w:rsid w:val="00E1746B"/>
    <w:rsid w:val="00E17567"/>
    <w:rsid w:val="00E17591"/>
    <w:rsid w:val="00E176CD"/>
    <w:rsid w:val="00E176E8"/>
    <w:rsid w:val="00E17787"/>
    <w:rsid w:val="00E17790"/>
    <w:rsid w:val="00E17803"/>
    <w:rsid w:val="00E178A4"/>
    <w:rsid w:val="00E17952"/>
    <w:rsid w:val="00E17AA8"/>
    <w:rsid w:val="00E17ADE"/>
    <w:rsid w:val="00E17B45"/>
    <w:rsid w:val="00E17C2F"/>
    <w:rsid w:val="00E17DBE"/>
    <w:rsid w:val="00E17DCA"/>
    <w:rsid w:val="00E17F39"/>
    <w:rsid w:val="00E17FDC"/>
    <w:rsid w:val="00E200FE"/>
    <w:rsid w:val="00E201B5"/>
    <w:rsid w:val="00E201EE"/>
    <w:rsid w:val="00E20201"/>
    <w:rsid w:val="00E2028B"/>
    <w:rsid w:val="00E2029C"/>
    <w:rsid w:val="00E202A7"/>
    <w:rsid w:val="00E2059C"/>
    <w:rsid w:val="00E205D2"/>
    <w:rsid w:val="00E205D5"/>
    <w:rsid w:val="00E206CA"/>
    <w:rsid w:val="00E206EF"/>
    <w:rsid w:val="00E207CD"/>
    <w:rsid w:val="00E208BD"/>
    <w:rsid w:val="00E20941"/>
    <w:rsid w:val="00E209C9"/>
    <w:rsid w:val="00E209CB"/>
    <w:rsid w:val="00E20AF1"/>
    <w:rsid w:val="00E20B79"/>
    <w:rsid w:val="00E20BBF"/>
    <w:rsid w:val="00E20BC6"/>
    <w:rsid w:val="00E20C1D"/>
    <w:rsid w:val="00E20C5E"/>
    <w:rsid w:val="00E20CA2"/>
    <w:rsid w:val="00E20CB9"/>
    <w:rsid w:val="00E20DB2"/>
    <w:rsid w:val="00E20DEC"/>
    <w:rsid w:val="00E20E31"/>
    <w:rsid w:val="00E20F7F"/>
    <w:rsid w:val="00E20FE6"/>
    <w:rsid w:val="00E2102C"/>
    <w:rsid w:val="00E2107B"/>
    <w:rsid w:val="00E21082"/>
    <w:rsid w:val="00E21085"/>
    <w:rsid w:val="00E210C4"/>
    <w:rsid w:val="00E21231"/>
    <w:rsid w:val="00E21315"/>
    <w:rsid w:val="00E21385"/>
    <w:rsid w:val="00E21452"/>
    <w:rsid w:val="00E215EC"/>
    <w:rsid w:val="00E217A7"/>
    <w:rsid w:val="00E217C3"/>
    <w:rsid w:val="00E21849"/>
    <w:rsid w:val="00E218FF"/>
    <w:rsid w:val="00E21A41"/>
    <w:rsid w:val="00E21AA6"/>
    <w:rsid w:val="00E21ACF"/>
    <w:rsid w:val="00E21C2A"/>
    <w:rsid w:val="00E21E22"/>
    <w:rsid w:val="00E21F5C"/>
    <w:rsid w:val="00E2201D"/>
    <w:rsid w:val="00E221D7"/>
    <w:rsid w:val="00E222F2"/>
    <w:rsid w:val="00E2235B"/>
    <w:rsid w:val="00E223D0"/>
    <w:rsid w:val="00E22500"/>
    <w:rsid w:val="00E22592"/>
    <w:rsid w:val="00E22605"/>
    <w:rsid w:val="00E2260A"/>
    <w:rsid w:val="00E22645"/>
    <w:rsid w:val="00E227EE"/>
    <w:rsid w:val="00E227FE"/>
    <w:rsid w:val="00E2280D"/>
    <w:rsid w:val="00E2289F"/>
    <w:rsid w:val="00E22926"/>
    <w:rsid w:val="00E229C0"/>
    <w:rsid w:val="00E22A3D"/>
    <w:rsid w:val="00E22A71"/>
    <w:rsid w:val="00E22A76"/>
    <w:rsid w:val="00E22AB3"/>
    <w:rsid w:val="00E22B38"/>
    <w:rsid w:val="00E22BD9"/>
    <w:rsid w:val="00E22D3A"/>
    <w:rsid w:val="00E22D7A"/>
    <w:rsid w:val="00E22DEC"/>
    <w:rsid w:val="00E22E70"/>
    <w:rsid w:val="00E22E72"/>
    <w:rsid w:val="00E22E85"/>
    <w:rsid w:val="00E23067"/>
    <w:rsid w:val="00E23088"/>
    <w:rsid w:val="00E2312F"/>
    <w:rsid w:val="00E231F7"/>
    <w:rsid w:val="00E2340E"/>
    <w:rsid w:val="00E234B7"/>
    <w:rsid w:val="00E23537"/>
    <w:rsid w:val="00E2359C"/>
    <w:rsid w:val="00E235C5"/>
    <w:rsid w:val="00E235CC"/>
    <w:rsid w:val="00E2364F"/>
    <w:rsid w:val="00E23841"/>
    <w:rsid w:val="00E238A7"/>
    <w:rsid w:val="00E23975"/>
    <w:rsid w:val="00E23A03"/>
    <w:rsid w:val="00E23A1E"/>
    <w:rsid w:val="00E23A29"/>
    <w:rsid w:val="00E23B82"/>
    <w:rsid w:val="00E23BCC"/>
    <w:rsid w:val="00E23C36"/>
    <w:rsid w:val="00E23DC9"/>
    <w:rsid w:val="00E23E1C"/>
    <w:rsid w:val="00E23EBD"/>
    <w:rsid w:val="00E23F09"/>
    <w:rsid w:val="00E23F99"/>
    <w:rsid w:val="00E24058"/>
    <w:rsid w:val="00E24209"/>
    <w:rsid w:val="00E24322"/>
    <w:rsid w:val="00E245E7"/>
    <w:rsid w:val="00E2465D"/>
    <w:rsid w:val="00E24794"/>
    <w:rsid w:val="00E248EC"/>
    <w:rsid w:val="00E24A23"/>
    <w:rsid w:val="00E24A36"/>
    <w:rsid w:val="00E24B91"/>
    <w:rsid w:val="00E24C08"/>
    <w:rsid w:val="00E24C81"/>
    <w:rsid w:val="00E24CAD"/>
    <w:rsid w:val="00E24D3F"/>
    <w:rsid w:val="00E24D96"/>
    <w:rsid w:val="00E24DB8"/>
    <w:rsid w:val="00E2502B"/>
    <w:rsid w:val="00E25099"/>
    <w:rsid w:val="00E250A3"/>
    <w:rsid w:val="00E2518B"/>
    <w:rsid w:val="00E2529C"/>
    <w:rsid w:val="00E252D9"/>
    <w:rsid w:val="00E25345"/>
    <w:rsid w:val="00E2538E"/>
    <w:rsid w:val="00E25486"/>
    <w:rsid w:val="00E25571"/>
    <w:rsid w:val="00E2557C"/>
    <w:rsid w:val="00E25724"/>
    <w:rsid w:val="00E257E4"/>
    <w:rsid w:val="00E25822"/>
    <w:rsid w:val="00E2588D"/>
    <w:rsid w:val="00E25897"/>
    <w:rsid w:val="00E258B5"/>
    <w:rsid w:val="00E258B8"/>
    <w:rsid w:val="00E25AAF"/>
    <w:rsid w:val="00E25CD4"/>
    <w:rsid w:val="00E25D4A"/>
    <w:rsid w:val="00E25E9E"/>
    <w:rsid w:val="00E25ECF"/>
    <w:rsid w:val="00E25F5E"/>
    <w:rsid w:val="00E25F93"/>
    <w:rsid w:val="00E26159"/>
    <w:rsid w:val="00E26187"/>
    <w:rsid w:val="00E26194"/>
    <w:rsid w:val="00E261FF"/>
    <w:rsid w:val="00E26292"/>
    <w:rsid w:val="00E262DB"/>
    <w:rsid w:val="00E263B2"/>
    <w:rsid w:val="00E266D4"/>
    <w:rsid w:val="00E26719"/>
    <w:rsid w:val="00E2678A"/>
    <w:rsid w:val="00E26833"/>
    <w:rsid w:val="00E26BBF"/>
    <w:rsid w:val="00E26D42"/>
    <w:rsid w:val="00E26E98"/>
    <w:rsid w:val="00E26F8C"/>
    <w:rsid w:val="00E26FD7"/>
    <w:rsid w:val="00E27033"/>
    <w:rsid w:val="00E27079"/>
    <w:rsid w:val="00E270B9"/>
    <w:rsid w:val="00E27209"/>
    <w:rsid w:val="00E2725D"/>
    <w:rsid w:val="00E273B3"/>
    <w:rsid w:val="00E273E4"/>
    <w:rsid w:val="00E2757A"/>
    <w:rsid w:val="00E275A9"/>
    <w:rsid w:val="00E27610"/>
    <w:rsid w:val="00E2764D"/>
    <w:rsid w:val="00E27710"/>
    <w:rsid w:val="00E277E5"/>
    <w:rsid w:val="00E27884"/>
    <w:rsid w:val="00E27972"/>
    <w:rsid w:val="00E27A84"/>
    <w:rsid w:val="00E27CC9"/>
    <w:rsid w:val="00E27DB2"/>
    <w:rsid w:val="00E27E0F"/>
    <w:rsid w:val="00E30031"/>
    <w:rsid w:val="00E30078"/>
    <w:rsid w:val="00E30194"/>
    <w:rsid w:val="00E301EE"/>
    <w:rsid w:val="00E3020D"/>
    <w:rsid w:val="00E302AE"/>
    <w:rsid w:val="00E302C8"/>
    <w:rsid w:val="00E3064B"/>
    <w:rsid w:val="00E306A9"/>
    <w:rsid w:val="00E306AB"/>
    <w:rsid w:val="00E30741"/>
    <w:rsid w:val="00E307A7"/>
    <w:rsid w:val="00E30801"/>
    <w:rsid w:val="00E3083C"/>
    <w:rsid w:val="00E308C0"/>
    <w:rsid w:val="00E309C2"/>
    <w:rsid w:val="00E309D5"/>
    <w:rsid w:val="00E30A8F"/>
    <w:rsid w:val="00E30B56"/>
    <w:rsid w:val="00E30B67"/>
    <w:rsid w:val="00E30BE9"/>
    <w:rsid w:val="00E30C5C"/>
    <w:rsid w:val="00E30CA5"/>
    <w:rsid w:val="00E30D15"/>
    <w:rsid w:val="00E30D78"/>
    <w:rsid w:val="00E30DCD"/>
    <w:rsid w:val="00E30E7A"/>
    <w:rsid w:val="00E30F73"/>
    <w:rsid w:val="00E30FCF"/>
    <w:rsid w:val="00E30FE2"/>
    <w:rsid w:val="00E31000"/>
    <w:rsid w:val="00E310B2"/>
    <w:rsid w:val="00E310DD"/>
    <w:rsid w:val="00E31132"/>
    <w:rsid w:val="00E31286"/>
    <w:rsid w:val="00E31313"/>
    <w:rsid w:val="00E3136D"/>
    <w:rsid w:val="00E31450"/>
    <w:rsid w:val="00E315B1"/>
    <w:rsid w:val="00E3168A"/>
    <w:rsid w:val="00E31694"/>
    <w:rsid w:val="00E316B5"/>
    <w:rsid w:val="00E316BF"/>
    <w:rsid w:val="00E31885"/>
    <w:rsid w:val="00E3188C"/>
    <w:rsid w:val="00E318FD"/>
    <w:rsid w:val="00E31922"/>
    <w:rsid w:val="00E31929"/>
    <w:rsid w:val="00E3193A"/>
    <w:rsid w:val="00E31A17"/>
    <w:rsid w:val="00E31ADE"/>
    <w:rsid w:val="00E31AE5"/>
    <w:rsid w:val="00E31C5B"/>
    <w:rsid w:val="00E31D39"/>
    <w:rsid w:val="00E31DFE"/>
    <w:rsid w:val="00E31FCA"/>
    <w:rsid w:val="00E32036"/>
    <w:rsid w:val="00E32056"/>
    <w:rsid w:val="00E3206E"/>
    <w:rsid w:val="00E32172"/>
    <w:rsid w:val="00E321D0"/>
    <w:rsid w:val="00E3223B"/>
    <w:rsid w:val="00E32254"/>
    <w:rsid w:val="00E322F8"/>
    <w:rsid w:val="00E3231B"/>
    <w:rsid w:val="00E323E5"/>
    <w:rsid w:val="00E324D3"/>
    <w:rsid w:val="00E32690"/>
    <w:rsid w:val="00E326AD"/>
    <w:rsid w:val="00E326FE"/>
    <w:rsid w:val="00E32721"/>
    <w:rsid w:val="00E328D7"/>
    <w:rsid w:val="00E32931"/>
    <w:rsid w:val="00E3295E"/>
    <w:rsid w:val="00E32A4B"/>
    <w:rsid w:val="00E32B2D"/>
    <w:rsid w:val="00E32B95"/>
    <w:rsid w:val="00E32BBC"/>
    <w:rsid w:val="00E32C90"/>
    <w:rsid w:val="00E32CBA"/>
    <w:rsid w:val="00E32CF4"/>
    <w:rsid w:val="00E32D0F"/>
    <w:rsid w:val="00E32D82"/>
    <w:rsid w:val="00E32D91"/>
    <w:rsid w:val="00E32F38"/>
    <w:rsid w:val="00E32FC0"/>
    <w:rsid w:val="00E32FC1"/>
    <w:rsid w:val="00E32FD2"/>
    <w:rsid w:val="00E33091"/>
    <w:rsid w:val="00E3321B"/>
    <w:rsid w:val="00E333B3"/>
    <w:rsid w:val="00E3352F"/>
    <w:rsid w:val="00E3353A"/>
    <w:rsid w:val="00E3357D"/>
    <w:rsid w:val="00E335D4"/>
    <w:rsid w:val="00E335F0"/>
    <w:rsid w:val="00E3361C"/>
    <w:rsid w:val="00E33788"/>
    <w:rsid w:val="00E33898"/>
    <w:rsid w:val="00E338CA"/>
    <w:rsid w:val="00E33908"/>
    <w:rsid w:val="00E33911"/>
    <w:rsid w:val="00E33919"/>
    <w:rsid w:val="00E3397D"/>
    <w:rsid w:val="00E339FA"/>
    <w:rsid w:val="00E33A96"/>
    <w:rsid w:val="00E33B19"/>
    <w:rsid w:val="00E33C0C"/>
    <w:rsid w:val="00E33C63"/>
    <w:rsid w:val="00E33CC7"/>
    <w:rsid w:val="00E33E39"/>
    <w:rsid w:val="00E33F1D"/>
    <w:rsid w:val="00E33F87"/>
    <w:rsid w:val="00E33FE8"/>
    <w:rsid w:val="00E33FED"/>
    <w:rsid w:val="00E340C8"/>
    <w:rsid w:val="00E34168"/>
    <w:rsid w:val="00E341C1"/>
    <w:rsid w:val="00E34287"/>
    <w:rsid w:val="00E3429C"/>
    <w:rsid w:val="00E342ED"/>
    <w:rsid w:val="00E342FC"/>
    <w:rsid w:val="00E345A8"/>
    <w:rsid w:val="00E34642"/>
    <w:rsid w:val="00E346B2"/>
    <w:rsid w:val="00E346E5"/>
    <w:rsid w:val="00E34745"/>
    <w:rsid w:val="00E347F9"/>
    <w:rsid w:val="00E34836"/>
    <w:rsid w:val="00E34842"/>
    <w:rsid w:val="00E348C6"/>
    <w:rsid w:val="00E3490C"/>
    <w:rsid w:val="00E34A3B"/>
    <w:rsid w:val="00E34A62"/>
    <w:rsid w:val="00E34AF5"/>
    <w:rsid w:val="00E34BC7"/>
    <w:rsid w:val="00E34C07"/>
    <w:rsid w:val="00E34CAB"/>
    <w:rsid w:val="00E34D1E"/>
    <w:rsid w:val="00E34D3F"/>
    <w:rsid w:val="00E34D6C"/>
    <w:rsid w:val="00E34DED"/>
    <w:rsid w:val="00E34E9A"/>
    <w:rsid w:val="00E34FDE"/>
    <w:rsid w:val="00E3528A"/>
    <w:rsid w:val="00E352D2"/>
    <w:rsid w:val="00E35323"/>
    <w:rsid w:val="00E353D0"/>
    <w:rsid w:val="00E353F4"/>
    <w:rsid w:val="00E35534"/>
    <w:rsid w:val="00E35541"/>
    <w:rsid w:val="00E35572"/>
    <w:rsid w:val="00E355A5"/>
    <w:rsid w:val="00E3561C"/>
    <w:rsid w:val="00E35803"/>
    <w:rsid w:val="00E358B6"/>
    <w:rsid w:val="00E358E9"/>
    <w:rsid w:val="00E3591B"/>
    <w:rsid w:val="00E35956"/>
    <w:rsid w:val="00E359A7"/>
    <w:rsid w:val="00E359D3"/>
    <w:rsid w:val="00E35A69"/>
    <w:rsid w:val="00E35B0B"/>
    <w:rsid w:val="00E35B7D"/>
    <w:rsid w:val="00E35C3D"/>
    <w:rsid w:val="00E35C59"/>
    <w:rsid w:val="00E35EB7"/>
    <w:rsid w:val="00E35F7B"/>
    <w:rsid w:val="00E35FBA"/>
    <w:rsid w:val="00E3604B"/>
    <w:rsid w:val="00E360DD"/>
    <w:rsid w:val="00E36386"/>
    <w:rsid w:val="00E363FB"/>
    <w:rsid w:val="00E3645C"/>
    <w:rsid w:val="00E36518"/>
    <w:rsid w:val="00E3656A"/>
    <w:rsid w:val="00E365CB"/>
    <w:rsid w:val="00E366CE"/>
    <w:rsid w:val="00E36753"/>
    <w:rsid w:val="00E369C7"/>
    <w:rsid w:val="00E36A02"/>
    <w:rsid w:val="00E36A09"/>
    <w:rsid w:val="00E36A80"/>
    <w:rsid w:val="00E36AAB"/>
    <w:rsid w:val="00E36B83"/>
    <w:rsid w:val="00E36C91"/>
    <w:rsid w:val="00E36D5A"/>
    <w:rsid w:val="00E36D9B"/>
    <w:rsid w:val="00E36EA7"/>
    <w:rsid w:val="00E371B8"/>
    <w:rsid w:val="00E371E3"/>
    <w:rsid w:val="00E37209"/>
    <w:rsid w:val="00E3736F"/>
    <w:rsid w:val="00E37420"/>
    <w:rsid w:val="00E374CE"/>
    <w:rsid w:val="00E374FF"/>
    <w:rsid w:val="00E375B7"/>
    <w:rsid w:val="00E3773E"/>
    <w:rsid w:val="00E377E5"/>
    <w:rsid w:val="00E37831"/>
    <w:rsid w:val="00E37B32"/>
    <w:rsid w:val="00E37C16"/>
    <w:rsid w:val="00E37C44"/>
    <w:rsid w:val="00E37D70"/>
    <w:rsid w:val="00E37E5D"/>
    <w:rsid w:val="00E37F9D"/>
    <w:rsid w:val="00E400A0"/>
    <w:rsid w:val="00E40206"/>
    <w:rsid w:val="00E402ED"/>
    <w:rsid w:val="00E40478"/>
    <w:rsid w:val="00E404A0"/>
    <w:rsid w:val="00E404A6"/>
    <w:rsid w:val="00E404B0"/>
    <w:rsid w:val="00E40574"/>
    <w:rsid w:val="00E407A0"/>
    <w:rsid w:val="00E40875"/>
    <w:rsid w:val="00E40878"/>
    <w:rsid w:val="00E40935"/>
    <w:rsid w:val="00E40958"/>
    <w:rsid w:val="00E40A4E"/>
    <w:rsid w:val="00E40ACF"/>
    <w:rsid w:val="00E40B1E"/>
    <w:rsid w:val="00E40B68"/>
    <w:rsid w:val="00E40D26"/>
    <w:rsid w:val="00E40D40"/>
    <w:rsid w:val="00E40D7A"/>
    <w:rsid w:val="00E40DA2"/>
    <w:rsid w:val="00E40E0C"/>
    <w:rsid w:val="00E40E42"/>
    <w:rsid w:val="00E40F02"/>
    <w:rsid w:val="00E40FBA"/>
    <w:rsid w:val="00E41079"/>
    <w:rsid w:val="00E41169"/>
    <w:rsid w:val="00E4116D"/>
    <w:rsid w:val="00E4118D"/>
    <w:rsid w:val="00E411AE"/>
    <w:rsid w:val="00E41217"/>
    <w:rsid w:val="00E415D8"/>
    <w:rsid w:val="00E4170D"/>
    <w:rsid w:val="00E4173F"/>
    <w:rsid w:val="00E41825"/>
    <w:rsid w:val="00E4183F"/>
    <w:rsid w:val="00E418BD"/>
    <w:rsid w:val="00E418C8"/>
    <w:rsid w:val="00E41903"/>
    <w:rsid w:val="00E41931"/>
    <w:rsid w:val="00E41967"/>
    <w:rsid w:val="00E41AED"/>
    <w:rsid w:val="00E41B54"/>
    <w:rsid w:val="00E41C27"/>
    <w:rsid w:val="00E41DF0"/>
    <w:rsid w:val="00E41ED3"/>
    <w:rsid w:val="00E41EF0"/>
    <w:rsid w:val="00E41F48"/>
    <w:rsid w:val="00E42077"/>
    <w:rsid w:val="00E42094"/>
    <w:rsid w:val="00E4244C"/>
    <w:rsid w:val="00E42488"/>
    <w:rsid w:val="00E427D4"/>
    <w:rsid w:val="00E42A78"/>
    <w:rsid w:val="00E42A8C"/>
    <w:rsid w:val="00E42B9C"/>
    <w:rsid w:val="00E42BBC"/>
    <w:rsid w:val="00E42D3D"/>
    <w:rsid w:val="00E42D40"/>
    <w:rsid w:val="00E42DC9"/>
    <w:rsid w:val="00E42EAB"/>
    <w:rsid w:val="00E42ECC"/>
    <w:rsid w:val="00E42F57"/>
    <w:rsid w:val="00E43003"/>
    <w:rsid w:val="00E43045"/>
    <w:rsid w:val="00E430DC"/>
    <w:rsid w:val="00E43143"/>
    <w:rsid w:val="00E431A4"/>
    <w:rsid w:val="00E431AB"/>
    <w:rsid w:val="00E431BC"/>
    <w:rsid w:val="00E43385"/>
    <w:rsid w:val="00E433B9"/>
    <w:rsid w:val="00E4349E"/>
    <w:rsid w:val="00E435C3"/>
    <w:rsid w:val="00E43618"/>
    <w:rsid w:val="00E436E1"/>
    <w:rsid w:val="00E437B7"/>
    <w:rsid w:val="00E437F2"/>
    <w:rsid w:val="00E43821"/>
    <w:rsid w:val="00E438B5"/>
    <w:rsid w:val="00E43968"/>
    <w:rsid w:val="00E43BB1"/>
    <w:rsid w:val="00E43BB4"/>
    <w:rsid w:val="00E43D19"/>
    <w:rsid w:val="00E43D4B"/>
    <w:rsid w:val="00E43D70"/>
    <w:rsid w:val="00E43DD1"/>
    <w:rsid w:val="00E43E42"/>
    <w:rsid w:val="00E43E51"/>
    <w:rsid w:val="00E43EB9"/>
    <w:rsid w:val="00E43EE0"/>
    <w:rsid w:val="00E43F0A"/>
    <w:rsid w:val="00E43F2A"/>
    <w:rsid w:val="00E43F45"/>
    <w:rsid w:val="00E43F56"/>
    <w:rsid w:val="00E43FF7"/>
    <w:rsid w:val="00E4407F"/>
    <w:rsid w:val="00E44135"/>
    <w:rsid w:val="00E4414B"/>
    <w:rsid w:val="00E44181"/>
    <w:rsid w:val="00E4422A"/>
    <w:rsid w:val="00E442AF"/>
    <w:rsid w:val="00E444B9"/>
    <w:rsid w:val="00E444D7"/>
    <w:rsid w:val="00E44514"/>
    <w:rsid w:val="00E44582"/>
    <w:rsid w:val="00E44608"/>
    <w:rsid w:val="00E44743"/>
    <w:rsid w:val="00E44840"/>
    <w:rsid w:val="00E448DA"/>
    <w:rsid w:val="00E44958"/>
    <w:rsid w:val="00E449B7"/>
    <w:rsid w:val="00E44ABC"/>
    <w:rsid w:val="00E44AC4"/>
    <w:rsid w:val="00E44B2B"/>
    <w:rsid w:val="00E44BA4"/>
    <w:rsid w:val="00E44C84"/>
    <w:rsid w:val="00E44DAC"/>
    <w:rsid w:val="00E44E3D"/>
    <w:rsid w:val="00E4513C"/>
    <w:rsid w:val="00E451D7"/>
    <w:rsid w:val="00E451FD"/>
    <w:rsid w:val="00E4527F"/>
    <w:rsid w:val="00E455E1"/>
    <w:rsid w:val="00E4568C"/>
    <w:rsid w:val="00E4575F"/>
    <w:rsid w:val="00E458A6"/>
    <w:rsid w:val="00E458F4"/>
    <w:rsid w:val="00E45A0D"/>
    <w:rsid w:val="00E45AC8"/>
    <w:rsid w:val="00E45B1C"/>
    <w:rsid w:val="00E45BEE"/>
    <w:rsid w:val="00E45C85"/>
    <w:rsid w:val="00E45CEC"/>
    <w:rsid w:val="00E45D66"/>
    <w:rsid w:val="00E45FC1"/>
    <w:rsid w:val="00E45FCA"/>
    <w:rsid w:val="00E46067"/>
    <w:rsid w:val="00E461C3"/>
    <w:rsid w:val="00E4621D"/>
    <w:rsid w:val="00E4637A"/>
    <w:rsid w:val="00E4645A"/>
    <w:rsid w:val="00E4647A"/>
    <w:rsid w:val="00E464E5"/>
    <w:rsid w:val="00E46572"/>
    <w:rsid w:val="00E465E8"/>
    <w:rsid w:val="00E465EA"/>
    <w:rsid w:val="00E46711"/>
    <w:rsid w:val="00E467BC"/>
    <w:rsid w:val="00E467EB"/>
    <w:rsid w:val="00E46885"/>
    <w:rsid w:val="00E4688A"/>
    <w:rsid w:val="00E4692A"/>
    <w:rsid w:val="00E46A76"/>
    <w:rsid w:val="00E46BF8"/>
    <w:rsid w:val="00E46C84"/>
    <w:rsid w:val="00E46CEF"/>
    <w:rsid w:val="00E46DD6"/>
    <w:rsid w:val="00E46E1A"/>
    <w:rsid w:val="00E46EBB"/>
    <w:rsid w:val="00E46ECA"/>
    <w:rsid w:val="00E46F5C"/>
    <w:rsid w:val="00E4705D"/>
    <w:rsid w:val="00E470C4"/>
    <w:rsid w:val="00E47153"/>
    <w:rsid w:val="00E47159"/>
    <w:rsid w:val="00E4725A"/>
    <w:rsid w:val="00E4728C"/>
    <w:rsid w:val="00E472BC"/>
    <w:rsid w:val="00E472E1"/>
    <w:rsid w:val="00E472EA"/>
    <w:rsid w:val="00E47532"/>
    <w:rsid w:val="00E47535"/>
    <w:rsid w:val="00E47565"/>
    <w:rsid w:val="00E475AC"/>
    <w:rsid w:val="00E47658"/>
    <w:rsid w:val="00E47730"/>
    <w:rsid w:val="00E4775E"/>
    <w:rsid w:val="00E4787E"/>
    <w:rsid w:val="00E4796E"/>
    <w:rsid w:val="00E47972"/>
    <w:rsid w:val="00E47B2F"/>
    <w:rsid w:val="00E47B46"/>
    <w:rsid w:val="00E47C93"/>
    <w:rsid w:val="00E47CC1"/>
    <w:rsid w:val="00E47CD4"/>
    <w:rsid w:val="00E47D1A"/>
    <w:rsid w:val="00E47E4C"/>
    <w:rsid w:val="00E47EB8"/>
    <w:rsid w:val="00E47F08"/>
    <w:rsid w:val="00E47F14"/>
    <w:rsid w:val="00E47F69"/>
    <w:rsid w:val="00E47FE9"/>
    <w:rsid w:val="00E5001E"/>
    <w:rsid w:val="00E50088"/>
    <w:rsid w:val="00E50093"/>
    <w:rsid w:val="00E502B7"/>
    <w:rsid w:val="00E502D1"/>
    <w:rsid w:val="00E5031C"/>
    <w:rsid w:val="00E503DB"/>
    <w:rsid w:val="00E504FB"/>
    <w:rsid w:val="00E5053A"/>
    <w:rsid w:val="00E50712"/>
    <w:rsid w:val="00E5097F"/>
    <w:rsid w:val="00E50ACD"/>
    <w:rsid w:val="00E50C78"/>
    <w:rsid w:val="00E50CCC"/>
    <w:rsid w:val="00E50CF5"/>
    <w:rsid w:val="00E50D27"/>
    <w:rsid w:val="00E50E12"/>
    <w:rsid w:val="00E50E19"/>
    <w:rsid w:val="00E50E25"/>
    <w:rsid w:val="00E50F41"/>
    <w:rsid w:val="00E50F48"/>
    <w:rsid w:val="00E50F92"/>
    <w:rsid w:val="00E51150"/>
    <w:rsid w:val="00E51172"/>
    <w:rsid w:val="00E511CA"/>
    <w:rsid w:val="00E512A9"/>
    <w:rsid w:val="00E513FF"/>
    <w:rsid w:val="00E5156D"/>
    <w:rsid w:val="00E515F7"/>
    <w:rsid w:val="00E516B3"/>
    <w:rsid w:val="00E51701"/>
    <w:rsid w:val="00E51709"/>
    <w:rsid w:val="00E51721"/>
    <w:rsid w:val="00E51807"/>
    <w:rsid w:val="00E51864"/>
    <w:rsid w:val="00E51958"/>
    <w:rsid w:val="00E5195F"/>
    <w:rsid w:val="00E519D2"/>
    <w:rsid w:val="00E51A64"/>
    <w:rsid w:val="00E51A81"/>
    <w:rsid w:val="00E51AB1"/>
    <w:rsid w:val="00E51CF9"/>
    <w:rsid w:val="00E51D3E"/>
    <w:rsid w:val="00E51DDC"/>
    <w:rsid w:val="00E51F6E"/>
    <w:rsid w:val="00E51F8E"/>
    <w:rsid w:val="00E52049"/>
    <w:rsid w:val="00E520F5"/>
    <w:rsid w:val="00E52164"/>
    <w:rsid w:val="00E521F1"/>
    <w:rsid w:val="00E52330"/>
    <w:rsid w:val="00E523F1"/>
    <w:rsid w:val="00E52415"/>
    <w:rsid w:val="00E52459"/>
    <w:rsid w:val="00E524EB"/>
    <w:rsid w:val="00E524FF"/>
    <w:rsid w:val="00E52527"/>
    <w:rsid w:val="00E525CF"/>
    <w:rsid w:val="00E52605"/>
    <w:rsid w:val="00E526B5"/>
    <w:rsid w:val="00E5275F"/>
    <w:rsid w:val="00E528CE"/>
    <w:rsid w:val="00E529AB"/>
    <w:rsid w:val="00E52A62"/>
    <w:rsid w:val="00E52BAF"/>
    <w:rsid w:val="00E52BC6"/>
    <w:rsid w:val="00E52BDF"/>
    <w:rsid w:val="00E52C00"/>
    <w:rsid w:val="00E52C1A"/>
    <w:rsid w:val="00E52D74"/>
    <w:rsid w:val="00E52DB5"/>
    <w:rsid w:val="00E52DBB"/>
    <w:rsid w:val="00E52EE9"/>
    <w:rsid w:val="00E52F78"/>
    <w:rsid w:val="00E53091"/>
    <w:rsid w:val="00E530B5"/>
    <w:rsid w:val="00E530D5"/>
    <w:rsid w:val="00E53105"/>
    <w:rsid w:val="00E53198"/>
    <w:rsid w:val="00E531C9"/>
    <w:rsid w:val="00E53316"/>
    <w:rsid w:val="00E53398"/>
    <w:rsid w:val="00E533EA"/>
    <w:rsid w:val="00E53426"/>
    <w:rsid w:val="00E53504"/>
    <w:rsid w:val="00E53534"/>
    <w:rsid w:val="00E5365D"/>
    <w:rsid w:val="00E53988"/>
    <w:rsid w:val="00E539D3"/>
    <w:rsid w:val="00E539E6"/>
    <w:rsid w:val="00E53AD0"/>
    <w:rsid w:val="00E53AD6"/>
    <w:rsid w:val="00E53D2B"/>
    <w:rsid w:val="00E53E4A"/>
    <w:rsid w:val="00E53F63"/>
    <w:rsid w:val="00E53F6B"/>
    <w:rsid w:val="00E5401E"/>
    <w:rsid w:val="00E54091"/>
    <w:rsid w:val="00E540B3"/>
    <w:rsid w:val="00E5426D"/>
    <w:rsid w:val="00E542C1"/>
    <w:rsid w:val="00E542FD"/>
    <w:rsid w:val="00E544F6"/>
    <w:rsid w:val="00E54500"/>
    <w:rsid w:val="00E545E8"/>
    <w:rsid w:val="00E5461D"/>
    <w:rsid w:val="00E5463C"/>
    <w:rsid w:val="00E54675"/>
    <w:rsid w:val="00E54694"/>
    <w:rsid w:val="00E546E2"/>
    <w:rsid w:val="00E547CF"/>
    <w:rsid w:val="00E54835"/>
    <w:rsid w:val="00E548E8"/>
    <w:rsid w:val="00E54BC7"/>
    <w:rsid w:val="00E54C7A"/>
    <w:rsid w:val="00E54E1D"/>
    <w:rsid w:val="00E54E6B"/>
    <w:rsid w:val="00E5501C"/>
    <w:rsid w:val="00E550A7"/>
    <w:rsid w:val="00E552B9"/>
    <w:rsid w:val="00E5530B"/>
    <w:rsid w:val="00E55350"/>
    <w:rsid w:val="00E554A7"/>
    <w:rsid w:val="00E554D0"/>
    <w:rsid w:val="00E55614"/>
    <w:rsid w:val="00E55635"/>
    <w:rsid w:val="00E55698"/>
    <w:rsid w:val="00E55702"/>
    <w:rsid w:val="00E5573B"/>
    <w:rsid w:val="00E55758"/>
    <w:rsid w:val="00E55777"/>
    <w:rsid w:val="00E559F4"/>
    <w:rsid w:val="00E55A49"/>
    <w:rsid w:val="00E55B52"/>
    <w:rsid w:val="00E55BF6"/>
    <w:rsid w:val="00E55CE7"/>
    <w:rsid w:val="00E55DDE"/>
    <w:rsid w:val="00E55E15"/>
    <w:rsid w:val="00E56014"/>
    <w:rsid w:val="00E560B4"/>
    <w:rsid w:val="00E560E4"/>
    <w:rsid w:val="00E561E4"/>
    <w:rsid w:val="00E5628F"/>
    <w:rsid w:val="00E562B9"/>
    <w:rsid w:val="00E562BB"/>
    <w:rsid w:val="00E563E1"/>
    <w:rsid w:val="00E565E5"/>
    <w:rsid w:val="00E56710"/>
    <w:rsid w:val="00E5673B"/>
    <w:rsid w:val="00E567CC"/>
    <w:rsid w:val="00E5682F"/>
    <w:rsid w:val="00E568F8"/>
    <w:rsid w:val="00E56945"/>
    <w:rsid w:val="00E56980"/>
    <w:rsid w:val="00E56A72"/>
    <w:rsid w:val="00E56B48"/>
    <w:rsid w:val="00E56B74"/>
    <w:rsid w:val="00E56C87"/>
    <w:rsid w:val="00E56D33"/>
    <w:rsid w:val="00E56DF3"/>
    <w:rsid w:val="00E56E59"/>
    <w:rsid w:val="00E56E74"/>
    <w:rsid w:val="00E5702C"/>
    <w:rsid w:val="00E57188"/>
    <w:rsid w:val="00E571B1"/>
    <w:rsid w:val="00E5722B"/>
    <w:rsid w:val="00E5723F"/>
    <w:rsid w:val="00E57277"/>
    <w:rsid w:val="00E57329"/>
    <w:rsid w:val="00E573A3"/>
    <w:rsid w:val="00E57431"/>
    <w:rsid w:val="00E57512"/>
    <w:rsid w:val="00E57678"/>
    <w:rsid w:val="00E57697"/>
    <w:rsid w:val="00E576D4"/>
    <w:rsid w:val="00E5773E"/>
    <w:rsid w:val="00E5777A"/>
    <w:rsid w:val="00E578E4"/>
    <w:rsid w:val="00E57910"/>
    <w:rsid w:val="00E57987"/>
    <w:rsid w:val="00E57AB6"/>
    <w:rsid w:val="00E57CCC"/>
    <w:rsid w:val="00E57DF7"/>
    <w:rsid w:val="00E57E65"/>
    <w:rsid w:val="00E57EA7"/>
    <w:rsid w:val="00E60075"/>
    <w:rsid w:val="00E600E0"/>
    <w:rsid w:val="00E600FC"/>
    <w:rsid w:val="00E60482"/>
    <w:rsid w:val="00E605D4"/>
    <w:rsid w:val="00E60630"/>
    <w:rsid w:val="00E60696"/>
    <w:rsid w:val="00E60701"/>
    <w:rsid w:val="00E6078B"/>
    <w:rsid w:val="00E607AE"/>
    <w:rsid w:val="00E607B9"/>
    <w:rsid w:val="00E608C2"/>
    <w:rsid w:val="00E60942"/>
    <w:rsid w:val="00E60A66"/>
    <w:rsid w:val="00E60A72"/>
    <w:rsid w:val="00E60ABA"/>
    <w:rsid w:val="00E60B70"/>
    <w:rsid w:val="00E60B94"/>
    <w:rsid w:val="00E60BBA"/>
    <w:rsid w:val="00E60BD1"/>
    <w:rsid w:val="00E60CA4"/>
    <w:rsid w:val="00E60DB1"/>
    <w:rsid w:val="00E60F80"/>
    <w:rsid w:val="00E6111B"/>
    <w:rsid w:val="00E61129"/>
    <w:rsid w:val="00E61171"/>
    <w:rsid w:val="00E612DE"/>
    <w:rsid w:val="00E6132C"/>
    <w:rsid w:val="00E61373"/>
    <w:rsid w:val="00E613E5"/>
    <w:rsid w:val="00E614E6"/>
    <w:rsid w:val="00E614F5"/>
    <w:rsid w:val="00E6156A"/>
    <w:rsid w:val="00E615F3"/>
    <w:rsid w:val="00E616BC"/>
    <w:rsid w:val="00E619B5"/>
    <w:rsid w:val="00E619E0"/>
    <w:rsid w:val="00E61A7C"/>
    <w:rsid w:val="00E61B9B"/>
    <w:rsid w:val="00E61BB5"/>
    <w:rsid w:val="00E61C89"/>
    <w:rsid w:val="00E61CD9"/>
    <w:rsid w:val="00E61D02"/>
    <w:rsid w:val="00E61D3C"/>
    <w:rsid w:val="00E61E1A"/>
    <w:rsid w:val="00E61FDB"/>
    <w:rsid w:val="00E62039"/>
    <w:rsid w:val="00E622E9"/>
    <w:rsid w:val="00E62313"/>
    <w:rsid w:val="00E62343"/>
    <w:rsid w:val="00E6248D"/>
    <w:rsid w:val="00E624E2"/>
    <w:rsid w:val="00E625AA"/>
    <w:rsid w:val="00E626B9"/>
    <w:rsid w:val="00E6291A"/>
    <w:rsid w:val="00E6293F"/>
    <w:rsid w:val="00E62968"/>
    <w:rsid w:val="00E629A4"/>
    <w:rsid w:val="00E62A7D"/>
    <w:rsid w:val="00E62AA8"/>
    <w:rsid w:val="00E62AFD"/>
    <w:rsid w:val="00E62B11"/>
    <w:rsid w:val="00E62C4A"/>
    <w:rsid w:val="00E62C5B"/>
    <w:rsid w:val="00E62E6C"/>
    <w:rsid w:val="00E62F08"/>
    <w:rsid w:val="00E62FF6"/>
    <w:rsid w:val="00E630A0"/>
    <w:rsid w:val="00E630B7"/>
    <w:rsid w:val="00E63137"/>
    <w:rsid w:val="00E63173"/>
    <w:rsid w:val="00E6329E"/>
    <w:rsid w:val="00E6334F"/>
    <w:rsid w:val="00E633F5"/>
    <w:rsid w:val="00E6345D"/>
    <w:rsid w:val="00E6352D"/>
    <w:rsid w:val="00E6356D"/>
    <w:rsid w:val="00E635A6"/>
    <w:rsid w:val="00E636D6"/>
    <w:rsid w:val="00E63900"/>
    <w:rsid w:val="00E63B81"/>
    <w:rsid w:val="00E63BBD"/>
    <w:rsid w:val="00E63C26"/>
    <w:rsid w:val="00E63D85"/>
    <w:rsid w:val="00E63D86"/>
    <w:rsid w:val="00E63DAC"/>
    <w:rsid w:val="00E63DFD"/>
    <w:rsid w:val="00E63E16"/>
    <w:rsid w:val="00E63E3F"/>
    <w:rsid w:val="00E63ED4"/>
    <w:rsid w:val="00E63FF0"/>
    <w:rsid w:val="00E64051"/>
    <w:rsid w:val="00E6409C"/>
    <w:rsid w:val="00E642CA"/>
    <w:rsid w:val="00E64336"/>
    <w:rsid w:val="00E64356"/>
    <w:rsid w:val="00E64422"/>
    <w:rsid w:val="00E644BE"/>
    <w:rsid w:val="00E64630"/>
    <w:rsid w:val="00E6464F"/>
    <w:rsid w:val="00E64688"/>
    <w:rsid w:val="00E646E5"/>
    <w:rsid w:val="00E64705"/>
    <w:rsid w:val="00E64763"/>
    <w:rsid w:val="00E64799"/>
    <w:rsid w:val="00E648C9"/>
    <w:rsid w:val="00E648CD"/>
    <w:rsid w:val="00E648EB"/>
    <w:rsid w:val="00E649AD"/>
    <w:rsid w:val="00E649CE"/>
    <w:rsid w:val="00E64CE1"/>
    <w:rsid w:val="00E64D1D"/>
    <w:rsid w:val="00E64D4B"/>
    <w:rsid w:val="00E64D70"/>
    <w:rsid w:val="00E64E14"/>
    <w:rsid w:val="00E6510C"/>
    <w:rsid w:val="00E6512B"/>
    <w:rsid w:val="00E65136"/>
    <w:rsid w:val="00E6522C"/>
    <w:rsid w:val="00E652D2"/>
    <w:rsid w:val="00E655B6"/>
    <w:rsid w:val="00E656BA"/>
    <w:rsid w:val="00E656FF"/>
    <w:rsid w:val="00E65718"/>
    <w:rsid w:val="00E65748"/>
    <w:rsid w:val="00E65780"/>
    <w:rsid w:val="00E65795"/>
    <w:rsid w:val="00E65931"/>
    <w:rsid w:val="00E65995"/>
    <w:rsid w:val="00E65A18"/>
    <w:rsid w:val="00E65A5D"/>
    <w:rsid w:val="00E65AA9"/>
    <w:rsid w:val="00E65B62"/>
    <w:rsid w:val="00E65B63"/>
    <w:rsid w:val="00E65BC5"/>
    <w:rsid w:val="00E65C8F"/>
    <w:rsid w:val="00E65D70"/>
    <w:rsid w:val="00E65F40"/>
    <w:rsid w:val="00E65F61"/>
    <w:rsid w:val="00E65FA4"/>
    <w:rsid w:val="00E65FC0"/>
    <w:rsid w:val="00E66152"/>
    <w:rsid w:val="00E66179"/>
    <w:rsid w:val="00E662C8"/>
    <w:rsid w:val="00E66324"/>
    <w:rsid w:val="00E6635F"/>
    <w:rsid w:val="00E66486"/>
    <w:rsid w:val="00E665EA"/>
    <w:rsid w:val="00E66699"/>
    <w:rsid w:val="00E666A5"/>
    <w:rsid w:val="00E666C6"/>
    <w:rsid w:val="00E66752"/>
    <w:rsid w:val="00E66902"/>
    <w:rsid w:val="00E6690C"/>
    <w:rsid w:val="00E66B4F"/>
    <w:rsid w:val="00E66CC3"/>
    <w:rsid w:val="00E66E23"/>
    <w:rsid w:val="00E66E64"/>
    <w:rsid w:val="00E66F07"/>
    <w:rsid w:val="00E66F21"/>
    <w:rsid w:val="00E66F30"/>
    <w:rsid w:val="00E66FDC"/>
    <w:rsid w:val="00E6700B"/>
    <w:rsid w:val="00E67022"/>
    <w:rsid w:val="00E6702B"/>
    <w:rsid w:val="00E670CA"/>
    <w:rsid w:val="00E6714B"/>
    <w:rsid w:val="00E6727C"/>
    <w:rsid w:val="00E6735D"/>
    <w:rsid w:val="00E67506"/>
    <w:rsid w:val="00E67592"/>
    <w:rsid w:val="00E676A7"/>
    <w:rsid w:val="00E6773A"/>
    <w:rsid w:val="00E677A9"/>
    <w:rsid w:val="00E677CD"/>
    <w:rsid w:val="00E677FB"/>
    <w:rsid w:val="00E678B5"/>
    <w:rsid w:val="00E679A9"/>
    <w:rsid w:val="00E67A3B"/>
    <w:rsid w:val="00E67BA5"/>
    <w:rsid w:val="00E67BC9"/>
    <w:rsid w:val="00E67C4C"/>
    <w:rsid w:val="00E70025"/>
    <w:rsid w:val="00E7003E"/>
    <w:rsid w:val="00E700E8"/>
    <w:rsid w:val="00E7013B"/>
    <w:rsid w:val="00E70177"/>
    <w:rsid w:val="00E703E0"/>
    <w:rsid w:val="00E703E6"/>
    <w:rsid w:val="00E704F2"/>
    <w:rsid w:val="00E705EB"/>
    <w:rsid w:val="00E705EF"/>
    <w:rsid w:val="00E708A9"/>
    <w:rsid w:val="00E709DC"/>
    <w:rsid w:val="00E70B20"/>
    <w:rsid w:val="00E70C89"/>
    <w:rsid w:val="00E70D10"/>
    <w:rsid w:val="00E70D3A"/>
    <w:rsid w:val="00E70D95"/>
    <w:rsid w:val="00E70E96"/>
    <w:rsid w:val="00E710F5"/>
    <w:rsid w:val="00E71113"/>
    <w:rsid w:val="00E711A0"/>
    <w:rsid w:val="00E71216"/>
    <w:rsid w:val="00E71252"/>
    <w:rsid w:val="00E7133B"/>
    <w:rsid w:val="00E7147C"/>
    <w:rsid w:val="00E71497"/>
    <w:rsid w:val="00E714A4"/>
    <w:rsid w:val="00E714EB"/>
    <w:rsid w:val="00E714FB"/>
    <w:rsid w:val="00E71506"/>
    <w:rsid w:val="00E715AB"/>
    <w:rsid w:val="00E7162C"/>
    <w:rsid w:val="00E71669"/>
    <w:rsid w:val="00E716E4"/>
    <w:rsid w:val="00E71745"/>
    <w:rsid w:val="00E717AA"/>
    <w:rsid w:val="00E717D4"/>
    <w:rsid w:val="00E7181E"/>
    <w:rsid w:val="00E718C1"/>
    <w:rsid w:val="00E718E3"/>
    <w:rsid w:val="00E71965"/>
    <w:rsid w:val="00E719E2"/>
    <w:rsid w:val="00E719E8"/>
    <w:rsid w:val="00E71B47"/>
    <w:rsid w:val="00E71B5D"/>
    <w:rsid w:val="00E71B97"/>
    <w:rsid w:val="00E71BD9"/>
    <w:rsid w:val="00E71DDB"/>
    <w:rsid w:val="00E71F04"/>
    <w:rsid w:val="00E71F09"/>
    <w:rsid w:val="00E71FA4"/>
    <w:rsid w:val="00E71FD3"/>
    <w:rsid w:val="00E720F2"/>
    <w:rsid w:val="00E7218E"/>
    <w:rsid w:val="00E72228"/>
    <w:rsid w:val="00E724AC"/>
    <w:rsid w:val="00E725A3"/>
    <w:rsid w:val="00E7261C"/>
    <w:rsid w:val="00E7268A"/>
    <w:rsid w:val="00E7284E"/>
    <w:rsid w:val="00E72875"/>
    <w:rsid w:val="00E72C08"/>
    <w:rsid w:val="00E72CF8"/>
    <w:rsid w:val="00E72D2B"/>
    <w:rsid w:val="00E72DA1"/>
    <w:rsid w:val="00E72FC2"/>
    <w:rsid w:val="00E72FEF"/>
    <w:rsid w:val="00E73000"/>
    <w:rsid w:val="00E73030"/>
    <w:rsid w:val="00E73036"/>
    <w:rsid w:val="00E73190"/>
    <w:rsid w:val="00E731A6"/>
    <w:rsid w:val="00E73345"/>
    <w:rsid w:val="00E7353E"/>
    <w:rsid w:val="00E73566"/>
    <w:rsid w:val="00E735B3"/>
    <w:rsid w:val="00E735CA"/>
    <w:rsid w:val="00E736A6"/>
    <w:rsid w:val="00E73730"/>
    <w:rsid w:val="00E7375D"/>
    <w:rsid w:val="00E738B1"/>
    <w:rsid w:val="00E73981"/>
    <w:rsid w:val="00E73A50"/>
    <w:rsid w:val="00E73AC8"/>
    <w:rsid w:val="00E73B23"/>
    <w:rsid w:val="00E73B5D"/>
    <w:rsid w:val="00E73C2B"/>
    <w:rsid w:val="00E73D1D"/>
    <w:rsid w:val="00E73E4C"/>
    <w:rsid w:val="00E73E8C"/>
    <w:rsid w:val="00E73F01"/>
    <w:rsid w:val="00E73F09"/>
    <w:rsid w:val="00E73F24"/>
    <w:rsid w:val="00E73F6F"/>
    <w:rsid w:val="00E73FEC"/>
    <w:rsid w:val="00E741E4"/>
    <w:rsid w:val="00E7422A"/>
    <w:rsid w:val="00E742E1"/>
    <w:rsid w:val="00E742E4"/>
    <w:rsid w:val="00E74344"/>
    <w:rsid w:val="00E7435E"/>
    <w:rsid w:val="00E7436D"/>
    <w:rsid w:val="00E74447"/>
    <w:rsid w:val="00E7446C"/>
    <w:rsid w:val="00E745B0"/>
    <w:rsid w:val="00E74704"/>
    <w:rsid w:val="00E74725"/>
    <w:rsid w:val="00E74748"/>
    <w:rsid w:val="00E7484D"/>
    <w:rsid w:val="00E74934"/>
    <w:rsid w:val="00E74B4B"/>
    <w:rsid w:val="00E74B5C"/>
    <w:rsid w:val="00E74D41"/>
    <w:rsid w:val="00E74D58"/>
    <w:rsid w:val="00E74E3F"/>
    <w:rsid w:val="00E74F20"/>
    <w:rsid w:val="00E7500D"/>
    <w:rsid w:val="00E7507A"/>
    <w:rsid w:val="00E7511F"/>
    <w:rsid w:val="00E7520A"/>
    <w:rsid w:val="00E75251"/>
    <w:rsid w:val="00E752C2"/>
    <w:rsid w:val="00E752D7"/>
    <w:rsid w:val="00E7531E"/>
    <w:rsid w:val="00E7547E"/>
    <w:rsid w:val="00E754E0"/>
    <w:rsid w:val="00E7573A"/>
    <w:rsid w:val="00E757DC"/>
    <w:rsid w:val="00E75844"/>
    <w:rsid w:val="00E758AB"/>
    <w:rsid w:val="00E75A39"/>
    <w:rsid w:val="00E75A61"/>
    <w:rsid w:val="00E75A6D"/>
    <w:rsid w:val="00E75B8A"/>
    <w:rsid w:val="00E75C15"/>
    <w:rsid w:val="00E75C50"/>
    <w:rsid w:val="00E75C7A"/>
    <w:rsid w:val="00E75D34"/>
    <w:rsid w:val="00E75E79"/>
    <w:rsid w:val="00E75F4E"/>
    <w:rsid w:val="00E75F80"/>
    <w:rsid w:val="00E7610B"/>
    <w:rsid w:val="00E76146"/>
    <w:rsid w:val="00E76241"/>
    <w:rsid w:val="00E7625E"/>
    <w:rsid w:val="00E76312"/>
    <w:rsid w:val="00E763C3"/>
    <w:rsid w:val="00E7671B"/>
    <w:rsid w:val="00E76AC3"/>
    <w:rsid w:val="00E76B10"/>
    <w:rsid w:val="00E76B2B"/>
    <w:rsid w:val="00E76C7B"/>
    <w:rsid w:val="00E76CB2"/>
    <w:rsid w:val="00E76D52"/>
    <w:rsid w:val="00E76D8E"/>
    <w:rsid w:val="00E76D96"/>
    <w:rsid w:val="00E76DE9"/>
    <w:rsid w:val="00E76E2D"/>
    <w:rsid w:val="00E76E36"/>
    <w:rsid w:val="00E76E41"/>
    <w:rsid w:val="00E76F33"/>
    <w:rsid w:val="00E76F5E"/>
    <w:rsid w:val="00E77009"/>
    <w:rsid w:val="00E77174"/>
    <w:rsid w:val="00E772B0"/>
    <w:rsid w:val="00E772D5"/>
    <w:rsid w:val="00E7742A"/>
    <w:rsid w:val="00E77469"/>
    <w:rsid w:val="00E77569"/>
    <w:rsid w:val="00E777A0"/>
    <w:rsid w:val="00E77801"/>
    <w:rsid w:val="00E778DB"/>
    <w:rsid w:val="00E779F7"/>
    <w:rsid w:val="00E77A5D"/>
    <w:rsid w:val="00E77BFF"/>
    <w:rsid w:val="00E77C0B"/>
    <w:rsid w:val="00E77C7A"/>
    <w:rsid w:val="00E77D34"/>
    <w:rsid w:val="00E77DAD"/>
    <w:rsid w:val="00E77DE2"/>
    <w:rsid w:val="00E77E1E"/>
    <w:rsid w:val="00E77E4D"/>
    <w:rsid w:val="00E77FA0"/>
    <w:rsid w:val="00E80013"/>
    <w:rsid w:val="00E800A2"/>
    <w:rsid w:val="00E80335"/>
    <w:rsid w:val="00E80382"/>
    <w:rsid w:val="00E80387"/>
    <w:rsid w:val="00E8050B"/>
    <w:rsid w:val="00E8057F"/>
    <w:rsid w:val="00E805F2"/>
    <w:rsid w:val="00E8061C"/>
    <w:rsid w:val="00E80707"/>
    <w:rsid w:val="00E8078A"/>
    <w:rsid w:val="00E8078B"/>
    <w:rsid w:val="00E807AC"/>
    <w:rsid w:val="00E807AE"/>
    <w:rsid w:val="00E807BF"/>
    <w:rsid w:val="00E807DD"/>
    <w:rsid w:val="00E807F0"/>
    <w:rsid w:val="00E808B1"/>
    <w:rsid w:val="00E808E4"/>
    <w:rsid w:val="00E80A63"/>
    <w:rsid w:val="00E80ADD"/>
    <w:rsid w:val="00E80B23"/>
    <w:rsid w:val="00E80B70"/>
    <w:rsid w:val="00E80D9D"/>
    <w:rsid w:val="00E80F15"/>
    <w:rsid w:val="00E80F6A"/>
    <w:rsid w:val="00E80FD3"/>
    <w:rsid w:val="00E80FF1"/>
    <w:rsid w:val="00E8105B"/>
    <w:rsid w:val="00E810A7"/>
    <w:rsid w:val="00E81176"/>
    <w:rsid w:val="00E8129A"/>
    <w:rsid w:val="00E8137C"/>
    <w:rsid w:val="00E81401"/>
    <w:rsid w:val="00E8144B"/>
    <w:rsid w:val="00E814D0"/>
    <w:rsid w:val="00E814DA"/>
    <w:rsid w:val="00E8158C"/>
    <w:rsid w:val="00E815A2"/>
    <w:rsid w:val="00E815C5"/>
    <w:rsid w:val="00E818B8"/>
    <w:rsid w:val="00E8191C"/>
    <w:rsid w:val="00E819CA"/>
    <w:rsid w:val="00E81C5C"/>
    <w:rsid w:val="00E81D05"/>
    <w:rsid w:val="00E81D27"/>
    <w:rsid w:val="00E81D41"/>
    <w:rsid w:val="00E81E58"/>
    <w:rsid w:val="00E81E5A"/>
    <w:rsid w:val="00E81ED3"/>
    <w:rsid w:val="00E8206E"/>
    <w:rsid w:val="00E820BE"/>
    <w:rsid w:val="00E82245"/>
    <w:rsid w:val="00E822F2"/>
    <w:rsid w:val="00E82363"/>
    <w:rsid w:val="00E8237F"/>
    <w:rsid w:val="00E82380"/>
    <w:rsid w:val="00E823D3"/>
    <w:rsid w:val="00E8253C"/>
    <w:rsid w:val="00E825AB"/>
    <w:rsid w:val="00E82691"/>
    <w:rsid w:val="00E82747"/>
    <w:rsid w:val="00E828D2"/>
    <w:rsid w:val="00E828FC"/>
    <w:rsid w:val="00E82953"/>
    <w:rsid w:val="00E82957"/>
    <w:rsid w:val="00E82B1B"/>
    <w:rsid w:val="00E82B57"/>
    <w:rsid w:val="00E82B72"/>
    <w:rsid w:val="00E82C11"/>
    <w:rsid w:val="00E82C42"/>
    <w:rsid w:val="00E82C5B"/>
    <w:rsid w:val="00E82E19"/>
    <w:rsid w:val="00E83016"/>
    <w:rsid w:val="00E830F3"/>
    <w:rsid w:val="00E831B5"/>
    <w:rsid w:val="00E831EF"/>
    <w:rsid w:val="00E83206"/>
    <w:rsid w:val="00E83298"/>
    <w:rsid w:val="00E8329C"/>
    <w:rsid w:val="00E83435"/>
    <w:rsid w:val="00E834B7"/>
    <w:rsid w:val="00E8371C"/>
    <w:rsid w:val="00E83786"/>
    <w:rsid w:val="00E8379F"/>
    <w:rsid w:val="00E837AC"/>
    <w:rsid w:val="00E83883"/>
    <w:rsid w:val="00E838AA"/>
    <w:rsid w:val="00E838EB"/>
    <w:rsid w:val="00E83988"/>
    <w:rsid w:val="00E83A69"/>
    <w:rsid w:val="00E83AC2"/>
    <w:rsid w:val="00E83AF7"/>
    <w:rsid w:val="00E83C2E"/>
    <w:rsid w:val="00E83D2E"/>
    <w:rsid w:val="00E83D9A"/>
    <w:rsid w:val="00E83DA0"/>
    <w:rsid w:val="00E84018"/>
    <w:rsid w:val="00E84025"/>
    <w:rsid w:val="00E8404E"/>
    <w:rsid w:val="00E841BC"/>
    <w:rsid w:val="00E8422C"/>
    <w:rsid w:val="00E842B6"/>
    <w:rsid w:val="00E842CB"/>
    <w:rsid w:val="00E8436B"/>
    <w:rsid w:val="00E843D9"/>
    <w:rsid w:val="00E8445F"/>
    <w:rsid w:val="00E844A7"/>
    <w:rsid w:val="00E846B1"/>
    <w:rsid w:val="00E8471D"/>
    <w:rsid w:val="00E8473B"/>
    <w:rsid w:val="00E84855"/>
    <w:rsid w:val="00E8486C"/>
    <w:rsid w:val="00E849C3"/>
    <w:rsid w:val="00E84A73"/>
    <w:rsid w:val="00E84ABA"/>
    <w:rsid w:val="00E84AF6"/>
    <w:rsid w:val="00E84CAA"/>
    <w:rsid w:val="00E84D23"/>
    <w:rsid w:val="00E84D3E"/>
    <w:rsid w:val="00E84D4C"/>
    <w:rsid w:val="00E84ED7"/>
    <w:rsid w:val="00E84FEC"/>
    <w:rsid w:val="00E85020"/>
    <w:rsid w:val="00E85036"/>
    <w:rsid w:val="00E85120"/>
    <w:rsid w:val="00E851A3"/>
    <w:rsid w:val="00E8524B"/>
    <w:rsid w:val="00E85348"/>
    <w:rsid w:val="00E853E6"/>
    <w:rsid w:val="00E854B6"/>
    <w:rsid w:val="00E85528"/>
    <w:rsid w:val="00E85598"/>
    <w:rsid w:val="00E85629"/>
    <w:rsid w:val="00E856AC"/>
    <w:rsid w:val="00E85720"/>
    <w:rsid w:val="00E85842"/>
    <w:rsid w:val="00E85A85"/>
    <w:rsid w:val="00E85B1E"/>
    <w:rsid w:val="00E85B53"/>
    <w:rsid w:val="00E85D25"/>
    <w:rsid w:val="00E85ED9"/>
    <w:rsid w:val="00E8603B"/>
    <w:rsid w:val="00E86153"/>
    <w:rsid w:val="00E861EA"/>
    <w:rsid w:val="00E86261"/>
    <w:rsid w:val="00E8635F"/>
    <w:rsid w:val="00E863C1"/>
    <w:rsid w:val="00E863E5"/>
    <w:rsid w:val="00E864E6"/>
    <w:rsid w:val="00E864F7"/>
    <w:rsid w:val="00E865CD"/>
    <w:rsid w:val="00E86650"/>
    <w:rsid w:val="00E86656"/>
    <w:rsid w:val="00E86687"/>
    <w:rsid w:val="00E86699"/>
    <w:rsid w:val="00E86721"/>
    <w:rsid w:val="00E86815"/>
    <w:rsid w:val="00E86AD8"/>
    <w:rsid w:val="00E86BF7"/>
    <w:rsid w:val="00E86D26"/>
    <w:rsid w:val="00E86E14"/>
    <w:rsid w:val="00E86E36"/>
    <w:rsid w:val="00E86F0B"/>
    <w:rsid w:val="00E86FAC"/>
    <w:rsid w:val="00E87036"/>
    <w:rsid w:val="00E87245"/>
    <w:rsid w:val="00E87270"/>
    <w:rsid w:val="00E875CC"/>
    <w:rsid w:val="00E87657"/>
    <w:rsid w:val="00E87776"/>
    <w:rsid w:val="00E8788F"/>
    <w:rsid w:val="00E878BB"/>
    <w:rsid w:val="00E87A04"/>
    <w:rsid w:val="00E87BEF"/>
    <w:rsid w:val="00E87CC6"/>
    <w:rsid w:val="00E87D4B"/>
    <w:rsid w:val="00E87D50"/>
    <w:rsid w:val="00E87D6C"/>
    <w:rsid w:val="00E87E24"/>
    <w:rsid w:val="00E87E79"/>
    <w:rsid w:val="00E87F1B"/>
    <w:rsid w:val="00E87F32"/>
    <w:rsid w:val="00E87F51"/>
    <w:rsid w:val="00E90226"/>
    <w:rsid w:val="00E90304"/>
    <w:rsid w:val="00E90505"/>
    <w:rsid w:val="00E90553"/>
    <w:rsid w:val="00E90587"/>
    <w:rsid w:val="00E9063C"/>
    <w:rsid w:val="00E907DE"/>
    <w:rsid w:val="00E90803"/>
    <w:rsid w:val="00E90818"/>
    <w:rsid w:val="00E9099E"/>
    <w:rsid w:val="00E90A8F"/>
    <w:rsid w:val="00E90B12"/>
    <w:rsid w:val="00E90B2C"/>
    <w:rsid w:val="00E90D12"/>
    <w:rsid w:val="00E90D9E"/>
    <w:rsid w:val="00E90E0F"/>
    <w:rsid w:val="00E90E40"/>
    <w:rsid w:val="00E90EDA"/>
    <w:rsid w:val="00E9110A"/>
    <w:rsid w:val="00E91202"/>
    <w:rsid w:val="00E912A0"/>
    <w:rsid w:val="00E91374"/>
    <w:rsid w:val="00E913B6"/>
    <w:rsid w:val="00E91450"/>
    <w:rsid w:val="00E91589"/>
    <w:rsid w:val="00E9189A"/>
    <w:rsid w:val="00E918BB"/>
    <w:rsid w:val="00E91905"/>
    <w:rsid w:val="00E9192E"/>
    <w:rsid w:val="00E9198B"/>
    <w:rsid w:val="00E919CF"/>
    <w:rsid w:val="00E91B9D"/>
    <w:rsid w:val="00E91BC5"/>
    <w:rsid w:val="00E91C07"/>
    <w:rsid w:val="00E91E47"/>
    <w:rsid w:val="00E92163"/>
    <w:rsid w:val="00E921B3"/>
    <w:rsid w:val="00E92231"/>
    <w:rsid w:val="00E92250"/>
    <w:rsid w:val="00E9227A"/>
    <w:rsid w:val="00E9236D"/>
    <w:rsid w:val="00E9248F"/>
    <w:rsid w:val="00E92738"/>
    <w:rsid w:val="00E927BE"/>
    <w:rsid w:val="00E927E8"/>
    <w:rsid w:val="00E928B0"/>
    <w:rsid w:val="00E92B13"/>
    <w:rsid w:val="00E92B2E"/>
    <w:rsid w:val="00E92BE3"/>
    <w:rsid w:val="00E92D2A"/>
    <w:rsid w:val="00E92D37"/>
    <w:rsid w:val="00E92DA9"/>
    <w:rsid w:val="00E92DF7"/>
    <w:rsid w:val="00E92E21"/>
    <w:rsid w:val="00E92E32"/>
    <w:rsid w:val="00E92ED8"/>
    <w:rsid w:val="00E92F83"/>
    <w:rsid w:val="00E930B9"/>
    <w:rsid w:val="00E9321C"/>
    <w:rsid w:val="00E93260"/>
    <w:rsid w:val="00E9351A"/>
    <w:rsid w:val="00E9351D"/>
    <w:rsid w:val="00E93652"/>
    <w:rsid w:val="00E936B9"/>
    <w:rsid w:val="00E938D4"/>
    <w:rsid w:val="00E938E3"/>
    <w:rsid w:val="00E93B9B"/>
    <w:rsid w:val="00E93C99"/>
    <w:rsid w:val="00E93D57"/>
    <w:rsid w:val="00E93D61"/>
    <w:rsid w:val="00E93DB1"/>
    <w:rsid w:val="00E93DD7"/>
    <w:rsid w:val="00E93E48"/>
    <w:rsid w:val="00E93E64"/>
    <w:rsid w:val="00E93EA5"/>
    <w:rsid w:val="00E93F11"/>
    <w:rsid w:val="00E93F72"/>
    <w:rsid w:val="00E93FF1"/>
    <w:rsid w:val="00E93FF4"/>
    <w:rsid w:val="00E94076"/>
    <w:rsid w:val="00E940C6"/>
    <w:rsid w:val="00E941B9"/>
    <w:rsid w:val="00E941C8"/>
    <w:rsid w:val="00E94271"/>
    <w:rsid w:val="00E94272"/>
    <w:rsid w:val="00E94382"/>
    <w:rsid w:val="00E9445E"/>
    <w:rsid w:val="00E94498"/>
    <w:rsid w:val="00E946A4"/>
    <w:rsid w:val="00E947BE"/>
    <w:rsid w:val="00E948C6"/>
    <w:rsid w:val="00E94992"/>
    <w:rsid w:val="00E94A89"/>
    <w:rsid w:val="00E94AD1"/>
    <w:rsid w:val="00E94B60"/>
    <w:rsid w:val="00E94B89"/>
    <w:rsid w:val="00E94CB2"/>
    <w:rsid w:val="00E94D50"/>
    <w:rsid w:val="00E94F8A"/>
    <w:rsid w:val="00E95155"/>
    <w:rsid w:val="00E95190"/>
    <w:rsid w:val="00E953F0"/>
    <w:rsid w:val="00E9553D"/>
    <w:rsid w:val="00E9564E"/>
    <w:rsid w:val="00E9569D"/>
    <w:rsid w:val="00E956A3"/>
    <w:rsid w:val="00E957CD"/>
    <w:rsid w:val="00E957DA"/>
    <w:rsid w:val="00E95962"/>
    <w:rsid w:val="00E9596D"/>
    <w:rsid w:val="00E9597C"/>
    <w:rsid w:val="00E95990"/>
    <w:rsid w:val="00E95A70"/>
    <w:rsid w:val="00E95ABB"/>
    <w:rsid w:val="00E95AF6"/>
    <w:rsid w:val="00E95B02"/>
    <w:rsid w:val="00E95CAA"/>
    <w:rsid w:val="00E95CB1"/>
    <w:rsid w:val="00E95D0C"/>
    <w:rsid w:val="00E95E44"/>
    <w:rsid w:val="00E95F35"/>
    <w:rsid w:val="00E95F37"/>
    <w:rsid w:val="00E9602A"/>
    <w:rsid w:val="00E96084"/>
    <w:rsid w:val="00E960DE"/>
    <w:rsid w:val="00E96256"/>
    <w:rsid w:val="00E96320"/>
    <w:rsid w:val="00E963E1"/>
    <w:rsid w:val="00E96442"/>
    <w:rsid w:val="00E964AD"/>
    <w:rsid w:val="00E96502"/>
    <w:rsid w:val="00E965D8"/>
    <w:rsid w:val="00E9669E"/>
    <w:rsid w:val="00E9683C"/>
    <w:rsid w:val="00E9696A"/>
    <w:rsid w:val="00E96A25"/>
    <w:rsid w:val="00E96A88"/>
    <w:rsid w:val="00E96AF7"/>
    <w:rsid w:val="00E96B2B"/>
    <w:rsid w:val="00E96B37"/>
    <w:rsid w:val="00E96B49"/>
    <w:rsid w:val="00E96B83"/>
    <w:rsid w:val="00E96C2E"/>
    <w:rsid w:val="00E96C7B"/>
    <w:rsid w:val="00E96CFC"/>
    <w:rsid w:val="00E96D2F"/>
    <w:rsid w:val="00E96D51"/>
    <w:rsid w:val="00E96E25"/>
    <w:rsid w:val="00E96EA8"/>
    <w:rsid w:val="00E96ED9"/>
    <w:rsid w:val="00E97093"/>
    <w:rsid w:val="00E970DC"/>
    <w:rsid w:val="00E97111"/>
    <w:rsid w:val="00E97211"/>
    <w:rsid w:val="00E97517"/>
    <w:rsid w:val="00E975A3"/>
    <w:rsid w:val="00E9762D"/>
    <w:rsid w:val="00E9781E"/>
    <w:rsid w:val="00E9794C"/>
    <w:rsid w:val="00E979F6"/>
    <w:rsid w:val="00E97BE8"/>
    <w:rsid w:val="00E97C31"/>
    <w:rsid w:val="00E97CFF"/>
    <w:rsid w:val="00E97DD5"/>
    <w:rsid w:val="00E97DFA"/>
    <w:rsid w:val="00E97ECC"/>
    <w:rsid w:val="00E97F4B"/>
    <w:rsid w:val="00E97FB1"/>
    <w:rsid w:val="00E97FF7"/>
    <w:rsid w:val="00EA0297"/>
    <w:rsid w:val="00EA047B"/>
    <w:rsid w:val="00EA04B3"/>
    <w:rsid w:val="00EA05EC"/>
    <w:rsid w:val="00EA05F1"/>
    <w:rsid w:val="00EA0645"/>
    <w:rsid w:val="00EA07B7"/>
    <w:rsid w:val="00EA07C0"/>
    <w:rsid w:val="00EA0958"/>
    <w:rsid w:val="00EA09C6"/>
    <w:rsid w:val="00EA09E8"/>
    <w:rsid w:val="00EA0A29"/>
    <w:rsid w:val="00EA0A74"/>
    <w:rsid w:val="00EA0BB4"/>
    <w:rsid w:val="00EA0C51"/>
    <w:rsid w:val="00EA0D96"/>
    <w:rsid w:val="00EA0E01"/>
    <w:rsid w:val="00EA0E35"/>
    <w:rsid w:val="00EA0EA5"/>
    <w:rsid w:val="00EA103C"/>
    <w:rsid w:val="00EA109E"/>
    <w:rsid w:val="00EA1136"/>
    <w:rsid w:val="00EA126C"/>
    <w:rsid w:val="00EA12E7"/>
    <w:rsid w:val="00EA12FD"/>
    <w:rsid w:val="00EA1357"/>
    <w:rsid w:val="00EA1446"/>
    <w:rsid w:val="00EA14C3"/>
    <w:rsid w:val="00EA14C8"/>
    <w:rsid w:val="00EA1536"/>
    <w:rsid w:val="00EA15D6"/>
    <w:rsid w:val="00EA1661"/>
    <w:rsid w:val="00EA16FB"/>
    <w:rsid w:val="00EA16FE"/>
    <w:rsid w:val="00EA17F7"/>
    <w:rsid w:val="00EA1827"/>
    <w:rsid w:val="00EA18D4"/>
    <w:rsid w:val="00EA18E4"/>
    <w:rsid w:val="00EA1B13"/>
    <w:rsid w:val="00EA1B50"/>
    <w:rsid w:val="00EA1BF2"/>
    <w:rsid w:val="00EA1BF4"/>
    <w:rsid w:val="00EA1D16"/>
    <w:rsid w:val="00EA1D9C"/>
    <w:rsid w:val="00EA1E71"/>
    <w:rsid w:val="00EA1EEC"/>
    <w:rsid w:val="00EA1F2E"/>
    <w:rsid w:val="00EA2104"/>
    <w:rsid w:val="00EA225D"/>
    <w:rsid w:val="00EA22A4"/>
    <w:rsid w:val="00EA230B"/>
    <w:rsid w:val="00EA2330"/>
    <w:rsid w:val="00EA233A"/>
    <w:rsid w:val="00EA23D5"/>
    <w:rsid w:val="00EA244E"/>
    <w:rsid w:val="00EA261B"/>
    <w:rsid w:val="00EA265F"/>
    <w:rsid w:val="00EA2700"/>
    <w:rsid w:val="00EA2835"/>
    <w:rsid w:val="00EA28E5"/>
    <w:rsid w:val="00EA2933"/>
    <w:rsid w:val="00EA298C"/>
    <w:rsid w:val="00EA2AFA"/>
    <w:rsid w:val="00EA2C5C"/>
    <w:rsid w:val="00EA2D17"/>
    <w:rsid w:val="00EA2D1A"/>
    <w:rsid w:val="00EA2EEF"/>
    <w:rsid w:val="00EA2F4C"/>
    <w:rsid w:val="00EA300B"/>
    <w:rsid w:val="00EA3064"/>
    <w:rsid w:val="00EA3088"/>
    <w:rsid w:val="00EA30AB"/>
    <w:rsid w:val="00EA311A"/>
    <w:rsid w:val="00EA3199"/>
    <w:rsid w:val="00EA31B7"/>
    <w:rsid w:val="00EA31C4"/>
    <w:rsid w:val="00EA3222"/>
    <w:rsid w:val="00EA3317"/>
    <w:rsid w:val="00EA3448"/>
    <w:rsid w:val="00EA34D1"/>
    <w:rsid w:val="00EA354E"/>
    <w:rsid w:val="00EA35FF"/>
    <w:rsid w:val="00EA36A8"/>
    <w:rsid w:val="00EA3850"/>
    <w:rsid w:val="00EA38B2"/>
    <w:rsid w:val="00EA3915"/>
    <w:rsid w:val="00EA3970"/>
    <w:rsid w:val="00EA3A53"/>
    <w:rsid w:val="00EA3AEA"/>
    <w:rsid w:val="00EA3B15"/>
    <w:rsid w:val="00EA3BD9"/>
    <w:rsid w:val="00EA3C50"/>
    <w:rsid w:val="00EA3C67"/>
    <w:rsid w:val="00EA3D49"/>
    <w:rsid w:val="00EA3DAB"/>
    <w:rsid w:val="00EA3DE5"/>
    <w:rsid w:val="00EA3F1B"/>
    <w:rsid w:val="00EA408E"/>
    <w:rsid w:val="00EA4092"/>
    <w:rsid w:val="00EA413E"/>
    <w:rsid w:val="00EA4223"/>
    <w:rsid w:val="00EA4313"/>
    <w:rsid w:val="00EA4346"/>
    <w:rsid w:val="00EA441D"/>
    <w:rsid w:val="00EA442F"/>
    <w:rsid w:val="00EA4438"/>
    <w:rsid w:val="00EA443E"/>
    <w:rsid w:val="00EA44D4"/>
    <w:rsid w:val="00EA4633"/>
    <w:rsid w:val="00EA46BF"/>
    <w:rsid w:val="00EA472E"/>
    <w:rsid w:val="00EA47B4"/>
    <w:rsid w:val="00EA49D4"/>
    <w:rsid w:val="00EA49E6"/>
    <w:rsid w:val="00EA4C2B"/>
    <w:rsid w:val="00EA4CFA"/>
    <w:rsid w:val="00EA4DFC"/>
    <w:rsid w:val="00EA4E6E"/>
    <w:rsid w:val="00EA4ECE"/>
    <w:rsid w:val="00EA4ED7"/>
    <w:rsid w:val="00EA4EE5"/>
    <w:rsid w:val="00EA4EFA"/>
    <w:rsid w:val="00EA4F20"/>
    <w:rsid w:val="00EA5070"/>
    <w:rsid w:val="00EA508D"/>
    <w:rsid w:val="00EA5099"/>
    <w:rsid w:val="00EA50E6"/>
    <w:rsid w:val="00EA50EC"/>
    <w:rsid w:val="00EA519C"/>
    <w:rsid w:val="00EA51CD"/>
    <w:rsid w:val="00EA5218"/>
    <w:rsid w:val="00EA521F"/>
    <w:rsid w:val="00EA5286"/>
    <w:rsid w:val="00EA52EF"/>
    <w:rsid w:val="00EA532A"/>
    <w:rsid w:val="00EA538E"/>
    <w:rsid w:val="00EA5455"/>
    <w:rsid w:val="00EA55B8"/>
    <w:rsid w:val="00EA561C"/>
    <w:rsid w:val="00EA56BB"/>
    <w:rsid w:val="00EA571E"/>
    <w:rsid w:val="00EA574E"/>
    <w:rsid w:val="00EA57A9"/>
    <w:rsid w:val="00EA59E2"/>
    <w:rsid w:val="00EA5A63"/>
    <w:rsid w:val="00EA5A8D"/>
    <w:rsid w:val="00EA5BC0"/>
    <w:rsid w:val="00EA5BE3"/>
    <w:rsid w:val="00EA5CCB"/>
    <w:rsid w:val="00EA5D70"/>
    <w:rsid w:val="00EA5DA4"/>
    <w:rsid w:val="00EA5F36"/>
    <w:rsid w:val="00EA5F53"/>
    <w:rsid w:val="00EA5F6B"/>
    <w:rsid w:val="00EA5FFA"/>
    <w:rsid w:val="00EA60BF"/>
    <w:rsid w:val="00EA60C7"/>
    <w:rsid w:val="00EA6112"/>
    <w:rsid w:val="00EA611D"/>
    <w:rsid w:val="00EA619E"/>
    <w:rsid w:val="00EA6215"/>
    <w:rsid w:val="00EA6327"/>
    <w:rsid w:val="00EA6477"/>
    <w:rsid w:val="00EA64E2"/>
    <w:rsid w:val="00EA64F1"/>
    <w:rsid w:val="00EA651A"/>
    <w:rsid w:val="00EA66FD"/>
    <w:rsid w:val="00EA6718"/>
    <w:rsid w:val="00EA6736"/>
    <w:rsid w:val="00EA6749"/>
    <w:rsid w:val="00EA6752"/>
    <w:rsid w:val="00EA67CA"/>
    <w:rsid w:val="00EA6874"/>
    <w:rsid w:val="00EA6916"/>
    <w:rsid w:val="00EA69F4"/>
    <w:rsid w:val="00EA6AFF"/>
    <w:rsid w:val="00EA6C40"/>
    <w:rsid w:val="00EA6C86"/>
    <w:rsid w:val="00EA6CF5"/>
    <w:rsid w:val="00EA6DE2"/>
    <w:rsid w:val="00EA6DE8"/>
    <w:rsid w:val="00EA6E1E"/>
    <w:rsid w:val="00EA70A6"/>
    <w:rsid w:val="00EA71F1"/>
    <w:rsid w:val="00EA7356"/>
    <w:rsid w:val="00EA73C6"/>
    <w:rsid w:val="00EA73E2"/>
    <w:rsid w:val="00EA744E"/>
    <w:rsid w:val="00EA75A8"/>
    <w:rsid w:val="00EA75E0"/>
    <w:rsid w:val="00EA7677"/>
    <w:rsid w:val="00EA76DA"/>
    <w:rsid w:val="00EA770A"/>
    <w:rsid w:val="00EA7909"/>
    <w:rsid w:val="00EA7955"/>
    <w:rsid w:val="00EA7B35"/>
    <w:rsid w:val="00EA7B7B"/>
    <w:rsid w:val="00EA7CA5"/>
    <w:rsid w:val="00EA7D62"/>
    <w:rsid w:val="00EA7D74"/>
    <w:rsid w:val="00EA7DF2"/>
    <w:rsid w:val="00EA7F50"/>
    <w:rsid w:val="00EA7F55"/>
    <w:rsid w:val="00EA7F82"/>
    <w:rsid w:val="00EA7FAF"/>
    <w:rsid w:val="00EA7FF4"/>
    <w:rsid w:val="00EB0028"/>
    <w:rsid w:val="00EB015C"/>
    <w:rsid w:val="00EB02BE"/>
    <w:rsid w:val="00EB02C8"/>
    <w:rsid w:val="00EB0469"/>
    <w:rsid w:val="00EB04E1"/>
    <w:rsid w:val="00EB0657"/>
    <w:rsid w:val="00EB0710"/>
    <w:rsid w:val="00EB0724"/>
    <w:rsid w:val="00EB07C8"/>
    <w:rsid w:val="00EB080C"/>
    <w:rsid w:val="00EB0828"/>
    <w:rsid w:val="00EB083C"/>
    <w:rsid w:val="00EB08E2"/>
    <w:rsid w:val="00EB09F9"/>
    <w:rsid w:val="00EB0B54"/>
    <w:rsid w:val="00EB0CC5"/>
    <w:rsid w:val="00EB0D18"/>
    <w:rsid w:val="00EB0E09"/>
    <w:rsid w:val="00EB0F09"/>
    <w:rsid w:val="00EB0FD4"/>
    <w:rsid w:val="00EB0FEE"/>
    <w:rsid w:val="00EB1018"/>
    <w:rsid w:val="00EB1035"/>
    <w:rsid w:val="00EB1146"/>
    <w:rsid w:val="00EB11D3"/>
    <w:rsid w:val="00EB1275"/>
    <w:rsid w:val="00EB12F6"/>
    <w:rsid w:val="00EB1417"/>
    <w:rsid w:val="00EB1491"/>
    <w:rsid w:val="00EB14C7"/>
    <w:rsid w:val="00EB154F"/>
    <w:rsid w:val="00EB15E0"/>
    <w:rsid w:val="00EB165D"/>
    <w:rsid w:val="00EB17D4"/>
    <w:rsid w:val="00EB1A52"/>
    <w:rsid w:val="00EB1AC2"/>
    <w:rsid w:val="00EB1B8C"/>
    <w:rsid w:val="00EB1BC9"/>
    <w:rsid w:val="00EB1CB7"/>
    <w:rsid w:val="00EB1DC9"/>
    <w:rsid w:val="00EB1EAF"/>
    <w:rsid w:val="00EB1F07"/>
    <w:rsid w:val="00EB1F44"/>
    <w:rsid w:val="00EB20D8"/>
    <w:rsid w:val="00EB2102"/>
    <w:rsid w:val="00EB2138"/>
    <w:rsid w:val="00EB21BB"/>
    <w:rsid w:val="00EB2214"/>
    <w:rsid w:val="00EB223B"/>
    <w:rsid w:val="00EB2320"/>
    <w:rsid w:val="00EB2351"/>
    <w:rsid w:val="00EB23CE"/>
    <w:rsid w:val="00EB23D5"/>
    <w:rsid w:val="00EB23F8"/>
    <w:rsid w:val="00EB248B"/>
    <w:rsid w:val="00EB24FC"/>
    <w:rsid w:val="00EB25A1"/>
    <w:rsid w:val="00EB25A6"/>
    <w:rsid w:val="00EB25B3"/>
    <w:rsid w:val="00EB25BC"/>
    <w:rsid w:val="00EB26D7"/>
    <w:rsid w:val="00EB2796"/>
    <w:rsid w:val="00EB27BA"/>
    <w:rsid w:val="00EB2815"/>
    <w:rsid w:val="00EB2817"/>
    <w:rsid w:val="00EB2831"/>
    <w:rsid w:val="00EB2A08"/>
    <w:rsid w:val="00EB2A6B"/>
    <w:rsid w:val="00EB2B32"/>
    <w:rsid w:val="00EB2B57"/>
    <w:rsid w:val="00EB2BA1"/>
    <w:rsid w:val="00EB2D41"/>
    <w:rsid w:val="00EB2D6D"/>
    <w:rsid w:val="00EB2E5E"/>
    <w:rsid w:val="00EB2EF5"/>
    <w:rsid w:val="00EB2F00"/>
    <w:rsid w:val="00EB2F1D"/>
    <w:rsid w:val="00EB2F39"/>
    <w:rsid w:val="00EB2F91"/>
    <w:rsid w:val="00EB2FA1"/>
    <w:rsid w:val="00EB2FBA"/>
    <w:rsid w:val="00EB307B"/>
    <w:rsid w:val="00EB30BA"/>
    <w:rsid w:val="00EB327F"/>
    <w:rsid w:val="00EB331A"/>
    <w:rsid w:val="00EB338F"/>
    <w:rsid w:val="00EB33A1"/>
    <w:rsid w:val="00EB3463"/>
    <w:rsid w:val="00EB3485"/>
    <w:rsid w:val="00EB349F"/>
    <w:rsid w:val="00EB3526"/>
    <w:rsid w:val="00EB3651"/>
    <w:rsid w:val="00EB37D1"/>
    <w:rsid w:val="00EB386A"/>
    <w:rsid w:val="00EB38D3"/>
    <w:rsid w:val="00EB38DC"/>
    <w:rsid w:val="00EB39AF"/>
    <w:rsid w:val="00EB39F2"/>
    <w:rsid w:val="00EB3A00"/>
    <w:rsid w:val="00EB3B3D"/>
    <w:rsid w:val="00EB3BBE"/>
    <w:rsid w:val="00EB3BD9"/>
    <w:rsid w:val="00EB3BDA"/>
    <w:rsid w:val="00EB3C56"/>
    <w:rsid w:val="00EB3CEB"/>
    <w:rsid w:val="00EB3CF0"/>
    <w:rsid w:val="00EB3EE0"/>
    <w:rsid w:val="00EB42B0"/>
    <w:rsid w:val="00EB44C4"/>
    <w:rsid w:val="00EB44FF"/>
    <w:rsid w:val="00EB457A"/>
    <w:rsid w:val="00EB459B"/>
    <w:rsid w:val="00EB464C"/>
    <w:rsid w:val="00EB4719"/>
    <w:rsid w:val="00EB471B"/>
    <w:rsid w:val="00EB4728"/>
    <w:rsid w:val="00EB473A"/>
    <w:rsid w:val="00EB4800"/>
    <w:rsid w:val="00EB4866"/>
    <w:rsid w:val="00EB4882"/>
    <w:rsid w:val="00EB4A92"/>
    <w:rsid w:val="00EB4A99"/>
    <w:rsid w:val="00EB4B86"/>
    <w:rsid w:val="00EB4C36"/>
    <w:rsid w:val="00EB4D2B"/>
    <w:rsid w:val="00EB4EEA"/>
    <w:rsid w:val="00EB4F8D"/>
    <w:rsid w:val="00EB4FEF"/>
    <w:rsid w:val="00EB5005"/>
    <w:rsid w:val="00EB5048"/>
    <w:rsid w:val="00EB504A"/>
    <w:rsid w:val="00EB51C3"/>
    <w:rsid w:val="00EB51DD"/>
    <w:rsid w:val="00EB51FD"/>
    <w:rsid w:val="00EB523C"/>
    <w:rsid w:val="00EB5287"/>
    <w:rsid w:val="00EB545F"/>
    <w:rsid w:val="00EB54A1"/>
    <w:rsid w:val="00EB55A6"/>
    <w:rsid w:val="00EB5754"/>
    <w:rsid w:val="00EB5781"/>
    <w:rsid w:val="00EB579A"/>
    <w:rsid w:val="00EB580F"/>
    <w:rsid w:val="00EB59A3"/>
    <w:rsid w:val="00EB5A4B"/>
    <w:rsid w:val="00EB5A5B"/>
    <w:rsid w:val="00EB5AAA"/>
    <w:rsid w:val="00EB5AD6"/>
    <w:rsid w:val="00EB5B0A"/>
    <w:rsid w:val="00EB5CE6"/>
    <w:rsid w:val="00EB5DB4"/>
    <w:rsid w:val="00EB5E56"/>
    <w:rsid w:val="00EB5E7C"/>
    <w:rsid w:val="00EB5FBA"/>
    <w:rsid w:val="00EB600D"/>
    <w:rsid w:val="00EB601C"/>
    <w:rsid w:val="00EB60D0"/>
    <w:rsid w:val="00EB6339"/>
    <w:rsid w:val="00EB6374"/>
    <w:rsid w:val="00EB642E"/>
    <w:rsid w:val="00EB6462"/>
    <w:rsid w:val="00EB64F5"/>
    <w:rsid w:val="00EB650D"/>
    <w:rsid w:val="00EB6588"/>
    <w:rsid w:val="00EB65BC"/>
    <w:rsid w:val="00EB65E2"/>
    <w:rsid w:val="00EB669E"/>
    <w:rsid w:val="00EB66B1"/>
    <w:rsid w:val="00EB6839"/>
    <w:rsid w:val="00EB68B4"/>
    <w:rsid w:val="00EB6910"/>
    <w:rsid w:val="00EB695F"/>
    <w:rsid w:val="00EB6A90"/>
    <w:rsid w:val="00EB6B12"/>
    <w:rsid w:val="00EB6B7F"/>
    <w:rsid w:val="00EB6BA1"/>
    <w:rsid w:val="00EB6C78"/>
    <w:rsid w:val="00EB6DB2"/>
    <w:rsid w:val="00EB6E87"/>
    <w:rsid w:val="00EB6F12"/>
    <w:rsid w:val="00EB6F14"/>
    <w:rsid w:val="00EB708C"/>
    <w:rsid w:val="00EB70D2"/>
    <w:rsid w:val="00EB7201"/>
    <w:rsid w:val="00EB7283"/>
    <w:rsid w:val="00EB74AA"/>
    <w:rsid w:val="00EB769A"/>
    <w:rsid w:val="00EB76D0"/>
    <w:rsid w:val="00EB76D6"/>
    <w:rsid w:val="00EB7836"/>
    <w:rsid w:val="00EB78AB"/>
    <w:rsid w:val="00EB78BD"/>
    <w:rsid w:val="00EB78CB"/>
    <w:rsid w:val="00EB797E"/>
    <w:rsid w:val="00EB7C91"/>
    <w:rsid w:val="00EB7C96"/>
    <w:rsid w:val="00EB7CC1"/>
    <w:rsid w:val="00EB7D60"/>
    <w:rsid w:val="00EB7D81"/>
    <w:rsid w:val="00EB7F99"/>
    <w:rsid w:val="00EC02DB"/>
    <w:rsid w:val="00EC030B"/>
    <w:rsid w:val="00EC0330"/>
    <w:rsid w:val="00EC0485"/>
    <w:rsid w:val="00EC0539"/>
    <w:rsid w:val="00EC0569"/>
    <w:rsid w:val="00EC06C1"/>
    <w:rsid w:val="00EC07B2"/>
    <w:rsid w:val="00EC080D"/>
    <w:rsid w:val="00EC085E"/>
    <w:rsid w:val="00EC08AB"/>
    <w:rsid w:val="00EC0A78"/>
    <w:rsid w:val="00EC0AAD"/>
    <w:rsid w:val="00EC0AD5"/>
    <w:rsid w:val="00EC0B4E"/>
    <w:rsid w:val="00EC0B56"/>
    <w:rsid w:val="00EC0B5E"/>
    <w:rsid w:val="00EC0C51"/>
    <w:rsid w:val="00EC0C82"/>
    <w:rsid w:val="00EC0C9D"/>
    <w:rsid w:val="00EC0DB2"/>
    <w:rsid w:val="00EC0E35"/>
    <w:rsid w:val="00EC0E83"/>
    <w:rsid w:val="00EC0E85"/>
    <w:rsid w:val="00EC0FC0"/>
    <w:rsid w:val="00EC0FCC"/>
    <w:rsid w:val="00EC0FE0"/>
    <w:rsid w:val="00EC1038"/>
    <w:rsid w:val="00EC111D"/>
    <w:rsid w:val="00EC1244"/>
    <w:rsid w:val="00EC1276"/>
    <w:rsid w:val="00EC13B9"/>
    <w:rsid w:val="00EC1531"/>
    <w:rsid w:val="00EC1535"/>
    <w:rsid w:val="00EC16A6"/>
    <w:rsid w:val="00EC16AA"/>
    <w:rsid w:val="00EC16C1"/>
    <w:rsid w:val="00EC16FD"/>
    <w:rsid w:val="00EC1757"/>
    <w:rsid w:val="00EC1984"/>
    <w:rsid w:val="00EC199E"/>
    <w:rsid w:val="00EC1B11"/>
    <w:rsid w:val="00EC1B53"/>
    <w:rsid w:val="00EC1B63"/>
    <w:rsid w:val="00EC1B6E"/>
    <w:rsid w:val="00EC1B8F"/>
    <w:rsid w:val="00EC1B92"/>
    <w:rsid w:val="00EC1C11"/>
    <w:rsid w:val="00EC1C4F"/>
    <w:rsid w:val="00EC1C50"/>
    <w:rsid w:val="00EC1CA2"/>
    <w:rsid w:val="00EC1D14"/>
    <w:rsid w:val="00EC1D5E"/>
    <w:rsid w:val="00EC1D8C"/>
    <w:rsid w:val="00EC1ECD"/>
    <w:rsid w:val="00EC1FDE"/>
    <w:rsid w:val="00EC202B"/>
    <w:rsid w:val="00EC2053"/>
    <w:rsid w:val="00EC20AB"/>
    <w:rsid w:val="00EC20FA"/>
    <w:rsid w:val="00EC2157"/>
    <w:rsid w:val="00EC2259"/>
    <w:rsid w:val="00EC22F7"/>
    <w:rsid w:val="00EC2421"/>
    <w:rsid w:val="00EC2469"/>
    <w:rsid w:val="00EC24CD"/>
    <w:rsid w:val="00EC24EE"/>
    <w:rsid w:val="00EC2599"/>
    <w:rsid w:val="00EC25D7"/>
    <w:rsid w:val="00EC2611"/>
    <w:rsid w:val="00EC2632"/>
    <w:rsid w:val="00EC265F"/>
    <w:rsid w:val="00EC26FC"/>
    <w:rsid w:val="00EC27DA"/>
    <w:rsid w:val="00EC281E"/>
    <w:rsid w:val="00EC2866"/>
    <w:rsid w:val="00EC28C9"/>
    <w:rsid w:val="00EC2918"/>
    <w:rsid w:val="00EC29F7"/>
    <w:rsid w:val="00EC2A46"/>
    <w:rsid w:val="00EC2A83"/>
    <w:rsid w:val="00EC2B37"/>
    <w:rsid w:val="00EC2C1A"/>
    <w:rsid w:val="00EC2CE3"/>
    <w:rsid w:val="00EC2D40"/>
    <w:rsid w:val="00EC2D57"/>
    <w:rsid w:val="00EC2DA0"/>
    <w:rsid w:val="00EC2E94"/>
    <w:rsid w:val="00EC2F45"/>
    <w:rsid w:val="00EC3015"/>
    <w:rsid w:val="00EC3195"/>
    <w:rsid w:val="00EC31C8"/>
    <w:rsid w:val="00EC3295"/>
    <w:rsid w:val="00EC32EE"/>
    <w:rsid w:val="00EC338A"/>
    <w:rsid w:val="00EC33C1"/>
    <w:rsid w:val="00EC33C3"/>
    <w:rsid w:val="00EC3401"/>
    <w:rsid w:val="00EC349D"/>
    <w:rsid w:val="00EC3613"/>
    <w:rsid w:val="00EC3679"/>
    <w:rsid w:val="00EC385E"/>
    <w:rsid w:val="00EC3919"/>
    <w:rsid w:val="00EC3A30"/>
    <w:rsid w:val="00EC3A39"/>
    <w:rsid w:val="00EC3B33"/>
    <w:rsid w:val="00EC3B5B"/>
    <w:rsid w:val="00EC3CA6"/>
    <w:rsid w:val="00EC3DAF"/>
    <w:rsid w:val="00EC3DD0"/>
    <w:rsid w:val="00EC3E01"/>
    <w:rsid w:val="00EC3F95"/>
    <w:rsid w:val="00EC4145"/>
    <w:rsid w:val="00EC41C0"/>
    <w:rsid w:val="00EC455F"/>
    <w:rsid w:val="00EC4583"/>
    <w:rsid w:val="00EC47D6"/>
    <w:rsid w:val="00EC4998"/>
    <w:rsid w:val="00EC49A0"/>
    <w:rsid w:val="00EC4BAA"/>
    <w:rsid w:val="00EC4BE0"/>
    <w:rsid w:val="00EC4C25"/>
    <w:rsid w:val="00EC4C77"/>
    <w:rsid w:val="00EC4CDC"/>
    <w:rsid w:val="00EC4D8E"/>
    <w:rsid w:val="00EC4DF1"/>
    <w:rsid w:val="00EC4E4C"/>
    <w:rsid w:val="00EC4E77"/>
    <w:rsid w:val="00EC4EF4"/>
    <w:rsid w:val="00EC4F08"/>
    <w:rsid w:val="00EC4F97"/>
    <w:rsid w:val="00EC4FFA"/>
    <w:rsid w:val="00EC50B2"/>
    <w:rsid w:val="00EC50D3"/>
    <w:rsid w:val="00EC50E3"/>
    <w:rsid w:val="00EC5181"/>
    <w:rsid w:val="00EC526F"/>
    <w:rsid w:val="00EC5293"/>
    <w:rsid w:val="00EC545A"/>
    <w:rsid w:val="00EC5516"/>
    <w:rsid w:val="00EC555F"/>
    <w:rsid w:val="00EC5674"/>
    <w:rsid w:val="00EC568C"/>
    <w:rsid w:val="00EC569C"/>
    <w:rsid w:val="00EC571E"/>
    <w:rsid w:val="00EC5831"/>
    <w:rsid w:val="00EC5867"/>
    <w:rsid w:val="00EC5898"/>
    <w:rsid w:val="00EC593A"/>
    <w:rsid w:val="00EC5988"/>
    <w:rsid w:val="00EC59E3"/>
    <w:rsid w:val="00EC59FF"/>
    <w:rsid w:val="00EC5AAD"/>
    <w:rsid w:val="00EC5D39"/>
    <w:rsid w:val="00EC5D5F"/>
    <w:rsid w:val="00EC5DD8"/>
    <w:rsid w:val="00EC5DFB"/>
    <w:rsid w:val="00EC5FB7"/>
    <w:rsid w:val="00EC601D"/>
    <w:rsid w:val="00EC604C"/>
    <w:rsid w:val="00EC60A0"/>
    <w:rsid w:val="00EC61B9"/>
    <w:rsid w:val="00EC61EC"/>
    <w:rsid w:val="00EC6310"/>
    <w:rsid w:val="00EC63AF"/>
    <w:rsid w:val="00EC644C"/>
    <w:rsid w:val="00EC657F"/>
    <w:rsid w:val="00EC6599"/>
    <w:rsid w:val="00EC66E2"/>
    <w:rsid w:val="00EC66F4"/>
    <w:rsid w:val="00EC66FE"/>
    <w:rsid w:val="00EC68B0"/>
    <w:rsid w:val="00EC6905"/>
    <w:rsid w:val="00EC69DF"/>
    <w:rsid w:val="00EC6A02"/>
    <w:rsid w:val="00EC6A12"/>
    <w:rsid w:val="00EC6D35"/>
    <w:rsid w:val="00EC6D5A"/>
    <w:rsid w:val="00EC6F63"/>
    <w:rsid w:val="00EC6F6E"/>
    <w:rsid w:val="00EC6FD9"/>
    <w:rsid w:val="00EC704A"/>
    <w:rsid w:val="00EC70A5"/>
    <w:rsid w:val="00EC7112"/>
    <w:rsid w:val="00EC72F6"/>
    <w:rsid w:val="00EC72F7"/>
    <w:rsid w:val="00EC72FD"/>
    <w:rsid w:val="00EC730E"/>
    <w:rsid w:val="00EC73DF"/>
    <w:rsid w:val="00EC745E"/>
    <w:rsid w:val="00EC74CE"/>
    <w:rsid w:val="00EC7847"/>
    <w:rsid w:val="00EC78B3"/>
    <w:rsid w:val="00EC79EC"/>
    <w:rsid w:val="00EC7B09"/>
    <w:rsid w:val="00EC7C23"/>
    <w:rsid w:val="00EC7C7F"/>
    <w:rsid w:val="00EC7C88"/>
    <w:rsid w:val="00EC7CE4"/>
    <w:rsid w:val="00EC7CF9"/>
    <w:rsid w:val="00EC7D2A"/>
    <w:rsid w:val="00EC7ED3"/>
    <w:rsid w:val="00EC7F3E"/>
    <w:rsid w:val="00ED0088"/>
    <w:rsid w:val="00ED0299"/>
    <w:rsid w:val="00ED0309"/>
    <w:rsid w:val="00ED0317"/>
    <w:rsid w:val="00ED035A"/>
    <w:rsid w:val="00ED0388"/>
    <w:rsid w:val="00ED03AE"/>
    <w:rsid w:val="00ED03EF"/>
    <w:rsid w:val="00ED04C1"/>
    <w:rsid w:val="00ED04EC"/>
    <w:rsid w:val="00ED0555"/>
    <w:rsid w:val="00ED063A"/>
    <w:rsid w:val="00ED0A1B"/>
    <w:rsid w:val="00ED0C38"/>
    <w:rsid w:val="00ED0C6D"/>
    <w:rsid w:val="00ED0D77"/>
    <w:rsid w:val="00ED0D8A"/>
    <w:rsid w:val="00ED0DD8"/>
    <w:rsid w:val="00ED0EE7"/>
    <w:rsid w:val="00ED0F3F"/>
    <w:rsid w:val="00ED0F6D"/>
    <w:rsid w:val="00ED0F9E"/>
    <w:rsid w:val="00ED1074"/>
    <w:rsid w:val="00ED11A7"/>
    <w:rsid w:val="00ED1260"/>
    <w:rsid w:val="00ED12A4"/>
    <w:rsid w:val="00ED12DA"/>
    <w:rsid w:val="00ED12DF"/>
    <w:rsid w:val="00ED1365"/>
    <w:rsid w:val="00ED14D3"/>
    <w:rsid w:val="00ED14D8"/>
    <w:rsid w:val="00ED14F8"/>
    <w:rsid w:val="00ED16F3"/>
    <w:rsid w:val="00ED1833"/>
    <w:rsid w:val="00ED1850"/>
    <w:rsid w:val="00ED1882"/>
    <w:rsid w:val="00ED18B4"/>
    <w:rsid w:val="00ED1B70"/>
    <w:rsid w:val="00ED1B85"/>
    <w:rsid w:val="00ED1BE6"/>
    <w:rsid w:val="00ED1CB0"/>
    <w:rsid w:val="00ED1D24"/>
    <w:rsid w:val="00ED1E53"/>
    <w:rsid w:val="00ED1E61"/>
    <w:rsid w:val="00ED1EF9"/>
    <w:rsid w:val="00ED1F21"/>
    <w:rsid w:val="00ED20E6"/>
    <w:rsid w:val="00ED2135"/>
    <w:rsid w:val="00ED2275"/>
    <w:rsid w:val="00ED2305"/>
    <w:rsid w:val="00ED258E"/>
    <w:rsid w:val="00ED2692"/>
    <w:rsid w:val="00ED26C0"/>
    <w:rsid w:val="00ED26CC"/>
    <w:rsid w:val="00ED271E"/>
    <w:rsid w:val="00ED2786"/>
    <w:rsid w:val="00ED2963"/>
    <w:rsid w:val="00ED297A"/>
    <w:rsid w:val="00ED2A25"/>
    <w:rsid w:val="00ED2A30"/>
    <w:rsid w:val="00ED2A77"/>
    <w:rsid w:val="00ED2A8A"/>
    <w:rsid w:val="00ED2B10"/>
    <w:rsid w:val="00ED2B9D"/>
    <w:rsid w:val="00ED2BE3"/>
    <w:rsid w:val="00ED2CE2"/>
    <w:rsid w:val="00ED2F10"/>
    <w:rsid w:val="00ED2FB5"/>
    <w:rsid w:val="00ED31EB"/>
    <w:rsid w:val="00ED3427"/>
    <w:rsid w:val="00ED349B"/>
    <w:rsid w:val="00ED34A8"/>
    <w:rsid w:val="00ED34D3"/>
    <w:rsid w:val="00ED3552"/>
    <w:rsid w:val="00ED3583"/>
    <w:rsid w:val="00ED3602"/>
    <w:rsid w:val="00ED3787"/>
    <w:rsid w:val="00ED37B6"/>
    <w:rsid w:val="00ED387E"/>
    <w:rsid w:val="00ED3906"/>
    <w:rsid w:val="00ED39C7"/>
    <w:rsid w:val="00ED3AED"/>
    <w:rsid w:val="00ED3AF5"/>
    <w:rsid w:val="00ED3B77"/>
    <w:rsid w:val="00ED3DCE"/>
    <w:rsid w:val="00ED3DE5"/>
    <w:rsid w:val="00ED3E49"/>
    <w:rsid w:val="00ED3EF7"/>
    <w:rsid w:val="00ED414E"/>
    <w:rsid w:val="00ED41BB"/>
    <w:rsid w:val="00ED41F1"/>
    <w:rsid w:val="00ED438C"/>
    <w:rsid w:val="00ED43F8"/>
    <w:rsid w:val="00ED442F"/>
    <w:rsid w:val="00ED44D3"/>
    <w:rsid w:val="00ED4550"/>
    <w:rsid w:val="00ED4571"/>
    <w:rsid w:val="00ED457C"/>
    <w:rsid w:val="00ED4628"/>
    <w:rsid w:val="00ED4736"/>
    <w:rsid w:val="00ED47EA"/>
    <w:rsid w:val="00ED4877"/>
    <w:rsid w:val="00ED4883"/>
    <w:rsid w:val="00ED4887"/>
    <w:rsid w:val="00ED48A5"/>
    <w:rsid w:val="00ED4996"/>
    <w:rsid w:val="00ED49BF"/>
    <w:rsid w:val="00ED4B4D"/>
    <w:rsid w:val="00ED4B5C"/>
    <w:rsid w:val="00ED4B83"/>
    <w:rsid w:val="00ED4BF7"/>
    <w:rsid w:val="00ED4C5D"/>
    <w:rsid w:val="00ED4D9A"/>
    <w:rsid w:val="00ED4DF6"/>
    <w:rsid w:val="00ED4E42"/>
    <w:rsid w:val="00ED4F6D"/>
    <w:rsid w:val="00ED5012"/>
    <w:rsid w:val="00ED517F"/>
    <w:rsid w:val="00ED5185"/>
    <w:rsid w:val="00ED522C"/>
    <w:rsid w:val="00ED52A6"/>
    <w:rsid w:val="00ED52BE"/>
    <w:rsid w:val="00ED52C8"/>
    <w:rsid w:val="00ED5396"/>
    <w:rsid w:val="00ED540E"/>
    <w:rsid w:val="00ED58B2"/>
    <w:rsid w:val="00ED5A17"/>
    <w:rsid w:val="00ED5A43"/>
    <w:rsid w:val="00ED5A50"/>
    <w:rsid w:val="00ED5B28"/>
    <w:rsid w:val="00ED5B2F"/>
    <w:rsid w:val="00ED5B54"/>
    <w:rsid w:val="00ED5B61"/>
    <w:rsid w:val="00ED5D51"/>
    <w:rsid w:val="00ED5E5A"/>
    <w:rsid w:val="00ED5FB2"/>
    <w:rsid w:val="00ED5FE8"/>
    <w:rsid w:val="00ED607F"/>
    <w:rsid w:val="00ED6197"/>
    <w:rsid w:val="00ED61AC"/>
    <w:rsid w:val="00ED630E"/>
    <w:rsid w:val="00ED6367"/>
    <w:rsid w:val="00ED6496"/>
    <w:rsid w:val="00ED64D7"/>
    <w:rsid w:val="00ED651E"/>
    <w:rsid w:val="00ED6520"/>
    <w:rsid w:val="00ED6574"/>
    <w:rsid w:val="00ED65EE"/>
    <w:rsid w:val="00ED67A3"/>
    <w:rsid w:val="00ED67D7"/>
    <w:rsid w:val="00ED6835"/>
    <w:rsid w:val="00ED6874"/>
    <w:rsid w:val="00ED6880"/>
    <w:rsid w:val="00ED6896"/>
    <w:rsid w:val="00ED69DC"/>
    <w:rsid w:val="00ED6B43"/>
    <w:rsid w:val="00ED6C7A"/>
    <w:rsid w:val="00ED6D46"/>
    <w:rsid w:val="00ED6DB7"/>
    <w:rsid w:val="00ED6EC1"/>
    <w:rsid w:val="00ED6F02"/>
    <w:rsid w:val="00ED6F39"/>
    <w:rsid w:val="00ED6FC3"/>
    <w:rsid w:val="00ED7075"/>
    <w:rsid w:val="00ED708D"/>
    <w:rsid w:val="00ED7223"/>
    <w:rsid w:val="00ED7355"/>
    <w:rsid w:val="00ED7368"/>
    <w:rsid w:val="00ED73E6"/>
    <w:rsid w:val="00ED7406"/>
    <w:rsid w:val="00ED74FE"/>
    <w:rsid w:val="00ED782C"/>
    <w:rsid w:val="00ED787D"/>
    <w:rsid w:val="00ED78C3"/>
    <w:rsid w:val="00ED792E"/>
    <w:rsid w:val="00ED7999"/>
    <w:rsid w:val="00ED79E9"/>
    <w:rsid w:val="00ED79F2"/>
    <w:rsid w:val="00ED7A02"/>
    <w:rsid w:val="00ED7A18"/>
    <w:rsid w:val="00ED7A42"/>
    <w:rsid w:val="00ED7A84"/>
    <w:rsid w:val="00ED7B51"/>
    <w:rsid w:val="00ED7BAE"/>
    <w:rsid w:val="00ED7F2B"/>
    <w:rsid w:val="00ED7F77"/>
    <w:rsid w:val="00EE0076"/>
    <w:rsid w:val="00EE02C5"/>
    <w:rsid w:val="00EE0311"/>
    <w:rsid w:val="00EE033D"/>
    <w:rsid w:val="00EE0392"/>
    <w:rsid w:val="00EE039C"/>
    <w:rsid w:val="00EE03EB"/>
    <w:rsid w:val="00EE04BE"/>
    <w:rsid w:val="00EE04F6"/>
    <w:rsid w:val="00EE0555"/>
    <w:rsid w:val="00EE05A6"/>
    <w:rsid w:val="00EE05CB"/>
    <w:rsid w:val="00EE06B9"/>
    <w:rsid w:val="00EE0858"/>
    <w:rsid w:val="00EE08B5"/>
    <w:rsid w:val="00EE093A"/>
    <w:rsid w:val="00EE0956"/>
    <w:rsid w:val="00EE09ED"/>
    <w:rsid w:val="00EE0A18"/>
    <w:rsid w:val="00EE0A41"/>
    <w:rsid w:val="00EE0AEF"/>
    <w:rsid w:val="00EE0B85"/>
    <w:rsid w:val="00EE0CBC"/>
    <w:rsid w:val="00EE0CD1"/>
    <w:rsid w:val="00EE0F63"/>
    <w:rsid w:val="00EE0F82"/>
    <w:rsid w:val="00EE1155"/>
    <w:rsid w:val="00EE11E1"/>
    <w:rsid w:val="00EE123E"/>
    <w:rsid w:val="00EE124E"/>
    <w:rsid w:val="00EE12F5"/>
    <w:rsid w:val="00EE13B2"/>
    <w:rsid w:val="00EE13DC"/>
    <w:rsid w:val="00EE1467"/>
    <w:rsid w:val="00EE14F9"/>
    <w:rsid w:val="00EE154B"/>
    <w:rsid w:val="00EE15E9"/>
    <w:rsid w:val="00EE15F1"/>
    <w:rsid w:val="00EE1653"/>
    <w:rsid w:val="00EE16DA"/>
    <w:rsid w:val="00EE17C5"/>
    <w:rsid w:val="00EE18C6"/>
    <w:rsid w:val="00EE1961"/>
    <w:rsid w:val="00EE19FD"/>
    <w:rsid w:val="00EE1AAB"/>
    <w:rsid w:val="00EE1BC1"/>
    <w:rsid w:val="00EE1BC6"/>
    <w:rsid w:val="00EE1BF2"/>
    <w:rsid w:val="00EE1C60"/>
    <w:rsid w:val="00EE1CB1"/>
    <w:rsid w:val="00EE1DBA"/>
    <w:rsid w:val="00EE1F24"/>
    <w:rsid w:val="00EE2053"/>
    <w:rsid w:val="00EE2079"/>
    <w:rsid w:val="00EE20FE"/>
    <w:rsid w:val="00EE21CA"/>
    <w:rsid w:val="00EE21FE"/>
    <w:rsid w:val="00EE2298"/>
    <w:rsid w:val="00EE2374"/>
    <w:rsid w:val="00EE2415"/>
    <w:rsid w:val="00EE251A"/>
    <w:rsid w:val="00EE2549"/>
    <w:rsid w:val="00EE25FA"/>
    <w:rsid w:val="00EE261D"/>
    <w:rsid w:val="00EE292B"/>
    <w:rsid w:val="00EE2A29"/>
    <w:rsid w:val="00EE2A70"/>
    <w:rsid w:val="00EE2A8A"/>
    <w:rsid w:val="00EE2AB2"/>
    <w:rsid w:val="00EE2ABD"/>
    <w:rsid w:val="00EE2B42"/>
    <w:rsid w:val="00EE2BC8"/>
    <w:rsid w:val="00EE2D29"/>
    <w:rsid w:val="00EE2D84"/>
    <w:rsid w:val="00EE2FC9"/>
    <w:rsid w:val="00EE3001"/>
    <w:rsid w:val="00EE303B"/>
    <w:rsid w:val="00EE3207"/>
    <w:rsid w:val="00EE32CA"/>
    <w:rsid w:val="00EE32CD"/>
    <w:rsid w:val="00EE3413"/>
    <w:rsid w:val="00EE343A"/>
    <w:rsid w:val="00EE3494"/>
    <w:rsid w:val="00EE3518"/>
    <w:rsid w:val="00EE35B6"/>
    <w:rsid w:val="00EE35D5"/>
    <w:rsid w:val="00EE35E3"/>
    <w:rsid w:val="00EE3664"/>
    <w:rsid w:val="00EE374D"/>
    <w:rsid w:val="00EE381D"/>
    <w:rsid w:val="00EE382F"/>
    <w:rsid w:val="00EE3945"/>
    <w:rsid w:val="00EE396B"/>
    <w:rsid w:val="00EE3A50"/>
    <w:rsid w:val="00EE3AA0"/>
    <w:rsid w:val="00EE3BDA"/>
    <w:rsid w:val="00EE3C13"/>
    <w:rsid w:val="00EE3C6F"/>
    <w:rsid w:val="00EE3CB0"/>
    <w:rsid w:val="00EE3CE3"/>
    <w:rsid w:val="00EE3CFF"/>
    <w:rsid w:val="00EE3DC3"/>
    <w:rsid w:val="00EE3DF6"/>
    <w:rsid w:val="00EE3E78"/>
    <w:rsid w:val="00EE3E8E"/>
    <w:rsid w:val="00EE3F47"/>
    <w:rsid w:val="00EE3FA0"/>
    <w:rsid w:val="00EE4045"/>
    <w:rsid w:val="00EE422C"/>
    <w:rsid w:val="00EE42D0"/>
    <w:rsid w:val="00EE4385"/>
    <w:rsid w:val="00EE43D2"/>
    <w:rsid w:val="00EE4426"/>
    <w:rsid w:val="00EE4541"/>
    <w:rsid w:val="00EE4583"/>
    <w:rsid w:val="00EE45D0"/>
    <w:rsid w:val="00EE4637"/>
    <w:rsid w:val="00EE46BB"/>
    <w:rsid w:val="00EE46C5"/>
    <w:rsid w:val="00EE46D3"/>
    <w:rsid w:val="00EE474C"/>
    <w:rsid w:val="00EE4763"/>
    <w:rsid w:val="00EE4778"/>
    <w:rsid w:val="00EE49BE"/>
    <w:rsid w:val="00EE49F7"/>
    <w:rsid w:val="00EE4A2C"/>
    <w:rsid w:val="00EE4AA3"/>
    <w:rsid w:val="00EE4ADD"/>
    <w:rsid w:val="00EE4B9C"/>
    <w:rsid w:val="00EE4BF0"/>
    <w:rsid w:val="00EE4C4F"/>
    <w:rsid w:val="00EE4DA3"/>
    <w:rsid w:val="00EE4DE6"/>
    <w:rsid w:val="00EE4EEA"/>
    <w:rsid w:val="00EE4FD9"/>
    <w:rsid w:val="00EE5148"/>
    <w:rsid w:val="00EE5315"/>
    <w:rsid w:val="00EE5326"/>
    <w:rsid w:val="00EE532C"/>
    <w:rsid w:val="00EE536A"/>
    <w:rsid w:val="00EE543B"/>
    <w:rsid w:val="00EE544B"/>
    <w:rsid w:val="00EE547A"/>
    <w:rsid w:val="00EE56B1"/>
    <w:rsid w:val="00EE56B4"/>
    <w:rsid w:val="00EE56F0"/>
    <w:rsid w:val="00EE57B2"/>
    <w:rsid w:val="00EE57D9"/>
    <w:rsid w:val="00EE5847"/>
    <w:rsid w:val="00EE599D"/>
    <w:rsid w:val="00EE5A07"/>
    <w:rsid w:val="00EE5A41"/>
    <w:rsid w:val="00EE5BDC"/>
    <w:rsid w:val="00EE5C03"/>
    <w:rsid w:val="00EE5C96"/>
    <w:rsid w:val="00EE5F29"/>
    <w:rsid w:val="00EE5F66"/>
    <w:rsid w:val="00EE5F7C"/>
    <w:rsid w:val="00EE6062"/>
    <w:rsid w:val="00EE6145"/>
    <w:rsid w:val="00EE622F"/>
    <w:rsid w:val="00EE6253"/>
    <w:rsid w:val="00EE6350"/>
    <w:rsid w:val="00EE635D"/>
    <w:rsid w:val="00EE636B"/>
    <w:rsid w:val="00EE649B"/>
    <w:rsid w:val="00EE6643"/>
    <w:rsid w:val="00EE68A4"/>
    <w:rsid w:val="00EE6927"/>
    <w:rsid w:val="00EE694E"/>
    <w:rsid w:val="00EE6994"/>
    <w:rsid w:val="00EE6B3C"/>
    <w:rsid w:val="00EE6C5B"/>
    <w:rsid w:val="00EE6D7F"/>
    <w:rsid w:val="00EE6D9F"/>
    <w:rsid w:val="00EE6DD7"/>
    <w:rsid w:val="00EE6F62"/>
    <w:rsid w:val="00EE7003"/>
    <w:rsid w:val="00EE701C"/>
    <w:rsid w:val="00EE70CC"/>
    <w:rsid w:val="00EE70DF"/>
    <w:rsid w:val="00EE712D"/>
    <w:rsid w:val="00EE718B"/>
    <w:rsid w:val="00EE7216"/>
    <w:rsid w:val="00EE7315"/>
    <w:rsid w:val="00EE735B"/>
    <w:rsid w:val="00EE73B5"/>
    <w:rsid w:val="00EE73D7"/>
    <w:rsid w:val="00EE7409"/>
    <w:rsid w:val="00EE7425"/>
    <w:rsid w:val="00EE7569"/>
    <w:rsid w:val="00EE766F"/>
    <w:rsid w:val="00EE77D3"/>
    <w:rsid w:val="00EE7840"/>
    <w:rsid w:val="00EE78FC"/>
    <w:rsid w:val="00EE7935"/>
    <w:rsid w:val="00EE7B35"/>
    <w:rsid w:val="00EE7B64"/>
    <w:rsid w:val="00EE7DAE"/>
    <w:rsid w:val="00EE7E58"/>
    <w:rsid w:val="00EE7EC4"/>
    <w:rsid w:val="00EE7F26"/>
    <w:rsid w:val="00EE7FB0"/>
    <w:rsid w:val="00EE7FBE"/>
    <w:rsid w:val="00EF001A"/>
    <w:rsid w:val="00EF002E"/>
    <w:rsid w:val="00EF0126"/>
    <w:rsid w:val="00EF0133"/>
    <w:rsid w:val="00EF018C"/>
    <w:rsid w:val="00EF021E"/>
    <w:rsid w:val="00EF024E"/>
    <w:rsid w:val="00EF0258"/>
    <w:rsid w:val="00EF0338"/>
    <w:rsid w:val="00EF03C9"/>
    <w:rsid w:val="00EF0452"/>
    <w:rsid w:val="00EF0791"/>
    <w:rsid w:val="00EF07A1"/>
    <w:rsid w:val="00EF07F2"/>
    <w:rsid w:val="00EF0832"/>
    <w:rsid w:val="00EF08BC"/>
    <w:rsid w:val="00EF0945"/>
    <w:rsid w:val="00EF0A0F"/>
    <w:rsid w:val="00EF0B88"/>
    <w:rsid w:val="00EF0BFB"/>
    <w:rsid w:val="00EF0C38"/>
    <w:rsid w:val="00EF0C79"/>
    <w:rsid w:val="00EF0F60"/>
    <w:rsid w:val="00EF1070"/>
    <w:rsid w:val="00EF1135"/>
    <w:rsid w:val="00EF1153"/>
    <w:rsid w:val="00EF11A5"/>
    <w:rsid w:val="00EF1420"/>
    <w:rsid w:val="00EF153C"/>
    <w:rsid w:val="00EF1545"/>
    <w:rsid w:val="00EF193F"/>
    <w:rsid w:val="00EF1AE8"/>
    <w:rsid w:val="00EF1C29"/>
    <w:rsid w:val="00EF1C64"/>
    <w:rsid w:val="00EF1DCB"/>
    <w:rsid w:val="00EF1E35"/>
    <w:rsid w:val="00EF1ED0"/>
    <w:rsid w:val="00EF1F06"/>
    <w:rsid w:val="00EF1FEB"/>
    <w:rsid w:val="00EF20AC"/>
    <w:rsid w:val="00EF214D"/>
    <w:rsid w:val="00EF2193"/>
    <w:rsid w:val="00EF2196"/>
    <w:rsid w:val="00EF2225"/>
    <w:rsid w:val="00EF2277"/>
    <w:rsid w:val="00EF22D8"/>
    <w:rsid w:val="00EF2316"/>
    <w:rsid w:val="00EF235C"/>
    <w:rsid w:val="00EF24C3"/>
    <w:rsid w:val="00EF25ED"/>
    <w:rsid w:val="00EF262F"/>
    <w:rsid w:val="00EF28B3"/>
    <w:rsid w:val="00EF2951"/>
    <w:rsid w:val="00EF29B1"/>
    <w:rsid w:val="00EF2ADD"/>
    <w:rsid w:val="00EF2C14"/>
    <w:rsid w:val="00EF2D38"/>
    <w:rsid w:val="00EF2E68"/>
    <w:rsid w:val="00EF2EAA"/>
    <w:rsid w:val="00EF2EAD"/>
    <w:rsid w:val="00EF2EDA"/>
    <w:rsid w:val="00EF2FB2"/>
    <w:rsid w:val="00EF2FD8"/>
    <w:rsid w:val="00EF315A"/>
    <w:rsid w:val="00EF3334"/>
    <w:rsid w:val="00EF33EE"/>
    <w:rsid w:val="00EF3689"/>
    <w:rsid w:val="00EF3801"/>
    <w:rsid w:val="00EF38A5"/>
    <w:rsid w:val="00EF38B3"/>
    <w:rsid w:val="00EF39D4"/>
    <w:rsid w:val="00EF39EB"/>
    <w:rsid w:val="00EF3A00"/>
    <w:rsid w:val="00EF3B01"/>
    <w:rsid w:val="00EF3B20"/>
    <w:rsid w:val="00EF3CCD"/>
    <w:rsid w:val="00EF3CFD"/>
    <w:rsid w:val="00EF3E46"/>
    <w:rsid w:val="00EF3E75"/>
    <w:rsid w:val="00EF3F4E"/>
    <w:rsid w:val="00EF42BB"/>
    <w:rsid w:val="00EF43FE"/>
    <w:rsid w:val="00EF443E"/>
    <w:rsid w:val="00EF44E1"/>
    <w:rsid w:val="00EF471A"/>
    <w:rsid w:val="00EF47B4"/>
    <w:rsid w:val="00EF47F9"/>
    <w:rsid w:val="00EF48B4"/>
    <w:rsid w:val="00EF495D"/>
    <w:rsid w:val="00EF4A54"/>
    <w:rsid w:val="00EF4AA1"/>
    <w:rsid w:val="00EF4AF8"/>
    <w:rsid w:val="00EF4BA1"/>
    <w:rsid w:val="00EF4C6B"/>
    <w:rsid w:val="00EF4CAD"/>
    <w:rsid w:val="00EF4CB3"/>
    <w:rsid w:val="00EF4D8A"/>
    <w:rsid w:val="00EF4E41"/>
    <w:rsid w:val="00EF4E56"/>
    <w:rsid w:val="00EF4EC5"/>
    <w:rsid w:val="00EF4ECA"/>
    <w:rsid w:val="00EF519A"/>
    <w:rsid w:val="00EF51C5"/>
    <w:rsid w:val="00EF5460"/>
    <w:rsid w:val="00EF547C"/>
    <w:rsid w:val="00EF5484"/>
    <w:rsid w:val="00EF54D9"/>
    <w:rsid w:val="00EF55B0"/>
    <w:rsid w:val="00EF5665"/>
    <w:rsid w:val="00EF5678"/>
    <w:rsid w:val="00EF5718"/>
    <w:rsid w:val="00EF5746"/>
    <w:rsid w:val="00EF5894"/>
    <w:rsid w:val="00EF595C"/>
    <w:rsid w:val="00EF5988"/>
    <w:rsid w:val="00EF5AF5"/>
    <w:rsid w:val="00EF5C19"/>
    <w:rsid w:val="00EF5C79"/>
    <w:rsid w:val="00EF5CC6"/>
    <w:rsid w:val="00EF5E23"/>
    <w:rsid w:val="00EF5EFD"/>
    <w:rsid w:val="00EF6052"/>
    <w:rsid w:val="00EF60D1"/>
    <w:rsid w:val="00EF6164"/>
    <w:rsid w:val="00EF6190"/>
    <w:rsid w:val="00EF628B"/>
    <w:rsid w:val="00EF664F"/>
    <w:rsid w:val="00EF6761"/>
    <w:rsid w:val="00EF6789"/>
    <w:rsid w:val="00EF685B"/>
    <w:rsid w:val="00EF68B6"/>
    <w:rsid w:val="00EF6923"/>
    <w:rsid w:val="00EF6964"/>
    <w:rsid w:val="00EF6978"/>
    <w:rsid w:val="00EF69A4"/>
    <w:rsid w:val="00EF6A35"/>
    <w:rsid w:val="00EF6A3A"/>
    <w:rsid w:val="00EF6A6A"/>
    <w:rsid w:val="00EF6A7E"/>
    <w:rsid w:val="00EF6AD1"/>
    <w:rsid w:val="00EF6AFE"/>
    <w:rsid w:val="00EF6B01"/>
    <w:rsid w:val="00EF6B69"/>
    <w:rsid w:val="00EF6B74"/>
    <w:rsid w:val="00EF6C7E"/>
    <w:rsid w:val="00EF6CA5"/>
    <w:rsid w:val="00EF6D17"/>
    <w:rsid w:val="00EF6E5F"/>
    <w:rsid w:val="00EF7098"/>
    <w:rsid w:val="00EF70A9"/>
    <w:rsid w:val="00EF7119"/>
    <w:rsid w:val="00EF7167"/>
    <w:rsid w:val="00EF7219"/>
    <w:rsid w:val="00EF726F"/>
    <w:rsid w:val="00EF7280"/>
    <w:rsid w:val="00EF72AA"/>
    <w:rsid w:val="00EF737D"/>
    <w:rsid w:val="00EF739D"/>
    <w:rsid w:val="00EF74F6"/>
    <w:rsid w:val="00EF7579"/>
    <w:rsid w:val="00EF75DE"/>
    <w:rsid w:val="00EF76BC"/>
    <w:rsid w:val="00EF784C"/>
    <w:rsid w:val="00EF79A6"/>
    <w:rsid w:val="00EF7A20"/>
    <w:rsid w:val="00EF7A65"/>
    <w:rsid w:val="00EF7AE8"/>
    <w:rsid w:val="00EF7BAE"/>
    <w:rsid w:val="00EF7BD0"/>
    <w:rsid w:val="00EF7BD1"/>
    <w:rsid w:val="00EF7C2B"/>
    <w:rsid w:val="00EF7C5C"/>
    <w:rsid w:val="00EF7D75"/>
    <w:rsid w:val="00EF7DBC"/>
    <w:rsid w:val="00EF7E07"/>
    <w:rsid w:val="00EF7E13"/>
    <w:rsid w:val="00EF7FEB"/>
    <w:rsid w:val="00F000EA"/>
    <w:rsid w:val="00F00102"/>
    <w:rsid w:val="00F00166"/>
    <w:rsid w:val="00F0026F"/>
    <w:rsid w:val="00F002B0"/>
    <w:rsid w:val="00F00421"/>
    <w:rsid w:val="00F00474"/>
    <w:rsid w:val="00F00525"/>
    <w:rsid w:val="00F0064D"/>
    <w:rsid w:val="00F0065F"/>
    <w:rsid w:val="00F00665"/>
    <w:rsid w:val="00F0079B"/>
    <w:rsid w:val="00F007B9"/>
    <w:rsid w:val="00F0087C"/>
    <w:rsid w:val="00F00893"/>
    <w:rsid w:val="00F008A5"/>
    <w:rsid w:val="00F008D5"/>
    <w:rsid w:val="00F00A26"/>
    <w:rsid w:val="00F00BC9"/>
    <w:rsid w:val="00F00CE4"/>
    <w:rsid w:val="00F00D48"/>
    <w:rsid w:val="00F00D4A"/>
    <w:rsid w:val="00F00E33"/>
    <w:rsid w:val="00F00EBE"/>
    <w:rsid w:val="00F00ED9"/>
    <w:rsid w:val="00F00F00"/>
    <w:rsid w:val="00F00F1D"/>
    <w:rsid w:val="00F00F67"/>
    <w:rsid w:val="00F00FF1"/>
    <w:rsid w:val="00F0101E"/>
    <w:rsid w:val="00F0105A"/>
    <w:rsid w:val="00F010D8"/>
    <w:rsid w:val="00F0110E"/>
    <w:rsid w:val="00F0115E"/>
    <w:rsid w:val="00F011D4"/>
    <w:rsid w:val="00F011FF"/>
    <w:rsid w:val="00F01216"/>
    <w:rsid w:val="00F01401"/>
    <w:rsid w:val="00F0143D"/>
    <w:rsid w:val="00F01498"/>
    <w:rsid w:val="00F01617"/>
    <w:rsid w:val="00F01658"/>
    <w:rsid w:val="00F016FF"/>
    <w:rsid w:val="00F01740"/>
    <w:rsid w:val="00F0178D"/>
    <w:rsid w:val="00F017A8"/>
    <w:rsid w:val="00F018F5"/>
    <w:rsid w:val="00F0195E"/>
    <w:rsid w:val="00F01AFE"/>
    <w:rsid w:val="00F01B2A"/>
    <w:rsid w:val="00F01C71"/>
    <w:rsid w:val="00F01CE7"/>
    <w:rsid w:val="00F01D9A"/>
    <w:rsid w:val="00F01E68"/>
    <w:rsid w:val="00F01F4D"/>
    <w:rsid w:val="00F01FC9"/>
    <w:rsid w:val="00F0206A"/>
    <w:rsid w:val="00F022ED"/>
    <w:rsid w:val="00F0235A"/>
    <w:rsid w:val="00F0241C"/>
    <w:rsid w:val="00F02454"/>
    <w:rsid w:val="00F02494"/>
    <w:rsid w:val="00F024C3"/>
    <w:rsid w:val="00F024E9"/>
    <w:rsid w:val="00F026CE"/>
    <w:rsid w:val="00F027B1"/>
    <w:rsid w:val="00F02872"/>
    <w:rsid w:val="00F02932"/>
    <w:rsid w:val="00F029A4"/>
    <w:rsid w:val="00F02AA7"/>
    <w:rsid w:val="00F02B94"/>
    <w:rsid w:val="00F02BE7"/>
    <w:rsid w:val="00F02D18"/>
    <w:rsid w:val="00F02D78"/>
    <w:rsid w:val="00F02DD3"/>
    <w:rsid w:val="00F02DF8"/>
    <w:rsid w:val="00F02F12"/>
    <w:rsid w:val="00F02FBC"/>
    <w:rsid w:val="00F0309F"/>
    <w:rsid w:val="00F030DD"/>
    <w:rsid w:val="00F0318A"/>
    <w:rsid w:val="00F03195"/>
    <w:rsid w:val="00F031DE"/>
    <w:rsid w:val="00F03386"/>
    <w:rsid w:val="00F0347A"/>
    <w:rsid w:val="00F03498"/>
    <w:rsid w:val="00F03551"/>
    <w:rsid w:val="00F03597"/>
    <w:rsid w:val="00F035D2"/>
    <w:rsid w:val="00F0366F"/>
    <w:rsid w:val="00F0368A"/>
    <w:rsid w:val="00F036CA"/>
    <w:rsid w:val="00F036E3"/>
    <w:rsid w:val="00F0370D"/>
    <w:rsid w:val="00F03719"/>
    <w:rsid w:val="00F03774"/>
    <w:rsid w:val="00F037E3"/>
    <w:rsid w:val="00F039ED"/>
    <w:rsid w:val="00F03B2A"/>
    <w:rsid w:val="00F03B91"/>
    <w:rsid w:val="00F03C23"/>
    <w:rsid w:val="00F03CCD"/>
    <w:rsid w:val="00F03EA6"/>
    <w:rsid w:val="00F0403D"/>
    <w:rsid w:val="00F0409F"/>
    <w:rsid w:val="00F0420A"/>
    <w:rsid w:val="00F0424B"/>
    <w:rsid w:val="00F04267"/>
    <w:rsid w:val="00F04347"/>
    <w:rsid w:val="00F043F5"/>
    <w:rsid w:val="00F04635"/>
    <w:rsid w:val="00F046DD"/>
    <w:rsid w:val="00F0478B"/>
    <w:rsid w:val="00F0481C"/>
    <w:rsid w:val="00F0498A"/>
    <w:rsid w:val="00F04A0F"/>
    <w:rsid w:val="00F04A5F"/>
    <w:rsid w:val="00F04AE8"/>
    <w:rsid w:val="00F04C97"/>
    <w:rsid w:val="00F04D28"/>
    <w:rsid w:val="00F04DEF"/>
    <w:rsid w:val="00F04E1F"/>
    <w:rsid w:val="00F04E43"/>
    <w:rsid w:val="00F04E58"/>
    <w:rsid w:val="00F04F1D"/>
    <w:rsid w:val="00F05027"/>
    <w:rsid w:val="00F050B3"/>
    <w:rsid w:val="00F05197"/>
    <w:rsid w:val="00F051B9"/>
    <w:rsid w:val="00F051EE"/>
    <w:rsid w:val="00F05372"/>
    <w:rsid w:val="00F05407"/>
    <w:rsid w:val="00F054A5"/>
    <w:rsid w:val="00F05570"/>
    <w:rsid w:val="00F055C1"/>
    <w:rsid w:val="00F05623"/>
    <w:rsid w:val="00F05668"/>
    <w:rsid w:val="00F0574C"/>
    <w:rsid w:val="00F0577C"/>
    <w:rsid w:val="00F05860"/>
    <w:rsid w:val="00F05964"/>
    <w:rsid w:val="00F05968"/>
    <w:rsid w:val="00F05A78"/>
    <w:rsid w:val="00F05A97"/>
    <w:rsid w:val="00F05AC6"/>
    <w:rsid w:val="00F05AFF"/>
    <w:rsid w:val="00F05B28"/>
    <w:rsid w:val="00F05B2F"/>
    <w:rsid w:val="00F05B9C"/>
    <w:rsid w:val="00F05BB6"/>
    <w:rsid w:val="00F05C18"/>
    <w:rsid w:val="00F05C33"/>
    <w:rsid w:val="00F05CA5"/>
    <w:rsid w:val="00F05CCA"/>
    <w:rsid w:val="00F05CDD"/>
    <w:rsid w:val="00F05D11"/>
    <w:rsid w:val="00F05D1F"/>
    <w:rsid w:val="00F05D3C"/>
    <w:rsid w:val="00F05DB5"/>
    <w:rsid w:val="00F05F65"/>
    <w:rsid w:val="00F06015"/>
    <w:rsid w:val="00F0601F"/>
    <w:rsid w:val="00F06039"/>
    <w:rsid w:val="00F0620B"/>
    <w:rsid w:val="00F0621E"/>
    <w:rsid w:val="00F0647F"/>
    <w:rsid w:val="00F064FB"/>
    <w:rsid w:val="00F06512"/>
    <w:rsid w:val="00F06612"/>
    <w:rsid w:val="00F06615"/>
    <w:rsid w:val="00F066B2"/>
    <w:rsid w:val="00F06732"/>
    <w:rsid w:val="00F067DE"/>
    <w:rsid w:val="00F06896"/>
    <w:rsid w:val="00F068D1"/>
    <w:rsid w:val="00F06A9E"/>
    <w:rsid w:val="00F06B66"/>
    <w:rsid w:val="00F06D0F"/>
    <w:rsid w:val="00F06D40"/>
    <w:rsid w:val="00F06DD8"/>
    <w:rsid w:val="00F06E32"/>
    <w:rsid w:val="00F06E6E"/>
    <w:rsid w:val="00F06EA6"/>
    <w:rsid w:val="00F06F0D"/>
    <w:rsid w:val="00F07091"/>
    <w:rsid w:val="00F070F3"/>
    <w:rsid w:val="00F07174"/>
    <w:rsid w:val="00F071D6"/>
    <w:rsid w:val="00F07209"/>
    <w:rsid w:val="00F072A0"/>
    <w:rsid w:val="00F074CC"/>
    <w:rsid w:val="00F07505"/>
    <w:rsid w:val="00F0751D"/>
    <w:rsid w:val="00F075F5"/>
    <w:rsid w:val="00F07672"/>
    <w:rsid w:val="00F076D0"/>
    <w:rsid w:val="00F076D6"/>
    <w:rsid w:val="00F079C5"/>
    <w:rsid w:val="00F07A7D"/>
    <w:rsid w:val="00F07B28"/>
    <w:rsid w:val="00F07C05"/>
    <w:rsid w:val="00F07CD0"/>
    <w:rsid w:val="00F07D89"/>
    <w:rsid w:val="00F07DA8"/>
    <w:rsid w:val="00F07E22"/>
    <w:rsid w:val="00F07E39"/>
    <w:rsid w:val="00F07E3F"/>
    <w:rsid w:val="00F07F2C"/>
    <w:rsid w:val="00F07F8A"/>
    <w:rsid w:val="00F10037"/>
    <w:rsid w:val="00F10059"/>
    <w:rsid w:val="00F10070"/>
    <w:rsid w:val="00F100F8"/>
    <w:rsid w:val="00F10192"/>
    <w:rsid w:val="00F10208"/>
    <w:rsid w:val="00F1025D"/>
    <w:rsid w:val="00F102F4"/>
    <w:rsid w:val="00F1039F"/>
    <w:rsid w:val="00F103FE"/>
    <w:rsid w:val="00F10415"/>
    <w:rsid w:val="00F10421"/>
    <w:rsid w:val="00F10424"/>
    <w:rsid w:val="00F1048B"/>
    <w:rsid w:val="00F1052B"/>
    <w:rsid w:val="00F10608"/>
    <w:rsid w:val="00F10625"/>
    <w:rsid w:val="00F10690"/>
    <w:rsid w:val="00F1070F"/>
    <w:rsid w:val="00F107CA"/>
    <w:rsid w:val="00F10841"/>
    <w:rsid w:val="00F10882"/>
    <w:rsid w:val="00F108F2"/>
    <w:rsid w:val="00F1092A"/>
    <w:rsid w:val="00F10996"/>
    <w:rsid w:val="00F10B23"/>
    <w:rsid w:val="00F10B86"/>
    <w:rsid w:val="00F10C13"/>
    <w:rsid w:val="00F10C23"/>
    <w:rsid w:val="00F10CA3"/>
    <w:rsid w:val="00F10D7A"/>
    <w:rsid w:val="00F10DCC"/>
    <w:rsid w:val="00F10DF1"/>
    <w:rsid w:val="00F10EBC"/>
    <w:rsid w:val="00F10EF5"/>
    <w:rsid w:val="00F11058"/>
    <w:rsid w:val="00F11072"/>
    <w:rsid w:val="00F11114"/>
    <w:rsid w:val="00F11168"/>
    <w:rsid w:val="00F111D5"/>
    <w:rsid w:val="00F111FC"/>
    <w:rsid w:val="00F11247"/>
    <w:rsid w:val="00F1127E"/>
    <w:rsid w:val="00F112B0"/>
    <w:rsid w:val="00F1138A"/>
    <w:rsid w:val="00F114B7"/>
    <w:rsid w:val="00F11565"/>
    <w:rsid w:val="00F116E7"/>
    <w:rsid w:val="00F117B1"/>
    <w:rsid w:val="00F117D8"/>
    <w:rsid w:val="00F119A6"/>
    <w:rsid w:val="00F119AB"/>
    <w:rsid w:val="00F119F9"/>
    <w:rsid w:val="00F11A54"/>
    <w:rsid w:val="00F11B0C"/>
    <w:rsid w:val="00F11B37"/>
    <w:rsid w:val="00F11B59"/>
    <w:rsid w:val="00F11BC5"/>
    <w:rsid w:val="00F11C74"/>
    <w:rsid w:val="00F11D44"/>
    <w:rsid w:val="00F11D83"/>
    <w:rsid w:val="00F11D9C"/>
    <w:rsid w:val="00F11F04"/>
    <w:rsid w:val="00F11F28"/>
    <w:rsid w:val="00F11F7F"/>
    <w:rsid w:val="00F11FD9"/>
    <w:rsid w:val="00F11FEA"/>
    <w:rsid w:val="00F120AD"/>
    <w:rsid w:val="00F121EB"/>
    <w:rsid w:val="00F12216"/>
    <w:rsid w:val="00F12229"/>
    <w:rsid w:val="00F1229C"/>
    <w:rsid w:val="00F1245E"/>
    <w:rsid w:val="00F124F8"/>
    <w:rsid w:val="00F1256B"/>
    <w:rsid w:val="00F125E5"/>
    <w:rsid w:val="00F12720"/>
    <w:rsid w:val="00F12788"/>
    <w:rsid w:val="00F127BE"/>
    <w:rsid w:val="00F127F3"/>
    <w:rsid w:val="00F1289A"/>
    <w:rsid w:val="00F128C7"/>
    <w:rsid w:val="00F128D3"/>
    <w:rsid w:val="00F128DA"/>
    <w:rsid w:val="00F1297F"/>
    <w:rsid w:val="00F12A3A"/>
    <w:rsid w:val="00F12A9A"/>
    <w:rsid w:val="00F12C54"/>
    <w:rsid w:val="00F12C66"/>
    <w:rsid w:val="00F12C82"/>
    <w:rsid w:val="00F12D50"/>
    <w:rsid w:val="00F12D68"/>
    <w:rsid w:val="00F12E6F"/>
    <w:rsid w:val="00F12ED4"/>
    <w:rsid w:val="00F130A7"/>
    <w:rsid w:val="00F13153"/>
    <w:rsid w:val="00F131C5"/>
    <w:rsid w:val="00F132B1"/>
    <w:rsid w:val="00F13372"/>
    <w:rsid w:val="00F13503"/>
    <w:rsid w:val="00F13507"/>
    <w:rsid w:val="00F135E7"/>
    <w:rsid w:val="00F13698"/>
    <w:rsid w:val="00F136D1"/>
    <w:rsid w:val="00F136F7"/>
    <w:rsid w:val="00F137EC"/>
    <w:rsid w:val="00F13839"/>
    <w:rsid w:val="00F1384D"/>
    <w:rsid w:val="00F1389F"/>
    <w:rsid w:val="00F13967"/>
    <w:rsid w:val="00F13C51"/>
    <w:rsid w:val="00F13D9A"/>
    <w:rsid w:val="00F13DAE"/>
    <w:rsid w:val="00F13DD8"/>
    <w:rsid w:val="00F13E7C"/>
    <w:rsid w:val="00F13EBC"/>
    <w:rsid w:val="00F13F23"/>
    <w:rsid w:val="00F14015"/>
    <w:rsid w:val="00F14086"/>
    <w:rsid w:val="00F140AB"/>
    <w:rsid w:val="00F140C1"/>
    <w:rsid w:val="00F14188"/>
    <w:rsid w:val="00F141E7"/>
    <w:rsid w:val="00F14201"/>
    <w:rsid w:val="00F1420D"/>
    <w:rsid w:val="00F1427E"/>
    <w:rsid w:val="00F142DF"/>
    <w:rsid w:val="00F1445C"/>
    <w:rsid w:val="00F1466A"/>
    <w:rsid w:val="00F146B7"/>
    <w:rsid w:val="00F147E9"/>
    <w:rsid w:val="00F14809"/>
    <w:rsid w:val="00F14818"/>
    <w:rsid w:val="00F1483C"/>
    <w:rsid w:val="00F1498D"/>
    <w:rsid w:val="00F14B80"/>
    <w:rsid w:val="00F14D41"/>
    <w:rsid w:val="00F14DA7"/>
    <w:rsid w:val="00F14DA9"/>
    <w:rsid w:val="00F14E60"/>
    <w:rsid w:val="00F14FB7"/>
    <w:rsid w:val="00F14FCC"/>
    <w:rsid w:val="00F15024"/>
    <w:rsid w:val="00F150D5"/>
    <w:rsid w:val="00F151E7"/>
    <w:rsid w:val="00F1524E"/>
    <w:rsid w:val="00F152DD"/>
    <w:rsid w:val="00F152EE"/>
    <w:rsid w:val="00F153F5"/>
    <w:rsid w:val="00F1540F"/>
    <w:rsid w:val="00F15458"/>
    <w:rsid w:val="00F15474"/>
    <w:rsid w:val="00F154B1"/>
    <w:rsid w:val="00F154E4"/>
    <w:rsid w:val="00F155A1"/>
    <w:rsid w:val="00F1563B"/>
    <w:rsid w:val="00F15689"/>
    <w:rsid w:val="00F156EC"/>
    <w:rsid w:val="00F1573A"/>
    <w:rsid w:val="00F15781"/>
    <w:rsid w:val="00F158CC"/>
    <w:rsid w:val="00F1597B"/>
    <w:rsid w:val="00F159BF"/>
    <w:rsid w:val="00F15B58"/>
    <w:rsid w:val="00F15BEB"/>
    <w:rsid w:val="00F15C0A"/>
    <w:rsid w:val="00F15C63"/>
    <w:rsid w:val="00F15C90"/>
    <w:rsid w:val="00F15E7E"/>
    <w:rsid w:val="00F1602A"/>
    <w:rsid w:val="00F160D9"/>
    <w:rsid w:val="00F160E4"/>
    <w:rsid w:val="00F16283"/>
    <w:rsid w:val="00F162BB"/>
    <w:rsid w:val="00F1634A"/>
    <w:rsid w:val="00F1642B"/>
    <w:rsid w:val="00F16485"/>
    <w:rsid w:val="00F1658A"/>
    <w:rsid w:val="00F165E1"/>
    <w:rsid w:val="00F165F3"/>
    <w:rsid w:val="00F1665A"/>
    <w:rsid w:val="00F166B0"/>
    <w:rsid w:val="00F166B2"/>
    <w:rsid w:val="00F16A9E"/>
    <w:rsid w:val="00F16AB6"/>
    <w:rsid w:val="00F16C6B"/>
    <w:rsid w:val="00F16D0D"/>
    <w:rsid w:val="00F16E80"/>
    <w:rsid w:val="00F16F2D"/>
    <w:rsid w:val="00F17074"/>
    <w:rsid w:val="00F170AF"/>
    <w:rsid w:val="00F170F6"/>
    <w:rsid w:val="00F171A6"/>
    <w:rsid w:val="00F17364"/>
    <w:rsid w:val="00F17416"/>
    <w:rsid w:val="00F174CE"/>
    <w:rsid w:val="00F1759E"/>
    <w:rsid w:val="00F17645"/>
    <w:rsid w:val="00F17688"/>
    <w:rsid w:val="00F17696"/>
    <w:rsid w:val="00F17742"/>
    <w:rsid w:val="00F177FE"/>
    <w:rsid w:val="00F17850"/>
    <w:rsid w:val="00F17990"/>
    <w:rsid w:val="00F17A17"/>
    <w:rsid w:val="00F17A30"/>
    <w:rsid w:val="00F17AE4"/>
    <w:rsid w:val="00F17B2D"/>
    <w:rsid w:val="00F17B9F"/>
    <w:rsid w:val="00F17BDC"/>
    <w:rsid w:val="00F17BFC"/>
    <w:rsid w:val="00F17C2D"/>
    <w:rsid w:val="00F17CA6"/>
    <w:rsid w:val="00F17DED"/>
    <w:rsid w:val="00F17E6E"/>
    <w:rsid w:val="00F17F1A"/>
    <w:rsid w:val="00F17F5C"/>
    <w:rsid w:val="00F17F76"/>
    <w:rsid w:val="00F200AB"/>
    <w:rsid w:val="00F201EA"/>
    <w:rsid w:val="00F201F6"/>
    <w:rsid w:val="00F20291"/>
    <w:rsid w:val="00F20325"/>
    <w:rsid w:val="00F2036C"/>
    <w:rsid w:val="00F2036E"/>
    <w:rsid w:val="00F203CD"/>
    <w:rsid w:val="00F203F4"/>
    <w:rsid w:val="00F2045B"/>
    <w:rsid w:val="00F20542"/>
    <w:rsid w:val="00F2054A"/>
    <w:rsid w:val="00F20627"/>
    <w:rsid w:val="00F206CD"/>
    <w:rsid w:val="00F20793"/>
    <w:rsid w:val="00F20949"/>
    <w:rsid w:val="00F20972"/>
    <w:rsid w:val="00F209DC"/>
    <w:rsid w:val="00F209FC"/>
    <w:rsid w:val="00F20B12"/>
    <w:rsid w:val="00F20BFA"/>
    <w:rsid w:val="00F20C8D"/>
    <w:rsid w:val="00F20D6E"/>
    <w:rsid w:val="00F20DAF"/>
    <w:rsid w:val="00F20DEF"/>
    <w:rsid w:val="00F20E2F"/>
    <w:rsid w:val="00F20E3C"/>
    <w:rsid w:val="00F20E47"/>
    <w:rsid w:val="00F20EFF"/>
    <w:rsid w:val="00F2103C"/>
    <w:rsid w:val="00F21060"/>
    <w:rsid w:val="00F210B6"/>
    <w:rsid w:val="00F210C4"/>
    <w:rsid w:val="00F2111B"/>
    <w:rsid w:val="00F211B8"/>
    <w:rsid w:val="00F21528"/>
    <w:rsid w:val="00F2158D"/>
    <w:rsid w:val="00F215AF"/>
    <w:rsid w:val="00F216AC"/>
    <w:rsid w:val="00F216B5"/>
    <w:rsid w:val="00F217C8"/>
    <w:rsid w:val="00F2194B"/>
    <w:rsid w:val="00F219E4"/>
    <w:rsid w:val="00F21A56"/>
    <w:rsid w:val="00F21B7E"/>
    <w:rsid w:val="00F21D19"/>
    <w:rsid w:val="00F21D42"/>
    <w:rsid w:val="00F21E3D"/>
    <w:rsid w:val="00F21EF2"/>
    <w:rsid w:val="00F21F4E"/>
    <w:rsid w:val="00F22003"/>
    <w:rsid w:val="00F22013"/>
    <w:rsid w:val="00F22035"/>
    <w:rsid w:val="00F22187"/>
    <w:rsid w:val="00F221DF"/>
    <w:rsid w:val="00F22206"/>
    <w:rsid w:val="00F2225F"/>
    <w:rsid w:val="00F2228D"/>
    <w:rsid w:val="00F22294"/>
    <w:rsid w:val="00F2242E"/>
    <w:rsid w:val="00F2256D"/>
    <w:rsid w:val="00F2258A"/>
    <w:rsid w:val="00F2265B"/>
    <w:rsid w:val="00F22761"/>
    <w:rsid w:val="00F22781"/>
    <w:rsid w:val="00F227F4"/>
    <w:rsid w:val="00F22815"/>
    <w:rsid w:val="00F228E6"/>
    <w:rsid w:val="00F229A3"/>
    <w:rsid w:val="00F22C36"/>
    <w:rsid w:val="00F22D11"/>
    <w:rsid w:val="00F22E38"/>
    <w:rsid w:val="00F230D9"/>
    <w:rsid w:val="00F23167"/>
    <w:rsid w:val="00F231D6"/>
    <w:rsid w:val="00F2328F"/>
    <w:rsid w:val="00F23312"/>
    <w:rsid w:val="00F23419"/>
    <w:rsid w:val="00F23438"/>
    <w:rsid w:val="00F23512"/>
    <w:rsid w:val="00F23554"/>
    <w:rsid w:val="00F2358F"/>
    <w:rsid w:val="00F23621"/>
    <w:rsid w:val="00F2369C"/>
    <w:rsid w:val="00F237BF"/>
    <w:rsid w:val="00F238FB"/>
    <w:rsid w:val="00F23951"/>
    <w:rsid w:val="00F23953"/>
    <w:rsid w:val="00F2399B"/>
    <w:rsid w:val="00F23AE0"/>
    <w:rsid w:val="00F23B22"/>
    <w:rsid w:val="00F23B93"/>
    <w:rsid w:val="00F23BCE"/>
    <w:rsid w:val="00F23DBF"/>
    <w:rsid w:val="00F23DD9"/>
    <w:rsid w:val="00F23E03"/>
    <w:rsid w:val="00F23E4F"/>
    <w:rsid w:val="00F23FD6"/>
    <w:rsid w:val="00F24028"/>
    <w:rsid w:val="00F2406C"/>
    <w:rsid w:val="00F2406F"/>
    <w:rsid w:val="00F2410A"/>
    <w:rsid w:val="00F24247"/>
    <w:rsid w:val="00F242BB"/>
    <w:rsid w:val="00F24314"/>
    <w:rsid w:val="00F2432C"/>
    <w:rsid w:val="00F2438B"/>
    <w:rsid w:val="00F243F2"/>
    <w:rsid w:val="00F2440C"/>
    <w:rsid w:val="00F244E9"/>
    <w:rsid w:val="00F2463B"/>
    <w:rsid w:val="00F2468C"/>
    <w:rsid w:val="00F246BF"/>
    <w:rsid w:val="00F246F0"/>
    <w:rsid w:val="00F24702"/>
    <w:rsid w:val="00F24759"/>
    <w:rsid w:val="00F24819"/>
    <w:rsid w:val="00F24842"/>
    <w:rsid w:val="00F2485F"/>
    <w:rsid w:val="00F24866"/>
    <w:rsid w:val="00F2489C"/>
    <w:rsid w:val="00F248A1"/>
    <w:rsid w:val="00F248AB"/>
    <w:rsid w:val="00F248E1"/>
    <w:rsid w:val="00F248F5"/>
    <w:rsid w:val="00F24924"/>
    <w:rsid w:val="00F24956"/>
    <w:rsid w:val="00F24BD7"/>
    <w:rsid w:val="00F24C3A"/>
    <w:rsid w:val="00F24C5A"/>
    <w:rsid w:val="00F24C74"/>
    <w:rsid w:val="00F24DD4"/>
    <w:rsid w:val="00F24E84"/>
    <w:rsid w:val="00F24E85"/>
    <w:rsid w:val="00F24EB7"/>
    <w:rsid w:val="00F24F4A"/>
    <w:rsid w:val="00F24F9B"/>
    <w:rsid w:val="00F24FC3"/>
    <w:rsid w:val="00F25054"/>
    <w:rsid w:val="00F25071"/>
    <w:rsid w:val="00F25194"/>
    <w:rsid w:val="00F25201"/>
    <w:rsid w:val="00F25389"/>
    <w:rsid w:val="00F253DA"/>
    <w:rsid w:val="00F254AC"/>
    <w:rsid w:val="00F254C5"/>
    <w:rsid w:val="00F25563"/>
    <w:rsid w:val="00F2559B"/>
    <w:rsid w:val="00F255F2"/>
    <w:rsid w:val="00F25684"/>
    <w:rsid w:val="00F256DB"/>
    <w:rsid w:val="00F2581C"/>
    <w:rsid w:val="00F25861"/>
    <w:rsid w:val="00F25897"/>
    <w:rsid w:val="00F25B29"/>
    <w:rsid w:val="00F25B72"/>
    <w:rsid w:val="00F25C17"/>
    <w:rsid w:val="00F25E27"/>
    <w:rsid w:val="00F25E3D"/>
    <w:rsid w:val="00F25E5E"/>
    <w:rsid w:val="00F26016"/>
    <w:rsid w:val="00F2603A"/>
    <w:rsid w:val="00F2611D"/>
    <w:rsid w:val="00F2622B"/>
    <w:rsid w:val="00F26282"/>
    <w:rsid w:val="00F263B4"/>
    <w:rsid w:val="00F26447"/>
    <w:rsid w:val="00F264A1"/>
    <w:rsid w:val="00F265A8"/>
    <w:rsid w:val="00F266B5"/>
    <w:rsid w:val="00F26862"/>
    <w:rsid w:val="00F26A56"/>
    <w:rsid w:val="00F26B4C"/>
    <w:rsid w:val="00F26C01"/>
    <w:rsid w:val="00F26C07"/>
    <w:rsid w:val="00F26C7F"/>
    <w:rsid w:val="00F26D52"/>
    <w:rsid w:val="00F26E5D"/>
    <w:rsid w:val="00F26E98"/>
    <w:rsid w:val="00F2705F"/>
    <w:rsid w:val="00F27066"/>
    <w:rsid w:val="00F270FF"/>
    <w:rsid w:val="00F271BB"/>
    <w:rsid w:val="00F2728F"/>
    <w:rsid w:val="00F27310"/>
    <w:rsid w:val="00F27329"/>
    <w:rsid w:val="00F2739C"/>
    <w:rsid w:val="00F273E3"/>
    <w:rsid w:val="00F27494"/>
    <w:rsid w:val="00F27517"/>
    <w:rsid w:val="00F27561"/>
    <w:rsid w:val="00F277A0"/>
    <w:rsid w:val="00F277C6"/>
    <w:rsid w:val="00F277D4"/>
    <w:rsid w:val="00F27848"/>
    <w:rsid w:val="00F2785A"/>
    <w:rsid w:val="00F278F4"/>
    <w:rsid w:val="00F27A36"/>
    <w:rsid w:val="00F27AA2"/>
    <w:rsid w:val="00F27B5F"/>
    <w:rsid w:val="00F27B8C"/>
    <w:rsid w:val="00F27B8F"/>
    <w:rsid w:val="00F27BBD"/>
    <w:rsid w:val="00F27BCF"/>
    <w:rsid w:val="00F27CFB"/>
    <w:rsid w:val="00F27DDB"/>
    <w:rsid w:val="00F27DE4"/>
    <w:rsid w:val="00F27E00"/>
    <w:rsid w:val="00F27E58"/>
    <w:rsid w:val="00F27E91"/>
    <w:rsid w:val="00F27EBF"/>
    <w:rsid w:val="00F27F13"/>
    <w:rsid w:val="00F27FA7"/>
    <w:rsid w:val="00F27FD5"/>
    <w:rsid w:val="00F27FFB"/>
    <w:rsid w:val="00F30092"/>
    <w:rsid w:val="00F3018F"/>
    <w:rsid w:val="00F302F3"/>
    <w:rsid w:val="00F30389"/>
    <w:rsid w:val="00F303C1"/>
    <w:rsid w:val="00F303D6"/>
    <w:rsid w:val="00F30417"/>
    <w:rsid w:val="00F30431"/>
    <w:rsid w:val="00F3046F"/>
    <w:rsid w:val="00F3063E"/>
    <w:rsid w:val="00F30724"/>
    <w:rsid w:val="00F3075D"/>
    <w:rsid w:val="00F3078E"/>
    <w:rsid w:val="00F307CB"/>
    <w:rsid w:val="00F30898"/>
    <w:rsid w:val="00F30953"/>
    <w:rsid w:val="00F309F4"/>
    <w:rsid w:val="00F30A78"/>
    <w:rsid w:val="00F30B0A"/>
    <w:rsid w:val="00F30B2E"/>
    <w:rsid w:val="00F30B39"/>
    <w:rsid w:val="00F30BA6"/>
    <w:rsid w:val="00F30BB5"/>
    <w:rsid w:val="00F30C38"/>
    <w:rsid w:val="00F30D72"/>
    <w:rsid w:val="00F30D8E"/>
    <w:rsid w:val="00F30E1A"/>
    <w:rsid w:val="00F30F2D"/>
    <w:rsid w:val="00F30F5C"/>
    <w:rsid w:val="00F310F5"/>
    <w:rsid w:val="00F311E2"/>
    <w:rsid w:val="00F311E3"/>
    <w:rsid w:val="00F3130E"/>
    <w:rsid w:val="00F3131E"/>
    <w:rsid w:val="00F3132E"/>
    <w:rsid w:val="00F3133E"/>
    <w:rsid w:val="00F31353"/>
    <w:rsid w:val="00F31360"/>
    <w:rsid w:val="00F3150E"/>
    <w:rsid w:val="00F315F8"/>
    <w:rsid w:val="00F3160C"/>
    <w:rsid w:val="00F316A1"/>
    <w:rsid w:val="00F316E2"/>
    <w:rsid w:val="00F3171A"/>
    <w:rsid w:val="00F318A2"/>
    <w:rsid w:val="00F318EF"/>
    <w:rsid w:val="00F31912"/>
    <w:rsid w:val="00F31A38"/>
    <w:rsid w:val="00F31AEA"/>
    <w:rsid w:val="00F31C3D"/>
    <w:rsid w:val="00F31DAB"/>
    <w:rsid w:val="00F31E8B"/>
    <w:rsid w:val="00F31EDC"/>
    <w:rsid w:val="00F31FD3"/>
    <w:rsid w:val="00F32075"/>
    <w:rsid w:val="00F3207A"/>
    <w:rsid w:val="00F3213E"/>
    <w:rsid w:val="00F32147"/>
    <w:rsid w:val="00F32159"/>
    <w:rsid w:val="00F321B4"/>
    <w:rsid w:val="00F321C2"/>
    <w:rsid w:val="00F321E0"/>
    <w:rsid w:val="00F3221C"/>
    <w:rsid w:val="00F32224"/>
    <w:rsid w:val="00F32359"/>
    <w:rsid w:val="00F3241F"/>
    <w:rsid w:val="00F3255F"/>
    <w:rsid w:val="00F32693"/>
    <w:rsid w:val="00F326F7"/>
    <w:rsid w:val="00F327A6"/>
    <w:rsid w:val="00F32812"/>
    <w:rsid w:val="00F32824"/>
    <w:rsid w:val="00F32830"/>
    <w:rsid w:val="00F3285D"/>
    <w:rsid w:val="00F3287F"/>
    <w:rsid w:val="00F32A3C"/>
    <w:rsid w:val="00F32A53"/>
    <w:rsid w:val="00F32B82"/>
    <w:rsid w:val="00F32CAF"/>
    <w:rsid w:val="00F32F13"/>
    <w:rsid w:val="00F32F70"/>
    <w:rsid w:val="00F331B0"/>
    <w:rsid w:val="00F331F3"/>
    <w:rsid w:val="00F33255"/>
    <w:rsid w:val="00F3329B"/>
    <w:rsid w:val="00F3338C"/>
    <w:rsid w:val="00F33394"/>
    <w:rsid w:val="00F33503"/>
    <w:rsid w:val="00F3357B"/>
    <w:rsid w:val="00F3359D"/>
    <w:rsid w:val="00F335E6"/>
    <w:rsid w:val="00F337D7"/>
    <w:rsid w:val="00F339E4"/>
    <w:rsid w:val="00F33A53"/>
    <w:rsid w:val="00F33A72"/>
    <w:rsid w:val="00F33B23"/>
    <w:rsid w:val="00F33B3F"/>
    <w:rsid w:val="00F33B56"/>
    <w:rsid w:val="00F33B7A"/>
    <w:rsid w:val="00F33CF5"/>
    <w:rsid w:val="00F33D11"/>
    <w:rsid w:val="00F33DA3"/>
    <w:rsid w:val="00F33E26"/>
    <w:rsid w:val="00F33E7E"/>
    <w:rsid w:val="00F33EB8"/>
    <w:rsid w:val="00F33F29"/>
    <w:rsid w:val="00F34344"/>
    <w:rsid w:val="00F343CC"/>
    <w:rsid w:val="00F34417"/>
    <w:rsid w:val="00F34484"/>
    <w:rsid w:val="00F344C1"/>
    <w:rsid w:val="00F344E4"/>
    <w:rsid w:val="00F344FC"/>
    <w:rsid w:val="00F34596"/>
    <w:rsid w:val="00F34739"/>
    <w:rsid w:val="00F34755"/>
    <w:rsid w:val="00F34771"/>
    <w:rsid w:val="00F34804"/>
    <w:rsid w:val="00F34960"/>
    <w:rsid w:val="00F34963"/>
    <w:rsid w:val="00F34975"/>
    <w:rsid w:val="00F349D5"/>
    <w:rsid w:val="00F34A16"/>
    <w:rsid w:val="00F34A18"/>
    <w:rsid w:val="00F34A88"/>
    <w:rsid w:val="00F34A8F"/>
    <w:rsid w:val="00F34A97"/>
    <w:rsid w:val="00F34AF9"/>
    <w:rsid w:val="00F34B36"/>
    <w:rsid w:val="00F34B88"/>
    <w:rsid w:val="00F34BE7"/>
    <w:rsid w:val="00F34C8B"/>
    <w:rsid w:val="00F34D07"/>
    <w:rsid w:val="00F34D40"/>
    <w:rsid w:val="00F34D52"/>
    <w:rsid w:val="00F34DF5"/>
    <w:rsid w:val="00F34E11"/>
    <w:rsid w:val="00F34E6E"/>
    <w:rsid w:val="00F34EEA"/>
    <w:rsid w:val="00F34F01"/>
    <w:rsid w:val="00F34F34"/>
    <w:rsid w:val="00F34F62"/>
    <w:rsid w:val="00F350CB"/>
    <w:rsid w:val="00F351B3"/>
    <w:rsid w:val="00F35230"/>
    <w:rsid w:val="00F352AE"/>
    <w:rsid w:val="00F3534C"/>
    <w:rsid w:val="00F35380"/>
    <w:rsid w:val="00F35385"/>
    <w:rsid w:val="00F35440"/>
    <w:rsid w:val="00F3554C"/>
    <w:rsid w:val="00F35575"/>
    <w:rsid w:val="00F35600"/>
    <w:rsid w:val="00F356BB"/>
    <w:rsid w:val="00F35701"/>
    <w:rsid w:val="00F35744"/>
    <w:rsid w:val="00F35796"/>
    <w:rsid w:val="00F357AD"/>
    <w:rsid w:val="00F35871"/>
    <w:rsid w:val="00F35951"/>
    <w:rsid w:val="00F359E6"/>
    <w:rsid w:val="00F35AD3"/>
    <w:rsid w:val="00F35B48"/>
    <w:rsid w:val="00F35BE8"/>
    <w:rsid w:val="00F35BFB"/>
    <w:rsid w:val="00F35D4C"/>
    <w:rsid w:val="00F35D66"/>
    <w:rsid w:val="00F35D98"/>
    <w:rsid w:val="00F35DAF"/>
    <w:rsid w:val="00F35EA2"/>
    <w:rsid w:val="00F35F0C"/>
    <w:rsid w:val="00F35FA0"/>
    <w:rsid w:val="00F35FAD"/>
    <w:rsid w:val="00F36044"/>
    <w:rsid w:val="00F36096"/>
    <w:rsid w:val="00F361BA"/>
    <w:rsid w:val="00F363F5"/>
    <w:rsid w:val="00F36410"/>
    <w:rsid w:val="00F364D9"/>
    <w:rsid w:val="00F364EF"/>
    <w:rsid w:val="00F365B8"/>
    <w:rsid w:val="00F365CC"/>
    <w:rsid w:val="00F36705"/>
    <w:rsid w:val="00F36766"/>
    <w:rsid w:val="00F3683D"/>
    <w:rsid w:val="00F36882"/>
    <w:rsid w:val="00F368C2"/>
    <w:rsid w:val="00F368CA"/>
    <w:rsid w:val="00F368FF"/>
    <w:rsid w:val="00F369A7"/>
    <w:rsid w:val="00F36BD3"/>
    <w:rsid w:val="00F36BDA"/>
    <w:rsid w:val="00F36BDF"/>
    <w:rsid w:val="00F36E11"/>
    <w:rsid w:val="00F36FC5"/>
    <w:rsid w:val="00F37004"/>
    <w:rsid w:val="00F37099"/>
    <w:rsid w:val="00F370E2"/>
    <w:rsid w:val="00F37134"/>
    <w:rsid w:val="00F371BB"/>
    <w:rsid w:val="00F3721F"/>
    <w:rsid w:val="00F37297"/>
    <w:rsid w:val="00F37351"/>
    <w:rsid w:val="00F37380"/>
    <w:rsid w:val="00F37760"/>
    <w:rsid w:val="00F37836"/>
    <w:rsid w:val="00F37881"/>
    <w:rsid w:val="00F379CA"/>
    <w:rsid w:val="00F37A23"/>
    <w:rsid w:val="00F37A41"/>
    <w:rsid w:val="00F37A6C"/>
    <w:rsid w:val="00F37C27"/>
    <w:rsid w:val="00F37C34"/>
    <w:rsid w:val="00F37C3E"/>
    <w:rsid w:val="00F37CB5"/>
    <w:rsid w:val="00F37DBF"/>
    <w:rsid w:val="00F37E47"/>
    <w:rsid w:val="00F37EB3"/>
    <w:rsid w:val="00F40146"/>
    <w:rsid w:val="00F401E6"/>
    <w:rsid w:val="00F40271"/>
    <w:rsid w:val="00F402A1"/>
    <w:rsid w:val="00F4030F"/>
    <w:rsid w:val="00F40315"/>
    <w:rsid w:val="00F40363"/>
    <w:rsid w:val="00F4037B"/>
    <w:rsid w:val="00F403DC"/>
    <w:rsid w:val="00F404A1"/>
    <w:rsid w:val="00F404FA"/>
    <w:rsid w:val="00F4061A"/>
    <w:rsid w:val="00F406CE"/>
    <w:rsid w:val="00F40790"/>
    <w:rsid w:val="00F408D8"/>
    <w:rsid w:val="00F40B80"/>
    <w:rsid w:val="00F40BAE"/>
    <w:rsid w:val="00F40BC8"/>
    <w:rsid w:val="00F40CBE"/>
    <w:rsid w:val="00F40D1F"/>
    <w:rsid w:val="00F40E1C"/>
    <w:rsid w:val="00F40F76"/>
    <w:rsid w:val="00F41070"/>
    <w:rsid w:val="00F411C2"/>
    <w:rsid w:val="00F4130E"/>
    <w:rsid w:val="00F41373"/>
    <w:rsid w:val="00F41423"/>
    <w:rsid w:val="00F4152D"/>
    <w:rsid w:val="00F415DE"/>
    <w:rsid w:val="00F41704"/>
    <w:rsid w:val="00F417D0"/>
    <w:rsid w:val="00F41880"/>
    <w:rsid w:val="00F41926"/>
    <w:rsid w:val="00F419B1"/>
    <w:rsid w:val="00F419B5"/>
    <w:rsid w:val="00F419DB"/>
    <w:rsid w:val="00F41AF5"/>
    <w:rsid w:val="00F41BC2"/>
    <w:rsid w:val="00F41C17"/>
    <w:rsid w:val="00F41C9B"/>
    <w:rsid w:val="00F41CEC"/>
    <w:rsid w:val="00F41D4B"/>
    <w:rsid w:val="00F41E5F"/>
    <w:rsid w:val="00F41EB0"/>
    <w:rsid w:val="00F41EB1"/>
    <w:rsid w:val="00F41EB9"/>
    <w:rsid w:val="00F41F12"/>
    <w:rsid w:val="00F41F2A"/>
    <w:rsid w:val="00F42035"/>
    <w:rsid w:val="00F4205B"/>
    <w:rsid w:val="00F420E2"/>
    <w:rsid w:val="00F42120"/>
    <w:rsid w:val="00F421E2"/>
    <w:rsid w:val="00F42406"/>
    <w:rsid w:val="00F42421"/>
    <w:rsid w:val="00F424E4"/>
    <w:rsid w:val="00F4268E"/>
    <w:rsid w:val="00F4270D"/>
    <w:rsid w:val="00F428AE"/>
    <w:rsid w:val="00F42944"/>
    <w:rsid w:val="00F4297A"/>
    <w:rsid w:val="00F42BD9"/>
    <w:rsid w:val="00F42C8B"/>
    <w:rsid w:val="00F42DED"/>
    <w:rsid w:val="00F42F3A"/>
    <w:rsid w:val="00F42F57"/>
    <w:rsid w:val="00F42FCE"/>
    <w:rsid w:val="00F42FD6"/>
    <w:rsid w:val="00F43026"/>
    <w:rsid w:val="00F43034"/>
    <w:rsid w:val="00F4314E"/>
    <w:rsid w:val="00F43238"/>
    <w:rsid w:val="00F43290"/>
    <w:rsid w:val="00F43307"/>
    <w:rsid w:val="00F4342B"/>
    <w:rsid w:val="00F43464"/>
    <w:rsid w:val="00F4348B"/>
    <w:rsid w:val="00F434F6"/>
    <w:rsid w:val="00F43590"/>
    <w:rsid w:val="00F436AE"/>
    <w:rsid w:val="00F4372A"/>
    <w:rsid w:val="00F43768"/>
    <w:rsid w:val="00F43793"/>
    <w:rsid w:val="00F437C3"/>
    <w:rsid w:val="00F43919"/>
    <w:rsid w:val="00F43975"/>
    <w:rsid w:val="00F439C2"/>
    <w:rsid w:val="00F43A6D"/>
    <w:rsid w:val="00F43C67"/>
    <w:rsid w:val="00F43C84"/>
    <w:rsid w:val="00F43DA3"/>
    <w:rsid w:val="00F43DCE"/>
    <w:rsid w:val="00F43E27"/>
    <w:rsid w:val="00F43E5E"/>
    <w:rsid w:val="00F43E7F"/>
    <w:rsid w:val="00F43EB0"/>
    <w:rsid w:val="00F43EB2"/>
    <w:rsid w:val="00F44095"/>
    <w:rsid w:val="00F440AC"/>
    <w:rsid w:val="00F440CD"/>
    <w:rsid w:val="00F4411D"/>
    <w:rsid w:val="00F441AC"/>
    <w:rsid w:val="00F441B6"/>
    <w:rsid w:val="00F441DE"/>
    <w:rsid w:val="00F4424D"/>
    <w:rsid w:val="00F4426C"/>
    <w:rsid w:val="00F442DB"/>
    <w:rsid w:val="00F44313"/>
    <w:rsid w:val="00F443DA"/>
    <w:rsid w:val="00F4453F"/>
    <w:rsid w:val="00F44708"/>
    <w:rsid w:val="00F447F8"/>
    <w:rsid w:val="00F44ABD"/>
    <w:rsid w:val="00F44AE5"/>
    <w:rsid w:val="00F44B7B"/>
    <w:rsid w:val="00F44D3E"/>
    <w:rsid w:val="00F44DB8"/>
    <w:rsid w:val="00F44DD1"/>
    <w:rsid w:val="00F44E0D"/>
    <w:rsid w:val="00F44E16"/>
    <w:rsid w:val="00F44E21"/>
    <w:rsid w:val="00F44E70"/>
    <w:rsid w:val="00F44E81"/>
    <w:rsid w:val="00F44EA3"/>
    <w:rsid w:val="00F44EB0"/>
    <w:rsid w:val="00F44EC5"/>
    <w:rsid w:val="00F44ED3"/>
    <w:rsid w:val="00F45090"/>
    <w:rsid w:val="00F45106"/>
    <w:rsid w:val="00F45135"/>
    <w:rsid w:val="00F452BB"/>
    <w:rsid w:val="00F452C3"/>
    <w:rsid w:val="00F45404"/>
    <w:rsid w:val="00F4554F"/>
    <w:rsid w:val="00F455A7"/>
    <w:rsid w:val="00F4573B"/>
    <w:rsid w:val="00F457C4"/>
    <w:rsid w:val="00F45890"/>
    <w:rsid w:val="00F458A6"/>
    <w:rsid w:val="00F45987"/>
    <w:rsid w:val="00F45A4B"/>
    <w:rsid w:val="00F45A58"/>
    <w:rsid w:val="00F45A5B"/>
    <w:rsid w:val="00F45AC4"/>
    <w:rsid w:val="00F45AC5"/>
    <w:rsid w:val="00F45C72"/>
    <w:rsid w:val="00F45CD6"/>
    <w:rsid w:val="00F45DE6"/>
    <w:rsid w:val="00F45E31"/>
    <w:rsid w:val="00F45E96"/>
    <w:rsid w:val="00F45F22"/>
    <w:rsid w:val="00F45F68"/>
    <w:rsid w:val="00F45F9F"/>
    <w:rsid w:val="00F45FD0"/>
    <w:rsid w:val="00F460DA"/>
    <w:rsid w:val="00F461AC"/>
    <w:rsid w:val="00F461E1"/>
    <w:rsid w:val="00F461EF"/>
    <w:rsid w:val="00F4627A"/>
    <w:rsid w:val="00F4631B"/>
    <w:rsid w:val="00F464DA"/>
    <w:rsid w:val="00F4652F"/>
    <w:rsid w:val="00F46557"/>
    <w:rsid w:val="00F465B5"/>
    <w:rsid w:val="00F4677E"/>
    <w:rsid w:val="00F467DA"/>
    <w:rsid w:val="00F468B2"/>
    <w:rsid w:val="00F469A0"/>
    <w:rsid w:val="00F469CF"/>
    <w:rsid w:val="00F46A38"/>
    <w:rsid w:val="00F46A83"/>
    <w:rsid w:val="00F46CC0"/>
    <w:rsid w:val="00F470A6"/>
    <w:rsid w:val="00F47292"/>
    <w:rsid w:val="00F4738E"/>
    <w:rsid w:val="00F473EB"/>
    <w:rsid w:val="00F47458"/>
    <w:rsid w:val="00F474EB"/>
    <w:rsid w:val="00F47511"/>
    <w:rsid w:val="00F4755B"/>
    <w:rsid w:val="00F475DB"/>
    <w:rsid w:val="00F4766B"/>
    <w:rsid w:val="00F476A3"/>
    <w:rsid w:val="00F4771F"/>
    <w:rsid w:val="00F477C2"/>
    <w:rsid w:val="00F47853"/>
    <w:rsid w:val="00F47882"/>
    <w:rsid w:val="00F4789A"/>
    <w:rsid w:val="00F47985"/>
    <w:rsid w:val="00F47A19"/>
    <w:rsid w:val="00F47A40"/>
    <w:rsid w:val="00F47A56"/>
    <w:rsid w:val="00F47A65"/>
    <w:rsid w:val="00F47AC8"/>
    <w:rsid w:val="00F47B2F"/>
    <w:rsid w:val="00F47B78"/>
    <w:rsid w:val="00F47B99"/>
    <w:rsid w:val="00F47BD5"/>
    <w:rsid w:val="00F47BE0"/>
    <w:rsid w:val="00F47CC8"/>
    <w:rsid w:val="00F47CCA"/>
    <w:rsid w:val="00F47CDA"/>
    <w:rsid w:val="00F47DE8"/>
    <w:rsid w:val="00F47E13"/>
    <w:rsid w:val="00F47E62"/>
    <w:rsid w:val="00F47E72"/>
    <w:rsid w:val="00F47EC5"/>
    <w:rsid w:val="00F47F0F"/>
    <w:rsid w:val="00F47F2D"/>
    <w:rsid w:val="00F50017"/>
    <w:rsid w:val="00F500A7"/>
    <w:rsid w:val="00F50181"/>
    <w:rsid w:val="00F5024D"/>
    <w:rsid w:val="00F50269"/>
    <w:rsid w:val="00F503DB"/>
    <w:rsid w:val="00F503F3"/>
    <w:rsid w:val="00F5051E"/>
    <w:rsid w:val="00F50731"/>
    <w:rsid w:val="00F507CD"/>
    <w:rsid w:val="00F508F7"/>
    <w:rsid w:val="00F50904"/>
    <w:rsid w:val="00F5093A"/>
    <w:rsid w:val="00F50A25"/>
    <w:rsid w:val="00F50A3B"/>
    <w:rsid w:val="00F50A44"/>
    <w:rsid w:val="00F50A53"/>
    <w:rsid w:val="00F50CB0"/>
    <w:rsid w:val="00F50CC4"/>
    <w:rsid w:val="00F50E48"/>
    <w:rsid w:val="00F50EC9"/>
    <w:rsid w:val="00F50F04"/>
    <w:rsid w:val="00F51014"/>
    <w:rsid w:val="00F5105A"/>
    <w:rsid w:val="00F5110E"/>
    <w:rsid w:val="00F51461"/>
    <w:rsid w:val="00F514EF"/>
    <w:rsid w:val="00F515A9"/>
    <w:rsid w:val="00F5164B"/>
    <w:rsid w:val="00F51792"/>
    <w:rsid w:val="00F517CD"/>
    <w:rsid w:val="00F5181D"/>
    <w:rsid w:val="00F51983"/>
    <w:rsid w:val="00F51A29"/>
    <w:rsid w:val="00F51A6A"/>
    <w:rsid w:val="00F51B60"/>
    <w:rsid w:val="00F51BD6"/>
    <w:rsid w:val="00F51C13"/>
    <w:rsid w:val="00F51C79"/>
    <w:rsid w:val="00F51C84"/>
    <w:rsid w:val="00F51EC9"/>
    <w:rsid w:val="00F51F5C"/>
    <w:rsid w:val="00F52076"/>
    <w:rsid w:val="00F52079"/>
    <w:rsid w:val="00F5234F"/>
    <w:rsid w:val="00F524F8"/>
    <w:rsid w:val="00F52502"/>
    <w:rsid w:val="00F525C2"/>
    <w:rsid w:val="00F52628"/>
    <w:rsid w:val="00F52652"/>
    <w:rsid w:val="00F5288F"/>
    <w:rsid w:val="00F52897"/>
    <w:rsid w:val="00F528FA"/>
    <w:rsid w:val="00F52966"/>
    <w:rsid w:val="00F52AAA"/>
    <w:rsid w:val="00F52C9D"/>
    <w:rsid w:val="00F52DA9"/>
    <w:rsid w:val="00F52E38"/>
    <w:rsid w:val="00F52E67"/>
    <w:rsid w:val="00F52ED9"/>
    <w:rsid w:val="00F52EE7"/>
    <w:rsid w:val="00F52F25"/>
    <w:rsid w:val="00F530C8"/>
    <w:rsid w:val="00F5312E"/>
    <w:rsid w:val="00F5322D"/>
    <w:rsid w:val="00F53257"/>
    <w:rsid w:val="00F5326C"/>
    <w:rsid w:val="00F53302"/>
    <w:rsid w:val="00F533F7"/>
    <w:rsid w:val="00F534EB"/>
    <w:rsid w:val="00F536EA"/>
    <w:rsid w:val="00F53728"/>
    <w:rsid w:val="00F53741"/>
    <w:rsid w:val="00F53850"/>
    <w:rsid w:val="00F538BA"/>
    <w:rsid w:val="00F5390F"/>
    <w:rsid w:val="00F5397F"/>
    <w:rsid w:val="00F539BC"/>
    <w:rsid w:val="00F53B7C"/>
    <w:rsid w:val="00F53B9D"/>
    <w:rsid w:val="00F53D8B"/>
    <w:rsid w:val="00F53F1A"/>
    <w:rsid w:val="00F542B9"/>
    <w:rsid w:val="00F544B6"/>
    <w:rsid w:val="00F5451A"/>
    <w:rsid w:val="00F5458E"/>
    <w:rsid w:val="00F5458F"/>
    <w:rsid w:val="00F545ED"/>
    <w:rsid w:val="00F5463E"/>
    <w:rsid w:val="00F54692"/>
    <w:rsid w:val="00F546C9"/>
    <w:rsid w:val="00F547C8"/>
    <w:rsid w:val="00F54852"/>
    <w:rsid w:val="00F54917"/>
    <w:rsid w:val="00F5494C"/>
    <w:rsid w:val="00F54966"/>
    <w:rsid w:val="00F54A05"/>
    <w:rsid w:val="00F54B30"/>
    <w:rsid w:val="00F54BB5"/>
    <w:rsid w:val="00F54C9A"/>
    <w:rsid w:val="00F54CAB"/>
    <w:rsid w:val="00F54E92"/>
    <w:rsid w:val="00F54EA2"/>
    <w:rsid w:val="00F54F1F"/>
    <w:rsid w:val="00F54F6B"/>
    <w:rsid w:val="00F55004"/>
    <w:rsid w:val="00F5505A"/>
    <w:rsid w:val="00F550C8"/>
    <w:rsid w:val="00F550ED"/>
    <w:rsid w:val="00F55164"/>
    <w:rsid w:val="00F5529C"/>
    <w:rsid w:val="00F552C4"/>
    <w:rsid w:val="00F55350"/>
    <w:rsid w:val="00F55364"/>
    <w:rsid w:val="00F55547"/>
    <w:rsid w:val="00F5573D"/>
    <w:rsid w:val="00F55927"/>
    <w:rsid w:val="00F55979"/>
    <w:rsid w:val="00F559A4"/>
    <w:rsid w:val="00F559D3"/>
    <w:rsid w:val="00F559FA"/>
    <w:rsid w:val="00F559FB"/>
    <w:rsid w:val="00F55B16"/>
    <w:rsid w:val="00F55C1D"/>
    <w:rsid w:val="00F55C38"/>
    <w:rsid w:val="00F55C4D"/>
    <w:rsid w:val="00F55CEC"/>
    <w:rsid w:val="00F55D37"/>
    <w:rsid w:val="00F55E9E"/>
    <w:rsid w:val="00F55FC0"/>
    <w:rsid w:val="00F56000"/>
    <w:rsid w:val="00F56008"/>
    <w:rsid w:val="00F5605F"/>
    <w:rsid w:val="00F560B5"/>
    <w:rsid w:val="00F5619D"/>
    <w:rsid w:val="00F561A7"/>
    <w:rsid w:val="00F561B4"/>
    <w:rsid w:val="00F5627A"/>
    <w:rsid w:val="00F5647A"/>
    <w:rsid w:val="00F564CF"/>
    <w:rsid w:val="00F565B6"/>
    <w:rsid w:val="00F5661E"/>
    <w:rsid w:val="00F56646"/>
    <w:rsid w:val="00F56738"/>
    <w:rsid w:val="00F56881"/>
    <w:rsid w:val="00F5688F"/>
    <w:rsid w:val="00F568D3"/>
    <w:rsid w:val="00F5696F"/>
    <w:rsid w:val="00F569B3"/>
    <w:rsid w:val="00F569BD"/>
    <w:rsid w:val="00F569BF"/>
    <w:rsid w:val="00F56A16"/>
    <w:rsid w:val="00F56A28"/>
    <w:rsid w:val="00F56B30"/>
    <w:rsid w:val="00F56BA1"/>
    <w:rsid w:val="00F56CD4"/>
    <w:rsid w:val="00F56D5E"/>
    <w:rsid w:val="00F56DA8"/>
    <w:rsid w:val="00F56E57"/>
    <w:rsid w:val="00F56F52"/>
    <w:rsid w:val="00F57057"/>
    <w:rsid w:val="00F570D3"/>
    <w:rsid w:val="00F574D2"/>
    <w:rsid w:val="00F575AE"/>
    <w:rsid w:val="00F575C2"/>
    <w:rsid w:val="00F577D5"/>
    <w:rsid w:val="00F57864"/>
    <w:rsid w:val="00F578CA"/>
    <w:rsid w:val="00F57901"/>
    <w:rsid w:val="00F57913"/>
    <w:rsid w:val="00F57A06"/>
    <w:rsid w:val="00F57A3C"/>
    <w:rsid w:val="00F57A76"/>
    <w:rsid w:val="00F57BCE"/>
    <w:rsid w:val="00F57BD7"/>
    <w:rsid w:val="00F57BFE"/>
    <w:rsid w:val="00F57CEE"/>
    <w:rsid w:val="00F57D41"/>
    <w:rsid w:val="00F57DED"/>
    <w:rsid w:val="00F57E5F"/>
    <w:rsid w:val="00F57E9B"/>
    <w:rsid w:val="00F57ED6"/>
    <w:rsid w:val="00F57F5D"/>
    <w:rsid w:val="00F60096"/>
    <w:rsid w:val="00F600EB"/>
    <w:rsid w:val="00F6014F"/>
    <w:rsid w:val="00F601C6"/>
    <w:rsid w:val="00F60204"/>
    <w:rsid w:val="00F60218"/>
    <w:rsid w:val="00F60236"/>
    <w:rsid w:val="00F6028A"/>
    <w:rsid w:val="00F602A5"/>
    <w:rsid w:val="00F60301"/>
    <w:rsid w:val="00F604A6"/>
    <w:rsid w:val="00F604C7"/>
    <w:rsid w:val="00F60691"/>
    <w:rsid w:val="00F60750"/>
    <w:rsid w:val="00F607E8"/>
    <w:rsid w:val="00F6084E"/>
    <w:rsid w:val="00F609F7"/>
    <w:rsid w:val="00F60A04"/>
    <w:rsid w:val="00F60B22"/>
    <w:rsid w:val="00F60C01"/>
    <w:rsid w:val="00F60D97"/>
    <w:rsid w:val="00F60E50"/>
    <w:rsid w:val="00F60E83"/>
    <w:rsid w:val="00F60F00"/>
    <w:rsid w:val="00F610F0"/>
    <w:rsid w:val="00F61150"/>
    <w:rsid w:val="00F611FB"/>
    <w:rsid w:val="00F61205"/>
    <w:rsid w:val="00F612B4"/>
    <w:rsid w:val="00F61319"/>
    <w:rsid w:val="00F61434"/>
    <w:rsid w:val="00F6143A"/>
    <w:rsid w:val="00F6147A"/>
    <w:rsid w:val="00F614E9"/>
    <w:rsid w:val="00F61627"/>
    <w:rsid w:val="00F61663"/>
    <w:rsid w:val="00F61785"/>
    <w:rsid w:val="00F6183A"/>
    <w:rsid w:val="00F618BF"/>
    <w:rsid w:val="00F619B0"/>
    <w:rsid w:val="00F61B6B"/>
    <w:rsid w:val="00F61C35"/>
    <w:rsid w:val="00F61CEC"/>
    <w:rsid w:val="00F61D1C"/>
    <w:rsid w:val="00F61D25"/>
    <w:rsid w:val="00F61D79"/>
    <w:rsid w:val="00F61E42"/>
    <w:rsid w:val="00F61F4D"/>
    <w:rsid w:val="00F62016"/>
    <w:rsid w:val="00F62032"/>
    <w:rsid w:val="00F62037"/>
    <w:rsid w:val="00F6204A"/>
    <w:rsid w:val="00F62060"/>
    <w:rsid w:val="00F62420"/>
    <w:rsid w:val="00F624CB"/>
    <w:rsid w:val="00F624F0"/>
    <w:rsid w:val="00F62506"/>
    <w:rsid w:val="00F625E4"/>
    <w:rsid w:val="00F6262F"/>
    <w:rsid w:val="00F62655"/>
    <w:rsid w:val="00F626C8"/>
    <w:rsid w:val="00F62705"/>
    <w:rsid w:val="00F62784"/>
    <w:rsid w:val="00F627F0"/>
    <w:rsid w:val="00F6285B"/>
    <w:rsid w:val="00F62964"/>
    <w:rsid w:val="00F62A54"/>
    <w:rsid w:val="00F62ADD"/>
    <w:rsid w:val="00F62B9E"/>
    <w:rsid w:val="00F62C0E"/>
    <w:rsid w:val="00F62C67"/>
    <w:rsid w:val="00F62E16"/>
    <w:rsid w:val="00F62E26"/>
    <w:rsid w:val="00F62E3B"/>
    <w:rsid w:val="00F62E45"/>
    <w:rsid w:val="00F62EC7"/>
    <w:rsid w:val="00F62FD3"/>
    <w:rsid w:val="00F63025"/>
    <w:rsid w:val="00F630C3"/>
    <w:rsid w:val="00F63125"/>
    <w:rsid w:val="00F6312E"/>
    <w:rsid w:val="00F63197"/>
    <w:rsid w:val="00F631C1"/>
    <w:rsid w:val="00F63202"/>
    <w:rsid w:val="00F6322C"/>
    <w:rsid w:val="00F6329E"/>
    <w:rsid w:val="00F63397"/>
    <w:rsid w:val="00F633E7"/>
    <w:rsid w:val="00F633FB"/>
    <w:rsid w:val="00F6342A"/>
    <w:rsid w:val="00F63525"/>
    <w:rsid w:val="00F635BA"/>
    <w:rsid w:val="00F635C6"/>
    <w:rsid w:val="00F635F6"/>
    <w:rsid w:val="00F63630"/>
    <w:rsid w:val="00F63644"/>
    <w:rsid w:val="00F636D1"/>
    <w:rsid w:val="00F638DD"/>
    <w:rsid w:val="00F63ABA"/>
    <w:rsid w:val="00F63ACB"/>
    <w:rsid w:val="00F63B91"/>
    <w:rsid w:val="00F63C2A"/>
    <w:rsid w:val="00F63D87"/>
    <w:rsid w:val="00F63E34"/>
    <w:rsid w:val="00F63EA9"/>
    <w:rsid w:val="00F63EE3"/>
    <w:rsid w:val="00F63FAD"/>
    <w:rsid w:val="00F63FC1"/>
    <w:rsid w:val="00F641CE"/>
    <w:rsid w:val="00F6425C"/>
    <w:rsid w:val="00F64269"/>
    <w:rsid w:val="00F6437B"/>
    <w:rsid w:val="00F643A2"/>
    <w:rsid w:val="00F64485"/>
    <w:rsid w:val="00F644CA"/>
    <w:rsid w:val="00F64679"/>
    <w:rsid w:val="00F6469E"/>
    <w:rsid w:val="00F6496D"/>
    <w:rsid w:val="00F649E8"/>
    <w:rsid w:val="00F64A53"/>
    <w:rsid w:val="00F64B2A"/>
    <w:rsid w:val="00F64BB3"/>
    <w:rsid w:val="00F64CE8"/>
    <w:rsid w:val="00F64F77"/>
    <w:rsid w:val="00F65014"/>
    <w:rsid w:val="00F653A2"/>
    <w:rsid w:val="00F653D5"/>
    <w:rsid w:val="00F65448"/>
    <w:rsid w:val="00F655BA"/>
    <w:rsid w:val="00F65640"/>
    <w:rsid w:val="00F65646"/>
    <w:rsid w:val="00F6578A"/>
    <w:rsid w:val="00F658DB"/>
    <w:rsid w:val="00F65960"/>
    <w:rsid w:val="00F65AAD"/>
    <w:rsid w:val="00F65C58"/>
    <w:rsid w:val="00F65CD8"/>
    <w:rsid w:val="00F65D78"/>
    <w:rsid w:val="00F65DF2"/>
    <w:rsid w:val="00F65E1A"/>
    <w:rsid w:val="00F65EB2"/>
    <w:rsid w:val="00F65F7C"/>
    <w:rsid w:val="00F65FA3"/>
    <w:rsid w:val="00F6623A"/>
    <w:rsid w:val="00F6638D"/>
    <w:rsid w:val="00F663BB"/>
    <w:rsid w:val="00F6642E"/>
    <w:rsid w:val="00F66488"/>
    <w:rsid w:val="00F664BD"/>
    <w:rsid w:val="00F664ED"/>
    <w:rsid w:val="00F664F5"/>
    <w:rsid w:val="00F6652F"/>
    <w:rsid w:val="00F66650"/>
    <w:rsid w:val="00F66896"/>
    <w:rsid w:val="00F6692D"/>
    <w:rsid w:val="00F669CF"/>
    <w:rsid w:val="00F66A18"/>
    <w:rsid w:val="00F66A60"/>
    <w:rsid w:val="00F66A7E"/>
    <w:rsid w:val="00F66ACD"/>
    <w:rsid w:val="00F66C37"/>
    <w:rsid w:val="00F66CC9"/>
    <w:rsid w:val="00F66D61"/>
    <w:rsid w:val="00F66EA7"/>
    <w:rsid w:val="00F66F0D"/>
    <w:rsid w:val="00F6704A"/>
    <w:rsid w:val="00F670A0"/>
    <w:rsid w:val="00F67181"/>
    <w:rsid w:val="00F672F1"/>
    <w:rsid w:val="00F6746C"/>
    <w:rsid w:val="00F674D1"/>
    <w:rsid w:val="00F6751C"/>
    <w:rsid w:val="00F67575"/>
    <w:rsid w:val="00F676C1"/>
    <w:rsid w:val="00F67786"/>
    <w:rsid w:val="00F6779F"/>
    <w:rsid w:val="00F677DA"/>
    <w:rsid w:val="00F67897"/>
    <w:rsid w:val="00F67923"/>
    <w:rsid w:val="00F67993"/>
    <w:rsid w:val="00F67B34"/>
    <w:rsid w:val="00F67B66"/>
    <w:rsid w:val="00F67BF6"/>
    <w:rsid w:val="00F67C78"/>
    <w:rsid w:val="00F67C7F"/>
    <w:rsid w:val="00F67CE7"/>
    <w:rsid w:val="00F67D43"/>
    <w:rsid w:val="00F67D60"/>
    <w:rsid w:val="00F67E77"/>
    <w:rsid w:val="00F67ECA"/>
    <w:rsid w:val="00F67F9A"/>
    <w:rsid w:val="00F67FC0"/>
    <w:rsid w:val="00F70099"/>
    <w:rsid w:val="00F700BA"/>
    <w:rsid w:val="00F700E6"/>
    <w:rsid w:val="00F70154"/>
    <w:rsid w:val="00F701C6"/>
    <w:rsid w:val="00F701EE"/>
    <w:rsid w:val="00F701FB"/>
    <w:rsid w:val="00F70203"/>
    <w:rsid w:val="00F7024B"/>
    <w:rsid w:val="00F70278"/>
    <w:rsid w:val="00F702B0"/>
    <w:rsid w:val="00F7037E"/>
    <w:rsid w:val="00F70495"/>
    <w:rsid w:val="00F70727"/>
    <w:rsid w:val="00F707F6"/>
    <w:rsid w:val="00F7084F"/>
    <w:rsid w:val="00F7090D"/>
    <w:rsid w:val="00F70977"/>
    <w:rsid w:val="00F709EA"/>
    <w:rsid w:val="00F70A45"/>
    <w:rsid w:val="00F70A55"/>
    <w:rsid w:val="00F70B05"/>
    <w:rsid w:val="00F70B37"/>
    <w:rsid w:val="00F70C32"/>
    <w:rsid w:val="00F70DC5"/>
    <w:rsid w:val="00F70E74"/>
    <w:rsid w:val="00F70EE9"/>
    <w:rsid w:val="00F70F26"/>
    <w:rsid w:val="00F70FB5"/>
    <w:rsid w:val="00F71038"/>
    <w:rsid w:val="00F71066"/>
    <w:rsid w:val="00F710FE"/>
    <w:rsid w:val="00F71408"/>
    <w:rsid w:val="00F7147F"/>
    <w:rsid w:val="00F71538"/>
    <w:rsid w:val="00F71557"/>
    <w:rsid w:val="00F71611"/>
    <w:rsid w:val="00F71620"/>
    <w:rsid w:val="00F71667"/>
    <w:rsid w:val="00F71735"/>
    <w:rsid w:val="00F7178D"/>
    <w:rsid w:val="00F717A2"/>
    <w:rsid w:val="00F717A5"/>
    <w:rsid w:val="00F717A9"/>
    <w:rsid w:val="00F717C2"/>
    <w:rsid w:val="00F718D6"/>
    <w:rsid w:val="00F719D5"/>
    <w:rsid w:val="00F71A94"/>
    <w:rsid w:val="00F71A96"/>
    <w:rsid w:val="00F71ACC"/>
    <w:rsid w:val="00F71C1E"/>
    <w:rsid w:val="00F71C34"/>
    <w:rsid w:val="00F71D69"/>
    <w:rsid w:val="00F71DCE"/>
    <w:rsid w:val="00F71E1C"/>
    <w:rsid w:val="00F71E67"/>
    <w:rsid w:val="00F7209A"/>
    <w:rsid w:val="00F72179"/>
    <w:rsid w:val="00F72236"/>
    <w:rsid w:val="00F7226C"/>
    <w:rsid w:val="00F7227D"/>
    <w:rsid w:val="00F722DC"/>
    <w:rsid w:val="00F7231A"/>
    <w:rsid w:val="00F724B7"/>
    <w:rsid w:val="00F725BC"/>
    <w:rsid w:val="00F725D5"/>
    <w:rsid w:val="00F727EB"/>
    <w:rsid w:val="00F7284E"/>
    <w:rsid w:val="00F728D5"/>
    <w:rsid w:val="00F72937"/>
    <w:rsid w:val="00F729D0"/>
    <w:rsid w:val="00F729E5"/>
    <w:rsid w:val="00F729EB"/>
    <w:rsid w:val="00F729FB"/>
    <w:rsid w:val="00F72A01"/>
    <w:rsid w:val="00F72B03"/>
    <w:rsid w:val="00F72B17"/>
    <w:rsid w:val="00F72B3C"/>
    <w:rsid w:val="00F72C49"/>
    <w:rsid w:val="00F72C72"/>
    <w:rsid w:val="00F72D23"/>
    <w:rsid w:val="00F72DBA"/>
    <w:rsid w:val="00F72DD3"/>
    <w:rsid w:val="00F72DFE"/>
    <w:rsid w:val="00F7303A"/>
    <w:rsid w:val="00F73052"/>
    <w:rsid w:val="00F73060"/>
    <w:rsid w:val="00F730D3"/>
    <w:rsid w:val="00F73134"/>
    <w:rsid w:val="00F7328E"/>
    <w:rsid w:val="00F732C0"/>
    <w:rsid w:val="00F73309"/>
    <w:rsid w:val="00F733A0"/>
    <w:rsid w:val="00F7343D"/>
    <w:rsid w:val="00F7345B"/>
    <w:rsid w:val="00F734A5"/>
    <w:rsid w:val="00F736D3"/>
    <w:rsid w:val="00F737ED"/>
    <w:rsid w:val="00F738C3"/>
    <w:rsid w:val="00F739A8"/>
    <w:rsid w:val="00F73A22"/>
    <w:rsid w:val="00F73A2D"/>
    <w:rsid w:val="00F73A44"/>
    <w:rsid w:val="00F73A83"/>
    <w:rsid w:val="00F73BBA"/>
    <w:rsid w:val="00F73BD9"/>
    <w:rsid w:val="00F73E43"/>
    <w:rsid w:val="00F73EEC"/>
    <w:rsid w:val="00F73F5D"/>
    <w:rsid w:val="00F73F79"/>
    <w:rsid w:val="00F73FC6"/>
    <w:rsid w:val="00F73FDA"/>
    <w:rsid w:val="00F7410C"/>
    <w:rsid w:val="00F7416A"/>
    <w:rsid w:val="00F74197"/>
    <w:rsid w:val="00F741E4"/>
    <w:rsid w:val="00F74296"/>
    <w:rsid w:val="00F74590"/>
    <w:rsid w:val="00F7460C"/>
    <w:rsid w:val="00F7467A"/>
    <w:rsid w:val="00F74700"/>
    <w:rsid w:val="00F7471B"/>
    <w:rsid w:val="00F747FA"/>
    <w:rsid w:val="00F748AD"/>
    <w:rsid w:val="00F748C4"/>
    <w:rsid w:val="00F748E2"/>
    <w:rsid w:val="00F749C0"/>
    <w:rsid w:val="00F74ACE"/>
    <w:rsid w:val="00F74C38"/>
    <w:rsid w:val="00F74C9F"/>
    <w:rsid w:val="00F74CAE"/>
    <w:rsid w:val="00F74FD7"/>
    <w:rsid w:val="00F75077"/>
    <w:rsid w:val="00F75237"/>
    <w:rsid w:val="00F75256"/>
    <w:rsid w:val="00F753DB"/>
    <w:rsid w:val="00F7545C"/>
    <w:rsid w:val="00F754BF"/>
    <w:rsid w:val="00F7561D"/>
    <w:rsid w:val="00F75864"/>
    <w:rsid w:val="00F75877"/>
    <w:rsid w:val="00F75A10"/>
    <w:rsid w:val="00F75B43"/>
    <w:rsid w:val="00F75B62"/>
    <w:rsid w:val="00F75DC4"/>
    <w:rsid w:val="00F75DD2"/>
    <w:rsid w:val="00F75E77"/>
    <w:rsid w:val="00F75FC1"/>
    <w:rsid w:val="00F7614A"/>
    <w:rsid w:val="00F76162"/>
    <w:rsid w:val="00F7617C"/>
    <w:rsid w:val="00F76280"/>
    <w:rsid w:val="00F7628C"/>
    <w:rsid w:val="00F762EF"/>
    <w:rsid w:val="00F764F7"/>
    <w:rsid w:val="00F7663A"/>
    <w:rsid w:val="00F7666C"/>
    <w:rsid w:val="00F766DB"/>
    <w:rsid w:val="00F76703"/>
    <w:rsid w:val="00F767CA"/>
    <w:rsid w:val="00F76933"/>
    <w:rsid w:val="00F76BA7"/>
    <w:rsid w:val="00F76C95"/>
    <w:rsid w:val="00F76DCC"/>
    <w:rsid w:val="00F76F2B"/>
    <w:rsid w:val="00F76F39"/>
    <w:rsid w:val="00F76F97"/>
    <w:rsid w:val="00F76FBE"/>
    <w:rsid w:val="00F76FFB"/>
    <w:rsid w:val="00F7701E"/>
    <w:rsid w:val="00F77099"/>
    <w:rsid w:val="00F770B6"/>
    <w:rsid w:val="00F770C2"/>
    <w:rsid w:val="00F770E4"/>
    <w:rsid w:val="00F7710E"/>
    <w:rsid w:val="00F7728E"/>
    <w:rsid w:val="00F772FB"/>
    <w:rsid w:val="00F7733F"/>
    <w:rsid w:val="00F7736C"/>
    <w:rsid w:val="00F77377"/>
    <w:rsid w:val="00F773A9"/>
    <w:rsid w:val="00F77531"/>
    <w:rsid w:val="00F776E1"/>
    <w:rsid w:val="00F77741"/>
    <w:rsid w:val="00F7775C"/>
    <w:rsid w:val="00F77854"/>
    <w:rsid w:val="00F77891"/>
    <w:rsid w:val="00F77898"/>
    <w:rsid w:val="00F7793C"/>
    <w:rsid w:val="00F77A42"/>
    <w:rsid w:val="00F77BD3"/>
    <w:rsid w:val="00F77C0C"/>
    <w:rsid w:val="00F77C1A"/>
    <w:rsid w:val="00F77CEE"/>
    <w:rsid w:val="00F77D8F"/>
    <w:rsid w:val="00F800B6"/>
    <w:rsid w:val="00F80170"/>
    <w:rsid w:val="00F8021E"/>
    <w:rsid w:val="00F8024D"/>
    <w:rsid w:val="00F8024E"/>
    <w:rsid w:val="00F80255"/>
    <w:rsid w:val="00F80362"/>
    <w:rsid w:val="00F80371"/>
    <w:rsid w:val="00F8037F"/>
    <w:rsid w:val="00F80393"/>
    <w:rsid w:val="00F805D3"/>
    <w:rsid w:val="00F80715"/>
    <w:rsid w:val="00F80823"/>
    <w:rsid w:val="00F8085F"/>
    <w:rsid w:val="00F808E1"/>
    <w:rsid w:val="00F809B3"/>
    <w:rsid w:val="00F80A6A"/>
    <w:rsid w:val="00F80B2F"/>
    <w:rsid w:val="00F80C03"/>
    <w:rsid w:val="00F80CF4"/>
    <w:rsid w:val="00F80DAC"/>
    <w:rsid w:val="00F80DC9"/>
    <w:rsid w:val="00F80DEE"/>
    <w:rsid w:val="00F80E2F"/>
    <w:rsid w:val="00F80FAB"/>
    <w:rsid w:val="00F8101D"/>
    <w:rsid w:val="00F8119F"/>
    <w:rsid w:val="00F811A1"/>
    <w:rsid w:val="00F8125E"/>
    <w:rsid w:val="00F812F7"/>
    <w:rsid w:val="00F81325"/>
    <w:rsid w:val="00F813AA"/>
    <w:rsid w:val="00F814A1"/>
    <w:rsid w:val="00F81598"/>
    <w:rsid w:val="00F816C7"/>
    <w:rsid w:val="00F816D3"/>
    <w:rsid w:val="00F816D5"/>
    <w:rsid w:val="00F8170C"/>
    <w:rsid w:val="00F81738"/>
    <w:rsid w:val="00F8178F"/>
    <w:rsid w:val="00F817C1"/>
    <w:rsid w:val="00F81A36"/>
    <w:rsid w:val="00F81C4B"/>
    <w:rsid w:val="00F81C73"/>
    <w:rsid w:val="00F81D0D"/>
    <w:rsid w:val="00F81E12"/>
    <w:rsid w:val="00F81F40"/>
    <w:rsid w:val="00F82188"/>
    <w:rsid w:val="00F82193"/>
    <w:rsid w:val="00F82288"/>
    <w:rsid w:val="00F822BA"/>
    <w:rsid w:val="00F8230A"/>
    <w:rsid w:val="00F824CA"/>
    <w:rsid w:val="00F82518"/>
    <w:rsid w:val="00F825DA"/>
    <w:rsid w:val="00F825E4"/>
    <w:rsid w:val="00F82605"/>
    <w:rsid w:val="00F82642"/>
    <w:rsid w:val="00F8267B"/>
    <w:rsid w:val="00F826A1"/>
    <w:rsid w:val="00F82735"/>
    <w:rsid w:val="00F82784"/>
    <w:rsid w:val="00F8278D"/>
    <w:rsid w:val="00F827C3"/>
    <w:rsid w:val="00F828F9"/>
    <w:rsid w:val="00F82A4B"/>
    <w:rsid w:val="00F82A50"/>
    <w:rsid w:val="00F82C02"/>
    <w:rsid w:val="00F82C24"/>
    <w:rsid w:val="00F82CBE"/>
    <w:rsid w:val="00F82CD0"/>
    <w:rsid w:val="00F82D2D"/>
    <w:rsid w:val="00F82DB5"/>
    <w:rsid w:val="00F82EC0"/>
    <w:rsid w:val="00F82F2F"/>
    <w:rsid w:val="00F83041"/>
    <w:rsid w:val="00F8311A"/>
    <w:rsid w:val="00F83212"/>
    <w:rsid w:val="00F8323D"/>
    <w:rsid w:val="00F83358"/>
    <w:rsid w:val="00F83382"/>
    <w:rsid w:val="00F833A3"/>
    <w:rsid w:val="00F833E2"/>
    <w:rsid w:val="00F83403"/>
    <w:rsid w:val="00F83590"/>
    <w:rsid w:val="00F836E1"/>
    <w:rsid w:val="00F836F8"/>
    <w:rsid w:val="00F83711"/>
    <w:rsid w:val="00F8372C"/>
    <w:rsid w:val="00F8383D"/>
    <w:rsid w:val="00F83909"/>
    <w:rsid w:val="00F83A28"/>
    <w:rsid w:val="00F83A84"/>
    <w:rsid w:val="00F83AA7"/>
    <w:rsid w:val="00F83AC4"/>
    <w:rsid w:val="00F83ADC"/>
    <w:rsid w:val="00F83AFB"/>
    <w:rsid w:val="00F83D25"/>
    <w:rsid w:val="00F83F68"/>
    <w:rsid w:val="00F83F78"/>
    <w:rsid w:val="00F84072"/>
    <w:rsid w:val="00F84079"/>
    <w:rsid w:val="00F84114"/>
    <w:rsid w:val="00F84195"/>
    <w:rsid w:val="00F842B5"/>
    <w:rsid w:val="00F842FE"/>
    <w:rsid w:val="00F8433F"/>
    <w:rsid w:val="00F844B5"/>
    <w:rsid w:val="00F844D3"/>
    <w:rsid w:val="00F844E5"/>
    <w:rsid w:val="00F84690"/>
    <w:rsid w:val="00F846B2"/>
    <w:rsid w:val="00F84862"/>
    <w:rsid w:val="00F848D5"/>
    <w:rsid w:val="00F848EF"/>
    <w:rsid w:val="00F84913"/>
    <w:rsid w:val="00F8495B"/>
    <w:rsid w:val="00F84979"/>
    <w:rsid w:val="00F84987"/>
    <w:rsid w:val="00F84993"/>
    <w:rsid w:val="00F8499F"/>
    <w:rsid w:val="00F849AF"/>
    <w:rsid w:val="00F84A1C"/>
    <w:rsid w:val="00F84A4C"/>
    <w:rsid w:val="00F84D99"/>
    <w:rsid w:val="00F84E5F"/>
    <w:rsid w:val="00F84EBD"/>
    <w:rsid w:val="00F850E6"/>
    <w:rsid w:val="00F851ED"/>
    <w:rsid w:val="00F8520B"/>
    <w:rsid w:val="00F852BE"/>
    <w:rsid w:val="00F852C6"/>
    <w:rsid w:val="00F8543A"/>
    <w:rsid w:val="00F85684"/>
    <w:rsid w:val="00F85801"/>
    <w:rsid w:val="00F8581D"/>
    <w:rsid w:val="00F8585E"/>
    <w:rsid w:val="00F8598A"/>
    <w:rsid w:val="00F859F4"/>
    <w:rsid w:val="00F85A15"/>
    <w:rsid w:val="00F85A19"/>
    <w:rsid w:val="00F85A64"/>
    <w:rsid w:val="00F85AE5"/>
    <w:rsid w:val="00F85B96"/>
    <w:rsid w:val="00F85BD3"/>
    <w:rsid w:val="00F85CF0"/>
    <w:rsid w:val="00F85CF4"/>
    <w:rsid w:val="00F85D1D"/>
    <w:rsid w:val="00F85D2F"/>
    <w:rsid w:val="00F85D41"/>
    <w:rsid w:val="00F85DAE"/>
    <w:rsid w:val="00F85E14"/>
    <w:rsid w:val="00F85EA7"/>
    <w:rsid w:val="00F85F9B"/>
    <w:rsid w:val="00F85FAC"/>
    <w:rsid w:val="00F85FF1"/>
    <w:rsid w:val="00F860C6"/>
    <w:rsid w:val="00F860CF"/>
    <w:rsid w:val="00F8610C"/>
    <w:rsid w:val="00F8617F"/>
    <w:rsid w:val="00F8625D"/>
    <w:rsid w:val="00F862CD"/>
    <w:rsid w:val="00F862FA"/>
    <w:rsid w:val="00F8632F"/>
    <w:rsid w:val="00F86334"/>
    <w:rsid w:val="00F8635E"/>
    <w:rsid w:val="00F86569"/>
    <w:rsid w:val="00F8662D"/>
    <w:rsid w:val="00F86652"/>
    <w:rsid w:val="00F86672"/>
    <w:rsid w:val="00F868C0"/>
    <w:rsid w:val="00F8696F"/>
    <w:rsid w:val="00F869EF"/>
    <w:rsid w:val="00F86A6A"/>
    <w:rsid w:val="00F86ADE"/>
    <w:rsid w:val="00F86B19"/>
    <w:rsid w:val="00F86BA7"/>
    <w:rsid w:val="00F86D81"/>
    <w:rsid w:val="00F86DBF"/>
    <w:rsid w:val="00F86E05"/>
    <w:rsid w:val="00F86E4D"/>
    <w:rsid w:val="00F86E86"/>
    <w:rsid w:val="00F86F62"/>
    <w:rsid w:val="00F87130"/>
    <w:rsid w:val="00F871D7"/>
    <w:rsid w:val="00F8727F"/>
    <w:rsid w:val="00F872F9"/>
    <w:rsid w:val="00F8733E"/>
    <w:rsid w:val="00F874DB"/>
    <w:rsid w:val="00F87514"/>
    <w:rsid w:val="00F8754C"/>
    <w:rsid w:val="00F875A8"/>
    <w:rsid w:val="00F875ED"/>
    <w:rsid w:val="00F876CD"/>
    <w:rsid w:val="00F876CF"/>
    <w:rsid w:val="00F8781D"/>
    <w:rsid w:val="00F87838"/>
    <w:rsid w:val="00F8784E"/>
    <w:rsid w:val="00F879F3"/>
    <w:rsid w:val="00F87AE1"/>
    <w:rsid w:val="00F87C77"/>
    <w:rsid w:val="00F87CCF"/>
    <w:rsid w:val="00F87CFF"/>
    <w:rsid w:val="00F87ED3"/>
    <w:rsid w:val="00F87F1F"/>
    <w:rsid w:val="00F87F32"/>
    <w:rsid w:val="00F90010"/>
    <w:rsid w:val="00F9007F"/>
    <w:rsid w:val="00F900C6"/>
    <w:rsid w:val="00F900CD"/>
    <w:rsid w:val="00F900E6"/>
    <w:rsid w:val="00F90143"/>
    <w:rsid w:val="00F901C1"/>
    <w:rsid w:val="00F903D1"/>
    <w:rsid w:val="00F9044B"/>
    <w:rsid w:val="00F90532"/>
    <w:rsid w:val="00F90542"/>
    <w:rsid w:val="00F9057C"/>
    <w:rsid w:val="00F90582"/>
    <w:rsid w:val="00F9059F"/>
    <w:rsid w:val="00F905AE"/>
    <w:rsid w:val="00F906CB"/>
    <w:rsid w:val="00F90750"/>
    <w:rsid w:val="00F908AA"/>
    <w:rsid w:val="00F908AE"/>
    <w:rsid w:val="00F908F8"/>
    <w:rsid w:val="00F90901"/>
    <w:rsid w:val="00F909FA"/>
    <w:rsid w:val="00F90A50"/>
    <w:rsid w:val="00F90B44"/>
    <w:rsid w:val="00F90B50"/>
    <w:rsid w:val="00F90BC5"/>
    <w:rsid w:val="00F90D04"/>
    <w:rsid w:val="00F90E2C"/>
    <w:rsid w:val="00F90FC1"/>
    <w:rsid w:val="00F90FC4"/>
    <w:rsid w:val="00F90FE6"/>
    <w:rsid w:val="00F91082"/>
    <w:rsid w:val="00F9110E"/>
    <w:rsid w:val="00F912FC"/>
    <w:rsid w:val="00F91335"/>
    <w:rsid w:val="00F913B6"/>
    <w:rsid w:val="00F913C1"/>
    <w:rsid w:val="00F9147E"/>
    <w:rsid w:val="00F914ED"/>
    <w:rsid w:val="00F91526"/>
    <w:rsid w:val="00F9156E"/>
    <w:rsid w:val="00F91574"/>
    <w:rsid w:val="00F915E6"/>
    <w:rsid w:val="00F9161A"/>
    <w:rsid w:val="00F9173E"/>
    <w:rsid w:val="00F917B2"/>
    <w:rsid w:val="00F91847"/>
    <w:rsid w:val="00F91998"/>
    <w:rsid w:val="00F91AAD"/>
    <w:rsid w:val="00F91AF2"/>
    <w:rsid w:val="00F91B7A"/>
    <w:rsid w:val="00F91BF4"/>
    <w:rsid w:val="00F91C07"/>
    <w:rsid w:val="00F91C37"/>
    <w:rsid w:val="00F91C39"/>
    <w:rsid w:val="00F91D48"/>
    <w:rsid w:val="00F91D65"/>
    <w:rsid w:val="00F91DF0"/>
    <w:rsid w:val="00F91E86"/>
    <w:rsid w:val="00F91EBE"/>
    <w:rsid w:val="00F92042"/>
    <w:rsid w:val="00F9217D"/>
    <w:rsid w:val="00F921D4"/>
    <w:rsid w:val="00F922EB"/>
    <w:rsid w:val="00F924D5"/>
    <w:rsid w:val="00F924EF"/>
    <w:rsid w:val="00F92525"/>
    <w:rsid w:val="00F92548"/>
    <w:rsid w:val="00F92600"/>
    <w:rsid w:val="00F92618"/>
    <w:rsid w:val="00F926FD"/>
    <w:rsid w:val="00F92701"/>
    <w:rsid w:val="00F9272B"/>
    <w:rsid w:val="00F92753"/>
    <w:rsid w:val="00F9275F"/>
    <w:rsid w:val="00F92787"/>
    <w:rsid w:val="00F927EE"/>
    <w:rsid w:val="00F927F4"/>
    <w:rsid w:val="00F9280A"/>
    <w:rsid w:val="00F92A56"/>
    <w:rsid w:val="00F92B16"/>
    <w:rsid w:val="00F92BFB"/>
    <w:rsid w:val="00F92C36"/>
    <w:rsid w:val="00F92C6F"/>
    <w:rsid w:val="00F92CCD"/>
    <w:rsid w:val="00F92CDA"/>
    <w:rsid w:val="00F92CEA"/>
    <w:rsid w:val="00F92D21"/>
    <w:rsid w:val="00F92E12"/>
    <w:rsid w:val="00F92E3C"/>
    <w:rsid w:val="00F92E6A"/>
    <w:rsid w:val="00F92EE5"/>
    <w:rsid w:val="00F92F95"/>
    <w:rsid w:val="00F930A1"/>
    <w:rsid w:val="00F930C5"/>
    <w:rsid w:val="00F930F0"/>
    <w:rsid w:val="00F931C9"/>
    <w:rsid w:val="00F931F4"/>
    <w:rsid w:val="00F93234"/>
    <w:rsid w:val="00F93267"/>
    <w:rsid w:val="00F93301"/>
    <w:rsid w:val="00F93317"/>
    <w:rsid w:val="00F934A6"/>
    <w:rsid w:val="00F93523"/>
    <w:rsid w:val="00F938CF"/>
    <w:rsid w:val="00F9399D"/>
    <w:rsid w:val="00F93A83"/>
    <w:rsid w:val="00F93AE2"/>
    <w:rsid w:val="00F93B08"/>
    <w:rsid w:val="00F93D86"/>
    <w:rsid w:val="00F93FFB"/>
    <w:rsid w:val="00F940C9"/>
    <w:rsid w:val="00F940FE"/>
    <w:rsid w:val="00F94193"/>
    <w:rsid w:val="00F94271"/>
    <w:rsid w:val="00F94314"/>
    <w:rsid w:val="00F9437F"/>
    <w:rsid w:val="00F943DA"/>
    <w:rsid w:val="00F943E2"/>
    <w:rsid w:val="00F94626"/>
    <w:rsid w:val="00F947A2"/>
    <w:rsid w:val="00F9487B"/>
    <w:rsid w:val="00F948E4"/>
    <w:rsid w:val="00F948ED"/>
    <w:rsid w:val="00F94A8A"/>
    <w:rsid w:val="00F94CBF"/>
    <w:rsid w:val="00F94DF6"/>
    <w:rsid w:val="00F94EBF"/>
    <w:rsid w:val="00F94EE8"/>
    <w:rsid w:val="00F94EEA"/>
    <w:rsid w:val="00F9503D"/>
    <w:rsid w:val="00F951F8"/>
    <w:rsid w:val="00F95262"/>
    <w:rsid w:val="00F953DF"/>
    <w:rsid w:val="00F95455"/>
    <w:rsid w:val="00F9545C"/>
    <w:rsid w:val="00F95535"/>
    <w:rsid w:val="00F95566"/>
    <w:rsid w:val="00F955A2"/>
    <w:rsid w:val="00F956F3"/>
    <w:rsid w:val="00F95702"/>
    <w:rsid w:val="00F957FE"/>
    <w:rsid w:val="00F95979"/>
    <w:rsid w:val="00F95B02"/>
    <w:rsid w:val="00F95B32"/>
    <w:rsid w:val="00F95BC9"/>
    <w:rsid w:val="00F95C1D"/>
    <w:rsid w:val="00F95DDC"/>
    <w:rsid w:val="00F95E07"/>
    <w:rsid w:val="00F95E09"/>
    <w:rsid w:val="00F95E4E"/>
    <w:rsid w:val="00F95EEC"/>
    <w:rsid w:val="00F9601E"/>
    <w:rsid w:val="00F96124"/>
    <w:rsid w:val="00F9613A"/>
    <w:rsid w:val="00F962A7"/>
    <w:rsid w:val="00F96430"/>
    <w:rsid w:val="00F96559"/>
    <w:rsid w:val="00F965D6"/>
    <w:rsid w:val="00F96645"/>
    <w:rsid w:val="00F96652"/>
    <w:rsid w:val="00F96679"/>
    <w:rsid w:val="00F966A2"/>
    <w:rsid w:val="00F96754"/>
    <w:rsid w:val="00F9680F"/>
    <w:rsid w:val="00F96934"/>
    <w:rsid w:val="00F969AE"/>
    <w:rsid w:val="00F96AF4"/>
    <w:rsid w:val="00F96AF8"/>
    <w:rsid w:val="00F96B7D"/>
    <w:rsid w:val="00F96CE5"/>
    <w:rsid w:val="00F96E0E"/>
    <w:rsid w:val="00F96E53"/>
    <w:rsid w:val="00F96F62"/>
    <w:rsid w:val="00F96FB5"/>
    <w:rsid w:val="00F9702D"/>
    <w:rsid w:val="00F970AD"/>
    <w:rsid w:val="00F9715B"/>
    <w:rsid w:val="00F971CA"/>
    <w:rsid w:val="00F972B4"/>
    <w:rsid w:val="00F972D1"/>
    <w:rsid w:val="00F97395"/>
    <w:rsid w:val="00F974E5"/>
    <w:rsid w:val="00F97567"/>
    <w:rsid w:val="00F97588"/>
    <w:rsid w:val="00F975BB"/>
    <w:rsid w:val="00F977A3"/>
    <w:rsid w:val="00F97865"/>
    <w:rsid w:val="00F9787F"/>
    <w:rsid w:val="00F9789D"/>
    <w:rsid w:val="00F9799D"/>
    <w:rsid w:val="00F979A1"/>
    <w:rsid w:val="00F97A1E"/>
    <w:rsid w:val="00F97A7D"/>
    <w:rsid w:val="00F97B61"/>
    <w:rsid w:val="00F97B9B"/>
    <w:rsid w:val="00F97BBB"/>
    <w:rsid w:val="00F97C89"/>
    <w:rsid w:val="00F97D27"/>
    <w:rsid w:val="00F97E03"/>
    <w:rsid w:val="00F97E0D"/>
    <w:rsid w:val="00FA0032"/>
    <w:rsid w:val="00FA00E3"/>
    <w:rsid w:val="00FA0182"/>
    <w:rsid w:val="00FA01C9"/>
    <w:rsid w:val="00FA0248"/>
    <w:rsid w:val="00FA025B"/>
    <w:rsid w:val="00FA02A7"/>
    <w:rsid w:val="00FA037D"/>
    <w:rsid w:val="00FA055E"/>
    <w:rsid w:val="00FA055F"/>
    <w:rsid w:val="00FA05E0"/>
    <w:rsid w:val="00FA0635"/>
    <w:rsid w:val="00FA0704"/>
    <w:rsid w:val="00FA070E"/>
    <w:rsid w:val="00FA072E"/>
    <w:rsid w:val="00FA0813"/>
    <w:rsid w:val="00FA0867"/>
    <w:rsid w:val="00FA087F"/>
    <w:rsid w:val="00FA0949"/>
    <w:rsid w:val="00FA0957"/>
    <w:rsid w:val="00FA09F2"/>
    <w:rsid w:val="00FA0A0F"/>
    <w:rsid w:val="00FA0A13"/>
    <w:rsid w:val="00FA0AA5"/>
    <w:rsid w:val="00FA0AEE"/>
    <w:rsid w:val="00FA0BF5"/>
    <w:rsid w:val="00FA0E5F"/>
    <w:rsid w:val="00FA0EBB"/>
    <w:rsid w:val="00FA0EEE"/>
    <w:rsid w:val="00FA1044"/>
    <w:rsid w:val="00FA1057"/>
    <w:rsid w:val="00FA106C"/>
    <w:rsid w:val="00FA1187"/>
    <w:rsid w:val="00FA12B1"/>
    <w:rsid w:val="00FA12FC"/>
    <w:rsid w:val="00FA12FF"/>
    <w:rsid w:val="00FA1320"/>
    <w:rsid w:val="00FA145A"/>
    <w:rsid w:val="00FA14EC"/>
    <w:rsid w:val="00FA15B3"/>
    <w:rsid w:val="00FA170C"/>
    <w:rsid w:val="00FA1867"/>
    <w:rsid w:val="00FA19F1"/>
    <w:rsid w:val="00FA1AC1"/>
    <w:rsid w:val="00FA1B93"/>
    <w:rsid w:val="00FA1BC2"/>
    <w:rsid w:val="00FA1CAA"/>
    <w:rsid w:val="00FA1FD6"/>
    <w:rsid w:val="00FA207D"/>
    <w:rsid w:val="00FA20B5"/>
    <w:rsid w:val="00FA212E"/>
    <w:rsid w:val="00FA2135"/>
    <w:rsid w:val="00FA214B"/>
    <w:rsid w:val="00FA214C"/>
    <w:rsid w:val="00FA21F9"/>
    <w:rsid w:val="00FA22AE"/>
    <w:rsid w:val="00FA2532"/>
    <w:rsid w:val="00FA268C"/>
    <w:rsid w:val="00FA268D"/>
    <w:rsid w:val="00FA26AA"/>
    <w:rsid w:val="00FA26E1"/>
    <w:rsid w:val="00FA279C"/>
    <w:rsid w:val="00FA27C1"/>
    <w:rsid w:val="00FA2848"/>
    <w:rsid w:val="00FA29D0"/>
    <w:rsid w:val="00FA29D3"/>
    <w:rsid w:val="00FA29DA"/>
    <w:rsid w:val="00FA2B1A"/>
    <w:rsid w:val="00FA2D2E"/>
    <w:rsid w:val="00FA2D9C"/>
    <w:rsid w:val="00FA2EAC"/>
    <w:rsid w:val="00FA2EBA"/>
    <w:rsid w:val="00FA3046"/>
    <w:rsid w:val="00FA305E"/>
    <w:rsid w:val="00FA3205"/>
    <w:rsid w:val="00FA330E"/>
    <w:rsid w:val="00FA3495"/>
    <w:rsid w:val="00FA355B"/>
    <w:rsid w:val="00FA36D3"/>
    <w:rsid w:val="00FA36F9"/>
    <w:rsid w:val="00FA37B6"/>
    <w:rsid w:val="00FA380A"/>
    <w:rsid w:val="00FA386C"/>
    <w:rsid w:val="00FA38DD"/>
    <w:rsid w:val="00FA3924"/>
    <w:rsid w:val="00FA39F2"/>
    <w:rsid w:val="00FA3BA5"/>
    <w:rsid w:val="00FA3BA8"/>
    <w:rsid w:val="00FA3C80"/>
    <w:rsid w:val="00FA3CC1"/>
    <w:rsid w:val="00FA3DC0"/>
    <w:rsid w:val="00FA3E94"/>
    <w:rsid w:val="00FA3E96"/>
    <w:rsid w:val="00FA3FD6"/>
    <w:rsid w:val="00FA406D"/>
    <w:rsid w:val="00FA409C"/>
    <w:rsid w:val="00FA4174"/>
    <w:rsid w:val="00FA41B0"/>
    <w:rsid w:val="00FA41FE"/>
    <w:rsid w:val="00FA4209"/>
    <w:rsid w:val="00FA4236"/>
    <w:rsid w:val="00FA4285"/>
    <w:rsid w:val="00FA4382"/>
    <w:rsid w:val="00FA438D"/>
    <w:rsid w:val="00FA454A"/>
    <w:rsid w:val="00FA4557"/>
    <w:rsid w:val="00FA4637"/>
    <w:rsid w:val="00FA4696"/>
    <w:rsid w:val="00FA475F"/>
    <w:rsid w:val="00FA4789"/>
    <w:rsid w:val="00FA4791"/>
    <w:rsid w:val="00FA486C"/>
    <w:rsid w:val="00FA499C"/>
    <w:rsid w:val="00FA49AC"/>
    <w:rsid w:val="00FA49DC"/>
    <w:rsid w:val="00FA49EF"/>
    <w:rsid w:val="00FA4A11"/>
    <w:rsid w:val="00FA4A63"/>
    <w:rsid w:val="00FA4B4A"/>
    <w:rsid w:val="00FA4B91"/>
    <w:rsid w:val="00FA4BF5"/>
    <w:rsid w:val="00FA4C4F"/>
    <w:rsid w:val="00FA4C9C"/>
    <w:rsid w:val="00FA4CD7"/>
    <w:rsid w:val="00FA4F24"/>
    <w:rsid w:val="00FA50AF"/>
    <w:rsid w:val="00FA51BE"/>
    <w:rsid w:val="00FA5350"/>
    <w:rsid w:val="00FA54A6"/>
    <w:rsid w:val="00FA54CC"/>
    <w:rsid w:val="00FA5511"/>
    <w:rsid w:val="00FA5533"/>
    <w:rsid w:val="00FA55A5"/>
    <w:rsid w:val="00FA565D"/>
    <w:rsid w:val="00FA5694"/>
    <w:rsid w:val="00FA5787"/>
    <w:rsid w:val="00FA5795"/>
    <w:rsid w:val="00FA58DA"/>
    <w:rsid w:val="00FA58DC"/>
    <w:rsid w:val="00FA58F7"/>
    <w:rsid w:val="00FA599C"/>
    <w:rsid w:val="00FA5A46"/>
    <w:rsid w:val="00FA5BD0"/>
    <w:rsid w:val="00FA5C7D"/>
    <w:rsid w:val="00FA5CB3"/>
    <w:rsid w:val="00FA5E16"/>
    <w:rsid w:val="00FA5FD1"/>
    <w:rsid w:val="00FA603E"/>
    <w:rsid w:val="00FA6095"/>
    <w:rsid w:val="00FA60F1"/>
    <w:rsid w:val="00FA61C7"/>
    <w:rsid w:val="00FA6237"/>
    <w:rsid w:val="00FA6292"/>
    <w:rsid w:val="00FA6359"/>
    <w:rsid w:val="00FA645D"/>
    <w:rsid w:val="00FA6491"/>
    <w:rsid w:val="00FA66A9"/>
    <w:rsid w:val="00FA67D7"/>
    <w:rsid w:val="00FA67DE"/>
    <w:rsid w:val="00FA6829"/>
    <w:rsid w:val="00FA6919"/>
    <w:rsid w:val="00FA699F"/>
    <w:rsid w:val="00FA6A95"/>
    <w:rsid w:val="00FA6B50"/>
    <w:rsid w:val="00FA6CE2"/>
    <w:rsid w:val="00FA6D24"/>
    <w:rsid w:val="00FA6D5A"/>
    <w:rsid w:val="00FA6F42"/>
    <w:rsid w:val="00FA6FAB"/>
    <w:rsid w:val="00FA6FBA"/>
    <w:rsid w:val="00FA707A"/>
    <w:rsid w:val="00FA7106"/>
    <w:rsid w:val="00FA7249"/>
    <w:rsid w:val="00FA736C"/>
    <w:rsid w:val="00FA7374"/>
    <w:rsid w:val="00FA7474"/>
    <w:rsid w:val="00FA7505"/>
    <w:rsid w:val="00FA75DB"/>
    <w:rsid w:val="00FA7612"/>
    <w:rsid w:val="00FA7642"/>
    <w:rsid w:val="00FA7657"/>
    <w:rsid w:val="00FA76EB"/>
    <w:rsid w:val="00FA7876"/>
    <w:rsid w:val="00FA79EF"/>
    <w:rsid w:val="00FA7A76"/>
    <w:rsid w:val="00FA7ABC"/>
    <w:rsid w:val="00FA7B0D"/>
    <w:rsid w:val="00FA7B1C"/>
    <w:rsid w:val="00FA7B49"/>
    <w:rsid w:val="00FA7C5E"/>
    <w:rsid w:val="00FA7C78"/>
    <w:rsid w:val="00FA7D19"/>
    <w:rsid w:val="00FA7E40"/>
    <w:rsid w:val="00FA7E60"/>
    <w:rsid w:val="00FB0026"/>
    <w:rsid w:val="00FB00E8"/>
    <w:rsid w:val="00FB00FA"/>
    <w:rsid w:val="00FB0441"/>
    <w:rsid w:val="00FB0462"/>
    <w:rsid w:val="00FB0464"/>
    <w:rsid w:val="00FB048A"/>
    <w:rsid w:val="00FB04AC"/>
    <w:rsid w:val="00FB0702"/>
    <w:rsid w:val="00FB07AF"/>
    <w:rsid w:val="00FB0861"/>
    <w:rsid w:val="00FB0939"/>
    <w:rsid w:val="00FB0A25"/>
    <w:rsid w:val="00FB0A56"/>
    <w:rsid w:val="00FB0A67"/>
    <w:rsid w:val="00FB0AA4"/>
    <w:rsid w:val="00FB0C42"/>
    <w:rsid w:val="00FB0C6B"/>
    <w:rsid w:val="00FB0C6E"/>
    <w:rsid w:val="00FB0D30"/>
    <w:rsid w:val="00FB0E1A"/>
    <w:rsid w:val="00FB0E35"/>
    <w:rsid w:val="00FB0FD6"/>
    <w:rsid w:val="00FB10EA"/>
    <w:rsid w:val="00FB1103"/>
    <w:rsid w:val="00FB111D"/>
    <w:rsid w:val="00FB115F"/>
    <w:rsid w:val="00FB11E3"/>
    <w:rsid w:val="00FB1391"/>
    <w:rsid w:val="00FB1456"/>
    <w:rsid w:val="00FB14BA"/>
    <w:rsid w:val="00FB1525"/>
    <w:rsid w:val="00FB154C"/>
    <w:rsid w:val="00FB1555"/>
    <w:rsid w:val="00FB155E"/>
    <w:rsid w:val="00FB1571"/>
    <w:rsid w:val="00FB1615"/>
    <w:rsid w:val="00FB17EB"/>
    <w:rsid w:val="00FB187F"/>
    <w:rsid w:val="00FB1A56"/>
    <w:rsid w:val="00FB1B30"/>
    <w:rsid w:val="00FB1B31"/>
    <w:rsid w:val="00FB1BCE"/>
    <w:rsid w:val="00FB1BDA"/>
    <w:rsid w:val="00FB1D0B"/>
    <w:rsid w:val="00FB1D39"/>
    <w:rsid w:val="00FB1DA1"/>
    <w:rsid w:val="00FB1DC1"/>
    <w:rsid w:val="00FB1EEE"/>
    <w:rsid w:val="00FB1F17"/>
    <w:rsid w:val="00FB1F99"/>
    <w:rsid w:val="00FB20BD"/>
    <w:rsid w:val="00FB20BE"/>
    <w:rsid w:val="00FB20C2"/>
    <w:rsid w:val="00FB2142"/>
    <w:rsid w:val="00FB21E4"/>
    <w:rsid w:val="00FB2262"/>
    <w:rsid w:val="00FB22E2"/>
    <w:rsid w:val="00FB22FD"/>
    <w:rsid w:val="00FB2403"/>
    <w:rsid w:val="00FB257D"/>
    <w:rsid w:val="00FB25CB"/>
    <w:rsid w:val="00FB264B"/>
    <w:rsid w:val="00FB2714"/>
    <w:rsid w:val="00FB274E"/>
    <w:rsid w:val="00FB276C"/>
    <w:rsid w:val="00FB27F0"/>
    <w:rsid w:val="00FB2874"/>
    <w:rsid w:val="00FB28B0"/>
    <w:rsid w:val="00FB28EF"/>
    <w:rsid w:val="00FB2A2C"/>
    <w:rsid w:val="00FB2AFB"/>
    <w:rsid w:val="00FB2B2D"/>
    <w:rsid w:val="00FB2BFD"/>
    <w:rsid w:val="00FB2C55"/>
    <w:rsid w:val="00FB2D8F"/>
    <w:rsid w:val="00FB2DCA"/>
    <w:rsid w:val="00FB2EAA"/>
    <w:rsid w:val="00FB2EC8"/>
    <w:rsid w:val="00FB2F28"/>
    <w:rsid w:val="00FB2FA8"/>
    <w:rsid w:val="00FB30B5"/>
    <w:rsid w:val="00FB3106"/>
    <w:rsid w:val="00FB31AF"/>
    <w:rsid w:val="00FB31D2"/>
    <w:rsid w:val="00FB335C"/>
    <w:rsid w:val="00FB3371"/>
    <w:rsid w:val="00FB3387"/>
    <w:rsid w:val="00FB33A5"/>
    <w:rsid w:val="00FB33D5"/>
    <w:rsid w:val="00FB3492"/>
    <w:rsid w:val="00FB3542"/>
    <w:rsid w:val="00FB359F"/>
    <w:rsid w:val="00FB35BB"/>
    <w:rsid w:val="00FB37A7"/>
    <w:rsid w:val="00FB38A4"/>
    <w:rsid w:val="00FB38F5"/>
    <w:rsid w:val="00FB3A62"/>
    <w:rsid w:val="00FB3A71"/>
    <w:rsid w:val="00FB3AB9"/>
    <w:rsid w:val="00FB3C0C"/>
    <w:rsid w:val="00FB3C8F"/>
    <w:rsid w:val="00FB3D81"/>
    <w:rsid w:val="00FB3DB3"/>
    <w:rsid w:val="00FB3E93"/>
    <w:rsid w:val="00FB40B0"/>
    <w:rsid w:val="00FB40E1"/>
    <w:rsid w:val="00FB43D5"/>
    <w:rsid w:val="00FB4423"/>
    <w:rsid w:val="00FB4481"/>
    <w:rsid w:val="00FB4564"/>
    <w:rsid w:val="00FB460A"/>
    <w:rsid w:val="00FB4683"/>
    <w:rsid w:val="00FB47FB"/>
    <w:rsid w:val="00FB48CC"/>
    <w:rsid w:val="00FB48FB"/>
    <w:rsid w:val="00FB494A"/>
    <w:rsid w:val="00FB4958"/>
    <w:rsid w:val="00FB49E2"/>
    <w:rsid w:val="00FB4A62"/>
    <w:rsid w:val="00FB4AF8"/>
    <w:rsid w:val="00FB4B38"/>
    <w:rsid w:val="00FB4BD9"/>
    <w:rsid w:val="00FB4CDE"/>
    <w:rsid w:val="00FB4D21"/>
    <w:rsid w:val="00FB4DB4"/>
    <w:rsid w:val="00FB4DCA"/>
    <w:rsid w:val="00FB50A4"/>
    <w:rsid w:val="00FB50A7"/>
    <w:rsid w:val="00FB528F"/>
    <w:rsid w:val="00FB52AA"/>
    <w:rsid w:val="00FB537D"/>
    <w:rsid w:val="00FB53A7"/>
    <w:rsid w:val="00FB55D1"/>
    <w:rsid w:val="00FB5676"/>
    <w:rsid w:val="00FB56E0"/>
    <w:rsid w:val="00FB56ED"/>
    <w:rsid w:val="00FB5752"/>
    <w:rsid w:val="00FB5844"/>
    <w:rsid w:val="00FB58E7"/>
    <w:rsid w:val="00FB5926"/>
    <w:rsid w:val="00FB5A68"/>
    <w:rsid w:val="00FB5AFA"/>
    <w:rsid w:val="00FB5BC4"/>
    <w:rsid w:val="00FB5CA1"/>
    <w:rsid w:val="00FB5CD0"/>
    <w:rsid w:val="00FB5CD8"/>
    <w:rsid w:val="00FB5DB3"/>
    <w:rsid w:val="00FB5EEE"/>
    <w:rsid w:val="00FB5F13"/>
    <w:rsid w:val="00FB5FB6"/>
    <w:rsid w:val="00FB5FE4"/>
    <w:rsid w:val="00FB60B0"/>
    <w:rsid w:val="00FB6296"/>
    <w:rsid w:val="00FB62AE"/>
    <w:rsid w:val="00FB62B4"/>
    <w:rsid w:val="00FB632F"/>
    <w:rsid w:val="00FB63A3"/>
    <w:rsid w:val="00FB646F"/>
    <w:rsid w:val="00FB6478"/>
    <w:rsid w:val="00FB64C1"/>
    <w:rsid w:val="00FB64DD"/>
    <w:rsid w:val="00FB6562"/>
    <w:rsid w:val="00FB6643"/>
    <w:rsid w:val="00FB692C"/>
    <w:rsid w:val="00FB6A85"/>
    <w:rsid w:val="00FB6B06"/>
    <w:rsid w:val="00FB6BD0"/>
    <w:rsid w:val="00FB6BF4"/>
    <w:rsid w:val="00FB6D0A"/>
    <w:rsid w:val="00FB6FED"/>
    <w:rsid w:val="00FB702F"/>
    <w:rsid w:val="00FB7048"/>
    <w:rsid w:val="00FB705A"/>
    <w:rsid w:val="00FB7082"/>
    <w:rsid w:val="00FB708F"/>
    <w:rsid w:val="00FB70D7"/>
    <w:rsid w:val="00FB70F6"/>
    <w:rsid w:val="00FB7158"/>
    <w:rsid w:val="00FB71DB"/>
    <w:rsid w:val="00FB727A"/>
    <w:rsid w:val="00FB72C7"/>
    <w:rsid w:val="00FB7330"/>
    <w:rsid w:val="00FB73B9"/>
    <w:rsid w:val="00FB749C"/>
    <w:rsid w:val="00FB74BE"/>
    <w:rsid w:val="00FB75A7"/>
    <w:rsid w:val="00FB75C4"/>
    <w:rsid w:val="00FB75DB"/>
    <w:rsid w:val="00FB75ED"/>
    <w:rsid w:val="00FB7648"/>
    <w:rsid w:val="00FB76A9"/>
    <w:rsid w:val="00FB7709"/>
    <w:rsid w:val="00FB77F6"/>
    <w:rsid w:val="00FB786A"/>
    <w:rsid w:val="00FB7958"/>
    <w:rsid w:val="00FB7966"/>
    <w:rsid w:val="00FB7A41"/>
    <w:rsid w:val="00FB7AA5"/>
    <w:rsid w:val="00FB7B7F"/>
    <w:rsid w:val="00FB7C24"/>
    <w:rsid w:val="00FB7C3B"/>
    <w:rsid w:val="00FB7C8D"/>
    <w:rsid w:val="00FB7CA7"/>
    <w:rsid w:val="00FB7D00"/>
    <w:rsid w:val="00FB7D6F"/>
    <w:rsid w:val="00FB7E3B"/>
    <w:rsid w:val="00FB7F34"/>
    <w:rsid w:val="00FB7F36"/>
    <w:rsid w:val="00FB7F97"/>
    <w:rsid w:val="00FB7FE8"/>
    <w:rsid w:val="00FC0027"/>
    <w:rsid w:val="00FC0072"/>
    <w:rsid w:val="00FC0073"/>
    <w:rsid w:val="00FC00EA"/>
    <w:rsid w:val="00FC012D"/>
    <w:rsid w:val="00FC0279"/>
    <w:rsid w:val="00FC0360"/>
    <w:rsid w:val="00FC03A0"/>
    <w:rsid w:val="00FC03C4"/>
    <w:rsid w:val="00FC043F"/>
    <w:rsid w:val="00FC0536"/>
    <w:rsid w:val="00FC05E8"/>
    <w:rsid w:val="00FC062F"/>
    <w:rsid w:val="00FC0764"/>
    <w:rsid w:val="00FC0924"/>
    <w:rsid w:val="00FC0954"/>
    <w:rsid w:val="00FC095A"/>
    <w:rsid w:val="00FC09B6"/>
    <w:rsid w:val="00FC0A80"/>
    <w:rsid w:val="00FC0AC6"/>
    <w:rsid w:val="00FC0BC6"/>
    <w:rsid w:val="00FC0C5C"/>
    <w:rsid w:val="00FC0C63"/>
    <w:rsid w:val="00FC0D35"/>
    <w:rsid w:val="00FC0EBB"/>
    <w:rsid w:val="00FC0F06"/>
    <w:rsid w:val="00FC0FFB"/>
    <w:rsid w:val="00FC101E"/>
    <w:rsid w:val="00FC1085"/>
    <w:rsid w:val="00FC1161"/>
    <w:rsid w:val="00FC11AB"/>
    <w:rsid w:val="00FC1245"/>
    <w:rsid w:val="00FC12F0"/>
    <w:rsid w:val="00FC134A"/>
    <w:rsid w:val="00FC1366"/>
    <w:rsid w:val="00FC155F"/>
    <w:rsid w:val="00FC1578"/>
    <w:rsid w:val="00FC15E1"/>
    <w:rsid w:val="00FC178A"/>
    <w:rsid w:val="00FC17F8"/>
    <w:rsid w:val="00FC1805"/>
    <w:rsid w:val="00FC184E"/>
    <w:rsid w:val="00FC1883"/>
    <w:rsid w:val="00FC194B"/>
    <w:rsid w:val="00FC1953"/>
    <w:rsid w:val="00FC197C"/>
    <w:rsid w:val="00FC1B58"/>
    <w:rsid w:val="00FC1D99"/>
    <w:rsid w:val="00FC1DCD"/>
    <w:rsid w:val="00FC1E09"/>
    <w:rsid w:val="00FC1F81"/>
    <w:rsid w:val="00FC2032"/>
    <w:rsid w:val="00FC207C"/>
    <w:rsid w:val="00FC2126"/>
    <w:rsid w:val="00FC228D"/>
    <w:rsid w:val="00FC22C6"/>
    <w:rsid w:val="00FC23E2"/>
    <w:rsid w:val="00FC2422"/>
    <w:rsid w:val="00FC255E"/>
    <w:rsid w:val="00FC25F6"/>
    <w:rsid w:val="00FC2690"/>
    <w:rsid w:val="00FC26B9"/>
    <w:rsid w:val="00FC2769"/>
    <w:rsid w:val="00FC2807"/>
    <w:rsid w:val="00FC280E"/>
    <w:rsid w:val="00FC29E8"/>
    <w:rsid w:val="00FC2A40"/>
    <w:rsid w:val="00FC2A9B"/>
    <w:rsid w:val="00FC2C26"/>
    <w:rsid w:val="00FC2DFF"/>
    <w:rsid w:val="00FC2E09"/>
    <w:rsid w:val="00FC2E8E"/>
    <w:rsid w:val="00FC2EA0"/>
    <w:rsid w:val="00FC2FAE"/>
    <w:rsid w:val="00FC30F2"/>
    <w:rsid w:val="00FC3464"/>
    <w:rsid w:val="00FC3488"/>
    <w:rsid w:val="00FC352C"/>
    <w:rsid w:val="00FC35B9"/>
    <w:rsid w:val="00FC3618"/>
    <w:rsid w:val="00FC3633"/>
    <w:rsid w:val="00FC367A"/>
    <w:rsid w:val="00FC37BF"/>
    <w:rsid w:val="00FC3915"/>
    <w:rsid w:val="00FC398A"/>
    <w:rsid w:val="00FC3A48"/>
    <w:rsid w:val="00FC3AAB"/>
    <w:rsid w:val="00FC3AC2"/>
    <w:rsid w:val="00FC3B91"/>
    <w:rsid w:val="00FC3BBF"/>
    <w:rsid w:val="00FC3C1E"/>
    <w:rsid w:val="00FC3E0F"/>
    <w:rsid w:val="00FC4003"/>
    <w:rsid w:val="00FC401F"/>
    <w:rsid w:val="00FC405A"/>
    <w:rsid w:val="00FC4087"/>
    <w:rsid w:val="00FC40C5"/>
    <w:rsid w:val="00FC4101"/>
    <w:rsid w:val="00FC4229"/>
    <w:rsid w:val="00FC42C3"/>
    <w:rsid w:val="00FC443B"/>
    <w:rsid w:val="00FC44E2"/>
    <w:rsid w:val="00FC4573"/>
    <w:rsid w:val="00FC458D"/>
    <w:rsid w:val="00FC4749"/>
    <w:rsid w:val="00FC4857"/>
    <w:rsid w:val="00FC49B5"/>
    <w:rsid w:val="00FC4A8D"/>
    <w:rsid w:val="00FC4E9C"/>
    <w:rsid w:val="00FC4FC7"/>
    <w:rsid w:val="00FC511D"/>
    <w:rsid w:val="00FC51B8"/>
    <w:rsid w:val="00FC523F"/>
    <w:rsid w:val="00FC533A"/>
    <w:rsid w:val="00FC53A3"/>
    <w:rsid w:val="00FC53CE"/>
    <w:rsid w:val="00FC53D6"/>
    <w:rsid w:val="00FC53E7"/>
    <w:rsid w:val="00FC5473"/>
    <w:rsid w:val="00FC5565"/>
    <w:rsid w:val="00FC562D"/>
    <w:rsid w:val="00FC564A"/>
    <w:rsid w:val="00FC5732"/>
    <w:rsid w:val="00FC5790"/>
    <w:rsid w:val="00FC596F"/>
    <w:rsid w:val="00FC5A06"/>
    <w:rsid w:val="00FC5A73"/>
    <w:rsid w:val="00FC5AF2"/>
    <w:rsid w:val="00FC5B2C"/>
    <w:rsid w:val="00FC5B2E"/>
    <w:rsid w:val="00FC5C53"/>
    <w:rsid w:val="00FC5C81"/>
    <w:rsid w:val="00FC5C9C"/>
    <w:rsid w:val="00FC5D13"/>
    <w:rsid w:val="00FC5D78"/>
    <w:rsid w:val="00FC5DE8"/>
    <w:rsid w:val="00FC5F0B"/>
    <w:rsid w:val="00FC5F7F"/>
    <w:rsid w:val="00FC5FD5"/>
    <w:rsid w:val="00FC6096"/>
    <w:rsid w:val="00FC611F"/>
    <w:rsid w:val="00FC6139"/>
    <w:rsid w:val="00FC6165"/>
    <w:rsid w:val="00FC6299"/>
    <w:rsid w:val="00FC62B1"/>
    <w:rsid w:val="00FC62FA"/>
    <w:rsid w:val="00FC634D"/>
    <w:rsid w:val="00FC63D8"/>
    <w:rsid w:val="00FC65AC"/>
    <w:rsid w:val="00FC65D5"/>
    <w:rsid w:val="00FC663C"/>
    <w:rsid w:val="00FC66B1"/>
    <w:rsid w:val="00FC6722"/>
    <w:rsid w:val="00FC672F"/>
    <w:rsid w:val="00FC67C2"/>
    <w:rsid w:val="00FC6817"/>
    <w:rsid w:val="00FC6865"/>
    <w:rsid w:val="00FC68D7"/>
    <w:rsid w:val="00FC6994"/>
    <w:rsid w:val="00FC6A00"/>
    <w:rsid w:val="00FC6B57"/>
    <w:rsid w:val="00FC6C6F"/>
    <w:rsid w:val="00FC6CB5"/>
    <w:rsid w:val="00FC6EA9"/>
    <w:rsid w:val="00FC6F97"/>
    <w:rsid w:val="00FC6FDD"/>
    <w:rsid w:val="00FC716F"/>
    <w:rsid w:val="00FC71A3"/>
    <w:rsid w:val="00FC71C5"/>
    <w:rsid w:val="00FC71C7"/>
    <w:rsid w:val="00FC725C"/>
    <w:rsid w:val="00FC7409"/>
    <w:rsid w:val="00FC7481"/>
    <w:rsid w:val="00FC751A"/>
    <w:rsid w:val="00FC76DC"/>
    <w:rsid w:val="00FC7743"/>
    <w:rsid w:val="00FC781F"/>
    <w:rsid w:val="00FC7827"/>
    <w:rsid w:val="00FC78CE"/>
    <w:rsid w:val="00FC7914"/>
    <w:rsid w:val="00FC7977"/>
    <w:rsid w:val="00FC7A26"/>
    <w:rsid w:val="00FC7A3C"/>
    <w:rsid w:val="00FC7B42"/>
    <w:rsid w:val="00FC7B46"/>
    <w:rsid w:val="00FC7CF4"/>
    <w:rsid w:val="00FC7D4B"/>
    <w:rsid w:val="00FC7F02"/>
    <w:rsid w:val="00FD00BB"/>
    <w:rsid w:val="00FD0184"/>
    <w:rsid w:val="00FD01F6"/>
    <w:rsid w:val="00FD03D7"/>
    <w:rsid w:val="00FD042F"/>
    <w:rsid w:val="00FD050F"/>
    <w:rsid w:val="00FD0579"/>
    <w:rsid w:val="00FD0614"/>
    <w:rsid w:val="00FD0679"/>
    <w:rsid w:val="00FD06C3"/>
    <w:rsid w:val="00FD0927"/>
    <w:rsid w:val="00FD09B5"/>
    <w:rsid w:val="00FD0A30"/>
    <w:rsid w:val="00FD0A55"/>
    <w:rsid w:val="00FD0A86"/>
    <w:rsid w:val="00FD0C02"/>
    <w:rsid w:val="00FD0C4C"/>
    <w:rsid w:val="00FD0D02"/>
    <w:rsid w:val="00FD0D23"/>
    <w:rsid w:val="00FD0D53"/>
    <w:rsid w:val="00FD0D90"/>
    <w:rsid w:val="00FD0ED2"/>
    <w:rsid w:val="00FD1118"/>
    <w:rsid w:val="00FD116B"/>
    <w:rsid w:val="00FD1281"/>
    <w:rsid w:val="00FD13EA"/>
    <w:rsid w:val="00FD1462"/>
    <w:rsid w:val="00FD1533"/>
    <w:rsid w:val="00FD1668"/>
    <w:rsid w:val="00FD17AB"/>
    <w:rsid w:val="00FD17E8"/>
    <w:rsid w:val="00FD180C"/>
    <w:rsid w:val="00FD1A59"/>
    <w:rsid w:val="00FD1B1C"/>
    <w:rsid w:val="00FD1B3F"/>
    <w:rsid w:val="00FD1B6A"/>
    <w:rsid w:val="00FD1DB2"/>
    <w:rsid w:val="00FD1E6C"/>
    <w:rsid w:val="00FD1E74"/>
    <w:rsid w:val="00FD1E9E"/>
    <w:rsid w:val="00FD1F31"/>
    <w:rsid w:val="00FD2076"/>
    <w:rsid w:val="00FD217A"/>
    <w:rsid w:val="00FD2285"/>
    <w:rsid w:val="00FD22D2"/>
    <w:rsid w:val="00FD2312"/>
    <w:rsid w:val="00FD2353"/>
    <w:rsid w:val="00FD2374"/>
    <w:rsid w:val="00FD24A3"/>
    <w:rsid w:val="00FD24E6"/>
    <w:rsid w:val="00FD2541"/>
    <w:rsid w:val="00FD2634"/>
    <w:rsid w:val="00FD28BA"/>
    <w:rsid w:val="00FD28DC"/>
    <w:rsid w:val="00FD28F7"/>
    <w:rsid w:val="00FD2910"/>
    <w:rsid w:val="00FD292B"/>
    <w:rsid w:val="00FD29A6"/>
    <w:rsid w:val="00FD29D9"/>
    <w:rsid w:val="00FD2A97"/>
    <w:rsid w:val="00FD2AE2"/>
    <w:rsid w:val="00FD2BCC"/>
    <w:rsid w:val="00FD2CC0"/>
    <w:rsid w:val="00FD2D6B"/>
    <w:rsid w:val="00FD2EEA"/>
    <w:rsid w:val="00FD3130"/>
    <w:rsid w:val="00FD3263"/>
    <w:rsid w:val="00FD3276"/>
    <w:rsid w:val="00FD3315"/>
    <w:rsid w:val="00FD3404"/>
    <w:rsid w:val="00FD363C"/>
    <w:rsid w:val="00FD36F4"/>
    <w:rsid w:val="00FD37D8"/>
    <w:rsid w:val="00FD3910"/>
    <w:rsid w:val="00FD3A7B"/>
    <w:rsid w:val="00FD3AD8"/>
    <w:rsid w:val="00FD3B1D"/>
    <w:rsid w:val="00FD3B6C"/>
    <w:rsid w:val="00FD3C92"/>
    <w:rsid w:val="00FD3D41"/>
    <w:rsid w:val="00FD3DB7"/>
    <w:rsid w:val="00FD3DFD"/>
    <w:rsid w:val="00FD3EEC"/>
    <w:rsid w:val="00FD3F2C"/>
    <w:rsid w:val="00FD3FAE"/>
    <w:rsid w:val="00FD3FD9"/>
    <w:rsid w:val="00FD3FDD"/>
    <w:rsid w:val="00FD41C8"/>
    <w:rsid w:val="00FD4318"/>
    <w:rsid w:val="00FD4366"/>
    <w:rsid w:val="00FD4380"/>
    <w:rsid w:val="00FD44D8"/>
    <w:rsid w:val="00FD4602"/>
    <w:rsid w:val="00FD466C"/>
    <w:rsid w:val="00FD46C7"/>
    <w:rsid w:val="00FD495A"/>
    <w:rsid w:val="00FD4B76"/>
    <w:rsid w:val="00FD4C05"/>
    <w:rsid w:val="00FD4DF9"/>
    <w:rsid w:val="00FD50D0"/>
    <w:rsid w:val="00FD5228"/>
    <w:rsid w:val="00FD533C"/>
    <w:rsid w:val="00FD538E"/>
    <w:rsid w:val="00FD53BA"/>
    <w:rsid w:val="00FD53E1"/>
    <w:rsid w:val="00FD5546"/>
    <w:rsid w:val="00FD5699"/>
    <w:rsid w:val="00FD56A5"/>
    <w:rsid w:val="00FD580A"/>
    <w:rsid w:val="00FD5856"/>
    <w:rsid w:val="00FD595C"/>
    <w:rsid w:val="00FD5A0A"/>
    <w:rsid w:val="00FD5A81"/>
    <w:rsid w:val="00FD5A8C"/>
    <w:rsid w:val="00FD5AFA"/>
    <w:rsid w:val="00FD5B49"/>
    <w:rsid w:val="00FD5B4B"/>
    <w:rsid w:val="00FD5B80"/>
    <w:rsid w:val="00FD5B86"/>
    <w:rsid w:val="00FD5CA5"/>
    <w:rsid w:val="00FD5FB2"/>
    <w:rsid w:val="00FD6054"/>
    <w:rsid w:val="00FD60FF"/>
    <w:rsid w:val="00FD6189"/>
    <w:rsid w:val="00FD61A0"/>
    <w:rsid w:val="00FD62D2"/>
    <w:rsid w:val="00FD62F1"/>
    <w:rsid w:val="00FD6373"/>
    <w:rsid w:val="00FD643C"/>
    <w:rsid w:val="00FD64ED"/>
    <w:rsid w:val="00FD6516"/>
    <w:rsid w:val="00FD6530"/>
    <w:rsid w:val="00FD6701"/>
    <w:rsid w:val="00FD6771"/>
    <w:rsid w:val="00FD6897"/>
    <w:rsid w:val="00FD690E"/>
    <w:rsid w:val="00FD694C"/>
    <w:rsid w:val="00FD69AB"/>
    <w:rsid w:val="00FD69EE"/>
    <w:rsid w:val="00FD6A76"/>
    <w:rsid w:val="00FD6AA5"/>
    <w:rsid w:val="00FD6AAA"/>
    <w:rsid w:val="00FD6B0B"/>
    <w:rsid w:val="00FD6BC3"/>
    <w:rsid w:val="00FD6BD5"/>
    <w:rsid w:val="00FD6C10"/>
    <w:rsid w:val="00FD6C3C"/>
    <w:rsid w:val="00FD6D35"/>
    <w:rsid w:val="00FD6D5D"/>
    <w:rsid w:val="00FD6DB0"/>
    <w:rsid w:val="00FD6E29"/>
    <w:rsid w:val="00FD6E77"/>
    <w:rsid w:val="00FD6F54"/>
    <w:rsid w:val="00FD7048"/>
    <w:rsid w:val="00FD7144"/>
    <w:rsid w:val="00FD722F"/>
    <w:rsid w:val="00FD727E"/>
    <w:rsid w:val="00FD72A4"/>
    <w:rsid w:val="00FD7581"/>
    <w:rsid w:val="00FD76B9"/>
    <w:rsid w:val="00FD7711"/>
    <w:rsid w:val="00FD799C"/>
    <w:rsid w:val="00FD7A8B"/>
    <w:rsid w:val="00FD7B5C"/>
    <w:rsid w:val="00FD7C67"/>
    <w:rsid w:val="00FD7D2C"/>
    <w:rsid w:val="00FD7DA7"/>
    <w:rsid w:val="00FD7DF8"/>
    <w:rsid w:val="00FD7E7D"/>
    <w:rsid w:val="00FD7EA9"/>
    <w:rsid w:val="00FD7FD0"/>
    <w:rsid w:val="00FD7FF1"/>
    <w:rsid w:val="00FD7FF2"/>
    <w:rsid w:val="00FE003F"/>
    <w:rsid w:val="00FE022C"/>
    <w:rsid w:val="00FE0246"/>
    <w:rsid w:val="00FE0400"/>
    <w:rsid w:val="00FE0487"/>
    <w:rsid w:val="00FE08EB"/>
    <w:rsid w:val="00FE08FD"/>
    <w:rsid w:val="00FE090B"/>
    <w:rsid w:val="00FE092C"/>
    <w:rsid w:val="00FE099A"/>
    <w:rsid w:val="00FE0BD8"/>
    <w:rsid w:val="00FE0C7F"/>
    <w:rsid w:val="00FE0D08"/>
    <w:rsid w:val="00FE0D7C"/>
    <w:rsid w:val="00FE0E52"/>
    <w:rsid w:val="00FE0FC0"/>
    <w:rsid w:val="00FE1178"/>
    <w:rsid w:val="00FE1358"/>
    <w:rsid w:val="00FE1372"/>
    <w:rsid w:val="00FE1388"/>
    <w:rsid w:val="00FE1602"/>
    <w:rsid w:val="00FE1682"/>
    <w:rsid w:val="00FE16AD"/>
    <w:rsid w:val="00FE177E"/>
    <w:rsid w:val="00FE18D1"/>
    <w:rsid w:val="00FE1922"/>
    <w:rsid w:val="00FE194E"/>
    <w:rsid w:val="00FE19A2"/>
    <w:rsid w:val="00FE19BE"/>
    <w:rsid w:val="00FE1A33"/>
    <w:rsid w:val="00FE1A8C"/>
    <w:rsid w:val="00FE1E46"/>
    <w:rsid w:val="00FE1F47"/>
    <w:rsid w:val="00FE1FBD"/>
    <w:rsid w:val="00FE2040"/>
    <w:rsid w:val="00FE214E"/>
    <w:rsid w:val="00FE2171"/>
    <w:rsid w:val="00FE2185"/>
    <w:rsid w:val="00FE2256"/>
    <w:rsid w:val="00FE2358"/>
    <w:rsid w:val="00FE2359"/>
    <w:rsid w:val="00FE235F"/>
    <w:rsid w:val="00FE2399"/>
    <w:rsid w:val="00FE2512"/>
    <w:rsid w:val="00FE252D"/>
    <w:rsid w:val="00FE26B5"/>
    <w:rsid w:val="00FE26EA"/>
    <w:rsid w:val="00FE2763"/>
    <w:rsid w:val="00FE28A7"/>
    <w:rsid w:val="00FE296F"/>
    <w:rsid w:val="00FE29B8"/>
    <w:rsid w:val="00FE2AED"/>
    <w:rsid w:val="00FE2BF3"/>
    <w:rsid w:val="00FE2C9E"/>
    <w:rsid w:val="00FE2C9F"/>
    <w:rsid w:val="00FE2EBF"/>
    <w:rsid w:val="00FE300F"/>
    <w:rsid w:val="00FE3061"/>
    <w:rsid w:val="00FE30BD"/>
    <w:rsid w:val="00FE3133"/>
    <w:rsid w:val="00FE33FA"/>
    <w:rsid w:val="00FE340E"/>
    <w:rsid w:val="00FE3454"/>
    <w:rsid w:val="00FE34AC"/>
    <w:rsid w:val="00FE34EC"/>
    <w:rsid w:val="00FE350C"/>
    <w:rsid w:val="00FE3521"/>
    <w:rsid w:val="00FE35D4"/>
    <w:rsid w:val="00FE3701"/>
    <w:rsid w:val="00FE3743"/>
    <w:rsid w:val="00FE3762"/>
    <w:rsid w:val="00FE38F7"/>
    <w:rsid w:val="00FE3A2E"/>
    <w:rsid w:val="00FE3A36"/>
    <w:rsid w:val="00FE3A5B"/>
    <w:rsid w:val="00FE3AB4"/>
    <w:rsid w:val="00FE3AF2"/>
    <w:rsid w:val="00FE3B49"/>
    <w:rsid w:val="00FE3B6C"/>
    <w:rsid w:val="00FE3BA6"/>
    <w:rsid w:val="00FE3C18"/>
    <w:rsid w:val="00FE3C78"/>
    <w:rsid w:val="00FE3D73"/>
    <w:rsid w:val="00FE3DBF"/>
    <w:rsid w:val="00FE3E88"/>
    <w:rsid w:val="00FE403A"/>
    <w:rsid w:val="00FE40BA"/>
    <w:rsid w:val="00FE41A9"/>
    <w:rsid w:val="00FE437D"/>
    <w:rsid w:val="00FE44B9"/>
    <w:rsid w:val="00FE44E3"/>
    <w:rsid w:val="00FE44FA"/>
    <w:rsid w:val="00FE47FE"/>
    <w:rsid w:val="00FE4993"/>
    <w:rsid w:val="00FE49F4"/>
    <w:rsid w:val="00FE4A1F"/>
    <w:rsid w:val="00FE4A22"/>
    <w:rsid w:val="00FE4B79"/>
    <w:rsid w:val="00FE5077"/>
    <w:rsid w:val="00FE52D1"/>
    <w:rsid w:val="00FE52D6"/>
    <w:rsid w:val="00FE537A"/>
    <w:rsid w:val="00FE5384"/>
    <w:rsid w:val="00FE539B"/>
    <w:rsid w:val="00FE54A3"/>
    <w:rsid w:val="00FE5520"/>
    <w:rsid w:val="00FE55AF"/>
    <w:rsid w:val="00FE568F"/>
    <w:rsid w:val="00FE57CA"/>
    <w:rsid w:val="00FE57E1"/>
    <w:rsid w:val="00FE57EC"/>
    <w:rsid w:val="00FE581E"/>
    <w:rsid w:val="00FE5839"/>
    <w:rsid w:val="00FE5919"/>
    <w:rsid w:val="00FE591C"/>
    <w:rsid w:val="00FE59EB"/>
    <w:rsid w:val="00FE5B72"/>
    <w:rsid w:val="00FE5B76"/>
    <w:rsid w:val="00FE5C07"/>
    <w:rsid w:val="00FE5C93"/>
    <w:rsid w:val="00FE5CE4"/>
    <w:rsid w:val="00FE5E17"/>
    <w:rsid w:val="00FE5E76"/>
    <w:rsid w:val="00FE5EA2"/>
    <w:rsid w:val="00FE5F85"/>
    <w:rsid w:val="00FE620E"/>
    <w:rsid w:val="00FE62C1"/>
    <w:rsid w:val="00FE62C3"/>
    <w:rsid w:val="00FE630E"/>
    <w:rsid w:val="00FE64CF"/>
    <w:rsid w:val="00FE64FA"/>
    <w:rsid w:val="00FE6539"/>
    <w:rsid w:val="00FE6731"/>
    <w:rsid w:val="00FE6829"/>
    <w:rsid w:val="00FE68AA"/>
    <w:rsid w:val="00FE68B8"/>
    <w:rsid w:val="00FE68CF"/>
    <w:rsid w:val="00FE6919"/>
    <w:rsid w:val="00FE6A4B"/>
    <w:rsid w:val="00FE6B28"/>
    <w:rsid w:val="00FE6C14"/>
    <w:rsid w:val="00FE6DBA"/>
    <w:rsid w:val="00FE6F6B"/>
    <w:rsid w:val="00FE6F7C"/>
    <w:rsid w:val="00FE709F"/>
    <w:rsid w:val="00FE7141"/>
    <w:rsid w:val="00FE715A"/>
    <w:rsid w:val="00FE71E1"/>
    <w:rsid w:val="00FE71FC"/>
    <w:rsid w:val="00FE72C6"/>
    <w:rsid w:val="00FE740C"/>
    <w:rsid w:val="00FE746F"/>
    <w:rsid w:val="00FE74F3"/>
    <w:rsid w:val="00FE7720"/>
    <w:rsid w:val="00FE782F"/>
    <w:rsid w:val="00FE79B2"/>
    <w:rsid w:val="00FE7AAC"/>
    <w:rsid w:val="00FE7C34"/>
    <w:rsid w:val="00FE7C77"/>
    <w:rsid w:val="00FE7CB8"/>
    <w:rsid w:val="00FE7CD5"/>
    <w:rsid w:val="00FE7D37"/>
    <w:rsid w:val="00FE7D48"/>
    <w:rsid w:val="00FE7E4D"/>
    <w:rsid w:val="00FE7F5C"/>
    <w:rsid w:val="00FE7F7B"/>
    <w:rsid w:val="00FE7F84"/>
    <w:rsid w:val="00FF01BE"/>
    <w:rsid w:val="00FF0220"/>
    <w:rsid w:val="00FF0243"/>
    <w:rsid w:val="00FF0285"/>
    <w:rsid w:val="00FF031D"/>
    <w:rsid w:val="00FF0371"/>
    <w:rsid w:val="00FF040E"/>
    <w:rsid w:val="00FF0428"/>
    <w:rsid w:val="00FF045A"/>
    <w:rsid w:val="00FF04E5"/>
    <w:rsid w:val="00FF053D"/>
    <w:rsid w:val="00FF0552"/>
    <w:rsid w:val="00FF05E7"/>
    <w:rsid w:val="00FF05F3"/>
    <w:rsid w:val="00FF065E"/>
    <w:rsid w:val="00FF0774"/>
    <w:rsid w:val="00FF085E"/>
    <w:rsid w:val="00FF0928"/>
    <w:rsid w:val="00FF09E9"/>
    <w:rsid w:val="00FF0B5B"/>
    <w:rsid w:val="00FF0B69"/>
    <w:rsid w:val="00FF0BA5"/>
    <w:rsid w:val="00FF0C0B"/>
    <w:rsid w:val="00FF0CCC"/>
    <w:rsid w:val="00FF0CDE"/>
    <w:rsid w:val="00FF0E15"/>
    <w:rsid w:val="00FF0E1C"/>
    <w:rsid w:val="00FF0E2E"/>
    <w:rsid w:val="00FF0ED0"/>
    <w:rsid w:val="00FF0F22"/>
    <w:rsid w:val="00FF0F66"/>
    <w:rsid w:val="00FF0F9E"/>
    <w:rsid w:val="00FF10C9"/>
    <w:rsid w:val="00FF114C"/>
    <w:rsid w:val="00FF11CF"/>
    <w:rsid w:val="00FF11E3"/>
    <w:rsid w:val="00FF12ED"/>
    <w:rsid w:val="00FF1353"/>
    <w:rsid w:val="00FF13E7"/>
    <w:rsid w:val="00FF14AD"/>
    <w:rsid w:val="00FF163D"/>
    <w:rsid w:val="00FF16EC"/>
    <w:rsid w:val="00FF174E"/>
    <w:rsid w:val="00FF18D7"/>
    <w:rsid w:val="00FF18F5"/>
    <w:rsid w:val="00FF190A"/>
    <w:rsid w:val="00FF193D"/>
    <w:rsid w:val="00FF1EC0"/>
    <w:rsid w:val="00FF2132"/>
    <w:rsid w:val="00FF2350"/>
    <w:rsid w:val="00FF24A7"/>
    <w:rsid w:val="00FF26DA"/>
    <w:rsid w:val="00FF26F8"/>
    <w:rsid w:val="00FF2757"/>
    <w:rsid w:val="00FF2762"/>
    <w:rsid w:val="00FF2840"/>
    <w:rsid w:val="00FF2853"/>
    <w:rsid w:val="00FF2992"/>
    <w:rsid w:val="00FF29B5"/>
    <w:rsid w:val="00FF2B03"/>
    <w:rsid w:val="00FF2B33"/>
    <w:rsid w:val="00FF2BB1"/>
    <w:rsid w:val="00FF2BD7"/>
    <w:rsid w:val="00FF2C26"/>
    <w:rsid w:val="00FF2C2C"/>
    <w:rsid w:val="00FF2CEA"/>
    <w:rsid w:val="00FF2DE1"/>
    <w:rsid w:val="00FF2E6C"/>
    <w:rsid w:val="00FF2EA7"/>
    <w:rsid w:val="00FF2F19"/>
    <w:rsid w:val="00FF306F"/>
    <w:rsid w:val="00FF31B5"/>
    <w:rsid w:val="00FF323D"/>
    <w:rsid w:val="00FF323E"/>
    <w:rsid w:val="00FF32BC"/>
    <w:rsid w:val="00FF35AA"/>
    <w:rsid w:val="00FF368E"/>
    <w:rsid w:val="00FF38B7"/>
    <w:rsid w:val="00FF38D1"/>
    <w:rsid w:val="00FF396A"/>
    <w:rsid w:val="00FF39C2"/>
    <w:rsid w:val="00FF39DD"/>
    <w:rsid w:val="00FF3A19"/>
    <w:rsid w:val="00FF3A9D"/>
    <w:rsid w:val="00FF3AD5"/>
    <w:rsid w:val="00FF3B9D"/>
    <w:rsid w:val="00FF3C1D"/>
    <w:rsid w:val="00FF3C63"/>
    <w:rsid w:val="00FF3CC2"/>
    <w:rsid w:val="00FF3DCA"/>
    <w:rsid w:val="00FF3E28"/>
    <w:rsid w:val="00FF3F01"/>
    <w:rsid w:val="00FF3F16"/>
    <w:rsid w:val="00FF3FB3"/>
    <w:rsid w:val="00FF4034"/>
    <w:rsid w:val="00FF404D"/>
    <w:rsid w:val="00FF40F5"/>
    <w:rsid w:val="00FF412E"/>
    <w:rsid w:val="00FF418B"/>
    <w:rsid w:val="00FF41DB"/>
    <w:rsid w:val="00FF426B"/>
    <w:rsid w:val="00FF42F0"/>
    <w:rsid w:val="00FF4533"/>
    <w:rsid w:val="00FF4588"/>
    <w:rsid w:val="00FF45A2"/>
    <w:rsid w:val="00FF479E"/>
    <w:rsid w:val="00FF47AA"/>
    <w:rsid w:val="00FF4996"/>
    <w:rsid w:val="00FF49AB"/>
    <w:rsid w:val="00FF4A6F"/>
    <w:rsid w:val="00FF4B38"/>
    <w:rsid w:val="00FF4BD9"/>
    <w:rsid w:val="00FF4BFB"/>
    <w:rsid w:val="00FF4C29"/>
    <w:rsid w:val="00FF4CC0"/>
    <w:rsid w:val="00FF4E1B"/>
    <w:rsid w:val="00FF4E1D"/>
    <w:rsid w:val="00FF4EC5"/>
    <w:rsid w:val="00FF4F17"/>
    <w:rsid w:val="00FF4F1C"/>
    <w:rsid w:val="00FF4F53"/>
    <w:rsid w:val="00FF4F85"/>
    <w:rsid w:val="00FF5070"/>
    <w:rsid w:val="00FF5089"/>
    <w:rsid w:val="00FF5121"/>
    <w:rsid w:val="00FF5160"/>
    <w:rsid w:val="00FF5165"/>
    <w:rsid w:val="00FF518F"/>
    <w:rsid w:val="00FF5219"/>
    <w:rsid w:val="00FF5228"/>
    <w:rsid w:val="00FF5317"/>
    <w:rsid w:val="00FF5384"/>
    <w:rsid w:val="00FF53A8"/>
    <w:rsid w:val="00FF548F"/>
    <w:rsid w:val="00FF5491"/>
    <w:rsid w:val="00FF5639"/>
    <w:rsid w:val="00FF5771"/>
    <w:rsid w:val="00FF599B"/>
    <w:rsid w:val="00FF59BE"/>
    <w:rsid w:val="00FF5AF0"/>
    <w:rsid w:val="00FF5B27"/>
    <w:rsid w:val="00FF5BA8"/>
    <w:rsid w:val="00FF5C5F"/>
    <w:rsid w:val="00FF5CE1"/>
    <w:rsid w:val="00FF5CEC"/>
    <w:rsid w:val="00FF5D75"/>
    <w:rsid w:val="00FF5DDA"/>
    <w:rsid w:val="00FF5EBC"/>
    <w:rsid w:val="00FF6062"/>
    <w:rsid w:val="00FF609D"/>
    <w:rsid w:val="00FF60AF"/>
    <w:rsid w:val="00FF60B5"/>
    <w:rsid w:val="00FF6172"/>
    <w:rsid w:val="00FF62CE"/>
    <w:rsid w:val="00FF6308"/>
    <w:rsid w:val="00FF6396"/>
    <w:rsid w:val="00FF63FA"/>
    <w:rsid w:val="00FF65A7"/>
    <w:rsid w:val="00FF662B"/>
    <w:rsid w:val="00FF66C2"/>
    <w:rsid w:val="00FF67E7"/>
    <w:rsid w:val="00FF6BD8"/>
    <w:rsid w:val="00FF6C28"/>
    <w:rsid w:val="00FF6CED"/>
    <w:rsid w:val="00FF6DB7"/>
    <w:rsid w:val="00FF6E37"/>
    <w:rsid w:val="00FF6EDA"/>
    <w:rsid w:val="00FF6F30"/>
    <w:rsid w:val="00FF6F80"/>
    <w:rsid w:val="00FF7249"/>
    <w:rsid w:val="00FF75F6"/>
    <w:rsid w:val="00FF762B"/>
    <w:rsid w:val="00FF7879"/>
    <w:rsid w:val="00FF7998"/>
    <w:rsid w:val="00FF79A5"/>
    <w:rsid w:val="00FF7A44"/>
    <w:rsid w:val="00FF7AF3"/>
    <w:rsid w:val="00FF7B26"/>
    <w:rsid w:val="00FF7C57"/>
    <w:rsid w:val="00FF7D4A"/>
    <w:rsid w:val="00FF7D89"/>
    <w:rsid w:val="00FF7DBE"/>
    <w:rsid w:val="00FF7ED1"/>
    <w:rsid w:val="00FF7F8D"/>
    <w:rsid w:val="01096BE1"/>
    <w:rsid w:val="010D6F53"/>
    <w:rsid w:val="0120B932"/>
    <w:rsid w:val="018ADE67"/>
    <w:rsid w:val="01960FC6"/>
    <w:rsid w:val="02612701"/>
    <w:rsid w:val="02C1CA61"/>
    <w:rsid w:val="030D7EAB"/>
    <w:rsid w:val="0315EE75"/>
    <w:rsid w:val="0332525D"/>
    <w:rsid w:val="03372ABE"/>
    <w:rsid w:val="03EA0A17"/>
    <w:rsid w:val="040CE75D"/>
    <w:rsid w:val="0423A3D4"/>
    <w:rsid w:val="0460AD84"/>
    <w:rsid w:val="04A228CF"/>
    <w:rsid w:val="04C16C30"/>
    <w:rsid w:val="04D98FFF"/>
    <w:rsid w:val="054AE298"/>
    <w:rsid w:val="05BD60E4"/>
    <w:rsid w:val="06584737"/>
    <w:rsid w:val="065B1E04"/>
    <w:rsid w:val="06C361FD"/>
    <w:rsid w:val="07592F0C"/>
    <w:rsid w:val="07664B1D"/>
    <w:rsid w:val="07775AA0"/>
    <w:rsid w:val="077A9918"/>
    <w:rsid w:val="07A0F4F4"/>
    <w:rsid w:val="07B160E5"/>
    <w:rsid w:val="0851D090"/>
    <w:rsid w:val="08575FCF"/>
    <w:rsid w:val="086EACA2"/>
    <w:rsid w:val="08809D5D"/>
    <w:rsid w:val="0897FCA6"/>
    <w:rsid w:val="09047E35"/>
    <w:rsid w:val="094AEE01"/>
    <w:rsid w:val="09531A5A"/>
    <w:rsid w:val="0962AE36"/>
    <w:rsid w:val="0A4D0DD8"/>
    <w:rsid w:val="0AC0582D"/>
    <w:rsid w:val="0AC47236"/>
    <w:rsid w:val="0ACF3028"/>
    <w:rsid w:val="0AF51DEF"/>
    <w:rsid w:val="0BA53A04"/>
    <w:rsid w:val="0BC0C617"/>
    <w:rsid w:val="0C169338"/>
    <w:rsid w:val="0C68D1DA"/>
    <w:rsid w:val="0CFAE6B0"/>
    <w:rsid w:val="0CFC3233"/>
    <w:rsid w:val="0D224C0B"/>
    <w:rsid w:val="0D4EBDB7"/>
    <w:rsid w:val="0DB3D9BB"/>
    <w:rsid w:val="0DE4AA0A"/>
    <w:rsid w:val="0DEEB2DE"/>
    <w:rsid w:val="0E1BFF79"/>
    <w:rsid w:val="0E44871F"/>
    <w:rsid w:val="0EC7551B"/>
    <w:rsid w:val="0EE2F489"/>
    <w:rsid w:val="0EE4C034"/>
    <w:rsid w:val="0EFF3C3A"/>
    <w:rsid w:val="0F0F34DE"/>
    <w:rsid w:val="0F1A6B0F"/>
    <w:rsid w:val="0F1CA1FE"/>
    <w:rsid w:val="0F3BB14E"/>
    <w:rsid w:val="0F93A181"/>
    <w:rsid w:val="0F98C52C"/>
    <w:rsid w:val="0FE52073"/>
    <w:rsid w:val="0FF4AE34"/>
    <w:rsid w:val="10760D06"/>
    <w:rsid w:val="10DB6AF5"/>
    <w:rsid w:val="10F189D6"/>
    <w:rsid w:val="112BC5CC"/>
    <w:rsid w:val="116CB490"/>
    <w:rsid w:val="1196D673"/>
    <w:rsid w:val="120611C1"/>
    <w:rsid w:val="120C909A"/>
    <w:rsid w:val="12F45786"/>
    <w:rsid w:val="13E106D5"/>
    <w:rsid w:val="141AEFBE"/>
    <w:rsid w:val="14508A82"/>
    <w:rsid w:val="148A06F1"/>
    <w:rsid w:val="14B73234"/>
    <w:rsid w:val="14C05DBE"/>
    <w:rsid w:val="14F97969"/>
    <w:rsid w:val="152D7447"/>
    <w:rsid w:val="15C202F7"/>
    <w:rsid w:val="15EDAFFB"/>
    <w:rsid w:val="15FF3477"/>
    <w:rsid w:val="1610E377"/>
    <w:rsid w:val="167F6E78"/>
    <w:rsid w:val="16AB8359"/>
    <w:rsid w:val="16ADF236"/>
    <w:rsid w:val="16B5EA71"/>
    <w:rsid w:val="16E4248A"/>
    <w:rsid w:val="1702B739"/>
    <w:rsid w:val="1711C3FD"/>
    <w:rsid w:val="17FE927F"/>
    <w:rsid w:val="180A2C07"/>
    <w:rsid w:val="1831BE15"/>
    <w:rsid w:val="185BCA0D"/>
    <w:rsid w:val="1875C26C"/>
    <w:rsid w:val="1884A5A8"/>
    <w:rsid w:val="19361AFA"/>
    <w:rsid w:val="1976B692"/>
    <w:rsid w:val="199B5612"/>
    <w:rsid w:val="19E5DD54"/>
    <w:rsid w:val="1A491557"/>
    <w:rsid w:val="1AA8B38E"/>
    <w:rsid w:val="1AD48CB3"/>
    <w:rsid w:val="1AEF876D"/>
    <w:rsid w:val="1B1CDA7A"/>
    <w:rsid w:val="1B58B1EF"/>
    <w:rsid w:val="1B7F2284"/>
    <w:rsid w:val="1B9B5CB0"/>
    <w:rsid w:val="1BCBA02F"/>
    <w:rsid w:val="1C0626FB"/>
    <w:rsid w:val="1C37A907"/>
    <w:rsid w:val="1C56DBC6"/>
    <w:rsid w:val="1CCFDC14"/>
    <w:rsid w:val="1CD52B46"/>
    <w:rsid w:val="1CD81AF2"/>
    <w:rsid w:val="1D613E47"/>
    <w:rsid w:val="1D71CEDB"/>
    <w:rsid w:val="1D93C5F6"/>
    <w:rsid w:val="1DE6AAB8"/>
    <w:rsid w:val="1E56C21F"/>
    <w:rsid w:val="1E8FEC98"/>
    <w:rsid w:val="1E99AF04"/>
    <w:rsid w:val="1F6C8F8C"/>
    <w:rsid w:val="1F700E59"/>
    <w:rsid w:val="1F73F5B8"/>
    <w:rsid w:val="1FCFBCE6"/>
    <w:rsid w:val="202670DF"/>
    <w:rsid w:val="20BFD2FD"/>
    <w:rsid w:val="20E8681F"/>
    <w:rsid w:val="20F82831"/>
    <w:rsid w:val="21CD755E"/>
    <w:rsid w:val="21E0272B"/>
    <w:rsid w:val="2203E95C"/>
    <w:rsid w:val="221748D4"/>
    <w:rsid w:val="2255C6FD"/>
    <w:rsid w:val="22E7851D"/>
    <w:rsid w:val="2308179F"/>
    <w:rsid w:val="2317399A"/>
    <w:rsid w:val="237B55F2"/>
    <w:rsid w:val="241F4F24"/>
    <w:rsid w:val="2564A475"/>
    <w:rsid w:val="257AE78C"/>
    <w:rsid w:val="25960DCF"/>
    <w:rsid w:val="25B81513"/>
    <w:rsid w:val="25C52D84"/>
    <w:rsid w:val="25EB7100"/>
    <w:rsid w:val="25EE3F01"/>
    <w:rsid w:val="260A7CBE"/>
    <w:rsid w:val="2645CD93"/>
    <w:rsid w:val="2650D74F"/>
    <w:rsid w:val="26579D3A"/>
    <w:rsid w:val="26A729C1"/>
    <w:rsid w:val="26BAFD9A"/>
    <w:rsid w:val="26CCC7A1"/>
    <w:rsid w:val="27076724"/>
    <w:rsid w:val="2746749D"/>
    <w:rsid w:val="27579CAE"/>
    <w:rsid w:val="27BAAF3E"/>
    <w:rsid w:val="2801BEF7"/>
    <w:rsid w:val="281DBD57"/>
    <w:rsid w:val="28D4A628"/>
    <w:rsid w:val="2937286B"/>
    <w:rsid w:val="2950857D"/>
    <w:rsid w:val="297BCDD0"/>
    <w:rsid w:val="298B028B"/>
    <w:rsid w:val="29D0BDD2"/>
    <w:rsid w:val="29FDAD35"/>
    <w:rsid w:val="2A9341E8"/>
    <w:rsid w:val="2B58794A"/>
    <w:rsid w:val="2B6C1E4F"/>
    <w:rsid w:val="2B6E10BA"/>
    <w:rsid w:val="2B71EEFB"/>
    <w:rsid w:val="2B813358"/>
    <w:rsid w:val="2BB56614"/>
    <w:rsid w:val="2C231097"/>
    <w:rsid w:val="2C4E498F"/>
    <w:rsid w:val="2C6D56DD"/>
    <w:rsid w:val="2CC397D8"/>
    <w:rsid w:val="2CE96C92"/>
    <w:rsid w:val="2D748D24"/>
    <w:rsid w:val="2DED6C62"/>
    <w:rsid w:val="2E1F3909"/>
    <w:rsid w:val="2E44FFE8"/>
    <w:rsid w:val="2E48D80B"/>
    <w:rsid w:val="2EDB51AB"/>
    <w:rsid w:val="2EDB5548"/>
    <w:rsid w:val="2F1AC4F1"/>
    <w:rsid w:val="306DCE34"/>
    <w:rsid w:val="31047707"/>
    <w:rsid w:val="311D8347"/>
    <w:rsid w:val="311DF750"/>
    <w:rsid w:val="31725BF9"/>
    <w:rsid w:val="31998076"/>
    <w:rsid w:val="31DAAFAE"/>
    <w:rsid w:val="3286DBD5"/>
    <w:rsid w:val="335CA820"/>
    <w:rsid w:val="34833E35"/>
    <w:rsid w:val="34F09435"/>
    <w:rsid w:val="34F74815"/>
    <w:rsid w:val="351873EF"/>
    <w:rsid w:val="3551584D"/>
    <w:rsid w:val="356A7EC8"/>
    <w:rsid w:val="358B33F1"/>
    <w:rsid w:val="359CB1FA"/>
    <w:rsid w:val="35D39397"/>
    <w:rsid w:val="364FC29F"/>
    <w:rsid w:val="36AF2DD6"/>
    <w:rsid w:val="36E89D8D"/>
    <w:rsid w:val="37093452"/>
    <w:rsid w:val="377410B6"/>
    <w:rsid w:val="383DC9F0"/>
    <w:rsid w:val="388EF3E6"/>
    <w:rsid w:val="38A6E2AF"/>
    <w:rsid w:val="39095932"/>
    <w:rsid w:val="39DC1CA4"/>
    <w:rsid w:val="3A138B8C"/>
    <w:rsid w:val="3A2B17C4"/>
    <w:rsid w:val="3A3B5C09"/>
    <w:rsid w:val="3A52B060"/>
    <w:rsid w:val="3A5CB938"/>
    <w:rsid w:val="3A9BFF7B"/>
    <w:rsid w:val="3ABF7D34"/>
    <w:rsid w:val="3AD1C381"/>
    <w:rsid w:val="3B1BDEF8"/>
    <w:rsid w:val="3B62BE31"/>
    <w:rsid w:val="3BC2FAA9"/>
    <w:rsid w:val="3BCED312"/>
    <w:rsid w:val="3BFE302C"/>
    <w:rsid w:val="3C49BA34"/>
    <w:rsid w:val="3C77654F"/>
    <w:rsid w:val="3D4598E0"/>
    <w:rsid w:val="3D4783F2"/>
    <w:rsid w:val="3D5E335C"/>
    <w:rsid w:val="3DA0F3C0"/>
    <w:rsid w:val="3DB6B75D"/>
    <w:rsid w:val="3E5C286B"/>
    <w:rsid w:val="3E64A0A7"/>
    <w:rsid w:val="3E6A1F46"/>
    <w:rsid w:val="3EA7617C"/>
    <w:rsid w:val="3EBA7BC4"/>
    <w:rsid w:val="3F2C5CAF"/>
    <w:rsid w:val="3F7DC242"/>
    <w:rsid w:val="3FC30027"/>
    <w:rsid w:val="402E2E81"/>
    <w:rsid w:val="4081B274"/>
    <w:rsid w:val="408468F3"/>
    <w:rsid w:val="409E9DE4"/>
    <w:rsid w:val="40AA77AD"/>
    <w:rsid w:val="4128AAC6"/>
    <w:rsid w:val="41BD9CC5"/>
    <w:rsid w:val="41DA5E58"/>
    <w:rsid w:val="41E17534"/>
    <w:rsid w:val="42A3E9B9"/>
    <w:rsid w:val="43060562"/>
    <w:rsid w:val="434C1B7F"/>
    <w:rsid w:val="4417A176"/>
    <w:rsid w:val="4492906C"/>
    <w:rsid w:val="44B1FECC"/>
    <w:rsid w:val="44C15E76"/>
    <w:rsid w:val="44F18FA4"/>
    <w:rsid w:val="45373029"/>
    <w:rsid w:val="4557FEEA"/>
    <w:rsid w:val="457F58ED"/>
    <w:rsid w:val="45849FA1"/>
    <w:rsid w:val="4597FC7A"/>
    <w:rsid w:val="45A4EE57"/>
    <w:rsid w:val="45AEE0FF"/>
    <w:rsid w:val="45C88F34"/>
    <w:rsid w:val="45F084FE"/>
    <w:rsid w:val="46380C26"/>
    <w:rsid w:val="466130AB"/>
    <w:rsid w:val="468D3416"/>
    <w:rsid w:val="468DF921"/>
    <w:rsid w:val="468F5046"/>
    <w:rsid w:val="46A7A12B"/>
    <w:rsid w:val="46BEF889"/>
    <w:rsid w:val="46CEAE94"/>
    <w:rsid w:val="46E33F10"/>
    <w:rsid w:val="475AB6A0"/>
    <w:rsid w:val="477E414B"/>
    <w:rsid w:val="4788F1A3"/>
    <w:rsid w:val="47AD7BC5"/>
    <w:rsid w:val="47B8A579"/>
    <w:rsid w:val="47DE5A71"/>
    <w:rsid w:val="4808B958"/>
    <w:rsid w:val="481E7103"/>
    <w:rsid w:val="48C46174"/>
    <w:rsid w:val="48E1612E"/>
    <w:rsid w:val="4955BA23"/>
    <w:rsid w:val="49D61552"/>
    <w:rsid w:val="49DDD402"/>
    <w:rsid w:val="4A0D9A6B"/>
    <w:rsid w:val="4A3D4D19"/>
    <w:rsid w:val="4A45CDD5"/>
    <w:rsid w:val="4A496BDE"/>
    <w:rsid w:val="4ADD1F9A"/>
    <w:rsid w:val="4B5D399C"/>
    <w:rsid w:val="4B99494C"/>
    <w:rsid w:val="4C28F037"/>
    <w:rsid w:val="4CAC3918"/>
    <w:rsid w:val="4CDB9E26"/>
    <w:rsid w:val="4CE52B22"/>
    <w:rsid w:val="4D4496B0"/>
    <w:rsid w:val="4D5CE56F"/>
    <w:rsid w:val="4D7A8DA6"/>
    <w:rsid w:val="4DE810BE"/>
    <w:rsid w:val="4E3EAE02"/>
    <w:rsid w:val="4EE1977F"/>
    <w:rsid w:val="4F062C72"/>
    <w:rsid w:val="4FC5CA3D"/>
    <w:rsid w:val="5041BE57"/>
    <w:rsid w:val="505BD5FD"/>
    <w:rsid w:val="50B32686"/>
    <w:rsid w:val="50CE8328"/>
    <w:rsid w:val="5145E1AD"/>
    <w:rsid w:val="517AA7A9"/>
    <w:rsid w:val="51DE840C"/>
    <w:rsid w:val="526A5DBB"/>
    <w:rsid w:val="527A6717"/>
    <w:rsid w:val="527EF143"/>
    <w:rsid w:val="53BE3C01"/>
    <w:rsid w:val="53F489BB"/>
    <w:rsid w:val="545D8592"/>
    <w:rsid w:val="5476E802"/>
    <w:rsid w:val="54AF0103"/>
    <w:rsid w:val="54C6D0A2"/>
    <w:rsid w:val="554E127B"/>
    <w:rsid w:val="55C8F4E8"/>
    <w:rsid w:val="55CAFB1C"/>
    <w:rsid w:val="55F1428D"/>
    <w:rsid w:val="562A831D"/>
    <w:rsid w:val="5677EDC9"/>
    <w:rsid w:val="5686E59B"/>
    <w:rsid w:val="56BCBC0C"/>
    <w:rsid w:val="57483C57"/>
    <w:rsid w:val="579802D8"/>
    <w:rsid w:val="5802E64A"/>
    <w:rsid w:val="5855A69A"/>
    <w:rsid w:val="5880AD59"/>
    <w:rsid w:val="588C63AB"/>
    <w:rsid w:val="58A31130"/>
    <w:rsid w:val="58C3E07E"/>
    <w:rsid w:val="591ED675"/>
    <w:rsid w:val="592553CA"/>
    <w:rsid w:val="59A1A704"/>
    <w:rsid w:val="59BD6804"/>
    <w:rsid w:val="59EB02AA"/>
    <w:rsid w:val="59FB4DAC"/>
    <w:rsid w:val="5A1B7A7A"/>
    <w:rsid w:val="5ACDB55B"/>
    <w:rsid w:val="5AD3B373"/>
    <w:rsid w:val="5B6CAAC9"/>
    <w:rsid w:val="5B7138C7"/>
    <w:rsid w:val="5BD186A3"/>
    <w:rsid w:val="5BD99F9C"/>
    <w:rsid w:val="5BE84D46"/>
    <w:rsid w:val="5BFF03C1"/>
    <w:rsid w:val="5C6DC820"/>
    <w:rsid w:val="5C9B3A13"/>
    <w:rsid w:val="5D6B185A"/>
    <w:rsid w:val="5D90B031"/>
    <w:rsid w:val="5D9BB514"/>
    <w:rsid w:val="5DDF657F"/>
    <w:rsid w:val="5DEC0205"/>
    <w:rsid w:val="5DF624BB"/>
    <w:rsid w:val="5E9761FB"/>
    <w:rsid w:val="5F2508F0"/>
    <w:rsid w:val="5F4278E2"/>
    <w:rsid w:val="5FA40B1C"/>
    <w:rsid w:val="5FC1F72F"/>
    <w:rsid w:val="604F72F1"/>
    <w:rsid w:val="60579546"/>
    <w:rsid w:val="6069CC0E"/>
    <w:rsid w:val="608B81E6"/>
    <w:rsid w:val="6126BA64"/>
    <w:rsid w:val="615FAE21"/>
    <w:rsid w:val="61C2C23B"/>
    <w:rsid w:val="6222CADF"/>
    <w:rsid w:val="628BC457"/>
    <w:rsid w:val="62EA320B"/>
    <w:rsid w:val="63F25E49"/>
    <w:rsid w:val="64CED6B9"/>
    <w:rsid w:val="65A22D11"/>
    <w:rsid w:val="65FA2992"/>
    <w:rsid w:val="664A806E"/>
    <w:rsid w:val="6671E97D"/>
    <w:rsid w:val="66E1ECFF"/>
    <w:rsid w:val="66E73ACF"/>
    <w:rsid w:val="6846E729"/>
    <w:rsid w:val="685E8B4E"/>
    <w:rsid w:val="68B1A9D7"/>
    <w:rsid w:val="68EBF4FB"/>
    <w:rsid w:val="6A419931"/>
    <w:rsid w:val="6A9DC7A3"/>
    <w:rsid w:val="6B142C16"/>
    <w:rsid w:val="6B6BDD57"/>
    <w:rsid w:val="6D1C00AF"/>
    <w:rsid w:val="6D1D8DF5"/>
    <w:rsid w:val="6D242697"/>
    <w:rsid w:val="6D6FD9E3"/>
    <w:rsid w:val="6D78949A"/>
    <w:rsid w:val="6DE52ED1"/>
    <w:rsid w:val="6E3549B4"/>
    <w:rsid w:val="6E89502D"/>
    <w:rsid w:val="6EFD50E7"/>
    <w:rsid w:val="6F3A05ED"/>
    <w:rsid w:val="700D157D"/>
    <w:rsid w:val="70304D37"/>
    <w:rsid w:val="7080A10A"/>
    <w:rsid w:val="70D72B1E"/>
    <w:rsid w:val="71A6A026"/>
    <w:rsid w:val="71BC8F69"/>
    <w:rsid w:val="71F75BEA"/>
    <w:rsid w:val="7239DEE5"/>
    <w:rsid w:val="72ADBBE3"/>
    <w:rsid w:val="72B17902"/>
    <w:rsid w:val="72DC67AA"/>
    <w:rsid w:val="72F290A7"/>
    <w:rsid w:val="72F78A19"/>
    <w:rsid w:val="7324425F"/>
    <w:rsid w:val="7355FE27"/>
    <w:rsid w:val="73A5584A"/>
    <w:rsid w:val="74391DBF"/>
    <w:rsid w:val="746EE34C"/>
    <w:rsid w:val="749C8FE9"/>
    <w:rsid w:val="750B8E30"/>
    <w:rsid w:val="750CA9E5"/>
    <w:rsid w:val="758B61FD"/>
    <w:rsid w:val="75BC2558"/>
    <w:rsid w:val="75BCF95F"/>
    <w:rsid w:val="75CE40D8"/>
    <w:rsid w:val="75E8D6EC"/>
    <w:rsid w:val="75FF60F8"/>
    <w:rsid w:val="76063DED"/>
    <w:rsid w:val="761540BE"/>
    <w:rsid w:val="765D9977"/>
    <w:rsid w:val="76762529"/>
    <w:rsid w:val="76AE8E0E"/>
    <w:rsid w:val="76DA329C"/>
    <w:rsid w:val="76F72B81"/>
    <w:rsid w:val="770A16B6"/>
    <w:rsid w:val="77AB0719"/>
    <w:rsid w:val="782B11F4"/>
    <w:rsid w:val="782DAB6B"/>
    <w:rsid w:val="78316080"/>
    <w:rsid w:val="7831D8FB"/>
    <w:rsid w:val="785B33F4"/>
    <w:rsid w:val="7866AC58"/>
    <w:rsid w:val="788D9A00"/>
    <w:rsid w:val="78B42586"/>
    <w:rsid w:val="78DB6FBC"/>
    <w:rsid w:val="79326212"/>
    <w:rsid w:val="79644795"/>
    <w:rsid w:val="7983533A"/>
    <w:rsid w:val="799CF531"/>
    <w:rsid w:val="79C781FC"/>
    <w:rsid w:val="79CBE33F"/>
    <w:rsid w:val="7A039833"/>
    <w:rsid w:val="7A114AF3"/>
    <w:rsid w:val="7A5BDEB6"/>
    <w:rsid w:val="7A8A407B"/>
    <w:rsid w:val="7AA6B0A8"/>
    <w:rsid w:val="7BC199D5"/>
    <w:rsid w:val="7BF1DA56"/>
    <w:rsid w:val="7C18D81D"/>
    <w:rsid w:val="7C74DA42"/>
    <w:rsid w:val="7CA7F076"/>
    <w:rsid w:val="7CC62482"/>
    <w:rsid w:val="7D13C3D6"/>
    <w:rsid w:val="7D5D0556"/>
    <w:rsid w:val="7DABB73C"/>
    <w:rsid w:val="7DC34CA9"/>
    <w:rsid w:val="7EF22347"/>
    <w:rsid w:val="7EF40F2C"/>
    <w:rsid w:val="7F03C665"/>
    <w:rsid w:val="7F1263E4"/>
    <w:rsid w:val="7F87FDC7"/>
    <w:rsid w:val="7F88E7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3D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1C0"/>
    <w:pPr>
      <w:spacing w:before="120" w:after="160" w:line="259" w:lineRule="auto"/>
    </w:pPr>
    <w:rPr>
      <w:rFonts w:ascii="Franklin Gothic Book" w:eastAsia="Times New Roman" w:hAnsi="Franklin Gothic Book"/>
      <w:sz w:val="22"/>
      <w:szCs w:val="22"/>
      <w:lang w:eastAsia="ja-JP"/>
    </w:rPr>
  </w:style>
  <w:style w:type="paragraph" w:styleId="Heading1">
    <w:name w:val="heading 1"/>
    <w:next w:val="BodyText"/>
    <w:link w:val="Heading1Char"/>
    <w:uiPriority w:val="9"/>
    <w:qFormat/>
    <w:rsid w:val="00974682"/>
    <w:pPr>
      <w:keepNext/>
      <w:pageBreakBefore/>
      <w:pBdr>
        <w:bottom w:val="single" w:sz="4" w:space="1" w:color="auto"/>
      </w:pBdr>
      <w:tabs>
        <w:tab w:val="left" w:pos="2410"/>
      </w:tabs>
      <w:spacing w:before="600" w:after="480"/>
      <w:outlineLvl w:val="0"/>
    </w:pPr>
    <w:rPr>
      <w:rFonts w:ascii="Franklin Gothic Medium" w:eastAsia="Times New Roman" w:hAnsi="Franklin Gothic Medium"/>
      <w:bCs/>
      <w:sz w:val="44"/>
      <w:szCs w:val="36"/>
      <w:lang w:eastAsia="ja-JP"/>
    </w:rPr>
  </w:style>
  <w:style w:type="paragraph" w:styleId="Heading2">
    <w:name w:val="heading 2"/>
    <w:next w:val="BodyText"/>
    <w:link w:val="Heading2Char"/>
    <w:uiPriority w:val="9"/>
    <w:unhideWhenUsed/>
    <w:qFormat/>
    <w:rsid w:val="00974682"/>
    <w:pPr>
      <w:keepNext/>
      <w:keepLines/>
      <w:numPr>
        <w:ilvl w:val="1"/>
        <w:numId w:val="2"/>
      </w:numPr>
      <w:tabs>
        <w:tab w:val="left" w:pos="851"/>
      </w:tabs>
      <w:spacing w:before="360" w:after="240"/>
      <w:ind w:left="851" w:hanging="851"/>
      <w:outlineLvl w:val="1"/>
    </w:pPr>
    <w:rPr>
      <w:rFonts w:ascii="Franklin Gothic Medium" w:eastAsia="Times New Roman" w:hAnsi="Franklin Gothic Medium"/>
      <w:bCs/>
      <w:sz w:val="32"/>
      <w:szCs w:val="28"/>
      <w:lang w:eastAsia="ja-JP"/>
    </w:rPr>
  </w:style>
  <w:style w:type="paragraph" w:styleId="Heading3">
    <w:name w:val="heading 3"/>
    <w:next w:val="BodyText"/>
    <w:link w:val="Heading3Char"/>
    <w:uiPriority w:val="9"/>
    <w:unhideWhenUsed/>
    <w:qFormat/>
    <w:rsid w:val="00BE5341"/>
    <w:pPr>
      <w:keepNext/>
      <w:keepLines/>
      <w:numPr>
        <w:ilvl w:val="2"/>
        <w:numId w:val="2"/>
      </w:numPr>
      <w:tabs>
        <w:tab w:val="left" w:pos="851"/>
      </w:tabs>
      <w:spacing w:before="360" w:after="200"/>
      <w:outlineLvl w:val="2"/>
    </w:pPr>
    <w:rPr>
      <w:rFonts w:ascii="Franklin Gothic Medium" w:eastAsia="Times New Roman" w:hAnsi="Franklin Gothic Medium"/>
      <w:bCs/>
      <w:sz w:val="24"/>
      <w:szCs w:val="22"/>
      <w:lang w:eastAsia="ja-JP"/>
    </w:rPr>
  </w:style>
  <w:style w:type="paragraph" w:styleId="Heading4">
    <w:name w:val="heading 4"/>
    <w:next w:val="BodyText"/>
    <w:link w:val="Heading4Char"/>
    <w:autoRedefine/>
    <w:uiPriority w:val="9"/>
    <w:unhideWhenUsed/>
    <w:qFormat/>
    <w:rsid w:val="00BA282A"/>
    <w:pPr>
      <w:keepNext/>
      <w:keepLines/>
      <w:numPr>
        <w:ilvl w:val="3"/>
        <w:numId w:val="2"/>
      </w:numPr>
      <w:spacing w:before="360" w:after="200"/>
      <w:outlineLvl w:val="3"/>
    </w:pPr>
    <w:rPr>
      <w:rFonts w:ascii="Franklin Gothic Medium" w:eastAsia="Times New Roman" w:hAnsi="Franklin Gothic Medium"/>
      <w:bCs/>
      <w:i/>
      <w:iCs/>
      <w:noProof/>
      <w:sz w:val="24"/>
      <w:szCs w:val="22"/>
      <w:lang w:eastAsia="ja-JP"/>
    </w:rPr>
  </w:style>
  <w:style w:type="paragraph" w:styleId="Heading5">
    <w:name w:val="heading 5"/>
    <w:next w:val="BodyText"/>
    <w:link w:val="Heading5Char"/>
    <w:uiPriority w:val="9"/>
    <w:unhideWhenUsed/>
    <w:qFormat/>
    <w:rsid w:val="00F948E4"/>
    <w:pPr>
      <w:keepNext/>
      <w:keepLines/>
      <w:numPr>
        <w:ilvl w:val="4"/>
        <w:numId w:val="2"/>
      </w:numPr>
      <w:spacing w:before="240" w:line="259" w:lineRule="auto"/>
      <w:outlineLvl w:val="4"/>
    </w:pPr>
    <w:rPr>
      <w:rFonts w:ascii="Franklin Gothic Medium" w:eastAsia="Times New Roman" w:hAnsi="Franklin Gothic Medium"/>
      <w:sz w:val="22"/>
      <w:szCs w:val="22"/>
      <w:lang w:eastAsia="ja-JP"/>
    </w:rPr>
  </w:style>
  <w:style w:type="paragraph" w:styleId="Heading6">
    <w:name w:val="heading 6"/>
    <w:next w:val="BodyText"/>
    <w:link w:val="Heading6Char"/>
    <w:uiPriority w:val="9"/>
    <w:unhideWhenUsed/>
    <w:qFormat/>
    <w:rsid w:val="00800667"/>
    <w:pPr>
      <w:keepNext/>
      <w:keepLines/>
      <w:numPr>
        <w:ilvl w:val="5"/>
        <w:numId w:val="2"/>
      </w:numPr>
      <w:spacing w:before="200" w:line="259" w:lineRule="auto"/>
      <w:outlineLvl w:val="5"/>
    </w:pPr>
    <w:rPr>
      <w:rFonts w:ascii="Franklin Gothic Medium" w:eastAsia="Times New Roman" w:hAnsi="Franklin Gothic Medium"/>
      <w:i/>
      <w:iCs/>
      <w:color w:val="252525"/>
      <w:sz w:val="22"/>
      <w:szCs w:val="22"/>
      <w:u w:val="single"/>
      <w:lang w:eastAsia="ja-JP"/>
    </w:rPr>
  </w:style>
  <w:style w:type="paragraph" w:styleId="Heading7">
    <w:name w:val="heading 7"/>
    <w:next w:val="BodyText"/>
    <w:link w:val="Heading7Char"/>
    <w:uiPriority w:val="9"/>
    <w:unhideWhenUsed/>
    <w:qFormat/>
    <w:rsid w:val="00B97040"/>
    <w:pPr>
      <w:keepNext/>
      <w:pageBreakBefore/>
      <w:numPr>
        <w:ilvl w:val="6"/>
        <w:numId w:val="2"/>
      </w:numPr>
      <w:pBdr>
        <w:bottom w:val="single" w:sz="4" w:space="1" w:color="auto"/>
      </w:pBdr>
      <w:spacing w:before="600" w:after="480" w:line="216" w:lineRule="auto"/>
      <w:outlineLvl w:val="6"/>
    </w:pPr>
    <w:rPr>
      <w:rFonts w:ascii="Franklin Gothic Medium" w:eastAsia="Times New Roman" w:hAnsi="Franklin Gothic Medium"/>
      <w:iCs/>
      <w:sz w:val="44"/>
      <w:szCs w:val="22"/>
      <w:lang w:eastAsia="ja-JP"/>
    </w:rPr>
  </w:style>
  <w:style w:type="paragraph" w:styleId="Heading8">
    <w:name w:val="heading 8"/>
    <w:next w:val="BodyText"/>
    <w:link w:val="Heading8Char"/>
    <w:uiPriority w:val="9"/>
    <w:unhideWhenUsed/>
    <w:qFormat/>
    <w:rsid w:val="005260BA"/>
    <w:pPr>
      <w:keepNext/>
      <w:numPr>
        <w:ilvl w:val="7"/>
        <w:numId w:val="2"/>
      </w:numPr>
      <w:spacing w:before="240" w:after="60" w:line="216" w:lineRule="auto"/>
      <w:outlineLvl w:val="7"/>
    </w:pPr>
    <w:rPr>
      <w:rFonts w:asciiTheme="majorHAnsi" w:eastAsia="Times New Roman" w:hAnsiTheme="majorHAnsi"/>
      <w:b/>
      <w:sz w:val="32"/>
      <w:lang w:eastAsia="ja-JP"/>
    </w:rPr>
  </w:style>
  <w:style w:type="paragraph" w:styleId="Heading9">
    <w:name w:val="heading 9"/>
    <w:next w:val="BodyText"/>
    <w:link w:val="Heading9Char"/>
    <w:uiPriority w:val="9"/>
    <w:unhideWhenUsed/>
    <w:qFormat/>
    <w:rsid w:val="00BE5341"/>
    <w:pPr>
      <w:keepNext/>
      <w:keepLines/>
      <w:numPr>
        <w:ilvl w:val="8"/>
        <w:numId w:val="2"/>
      </w:numPr>
      <w:tabs>
        <w:tab w:val="left" w:pos="1021"/>
      </w:tabs>
      <w:spacing w:before="240" w:after="60" w:line="259" w:lineRule="auto"/>
      <w:outlineLvl w:val="8"/>
    </w:pPr>
    <w:rPr>
      <w:rFonts w:asciiTheme="majorHAnsi" w:eastAsia="Times New Roman" w:hAnsiTheme="majorHAnsi"/>
      <w:b/>
      <w:iCs/>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53176"/>
    <w:rPr>
      <w:color w:val="00B0F0"/>
      <w:u w:val="single"/>
      <w:lang w:val="en-AU"/>
    </w:rPr>
  </w:style>
  <w:style w:type="paragraph" w:styleId="BalloonText">
    <w:name w:val="Balloon Text"/>
    <w:basedOn w:val="Normal"/>
    <w:link w:val="BalloonTextChar"/>
    <w:uiPriority w:val="99"/>
    <w:semiHidden/>
    <w:unhideWhenUsed/>
    <w:rsid w:val="007310E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310E5"/>
    <w:rPr>
      <w:rFonts w:ascii="Segoe UI" w:eastAsia="Times New Roman" w:hAnsi="Segoe UI" w:cs="Segoe UI"/>
      <w:sz w:val="18"/>
      <w:szCs w:val="18"/>
      <w:lang w:eastAsia="ja-JP"/>
    </w:rPr>
  </w:style>
  <w:style w:type="character" w:customStyle="1" w:styleId="Heading1Char">
    <w:name w:val="Heading 1 Char"/>
    <w:link w:val="Heading1"/>
    <w:rsid w:val="00974682"/>
    <w:rPr>
      <w:rFonts w:ascii="Franklin Gothic Medium" w:eastAsia="Times New Roman" w:hAnsi="Franklin Gothic Medium"/>
      <w:bCs/>
      <w:sz w:val="44"/>
      <w:szCs w:val="36"/>
      <w:lang w:eastAsia="ja-JP"/>
    </w:rPr>
  </w:style>
  <w:style w:type="character" w:customStyle="1" w:styleId="Heading2Char">
    <w:name w:val="Heading 2 Char"/>
    <w:link w:val="Heading2"/>
    <w:uiPriority w:val="9"/>
    <w:rsid w:val="00974682"/>
    <w:rPr>
      <w:rFonts w:ascii="Franklin Gothic Medium" w:eastAsia="Times New Roman" w:hAnsi="Franklin Gothic Medium"/>
      <w:bCs/>
      <w:sz w:val="32"/>
      <w:szCs w:val="28"/>
      <w:lang w:eastAsia="ja-JP"/>
    </w:rPr>
  </w:style>
  <w:style w:type="character" w:customStyle="1" w:styleId="Heading3Char">
    <w:name w:val="Heading 3 Char"/>
    <w:link w:val="Heading3"/>
    <w:uiPriority w:val="9"/>
    <w:rsid w:val="00E049B8"/>
    <w:rPr>
      <w:rFonts w:ascii="Franklin Gothic Medium" w:eastAsia="Times New Roman" w:hAnsi="Franklin Gothic Medium"/>
      <w:bCs/>
      <w:sz w:val="24"/>
      <w:szCs w:val="22"/>
      <w:lang w:eastAsia="ja-JP"/>
    </w:rPr>
  </w:style>
  <w:style w:type="table" w:styleId="TableGrid">
    <w:name w:val="Table Grid"/>
    <w:aliases w:val="Table Grid2,Summary box,Table Gridbeth,RTI AMCP Table,new style,ASD Table,HealthConsult"/>
    <w:uiPriority w:val="59"/>
    <w:rsid w:val="00D86F21"/>
    <w:rPr>
      <w:rFonts w:asciiTheme="minorHAnsi" w:eastAsiaTheme="minorHAnsi" w:hAnsiTheme="minorHAnsi" w:cstheme="minorBidi"/>
      <w:sz w:val="22"/>
      <w:szCs w:val="22"/>
      <w:lang w:eastAsia="en-US"/>
    </w:rPr>
    <w:tblPr>
      <w:tblCellMar>
        <w:top w:w="0" w:type="dxa"/>
        <w:left w:w="0" w:type="dxa"/>
        <w:bottom w:w="0" w:type="dxa"/>
        <w:right w:w="0" w:type="dxa"/>
      </w:tblCellMar>
    </w:tblPr>
  </w:style>
  <w:style w:type="paragraph" w:styleId="Header">
    <w:name w:val="header"/>
    <w:link w:val="HeaderChar"/>
    <w:uiPriority w:val="99"/>
    <w:unhideWhenUsed/>
    <w:rsid w:val="002B679B"/>
    <w:pPr>
      <w:tabs>
        <w:tab w:val="right" w:pos="14572"/>
      </w:tabs>
      <w:spacing w:after="240"/>
    </w:pPr>
    <w:rPr>
      <w:rFonts w:eastAsia="Times New Roman"/>
      <w:b/>
      <w:sz w:val="18"/>
      <w:szCs w:val="22"/>
      <w:lang w:eastAsia="ja-JP"/>
    </w:rPr>
  </w:style>
  <w:style w:type="character" w:customStyle="1" w:styleId="HeaderChar">
    <w:name w:val="Header Char"/>
    <w:link w:val="Header"/>
    <w:uiPriority w:val="99"/>
    <w:rsid w:val="002B679B"/>
    <w:rPr>
      <w:rFonts w:eastAsia="Times New Roman"/>
      <w:b/>
      <w:sz w:val="18"/>
      <w:szCs w:val="22"/>
      <w:lang w:eastAsia="ja-JP"/>
    </w:rPr>
  </w:style>
  <w:style w:type="paragraph" w:styleId="Footer">
    <w:name w:val="footer"/>
    <w:basedOn w:val="Normal"/>
    <w:link w:val="FooterChar"/>
    <w:uiPriority w:val="99"/>
    <w:unhideWhenUsed/>
    <w:rsid w:val="00C37289"/>
    <w:pPr>
      <w:tabs>
        <w:tab w:val="right" w:pos="14572"/>
      </w:tabs>
      <w:spacing w:after="0" w:line="240" w:lineRule="auto"/>
    </w:pPr>
  </w:style>
  <w:style w:type="character" w:customStyle="1" w:styleId="FooterChar">
    <w:name w:val="Footer Char"/>
    <w:link w:val="Footer"/>
    <w:uiPriority w:val="99"/>
    <w:rsid w:val="00C37289"/>
    <w:rPr>
      <w:rFonts w:ascii="Franklin Gothic Book" w:eastAsia="Times New Roman" w:hAnsi="Franklin Gothic Book"/>
      <w:sz w:val="22"/>
      <w:szCs w:val="22"/>
      <w:lang w:eastAsia="ja-JP"/>
    </w:rPr>
  </w:style>
  <w:style w:type="paragraph" w:styleId="BodyText">
    <w:name w:val="Body Text"/>
    <w:basedOn w:val="Normal"/>
    <w:link w:val="BodyTextChar"/>
    <w:uiPriority w:val="99"/>
    <w:unhideWhenUsed/>
    <w:rsid w:val="0034224B"/>
  </w:style>
  <w:style w:type="character" w:customStyle="1" w:styleId="BodyTextChar">
    <w:name w:val="Body Text Char"/>
    <w:link w:val="BodyText"/>
    <w:uiPriority w:val="99"/>
    <w:rsid w:val="0034224B"/>
    <w:rPr>
      <w:rFonts w:ascii="Franklin Gothic Book" w:eastAsia="Times New Roman" w:hAnsi="Franklin Gothic Book"/>
      <w:sz w:val="22"/>
      <w:szCs w:val="22"/>
      <w:lang w:eastAsia="ja-JP"/>
    </w:rPr>
  </w:style>
  <w:style w:type="paragraph" w:customStyle="1" w:styleId="Titlesmall">
    <w:name w:val="Title small"/>
    <w:qFormat/>
    <w:rsid w:val="00216B9E"/>
    <w:pPr>
      <w:spacing w:before="1134" w:after="800" w:line="259" w:lineRule="auto"/>
      <w:ind w:left="4536"/>
    </w:pPr>
    <w:rPr>
      <w:rFonts w:ascii="Arial" w:eastAsia="Times New Roman" w:hAnsi="Arial"/>
      <w:b/>
      <w:color w:val="000000"/>
      <w:sz w:val="36"/>
      <w:szCs w:val="56"/>
      <w:lang w:eastAsia="ja-JP"/>
    </w:rPr>
  </w:style>
  <w:style w:type="paragraph" w:customStyle="1" w:styleId="Bulletpoint">
    <w:name w:val="Bullet point"/>
    <w:qFormat/>
    <w:rsid w:val="00D37202"/>
    <w:pPr>
      <w:numPr>
        <w:numId w:val="1"/>
      </w:numPr>
      <w:spacing w:before="40" w:after="120"/>
    </w:pPr>
    <w:rPr>
      <w:rFonts w:ascii="Franklin Gothic Book" w:eastAsia="Times New Roman" w:hAnsi="Franklin Gothic Book"/>
      <w:sz w:val="22"/>
      <w:szCs w:val="22"/>
      <w:lang w:eastAsia="ja-JP"/>
    </w:rPr>
  </w:style>
  <w:style w:type="paragraph" w:customStyle="1" w:styleId="Bulletpoint2ndlevel">
    <w:name w:val="Bullet point 2nd level"/>
    <w:basedOn w:val="Bulletpoint"/>
    <w:qFormat/>
    <w:rsid w:val="00027A14"/>
    <w:pPr>
      <w:numPr>
        <w:ilvl w:val="1"/>
      </w:numPr>
    </w:p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next w:val="Normal"/>
    <w:link w:val="CaptionChar"/>
    <w:unhideWhenUsed/>
    <w:qFormat/>
    <w:rsid w:val="001E1FCC"/>
    <w:pPr>
      <w:keepNext/>
      <w:spacing w:before="360" w:after="120"/>
      <w:ind w:left="1021" w:hanging="1021"/>
    </w:pPr>
    <w:rPr>
      <w:rFonts w:ascii="Arial Narrow" w:eastAsia="Times New Roman" w:hAnsi="Arial Narrow"/>
      <w:b/>
      <w:iCs/>
      <w:szCs w:val="18"/>
      <w:lang w:eastAsia="ja-JP"/>
    </w:rPr>
  </w:style>
  <w:style w:type="character" w:styleId="CommentReference">
    <w:name w:val="annotation reference"/>
    <w:aliases w:val="Table Title"/>
    <w:uiPriority w:val="99"/>
    <w:unhideWhenUsed/>
    <w:qFormat/>
    <w:rsid w:val="007310E5"/>
    <w:rPr>
      <w:sz w:val="16"/>
      <w:szCs w:val="16"/>
    </w:rPr>
  </w:style>
  <w:style w:type="paragraph" w:styleId="NormalWeb">
    <w:name w:val="Normal (Web)"/>
    <w:basedOn w:val="Normal"/>
    <w:uiPriority w:val="99"/>
    <w:unhideWhenUsed/>
    <w:rsid w:val="0063032A"/>
    <w:pPr>
      <w:spacing w:before="100" w:beforeAutospacing="1" w:after="100" w:afterAutospacing="1" w:line="240" w:lineRule="auto"/>
    </w:pPr>
    <w:rPr>
      <w:rFonts w:ascii="Times New Roman" w:hAnsi="Times New Roman"/>
      <w:sz w:val="24"/>
      <w:szCs w:val="24"/>
      <w:lang w:eastAsia="en-AU"/>
    </w:rPr>
  </w:style>
  <w:style w:type="paragraph" w:styleId="TOC7">
    <w:name w:val="toc 7"/>
    <w:next w:val="BodyText"/>
    <w:autoRedefine/>
    <w:uiPriority w:val="39"/>
    <w:unhideWhenUsed/>
    <w:rsid w:val="00C2542C"/>
    <w:pPr>
      <w:tabs>
        <w:tab w:val="right" w:leader="dot" w:pos="9628"/>
      </w:tabs>
      <w:spacing w:before="240"/>
      <w:ind w:left="1418" w:right="567" w:hanging="1418"/>
      <w:contextualSpacing/>
    </w:pPr>
    <w:rPr>
      <w:rFonts w:eastAsia="Times New Roman"/>
      <w:b/>
      <w:sz w:val="22"/>
      <w:szCs w:val="22"/>
      <w:lang w:eastAsia="ja-JP"/>
    </w:rPr>
  </w:style>
  <w:style w:type="paragraph" w:styleId="CommentSubject">
    <w:name w:val="annotation subject"/>
    <w:basedOn w:val="Normal"/>
    <w:next w:val="Normal"/>
    <w:link w:val="CommentSubjectChar"/>
    <w:uiPriority w:val="99"/>
    <w:semiHidden/>
    <w:unhideWhenUsed/>
    <w:rsid w:val="000077F2"/>
    <w:pPr>
      <w:spacing w:line="240" w:lineRule="auto"/>
    </w:pPr>
    <w:rPr>
      <w:b/>
      <w:bCs/>
      <w:sz w:val="20"/>
      <w:szCs w:val="20"/>
    </w:rPr>
  </w:style>
  <w:style w:type="character" w:customStyle="1" w:styleId="CommentSubjectChar">
    <w:name w:val="Comment Subject Char"/>
    <w:link w:val="CommentSubject"/>
    <w:uiPriority w:val="99"/>
    <w:semiHidden/>
    <w:rsid w:val="000077F2"/>
    <w:rPr>
      <w:rFonts w:eastAsia="Times New Roman"/>
      <w:b/>
      <w:bCs/>
      <w:sz w:val="20"/>
      <w:szCs w:val="20"/>
      <w:lang w:eastAsia="ja-JP"/>
    </w:rPr>
  </w:style>
  <w:style w:type="character" w:styleId="EndnoteReference">
    <w:name w:val="endnote reference"/>
    <w:uiPriority w:val="99"/>
    <w:semiHidden/>
    <w:unhideWhenUsed/>
    <w:rsid w:val="007310E5"/>
    <w:rPr>
      <w:vertAlign w:val="superscript"/>
    </w:rPr>
  </w:style>
  <w:style w:type="paragraph" w:styleId="EndnoteText">
    <w:name w:val="endnote text"/>
    <w:basedOn w:val="Normal"/>
    <w:link w:val="EndnoteTextChar"/>
    <w:uiPriority w:val="99"/>
    <w:semiHidden/>
    <w:unhideWhenUsed/>
    <w:rsid w:val="007310E5"/>
    <w:pPr>
      <w:spacing w:after="0" w:line="240" w:lineRule="auto"/>
    </w:pPr>
    <w:rPr>
      <w:sz w:val="20"/>
      <w:szCs w:val="20"/>
    </w:rPr>
  </w:style>
  <w:style w:type="character" w:customStyle="1" w:styleId="EndnoteTextChar">
    <w:name w:val="Endnote Text Char"/>
    <w:link w:val="EndnoteText"/>
    <w:uiPriority w:val="99"/>
    <w:semiHidden/>
    <w:rsid w:val="007310E5"/>
    <w:rPr>
      <w:rFonts w:eastAsia="Times New Roman"/>
      <w:sz w:val="20"/>
      <w:szCs w:val="20"/>
      <w:lang w:eastAsia="ja-JP"/>
    </w:rPr>
  </w:style>
  <w:style w:type="character" w:styleId="FollowedHyperlink">
    <w:name w:val="FollowedHyperlink"/>
    <w:uiPriority w:val="99"/>
    <w:semiHidden/>
    <w:unhideWhenUsed/>
    <w:rsid w:val="007310E5"/>
    <w:rPr>
      <w:color w:val="B26B02"/>
      <w:u w:val="single"/>
    </w:rPr>
  </w:style>
  <w:style w:type="character" w:styleId="FootnoteReference">
    <w:name w:val="footnote reference"/>
    <w:uiPriority w:val="99"/>
    <w:unhideWhenUsed/>
    <w:rsid w:val="007310E5"/>
    <w:rPr>
      <w:vertAlign w:val="superscript"/>
    </w:rPr>
  </w:style>
  <w:style w:type="paragraph" w:styleId="FootnoteText">
    <w:name w:val="footnote text"/>
    <w:basedOn w:val="Normal"/>
    <w:next w:val="BodyText"/>
    <w:link w:val="FootnoteTextChar"/>
    <w:uiPriority w:val="99"/>
    <w:unhideWhenUsed/>
    <w:rsid w:val="002812D8"/>
    <w:pPr>
      <w:spacing w:after="0" w:line="240" w:lineRule="auto"/>
      <w:ind w:left="113" w:hanging="113"/>
    </w:pPr>
    <w:rPr>
      <w:sz w:val="18"/>
      <w:szCs w:val="20"/>
    </w:rPr>
  </w:style>
  <w:style w:type="character" w:customStyle="1" w:styleId="FootnoteTextChar">
    <w:name w:val="Footnote Text Char"/>
    <w:link w:val="FootnoteText"/>
    <w:uiPriority w:val="99"/>
    <w:rsid w:val="002812D8"/>
    <w:rPr>
      <w:rFonts w:ascii="Franklin Gothic Book" w:eastAsia="Times New Roman" w:hAnsi="Franklin Gothic Book"/>
      <w:sz w:val="18"/>
      <w:lang w:eastAsia="ja-JP"/>
    </w:rPr>
  </w:style>
  <w:style w:type="character" w:customStyle="1" w:styleId="Heading4Char">
    <w:name w:val="Heading 4 Char"/>
    <w:link w:val="Heading4"/>
    <w:uiPriority w:val="9"/>
    <w:rsid w:val="00BA282A"/>
    <w:rPr>
      <w:rFonts w:ascii="Franklin Gothic Medium" w:eastAsia="Times New Roman" w:hAnsi="Franklin Gothic Medium"/>
      <w:bCs/>
      <w:i/>
      <w:iCs/>
      <w:noProof/>
      <w:sz w:val="24"/>
      <w:szCs w:val="22"/>
      <w:lang w:eastAsia="ja-JP"/>
    </w:rPr>
  </w:style>
  <w:style w:type="character" w:customStyle="1" w:styleId="Heading5Char">
    <w:name w:val="Heading 5 Char"/>
    <w:link w:val="Heading5"/>
    <w:uiPriority w:val="9"/>
    <w:rsid w:val="00F948E4"/>
    <w:rPr>
      <w:rFonts w:ascii="Franklin Gothic Medium" w:eastAsia="Times New Roman" w:hAnsi="Franklin Gothic Medium"/>
      <w:sz w:val="22"/>
      <w:szCs w:val="22"/>
      <w:lang w:eastAsia="ja-JP"/>
    </w:rPr>
  </w:style>
  <w:style w:type="character" w:customStyle="1" w:styleId="Heading6Char">
    <w:name w:val="Heading 6 Char"/>
    <w:link w:val="Heading6"/>
    <w:uiPriority w:val="9"/>
    <w:rsid w:val="00800667"/>
    <w:rPr>
      <w:rFonts w:ascii="Franklin Gothic Medium" w:eastAsia="Times New Roman" w:hAnsi="Franklin Gothic Medium"/>
      <w:i/>
      <w:iCs/>
      <w:color w:val="252525"/>
      <w:sz w:val="22"/>
      <w:szCs w:val="22"/>
      <w:u w:val="single"/>
      <w:lang w:eastAsia="ja-JP"/>
    </w:rPr>
  </w:style>
  <w:style w:type="character" w:customStyle="1" w:styleId="Heading7Char">
    <w:name w:val="Heading 7 Char"/>
    <w:link w:val="Heading7"/>
    <w:uiPriority w:val="9"/>
    <w:rsid w:val="00B97040"/>
    <w:rPr>
      <w:rFonts w:ascii="Franklin Gothic Medium" w:eastAsia="Times New Roman" w:hAnsi="Franklin Gothic Medium"/>
      <w:iCs/>
      <w:sz w:val="44"/>
      <w:szCs w:val="22"/>
      <w:lang w:eastAsia="ja-JP"/>
    </w:rPr>
  </w:style>
  <w:style w:type="character" w:customStyle="1" w:styleId="Heading8Char">
    <w:name w:val="Heading 8 Char"/>
    <w:link w:val="Heading8"/>
    <w:uiPriority w:val="9"/>
    <w:rsid w:val="005260BA"/>
    <w:rPr>
      <w:rFonts w:asciiTheme="majorHAnsi" w:eastAsia="Times New Roman" w:hAnsiTheme="majorHAnsi"/>
      <w:b/>
      <w:sz w:val="32"/>
      <w:lang w:eastAsia="ja-JP"/>
    </w:rPr>
  </w:style>
  <w:style w:type="character" w:customStyle="1" w:styleId="Heading9Char">
    <w:name w:val="Heading 9 Char"/>
    <w:link w:val="Heading9"/>
    <w:uiPriority w:val="9"/>
    <w:rsid w:val="000731AD"/>
    <w:rPr>
      <w:rFonts w:asciiTheme="majorHAnsi" w:eastAsia="Times New Roman" w:hAnsiTheme="majorHAnsi"/>
      <w:b/>
      <w:iCs/>
      <w:sz w:val="24"/>
      <w:lang w:eastAsia="ja-JP"/>
    </w:rPr>
  </w:style>
  <w:style w:type="numbering" w:customStyle="1" w:styleId="Headings">
    <w:name w:val="Headings"/>
    <w:uiPriority w:val="99"/>
    <w:rsid w:val="002028D9"/>
    <w:pPr>
      <w:numPr>
        <w:numId w:val="2"/>
      </w:numPr>
    </w:pPr>
  </w:style>
  <w:style w:type="paragraph" w:styleId="TOC8">
    <w:name w:val="toc 8"/>
    <w:next w:val="BodyText"/>
    <w:autoRedefine/>
    <w:uiPriority w:val="39"/>
    <w:unhideWhenUsed/>
    <w:rsid w:val="00C2542C"/>
    <w:pPr>
      <w:tabs>
        <w:tab w:val="right" w:leader="dot" w:pos="9628"/>
      </w:tabs>
      <w:ind w:left="1985" w:right="567" w:hanging="567"/>
    </w:pPr>
    <w:rPr>
      <w:rFonts w:eastAsia="Times New Roman"/>
      <w:sz w:val="22"/>
      <w:szCs w:val="22"/>
      <w:lang w:eastAsia="ja-JP"/>
    </w:rPr>
  </w:style>
  <w:style w:type="paragraph" w:customStyle="1" w:styleId="ExecSumHeading1">
    <w:name w:val="Exec Sum Heading 1"/>
    <w:next w:val="BodyText"/>
    <w:qFormat/>
    <w:rsid w:val="00B11C5B"/>
    <w:pPr>
      <w:pageBreakBefore/>
      <w:spacing w:before="480" w:after="240" w:line="216" w:lineRule="auto"/>
      <w:ind w:left="788"/>
      <w:jc w:val="center"/>
      <w:outlineLvl w:val="0"/>
    </w:pPr>
    <w:rPr>
      <w:rFonts w:ascii="Arial" w:eastAsia="Times New Roman" w:hAnsi="Arial" w:cstheme="majorHAnsi"/>
      <w:b/>
      <w:color w:val="000080"/>
      <w:sz w:val="36"/>
      <w:szCs w:val="44"/>
      <w:lang w:eastAsia="ja-JP"/>
    </w:rPr>
  </w:style>
  <w:style w:type="character" w:customStyle="1" w:styleId="Mention1">
    <w:name w:val="Mention1"/>
    <w:uiPriority w:val="99"/>
    <w:semiHidden/>
    <w:unhideWhenUsed/>
    <w:rsid w:val="007310E5"/>
    <w:rPr>
      <w:color w:val="2B579A"/>
      <w:shd w:val="clear" w:color="auto" w:fill="E6E6E6"/>
    </w:rPr>
  </w:style>
  <w:style w:type="paragraph" w:customStyle="1" w:styleId="011TableHeading">
    <w:name w:val="01.1 Table Heading"/>
    <w:qFormat/>
    <w:rsid w:val="00181D29"/>
    <w:pPr>
      <w:keepNext/>
      <w:spacing w:before="120" w:after="40"/>
    </w:pPr>
    <w:rPr>
      <w:rFonts w:ascii="Arial Narrow" w:eastAsia="Times New Roman" w:hAnsi="Arial Narrow"/>
      <w:b/>
      <w:szCs w:val="22"/>
      <w:lang w:eastAsia="ja-JP"/>
    </w:rPr>
  </w:style>
  <w:style w:type="paragraph" w:customStyle="1" w:styleId="021TableHeadingRightAligned">
    <w:name w:val="02.1 Table Heading Right Aligned"/>
    <w:qFormat/>
    <w:rsid w:val="00F71620"/>
    <w:pPr>
      <w:spacing w:before="120" w:after="40"/>
      <w:ind w:right="113"/>
      <w:jc w:val="right"/>
    </w:pPr>
    <w:rPr>
      <w:rFonts w:ascii="Arial Narrow" w:eastAsia="Times New Roman" w:hAnsi="Arial Narrow"/>
      <w:b/>
      <w:szCs w:val="22"/>
      <w:lang w:eastAsia="ja-JP"/>
    </w:rPr>
  </w:style>
  <w:style w:type="paragraph" w:customStyle="1" w:styleId="081TableRightAligned22">
    <w:name w:val="08.1 Table Right Aligned 2:2"/>
    <w:qFormat/>
    <w:rsid w:val="00A51776"/>
    <w:pPr>
      <w:spacing w:before="40" w:after="40"/>
      <w:ind w:right="113"/>
      <w:jc w:val="right"/>
    </w:pPr>
    <w:rPr>
      <w:rFonts w:ascii="Arial Narrow" w:eastAsia="Times New Roman" w:hAnsi="Arial Narrow"/>
      <w:szCs w:val="22"/>
      <w:lang w:eastAsia="ja-JP"/>
    </w:rPr>
  </w:style>
  <w:style w:type="paragraph" w:styleId="Quote">
    <w:name w:val="Quote"/>
    <w:link w:val="QuoteChar"/>
    <w:uiPriority w:val="29"/>
    <w:qFormat/>
    <w:rsid w:val="008109F1"/>
    <w:pPr>
      <w:spacing w:before="160" w:after="160" w:line="259" w:lineRule="auto"/>
      <w:ind w:left="720" w:right="720"/>
    </w:pPr>
    <w:rPr>
      <w:rFonts w:eastAsia="Times New Roman"/>
      <w:i/>
      <w:iCs/>
      <w:color w:val="000000"/>
      <w:sz w:val="22"/>
      <w:szCs w:val="22"/>
      <w:lang w:eastAsia="ja-JP"/>
    </w:rPr>
  </w:style>
  <w:style w:type="character" w:customStyle="1" w:styleId="QuoteChar">
    <w:name w:val="Quote Char"/>
    <w:link w:val="Quote"/>
    <w:uiPriority w:val="29"/>
    <w:rsid w:val="008109F1"/>
    <w:rPr>
      <w:rFonts w:eastAsia="Times New Roman"/>
      <w:i/>
      <w:iCs/>
      <w:color w:val="000000"/>
      <w:lang w:val="en-AU" w:eastAsia="ja-JP"/>
    </w:rPr>
  </w:style>
  <w:style w:type="paragraph" w:customStyle="1" w:styleId="051Tabletext22">
    <w:name w:val="05.1 Table text 2:2"/>
    <w:link w:val="051Tabletext22Char"/>
    <w:qFormat/>
    <w:rsid w:val="00A51776"/>
    <w:pPr>
      <w:spacing w:before="40" w:after="40"/>
    </w:pPr>
    <w:rPr>
      <w:rFonts w:ascii="Arial Narrow" w:eastAsia="Times New Roman" w:hAnsi="Arial Narrow"/>
      <w:szCs w:val="22"/>
      <w:lang w:eastAsia="ja-JP"/>
    </w:rPr>
  </w:style>
  <w:style w:type="character" w:customStyle="1" w:styleId="051Tabletext22Char">
    <w:name w:val="05.1 Table text 2:2 Char"/>
    <w:link w:val="051Tabletext22"/>
    <w:rsid w:val="00A51776"/>
    <w:rPr>
      <w:rFonts w:ascii="Arial Narrow" w:eastAsia="Times New Roman" w:hAnsi="Arial Narrow"/>
      <w:szCs w:val="22"/>
      <w:lang w:eastAsia="ja-JP"/>
    </w:rPr>
  </w:style>
  <w:style w:type="paragraph" w:customStyle="1" w:styleId="071Tablebullet">
    <w:name w:val="07.1 Table bullet"/>
    <w:qFormat/>
    <w:rsid w:val="00C378A1"/>
    <w:pPr>
      <w:numPr>
        <w:numId w:val="3"/>
      </w:numPr>
      <w:spacing w:before="40" w:after="40"/>
    </w:pPr>
    <w:rPr>
      <w:rFonts w:ascii="Arial Narrow" w:eastAsia="Times New Roman" w:hAnsi="Arial Narrow"/>
      <w:szCs w:val="22"/>
      <w:lang w:eastAsia="ja-JP"/>
    </w:rPr>
  </w:style>
  <w:style w:type="paragraph" w:customStyle="1" w:styleId="101Tablefootnotes">
    <w:name w:val="10.1 Table footnotes"/>
    <w:link w:val="101TablefootnotesChar"/>
    <w:qFormat/>
    <w:rsid w:val="00160C52"/>
    <w:pPr>
      <w:keepNext/>
    </w:pPr>
    <w:rPr>
      <w:rFonts w:ascii="Arial Narrow" w:eastAsia="Times New Roman" w:hAnsi="Arial Narrow"/>
      <w:sz w:val="18"/>
      <w:szCs w:val="22"/>
      <w:lang w:eastAsia="ja-JP"/>
    </w:rPr>
  </w:style>
  <w:style w:type="character" w:customStyle="1" w:styleId="101TablefootnotesChar">
    <w:name w:val="10.1 Table footnotes Char"/>
    <w:link w:val="101Tablefootnotes"/>
    <w:rsid w:val="000B2CBA"/>
    <w:rPr>
      <w:rFonts w:ascii="Arial Narrow" w:eastAsia="Times New Roman" w:hAnsi="Arial Narrow"/>
      <w:sz w:val="18"/>
      <w:szCs w:val="22"/>
      <w:lang w:eastAsia="ja-JP"/>
    </w:rPr>
  </w:style>
  <w:style w:type="paragraph" w:customStyle="1" w:styleId="111Tablefootnoteslast-nostick">
    <w:name w:val="11.1 Table footnotes last - no stick"/>
    <w:next w:val="BodyText"/>
    <w:qFormat/>
    <w:rsid w:val="00160C52"/>
    <w:pPr>
      <w:spacing w:after="360"/>
    </w:pPr>
    <w:rPr>
      <w:rFonts w:ascii="Arial Narrow" w:eastAsia="Times New Roman" w:hAnsi="Arial Narrow"/>
      <w:sz w:val="18"/>
      <w:szCs w:val="22"/>
      <w:lang w:val="en-US" w:eastAsia="ja-JP"/>
    </w:rPr>
  </w:style>
  <w:style w:type="paragraph" w:customStyle="1" w:styleId="031Tablesubheading">
    <w:name w:val="03.1 Table subheading"/>
    <w:qFormat/>
    <w:rsid w:val="00943DF0"/>
    <w:pPr>
      <w:keepNext/>
      <w:spacing w:before="40" w:after="40"/>
    </w:pPr>
    <w:rPr>
      <w:rFonts w:ascii="Arial Narrow" w:eastAsia="Times New Roman" w:hAnsi="Arial Narrow"/>
      <w:b/>
      <w:szCs w:val="22"/>
      <w:lang w:eastAsia="ja-JP"/>
    </w:rPr>
  </w:style>
  <w:style w:type="paragraph" w:styleId="Title">
    <w:name w:val="Title"/>
    <w:next w:val="Normal"/>
    <w:link w:val="TitleChar"/>
    <w:uiPriority w:val="10"/>
    <w:qFormat/>
    <w:rsid w:val="00960398"/>
    <w:pPr>
      <w:spacing w:before="4536" w:after="800" w:line="480" w:lineRule="exact"/>
      <w:ind w:left="4536" w:right="113"/>
      <w:jc w:val="right"/>
    </w:pPr>
    <w:rPr>
      <w:rFonts w:ascii="Arial" w:eastAsia="Times New Roman" w:hAnsi="Arial"/>
      <w:b/>
      <w:i/>
      <w:sz w:val="44"/>
      <w:szCs w:val="56"/>
      <w:lang w:eastAsia="ja-JP"/>
    </w:rPr>
  </w:style>
  <w:style w:type="character" w:customStyle="1" w:styleId="TitleChar">
    <w:name w:val="Title Char"/>
    <w:link w:val="Title"/>
    <w:uiPriority w:val="10"/>
    <w:rsid w:val="00960398"/>
    <w:rPr>
      <w:rFonts w:ascii="Arial" w:eastAsia="Times New Roman" w:hAnsi="Arial"/>
      <w:b/>
      <w:i/>
      <w:sz w:val="44"/>
      <w:szCs w:val="56"/>
      <w:lang w:eastAsia="ja-JP"/>
    </w:rPr>
  </w:style>
  <w:style w:type="paragraph" w:styleId="TOC1">
    <w:name w:val="toc 1"/>
    <w:next w:val="TOC2"/>
    <w:autoRedefine/>
    <w:uiPriority w:val="39"/>
    <w:unhideWhenUsed/>
    <w:rsid w:val="006A0D5B"/>
    <w:pPr>
      <w:tabs>
        <w:tab w:val="right" w:leader="dot" w:pos="9628"/>
      </w:tabs>
      <w:spacing w:before="120" w:after="100"/>
      <w:ind w:left="680" w:hanging="680"/>
    </w:pPr>
    <w:rPr>
      <w:rFonts w:asciiTheme="minorHAnsi" w:eastAsia="Times New Roman" w:hAnsiTheme="minorHAnsi"/>
      <w:b/>
      <w:sz w:val="22"/>
      <w:szCs w:val="22"/>
      <w:lang w:eastAsia="ja-JP"/>
    </w:rPr>
  </w:style>
  <w:style w:type="paragraph" w:styleId="TOC2">
    <w:name w:val="toc 2"/>
    <w:next w:val="TOC3"/>
    <w:autoRedefine/>
    <w:uiPriority w:val="39"/>
    <w:unhideWhenUsed/>
    <w:rsid w:val="00A87B7C"/>
    <w:pPr>
      <w:tabs>
        <w:tab w:val="right" w:leader="dot" w:pos="9628"/>
      </w:tabs>
      <w:spacing w:before="60" w:after="60"/>
      <w:ind w:left="680" w:hanging="680"/>
    </w:pPr>
    <w:rPr>
      <w:rFonts w:eastAsia="Times New Roman"/>
      <w:noProof/>
      <w:sz w:val="22"/>
      <w:szCs w:val="22"/>
      <w:lang w:eastAsia="ja-JP"/>
    </w:rPr>
  </w:style>
  <w:style w:type="paragraph" w:styleId="TOC3">
    <w:name w:val="toc 3"/>
    <w:basedOn w:val="Normal"/>
    <w:next w:val="Normal"/>
    <w:autoRedefine/>
    <w:uiPriority w:val="39"/>
    <w:unhideWhenUsed/>
    <w:rsid w:val="00A87B7C"/>
    <w:pPr>
      <w:tabs>
        <w:tab w:val="left" w:pos="851"/>
        <w:tab w:val="right" w:leader="dot" w:pos="9628"/>
      </w:tabs>
      <w:spacing w:before="60" w:after="60" w:line="240" w:lineRule="auto"/>
      <w:ind w:left="1440" w:hanging="720"/>
    </w:pPr>
    <w:rPr>
      <w:rFonts w:asciiTheme="minorHAnsi" w:hAnsiTheme="minorHAnsi"/>
    </w:rPr>
  </w:style>
  <w:style w:type="paragraph" w:styleId="TOC4">
    <w:name w:val="toc 4"/>
    <w:basedOn w:val="Normal"/>
    <w:next w:val="Normal"/>
    <w:autoRedefine/>
    <w:uiPriority w:val="39"/>
    <w:unhideWhenUsed/>
    <w:rsid w:val="007310E5"/>
    <w:pPr>
      <w:spacing w:after="100"/>
      <w:ind w:left="660"/>
    </w:pPr>
  </w:style>
  <w:style w:type="paragraph" w:styleId="TOCHeading">
    <w:name w:val="TOC Heading"/>
    <w:uiPriority w:val="39"/>
    <w:unhideWhenUsed/>
    <w:qFormat/>
    <w:rsid w:val="007310E5"/>
    <w:pPr>
      <w:spacing w:after="160" w:line="259" w:lineRule="auto"/>
    </w:pPr>
    <w:rPr>
      <w:rFonts w:ascii="Calibri Light" w:eastAsia="Times New Roman" w:hAnsi="Calibri Light"/>
      <w:b/>
      <w:bCs/>
      <w:smallCaps/>
      <w:sz w:val="36"/>
      <w:szCs w:val="36"/>
      <w:lang w:val="en-US" w:eastAsia="ja-JP"/>
    </w:rPr>
  </w:style>
  <w:style w:type="paragraph" w:customStyle="1" w:styleId="041Tabletext00">
    <w:name w:val="04.1 Table text 0:0"/>
    <w:qFormat/>
    <w:rsid w:val="00A51776"/>
    <w:pPr>
      <w:spacing w:line="259" w:lineRule="auto"/>
    </w:pPr>
    <w:rPr>
      <w:rFonts w:ascii="Arial Narrow" w:eastAsia="Times New Roman" w:hAnsi="Arial Narrow"/>
      <w:szCs w:val="22"/>
      <w:lang w:eastAsia="ja-JP"/>
    </w:rPr>
  </w:style>
  <w:style w:type="paragraph" w:customStyle="1" w:styleId="091TableRightAligned00">
    <w:name w:val="09.1 Table Right Aligned 0:0"/>
    <w:basedOn w:val="081TableRightAligned22"/>
    <w:qFormat/>
    <w:rsid w:val="00A51776"/>
    <w:pPr>
      <w:spacing w:before="0" w:after="0"/>
    </w:pPr>
  </w:style>
  <w:style w:type="paragraph" w:customStyle="1" w:styleId="061Tabletext62">
    <w:name w:val="06.1 Table text 6:2"/>
    <w:qFormat/>
    <w:rsid w:val="00A51776"/>
    <w:pPr>
      <w:spacing w:before="120" w:after="40"/>
    </w:pPr>
    <w:rPr>
      <w:rFonts w:ascii="Arial Narrow" w:eastAsia="Times New Roman" w:hAnsi="Arial Narrow"/>
      <w:szCs w:val="22"/>
      <w:lang w:eastAsia="ja-JP"/>
    </w:rPr>
  </w:style>
  <w:style w:type="table" w:customStyle="1" w:styleId="TableGrid3">
    <w:name w:val="Table Grid3"/>
    <w:uiPriority w:val="39"/>
    <w:rsid w:val="00CB5CB2"/>
    <w:rPr>
      <w:rFonts w:ascii="Arial Narrow" w:eastAsia="Times New Roman" w:hAnsi="Arial Narrow"/>
      <w:lang w:val="en-US" w:eastAsia="ja-JP"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cantSplit/>
    </w:trPr>
    <w:tcPr>
      <w:tcMar>
        <w:top w:w="57" w:type="dxa"/>
        <w:left w:w="57" w:type="dxa"/>
        <w:bottom w:w="57" w:type="dxa"/>
        <w:right w:w="57" w:type="dxa"/>
      </w:tcMar>
    </w:tcPr>
    <w:tblStylePr w:type="firstRow">
      <w:tblPr/>
      <w:trPr>
        <w:cantSplit/>
        <w:tblHeader/>
      </w:trPr>
    </w:tblStylePr>
  </w:style>
  <w:style w:type="paragraph" w:customStyle="1" w:styleId="ExecSumHeading2">
    <w:name w:val="Exec Sum Heading 2"/>
    <w:next w:val="BodyText"/>
    <w:qFormat/>
    <w:rsid w:val="00662726"/>
    <w:pPr>
      <w:keepNext/>
      <w:spacing w:before="360" w:after="240"/>
      <w:outlineLvl w:val="1"/>
    </w:pPr>
    <w:rPr>
      <w:rFonts w:ascii="Franklin Gothic Medium" w:eastAsia="Times New Roman" w:hAnsi="Franklin Gothic Medium" w:cstheme="majorHAnsi"/>
      <w:sz w:val="32"/>
      <w:szCs w:val="44"/>
      <w:lang w:eastAsia="ja-JP"/>
    </w:rPr>
  </w:style>
  <w:style w:type="paragraph" w:customStyle="1" w:styleId="ExecSumHeading3">
    <w:name w:val="Exec Sum Heading 3"/>
    <w:next w:val="BodyText"/>
    <w:qFormat/>
    <w:rsid w:val="00CE1ABA"/>
    <w:pPr>
      <w:keepNext/>
      <w:spacing w:before="240" w:line="216" w:lineRule="auto"/>
      <w:outlineLvl w:val="2"/>
    </w:pPr>
    <w:rPr>
      <w:rFonts w:ascii="Franklin Gothic Medium" w:eastAsia="Times New Roman" w:hAnsi="Franklin Gothic Medium" w:cstheme="majorHAnsi"/>
      <w:sz w:val="24"/>
      <w:szCs w:val="44"/>
      <w:lang w:eastAsia="ja-JP"/>
    </w:rPr>
  </w:style>
  <w:style w:type="character" w:customStyle="1" w:styleId="UnresolvedMention1">
    <w:name w:val="Unresolved Mention1"/>
    <w:uiPriority w:val="99"/>
    <w:semiHidden/>
    <w:unhideWhenUsed/>
    <w:rsid w:val="00D75B80"/>
    <w:rPr>
      <w:color w:val="808080"/>
      <w:shd w:val="clear" w:color="auto" w:fill="E6E6E6"/>
    </w:rPr>
  </w:style>
  <w:style w:type="paragraph" w:customStyle="1" w:styleId="References">
    <w:name w:val="References"/>
    <w:qFormat/>
    <w:rsid w:val="007D71C6"/>
    <w:pPr>
      <w:autoSpaceDE w:val="0"/>
      <w:autoSpaceDN w:val="0"/>
      <w:adjustRightInd w:val="0"/>
      <w:spacing w:before="120" w:after="240" w:line="312" w:lineRule="auto"/>
      <w:ind w:left="1440" w:hanging="720"/>
    </w:pPr>
    <w:rPr>
      <w:rFonts w:cs="Calibri"/>
      <w:sz w:val="22"/>
      <w:szCs w:val="18"/>
      <w:lang w:eastAsia="en-US"/>
    </w:rPr>
  </w:style>
  <w:style w:type="paragraph" w:styleId="Revision">
    <w:name w:val="Revision"/>
    <w:hidden/>
    <w:uiPriority w:val="99"/>
    <w:semiHidden/>
    <w:rsid w:val="00FA7ABC"/>
    <w:rPr>
      <w:rFonts w:eastAsia="Times New Roman"/>
      <w:sz w:val="22"/>
      <w:szCs w:val="22"/>
      <w:lang w:eastAsia="ja-JP"/>
    </w:rPr>
  </w:style>
  <w:style w:type="character" w:styleId="UnresolvedMention">
    <w:name w:val="Unresolved Mention"/>
    <w:uiPriority w:val="99"/>
    <w:unhideWhenUsed/>
    <w:rsid w:val="000878C3"/>
    <w:rPr>
      <w:color w:val="808080"/>
      <w:shd w:val="clear" w:color="auto" w:fill="E6E6E6"/>
    </w:rPr>
  </w:style>
  <w:style w:type="table" w:styleId="TableGridLight">
    <w:name w:val="Grid Table Light"/>
    <w:basedOn w:val="TableNormal"/>
    <w:uiPriority w:val="40"/>
    <w:rsid w:val="0000023B"/>
    <w:tblPr/>
  </w:style>
  <w:style w:type="paragraph" w:styleId="TOC5">
    <w:name w:val="toc 5"/>
    <w:basedOn w:val="Normal"/>
    <w:next w:val="Normal"/>
    <w:autoRedefine/>
    <w:uiPriority w:val="39"/>
    <w:unhideWhenUsed/>
    <w:rsid w:val="00D04DDB"/>
    <w:pPr>
      <w:tabs>
        <w:tab w:val="left" w:pos="1540"/>
        <w:tab w:val="left" w:pos="2041"/>
        <w:tab w:val="right" w:leader="dot" w:pos="9628"/>
      </w:tabs>
      <w:spacing w:after="0"/>
      <w:ind w:left="1815" w:hanging="454"/>
    </w:pPr>
  </w:style>
  <w:style w:type="table" w:styleId="PlainTable1">
    <w:name w:val="Plain Table 1"/>
    <w:basedOn w:val="TableNormal"/>
    <w:uiPriority w:val="41"/>
    <w:rsid w:val="002B5B41"/>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2B5B41"/>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PlainTable2">
    <w:name w:val="Plain Table 2"/>
    <w:basedOn w:val="TableNormal"/>
    <w:uiPriority w:val="42"/>
    <w:rsid w:val="002B5B41"/>
    <w:tblPr/>
    <w:tblStylePr w:type="firstRow">
      <w:rPr>
        <w:b/>
        <w:bCs/>
      </w:rPr>
    </w:tblStylePr>
    <w:tblStylePr w:type="lastRow">
      <w:rPr>
        <w:b/>
        <w:bCs/>
      </w:rPr>
    </w:tblStylePr>
    <w:tblStylePr w:type="firstCol">
      <w:rPr>
        <w:b/>
        <w:bCs/>
      </w:rPr>
    </w:tblStylePr>
    <w:tblStylePr w:type="lastCol">
      <w:rPr>
        <w:b/>
        <w:bCs/>
      </w:rPr>
    </w:tblStylePr>
  </w:style>
  <w:style w:type="character" w:styleId="Strong">
    <w:name w:val="Strong"/>
    <w:basedOn w:val="DefaultParagraphFont"/>
    <w:uiPriority w:val="22"/>
    <w:qFormat/>
    <w:rsid w:val="00682F6E"/>
    <w:rPr>
      <w:b/>
      <w:bCs/>
    </w:rPr>
  </w:style>
  <w:style w:type="paragraph" w:customStyle="1" w:styleId="Instructionaltext">
    <w:name w:val="Instructional text"/>
    <w:basedOn w:val="Normal"/>
    <w:link w:val="InstructionaltextChar"/>
    <w:qFormat/>
    <w:rsid w:val="003D7B9D"/>
    <w:rPr>
      <w:rFonts w:eastAsiaTheme="minorHAnsi" w:cstheme="minorBidi"/>
      <w:color w:val="258221"/>
      <w:lang w:eastAsia="en-US"/>
    </w:rPr>
  </w:style>
  <w:style w:type="character" w:customStyle="1" w:styleId="InstructionaltextChar">
    <w:name w:val="Instructional text Char"/>
    <w:basedOn w:val="DefaultParagraphFont"/>
    <w:link w:val="Instructionaltext"/>
    <w:rsid w:val="003D7B9D"/>
    <w:rPr>
      <w:rFonts w:ascii="Franklin Gothic Book" w:eastAsiaTheme="minorHAnsi" w:hAnsi="Franklin Gothic Book" w:cstheme="minorBidi"/>
      <w:color w:val="258221"/>
      <w:sz w:val="22"/>
      <w:szCs w:val="22"/>
      <w:lang w:eastAsia="en-US"/>
    </w:rPr>
  </w:style>
  <w:style w:type="paragraph" w:customStyle="1" w:styleId="Guidelinescross-ref">
    <w:name w:val="Guidelines cross-ref"/>
    <w:basedOn w:val="Normal"/>
    <w:qFormat/>
    <w:rsid w:val="003D7B9D"/>
    <w:pPr>
      <w:spacing w:before="240" w:after="240"/>
    </w:pPr>
    <w:rPr>
      <w:rFonts w:eastAsiaTheme="minorHAnsi" w:cstheme="minorBidi"/>
      <w:b/>
      <w:color w:val="0070C0"/>
      <w:sz w:val="24"/>
      <w:lang w:eastAsia="en-US"/>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basedOn w:val="DefaultParagraphFont"/>
    <w:link w:val="Caption"/>
    <w:rsid w:val="001E1FCC"/>
    <w:rPr>
      <w:rFonts w:ascii="Arial Narrow" w:eastAsia="Times New Roman" w:hAnsi="Arial Narrow"/>
      <w:b/>
      <w:iCs/>
      <w:szCs w:val="18"/>
      <w:lang w:eastAsia="ja-JP"/>
    </w:rPr>
  </w:style>
  <w:style w:type="paragraph" w:customStyle="1" w:styleId="In-tableHeading">
    <w:name w:val="In-table Heading"/>
    <w:qFormat/>
    <w:rsid w:val="003D7B9D"/>
    <w:pPr>
      <w:keepNext/>
    </w:pPr>
    <w:rPr>
      <w:rFonts w:ascii="Arial Narrow" w:eastAsiaTheme="majorEastAsia" w:hAnsi="Arial Narrow"/>
      <w:b/>
      <w:szCs w:val="24"/>
      <w:lang w:val="en-US"/>
    </w:rPr>
  </w:style>
  <w:style w:type="paragraph" w:customStyle="1" w:styleId="Instructionaltext-bullet">
    <w:name w:val="Instructional text - bullet"/>
    <w:basedOn w:val="Instructionaltext"/>
    <w:qFormat/>
    <w:rsid w:val="00B57749"/>
    <w:pPr>
      <w:numPr>
        <w:numId w:val="4"/>
      </w:numPr>
      <w:spacing w:before="0" w:after="0"/>
    </w:pPr>
  </w:style>
  <w:style w:type="table" w:customStyle="1" w:styleId="TableGridLight1">
    <w:name w:val="Table Grid Light1"/>
    <w:basedOn w:val="TableNormal"/>
    <w:uiPriority w:val="40"/>
    <w:rsid w:val="001A4B27"/>
    <w:rPr>
      <w:rFonts w:asciiTheme="minorHAnsi" w:eastAsiaTheme="minorHAnsi" w:hAnsiTheme="minorHAnsi" w:cstheme="minorBidi"/>
      <w:sz w:val="22"/>
      <w:szCs w:val="22"/>
      <w:lang w:val="en-US" w:eastAsia="en-US"/>
    </w:rPr>
    <w:tblPr/>
  </w:style>
  <w:style w:type="paragraph" w:styleId="ListParagraph">
    <w:name w:val="List Paragraph"/>
    <w:aliases w:val="Numbered para,BulletPoints,Bulletr List Paragraph,Use Case List Paragraph,lp1,Figure_name,List Paragraph1,Numbered Indented Text,Bullet- First level,List NUmber,Listenabsatz1,List Paragraph11,Style 2,TOC style,List Paragraph2,Number_1,new"/>
    <w:basedOn w:val="Normal"/>
    <w:link w:val="ListParagraphChar"/>
    <w:uiPriority w:val="34"/>
    <w:qFormat/>
    <w:rsid w:val="00C4193E"/>
    <w:pPr>
      <w:ind w:left="720"/>
      <w:contextualSpacing/>
    </w:pPr>
    <w:rPr>
      <w:rFonts w:eastAsiaTheme="minorHAnsi" w:cstheme="minorBidi"/>
      <w:lang w:eastAsia="en-US"/>
    </w:rPr>
  </w:style>
  <w:style w:type="character" w:styleId="Emphasis">
    <w:name w:val="Emphasis"/>
    <w:uiPriority w:val="20"/>
    <w:qFormat/>
    <w:rsid w:val="00C4193E"/>
    <w:rPr>
      <w:i/>
      <w:iCs/>
    </w:rPr>
  </w:style>
  <w:style w:type="character" w:customStyle="1" w:styleId="ListParagraphChar">
    <w:name w:val="List Paragraph Char"/>
    <w:aliases w:val="Numbered para Char,BulletPoints Char,Bulletr List Paragraph Char,Use Case List Paragraph Char,lp1 Char,Figure_name Char,List Paragraph1 Char,Numbered Indented Text Char,Bullet- First level Char,List NUmber Char,Listenabsatz1 Char"/>
    <w:basedOn w:val="DefaultParagraphFont"/>
    <w:link w:val="ListParagraph"/>
    <w:uiPriority w:val="34"/>
    <w:rsid w:val="00C4193E"/>
    <w:rPr>
      <w:rFonts w:ascii="Franklin Gothic Book" w:eastAsiaTheme="minorHAnsi" w:hAnsi="Franklin Gothic Book" w:cstheme="minorBidi"/>
      <w:sz w:val="22"/>
      <w:szCs w:val="22"/>
      <w:lang w:eastAsia="en-US"/>
    </w:rPr>
  </w:style>
  <w:style w:type="paragraph" w:styleId="TOC6">
    <w:name w:val="toc 6"/>
    <w:basedOn w:val="Normal"/>
    <w:next w:val="Normal"/>
    <w:autoRedefine/>
    <w:uiPriority w:val="39"/>
    <w:unhideWhenUsed/>
    <w:rsid w:val="007C6102"/>
    <w:pPr>
      <w:spacing w:before="0" w:after="100" w:line="278" w:lineRule="auto"/>
      <w:ind w:left="1200"/>
    </w:pPr>
    <w:rPr>
      <w:rFonts w:asciiTheme="minorHAnsi" w:eastAsiaTheme="minorEastAsia" w:hAnsiTheme="minorHAnsi" w:cstheme="minorBidi"/>
      <w:kern w:val="2"/>
      <w:sz w:val="24"/>
      <w:szCs w:val="24"/>
      <w:lang w:eastAsia="en-AU"/>
      <w14:ligatures w14:val="standardContextual"/>
    </w:rPr>
  </w:style>
  <w:style w:type="paragraph" w:styleId="TOC9">
    <w:name w:val="toc 9"/>
    <w:basedOn w:val="Normal"/>
    <w:next w:val="Normal"/>
    <w:autoRedefine/>
    <w:uiPriority w:val="39"/>
    <w:unhideWhenUsed/>
    <w:rsid w:val="007C6102"/>
    <w:pPr>
      <w:spacing w:before="0" w:after="100" w:line="278" w:lineRule="auto"/>
      <w:ind w:left="1920"/>
    </w:pPr>
    <w:rPr>
      <w:rFonts w:asciiTheme="minorHAnsi" w:eastAsiaTheme="minorEastAsia" w:hAnsiTheme="minorHAnsi" w:cstheme="minorBidi"/>
      <w:kern w:val="2"/>
      <w:sz w:val="24"/>
      <w:szCs w:val="24"/>
      <w:lang w:eastAsia="en-AU"/>
      <w14:ligatures w14:val="standardContextual"/>
    </w:rPr>
  </w:style>
  <w:style w:type="paragraph" w:styleId="TOAHeading">
    <w:name w:val="toa heading"/>
    <w:basedOn w:val="Normal"/>
    <w:next w:val="Normal"/>
    <w:uiPriority w:val="99"/>
    <w:semiHidden/>
    <w:unhideWhenUsed/>
    <w:rsid w:val="008C199B"/>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rsid w:val="0078555C"/>
    <w:pPr>
      <w:spacing w:line="240" w:lineRule="auto"/>
    </w:pPr>
    <w:rPr>
      <w:sz w:val="20"/>
      <w:szCs w:val="20"/>
    </w:rPr>
  </w:style>
  <w:style w:type="character" w:customStyle="1" w:styleId="CommentTextChar">
    <w:name w:val="Comment Text Char"/>
    <w:basedOn w:val="DefaultParagraphFont"/>
    <w:link w:val="CommentText"/>
    <w:uiPriority w:val="99"/>
    <w:rsid w:val="0078555C"/>
    <w:rPr>
      <w:rFonts w:ascii="Franklin Gothic Book" w:eastAsia="Times New Roman" w:hAnsi="Franklin Gothic Book"/>
      <w:lang w:eastAsia="ja-JP"/>
    </w:rPr>
  </w:style>
  <w:style w:type="paragraph" w:customStyle="1" w:styleId="Tablenotes">
    <w:name w:val="Tablenotes"/>
    <w:basedOn w:val="Normal"/>
    <w:link w:val="TablenotesChar"/>
    <w:qFormat/>
    <w:rsid w:val="00897414"/>
    <w:pPr>
      <w:widowControl w:val="0"/>
      <w:spacing w:before="0" w:after="120" w:line="240" w:lineRule="auto"/>
      <w:contextualSpacing/>
    </w:pPr>
    <w:rPr>
      <w:rFonts w:ascii="Arial Narrow" w:hAnsi="Arial Narrow" w:cs="Arial"/>
      <w:snapToGrid w:val="0"/>
      <w:sz w:val="18"/>
      <w:szCs w:val="20"/>
      <w:lang w:eastAsia="en-US"/>
    </w:rPr>
  </w:style>
  <w:style w:type="character" w:customStyle="1" w:styleId="TablenotesChar">
    <w:name w:val="Tablenotes Char"/>
    <w:basedOn w:val="DefaultParagraphFont"/>
    <w:link w:val="Tablenotes"/>
    <w:rsid w:val="00897414"/>
    <w:rPr>
      <w:rFonts w:ascii="Arial Narrow" w:eastAsia="Times New Roman" w:hAnsi="Arial Narrow" w:cs="Arial"/>
      <w:snapToGrid w:val="0"/>
      <w:sz w:val="18"/>
      <w:lang w:eastAsia="en-US"/>
    </w:rPr>
  </w:style>
  <w:style w:type="paragraph" w:customStyle="1" w:styleId="011TableHeading9pt">
    <w:name w:val="01.1 Table Heading [9pt]"/>
    <w:qFormat/>
    <w:rsid w:val="0077053A"/>
    <w:pPr>
      <w:spacing w:before="80" w:after="40" w:line="259" w:lineRule="auto"/>
    </w:pPr>
    <w:rPr>
      <w:rFonts w:eastAsia="Times New Roman"/>
      <w:b/>
      <w:sz w:val="18"/>
      <w:szCs w:val="22"/>
      <w:lang w:eastAsia="ja-JP"/>
    </w:rPr>
  </w:style>
  <w:style w:type="paragraph" w:customStyle="1" w:styleId="051Tabletext229pt">
    <w:name w:val="05.1 Table text 2:2 [9pt]"/>
    <w:link w:val="051Tabletext229ptChar"/>
    <w:qFormat/>
    <w:rsid w:val="0077053A"/>
    <w:pPr>
      <w:spacing w:before="40" w:after="40"/>
    </w:pPr>
    <w:rPr>
      <w:rFonts w:eastAsia="Times New Roman"/>
      <w:sz w:val="18"/>
      <w:szCs w:val="22"/>
      <w:lang w:eastAsia="ja-JP"/>
    </w:rPr>
  </w:style>
  <w:style w:type="character" w:customStyle="1" w:styleId="051Tabletext229ptChar">
    <w:name w:val="05.1 Table text 2:2 [9pt] Char"/>
    <w:link w:val="051Tabletext229pt"/>
    <w:rsid w:val="0077053A"/>
    <w:rPr>
      <w:rFonts w:eastAsia="Times New Roman"/>
      <w:sz w:val="18"/>
      <w:szCs w:val="22"/>
      <w:lang w:eastAsia="ja-JP"/>
    </w:rPr>
  </w:style>
  <w:style w:type="paragraph" w:customStyle="1" w:styleId="TableHeading">
    <w:name w:val="TableHeading"/>
    <w:basedOn w:val="Normal"/>
    <w:link w:val="TableHeadingChar"/>
    <w:qFormat/>
    <w:rsid w:val="00AD3A16"/>
    <w:pPr>
      <w:keepNext/>
      <w:spacing w:after="60" w:line="240" w:lineRule="auto"/>
    </w:pPr>
    <w:rPr>
      <w:rFonts w:ascii="Arial Narrow" w:hAnsi="Arial Narrow"/>
      <w:b/>
      <w:sz w:val="20"/>
      <w:lang w:eastAsia="en-US"/>
    </w:rPr>
  </w:style>
  <w:style w:type="character" w:customStyle="1" w:styleId="TableHeadingChar">
    <w:name w:val="TableHeading Char"/>
    <w:link w:val="TableHeading"/>
    <w:locked/>
    <w:rsid w:val="00AD3A16"/>
    <w:rPr>
      <w:rFonts w:ascii="Arial Narrow" w:eastAsia="Times New Roman" w:hAnsi="Arial Narrow"/>
      <w:b/>
      <w:szCs w:val="22"/>
      <w:lang w:eastAsia="en-US"/>
    </w:rPr>
  </w:style>
  <w:style w:type="paragraph" w:customStyle="1" w:styleId="TableText">
    <w:name w:val="Table Text"/>
    <w:basedOn w:val="Normal"/>
    <w:link w:val="TableTextChar"/>
    <w:qFormat/>
    <w:rsid w:val="0031615D"/>
    <w:pPr>
      <w:spacing w:before="40" w:after="40" w:line="240" w:lineRule="auto"/>
    </w:pPr>
    <w:rPr>
      <w:rFonts w:ascii="Arial Narrow" w:eastAsiaTheme="minorHAnsi" w:hAnsi="Arial Narrow" w:cstheme="minorBidi"/>
      <w:sz w:val="20"/>
      <w:lang w:eastAsia="en-US"/>
    </w:rPr>
  </w:style>
  <w:style w:type="character" w:customStyle="1" w:styleId="TableTextChar">
    <w:name w:val="Table Text Char"/>
    <w:basedOn w:val="DefaultParagraphFont"/>
    <w:link w:val="TableText"/>
    <w:rsid w:val="0031615D"/>
    <w:rPr>
      <w:rFonts w:ascii="Arial Narrow" w:eastAsiaTheme="minorHAnsi" w:hAnsi="Arial Narrow" w:cstheme="minorBidi"/>
      <w:szCs w:val="22"/>
      <w:lang w:eastAsia="en-US"/>
    </w:rPr>
  </w:style>
  <w:style w:type="paragraph" w:customStyle="1" w:styleId="TableHeading0">
    <w:name w:val="Table Heading"/>
    <w:basedOn w:val="Normal"/>
    <w:qFormat/>
    <w:rsid w:val="00D7014D"/>
    <w:pPr>
      <w:spacing w:after="60" w:line="240" w:lineRule="auto"/>
    </w:pPr>
    <w:rPr>
      <w:rFonts w:ascii="Arial Narrow" w:eastAsiaTheme="minorHAnsi" w:hAnsi="Arial Narrow" w:cstheme="minorBidi"/>
      <w:b/>
      <w:sz w:val="20"/>
      <w:lang w:eastAsia="en-US"/>
    </w:rPr>
  </w:style>
  <w:style w:type="paragraph" w:customStyle="1" w:styleId="Tabletext0">
    <w:name w:val="Table text"/>
    <w:basedOn w:val="Normal"/>
    <w:link w:val="TabletextChar0"/>
    <w:qFormat/>
    <w:rsid w:val="0031615D"/>
    <w:pPr>
      <w:spacing w:before="40" w:after="40" w:line="240" w:lineRule="auto"/>
      <w:jc w:val="both"/>
    </w:pPr>
    <w:rPr>
      <w:rFonts w:ascii="Arial Narrow" w:hAnsi="Arial Narrow" w:cs="Tahoma"/>
      <w:sz w:val="20"/>
      <w:szCs w:val="20"/>
      <w:lang w:eastAsia="en-AU"/>
    </w:rPr>
  </w:style>
  <w:style w:type="character" w:customStyle="1" w:styleId="TabletextChar0">
    <w:name w:val="Table text Char"/>
    <w:link w:val="Tabletext0"/>
    <w:rsid w:val="0031615D"/>
    <w:rPr>
      <w:rFonts w:ascii="Arial Narrow" w:eastAsia="Times New Roman" w:hAnsi="Arial Narrow" w:cs="Tahoma"/>
    </w:rPr>
  </w:style>
  <w:style w:type="paragraph" w:customStyle="1" w:styleId="TableFigNoteLast">
    <w:name w:val="TableFigNote Last"/>
    <w:basedOn w:val="Normal"/>
    <w:qFormat/>
    <w:rsid w:val="0028275D"/>
    <w:pPr>
      <w:spacing w:after="360" w:line="240" w:lineRule="auto"/>
      <w:contextualSpacing/>
    </w:pPr>
    <w:rPr>
      <w:rFonts w:ascii="Arial Narrow" w:eastAsiaTheme="minorHAnsi" w:hAnsi="Arial Narrow" w:cstheme="minorBidi"/>
      <w:sz w:val="18"/>
      <w:lang w:eastAsia="en-US"/>
    </w:rPr>
  </w:style>
  <w:style w:type="character" w:styleId="Mention">
    <w:name w:val="Mention"/>
    <w:basedOn w:val="DefaultParagraphFont"/>
    <w:uiPriority w:val="99"/>
    <w:unhideWhenUsed/>
    <w:rsid w:val="007204F1"/>
    <w:rPr>
      <w:color w:val="2B579A"/>
      <w:shd w:val="clear" w:color="auto" w:fill="E1DFDD"/>
    </w:rPr>
  </w:style>
  <w:style w:type="character" w:customStyle="1" w:styleId="padding-left-05">
    <w:name w:val="padding-left-05"/>
    <w:basedOn w:val="DefaultParagraphFont"/>
    <w:rsid w:val="00CF0D2D"/>
  </w:style>
  <w:style w:type="paragraph" w:customStyle="1" w:styleId="TableFigureFooter">
    <w:name w:val="Table/Figure Footer"/>
    <w:basedOn w:val="Normal"/>
    <w:link w:val="TableFigureFooterChar"/>
    <w:qFormat/>
    <w:rsid w:val="00B8428A"/>
    <w:pPr>
      <w:tabs>
        <w:tab w:val="left" w:pos="284"/>
      </w:tabs>
      <w:spacing w:after="360" w:line="240" w:lineRule="auto"/>
    </w:pPr>
    <w:rPr>
      <w:rFonts w:ascii="Arial Narrow" w:hAnsi="Arial Narrow" w:cs="Arial"/>
      <w:snapToGrid w:val="0"/>
      <w:sz w:val="18"/>
      <w:lang w:eastAsia="en-AU"/>
    </w:rPr>
  </w:style>
  <w:style w:type="character" w:customStyle="1" w:styleId="TableFigureFooterChar">
    <w:name w:val="Table/Figure Footer Char"/>
    <w:link w:val="TableFigureFooter"/>
    <w:rsid w:val="00B8428A"/>
    <w:rPr>
      <w:rFonts w:ascii="Arial Narrow" w:eastAsia="Times New Roman" w:hAnsi="Arial Narrow" w:cs="Arial"/>
      <w:snapToGrid w:val="0"/>
      <w:sz w:val="18"/>
      <w:szCs w:val="22"/>
    </w:rPr>
  </w:style>
  <w:style w:type="paragraph" w:customStyle="1" w:styleId="ExecSumHeading4">
    <w:name w:val="Exec Sum Heading 4"/>
    <w:basedOn w:val="BodyText"/>
    <w:next w:val="BodyText"/>
    <w:qFormat/>
    <w:rsid w:val="00CE1ABA"/>
    <w:pPr>
      <w:spacing w:after="120"/>
      <w:outlineLvl w:val="3"/>
    </w:pPr>
    <w:rPr>
      <w:rFonts w:ascii="Franklin Gothic Medium" w:hAnsi="Franklin Gothic Medium"/>
      <w:i/>
      <w:iCs/>
    </w:rPr>
  </w:style>
  <w:style w:type="table" w:customStyle="1" w:styleId="TableGrid1">
    <w:name w:val="Table Grid1"/>
    <w:basedOn w:val="TableNormal"/>
    <w:next w:val="TableGrid"/>
    <w:rsid w:val="00300604"/>
    <w:rPr>
      <w:rFonts w:eastAsia="Times New Roman"/>
      <w:lang w:eastAsia="ja-JP"/>
    </w:rPr>
    <w:tblPr/>
  </w:style>
  <w:style w:type="paragraph" w:customStyle="1" w:styleId="Normalbold">
    <w:name w:val="Normal bold"/>
    <w:basedOn w:val="Normal"/>
    <w:next w:val="Normal"/>
    <w:qFormat/>
    <w:rsid w:val="005C713C"/>
    <w:pPr>
      <w:keepNext/>
    </w:pPr>
    <w:rPr>
      <w:rFonts w:eastAsiaTheme="minorHAnsi" w:cstheme="minorBidi"/>
      <w:b/>
      <w:bCs/>
      <w:lang w:eastAsia="en-US"/>
    </w:rPr>
  </w:style>
  <w:style w:type="table" w:customStyle="1" w:styleId="Section3-footnot1">
    <w:name w:val="Section 3- footnot1"/>
    <w:basedOn w:val="TableNormal"/>
    <w:next w:val="TableGrid"/>
    <w:uiPriority w:val="59"/>
    <w:rsid w:val="00055104"/>
    <w:rPr>
      <w:rFonts w:asciiTheme="minorHAnsi" w:eastAsiaTheme="minorHAnsi" w:hAnsiTheme="minorHAnsi" w:cstheme="minorBidi"/>
      <w:sz w:val="22"/>
      <w:szCs w:val="22"/>
      <w:lang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419">
      <w:bodyDiv w:val="1"/>
      <w:marLeft w:val="0"/>
      <w:marRight w:val="0"/>
      <w:marTop w:val="0"/>
      <w:marBottom w:val="0"/>
      <w:divBdr>
        <w:top w:val="none" w:sz="0" w:space="0" w:color="auto"/>
        <w:left w:val="none" w:sz="0" w:space="0" w:color="auto"/>
        <w:bottom w:val="none" w:sz="0" w:space="0" w:color="auto"/>
        <w:right w:val="none" w:sz="0" w:space="0" w:color="auto"/>
      </w:divBdr>
      <w:divsChild>
        <w:div w:id="2065178780">
          <w:marLeft w:val="0"/>
          <w:marRight w:val="0"/>
          <w:marTop w:val="0"/>
          <w:marBottom w:val="0"/>
          <w:divBdr>
            <w:top w:val="none" w:sz="0" w:space="0" w:color="auto"/>
            <w:left w:val="none" w:sz="0" w:space="0" w:color="auto"/>
            <w:bottom w:val="none" w:sz="0" w:space="0" w:color="auto"/>
            <w:right w:val="none" w:sz="0" w:space="0" w:color="auto"/>
          </w:divBdr>
          <w:divsChild>
            <w:div w:id="5575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9062">
      <w:bodyDiv w:val="1"/>
      <w:marLeft w:val="0"/>
      <w:marRight w:val="0"/>
      <w:marTop w:val="0"/>
      <w:marBottom w:val="0"/>
      <w:divBdr>
        <w:top w:val="none" w:sz="0" w:space="0" w:color="auto"/>
        <w:left w:val="none" w:sz="0" w:space="0" w:color="auto"/>
        <w:bottom w:val="none" w:sz="0" w:space="0" w:color="auto"/>
        <w:right w:val="none" w:sz="0" w:space="0" w:color="auto"/>
      </w:divBdr>
    </w:div>
    <w:div w:id="76634206">
      <w:bodyDiv w:val="1"/>
      <w:marLeft w:val="0"/>
      <w:marRight w:val="0"/>
      <w:marTop w:val="0"/>
      <w:marBottom w:val="0"/>
      <w:divBdr>
        <w:top w:val="none" w:sz="0" w:space="0" w:color="auto"/>
        <w:left w:val="none" w:sz="0" w:space="0" w:color="auto"/>
        <w:bottom w:val="none" w:sz="0" w:space="0" w:color="auto"/>
        <w:right w:val="none" w:sz="0" w:space="0" w:color="auto"/>
      </w:divBdr>
    </w:div>
    <w:div w:id="79564481">
      <w:bodyDiv w:val="1"/>
      <w:marLeft w:val="0"/>
      <w:marRight w:val="0"/>
      <w:marTop w:val="0"/>
      <w:marBottom w:val="0"/>
      <w:divBdr>
        <w:top w:val="none" w:sz="0" w:space="0" w:color="auto"/>
        <w:left w:val="none" w:sz="0" w:space="0" w:color="auto"/>
        <w:bottom w:val="none" w:sz="0" w:space="0" w:color="auto"/>
        <w:right w:val="none" w:sz="0" w:space="0" w:color="auto"/>
      </w:divBdr>
      <w:divsChild>
        <w:div w:id="788200">
          <w:marLeft w:val="0"/>
          <w:marRight w:val="0"/>
          <w:marTop w:val="0"/>
          <w:marBottom w:val="0"/>
          <w:divBdr>
            <w:top w:val="none" w:sz="0" w:space="0" w:color="auto"/>
            <w:left w:val="none" w:sz="0" w:space="0" w:color="auto"/>
            <w:bottom w:val="none" w:sz="0" w:space="0" w:color="auto"/>
            <w:right w:val="none" w:sz="0" w:space="0" w:color="auto"/>
          </w:divBdr>
          <w:divsChild>
            <w:div w:id="1151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8059">
      <w:bodyDiv w:val="1"/>
      <w:marLeft w:val="0"/>
      <w:marRight w:val="0"/>
      <w:marTop w:val="0"/>
      <w:marBottom w:val="0"/>
      <w:divBdr>
        <w:top w:val="none" w:sz="0" w:space="0" w:color="auto"/>
        <w:left w:val="none" w:sz="0" w:space="0" w:color="auto"/>
        <w:bottom w:val="none" w:sz="0" w:space="0" w:color="auto"/>
        <w:right w:val="none" w:sz="0" w:space="0" w:color="auto"/>
      </w:divBdr>
      <w:divsChild>
        <w:div w:id="568878823">
          <w:marLeft w:val="0"/>
          <w:marRight w:val="0"/>
          <w:marTop w:val="0"/>
          <w:marBottom w:val="0"/>
          <w:divBdr>
            <w:top w:val="none" w:sz="0" w:space="0" w:color="auto"/>
            <w:left w:val="none" w:sz="0" w:space="0" w:color="auto"/>
            <w:bottom w:val="none" w:sz="0" w:space="0" w:color="auto"/>
            <w:right w:val="none" w:sz="0" w:space="0" w:color="auto"/>
          </w:divBdr>
          <w:divsChild>
            <w:div w:id="1938560236">
              <w:marLeft w:val="0"/>
              <w:marRight w:val="0"/>
              <w:marTop w:val="0"/>
              <w:marBottom w:val="0"/>
              <w:divBdr>
                <w:top w:val="none" w:sz="0" w:space="0" w:color="auto"/>
                <w:left w:val="none" w:sz="0" w:space="0" w:color="auto"/>
                <w:bottom w:val="none" w:sz="0" w:space="0" w:color="auto"/>
                <w:right w:val="none" w:sz="0" w:space="0" w:color="auto"/>
              </w:divBdr>
              <w:divsChild>
                <w:div w:id="314771880">
                  <w:marLeft w:val="0"/>
                  <w:marRight w:val="0"/>
                  <w:marTop w:val="0"/>
                  <w:marBottom w:val="0"/>
                  <w:divBdr>
                    <w:top w:val="none" w:sz="0" w:space="0" w:color="auto"/>
                    <w:left w:val="none" w:sz="0" w:space="0" w:color="auto"/>
                    <w:bottom w:val="none" w:sz="0" w:space="0" w:color="auto"/>
                    <w:right w:val="none" w:sz="0" w:space="0" w:color="auto"/>
                  </w:divBdr>
                  <w:divsChild>
                    <w:div w:id="236403617">
                      <w:marLeft w:val="0"/>
                      <w:marRight w:val="0"/>
                      <w:marTop w:val="0"/>
                      <w:marBottom w:val="0"/>
                      <w:divBdr>
                        <w:top w:val="none" w:sz="0" w:space="0" w:color="auto"/>
                        <w:left w:val="none" w:sz="0" w:space="0" w:color="auto"/>
                        <w:bottom w:val="none" w:sz="0" w:space="0" w:color="auto"/>
                        <w:right w:val="none" w:sz="0" w:space="0" w:color="auto"/>
                      </w:divBdr>
                      <w:divsChild>
                        <w:div w:id="827985811">
                          <w:marLeft w:val="0"/>
                          <w:marRight w:val="0"/>
                          <w:marTop w:val="0"/>
                          <w:marBottom w:val="0"/>
                          <w:divBdr>
                            <w:top w:val="none" w:sz="0" w:space="0" w:color="auto"/>
                            <w:left w:val="none" w:sz="0" w:space="0" w:color="auto"/>
                            <w:bottom w:val="none" w:sz="0" w:space="0" w:color="auto"/>
                            <w:right w:val="none" w:sz="0" w:space="0" w:color="auto"/>
                          </w:divBdr>
                          <w:divsChild>
                            <w:div w:id="706641460">
                              <w:marLeft w:val="0"/>
                              <w:marRight w:val="0"/>
                              <w:marTop w:val="0"/>
                              <w:marBottom w:val="0"/>
                              <w:divBdr>
                                <w:top w:val="none" w:sz="0" w:space="0" w:color="auto"/>
                                <w:left w:val="none" w:sz="0" w:space="0" w:color="auto"/>
                                <w:bottom w:val="none" w:sz="0" w:space="0" w:color="auto"/>
                                <w:right w:val="none" w:sz="0" w:space="0" w:color="auto"/>
                              </w:divBdr>
                              <w:divsChild>
                                <w:div w:id="821700121">
                                  <w:marLeft w:val="0"/>
                                  <w:marRight w:val="0"/>
                                  <w:marTop w:val="0"/>
                                  <w:marBottom w:val="0"/>
                                  <w:divBdr>
                                    <w:top w:val="none" w:sz="0" w:space="0" w:color="auto"/>
                                    <w:left w:val="none" w:sz="0" w:space="0" w:color="auto"/>
                                    <w:bottom w:val="none" w:sz="0" w:space="0" w:color="auto"/>
                                    <w:right w:val="none" w:sz="0" w:space="0" w:color="auto"/>
                                  </w:divBdr>
                                  <w:divsChild>
                                    <w:div w:id="125181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9389">
                      <w:marLeft w:val="0"/>
                      <w:marRight w:val="0"/>
                      <w:marTop w:val="0"/>
                      <w:marBottom w:val="0"/>
                      <w:divBdr>
                        <w:top w:val="none" w:sz="0" w:space="0" w:color="auto"/>
                        <w:left w:val="none" w:sz="0" w:space="0" w:color="auto"/>
                        <w:bottom w:val="none" w:sz="0" w:space="0" w:color="auto"/>
                        <w:right w:val="none" w:sz="0" w:space="0" w:color="auto"/>
                      </w:divBdr>
                      <w:divsChild>
                        <w:div w:id="809709713">
                          <w:marLeft w:val="0"/>
                          <w:marRight w:val="0"/>
                          <w:marTop w:val="0"/>
                          <w:marBottom w:val="0"/>
                          <w:divBdr>
                            <w:top w:val="none" w:sz="0" w:space="0" w:color="auto"/>
                            <w:left w:val="none" w:sz="0" w:space="0" w:color="auto"/>
                            <w:bottom w:val="none" w:sz="0" w:space="0" w:color="auto"/>
                            <w:right w:val="none" w:sz="0" w:space="0" w:color="auto"/>
                          </w:divBdr>
                        </w:div>
                        <w:div w:id="1110007889">
                          <w:marLeft w:val="0"/>
                          <w:marRight w:val="0"/>
                          <w:marTop w:val="0"/>
                          <w:marBottom w:val="0"/>
                          <w:divBdr>
                            <w:top w:val="none" w:sz="0" w:space="0" w:color="auto"/>
                            <w:left w:val="none" w:sz="0" w:space="0" w:color="auto"/>
                            <w:bottom w:val="none" w:sz="0" w:space="0" w:color="auto"/>
                            <w:right w:val="none" w:sz="0" w:space="0" w:color="auto"/>
                          </w:divBdr>
                          <w:divsChild>
                            <w:div w:id="970398163">
                              <w:marLeft w:val="0"/>
                              <w:marRight w:val="0"/>
                              <w:marTop w:val="0"/>
                              <w:marBottom w:val="0"/>
                              <w:divBdr>
                                <w:top w:val="none" w:sz="0" w:space="0" w:color="auto"/>
                                <w:left w:val="none" w:sz="0" w:space="0" w:color="auto"/>
                                <w:bottom w:val="none" w:sz="0" w:space="0" w:color="auto"/>
                                <w:right w:val="none" w:sz="0" w:space="0" w:color="auto"/>
                              </w:divBdr>
                              <w:divsChild>
                                <w:div w:id="1811510598">
                                  <w:marLeft w:val="0"/>
                                  <w:marRight w:val="0"/>
                                  <w:marTop w:val="0"/>
                                  <w:marBottom w:val="0"/>
                                  <w:divBdr>
                                    <w:top w:val="none" w:sz="0" w:space="0" w:color="auto"/>
                                    <w:left w:val="none" w:sz="0" w:space="0" w:color="auto"/>
                                    <w:bottom w:val="none" w:sz="0" w:space="0" w:color="auto"/>
                                    <w:right w:val="none" w:sz="0" w:space="0" w:color="auto"/>
                                  </w:divBdr>
                                  <w:divsChild>
                                    <w:div w:id="96516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377997">
          <w:marLeft w:val="0"/>
          <w:marRight w:val="0"/>
          <w:marTop w:val="0"/>
          <w:marBottom w:val="0"/>
          <w:divBdr>
            <w:top w:val="none" w:sz="0" w:space="0" w:color="auto"/>
            <w:left w:val="none" w:sz="0" w:space="0" w:color="auto"/>
            <w:bottom w:val="none" w:sz="0" w:space="0" w:color="auto"/>
            <w:right w:val="none" w:sz="0" w:space="0" w:color="auto"/>
          </w:divBdr>
          <w:divsChild>
            <w:div w:id="1492213869">
              <w:marLeft w:val="0"/>
              <w:marRight w:val="0"/>
              <w:marTop w:val="0"/>
              <w:marBottom w:val="0"/>
              <w:divBdr>
                <w:top w:val="none" w:sz="0" w:space="0" w:color="auto"/>
                <w:left w:val="none" w:sz="0" w:space="0" w:color="auto"/>
                <w:bottom w:val="none" w:sz="0" w:space="0" w:color="auto"/>
                <w:right w:val="none" w:sz="0" w:space="0" w:color="auto"/>
              </w:divBdr>
              <w:divsChild>
                <w:div w:id="656304965">
                  <w:marLeft w:val="0"/>
                  <w:marRight w:val="0"/>
                  <w:marTop w:val="0"/>
                  <w:marBottom w:val="0"/>
                  <w:divBdr>
                    <w:top w:val="none" w:sz="0" w:space="0" w:color="auto"/>
                    <w:left w:val="none" w:sz="0" w:space="0" w:color="auto"/>
                    <w:bottom w:val="none" w:sz="0" w:space="0" w:color="auto"/>
                    <w:right w:val="none" w:sz="0" w:space="0" w:color="auto"/>
                  </w:divBdr>
                  <w:divsChild>
                    <w:div w:id="1644852897">
                      <w:marLeft w:val="0"/>
                      <w:marRight w:val="0"/>
                      <w:marTop w:val="0"/>
                      <w:marBottom w:val="0"/>
                      <w:divBdr>
                        <w:top w:val="none" w:sz="0" w:space="0" w:color="auto"/>
                        <w:left w:val="none" w:sz="0" w:space="0" w:color="auto"/>
                        <w:bottom w:val="none" w:sz="0" w:space="0" w:color="auto"/>
                        <w:right w:val="none" w:sz="0" w:space="0" w:color="auto"/>
                      </w:divBdr>
                      <w:divsChild>
                        <w:div w:id="1152452654">
                          <w:marLeft w:val="0"/>
                          <w:marRight w:val="0"/>
                          <w:marTop w:val="0"/>
                          <w:marBottom w:val="0"/>
                          <w:divBdr>
                            <w:top w:val="none" w:sz="0" w:space="0" w:color="auto"/>
                            <w:left w:val="none" w:sz="0" w:space="0" w:color="auto"/>
                            <w:bottom w:val="none" w:sz="0" w:space="0" w:color="auto"/>
                            <w:right w:val="none" w:sz="0" w:space="0" w:color="auto"/>
                          </w:divBdr>
                          <w:divsChild>
                            <w:div w:id="1858500535">
                              <w:marLeft w:val="0"/>
                              <w:marRight w:val="0"/>
                              <w:marTop w:val="0"/>
                              <w:marBottom w:val="0"/>
                              <w:divBdr>
                                <w:top w:val="none" w:sz="0" w:space="0" w:color="auto"/>
                                <w:left w:val="none" w:sz="0" w:space="0" w:color="auto"/>
                                <w:bottom w:val="none" w:sz="0" w:space="0" w:color="auto"/>
                                <w:right w:val="none" w:sz="0" w:space="0" w:color="auto"/>
                              </w:divBdr>
                              <w:divsChild>
                                <w:div w:id="2025739019">
                                  <w:marLeft w:val="0"/>
                                  <w:marRight w:val="0"/>
                                  <w:marTop w:val="0"/>
                                  <w:marBottom w:val="0"/>
                                  <w:divBdr>
                                    <w:top w:val="none" w:sz="0" w:space="0" w:color="auto"/>
                                    <w:left w:val="none" w:sz="0" w:space="0" w:color="auto"/>
                                    <w:bottom w:val="none" w:sz="0" w:space="0" w:color="auto"/>
                                    <w:right w:val="none" w:sz="0" w:space="0" w:color="auto"/>
                                  </w:divBdr>
                                  <w:divsChild>
                                    <w:div w:id="1785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44417">
                          <w:marLeft w:val="0"/>
                          <w:marRight w:val="0"/>
                          <w:marTop w:val="0"/>
                          <w:marBottom w:val="0"/>
                          <w:divBdr>
                            <w:top w:val="none" w:sz="0" w:space="0" w:color="auto"/>
                            <w:left w:val="none" w:sz="0" w:space="0" w:color="auto"/>
                            <w:bottom w:val="none" w:sz="0" w:space="0" w:color="auto"/>
                            <w:right w:val="none" w:sz="0" w:space="0" w:color="auto"/>
                          </w:divBdr>
                        </w:div>
                      </w:divsChild>
                    </w:div>
                    <w:div w:id="2139445427">
                      <w:marLeft w:val="0"/>
                      <w:marRight w:val="0"/>
                      <w:marTop w:val="0"/>
                      <w:marBottom w:val="0"/>
                      <w:divBdr>
                        <w:top w:val="none" w:sz="0" w:space="0" w:color="auto"/>
                        <w:left w:val="none" w:sz="0" w:space="0" w:color="auto"/>
                        <w:bottom w:val="none" w:sz="0" w:space="0" w:color="auto"/>
                        <w:right w:val="none" w:sz="0" w:space="0" w:color="auto"/>
                      </w:divBdr>
                      <w:divsChild>
                        <w:div w:id="1815873473">
                          <w:marLeft w:val="0"/>
                          <w:marRight w:val="0"/>
                          <w:marTop w:val="0"/>
                          <w:marBottom w:val="0"/>
                          <w:divBdr>
                            <w:top w:val="none" w:sz="0" w:space="0" w:color="auto"/>
                            <w:left w:val="none" w:sz="0" w:space="0" w:color="auto"/>
                            <w:bottom w:val="none" w:sz="0" w:space="0" w:color="auto"/>
                            <w:right w:val="none" w:sz="0" w:space="0" w:color="auto"/>
                          </w:divBdr>
                          <w:divsChild>
                            <w:div w:id="2111657816">
                              <w:marLeft w:val="0"/>
                              <w:marRight w:val="0"/>
                              <w:marTop w:val="0"/>
                              <w:marBottom w:val="0"/>
                              <w:divBdr>
                                <w:top w:val="none" w:sz="0" w:space="0" w:color="auto"/>
                                <w:left w:val="none" w:sz="0" w:space="0" w:color="auto"/>
                                <w:bottom w:val="none" w:sz="0" w:space="0" w:color="auto"/>
                                <w:right w:val="none" w:sz="0" w:space="0" w:color="auto"/>
                              </w:divBdr>
                              <w:divsChild>
                                <w:div w:id="907837382">
                                  <w:marLeft w:val="0"/>
                                  <w:marRight w:val="0"/>
                                  <w:marTop w:val="0"/>
                                  <w:marBottom w:val="0"/>
                                  <w:divBdr>
                                    <w:top w:val="none" w:sz="0" w:space="0" w:color="auto"/>
                                    <w:left w:val="none" w:sz="0" w:space="0" w:color="auto"/>
                                    <w:bottom w:val="none" w:sz="0" w:space="0" w:color="auto"/>
                                    <w:right w:val="none" w:sz="0" w:space="0" w:color="auto"/>
                                  </w:divBdr>
                                  <w:divsChild>
                                    <w:div w:id="164816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5670">
      <w:bodyDiv w:val="1"/>
      <w:marLeft w:val="0"/>
      <w:marRight w:val="0"/>
      <w:marTop w:val="0"/>
      <w:marBottom w:val="0"/>
      <w:divBdr>
        <w:top w:val="none" w:sz="0" w:space="0" w:color="auto"/>
        <w:left w:val="none" w:sz="0" w:space="0" w:color="auto"/>
        <w:bottom w:val="none" w:sz="0" w:space="0" w:color="auto"/>
        <w:right w:val="none" w:sz="0" w:space="0" w:color="auto"/>
      </w:divBdr>
    </w:div>
    <w:div w:id="106170061">
      <w:bodyDiv w:val="1"/>
      <w:marLeft w:val="0"/>
      <w:marRight w:val="0"/>
      <w:marTop w:val="0"/>
      <w:marBottom w:val="0"/>
      <w:divBdr>
        <w:top w:val="none" w:sz="0" w:space="0" w:color="auto"/>
        <w:left w:val="none" w:sz="0" w:space="0" w:color="auto"/>
        <w:bottom w:val="none" w:sz="0" w:space="0" w:color="auto"/>
        <w:right w:val="none" w:sz="0" w:space="0" w:color="auto"/>
      </w:divBdr>
    </w:div>
    <w:div w:id="115833279">
      <w:bodyDiv w:val="1"/>
      <w:marLeft w:val="0"/>
      <w:marRight w:val="0"/>
      <w:marTop w:val="0"/>
      <w:marBottom w:val="0"/>
      <w:divBdr>
        <w:top w:val="none" w:sz="0" w:space="0" w:color="auto"/>
        <w:left w:val="none" w:sz="0" w:space="0" w:color="auto"/>
        <w:bottom w:val="none" w:sz="0" w:space="0" w:color="auto"/>
        <w:right w:val="none" w:sz="0" w:space="0" w:color="auto"/>
      </w:divBdr>
      <w:divsChild>
        <w:div w:id="716974223">
          <w:marLeft w:val="0"/>
          <w:marRight w:val="0"/>
          <w:marTop w:val="0"/>
          <w:marBottom w:val="0"/>
          <w:divBdr>
            <w:top w:val="none" w:sz="0" w:space="0" w:color="auto"/>
            <w:left w:val="none" w:sz="0" w:space="0" w:color="auto"/>
            <w:bottom w:val="none" w:sz="0" w:space="0" w:color="auto"/>
            <w:right w:val="none" w:sz="0" w:space="0" w:color="auto"/>
          </w:divBdr>
          <w:divsChild>
            <w:div w:id="19004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5098">
      <w:bodyDiv w:val="1"/>
      <w:marLeft w:val="0"/>
      <w:marRight w:val="0"/>
      <w:marTop w:val="0"/>
      <w:marBottom w:val="0"/>
      <w:divBdr>
        <w:top w:val="none" w:sz="0" w:space="0" w:color="auto"/>
        <w:left w:val="none" w:sz="0" w:space="0" w:color="auto"/>
        <w:bottom w:val="none" w:sz="0" w:space="0" w:color="auto"/>
        <w:right w:val="none" w:sz="0" w:space="0" w:color="auto"/>
      </w:divBdr>
      <w:divsChild>
        <w:div w:id="511067568">
          <w:marLeft w:val="0"/>
          <w:marRight w:val="0"/>
          <w:marTop w:val="0"/>
          <w:marBottom w:val="0"/>
          <w:divBdr>
            <w:top w:val="none" w:sz="0" w:space="0" w:color="auto"/>
            <w:left w:val="none" w:sz="0" w:space="0" w:color="auto"/>
            <w:bottom w:val="none" w:sz="0" w:space="0" w:color="auto"/>
            <w:right w:val="none" w:sz="0" w:space="0" w:color="auto"/>
          </w:divBdr>
          <w:divsChild>
            <w:div w:id="9766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3626">
      <w:bodyDiv w:val="1"/>
      <w:marLeft w:val="0"/>
      <w:marRight w:val="0"/>
      <w:marTop w:val="0"/>
      <w:marBottom w:val="0"/>
      <w:divBdr>
        <w:top w:val="none" w:sz="0" w:space="0" w:color="auto"/>
        <w:left w:val="none" w:sz="0" w:space="0" w:color="auto"/>
        <w:bottom w:val="none" w:sz="0" w:space="0" w:color="auto"/>
        <w:right w:val="none" w:sz="0" w:space="0" w:color="auto"/>
      </w:divBdr>
      <w:divsChild>
        <w:div w:id="1362781435">
          <w:marLeft w:val="0"/>
          <w:marRight w:val="0"/>
          <w:marTop w:val="0"/>
          <w:marBottom w:val="0"/>
          <w:divBdr>
            <w:top w:val="none" w:sz="0" w:space="0" w:color="auto"/>
            <w:left w:val="none" w:sz="0" w:space="0" w:color="auto"/>
            <w:bottom w:val="none" w:sz="0" w:space="0" w:color="auto"/>
            <w:right w:val="none" w:sz="0" w:space="0" w:color="auto"/>
          </w:divBdr>
          <w:divsChild>
            <w:div w:id="8711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1427">
      <w:bodyDiv w:val="1"/>
      <w:marLeft w:val="0"/>
      <w:marRight w:val="0"/>
      <w:marTop w:val="0"/>
      <w:marBottom w:val="0"/>
      <w:divBdr>
        <w:top w:val="none" w:sz="0" w:space="0" w:color="auto"/>
        <w:left w:val="none" w:sz="0" w:space="0" w:color="auto"/>
        <w:bottom w:val="none" w:sz="0" w:space="0" w:color="auto"/>
        <w:right w:val="none" w:sz="0" w:space="0" w:color="auto"/>
      </w:divBdr>
      <w:divsChild>
        <w:div w:id="304822596">
          <w:marLeft w:val="0"/>
          <w:marRight w:val="0"/>
          <w:marTop w:val="0"/>
          <w:marBottom w:val="0"/>
          <w:divBdr>
            <w:top w:val="none" w:sz="0" w:space="0" w:color="auto"/>
            <w:left w:val="none" w:sz="0" w:space="0" w:color="auto"/>
            <w:bottom w:val="none" w:sz="0" w:space="0" w:color="auto"/>
            <w:right w:val="none" w:sz="0" w:space="0" w:color="auto"/>
          </w:divBdr>
          <w:divsChild>
            <w:div w:id="3812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1665">
      <w:bodyDiv w:val="1"/>
      <w:marLeft w:val="0"/>
      <w:marRight w:val="0"/>
      <w:marTop w:val="0"/>
      <w:marBottom w:val="0"/>
      <w:divBdr>
        <w:top w:val="none" w:sz="0" w:space="0" w:color="auto"/>
        <w:left w:val="none" w:sz="0" w:space="0" w:color="auto"/>
        <w:bottom w:val="none" w:sz="0" w:space="0" w:color="auto"/>
        <w:right w:val="none" w:sz="0" w:space="0" w:color="auto"/>
      </w:divBdr>
      <w:divsChild>
        <w:div w:id="768964863">
          <w:marLeft w:val="0"/>
          <w:marRight w:val="0"/>
          <w:marTop w:val="0"/>
          <w:marBottom w:val="0"/>
          <w:divBdr>
            <w:top w:val="none" w:sz="0" w:space="0" w:color="auto"/>
            <w:left w:val="none" w:sz="0" w:space="0" w:color="auto"/>
            <w:bottom w:val="none" w:sz="0" w:space="0" w:color="auto"/>
            <w:right w:val="none" w:sz="0" w:space="0" w:color="auto"/>
          </w:divBdr>
          <w:divsChild>
            <w:div w:id="1562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2972">
      <w:bodyDiv w:val="1"/>
      <w:marLeft w:val="0"/>
      <w:marRight w:val="0"/>
      <w:marTop w:val="0"/>
      <w:marBottom w:val="0"/>
      <w:divBdr>
        <w:top w:val="none" w:sz="0" w:space="0" w:color="auto"/>
        <w:left w:val="none" w:sz="0" w:space="0" w:color="auto"/>
        <w:bottom w:val="none" w:sz="0" w:space="0" w:color="auto"/>
        <w:right w:val="none" w:sz="0" w:space="0" w:color="auto"/>
      </w:divBdr>
      <w:divsChild>
        <w:div w:id="360473757">
          <w:marLeft w:val="0"/>
          <w:marRight w:val="0"/>
          <w:marTop w:val="0"/>
          <w:marBottom w:val="0"/>
          <w:divBdr>
            <w:top w:val="none" w:sz="0" w:space="0" w:color="auto"/>
            <w:left w:val="none" w:sz="0" w:space="0" w:color="auto"/>
            <w:bottom w:val="none" w:sz="0" w:space="0" w:color="auto"/>
            <w:right w:val="none" w:sz="0" w:space="0" w:color="auto"/>
          </w:divBdr>
          <w:divsChild>
            <w:div w:id="12965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14601">
      <w:bodyDiv w:val="1"/>
      <w:marLeft w:val="0"/>
      <w:marRight w:val="0"/>
      <w:marTop w:val="0"/>
      <w:marBottom w:val="0"/>
      <w:divBdr>
        <w:top w:val="none" w:sz="0" w:space="0" w:color="auto"/>
        <w:left w:val="none" w:sz="0" w:space="0" w:color="auto"/>
        <w:bottom w:val="none" w:sz="0" w:space="0" w:color="auto"/>
        <w:right w:val="none" w:sz="0" w:space="0" w:color="auto"/>
      </w:divBdr>
    </w:div>
    <w:div w:id="234246398">
      <w:bodyDiv w:val="1"/>
      <w:marLeft w:val="0"/>
      <w:marRight w:val="0"/>
      <w:marTop w:val="0"/>
      <w:marBottom w:val="0"/>
      <w:divBdr>
        <w:top w:val="none" w:sz="0" w:space="0" w:color="auto"/>
        <w:left w:val="none" w:sz="0" w:space="0" w:color="auto"/>
        <w:bottom w:val="none" w:sz="0" w:space="0" w:color="auto"/>
        <w:right w:val="none" w:sz="0" w:space="0" w:color="auto"/>
      </w:divBdr>
      <w:divsChild>
        <w:div w:id="1381786184">
          <w:marLeft w:val="0"/>
          <w:marRight w:val="0"/>
          <w:marTop w:val="0"/>
          <w:marBottom w:val="0"/>
          <w:divBdr>
            <w:top w:val="none" w:sz="0" w:space="0" w:color="auto"/>
            <w:left w:val="none" w:sz="0" w:space="0" w:color="auto"/>
            <w:bottom w:val="none" w:sz="0" w:space="0" w:color="auto"/>
            <w:right w:val="none" w:sz="0" w:space="0" w:color="auto"/>
          </w:divBdr>
          <w:divsChild>
            <w:div w:id="171527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6288">
      <w:bodyDiv w:val="1"/>
      <w:marLeft w:val="0"/>
      <w:marRight w:val="0"/>
      <w:marTop w:val="0"/>
      <w:marBottom w:val="0"/>
      <w:divBdr>
        <w:top w:val="none" w:sz="0" w:space="0" w:color="auto"/>
        <w:left w:val="none" w:sz="0" w:space="0" w:color="auto"/>
        <w:bottom w:val="none" w:sz="0" w:space="0" w:color="auto"/>
        <w:right w:val="none" w:sz="0" w:space="0" w:color="auto"/>
      </w:divBdr>
      <w:divsChild>
        <w:div w:id="382214013">
          <w:marLeft w:val="0"/>
          <w:marRight w:val="0"/>
          <w:marTop w:val="0"/>
          <w:marBottom w:val="0"/>
          <w:divBdr>
            <w:top w:val="none" w:sz="0" w:space="0" w:color="auto"/>
            <w:left w:val="none" w:sz="0" w:space="0" w:color="auto"/>
            <w:bottom w:val="none" w:sz="0" w:space="0" w:color="auto"/>
            <w:right w:val="none" w:sz="0" w:space="0" w:color="auto"/>
          </w:divBdr>
          <w:divsChild>
            <w:div w:id="930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31278">
      <w:bodyDiv w:val="1"/>
      <w:marLeft w:val="0"/>
      <w:marRight w:val="0"/>
      <w:marTop w:val="0"/>
      <w:marBottom w:val="0"/>
      <w:divBdr>
        <w:top w:val="none" w:sz="0" w:space="0" w:color="auto"/>
        <w:left w:val="none" w:sz="0" w:space="0" w:color="auto"/>
        <w:bottom w:val="none" w:sz="0" w:space="0" w:color="auto"/>
        <w:right w:val="none" w:sz="0" w:space="0" w:color="auto"/>
      </w:divBdr>
      <w:divsChild>
        <w:div w:id="1395856663">
          <w:marLeft w:val="0"/>
          <w:marRight w:val="0"/>
          <w:marTop w:val="0"/>
          <w:marBottom w:val="0"/>
          <w:divBdr>
            <w:top w:val="none" w:sz="0" w:space="0" w:color="auto"/>
            <w:left w:val="none" w:sz="0" w:space="0" w:color="auto"/>
            <w:bottom w:val="none" w:sz="0" w:space="0" w:color="auto"/>
            <w:right w:val="none" w:sz="0" w:space="0" w:color="auto"/>
          </w:divBdr>
          <w:divsChild>
            <w:div w:id="1769695665">
              <w:marLeft w:val="0"/>
              <w:marRight w:val="0"/>
              <w:marTop w:val="0"/>
              <w:marBottom w:val="0"/>
              <w:divBdr>
                <w:top w:val="none" w:sz="0" w:space="0" w:color="auto"/>
                <w:left w:val="none" w:sz="0" w:space="0" w:color="auto"/>
                <w:bottom w:val="none" w:sz="0" w:space="0" w:color="auto"/>
                <w:right w:val="none" w:sz="0" w:space="0" w:color="auto"/>
              </w:divBdr>
              <w:divsChild>
                <w:div w:id="1844860666">
                  <w:marLeft w:val="0"/>
                  <w:marRight w:val="0"/>
                  <w:marTop w:val="0"/>
                  <w:marBottom w:val="0"/>
                  <w:divBdr>
                    <w:top w:val="none" w:sz="0" w:space="0" w:color="auto"/>
                    <w:left w:val="none" w:sz="0" w:space="0" w:color="auto"/>
                    <w:bottom w:val="none" w:sz="0" w:space="0" w:color="auto"/>
                    <w:right w:val="none" w:sz="0" w:space="0" w:color="auto"/>
                  </w:divBdr>
                  <w:divsChild>
                    <w:div w:id="11076235">
                      <w:marLeft w:val="0"/>
                      <w:marRight w:val="0"/>
                      <w:marTop w:val="0"/>
                      <w:marBottom w:val="0"/>
                      <w:divBdr>
                        <w:top w:val="none" w:sz="0" w:space="0" w:color="auto"/>
                        <w:left w:val="none" w:sz="0" w:space="0" w:color="auto"/>
                        <w:bottom w:val="none" w:sz="0" w:space="0" w:color="auto"/>
                        <w:right w:val="none" w:sz="0" w:space="0" w:color="auto"/>
                      </w:divBdr>
                      <w:divsChild>
                        <w:div w:id="841819379">
                          <w:marLeft w:val="0"/>
                          <w:marRight w:val="0"/>
                          <w:marTop w:val="0"/>
                          <w:marBottom w:val="0"/>
                          <w:divBdr>
                            <w:top w:val="none" w:sz="0" w:space="0" w:color="auto"/>
                            <w:left w:val="none" w:sz="0" w:space="0" w:color="auto"/>
                            <w:bottom w:val="none" w:sz="0" w:space="0" w:color="auto"/>
                            <w:right w:val="none" w:sz="0" w:space="0" w:color="auto"/>
                          </w:divBdr>
                          <w:divsChild>
                            <w:div w:id="1197890678">
                              <w:marLeft w:val="0"/>
                              <w:marRight w:val="0"/>
                              <w:marTop w:val="0"/>
                              <w:marBottom w:val="0"/>
                              <w:divBdr>
                                <w:top w:val="none" w:sz="0" w:space="0" w:color="auto"/>
                                <w:left w:val="none" w:sz="0" w:space="0" w:color="auto"/>
                                <w:bottom w:val="none" w:sz="0" w:space="0" w:color="auto"/>
                                <w:right w:val="none" w:sz="0" w:space="0" w:color="auto"/>
                              </w:divBdr>
                              <w:divsChild>
                                <w:div w:id="687409781">
                                  <w:marLeft w:val="0"/>
                                  <w:marRight w:val="0"/>
                                  <w:marTop w:val="0"/>
                                  <w:marBottom w:val="0"/>
                                  <w:divBdr>
                                    <w:top w:val="none" w:sz="0" w:space="0" w:color="auto"/>
                                    <w:left w:val="none" w:sz="0" w:space="0" w:color="auto"/>
                                    <w:bottom w:val="none" w:sz="0" w:space="0" w:color="auto"/>
                                    <w:right w:val="none" w:sz="0" w:space="0" w:color="auto"/>
                                  </w:divBdr>
                                  <w:divsChild>
                                    <w:div w:id="18229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951707">
                      <w:marLeft w:val="0"/>
                      <w:marRight w:val="0"/>
                      <w:marTop w:val="0"/>
                      <w:marBottom w:val="0"/>
                      <w:divBdr>
                        <w:top w:val="none" w:sz="0" w:space="0" w:color="auto"/>
                        <w:left w:val="none" w:sz="0" w:space="0" w:color="auto"/>
                        <w:bottom w:val="none" w:sz="0" w:space="0" w:color="auto"/>
                        <w:right w:val="none" w:sz="0" w:space="0" w:color="auto"/>
                      </w:divBdr>
                      <w:divsChild>
                        <w:div w:id="394400603">
                          <w:marLeft w:val="0"/>
                          <w:marRight w:val="0"/>
                          <w:marTop w:val="0"/>
                          <w:marBottom w:val="0"/>
                          <w:divBdr>
                            <w:top w:val="none" w:sz="0" w:space="0" w:color="auto"/>
                            <w:left w:val="none" w:sz="0" w:space="0" w:color="auto"/>
                            <w:bottom w:val="none" w:sz="0" w:space="0" w:color="auto"/>
                            <w:right w:val="none" w:sz="0" w:space="0" w:color="auto"/>
                          </w:divBdr>
                          <w:divsChild>
                            <w:div w:id="1552569367">
                              <w:marLeft w:val="0"/>
                              <w:marRight w:val="0"/>
                              <w:marTop w:val="0"/>
                              <w:marBottom w:val="0"/>
                              <w:divBdr>
                                <w:top w:val="none" w:sz="0" w:space="0" w:color="auto"/>
                                <w:left w:val="none" w:sz="0" w:space="0" w:color="auto"/>
                                <w:bottom w:val="none" w:sz="0" w:space="0" w:color="auto"/>
                                <w:right w:val="none" w:sz="0" w:space="0" w:color="auto"/>
                              </w:divBdr>
                              <w:divsChild>
                                <w:div w:id="2143689812">
                                  <w:marLeft w:val="0"/>
                                  <w:marRight w:val="0"/>
                                  <w:marTop w:val="0"/>
                                  <w:marBottom w:val="0"/>
                                  <w:divBdr>
                                    <w:top w:val="none" w:sz="0" w:space="0" w:color="auto"/>
                                    <w:left w:val="none" w:sz="0" w:space="0" w:color="auto"/>
                                    <w:bottom w:val="none" w:sz="0" w:space="0" w:color="auto"/>
                                    <w:right w:val="none" w:sz="0" w:space="0" w:color="auto"/>
                                  </w:divBdr>
                                  <w:divsChild>
                                    <w:div w:id="96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505646">
          <w:marLeft w:val="0"/>
          <w:marRight w:val="0"/>
          <w:marTop w:val="0"/>
          <w:marBottom w:val="0"/>
          <w:divBdr>
            <w:top w:val="none" w:sz="0" w:space="0" w:color="auto"/>
            <w:left w:val="none" w:sz="0" w:space="0" w:color="auto"/>
            <w:bottom w:val="none" w:sz="0" w:space="0" w:color="auto"/>
            <w:right w:val="none" w:sz="0" w:space="0" w:color="auto"/>
          </w:divBdr>
          <w:divsChild>
            <w:div w:id="1308507886">
              <w:marLeft w:val="0"/>
              <w:marRight w:val="0"/>
              <w:marTop w:val="0"/>
              <w:marBottom w:val="0"/>
              <w:divBdr>
                <w:top w:val="none" w:sz="0" w:space="0" w:color="auto"/>
                <w:left w:val="none" w:sz="0" w:space="0" w:color="auto"/>
                <w:bottom w:val="none" w:sz="0" w:space="0" w:color="auto"/>
                <w:right w:val="none" w:sz="0" w:space="0" w:color="auto"/>
              </w:divBdr>
              <w:divsChild>
                <w:div w:id="1277172256">
                  <w:marLeft w:val="0"/>
                  <w:marRight w:val="0"/>
                  <w:marTop w:val="0"/>
                  <w:marBottom w:val="0"/>
                  <w:divBdr>
                    <w:top w:val="none" w:sz="0" w:space="0" w:color="auto"/>
                    <w:left w:val="none" w:sz="0" w:space="0" w:color="auto"/>
                    <w:bottom w:val="none" w:sz="0" w:space="0" w:color="auto"/>
                    <w:right w:val="none" w:sz="0" w:space="0" w:color="auto"/>
                  </w:divBdr>
                  <w:divsChild>
                    <w:div w:id="655572767">
                      <w:marLeft w:val="0"/>
                      <w:marRight w:val="0"/>
                      <w:marTop w:val="0"/>
                      <w:marBottom w:val="0"/>
                      <w:divBdr>
                        <w:top w:val="none" w:sz="0" w:space="0" w:color="auto"/>
                        <w:left w:val="none" w:sz="0" w:space="0" w:color="auto"/>
                        <w:bottom w:val="none" w:sz="0" w:space="0" w:color="auto"/>
                        <w:right w:val="none" w:sz="0" w:space="0" w:color="auto"/>
                      </w:divBdr>
                      <w:divsChild>
                        <w:div w:id="331762250">
                          <w:marLeft w:val="0"/>
                          <w:marRight w:val="0"/>
                          <w:marTop w:val="0"/>
                          <w:marBottom w:val="0"/>
                          <w:divBdr>
                            <w:top w:val="none" w:sz="0" w:space="0" w:color="auto"/>
                            <w:left w:val="none" w:sz="0" w:space="0" w:color="auto"/>
                            <w:bottom w:val="none" w:sz="0" w:space="0" w:color="auto"/>
                            <w:right w:val="none" w:sz="0" w:space="0" w:color="auto"/>
                          </w:divBdr>
                          <w:divsChild>
                            <w:div w:id="694968037">
                              <w:marLeft w:val="0"/>
                              <w:marRight w:val="0"/>
                              <w:marTop w:val="0"/>
                              <w:marBottom w:val="0"/>
                              <w:divBdr>
                                <w:top w:val="none" w:sz="0" w:space="0" w:color="auto"/>
                                <w:left w:val="none" w:sz="0" w:space="0" w:color="auto"/>
                                <w:bottom w:val="none" w:sz="0" w:space="0" w:color="auto"/>
                                <w:right w:val="none" w:sz="0" w:space="0" w:color="auto"/>
                              </w:divBdr>
                              <w:divsChild>
                                <w:div w:id="481627441">
                                  <w:marLeft w:val="0"/>
                                  <w:marRight w:val="0"/>
                                  <w:marTop w:val="0"/>
                                  <w:marBottom w:val="0"/>
                                  <w:divBdr>
                                    <w:top w:val="none" w:sz="0" w:space="0" w:color="auto"/>
                                    <w:left w:val="none" w:sz="0" w:space="0" w:color="auto"/>
                                    <w:bottom w:val="none" w:sz="0" w:space="0" w:color="auto"/>
                                    <w:right w:val="none" w:sz="0" w:space="0" w:color="auto"/>
                                  </w:divBdr>
                                  <w:divsChild>
                                    <w:div w:id="4385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39476">
                      <w:marLeft w:val="0"/>
                      <w:marRight w:val="0"/>
                      <w:marTop w:val="0"/>
                      <w:marBottom w:val="0"/>
                      <w:divBdr>
                        <w:top w:val="none" w:sz="0" w:space="0" w:color="auto"/>
                        <w:left w:val="none" w:sz="0" w:space="0" w:color="auto"/>
                        <w:bottom w:val="none" w:sz="0" w:space="0" w:color="auto"/>
                        <w:right w:val="none" w:sz="0" w:space="0" w:color="auto"/>
                      </w:divBdr>
                      <w:divsChild>
                        <w:div w:id="778138607">
                          <w:marLeft w:val="0"/>
                          <w:marRight w:val="0"/>
                          <w:marTop w:val="0"/>
                          <w:marBottom w:val="0"/>
                          <w:divBdr>
                            <w:top w:val="none" w:sz="0" w:space="0" w:color="auto"/>
                            <w:left w:val="none" w:sz="0" w:space="0" w:color="auto"/>
                            <w:bottom w:val="none" w:sz="0" w:space="0" w:color="auto"/>
                            <w:right w:val="none" w:sz="0" w:space="0" w:color="auto"/>
                          </w:divBdr>
                        </w:div>
                        <w:div w:id="1750543816">
                          <w:marLeft w:val="0"/>
                          <w:marRight w:val="0"/>
                          <w:marTop w:val="0"/>
                          <w:marBottom w:val="0"/>
                          <w:divBdr>
                            <w:top w:val="none" w:sz="0" w:space="0" w:color="auto"/>
                            <w:left w:val="none" w:sz="0" w:space="0" w:color="auto"/>
                            <w:bottom w:val="none" w:sz="0" w:space="0" w:color="auto"/>
                            <w:right w:val="none" w:sz="0" w:space="0" w:color="auto"/>
                          </w:divBdr>
                          <w:divsChild>
                            <w:div w:id="1429813248">
                              <w:marLeft w:val="0"/>
                              <w:marRight w:val="0"/>
                              <w:marTop w:val="0"/>
                              <w:marBottom w:val="0"/>
                              <w:divBdr>
                                <w:top w:val="none" w:sz="0" w:space="0" w:color="auto"/>
                                <w:left w:val="none" w:sz="0" w:space="0" w:color="auto"/>
                                <w:bottom w:val="none" w:sz="0" w:space="0" w:color="auto"/>
                                <w:right w:val="none" w:sz="0" w:space="0" w:color="auto"/>
                              </w:divBdr>
                              <w:divsChild>
                                <w:div w:id="1737167242">
                                  <w:marLeft w:val="0"/>
                                  <w:marRight w:val="0"/>
                                  <w:marTop w:val="0"/>
                                  <w:marBottom w:val="0"/>
                                  <w:divBdr>
                                    <w:top w:val="none" w:sz="0" w:space="0" w:color="auto"/>
                                    <w:left w:val="none" w:sz="0" w:space="0" w:color="auto"/>
                                    <w:bottom w:val="none" w:sz="0" w:space="0" w:color="auto"/>
                                    <w:right w:val="none" w:sz="0" w:space="0" w:color="auto"/>
                                  </w:divBdr>
                                  <w:divsChild>
                                    <w:div w:id="12215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099542">
      <w:bodyDiv w:val="1"/>
      <w:marLeft w:val="0"/>
      <w:marRight w:val="0"/>
      <w:marTop w:val="0"/>
      <w:marBottom w:val="0"/>
      <w:divBdr>
        <w:top w:val="none" w:sz="0" w:space="0" w:color="auto"/>
        <w:left w:val="none" w:sz="0" w:space="0" w:color="auto"/>
        <w:bottom w:val="none" w:sz="0" w:space="0" w:color="auto"/>
        <w:right w:val="none" w:sz="0" w:space="0" w:color="auto"/>
      </w:divBdr>
    </w:div>
    <w:div w:id="270279265">
      <w:bodyDiv w:val="1"/>
      <w:marLeft w:val="0"/>
      <w:marRight w:val="0"/>
      <w:marTop w:val="0"/>
      <w:marBottom w:val="0"/>
      <w:divBdr>
        <w:top w:val="none" w:sz="0" w:space="0" w:color="auto"/>
        <w:left w:val="none" w:sz="0" w:space="0" w:color="auto"/>
        <w:bottom w:val="none" w:sz="0" w:space="0" w:color="auto"/>
        <w:right w:val="none" w:sz="0" w:space="0" w:color="auto"/>
      </w:divBdr>
      <w:divsChild>
        <w:div w:id="785927781">
          <w:marLeft w:val="0"/>
          <w:marRight w:val="0"/>
          <w:marTop w:val="0"/>
          <w:marBottom w:val="0"/>
          <w:divBdr>
            <w:top w:val="none" w:sz="0" w:space="0" w:color="auto"/>
            <w:left w:val="none" w:sz="0" w:space="0" w:color="auto"/>
            <w:bottom w:val="none" w:sz="0" w:space="0" w:color="auto"/>
            <w:right w:val="none" w:sz="0" w:space="0" w:color="auto"/>
          </w:divBdr>
          <w:divsChild>
            <w:div w:id="153453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24756">
      <w:bodyDiv w:val="1"/>
      <w:marLeft w:val="0"/>
      <w:marRight w:val="0"/>
      <w:marTop w:val="0"/>
      <w:marBottom w:val="0"/>
      <w:divBdr>
        <w:top w:val="none" w:sz="0" w:space="0" w:color="auto"/>
        <w:left w:val="none" w:sz="0" w:space="0" w:color="auto"/>
        <w:bottom w:val="none" w:sz="0" w:space="0" w:color="auto"/>
        <w:right w:val="none" w:sz="0" w:space="0" w:color="auto"/>
      </w:divBdr>
      <w:divsChild>
        <w:div w:id="228228999">
          <w:marLeft w:val="0"/>
          <w:marRight w:val="0"/>
          <w:marTop w:val="0"/>
          <w:marBottom w:val="0"/>
          <w:divBdr>
            <w:top w:val="none" w:sz="0" w:space="0" w:color="auto"/>
            <w:left w:val="none" w:sz="0" w:space="0" w:color="auto"/>
            <w:bottom w:val="none" w:sz="0" w:space="0" w:color="auto"/>
            <w:right w:val="none" w:sz="0" w:space="0" w:color="auto"/>
          </w:divBdr>
          <w:divsChild>
            <w:div w:id="11649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08701">
      <w:bodyDiv w:val="1"/>
      <w:marLeft w:val="0"/>
      <w:marRight w:val="0"/>
      <w:marTop w:val="0"/>
      <w:marBottom w:val="0"/>
      <w:divBdr>
        <w:top w:val="none" w:sz="0" w:space="0" w:color="auto"/>
        <w:left w:val="none" w:sz="0" w:space="0" w:color="auto"/>
        <w:bottom w:val="none" w:sz="0" w:space="0" w:color="auto"/>
        <w:right w:val="none" w:sz="0" w:space="0" w:color="auto"/>
      </w:divBdr>
      <w:divsChild>
        <w:div w:id="1451851388">
          <w:marLeft w:val="0"/>
          <w:marRight w:val="0"/>
          <w:marTop w:val="0"/>
          <w:marBottom w:val="0"/>
          <w:divBdr>
            <w:top w:val="none" w:sz="0" w:space="0" w:color="auto"/>
            <w:left w:val="none" w:sz="0" w:space="0" w:color="auto"/>
            <w:bottom w:val="none" w:sz="0" w:space="0" w:color="auto"/>
            <w:right w:val="none" w:sz="0" w:space="0" w:color="auto"/>
          </w:divBdr>
        </w:div>
      </w:divsChild>
    </w:div>
    <w:div w:id="291253915">
      <w:bodyDiv w:val="1"/>
      <w:marLeft w:val="0"/>
      <w:marRight w:val="0"/>
      <w:marTop w:val="0"/>
      <w:marBottom w:val="0"/>
      <w:divBdr>
        <w:top w:val="none" w:sz="0" w:space="0" w:color="auto"/>
        <w:left w:val="none" w:sz="0" w:space="0" w:color="auto"/>
        <w:bottom w:val="none" w:sz="0" w:space="0" w:color="auto"/>
        <w:right w:val="none" w:sz="0" w:space="0" w:color="auto"/>
      </w:divBdr>
    </w:div>
    <w:div w:id="294873724">
      <w:bodyDiv w:val="1"/>
      <w:marLeft w:val="0"/>
      <w:marRight w:val="0"/>
      <w:marTop w:val="0"/>
      <w:marBottom w:val="0"/>
      <w:divBdr>
        <w:top w:val="none" w:sz="0" w:space="0" w:color="auto"/>
        <w:left w:val="none" w:sz="0" w:space="0" w:color="auto"/>
        <w:bottom w:val="none" w:sz="0" w:space="0" w:color="auto"/>
        <w:right w:val="none" w:sz="0" w:space="0" w:color="auto"/>
      </w:divBdr>
      <w:divsChild>
        <w:div w:id="318656221">
          <w:marLeft w:val="0"/>
          <w:marRight w:val="0"/>
          <w:marTop w:val="0"/>
          <w:marBottom w:val="0"/>
          <w:divBdr>
            <w:top w:val="none" w:sz="0" w:space="0" w:color="auto"/>
            <w:left w:val="none" w:sz="0" w:space="0" w:color="auto"/>
            <w:bottom w:val="none" w:sz="0" w:space="0" w:color="auto"/>
            <w:right w:val="none" w:sz="0" w:space="0" w:color="auto"/>
          </w:divBdr>
          <w:divsChild>
            <w:div w:id="2109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75558">
      <w:bodyDiv w:val="1"/>
      <w:marLeft w:val="0"/>
      <w:marRight w:val="0"/>
      <w:marTop w:val="0"/>
      <w:marBottom w:val="0"/>
      <w:divBdr>
        <w:top w:val="none" w:sz="0" w:space="0" w:color="auto"/>
        <w:left w:val="none" w:sz="0" w:space="0" w:color="auto"/>
        <w:bottom w:val="none" w:sz="0" w:space="0" w:color="auto"/>
        <w:right w:val="none" w:sz="0" w:space="0" w:color="auto"/>
      </w:divBdr>
    </w:div>
    <w:div w:id="306397605">
      <w:bodyDiv w:val="1"/>
      <w:marLeft w:val="0"/>
      <w:marRight w:val="0"/>
      <w:marTop w:val="0"/>
      <w:marBottom w:val="0"/>
      <w:divBdr>
        <w:top w:val="none" w:sz="0" w:space="0" w:color="auto"/>
        <w:left w:val="none" w:sz="0" w:space="0" w:color="auto"/>
        <w:bottom w:val="none" w:sz="0" w:space="0" w:color="auto"/>
        <w:right w:val="none" w:sz="0" w:space="0" w:color="auto"/>
      </w:divBdr>
      <w:divsChild>
        <w:div w:id="467936059">
          <w:marLeft w:val="0"/>
          <w:marRight w:val="0"/>
          <w:marTop w:val="0"/>
          <w:marBottom w:val="0"/>
          <w:divBdr>
            <w:top w:val="none" w:sz="0" w:space="0" w:color="auto"/>
            <w:left w:val="none" w:sz="0" w:space="0" w:color="auto"/>
            <w:bottom w:val="none" w:sz="0" w:space="0" w:color="auto"/>
            <w:right w:val="none" w:sz="0" w:space="0" w:color="auto"/>
          </w:divBdr>
          <w:divsChild>
            <w:div w:id="643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33091">
      <w:bodyDiv w:val="1"/>
      <w:marLeft w:val="0"/>
      <w:marRight w:val="0"/>
      <w:marTop w:val="0"/>
      <w:marBottom w:val="0"/>
      <w:divBdr>
        <w:top w:val="none" w:sz="0" w:space="0" w:color="auto"/>
        <w:left w:val="none" w:sz="0" w:space="0" w:color="auto"/>
        <w:bottom w:val="none" w:sz="0" w:space="0" w:color="auto"/>
        <w:right w:val="none" w:sz="0" w:space="0" w:color="auto"/>
      </w:divBdr>
      <w:divsChild>
        <w:div w:id="1306160700">
          <w:marLeft w:val="0"/>
          <w:marRight w:val="0"/>
          <w:marTop w:val="0"/>
          <w:marBottom w:val="0"/>
          <w:divBdr>
            <w:top w:val="none" w:sz="0" w:space="0" w:color="auto"/>
            <w:left w:val="none" w:sz="0" w:space="0" w:color="auto"/>
            <w:bottom w:val="none" w:sz="0" w:space="0" w:color="auto"/>
            <w:right w:val="none" w:sz="0" w:space="0" w:color="auto"/>
          </w:divBdr>
          <w:divsChild>
            <w:div w:id="18287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4456">
      <w:bodyDiv w:val="1"/>
      <w:marLeft w:val="0"/>
      <w:marRight w:val="0"/>
      <w:marTop w:val="0"/>
      <w:marBottom w:val="0"/>
      <w:divBdr>
        <w:top w:val="none" w:sz="0" w:space="0" w:color="auto"/>
        <w:left w:val="none" w:sz="0" w:space="0" w:color="auto"/>
        <w:bottom w:val="none" w:sz="0" w:space="0" w:color="auto"/>
        <w:right w:val="none" w:sz="0" w:space="0" w:color="auto"/>
      </w:divBdr>
    </w:div>
    <w:div w:id="351759205">
      <w:bodyDiv w:val="1"/>
      <w:marLeft w:val="0"/>
      <w:marRight w:val="0"/>
      <w:marTop w:val="0"/>
      <w:marBottom w:val="0"/>
      <w:divBdr>
        <w:top w:val="none" w:sz="0" w:space="0" w:color="auto"/>
        <w:left w:val="none" w:sz="0" w:space="0" w:color="auto"/>
        <w:bottom w:val="none" w:sz="0" w:space="0" w:color="auto"/>
        <w:right w:val="none" w:sz="0" w:space="0" w:color="auto"/>
      </w:divBdr>
      <w:divsChild>
        <w:div w:id="1090781852">
          <w:marLeft w:val="0"/>
          <w:marRight w:val="0"/>
          <w:marTop w:val="0"/>
          <w:marBottom w:val="0"/>
          <w:divBdr>
            <w:top w:val="none" w:sz="0" w:space="0" w:color="auto"/>
            <w:left w:val="none" w:sz="0" w:space="0" w:color="auto"/>
            <w:bottom w:val="none" w:sz="0" w:space="0" w:color="auto"/>
            <w:right w:val="none" w:sz="0" w:space="0" w:color="auto"/>
          </w:divBdr>
          <w:divsChild>
            <w:div w:id="7393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8842">
      <w:bodyDiv w:val="1"/>
      <w:marLeft w:val="0"/>
      <w:marRight w:val="0"/>
      <w:marTop w:val="0"/>
      <w:marBottom w:val="0"/>
      <w:divBdr>
        <w:top w:val="none" w:sz="0" w:space="0" w:color="auto"/>
        <w:left w:val="none" w:sz="0" w:space="0" w:color="auto"/>
        <w:bottom w:val="none" w:sz="0" w:space="0" w:color="auto"/>
        <w:right w:val="none" w:sz="0" w:space="0" w:color="auto"/>
      </w:divBdr>
      <w:divsChild>
        <w:div w:id="957175978">
          <w:marLeft w:val="0"/>
          <w:marRight w:val="0"/>
          <w:marTop w:val="0"/>
          <w:marBottom w:val="0"/>
          <w:divBdr>
            <w:top w:val="none" w:sz="0" w:space="0" w:color="auto"/>
            <w:left w:val="none" w:sz="0" w:space="0" w:color="auto"/>
            <w:bottom w:val="none" w:sz="0" w:space="0" w:color="auto"/>
            <w:right w:val="none" w:sz="0" w:space="0" w:color="auto"/>
          </w:divBdr>
          <w:divsChild>
            <w:div w:id="8232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5556">
      <w:bodyDiv w:val="1"/>
      <w:marLeft w:val="0"/>
      <w:marRight w:val="0"/>
      <w:marTop w:val="0"/>
      <w:marBottom w:val="0"/>
      <w:divBdr>
        <w:top w:val="none" w:sz="0" w:space="0" w:color="auto"/>
        <w:left w:val="none" w:sz="0" w:space="0" w:color="auto"/>
        <w:bottom w:val="none" w:sz="0" w:space="0" w:color="auto"/>
        <w:right w:val="none" w:sz="0" w:space="0" w:color="auto"/>
      </w:divBdr>
      <w:divsChild>
        <w:div w:id="1772624858">
          <w:marLeft w:val="0"/>
          <w:marRight w:val="0"/>
          <w:marTop w:val="0"/>
          <w:marBottom w:val="0"/>
          <w:divBdr>
            <w:top w:val="none" w:sz="0" w:space="0" w:color="auto"/>
            <w:left w:val="none" w:sz="0" w:space="0" w:color="auto"/>
            <w:bottom w:val="none" w:sz="0" w:space="0" w:color="auto"/>
            <w:right w:val="none" w:sz="0" w:space="0" w:color="auto"/>
          </w:divBdr>
          <w:divsChild>
            <w:div w:id="10267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45656">
      <w:bodyDiv w:val="1"/>
      <w:marLeft w:val="0"/>
      <w:marRight w:val="0"/>
      <w:marTop w:val="0"/>
      <w:marBottom w:val="0"/>
      <w:divBdr>
        <w:top w:val="none" w:sz="0" w:space="0" w:color="auto"/>
        <w:left w:val="none" w:sz="0" w:space="0" w:color="auto"/>
        <w:bottom w:val="none" w:sz="0" w:space="0" w:color="auto"/>
        <w:right w:val="none" w:sz="0" w:space="0" w:color="auto"/>
      </w:divBdr>
    </w:div>
    <w:div w:id="416100392">
      <w:bodyDiv w:val="1"/>
      <w:marLeft w:val="0"/>
      <w:marRight w:val="0"/>
      <w:marTop w:val="0"/>
      <w:marBottom w:val="0"/>
      <w:divBdr>
        <w:top w:val="none" w:sz="0" w:space="0" w:color="auto"/>
        <w:left w:val="none" w:sz="0" w:space="0" w:color="auto"/>
        <w:bottom w:val="none" w:sz="0" w:space="0" w:color="auto"/>
        <w:right w:val="none" w:sz="0" w:space="0" w:color="auto"/>
      </w:divBdr>
    </w:div>
    <w:div w:id="418256679">
      <w:bodyDiv w:val="1"/>
      <w:marLeft w:val="0"/>
      <w:marRight w:val="0"/>
      <w:marTop w:val="0"/>
      <w:marBottom w:val="0"/>
      <w:divBdr>
        <w:top w:val="none" w:sz="0" w:space="0" w:color="auto"/>
        <w:left w:val="none" w:sz="0" w:space="0" w:color="auto"/>
        <w:bottom w:val="none" w:sz="0" w:space="0" w:color="auto"/>
        <w:right w:val="none" w:sz="0" w:space="0" w:color="auto"/>
      </w:divBdr>
    </w:div>
    <w:div w:id="426115756">
      <w:bodyDiv w:val="1"/>
      <w:marLeft w:val="0"/>
      <w:marRight w:val="0"/>
      <w:marTop w:val="0"/>
      <w:marBottom w:val="0"/>
      <w:divBdr>
        <w:top w:val="none" w:sz="0" w:space="0" w:color="auto"/>
        <w:left w:val="none" w:sz="0" w:space="0" w:color="auto"/>
        <w:bottom w:val="none" w:sz="0" w:space="0" w:color="auto"/>
        <w:right w:val="none" w:sz="0" w:space="0" w:color="auto"/>
      </w:divBdr>
      <w:divsChild>
        <w:div w:id="1187328988">
          <w:marLeft w:val="0"/>
          <w:marRight w:val="0"/>
          <w:marTop w:val="0"/>
          <w:marBottom w:val="0"/>
          <w:divBdr>
            <w:top w:val="none" w:sz="0" w:space="0" w:color="auto"/>
            <w:left w:val="none" w:sz="0" w:space="0" w:color="auto"/>
            <w:bottom w:val="none" w:sz="0" w:space="0" w:color="auto"/>
            <w:right w:val="none" w:sz="0" w:space="0" w:color="auto"/>
          </w:divBdr>
          <w:divsChild>
            <w:div w:id="1479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6012">
      <w:bodyDiv w:val="1"/>
      <w:marLeft w:val="0"/>
      <w:marRight w:val="0"/>
      <w:marTop w:val="0"/>
      <w:marBottom w:val="0"/>
      <w:divBdr>
        <w:top w:val="none" w:sz="0" w:space="0" w:color="auto"/>
        <w:left w:val="none" w:sz="0" w:space="0" w:color="auto"/>
        <w:bottom w:val="none" w:sz="0" w:space="0" w:color="auto"/>
        <w:right w:val="none" w:sz="0" w:space="0" w:color="auto"/>
      </w:divBdr>
    </w:div>
    <w:div w:id="435907046">
      <w:bodyDiv w:val="1"/>
      <w:marLeft w:val="0"/>
      <w:marRight w:val="0"/>
      <w:marTop w:val="0"/>
      <w:marBottom w:val="0"/>
      <w:divBdr>
        <w:top w:val="none" w:sz="0" w:space="0" w:color="auto"/>
        <w:left w:val="none" w:sz="0" w:space="0" w:color="auto"/>
        <w:bottom w:val="none" w:sz="0" w:space="0" w:color="auto"/>
        <w:right w:val="none" w:sz="0" w:space="0" w:color="auto"/>
      </w:divBdr>
      <w:divsChild>
        <w:div w:id="1357005826">
          <w:marLeft w:val="0"/>
          <w:marRight w:val="0"/>
          <w:marTop w:val="0"/>
          <w:marBottom w:val="0"/>
          <w:divBdr>
            <w:top w:val="none" w:sz="0" w:space="0" w:color="auto"/>
            <w:left w:val="none" w:sz="0" w:space="0" w:color="auto"/>
            <w:bottom w:val="none" w:sz="0" w:space="0" w:color="auto"/>
            <w:right w:val="none" w:sz="0" w:space="0" w:color="auto"/>
          </w:divBdr>
          <w:divsChild>
            <w:div w:id="3658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07729">
      <w:bodyDiv w:val="1"/>
      <w:marLeft w:val="0"/>
      <w:marRight w:val="0"/>
      <w:marTop w:val="0"/>
      <w:marBottom w:val="0"/>
      <w:divBdr>
        <w:top w:val="none" w:sz="0" w:space="0" w:color="auto"/>
        <w:left w:val="none" w:sz="0" w:space="0" w:color="auto"/>
        <w:bottom w:val="none" w:sz="0" w:space="0" w:color="auto"/>
        <w:right w:val="none" w:sz="0" w:space="0" w:color="auto"/>
      </w:divBdr>
    </w:div>
    <w:div w:id="453984756">
      <w:bodyDiv w:val="1"/>
      <w:marLeft w:val="0"/>
      <w:marRight w:val="0"/>
      <w:marTop w:val="0"/>
      <w:marBottom w:val="0"/>
      <w:divBdr>
        <w:top w:val="none" w:sz="0" w:space="0" w:color="auto"/>
        <w:left w:val="none" w:sz="0" w:space="0" w:color="auto"/>
        <w:bottom w:val="none" w:sz="0" w:space="0" w:color="auto"/>
        <w:right w:val="none" w:sz="0" w:space="0" w:color="auto"/>
      </w:divBdr>
      <w:divsChild>
        <w:div w:id="967122199">
          <w:marLeft w:val="0"/>
          <w:marRight w:val="0"/>
          <w:marTop w:val="0"/>
          <w:marBottom w:val="0"/>
          <w:divBdr>
            <w:top w:val="none" w:sz="0" w:space="0" w:color="auto"/>
            <w:left w:val="none" w:sz="0" w:space="0" w:color="auto"/>
            <w:bottom w:val="none" w:sz="0" w:space="0" w:color="auto"/>
            <w:right w:val="none" w:sz="0" w:space="0" w:color="auto"/>
          </w:divBdr>
          <w:divsChild>
            <w:div w:id="2096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72374">
      <w:bodyDiv w:val="1"/>
      <w:marLeft w:val="0"/>
      <w:marRight w:val="0"/>
      <w:marTop w:val="0"/>
      <w:marBottom w:val="0"/>
      <w:divBdr>
        <w:top w:val="none" w:sz="0" w:space="0" w:color="auto"/>
        <w:left w:val="none" w:sz="0" w:space="0" w:color="auto"/>
        <w:bottom w:val="none" w:sz="0" w:space="0" w:color="auto"/>
        <w:right w:val="none" w:sz="0" w:space="0" w:color="auto"/>
      </w:divBdr>
      <w:divsChild>
        <w:div w:id="1796866079">
          <w:marLeft w:val="0"/>
          <w:marRight w:val="0"/>
          <w:marTop w:val="0"/>
          <w:marBottom w:val="0"/>
          <w:divBdr>
            <w:top w:val="none" w:sz="0" w:space="0" w:color="auto"/>
            <w:left w:val="none" w:sz="0" w:space="0" w:color="auto"/>
            <w:bottom w:val="none" w:sz="0" w:space="0" w:color="auto"/>
            <w:right w:val="none" w:sz="0" w:space="0" w:color="auto"/>
          </w:divBdr>
          <w:divsChild>
            <w:div w:id="39787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750">
      <w:bodyDiv w:val="1"/>
      <w:marLeft w:val="0"/>
      <w:marRight w:val="0"/>
      <w:marTop w:val="0"/>
      <w:marBottom w:val="0"/>
      <w:divBdr>
        <w:top w:val="none" w:sz="0" w:space="0" w:color="auto"/>
        <w:left w:val="none" w:sz="0" w:space="0" w:color="auto"/>
        <w:bottom w:val="none" w:sz="0" w:space="0" w:color="auto"/>
        <w:right w:val="none" w:sz="0" w:space="0" w:color="auto"/>
      </w:divBdr>
      <w:divsChild>
        <w:div w:id="1951280896">
          <w:marLeft w:val="0"/>
          <w:marRight w:val="0"/>
          <w:marTop w:val="0"/>
          <w:marBottom w:val="0"/>
          <w:divBdr>
            <w:top w:val="none" w:sz="0" w:space="0" w:color="auto"/>
            <w:left w:val="none" w:sz="0" w:space="0" w:color="auto"/>
            <w:bottom w:val="none" w:sz="0" w:space="0" w:color="auto"/>
            <w:right w:val="none" w:sz="0" w:space="0" w:color="auto"/>
          </w:divBdr>
          <w:divsChild>
            <w:div w:id="1077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99625">
      <w:bodyDiv w:val="1"/>
      <w:marLeft w:val="0"/>
      <w:marRight w:val="0"/>
      <w:marTop w:val="0"/>
      <w:marBottom w:val="0"/>
      <w:divBdr>
        <w:top w:val="none" w:sz="0" w:space="0" w:color="auto"/>
        <w:left w:val="none" w:sz="0" w:space="0" w:color="auto"/>
        <w:bottom w:val="none" w:sz="0" w:space="0" w:color="auto"/>
        <w:right w:val="none" w:sz="0" w:space="0" w:color="auto"/>
      </w:divBdr>
      <w:divsChild>
        <w:div w:id="1735157718">
          <w:marLeft w:val="0"/>
          <w:marRight w:val="0"/>
          <w:marTop w:val="0"/>
          <w:marBottom w:val="0"/>
          <w:divBdr>
            <w:top w:val="none" w:sz="0" w:space="0" w:color="auto"/>
            <w:left w:val="none" w:sz="0" w:space="0" w:color="auto"/>
            <w:bottom w:val="none" w:sz="0" w:space="0" w:color="auto"/>
            <w:right w:val="none" w:sz="0" w:space="0" w:color="auto"/>
          </w:divBdr>
          <w:divsChild>
            <w:div w:id="19698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3423">
      <w:bodyDiv w:val="1"/>
      <w:marLeft w:val="0"/>
      <w:marRight w:val="0"/>
      <w:marTop w:val="0"/>
      <w:marBottom w:val="0"/>
      <w:divBdr>
        <w:top w:val="none" w:sz="0" w:space="0" w:color="auto"/>
        <w:left w:val="none" w:sz="0" w:space="0" w:color="auto"/>
        <w:bottom w:val="none" w:sz="0" w:space="0" w:color="auto"/>
        <w:right w:val="none" w:sz="0" w:space="0" w:color="auto"/>
      </w:divBdr>
      <w:divsChild>
        <w:div w:id="769856330">
          <w:marLeft w:val="0"/>
          <w:marRight w:val="0"/>
          <w:marTop w:val="0"/>
          <w:marBottom w:val="0"/>
          <w:divBdr>
            <w:top w:val="none" w:sz="0" w:space="0" w:color="auto"/>
            <w:left w:val="none" w:sz="0" w:space="0" w:color="auto"/>
            <w:bottom w:val="none" w:sz="0" w:space="0" w:color="auto"/>
            <w:right w:val="none" w:sz="0" w:space="0" w:color="auto"/>
          </w:divBdr>
        </w:div>
      </w:divsChild>
    </w:div>
    <w:div w:id="474765122">
      <w:bodyDiv w:val="1"/>
      <w:marLeft w:val="0"/>
      <w:marRight w:val="0"/>
      <w:marTop w:val="0"/>
      <w:marBottom w:val="0"/>
      <w:divBdr>
        <w:top w:val="none" w:sz="0" w:space="0" w:color="auto"/>
        <w:left w:val="none" w:sz="0" w:space="0" w:color="auto"/>
        <w:bottom w:val="none" w:sz="0" w:space="0" w:color="auto"/>
        <w:right w:val="none" w:sz="0" w:space="0" w:color="auto"/>
      </w:divBdr>
      <w:divsChild>
        <w:div w:id="469245077">
          <w:marLeft w:val="0"/>
          <w:marRight w:val="0"/>
          <w:marTop w:val="0"/>
          <w:marBottom w:val="0"/>
          <w:divBdr>
            <w:top w:val="none" w:sz="0" w:space="0" w:color="auto"/>
            <w:left w:val="none" w:sz="0" w:space="0" w:color="auto"/>
            <w:bottom w:val="none" w:sz="0" w:space="0" w:color="auto"/>
            <w:right w:val="none" w:sz="0" w:space="0" w:color="auto"/>
          </w:divBdr>
          <w:divsChild>
            <w:div w:id="70464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0322">
      <w:bodyDiv w:val="1"/>
      <w:marLeft w:val="0"/>
      <w:marRight w:val="0"/>
      <w:marTop w:val="0"/>
      <w:marBottom w:val="0"/>
      <w:divBdr>
        <w:top w:val="none" w:sz="0" w:space="0" w:color="auto"/>
        <w:left w:val="none" w:sz="0" w:space="0" w:color="auto"/>
        <w:bottom w:val="none" w:sz="0" w:space="0" w:color="auto"/>
        <w:right w:val="none" w:sz="0" w:space="0" w:color="auto"/>
      </w:divBdr>
    </w:div>
    <w:div w:id="491146694">
      <w:bodyDiv w:val="1"/>
      <w:marLeft w:val="0"/>
      <w:marRight w:val="0"/>
      <w:marTop w:val="0"/>
      <w:marBottom w:val="0"/>
      <w:divBdr>
        <w:top w:val="none" w:sz="0" w:space="0" w:color="auto"/>
        <w:left w:val="none" w:sz="0" w:space="0" w:color="auto"/>
        <w:bottom w:val="none" w:sz="0" w:space="0" w:color="auto"/>
        <w:right w:val="none" w:sz="0" w:space="0" w:color="auto"/>
      </w:divBdr>
      <w:divsChild>
        <w:div w:id="1596861524">
          <w:marLeft w:val="0"/>
          <w:marRight w:val="0"/>
          <w:marTop w:val="0"/>
          <w:marBottom w:val="0"/>
          <w:divBdr>
            <w:top w:val="none" w:sz="0" w:space="0" w:color="auto"/>
            <w:left w:val="none" w:sz="0" w:space="0" w:color="auto"/>
            <w:bottom w:val="none" w:sz="0" w:space="0" w:color="auto"/>
            <w:right w:val="none" w:sz="0" w:space="0" w:color="auto"/>
          </w:divBdr>
          <w:divsChild>
            <w:div w:id="17572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68746">
      <w:bodyDiv w:val="1"/>
      <w:marLeft w:val="0"/>
      <w:marRight w:val="0"/>
      <w:marTop w:val="0"/>
      <w:marBottom w:val="0"/>
      <w:divBdr>
        <w:top w:val="none" w:sz="0" w:space="0" w:color="auto"/>
        <w:left w:val="none" w:sz="0" w:space="0" w:color="auto"/>
        <w:bottom w:val="none" w:sz="0" w:space="0" w:color="auto"/>
        <w:right w:val="none" w:sz="0" w:space="0" w:color="auto"/>
      </w:divBdr>
      <w:divsChild>
        <w:div w:id="1843280968">
          <w:marLeft w:val="0"/>
          <w:marRight w:val="0"/>
          <w:marTop w:val="0"/>
          <w:marBottom w:val="0"/>
          <w:divBdr>
            <w:top w:val="none" w:sz="0" w:space="0" w:color="auto"/>
            <w:left w:val="none" w:sz="0" w:space="0" w:color="auto"/>
            <w:bottom w:val="none" w:sz="0" w:space="0" w:color="auto"/>
            <w:right w:val="none" w:sz="0" w:space="0" w:color="auto"/>
          </w:divBdr>
          <w:divsChild>
            <w:div w:id="10120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26022">
      <w:bodyDiv w:val="1"/>
      <w:marLeft w:val="0"/>
      <w:marRight w:val="0"/>
      <w:marTop w:val="0"/>
      <w:marBottom w:val="0"/>
      <w:divBdr>
        <w:top w:val="none" w:sz="0" w:space="0" w:color="auto"/>
        <w:left w:val="none" w:sz="0" w:space="0" w:color="auto"/>
        <w:bottom w:val="none" w:sz="0" w:space="0" w:color="auto"/>
        <w:right w:val="none" w:sz="0" w:space="0" w:color="auto"/>
      </w:divBdr>
      <w:divsChild>
        <w:div w:id="2070614328">
          <w:marLeft w:val="0"/>
          <w:marRight w:val="0"/>
          <w:marTop w:val="0"/>
          <w:marBottom w:val="0"/>
          <w:divBdr>
            <w:top w:val="none" w:sz="0" w:space="0" w:color="auto"/>
            <w:left w:val="none" w:sz="0" w:space="0" w:color="auto"/>
            <w:bottom w:val="none" w:sz="0" w:space="0" w:color="auto"/>
            <w:right w:val="none" w:sz="0" w:space="0" w:color="auto"/>
          </w:divBdr>
          <w:divsChild>
            <w:div w:id="8749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13359">
      <w:bodyDiv w:val="1"/>
      <w:marLeft w:val="0"/>
      <w:marRight w:val="0"/>
      <w:marTop w:val="0"/>
      <w:marBottom w:val="0"/>
      <w:divBdr>
        <w:top w:val="none" w:sz="0" w:space="0" w:color="auto"/>
        <w:left w:val="none" w:sz="0" w:space="0" w:color="auto"/>
        <w:bottom w:val="none" w:sz="0" w:space="0" w:color="auto"/>
        <w:right w:val="none" w:sz="0" w:space="0" w:color="auto"/>
      </w:divBdr>
      <w:divsChild>
        <w:div w:id="474176663">
          <w:marLeft w:val="0"/>
          <w:marRight w:val="0"/>
          <w:marTop w:val="0"/>
          <w:marBottom w:val="0"/>
          <w:divBdr>
            <w:top w:val="none" w:sz="0" w:space="0" w:color="auto"/>
            <w:left w:val="none" w:sz="0" w:space="0" w:color="auto"/>
            <w:bottom w:val="none" w:sz="0" w:space="0" w:color="auto"/>
            <w:right w:val="none" w:sz="0" w:space="0" w:color="auto"/>
          </w:divBdr>
          <w:divsChild>
            <w:div w:id="19665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10424">
      <w:bodyDiv w:val="1"/>
      <w:marLeft w:val="0"/>
      <w:marRight w:val="0"/>
      <w:marTop w:val="0"/>
      <w:marBottom w:val="0"/>
      <w:divBdr>
        <w:top w:val="none" w:sz="0" w:space="0" w:color="auto"/>
        <w:left w:val="none" w:sz="0" w:space="0" w:color="auto"/>
        <w:bottom w:val="none" w:sz="0" w:space="0" w:color="auto"/>
        <w:right w:val="none" w:sz="0" w:space="0" w:color="auto"/>
      </w:divBdr>
      <w:divsChild>
        <w:div w:id="809715171">
          <w:marLeft w:val="0"/>
          <w:marRight w:val="0"/>
          <w:marTop w:val="0"/>
          <w:marBottom w:val="0"/>
          <w:divBdr>
            <w:top w:val="none" w:sz="0" w:space="0" w:color="auto"/>
            <w:left w:val="none" w:sz="0" w:space="0" w:color="auto"/>
            <w:bottom w:val="none" w:sz="0" w:space="0" w:color="auto"/>
            <w:right w:val="none" w:sz="0" w:space="0" w:color="auto"/>
          </w:divBdr>
          <w:divsChild>
            <w:div w:id="167051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98548">
      <w:bodyDiv w:val="1"/>
      <w:marLeft w:val="0"/>
      <w:marRight w:val="0"/>
      <w:marTop w:val="0"/>
      <w:marBottom w:val="0"/>
      <w:divBdr>
        <w:top w:val="none" w:sz="0" w:space="0" w:color="auto"/>
        <w:left w:val="none" w:sz="0" w:space="0" w:color="auto"/>
        <w:bottom w:val="none" w:sz="0" w:space="0" w:color="auto"/>
        <w:right w:val="none" w:sz="0" w:space="0" w:color="auto"/>
      </w:divBdr>
      <w:divsChild>
        <w:div w:id="546722182">
          <w:marLeft w:val="0"/>
          <w:marRight w:val="0"/>
          <w:marTop w:val="0"/>
          <w:marBottom w:val="0"/>
          <w:divBdr>
            <w:top w:val="none" w:sz="0" w:space="0" w:color="auto"/>
            <w:left w:val="none" w:sz="0" w:space="0" w:color="auto"/>
            <w:bottom w:val="none" w:sz="0" w:space="0" w:color="auto"/>
            <w:right w:val="none" w:sz="0" w:space="0" w:color="auto"/>
          </w:divBdr>
          <w:divsChild>
            <w:div w:id="10946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6672">
      <w:bodyDiv w:val="1"/>
      <w:marLeft w:val="0"/>
      <w:marRight w:val="0"/>
      <w:marTop w:val="0"/>
      <w:marBottom w:val="0"/>
      <w:divBdr>
        <w:top w:val="none" w:sz="0" w:space="0" w:color="auto"/>
        <w:left w:val="none" w:sz="0" w:space="0" w:color="auto"/>
        <w:bottom w:val="none" w:sz="0" w:space="0" w:color="auto"/>
        <w:right w:val="none" w:sz="0" w:space="0" w:color="auto"/>
      </w:divBdr>
      <w:divsChild>
        <w:div w:id="1646347440">
          <w:marLeft w:val="0"/>
          <w:marRight w:val="0"/>
          <w:marTop w:val="0"/>
          <w:marBottom w:val="0"/>
          <w:divBdr>
            <w:top w:val="none" w:sz="0" w:space="0" w:color="auto"/>
            <w:left w:val="none" w:sz="0" w:space="0" w:color="auto"/>
            <w:bottom w:val="none" w:sz="0" w:space="0" w:color="auto"/>
            <w:right w:val="none" w:sz="0" w:space="0" w:color="auto"/>
          </w:divBdr>
          <w:divsChild>
            <w:div w:id="19961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59219">
      <w:bodyDiv w:val="1"/>
      <w:marLeft w:val="0"/>
      <w:marRight w:val="0"/>
      <w:marTop w:val="0"/>
      <w:marBottom w:val="0"/>
      <w:divBdr>
        <w:top w:val="none" w:sz="0" w:space="0" w:color="auto"/>
        <w:left w:val="none" w:sz="0" w:space="0" w:color="auto"/>
        <w:bottom w:val="none" w:sz="0" w:space="0" w:color="auto"/>
        <w:right w:val="none" w:sz="0" w:space="0" w:color="auto"/>
      </w:divBdr>
      <w:divsChild>
        <w:div w:id="2027094527">
          <w:marLeft w:val="0"/>
          <w:marRight w:val="0"/>
          <w:marTop w:val="0"/>
          <w:marBottom w:val="0"/>
          <w:divBdr>
            <w:top w:val="none" w:sz="0" w:space="0" w:color="auto"/>
            <w:left w:val="none" w:sz="0" w:space="0" w:color="auto"/>
            <w:bottom w:val="none" w:sz="0" w:space="0" w:color="auto"/>
            <w:right w:val="none" w:sz="0" w:space="0" w:color="auto"/>
          </w:divBdr>
          <w:divsChild>
            <w:div w:id="7815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8497">
      <w:bodyDiv w:val="1"/>
      <w:marLeft w:val="0"/>
      <w:marRight w:val="0"/>
      <w:marTop w:val="0"/>
      <w:marBottom w:val="0"/>
      <w:divBdr>
        <w:top w:val="none" w:sz="0" w:space="0" w:color="auto"/>
        <w:left w:val="none" w:sz="0" w:space="0" w:color="auto"/>
        <w:bottom w:val="none" w:sz="0" w:space="0" w:color="auto"/>
        <w:right w:val="none" w:sz="0" w:space="0" w:color="auto"/>
      </w:divBdr>
      <w:divsChild>
        <w:div w:id="315378277">
          <w:marLeft w:val="0"/>
          <w:marRight w:val="0"/>
          <w:marTop w:val="0"/>
          <w:marBottom w:val="0"/>
          <w:divBdr>
            <w:top w:val="none" w:sz="0" w:space="0" w:color="auto"/>
            <w:left w:val="none" w:sz="0" w:space="0" w:color="auto"/>
            <w:bottom w:val="none" w:sz="0" w:space="0" w:color="auto"/>
            <w:right w:val="none" w:sz="0" w:space="0" w:color="auto"/>
          </w:divBdr>
          <w:divsChild>
            <w:div w:id="85970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39510">
      <w:bodyDiv w:val="1"/>
      <w:marLeft w:val="0"/>
      <w:marRight w:val="0"/>
      <w:marTop w:val="0"/>
      <w:marBottom w:val="0"/>
      <w:divBdr>
        <w:top w:val="none" w:sz="0" w:space="0" w:color="auto"/>
        <w:left w:val="none" w:sz="0" w:space="0" w:color="auto"/>
        <w:bottom w:val="none" w:sz="0" w:space="0" w:color="auto"/>
        <w:right w:val="none" w:sz="0" w:space="0" w:color="auto"/>
      </w:divBdr>
      <w:divsChild>
        <w:div w:id="1235049039">
          <w:marLeft w:val="0"/>
          <w:marRight w:val="0"/>
          <w:marTop w:val="0"/>
          <w:marBottom w:val="0"/>
          <w:divBdr>
            <w:top w:val="none" w:sz="0" w:space="0" w:color="auto"/>
            <w:left w:val="none" w:sz="0" w:space="0" w:color="auto"/>
            <w:bottom w:val="none" w:sz="0" w:space="0" w:color="auto"/>
            <w:right w:val="none" w:sz="0" w:space="0" w:color="auto"/>
          </w:divBdr>
          <w:divsChild>
            <w:div w:id="57200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4663">
      <w:bodyDiv w:val="1"/>
      <w:marLeft w:val="0"/>
      <w:marRight w:val="0"/>
      <w:marTop w:val="0"/>
      <w:marBottom w:val="0"/>
      <w:divBdr>
        <w:top w:val="none" w:sz="0" w:space="0" w:color="auto"/>
        <w:left w:val="none" w:sz="0" w:space="0" w:color="auto"/>
        <w:bottom w:val="none" w:sz="0" w:space="0" w:color="auto"/>
        <w:right w:val="none" w:sz="0" w:space="0" w:color="auto"/>
      </w:divBdr>
      <w:divsChild>
        <w:div w:id="998119543">
          <w:marLeft w:val="0"/>
          <w:marRight w:val="0"/>
          <w:marTop w:val="0"/>
          <w:marBottom w:val="0"/>
          <w:divBdr>
            <w:top w:val="none" w:sz="0" w:space="0" w:color="auto"/>
            <w:left w:val="none" w:sz="0" w:space="0" w:color="auto"/>
            <w:bottom w:val="none" w:sz="0" w:space="0" w:color="auto"/>
            <w:right w:val="none" w:sz="0" w:space="0" w:color="auto"/>
          </w:divBdr>
          <w:divsChild>
            <w:div w:id="16223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4285">
      <w:bodyDiv w:val="1"/>
      <w:marLeft w:val="0"/>
      <w:marRight w:val="0"/>
      <w:marTop w:val="0"/>
      <w:marBottom w:val="0"/>
      <w:divBdr>
        <w:top w:val="none" w:sz="0" w:space="0" w:color="auto"/>
        <w:left w:val="none" w:sz="0" w:space="0" w:color="auto"/>
        <w:bottom w:val="none" w:sz="0" w:space="0" w:color="auto"/>
        <w:right w:val="none" w:sz="0" w:space="0" w:color="auto"/>
      </w:divBdr>
      <w:divsChild>
        <w:div w:id="738357971">
          <w:marLeft w:val="0"/>
          <w:marRight w:val="0"/>
          <w:marTop w:val="0"/>
          <w:marBottom w:val="0"/>
          <w:divBdr>
            <w:top w:val="none" w:sz="0" w:space="0" w:color="auto"/>
            <w:left w:val="none" w:sz="0" w:space="0" w:color="auto"/>
            <w:bottom w:val="none" w:sz="0" w:space="0" w:color="auto"/>
            <w:right w:val="none" w:sz="0" w:space="0" w:color="auto"/>
          </w:divBdr>
          <w:divsChild>
            <w:div w:id="19050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1870">
      <w:bodyDiv w:val="1"/>
      <w:marLeft w:val="0"/>
      <w:marRight w:val="0"/>
      <w:marTop w:val="0"/>
      <w:marBottom w:val="0"/>
      <w:divBdr>
        <w:top w:val="none" w:sz="0" w:space="0" w:color="auto"/>
        <w:left w:val="none" w:sz="0" w:space="0" w:color="auto"/>
        <w:bottom w:val="none" w:sz="0" w:space="0" w:color="auto"/>
        <w:right w:val="none" w:sz="0" w:space="0" w:color="auto"/>
      </w:divBdr>
    </w:div>
    <w:div w:id="603656269">
      <w:bodyDiv w:val="1"/>
      <w:marLeft w:val="0"/>
      <w:marRight w:val="0"/>
      <w:marTop w:val="0"/>
      <w:marBottom w:val="0"/>
      <w:divBdr>
        <w:top w:val="none" w:sz="0" w:space="0" w:color="auto"/>
        <w:left w:val="none" w:sz="0" w:space="0" w:color="auto"/>
        <w:bottom w:val="none" w:sz="0" w:space="0" w:color="auto"/>
        <w:right w:val="none" w:sz="0" w:space="0" w:color="auto"/>
      </w:divBdr>
      <w:divsChild>
        <w:div w:id="350843266">
          <w:marLeft w:val="0"/>
          <w:marRight w:val="0"/>
          <w:marTop w:val="0"/>
          <w:marBottom w:val="0"/>
          <w:divBdr>
            <w:top w:val="none" w:sz="0" w:space="0" w:color="auto"/>
            <w:left w:val="none" w:sz="0" w:space="0" w:color="auto"/>
            <w:bottom w:val="none" w:sz="0" w:space="0" w:color="auto"/>
            <w:right w:val="none" w:sz="0" w:space="0" w:color="auto"/>
          </w:divBdr>
          <w:divsChild>
            <w:div w:id="182820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4556">
      <w:bodyDiv w:val="1"/>
      <w:marLeft w:val="0"/>
      <w:marRight w:val="0"/>
      <w:marTop w:val="0"/>
      <w:marBottom w:val="0"/>
      <w:divBdr>
        <w:top w:val="none" w:sz="0" w:space="0" w:color="auto"/>
        <w:left w:val="none" w:sz="0" w:space="0" w:color="auto"/>
        <w:bottom w:val="none" w:sz="0" w:space="0" w:color="auto"/>
        <w:right w:val="none" w:sz="0" w:space="0" w:color="auto"/>
      </w:divBdr>
      <w:divsChild>
        <w:div w:id="787696653">
          <w:marLeft w:val="0"/>
          <w:marRight w:val="0"/>
          <w:marTop w:val="0"/>
          <w:marBottom w:val="0"/>
          <w:divBdr>
            <w:top w:val="none" w:sz="0" w:space="0" w:color="auto"/>
            <w:left w:val="none" w:sz="0" w:space="0" w:color="auto"/>
            <w:bottom w:val="none" w:sz="0" w:space="0" w:color="auto"/>
            <w:right w:val="none" w:sz="0" w:space="0" w:color="auto"/>
          </w:divBdr>
          <w:divsChild>
            <w:div w:id="18615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8283">
      <w:bodyDiv w:val="1"/>
      <w:marLeft w:val="0"/>
      <w:marRight w:val="0"/>
      <w:marTop w:val="0"/>
      <w:marBottom w:val="0"/>
      <w:divBdr>
        <w:top w:val="none" w:sz="0" w:space="0" w:color="auto"/>
        <w:left w:val="none" w:sz="0" w:space="0" w:color="auto"/>
        <w:bottom w:val="none" w:sz="0" w:space="0" w:color="auto"/>
        <w:right w:val="none" w:sz="0" w:space="0" w:color="auto"/>
      </w:divBdr>
      <w:divsChild>
        <w:div w:id="886187428">
          <w:marLeft w:val="0"/>
          <w:marRight w:val="0"/>
          <w:marTop w:val="0"/>
          <w:marBottom w:val="0"/>
          <w:divBdr>
            <w:top w:val="none" w:sz="0" w:space="0" w:color="auto"/>
            <w:left w:val="none" w:sz="0" w:space="0" w:color="auto"/>
            <w:bottom w:val="none" w:sz="0" w:space="0" w:color="auto"/>
            <w:right w:val="none" w:sz="0" w:space="0" w:color="auto"/>
          </w:divBdr>
          <w:divsChild>
            <w:div w:id="9921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749">
      <w:bodyDiv w:val="1"/>
      <w:marLeft w:val="0"/>
      <w:marRight w:val="0"/>
      <w:marTop w:val="0"/>
      <w:marBottom w:val="0"/>
      <w:divBdr>
        <w:top w:val="none" w:sz="0" w:space="0" w:color="auto"/>
        <w:left w:val="none" w:sz="0" w:space="0" w:color="auto"/>
        <w:bottom w:val="none" w:sz="0" w:space="0" w:color="auto"/>
        <w:right w:val="none" w:sz="0" w:space="0" w:color="auto"/>
      </w:divBdr>
      <w:divsChild>
        <w:div w:id="1302423817">
          <w:marLeft w:val="0"/>
          <w:marRight w:val="0"/>
          <w:marTop w:val="0"/>
          <w:marBottom w:val="0"/>
          <w:divBdr>
            <w:top w:val="none" w:sz="0" w:space="0" w:color="auto"/>
            <w:left w:val="none" w:sz="0" w:space="0" w:color="auto"/>
            <w:bottom w:val="none" w:sz="0" w:space="0" w:color="auto"/>
            <w:right w:val="none" w:sz="0" w:space="0" w:color="auto"/>
          </w:divBdr>
          <w:divsChild>
            <w:div w:id="8266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94959">
      <w:bodyDiv w:val="1"/>
      <w:marLeft w:val="0"/>
      <w:marRight w:val="0"/>
      <w:marTop w:val="0"/>
      <w:marBottom w:val="0"/>
      <w:divBdr>
        <w:top w:val="none" w:sz="0" w:space="0" w:color="auto"/>
        <w:left w:val="none" w:sz="0" w:space="0" w:color="auto"/>
        <w:bottom w:val="none" w:sz="0" w:space="0" w:color="auto"/>
        <w:right w:val="none" w:sz="0" w:space="0" w:color="auto"/>
      </w:divBdr>
    </w:div>
    <w:div w:id="678850674">
      <w:bodyDiv w:val="1"/>
      <w:marLeft w:val="0"/>
      <w:marRight w:val="0"/>
      <w:marTop w:val="0"/>
      <w:marBottom w:val="0"/>
      <w:divBdr>
        <w:top w:val="none" w:sz="0" w:space="0" w:color="auto"/>
        <w:left w:val="none" w:sz="0" w:space="0" w:color="auto"/>
        <w:bottom w:val="none" w:sz="0" w:space="0" w:color="auto"/>
        <w:right w:val="none" w:sz="0" w:space="0" w:color="auto"/>
      </w:divBdr>
      <w:divsChild>
        <w:div w:id="1146318890">
          <w:marLeft w:val="0"/>
          <w:marRight w:val="0"/>
          <w:marTop w:val="0"/>
          <w:marBottom w:val="0"/>
          <w:divBdr>
            <w:top w:val="none" w:sz="0" w:space="0" w:color="auto"/>
            <w:left w:val="none" w:sz="0" w:space="0" w:color="auto"/>
            <w:bottom w:val="none" w:sz="0" w:space="0" w:color="auto"/>
            <w:right w:val="none" w:sz="0" w:space="0" w:color="auto"/>
          </w:divBdr>
          <w:divsChild>
            <w:div w:id="735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8682">
      <w:bodyDiv w:val="1"/>
      <w:marLeft w:val="0"/>
      <w:marRight w:val="0"/>
      <w:marTop w:val="0"/>
      <w:marBottom w:val="0"/>
      <w:divBdr>
        <w:top w:val="none" w:sz="0" w:space="0" w:color="auto"/>
        <w:left w:val="none" w:sz="0" w:space="0" w:color="auto"/>
        <w:bottom w:val="none" w:sz="0" w:space="0" w:color="auto"/>
        <w:right w:val="none" w:sz="0" w:space="0" w:color="auto"/>
      </w:divBdr>
      <w:divsChild>
        <w:div w:id="803085865">
          <w:marLeft w:val="0"/>
          <w:marRight w:val="0"/>
          <w:marTop w:val="0"/>
          <w:marBottom w:val="0"/>
          <w:divBdr>
            <w:top w:val="none" w:sz="0" w:space="0" w:color="auto"/>
            <w:left w:val="none" w:sz="0" w:space="0" w:color="auto"/>
            <w:bottom w:val="none" w:sz="0" w:space="0" w:color="auto"/>
            <w:right w:val="none" w:sz="0" w:space="0" w:color="auto"/>
          </w:divBdr>
          <w:divsChild>
            <w:div w:id="155500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79209">
      <w:bodyDiv w:val="1"/>
      <w:marLeft w:val="0"/>
      <w:marRight w:val="0"/>
      <w:marTop w:val="0"/>
      <w:marBottom w:val="0"/>
      <w:divBdr>
        <w:top w:val="none" w:sz="0" w:space="0" w:color="auto"/>
        <w:left w:val="none" w:sz="0" w:space="0" w:color="auto"/>
        <w:bottom w:val="none" w:sz="0" w:space="0" w:color="auto"/>
        <w:right w:val="none" w:sz="0" w:space="0" w:color="auto"/>
      </w:divBdr>
      <w:divsChild>
        <w:div w:id="84888729">
          <w:marLeft w:val="0"/>
          <w:marRight w:val="0"/>
          <w:marTop w:val="0"/>
          <w:marBottom w:val="0"/>
          <w:divBdr>
            <w:top w:val="none" w:sz="0" w:space="0" w:color="auto"/>
            <w:left w:val="none" w:sz="0" w:space="0" w:color="auto"/>
            <w:bottom w:val="none" w:sz="0" w:space="0" w:color="auto"/>
            <w:right w:val="none" w:sz="0" w:space="0" w:color="auto"/>
          </w:divBdr>
          <w:divsChild>
            <w:div w:id="375784255">
              <w:marLeft w:val="0"/>
              <w:marRight w:val="0"/>
              <w:marTop w:val="0"/>
              <w:marBottom w:val="0"/>
              <w:divBdr>
                <w:top w:val="none" w:sz="0" w:space="0" w:color="auto"/>
                <w:left w:val="none" w:sz="0" w:space="0" w:color="auto"/>
                <w:bottom w:val="none" w:sz="0" w:space="0" w:color="auto"/>
                <w:right w:val="none" w:sz="0" w:space="0" w:color="auto"/>
              </w:divBdr>
              <w:divsChild>
                <w:div w:id="1659192625">
                  <w:marLeft w:val="0"/>
                  <w:marRight w:val="0"/>
                  <w:marTop w:val="0"/>
                  <w:marBottom w:val="0"/>
                  <w:divBdr>
                    <w:top w:val="none" w:sz="0" w:space="0" w:color="auto"/>
                    <w:left w:val="none" w:sz="0" w:space="0" w:color="auto"/>
                    <w:bottom w:val="none" w:sz="0" w:space="0" w:color="auto"/>
                    <w:right w:val="none" w:sz="0" w:space="0" w:color="auto"/>
                  </w:divBdr>
                  <w:divsChild>
                    <w:div w:id="827553801">
                      <w:marLeft w:val="0"/>
                      <w:marRight w:val="0"/>
                      <w:marTop w:val="0"/>
                      <w:marBottom w:val="0"/>
                      <w:divBdr>
                        <w:top w:val="none" w:sz="0" w:space="0" w:color="auto"/>
                        <w:left w:val="none" w:sz="0" w:space="0" w:color="auto"/>
                        <w:bottom w:val="none" w:sz="0" w:space="0" w:color="auto"/>
                        <w:right w:val="none" w:sz="0" w:space="0" w:color="auto"/>
                      </w:divBdr>
                      <w:divsChild>
                        <w:div w:id="53898742">
                          <w:marLeft w:val="0"/>
                          <w:marRight w:val="0"/>
                          <w:marTop w:val="0"/>
                          <w:marBottom w:val="0"/>
                          <w:divBdr>
                            <w:top w:val="none" w:sz="0" w:space="0" w:color="auto"/>
                            <w:left w:val="none" w:sz="0" w:space="0" w:color="auto"/>
                            <w:bottom w:val="none" w:sz="0" w:space="0" w:color="auto"/>
                            <w:right w:val="none" w:sz="0" w:space="0" w:color="auto"/>
                          </w:divBdr>
                          <w:divsChild>
                            <w:div w:id="1209681261">
                              <w:marLeft w:val="0"/>
                              <w:marRight w:val="0"/>
                              <w:marTop w:val="0"/>
                              <w:marBottom w:val="0"/>
                              <w:divBdr>
                                <w:top w:val="none" w:sz="0" w:space="0" w:color="auto"/>
                                <w:left w:val="none" w:sz="0" w:space="0" w:color="auto"/>
                                <w:bottom w:val="none" w:sz="0" w:space="0" w:color="auto"/>
                                <w:right w:val="none" w:sz="0" w:space="0" w:color="auto"/>
                              </w:divBdr>
                              <w:divsChild>
                                <w:div w:id="433593638">
                                  <w:marLeft w:val="0"/>
                                  <w:marRight w:val="0"/>
                                  <w:marTop w:val="0"/>
                                  <w:marBottom w:val="0"/>
                                  <w:divBdr>
                                    <w:top w:val="none" w:sz="0" w:space="0" w:color="auto"/>
                                    <w:left w:val="none" w:sz="0" w:space="0" w:color="auto"/>
                                    <w:bottom w:val="none" w:sz="0" w:space="0" w:color="auto"/>
                                    <w:right w:val="none" w:sz="0" w:space="0" w:color="auto"/>
                                  </w:divBdr>
                                  <w:divsChild>
                                    <w:div w:id="185029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080774">
                      <w:marLeft w:val="0"/>
                      <w:marRight w:val="0"/>
                      <w:marTop w:val="0"/>
                      <w:marBottom w:val="0"/>
                      <w:divBdr>
                        <w:top w:val="none" w:sz="0" w:space="0" w:color="auto"/>
                        <w:left w:val="none" w:sz="0" w:space="0" w:color="auto"/>
                        <w:bottom w:val="none" w:sz="0" w:space="0" w:color="auto"/>
                        <w:right w:val="none" w:sz="0" w:space="0" w:color="auto"/>
                      </w:divBdr>
                      <w:divsChild>
                        <w:div w:id="241724613">
                          <w:marLeft w:val="0"/>
                          <w:marRight w:val="0"/>
                          <w:marTop w:val="0"/>
                          <w:marBottom w:val="0"/>
                          <w:divBdr>
                            <w:top w:val="none" w:sz="0" w:space="0" w:color="auto"/>
                            <w:left w:val="none" w:sz="0" w:space="0" w:color="auto"/>
                            <w:bottom w:val="none" w:sz="0" w:space="0" w:color="auto"/>
                            <w:right w:val="none" w:sz="0" w:space="0" w:color="auto"/>
                          </w:divBdr>
                          <w:divsChild>
                            <w:div w:id="112142422">
                              <w:marLeft w:val="0"/>
                              <w:marRight w:val="0"/>
                              <w:marTop w:val="0"/>
                              <w:marBottom w:val="0"/>
                              <w:divBdr>
                                <w:top w:val="none" w:sz="0" w:space="0" w:color="auto"/>
                                <w:left w:val="none" w:sz="0" w:space="0" w:color="auto"/>
                                <w:bottom w:val="none" w:sz="0" w:space="0" w:color="auto"/>
                                <w:right w:val="none" w:sz="0" w:space="0" w:color="auto"/>
                              </w:divBdr>
                              <w:divsChild>
                                <w:div w:id="1073502341">
                                  <w:marLeft w:val="0"/>
                                  <w:marRight w:val="0"/>
                                  <w:marTop w:val="0"/>
                                  <w:marBottom w:val="0"/>
                                  <w:divBdr>
                                    <w:top w:val="none" w:sz="0" w:space="0" w:color="auto"/>
                                    <w:left w:val="none" w:sz="0" w:space="0" w:color="auto"/>
                                    <w:bottom w:val="none" w:sz="0" w:space="0" w:color="auto"/>
                                    <w:right w:val="none" w:sz="0" w:space="0" w:color="auto"/>
                                  </w:divBdr>
                                  <w:divsChild>
                                    <w:div w:id="80551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0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104376">
          <w:marLeft w:val="0"/>
          <w:marRight w:val="0"/>
          <w:marTop w:val="0"/>
          <w:marBottom w:val="0"/>
          <w:divBdr>
            <w:top w:val="none" w:sz="0" w:space="0" w:color="auto"/>
            <w:left w:val="none" w:sz="0" w:space="0" w:color="auto"/>
            <w:bottom w:val="none" w:sz="0" w:space="0" w:color="auto"/>
            <w:right w:val="none" w:sz="0" w:space="0" w:color="auto"/>
          </w:divBdr>
          <w:divsChild>
            <w:div w:id="737677758">
              <w:marLeft w:val="0"/>
              <w:marRight w:val="0"/>
              <w:marTop w:val="0"/>
              <w:marBottom w:val="0"/>
              <w:divBdr>
                <w:top w:val="none" w:sz="0" w:space="0" w:color="auto"/>
                <w:left w:val="none" w:sz="0" w:space="0" w:color="auto"/>
                <w:bottom w:val="none" w:sz="0" w:space="0" w:color="auto"/>
                <w:right w:val="none" w:sz="0" w:space="0" w:color="auto"/>
              </w:divBdr>
              <w:divsChild>
                <w:div w:id="1454900889">
                  <w:marLeft w:val="0"/>
                  <w:marRight w:val="0"/>
                  <w:marTop w:val="0"/>
                  <w:marBottom w:val="0"/>
                  <w:divBdr>
                    <w:top w:val="none" w:sz="0" w:space="0" w:color="auto"/>
                    <w:left w:val="none" w:sz="0" w:space="0" w:color="auto"/>
                    <w:bottom w:val="none" w:sz="0" w:space="0" w:color="auto"/>
                    <w:right w:val="none" w:sz="0" w:space="0" w:color="auto"/>
                  </w:divBdr>
                  <w:divsChild>
                    <w:div w:id="256640813">
                      <w:marLeft w:val="0"/>
                      <w:marRight w:val="0"/>
                      <w:marTop w:val="0"/>
                      <w:marBottom w:val="0"/>
                      <w:divBdr>
                        <w:top w:val="none" w:sz="0" w:space="0" w:color="auto"/>
                        <w:left w:val="none" w:sz="0" w:space="0" w:color="auto"/>
                        <w:bottom w:val="none" w:sz="0" w:space="0" w:color="auto"/>
                        <w:right w:val="none" w:sz="0" w:space="0" w:color="auto"/>
                      </w:divBdr>
                      <w:divsChild>
                        <w:div w:id="354308629">
                          <w:marLeft w:val="0"/>
                          <w:marRight w:val="0"/>
                          <w:marTop w:val="0"/>
                          <w:marBottom w:val="0"/>
                          <w:divBdr>
                            <w:top w:val="none" w:sz="0" w:space="0" w:color="auto"/>
                            <w:left w:val="none" w:sz="0" w:space="0" w:color="auto"/>
                            <w:bottom w:val="none" w:sz="0" w:space="0" w:color="auto"/>
                            <w:right w:val="none" w:sz="0" w:space="0" w:color="auto"/>
                          </w:divBdr>
                          <w:divsChild>
                            <w:div w:id="524755901">
                              <w:marLeft w:val="0"/>
                              <w:marRight w:val="0"/>
                              <w:marTop w:val="0"/>
                              <w:marBottom w:val="0"/>
                              <w:divBdr>
                                <w:top w:val="none" w:sz="0" w:space="0" w:color="auto"/>
                                <w:left w:val="none" w:sz="0" w:space="0" w:color="auto"/>
                                <w:bottom w:val="none" w:sz="0" w:space="0" w:color="auto"/>
                                <w:right w:val="none" w:sz="0" w:space="0" w:color="auto"/>
                              </w:divBdr>
                              <w:divsChild>
                                <w:div w:id="1656715937">
                                  <w:marLeft w:val="0"/>
                                  <w:marRight w:val="0"/>
                                  <w:marTop w:val="0"/>
                                  <w:marBottom w:val="0"/>
                                  <w:divBdr>
                                    <w:top w:val="none" w:sz="0" w:space="0" w:color="auto"/>
                                    <w:left w:val="none" w:sz="0" w:space="0" w:color="auto"/>
                                    <w:bottom w:val="none" w:sz="0" w:space="0" w:color="auto"/>
                                    <w:right w:val="none" w:sz="0" w:space="0" w:color="auto"/>
                                  </w:divBdr>
                                  <w:divsChild>
                                    <w:div w:id="18967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940223">
      <w:bodyDiv w:val="1"/>
      <w:marLeft w:val="0"/>
      <w:marRight w:val="0"/>
      <w:marTop w:val="0"/>
      <w:marBottom w:val="0"/>
      <w:divBdr>
        <w:top w:val="none" w:sz="0" w:space="0" w:color="auto"/>
        <w:left w:val="none" w:sz="0" w:space="0" w:color="auto"/>
        <w:bottom w:val="none" w:sz="0" w:space="0" w:color="auto"/>
        <w:right w:val="none" w:sz="0" w:space="0" w:color="auto"/>
      </w:divBdr>
      <w:divsChild>
        <w:div w:id="1602449200">
          <w:marLeft w:val="0"/>
          <w:marRight w:val="0"/>
          <w:marTop w:val="0"/>
          <w:marBottom w:val="0"/>
          <w:divBdr>
            <w:top w:val="none" w:sz="0" w:space="0" w:color="auto"/>
            <w:left w:val="none" w:sz="0" w:space="0" w:color="auto"/>
            <w:bottom w:val="none" w:sz="0" w:space="0" w:color="auto"/>
            <w:right w:val="none" w:sz="0" w:space="0" w:color="auto"/>
          </w:divBdr>
          <w:divsChild>
            <w:div w:id="11209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19850">
      <w:bodyDiv w:val="1"/>
      <w:marLeft w:val="0"/>
      <w:marRight w:val="0"/>
      <w:marTop w:val="0"/>
      <w:marBottom w:val="0"/>
      <w:divBdr>
        <w:top w:val="none" w:sz="0" w:space="0" w:color="auto"/>
        <w:left w:val="none" w:sz="0" w:space="0" w:color="auto"/>
        <w:bottom w:val="none" w:sz="0" w:space="0" w:color="auto"/>
        <w:right w:val="none" w:sz="0" w:space="0" w:color="auto"/>
      </w:divBdr>
      <w:divsChild>
        <w:div w:id="1136681335">
          <w:marLeft w:val="0"/>
          <w:marRight w:val="0"/>
          <w:marTop w:val="0"/>
          <w:marBottom w:val="0"/>
          <w:divBdr>
            <w:top w:val="none" w:sz="0" w:space="0" w:color="auto"/>
            <w:left w:val="none" w:sz="0" w:space="0" w:color="auto"/>
            <w:bottom w:val="none" w:sz="0" w:space="0" w:color="auto"/>
            <w:right w:val="none" w:sz="0" w:space="0" w:color="auto"/>
          </w:divBdr>
          <w:divsChild>
            <w:div w:id="20864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2270">
      <w:bodyDiv w:val="1"/>
      <w:marLeft w:val="0"/>
      <w:marRight w:val="0"/>
      <w:marTop w:val="0"/>
      <w:marBottom w:val="0"/>
      <w:divBdr>
        <w:top w:val="none" w:sz="0" w:space="0" w:color="auto"/>
        <w:left w:val="none" w:sz="0" w:space="0" w:color="auto"/>
        <w:bottom w:val="none" w:sz="0" w:space="0" w:color="auto"/>
        <w:right w:val="none" w:sz="0" w:space="0" w:color="auto"/>
      </w:divBdr>
    </w:div>
    <w:div w:id="712655880">
      <w:bodyDiv w:val="1"/>
      <w:marLeft w:val="0"/>
      <w:marRight w:val="0"/>
      <w:marTop w:val="0"/>
      <w:marBottom w:val="0"/>
      <w:divBdr>
        <w:top w:val="none" w:sz="0" w:space="0" w:color="auto"/>
        <w:left w:val="none" w:sz="0" w:space="0" w:color="auto"/>
        <w:bottom w:val="none" w:sz="0" w:space="0" w:color="auto"/>
        <w:right w:val="none" w:sz="0" w:space="0" w:color="auto"/>
      </w:divBdr>
      <w:divsChild>
        <w:div w:id="799882836">
          <w:marLeft w:val="0"/>
          <w:marRight w:val="0"/>
          <w:marTop w:val="0"/>
          <w:marBottom w:val="0"/>
          <w:divBdr>
            <w:top w:val="none" w:sz="0" w:space="0" w:color="auto"/>
            <w:left w:val="none" w:sz="0" w:space="0" w:color="auto"/>
            <w:bottom w:val="none" w:sz="0" w:space="0" w:color="auto"/>
            <w:right w:val="none" w:sz="0" w:space="0" w:color="auto"/>
          </w:divBdr>
          <w:divsChild>
            <w:div w:id="2170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28583">
      <w:bodyDiv w:val="1"/>
      <w:marLeft w:val="0"/>
      <w:marRight w:val="0"/>
      <w:marTop w:val="0"/>
      <w:marBottom w:val="0"/>
      <w:divBdr>
        <w:top w:val="none" w:sz="0" w:space="0" w:color="auto"/>
        <w:left w:val="none" w:sz="0" w:space="0" w:color="auto"/>
        <w:bottom w:val="none" w:sz="0" w:space="0" w:color="auto"/>
        <w:right w:val="none" w:sz="0" w:space="0" w:color="auto"/>
      </w:divBdr>
    </w:div>
    <w:div w:id="739407025">
      <w:bodyDiv w:val="1"/>
      <w:marLeft w:val="0"/>
      <w:marRight w:val="0"/>
      <w:marTop w:val="0"/>
      <w:marBottom w:val="0"/>
      <w:divBdr>
        <w:top w:val="none" w:sz="0" w:space="0" w:color="auto"/>
        <w:left w:val="none" w:sz="0" w:space="0" w:color="auto"/>
        <w:bottom w:val="none" w:sz="0" w:space="0" w:color="auto"/>
        <w:right w:val="none" w:sz="0" w:space="0" w:color="auto"/>
      </w:divBdr>
      <w:divsChild>
        <w:div w:id="469710399">
          <w:marLeft w:val="0"/>
          <w:marRight w:val="0"/>
          <w:marTop w:val="0"/>
          <w:marBottom w:val="0"/>
          <w:divBdr>
            <w:top w:val="none" w:sz="0" w:space="0" w:color="auto"/>
            <w:left w:val="none" w:sz="0" w:space="0" w:color="auto"/>
            <w:bottom w:val="none" w:sz="0" w:space="0" w:color="auto"/>
            <w:right w:val="none" w:sz="0" w:space="0" w:color="auto"/>
          </w:divBdr>
          <w:divsChild>
            <w:div w:id="101392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67973">
      <w:bodyDiv w:val="1"/>
      <w:marLeft w:val="0"/>
      <w:marRight w:val="0"/>
      <w:marTop w:val="0"/>
      <w:marBottom w:val="0"/>
      <w:divBdr>
        <w:top w:val="none" w:sz="0" w:space="0" w:color="auto"/>
        <w:left w:val="none" w:sz="0" w:space="0" w:color="auto"/>
        <w:bottom w:val="none" w:sz="0" w:space="0" w:color="auto"/>
        <w:right w:val="none" w:sz="0" w:space="0" w:color="auto"/>
      </w:divBdr>
    </w:div>
    <w:div w:id="762065631">
      <w:bodyDiv w:val="1"/>
      <w:marLeft w:val="0"/>
      <w:marRight w:val="0"/>
      <w:marTop w:val="0"/>
      <w:marBottom w:val="0"/>
      <w:divBdr>
        <w:top w:val="none" w:sz="0" w:space="0" w:color="auto"/>
        <w:left w:val="none" w:sz="0" w:space="0" w:color="auto"/>
        <w:bottom w:val="none" w:sz="0" w:space="0" w:color="auto"/>
        <w:right w:val="none" w:sz="0" w:space="0" w:color="auto"/>
      </w:divBdr>
      <w:divsChild>
        <w:div w:id="1052919897">
          <w:marLeft w:val="0"/>
          <w:marRight w:val="0"/>
          <w:marTop w:val="0"/>
          <w:marBottom w:val="0"/>
          <w:divBdr>
            <w:top w:val="none" w:sz="0" w:space="0" w:color="auto"/>
            <w:left w:val="none" w:sz="0" w:space="0" w:color="auto"/>
            <w:bottom w:val="none" w:sz="0" w:space="0" w:color="auto"/>
            <w:right w:val="none" w:sz="0" w:space="0" w:color="auto"/>
          </w:divBdr>
          <w:divsChild>
            <w:div w:id="1681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7017">
      <w:bodyDiv w:val="1"/>
      <w:marLeft w:val="0"/>
      <w:marRight w:val="0"/>
      <w:marTop w:val="0"/>
      <w:marBottom w:val="0"/>
      <w:divBdr>
        <w:top w:val="none" w:sz="0" w:space="0" w:color="auto"/>
        <w:left w:val="none" w:sz="0" w:space="0" w:color="auto"/>
        <w:bottom w:val="none" w:sz="0" w:space="0" w:color="auto"/>
        <w:right w:val="none" w:sz="0" w:space="0" w:color="auto"/>
      </w:divBdr>
      <w:divsChild>
        <w:div w:id="842356717">
          <w:marLeft w:val="0"/>
          <w:marRight w:val="0"/>
          <w:marTop w:val="0"/>
          <w:marBottom w:val="0"/>
          <w:divBdr>
            <w:top w:val="none" w:sz="0" w:space="0" w:color="auto"/>
            <w:left w:val="none" w:sz="0" w:space="0" w:color="auto"/>
            <w:bottom w:val="none" w:sz="0" w:space="0" w:color="auto"/>
            <w:right w:val="none" w:sz="0" w:space="0" w:color="auto"/>
          </w:divBdr>
          <w:divsChild>
            <w:div w:id="87257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69310">
      <w:bodyDiv w:val="1"/>
      <w:marLeft w:val="0"/>
      <w:marRight w:val="0"/>
      <w:marTop w:val="0"/>
      <w:marBottom w:val="0"/>
      <w:divBdr>
        <w:top w:val="none" w:sz="0" w:space="0" w:color="auto"/>
        <w:left w:val="none" w:sz="0" w:space="0" w:color="auto"/>
        <w:bottom w:val="none" w:sz="0" w:space="0" w:color="auto"/>
        <w:right w:val="none" w:sz="0" w:space="0" w:color="auto"/>
      </w:divBdr>
    </w:div>
    <w:div w:id="784735567">
      <w:bodyDiv w:val="1"/>
      <w:marLeft w:val="0"/>
      <w:marRight w:val="0"/>
      <w:marTop w:val="0"/>
      <w:marBottom w:val="0"/>
      <w:divBdr>
        <w:top w:val="none" w:sz="0" w:space="0" w:color="auto"/>
        <w:left w:val="none" w:sz="0" w:space="0" w:color="auto"/>
        <w:bottom w:val="none" w:sz="0" w:space="0" w:color="auto"/>
        <w:right w:val="none" w:sz="0" w:space="0" w:color="auto"/>
      </w:divBdr>
    </w:div>
    <w:div w:id="788281839">
      <w:bodyDiv w:val="1"/>
      <w:marLeft w:val="0"/>
      <w:marRight w:val="0"/>
      <w:marTop w:val="0"/>
      <w:marBottom w:val="0"/>
      <w:divBdr>
        <w:top w:val="none" w:sz="0" w:space="0" w:color="auto"/>
        <w:left w:val="none" w:sz="0" w:space="0" w:color="auto"/>
        <w:bottom w:val="none" w:sz="0" w:space="0" w:color="auto"/>
        <w:right w:val="none" w:sz="0" w:space="0" w:color="auto"/>
      </w:divBdr>
      <w:divsChild>
        <w:div w:id="1166747478">
          <w:marLeft w:val="0"/>
          <w:marRight w:val="0"/>
          <w:marTop w:val="0"/>
          <w:marBottom w:val="0"/>
          <w:divBdr>
            <w:top w:val="none" w:sz="0" w:space="0" w:color="auto"/>
            <w:left w:val="none" w:sz="0" w:space="0" w:color="auto"/>
            <w:bottom w:val="none" w:sz="0" w:space="0" w:color="auto"/>
            <w:right w:val="none" w:sz="0" w:space="0" w:color="auto"/>
          </w:divBdr>
          <w:divsChild>
            <w:div w:id="8430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7747">
      <w:bodyDiv w:val="1"/>
      <w:marLeft w:val="0"/>
      <w:marRight w:val="0"/>
      <w:marTop w:val="0"/>
      <w:marBottom w:val="0"/>
      <w:divBdr>
        <w:top w:val="none" w:sz="0" w:space="0" w:color="auto"/>
        <w:left w:val="none" w:sz="0" w:space="0" w:color="auto"/>
        <w:bottom w:val="none" w:sz="0" w:space="0" w:color="auto"/>
        <w:right w:val="none" w:sz="0" w:space="0" w:color="auto"/>
      </w:divBdr>
      <w:divsChild>
        <w:div w:id="950281256">
          <w:marLeft w:val="0"/>
          <w:marRight w:val="0"/>
          <w:marTop w:val="0"/>
          <w:marBottom w:val="0"/>
          <w:divBdr>
            <w:top w:val="none" w:sz="0" w:space="0" w:color="auto"/>
            <w:left w:val="none" w:sz="0" w:space="0" w:color="auto"/>
            <w:bottom w:val="none" w:sz="0" w:space="0" w:color="auto"/>
            <w:right w:val="none" w:sz="0" w:space="0" w:color="auto"/>
          </w:divBdr>
          <w:divsChild>
            <w:div w:id="14451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4659">
      <w:bodyDiv w:val="1"/>
      <w:marLeft w:val="0"/>
      <w:marRight w:val="0"/>
      <w:marTop w:val="0"/>
      <w:marBottom w:val="0"/>
      <w:divBdr>
        <w:top w:val="none" w:sz="0" w:space="0" w:color="auto"/>
        <w:left w:val="none" w:sz="0" w:space="0" w:color="auto"/>
        <w:bottom w:val="none" w:sz="0" w:space="0" w:color="auto"/>
        <w:right w:val="none" w:sz="0" w:space="0" w:color="auto"/>
      </w:divBdr>
    </w:div>
    <w:div w:id="849686586">
      <w:bodyDiv w:val="1"/>
      <w:marLeft w:val="0"/>
      <w:marRight w:val="0"/>
      <w:marTop w:val="0"/>
      <w:marBottom w:val="0"/>
      <w:divBdr>
        <w:top w:val="none" w:sz="0" w:space="0" w:color="auto"/>
        <w:left w:val="none" w:sz="0" w:space="0" w:color="auto"/>
        <w:bottom w:val="none" w:sz="0" w:space="0" w:color="auto"/>
        <w:right w:val="none" w:sz="0" w:space="0" w:color="auto"/>
      </w:divBdr>
      <w:divsChild>
        <w:div w:id="1757821607">
          <w:marLeft w:val="0"/>
          <w:marRight w:val="0"/>
          <w:marTop w:val="0"/>
          <w:marBottom w:val="0"/>
          <w:divBdr>
            <w:top w:val="none" w:sz="0" w:space="0" w:color="auto"/>
            <w:left w:val="none" w:sz="0" w:space="0" w:color="auto"/>
            <w:bottom w:val="none" w:sz="0" w:space="0" w:color="auto"/>
            <w:right w:val="none" w:sz="0" w:space="0" w:color="auto"/>
          </w:divBdr>
          <w:divsChild>
            <w:div w:id="8171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68980">
      <w:bodyDiv w:val="1"/>
      <w:marLeft w:val="0"/>
      <w:marRight w:val="0"/>
      <w:marTop w:val="0"/>
      <w:marBottom w:val="0"/>
      <w:divBdr>
        <w:top w:val="none" w:sz="0" w:space="0" w:color="auto"/>
        <w:left w:val="none" w:sz="0" w:space="0" w:color="auto"/>
        <w:bottom w:val="none" w:sz="0" w:space="0" w:color="auto"/>
        <w:right w:val="none" w:sz="0" w:space="0" w:color="auto"/>
      </w:divBdr>
    </w:div>
    <w:div w:id="853962054">
      <w:bodyDiv w:val="1"/>
      <w:marLeft w:val="0"/>
      <w:marRight w:val="0"/>
      <w:marTop w:val="0"/>
      <w:marBottom w:val="0"/>
      <w:divBdr>
        <w:top w:val="none" w:sz="0" w:space="0" w:color="auto"/>
        <w:left w:val="none" w:sz="0" w:space="0" w:color="auto"/>
        <w:bottom w:val="none" w:sz="0" w:space="0" w:color="auto"/>
        <w:right w:val="none" w:sz="0" w:space="0" w:color="auto"/>
      </w:divBdr>
      <w:divsChild>
        <w:div w:id="1451364541">
          <w:marLeft w:val="0"/>
          <w:marRight w:val="0"/>
          <w:marTop w:val="0"/>
          <w:marBottom w:val="0"/>
          <w:divBdr>
            <w:top w:val="none" w:sz="0" w:space="0" w:color="auto"/>
            <w:left w:val="none" w:sz="0" w:space="0" w:color="auto"/>
            <w:bottom w:val="none" w:sz="0" w:space="0" w:color="auto"/>
            <w:right w:val="none" w:sz="0" w:space="0" w:color="auto"/>
          </w:divBdr>
          <w:divsChild>
            <w:div w:id="19841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0"/>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68959">
      <w:bodyDiv w:val="1"/>
      <w:marLeft w:val="0"/>
      <w:marRight w:val="0"/>
      <w:marTop w:val="0"/>
      <w:marBottom w:val="0"/>
      <w:divBdr>
        <w:top w:val="none" w:sz="0" w:space="0" w:color="auto"/>
        <w:left w:val="none" w:sz="0" w:space="0" w:color="auto"/>
        <w:bottom w:val="none" w:sz="0" w:space="0" w:color="auto"/>
        <w:right w:val="none" w:sz="0" w:space="0" w:color="auto"/>
      </w:divBdr>
      <w:divsChild>
        <w:div w:id="991953825">
          <w:marLeft w:val="0"/>
          <w:marRight w:val="0"/>
          <w:marTop w:val="0"/>
          <w:marBottom w:val="0"/>
          <w:divBdr>
            <w:top w:val="none" w:sz="0" w:space="0" w:color="auto"/>
            <w:left w:val="none" w:sz="0" w:space="0" w:color="auto"/>
            <w:bottom w:val="none" w:sz="0" w:space="0" w:color="auto"/>
            <w:right w:val="none" w:sz="0" w:space="0" w:color="auto"/>
          </w:divBdr>
          <w:divsChild>
            <w:div w:id="13629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3915">
      <w:bodyDiv w:val="1"/>
      <w:marLeft w:val="0"/>
      <w:marRight w:val="0"/>
      <w:marTop w:val="0"/>
      <w:marBottom w:val="0"/>
      <w:divBdr>
        <w:top w:val="none" w:sz="0" w:space="0" w:color="auto"/>
        <w:left w:val="none" w:sz="0" w:space="0" w:color="auto"/>
        <w:bottom w:val="none" w:sz="0" w:space="0" w:color="auto"/>
        <w:right w:val="none" w:sz="0" w:space="0" w:color="auto"/>
      </w:divBdr>
      <w:divsChild>
        <w:div w:id="189952102">
          <w:marLeft w:val="0"/>
          <w:marRight w:val="0"/>
          <w:marTop w:val="0"/>
          <w:marBottom w:val="0"/>
          <w:divBdr>
            <w:top w:val="none" w:sz="0" w:space="0" w:color="auto"/>
            <w:left w:val="none" w:sz="0" w:space="0" w:color="auto"/>
            <w:bottom w:val="none" w:sz="0" w:space="0" w:color="auto"/>
            <w:right w:val="none" w:sz="0" w:space="0" w:color="auto"/>
          </w:divBdr>
          <w:divsChild>
            <w:div w:id="11430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60090">
      <w:bodyDiv w:val="1"/>
      <w:marLeft w:val="0"/>
      <w:marRight w:val="0"/>
      <w:marTop w:val="0"/>
      <w:marBottom w:val="0"/>
      <w:divBdr>
        <w:top w:val="none" w:sz="0" w:space="0" w:color="auto"/>
        <w:left w:val="none" w:sz="0" w:space="0" w:color="auto"/>
        <w:bottom w:val="none" w:sz="0" w:space="0" w:color="auto"/>
        <w:right w:val="none" w:sz="0" w:space="0" w:color="auto"/>
      </w:divBdr>
      <w:divsChild>
        <w:div w:id="1458252991">
          <w:marLeft w:val="0"/>
          <w:marRight w:val="0"/>
          <w:marTop w:val="0"/>
          <w:marBottom w:val="0"/>
          <w:divBdr>
            <w:top w:val="none" w:sz="0" w:space="0" w:color="auto"/>
            <w:left w:val="none" w:sz="0" w:space="0" w:color="auto"/>
            <w:bottom w:val="none" w:sz="0" w:space="0" w:color="auto"/>
            <w:right w:val="none" w:sz="0" w:space="0" w:color="auto"/>
          </w:divBdr>
          <w:divsChild>
            <w:div w:id="6813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10535">
      <w:bodyDiv w:val="1"/>
      <w:marLeft w:val="0"/>
      <w:marRight w:val="0"/>
      <w:marTop w:val="0"/>
      <w:marBottom w:val="0"/>
      <w:divBdr>
        <w:top w:val="none" w:sz="0" w:space="0" w:color="auto"/>
        <w:left w:val="none" w:sz="0" w:space="0" w:color="auto"/>
        <w:bottom w:val="none" w:sz="0" w:space="0" w:color="auto"/>
        <w:right w:val="none" w:sz="0" w:space="0" w:color="auto"/>
      </w:divBdr>
      <w:divsChild>
        <w:div w:id="1459716070">
          <w:marLeft w:val="0"/>
          <w:marRight w:val="0"/>
          <w:marTop w:val="0"/>
          <w:marBottom w:val="0"/>
          <w:divBdr>
            <w:top w:val="none" w:sz="0" w:space="0" w:color="auto"/>
            <w:left w:val="none" w:sz="0" w:space="0" w:color="auto"/>
            <w:bottom w:val="none" w:sz="0" w:space="0" w:color="auto"/>
            <w:right w:val="none" w:sz="0" w:space="0" w:color="auto"/>
          </w:divBdr>
          <w:divsChild>
            <w:div w:id="543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9296">
      <w:bodyDiv w:val="1"/>
      <w:marLeft w:val="0"/>
      <w:marRight w:val="0"/>
      <w:marTop w:val="0"/>
      <w:marBottom w:val="0"/>
      <w:divBdr>
        <w:top w:val="none" w:sz="0" w:space="0" w:color="auto"/>
        <w:left w:val="none" w:sz="0" w:space="0" w:color="auto"/>
        <w:bottom w:val="none" w:sz="0" w:space="0" w:color="auto"/>
        <w:right w:val="none" w:sz="0" w:space="0" w:color="auto"/>
      </w:divBdr>
    </w:div>
    <w:div w:id="922379131">
      <w:bodyDiv w:val="1"/>
      <w:marLeft w:val="0"/>
      <w:marRight w:val="0"/>
      <w:marTop w:val="0"/>
      <w:marBottom w:val="0"/>
      <w:divBdr>
        <w:top w:val="none" w:sz="0" w:space="0" w:color="auto"/>
        <w:left w:val="none" w:sz="0" w:space="0" w:color="auto"/>
        <w:bottom w:val="none" w:sz="0" w:space="0" w:color="auto"/>
        <w:right w:val="none" w:sz="0" w:space="0" w:color="auto"/>
      </w:divBdr>
      <w:divsChild>
        <w:div w:id="2067412597">
          <w:marLeft w:val="0"/>
          <w:marRight w:val="0"/>
          <w:marTop w:val="0"/>
          <w:marBottom w:val="0"/>
          <w:divBdr>
            <w:top w:val="none" w:sz="0" w:space="0" w:color="auto"/>
            <w:left w:val="none" w:sz="0" w:space="0" w:color="auto"/>
            <w:bottom w:val="none" w:sz="0" w:space="0" w:color="auto"/>
            <w:right w:val="none" w:sz="0" w:space="0" w:color="auto"/>
          </w:divBdr>
          <w:divsChild>
            <w:div w:id="120568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69878">
      <w:bodyDiv w:val="1"/>
      <w:marLeft w:val="0"/>
      <w:marRight w:val="0"/>
      <w:marTop w:val="0"/>
      <w:marBottom w:val="0"/>
      <w:divBdr>
        <w:top w:val="none" w:sz="0" w:space="0" w:color="auto"/>
        <w:left w:val="none" w:sz="0" w:space="0" w:color="auto"/>
        <w:bottom w:val="none" w:sz="0" w:space="0" w:color="auto"/>
        <w:right w:val="none" w:sz="0" w:space="0" w:color="auto"/>
      </w:divBdr>
      <w:divsChild>
        <w:div w:id="625625648">
          <w:marLeft w:val="0"/>
          <w:marRight w:val="0"/>
          <w:marTop w:val="0"/>
          <w:marBottom w:val="0"/>
          <w:divBdr>
            <w:top w:val="none" w:sz="0" w:space="0" w:color="auto"/>
            <w:left w:val="none" w:sz="0" w:space="0" w:color="auto"/>
            <w:bottom w:val="none" w:sz="0" w:space="0" w:color="auto"/>
            <w:right w:val="none" w:sz="0" w:space="0" w:color="auto"/>
          </w:divBdr>
          <w:divsChild>
            <w:div w:id="1300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60643">
      <w:bodyDiv w:val="1"/>
      <w:marLeft w:val="0"/>
      <w:marRight w:val="0"/>
      <w:marTop w:val="0"/>
      <w:marBottom w:val="0"/>
      <w:divBdr>
        <w:top w:val="none" w:sz="0" w:space="0" w:color="auto"/>
        <w:left w:val="none" w:sz="0" w:space="0" w:color="auto"/>
        <w:bottom w:val="none" w:sz="0" w:space="0" w:color="auto"/>
        <w:right w:val="none" w:sz="0" w:space="0" w:color="auto"/>
      </w:divBdr>
    </w:div>
    <w:div w:id="961377694">
      <w:bodyDiv w:val="1"/>
      <w:marLeft w:val="0"/>
      <w:marRight w:val="0"/>
      <w:marTop w:val="0"/>
      <w:marBottom w:val="0"/>
      <w:divBdr>
        <w:top w:val="none" w:sz="0" w:space="0" w:color="auto"/>
        <w:left w:val="none" w:sz="0" w:space="0" w:color="auto"/>
        <w:bottom w:val="none" w:sz="0" w:space="0" w:color="auto"/>
        <w:right w:val="none" w:sz="0" w:space="0" w:color="auto"/>
      </w:divBdr>
    </w:div>
    <w:div w:id="963654075">
      <w:bodyDiv w:val="1"/>
      <w:marLeft w:val="0"/>
      <w:marRight w:val="0"/>
      <w:marTop w:val="0"/>
      <w:marBottom w:val="0"/>
      <w:divBdr>
        <w:top w:val="none" w:sz="0" w:space="0" w:color="auto"/>
        <w:left w:val="none" w:sz="0" w:space="0" w:color="auto"/>
        <w:bottom w:val="none" w:sz="0" w:space="0" w:color="auto"/>
        <w:right w:val="none" w:sz="0" w:space="0" w:color="auto"/>
      </w:divBdr>
      <w:divsChild>
        <w:div w:id="276370241">
          <w:marLeft w:val="0"/>
          <w:marRight w:val="0"/>
          <w:marTop w:val="0"/>
          <w:marBottom w:val="0"/>
          <w:divBdr>
            <w:top w:val="none" w:sz="0" w:space="0" w:color="auto"/>
            <w:left w:val="none" w:sz="0" w:space="0" w:color="auto"/>
            <w:bottom w:val="none" w:sz="0" w:space="0" w:color="auto"/>
            <w:right w:val="none" w:sz="0" w:space="0" w:color="auto"/>
          </w:divBdr>
          <w:divsChild>
            <w:div w:id="178673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3506">
      <w:bodyDiv w:val="1"/>
      <w:marLeft w:val="0"/>
      <w:marRight w:val="0"/>
      <w:marTop w:val="0"/>
      <w:marBottom w:val="0"/>
      <w:divBdr>
        <w:top w:val="none" w:sz="0" w:space="0" w:color="auto"/>
        <w:left w:val="none" w:sz="0" w:space="0" w:color="auto"/>
        <w:bottom w:val="none" w:sz="0" w:space="0" w:color="auto"/>
        <w:right w:val="none" w:sz="0" w:space="0" w:color="auto"/>
      </w:divBdr>
    </w:div>
    <w:div w:id="982467654">
      <w:bodyDiv w:val="1"/>
      <w:marLeft w:val="0"/>
      <w:marRight w:val="0"/>
      <w:marTop w:val="0"/>
      <w:marBottom w:val="0"/>
      <w:divBdr>
        <w:top w:val="none" w:sz="0" w:space="0" w:color="auto"/>
        <w:left w:val="none" w:sz="0" w:space="0" w:color="auto"/>
        <w:bottom w:val="none" w:sz="0" w:space="0" w:color="auto"/>
        <w:right w:val="none" w:sz="0" w:space="0" w:color="auto"/>
      </w:divBdr>
      <w:divsChild>
        <w:div w:id="2004816278">
          <w:marLeft w:val="0"/>
          <w:marRight w:val="0"/>
          <w:marTop w:val="0"/>
          <w:marBottom w:val="0"/>
          <w:divBdr>
            <w:top w:val="none" w:sz="0" w:space="0" w:color="auto"/>
            <w:left w:val="none" w:sz="0" w:space="0" w:color="auto"/>
            <w:bottom w:val="none" w:sz="0" w:space="0" w:color="auto"/>
            <w:right w:val="none" w:sz="0" w:space="0" w:color="auto"/>
          </w:divBdr>
          <w:divsChild>
            <w:div w:id="8271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375655">
      <w:bodyDiv w:val="1"/>
      <w:marLeft w:val="0"/>
      <w:marRight w:val="0"/>
      <w:marTop w:val="0"/>
      <w:marBottom w:val="0"/>
      <w:divBdr>
        <w:top w:val="none" w:sz="0" w:space="0" w:color="auto"/>
        <w:left w:val="none" w:sz="0" w:space="0" w:color="auto"/>
        <w:bottom w:val="none" w:sz="0" w:space="0" w:color="auto"/>
        <w:right w:val="none" w:sz="0" w:space="0" w:color="auto"/>
      </w:divBdr>
      <w:divsChild>
        <w:div w:id="1498615634">
          <w:marLeft w:val="0"/>
          <w:marRight w:val="0"/>
          <w:marTop w:val="0"/>
          <w:marBottom w:val="0"/>
          <w:divBdr>
            <w:top w:val="none" w:sz="0" w:space="0" w:color="auto"/>
            <w:left w:val="none" w:sz="0" w:space="0" w:color="auto"/>
            <w:bottom w:val="none" w:sz="0" w:space="0" w:color="auto"/>
            <w:right w:val="none" w:sz="0" w:space="0" w:color="auto"/>
          </w:divBdr>
          <w:divsChild>
            <w:div w:id="117206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1047">
      <w:bodyDiv w:val="1"/>
      <w:marLeft w:val="0"/>
      <w:marRight w:val="0"/>
      <w:marTop w:val="0"/>
      <w:marBottom w:val="0"/>
      <w:divBdr>
        <w:top w:val="none" w:sz="0" w:space="0" w:color="auto"/>
        <w:left w:val="none" w:sz="0" w:space="0" w:color="auto"/>
        <w:bottom w:val="none" w:sz="0" w:space="0" w:color="auto"/>
        <w:right w:val="none" w:sz="0" w:space="0" w:color="auto"/>
      </w:divBdr>
    </w:div>
    <w:div w:id="1003970087">
      <w:bodyDiv w:val="1"/>
      <w:marLeft w:val="0"/>
      <w:marRight w:val="0"/>
      <w:marTop w:val="0"/>
      <w:marBottom w:val="0"/>
      <w:divBdr>
        <w:top w:val="none" w:sz="0" w:space="0" w:color="auto"/>
        <w:left w:val="none" w:sz="0" w:space="0" w:color="auto"/>
        <w:bottom w:val="none" w:sz="0" w:space="0" w:color="auto"/>
        <w:right w:val="none" w:sz="0" w:space="0" w:color="auto"/>
      </w:divBdr>
    </w:div>
    <w:div w:id="1018432138">
      <w:bodyDiv w:val="1"/>
      <w:marLeft w:val="0"/>
      <w:marRight w:val="0"/>
      <w:marTop w:val="0"/>
      <w:marBottom w:val="0"/>
      <w:divBdr>
        <w:top w:val="none" w:sz="0" w:space="0" w:color="auto"/>
        <w:left w:val="none" w:sz="0" w:space="0" w:color="auto"/>
        <w:bottom w:val="none" w:sz="0" w:space="0" w:color="auto"/>
        <w:right w:val="none" w:sz="0" w:space="0" w:color="auto"/>
      </w:divBdr>
    </w:div>
    <w:div w:id="1020929250">
      <w:bodyDiv w:val="1"/>
      <w:marLeft w:val="0"/>
      <w:marRight w:val="0"/>
      <w:marTop w:val="0"/>
      <w:marBottom w:val="0"/>
      <w:divBdr>
        <w:top w:val="none" w:sz="0" w:space="0" w:color="auto"/>
        <w:left w:val="none" w:sz="0" w:space="0" w:color="auto"/>
        <w:bottom w:val="none" w:sz="0" w:space="0" w:color="auto"/>
        <w:right w:val="none" w:sz="0" w:space="0" w:color="auto"/>
      </w:divBdr>
      <w:divsChild>
        <w:div w:id="1411386567">
          <w:marLeft w:val="0"/>
          <w:marRight w:val="0"/>
          <w:marTop w:val="0"/>
          <w:marBottom w:val="0"/>
          <w:divBdr>
            <w:top w:val="none" w:sz="0" w:space="0" w:color="auto"/>
            <w:left w:val="none" w:sz="0" w:space="0" w:color="auto"/>
            <w:bottom w:val="none" w:sz="0" w:space="0" w:color="auto"/>
            <w:right w:val="none" w:sz="0" w:space="0" w:color="auto"/>
          </w:divBdr>
          <w:divsChild>
            <w:div w:id="5189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01471">
      <w:bodyDiv w:val="1"/>
      <w:marLeft w:val="0"/>
      <w:marRight w:val="0"/>
      <w:marTop w:val="0"/>
      <w:marBottom w:val="0"/>
      <w:divBdr>
        <w:top w:val="none" w:sz="0" w:space="0" w:color="auto"/>
        <w:left w:val="none" w:sz="0" w:space="0" w:color="auto"/>
        <w:bottom w:val="none" w:sz="0" w:space="0" w:color="auto"/>
        <w:right w:val="none" w:sz="0" w:space="0" w:color="auto"/>
      </w:divBdr>
      <w:divsChild>
        <w:div w:id="551312726">
          <w:marLeft w:val="0"/>
          <w:marRight w:val="0"/>
          <w:marTop w:val="0"/>
          <w:marBottom w:val="0"/>
          <w:divBdr>
            <w:top w:val="none" w:sz="0" w:space="0" w:color="auto"/>
            <w:left w:val="none" w:sz="0" w:space="0" w:color="auto"/>
            <w:bottom w:val="none" w:sz="0" w:space="0" w:color="auto"/>
            <w:right w:val="none" w:sz="0" w:space="0" w:color="auto"/>
          </w:divBdr>
          <w:divsChild>
            <w:div w:id="206840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86642">
      <w:bodyDiv w:val="1"/>
      <w:marLeft w:val="0"/>
      <w:marRight w:val="0"/>
      <w:marTop w:val="0"/>
      <w:marBottom w:val="0"/>
      <w:divBdr>
        <w:top w:val="none" w:sz="0" w:space="0" w:color="auto"/>
        <w:left w:val="none" w:sz="0" w:space="0" w:color="auto"/>
        <w:bottom w:val="none" w:sz="0" w:space="0" w:color="auto"/>
        <w:right w:val="none" w:sz="0" w:space="0" w:color="auto"/>
      </w:divBdr>
    </w:div>
    <w:div w:id="1066949773">
      <w:bodyDiv w:val="1"/>
      <w:marLeft w:val="0"/>
      <w:marRight w:val="0"/>
      <w:marTop w:val="0"/>
      <w:marBottom w:val="0"/>
      <w:divBdr>
        <w:top w:val="none" w:sz="0" w:space="0" w:color="auto"/>
        <w:left w:val="none" w:sz="0" w:space="0" w:color="auto"/>
        <w:bottom w:val="none" w:sz="0" w:space="0" w:color="auto"/>
        <w:right w:val="none" w:sz="0" w:space="0" w:color="auto"/>
      </w:divBdr>
      <w:divsChild>
        <w:div w:id="455411767">
          <w:marLeft w:val="0"/>
          <w:marRight w:val="0"/>
          <w:marTop w:val="0"/>
          <w:marBottom w:val="0"/>
          <w:divBdr>
            <w:top w:val="none" w:sz="0" w:space="0" w:color="auto"/>
            <w:left w:val="none" w:sz="0" w:space="0" w:color="auto"/>
            <w:bottom w:val="none" w:sz="0" w:space="0" w:color="auto"/>
            <w:right w:val="none" w:sz="0" w:space="0" w:color="auto"/>
          </w:divBdr>
          <w:divsChild>
            <w:div w:id="20797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48574">
      <w:bodyDiv w:val="1"/>
      <w:marLeft w:val="0"/>
      <w:marRight w:val="0"/>
      <w:marTop w:val="0"/>
      <w:marBottom w:val="0"/>
      <w:divBdr>
        <w:top w:val="none" w:sz="0" w:space="0" w:color="auto"/>
        <w:left w:val="none" w:sz="0" w:space="0" w:color="auto"/>
        <w:bottom w:val="none" w:sz="0" w:space="0" w:color="auto"/>
        <w:right w:val="none" w:sz="0" w:space="0" w:color="auto"/>
      </w:divBdr>
      <w:divsChild>
        <w:div w:id="2063020801">
          <w:marLeft w:val="0"/>
          <w:marRight w:val="0"/>
          <w:marTop w:val="0"/>
          <w:marBottom w:val="0"/>
          <w:divBdr>
            <w:top w:val="none" w:sz="0" w:space="0" w:color="auto"/>
            <w:left w:val="none" w:sz="0" w:space="0" w:color="auto"/>
            <w:bottom w:val="none" w:sz="0" w:space="0" w:color="auto"/>
            <w:right w:val="none" w:sz="0" w:space="0" w:color="auto"/>
          </w:divBdr>
          <w:divsChild>
            <w:div w:id="7583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20114">
      <w:bodyDiv w:val="1"/>
      <w:marLeft w:val="0"/>
      <w:marRight w:val="0"/>
      <w:marTop w:val="0"/>
      <w:marBottom w:val="0"/>
      <w:divBdr>
        <w:top w:val="none" w:sz="0" w:space="0" w:color="auto"/>
        <w:left w:val="none" w:sz="0" w:space="0" w:color="auto"/>
        <w:bottom w:val="none" w:sz="0" w:space="0" w:color="auto"/>
        <w:right w:val="none" w:sz="0" w:space="0" w:color="auto"/>
      </w:divBdr>
      <w:divsChild>
        <w:div w:id="1259868500">
          <w:marLeft w:val="0"/>
          <w:marRight w:val="0"/>
          <w:marTop w:val="0"/>
          <w:marBottom w:val="0"/>
          <w:divBdr>
            <w:top w:val="none" w:sz="0" w:space="0" w:color="auto"/>
            <w:left w:val="none" w:sz="0" w:space="0" w:color="auto"/>
            <w:bottom w:val="none" w:sz="0" w:space="0" w:color="auto"/>
            <w:right w:val="none" w:sz="0" w:space="0" w:color="auto"/>
          </w:divBdr>
          <w:divsChild>
            <w:div w:id="6255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42766">
      <w:bodyDiv w:val="1"/>
      <w:marLeft w:val="0"/>
      <w:marRight w:val="0"/>
      <w:marTop w:val="0"/>
      <w:marBottom w:val="0"/>
      <w:divBdr>
        <w:top w:val="none" w:sz="0" w:space="0" w:color="auto"/>
        <w:left w:val="none" w:sz="0" w:space="0" w:color="auto"/>
        <w:bottom w:val="none" w:sz="0" w:space="0" w:color="auto"/>
        <w:right w:val="none" w:sz="0" w:space="0" w:color="auto"/>
      </w:divBdr>
      <w:divsChild>
        <w:div w:id="708073607">
          <w:marLeft w:val="0"/>
          <w:marRight w:val="0"/>
          <w:marTop w:val="0"/>
          <w:marBottom w:val="0"/>
          <w:divBdr>
            <w:top w:val="none" w:sz="0" w:space="0" w:color="auto"/>
            <w:left w:val="none" w:sz="0" w:space="0" w:color="auto"/>
            <w:bottom w:val="none" w:sz="0" w:space="0" w:color="auto"/>
            <w:right w:val="none" w:sz="0" w:space="0" w:color="auto"/>
          </w:divBdr>
          <w:divsChild>
            <w:div w:id="8166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5272">
      <w:bodyDiv w:val="1"/>
      <w:marLeft w:val="0"/>
      <w:marRight w:val="0"/>
      <w:marTop w:val="0"/>
      <w:marBottom w:val="0"/>
      <w:divBdr>
        <w:top w:val="none" w:sz="0" w:space="0" w:color="auto"/>
        <w:left w:val="none" w:sz="0" w:space="0" w:color="auto"/>
        <w:bottom w:val="none" w:sz="0" w:space="0" w:color="auto"/>
        <w:right w:val="none" w:sz="0" w:space="0" w:color="auto"/>
      </w:divBdr>
    </w:div>
    <w:div w:id="1126317174">
      <w:bodyDiv w:val="1"/>
      <w:marLeft w:val="0"/>
      <w:marRight w:val="0"/>
      <w:marTop w:val="0"/>
      <w:marBottom w:val="0"/>
      <w:divBdr>
        <w:top w:val="none" w:sz="0" w:space="0" w:color="auto"/>
        <w:left w:val="none" w:sz="0" w:space="0" w:color="auto"/>
        <w:bottom w:val="none" w:sz="0" w:space="0" w:color="auto"/>
        <w:right w:val="none" w:sz="0" w:space="0" w:color="auto"/>
      </w:divBdr>
      <w:divsChild>
        <w:div w:id="1481144597">
          <w:marLeft w:val="0"/>
          <w:marRight w:val="0"/>
          <w:marTop w:val="0"/>
          <w:marBottom w:val="0"/>
          <w:divBdr>
            <w:top w:val="none" w:sz="0" w:space="0" w:color="auto"/>
            <w:left w:val="none" w:sz="0" w:space="0" w:color="auto"/>
            <w:bottom w:val="none" w:sz="0" w:space="0" w:color="auto"/>
            <w:right w:val="none" w:sz="0" w:space="0" w:color="auto"/>
          </w:divBdr>
          <w:divsChild>
            <w:div w:id="2535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6519">
      <w:bodyDiv w:val="1"/>
      <w:marLeft w:val="0"/>
      <w:marRight w:val="0"/>
      <w:marTop w:val="0"/>
      <w:marBottom w:val="0"/>
      <w:divBdr>
        <w:top w:val="none" w:sz="0" w:space="0" w:color="auto"/>
        <w:left w:val="none" w:sz="0" w:space="0" w:color="auto"/>
        <w:bottom w:val="none" w:sz="0" w:space="0" w:color="auto"/>
        <w:right w:val="none" w:sz="0" w:space="0" w:color="auto"/>
      </w:divBdr>
      <w:divsChild>
        <w:div w:id="90980822">
          <w:marLeft w:val="0"/>
          <w:marRight w:val="0"/>
          <w:marTop w:val="0"/>
          <w:marBottom w:val="0"/>
          <w:divBdr>
            <w:top w:val="none" w:sz="0" w:space="0" w:color="auto"/>
            <w:left w:val="none" w:sz="0" w:space="0" w:color="auto"/>
            <w:bottom w:val="none" w:sz="0" w:space="0" w:color="auto"/>
            <w:right w:val="none" w:sz="0" w:space="0" w:color="auto"/>
          </w:divBdr>
          <w:divsChild>
            <w:div w:id="5802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00659">
      <w:bodyDiv w:val="1"/>
      <w:marLeft w:val="0"/>
      <w:marRight w:val="0"/>
      <w:marTop w:val="0"/>
      <w:marBottom w:val="0"/>
      <w:divBdr>
        <w:top w:val="none" w:sz="0" w:space="0" w:color="auto"/>
        <w:left w:val="none" w:sz="0" w:space="0" w:color="auto"/>
        <w:bottom w:val="none" w:sz="0" w:space="0" w:color="auto"/>
        <w:right w:val="none" w:sz="0" w:space="0" w:color="auto"/>
      </w:divBdr>
      <w:divsChild>
        <w:div w:id="842941433">
          <w:marLeft w:val="0"/>
          <w:marRight w:val="0"/>
          <w:marTop w:val="0"/>
          <w:marBottom w:val="0"/>
          <w:divBdr>
            <w:top w:val="none" w:sz="0" w:space="0" w:color="auto"/>
            <w:left w:val="none" w:sz="0" w:space="0" w:color="auto"/>
            <w:bottom w:val="none" w:sz="0" w:space="0" w:color="auto"/>
            <w:right w:val="none" w:sz="0" w:space="0" w:color="auto"/>
          </w:divBdr>
          <w:divsChild>
            <w:div w:id="28955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30566">
      <w:bodyDiv w:val="1"/>
      <w:marLeft w:val="0"/>
      <w:marRight w:val="0"/>
      <w:marTop w:val="0"/>
      <w:marBottom w:val="0"/>
      <w:divBdr>
        <w:top w:val="none" w:sz="0" w:space="0" w:color="auto"/>
        <w:left w:val="none" w:sz="0" w:space="0" w:color="auto"/>
        <w:bottom w:val="none" w:sz="0" w:space="0" w:color="auto"/>
        <w:right w:val="none" w:sz="0" w:space="0" w:color="auto"/>
      </w:divBdr>
    </w:div>
    <w:div w:id="1154643072">
      <w:bodyDiv w:val="1"/>
      <w:marLeft w:val="0"/>
      <w:marRight w:val="0"/>
      <w:marTop w:val="0"/>
      <w:marBottom w:val="0"/>
      <w:divBdr>
        <w:top w:val="none" w:sz="0" w:space="0" w:color="auto"/>
        <w:left w:val="none" w:sz="0" w:space="0" w:color="auto"/>
        <w:bottom w:val="none" w:sz="0" w:space="0" w:color="auto"/>
        <w:right w:val="none" w:sz="0" w:space="0" w:color="auto"/>
      </w:divBdr>
      <w:divsChild>
        <w:div w:id="572858602">
          <w:marLeft w:val="0"/>
          <w:marRight w:val="0"/>
          <w:marTop w:val="0"/>
          <w:marBottom w:val="0"/>
          <w:divBdr>
            <w:top w:val="none" w:sz="0" w:space="0" w:color="auto"/>
            <w:left w:val="none" w:sz="0" w:space="0" w:color="auto"/>
            <w:bottom w:val="none" w:sz="0" w:space="0" w:color="auto"/>
            <w:right w:val="none" w:sz="0" w:space="0" w:color="auto"/>
          </w:divBdr>
          <w:divsChild>
            <w:div w:id="13235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9655">
      <w:bodyDiv w:val="1"/>
      <w:marLeft w:val="0"/>
      <w:marRight w:val="0"/>
      <w:marTop w:val="0"/>
      <w:marBottom w:val="0"/>
      <w:divBdr>
        <w:top w:val="none" w:sz="0" w:space="0" w:color="auto"/>
        <w:left w:val="none" w:sz="0" w:space="0" w:color="auto"/>
        <w:bottom w:val="none" w:sz="0" w:space="0" w:color="auto"/>
        <w:right w:val="none" w:sz="0" w:space="0" w:color="auto"/>
      </w:divBdr>
    </w:div>
    <w:div w:id="1172449163">
      <w:bodyDiv w:val="1"/>
      <w:marLeft w:val="0"/>
      <w:marRight w:val="0"/>
      <w:marTop w:val="0"/>
      <w:marBottom w:val="0"/>
      <w:divBdr>
        <w:top w:val="none" w:sz="0" w:space="0" w:color="auto"/>
        <w:left w:val="none" w:sz="0" w:space="0" w:color="auto"/>
        <w:bottom w:val="none" w:sz="0" w:space="0" w:color="auto"/>
        <w:right w:val="none" w:sz="0" w:space="0" w:color="auto"/>
      </w:divBdr>
      <w:divsChild>
        <w:div w:id="995037610">
          <w:marLeft w:val="0"/>
          <w:marRight w:val="0"/>
          <w:marTop w:val="0"/>
          <w:marBottom w:val="0"/>
          <w:divBdr>
            <w:top w:val="none" w:sz="0" w:space="0" w:color="auto"/>
            <w:left w:val="none" w:sz="0" w:space="0" w:color="auto"/>
            <w:bottom w:val="none" w:sz="0" w:space="0" w:color="auto"/>
            <w:right w:val="none" w:sz="0" w:space="0" w:color="auto"/>
          </w:divBdr>
          <w:divsChild>
            <w:div w:id="7089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6828">
      <w:bodyDiv w:val="1"/>
      <w:marLeft w:val="0"/>
      <w:marRight w:val="0"/>
      <w:marTop w:val="0"/>
      <w:marBottom w:val="0"/>
      <w:divBdr>
        <w:top w:val="none" w:sz="0" w:space="0" w:color="auto"/>
        <w:left w:val="none" w:sz="0" w:space="0" w:color="auto"/>
        <w:bottom w:val="none" w:sz="0" w:space="0" w:color="auto"/>
        <w:right w:val="none" w:sz="0" w:space="0" w:color="auto"/>
      </w:divBdr>
      <w:divsChild>
        <w:div w:id="1067653010">
          <w:marLeft w:val="0"/>
          <w:marRight w:val="0"/>
          <w:marTop w:val="0"/>
          <w:marBottom w:val="0"/>
          <w:divBdr>
            <w:top w:val="none" w:sz="0" w:space="0" w:color="auto"/>
            <w:left w:val="none" w:sz="0" w:space="0" w:color="auto"/>
            <w:bottom w:val="none" w:sz="0" w:space="0" w:color="auto"/>
            <w:right w:val="none" w:sz="0" w:space="0" w:color="auto"/>
          </w:divBdr>
          <w:divsChild>
            <w:div w:id="206702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08332">
      <w:bodyDiv w:val="1"/>
      <w:marLeft w:val="0"/>
      <w:marRight w:val="0"/>
      <w:marTop w:val="0"/>
      <w:marBottom w:val="0"/>
      <w:divBdr>
        <w:top w:val="none" w:sz="0" w:space="0" w:color="auto"/>
        <w:left w:val="none" w:sz="0" w:space="0" w:color="auto"/>
        <w:bottom w:val="none" w:sz="0" w:space="0" w:color="auto"/>
        <w:right w:val="none" w:sz="0" w:space="0" w:color="auto"/>
      </w:divBdr>
      <w:divsChild>
        <w:div w:id="119692760">
          <w:marLeft w:val="0"/>
          <w:marRight w:val="0"/>
          <w:marTop w:val="0"/>
          <w:marBottom w:val="0"/>
          <w:divBdr>
            <w:top w:val="none" w:sz="0" w:space="0" w:color="auto"/>
            <w:left w:val="none" w:sz="0" w:space="0" w:color="auto"/>
            <w:bottom w:val="none" w:sz="0" w:space="0" w:color="auto"/>
            <w:right w:val="none" w:sz="0" w:space="0" w:color="auto"/>
          </w:divBdr>
          <w:divsChild>
            <w:div w:id="20649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7218">
      <w:bodyDiv w:val="1"/>
      <w:marLeft w:val="0"/>
      <w:marRight w:val="0"/>
      <w:marTop w:val="0"/>
      <w:marBottom w:val="0"/>
      <w:divBdr>
        <w:top w:val="none" w:sz="0" w:space="0" w:color="auto"/>
        <w:left w:val="none" w:sz="0" w:space="0" w:color="auto"/>
        <w:bottom w:val="none" w:sz="0" w:space="0" w:color="auto"/>
        <w:right w:val="none" w:sz="0" w:space="0" w:color="auto"/>
      </w:divBdr>
      <w:divsChild>
        <w:div w:id="1639994813">
          <w:marLeft w:val="0"/>
          <w:marRight w:val="0"/>
          <w:marTop w:val="0"/>
          <w:marBottom w:val="0"/>
          <w:divBdr>
            <w:top w:val="none" w:sz="0" w:space="0" w:color="auto"/>
            <w:left w:val="none" w:sz="0" w:space="0" w:color="auto"/>
            <w:bottom w:val="none" w:sz="0" w:space="0" w:color="auto"/>
            <w:right w:val="none" w:sz="0" w:space="0" w:color="auto"/>
          </w:divBdr>
          <w:divsChild>
            <w:div w:id="2072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4474">
      <w:bodyDiv w:val="1"/>
      <w:marLeft w:val="0"/>
      <w:marRight w:val="0"/>
      <w:marTop w:val="0"/>
      <w:marBottom w:val="0"/>
      <w:divBdr>
        <w:top w:val="none" w:sz="0" w:space="0" w:color="auto"/>
        <w:left w:val="none" w:sz="0" w:space="0" w:color="auto"/>
        <w:bottom w:val="none" w:sz="0" w:space="0" w:color="auto"/>
        <w:right w:val="none" w:sz="0" w:space="0" w:color="auto"/>
      </w:divBdr>
    </w:div>
    <w:div w:id="1230263291">
      <w:bodyDiv w:val="1"/>
      <w:marLeft w:val="0"/>
      <w:marRight w:val="0"/>
      <w:marTop w:val="0"/>
      <w:marBottom w:val="0"/>
      <w:divBdr>
        <w:top w:val="none" w:sz="0" w:space="0" w:color="auto"/>
        <w:left w:val="none" w:sz="0" w:space="0" w:color="auto"/>
        <w:bottom w:val="none" w:sz="0" w:space="0" w:color="auto"/>
        <w:right w:val="none" w:sz="0" w:space="0" w:color="auto"/>
      </w:divBdr>
      <w:divsChild>
        <w:div w:id="885800055">
          <w:marLeft w:val="0"/>
          <w:marRight w:val="0"/>
          <w:marTop w:val="0"/>
          <w:marBottom w:val="0"/>
          <w:divBdr>
            <w:top w:val="none" w:sz="0" w:space="0" w:color="auto"/>
            <w:left w:val="none" w:sz="0" w:space="0" w:color="auto"/>
            <w:bottom w:val="none" w:sz="0" w:space="0" w:color="auto"/>
            <w:right w:val="none" w:sz="0" w:space="0" w:color="auto"/>
          </w:divBdr>
          <w:divsChild>
            <w:div w:id="12839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56056">
      <w:bodyDiv w:val="1"/>
      <w:marLeft w:val="0"/>
      <w:marRight w:val="0"/>
      <w:marTop w:val="0"/>
      <w:marBottom w:val="0"/>
      <w:divBdr>
        <w:top w:val="none" w:sz="0" w:space="0" w:color="auto"/>
        <w:left w:val="none" w:sz="0" w:space="0" w:color="auto"/>
        <w:bottom w:val="none" w:sz="0" w:space="0" w:color="auto"/>
        <w:right w:val="none" w:sz="0" w:space="0" w:color="auto"/>
      </w:divBdr>
      <w:divsChild>
        <w:div w:id="835388598">
          <w:marLeft w:val="0"/>
          <w:marRight w:val="0"/>
          <w:marTop w:val="0"/>
          <w:marBottom w:val="0"/>
          <w:divBdr>
            <w:top w:val="none" w:sz="0" w:space="0" w:color="auto"/>
            <w:left w:val="none" w:sz="0" w:space="0" w:color="auto"/>
            <w:bottom w:val="none" w:sz="0" w:space="0" w:color="auto"/>
            <w:right w:val="none" w:sz="0" w:space="0" w:color="auto"/>
          </w:divBdr>
          <w:divsChild>
            <w:div w:id="12647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4386">
      <w:bodyDiv w:val="1"/>
      <w:marLeft w:val="0"/>
      <w:marRight w:val="0"/>
      <w:marTop w:val="0"/>
      <w:marBottom w:val="0"/>
      <w:divBdr>
        <w:top w:val="none" w:sz="0" w:space="0" w:color="auto"/>
        <w:left w:val="none" w:sz="0" w:space="0" w:color="auto"/>
        <w:bottom w:val="none" w:sz="0" w:space="0" w:color="auto"/>
        <w:right w:val="none" w:sz="0" w:space="0" w:color="auto"/>
      </w:divBdr>
      <w:divsChild>
        <w:div w:id="1539007380">
          <w:marLeft w:val="0"/>
          <w:marRight w:val="0"/>
          <w:marTop w:val="0"/>
          <w:marBottom w:val="0"/>
          <w:divBdr>
            <w:top w:val="none" w:sz="0" w:space="0" w:color="auto"/>
            <w:left w:val="none" w:sz="0" w:space="0" w:color="auto"/>
            <w:bottom w:val="none" w:sz="0" w:space="0" w:color="auto"/>
            <w:right w:val="none" w:sz="0" w:space="0" w:color="auto"/>
          </w:divBdr>
          <w:divsChild>
            <w:div w:id="179139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95006">
      <w:bodyDiv w:val="1"/>
      <w:marLeft w:val="0"/>
      <w:marRight w:val="0"/>
      <w:marTop w:val="0"/>
      <w:marBottom w:val="0"/>
      <w:divBdr>
        <w:top w:val="none" w:sz="0" w:space="0" w:color="auto"/>
        <w:left w:val="none" w:sz="0" w:space="0" w:color="auto"/>
        <w:bottom w:val="none" w:sz="0" w:space="0" w:color="auto"/>
        <w:right w:val="none" w:sz="0" w:space="0" w:color="auto"/>
      </w:divBdr>
      <w:divsChild>
        <w:div w:id="1457915850">
          <w:marLeft w:val="0"/>
          <w:marRight w:val="0"/>
          <w:marTop w:val="0"/>
          <w:marBottom w:val="0"/>
          <w:divBdr>
            <w:top w:val="none" w:sz="0" w:space="0" w:color="auto"/>
            <w:left w:val="none" w:sz="0" w:space="0" w:color="auto"/>
            <w:bottom w:val="none" w:sz="0" w:space="0" w:color="auto"/>
            <w:right w:val="none" w:sz="0" w:space="0" w:color="auto"/>
          </w:divBdr>
          <w:divsChild>
            <w:div w:id="36799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75522">
      <w:bodyDiv w:val="1"/>
      <w:marLeft w:val="0"/>
      <w:marRight w:val="0"/>
      <w:marTop w:val="0"/>
      <w:marBottom w:val="0"/>
      <w:divBdr>
        <w:top w:val="none" w:sz="0" w:space="0" w:color="auto"/>
        <w:left w:val="none" w:sz="0" w:space="0" w:color="auto"/>
        <w:bottom w:val="none" w:sz="0" w:space="0" w:color="auto"/>
        <w:right w:val="none" w:sz="0" w:space="0" w:color="auto"/>
      </w:divBdr>
    </w:div>
    <w:div w:id="1276667818">
      <w:bodyDiv w:val="1"/>
      <w:marLeft w:val="0"/>
      <w:marRight w:val="0"/>
      <w:marTop w:val="0"/>
      <w:marBottom w:val="0"/>
      <w:divBdr>
        <w:top w:val="none" w:sz="0" w:space="0" w:color="auto"/>
        <w:left w:val="none" w:sz="0" w:space="0" w:color="auto"/>
        <w:bottom w:val="none" w:sz="0" w:space="0" w:color="auto"/>
        <w:right w:val="none" w:sz="0" w:space="0" w:color="auto"/>
      </w:divBdr>
      <w:divsChild>
        <w:div w:id="656618702">
          <w:marLeft w:val="0"/>
          <w:marRight w:val="0"/>
          <w:marTop w:val="0"/>
          <w:marBottom w:val="0"/>
          <w:divBdr>
            <w:top w:val="none" w:sz="0" w:space="0" w:color="auto"/>
            <w:left w:val="none" w:sz="0" w:space="0" w:color="auto"/>
            <w:bottom w:val="none" w:sz="0" w:space="0" w:color="auto"/>
            <w:right w:val="none" w:sz="0" w:space="0" w:color="auto"/>
          </w:divBdr>
          <w:divsChild>
            <w:div w:id="15626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2760">
      <w:bodyDiv w:val="1"/>
      <w:marLeft w:val="0"/>
      <w:marRight w:val="0"/>
      <w:marTop w:val="0"/>
      <w:marBottom w:val="0"/>
      <w:divBdr>
        <w:top w:val="none" w:sz="0" w:space="0" w:color="auto"/>
        <w:left w:val="none" w:sz="0" w:space="0" w:color="auto"/>
        <w:bottom w:val="none" w:sz="0" w:space="0" w:color="auto"/>
        <w:right w:val="none" w:sz="0" w:space="0" w:color="auto"/>
      </w:divBdr>
      <w:divsChild>
        <w:div w:id="1158575935">
          <w:marLeft w:val="0"/>
          <w:marRight w:val="0"/>
          <w:marTop w:val="0"/>
          <w:marBottom w:val="0"/>
          <w:divBdr>
            <w:top w:val="none" w:sz="0" w:space="0" w:color="auto"/>
            <w:left w:val="none" w:sz="0" w:space="0" w:color="auto"/>
            <w:bottom w:val="none" w:sz="0" w:space="0" w:color="auto"/>
            <w:right w:val="none" w:sz="0" w:space="0" w:color="auto"/>
          </w:divBdr>
          <w:divsChild>
            <w:div w:id="10451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7724">
      <w:bodyDiv w:val="1"/>
      <w:marLeft w:val="0"/>
      <w:marRight w:val="0"/>
      <w:marTop w:val="0"/>
      <w:marBottom w:val="0"/>
      <w:divBdr>
        <w:top w:val="none" w:sz="0" w:space="0" w:color="auto"/>
        <w:left w:val="none" w:sz="0" w:space="0" w:color="auto"/>
        <w:bottom w:val="none" w:sz="0" w:space="0" w:color="auto"/>
        <w:right w:val="none" w:sz="0" w:space="0" w:color="auto"/>
      </w:divBdr>
      <w:divsChild>
        <w:div w:id="42756078">
          <w:marLeft w:val="0"/>
          <w:marRight w:val="0"/>
          <w:marTop w:val="0"/>
          <w:marBottom w:val="0"/>
          <w:divBdr>
            <w:top w:val="none" w:sz="0" w:space="0" w:color="auto"/>
            <w:left w:val="none" w:sz="0" w:space="0" w:color="auto"/>
            <w:bottom w:val="none" w:sz="0" w:space="0" w:color="auto"/>
            <w:right w:val="none" w:sz="0" w:space="0" w:color="auto"/>
          </w:divBdr>
          <w:divsChild>
            <w:div w:id="202015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6131">
      <w:bodyDiv w:val="1"/>
      <w:marLeft w:val="0"/>
      <w:marRight w:val="0"/>
      <w:marTop w:val="0"/>
      <w:marBottom w:val="0"/>
      <w:divBdr>
        <w:top w:val="none" w:sz="0" w:space="0" w:color="auto"/>
        <w:left w:val="none" w:sz="0" w:space="0" w:color="auto"/>
        <w:bottom w:val="none" w:sz="0" w:space="0" w:color="auto"/>
        <w:right w:val="none" w:sz="0" w:space="0" w:color="auto"/>
      </w:divBdr>
      <w:divsChild>
        <w:div w:id="416440656">
          <w:marLeft w:val="0"/>
          <w:marRight w:val="0"/>
          <w:marTop w:val="0"/>
          <w:marBottom w:val="0"/>
          <w:divBdr>
            <w:top w:val="none" w:sz="0" w:space="0" w:color="auto"/>
            <w:left w:val="none" w:sz="0" w:space="0" w:color="auto"/>
            <w:bottom w:val="none" w:sz="0" w:space="0" w:color="auto"/>
            <w:right w:val="none" w:sz="0" w:space="0" w:color="auto"/>
          </w:divBdr>
          <w:divsChild>
            <w:div w:id="136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5283">
      <w:bodyDiv w:val="1"/>
      <w:marLeft w:val="0"/>
      <w:marRight w:val="0"/>
      <w:marTop w:val="0"/>
      <w:marBottom w:val="0"/>
      <w:divBdr>
        <w:top w:val="none" w:sz="0" w:space="0" w:color="auto"/>
        <w:left w:val="none" w:sz="0" w:space="0" w:color="auto"/>
        <w:bottom w:val="none" w:sz="0" w:space="0" w:color="auto"/>
        <w:right w:val="none" w:sz="0" w:space="0" w:color="auto"/>
      </w:divBdr>
      <w:divsChild>
        <w:div w:id="1024794046">
          <w:marLeft w:val="0"/>
          <w:marRight w:val="0"/>
          <w:marTop w:val="0"/>
          <w:marBottom w:val="0"/>
          <w:divBdr>
            <w:top w:val="none" w:sz="0" w:space="0" w:color="auto"/>
            <w:left w:val="none" w:sz="0" w:space="0" w:color="auto"/>
            <w:bottom w:val="none" w:sz="0" w:space="0" w:color="auto"/>
            <w:right w:val="none" w:sz="0" w:space="0" w:color="auto"/>
          </w:divBdr>
          <w:divsChild>
            <w:div w:id="1838186260">
              <w:marLeft w:val="0"/>
              <w:marRight w:val="0"/>
              <w:marTop w:val="0"/>
              <w:marBottom w:val="0"/>
              <w:divBdr>
                <w:top w:val="none" w:sz="0" w:space="0" w:color="auto"/>
                <w:left w:val="none" w:sz="0" w:space="0" w:color="auto"/>
                <w:bottom w:val="none" w:sz="0" w:space="0" w:color="auto"/>
                <w:right w:val="none" w:sz="0" w:space="0" w:color="auto"/>
              </w:divBdr>
              <w:divsChild>
                <w:div w:id="1168979234">
                  <w:marLeft w:val="0"/>
                  <w:marRight w:val="0"/>
                  <w:marTop w:val="0"/>
                  <w:marBottom w:val="0"/>
                  <w:divBdr>
                    <w:top w:val="none" w:sz="0" w:space="0" w:color="auto"/>
                    <w:left w:val="none" w:sz="0" w:space="0" w:color="auto"/>
                    <w:bottom w:val="none" w:sz="0" w:space="0" w:color="auto"/>
                    <w:right w:val="none" w:sz="0" w:space="0" w:color="auto"/>
                  </w:divBdr>
                  <w:divsChild>
                    <w:div w:id="1375353180">
                      <w:marLeft w:val="0"/>
                      <w:marRight w:val="0"/>
                      <w:marTop w:val="0"/>
                      <w:marBottom w:val="0"/>
                      <w:divBdr>
                        <w:top w:val="none" w:sz="0" w:space="0" w:color="auto"/>
                        <w:left w:val="none" w:sz="0" w:space="0" w:color="auto"/>
                        <w:bottom w:val="none" w:sz="0" w:space="0" w:color="auto"/>
                        <w:right w:val="none" w:sz="0" w:space="0" w:color="auto"/>
                      </w:divBdr>
                      <w:divsChild>
                        <w:div w:id="1127703694">
                          <w:marLeft w:val="0"/>
                          <w:marRight w:val="0"/>
                          <w:marTop w:val="0"/>
                          <w:marBottom w:val="0"/>
                          <w:divBdr>
                            <w:top w:val="none" w:sz="0" w:space="0" w:color="auto"/>
                            <w:left w:val="none" w:sz="0" w:space="0" w:color="auto"/>
                            <w:bottom w:val="none" w:sz="0" w:space="0" w:color="auto"/>
                            <w:right w:val="none" w:sz="0" w:space="0" w:color="auto"/>
                          </w:divBdr>
                          <w:divsChild>
                            <w:div w:id="52971764">
                              <w:marLeft w:val="0"/>
                              <w:marRight w:val="0"/>
                              <w:marTop w:val="0"/>
                              <w:marBottom w:val="0"/>
                              <w:divBdr>
                                <w:top w:val="none" w:sz="0" w:space="0" w:color="auto"/>
                                <w:left w:val="none" w:sz="0" w:space="0" w:color="auto"/>
                                <w:bottom w:val="none" w:sz="0" w:space="0" w:color="auto"/>
                                <w:right w:val="none" w:sz="0" w:space="0" w:color="auto"/>
                              </w:divBdr>
                              <w:divsChild>
                                <w:div w:id="2119794517">
                                  <w:marLeft w:val="0"/>
                                  <w:marRight w:val="0"/>
                                  <w:marTop w:val="0"/>
                                  <w:marBottom w:val="0"/>
                                  <w:divBdr>
                                    <w:top w:val="none" w:sz="0" w:space="0" w:color="auto"/>
                                    <w:left w:val="none" w:sz="0" w:space="0" w:color="auto"/>
                                    <w:bottom w:val="none" w:sz="0" w:space="0" w:color="auto"/>
                                    <w:right w:val="none" w:sz="0" w:space="0" w:color="auto"/>
                                  </w:divBdr>
                                  <w:divsChild>
                                    <w:div w:id="14372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162560">
                      <w:marLeft w:val="0"/>
                      <w:marRight w:val="0"/>
                      <w:marTop w:val="0"/>
                      <w:marBottom w:val="0"/>
                      <w:divBdr>
                        <w:top w:val="none" w:sz="0" w:space="0" w:color="auto"/>
                        <w:left w:val="none" w:sz="0" w:space="0" w:color="auto"/>
                        <w:bottom w:val="none" w:sz="0" w:space="0" w:color="auto"/>
                        <w:right w:val="none" w:sz="0" w:space="0" w:color="auto"/>
                      </w:divBdr>
                      <w:divsChild>
                        <w:div w:id="260183814">
                          <w:marLeft w:val="0"/>
                          <w:marRight w:val="0"/>
                          <w:marTop w:val="0"/>
                          <w:marBottom w:val="0"/>
                          <w:divBdr>
                            <w:top w:val="none" w:sz="0" w:space="0" w:color="auto"/>
                            <w:left w:val="none" w:sz="0" w:space="0" w:color="auto"/>
                            <w:bottom w:val="none" w:sz="0" w:space="0" w:color="auto"/>
                            <w:right w:val="none" w:sz="0" w:space="0" w:color="auto"/>
                          </w:divBdr>
                        </w:div>
                        <w:div w:id="499269573">
                          <w:marLeft w:val="0"/>
                          <w:marRight w:val="0"/>
                          <w:marTop w:val="0"/>
                          <w:marBottom w:val="0"/>
                          <w:divBdr>
                            <w:top w:val="none" w:sz="0" w:space="0" w:color="auto"/>
                            <w:left w:val="none" w:sz="0" w:space="0" w:color="auto"/>
                            <w:bottom w:val="none" w:sz="0" w:space="0" w:color="auto"/>
                            <w:right w:val="none" w:sz="0" w:space="0" w:color="auto"/>
                          </w:divBdr>
                          <w:divsChild>
                            <w:div w:id="1410925252">
                              <w:marLeft w:val="0"/>
                              <w:marRight w:val="0"/>
                              <w:marTop w:val="0"/>
                              <w:marBottom w:val="0"/>
                              <w:divBdr>
                                <w:top w:val="none" w:sz="0" w:space="0" w:color="auto"/>
                                <w:left w:val="none" w:sz="0" w:space="0" w:color="auto"/>
                                <w:bottom w:val="none" w:sz="0" w:space="0" w:color="auto"/>
                                <w:right w:val="none" w:sz="0" w:space="0" w:color="auto"/>
                              </w:divBdr>
                              <w:divsChild>
                                <w:div w:id="1453863721">
                                  <w:marLeft w:val="0"/>
                                  <w:marRight w:val="0"/>
                                  <w:marTop w:val="0"/>
                                  <w:marBottom w:val="0"/>
                                  <w:divBdr>
                                    <w:top w:val="none" w:sz="0" w:space="0" w:color="auto"/>
                                    <w:left w:val="none" w:sz="0" w:space="0" w:color="auto"/>
                                    <w:bottom w:val="none" w:sz="0" w:space="0" w:color="auto"/>
                                    <w:right w:val="none" w:sz="0" w:space="0" w:color="auto"/>
                                  </w:divBdr>
                                  <w:divsChild>
                                    <w:div w:id="13918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296882">
          <w:marLeft w:val="0"/>
          <w:marRight w:val="0"/>
          <w:marTop w:val="0"/>
          <w:marBottom w:val="0"/>
          <w:divBdr>
            <w:top w:val="none" w:sz="0" w:space="0" w:color="auto"/>
            <w:left w:val="none" w:sz="0" w:space="0" w:color="auto"/>
            <w:bottom w:val="none" w:sz="0" w:space="0" w:color="auto"/>
            <w:right w:val="none" w:sz="0" w:space="0" w:color="auto"/>
          </w:divBdr>
          <w:divsChild>
            <w:div w:id="954750554">
              <w:marLeft w:val="0"/>
              <w:marRight w:val="0"/>
              <w:marTop w:val="0"/>
              <w:marBottom w:val="0"/>
              <w:divBdr>
                <w:top w:val="none" w:sz="0" w:space="0" w:color="auto"/>
                <w:left w:val="none" w:sz="0" w:space="0" w:color="auto"/>
                <w:bottom w:val="none" w:sz="0" w:space="0" w:color="auto"/>
                <w:right w:val="none" w:sz="0" w:space="0" w:color="auto"/>
              </w:divBdr>
              <w:divsChild>
                <w:div w:id="95297993">
                  <w:marLeft w:val="0"/>
                  <w:marRight w:val="0"/>
                  <w:marTop w:val="0"/>
                  <w:marBottom w:val="0"/>
                  <w:divBdr>
                    <w:top w:val="none" w:sz="0" w:space="0" w:color="auto"/>
                    <w:left w:val="none" w:sz="0" w:space="0" w:color="auto"/>
                    <w:bottom w:val="none" w:sz="0" w:space="0" w:color="auto"/>
                    <w:right w:val="none" w:sz="0" w:space="0" w:color="auto"/>
                  </w:divBdr>
                  <w:divsChild>
                    <w:div w:id="1925993859">
                      <w:marLeft w:val="0"/>
                      <w:marRight w:val="0"/>
                      <w:marTop w:val="0"/>
                      <w:marBottom w:val="0"/>
                      <w:divBdr>
                        <w:top w:val="none" w:sz="0" w:space="0" w:color="auto"/>
                        <w:left w:val="none" w:sz="0" w:space="0" w:color="auto"/>
                        <w:bottom w:val="none" w:sz="0" w:space="0" w:color="auto"/>
                        <w:right w:val="none" w:sz="0" w:space="0" w:color="auto"/>
                      </w:divBdr>
                      <w:divsChild>
                        <w:div w:id="195318226">
                          <w:marLeft w:val="0"/>
                          <w:marRight w:val="0"/>
                          <w:marTop w:val="0"/>
                          <w:marBottom w:val="0"/>
                          <w:divBdr>
                            <w:top w:val="none" w:sz="0" w:space="0" w:color="auto"/>
                            <w:left w:val="none" w:sz="0" w:space="0" w:color="auto"/>
                            <w:bottom w:val="none" w:sz="0" w:space="0" w:color="auto"/>
                            <w:right w:val="none" w:sz="0" w:space="0" w:color="auto"/>
                          </w:divBdr>
                          <w:divsChild>
                            <w:div w:id="764350232">
                              <w:marLeft w:val="0"/>
                              <w:marRight w:val="0"/>
                              <w:marTop w:val="0"/>
                              <w:marBottom w:val="0"/>
                              <w:divBdr>
                                <w:top w:val="none" w:sz="0" w:space="0" w:color="auto"/>
                                <w:left w:val="none" w:sz="0" w:space="0" w:color="auto"/>
                                <w:bottom w:val="none" w:sz="0" w:space="0" w:color="auto"/>
                                <w:right w:val="none" w:sz="0" w:space="0" w:color="auto"/>
                              </w:divBdr>
                              <w:divsChild>
                                <w:div w:id="295962415">
                                  <w:marLeft w:val="0"/>
                                  <w:marRight w:val="0"/>
                                  <w:marTop w:val="0"/>
                                  <w:marBottom w:val="0"/>
                                  <w:divBdr>
                                    <w:top w:val="none" w:sz="0" w:space="0" w:color="auto"/>
                                    <w:left w:val="none" w:sz="0" w:space="0" w:color="auto"/>
                                    <w:bottom w:val="none" w:sz="0" w:space="0" w:color="auto"/>
                                    <w:right w:val="none" w:sz="0" w:space="0" w:color="auto"/>
                                  </w:divBdr>
                                  <w:divsChild>
                                    <w:div w:id="5395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596488">
                      <w:marLeft w:val="0"/>
                      <w:marRight w:val="0"/>
                      <w:marTop w:val="0"/>
                      <w:marBottom w:val="0"/>
                      <w:divBdr>
                        <w:top w:val="none" w:sz="0" w:space="0" w:color="auto"/>
                        <w:left w:val="none" w:sz="0" w:space="0" w:color="auto"/>
                        <w:bottom w:val="none" w:sz="0" w:space="0" w:color="auto"/>
                        <w:right w:val="none" w:sz="0" w:space="0" w:color="auto"/>
                      </w:divBdr>
                      <w:divsChild>
                        <w:div w:id="631399135">
                          <w:marLeft w:val="0"/>
                          <w:marRight w:val="0"/>
                          <w:marTop w:val="0"/>
                          <w:marBottom w:val="0"/>
                          <w:divBdr>
                            <w:top w:val="none" w:sz="0" w:space="0" w:color="auto"/>
                            <w:left w:val="none" w:sz="0" w:space="0" w:color="auto"/>
                            <w:bottom w:val="none" w:sz="0" w:space="0" w:color="auto"/>
                            <w:right w:val="none" w:sz="0" w:space="0" w:color="auto"/>
                          </w:divBdr>
                        </w:div>
                        <w:div w:id="1250239811">
                          <w:marLeft w:val="0"/>
                          <w:marRight w:val="0"/>
                          <w:marTop w:val="0"/>
                          <w:marBottom w:val="0"/>
                          <w:divBdr>
                            <w:top w:val="none" w:sz="0" w:space="0" w:color="auto"/>
                            <w:left w:val="none" w:sz="0" w:space="0" w:color="auto"/>
                            <w:bottom w:val="none" w:sz="0" w:space="0" w:color="auto"/>
                            <w:right w:val="none" w:sz="0" w:space="0" w:color="auto"/>
                          </w:divBdr>
                          <w:divsChild>
                            <w:div w:id="1013411990">
                              <w:marLeft w:val="0"/>
                              <w:marRight w:val="0"/>
                              <w:marTop w:val="0"/>
                              <w:marBottom w:val="0"/>
                              <w:divBdr>
                                <w:top w:val="none" w:sz="0" w:space="0" w:color="auto"/>
                                <w:left w:val="none" w:sz="0" w:space="0" w:color="auto"/>
                                <w:bottom w:val="none" w:sz="0" w:space="0" w:color="auto"/>
                                <w:right w:val="none" w:sz="0" w:space="0" w:color="auto"/>
                              </w:divBdr>
                              <w:divsChild>
                                <w:div w:id="1923828045">
                                  <w:marLeft w:val="0"/>
                                  <w:marRight w:val="0"/>
                                  <w:marTop w:val="0"/>
                                  <w:marBottom w:val="0"/>
                                  <w:divBdr>
                                    <w:top w:val="none" w:sz="0" w:space="0" w:color="auto"/>
                                    <w:left w:val="none" w:sz="0" w:space="0" w:color="auto"/>
                                    <w:bottom w:val="none" w:sz="0" w:space="0" w:color="auto"/>
                                    <w:right w:val="none" w:sz="0" w:space="0" w:color="auto"/>
                                  </w:divBdr>
                                  <w:divsChild>
                                    <w:div w:id="8570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2599">
      <w:bodyDiv w:val="1"/>
      <w:marLeft w:val="0"/>
      <w:marRight w:val="0"/>
      <w:marTop w:val="0"/>
      <w:marBottom w:val="0"/>
      <w:divBdr>
        <w:top w:val="none" w:sz="0" w:space="0" w:color="auto"/>
        <w:left w:val="none" w:sz="0" w:space="0" w:color="auto"/>
        <w:bottom w:val="none" w:sz="0" w:space="0" w:color="auto"/>
        <w:right w:val="none" w:sz="0" w:space="0" w:color="auto"/>
      </w:divBdr>
      <w:divsChild>
        <w:div w:id="1960069334">
          <w:marLeft w:val="0"/>
          <w:marRight w:val="0"/>
          <w:marTop w:val="0"/>
          <w:marBottom w:val="0"/>
          <w:divBdr>
            <w:top w:val="none" w:sz="0" w:space="0" w:color="auto"/>
            <w:left w:val="none" w:sz="0" w:space="0" w:color="auto"/>
            <w:bottom w:val="none" w:sz="0" w:space="0" w:color="auto"/>
            <w:right w:val="none" w:sz="0" w:space="0" w:color="auto"/>
          </w:divBdr>
          <w:divsChild>
            <w:div w:id="11069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5940">
      <w:bodyDiv w:val="1"/>
      <w:marLeft w:val="0"/>
      <w:marRight w:val="0"/>
      <w:marTop w:val="0"/>
      <w:marBottom w:val="0"/>
      <w:divBdr>
        <w:top w:val="none" w:sz="0" w:space="0" w:color="auto"/>
        <w:left w:val="none" w:sz="0" w:space="0" w:color="auto"/>
        <w:bottom w:val="none" w:sz="0" w:space="0" w:color="auto"/>
        <w:right w:val="none" w:sz="0" w:space="0" w:color="auto"/>
      </w:divBdr>
      <w:divsChild>
        <w:div w:id="362829115">
          <w:marLeft w:val="0"/>
          <w:marRight w:val="0"/>
          <w:marTop w:val="0"/>
          <w:marBottom w:val="0"/>
          <w:divBdr>
            <w:top w:val="none" w:sz="0" w:space="0" w:color="auto"/>
            <w:left w:val="none" w:sz="0" w:space="0" w:color="auto"/>
            <w:bottom w:val="none" w:sz="0" w:space="0" w:color="auto"/>
            <w:right w:val="none" w:sz="0" w:space="0" w:color="auto"/>
          </w:divBdr>
          <w:divsChild>
            <w:div w:id="106268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59719">
      <w:bodyDiv w:val="1"/>
      <w:marLeft w:val="0"/>
      <w:marRight w:val="0"/>
      <w:marTop w:val="0"/>
      <w:marBottom w:val="0"/>
      <w:divBdr>
        <w:top w:val="none" w:sz="0" w:space="0" w:color="auto"/>
        <w:left w:val="none" w:sz="0" w:space="0" w:color="auto"/>
        <w:bottom w:val="none" w:sz="0" w:space="0" w:color="auto"/>
        <w:right w:val="none" w:sz="0" w:space="0" w:color="auto"/>
      </w:divBdr>
      <w:divsChild>
        <w:div w:id="1310553258">
          <w:marLeft w:val="0"/>
          <w:marRight w:val="0"/>
          <w:marTop w:val="0"/>
          <w:marBottom w:val="0"/>
          <w:divBdr>
            <w:top w:val="none" w:sz="0" w:space="0" w:color="auto"/>
            <w:left w:val="none" w:sz="0" w:space="0" w:color="auto"/>
            <w:bottom w:val="none" w:sz="0" w:space="0" w:color="auto"/>
            <w:right w:val="none" w:sz="0" w:space="0" w:color="auto"/>
          </w:divBdr>
          <w:divsChild>
            <w:div w:id="3951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72171">
      <w:bodyDiv w:val="1"/>
      <w:marLeft w:val="0"/>
      <w:marRight w:val="0"/>
      <w:marTop w:val="0"/>
      <w:marBottom w:val="0"/>
      <w:divBdr>
        <w:top w:val="none" w:sz="0" w:space="0" w:color="auto"/>
        <w:left w:val="none" w:sz="0" w:space="0" w:color="auto"/>
        <w:bottom w:val="none" w:sz="0" w:space="0" w:color="auto"/>
        <w:right w:val="none" w:sz="0" w:space="0" w:color="auto"/>
      </w:divBdr>
      <w:divsChild>
        <w:div w:id="1092163821">
          <w:marLeft w:val="0"/>
          <w:marRight w:val="0"/>
          <w:marTop w:val="0"/>
          <w:marBottom w:val="0"/>
          <w:divBdr>
            <w:top w:val="none" w:sz="0" w:space="0" w:color="auto"/>
            <w:left w:val="none" w:sz="0" w:space="0" w:color="auto"/>
            <w:bottom w:val="none" w:sz="0" w:space="0" w:color="auto"/>
            <w:right w:val="none" w:sz="0" w:space="0" w:color="auto"/>
          </w:divBdr>
          <w:divsChild>
            <w:div w:id="204539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3671">
      <w:bodyDiv w:val="1"/>
      <w:marLeft w:val="0"/>
      <w:marRight w:val="0"/>
      <w:marTop w:val="0"/>
      <w:marBottom w:val="0"/>
      <w:divBdr>
        <w:top w:val="none" w:sz="0" w:space="0" w:color="auto"/>
        <w:left w:val="none" w:sz="0" w:space="0" w:color="auto"/>
        <w:bottom w:val="none" w:sz="0" w:space="0" w:color="auto"/>
        <w:right w:val="none" w:sz="0" w:space="0" w:color="auto"/>
      </w:divBdr>
      <w:divsChild>
        <w:div w:id="428083129">
          <w:marLeft w:val="0"/>
          <w:marRight w:val="0"/>
          <w:marTop w:val="0"/>
          <w:marBottom w:val="0"/>
          <w:divBdr>
            <w:top w:val="none" w:sz="0" w:space="0" w:color="auto"/>
            <w:left w:val="none" w:sz="0" w:space="0" w:color="auto"/>
            <w:bottom w:val="none" w:sz="0" w:space="0" w:color="auto"/>
            <w:right w:val="none" w:sz="0" w:space="0" w:color="auto"/>
          </w:divBdr>
          <w:divsChild>
            <w:div w:id="114401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3134">
      <w:bodyDiv w:val="1"/>
      <w:marLeft w:val="0"/>
      <w:marRight w:val="0"/>
      <w:marTop w:val="0"/>
      <w:marBottom w:val="0"/>
      <w:divBdr>
        <w:top w:val="none" w:sz="0" w:space="0" w:color="auto"/>
        <w:left w:val="none" w:sz="0" w:space="0" w:color="auto"/>
        <w:bottom w:val="none" w:sz="0" w:space="0" w:color="auto"/>
        <w:right w:val="none" w:sz="0" w:space="0" w:color="auto"/>
      </w:divBdr>
    </w:div>
    <w:div w:id="1362051195">
      <w:bodyDiv w:val="1"/>
      <w:marLeft w:val="0"/>
      <w:marRight w:val="0"/>
      <w:marTop w:val="0"/>
      <w:marBottom w:val="0"/>
      <w:divBdr>
        <w:top w:val="none" w:sz="0" w:space="0" w:color="auto"/>
        <w:left w:val="none" w:sz="0" w:space="0" w:color="auto"/>
        <w:bottom w:val="none" w:sz="0" w:space="0" w:color="auto"/>
        <w:right w:val="none" w:sz="0" w:space="0" w:color="auto"/>
      </w:divBdr>
    </w:div>
    <w:div w:id="1385449915">
      <w:bodyDiv w:val="1"/>
      <w:marLeft w:val="0"/>
      <w:marRight w:val="0"/>
      <w:marTop w:val="0"/>
      <w:marBottom w:val="0"/>
      <w:divBdr>
        <w:top w:val="none" w:sz="0" w:space="0" w:color="auto"/>
        <w:left w:val="none" w:sz="0" w:space="0" w:color="auto"/>
        <w:bottom w:val="none" w:sz="0" w:space="0" w:color="auto"/>
        <w:right w:val="none" w:sz="0" w:space="0" w:color="auto"/>
      </w:divBdr>
      <w:divsChild>
        <w:div w:id="1667896871">
          <w:marLeft w:val="0"/>
          <w:marRight w:val="0"/>
          <w:marTop w:val="0"/>
          <w:marBottom w:val="0"/>
          <w:divBdr>
            <w:top w:val="none" w:sz="0" w:space="0" w:color="auto"/>
            <w:left w:val="none" w:sz="0" w:space="0" w:color="auto"/>
            <w:bottom w:val="none" w:sz="0" w:space="0" w:color="auto"/>
            <w:right w:val="none" w:sz="0" w:space="0" w:color="auto"/>
          </w:divBdr>
          <w:divsChild>
            <w:div w:id="4282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76068">
      <w:bodyDiv w:val="1"/>
      <w:marLeft w:val="0"/>
      <w:marRight w:val="0"/>
      <w:marTop w:val="0"/>
      <w:marBottom w:val="0"/>
      <w:divBdr>
        <w:top w:val="none" w:sz="0" w:space="0" w:color="auto"/>
        <w:left w:val="none" w:sz="0" w:space="0" w:color="auto"/>
        <w:bottom w:val="none" w:sz="0" w:space="0" w:color="auto"/>
        <w:right w:val="none" w:sz="0" w:space="0" w:color="auto"/>
      </w:divBdr>
      <w:divsChild>
        <w:div w:id="216473784">
          <w:marLeft w:val="0"/>
          <w:marRight w:val="0"/>
          <w:marTop w:val="0"/>
          <w:marBottom w:val="0"/>
          <w:divBdr>
            <w:top w:val="none" w:sz="0" w:space="0" w:color="auto"/>
            <w:left w:val="none" w:sz="0" w:space="0" w:color="auto"/>
            <w:bottom w:val="none" w:sz="0" w:space="0" w:color="auto"/>
            <w:right w:val="none" w:sz="0" w:space="0" w:color="auto"/>
          </w:divBdr>
          <w:divsChild>
            <w:div w:id="82420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8947">
      <w:bodyDiv w:val="1"/>
      <w:marLeft w:val="0"/>
      <w:marRight w:val="0"/>
      <w:marTop w:val="0"/>
      <w:marBottom w:val="0"/>
      <w:divBdr>
        <w:top w:val="none" w:sz="0" w:space="0" w:color="auto"/>
        <w:left w:val="none" w:sz="0" w:space="0" w:color="auto"/>
        <w:bottom w:val="none" w:sz="0" w:space="0" w:color="auto"/>
        <w:right w:val="none" w:sz="0" w:space="0" w:color="auto"/>
      </w:divBdr>
      <w:divsChild>
        <w:div w:id="1474252961">
          <w:marLeft w:val="0"/>
          <w:marRight w:val="0"/>
          <w:marTop w:val="0"/>
          <w:marBottom w:val="0"/>
          <w:divBdr>
            <w:top w:val="none" w:sz="0" w:space="0" w:color="auto"/>
            <w:left w:val="none" w:sz="0" w:space="0" w:color="auto"/>
            <w:bottom w:val="none" w:sz="0" w:space="0" w:color="auto"/>
            <w:right w:val="none" w:sz="0" w:space="0" w:color="auto"/>
          </w:divBdr>
          <w:divsChild>
            <w:div w:id="222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2924">
      <w:bodyDiv w:val="1"/>
      <w:marLeft w:val="0"/>
      <w:marRight w:val="0"/>
      <w:marTop w:val="0"/>
      <w:marBottom w:val="0"/>
      <w:divBdr>
        <w:top w:val="none" w:sz="0" w:space="0" w:color="auto"/>
        <w:left w:val="none" w:sz="0" w:space="0" w:color="auto"/>
        <w:bottom w:val="none" w:sz="0" w:space="0" w:color="auto"/>
        <w:right w:val="none" w:sz="0" w:space="0" w:color="auto"/>
      </w:divBdr>
    </w:div>
    <w:div w:id="1444958545">
      <w:bodyDiv w:val="1"/>
      <w:marLeft w:val="0"/>
      <w:marRight w:val="0"/>
      <w:marTop w:val="0"/>
      <w:marBottom w:val="0"/>
      <w:divBdr>
        <w:top w:val="none" w:sz="0" w:space="0" w:color="auto"/>
        <w:left w:val="none" w:sz="0" w:space="0" w:color="auto"/>
        <w:bottom w:val="none" w:sz="0" w:space="0" w:color="auto"/>
        <w:right w:val="none" w:sz="0" w:space="0" w:color="auto"/>
      </w:divBdr>
    </w:div>
    <w:div w:id="1468544344">
      <w:bodyDiv w:val="1"/>
      <w:marLeft w:val="0"/>
      <w:marRight w:val="0"/>
      <w:marTop w:val="0"/>
      <w:marBottom w:val="0"/>
      <w:divBdr>
        <w:top w:val="none" w:sz="0" w:space="0" w:color="auto"/>
        <w:left w:val="none" w:sz="0" w:space="0" w:color="auto"/>
        <w:bottom w:val="none" w:sz="0" w:space="0" w:color="auto"/>
        <w:right w:val="none" w:sz="0" w:space="0" w:color="auto"/>
      </w:divBdr>
      <w:divsChild>
        <w:div w:id="872350292">
          <w:marLeft w:val="0"/>
          <w:marRight w:val="0"/>
          <w:marTop w:val="0"/>
          <w:marBottom w:val="0"/>
          <w:divBdr>
            <w:top w:val="none" w:sz="0" w:space="0" w:color="auto"/>
            <w:left w:val="none" w:sz="0" w:space="0" w:color="auto"/>
            <w:bottom w:val="none" w:sz="0" w:space="0" w:color="auto"/>
            <w:right w:val="none" w:sz="0" w:space="0" w:color="auto"/>
          </w:divBdr>
          <w:divsChild>
            <w:div w:id="14428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8532">
      <w:bodyDiv w:val="1"/>
      <w:marLeft w:val="0"/>
      <w:marRight w:val="0"/>
      <w:marTop w:val="0"/>
      <w:marBottom w:val="0"/>
      <w:divBdr>
        <w:top w:val="none" w:sz="0" w:space="0" w:color="auto"/>
        <w:left w:val="none" w:sz="0" w:space="0" w:color="auto"/>
        <w:bottom w:val="none" w:sz="0" w:space="0" w:color="auto"/>
        <w:right w:val="none" w:sz="0" w:space="0" w:color="auto"/>
      </w:divBdr>
    </w:div>
    <w:div w:id="1519927384">
      <w:bodyDiv w:val="1"/>
      <w:marLeft w:val="0"/>
      <w:marRight w:val="0"/>
      <w:marTop w:val="0"/>
      <w:marBottom w:val="0"/>
      <w:divBdr>
        <w:top w:val="none" w:sz="0" w:space="0" w:color="auto"/>
        <w:left w:val="none" w:sz="0" w:space="0" w:color="auto"/>
        <w:bottom w:val="none" w:sz="0" w:space="0" w:color="auto"/>
        <w:right w:val="none" w:sz="0" w:space="0" w:color="auto"/>
      </w:divBdr>
      <w:divsChild>
        <w:div w:id="1290084463">
          <w:marLeft w:val="0"/>
          <w:marRight w:val="0"/>
          <w:marTop w:val="0"/>
          <w:marBottom w:val="0"/>
          <w:divBdr>
            <w:top w:val="none" w:sz="0" w:space="0" w:color="auto"/>
            <w:left w:val="none" w:sz="0" w:space="0" w:color="auto"/>
            <w:bottom w:val="none" w:sz="0" w:space="0" w:color="auto"/>
            <w:right w:val="none" w:sz="0" w:space="0" w:color="auto"/>
          </w:divBdr>
          <w:divsChild>
            <w:div w:id="3484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6353">
      <w:bodyDiv w:val="1"/>
      <w:marLeft w:val="0"/>
      <w:marRight w:val="0"/>
      <w:marTop w:val="0"/>
      <w:marBottom w:val="0"/>
      <w:divBdr>
        <w:top w:val="none" w:sz="0" w:space="0" w:color="auto"/>
        <w:left w:val="none" w:sz="0" w:space="0" w:color="auto"/>
        <w:bottom w:val="none" w:sz="0" w:space="0" w:color="auto"/>
        <w:right w:val="none" w:sz="0" w:space="0" w:color="auto"/>
      </w:divBdr>
      <w:divsChild>
        <w:div w:id="1086268304">
          <w:marLeft w:val="0"/>
          <w:marRight w:val="0"/>
          <w:marTop w:val="0"/>
          <w:marBottom w:val="0"/>
          <w:divBdr>
            <w:top w:val="none" w:sz="0" w:space="0" w:color="auto"/>
            <w:left w:val="none" w:sz="0" w:space="0" w:color="auto"/>
            <w:bottom w:val="none" w:sz="0" w:space="0" w:color="auto"/>
            <w:right w:val="none" w:sz="0" w:space="0" w:color="auto"/>
          </w:divBdr>
          <w:divsChild>
            <w:div w:id="80119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4697">
      <w:bodyDiv w:val="1"/>
      <w:marLeft w:val="0"/>
      <w:marRight w:val="0"/>
      <w:marTop w:val="0"/>
      <w:marBottom w:val="0"/>
      <w:divBdr>
        <w:top w:val="none" w:sz="0" w:space="0" w:color="auto"/>
        <w:left w:val="none" w:sz="0" w:space="0" w:color="auto"/>
        <w:bottom w:val="none" w:sz="0" w:space="0" w:color="auto"/>
        <w:right w:val="none" w:sz="0" w:space="0" w:color="auto"/>
      </w:divBdr>
      <w:divsChild>
        <w:div w:id="1369112682">
          <w:marLeft w:val="0"/>
          <w:marRight w:val="0"/>
          <w:marTop w:val="0"/>
          <w:marBottom w:val="0"/>
          <w:divBdr>
            <w:top w:val="none" w:sz="0" w:space="0" w:color="auto"/>
            <w:left w:val="none" w:sz="0" w:space="0" w:color="auto"/>
            <w:bottom w:val="none" w:sz="0" w:space="0" w:color="auto"/>
            <w:right w:val="none" w:sz="0" w:space="0" w:color="auto"/>
          </w:divBdr>
          <w:divsChild>
            <w:div w:id="12579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8599">
      <w:bodyDiv w:val="1"/>
      <w:marLeft w:val="0"/>
      <w:marRight w:val="0"/>
      <w:marTop w:val="0"/>
      <w:marBottom w:val="0"/>
      <w:divBdr>
        <w:top w:val="none" w:sz="0" w:space="0" w:color="auto"/>
        <w:left w:val="none" w:sz="0" w:space="0" w:color="auto"/>
        <w:bottom w:val="none" w:sz="0" w:space="0" w:color="auto"/>
        <w:right w:val="none" w:sz="0" w:space="0" w:color="auto"/>
      </w:divBdr>
      <w:divsChild>
        <w:div w:id="635724095">
          <w:marLeft w:val="0"/>
          <w:marRight w:val="0"/>
          <w:marTop w:val="0"/>
          <w:marBottom w:val="0"/>
          <w:divBdr>
            <w:top w:val="none" w:sz="0" w:space="0" w:color="auto"/>
            <w:left w:val="none" w:sz="0" w:space="0" w:color="auto"/>
            <w:bottom w:val="none" w:sz="0" w:space="0" w:color="auto"/>
            <w:right w:val="none" w:sz="0" w:space="0" w:color="auto"/>
          </w:divBdr>
          <w:divsChild>
            <w:div w:id="14846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1365">
      <w:bodyDiv w:val="1"/>
      <w:marLeft w:val="0"/>
      <w:marRight w:val="0"/>
      <w:marTop w:val="0"/>
      <w:marBottom w:val="0"/>
      <w:divBdr>
        <w:top w:val="none" w:sz="0" w:space="0" w:color="auto"/>
        <w:left w:val="none" w:sz="0" w:space="0" w:color="auto"/>
        <w:bottom w:val="none" w:sz="0" w:space="0" w:color="auto"/>
        <w:right w:val="none" w:sz="0" w:space="0" w:color="auto"/>
      </w:divBdr>
      <w:divsChild>
        <w:div w:id="1705598995">
          <w:marLeft w:val="0"/>
          <w:marRight w:val="0"/>
          <w:marTop w:val="0"/>
          <w:marBottom w:val="0"/>
          <w:divBdr>
            <w:top w:val="none" w:sz="0" w:space="0" w:color="auto"/>
            <w:left w:val="none" w:sz="0" w:space="0" w:color="auto"/>
            <w:bottom w:val="none" w:sz="0" w:space="0" w:color="auto"/>
            <w:right w:val="none" w:sz="0" w:space="0" w:color="auto"/>
          </w:divBdr>
          <w:divsChild>
            <w:div w:id="153670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28463">
      <w:bodyDiv w:val="1"/>
      <w:marLeft w:val="0"/>
      <w:marRight w:val="0"/>
      <w:marTop w:val="0"/>
      <w:marBottom w:val="0"/>
      <w:divBdr>
        <w:top w:val="none" w:sz="0" w:space="0" w:color="auto"/>
        <w:left w:val="none" w:sz="0" w:space="0" w:color="auto"/>
        <w:bottom w:val="none" w:sz="0" w:space="0" w:color="auto"/>
        <w:right w:val="none" w:sz="0" w:space="0" w:color="auto"/>
      </w:divBdr>
    </w:div>
    <w:div w:id="1590121203">
      <w:bodyDiv w:val="1"/>
      <w:marLeft w:val="0"/>
      <w:marRight w:val="0"/>
      <w:marTop w:val="0"/>
      <w:marBottom w:val="0"/>
      <w:divBdr>
        <w:top w:val="none" w:sz="0" w:space="0" w:color="auto"/>
        <w:left w:val="none" w:sz="0" w:space="0" w:color="auto"/>
        <w:bottom w:val="none" w:sz="0" w:space="0" w:color="auto"/>
        <w:right w:val="none" w:sz="0" w:space="0" w:color="auto"/>
      </w:divBdr>
      <w:divsChild>
        <w:div w:id="1067535421">
          <w:marLeft w:val="0"/>
          <w:marRight w:val="0"/>
          <w:marTop w:val="0"/>
          <w:marBottom w:val="0"/>
          <w:divBdr>
            <w:top w:val="none" w:sz="0" w:space="0" w:color="auto"/>
            <w:left w:val="none" w:sz="0" w:space="0" w:color="auto"/>
            <w:bottom w:val="none" w:sz="0" w:space="0" w:color="auto"/>
            <w:right w:val="none" w:sz="0" w:space="0" w:color="auto"/>
          </w:divBdr>
          <w:divsChild>
            <w:div w:id="19308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66901">
      <w:bodyDiv w:val="1"/>
      <w:marLeft w:val="0"/>
      <w:marRight w:val="0"/>
      <w:marTop w:val="0"/>
      <w:marBottom w:val="0"/>
      <w:divBdr>
        <w:top w:val="none" w:sz="0" w:space="0" w:color="auto"/>
        <w:left w:val="none" w:sz="0" w:space="0" w:color="auto"/>
        <w:bottom w:val="none" w:sz="0" w:space="0" w:color="auto"/>
        <w:right w:val="none" w:sz="0" w:space="0" w:color="auto"/>
      </w:divBdr>
    </w:div>
    <w:div w:id="1600674760">
      <w:bodyDiv w:val="1"/>
      <w:marLeft w:val="0"/>
      <w:marRight w:val="0"/>
      <w:marTop w:val="0"/>
      <w:marBottom w:val="0"/>
      <w:divBdr>
        <w:top w:val="none" w:sz="0" w:space="0" w:color="auto"/>
        <w:left w:val="none" w:sz="0" w:space="0" w:color="auto"/>
        <w:bottom w:val="none" w:sz="0" w:space="0" w:color="auto"/>
        <w:right w:val="none" w:sz="0" w:space="0" w:color="auto"/>
      </w:divBdr>
      <w:divsChild>
        <w:div w:id="336614475">
          <w:marLeft w:val="0"/>
          <w:marRight w:val="0"/>
          <w:marTop w:val="0"/>
          <w:marBottom w:val="0"/>
          <w:divBdr>
            <w:top w:val="none" w:sz="0" w:space="0" w:color="auto"/>
            <w:left w:val="none" w:sz="0" w:space="0" w:color="auto"/>
            <w:bottom w:val="none" w:sz="0" w:space="0" w:color="auto"/>
            <w:right w:val="none" w:sz="0" w:space="0" w:color="auto"/>
          </w:divBdr>
          <w:divsChild>
            <w:div w:id="122193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2249">
      <w:bodyDiv w:val="1"/>
      <w:marLeft w:val="0"/>
      <w:marRight w:val="0"/>
      <w:marTop w:val="0"/>
      <w:marBottom w:val="0"/>
      <w:divBdr>
        <w:top w:val="none" w:sz="0" w:space="0" w:color="auto"/>
        <w:left w:val="none" w:sz="0" w:space="0" w:color="auto"/>
        <w:bottom w:val="none" w:sz="0" w:space="0" w:color="auto"/>
        <w:right w:val="none" w:sz="0" w:space="0" w:color="auto"/>
      </w:divBdr>
    </w:div>
    <w:div w:id="1637755510">
      <w:bodyDiv w:val="1"/>
      <w:marLeft w:val="0"/>
      <w:marRight w:val="0"/>
      <w:marTop w:val="0"/>
      <w:marBottom w:val="0"/>
      <w:divBdr>
        <w:top w:val="none" w:sz="0" w:space="0" w:color="auto"/>
        <w:left w:val="none" w:sz="0" w:space="0" w:color="auto"/>
        <w:bottom w:val="none" w:sz="0" w:space="0" w:color="auto"/>
        <w:right w:val="none" w:sz="0" w:space="0" w:color="auto"/>
      </w:divBdr>
      <w:divsChild>
        <w:div w:id="471681876">
          <w:marLeft w:val="0"/>
          <w:marRight w:val="0"/>
          <w:marTop w:val="0"/>
          <w:marBottom w:val="0"/>
          <w:divBdr>
            <w:top w:val="none" w:sz="0" w:space="0" w:color="auto"/>
            <w:left w:val="none" w:sz="0" w:space="0" w:color="auto"/>
            <w:bottom w:val="none" w:sz="0" w:space="0" w:color="auto"/>
            <w:right w:val="none" w:sz="0" w:space="0" w:color="auto"/>
          </w:divBdr>
          <w:divsChild>
            <w:div w:id="15391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8029">
      <w:bodyDiv w:val="1"/>
      <w:marLeft w:val="0"/>
      <w:marRight w:val="0"/>
      <w:marTop w:val="0"/>
      <w:marBottom w:val="0"/>
      <w:divBdr>
        <w:top w:val="none" w:sz="0" w:space="0" w:color="auto"/>
        <w:left w:val="none" w:sz="0" w:space="0" w:color="auto"/>
        <w:bottom w:val="none" w:sz="0" w:space="0" w:color="auto"/>
        <w:right w:val="none" w:sz="0" w:space="0" w:color="auto"/>
      </w:divBdr>
      <w:divsChild>
        <w:div w:id="1592009369">
          <w:marLeft w:val="0"/>
          <w:marRight w:val="0"/>
          <w:marTop w:val="0"/>
          <w:marBottom w:val="0"/>
          <w:divBdr>
            <w:top w:val="none" w:sz="0" w:space="0" w:color="auto"/>
            <w:left w:val="none" w:sz="0" w:space="0" w:color="auto"/>
            <w:bottom w:val="none" w:sz="0" w:space="0" w:color="auto"/>
            <w:right w:val="none" w:sz="0" w:space="0" w:color="auto"/>
          </w:divBdr>
          <w:divsChild>
            <w:div w:id="198268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0601">
      <w:bodyDiv w:val="1"/>
      <w:marLeft w:val="0"/>
      <w:marRight w:val="0"/>
      <w:marTop w:val="0"/>
      <w:marBottom w:val="0"/>
      <w:divBdr>
        <w:top w:val="none" w:sz="0" w:space="0" w:color="auto"/>
        <w:left w:val="none" w:sz="0" w:space="0" w:color="auto"/>
        <w:bottom w:val="none" w:sz="0" w:space="0" w:color="auto"/>
        <w:right w:val="none" w:sz="0" w:space="0" w:color="auto"/>
      </w:divBdr>
      <w:divsChild>
        <w:div w:id="1915822912">
          <w:marLeft w:val="0"/>
          <w:marRight w:val="0"/>
          <w:marTop w:val="0"/>
          <w:marBottom w:val="0"/>
          <w:divBdr>
            <w:top w:val="none" w:sz="0" w:space="0" w:color="auto"/>
            <w:left w:val="none" w:sz="0" w:space="0" w:color="auto"/>
            <w:bottom w:val="none" w:sz="0" w:space="0" w:color="auto"/>
            <w:right w:val="none" w:sz="0" w:space="0" w:color="auto"/>
          </w:divBdr>
          <w:divsChild>
            <w:div w:id="8820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9436">
      <w:bodyDiv w:val="1"/>
      <w:marLeft w:val="0"/>
      <w:marRight w:val="0"/>
      <w:marTop w:val="0"/>
      <w:marBottom w:val="0"/>
      <w:divBdr>
        <w:top w:val="none" w:sz="0" w:space="0" w:color="auto"/>
        <w:left w:val="none" w:sz="0" w:space="0" w:color="auto"/>
        <w:bottom w:val="none" w:sz="0" w:space="0" w:color="auto"/>
        <w:right w:val="none" w:sz="0" w:space="0" w:color="auto"/>
      </w:divBdr>
      <w:divsChild>
        <w:div w:id="2067798234">
          <w:marLeft w:val="0"/>
          <w:marRight w:val="0"/>
          <w:marTop w:val="0"/>
          <w:marBottom w:val="0"/>
          <w:divBdr>
            <w:top w:val="none" w:sz="0" w:space="0" w:color="auto"/>
            <w:left w:val="none" w:sz="0" w:space="0" w:color="auto"/>
            <w:bottom w:val="none" w:sz="0" w:space="0" w:color="auto"/>
            <w:right w:val="none" w:sz="0" w:space="0" w:color="auto"/>
          </w:divBdr>
          <w:divsChild>
            <w:div w:id="2193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5661">
      <w:bodyDiv w:val="1"/>
      <w:marLeft w:val="0"/>
      <w:marRight w:val="0"/>
      <w:marTop w:val="0"/>
      <w:marBottom w:val="0"/>
      <w:divBdr>
        <w:top w:val="none" w:sz="0" w:space="0" w:color="auto"/>
        <w:left w:val="none" w:sz="0" w:space="0" w:color="auto"/>
        <w:bottom w:val="none" w:sz="0" w:space="0" w:color="auto"/>
        <w:right w:val="none" w:sz="0" w:space="0" w:color="auto"/>
      </w:divBdr>
      <w:divsChild>
        <w:div w:id="1401946355">
          <w:marLeft w:val="0"/>
          <w:marRight w:val="0"/>
          <w:marTop w:val="0"/>
          <w:marBottom w:val="0"/>
          <w:divBdr>
            <w:top w:val="none" w:sz="0" w:space="0" w:color="auto"/>
            <w:left w:val="none" w:sz="0" w:space="0" w:color="auto"/>
            <w:bottom w:val="none" w:sz="0" w:space="0" w:color="auto"/>
            <w:right w:val="none" w:sz="0" w:space="0" w:color="auto"/>
          </w:divBdr>
          <w:divsChild>
            <w:div w:id="126414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0357">
      <w:bodyDiv w:val="1"/>
      <w:marLeft w:val="0"/>
      <w:marRight w:val="0"/>
      <w:marTop w:val="0"/>
      <w:marBottom w:val="0"/>
      <w:divBdr>
        <w:top w:val="none" w:sz="0" w:space="0" w:color="auto"/>
        <w:left w:val="none" w:sz="0" w:space="0" w:color="auto"/>
        <w:bottom w:val="none" w:sz="0" w:space="0" w:color="auto"/>
        <w:right w:val="none" w:sz="0" w:space="0" w:color="auto"/>
      </w:divBdr>
      <w:divsChild>
        <w:div w:id="636685612">
          <w:marLeft w:val="0"/>
          <w:marRight w:val="0"/>
          <w:marTop w:val="0"/>
          <w:marBottom w:val="0"/>
          <w:divBdr>
            <w:top w:val="none" w:sz="0" w:space="0" w:color="auto"/>
            <w:left w:val="none" w:sz="0" w:space="0" w:color="auto"/>
            <w:bottom w:val="none" w:sz="0" w:space="0" w:color="auto"/>
            <w:right w:val="none" w:sz="0" w:space="0" w:color="auto"/>
          </w:divBdr>
          <w:divsChild>
            <w:div w:id="52587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2830">
      <w:bodyDiv w:val="1"/>
      <w:marLeft w:val="0"/>
      <w:marRight w:val="0"/>
      <w:marTop w:val="0"/>
      <w:marBottom w:val="0"/>
      <w:divBdr>
        <w:top w:val="none" w:sz="0" w:space="0" w:color="auto"/>
        <w:left w:val="none" w:sz="0" w:space="0" w:color="auto"/>
        <w:bottom w:val="none" w:sz="0" w:space="0" w:color="auto"/>
        <w:right w:val="none" w:sz="0" w:space="0" w:color="auto"/>
      </w:divBdr>
      <w:divsChild>
        <w:div w:id="2029409549">
          <w:marLeft w:val="0"/>
          <w:marRight w:val="0"/>
          <w:marTop w:val="0"/>
          <w:marBottom w:val="0"/>
          <w:divBdr>
            <w:top w:val="none" w:sz="0" w:space="0" w:color="auto"/>
            <w:left w:val="none" w:sz="0" w:space="0" w:color="auto"/>
            <w:bottom w:val="none" w:sz="0" w:space="0" w:color="auto"/>
            <w:right w:val="none" w:sz="0" w:space="0" w:color="auto"/>
          </w:divBdr>
          <w:divsChild>
            <w:div w:id="2005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40768">
      <w:bodyDiv w:val="1"/>
      <w:marLeft w:val="0"/>
      <w:marRight w:val="0"/>
      <w:marTop w:val="0"/>
      <w:marBottom w:val="0"/>
      <w:divBdr>
        <w:top w:val="none" w:sz="0" w:space="0" w:color="auto"/>
        <w:left w:val="none" w:sz="0" w:space="0" w:color="auto"/>
        <w:bottom w:val="none" w:sz="0" w:space="0" w:color="auto"/>
        <w:right w:val="none" w:sz="0" w:space="0" w:color="auto"/>
      </w:divBdr>
    </w:div>
    <w:div w:id="1717121372">
      <w:bodyDiv w:val="1"/>
      <w:marLeft w:val="0"/>
      <w:marRight w:val="0"/>
      <w:marTop w:val="0"/>
      <w:marBottom w:val="0"/>
      <w:divBdr>
        <w:top w:val="none" w:sz="0" w:space="0" w:color="auto"/>
        <w:left w:val="none" w:sz="0" w:space="0" w:color="auto"/>
        <w:bottom w:val="none" w:sz="0" w:space="0" w:color="auto"/>
        <w:right w:val="none" w:sz="0" w:space="0" w:color="auto"/>
      </w:divBdr>
      <w:divsChild>
        <w:div w:id="142357697">
          <w:marLeft w:val="0"/>
          <w:marRight w:val="0"/>
          <w:marTop w:val="0"/>
          <w:marBottom w:val="0"/>
          <w:divBdr>
            <w:top w:val="none" w:sz="0" w:space="0" w:color="auto"/>
            <w:left w:val="none" w:sz="0" w:space="0" w:color="auto"/>
            <w:bottom w:val="none" w:sz="0" w:space="0" w:color="auto"/>
            <w:right w:val="none" w:sz="0" w:space="0" w:color="auto"/>
          </w:divBdr>
          <w:divsChild>
            <w:div w:id="1109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7429">
      <w:bodyDiv w:val="1"/>
      <w:marLeft w:val="0"/>
      <w:marRight w:val="0"/>
      <w:marTop w:val="0"/>
      <w:marBottom w:val="0"/>
      <w:divBdr>
        <w:top w:val="none" w:sz="0" w:space="0" w:color="auto"/>
        <w:left w:val="none" w:sz="0" w:space="0" w:color="auto"/>
        <w:bottom w:val="none" w:sz="0" w:space="0" w:color="auto"/>
        <w:right w:val="none" w:sz="0" w:space="0" w:color="auto"/>
      </w:divBdr>
    </w:div>
    <w:div w:id="1742092234">
      <w:bodyDiv w:val="1"/>
      <w:marLeft w:val="0"/>
      <w:marRight w:val="0"/>
      <w:marTop w:val="0"/>
      <w:marBottom w:val="0"/>
      <w:divBdr>
        <w:top w:val="none" w:sz="0" w:space="0" w:color="auto"/>
        <w:left w:val="none" w:sz="0" w:space="0" w:color="auto"/>
        <w:bottom w:val="none" w:sz="0" w:space="0" w:color="auto"/>
        <w:right w:val="none" w:sz="0" w:space="0" w:color="auto"/>
      </w:divBdr>
    </w:div>
    <w:div w:id="1750808432">
      <w:bodyDiv w:val="1"/>
      <w:marLeft w:val="0"/>
      <w:marRight w:val="0"/>
      <w:marTop w:val="0"/>
      <w:marBottom w:val="0"/>
      <w:divBdr>
        <w:top w:val="none" w:sz="0" w:space="0" w:color="auto"/>
        <w:left w:val="none" w:sz="0" w:space="0" w:color="auto"/>
        <w:bottom w:val="none" w:sz="0" w:space="0" w:color="auto"/>
        <w:right w:val="none" w:sz="0" w:space="0" w:color="auto"/>
      </w:divBdr>
    </w:div>
    <w:div w:id="1751461535">
      <w:bodyDiv w:val="1"/>
      <w:marLeft w:val="0"/>
      <w:marRight w:val="0"/>
      <w:marTop w:val="0"/>
      <w:marBottom w:val="0"/>
      <w:divBdr>
        <w:top w:val="none" w:sz="0" w:space="0" w:color="auto"/>
        <w:left w:val="none" w:sz="0" w:space="0" w:color="auto"/>
        <w:bottom w:val="none" w:sz="0" w:space="0" w:color="auto"/>
        <w:right w:val="none" w:sz="0" w:space="0" w:color="auto"/>
      </w:divBdr>
      <w:divsChild>
        <w:div w:id="909584613">
          <w:marLeft w:val="0"/>
          <w:marRight w:val="0"/>
          <w:marTop w:val="0"/>
          <w:marBottom w:val="0"/>
          <w:divBdr>
            <w:top w:val="none" w:sz="0" w:space="0" w:color="auto"/>
            <w:left w:val="none" w:sz="0" w:space="0" w:color="auto"/>
            <w:bottom w:val="none" w:sz="0" w:space="0" w:color="auto"/>
            <w:right w:val="none" w:sz="0" w:space="0" w:color="auto"/>
          </w:divBdr>
          <w:divsChild>
            <w:div w:id="63140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7444">
      <w:bodyDiv w:val="1"/>
      <w:marLeft w:val="0"/>
      <w:marRight w:val="0"/>
      <w:marTop w:val="0"/>
      <w:marBottom w:val="0"/>
      <w:divBdr>
        <w:top w:val="none" w:sz="0" w:space="0" w:color="auto"/>
        <w:left w:val="none" w:sz="0" w:space="0" w:color="auto"/>
        <w:bottom w:val="none" w:sz="0" w:space="0" w:color="auto"/>
        <w:right w:val="none" w:sz="0" w:space="0" w:color="auto"/>
      </w:divBdr>
      <w:divsChild>
        <w:div w:id="780565238">
          <w:marLeft w:val="0"/>
          <w:marRight w:val="0"/>
          <w:marTop w:val="0"/>
          <w:marBottom w:val="0"/>
          <w:divBdr>
            <w:top w:val="none" w:sz="0" w:space="0" w:color="auto"/>
            <w:left w:val="none" w:sz="0" w:space="0" w:color="auto"/>
            <w:bottom w:val="none" w:sz="0" w:space="0" w:color="auto"/>
            <w:right w:val="none" w:sz="0" w:space="0" w:color="auto"/>
          </w:divBdr>
          <w:divsChild>
            <w:div w:id="1871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7511">
      <w:bodyDiv w:val="1"/>
      <w:marLeft w:val="0"/>
      <w:marRight w:val="0"/>
      <w:marTop w:val="0"/>
      <w:marBottom w:val="0"/>
      <w:divBdr>
        <w:top w:val="none" w:sz="0" w:space="0" w:color="auto"/>
        <w:left w:val="none" w:sz="0" w:space="0" w:color="auto"/>
        <w:bottom w:val="none" w:sz="0" w:space="0" w:color="auto"/>
        <w:right w:val="none" w:sz="0" w:space="0" w:color="auto"/>
      </w:divBdr>
      <w:divsChild>
        <w:div w:id="2105027369">
          <w:marLeft w:val="0"/>
          <w:marRight w:val="0"/>
          <w:marTop w:val="0"/>
          <w:marBottom w:val="0"/>
          <w:divBdr>
            <w:top w:val="none" w:sz="0" w:space="0" w:color="auto"/>
            <w:left w:val="none" w:sz="0" w:space="0" w:color="auto"/>
            <w:bottom w:val="none" w:sz="0" w:space="0" w:color="auto"/>
            <w:right w:val="none" w:sz="0" w:space="0" w:color="auto"/>
          </w:divBdr>
          <w:divsChild>
            <w:div w:id="10620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73873">
      <w:bodyDiv w:val="1"/>
      <w:marLeft w:val="0"/>
      <w:marRight w:val="0"/>
      <w:marTop w:val="0"/>
      <w:marBottom w:val="0"/>
      <w:divBdr>
        <w:top w:val="none" w:sz="0" w:space="0" w:color="auto"/>
        <w:left w:val="none" w:sz="0" w:space="0" w:color="auto"/>
        <w:bottom w:val="none" w:sz="0" w:space="0" w:color="auto"/>
        <w:right w:val="none" w:sz="0" w:space="0" w:color="auto"/>
      </w:divBdr>
    </w:div>
    <w:div w:id="1791392017">
      <w:bodyDiv w:val="1"/>
      <w:marLeft w:val="0"/>
      <w:marRight w:val="0"/>
      <w:marTop w:val="0"/>
      <w:marBottom w:val="0"/>
      <w:divBdr>
        <w:top w:val="none" w:sz="0" w:space="0" w:color="auto"/>
        <w:left w:val="none" w:sz="0" w:space="0" w:color="auto"/>
        <w:bottom w:val="none" w:sz="0" w:space="0" w:color="auto"/>
        <w:right w:val="none" w:sz="0" w:space="0" w:color="auto"/>
      </w:divBdr>
    </w:div>
    <w:div w:id="1801069867">
      <w:bodyDiv w:val="1"/>
      <w:marLeft w:val="0"/>
      <w:marRight w:val="0"/>
      <w:marTop w:val="0"/>
      <w:marBottom w:val="0"/>
      <w:divBdr>
        <w:top w:val="none" w:sz="0" w:space="0" w:color="auto"/>
        <w:left w:val="none" w:sz="0" w:space="0" w:color="auto"/>
        <w:bottom w:val="none" w:sz="0" w:space="0" w:color="auto"/>
        <w:right w:val="none" w:sz="0" w:space="0" w:color="auto"/>
      </w:divBdr>
    </w:div>
    <w:div w:id="1805542900">
      <w:bodyDiv w:val="1"/>
      <w:marLeft w:val="0"/>
      <w:marRight w:val="0"/>
      <w:marTop w:val="0"/>
      <w:marBottom w:val="0"/>
      <w:divBdr>
        <w:top w:val="none" w:sz="0" w:space="0" w:color="auto"/>
        <w:left w:val="none" w:sz="0" w:space="0" w:color="auto"/>
        <w:bottom w:val="none" w:sz="0" w:space="0" w:color="auto"/>
        <w:right w:val="none" w:sz="0" w:space="0" w:color="auto"/>
      </w:divBdr>
      <w:divsChild>
        <w:div w:id="114913394">
          <w:marLeft w:val="0"/>
          <w:marRight w:val="0"/>
          <w:marTop w:val="0"/>
          <w:marBottom w:val="0"/>
          <w:divBdr>
            <w:top w:val="none" w:sz="0" w:space="0" w:color="auto"/>
            <w:left w:val="none" w:sz="0" w:space="0" w:color="auto"/>
            <w:bottom w:val="none" w:sz="0" w:space="0" w:color="auto"/>
            <w:right w:val="none" w:sz="0" w:space="0" w:color="auto"/>
          </w:divBdr>
          <w:divsChild>
            <w:div w:id="15221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19145">
      <w:bodyDiv w:val="1"/>
      <w:marLeft w:val="0"/>
      <w:marRight w:val="0"/>
      <w:marTop w:val="0"/>
      <w:marBottom w:val="0"/>
      <w:divBdr>
        <w:top w:val="none" w:sz="0" w:space="0" w:color="auto"/>
        <w:left w:val="none" w:sz="0" w:space="0" w:color="auto"/>
        <w:bottom w:val="none" w:sz="0" w:space="0" w:color="auto"/>
        <w:right w:val="none" w:sz="0" w:space="0" w:color="auto"/>
      </w:divBdr>
      <w:divsChild>
        <w:div w:id="1793398465">
          <w:marLeft w:val="0"/>
          <w:marRight w:val="0"/>
          <w:marTop w:val="0"/>
          <w:marBottom w:val="0"/>
          <w:divBdr>
            <w:top w:val="none" w:sz="0" w:space="0" w:color="auto"/>
            <w:left w:val="none" w:sz="0" w:space="0" w:color="auto"/>
            <w:bottom w:val="none" w:sz="0" w:space="0" w:color="auto"/>
            <w:right w:val="none" w:sz="0" w:space="0" w:color="auto"/>
          </w:divBdr>
          <w:divsChild>
            <w:div w:id="18586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054069">
      <w:bodyDiv w:val="1"/>
      <w:marLeft w:val="0"/>
      <w:marRight w:val="0"/>
      <w:marTop w:val="0"/>
      <w:marBottom w:val="0"/>
      <w:divBdr>
        <w:top w:val="none" w:sz="0" w:space="0" w:color="auto"/>
        <w:left w:val="none" w:sz="0" w:space="0" w:color="auto"/>
        <w:bottom w:val="none" w:sz="0" w:space="0" w:color="auto"/>
        <w:right w:val="none" w:sz="0" w:space="0" w:color="auto"/>
      </w:divBdr>
      <w:divsChild>
        <w:div w:id="1490906069">
          <w:marLeft w:val="0"/>
          <w:marRight w:val="0"/>
          <w:marTop w:val="0"/>
          <w:marBottom w:val="0"/>
          <w:divBdr>
            <w:top w:val="none" w:sz="0" w:space="0" w:color="auto"/>
            <w:left w:val="none" w:sz="0" w:space="0" w:color="auto"/>
            <w:bottom w:val="none" w:sz="0" w:space="0" w:color="auto"/>
            <w:right w:val="none" w:sz="0" w:space="0" w:color="auto"/>
          </w:divBdr>
          <w:divsChild>
            <w:div w:id="15261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3450">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sChild>
        <w:div w:id="1516112569">
          <w:marLeft w:val="0"/>
          <w:marRight w:val="0"/>
          <w:marTop w:val="0"/>
          <w:marBottom w:val="0"/>
          <w:divBdr>
            <w:top w:val="none" w:sz="0" w:space="0" w:color="auto"/>
            <w:left w:val="none" w:sz="0" w:space="0" w:color="auto"/>
            <w:bottom w:val="none" w:sz="0" w:space="0" w:color="auto"/>
            <w:right w:val="none" w:sz="0" w:space="0" w:color="auto"/>
          </w:divBdr>
          <w:divsChild>
            <w:div w:id="20487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2476">
      <w:bodyDiv w:val="1"/>
      <w:marLeft w:val="0"/>
      <w:marRight w:val="0"/>
      <w:marTop w:val="0"/>
      <w:marBottom w:val="0"/>
      <w:divBdr>
        <w:top w:val="none" w:sz="0" w:space="0" w:color="auto"/>
        <w:left w:val="none" w:sz="0" w:space="0" w:color="auto"/>
        <w:bottom w:val="none" w:sz="0" w:space="0" w:color="auto"/>
        <w:right w:val="none" w:sz="0" w:space="0" w:color="auto"/>
      </w:divBdr>
    </w:div>
    <w:div w:id="1885171184">
      <w:bodyDiv w:val="1"/>
      <w:marLeft w:val="0"/>
      <w:marRight w:val="0"/>
      <w:marTop w:val="0"/>
      <w:marBottom w:val="0"/>
      <w:divBdr>
        <w:top w:val="none" w:sz="0" w:space="0" w:color="auto"/>
        <w:left w:val="none" w:sz="0" w:space="0" w:color="auto"/>
        <w:bottom w:val="none" w:sz="0" w:space="0" w:color="auto"/>
        <w:right w:val="none" w:sz="0" w:space="0" w:color="auto"/>
      </w:divBdr>
      <w:divsChild>
        <w:div w:id="1004698512">
          <w:marLeft w:val="0"/>
          <w:marRight w:val="0"/>
          <w:marTop w:val="0"/>
          <w:marBottom w:val="0"/>
          <w:divBdr>
            <w:top w:val="none" w:sz="0" w:space="0" w:color="auto"/>
            <w:left w:val="none" w:sz="0" w:space="0" w:color="auto"/>
            <w:bottom w:val="none" w:sz="0" w:space="0" w:color="auto"/>
            <w:right w:val="none" w:sz="0" w:space="0" w:color="auto"/>
          </w:divBdr>
          <w:divsChild>
            <w:div w:id="10944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84845">
      <w:bodyDiv w:val="1"/>
      <w:marLeft w:val="0"/>
      <w:marRight w:val="0"/>
      <w:marTop w:val="0"/>
      <w:marBottom w:val="0"/>
      <w:divBdr>
        <w:top w:val="none" w:sz="0" w:space="0" w:color="auto"/>
        <w:left w:val="none" w:sz="0" w:space="0" w:color="auto"/>
        <w:bottom w:val="none" w:sz="0" w:space="0" w:color="auto"/>
        <w:right w:val="none" w:sz="0" w:space="0" w:color="auto"/>
      </w:divBdr>
      <w:divsChild>
        <w:div w:id="940188300">
          <w:marLeft w:val="0"/>
          <w:marRight w:val="0"/>
          <w:marTop w:val="0"/>
          <w:marBottom w:val="0"/>
          <w:divBdr>
            <w:top w:val="none" w:sz="0" w:space="0" w:color="auto"/>
            <w:left w:val="none" w:sz="0" w:space="0" w:color="auto"/>
            <w:bottom w:val="none" w:sz="0" w:space="0" w:color="auto"/>
            <w:right w:val="none" w:sz="0" w:space="0" w:color="auto"/>
          </w:divBdr>
          <w:divsChild>
            <w:div w:id="15412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44400">
      <w:bodyDiv w:val="1"/>
      <w:marLeft w:val="0"/>
      <w:marRight w:val="0"/>
      <w:marTop w:val="0"/>
      <w:marBottom w:val="0"/>
      <w:divBdr>
        <w:top w:val="none" w:sz="0" w:space="0" w:color="auto"/>
        <w:left w:val="none" w:sz="0" w:space="0" w:color="auto"/>
        <w:bottom w:val="none" w:sz="0" w:space="0" w:color="auto"/>
        <w:right w:val="none" w:sz="0" w:space="0" w:color="auto"/>
      </w:divBdr>
    </w:div>
    <w:div w:id="1909069095">
      <w:bodyDiv w:val="1"/>
      <w:marLeft w:val="0"/>
      <w:marRight w:val="0"/>
      <w:marTop w:val="0"/>
      <w:marBottom w:val="0"/>
      <w:divBdr>
        <w:top w:val="none" w:sz="0" w:space="0" w:color="auto"/>
        <w:left w:val="none" w:sz="0" w:space="0" w:color="auto"/>
        <w:bottom w:val="none" w:sz="0" w:space="0" w:color="auto"/>
        <w:right w:val="none" w:sz="0" w:space="0" w:color="auto"/>
      </w:divBdr>
    </w:div>
    <w:div w:id="1912349411">
      <w:bodyDiv w:val="1"/>
      <w:marLeft w:val="0"/>
      <w:marRight w:val="0"/>
      <w:marTop w:val="0"/>
      <w:marBottom w:val="0"/>
      <w:divBdr>
        <w:top w:val="none" w:sz="0" w:space="0" w:color="auto"/>
        <w:left w:val="none" w:sz="0" w:space="0" w:color="auto"/>
        <w:bottom w:val="none" w:sz="0" w:space="0" w:color="auto"/>
        <w:right w:val="none" w:sz="0" w:space="0" w:color="auto"/>
      </w:divBdr>
    </w:div>
    <w:div w:id="1915235851">
      <w:bodyDiv w:val="1"/>
      <w:marLeft w:val="0"/>
      <w:marRight w:val="0"/>
      <w:marTop w:val="0"/>
      <w:marBottom w:val="0"/>
      <w:divBdr>
        <w:top w:val="none" w:sz="0" w:space="0" w:color="auto"/>
        <w:left w:val="none" w:sz="0" w:space="0" w:color="auto"/>
        <w:bottom w:val="none" w:sz="0" w:space="0" w:color="auto"/>
        <w:right w:val="none" w:sz="0" w:space="0" w:color="auto"/>
      </w:divBdr>
    </w:div>
    <w:div w:id="1922907640">
      <w:bodyDiv w:val="1"/>
      <w:marLeft w:val="0"/>
      <w:marRight w:val="0"/>
      <w:marTop w:val="0"/>
      <w:marBottom w:val="0"/>
      <w:divBdr>
        <w:top w:val="none" w:sz="0" w:space="0" w:color="auto"/>
        <w:left w:val="none" w:sz="0" w:space="0" w:color="auto"/>
        <w:bottom w:val="none" w:sz="0" w:space="0" w:color="auto"/>
        <w:right w:val="none" w:sz="0" w:space="0" w:color="auto"/>
      </w:divBdr>
      <w:divsChild>
        <w:div w:id="51463619">
          <w:marLeft w:val="0"/>
          <w:marRight w:val="0"/>
          <w:marTop w:val="0"/>
          <w:marBottom w:val="0"/>
          <w:divBdr>
            <w:top w:val="none" w:sz="0" w:space="0" w:color="auto"/>
            <w:left w:val="none" w:sz="0" w:space="0" w:color="auto"/>
            <w:bottom w:val="none" w:sz="0" w:space="0" w:color="auto"/>
            <w:right w:val="none" w:sz="0" w:space="0" w:color="auto"/>
          </w:divBdr>
          <w:divsChild>
            <w:div w:id="11066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8527">
      <w:bodyDiv w:val="1"/>
      <w:marLeft w:val="0"/>
      <w:marRight w:val="0"/>
      <w:marTop w:val="0"/>
      <w:marBottom w:val="0"/>
      <w:divBdr>
        <w:top w:val="none" w:sz="0" w:space="0" w:color="auto"/>
        <w:left w:val="none" w:sz="0" w:space="0" w:color="auto"/>
        <w:bottom w:val="none" w:sz="0" w:space="0" w:color="auto"/>
        <w:right w:val="none" w:sz="0" w:space="0" w:color="auto"/>
      </w:divBdr>
      <w:divsChild>
        <w:div w:id="1381590746">
          <w:marLeft w:val="0"/>
          <w:marRight w:val="0"/>
          <w:marTop w:val="0"/>
          <w:marBottom w:val="0"/>
          <w:divBdr>
            <w:top w:val="none" w:sz="0" w:space="0" w:color="auto"/>
            <w:left w:val="none" w:sz="0" w:space="0" w:color="auto"/>
            <w:bottom w:val="none" w:sz="0" w:space="0" w:color="auto"/>
            <w:right w:val="none" w:sz="0" w:space="0" w:color="auto"/>
          </w:divBdr>
          <w:divsChild>
            <w:div w:id="6281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3951">
      <w:bodyDiv w:val="1"/>
      <w:marLeft w:val="0"/>
      <w:marRight w:val="0"/>
      <w:marTop w:val="0"/>
      <w:marBottom w:val="0"/>
      <w:divBdr>
        <w:top w:val="none" w:sz="0" w:space="0" w:color="auto"/>
        <w:left w:val="none" w:sz="0" w:space="0" w:color="auto"/>
        <w:bottom w:val="none" w:sz="0" w:space="0" w:color="auto"/>
        <w:right w:val="none" w:sz="0" w:space="0" w:color="auto"/>
      </w:divBdr>
    </w:div>
    <w:div w:id="1943487571">
      <w:bodyDiv w:val="1"/>
      <w:marLeft w:val="0"/>
      <w:marRight w:val="0"/>
      <w:marTop w:val="0"/>
      <w:marBottom w:val="0"/>
      <w:divBdr>
        <w:top w:val="none" w:sz="0" w:space="0" w:color="auto"/>
        <w:left w:val="none" w:sz="0" w:space="0" w:color="auto"/>
        <w:bottom w:val="none" w:sz="0" w:space="0" w:color="auto"/>
        <w:right w:val="none" w:sz="0" w:space="0" w:color="auto"/>
      </w:divBdr>
      <w:divsChild>
        <w:div w:id="698437831">
          <w:marLeft w:val="0"/>
          <w:marRight w:val="0"/>
          <w:marTop w:val="0"/>
          <w:marBottom w:val="0"/>
          <w:divBdr>
            <w:top w:val="none" w:sz="0" w:space="0" w:color="auto"/>
            <w:left w:val="none" w:sz="0" w:space="0" w:color="auto"/>
            <w:bottom w:val="none" w:sz="0" w:space="0" w:color="auto"/>
            <w:right w:val="none" w:sz="0" w:space="0" w:color="auto"/>
          </w:divBdr>
          <w:divsChild>
            <w:div w:id="15164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2585">
      <w:bodyDiv w:val="1"/>
      <w:marLeft w:val="0"/>
      <w:marRight w:val="0"/>
      <w:marTop w:val="0"/>
      <w:marBottom w:val="0"/>
      <w:divBdr>
        <w:top w:val="none" w:sz="0" w:space="0" w:color="auto"/>
        <w:left w:val="none" w:sz="0" w:space="0" w:color="auto"/>
        <w:bottom w:val="none" w:sz="0" w:space="0" w:color="auto"/>
        <w:right w:val="none" w:sz="0" w:space="0" w:color="auto"/>
      </w:divBdr>
      <w:divsChild>
        <w:div w:id="565335843">
          <w:marLeft w:val="0"/>
          <w:marRight w:val="0"/>
          <w:marTop w:val="0"/>
          <w:marBottom w:val="0"/>
          <w:divBdr>
            <w:top w:val="none" w:sz="0" w:space="0" w:color="auto"/>
            <w:left w:val="none" w:sz="0" w:space="0" w:color="auto"/>
            <w:bottom w:val="none" w:sz="0" w:space="0" w:color="auto"/>
            <w:right w:val="none" w:sz="0" w:space="0" w:color="auto"/>
          </w:divBdr>
          <w:divsChild>
            <w:div w:id="16653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0035">
      <w:bodyDiv w:val="1"/>
      <w:marLeft w:val="0"/>
      <w:marRight w:val="0"/>
      <w:marTop w:val="0"/>
      <w:marBottom w:val="0"/>
      <w:divBdr>
        <w:top w:val="none" w:sz="0" w:space="0" w:color="auto"/>
        <w:left w:val="none" w:sz="0" w:space="0" w:color="auto"/>
        <w:bottom w:val="none" w:sz="0" w:space="0" w:color="auto"/>
        <w:right w:val="none" w:sz="0" w:space="0" w:color="auto"/>
      </w:divBdr>
      <w:divsChild>
        <w:div w:id="264071488">
          <w:marLeft w:val="0"/>
          <w:marRight w:val="0"/>
          <w:marTop w:val="0"/>
          <w:marBottom w:val="0"/>
          <w:divBdr>
            <w:top w:val="none" w:sz="0" w:space="0" w:color="auto"/>
            <w:left w:val="none" w:sz="0" w:space="0" w:color="auto"/>
            <w:bottom w:val="none" w:sz="0" w:space="0" w:color="auto"/>
            <w:right w:val="none" w:sz="0" w:space="0" w:color="auto"/>
          </w:divBdr>
          <w:divsChild>
            <w:div w:id="10691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03747">
      <w:bodyDiv w:val="1"/>
      <w:marLeft w:val="0"/>
      <w:marRight w:val="0"/>
      <w:marTop w:val="0"/>
      <w:marBottom w:val="0"/>
      <w:divBdr>
        <w:top w:val="none" w:sz="0" w:space="0" w:color="auto"/>
        <w:left w:val="none" w:sz="0" w:space="0" w:color="auto"/>
        <w:bottom w:val="none" w:sz="0" w:space="0" w:color="auto"/>
        <w:right w:val="none" w:sz="0" w:space="0" w:color="auto"/>
      </w:divBdr>
      <w:divsChild>
        <w:div w:id="1763259602">
          <w:marLeft w:val="0"/>
          <w:marRight w:val="0"/>
          <w:marTop w:val="0"/>
          <w:marBottom w:val="0"/>
          <w:divBdr>
            <w:top w:val="none" w:sz="0" w:space="0" w:color="auto"/>
            <w:left w:val="none" w:sz="0" w:space="0" w:color="auto"/>
            <w:bottom w:val="none" w:sz="0" w:space="0" w:color="auto"/>
            <w:right w:val="none" w:sz="0" w:space="0" w:color="auto"/>
          </w:divBdr>
          <w:divsChild>
            <w:div w:id="10984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56616">
      <w:bodyDiv w:val="1"/>
      <w:marLeft w:val="0"/>
      <w:marRight w:val="0"/>
      <w:marTop w:val="0"/>
      <w:marBottom w:val="0"/>
      <w:divBdr>
        <w:top w:val="none" w:sz="0" w:space="0" w:color="auto"/>
        <w:left w:val="none" w:sz="0" w:space="0" w:color="auto"/>
        <w:bottom w:val="none" w:sz="0" w:space="0" w:color="auto"/>
        <w:right w:val="none" w:sz="0" w:space="0" w:color="auto"/>
      </w:divBdr>
    </w:div>
    <w:div w:id="1992907887">
      <w:bodyDiv w:val="1"/>
      <w:marLeft w:val="0"/>
      <w:marRight w:val="0"/>
      <w:marTop w:val="0"/>
      <w:marBottom w:val="0"/>
      <w:divBdr>
        <w:top w:val="none" w:sz="0" w:space="0" w:color="auto"/>
        <w:left w:val="none" w:sz="0" w:space="0" w:color="auto"/>
        <w:bottom w:val="none" w:sz="0" w:space="0" w:color="auto"/>
        <w:right w:val="none" w:sz="0" w:space="0" w:color="auto"/>
      </w:divBdr>
    </w:div>
    <w:div w:id="2014608139">
      <w:bodyDiv w:val="1"/>
      <w:marLeft w:val="0"/>
      <w:marRight w:val="0"/>
      <w:marTop w:val="0"/>
      <w:marBottom w:val="0"/>
      <w:divBdr>
        <w:top w:val="none" w:sz="0" w:space="0" w:color="auto"/>
        <w:left w:val="none" w:sz="0" w:space="0" w:color="auto"/>
        <w:bottom w:val="none" w:sz="0" w:space="0" w:color="auto"/>
        <w:right w:val="none" w:sz="0" w:space="0" w:color="auto"/>
      </w:divBdr>
      <w:divsChild>
        <w:div w:id="2122071424">
          <w:marLeft w:val="0"/>
          <w:marRight w:val="0"/>
          <w:marTop w:val="0"/>
          <w:marBottom w:val="0"/>
          <w:divBdr>
            <w:top w:val="none" w:sz="0" w:space="0" w:color="auto"/>
            <w:left w:val="none" w:sz="0" w:space="0" w:color="auto"/>
            <w:bottom w:val="none" w:sz="0" w:space="0" w:color="auto"/>
            <w:right w:val="none" w:sz="0" w:space="0" w:color="auto"/>
          </w:divBdr>
          <w:divsChild>
            <w:div w:id="14015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6490">
      <w:bodyDiv w:val="1"/>
      <w:marLeft w:val="0"/>
      <w:marRight w:val="0"/>
      <w:marTop w:val="0"/>
      <w:marBottom w:val="0"/>
      <w:divBdr>
        <w:top w:val="none" w:sz="0" w:space="0" w:color="auto"/>
        <w:left w:val="none" w:sz="0" w:space="0" w:color="auto"/>
        <w:bottom w:val="none" w:sz="0" w:space="0" w:color="auto"/>
        <w:right w:val="none" w:sz="0" w:space="0" w:color="auto"/>
      </w:divBdr>
    </w:div>
    <w:div w:id="2032796829">
      <w:bodyDiv w:val="1"/>
      <w:marLeft w:val="0"/>
      <w:marRight w:val="0"/>
      <w:marTop w:val="0"/>
      <w:marBottom w:val="0"/>
      <w:divBdr>
        <w:top w:val="none" w:sz="0" w:space="0" w:color="auto"/>
        <w:left w:val="none" w:sz="0" w:space="0" w:color="auto"/>
        <w:bottom w:val="none" w:sz="0" w:space="0" w:color="auto"/>
        <w:right w:val="none" w:sz="0" w:space="0" w:color="auto"/>
      </w:divBdr>
      <w:divsChild>
        <w:div w:id="1479804959">
          <w:marLeft w:val="0"/>
          <w:marRight w:val="0"/>
          <w:marTop w:val="0"/>
          <w:marBottom w:val="0"/>
          <w:divBdr>
            <w:top w:val="none" w:sz="0" w:space="0" w:color="auto"/>
            <w:left w:val="none" w:sz="0" w:space="0" w:color="auto"/>
            <w:bottom w:val="none" w:sz="0" w:space="0" w:color="auto"/>
            <w:right w:val="none" w:sz="0" w:space="0" w:color="auto"/>
          </w:divBdr>
          <w:divsChild>
            <w:div w:id="114060314">
              <w:marLeft w:val="0"/>
              <w:marRight w:val="0"/>
              <w:marTop w:val="0"/>
              <w:marBottom w:val="0"/>
              <w:divBdr>
                <w:top w:val="none" w:sz="0" w:space="0" w:color="auto"/>
                <w:left w:val="none" w:sz="0" w:space="0" w:color="auto"/>
                <w:bottom w:val="none" w:sz="0" w:space="0" w:color="auto"/>
                <w:right w:val="none" w:sz="0" w:space="0" w:color="auto"/>
              </w:divBdr>
              <w:divsChild>
                <w:div w:id="379280537">
                  <w:marLeft w:val="0"/>
                  <w:marRight w:val="0"/>
                  <w:marTop w:val="0"/>
                  <w:marBottom w:val="0"/>
                  <w:divBdr>
                    <w:top w:val="none" w:sz="0" w:space="0" w:color="auto"/>
                    <w:left w:val="none" w:sz="0" w:space="0" w:color="auto"/>
                    <w:bottom w:val="none" w:sz="0" w:space="0" w:color="auto"/>
                    <w:right w:val="none" w:sz="0" w:space="0" w:color="auto"/>
                  </w:divBdr>
                  <w:divsChild>
                    <w:div w:id="909578664">
                      <w:marLeft w:val="0"/>
                      <w:marRight w:val="0"/>
                      <w:marTop w:val="0"/>
                      <w:marBottom w:val="0"/>
                      <w:divBdr>
                        <w:top w:val="none" w:sz="0" w:space="0" w:color="auto"/>
                        <w:left w:val="none" w:sz="0" w:space="0" w:color="auto"/>
                        <w:bottom w:val="none" w:sz="0" w:space="0" w:color="auto"/>
                        <w:right w:val="none" w:sz="0" w:space="0" w:color="auto"/>
                      </w:divBdr>
                      <w:divsChild>
                        <w:div w:id="1184901961">
                          <w:marLeft w:val="0"/>
                          <w:marRight w:val="0"/>
                          <w:marTop w:val="0"/>
                          <w:marBottom w:val="0"/>
                          <w:divBdr>
                            <w:top w:val="none" w:sz="0" w:space="0" w:color="auto"/>
                            <w:left w:val="none" w:sz="0" w:space="0" w:color="auto"/>
                            <w:bottom w:val="none" w:sz="0" w:space="0" w:color="auto"/>
                            <w:right w:val="none" w:sz="0" w:space="0" w:color="auto"/>
                          </w:divBdr>
                          <w:divsChild>
                            <w:div w:id="1326277247">
                              <w:marLeft w:val="0"/>
                              <w:marRight w:val="0"/>
                              <w:marTop w:val="0"/>
                              <w:marBottom w:val="0"/>
                              <w:divBdr>
                                <w:top w:val="none" w:sz="0" w:space="0" w:color="auto"/>
                                <w:left w:val="none" w:sz="0" w:space="0" w:color="auto"/>
                                <w:bottom w:val="none" w:sz="0" w:space="0" w:color="auto"/>
                                <w:right w:val="none" w:sz="0" w:space="0" w:color="auto"/>
                              </w:divBdr>
                              <w:divsChild>
                                <w:div w:id="647712132">
                                  <w:marLeft w:val="0"/>
                                  <w:marRight w:val="0"/>
                                  <w:marTop w:val="0"/>
                                  <w:marBottom w:val="0"/>
                                  <w:divBdr>
                                    <w:top w:val="none" w:sz="0" w:space="0" w:color="auto"/>
                                    <w:left w:val="none" w:sz="0" w:space="0" w:color="auto"/>
                                    <w:bottom w:val="none" w:sz="0" w:space="0" w:color="auto"/>
                                    <w:right w:val="none" w:sz="0" w:space="0" w:color="auto"/>
                                  </w:divBdr>
                                  <w:divsChild>
                                    <w:div w:id="179975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717026">
                      <w:marLeft w:val="0"/>
                      <w:marRight w:val="0"/>
                      <w:marTop w:val="0"/>
                      <w:marBottom w:val="0"/>
                      <w:divBdr>
                        <w:top w:val="none" w:sz="0" w:space="0" w:color="auto"/>
                        <w:left w:val="none" w:sz="0" w:space="0" w:color="auto"/>
                        <w:bottom w:val="none" w:sz="0" w:space="0" w:color="auto"/>
                        <w:right w:val="none" w:sz="0" w:space="0" w:color="auto"/>
                      </w:divBdr>
                      <w:divsChild>
                        <w:div w:id="1625112630">
                          <w:marLeft w:val="0"/>
                          <w:marRight w:val="0"/>
                          <w:marTop w:val="0"/>
                          <w:marBottom w:val="0"/>
                          <w:divBdr>
                            <w:top w:val="none" w:sz="0" w:space="0" w:color="auto"/>
                            <w:left w:val="none" w:sz="0" w:space="0" w:color="auto"/>
                            <w:bottom w:val="none" w:sz="0" w:space="0" w:color="auto"/>
                            <w:right w:val="none" w:sz="0" w:space="0" w:color="auto"/>
                          </w:divBdr>
                        </w:div>
                        <w:div w:id="1831485177">
                          <w:marLeft w:val="0"/>
                          <w:marRight w:val="0"/>
                          <w:marTop w:val="0"/>
                          <w:marBottom w:val="0"/>
                          <w:divBdr>
                            <w:top w:val="none" w:sz="0" w:space="0" w:color="auto"/>
                            <w:left w:val="none" w:sz="0" w:space="0" w:color="auto"/>
                            <w:bottom w:val="none" w:sz="0" w:space="0" w:color="auto"/>
                            <w:right w:val="none" w:sz="0" w:space="0" w:color="auto"/>
                          </w:divBdr>
                          <w:divsChild>
                            <w:div w:id="1333341420">
                              <w:marLeft w:val="0"/>
                              <w:marRight w:val="0"/>
                              <w:marTop w:val="0"/>
                              <w:marBottom w:val="0"/>
                              <w:divBdr>
                                <w:top w:val="none" w:sz="0" w:space="0" w:color="auto"/>
                                <w:left w:val="none" w:sz="0" w:space="0" w:color="auto"/>
                                <w:bottom w:val="none" w:sz="0" w:space="0" w:color="auto"/>
                                <w:right w:val="none" w:sz="0" w:space="0" w:color="auto"/>
                              </w:divBdr>
                              <w:divsChild>
                                <w:div w:id="1173689204">
                                  <w:marLeft w:val="0"/>
                                  <w:marRight w:val="0"/>
                                  <w:marTop w:val="0"/>
                                  <w:marBottom w:val="0"/>
                                  <w:divBdr>
                                    <w:top w:val="none" w:sz="0" w:space="0" w:color="auto"/>
                                    <w:left w:val="none" w:sz="0" w:space="0" w:color="auto"/>
                                    <w:bottom w:val="none" w:sz="0" w:space="0" w:color="auto"/>
                                    <w:right w:val="none" w:sz="0" w:space="0" w:color="auto"/>
                                  </w:divBdr>
                                  <w:divsChild>
                                    <w:div w:id="167641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507266">
          <w:marLeft w:val="0"/>
          <w:marRight w:val="0"/>
          <w:marTop w:val="0"/>
          <w:marBottom w:val="0"/>
          <w:divBdr>
            <w:top w:val="none" w:sz="0" w:space="0" w:color="auto"/>
            <w:left w:val="none" w:sz="0" w:space="0" w:color="auto"/>
            <w:bottom w:val="none" w:sz="0" w:space="0" w:color="auto"/>
            <w:right w:val="none" w:sz="0" w:space="0" w:color="auto"/>
          </w:divBdr>
          <w:divsChild>
            <w:div w:id="1226914576">
              <w:marLeft w:val="0"/>
              <w:marRight w:val="0"/>
              <w:marTop w:val="0"/>
              <w:marBottom w:val="0"/>
              <w:divBdr>
                <w:top w:val="none" w:sz="0" w:space="0" w:color="auto"/>
                <w:left w:val="none" w:sz="0" w:space="0" w:color="auto"/>
                <w:bottom w:val="none" w:sz="0" w:space="0" w:color="auto"/>
                <w:right w:val="none" w:sz="0" w:space="0" w:color="auto"/>
              </w:divBdr>
              <w:divsChild>
                <w:div w:id="492139390">
                  <w:marLeft w:val="0"/>
                  <w:marRight w:val="0"/>
                  <w:marTop w:val="0"/>
                  <w:marBottom w:val="0"/>
                  <w:divBdr>
                    <w:top w:val="none" w:sz="0" w:space="0" w:color="auto"/>
                    <w:left w:val="none" w:sz="0" w:space="0" w:color="auto"/>
                    <w:bottom w:val="none" w:sz="0" w:space="0" w:color="auto"/>
                    <w:right w:val="none" w:sz="0" w:space="0" w:color="auto"/>
                  </w:divBdr>
                  <w:divsChild>
                    <w:div w:id="493880490">
                      <w:marLeft w:val="0"/>
                      <w:marRight w:val="0"/>
                      <w:marTop w:val="0"/>
                      <w:marBottom w:val="0"/>
                      <w:divBdr>
                        <w:top w:val="none" w:sz="0" w:space="0" w:color="auto"/>
                        <w:left w:val="none" w:sz="0" w:space="0" w:color="auto"/>
                        <w:bottom w:val="none" w:sz="0" w:space="0" w:color="auto"/>
                        <w:right w:val="none" w:sz="0" w:space="0" w:color="auto"/>
                      </w:divBdr>
                      <w:divsChild>
                        <w:div w:id="753168085">
                          <w:marLeft w:val="0"/>
                          <w:marRight w:val="0"/>
                          <w:marTop w:val="0"/>
                          <w:marBottom w:val="0"/>
                          <w:divBdr>
                            <w:top w:val="none" w:sz="0" w:space="0" w:color="auto"/>
                            <w:left w:val="none" w:sz="0" w:space="0" w:color="auto"/>
                            <w:bottom w:val="none" w:sz="0" w:space="0" w:color="auto"/>
                            <w:right w:val="none" w:sz="0" w:space="0" w:color="auto"/>
                          </w:divBdr>
                          <w:divsChild>
                            <w:div w:id="1612741061">
                              <w:marLeft w:val="0"/>
                              <w:marRight w:val="0"/>
                              <w:marTop w:val="0"/>
                              <w:marBottom w:val="0"/>
                              <w:divBdr>
                                <w:top w:val="none" w:sz="0" w:space="0" w:color="auto"/>
                                <w:left w:val="none" w:sz="0" w:space="0" w:color="auto"/>
                                <w:bottom w:val="none" w:sz="0" w:space="0" w:color="auto"/>
                                <w:right w:val="none" w:sz="0" w:space="0" w:color="auto"/>
                              </w:divBdr>
                              <w:divsChild>
                                <w:div w:id="1862550065">
                                  <w:marLeft w:val="0"/>
                                  <w:marRight w:val="0"/>
                                  <w:marTop w:val="0"/>
                                  <w:marBottom w:val="0"/>
                                  <w:divBdr>
                                    <w:top w:val="none" w:sz="0" w:space="0" w:color="auto"/>
                                    <w:left w:val="none" w:sz="0" w:space="0" w:color="auto"/>
                                    <w:bottom w:val="none" w:sz="0" w:space="0" w:color="auto"/>
                                    <w:right w:val="none" w:sz="0" w:space="0" w:color="auto"/>
                                  </w:divBdr>
                                  <w:divsChild>
                                    <w:div w:id="5030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81041">
                      <w:marLeft w:val="0"/>
                      <w:marRight w:val="0"/>
                      <w:marTop w:val="0"/>
                      <w:marBottom w:val="0"/>
                      <w:divBdr>
                        <w:top w:val="none" w:sz="0" w:space="0" w:color="auto"/>
                        <w:left w:val="none" w:sz="0" w:space="0" w:color="auto"/>
                        <w:bottom w:val="none" w:sz="0" w:space="0" w:color="auto"/>
                        <w:right w:val="none" w:sz="0" w:space="0" w:color="auto"/>
                      </w:divBdr>
                      <w:divsChild>
                        <w:div w:id="118883103">
                          <w:marLeft w:val="0"/>
                          <w:marRight w:val="0"/>
                          <w:marTop w:val="0"/>
                          <w:marBottom w:val="0"/>
                          <w:divBdr>
                            <w:top w:val="none" w:sz="0" w:space="0" w:color="auto"/>
                            <w:left w:val="none" w:sz="0" w:space="0" w:color="auto"/>
                            <w:bottom w:val="none" w:sz="0" w:space="0" w:color="auto"/>
                            <w:right w:val="none" w:sz="0" w:space="0" w:color="auto"/>
                          </w:divBdr>
                          <w:divsChild>
                            <w:div w:id="418912204">
                              <w:marLeft w:val="0"/>
                              <w:marRight w:val="0"/>
                              <w:marTop w:val="0"/>
                              <w:marBottom w:val="0"/>
                              <w:divBdr>
                                <w:top w:val="none" w:sz="0" w:space="0" w:color="auto"/>
                                <w:left w:val="none" w:sz="0" w:space="0" w:color="auto"/>
                                <w:bottom w:val="none" w:sz="0" w:space="0" w:color="auto"/>
                                <w:right w:val="none" w:sz="0" w:space="0" w:color="auto"/>
                              </w:divBdr>
                              <w:divsChild>
                                <w:div w:id="1128664973">
                                  <w:marLeft w:val="0"/>
                                  <w:marRight w:val="0"/>
                                  <w:marTop w:val="0"/>
                                  <w:marBottom w:val="0"/>
                                  <w:divBdr>
                                    <w:top w:val="none" w:sz="0" w:space="0" w:color="auto"/>
                                    <w:left w:val="none" w:sz="0" w:space="0" w:color="auto"/>
                                    <w:bottom w:val="none" w:sz="0" w:space="0" w:color="auto"/>
                                    <w:right w:val="none" w:sz="0" w:space="0" w:color="auto"/>
                                  </w:divBdr>
                                  <w:divsChild>
                                    <w:div w:id="16136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7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409525">
      <w:bodyDiv w:val="1"/>
      <w:marLeft w:val="0"/>
      <w:marRight w:val="0"/>
      <w:marTop w:val="0"/>
      <w:marBottom w:val="0"/>
      <w:divBdr>
        <w:top w:val="none" w:sz="0" w:space="0" w:color="auto"/>
        <w:left w:val="none" w:sz="0" w:space="0" w:color="auto"/>
        <w:bottom w:val="none" w:sz="0" w:space="0" w:color="auto"/>
        <w:right w:val="none" w:sz="0" w:space="0" w:color="auto"/>
      </w:divBdr>
    </w:div>
    <w:div w:id="2041591835">
      <w:bodyDiv w:val="1"/>
      <w:marLeft w:val="0"/>
      <w:marRight w:val="0"/>
      <w:marTop w:val="0"/>
      <w:marBottom w:val="0"/>
      <w:divBdr>
        <w:top w:val="none" w:sz="0" w:space="0" w:color="auto"/>
        <w:left w:val="none" w:sz="0" w:space="0" w:color="auto"/>
        <w:bottom w:val="none" w:sz="0" w:space="0" w:color="auto"/>
        <w:right w:val="none" w:sz="0" w:space="0" w:color="auto"/>
      </w:divBdr>
      <w:divsChild>
        <w:div w:id="284045185">
          <w:marLeft w:val="0"/>
          <w:marRight w:val="0"/>
          <w:marTop w:val="0"/>
          <w:marBottom w:val="0"/>
          <w:divBdr>
            <w:top w:val="none" w:sz="0" w:space="0" w:color="auto"/>
            <w:left w:val="none" w:sz="0" w:space="0" w:color="auto"/>
            <w:bottom w:val="none" w:sz="0" w:space="0" w:color="auto"/>
            <w:right w:val="none" w:sz="0" w:space="0" w:color="auto"/>
          </w:divBdr>
          <w:divsChild>
            <w:div w:id="10826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1652">
      <w:bodyDiv w:val="1"/>
      <w:marLeft w:val="0"/>
      <w:marRight w:val="0"/>
      <w:marTop w:val="0"/>
      <w:marBottom w:val="0"/>
      <w:divBdr>
        <w:top w:val="none" w:sz="0" w:space="0" w:color="auto"/>
        <w:left w:val="none" w:sz="0" w:space="0" w:color="auto"/>
        <w:bottom w:val="none" w:sz="0" w:space="0" w:color="auto"/>
        <w:right w:val="none" w:sz="0" w:space="0" w:color="auto"/>
      </w:divBdr>
      <w:divsChild>
        <w:div w:id="1702054960">
          <w:marLeft w:val="0"/>
          <w:marRight w:val="0"/>
          <w:marTop w:val="0"/>
          <w:marBottom w:val="0"/>
          <w:divBdr>
            <w:top w:val="none" w:sz="0" w:space="0" w:color="auto"/>
            <w:left w:val="none" w:sz="0" w:space="0" w:color="auto"/>
            <w:bottom w:val="none" w:sz="0" w:space="0" w:color="auto"/>
            <w:right w:val="none" w:sz="0" w:space="0" w:color="auto"/>
          </w:divBdr>
          <w:divsChild>
            <w:div w:id="17557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3190">
      <w:bodyDiv w:val="1"/>
      <w:marLeft w:val="0"/>
      <w:marRight w:val="0"/>
      <w:marTop w:val="0"/>
      <w:marBottom w:val="0"/>
      <w:divBdr>
        <w:top w:val="none" w:sz="0" w:space="0" w:color="auto"/>
        <w:left w:val="none" w:sz="0" w:space="0" w:color="auto"/>
        <w:bottom w:val="none" w:sz="0" w:space="0" w:color="auto"/>
        <w:right w:val="none" w:sz="0" w:space="0" w:color="auto"/>
      </w:divBdr>
      <w:divsChild>
        <w:div w:id="1614824769">
          <w:marLeft w:val="0"/>
          <w:marRight w:val="0"/>
          <w:marTop w:val="0"/>
          <w:marBottom w:val="0"/>
          <w:divBdr>
            <w:top w:val="none" w:sz="0" w:space="0" w:color="auto"/>
            <w:left w:val="none" w:sz="0" w:space="0" w:color="auto"/>
            <w:bottom w:val="none" w:sz="0" w:space="0" w:color="auto"/>
            <w:right w:val="none" w:sz="0" w:space="0" w:color="auto"/>
          </w:divBdr>
          <w:divsChild>
            <w:div w:id="20405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99034">
      <w:bodyDiv w:val="1"/>
      <w:marLeft w:val="0"/>
      <w:marRight w:val="0"/>
      <w:marTop w:val="0"/>
      <w:marBottom w:val="0"/>
      <w:divBdr>
        <w:top w:val="none" w:sz="0" w:space="0" w:color="auto"/>
        <w:left w:val="none" w:sz="0" w:space="0" w:color="auto"/>
        <w:bottom w:val="none" w:sz="0" w:space="0" w:color="auto"/>
        <w:right w:val="none" w:sz="0" w:space="0" w:color="auto"/>
      </w:divBdr>
      <w:divsChild>
        <w:div w:id="1488783904">
          <w:marLeft w:val="0"/>
          <w:marRight w:val="0"/>
          <w:marTop w:val="0"/>
          <w:marBottom w:val="0"/>
          <w:divBdr>
            <w:top w:val="none" w:sz="0" w:space="0" w:color="auto"/>
            <w:left w:val="none" w:sz="0" w:space="0" w:color="auto"/>
            <w:bottom w:val="none" w:sz="0" w:space="0" w:color="auto"/>
            <w:right w:val="none" w:sz="0" w:space="0" w:color="auto"/>
          </w:divBdr>
          <w:divsChild>
            <w:div w:id="18650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86769">
      <w:bodyDiv w:val="1"/>
      <w:marLeft w:val="0"/>
      <w:marRight w:val="0"/>
      <w:marTop w:val="0"/>
      <w:marBottom w:val="0"/>
      <w:divBdr>
        <w:top w:val="none" w:sz="0" w:space="0" w:color="auto"/>
        <w:left w:val="none" w:sz="0" w:space="0" w:color="auto"/>
        <w:bottom w:val="none" w:sz="0" w:space="0" w:color="auto"/>
        <w:right w:val="none" w:sz="0" w:space="0" w:color="auto"/>
      </w:divBdr>
    </w:div>
    <w:div w:id="2084571087">
      <w:bodyDiv w:val="1"/>
      <w:marLeft w:val="0"/>
      <w:marRight w:val="0"/>
      <w:marTop w:val="0"/>
      <w:marBottom w:val="0"/>
      <w:divBdr>
        <w:top w:val="none" w:sz="0" w:space="0" w:color="auto"/>
        <w:left w:val="none" w:sz="0" w:space="0" w:color="auto"/>
        <w:bottom w:val="none" w:sz="0" w:space="0" w:color="auto"/>
        <w:right w:val="none" w:sz="0" w:space="0" w:color="auto"/>
      </w:divBdr>
      <w:divsChild>
        <w:div w:id="844515176">
          <w:marLeft w:val="0"/>
          <w:marRight w:val="0"/>
          <w:marTop w:val="0"/>
          <w:marBottom w:val="0"/>
          <w:divBdr>
            <w:top w:val="none" w:sz="0" w:space="0" w:color="auto"/>
            <w:left w:val="none" w:sz="0" w:space="0" w:color="auto"/>
            <w:bottom w:val="none" w:sz="0" w:space="0" w:color="auto"/>
            <w:right w:val="none" w:sz="0" w:space="0" w:color="auto"/>
          </w:divBdr>
          <w:divsChild>
            <w:div w:id="15684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0719">
      <w:bodyDiv w:val="1"/>
      <w:marLeft w:val="0"/>
      <w:marRight w:val="0"/>
      <w:marTop w:val="0"/>
      <w:marBottom w:val="0"/>
      <w:divBdr>
        <w:top w:val="none" w:sz="0" w:space="0" w:color="auto"/>
        <w:left w:val="none" w:sz="0" w:space="0" w:color="auto"/>
        <w:bottom w:val="none" w:sz="0" w:space="0" w:color="auto"/>
        <w:right w:val="none" w:sz="0" w:space="0" w:color="auto"/>
      </w:divBdr>
      <w:divsChild>
        <w:div w:id="753670135">
          <w:marLeft w:val="0"/>
          <w:marRight w:val="0"/>
          <w:marTop w:val="0"/>
          <w:marBottom w:val="0"/>
          <w:divBdr>
            <w:top w:val="none" w:sz="0" w:space="0" w:color="auto"/>
            <w:left w:val="none" w:sz="0" w:space="0" w:color="auto"/>
            <w:bottom w:val="none" w:sz="0" w:space="0" w:color="auto"/>
            <w:right w:val="none" w:sz="0" w:space="0" w:color="auto"/>
          </w:divBdr>
          <w:divsChild>
            <w:div w:id="8631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28514">
      <w:bodyDiv w:val="1"/>
      <w:marLeft w:val="0"/>
      <w:marRight w:val="0"/>
      <w:marTop w:val="0"/>
      <w:marBottom w:val="0"/>
      <w:divBdr>
        <w:top w:val="none" w:sz="0" w:space="0" w:color="auto"/>
        <w:left w:val="none" w:sz="0" w:space="0" w:color="auto"/>
        <w:bottom w:val="none" w:sz="0" w:space="0" w:color="auto"/>
        <w:right w:val="none" w:sz="0" w:space="0" w:color="auto"/>
      </w:divBdr>
      <w:divsChild>
        <w:div w:id="1435054147">
          <w:marLeft w:val="0"/>
          <w:marRight w:val="0"/>
          <w:marTop w:val="0"/>
          <w:marBottom w:val="0"/>
          <w:divBdr>
            <w:top w:val="none" w:sz="0" w:space="0" w:color="auto"/>
            <w:left w:val="none" w:sz="0" w:space="0" w:color="auto"/>
            <w:bottom w:val="none" w:sz="0" w:space="0" w:color="auto"/>
            <w:right w:val="none" w:sz="0" w:space="0" w:color="auto"/>
          </w:divBdr>
          <w:divsChild>
            <w:div w:id="11050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8390">
      <w:bodyDiv w:val="1"/>
      <w:marLeft w:val="0"/>
      <w:marRight w:val="0"/>
      <w:marTop w:val="0"/>
      <w:marBottom w:val="0"/>
      <w:divBdr>
        <w:top w:val="none" w:sz="0" w:space="0" w:color="auto"/>
        <w:left w:val="none" w:sz="0" w:space="0" w:color="auto"/>
        <w:bottom w:val="none" w:sz="0" w:space="0" w:color="auto"/>
        <w:right w:val="none" w:sz="0" w:space="0" w:color="auto"/>
      </w:divBdr>
      <w:divsChild>
        <w:div w:id="744491502">
          <w:marLeft w:val="0"/>
          <w:marRight w:val="0"/>
          <w:marTop w:val="0"/>
          <w:marBottom w:val="0"/>
          <w:divBdr>
            <w:top w:val="none" w:sz="0" w:space="0" w:color="auto"/>
            <w:left w:val="none" w:sz="0" w:space="0" w:color="auto"/>
            <w:bottom w:val="none" w:sz="0" w:space="0" w:color="auto"/>
            <w:right w:val="none" w:sz="0" w:space="0" w:color="auto"/>
          </w:divBdr>
          <w:divsChild>
            <w:div w:id="1466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2601">
      <w:bodyDiv w:val="1"/>
      <w:marLeft w:val="0"/>
      <w:marRight w:val="0"/>
      <w:marTop w:val="0"/>
      <w:marBottom w:val="0"/>
      <w:divBdr>
        <w:top w:val="none" w:sz="0" w:space="0" w:color="auto"/>
        <w:left w:val="none" w:sz="0" w:space="0" w:color="auto"/>
        <w:bottom w:val="none" w:sz="0" w:space="0" w:color="auto"/>
        <w:right w:val="none" w:sz="0" w:space="0" w:color="auto"/>
      </w:divBdr>
      <w:divsChild>
        <w:div w:id="1859807539">
          <w:marLeft w:val="0"/>
          <w:marRight w:val="0"/>
          <w:marTop w:val="0"/>
          <w:marBottom w:val="0"/>
          <w:divBdr>
            <w:top w:val="none" w:sz="0" w:space="0" w:color="auto"/>
            <w:left w:val="none" w:sz="0" w:space="0" w:color="auto"/>
            <w:bottom w:val="none" w:sz="0" w:space="0" w:color="auto"/>
            <w:right w:val="none" w:sz="0" w:space="0" w:color="auto"/>
          </w:divBdr>
          <w:divsChild>
            <w:div w:id="145614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5883">
      <w:bodyDiv w:val="1"/>
      <w:marLeft w:val="0"/>
      <w:marRight w:val="0"/>
      <w:marTop w:val="0"/>
      <w:marBottom w:val="0"/>
      <w:divBdr>
        <w:top w:val="none" w:sz="0" w:space="0" w:color="auto"/>
        <w:left w:val="none" w:sz="0" w:space="0" w:color="auto"/>
        <w:bottom w:val="none" w:sz="0" w:space="0" w:color="auto"/>
        <w:right w:val="none" w:sz="0" w:space="0" w:color="auto"/>
      </w:divBdr>
      <w:divsChild>
        <w:div w:id="116338928">
          <w:marLeft w:val="0"/>
          <w:marRight w:val="0"/>
          <w:marTop w:val="0"/>
          <w:marBottom w:val="0"/>
          <w:divBdr>
            <w:top w:val="none" w:sz="0" w:space="0" w:color="auto"/>
            <w:left w:val="none" w:sz="0" w:space="0" w:color="auto"/>
            <w:bottom w:val="none" w:sz="0" w:space="0" w:color="auto"/>
            <w:right w:val="none" w:sz="0" w:space="0" w:color="auto"/>
          </w:divBdr>
          <w:divsChild>
            <w:div w:id="11157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71726">
      <w:bodyDiv w:val="1"/>
      <w:marLeft w:val="0"/>
      <w:marRight w:val="0"/>
      <w:marTop w:val="0"/>
      <w:marBottom w:val="0"/>
      <w:divBdr>
        <w:top w:val="none" w:sz="0" w:space="0" w:color="auto"/>
        <w:left w:val="none" w:sz="0" w:space="0" w:color="auto"/>
        <w:bottom w:val="none" w:sz="0" w:space="0" w:color="auto"/>
        <w:right w:val="none" w:sz="0" w:space="0" w:color="auto"/>
      </w:divBdr>
      <w:divsChild>
        <w:div w:id="2023388585">
          <w:marLeft w:val="0"/>
          <w:marRight w:val="0"/>
          <w:marTop w:val="0"/>
          <w:marBottom w:val="0"/>
          <w:divBdr>
            <w:top w:val="none" w:sz="0" w:space="0" w:color="auto"/>
            <w:left w:val="none" w:sz="0" w:space="0" w:color="auto"/>
            <w:bottom w:val="none" w:sz="0" w:space="0" w:color="auto"/>
            <w:right w:val="none" w:sz="0" w:space="0" w:color="auto"/>
          </w:divBdr>
          <w:divsChild>
            <w:div w:id="5410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1602">
      <w:bodyDiv w:val="1"/>
      <w:marLeft w:val="0"/>
      <w:marRight w:val="0"/>
      <w:marTop w:val="0"/>
      <w:marBottom w:val="0"/>
      <w:divBdr>
        <w:top w:val="none" w:sz="0" w:space="0" w:color="auto"/>
        <w:left w:val="none" w:sz="0" w:space="0" w:color="auto"/>
        <w:bottom w:val="none" w:sz="0" w:space="0" w:color="auto"/>
        <w:right w:val="none" w:sz="0" w:space="0" w:color="auto"/>
      </w:divBdr>
      <w:divsChild>
        <w:div w:id="271670976">
          <w:marLeft w:val="0"/>
          <w:marRight w:val="0"/>
          <w:marTop w:val="0"/>
          <w:marBottom w:val="0"/>
          <w:divBdr>
            <w:top w:val="none" w:sz="0" w:space="0" w:color="auto"/>
            <w:left w:val="none" w:sz="0" w:space="0" w:color="auto"/>
            <w:bottom w:val="none" w:sz="0" w:space="0" w:color="auto"/>
            <w:right w:val="none" w:sz="0" w:space="0" w:color="auto"/>
          </w:divBdr>
          <w:divsChild>
            <w:div w:id="16509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msac.gov.au/sites/default/files/2025-06/1796_final_pico_confirmation.pdf" TargetMode="External"/><Relationship Id="rId17" Type="http://schemas.openxmlformats.org/officeDocument/2006/relationships/header" Target="header1.xml"/><Relationship Id="rId25" Type="http://schemas.openxmlformats.org/officeDocument/2006/relationships/hyperlink" Target="https://www.aph.gov.au/About_Parliament/Parliamentary_departments/Parliamentary_Library/Research/FlagPost/2022/June/2021_Censu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ac.gov.au/" TargetMode="External"/><Relationship Id="rId24" Type="http://schemas.openxmlformats.org/officeDocument/2006/relationships/hyperlink" Target="https://www.aph.gov.au/About_Parliament/Parliamentary_departments/Parliamentary_Library/Research/FlagPost/2022/June/2021_Census"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yperlink" Target="http://msac.gov.au/internet/msac/publishing.nsf/Content/Home-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hyperlink" Target="https://www.abs.gov.au/statistics/people/population/population-projections-australia/latest-release"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ga.gov.au/resources/prescription-medicines-under-evaluation/adzynma-takeda-pharmaceuticals-australia-pty-ltd" TargetMode="External"/><Relationship Id="rId2" Type="http://schemas.openxmlformats.org/officeDocument/2006/relationships/hyperlink" Target="https://www.pbs.gov.au/medicinestatus/document/339.html" TargetMode="External"/><Relationship Id="rId1" Type="http://schemas.openxmlformats.org/officeDocument/2006/relationships/hyperlink" Target="https://www.tga.gov.au/resources/auspmd/cabli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4A37BE997BE34FBB7D5057D341D123" ma:contentTypeVersion="14" ma:contentTypeDescription="Create a new document." ma:contentTypeScope="" ma:versionID="d0803639e3b14a1b5fe5efce3e9a7be0">
  <xsd:schema xmlns:xsd="http://www.w3.org/2001/XMLSchema" xmlns:xs="http://www.w3.org/2001/XMLSchema" xmlns:p="http://schemas.microsoft.com/office/2006/metadata/properties" xmlns:ns2="7513b557-581c-46d3-8cc7-77c65017dc6f" xmlns:ns3="e7d54a9e-4aca-451b-99db-b94fe438e987" targetNamespace="http://schemas.microsoft.com/office/2006/metadata/properties" ma:root="true" ma:fieldsID="124831d27a8e0cd56fbacb95874fe705" ns2:_="" ns3:_="">
    <xsd:import namespace="7513b557-581c-46d3-8cc7-77c65017dc6f"/>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3b557-581c-46d3-8cc7-77c65017d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094059-5103-4cd0-8820-a17a44f45f06}"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7d54a9e-4aca-451b-99db-b94fe438e987" xsi:nil="true"/>
    <lcf76f155ced4ddcb4097134ff3c332f xmlns="7513b557-581c-46d3-8cc7-77c65017dc6f">
      <Terms xmlns="http://schemas.microsoft.com/office/infopath/2007/PartnerControls"/>
    </lcf76f155ced4ddcb4097134ff3c332f>
    <SharedWithUsers xmlns="e7d54a9e-4aca-451b-99db-b94fe438e987">
      <UserInfo>
        <DisplayName/>
        <AccountId xsi:nil="true"/>
        <AccountType/>
      </UserInfo>
    </SharedWithUsers>
  </documentManagement>
</p:properties>
</file>

<file path=customXml/itemProps1.xml><?xml version="1.0" encoding="utf-8"?>
<ds:datastoreItem xmlns:ds="http://schemas.openxmlformats.org/officeDocument/2006/customXml" ds:itemID="{24D8CA0D-FFD9-456A-BDF2-D0438295CAE2}">
  <ds:schemaRefs>
    <ds:schemaRef ds:uri="http://schemas.microsoft.com/sharepoint/v3/contenttype/forms"/>
  </ds:schemaRefs>
</ds:datastoreItem>
</file>

<file path=customXml/itemProps2.xml><?xml version="1.0" encoding="utf-8"?>
<ds:datastoreItem xmlns:ds="http://schemas.openxmlformats.org/officeDocument/2006/customXml" ds:itemID="{4393547F-B89C-47E0-8810-0B557C343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3b557-581c-46d3-8cc7-77c65017dc6f"/>
    <ds:schemaRef ds:uri="e7d54a9e-4aca-451b-99db-b94fe438e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B0347-3479-4232-8751-B8CC2D455C46}">
  <ds:schemaRefs>
    <ds:schemaRef ds:uri="http://schemas.openxmlformats.org/officeDocument/2006/bibliography"/>
  </ds:schemaRefs>
</ds:datastoreItem>
</file>

<file path=customXml/itemProps4.xml><?xml version="1.0" encoding="utf-8"?>
<ds:datastoreItem xmlns:ds="http://schemas.openxmlformats.org/officeDocument/2006/customXml" ds:itemID="{3AAB0B28-EEE9-48C7-A88A-3F413AFA2B87}">
  <ds:schemaRefs>
    <ds:schemaRef ds:uri="http://schemas.microsoft.com/office/2006/metadata/properties"/>
    <ds:schemaRef ds:uri="http://schemas.microsoft.com/office/infopath/2007/PartnerControls"/>
    <ds:schemaRef ds:uri="e7d54a9e-4aca-451b-99db-b94fe438e987"/>
    <ds:schemaRef ds:uri="7513b557-581c-46d3-8cc7-77c65017dc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21310</Words>
  <Characters>134259</Characters>
  <Application>Microsoft Office Word</Application>
  <DocSecurity>2</DocSecurity>
  <Lines>44753</Lines>
  <Paragraphs>5364</Paragraphs>
  <ScaleCrop>false</ScaleCrop>
  <Company/>
  <LinksUpToDate>false</LinksUpToDate>
  <CharactersWithSpaces>150205</CharactersWithSpaces>
  <SharedDoc>false</SharedDoc>
  <HLinks>
    <vt:vector size="54" baseType="variant">
      <vt:variant>
        <vt:i4>6684716</vt:i4>
      </vt:variant>
      <vt:variant>
        <vt:i4>228</vt:i4>
      </vt:variant>
      <vt:variant>
        <vt:i4>0</vt:i4>
      </vt:variant>
      <vt:variant>
        <vt:i4>5</vt:i4>
      </vt:variant>
      <vt:variant>
        <vt:lpwstr>http://msac.gov.au/internet/msac/publishing.nsf/Content/Home-1</vt:lpwstr>
      </vt:variant>
      <vt:variant>
        <vt:lpwstr/>
      </vt:variant>
      <vt:variant>
        <vt:i4>6750322</vt:i4>
      </vt:variant>
      <vt:variant>
        <vt:i4>192</vt:i4>
      </vt:variant>
      <vt:variant>
        <vt:i4>0</vt:i4>
      </vt:variant>
      <vt:variant>
        <vt:i4>5</vt:i4>
      </vt:variant>
      <vt:variant>
        <vt:lpwstr>https://www.abs.gov.au/statistics/people/population/population-projections-australia/latest-release</vt:lpwstr>
      </vt:variant>
      <vt:variant>
        <vt:lpwstr>national</vt:lpwstr>
      </vt:variant>
      <vt:variant>
        <vt:i4>7733353</vt:i4>
      </vt:variant>
      <vt:variant>
        <vt:i4>144</vt:i4>
      </vt:variant>
      <vt:variant>
        <vt:i4>0</vt:i4>
      </vt:variant>
      <vt:variant>
        <vt:i4>5</vt:i4>
      </vt:variant>
      <vt:variant>
        <vt:lpwstr>https://www.aph.gov.au/About_Parliament/Parliamentary_departments/Parliamentary_Library/Research/FlagPost/2022/June/2021_Census</vt:lpwstr>
      </vt:variant>
      <vt:variant>
        <vt:lpwstr/>
      </vt:variant>
      <vt:variant>
        <vt:i4>7733353</vt:i4>
      </vt:variant>
      <vt:variant>
        <vt:i4>138</vt:i4>
      </vt:variant>
      <vt:variant>
        <vt:i4>0</vt:i4>
      </vt:variant>
      <vt:variant>
        <vt:i4>5</vt:i4>
      </vt:variant>
      <vt:variant>
        <vt:lpwstr>https://www.aph.gov.au/About_Parliament/Parliamentary_departments/Parliamentary_Library/Research/FlagPost/2022/June/2021_Census</vt:lpwstr>
      </vt:variant>
      <vt:variant>
        <vt:lpwstr/>
      </vt:variant>
      <vt:variant>
        <vt:i4>7864349</vt:i4>
      </vt:variant>
      <vt:variant>
        <vt:i4>15</vt:i4>
      </vt:variant>
      <vt:variant>
        <vt:i4>0</vt:i4>
      </vt:variant>
      <vt:variant>
        <vt:i4>5</vt:i4>
      </vt:variant>
      <vt:variant>
        <vt:lpwstr>https://www.msac.gov.au/sites/default/files/2025-06/1796_final_pico_confirmation.pdf</vt:lpwstr>
      </vt:variant>
      <vt:variant>
        <vt:lpwstr/>
      </vt:variant>
      <vt:variant>
        <vt:i4>3997744</vt:i4>
      </vt:variant>
      <vt:variant>
        <vt:i4>0</vt:i4>
      </vt:variant>
      <vt:variant>
        <vt:i4>0</vt:i4>
      </vt:variant>
      <vt:variant>
        <vt:i4>5</vt:i4>
      </vt:variant>
      <vt:variant>
        <vt:lpwstr>http://www.msac.gov.au/</vt:lpwstr>
      </vt:variant>
      <vt:variant>
        <vt:lpwstr/>
      </vt:variant>
      <vt:variant>
        <vt:i4>786508</vt:i4>
      </vt:variant>
      <vt:variant>
        <vt:i4>6</vt:i4>
      </vt:variant>
      <vt:variant>
        <vt:i4>0</vt:i4>
      </vt:variant>
      <vt:variant>
        <vt:i4>5</vt:i4>
      </vt:variant>
      <vt:variant>
        <vt:lpwstr>https://www.tga.gov.au/resources/prescription-medicines-under-evaluation/adzynma-takeda-pharmaceuticals-australia-pty-ltd</vt:lpwstr>
      </vt:variant>
      <vt:variant>
        <vt:lpwstr/>
      </vt:variant>
      <vt:variant>
        <vt:i4>7864365</vt:i4>
      </vt:variant>
      <vt:variant>
        <vt:i4>3</vt:i4>
      </vt:variant>
      <vt:variant>
        <vt:i4>0</vt:i4>
      </vt:variant>
      <vt:variant>
        <vt:i4>5</vt:i4>
      </vt:variant>
      <vt:variant>
        <vt:lpwstr>https://www.pbs.gov.au/medicinestatus/document/339.html</vt:lpwstr>
      </vt:variant>
      <vt:variant>
        <vt:lpwstr/>
      </vt:variant>
      <vt:variant>
        <vt:i4>7995441</vt:i4>
      </vt:variant>
      <vt:variant>
        <vt:i4>0</vt:i4>
      </vt:variant>
      <vt:variant>
        <vt:i4>0</vt:i4>
      </vt:variant>
      <vt:variant>
        <vt:i4>5</vt:i4>
      </vt:variant>
      <vt:variant>
        <vt:lpwstr>https://www.tga.gov.au/resources/auspmd/cablivi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2026-06-17T18:25:00Z</dcterms:created>
  <dcterms:modified xsi:type="dcterms:W3CDTF">2026-06-25T02:54:00Z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SiteId">
    <vt:lpwstr>34a3929c-73cf-4954-abfe-147dc3517892</vt:lpwstr>
  </property>
  <property fmtid="{D5CDD505-2E9C-101B-9397-08002B2CF9AE}" pid="3" name="ClassificationContentMarkingFooterText">
    <vt:lpwstr>OFFICIAL</vt:lpwstr>
  </property>
  <property fmtid="{D5CDD505-2E9C-101B-9397-08002B2CF9AE}" pid="4" name="MSIP_Label_7cd3e8b9-ffed-43a8-b7f4-cc2fa0382d36_Method">
    <vt:lpwstr>Privileged</vt:lpwstr>
  </property>
  <property fmtid="{D5CDD505-2E9C-101B-9397-08002B2CF9AE}" pid="5" name="MSIP_Label_7cd3e8b9-ffed-43a8-b7f4-cc2fa0382d36_Tag">
    <vt:lpwstr>10, 0, 1, 1</vt:lpwstr>
  </property>
  <property fmtid="{D5CDD505-2E9C-101B-9397-08002B2CF9AE}" pid="6" name="Order">
    <vt:r8>669800</vt:r8>
  </property>
  <property fmtid="{D5CDD505-2E9C-101B-9397-08002B2CF9AE}" pid="7" name="ClassificationContentMarkingHeaderText">
    <vt:lpwstr>OFFICIAL</vt:lpwstr>
  </property>
  <property fmtid="{D5CDD505-2E9C-101B-9397-08002B2CF9AE}" pid="8" name="MSIP_Label_7cd3e8b9-ffed-43a8-b7f4-cc2fa0382d36_ActionId">
    <vt:lpwstr>fe9ade6d-548c-4b6a-80a3-b69f5929feac</vt:lpwstr>
  </property>
  <property fmtid="{D5CDD505-2E9C-101B-9397-08002B2CF9AE}" pid="9" name="MediaServiceImageTags">
    <vt:lpwstr/>
  </property>
  <property fmtid="{D5CDD505-2E9C-101B-9397-08002B2CF9AE}" pid="10" name="ContentTypeId">
    <vt:lpwstr>0x0101005E4A37BE997BE34FBB7D5057D341D123</vt:lpwstr>
  </property>
  <property fmtid="{D5CDD505-2E9C-101B-9397-08002B2CF9AE}" pid="11" name="ComplianceAssetId">
    <vt:lpwstr/>
  </property>
  <property fmtid="{D5CDD505-2E9C-101B-9397-08002B2CF9AE}" pid="12" name="ClassificationContentMarkingHeaderFontProps">
    <vt:lpwstr>#ff0000,12,Aptos</vt:lpwstr>
  </property>
  <property fmtid="{D5CDD505-2E9C-101B-9397-08002B2CF9AE}" pid="13" name="_ExtendedDescription">
    <vt:lpwstr/>
  </property>
  <property fmtid="{D5CDD505-2E9C-101B-9397-08002B2CF9AE}" pid="14" name="TriggerFlowInfo">
    <vt:lpwstr/>
  </property>
  <property fmtid="{D5CDD505-2E9C-101B-9397-08002B2CF9AE}" pid="15" name="MSIP_Label_7cd3e8b9-ffed-43a8-b7f4-cc2fa0382d36_ContentBits">
    <vt:lpwstr>3</vt:lpwstr>
  </property>
  <property fmtid="{D5CDD505-2E9C-101B-9397-08002B2CF9AE}" pid="16" name="docLang">
    <vt:lpwstr>en</vt:lpwstr>
  </property>
  <property fmtid="{D5CDD505-2E9C-101B-9397-08002B2CF9AE}" pid="17" name="MSIP_Label_7cd3e8b9-ffed-43a8-b7f4-cc2fa0382d36_Name">
    <vt:lpwstr>O</vt:lpwstr>
  </property>
  <property fmtid="{D5CDD505-2E9C-101B-9397-08002B2CF9AE}" pid="18" name="ClassificationContentMarkingFooterShapeIds">
    <vt:lpwstr>5bc9d373,30b540e6,13e45451</vt:lpwstr>
  </property>
  <property fmtid="{D5CDD505-2E9C-101B-9397-08002B2CF9AE}" pid="19" name="MSIP_Label_7cd3e8b9-ffed-43a8-b7f4-cc2fa0382d36_Enabled">
    <vt:lpwstr>true</vt:lpwstr>
  </property>
  <property fmtid="{D5CDD505-2E9C-101B-9397-08002B2CF9AE}" pid="20" name="ClassificationContentMarkingHeaderShapeIds">
    <vt:lpwstr>3e2e9866,7cf27282,47325afe</vt:lpwstr>
  </property>
  <property fmtid="{D5CDD505-2E9C-101B-9397-08002B2CF9AE}" pid="21" name="ClassificationContentMarkingFooterFontProps">
    <vt:lpwstr>#ff0000,12,Aptos</vt:lpwstr>
  </property>
  <property fmtid="{D5CDD505-2E9C-101B-9397-08002B2CF9AE}" pid="22" name="MSIP_Label_7cd3e8b9-ffed-43a8-b7f4-cc2fa0382d36_SetDate">
    <vt:lpwstr>2026-05-13T03:40:13Z</vt:lpwstr>
  </property>
  <property fmtid="{D5CDD505-2E9C-101B-9397-08002B2CF9AE}" pid="23" name="xd_Signature">
    <vt:bool>false</vt:bool>
  </property>
  <property fmtid="{D5CDD505-2E9C-101B-9397-08002B2CF9AE}" pid="24" name="xd_ProgID">
    <vt:lpwstr/>
  </property>
  <property fmtid="{D5CDD505-2E9C-101B-9397-08002B2CF9AE}" pid="25" name="TemplateUrl">
    <vt:lpwstr/>
  </property>
</Properties>
</file>