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A49A" w14:textId="76AA4093" w:rsidR="00772829" w:rsidRDefault="00643C9C" w:rsidP="00D03C49">
      <w:pPr>
        <w:pStyle w:val="Heading1"/>
        <w:numPr>
          <w:ilvl w:val="0"/>
          <w:numId w:val="0"/>
        </w:numPr>
        <w:pBdr>
          <w:bottom w:val="none" w:sz="0" w:space="0" w:color="auto"/>
        </w:pBdr>
        <w:spacing w:before="0" w:after="0"/>
        <w:ind w:left="788"/>
        <w:jc w:val="center"/>
        <w:rPr>
          <w:rFonts w:ascii="Arial" w:hAnsi="Arial" w:cs="Arial"/>
          <w:b/>
          <w:bCs/>
          <w:color w:val="000080"/>
          <w:sz w:val="36"/>
          <w:szCs w:val="36"/>
        </w:rPr>
      </w:pPr>
      <w:r w:rsidRPr="25994664">
        <w:rPr>
          <w:rFonts w:ascii="Arial" w:hAnsi="Arial" w:cs="Arial"/>
          <w:b/>
          <w:bCs/>
          <w:color w:val="000080"/>
          <w:sz w:val="36"/>
          <w:szCs w:val="36"/>
        </w:rPr>
        <w:t>Medical Services Advisory Committee (MSAC)</w:t>
      </w:r>
    </w:p>
    <w:p w14:paraId="666AB5A7" w14:textId="77777777" w:rsidR="00D03C49" w:rsidRPr="004F6113" w:rsidRDefault="00D03C49" w:rsidP="00D03C49">
      <w:pPr>
        <w:pStyle w:val="Heading1"/>
        <w:numPr>
          <w:ilvl w:val="0"/>
          <w:numId w:val="0"/>
        </w:numPr>
        <w:pBdr>
          <w:bottom w:val="none" w:sz="0" w:space="0" w:color="auto"/>
        </w:pBdr>
        <w:spacing w:before="0" w:after="360"/>
        <w:ind w:left="786" w:hanging="360"/>
        <w:jc w:val="center"/>
        <w:rPr>
          <w:rFonts w:ascii="Arial" w:hAnsi="Arial" w:cs="Arial"/>
          <w:b/>
          <w:color w:val="000080"/>
          <w:sz w:val="36"/>
          <w:szCs w:val="36"/>
        </w:rPr>
      </w:pPr>
      <w:r w:rsidRPr="005B6EFD">
        <w:rPr>
          <w:rFonts w:ascii="Arial" w:hAnsi="Arial" w:cs="Arial"/>
          <w:b/>
          <w:bCs/>
          <w:color w:val="000080"/>
          <w:sz w:val="36"/>
          <w:szCs w:val="36"/>
        </w:rPr>
        <w:t>Public Summary Document</w:t>
      </w:r>
    </w:p>
    <w:p w14:paraId="7A128FDE" w14:textId="62A64C41" w:rsidR="00772829" w:rsidRPr="00CE28E3" w:rsidRDefault="00772829" w:rsidP="00772829">
      <w:pPr>
        <w:pStyle w:val="Subtitle"/>
      </w:pPr>
      <w:r w:rsidRPr="00CE28E3">
        <w:t xml:space="preserve">Application No. </w:t>
      </w:r>
      <w:r w:rsidR="00185B07" w:rsidRPr="00185B07">
        <w:t>1805 – Concizumab for routine prophylaxis to prevent bleeding in patients with haemophilia B</w:t>
      </w:r>
    </w:p>
    <w:p w14:paraId="35263561" w14:textId="06335EB6" w:rsidR="00772829" w:rsidRPr="00CE28E3" w:rsidRDefault="00772829" w:rsidP="5F7CFEAA">
      <w:pPr>
        <w:tabs>
          <w:tab w:val="left" w:pos="3686"/>
        </w:tabs>
        <w:spacing w:after="240"/>
        <w:rPr>
          <w:rFonts w:ascii="Arial" w:hAnsi="Arial" w:cs="Arial"/>
          <w:b/>
          <w:bCs/>
        </w:rPr>
      </w:pPr>
      <w:r w:rsidRPr="00FA67E4">
        <w:rPr>
          <w:rFonts w:ascii="Arial" w:hAnsi="Arial" w:cs="Arial"/>
          <w:b/>
          <w:bCs/>
          <w:lang w:val="fr-FR"/>
        </w:rPr>
        <w:t>Applicant:</w:t>
      </w:r>
      <w:r w:rsidRPr="00FA67E4">
        <w:rPr>
          <w:lang w:val="fr-FR"/>
        </w:rPr>
        <w:tab/>
      </w:r>
      <w:bookmarkStart w:id="0" w:name="_Hlk214358806"/>
      <w:r w:rsidR="003B6022" w:rsidRPr="00FA67E4">
        <w:rPr>
          <w:rFonts w:ascii="Arial" w:hAnsi="Arial" w:cs="Arial"/>
          <w:b/>
          <w:bCs/>
          <w:lang w:val="fr-FR"/>
        </w:rPr>
        <w:t xml:space="preserve">Novo Nordisk Pharmaceuticals Pty. </w:t>
      </w:r>
      <w:r w:rsidR="003B6022" w:rsidRPr="5F7CFEAA">
        <w:rPr>
          <w:rFonts w:ascii="Arial" w:hAnsi="Arial" w:cs="Arial"/>
          <w:b/>
          <w:bCs/>
        </w:rPr>
        <w:t>Limited</w:t>
      </w:r>
      <w:bookmarkEnd w:id="0"/>
    </w:p>
    <w:p w14:paraId="0BE24909" w14:textId="35568554" w:rsidR="00643C9C" w:rsidRDefault="00772829" w:rsidP="00772829">
      <w:pPr>
        <w:tabs>
          <w:tab w:val="left" w:pos="3686"/>
        </w:tabs>
        <w:spacing w:after="360"/>
        <w:rPr>
          <w:rFonts w:ascii="Arial" w:hAnsi="Arial" w:cs="Arial"/>
          <w:b/>
          <w:szCs w:val="24"/>
        </w:rPr>
      </w:pPr>
      <w:r w:rsidRPr="00CE28E3">
        <w:rPr>
          <w:rFonts w:ascii="Arial" w:hAnsi="Arial" w:cs="Arial"/>
          <w:b/>
          <w:szCs w:val="24"/>
        </w:rPr>
        <w:t xml:space="preserve">Date of </w:t>
      </w:r>
      <w:r w:rsidR="00D03C49">
        <w:rPr>
          <w:rFonts w:ascii="Arial" w:hAnsi="Arial" w:cs="Arial"/>
          <w:b/>
          <w:szCs w:val="24"/>
        </w:rPr>
        <w:t>MSAC</w:t>
      </w:r>
      <w:r w:rsidRPr="00CE28E3">
        <w:rPr>
          <w:rFonts w:ascii="Arial" w:hAnsi="Arial" w:cs="Arial"/>
          <w:b/>
          <w:szCs w:val="24"/>
        </w:rPr>
        <w:t xml:space="preserve"> consideration:</w:t>
      </w:r>
      <w:r w:rsidRPr="00CE28E3">
        <w:rPr>
          <w:rFonts w:ascii="Arial" w:hAnsi="Arial" w:cs="Arial"/>
          <w:b/>
          <w:szCs w:val="24"/>
        </w:rPr>
        <w:tab/>
      </w:r>
      <w:r w:rsidR="00D03C49">
        <w:rPr>
          <w:rFonts w:ascii="Arial" w:hAnsi="Arial" w:cs="Arial"/>
          <w:b/>
          <w:szCs w:val="24"/>
        </w:rPr>
        <w:t>1 April</w:t>
      </w:r>
      <w:r w:rsidR="003B6022" w:rsidRPr="003B6022">
        <w:rPr>
          <w:rFonts w:ascii="Arial" w:hAnsi="Arial" w:cs="Arial"/>
          <w:b/>
          <w:szCs w:val="24"/>
        </w:rPr>
        <w:t xml:space="preserve"> 2026</w:t>
      </w:r>
    </w:p>
    <w:p w14:paraId="7EAA7262" w14:textId="0979081F" w:rsidR="00772829" w:rsidRPr="00CE28E3" w:rsidRDefault="00772829" w:rsidP="00F1192D">
      <w:pPr>
        <w:pStyle w:val="Heading2"/>
        <w:numPr>
          <w:ilvl w:val="0"/>
          <w:numId w:val="31"/>
        </w:numPr>
        <w:ind w:left="709" w:hanging="709"/>
      </w:pPr>
      <w:bookmarkStart w:id="1" w:name="_Toc69491415"/>
      <w:r w:rsidRPr="00CE28E3">
        <w:t xml:space="preserve">Purpose </w:t>
      </w:r>
      <w:r w:rsidRPr="00CE28E3">
        <w:rPr>
          <w:szCs w:val="32"/>
        </w:rPr>
        <w:t>of</w:t>
      </w:r>
      <w:r w:rsidRPr="00CE28E3">
        <w:t xml:space="preserve"> application</w:t>
      </w:r>
      <w:bookmarkEnd w:id="1"/>
    </w:p>
    <w:p w14:paraId="6BF31FF2" w14:textId="05C04A90" w:rsidR="00772829" w:rsidRDefault="00772829" w:rsidP="00772829">
      <w:pPr>
        <w:spacing w:after="240"/>
      </w:pPr>
      <w:bookmarkStart w:id="2" w:name="_Hlk69734469"/>
      <w:r>
        <w:t>An application requesting</w:t>
      </w:r>
      <w:r w:rsidR="006C638D">
        <w:t xml:space="preserve"> </w:t>
      </w:r>
      <w:r w:rsidR="00B83AE3" w:rsidRPr="3F613228">
        <w:rPr>
          <w:rStyle w:val="normaltextrun"/>
        </w:rPr>
        <w:t xml:space="preserve">public funding through listing on the National Blood Authority’s (NBA’s) National Product </w:t>
      </w:r>
      <w:r w:rsidR="00422769" w:rsidRPr="3F613228">
        <w:rPr>
          <w:rStyle w:val="normaltextrun"/>
        </w:rPr>
        <w:t xml:space="preserve">Price </w:t>
      </w:r>
      <w:r w:rsidR="00B83AE3" w:rsidRPr="3F613228">
        <w:rPr>
          <w:rStyle w:val="normaltextrun"/>
        </w:rPr>
        <w:t>List (NP</w:t>
      </w:r>
      <w:r w:rsidR="00422769" w:rsidRPr="3F613228">
        <w:rPr>
          <w:rStyle w:val="normaltextrun"/>
        </w:rPr>
        <w:t>P</w:t>
      </w:r>
      <w:r w:rsidR="00B83AE3" w:rsidRPr="3F613228">
        <w:rPr>
          <w:rStyle w:val="normaltextrun"/>
        </w:rPr>
        <w:t>L)</w:t>
      </w:r>
      <w:r w:rsidR="00B83AE3">
        <w:t xml:space="preserve"> </w:t>
      </w:r>
      <w:r w:rsidR="0052738F">
        <w:t>of</w:t>
      </w:r>
      <w:r>
        <w:t xml:space="preserve"> </w:t>
      </w:r>
      <w:r w:rsidR="00C811E8">
        <w:t>c</w:t>
      </w:r>
      <w:r w:rsidR="00B147C1">
        <w:t xml:space="preserve">oncizumab (Alhemo®) </w:t>
      </w:r>
      <w:r>
        <w:t xml:space="preserve">for </w:t>
      </w:r>
      <w:r w:rsidR="00FA2826">
        <w:t>patients with congenital haemophilia B</w:t>
      </w:r>
      <w:r w:rsidR="006A4169">
        <w:t>,</w:t>
      </w:r>
      <w:r w:rsidR="00FA2826">
        <w:t xml:space="preserve"> </w:t>
      </w:r>
      <w:r w:rsidR="00442E8B">
        <w:t xml:space="preserve">with </w:t>
      </w:r>
      <w:r w:rsidR="006A4169">
        <w:t>or</w:t>
      </w:r>
      <w:r w:rsidR="00442E8B">
        <w:t xml:space="preserve"> without inhibitors</w:t>
      </w:r>
      <w:r w:rsidR="006A4169">
        <w:t xml:space="preserve">, who </w:t>
      </w:r>
      <w:r w:rsidR="00EC36D1">
        <w:t xml:space="preserve">require </w:t>
      </w:r>
      <w:r w:rsidR="003F0906">
        <w:t>prophylaxis</w:t>
      </w:r>
      <w:r w:rsidR="00442E8B">
        <w:t xml:space="preserve"> </w:t>
      </w:r>
      <w:r>
        <w:t xml:space="preserve">was received from </w:t>
      </w:r>
      <w:r w:rsidR="00442E8B">
        <w:t xml:space="preserve">Novo Nordisk Pharmaceuticals </w:t>
      </w:r>
      <w:r w:rsidR="00B67C8C">
        <w:t xml:space="preserve">Pty Ltd </w:t>
      </w:r>
      <w:r>
        <w:t>by the Department of Health</w:t>
      </w:r>
      <w:r w:rsidR="0065404A">
        <w:t>, Disability and Ageing</w:t>
      </w:r>
      <w:r>
        <w:t>.</w:t>
      </w:r>
    </w:p>
    <w:p w14:paraId="033BF62D" w14:textId="17D9DC62" w:rsidR="00D03C49" w:rsidRPr="005B6EFD" w:rsidRDefault="00D03C49" w:rsidP="00F1192D">
      <w:pPr>
        <w:pStyle w:val="Heading2"/>
        <w:numPr>
          <w:ilvl w:val="0"/>
          <w:numId w:val="31"/>
        </w:numPr>
        <w:ind w:left="709" w:hanging="709"/>
      </w:pPr>
      <w:r w:rsidRPr="005B6EFD">
        <w:t>MSAC’s advice to the Minister</w:t>
      </w:r>
    </w:p>
    <w:p w14:paraId="45E1831F" w14:textId="4516BF31" w:rsidR="00A56E60" w:rsidRDefault="00E0729D" w:rsidP="00A56E60">
      <w:r w:rsidRPr="00D81A81">
        <w:t>After considering the strength of the available evidence in relation to comparative safety, clinical effectiveness</w:t>
      </w:r>
      <w:r>
        <w:t xml:space="preserve">, </w:t>
      </w:r>
      <w:r w:rsidRPr="00D81A81">
        <w:t>cost-effectiveness</w:t>
      </w:r>
      <w:r>
        <w:t xml:space="preserve"> and total cost</w:t>
      </w:r>
      <w:r w:rsidRPr="00D81A81">
        <w:t xml:space="preserve">, </w:t>
      </w:r>
      <w:r>
        <w:t>MSAC supported</w:t>
      </w:r>
      <w:r w:rsidR="00A56E60">
        <w:t xml:space="preserve"> public funding of concizumab (Alhemo®) for patients ≥12 years of age with congenital haemophilia B (HMB) with inhibitors (HMBwI) who require prophylaxis, but did not support listing for patients with HMB without inhibitors. MSAC noted that concizumab may be listed on the National Blood Authority’s (NBA’s) National Product Price List (NPPL). </w:t>
      </w:r>
    </w:p>
    <w:p w14:paraId="5B4CEBA1" w14:textId="56E5ED12" w:rsidR="00B64DDA" w:rsidRPr="000B7975" w:rsidRDefault="0F287407">
      <w:r>
        <w:t xml:space="preserve">MSAC considered there is a high unmet clinical need for the small number of patients with HMBwI as </w:t>
      </w:r>
      <w:r w:rsidR="003B208F">
        <w:t xml:space="preserve">currently </w:t>
      </w:r>
      <w:r>
        <w:t xml:space="preserve">there are no available </w:t>
      </w:r>
      <w:r w:rsidR="23657EB2">
        <w:t xml:space="preserve">long-term </w:t>
      </w:r>
      <w:r>
        <w:t>effective prophylaxis options to prevent bleeds. The available evidence suggests concizumab may have similar efficacy compared with on-demand therapy</w:t>
      </w:r>
      <w:r w:rsidR="00A562A7">
        <w:t xml:space="preserve"> </w:t>
      </w:r>
      <w:r w:rsidR="00593FD6">
        <w:t xml:space="preserve">regarding </w:t>
      </w:r>
      <w:r>
        <w:t>bleeding rates</w:t>
      </w:r>
      <w:r w:rsidR="00234581">
        <w:t xml:space="preserve"> </w:t>
      </w:r>
      <w:r w:rsidR="00756CEF">
        <w:t>(</w:t>
      </w:r>
      <w:r w:rsidR="00234581">
        <w:t xml:space="preserve">because although the evidence showed reducing bleeding rates </w:t>
      </w:r>
      <w:r w:rsidR="00EB44E2">
        <w:t>with concizumab</w:t>
      </w:r>
      <w:r w:rsidR="00B62FC7">
        <w:t>,</w:t>
      </w:r>
      <w:r w:rsidR="00EB44E2">
        <w:t xml:space="preserve"> this was</w:t>
      </w:r>
      <w:r w:rsidR="00A518BF">
        <w:t xml:space="preserve"> based on </w:t>
      </w:r>
      <w:r w:rsidR="00894639">
        <w:t xml:space="preserve">combining </w:t>
      </w:r>
      <w:r w:rsidR="00A518BF">
        <w:t xml:space="preserve">data </w:t>
      </w:r>
      <w:r w:rsidR="00894639">
        <w:t>across</w:t>
      </w:r>
      <w:r w:rsidR="00A518BF">
        <w:t xml:space="preserve"> </w:t>
      </w:r>
      <w:r w:rsidR="00756CEF">
        <w:t>hemophilia A and HMB patients)</w:t>
      </w:r>
      <w:r>
        <w:t xml:space="preserve">, and an acceptable safety profile. MSAC considered it was difficult to assess the effectiveness of concizumab in HMBwI due to small patient numbers, and limited follow-up. MSAC considered </w:t>
      </w:r>
      <w:r w:rsidR="0275DDB0">
        <w:t>that while the clinical evidence</w:t>
      </w:r>
      <w:r w:rsidR="00681EFB">
        <w:t xml:space="preserve"> </w:t>
      </w:r>
      <w:r w:rsidR="002434B1">
        <w:t>against the com</w:t>
      </w:r>
      <w:r w:rsidR="00984FCE">
        <w:t xml:space="preserve">parator of on-demand treatment with </w:t>
      </w:r>
      <w:r w:rsidR="004441E7">
        <w:t>bypassing agents (</w:t>
      </w:r>
      <w:r w:rsidR="00984FCE">
        <w:t>BPAs</w:t>
      </w:r>
      <w:r w:rsidR="004441E7">
        <w:t>)</w:t>
      </w:r>
      <w:r w:rsidR="0275DDB0">
        <w:t xml:space="preserve"> was very limited, </w:t>
      </w:r>
      <w:r w:rsidR="0B6C1341">
        <w:t>it</w:t>
      </w:r>
      <w:r>
        <w:t xml:space="preserve"> was acceptable in the context of a very small patient population with a high </w:t>
      </w:r>
      <w:r w:rsidR="489A9456">
        <w:t>unmet</w:t>
      </w:r>
      <w:r>
        <w:t xml:space="preserve"> need for a treatment to prevent bleeds. </w:t>
      </w:r>
      <w:r w:rsidR="74C37BC7">
        <w:t>MSAC also noted practical and quality of life benefits of concizumab</w:t>
      </w:r>
      <w:r w:rsidR="00D81F68">
        <w:t>,</w:t>
      </w:r>
      <w:r w:rsidR="74C37BC7">
        <w:t xml:space="preserve"> including ease of administration and improved access which was highlighted in the public consultation feedback. </w:t>
      </w:r>
      <w:r>
        <w:t xml:space="preserve">MSAC’s support is conditional on a substantial price reduction with a cap on the number of patients per year (with a 100% rebate) to manage the risk of use outside the HMBwI population. </w:t>
      </w:r>
      <w:r w:rsidR="195B3BCE">
        <w:t xml:space="preserve">MSAC </w:t>
      </w:r>
      <w:r w:rsidR="09BCC2D4">
        <w:t xml:space="preserve">advised the eligible population should be </w:t>
      </w:r>
      <w:r w:rsidR="762015D2">
        <w:t xml:space="preserve">explicitly defined </w:t>
      </w:r>
      <w:r w:rsidR="195B3BCE">
        <w:t>to ensure the funded population</w:t>
      </w:r>
      <w:r w:rsidR="762015D2">
        <w:t xml:space="preserve"> with HMBwI</w:t>
      </w:r>
      <w:r w:rsidR="195B3BCE">
        <w:t xml:space="preserve"> was aligned with the clinical trial population which only included patients with moderate-severe and severe disease.</w:t>
      </w:r>
      <w:r w:rsidR="762015D2">
        <w:t xml:space="preserve"> </w:t>
      </w:r>
    </w:p>
    <w:p w14:paraId="002E35E5" w14:textId="6A89C766" w:rsidR="00B64DDA" w:rsidRPr="000B7975" w:rsidRDefault="0EFF86E3">
      <w:pPr>
        <w:rPr>
          <w:color w:val="000000" w:themeColor="text1"/>
        </w:rPr>
      </w:pPr>
      <w:r w:rsidRPr="5174EE7D">
        <w:rPr>
          <w:color w:val="000000" w:themeColor="text1"/>
        </w:rPr>
        <w:t>MSAC did not support public funding of concizumab for the HMB population without inhibitors because the evidence did not demonstrate non-inferior effectiveness compared with intravenous Factor IX (FIX) prophylaxis. MSAC considered the comparison of bleeding rates suggested that patients using concizumab could have a higher rate of bleeds than patients using FIX prophylaxis. MSAC advised that a resubmission for this population would require better evidence of favourable clinical effectiveness including longer duration of comparative evidence for effectiveness and safety outcomes</w:t>
      </w:r>
      <w:r w:rsidR="15BE50F4" w:rsidRPr="5174EE7D">
        <w:rPr>
          <w:color w:val="000000" w:themeColor="text1"/>
        </w:rPr>
        <w:t xml:space="preserve"> including near-market comparators </w:t>
      </w:r>
      <w:r w:rsidR="70EE3B1B" w:rsidRPr="5174EE7D">
        <w:rPr>
          <w:color w:val="000000" w:themeColor="text1"/>
        </w:rPr>
        <w:t xml:space="preserve">marstacimab </w:t>
      </w:r>
      <w:r w:rsidR="3D9A65B6" w:rsidRPr="5174EE7D">
        <w:rPr>
          <w:color w:val="000000" w:themeColor="text1"/>
        </w:rPr>
        <w:t>and</w:t>
      </w:r>
      <w:r w:rsidR="3303B5BC" w:rsidRPr="5174EE7D">
        <w:rPr>
          <w:color w:val="000000" w:themeColor="text1"/>
        </w:rPr>
        <w:t xml:space="preserve"> etran</w:t>
      </w:r>
      <w:r w:rsidR="07002B10" w:rsidRPr="5174EE7D">
        <w:rPr>
          <w:color w:val="000000" w:themeColor="text1"/>
        </w:rPr>
        <w:t>acogene deza</w:t>
      </w:r>
      <w:r w:rsidR="10A67698" w:rsidRPr="5174EE7D">
        <w:rPr>
          <w:color w:val="000000" w:themeColor="text1"/>
        </w:rPr>
        <w:t>parvovec</w:t>
      </w:r>
      <w:r w:rsidRPr="5174EE7D">
        <w:rPr>
          <w:color w:val="000000" w:themeColor="text1"/>
        </w:rPr>
        <w:t xml:space="preserve">. MSAC considered there is a clinical need for </w:t>
      </w:r>
      <w:r w:rsidR="4034067C" w:rsidRPr="5174EE7D">
        <w:rPr>
          <w:color w:val="000000" w:themeColor="text1"/>
        </w:rPr>
        <w:t>a</w:t>
      </w:r>
      <w:r w:rsidRPr="5174EE7D">
        <w:rPr>
          <w:color w:val="000000" w:themeColor="text1"/>
        </w:rPr>
        <w:t xml:space="preserve"> subcutaneous treatment option for the HMB population.</w:t>
      </w:r>
    </w:p>
    <w:p w14:paraId="7992FEE3" w14:textId="6FB6338B" w:rsidR="00D36D7B" w:rsidRDefault="00D36D7B" w:rsidP="00A56E60">
      <w:pPr>
        <w:rPr>
          <w:color w:val="ED0000"/>
        </w:rPr>
      </w:pPr>
      <w:r>
        <w:t xml:space="preserve">MSAC advised the NBA to undertake </w:t>
      </w:r>
      <w:r w:rsidRPr="00843415">
        <w:t xml:space="preserve">an evaluation of existing haemophilia products </w:t>
      </w:r>
      <w:r w:rsidRPr="7FDE61AC">
        <w:t xml:space="preserve">that have not undergone a health technology assessment, </w:t>
      </w:r>
      <w:r w:rsidRPr="00843415">
        <w:t>to establish cost-effective</w:t>
      </w:r>
      <w:r>
        <w:t xml:space="preserve"> prices</w:t>
      </w:r>
      <w:r w:rsidRPr="7FDE61AC">
        <w:t xml:space="preserve">, </w:t>
      </w:r>
      <w:r>
        <w:t>as the cost-</w:t>
      </w:r>
      <w:r w:rsidRPr="7FDE61AC">
        <w:t>effectiveness</w:t>
      </w:r>
      <w:r>
        <w:t xml:space="preserve"> of </w:t>
      </w:r>
      <w:r w:rsidRPr="7FDE61AC">
        <w:t>these</w:t>
      </w:r>
      <w:r>
        <w:t xml:space="preserve"> products has not </w:t>
      </w:r>
      <w:r w:rsidRPr="7FDE61AC">
        <w:t xml:space="preserve">yet </w:t>
      </w:r>
      <w:r>
        <w:t>been</w:t>
      </w:r>
      <w:r w:rsidRPr="008F75FA">
        <w:t xml:space="preserve"> established</w:t>
      </w:r>
      <w:r>
        <w:t>.</w:t>
      </w:r>
    </w:p>
    <w:tbl>
      <w:tblPr>
        <w:tblStyle w:val="Section3-footno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03C49" w:rsidRPr="005B6EFD" w14:paraId="6A5A7E01" w14:textId="77777777" w:rsidTr="13FD8AF9">
        <w:trPr>
          <w:tblHeader/>
        </w:trPr>
        <w:tc>
          <w:tcPr>
            <w:tcW w:w="9016" w:type="dxa"/>
          </w:tcPr>
          <w:p w14:paraId="29FD02A0" w14:textId="77777777" w:rsidR="00D03C49" w:rsidRPr="005B6EFD" w:rsidRDefault="00D03C49">
            <w:pPr>
              <w:keepNext/>
              <w:keepLines/>
              <w:spacing w:before="40" w:after="40" w:line="259" w:lineRule="auto"/>
              <w:rPr>
                <w:rFonts w:eastAsia="Calibri"/>
                <w:b/>
                <w:bCs/>
              </w:rPr>
            </w:pPr>
            <w:r w:rsidRPr="005B6EFD">
              <w:rPr>
                <w:b/>
                <w:bCs/>
              </w:rPr>
              <w:t>Consumer summary</w:t>
            </w:r>
          </w:p>
        </w:tc>
      </w:tr>
      <w:tr w:rsidR="00D03C49" w:rsidRPr="005B6EFD" w14:paraId="41ED64C1" w14:textId="77777777" w:rsidTr="13FD8AF9">
        <w:tc>
          <w:tcPr>
            <w:tcW w:w="9016" w:type="dxa"/>
          </w:tcPr>
          <w:p w14:paraId="0F50182E" w14:textId="10E9E7EF" w:rsidR="00D764A9" w:rsidRPr="00D764A9" w:rsidRDefault="00D764A9" w:rsidP="00D764A9">
            <w:pPr>
              <w:rPr>
                <w:rFonts w:eastAsia="Calibri" w:cs="Times New Roman"/>
              </w:rPr>
            </w:pPr>
            <w:r w:rsidRPr="13FD8AF9">
              <w:rPr>
                <w:rFonts w:eastAsia="Calibri" w:cs="Times New Roman"/>
              </w:rPr>
              <w:t>This application from Novo Nordisk request</w:t>
            </w:r>
            <w:r w:rsidR="008F1E59" w:rsidRPr="13FD8AF9">
              <w:rPr>
                <w:rFonts w:eastAsia="Calibri" w:cs="Times New Roman"/>
              </w:rPr>
              <w:t>ed</w:t>
            </w:r>
            <w:r w:rsidRPr="13FD8AF9">
              <w:rPr>
                <w:rFonts w:eastAsia="Calibri" w:cs="Times New Roman"/>
              </w:rPr>
              <w:t xml:space="preserve"> </w:t>
            </w:r>
            <w:r w:rsidR="00E81A9A" w:rsidRPr="13FD8AF9">
              <w:rPr>
                <w:rFonts w:eastAsia="Calibri" w:cs="Times New Roman"/>
              </w:rPr>
              <w:t>funding</w:t>
            </w:r>
            <w:r w:rsidRPr="13FD8AF9">
              <w:rPr>
                <w:rFonts w:eastAsia="Calibri" w:cs="Times New Roman"/>
              </w:rPr>
              <w:t xml:space="preserve"> </w:t>
            </w:r>
            <w:r w:rsidR="00E81A9A" w:rsidRPr="13FD8AF9">
              <w:rPr>
                <w:rFonts w:eastAsia="Calibri" w:cs="Times New Roman"/>
              </w:rPr>
              <w:t>for</w:t>
            </w:r>
            <w:r w:rsidRPr="13FD8AF9">
              <w:rPr>
                <w:rFonts w:eastAsia="Calibri" w:cs="Times New Roman"/>
              </w:rPr>
              <w:t xml:space="preserve"> concizumab </w:t>
            </w:r>
            <w:r w:rsidR="00DE6A3F">
              <w:t xml:space="preserve">for patients ≥12 years of age </w:t>
            </w:r>
            <w:r w:rsidR="00FD6498">
              <w:t xml:space="preserve">with either congenital haemophilia B without inhibitors or haemophilia B with inhibitors </w:t>
            </w:r>
            <w:r w:rsidR="00DD03C0">
              <w:t>who requir</w:t>
            </w:r>
            <w:r w:rsidR="008B494F">
              <w:t>e</w:t>
            </w:r>
            <w:r w:rsidR="00DD03C0">
              <w:t xml:space="preserve"> preventative treatment </w:t>
            </w:r>
            <w:r w:rsidR="00254186">
              <w:t>(prophylaxis)</w:t>
            </w:r>
            <w:r w:rsidR="00DE6A3F">
              <w:t>.</w:t>
            </w:r>
            <w:r w:rsidR="00950631">
              <w:t xml:space="preserve"> The application requested </w:t>
            </w:r>
            <w:r w:rsidR="00100A03">
              <w:t>funding through</w:t>
            </w:r>
            <w:r w:rsidR="00950631">
              <w:t xml:space="preserve"> the National Blood Authority’s (NBA’s) National Product Price List (NPPL)</w:t>
            </w:r>
            <w:r w:rsidR="00100A03">
              <w:t xml:space="preserve">. </w:t>
            </w:r>
          </w:p>
          <w:p w14:paraId="0EBC507E" w14:textId="5DD3302D" w:rsidR="00D764A9" w:rsidRPr="00D764A9" w:rsidRDefault="383BA744" w:rsidP="5174EE7D">
            <w:pPr>
              <w:rPr>
                <w:rFonts w:eastAsia="Calibri" w:cs="Times New Roman"/>
              </w:rPr>
            </w:pPr>
            <w:r w:rsidRPr="5174EE7D">
              <w:rPr>
                <w:rFonts w:eastAsia="Calibri" w:cs="Times New Roman"/>
              </w:rPr>
              <w:t>H</w:t>
            </w:r>
            <w:r w:rsidR="38FBAFFB" w:rsidRPr="5174EE7D">
              <w:rPr>
                <w:rFonts w:eastAsia="Calibri" w:cs="Times New Roman"/>
              </w:rPr>
              <w:t xml:space="preserve">aemophilia </w:t>
            </w:r>
            <w:r w:rsidRPr="5174EE7D">
              <w:rPr>
                <w:rFonts w:eastAsia="Calibri" w:cs="Times New Roman"/>
              </w:rPr>
              <w:t>B is a rare genetic bleeding condition in which a person’s blood does not clot properly</w:t>
            </w:r>
            <w:r w:rsidR="45C22DCB" w:rsidRPr="5174EE7D">
              <w:rPr>
                <w:rFonts w:eastAsia="Calibri" w:cs="Times New Roman"/>
              </w:rPr>
              <w:t xml:space="preserve"> due to </w:t>
            </w:r>
            <w:r w:rsidRPr="5174EE7D">
              <w:rPr>
                <w:rFonts w:eastAsia="Calibri" w:cs="Times New Roman"/>
              </w:rPr>
              <w:t xml:space="preserve">low levels of </w:t>
            </w:r>
            <w:r w:rsidR="66D53420" w:rsidRPr="5174EE7D">
              <w:rPr>
                <w:rFonts w:eastAsia="Calibri" w:cs="Times New Roman"/>
              </w:rPr>
              <w:t>F</w:t>
            </w:r>
            <w:r w:rsidRPr="5174EE7D">
              <w:rPr>
                <w:rFonts w:eastAsia="Calibri" w:cs="Times New Roman"/>
              </w:rPr>
              <w:t>actor IX</w:t>
            </w:r>
            <w:r w:rsidR="5B55CEE7" w:rsidRPr="5174EE7D">
              <w:rPr>
                <w:rFonts w:eastAsia="Calibri" w:cs="Times New Roman"/>
              </w:rPr>
              <w:t xml:space="preserve"> (9)</w:t>
            </w:r>
            <w:r w:rsidRPr="5174EE7D">
              <w:rPr>
                <w:rFonts w:eastAsia="Calibri" w:cs="Times New Roman"/>
              </w:rPr>
              <w:t xml:space="preserve">, a blood clotting protein. </w:t>
            </w:r>
            <w:r w:rsidR="068A5D1D" w:rsidRPr="5174EE7D">
              <w:rPr>
                <w:rFonts w:eastAsia="Calibri" w:cs="Times New Roman"/>
              </w:rPr>
              <w:t>This can lead to prolonged bleeding and</w:t>
            </w:r>
            <w:r w:rsidR="697A0566" w:rsidRPr="5174EE7D">
              <w:rPr>
                <w:rFonts w:eastAsia="Calibri" w:cs="Times New Roman"/>
              </w:rPr>
              <w:t xml:space="preserve"> </w:t>
            </w:r>
            <w:r w:rsidR="56E2B651" w:rsidRPr="5174EE7D">
              <w:rPr>
                <w:rFonts w:eastAsia="Calibri" w:cs="Times New Roman"/>
              </w:rPr>
              <w:t>spontaneous</w:t>
            </w:r>
            <w:r w:rsidR="697A0566" w:rsidRPr="5174EE7D">
              <w:rPr>
                <w:rFonts w:eastAsia="Calibri" w:cs="Times New Roman"/>
              </w:rPr>
              <w:t xml:space="preserve"> bleeding into</w:t>
            </w:r>
            <w:r w:rsidR="30161AC8" w:rsidRPr="5174EE7D">
              <w:rPr>
                <w:rFonts w:eastAsia="Calibri" w:cs="Times New Roman"/>
              </w:rPr>
              <w:t xml:space="preserve"> joints and muscles, which can cause </w:t>
            </w:r>
            <w:r w:rsidR="56E2B651" w:rsidRPr="5174EE7D">
              <w:rPr>
                <w:rFonts w:eastAsia="Calibri" w:cs="Times New Roman"/>
              </w:rPr>
              <w:t xml:space="preserve">pain and long-term damage. </w:t>
            </w:r>
          </w:p>
          <w:p w14:paraId="6968A998" w14:textId="2093B22E" w:rsidR="00D764A9" w:rsidRPr="00D764A9" w:rsidRDefault="471CCE3C" w:rsidP="5174EE7D">
            <w:pPr>
              <w:rPr>
                <w:rFonts w:eastAsia="Calibri" w:cs="Times New Roman"/>
              </w:rPr>
            </w:pPr>
            <w:r w:rsidRPr="13FD8AF9">
              <w:rPr>
                <w:rFonts w:eastAsia="Calibri" w:cs="Times New Roman"/>
              </w:rPr>
              <w:t>H</w:t>
            </w:r>
            <w:r w:rsidR="74C488D2" w:rsidRPr="13FD8AF9">
              <w:rPr>
                <w:rFonts w:eastAsia="Calibri" w:cs="Times New Roman"/>
              </w:rPr>
              <w:t xml:space="preserve">aemophilia </w:t>
            </w:r>
            <w:r w:rsidR="383BA744" w:rsidRPr="13FD8AF9">
              <w:rPr>
                <w:rFonts w:eastAsia="Calibri" w:cs="Times New Roman"/>
              </w:rPr>
              <w:t xml:space="preserve">B is usually treated by </w:t>
            </w:r>
            <w:r w:rsidR="008C6F92">
              <w:rPr>
                <w:rFonts w:eastAsia="Calibri" w:cs="Times New Roman"/>
              </w:rPr>
              <w:t xml:space="preserve">administering </w:t>
            </w:r>
            <w:r w:rsidR="004F7C5D">
              <w:rPr>
                <w:rFonts w:eastAsia="Calibri" w:cs="Times New Roman"/>
              </w:rPr>
              <w:t>infusions</w:t>
            </w:r>
            <w:r w:rsidR="50434174" w:rsidRPr="13FD8AF9">
              <w:rPr>
                <w:rFonts w:eastAsia="Calibri" w:cs="Times New Roman"/>
              </w:rPr>
              <w:t xml:space="preserve"> of </w:t>
            </w:r>
            <w:r w:rsidR="1859ACBA" w:rsidRPr="13FD8AF9">
              <w:rPr>
                <w:rFonts w:eastAsia="Calibri" w:cs="Times New Roman"/>
              </w:rPr>
              <w:t>F</w:t>
            </w:r>
            <w:r w:rsidR="5BF52314" w:rsidRPr="13FD8AF9">
              <w:rPr>
                <w:rFonts w:eastAsia="Calibri" w:cs="Times New Roman"/>
              </w:rPr>
              <w:t xml:space="preserve">actor </w:t>
            </w:r>
            <w:r w:rsidR="30C927B3" w:rsidRPr="13FD8AF9">
              <w:rPr>
                <w:rFonts w:eastAsia="Calibri" w:cs="Times New Roman"/>
              </w:rPr>
              <w:t>IX</w:t>
            </w:r>
            <w:r w:rsidR="00872649">
              <w:rPr>
                <w:rFonts w:eastAsia="Calibri" w:cs="Times New Roman"/>
              </w:rPr>
              <w:t xml:space="preserve"> </w:t>
            </w:r>
            <w:r w:rsidR="00432ACF" w:rsidRPr="13FD8AF9">
              <w:rPr>
                <w:rFonts w:eastAsia="Calibri" w:cs="Times New Roman"/>
              </w:rPr>
              <w:t>replacement therap</w:t>
            </w:r>
            <w:r w:rsidR="00432ACF">
              <w:rPr>
                <w:rFonts w:eastAsia="Calibri" w:cs="Times New Roman"/>
              </w:rPr>
              <w:t xml:space="preserve">y </w:t>
            </w:r>
            <w:r w:rsidR="00872649">
              <w:rPr>
                <w:rFonts w:eastAsia="Calibri" w:cs="Times New Roman"/>
              </w:rPr>
              <w:t>into a vein (</w:t>
            </w:r>
            <w:r w:rsidR="00872649" w:rsidRPr="13FD8AF9">
              <w:rPr>
                <w:rFonts w:eastAsia="Calibri" w:cs="Times New Roman"/>
              </w:rPr>
              <w:t>intravenous</w:t>
            </w:r>
            <w:r w:rsidR="001D47CF">
              <w:rPr>
                <w:rFonts w:eastAsia="Calibri" w:cs="Times New Roman"/>
              </w:rPr>
              <w:t>ly</w:t>
            </w:r>
            <w:r w:rsidR="00872649">
              <w:rPr>
                <w:rFonts w:eastAsia="Calibri" w:cs="Times New Roman"/>
              </w:rPr>
              <w:t>)</w:t>
            </w:r>
            <w:r w:rsidR="387E5F16" w:rsidRPr="13FD8AF9">
              <w:rPr>
                <w:rFonts w:eastAsia="Calibri" w:cs="Times New Roman"/>
              </w:rPr>
              <w:t xml:space="preserve">. This is given </w:t>
            </w:r>
            <w:r w:rsidR="7CDDE3D3" w:rsidRPr="13FD8AF9">
              <w:rPr>
                <w:rFonts w:eastAsia="Calibri" w:cs="Times New Roman"/>
              </w:rPr>
              <w:t>either</w:t>
            </w:r>
            <w:r w:rsidR="387E5F16" w:rsidRPr="13FD8AF9">
              <w:rPr>
                <w:rFonts w:eastAsia="Calibri" w:cs="Times New Roman"/>
              </w:rPr>
              <w:t xml:space="preserve"> </w:t>
            </w:r>
            <w:r w:rsidR="2D285391" w:rsidRPr="13FD8AF9">
              <w:rPr>
                <w:rFonts w:eastAsia="Calibri" w:cs="Times New Roman"/>
              </w:rPr>
              <w:t>regularly</w:t>
            </w:r>
            <w:r w:rsidR="387E5F16" w:rsidRPr="13FD8AF9">
              <w:rPr>
                <w:rFonts w:eastAsia="Calibri" w:cs="Times New Roman"/>
              </w:rPr>
              <w:t xml:space="preserve"> (prophylaxis) </w:t>
            </w:r>
            <w:r w:rsidR="78D04441" w:rsidRPr="13FD8AF9">
              <w:rPr>
                <w:rFonts w:eastAsia="Calibri" w:cs="Times New Roman"/>
              </w:rPr>
              <w:t xml:space="preserve">or on-demand </w:t>
            </w:r>
            <w:r w:rsidR="5BEB105D" w:rsidRPr="13FD8AF9">
              <w:rPr>
                <w:rFonts w:eastAsia="Calibri" w:cs="Times New Roman"/>
              </w:rPr>
              <w:t xml:space="preserve">(as needed) </w:t>
            </w:r>
            <w:r w:rsidR="387E5F16" w:rsidRPr="13FD8AF9">
              <w:rPr>
                <w:rFonts w:eastAsia="Calibri" w:cs="Times New Roman"/>
              </w:rPr>
              <w:t xml:space="preserve">or </w:t>
            </w:r>
            <w:r w:rsidR="5DF91CE5" w:rsidRPr="13FD8AF9">
              <w:rPr>
                <w:rFonts w:eastAsia="Calibri" w:cs="Times New Roman"/>
              </w:rPr>
              <w:t xml:space="preserve">as </w:t>
            </w:r>
            <w:r w:rsidR="78D04441" w:rsidRPr="13FD8AF9">
              <w:rPr>
                <w:rFonts w:eastAsia="Calibri" w:cs="Times New Roman"/>
              </w:rPr>
              <w:t>treatment when bleeding occurs</w:t>
            </w:r>
            <w:r w:rsidR="1AA5F188" w:rsidRPr="13FD8AF9">
              <w:rPr>
                <w:rFonts w:eastAsia="Calibri" w:cs="Times New Roman"/>
              </w:rPr>
              <w:t xml:space="preserve">. </w:t>
            </w:r>
            <w:r w:rsidR="383BA744" w:rsidRPr="13FD8AF9">
              <w:rPr>
                <w:rFonts w:eastAsia="Calibri" w:cs="Times New Roman"/>
              </w:rPr>
              <w:t xml:space="preserve">However, </w:t>
            </w:r>
            <w:r w:rsidR="49955689" w:rsidRPr="13FD8AF9">
              <w:rPr>
                <w:rFonts w:eastAsia="Calibri" w:cs="Times New Roman"/>
              </w:rPr>
              <w:t xml:space="preserve">a very small number of </w:t>
            </w:r>
            <w:r w:rsidR="00742CB0" w:rsidRPr="13FD8AF9">
              <w:rPr>
                <w:rFonts w:eastAsia="Calibri" w:cs="Times New Roman"/>
              </w:rPr>
              <w:t xml:space="preserve">patients with </w:t>
            </w:r>
            <w:r w:rsidR="774E47E9" w:rsidRPr="13FD8AF9">
              <w:rPr>
                <w:rFonts w:eastAsia="Calibri" w:cs="Times New Roman"/>
              </w:rPr>
              <w:t xml:space="preserve">haemophilia </w:t>
            </w:r>
            <w:r w:rsidR="13536797" w:rsidRPr="13FD8AF9">
              <w:rPr>
                <w:rFonts w:eastAsia="Calibri" w:cs="Times New Roman"/>
              </w:rPr>
              <w:t xml:space="preserve">B </w:t>
            </w:r>
            <w:r w:rsidR="5E1D653A" w:rsidRPr="13FD8AF9">
              <w:rPr>
                <w:rFonts w:eastAsia="Calibri" w:cs="Times New Roman"/>
              </w:rPr>
              <w:t>develop</w:t>
            </w:r>
            <w:r w:rsidR="383BA744" w:rsidRPr="13FD8AF9">
              <w:rPr>
                <w:rFonts w:eastAsia="Calibri" w:cs="Times New Roman"/>
              </w:rPr>
              <w:t xml:space="preserve"> </w:t>
            </w:r>
            <w:r w:rsidR="56CBFED5" w:rsidRPr="13FD8AF9">
              <w:rPr>
                <w:rFonts w:eastAsia="Calibri" w:cs="Times New Roman"/>
              </w:rPr>
              <w:t>inhibitors</w:t>
            </w:r>
            <w:r w:rsidR="0DA64D34" w:rsidRPr="13FD8AF9">
              <w:rPr>
                <w:rFonts w:eastAsia="Calibri" w:cs="Times New Roman"/>
              </w:rPr>
              <w:t xml:space="preserve">. This is </w:t>
            </w:r>
            <w:r w:rsidR="5E1D653A" w:rsidRPr="13FD8AF9">
              <w:rPr>
                <w:rFonts w:eastAsia="Calibri" w:cs="Times New Roman"/>
              </w:rPr>
              <w:t>where the</w:t>
            </w:r>
            <w:r w:rsidR="5EA8E28D" w:rsidRPr="13FD8AF9">
              <w:rPr>
                <w:rFonts w:eastAsia="Calibri" w:cs="Times New Roman"/>
              </w:rPr>
              <w:t>ir</w:t>
            </w:r>
            <w:r w:rsidR="5E1D653A" w:rsidRPr="13FD8AF9">
              <w:rPr>
                <w:rFonts w:eastAsia="Calibri" w:cs="Times New Roman"/>
              </w:rPr>
              <w:t xml:space="preserve"> </w:t>
            </w:r>
            <w:r w:rsidR="383BA744" w:rsidRPr="13FD8AF9">
              <w:rPr>
                <w:rFonts w:eastAsia="Calibri" w:cs="Times New Roman"/>
              </w:rPr>
              <w:t>immune system</w:t>
            </w:r>
            <w:r w:rsidR="643CA89C" w:rsidRPr="13FD8AF9">
              <w:rPr>
                <w:rFonts w:eastAsia="Calibri" w:cs="Times New Roman"/>
              </w:rPr>
              <w:t>s</w:t>
            </w:r>
            <w:r w:rsidR="383BA744" w:rsidRPr="13FD8AF9">
              <w:rPr>
                <w:rFonts w:eastAsia="Calibri" w:cs="Times New Roman"/>
              </w:rPr>
              <w:t xml:space="preserve"> produc</w:t>
            </w:r>
            <w:r w:rsidR="5E1D653A" w:rsidRPr="13FD8AF9">
              <w:rPr>
                <w:rFonts w:eastAsia="Calibri" w:cs="Times New Roman"/>
              </w:rPr>
              <w:t>e</w:t>
            </w:r>
            <w:r w:rsidR="383BA744" w:rsidRPr="13FD8AF9">
              <w:rPr>
                <w:rFonts w:eastAsia="Calibri" w:cs="Times New Roman"/>
              </w:rPr>
              <w:t xml:space="preserve"> antibodies that target the replacement </w:t>
            </w:r>
            <w:r w:rsidR="0D3E37B0" w:rsidRPr="13FD8AF9">
              <w:rPr>
                <w:rFonts w:eastAsia="Calibri" w:cs="Times New Roman"/>
              </w:rPr>
              <w:t>F</w:t>
            </w:r>
            <w:r w:rsidR="60653934" w:rsidRPr="13FD8AF9">
              <w:rPr>
                <w:rFonts w:eastAsia="Calibri" w:cs="Times New Roman"/>
              </w:rPr>
              <w:t xml:space="preserve">actor </w:t>
            </w:r>
            <w:r w:rsidR="6BEC8EC5" w:rsidRPr="13FD8AF9">
              <w:rPr>
                <w:rFonts w:eastAsia="Calibri" w:cs="Times New Roman"/>
              </w:rPr>
              <w:t>IX</w:t>
            </w:r>
            <w:r w:rsidR="383BA744" w:rsidRPr="13FD8AF9">
              <w:rPr>
                <w:rFonts w:eastAsia="Calibri" w:cs="Times New Roman"/>
              </w:rPr>
              <w:t xml:space="preserve"> and </w:t>
            </w:r>
            <w:r w:rsidR="29EC1E89" w:rsidRPr="13FD8AF9">
              <w:rPr>
                <w:rFonts w:eastAsia="Calibri" w:cs="Times New Roman"/>
              </w:rPr>
              <w:t>stop it</w:t>
            </w:r>
            <w:r w:rsidR="383BA744" w:rsidRPr="13FD8AF9">
              <w:rPr>
                <w:rFonts w:eastAsia="Calibri" w:cs="Times New Roman"/>
              </w:rPr>
              <w:t xml:space="preserve"> from working. Currently, the only treatment option for </w:t>
            </w:r>
            <w:r w:rsidR="0CE519BE" w:rsidRPr="13FD8AF9">
              <w:rPr>
                <w:rFonts w:eastAsia="Calibri" w:cs="Times New Roman"/>
              </w:rPr>
              <w:t>haemophilia B with inhibitors</w:t>
            </w:r>
            <w:r w:rsidR="2D3BA51A" w:rsidRPr="13FD8AF9">
              <w:rPr>
                <w:rFonts w:eastAsia="Calibri" w:cs="Times New Roman"/>
              </w:rPr>
              <w:t xml:space="preserve"> patients</w:t>
            </w:r>
            <w:r w:rsidR="383BA744" w:rsidRPr="13FD8AF9">
              <w:rPr>
                <w:rFonts w:eastAsia="Calibri" w:cs="Times New Roman"/>
              </w:rPr>
              <w:t xml:space="preserve"> is on-demand </w:t>
            </w:r>
            <w:r w:rsidR="476AB39E" w:rsidRPr="13FD8AF9">
              <w:rPr>
                <w:rFonts w:eastAsia="Calibri" w:cs="Times New Roman"/>
              </w:rPr>
              <w:t>intravenous administration</w:t>
            </w:r>
            <w:r w:rsidR="383BA744" w:rsidRPr="13FD8AF9">
              <w:rPr>
                <w:rFonts w:eastAsia="Calibri" w:cs="Times New Roman"/>
              </w:rPr>
              <w:t xml:space="preserve"> of bypassing agent</w:t>
            </w:r>
            <w:r w:rsidR="1F442695" w:rsidRPr="13FD8AF9">
              <w:rPr>
                <w:rFonts w:eastAsia="Calibri" w:cs="Times New Roman"/>
              </w:rPr>
              <w:t xml:space="preserve"> </w:t>
            </w:r>
            <w:r w:rsidR="6C12F0DA" w:rsidRPr="13FD8AF9">
              <w:rPr>
                <w:rFonts w:eastAsia="Calibri" w:cs="Times New Roman"/>
              </w:rPr>
              <w:t>NovoSeven RT</w:t>
            </w:r>
            <w:r w:rsidR="55F3ABBA" w:rsidRPr="13FD8AF9">
              <w:rPr>
                <w:rFonts w:eastAsia="Calibri" w:cs="Times New Roman"/>
              </w:rPr>
              <w:t>.</w:t>
            </w:r>
            <w:r w:rsidR="5E95191A" w:rsidRPr="13FD8AF9">
              <w:rPr>
                <w:rFonts w:eastAsia="Calibri" w:cs="Times New Roman"/>
              </w:rPr>
              <w:t xml:space="preserve"> </w:t>
            </w:r>
            <w:r w:rsidR="0BE9C809" w:rsidRPr="13FD8AF9">
              <w:rPr>
                <w:rFonts w:eastAsia="Calibri" w:cs="Times New Roman"/>
              </w:rPr>
              <w:t>It</w:t>
            </w:r>
            <w:r w:rsidR="5E95191A" w:rsidRPr="13FD8AF9">
              <w:rPr>
                <w:rFonts w:eastAsia="Calibri" w:cs="Times New Roman"/>
              </w:rPr>
              <w:t xml:space="preserve"> </w:t>
            </w:r>
            <w:r w:rsidR="077D425B">
              <w:t xml:space="preserve">can only be used for prophylaxis </w:t>
            </w:r>
            <w:r w:rsidR="5DC2232B">
              <w:t xml:space="preserve">short-term </w:t>
            </w:r>
            <w:r w:rsidR="05061526">
              <w:t>fo</w:t>
            </w:r>
            <w:r w:rsidR="22D1E565">
              <w:t>r</w:t>
            </w:r>
            <w:r w:rsidR="077D425B">
              <w:t xml:space="preserve"> up to 3</w:t>
            </w:r>
            <w:r w:rsidR="0020574A">
              <w:t> </w:t>
            </w:r>
            <w:r w:rsidR="077D425B">
              <w:t>months at a time</w:t>
            </w:r>
            <w:r w:rsidR="7CDDE3D3">
              <w:t xml:space="preserve"> (</w:t>
            </w:r>
            <w:r w:rsidR="7181BA89">
              <w:t>e.g.</w:t>
            </w:r>
            <w:r w:rsidR="7CDDE3D3">
              <w:t xml:space="preserve"> around the time of surgery)</w:t>
            </w:r>
            <w:r w:rsidR="72EB1616">
              <w:t xml:space="preserve"> or to treat bleeds</w:t>
            </w:r>
            <w:r w:rsidR="1CC6CBE7">
              <w:t xml:space="preserve">. </w:t>
            </w:r>
          </w:p>
          <w:p w14:paraId="6F3F126B" w14:textId="750DCBAF" w:rsidR="00D764A9" w:rsidRPr="00D764A9" w:rsidRDefault="2E14A25A" w:rsidP="5174EE7D">
            <w:pPr>
              <w:rPr>
                <w:rFonts w:eastAsia="Calibri" w:cs="Times New Roman"/>
              </w:rPr>
            </w:pPr>
            <w:r w:rsidRPr="07BA124B">
              <w:rPr>
                <w:rFonts w:eastAsia="Calibri" w:cs="Times New Roman"/>
              </w:rPr>
              <w:t>C</w:t>
            </w:r>
            <w:r w:rsidR="2B537737" w:rsidRPr="07BA124B">
              <w:rPr>
                <w:rFonts w:eastAsia="Calibri" w:cs="Times New Roman"/>
              </w:rPr>
              <w:t>oncizumab</w:t>
            </w:r>
            <w:r w:rsidR="11993C60" w:rsidRPr="07BA124B">
              <w:rPr>
                <w:rFonts w:eastAsia="Calibri" w:cs="Times New Roman"/>
              </w:rPr>
              <w:t xml:space="preserve"> is </w:t>
            </w:r>
            <w:r w:rsidR="2B537737" w:rsidRPr="07BA124B">
              <w:rPr>
                <w:rFonts w:eastAsia="Calibri" w:cs="Times New Roman"/>
              </w:rPr>
              <w:t xml:space="preserve">a prophylactic </w:t>
            </w:r>
            <w:r w:rsidR="1B849675" w:rsidRPr="07BA124B">
              <w:rPr>
                <w:rFonts w:eastAsia="Calibri" w:cs="Times New Roman"/>
              </w:rPr>
              <w:t xml:space="preserve">treatment </w:t>
            </w:r>
            <w:r w:rsidR="1EA4B1D0" w:rsidRPr="07BA124B">
              <w:rPr>
                <w:rFonts w:eastAsia="Calibri" w:cs="Times New Roman"/>
              </w:rPr>
              <w:t xml:space="preserve">given daily </w:t>
            </w:r>
            <w:r w:rsidR="1B849675" w:rsidRPr="07BA124B">
              <w:rPr>
                <w:rFonts w:eastAsia="Calibri" w:cs="Times New Roman"/>
              </w:rPr>
              <w:t xml:space="preserve">via </w:t>
            </w:r>
            <w:r w:rsidR="078AFA92" w:rsidRPr="07BA124B">
              <w:rPr>
                <w:rFonts w:eastAsia="Calibri" w:cs="Times New Roman"/>
              </w:rPr>
              <w:t xml:space="preserve">small injections </w:t>
            </w:r>
            <w:r w:rsidR="0D813C21" w:rsidRPr="07BA124B">
              <w:rPr>
                <w:rFonts w:eastAsia="Calibri" w:cs="Times New Roman"/>
              </w:rPr>
              <w:t xml:space="preserve">into the </w:t>
            </w:r>
            <w:r w:rsidR="788522C5" w:rsidRPr="07BA124B">
              <w:rPr>
                <w:rFonts w:eastAsia="Calibri" w:cs="Times New Roman"/>
              </w:rPr>
              <w:t>tissue just</w:t>
            </w:r>
            <w:r w:rsidR="0D813C21" w:rsidRPr="07BA124B">
              <w:rPr>
                <w:rFonts w:eastAsia="Calibri" w:cs="Times New Roman"/>
              </w:rPr>
              <w:t xml:space="preserve"> </w:t>
            </w:r>
            <w:r w:rsidR="078AFA92" w:rsidRPr="07BA124B">
              <w:rPr>
                <w:rFonts w:eastAsia="Calibri" w:cs="Times New Roman"/>
              </w:rPr>
              <w:t>under the skin (</w:t>
            </w:r>
            <w:r w:rsidR="2B537737" w:rsidRPr="07BA124B">
              <w:rPr>
                <w:rFonts w:eastAsia="Calibri" w:cs="Times New Roman"/>
              </w:rPr>
              <w:t>subcutaneous</w:t>
            </w:r>
            <w:r w:rsidR="304EE3DC" w:rsidRPr="07BA124B">
              <w:rPr>
                <w:rFonts w:eastAsia="Calibri" w:cs="Times New Roman"/>
              </w:rPr>
              <w:t>)</w:t>
            </w:r>
            <w:r w:rsidR="2B537737" w:rsidRPr="07BA124B">
              <w:rPr>
                <w:rFonts w:eastAsia="Calibri" w:cs="Times New Roman"/>
              </w:rPr>
              <w:t xml:space="preserve"> </w:t>
            </w:r>
            <w:r w:rsidR="4397DFBD" w:rsidRPr="07BA124B">
              <w:rPr>
                <w:rFonts w:eastAsia="Calibri" w:cs="Times New Roman"/>
              </w:rPr>
              <w:t>that can be self</w:t>
            </w:r>
            <w:r w:rsidR="23F9D012" w:rsidRPr="07BA124B">
              <w:rPr>
                <w:rFonts w:eastAsia="Calibri" w:cs="Times New Roman"/>
              </w:rPr>
              <w:t>-</w:t>
            </w:r>
            <w:r w:rsidR="4397DFBD" w:rsidRPr="07BA124B">
              <w:rPr>
                <w:rFonts w:eastAsia="Calibri" w:cs="Times New Roman"/>
              </w:rPr>
              <w:t>administered</w:t>
            </w:r>
            <w:r w:rsidR="2B537737" w:rsidRPr="07BA124B">
              <w:rPr>
                <w:rFonts w:eastAsia="Calibri" w:cs="Times New Roman"/>
              </w:rPr>
              <w:t xml:space="preserve">. It </w:t>
            </w:r>
            <w:r w:rsidR="467D5E52" w:rsidRPr="07BA124B">
              <w:rPr>
                <w:rFonts w:eastAsia="Calibri" w:cs="Times New Roman"/>
              </w:rPr>
              <w:t>works different</w:t>
            </w:r>
            <w:r w:rsidR="42B7DF13" w:rsidRPr="07BA124B">
              <w:rPr>
                <w:rFonts w:eastAsia="Calibri" w:cs="Times New Roman"/>
              </w:rPr>
              <w:t>ly</w:t>
            </w:r>
            <w:r w:rsidR="467D5E52" w:rsidRPr="07BA124B">
              <w:rPr>
                <w:rFonts w:eastAsia="Calibri" w:cs="Times New Roman"/>
              </w:rPr>
              <w:t xml:space="preserve"> from factor replacement therapies by</w:t>
            </w:r>
            <w:r w:rsidR="2B537737" w:rsidRPr="07BA124B">
              <w:rPr>
                <w:rFonts w:eastAsia="Calibri" w:cs="Times New Roman"/>
              </w:rPr>
              <w:t xml:space="preserve"> activating the production of another blood clotting protein, </w:t>
            </w:r>
            <w:r w:rsidR="1EEF5F42" w:rsidRPr="07BA124B">
              <w:rPr>
                <w:rFonts w:eastAsia="Calibri" w:cs="Times New Roman"/>
              </w:rPr>
              <w:t>F</w:t>
            </w:r>
            <w:r w:rsidR="2B537737" w:rsidRPr="07BA124B">
              <w:rPr>
                <w:rFonts w:eastAsia="Calibri" w:cs="Times New Roman"/>
              </w:rPr>
              <w:t xml:space="preserve">actor X (10). Because concizumab acts on </w:t>
            </w:r>
            <w:r w:rsidR="0B7D0C65" w:rsidRPr="07BA124B">
              <w:rPr>
                <w:rFonts w:eastAsia="Calibri" w:cs="Times New Roman"/>
              </w:rPr>
              <w:t>F</w:t>
            </w:r>
            <w:r w:rsidR="2B537737" w:rsidRPr="07BA124B">
              <w:rPr>
                <w:rFonts w:eastAsia="Calibri" w:cs="Times New Roman"/>
              </w:rPr>
              <w:t xml:space="preserve">actor X (not </w:t>
            </w:r>
            <w:r w:rsidR="2F260DCE" w:rsidRPr="07BA124B">
              <w:rPr>
                <w:rFonts w:eastAsia="Calibri" w:cs="Times New Roman"/>
              </w:rPr>
              <w:t>F</w:t>
            </w:r>
            <w:r w:rsidR="79C9C428" w:rsidRPr="07BA124B">
              <w:rPr>
                <w:rFonts w:eastAsia="Calibri" w:cs="Times New Roman"/>
              </w:rPr>
              <w:t xml:space="preserve">actor </w:t>
            </w:r>
            <w:r w:rsidR="3A294538" w:rsidRPr="07BA124B">
              <w:rPr>
                <w:rFonts w:eastAsia="Calibri" w:cs="Times New Roman"/>
              </w:rPr>
              <w:t>IX</w:t>
            </w:r>
            <w:r w:rsidR="2B537737" w:rsidRPr="07BA124B">
              <w:rPr>
                <w:rFonts w:eastAsia="Calibri" w:cs="Times New Roman"/>
              </w:rPr>
              <w:t xml:space="preserve">) and is not a factor replacement </w:t>
            </w:r>
            <w:r w:rsidR="42648EB7" w:rsidRPr="07BA124B">
              <w:rPr>
                <w:rFonts w:eastAsia="Calibri" w:cs="Times New Roman"/>
              </w:rPr>
              <w:t>therapy</w:t>
            </w:r>
            <w:r w:rsidR="2B537737" w:rsidRPr="07BA124B">
              <w:rPr>
                <w:rFonts w:eastAsia="Calibri" w:cs="Times New Roman"/>
              </w:rPr>
              <w:t>, it may be use</w:t>
            </w:r>
            <w:r w:rsidR="3A294538" w:rsidRPr="07BA124B">
              <w:rPr>
                <w:rFonts w:eastAsia="Calibri" w:cs="Times New Roman"/>
              </w:rPr>
              <w:t xml:space="preserve">d </w:t>
            </w:r>
            <w:r w:rsidR="3880CB60" w:rsidRPr="07BA124B">
              <w:rPr>
                <w:rFonts w:eastAsia="Calibri" w:cs="Times New Roman"/>
              </w:rPr>
              <w:t>to treat</w:t>
            </w:r>
            <w:r w:rsidR="2B537737" w:rsidRPr="07BA124B">
              <w:rPr>
                <w:rFonts w:eastAsia="Calibri" w:cs="Times New Roman"/>
              </w:rPr>
              <w:t xml:space="preserve"> </w:t>
            </w:r>
            <w:r w:rsidR="3A294538" w:rsidRPr="07BA124B">
              <w:rPr>
                <w:rFonts w:eastAsia="Calibri" w:cs="Times New Roman"/>
              </w:rPr>
              <w:t xml:space="preserve">patients </w:t>
            </w:r>
            <w:r w:rsidR="2B537737" w:rsidRPr="07BA124B">
              <w:rPr>
                <w:rFonts w:eastAsia="Calibri" w:cs="Times New Roman"/>
              </w:rPr>
              <w:t>with</w:t>
            </w:r>
            <w:r w:rsidR="23D8C43F" w:rsidRPr="07BA124B">
              <w:rPr>
                <w:rFonts w:eastAsia="Calibri" w:cs="Times New Roman"/>
              </w:rPr>
              <w:t xml:space="preserve"> </w:t>
            </w:r>
            <w:r w:rsidR="5302AAD7" w:rsidRPr="07BA124B">
              <w:rPr>
                <w:rFonts w:eastAsia="Calibri" w:cs="Times New Roman"/>
              </w:rPr>
              <w:t xml:space="preserve">haemophilia </w:t>
            </w:r>
            <w:r w:rsidR="3A294538" w:rsidRPr="07BA124B">
              <w:rPr>
                <w:rFonts w:eastAsia="Calibri" w:cs="Times New Roman"/>
              </w:rPr>
              <w:t xml:space="preserve">B </w:t>
            </w:r>
            <w:r w:rsidR="691AEB38" w:rsidRPr="07BA124B">
              <w:rPr>
                <w:rFonts w:eastAsia="Calibri" w:cs="Times New Roman"/>
              </w:rPr>
              <w:t xml:space="preserve">either </w:t>
            </w:r>
            <w:r w:rsidR="44CE29E7" w:rsidRPr="07BA124B">
              <w:rPr>
                <w:rFonts w:eastAsia="Calibri" w:cs="Times New Roman"/>
              </w:rPr>
              <w:t xml:space="preserve">with </w:t>
            </w:r>
            <w:r w:rsidR="3A294538" w:rsidRPr="07BA124B">
              <w:rPr>
                <w:rFonts w:eastAsia="Calibri" w:cs="Times New Roman"/>
              </w:rPr>
              <w:t>or</w:t>
            </w:r>
            <w:r w:rsidR="2B537737" w:rsidRPr="07BA124B">
              <w:rPr>
                <w:rFonts w:eastAsia="Calibri" w:cs="Times New Roman"/>
              </w:rPr>
              <w:t xml:space="preserve"> without inhibitors.</w:t>
            </w:r>
          </w:p>
          <w:p w14:paraId="23F2C658" w14:textId="764FB0CA" w:rsidR="00131964" w:rsidRDefault="00D764A9" w:rsidP="32029DBF">
            <w:pPr>
              <w:rPr>
                <w:rFonts w:eastAsia="Calibri" w:cs="Times New Roman"/>
              </w:rPr>
            </w:pPr>
            <w:r w:rsidRPr="32029DBF">
              <w:rPr>
                <w:rFonts w:eastAsia="Calibri" w:cs="Times New Roman"/>
              </w:rPr>
              <w:t xml:space="preserve">MSAC noted that consumer feedback on concizumab was </w:t>
            </w:r>
            <w:r w:rsidR="004F6252" w:rsidRPr="32029DBF">
              <w:rPr>
                <w:rFonts w:eastAsia="Calibri" w:cs="Times New Roman"/>
              </w:rPr>
              <w:t>generally</w:t>
            </w:r>
            <w:r w:rsidRPr="32029DBF">
              <w:rPr>
                <w:rFonts w:eastAsia="Calibri" w:cs="Times New Roman"/>
              </w:rPr>
              <w:t xml:space="preserve"> positive, with benefits including easier administration than intravenous treatments, improved equity of access for people in rural and remote locations, and more treatment options for people with haemophilia.</w:t>
            </w:r>
            <w:r w:rsidR="00225EFF" w:rsidRPr="32029DBF">
              <w:rPr>
                <w:rFonts w:eastAsia="Calibri" w:cs="Times New Roman"/>
              </w:rPr>
              <w:t xml:space="preserve"> MSAC </w:t>
            </w:r>
            <w:r w:rsidR="005C6561">
              <w:rPr>
                <w:rFonts w:eastAsia="Calibri" w:cs="Times New Roman"/>
              </w:rPr>
              <w:t>not</w:t>
            </w:r>
            <w:r w:rsidR="005C6561" w:rsidRPr="32029DBF">
              <w:rPr>
                <w:rFonts w:eastAsia="Calibri" w:cs="Times New Roman"/>
              </w:rPr>
              <w:t xml:space="preserve">ed </w:t>
            </w:r>
            <w:r w:rsidR="00225EFF" w:rsidRPr="32029DBF">
              <w:rPr>
                <w:rFonts w:eastAsia="Calibri" w:cs="Times New Roman"/>
              </w:rPr>
              <w:t xml:space="preserve">the </w:t>
            </w:r>
            <w:r w:rsidR="00677313" w:rsidRPr="32029DBF">
              <w:rPr>
                <w:rFonts w:eastAsia="Calibri" w:cs="Times New Roman"/>
              </w:rPr>
              <w:t xml:space="preserve">Haemophilia </w:t>
            </w:r>
            <w:r w:rsidR="00A901AC" w:rsidRPr="32029DBF">
              <w:rPr>
                <w:rFonts w:eastAsia="Calibri" w:cs="Times New Roman"/>
              </w:rPr>
              <w:t xml:space="preserve">Foundation </w:t>
            </w:r>
            <w:r w:rsidR="00257D00" w:rsidRPr="32029DBF">
              <w:rPr>
                <w:rFonts w:eastAsia="Calibri" w:cs="Times New Roman"/>
              </w:rPr>
              <w:t xml:space="preserve">Australia </w:t>
            </w:r>
            <w:r w:rsidR="00225EFF" w:rsidRPr="32029DBF">
              <w:rPr>
                <w:rFonts w:eastAsia="Calibri" w:cs="Times New Roman"/>
              </w:rPr>
              <w:t>inpu</w:t>
            </w:r>
            <w:r w:rsidR="00487BB8">
              <w:rPr>
                <w:rFonts w:eastAsia="Calibri" w:cs="Times New Roman"/>
              </w:rPr>
              <w:t>t</w:t>
            </w:r>
            <w:r w:rsidR="452BF4F0" w:rsidRPr="32029DBF">
              <w:rPr>
                <w:rFonts w:eastAsia="Calibri" w:cs="Times New Roman"/>
              </w:rPr>
              <w:t xml:space="preserve">, as it </w:t>
            </w:r>
            <w:r w:rsidR="00225EFF" w:rsidRPr="32029DBF">
              <w:rPr>
                <w:rFonts w:eastAsia="Calibri" w:cs="Times New Roman"/>
              </w:rPr>
              <w:t>provided</w:t>
            </w:r>
            <w:r w:rsidR="000D5D97" w:rsidRPr="32029DBF">
              <w:rPr>
                <w:rFonts w:eastAsia="Calibri" w:cs="Times New Roman"/>
              </w:rPr>
              <w:t xml:space="preserve"> valuable feedback</w:t>
            </w:r>
            <w:r w:rsidR="00B30B79" w:rsidRPr="32029DBF">
              <w:rPr>
                <w:rFonts w:eastAsia="Calibri" w:cs="Times New Roman"/>
              </w:rPr>
              <w:t xml:space="preserve"> about the issues</w:t>
            </w:r>
            <w:r w:rsidR="008C4070" w:rsidRPr="32029DBF">
              <w:rPr>
                <w:rFonts w:eastAsia="Calibri" w:cs="Times New Roman"/>
              </w:rPr>
              <w:t xml:space="preserve"> that </w:t>
            </w:r>
            <w:r w:rsidR="00F04C47" w:rsidRPr="32029DBF">
              <w:rPr>
                <w:rFonts w:eastAsia="Calibri" w:cs="Times New Roman"/>
              </w:rPr>
              <w:t xml:space="preserve">patients with </w:t>
            </w:r>
            <w:r w:rsidR="008C4070" w:rsidRPr="32029DBF">
              <w:rPr>
                <w:rFonts w:eastAsia="Calibri" w:cs="Times New Roman"/>
              </w:rPr>
              <w:t>haemophilia face</w:t>
            </w:r>
            <w:r w:rsidR="00F04C47" w:rsidRPr="32029DBF">
              <w:rPr>
                <w:rFonts w:eastAsia="Calibri" w:cs="Times New Roman"/>
              </w:rPr>
              <w:t xml:space="preserve">, particularly patients with inhibitors who do not </w:t>
            </w:r>
            <w:r w:rsidR="00D90AE0" w:rsidRPr="32029DBF">
              <w:rPr>
                <w:rFonts w:eastAsia="Calibri" w:cs="Times New Roman"/>
              </w:rPr>
              <w:t xml:space="preserve">have </w:t>
            </w:r>
            <w:r w:rsidR="00AF30C1" w:rsidRPr="32029DBF">
              <w:rPr>
                <w:rFonts w:eastAsia="Calibri" w:cs="Times New Roman"/>
              </w:rPr>
              <w:t xml:space="preserve">as effective and </w:t>
            </w:r>
            <w:r w:rsidR="005A10FD" w:rsidRPr="32029DBF">
              <w:rPr>
                <w:rFonts w:eastAsia="Calibri" w:cs="Times New Roman"/>
              </w:rPr>
              <w:t>manageable treatments</w:t>
            </w:r>
            <w:r w:rsidR="00AE730A" w:rsidRPr="32029DBF">
              <w:rPr>
                <w:rFonts w:eastAsia="Calibri" w:cs="Times New Roman"/>
              </w:rPr>
              <w:t xml:space="preserve">, and </w:t>
            </w:r>
            <w:r w:rsidR="00B228D9" w:rsidRPr="32029DBF">
              <w:rPr>
                <w:rFonts w:eastAsia="Calibri" w:cs="Times New Roman"/>
              </w:rPr>
              <w:t xml:space="preserve">feedback </w:t>
            </w:r>
            <w:r w:rsidR="00501F79" w:rsidRPr="32029DBF">
              <w:rPr>
                <w:rFonts w:eastAsia="Calibri" w:cs="Times New Roman"/>
              </w:rPr>
              <w:t>regarding experiences with</w:t>
            </w:r>
            <w:r w:rsidR="009A5844" w:rsidRPr="32029DBF">
              <w:rPr>
                <w:rFonts w:eastAsia="Calibri" w:cs="Times New Roman"/>
              </w:rPr>
              <w:t xml:space="preserve"> concizumab t</w:t>
            </w:r>
            <w:r w:rsidR="008366C7" w:rsidRPr="32029DBF">
              <w:rPr>
                <w:rFonts w:eastAsia="Calibri" w:cs="Times New Roman"/>
              </w:rPr>
              <w:t>reatment</w:t>
            </w:r>
            <w:r w:rsidR="000D5D97" w:rsidRPr="32029DBF">
              <w:rPr>
                <w:rFonts w:eastAsia="Calibri" w:cs="Times New Roman"/>
              </w:rPr>
              <w:t xml:space="preserve">. </w:t>
            </w:r>
          </w:p>
          <w:p w14:paraId="3A7F85B2" w14:textId="5F53EF3F" w:rsidR="009432DF" w:rsidRDefault="31A05089" w:rsidP="07BA124B">
            <w:pPr>
              <w:rPr>
                <w:rFonts w:eastAsia="Calibri" w:cs="Times New Roman"/>
              </w:rPr>
            </w:pPr>
            <w:r w:rsidRPr="07BA124B">
              <w:rPr>
                <w:rFonts w:eastAsia="Calibri" w:cs="Times New Roman"/>
              </w:rPr>
              <w:t xml:space="preserve">For patients with haemophilia B with inhibitors, </w:t>
            </w:r>
            <w:r w:rsidR="7623FCFB" w:rsidRPr="07BA124B">
              <w:rPr>
                <w:rFonts w:eastAsia="Calibri" w:cs="Times New Roman"/>
              </w:rPr>
              <w:t xml:space="preserve">MSAC </w:t>
            </w:r>
            <w:r w:rsidR="00B83EE2">
              <w:rPr>
                <w:rFonts w:eastAsia="Calibri" w:cs="Times New Roman"/>
              </w:rPr>
              <w:t>noted</w:t>
            </w:r>
            <w:r w:rsidR="7623FCFB" w:rsidRPr="07BA124B">
              <w:rPr>
                <w:rFonts w:eastAsia="Calibri" w:cs="Times New Roman"/>
              </w:rPr>
              <w:t xml:space="preserve"> the results of the studies </w:t>
            </w:r>
            <w:r w:rsidR="4D496A12" w:rsidRPr="07BA124B">
              <w:rPr>
                <w:rFonts w:eastAsia="Calibri" w:cs="Times New Roman"/>
              </w:rPr>
              <w:t xml:space="preserve">did show that </w:t>
            </w:r>
            <w:r w:rsidR="00AE3750">
              <w:rPr>
                <w:rFonts w:eastAsia="Calibri" w:cs="Times New Roman"/>
              </w:rPr>
              <w:t>p</w:t>
            </w:r>
            <w:r w:rsidR="67E9C452" w:rsidRPr="07BA124B">
              <w:rPr>
                <w:rFonts w:eastAsia="Calibri" w:cs="Times New Roman"/>
              </w:rPr>
              <w:t>atients appeared to have fewer bleeding episodes when they used concizumab</w:t>
            </w:r>
            <w:r w:rsidR="0036042C">
              <w:rPr>
                <w:rFonts w:eastAsia="Calibri" w:cs="Times New Roman"/>
              </w:rPr>
              <w:t xml:space="preserve"> compared with on-demand treatment </w:t>
            </w:r>
            <w:r w:rsidR="00C30A7F">
              <w:rPr>
                <w:rFonts w:eastAsia="Calibri" w:cs="Times New Roman"/>
              </w:rPr>
              <w:t>with bypassing agents</w:t>
            </w:r>
            <w:r w:rsidR="67E9C452" w:rsidRPr="07BA124B">
              <w:rPr>
                <w:rFonts w:eastAsia="Calibri" w:cs="Times New Roman"/>
              </w:rPr>
              <w:t xml:space="preserve">. </w:t>
            </w:r>
            <w:r w:rsidR="5F3B9A58" w:rsidRPr="07BA124B">
              <w:rPr>
                <w:rFonts w:eastAsia="Calibri" w:cs="Times New Roman"/>
              </w:rPr>
              <w:t>However</w:t>
            </w:r>
            <w:r w:rsidR="5018EE5F" w:rsidRPr="07BA124B">
              <w:rPr>
                <w:rFonts w:eastAsia="Calibri" w:cs="Times New Roman"/>
              </w:rPr>
              <w:t>,</w:t>
            </w:r>
            <w:r w:rsidR="5F3B9A58" w:rsidRPr="07BA124B">
              <w:rPr>
                <w:rFonts w:eastAsia="Calibri" w:cs="Times New Roman"/>
              </w:rPr>
              <w:t xml:space="preserve"> the statistical analysis showed </w:t>
            </w:r>
            <w:r w:rsidR="004B0ED1">
              <w:rPr>
                <w:rFonts w:eastAsia="Calibri" w:cs="Times New Roman"/>
              </w:rPr>
              <w:t xml:space="preserve">results favouring </w:t>
            </w:r>
            <w:r w:rsidR="00B350BB">
              <w:rPr>
                <w:rFonts w:eastAsia="Calibri" w:cs="Times New Roman"/>
              </w:rPr>
              <w:t xml:space="preserve">concizumab </w:t>
            </w:r>
            <w:r w:rsidR="00180EA0">
              <w:rPr>
                <w:rFonts w:eastAsia="Calibri" w:cs="Times New Roman"/>
              </w:rPr>
              <w:t>compared</w:t>
            </w:r>
            <w:r w:rsidR="5F3B9A58" w:rsidRPr="07BA124B">
              <w:rPr>
                <w:rFonts w:eastAsia="Calibri" w:cs="Times New Roman"/>
              </w:rPr>
              <w:t xml:space="preserve"> to </w:t>
            </w:r>
            <w:r w:rsidR="009A5F17">
              <w:rPr>
                <w:rFonts w:eastAsia="Calibri" w:cs="Times New Roman"/>
              </w:rPr>
              <w:t>on-deman</w:t>
            </w:r>
            <w:r w:rsidR="0025057B">
              <w:rPr>
                <w:rFonts w:eastAsia="Calibri" w:cs="Times New Roman"/>
              </w:rPr>
              <w:t>d treatment with bypassing agents</w:t>
            </w:r>
            <w:r w:rsidR="5F3B9A58" w:rsidRPr="07BA124B">
              <w:rPr>
                <w:rFonts w:eastAsia="Calibri" w:cs="Times New Roman"/>
              </w:rPr>
              <w:t xml:space="preserve"> could be due to chance. This was because the available studies included very small number of patients with haemophilia B who had inhibitors. </w:t>
            </w:r>
            <w:r w:rsidR="004B0EA6">
              <w:rPr>
                <w:rFonts w:eastAsia="Calibri" w:cs="Times New Roman"/>
              </w:rPr>
              <w:t>Also, s</w:t>
            </w:r>
            <w:r w:rsidR="38B533CD" w:rsidRPr="07BA124B">
              <w:rPr>
                <w:rFonts w:eastAsia="Calibri" w:cs="Times New Roman"/>
              </w:rPr>
              <w:t xml:space="preserve">ome of the </w:t>
            </w:r>
            <w:r w:rsidR="00427805">
              <w:rPr>
                <w:rFonts w:eastAsia="Calibri" w:cs="Times New Roman"/>
              </w:rPr>
              <w:t>evidence</w:t>
            </w:r>
            <w:r w:rsidR="00427805" w:rsidRPr="07BA124B">
              <w:rPr>
                <w:rFonts w:eastAsia="Calibri" w:cs="Times New Roman"/>
              </w:rPr>
              <w:t xml:space="preserve"> </w:t>
            </w:r>
            <w:r w:rsidR="38B533CD" w:rsidRPr="07BA124B">
              <w:rPr>
                <w:rFonts w:eastAsia="Calibri" w:cs="Times New Roman"/>
              </w:rPr>
              <w:t>combined</w:t>
            </w:r>
            <w:r w:rsidR="13CC2957" w:rsidRPr="07BA124B">
              <w:rPr>
                <w:rFonts w:eastAsia="Calibri" w:cs="Times New Roman"/>
              </w:rPr>
              <w:t xml:space="preserve"> results from patient</w:t>
            </w:r>
            <w:r w:rsidR="40871D1B" w:rsidRPr="07BA124B">
              <w:rPr>
                <w:rFonts w:eastAsia="Calibri" w:cs="Times New Roman"/>
              </w:rPr>
              <w:t xml:space="preserve">s with </w:t>
            </w:r>
            <w:r w:rsidR="15FB533C" w:rsidRPr="07BA124B">
              <w:rPr>
                <w:rFonts w:eastAsia="Calibri" w:cs="Times New Roman"/>
              </w:rPr>
              <w:t xml:space="preserve">either </w:t>
            </w:r>
            <w:r w:rsidR="40871D1B" w:rsidRPr="07BA124B">
              <w:rPr>
                <w:rFonts w:eastAsia="Calibri" w:cs="Times New Roman"/>
              </w:rPr>
              <w:t>haemophilia A</w:t>
            </w:r>
            <w:r w:rsidR="00B6402E">
              <w:rPr>
                <w:rFonts w:eastAsia="Calibri" w:cs="Times New Roman"/>
              </w:rPr>
              <w:t xml:space="preserve"> with inhibitors</w:t>
            </w:r>
            <w:r w:rsidR="40871D1B" w:rsidRPr="07BA124B">
              <w:rPr>
                <w:rFonts w:eastAsia="Calibri" w:cs="Times New Roman"/>
              </w:rPr>
              <w:t xml:space="preserve"> </w:t>
            </w:r>
            <w:r w:rsidR="006652E3">
              <w:rPr>
                <w:rFonts w:eastAsia="Calibri" w:cs="Times New Roman"/>
              </w:rPr>
              <w:t>or</w:t>
            </w:r>
            <w:r w:rsidR="006652E3" w:rsidRPr="07BA124B">
              <w:rPr>
                <w:rFonts w:eastAsia="Calibri" w:cs="Times New Roman"/>
              </w:rPr>
              <w:t xml:space="preserve"> </w:t>
            </w:r>
            <w:r w:rsidR="40871D1B" w:rsidRPr="07BA124B">
              <w:rPr>
                <w:rFonts w:eastAsia="Calibri" w:cs="Times New Roman"/>
              </w:rPr>
              <w:t>haemophilia B with inhibitors</w:t>
            </w:r>
            <w:r w:rsidR="3FCC1644" w:rsidRPr="07BA124B">
              <w:rPr>
                <w:rFonts w:eastAsia="Calibri" w:cs="Times New Roman"/>
              </w:rPr>
              <w:t xml:space="preserve">. This made </w:t>
            </w:r>
            <w:r w:rsidR="40871D1B" w:rsidRPr="07BA124B">
              <w:rPr>
                <w:rFonts w:eastAsia="Calibri" w:cs="Times New Roman"/>
              </w:rPr>
              <w:t xml:space="preserve">it difficult to determine the true effect in </w:t>
            </w:r>
            <w:r w:rsidR="0D0A5263" w:rsidRPr="07BA124B">
              <w:rPr>
                <w:rFonts w:eastAsia="Calibri" w:cs="Times New Roman"/>
              </w:rPr>
              <w:t xml:space="preserve">the </w:t>
            </w:r>
            <w:r w:rsidR="4C9A5CA4" w:rsidRPr="07BA124B">
              <w:rPr>
                <w:rFonts w:eastAsia="Calibri" w:cs="Times New Roman"/>
              </w:rPr>
              <w:t xml:space="preserve">haemophilia B with inhibitors </w:t>
            </w:r>
            <w:r w:rsidR="40871D1B" w:rsidRPr="07BA124B">
              <w:rPr>
                <w:rFonts w:eastAsia="Calibri" w:cs="Times New Roman"/>
              </w:rPr>
              <w:t>population.</w:t>
            </w:r>
            <w:r w:rsidR="13352AA9" w:rsidRPr="07BA124B">
              <w:rPr>
                <w:rFonts w:eastAsia="Calibri" w:cs="Times New Roman"/>
              </w:rPr>
              <w:t xml:space="preserve"> </w:t>
            </w:r>
            <w:r w:rsidRPr="07BA124B">
              <w:rPr>
                <w:rFonts w:eastAsia="Calibri" w:cs="Times New Roman"/>
              </w:rPr>
              <w:t xml:space="preserve">MSAC considered that concizumab </w:t>
            </w:r>
            <w:r w:rsidR="00AD74A2">
              <w:rPr>
                <w:rFonts w:eastAsia="Calibri" w:cs="Times New Roman"/>
              </w:rPr>
              <w:t>is</w:t>
            </w:r>
            <w:r w:rsidRPr="07BA124B">
              <w:rPr>
                <w:rFonts w:eastAsia="Calibri" w:cs="Times New Roman"/>
              </w:rPr>
              <w:t xml:space="preserve"> effective for preventing bleeding</w:t>
            </w:r>
            <w:r w:rsidR="00D55E8F">
              <w:rPr>
                <w:rFonts w:eastAsia="Calibri" w:cs="Times New Roman"/>
              </w:rPr>
              <w:t xml:space="preserve">; however, </w:t>
            </w:r>
            <w:r w:rsidR="00D622B0">
              <w:rPr>
                <w:rFonts w:eastAsia="Calibri" w:cs="Times New Roman"/>
              </w:rPr>
              <w:t xml:space="preserve">there is insufficient evidence to show </w:t>
            </w:r>
            <w:r w:rsidR="00AE3B0C">
              <w:rPr>
                <w:rFonts w:eastAsia="Calibri" w:cs="Times New Roman"/>
              </w:rPr>
              <w:t>that concizumab is more effective</w:t>
            </w:r>
            <w:r w:rsidR="000A0259" w:rsidRPr="07BA124B">
              <w:rPr>
                <w:rFonts w:eastAsia="Calibri" w:cs="Times New Roman"/>
              </w:rPr>
              <w:t xml:space="preserve"> </w:t>
            </w:r>
            <w:r w:rsidR="000A0259">
              <w:rPr>
                <w:rFonts w:eastAsia="Calibri" w:cs="Times New Roman"/>
              </w:rPr>
              <w:t>than</w:t>
            </w:r>
            <w:r w:rsidR="000A0259" w:rsidRPr="07BA124B">
              <w:rPr>
                <w:rFonts w:eastAsia="Calibri" w:cs="Times New Roman"/>
              </w:rPr>
              <w:t xml:space="preserve"> current on-demand</w:t>
            </w:r>
            <w:r w:rsidR="000A0259">
              <w:rPr>
                <w:rFonts w:eastAsia="Calibri" w:cs="Times New Roman"/>
              </w:rPr>
              <w:t xml:space="preserve"> treatment with bypassing agents</w:t>
            </w:r>
            <w:r w:rsidRPr="07BA124B">
              <w:rPr>
                <w:rFonts w:eastAsia="Calibri" w:cs="Times New Roman"/>
              </w:rPr>
              <w:t>.</w:t>
            </w:r>
          </w:p>
          <w:p w14:paraId="3E872528" w14:textId="692488BF" w:rsidR="00F17963" w:rsidRDefault="00CD202F" w:rsidP="00D764A9">
            <w:pPr>
              <w:rPr>
                <w:rFonts w:eastAsia="Calibri" w:cs="Times New Roman"/>
                <w:bCs/>
              </w:rPr>
            </w:pPr>
            <w:r>
              <w:rPr>
                <w:rFonts w:eastAsia="Calibri" w:cs="Times New Roman"/>
                <w:bCs/>
              </w:rPr>
              <w:t xml:space="preserve">MSAC considered </w:t>
            </w:r>
            <w:r w:rsidRPr="00CD202F">
              <w:rPr>
                <w:rFonts w:eastAsia="Calibri" w:cs="Times New Roman"/>
                <w:bCs/>
              </w:rPr>
              <w:t>concizumab</w:t>
            </w:r>
            <w:r>
              <w:rPr>
                <w:rFonts w:eastAsia="Calibri" w:cs="Times New Roman"/>
                <w:bCs/>
              </w:rPr>
              <w:t xml:space="preserve"> was acceptably safe compared to </w:t>
            </w:r>
            <w:r w:rsidRPr="00CD202F">
              <w:rPr>
                <w:rFonts w:eastAsia="Calibri" w:cs="Times New Roman"/>
                <w:bCs/>
              </w:rPr>
              <w:t>on-demand treatment with bypassing agents</w:t>
            </w:r>
            <w:r>
              <w:rPr>
                <w:rFonts w:eastAsia="Calibri" w:cs="Times New Roman"/>
                <w:bCs/>
              </w:rPr>
              <w:t xml:space="preserve">. </w:t>
            </w:r>
            <w:r w:rsidR="00EB7322">
              <w:rPr>
                <w:rFonts w:eastAsia="Calibri" w:cs="Times New Roman"/>
                <w:bCs/>
              </w:rPr>
              <w:t xml:space="preserve">MSAC did note that patients </w:t>
            </w:r>
            <w:r w:rsidR="00622C0E">
              <w:rPr>
                <w:rFonts w:eastAsia="Calibri" w:cs="Times New Roman"/>
                <w:bCs/>
              </w:rPr>
              <w:t xml:space="preserve">with </w:t>
            </w:r>
            <w:r w:rsidR="00BA1973">
              <w:rPr>
                <w:rFonts w:eastAsia="Calibri" w:cs="Times New Roman"/>
                <w:bCs/>
              </w:rPr>
              <w:t>haemophilia</w:t>
            </w:r>
            <w:r w:rsidR="001F7194">
              <w:rPr>
                <w:rFonts w:eastAsia="Calibri" w:cs="Times New Roman"/>
                <w:bCs/>
              </w:rPr>
              <w:t xml:space="preserve"> B with inhibitors</w:t>
            </w:r>
            <w:r w:rsidR="00EB7322">
              <w:rPr>
                <w:rFonts w:eastAsia="Calibri" w:cs="Times New Roman"/>
                <w:bCs/>
              </w:rPr>
              <w:t xml:space="preserve"> currently do not have access to </w:t>
            </w:r>
            <w:r w:rsidR="00506A58">
              <w:rPr>
                <w:rFonts w:eastAsia="Calibri" w:cs="Times New Roman"/>
                <w:bCs/>
              </w:rPr>
              <w:t xml:space="preserve">long-term </w:t>
            </w:r>
            <w:r w:rsidR="00EB7322">
              <w:rPr>
                <w:rFonts w:eastAsia="Calibri" w:cs="Times New Roman"/>
                <w:bCs/>
              </w:rPr>
              <w:t>prophylactic treatment and have a high unmet clinical need.</w:t>
            </w:r>
            <w:r w:rsidR="00147C99">
              <w:rPr>
                <w:rFonts w:eastAsia="Calibri" w:cs="Times New Roman"/>
                <w:bCs/>
              </w:rPr>
              <w:t xml:space="preserve"> MSAC acknowledged that due to the rarity of </w:t>
            </w:r>
            <w:r w:rsidR="006036C0">
              <w:rPr>
                <w:rFonts w:eastAsia="Calibri" w:cs="Times New Roman"/>
                <w:bCs/>
              </w:rPr>
              <w:t xml:space="preserve">haemophilia </w:t>
            </w:r>
            <w:r w:rsidR="00147C99">
              <w:rPr>
                <w:rFonts w:eastAsia="Calibri" w:cs="Times New Roman"/>
                <w:bCs/>
              </w:rPr>
              <w:t xml:space="preserve">B, especially </w:t>
            </w:r>
            <w:r w:rsidR="006036C0">
              <w:rPr>
                <w:rFonts w:eastAsia="Calibri" w:cs="Times New Roman"/>
                <w:bCs/>
              </w:rPr>
              <w:t>haemophilia B with inhibitors</w:t>
            </w:r>
            <w:r w:rsidR="00147C99" w:rsidRPr="00D764A9">
              <w:rPr>
                <w:rFonts w:eastAsia="Calibri" w:cs="Times New Roman"/>
                <w:bCs/>
              </w:rPr>
              <w:t xml:space="preserve">, </w:t>
            </w:r>
            <w:r w:rsidR="00147C99">
              <w:rPr>
                <w:rFonts w:eastAsia="Calibri" w:cs="Times New Roman"/>
                <w:bCs/>
              </w:rPr>
              <w:t>it may not be possible to generate stronger evidence</w:t>
            </w:r>
            <w:r w:rsidR="00147C99" w:rsidRPr="00D764A9">
              <w:rPr>
                <w:rFonts w:eastAsia="Calibri" w:cs="Times New Roman"/>
                <w:bCs/>
              </w:rPr>
              <w:t xml:space="preserve"> in the foreseeable future.</w:t>
            </w:r>
          </w:p>
          <w:p w14:paraId="00787F20" w14:textId="6F7D4613" w:rsidR="00CC6543" w:rsidRDefault="316FF50F" w:rsidP="5174EE7D">
            <w:pPr>
              <w:rPr>
                <w:rFonts w:eastAsia="Calibri" w:cs="Times New Roman"/>
              </w:rPr>
            </w:pPr>
            <w:r w:rsidRPr="5174EE7D">
              <w:rPr>
                <w:rFonts w:eastAsia="Calibri" w:cs="Times New Roman"/>
              </w:rPr>
              <w:t>For patients w</w:t>
            </w:r>
            <w:r w:rsidR="4FFF482C" w:rsidRPr="5174EE7D">
              <w:rPr>
                <w:rFonts w:eastAsia="Calibri" w:cs="Times New Roman"/>
              </w:rPr>
              <w:t>ith</w:t>
            </w:r>
            <w:r w:rsidR="3CB0E2F6" w:rsidRPr="5174EE7D">
              <w:rPr>
                <w:rFonts w:eastAsia="Calibri" w:cs="Times New Roman"/>
              </w:rPr>
              <w:t xml:space="preserve"> </w:t>
            </w:r>
            <w:r w:rsidR="0F25E6A9" w:rsidRPr="5174EE7D">
              <w:rPr>
                <w:rFonts w:eastAsia="Calibri" w:cs="Times New Roman"/>
              </w:rPr>
              <w:t>haemophilia B</w:t>
            </w:r>
            <w:r w:rsidR="0B994865" w:rsidRPr="5174EE7D">
              <w:rPr>
                <w:rFonts w:eastAsia="Calibri" w:cs="Times New Roman"/>
              </w:rPr>
              <w:t xml:space="preserve"> without inhibitors</w:t>
            </w:r>
            <w:r w:rsidR="1B12A4A0" w:rsidRPr="5174EE7D">
              <w:rPr>
                <w:rFonts w:eastAsia="Calibri" w:cs="Times New Roman"/>
              </w:rPr>
              <w:t>, MSAC</w:t>
            </w:r>
            <w:r w:rsidR="334F810C" w:rsidRPr="5174EE7D">
              <w:rPr>
                <w:rFonts w:eastAsia="Calibri" w:cs="Times New Roman"/>
              </w:rPr>
              <w:t xml:space="preserve"> considered that the evidence </w:t>
            </w:r>
            <w:r w:rsidR="54899B14" w:rsidRPr="5174EE7D">
              <w:rPr>
                <w:rFonts w:eastAsia="Calibri" w:cs="Times New Roman"/>
              </w:rPr>
              <w:t xml:space="preserve">did not show concizumab </w:t>
            </w:r>
            <w:r w:rsidR="005F34BD">
              <w:rPr>
                <w:rFonts w:eastAsia="Calibri" w:cs="Times New Roman"/>
              </w:rPr>
              <w:t>w</w:t>
            </w:r>
            <w:r w:rsidR="54899B14" w:rsidRPr="5174EE7D">
              <w:rPr>
                <w:rFonts w:eastAsia="Calibri" w:cs="Times New Roman"/>
              </w:rPr>
              <w:t xml:space="preserve">as </w:t>
            </w:r>
            <w:r w:rsidR="33339143" w:rsidRPr="5174EE7D">
              <w:rPr>
                <w:rFonts w:eastAsia="Calibri" w:cs="Times New Roman"/>
              </w:rPr>
              <w:t xml:space="preserve">effective as </w:t>
            </w:r>
            <w:r w:rsidR="55B8352E" w:rsidRPr="5174EE7D">
              <w:rPr>
                <w:rFonts w:eastAsia="Calibri" w:cs="Times New Roman"/>
              </w:rPr>
              <w:t>existing</w:t>
            </w:r>
            <w:r w:rsidR="5C9F12C2" w:rsidRPr="5174EE7D">
              <w:rPr>
                <w:rFonts w:eastAsia="Calibri" w:cs="Times New Roman"/>
              </w:rPr>
              <w:t xml:space="preserve"> </w:t>
            </w:r>
            <w:r w:rsidR="773A1443" w:rsidRPr="5174EE7D">
              <w:rPr>
                <w:rFonts w:eastAsia="Calibri" w:cs="Times New Roman"/>
              </w:rPr>
              <w:t>F</w:t>
            </w:r>
            <w:r w:rsidR="636E8CEB" w:rsidRPr="5174EE7D">
              <w:rPr>
                <w:rFonts w:eastAsia="Calibri" w:cs="Times New Roman"/>
              </w:rPr>
              <w:t>actor IX</w:t>
            </w:r>
            <w:r w:rsidR="3679182C" w:rsidRPr="5174EE7D">
              <w:rPr>
                <w:rFonts w:eastAsia="Calibri" w:cs="Times New Roman"/>
              </w:rPr>
              <w:t xml:space="preserve"> </w:t>
            </w:r>
            <w:r w:rsidR="1B05238A" w:rsidRPr="5174EE7D">
              <w:rPr>
                <w:rFonts w:eastAsia="Calibri" w:cs="Times New Roman"/>
              </w:rPr>
              <w:t xml:space="preserve">prophylactic </w:t>
            </w:r>
            <w:r w:rsidR="55B8352E" w:rsidRPr="5174EE7D">
              <w:rPr>
                <w:rFonts w:eastAsia="Calibri" w:cs="Times New Roman"/>
              </w:rPr>
              <w:t>treatment</w:t>
            </w:r>
            <w:r w:rsidR="13490D88" w:rsidRPr="5174EE7D">
              <w:rPr>
                <w:rFonts w:eastAsia="Calibri" w:cs="Times New Roman"/>
              </w:rPr>
              <w:t>. The</w:t>
            </w:r>
            <w:r w:rsidR="4B67C98F" w:rsidRPr="5174EE7D">
              <w:rPr>
                <w:rFonts w:eastAsia="Calibri" w:cs="Times New Roman"/>
              </w:rPr>
              <w:t xml:space="preserve"> studies </w:t>
            </w:r>
            <w:r w:rsidR="6E9D5698" w:rsidRPr="5174EE7D">
              <w:rPr>
                <w:rFonts w:eastAsia="Calibri" w:cs="Times New Roman"/>
              </w:rPr>
              <w:t>reported a</w:t>
            </w:r>
            <w:r w:rsidR="4B67C98F" w:rsidRPr="5174EE7D">
              <w:rPr>
                <w:rFonts w:eastAsia="Calibri" w:cs="Times New Roman"/>
              </w:rPr>
              <w:t xml:space="preserve"> higher </w:t>
            </w:r>
            <w:r w:rsidR="6E9D5698" w:rsidRPr="5174EE7D">
              <w:rPr>
                <w:rFonts w:eastAsia="Calibri" w:cs="Times New Roman"/>
              </w:rPr>
              <w:t xml:space="preserve">rate of </w:t>
            </w:r>
            <w:r w:rsidR="4B67C98F" w:rsidRPr="5174EE7D">
              <w:rPr>
                <w:rFonts w:eastAsia="Calibri" w:cs="Times New Roman"/>
              </w:rPr>
              <w:t xml:space="preserve">bleeding with </w:t>
            </w:r>
            <w:r w:rsidR="0EEA9F50" w:rsidRPr="5174EE7D">
              <w:rPr>
                <w:rFonts w:eastAsia="Calibri" w:cs="Times New Roman"/>
              </w:rPr>
              <w:t>concizumab</w:t>
            </w:r>
            <w:r w:rsidR="13490D88" w:rsidRPr="5174EE7D">
              <w:rPr>
                <w:rFonts w:eastAsia="Calibri" w:cs="Times New Roman"/>
              </w:rPr>
              <w:t xml:space="preserve"> compared with </w:t>
            </w:r>
            <w:r w:rsidR="7A0A3CDC" w:rsidRPr="5174EE7D">
              <w:rPr>
                <w:rFonts w:eastAsia="Calibri" w:cs="Times New Roman"/>
              </w:rPr>
              <w:t>factor IX prophylactic treatment</w:t>
            </w:r>
            <w:r w:rsidR="54DCD5B8" w:rsidRPr="5174EE7D">
              <w:rPr>
                <w:rFonts w:eastAsia="Calibri" w:cs="Times New Roman"/>
              </w:rPr>
              <w:t xml:space="preserve">. Some </w:t>
            </w:r>
            <w:r w:rsidR="486826D1" w:rsidRPr="5174EE7D">
              <w:rPr>
                <w:rFonts w:eastAsia="Calibri" w:cs="Times New Roman"/>
              </w:rPr>
              <w:t xml:space="preserve">patients </w:t>
            </w:r>
            <w:r w:rsidR="54DCD5B8" w:rsidRPr="5174EE7D">
              <w:rPr>
                <w:rFonts w:eastAsia="Calibri" w:cs="Times New Roman"/>
              </w:rPr>
              <w:t>had</w:t>
            </w:r>
            <w:r w:rsidR="486826D1" w:rsidRPr="5174EE7D">
              <w:rPr>
                <w:rFonts w:eastAsia="Calibri" w:cs="Times New Roman"/>
              </w:rPr>
              <w:t xml:space="preserve"> more bleeds after switching to concizumab from </w:t>
            </w:r>
            <w:r w:rsidR="6D777D61" w:rsidRPr="5174EE7D">
              <w:rPr>
                <w:rFonts w:eastAsia="Calibri" w:cs="Times New Roman"/>
              </w:rPr>
              <w:t>F</w:t>
            </w:r>
            <w:r w:rsidR="39628DF1" w:rsidRPr="5174EE7D">
              <w:rPr>
                <w:rFonts w:eastAsia="Calibri" w:cs="Times New Roman"/>
              </w:rPr>
              <w:t xml:space="preserve">actor </w:t>
            </w:r>
            <w:r w:rsidR="486826D1" w:rsidRPr="5174EE7D">
              <w:rPr>
                <w:rFonts w:eastAsia="Calibri" w:cs="Times New Roman"/>
              </w:rPr>
              <w:t xml:space="preserve">IX prophylaxis. </w:t>
            </w:r>
            <w:r w:rsidR="77FFF6D0" w:rsidRPr="5174EE7D">
              <w:rPr>
                <w:rFonts w:eastAsia="Calibri" w:cs="Times New Roman"/>
              </w:rPr>
              <w:t xml:space="preserve">MSAC </w:t>
            </w:r>
            <w:r w:rsidR="0EE4CED0" w:rsidRPr="5174EE7D">
              <w:rPr>
                <w:rFonts w:eastAsia="Calibri" w:cs="Times New Roman"/>
              </w:rPr>
              <w:t>considered</w:t>
            </w:r>
            <w:r w:rsidR="55EA4563">
              <w:t xml:space="preserve"> </w:t>
            </w:r>
            <w:r w:rsidR="0DCC9E06">
              <w:t xml:space="preserve">most patients in Australia use extended half-life </w:t>
            </w:r>
            <w:r w:rsidR="28080F7E">
              <w:t>F</w:t>
            </w:r>
            <w:r w:rsidR="0DCC9E06">
              <w:t xml:space="preserve">actor IX treatment and this could be more effective than </w:t>
            </w:r>
            <w:r w:rsidR="48D5BA00">
              <w:t xml:space="preserve">the standard half-life </w:t>
            </w:r>
            <w:r w:rsidR="7FDD8452">
              <w:t>F</w:t>
            </w:r>
            <w:r w:rsidR="48D5BA00">
              <w:t xml:space="preserve">actor IX treatment used in the </w:t>
            </w:r>
            <w:r w:rsidR="2A3BB240">
              <w:t xml:space="preserve">studies. </w:t>
            </w:r>
          </w:p>
          <w:p w14:paraId="3B9EF8DB" w14:textId="3EA60BAF" w:rsidR="5174EE7D" w:rsidRDefault="383BA744">
            <w:r w:rsidRPr="5174EE7D">
              <w:rPr>
                <w:rFonts w:eastAsia="Calibri" w:cs="Times New Roman"/>
              </w:rPr>
              <w:t xml:space="preserve">MSAC supported </w:t>
            </w:r>
            <w:r w:rsidR="4B196CDC" w:rsidRPr="5174EE7D">
              <w:rPr>
                <w:rFonts w:eastAsia="Calibri" w:cs="Times New Roman"/>
              </w:rPr>
              <w:t xml:space="preserve">public funding of </w:t>
            </w:r>
            <w:r w:rsidRPr="5174EE7D">
              <w:rPr>
                <w:rFonts w:eastAsia="Calibri" w:cs="Times New Roman"/>
              </w:rPr>
              <w:t xml:space="preserve">concizumab for </w:t>
            </w:r>
            <w:r w:rsidR="04CBC3F2" w:rsidRPr="5174EE7D">
              <w:rPr>
                <w:rFonts w:eastAsia="Calibri" w:cs="Times New Roman"/>
              </w:rPr>
              <w:t xml:space="preserve">patients with </w:t>
            </w:r>
            <w:r w:rsidR="7F9D8F38" w:rsidRPr="5174EE7D">
              <w:rPr>
                <w:rFonts w:eastAsia="Calibri" w:cs="Times New Roman"/>
              </w:rPr>
              <w:t>haemophilia B with inhibitors</w:t>
            </w:r>
            <w:r w:rsidR="6516E633" w:rsidRPr="5174EE7D">
              <w:rPr>
                <w:rFonts w:eastAsia="Calibri" w:cs="Times New Roman"/>
              </w:rPr>
              <w:t xml:space="preserve">. </w:t>
            </w:r>
            <w:r w:rsidR="4D993AF4" w:rsidRPr="5174EE7D">
              <w:rPr>
                <w:rFonts w:eastAsia="Calibri" w:cs="Times New Roman"/>
              </w:rPr>
              <w:t>The clinical evidence was considered acceptable given the very small patient population and the</w:t>
            </w:r>
            <w:r w:rsidR="2C699A79" w:rsidRPr="5174EE7D">
              <w:rPr>
                <w:rFonts w:eastAsia="Calibri" w:cs="Times New Roman"/>
              </w:rPr>
              <w:t>ir</w:t>
            </w:r>
            <w:r w:rsidR="4D993AF4" w:rsidRPr="5174EE7D">
              <w:rPr>
                <w:rFonts w:eastAsia="Calibri" w:cs="Times New Roman"/>
              </w:rPr>
              <w:t xml:space="preserve"> high clinical need for an effective treatment to prevent bleeding.</w:t>
            </w:r>
            <w:r w:rsidR="2FBDB178" w:rsidRPr="5174EE7D">
              <w:rPr>
                <w:rFonts w:eastAsia="Calibri" w:cs="Times New Roman"/>
              </w:rPr>
              <w:t xml:space="preserve"> </w:t>
            </w:r>
            <w:r w:rsidRPr="5174EE7D">
              <w:rPr>
                <w:rFonts w:eastAsia="Calibri" w:cs="Times New Roman"/>
              </w:rPr>
              <w:t xml:space="preserve">MSAC advised that </w:t>
            </w:r>
            <w:r w:rsidR="07277276" w:rsidRPr="5174EE7D">
              <w:rPr>
                <w:rFonts w:eastAsia="Calibri" w:cs="Times New Roman"/>
              </w:rPr>
              <w:t xml:space="preserve">its support </w:t>
            </w:r>
            <w:r w:rsidR="2A3BB240" w:rsidRPr="5174EE7D">
              <w:rPr>
                <w:rFonts w:eastAsia="Calibri" w:cs="Times New Roman"/>
              </w:rPr>
              <w:t xml:space="preserve">was based </w:t>
            </w:r>
            <w:r w:rsidRPr="5174EE7D">
              <w:rPr>
                <w:rFonts w:eastAsia="Calibri" w:cs="Times New Roman"/>
              </w:rPr>
              <w:t xml:space="preserve">on a price reduction for concizumab. This is because of </w:t>
            </w:r>
            <w:r w:rsidR="1936CD76" w:rsidRPr="5174EE7D">
              <w:rPr>
                <w:rFonts w:eastAsia="Calibri" w:cs="Times New Roman"/>
              </w:rPr>
              <w:t xml:space="preserve">the clinical evidence could not show that concizumab </w:t>
            </w:r>
            <w:r w:rsidR="1F98BF52" w:rsidRPr="5174EE7D">
              <w:rPr>
                <w:rFonts w:eastAsia="Calibri" w:cs="Times New Roman"/>
              </w:rPr>
              <w:t xml:space="preserve">was better than current </w:t>
            </w:r>
            <w:r w:rsidR="3D020E51" w:rsidRPr="5174EE7D">
              <w:rPr>
                <w:rFonts w:eastAsia="Calibri" w:cs="Times New Roman"/>
              </w:rPr>
              <w:t xml:space="preserve">treatments </w:t>
            </w:r>
            <w:r w:rsidR="133D2873" w:rsidRPr="5174EE7D">
              <w:rPr>
                <w:rFonts w:eastAsia="Calibri" w:cs="Times New Roman"/>
              </w:rPr>
              <w:t xml:space="preserve">for patients with </w:t>
            </w:r>
            <w:r w:rsidR="65A5D67C" w:rsidRPr="5174EE7D">
              <w:rPr>
                <w:rFonts w:eastAsia="Calibri" w:cs="Times New Roman"/>
              </w:rPr>
              <w:t>haemophilia B with inhibitors</w:t>
            </w:r>
            <w:r w:rsidR="27B3F808" w:rsidRPr="5174EE7D">
              <w:rPr>
                <w:rFonts w:eastAsia="Calibri" w:cs="Times New Roman"/>
              </w:rPr>
              <w:t>.</w:t>
            </w:r>
            <w:r w:rsidR="59FA6BA6" w:rsidRPr="5174EE7D">
              <w:rPr>
                <w:rFonts w:eastAsia="Calibri" w:cs="Times New Roman"/>
              </w:rPr>
              <w:t xml:space="preserve"> </w:t>
            </w:r>
            <w:r w:rsidRPr="5174EE7D">
              <w:rPr>
                <w:rFonts w:eastAsia="Calibri" w:cs="Times New Roman"/>
              </w:rPr>
              <w:t xml:space="preserve">MSAC </w:t>
            </w:r>
            <w:r w:rsidR="5441157F" w:rsidRPr="5174EE7D">
              <w:rPr>
                <w:rFonts w:eastAsia="Calibri" w:cs="Times New Roman"/>
              </w:rPr>
              <w:t xml:space="preserve">advised that </w:t>
            </w:r>
            <w:r w:rsidR="5441157F">
              <w:t xml:space="preserve">the </w:t>
            </w:r>
            <w:r w:rsidR="319984D5">
              <w:t xml:space="preserve">number of </w:t>
            </w:r>
            <w:r w:rsidR="5441157F">
              <w:t xml:space="preserve">treated patients per year is capped at the number of patients with </w:t>
            </w:r>
            <w:r w:rsidR="65A5D67C" w:rsidRPr="5174EE7D">
              <w:rPr>
                <w:rFonts w:eastAsia="Calibri" w:cs="Times New Roman"/>
              </w:rPr>
              <w:t>haemophilia B with inhibitors</w:t>
            </w:r>
            <w:r w:rsidR="32811379" w:rsidRPr="5174EE7D">
              <w:rPr>
                <w:rFonts w:eastAsia="Calibri" w:cs="Times New Roman"/>
              </w:rPr>
              <w:t>,</w:t>
            </w:r>
            <w:r w:rsidR="5441157F">
              <w:t xml:space="preserve"> with the company to pay </w:t>
            </w:r>
            <w:r w:rsidR="3C15282E">
              <w:t xml:space="preserve">the </w:t>
            </w:r>
            <w:r w:rsidR="5441157F">
              <w:t>full cost of treatment for any additional patients</w:t>
            </w:r>
            <w:r w:rsidR="319984D5">
              <w:t xml:space="preserve">. </w:t>
            </w:r>
          </w:p>
          <w:p w14:paraId="3D8F04A8" w14:textId="38B8EB7F" w:rsidR="00D764A9" w:rsidRPr="009F0EF1" w:rsidRDefault="00D764A9" w:rsidP="009F0EF1">
            <w:pPr>
              <w:keepNext/>
              <w:keepLines/>
              <w:spacing w:before="240" w:after="120"/>
              <w:outlineLvl w:val="2"/>
              <w:rPr>
                <w:rFonts w:ascii="Franklin Gothic Medium" w:eastAsia="Times New Roman" w:hAnsi="Franklin Gothic Medium" w:cs="Times New Roman"/>
              </w:rPr>
            </w:pPr>
            <w:r w:rsidRPr="009F0EF1">
              <w:rPr>
                <w:rFonts w:ascii="Franklin Gothic Medium" w:eastAsia="Times New Roman" w:hAnsi="Franklin Gothic Medium" w:cs="Times New Roman"/>
              </w:rPr>
              <w:t>MSAC’s advice to the Commonwealth Minister for Health, Disability and Ageing</w:t>
            </w:r>
          </w:p>
          <w:p w14:paraId="00F13E3D" w14:textId="53E6B843" w:rsidR="00D03C49" w:rsidRPr="005B6EFD" w:rsidRDefault="00F547A3" w:rsidP="009F0EF1">
            <w:pPr>
              <w:keepNext/>
              <w:keepLines/>
              <w:tabs>
                <w:tab w:val="left" w:pos="851"/>
              </w:tabs>
              <w:spacing w:after="120"/>
              <w:outlineLvl w:val="2"/>
            </w:pPr>
            <w:r>
              <w:t xml:space="preserve">MSAC supported public funding </w:t>
            </w:r>
            <w:r w:rsidRPr="00DE50BC">
              <w:t xml:space="preserve">of concizumab for patients ≥12 years of age with congenital </w:t>
            </w:r>
            <w:r w:rsidR="00532BBA">
              <w:t xml:space="preserve">haemophilia </w:t>
            </w:r>
            <w:r w:rsidRPr="00DE50BC">
              <w:t xml:space="preserve">B with </w:t>
            </w:r>
            <w:r>
              <w:t xml:space="preserve">inhibitors </w:t>
            </w:r>
            <w:r w:rsidRPr="00DE50BC">
              <w:t>who require prophylaxis</w:t>
            </w:r>
            <w:r w:rsidR="007B64F1">
              <w:t xml:space="preserve">. </w:t>
            </w:r>
            <w:r w:rsidR="008C2A88">
              <w:t>MSAC considered that</w:t>
            </w:r>
            <w:r w:rsidR="00077527">
              <w:t xml:space="preserve"> </w:t>
            </w:r>
            <w:r w:rsidR="00B31785">
              <w:t xml:space="preserve">concizumab </w:t>
            </w:r>
            <w:r w:rsidR="00077527">
              <w:t>was shown to</w:t>
            </w:r>
            <w:r w:rsidR="00B31785">
              <w:t xml:space="preserve"> reduce bleeding </w:t>
            </w:r>
            <w:r w:rsidR="00077527">
              <w:t>relative to on-demand treatment with BPAs</w:t>
            </w:r>
            <w:r w:rsidR="00187E05">
              <w:t xml:space="preserve"> although</w:t>
            </w:r>
            <w:r w:rsidR="00077527">
              <w:t xml:space="preserve"> this was based on evidence that </w:t>
            </w:r>
            <w:r w:rsidR="00995CDC">
              <w:t>combined the results of haemophilia A and haemophilia B patients</w:t>
            </w:r>
            <w:r w:rsidR="00AE432B">
              <w:t xml:space="preserve">. MSAC also considered that </w:t>
            </w:r>
            <w:r w:rsidR="00187E05">
              <w:t xml:space="preserve">concizumab reduced </w:t>
            </w:r>
            <w:r w:rsidR="00B31785">
              <w:t xml:space="preserve">treatment burden in the small </w:t>
            </w:r>
            <w:r w:rsidR="003C7BC7">
              <w:rPr>
                <w:rFonts w:eastAsia="Calibri" w:cs="Times New Roman"/>
                <w:bCs/>
              </w:rPr>
              <w:t>haemophilia B with inhibitors</w:t>
            </w:r>
            <w:r w:rsidR="00B31785">
              <w:t xml:space="preserve"> population who currently do not have access to a regular preventative </w:t>
            </w:r>
            <w:r w:rsidR="007C5540">
              <w:t xml:space="preserve">treatment option and have a high unmet clinical need. </w:t>
            </w:r>
            <w:r w:rsidR="00223B91">
              <w:t xml:space="preserve">MSAC did not support listing </w:t>
            </w:r>
            <w:r w:rsidR="00BF39F4">
              <w:t xml:space="preserve">of concizumab </w:t>
            </w:r>
            <w:r w:rsidR="00223B91">
              <w:t xml:space="preserve">for </w:t>
            </w:r>
            <w:r w:rsidR="00223B91" w:rsidRPr="7708A4A6">
              <w:t xml:space="preserve">patients </w:t>
            </w:r>
            <w:r w:rsidR="00BF39F4" w:rsidRPr="00DE50BC">
              <w:t xml:space="preserve">≥12 years of age </w:t>
            </w:r>
            <w:r w:rsidR="00223B91" w:rsidRPr="7708A4A6">
              <w:t xml:space="preserve">with </w:t>
            </w:r>
            <w:r w:rsidR="00351EC9">
              <w:rPr>
                <w:rFonts w:eastAsia="Calibri" w:cs="Times New Roman"/>
                <w:bCs/>
              </w:rPr>
              <w:t>haemophilia B</w:t>
            </w:r>
            <w:r w:rsidR="00223B91">
              <w:t xml:space="preserve"> without inhibitors</w:t>
            </w:r>
            <w:r w:rsidR="0029166F">
              <w:t xml:space="preserve"> as </w:t>
            </w:r>
            <w:r w:rsidR="00452C42">
              <w:t>it</w:t>
            </w:r>
            <w:r w:rsidR="008B34DF">
              <w:t xml:space="preserve"> considered that the available evidence </w:t>
            </w:r>
            <w:r w:rsidR="00946251">
              <w:t xml:space="preserve">showed that </w:t>
            </w:r>
            <w:r w:rsidR="008B34DF">
              <w:t xml:space="preserve">concizumab </w:t>
            </w:r>
            <w:r w:rsidR="00622CE9">
              <w:t xml:space="preserve">was not as effective </w:t>
            </w:r>
            <w:r w:rsidR="008B34DF">
              <w:t xml:space="preserve">as </w:t>
            </w:r>
            <w:r w:rsidR="00622CE9">
              <w:t xml:space="preserve">current treatments </w:t>
            </w:r>
            <w:r w:rsidR="008576E0">
              <w:t xml:space="preserve">and </w:t>
            </w:r>
            <w:r w:rsidR="00AB1607">
              <w:t xml:space="preserve">some patients may </w:t>
            </w:r>
            <w:r w:rsidR="00572057">
              <w:t>have more bleeds with concizumab</w:t>
            </w:r>
            <w:r w:rsidR="008B34DF">
              <w:t>.</w:t>
            </w:r>
          </w:p>
        </w:tc>
      </w:tr>
    </w:tbl>
    <w:p w14:paraId="4B3F1B9A" w14:textId="77777777" w:rsidR="00D03C49" w:rsidRPr="005B6EFD" w:rsidRDefault="00D03C49" w:rsidP="00F1192D">
      <w:pPr>
        <w:pStyle w:val="Heading2"/>
        <w:numPr>
          <w:ilvl w:val="0"/>
          <w:numId w:val="31"/>
        </w:numPr>
        <w:ind w:left="709" w:hanging="709"/>
      </w:pPr>
      <w:r w:rsidRPr="005B6EFD">
        <w:t>Summary of consideration and rationale for MSAC’s advice</w:t>
      </w:r>
    </w:p>
    <w:p w14:paraId="71EE2774" w14:textId="4AE797A2" w:rsidR="00294425" w:rsidRDefault="0034304E" w:rsidP="0034304E">
      <w:r>
        <w:t>MSAC noted that this application from Novo Nordisk request</w:t>
      </w:r>
      <w:r w:rsidR="00DF426F">
        <w:t>ed</w:t>
      </w:r>
      <w:r>
        <w:t xml:space="preserve"> listing of concizumab </w:t>
      </w:r>
      <w:r w:rsidR="004A755B">
        <w:t xml:space="preserve">(Alhemo®) </w:t>
      </w:r>
      <w:r>
        <w:t>on the National Blood Authority</w:t>
      </w:r>
      <w:r w:rsidR="00864659">
        <w:t>’s</w:t>
      </w:r>
      <w:r>
        <w:t xml:space="preserve"> (NBA</w:t>
      </w:r>
      <w:r w:rsidR="00864659">
        <w:t>’s</w:t>
      </w:r>
      <w:r>
        <w:t xml:space="preserve">) National Product Price List (NPPL) for </w:t>
      </w:r>
      <w:r w:rsidR="001D3E2E">
        <w:t xml:space="preserve">patients </w:t>
      </w:r>
      <w:r w:rsidR="001542BA">
        <w:t xml:space="preserve">≥12 years of age with congenital haemophilia B (HMB), with (HMBwI) or without inhibitors, who require prophylaxis. </w:t>
      </w:r>
    </w:p>
    <w:p w14:paraId="752EF42F" w14:textId="43CFF620" w:rsidR="000A67F6" w:rsidRPr="00993364" w:rsidRDefault="00326B67" w:rsidP="0034304E">
      <w:r>
        <w:t>Concizumab is a monoclonal antibody that targets tissue factor pathway inhibitor (TFPI), a regulator of the coagulation process. By binding to TFPI, concizumab enhances coagulation through directly preventing Factor Xa (FXa) inhibition and indirectly preventing activated Factor VII (FVIIa) inhibition. As concizumab’s mechanism of action is independent of Factor IX (FIX) and Factor FVIII (FVIII), its effectiveness is not affected by the presence of inhibitors to these factors.</w:t>
      </w:r>
    </w:p>
    <w:p w14:paraId="22616275" w14:textId="4AD8FA34" w:rsidR="004640A8" w:rsidRPr="002D3CB9" w:rsidRDefault="00BB7174" w:rsidP="0034304E">
      <w:r>
        <w:t xml:space="preserve">MSAC also noted the position of the pre-MSAC response that the </w:t>
      </w:r>
      <w:r w:rsidR="000D6706">
        <w:t xml:space="preserve">comparator for </w:t>
      </w:r>
      <w:r w:rsidR="00C8565C">
        <w:t xml:space="preserve">the </w:t>
      </w:r>
      <w:r w:rsidR="00951384">
        <w:t>HMB</w:t>
      </w:r>
      <w:r w:rsidR="00235F83">
        <w:t>wI</w:t>
      </w:r>
      <w:r w:rsidR="00951384">
        <w:t xml:space="preserve"> population should be both on-demand </w:t>
      </w:r>
      <w:r w:rsidR="00F40B4F">
        <w:t>therapy with bypassing agents (BPAs) and short-term prophylaxis. However</w:t>
      </w:r>
      <w:r w:rsidR="0042019D">
        <w:t>,</w:t>
      </w:r>
      <w:r w:rsidR="00F40B4F">
        <w:t xml:space="preserve"> MSAC agreed with ESC that the appropriate comparator for this population</w:t>
      </w:r>
      <w:r w:rsidR="0034304E" w:rsidRPr="002D3CB9" w:rsidDel="003D6E41">
        <w:t xml:space="preserve"> was </w:t>
      </w:r>
      <w:r w:rsidR="00F40B4F">
        <w:t>on-demand therapy</w:t>
      </w:r>
      <w:r w:rsidR="00712796">
        <w:t xml:space="preserve"> with BPAs</w:t>
      </w:r>
      <w:r w:rsidR="00953563">
        <w:t>.</w:t>
      </w:r>
      <w:r w:rsidR="00F40B4F">
        <w:t xml:space="preserve"> </w:t>
      </w:r>
    </w:p>
    <w:p w14:paraId="1213A4CA" w14:textId="61BE8933" w:rsidR="0034304E" w:rsidRDefault="0034304E" w:rsidP="0034304E">
      <w:r>
        <w:t>MSAC noted that consultation feedback</w:t>
      </w:r>
      <w:r w:rsidR="006B3E86">
        <w:t>,</w:t>
      </w:r>
      <w:r>
        <w:t xml:space="preserve"> including from </w:t>
      </w:r>
      <w:r w:rsidR="00871381">
        <w:t xml:space="preserve">patients </w:t>
      </w:r>
      <w:r>
        <w:t xml:space="preserve">who </w:t>
      </w:r>
      <w:r w:rsidR="00871381">
        <w:t xml:space="preserve">had </w:t>
      </w:r>
      <w:r>
        <w:t>received concizumab in clinical trials</w:t>
      </w:r>
      <w:r w:rsidR="006759CA">
        <w:t xml:space="preserve"> and </w:t>
      </w:r>
      <w:r>
        <w:t xml:space="preserve">from Haemophilia Foundation Australia </w:t>
      </w:r>
      <w:r w:rsidR="006759CA">
        <w:t>(HFA),</w:t>
      </w:r>
      <w:r>
        <w:t xml:space="preserve"> was supportive of listing for the HMBwI population. </w:t>
      </w:r>
      <w:r w:rsidR="00D012E0">
        <w:t>MSAC noted that the f</w:t>
      </w:r>
      <w:r>
        <w:t xml:space="preserve">eedback </w:t>
      </w:r>
      <w:r w:rsidR="00A31E62">
        <w:t xml:space="preserve">highlighted </w:t>
      </w:r>
      <w:r>
        <w:t xml:space="preserve">benefits to patient convenience, </w:t>
      </w:r>
      <w:r w:rsidR="00B01527">
        <w:t xml:space="preserve">including </w:t>
      </w:r>
      <w:r>
        <w:t>eas</w:t>
      </w:r>
      <w:r w:rsidR="00601F27">
        <w:t>e of</w:t>
      </w:r>
      <w:r>
        <w:t xml:space="preserve"> administration </w:t>
      </w:r>
      <w:r w:rsidR="002E46A3">
        <w:t xml:space="preserve">via subcutaneous injection </w:t>
      </w:r>
      <w:r w:rsidR="005A006F">
        <w:t>(especially for those with reduced manual dexterity)</w:t>
      </w:r>
      <w:r w:rsidR="002E46A3">
        <w:t xml:space="preserve"> </w:t>
      </w:r>
      <w:r w:rsidR="00843AFA">
        <w:t xml:space="preserve">allowing for </w:t>
      </w:r>
      <w:r w:rsidR="00E7656A">
        <w:t xml:space="preserve">self-administration and </w:t>
      </w:r>
      <w:r w:rsidR="00843AFA">
        <w:t>better self-management</w:t>
      </w:r>
      <w:r w:rsidR="005E29DB">
        <w:t>,</w:t>
      </w:r>
      <w:r w:rsidR="00843AFA">
        <w:t xml:space="preserve"> </w:t>
      </w:r>
      <w:r w:rsidR="0043542E">
        <w:t>and reduced treatment burden compared with</w:t>
      </w:r>
      <w:r>
        <w:t xml:space="preserve"> </w:t>
      </w:r>
      <w:r w:rsidR="00DF3C91">
        <w:t xml:space="preserve">travelling </w:t>
      </w:r>
      <w:r w:rsidR="00E557D4">
        <w:t xml:space="preserve">to </w:t>
      </w:r>
      <w:r w:rsidR="00CD1AC5">
        <w:t xml:space="preserve">and attending </w:t>
      </w:r>
      <w:r w:rsidR="002C3BD9">
        <w:t xml:space="preserve">treatment centres </w:t>
      </w:r>
      <w:r w:rsidR="00DF3C91">
        <w:t xml:space="preserve">for </w:t>
      </w:r>
      <w:r>
        <w:t xml:space="preserve">intravenous </w:t>
      </w:r>
      <w:r w:rsidR="0043542E">
        <w:t>therapies</w:t>
      </w:r>
      <w:r>
        <w:t xml:space="preserve">. </w:t>
      </w:r>
      <w:r w:rsidR="00CD3BE3">
        <w:t xml:space="preserve">MSAC also noted </w:t>
      </w:r>
      <w:r w:rsidR="009E7910">
        <w:t>the</w:t>
      </w:r>
      <w:r>
        <w:t xml:space="preserve"> feedback </w:t>
      </w:r>
      <w:r w:rsidR="009E7910">
        <w:t>on reported improvements in</w:t>
      </w:r>
      <w:r w:rsidR="377A7F67">
        <w:t xml:space="preserve"> quality of life</w:t>
      </w:r>
      <w:r w:rsidR="009E7910">
        <w:t xml:space="preserve"> </w:t>
      </w:r>
      <w:r w:rsidR="5C0F6F64">
        <w:t>(</w:t>
      </w:r>
      <w:r w:rsidR="009E7910">
        <w:t>QoL</w:t>
      </w:r>
      <w:r w:rsidR="430EE814">
        <w:t>)</w:t>
      </w:r>
      <w:r w:rsidR="00AA286E">
        <w:t xml:space="preserve"> and independence. </w:t>
      </w:r>
      <w:r w:rsidR="0079101C">
        <w:t>In addition, consultation feedback identified potential equity benefits</w:t>
      </w:r>
      <w:r w:rsidR="005D784B">
        <w:t xml:space="preserve">, particularly </w:t>
      </w:r>
      <w:r w:rsidR="003331B0">
        <w:t>improved access for patient</w:t>
      </w:r>
      <w:r w:rsidR="00FF7CAD">
        <w:t xml:space="preserve">s in regional and remote areas and </w:t>
      </w:r>
      <w:r w:rsidR="004C7151">
        <w:t xml:space="preserve">a </w:t>
      </w:r>
      <w:r w:rsidR="00FF7CAD">
        <w:t xml:space="preserve">broader </w:t>
      </w:r>
      <w:r w:rsidR="004C7151">
        <w:t xml:space="preserve">range </w:t>
      </w:r>
      <w:r w:rsidR="00FF7CAD">
        <w:t xml:space="preserve">of treatment options for </w:t>
      </w:r>
      <w:r>
        <w:t>haemophilia patients.</w:t>
      </w:r>
    </w:p>
    <w:p w14:paraId="1D620ED5" w14:textId="658BB0EC" w:rsidR="003D6E41" w:rsidRDefault="003D6E41" w:rsidP="003D6E41">
      <w:r>
        <w:t xml:space="preserve">The applicant was granted a hearing. At the hearing, representatives of the applicant emphasised the rarity of HMBwI, noting that the eligible population in Australia is small </w:t>
      </w:r>
      <w:r w:rsidR="0092270F">
        <w:t>(</w:t>
      </w:r>
      <w:r w:rsidR="00263D83">
        <w:t>fewer</w:t>
      </w:r>
      <w:r w:rsidR="0092270F">
        <w:t xml:space="preserve"> than </w:t>
      </w:r>
      <w:r w:rsidR="00AD4D39">
        <w:rPr>
          <w:b/>
        </w:rPr>
        <w:t>redacted</w:t>
      </w:r>
      <w:r w:rsidR="0092270F">
        <w:t xml:space="preserve"> patients)</w:t>
      </w:r>
      <w:r w:rsidR="000674CC">
        <w:t>.</w:t>
      </w:r>
      <w:r w:rsidR="0092270F">
        <w:t xml:space="preserve"> </w:t>
      </w:r>
      <w:r w:rsidR="00FA5CE7">
        <w:t xml:space="preserve">The applicant’s clinical expert </w:t>
      </w:r>
      <w:r>
        <w:t>advised that it was highly unlikely the estimated number of patients will increase substantially in the foreseeable future. The hearing highlighted the significant unmet clinical need for patients with HMBwI, given the lack of effective prophyla</w:t>
      </w:r>
      <w:r w:rsidR="00E17FBE">
        <w:t>xis</w:t>
      </w:r>
      <w:r>
        <w:t>. Representatives also noted that concizumab, as a subcutaneous therapy, may reduce treatment burden and improve QoL, with patient preference driven by ease of administration.</w:t>
      </w:r>
    </w:p>
    <w:p w14:paraId="7934D2A6" w14:textId="56C5D681" w:rsidR="00642826" w:rsidRDefault="000016B4" w:rsidP="0034304E">
      <w:r>
        <w:t>M</w:t>
      </w:r>
      <w:r w:rsidR="0034304E">
        <w:t xml:space="preserve">SAC noted the evidence base supporting the application </w:t>
      </w:r>
      <w:r w:rsidR="000908FD">
        <w:t>comprised</w:t>
      </w:r>
      <w:r w:rsidR="00F5358A">
        <w:t xml:space="preserve"> the Explorer trial </w:t>
      </w:r>
      <w:r w:rsidR="00F47994">
        <w:t>series</w:t>
      </w:r>
      <w:r w:rsidR="00F5358A">
        <w:t xml:space="preserve"> </w:t>
      </w:r>
      <w:r w:rsidR="00AD64D6">
        <w:t>(Explorer</w:t>
      </w:r>
      <w:r w:rsidR="00DE1E37">
        <w:t>6,</w:t>
      </w:r>
      <w:r w:rsidR="00B75CCA">
        <w:t xml:space="preserve"> </w:t>
      </w:r>
      <w:r w:rsidR="00DE1E37">
        <w:t>-7</w:t>
      </w:r>
      <w:r w:rsidR="006A6C99">
        <w:t xml:space="preserve"> and -8)</w:t>
      </w:r>
      <w:r w:rsidR="00F5358A">
        <w:t>.</w:t>
      </w:r>
      <w:r w:rsidR="0034304E">
        <w:t xml:space="preserve"> </w:t>
      </w:r>
      <w:r w:rsidR="00834C65">
        <w:t>For the HMBwI population, the clinical evidence for the effectiveness of concizumab was informed by</w:t>
      </w:r>
      <w:r w:rsidR="00701259">
        <w:t xml:space="preserve"> </w:t>
      </w:r>
      <w:r w:rsidR="00834C65">
        <w:t xml:space="preserve">Explorer6 </w:t>
      </w:r>
      <w:r w:rsidR="00701259">
        <w:t xml:space="preserve">and </w:t>
      </w:r>
      <w:r w:rsidR="00834C65">
        <w:t>Explorer7</w:t>
      </w:r>
      <w:r w:rsidR="00701259">
        <w:t xml:space="preserve"> studies.</w:t>
      </w:r>
      <w:r w:rsidR="00716A07">
        <w:t xml:space="preserve"> These studies included both HMB and </w:t>
      </w:r>
      <w:r w:rsidR="008814FB">
        <w:t>Haemophilia A (</w:t>
      </w:r>
      <w:r w:rsidR="00716A07">
        <w:t>HMA</w:t>
      </w:r>
      <w:r w:rsidR="008814FB">
        <w:t>)</w:t>
      </w:r>
      <w:r w:rsidR="00987A58">
        <w:t xml:space="preserve"> populations</w:t>
      </w:r>
      <w:r w:rsidR="00247588">
        <w:t>.</w:t>
      </w:r>
      <w:r w:rsidR="00B7420E">
        <w:t xml:space="preserve"> MSAC noted the lack of information on the</w:t>
      </w:r>
      <w:r w:rsidR="0034304E">
        <w:t xml:space="preserve"> types </w:t>
      </w:r>
      <w:r w:rsidR="00740B49">
        <w:t>of prophylaxis</w:t>
      </w:r>
      <w:r w:rsidR="0034304E">
        <w:t xml:space="preserve"> (standard half-life [SHL] or extended half-life [EHL]) and frequency of prophylaxis used</w:t>
      </w:r>
      <w:r w:rsidR="00B7420E">
        <w:t xml:space="preserve"> in the trials</w:t>
      </w:r>
      <w:r w:rsidR="0034304E">
        <w:t>, a</w:t>
      </w:r>
      <w:r w:rsidR="008A6F64">
        <w:t xml:space="preserve">nd that it was unclear </w:t>
      </w:r>
      <w:r w:rsidR="00A44C34">
        <w:t>whether</w:t>
      </w:r>
      <w:r w:rsidR="00A13E10">
        <w:t xml:space="preserve"> the trial practice</w:t>
      </w:r>
      <w:r w:rsidR="00237722">
        <w:t xml:space="preserve"> reflected Australian standards of care.</w:t>
      </w:r>
      <w:r w:rsidR="00EA0016">
        <w:t xml:space="preserve"> MSAC also noted </w:t>
      </w:r>
      <w:r w:rsidR="002322CE">
        <w:t xml:space="preserve">concerns </w:t>
      </w:r>
      <w:r w:rsidR="0075672E">
        <w:t>that</w:t>
      </w:r>
      <w:r w:rsidR="002322CE">
        <w:t xml:space="preserve"> </w:t>
      </w:r>
      <w:r w:rsidR="5A40BBCA">
        <w:t>some additional or potential</w:t>
      </w:r>
      <w:r w:rsidR="00EA0016">
        <w:t xml:space="preserve"> comparators</w:t>
      </w:r>
      <w:r w:rsidR="002322CE">
        <w:t xml:space="preserve"> (such as emerging non-factor therapies) were not included, and that the comparator selection did not </w:t>
      </w:r>
      <w:r w:rsidR="00FC5097">
        <w:t xml:space="preserve">adequately </w:t>
      </w:r>
      <w:r w:rsidR="002322CE">
        <w:t xml:space="preserve">align with the PICO. </w:t>
      </w:r>
      <w:r w:rsidR="0034304E">
        <w:t xml:space="preserve">Therefore, MSAC considered that </w:t>
      </w:r>
      <w:r w:rsidR="003E6CBD">
        <w:t xml:space="preserve">this limited the </w:t>
      </w:r>
      <w:r w:rsidR="0034304E">
        <w:t>applicability of the evidence base to the Australian setting.</w:t>
      </w:r>
      <w:r w:rsidR="004A698D">
        <w:t xml:space="preserve"> </w:t>
      </w:r>
    </w:p>
    <w:p w14:paraId="7558E80F" w14:textId="7EC2FA1C" w:rsidR="00EF46DD" w:rsidRDefault="00EF46DD" w:rsidP="0034304E">
      <w:pPr>
        <w:rPr>
          <w:bCs/>
        </w:rPr>
      </w:pPr>
      <w:r>
        <w:rPr>
          <w:bCs/>
        </w:rPr>
        <w:t xml:space="preserve">MSAC </w:t>
      </w:r>
      <w:r w:rsidR="001F595F">
        <w:rPr>
          <w:bCs/>
        </w:rPr>
        <w:t>considered the safety evidence was limited and non-comparative. MSAC considered non-inferior safety compared with SOC was not established</w:t>
      </w:r>
      <w:r>
        <w:rPr>
          <w:bCs/>
        </w:rPr>
        <w:t xml:space="preserve">. </w:t>
      </w:r>
      <w:r w:rsidR="008F785C">
        <w:rPr>
          <w:bCs/>
        </w:rPr>
        <w:t xml:space="preserve">The Explorer7 &amp; 8 trials, encompassing </w:t>
      </w:r>
      <w:r>
        <w:rPr>
          <w:bCs/>
        </w:rPr>
        <w:t xml:space="preserve">both </w:t>
      </w:r>
      <w:r w:rsidR="003F00F4">
        <w:rPr>
          <w:bCs/>
        </w:rPr>
        <w:t xml:space="preserve">patients with </w:t>
      </w:r>
      <w:r>
        <w:rPr>
          <w:bCs/>
        </w:rPr>
        <w:t xml:space="preserve">HMA and HMB (both with and without inhibitors), reported a thrombosis risk </w:t>
      </w:r>
      <w:r w:rsidR="0093434C">
        <w:rPr>
          <w:bCs/>
        </w:rPr>
        <w:t xml:space="preserve">with concizumab </w:t>
      </w:r>
      <w:r>
        <w:rPr>
          <w:bCs/>
        </w:rPr>
        <w:t xml:space="preserve">(non-fatal thromboembolic events), which led to temporary trial suspension and subsequent protocol modifications (including dose titration and monitoring), after which no further events were reported. MSAC also noted hypersensitivity and injection site reactions leading to treatment discontinuation in a small proportion of patients. </w:t>
      </w:r>
      <w:r w:rsidR="00662259">
        <w:rPr>
          <w:bCs/>
        </w:rPr>
        <w:t>MSAC considered that the safety profile appeared to be acceptable in the context of a severe and moderately severe haemophilia population.</w:t>
      </w:r>
    </w:p>
    <w:p w14:paraId="74F0EB22" w14:textId="6BF0FA97" w:rsidR="00F10C94" w:rsidRDefault="00DB35B3">
      <w:r>
        <w:t xml:space="preserve">For </w:t>
      </w:r>
      <w:r w:rsidR="00C313A3">
        <w:t xml:space="preserve">the </w:t>
      </w:r>
      <w:r w:rsidR="00AF77D3">
        <w:t xml:space="preserve">patients with </w:t>
      </w:r>
      <w:r>
        <w:t xml:space="preserve">HMBwI, </w:t>
      </w:r>
      <w:r w:rsidR="001A1A2B">
        <w:t>MSAC noted that</w:t>
      </w:r>
      <w:r w:rsidR="008338B6">
        <w:t xml:space="preserve"> annualised bleed rate (ABR) was lower with concizumab </w:t>
      </w:r>
      <w:r w:rsidR="00EF271C">
        <w:t xml:space="preserve">than with on-demand treatment </w:t>
      </w:r>
      <w:r w:rsidR="008338B6">
        <w:t>(</w:t>
      </w:r>
      <w:r w:rsidR="006B325C">
        <w:t xml:space="preserve">2.2 vs 7.2), but </w:t>
      </w:r>
      <w:r w:rsidR="001A0ADB">
        <w:t xml:space="preserve">that </w:t>
      </w:r>
      <w:r w:rsidR="006B325C">
        <w:t>this reduction was not statistically signif</w:t>
      </w:r>
      <w:r w:rsidR="007C7A8B">
        <w:t>icant</w:t>
      </w:r>
      <w:r w:rsidR="00054703">
        <w:t>.</w:t>
      </w:r>
      <w:r w:rsidR="00F20CB1">
        <w:t xml:space="preserve"> </w:t>
      </w:r>
      <w:r w:rsidR="00A06E60">
        <w:t xml:space="preserve">MSAC noted that </w:t>
      </w:r>
      <w:r w:rsidR="00D1680E">
        <w:t xml:space="preserve">a statistically significant reduction in the ABR was only observed when HMA and HMB </w:t>
      </w:r>
      <w:r w:rsidR="00445CE5">
        <w:t>populations</w:t>
      </w:r>
      <w:r w:rsidR="00D1680E">
        <w:t xml:space="preserve"> were combined and was driven primar</w:t>
      </w:r>
      <w:r w:rsidR="00937AAD">
        <w:t>ily</w:t>
      </w:r>
      <w:r w:rsidR="00D1680E">
        <w:t xml:space="preserve"> </w:t>
      </w:r>
      <w:r w:rsidR="00445CE5">
        <w:t>b</w:t>
      </w:r>
      <w:r w:rsidR="00937AAD">
        <w:t>y</w:t>
      </w:r>
      <w:r w:rsidR="00D1680E">
        <w:t xml:space="preserve"> the HMAwI su</w:t>
      </w:r>
      <w:r w:rsidR="004A7627">
        <w:t>bgroup.</w:t>
      </w:r>
      <w:r w:rsidR="008521AA">
        <w:t xml:space="preserve"> MSAC therefore considered the evidence </w:t>
      </w:r>
      <w:r w:rsidR="00FD5BB7">
        <w:t>did not</w:t>
      </w:r>
      <w:r w:rsidR="001173E0">
        <w:t xml:space="preserve"> support</w:t>
      </w:r>
      <w:r w:rsidR="00FD5BB7">
        <w:t xml:space="preserve"> the claim of superior</w:t>
      </w:r>
      <w:r w:rsidR="008521AA">
        <w:t xml:space="preserve"> </w:t>
      </w:r>
      <w:r w:rsidR="00211A1E">
        <w:t xml:space="preserve">comparative </w:t>
      </w:r>
      <w:r w:rsidR="008A377B">
        <w:t>effectiveness</w:t>
      </w:r>
      <w:r w:rsidR="008521AA">
        <w:t xml:space="preserve"> in HMBwI</w:t>
      </w:r>
      <w:r w:rsidR="00DD5A0B">
        <w:t xml:space="preserve">, although point estimates suggested improved bleeding control compared with no prophylaxis. MSAC noted that QoL data </w:t>
      </w:r>
      <w:r w:rsidR="00AB480D">
        <w:t>favoured concizumab but</w:t>
      </w:r>
      <w:r w:rsidR="00DD5A0B">
        <w:t xml:space="preserve"> were subjected to potential b</w:t>
      </w:r>
      <w:r w:rsidR="00EA2FF4">
        <w:t>i</w:t>
      </w:r>
      <w:r w:rsidR="00DD5A0B">
        <w:t>as due to small sample size</w:t>
      </w:r>
      <w:r w:rsidR="7D4548B8">
        <w:t>, selective reporting with substantial missing data</w:t>
      </w:r>
      <w:r w:rsidR="00DD5A0B">
        <w:t xml:space="preserve"> and open-label </w:t>
      </w:r>
      <w:r w:rsidR="00EA2FF4">
        <w:t xml:space="preserve">of the trial design. </w:t>
      </w:r>
      <w:r w:rsidR="008C1E1C">
        <w:t xml:space="preserve">However, MSAC noted that consumer feedback provided supportive </w:t>
      </w:r>
      <w:r w:rsidR="00484F66">
        <w:t>evidence of improved daily functioning, reduced treatment burden and increased convenience. MSAC acknowledged that, given the rarity of the HMBwI condition, more robust evidence is unlikely to be generated in the foreseeable future.</w:t>
      </w:r>
      <w:r w:rsidR="002F22F0">
        <w:t xml:space="preserve"> </w:t>
      </w:r>
      <w:r w:rsidR="0009127D">
        <w:t>MSAC considered that the clinical claim of superior efficacy for HMBwI patients was not established and instead considered that concizumab may have similar efficacy compared with on-demand therapy using BPAs</w:t>
      </w:r>
      <w:r w:rsidR="00F127DB">
        <w:t xml:space="preserve">. </w:t>
      </w:r>
      <w:r w:rsidR="002F22F0">
        <w:t>MSAC considered the clinical evidence for HMBwI was acceptable in the context of a very small patient population with a high clinical need for a treatment to prevent bleeds.</w:t>
      </w:r>
    </w:p>
    <w:p w14:paraId="69E4F48C" w14:textId="19974BE4" w:rsidR="00FA25FF" w:rsidRDefault="00BB1A81" w:rsidP="00BB1A81">
      <w:pPr>
        <w:rPr>
          <w:bCs/>
        </w:rPr>
      </w:pPr>
      <w:r>
        <w:rPr>
          <w:bCs/>
        </w:rPr>
        <w:t xml:space="preserve">For </w:t>
      </w:r>
      <w:r w:rsidR="003F00F4">
        <w:rPr>
          <w:bCs/>
        </w:rPr>
        <w:t xml:space="preserve">patients with </w:t>
      </w:r>
      <w:r>
        <w:rPr>
          <w:bCs/>
        </w:rPr>
        <w:t xml:space="preserve">HMB without inhibitors, </w:t>
      </w:r>
      <w:r w:rsidR="00103E48">
        <w:rPr>
          <w:bCs/>
        </w:rPr>
        <w:t xml:space="preserve">MSAC considered that the clinical evidence did not support the claim of non-inferior effectiveness </w:t>
      </w:r>
      <w:r w:rsidR="0044714D">
        <w:rPr>
          <w:bCs/>
        </w:rPr>
        <w:t xml:space="preserve">compared with </w:t>
      </w:r>
      <w:r w:rsidR="001A036A">
        <w:rPr>
          <w:bCs/>
        </w:rPr>
        <w:t>FIX prophylaxis. MSAC noted that the comparisons were</w:t>
      </w:r>
      <w:r w:rsidR="001C7D84">
        <w:rPr>
          <w:bCs/>
        </w:rPr>
        <w:t xml:space="preserve"> based on </w:t>
      </w:r>
      <w:r w:rsidR="00187844">
        <w:rPr>
          <w:bCs/>
        </w:rPr>
        <w:t>historical</w:t>
      </w:r>
      <w:r w:rsidR="001C7D84">
        <w:rPr>
          <w:bCs/>
        </w:rPr>
        <w:t xml:space="preserve"> within-patient </w:t>
      </w:r>
      <w:r w:rsidR="00187844">
        <w:rPr>
          <w:bCs/>
        </w:rPr>
        <w:t>data</w:t>
      </w:r>
      <w:r w:rsidR="001C7D84">
        <w:rPr>
          <w:bCs/>
        </w:rPr>
        <w:t xml:space="preserve"> (Explorer</w:t>
      </w:r>
      <w:r w:rsidR="004C2A79">
        <w:rPr>
          <w:bCs/>
        </w:rPr>
        <w:t xml:space="preserve">6 vs Explorer8), and that </w:t>
      </w:r>
      <w:r w:rsidR="00DF014D">
        <w:rPr>
          <w:bCs/>
        </w:rPr>
        <w:t xml:space="preserve">mean ABR </w:t>
      </w:r>
      <w:r>
        <w:rPr>
          <w:bCs/>
        </w:rPr>
        <w:t>was higher for concizumab</w:t>
      </w:r>
      <w:r w:rsidR="00220702">
        <w:rPr>
          <w:bCs/>
        </w:rPr>
        <w:t xml:space="preserve"> (5.2 vs 3.1)</w:t>
      </w:r>
      <w:r w:rsidR="008B6C08">
        <w:rPr>
          <w:bCs/>
        </w:rPr>
        <w:t xml:space="preserve"> with the upper bound of the confidence interval</w:t>
      </w:r>
      <w:r w:rsidR="00D24802">
        <w:rPr>
          <w:bCs/>
        </w:rPr>
        <w:t xml:space="preserve"> of the ABR</w:t>
      </w:r>
      <w:r w:rsidR="00394CB7">
        <w:rPr>
          <w:bCs/>
        </w:rPr>
        <w:t xml:space="preserve"> ratio</w:t>
      </w:r>
      <w:r w:rsidR="00D24802">
        <w:rPr>
          <w:bCs/>
        </w:rPr>
        <w:t xml:space="preserve"> </w:t>
      </w:r>
      <w:r w:rsidR="00220702">
        <w:rPr>
          <w:bCs/>
        </w:rPr>
        <w:t xml:space="preserve">exceeding </w:t>
      </w:r>
      <w:r w:rsidR="00D014F1">
        <w:rPr>
          <w:bCs/>
        </w:rPr>
        <w:t>the pre-specified non-inferiority margin</w:t>
      </w:r>
      <w:r w:rsidR="0055540E">
        <w:rPr>
          <w:bCs/>
        </w:rPr>
        <w:t>.</w:t>
      </w:r>
      <w:r w:rsidR="001E6E98">
        <w:rPr>
          <w:bCs/>
        </w:rPr>
        <w:t xml:space="preserve"> </w:t>
      </w:r>
      <w:r w:rsidR="00FA25FF">
        <w:rPr>
          <w:bCs/>
        </w:rPr>
        <w:t xml:space="preserve">MSAC </w:t>
      </w:r>
      <w:r w:rsidR="008B2EA8">
        <w:rPr>
          <w:bCs/>
        </w:rPr>
        <w:t xml:space="preserve">considered the analysis excluding </w:t>
      </w:r>
      <w:r w:rsidR="00C250D7">
        <w:rPr>
          <w:bCs/>
        </w:rPr>
        <w:t xml:space="preserve">an outlier (one patient with a </w:t>
      </w:r>
      <w:r w:rsidR="00806D5D">
        <w:rPr>
          <w:bCs/>
        </w:rPr>
        <w:t>large increase in bleed</w:t>
      </w:r>
      <w:r w:rsidR="00F57E01">
        <w:rPr>
          <w:bCs/>
        </w:rPr>
        <w:t xml:space="preserve">s </w:t>
      </w:r>
      <w:r w:rsidR="00635548">
        <w:rPr>
          <w:bCs/>
        </w:rPr>
        <w:t>on</w:t>
      </w:r>
      <w:r w:rsidR="00F57E01">
        <w:rPr>
          <w:bCs/>
        </w:rPr>
        <w:t xml:space="preserve"> concizumab) </w:t>
      </w:r>
      <w:r w:rsidR="00635548">
        <w:rPr>
          <w:bCs/>
        </w:rPr>
        <w:t>was</w:t>
      </w:r>
      <w:r w:rsidR="00FA25FF">
        <w:rPr>
          <w:bCs/>
        </w:rPr>
        <w:t xml:space="preserve"> </w:t>
      </w:r>
      <w:r w:rsidR="00635548">
        <w:rPr>
          <w:bCs/>
        </w:rPr>
        <w:t>not</w:t>
      </w:r>
      <w:r w:rsidR="00FA25FF">
        <w:rPr>
          <w:bCs/>
        </w:rPr>
        <w:t xml:space="preserve"> appropriate, as such variability would be expected </w:t>
      </w:r>
      <w:r w:rsidR="006A1856">
        <w:rPr>
          <w:bCs/>
        </w:rPr>
        <w:t xml:space="preserve">in </w:t>
      </w:r>
      <w:r w:rsidR="00C305BD">
        <w:rPr>
          <w:bCs/>
        </w:rPr>
        <w:t xml:space="preserve">clinical practice and would </w:t>
      </w:r>
      <w:r w:rsidR="003F2BD7">
        <w:rPr>
          <w:bCs/>
        </w:rPr>
        <w:t>have an impact on measured</w:t>
      </w:r>
      <w:r w:rsidR="00C305BD">
        <w:rPr>
          <w:bCs/>
        </w:rPr>
        <w:t xml:space="preserve"> </w:t>
      </w:r>
      <w:r w:rsidR="004162CC">
        <w:rPr>
          <w:bCs/>
        </w:rPr>
        <w:t>effectiveness.</w:t>
      </w:r>
      <w:r w:rsidR="0050365D">
        <w:rPr>
          <w:bCs/>
        </w:rPr>
        <w:t xml:space="preserve"> </w:t>
      </w:r>
      <w:r w:rsidR="005A4AA4">
        <w:rPr>
          <w:bCs/>
        </w:rPr>
        <w:t xml:space="preserve">MSAC also noted significant variability in </w:t>
      </w:r>
      <w:r w:rsidR="00B5697A">
        <w:rPr>
          <w:bCs/>
        </w:rPr>
        <w:t>bleeding outcomes,</w:t>
      </w:r>
      <w:r w:rsidR="00D7210F">
        <w:rPr>
          <w:bCs/>
        </w:rPr>
        <w:t xml:space="preserve"> with some patients experiencing increased bleeding following transition to concizumab from FIX prophylaxis.</w:t>
      </w:r>
      <w:r w:rsidR="00497067">
        <w:rPr>
          <w:bCs/>
        </w:rPr>
        <w:t xml:space="preserve"> MSAC further considered that current Australian </w:t>
      </w:r>
      <w:r w:rsidR="00890359">
        <w:rPr>
          <w:bCs/>
        </w:rPr>
        <w:t>standard of care (SoC), includin</w:t>
      </w:r>
      <w:r w:rsidR="008E3B76">
        <w:rPr>
          <w:bCs/>
        </w:rPr>
        <w:t xml:space="preserve">g </w:t>
      </w:r>
      <w:r w:rsidR="00890359">
        <w:rPr>
          <w:bCs/>
        </w:rPr>
        <w:t>EHL</w:t>
      </w:r>
      <w:r w:rsidR="008E3B76">
        <w:rPr>
          <w:bCs/>
        </w:rPr>
        <w:t xml:space="preserve"> prophylaxis</w:t>
      </w:r>
      <w:r w:rsidR="00890359">
        <w:rPr>
          <w:bCs/>
        </w:rPr>
        <w:t>, may be more effective than the p</w:t>
      </w:r>
      <w:r w:rsidR="00E85A54">
        <w:rPr>
          <w:bCs/>
        </w:rPr>
        <w:t>r</w:t>
      </w:r>
      <w:r w:rsidR="00890359">
        <w:rPr>
          <w:bCs/>
        </w:rPr>
        <w:t>ophylaxis used in the Explorer trial series, suggesting</w:t>
      </w:r>
      <w:r w:rsidR="00804E63">
        <w:rPr>
          <w:bCs/>
        </w:rPr>
        <w:t xml:space="preserve"> that </w:t>
      </w:r>
      <w:r w:rsidR="00AB6875">
        <w:rPr>
          <w:bCs/>
        </w:rPr>
        <w:t xml:space="preserve">concizumab may be less effective </w:t>
      </w:r>
      <w:r w:rsidR="00C36A6D">
        <w:rPr>
          <w:bCs/>
        </w:rPr>
        <w:t xml:space="preserve">than existing treatments </w:t>
      </w:r>
      <w:r w:rsidR="003D2CCC">
        <w:rPr>
          <w:bCs/>
        </w:rPr>
        <w:t>for</w:t>
      </w:r>
      <w:r w:rsidR="00AB6875">
        <w:rPr>
          <w:bCs/>
        </w:rPr>
        <w:t xml:space="preserve"> Australian </w:t>
      </w:r>
      <w:r w:rsidR="006173DD">
        <w:rPr>
          <w:bCs/>
        </w:rPr>
        <w:t>patients with HMB</w:t>
      </w:r>
      <w:r w:rsidR="00AB6875">
        <w:rPr>
          <w:bCs/>
        </w:rPr>
        <w:t xml:space="preserve">. </w:t>
      </w:r>
    </w:p>
    <w:p w14:paraId="77800B8A" w14:textId="0BB3D8D6" w:rsidR="00147091" w:rsidRDefault="00147091" w:rsidP="5174EE7D">
      <w:r>
        <w:t>MSAC agreed with ESC on the requested re</w:t>
      </w:r>
      <w:r w:rsidR="0DDD655D">
        <w:t>-</w:t>
      </w:r>
      <w:r>
        <w:t>specifi</w:t>
      </w:r>
      <w:r w:rsidR="53BC3250">
        <w:t>ed</w:t>
      </w:r>
      <w:r>
        <w:t xml:space="preserve"> </w:t>
      </w:r>
      <w:r w:rsidR="002F34D6">
        <w:t xml:space="preserve">(see Table </w:t>
      </w:r>
      <w:r w:rsidR="00FB3AC0">
        <w:t>2</w:t>
      </w:r>
      <w:r w:rsidR="004572CE">
        <w:t>9</w:t>
      </w:r>
      <w:r w:rsidR="008B0329">
        <w:t>)</w:t>
      </w:r>
      <w:r>
        <w:t xml:space="preserve"> </w:t>
      </w:r>
      <w:r w:rsidR="1C8CDEDC">
        <w:t xml:space="preserve">economic evaluations </w:t>
      </w:r>
      <w:r w:rsidR="002F34D6">
        <w:t>undertaken</w:t>
      </w:r>
      <w:r w:rsidR="00B43160">
        <w:t xml:space="preserve"> by the </w:t>
      </w:r>
      <w:r w:rsidR="7C123051">
        <w:t>D</w:t>
      </w:r>
      <w:r w:rsidR="00B43160">
        <w:t>epartment</w:t>
      </w:r>
      <w:r w:rsidR="1CE1D513">
        <w:t>. These</w:t>
      </w:r>
      <w:r>
        <w:t xml:space="preserve"> </w:t>
      </w:r>
      <w:r w:rsidR="00752EBE">
        <w:t>includ</w:t>
      </w:r>
      <w:r w:rsidR="3E655B4D">
        <w:t>ed</w:t>
      </w:r>
      <w:r w:rsidR="00752EBE">
        <w:t xml:space="preserve"> that </w:t>
      </w:r>
      <w:r w:rsidR="00CB788A">
        <w:t>base</w:t>
      </w:r>
      <w:r w:rsidR="0054748B">
        <w:rPr>
          <w:rFonts w:ascii="Cambria Math" w:hAnsi="Cambria Math" w:cs="Cambria Math"/>
        </w:rPr>
        <w:t xml:space="preserve"> </w:t>
      </w:r>
      <w:r w:rsidR="00CB788A">
        <w:t>case economic evaluations presented to MSAC</w:t>
      </w:r>
      <w:r w:rsidR="00443DF8">
        <w:t xml:space="preserve"> for both populations </w:t>
      </w:r>
      <w:r w:rsidR="00CB788A">
        <w:t>should adopt a health system perspective and include all relevant costs, regardless of the payer. Thus</w:t>
      </w:r>
      <w:r w:rsidR="001A3EE5">
        <w:t>,</w:t>
      </w:r>
      <w:r w:rsidR="00CB788A">
        <w:t xml:space="preserve"> MSAC did not accept the applicant</w:t>
      </w:r>
      <w:r w:rsidR="00CB788A" w:rsidRPr="5174EE7D">
        <w:rPr>
          <w:rFonts w:cs="Franklin Gothic Book"/>
        </w:rPr>
        <w:t>’</w:t>
      </w:r>
      <w:r w:rsidR="00CB788A">
        <w:t>s argument that breakthrough bleed</w:t>
      </w:r>
      <w:r w:rsidR="00F85E83">
        <w:t>ing</w:t>
      </w:r>
      <w:r w:rsidR="00CB788A">
        <w:t xml:space="preserve"> costs should be excluded </w:t>
      </w:r>
      <w:r w:rsidR="009432BC">
        <w:t xml:space="preserve">from the economic evaluation </w:t>
      </w:r>
      <w:r w:rsidR="00300DC7">
        <w:t xml:space="preserve">for the </w:t>
      </w:r>
      <w:r w:rsidR="00100F32">
        <w:t>with</w:t>
      </w:r>
      <w:r w:rsidR="00516585">
        <w:t>-</w:t>
      </w:r>
      <w:r w:rsidR="00100F32">
        <w:t xml:space="preserve"> inhibitors population</w:t>
      </w:r>
      <w:r w:rsidR="009432BC">
        <w:t xml:space="preserve"> </w:t>
      </w:r>
      <w:r w:rsidR="000C2429">
        <w:t>based on</w:t>
      </w:r>
      <w:r w:rsidR="009432BC">
        <w:t xml:space="preserve"> the </w:t>
      </w:r>
      <w:r w:rsidR="000C2429">
        <w:t>applicant’s</w:t>
      </w:r>
      <w:r w:rsidR="00236717">
        <w:t xml:space="preserve"> proposal </w:t>
      </w:r>
      <w:r w:rsidR="009432BC">
        <w:t>to cover these costs.</w:t>
      </w:r>
      <w:r w:rsidR="00B57636">
        <w:t xml:space="preserve"> </w:t>
      </w:r>
    </w:p>
    <w:p w14:paraId="5E85ED02" w14:textId="3459306F" w:rsidR="00EA57C5" w:rsidRDefault="005B6FD2" w:rsidP="0034304E">
      <w:r>
        <w:t xml:space="preserve">MSAC noted that the economic model results </w:t>
      </w:r>
      <w:r w:rsidR="000145A7">
        <w:t xml:space="preserve">for both populations </w:t>
      </w:r>
      <w:r>
        <w:t xml:space="preserve">were </w:t>
      </w:r>
      <w:r w:rsidR="005D3C37">
        <w:t xml:space="preserve">highly </w:t>
      </w:r>
      <w:r>
        <w:t xml:space="preserve">sensitive to assumptions regarding comparator costs, treatment compliance, body weight, and administration costs. MSAC considered that the base case in the ADAR likely overestimated comparator costs, </w:t>
      </w:r>
      <w:r w:rsidR="00EA57C5">
        <w:t>in both populations (although the reasons for th</w:t>
      </w:r>
      <w:r w:rsidR="006F50C0">
        <w:t xml:space="preserve">ese </w:t>
      </w:r>
      <w:r w:rsidR="00EA57C5">
        <w:t>overestimate</w:t>
      </w:r>
      <w:r w:rsidR="006F50C0">
        <w:t>s</w:t>
      </w:r>
      <w:r w:rsidR="00EA57C5">
        <w:t xml:space="preserve"> were specific to each population) </w:t>
      </w:r>
      <w:r>
        <w:t>and</w:t>
      </w:r>
      <w:r w:rsidR="005D3C37">
        <w:t xml:space="preserve"> that re-</w:t>
      </w:r>
      <w:r w:rsidR="00C46CE8">
        <w:t>specified</w:t>
      </w:r>
      <w:r w:rsidR="005D3C37">
        <w:t xml:space="preserve"> analyses substantially reduced the estimated cost of concizumab</w:t>
      </w:r>
      <w:r w:rsidR="00A6148A">
        <w:t xml:space="preserve"> that should be funded</w:t>
      </w:r>
      <w:r w:rsidR="005D3C37">
        <w:t xml:space="preserve">. </w:t>
      </w:r>
    </w:p>
    <w:p w14:paraId="3B7338DB" w14:textId="4635CCA1" w:rsidR="00053132" w:rsidRDefault="005D3C37" w:rsidP="0034304E">
      <w:pPr>
        <w:rPr>
          <w:bCs/>
        </w:rPr>
      </w:pPr>
      <w:r>
        <w:rPr>
          <w:bCs/>
        </w:rPr>
        <w:t>MSAC noted that</w:t>
      </w:r>
      <w:r w:rsidR="00FA1BAB">
        <w:rPr>
          <w:bCs/>
        </w:rPr>
        <w:t xml:space="preserve"> </w:t>
      </w:r>
      <w:r w:rsidR="004B3C6B">
        <w:rPr>
          <w:bCs/>
        </w:rPr>
        <w:t>the</w:t>
      </w:r>
      <w:r w:rsidR="00FA1BAB">
        <w:rPr>
          <w:bCs/>
        </w:rPr>
        <w:t xml:space="preserve"> ADAR’s cost minimisation analysis </w:t>
      </w:r>
      <w:r>
        <w:rPr>
          <w:bCs/>
        </w:rPr>
        <w:t>for HMBwI</w:t>
      </w:r>
      <w:r w:rsidR="00FA1BAB">
        <w:rPr>
          <w:bCs/>
        </w:rPr>
        <w:t xml:space="preserve"> estimated </w:t>
      </w:r>
      <w:r w:rsidR="007A497B">
        <w:rPr>
          <w:bCs/>
        </w:rPr>
        <w:t xml:space="preserve">the current </w:t>
      </w:r>
      <w:r w:rsidR="00F9750C">
        <w:rPr>
          <w:bCs/>
        </w:rPr>
        <w:t>annual cost of treating a patient with r</w:t>
      </w:r>
      <w:r w:rsidR="00AE5FA1">
        <w:rPr>
          <w:bCs/>
        </w:rPr>
        <w:t>FV</w:t>
      </w:r>
      <w:r w:rsidR="00E84822">
        <w:rPr>
          <w:bCs/>
        </w:rPr>
        <w:t xml:space="preserve">IIa </w:t>
      </w:r>
      <w:r w:rsidRPr="00402F71">
        <w:rPr>
          <w:bCs/>
        </w:rPr>
        <w:t xml:space="preserve">was </w:t>
      </w:r>
      <w:r w:rsidR="009E020F" w:rsidRPr="00282024">
        <w:rPr>
          <w:bCs/>
        </w:rPr>
        <w:t>$</w:t>
      </w:r>
      <w:r w:rsidR="00733D11" w:rsidRPr="00282024">
        <w:rPr>
          <w:b/>
        </w:rPr>
        <w:t>redacted</w:t>
      </w:r>
      <w:r w:rsidR="00A21971">
        <w:rPr>
          <w:bCs/>
        </w:rPr>
        <w:t xml:space="preserve">. </w:t>
      </w:r>
      <w:r w:rsidR="00FA2B90">
        <w:rPr>
          <w:bCs/>
        </w:rPr>
        <w:t xml:space="preserve">This was largely due to </w:t>
      </w:r>
      <w:r w:rsidR="005F4BC6">
        <w:rPr>
          <w:bCs/>
        </w:rPr>
        <w:t>the assumption that the comparator was being used as short-term prophylaxis</w:t>
      </w:r>
      <w:r w:rsidR="006D0CB2">
        <w:rPr>
          <w:bCs/>
        </w:rPr>
        <w:t xml:space="preserve"> as well as for on-demand treatment</w:t>
      </w:r>
      <w:r w:rsidR="005F4BC6">
        <w:rPr>
          <w:bCs/>
        </w:rPr>
        <w:t xml:space="preserve">. </w:t>
      </w:r>
      <w:r w:rsidR="0046078D">
        <w:rPr>
          <w:bCs/>
        </w:rPr>
        <w:t xml:space="preserve">MSAC considered </w:t>
      </w:r>
      <w:r w:rsidR="008E325D">
        <w:rPr>
          <w:bCs/>
        </w:rPr>
        <w:t xml:space="preserve">the revised cost-minimisation analysis for HMBwI </w:t>
      </w:r>
      <w:r w:rsidR="00C246A6">
        <w:rPr>
          <w:bCs/>
        </w:rPr>
        <w:t>(</w:t>
      </w:r>
      <w:r w:rsidR="00C246A6">
        <w:fldChar w:fldCharType="begin"/>
      </w:r>
      <w:r w:rsidR="00C246A6">
        <w:instrText xml:space="preserve"> REF _Ref223212072 \h </w:instrText>
      </w:r>
      <w:r w:rsidR="00C246A6">
        <w:fldChar w:fldCharType="separate"/>
      </w:r>
      <w:r w:rsidR="00C246A6">
        <w:t xml:space="preserve">Table </w:t>
      </w:r>
      <w:r w:rsidR="00C246A6">
        <w:rPr>
          <w:noProof/>
        </w:rPr>
        <w:t>29</w:t>
      </w:r>
      <w:r w:rsidR="00C246A6">
        <w:fldChar w:fldCharType="end"/>
      </w:r>
      <w:r w:rsidR="00C246A6">
        <w:t xml:space="preserve">) </w:t>
      </w:r>
      <w:r w:rsidR="008E325D">
        <w:rPr>
          <w:bCs/>
        </w:rPr>
        <w:t xml:space="preserve">was </w:t>
      </w:r>
      <w:r w:rsidR="0023535C">
        <w:rPr>
          <w:bCs/>
        </w:rPr>
        <w:t xml:space="preserve">more robust </w:t>
      </w:r>
      <w:r w:rsidR="001B5716">
        <w:rPr>
          <w:bCs/>
        </w:rPr>
        <w:t xml:space="preserve">as it </w:t>
      </w:r>
      <w:r w:rsidR="00376072">
        <w:rPr>
          <w:bCs/>
        </w:rPr>
        <w:t>assumed all patients used</w:t>
      </w:r>
      <w:r w:rsidR="00B25A81">
        <w:rPr>
          <w:bCs/>
        </w:rPr>
        <w:t xml:space="preserve"> </w:t>
      </w:r>
      <w:r w:rsidR="005A5BAD">
        <w:rPr>
          <w:bCs/>
        </w:rPr>
        <w:t xml:space="preserve">what was considered the more appropriate </w:t>
      </w:r>
      <w:r w:rsidR="00B7668E">
        <w:rPr>
          <w:bCs/>
        </w:rPr>
        <w:t xml:space="preserve">comparator of </w:t>
      </w:r>
      <w:r w:rsidR="00376072">
        <w:rPr>
          <w:bCs/>
        </w:rPr>
        <w:t xml:space="preserve">on-demand </w:t>
      </w:r>
      <w:r w:rsidR="00CF4E63">
        <w:rPr>
          <w:bCs/>
        </w:rPr>
        <w:t>rFVII</w:t>
      </w:r>
      <w:r w:rsidR="00F43796">
        <w:rPr>
          <w:bCs/>
        </w:rPr>
        <w:t>a</w:t>
      </w:r>
      <w:r w:rsidR="00CF4E63">
        <w:rPr>
          <w:bCs/>
        </w:rPr>
        <w:t xml:space="preserve"> </w:t>
      </w:r>
      <w:r w:rsidR="00CD2882">
        <w:rPr>
          <w:bCs/>
        </w:rPr>
        <w:t>treatment</w:t>
      </w:r>
      <w:r w:rsidR="00346BEF">
        <w:rPr>
          <w:bCs/>
        </w:rPr>
        <w:t xml:space="preserve">, appropriately accounted for the </w:t>
      </w:r>
      <w:r w:rsidR="00346BEF" w:rsidRPr="00346BEF">
        <w:rPr>
          <w:bCs/>
        </w:rPr>
        <w:t xml:space="preserve">cost of rFVIIa for the treatment of </w:t>
      </w:r>
      <w:r w:rsidR="00CE3ED1" w:rsidRPr="00346BEF">
        <w:rPr>
          <w:bCs/>
        </w:rPr>
        <w:t>breakthrough</w:t>
      </w:r>
      <w:r w:rsidR="00346BEF" w:rsidRPr="00346BEF">
        <w:rPr>
          <w:bCs/>
        </w:rPr>
        <w:t xml:space="preserve"> bleeds </w:t>
      </w:r>
      <w:r w:rsidR="00346BEF">
        <w:rPr>
          <w:bCs/>
        </w:rPr>
        <w:t>that occur on</w:t>
      </w:r>
      <w:r w:rsidR="00346BEF" w:rsidRPr="00346BEF">
        <w:rPr>
          <w:bCs/>
        </w:rPr>
        <w:t xml:space="preserve"> concizumab</w:t>
      </w:r>
      <w:r w:rsidR="00346BEF">
        <w:rPr>
          <w:bCs/>
        </w:rPr>
        <w:t xml:space="preserve">, </w:t>
      </w:r>
      <w:r w:rsidR="008677B4">
        <w:rPr>
          <w:bCs/>
        </w:rPr>
        <w:t xml:space="preserve">and used the </w:t>
      </w:r>
      <w:r w:rsidR="00DD098C">
        <w:rPr>
          <w:bCs/>
        </w:rPr>
        <w:t xml:space="preserve">dose and </w:t>
      </w:r>
      <w:r w:rsidR="006E6A07">
        <w:rPr>
          <w:bCs/>
        </w:rPr>
        <w:t xml:space="preserve">ABR rates for </w:t>
      </w:r>
      <w:r w:rsidR="009A22BA">
        <w:rPr>
          <w:bCs/>
        </w:rPr>
        <w:t xml:space="preserve">patients using </w:t>
      </w:r>
      <w:r w:rsidR="008F0432" w:rsidRPr="008F0432">
        <w:rPr>
          <w:bCs/>
        </w:rPr>
        <w:t>on-demand rFVII</w:t>
      </w:r>
      <w:r w:rsidR="00F43796">
        <w:rPr>
          <w:bCs/>
        </w:rPr>
        <w:t>a</w:t>
      </w:r>
      <w:r w:rsidR="008F0432" w:rsidRPr="008F0432">
        <w:rPr>
          <w:bCs/>
        </w:rPr>
        <w:t xml:space="preserve"> treatment</w:t>
      </w:r>
      <w:r w:rsidR="008F0432">
        <w:rPr>
          <w:bCs/>
        </w:rPr>
        <w:t xml:space="preserve"> from the </w:t>
      </w:r>
      <w:r w:rsidR="008F0432" w:rsidRPr="008F0432">
        <w:rPr>
          <w:bCs/>
        </w:rPr>
        <w:t>Explorer7</w:t>
      </w:r>
      <w:r w:rsidR="0019407F">
        <w:rPr>
          <w:bCs/>
        </w:rPr>
        <w:t xml:space="preserve"> </w:t>
      </w:r>
      <w:r w:rsidR="00F80129">
        <w:rPr>
          <w:bCs/>
        </w:rPr>
        <w:t xml:space="preserve">study. </w:t>
      </w:r>
      <w:r w:rsidR="00AF1929">
        <w:rPr>
          <w:bCs/>
        </w:rPr>
        <w:t xml:space="preserve">This reduced the annual cost of </w:t>
      </w:r>
      <w:r w:rsidR="00053132">
        <w:rPr>
          <w:bCs/>
        </w:rPr>
        <w:t xml:space="preserve">treating </w:t>
      </w:r>
      <w:r w:rsidR="00053132" w:rsidRPr="00053132">
        <w:rPr>
          <w:bCs/>
        </w:rPr>
        <w:t>HMBwI</w:t>
      </w:r>
      <w:r w:rsidR="00053132">
        <w:rPr>
          <w:bCs/>
        </w:rPr>
        <w:t xml:space="preserve"> to </w:t>
      </w:r>
      <w:r w:rsidR="00DC2579" w:rsidRPr="00282024">
        <w:rPr>
          <w:bCs/>
        </w:rPr>
        <w:t>$</w:t>
      </w:r>
      <w:r w:rsidR="008C7285">
        <w:rPr>
          <w:b/>
        </w:rPr>
        <w:t>redacted</w:t>
      </w:r>
      <w:r w:rsidR="00053132">
        <w:rPr>
          <w:bCs/>
        </w:rPr>
        <w:t xml:space="preserve"> (</w:t>
      </w:r>
      <w:r w:rsidR="00053132" w:rsidRPr="00AE3729">
        <w:fldChar w:fldCharType="begin"/>
      </w:r>
      <w:r w:rsidR="00053132" w:rsidRPr="00AE3729">
        <w:instrText xml:space="preserve"> REF _Ref227317489 \h </w:instrText>
      </w:r>
      <w:r w:rsidR="00AE3729">
        <w:instrText xml:space="preserve"> \* MERGEFORMAT </w:instrText>
      </w:r>
      <w:r w:rsidR="00053132" w:rsidRPr="00AE3729">
        <w:fldChar w:fldCharType="separate"/>
      </w:r>
      <w:r w:rsidR="00053132" w:rsidRPr="000B7975">
        <w:t>Table 18</w:t>
      </w:r>
      <w:r w:rsidR="00053132" w:rsidRPr="00AE3729">
        <w:fldChar w:fldCharType="end"/>
      </w:r>
      <w:r w:rsidR="00053132" w:rsidRPr="00AE3729">
        <w:t>).</w:t>
      </w:r>
      <w:r w:rsidR="00053132">
        <w:rPr>
          <w:bCs/>
        </w:rPr>
        <w:t xml:space="preserve"> </w:t>
      </w:r>
      <w:r w:rsidR="00AE3729">
        <w:rPr>
          <w:bCs/>
        </w:rPr>
        <w:t xml:space="preserve">This resulted in </w:t>
      </w:r>
      <w:r w:rsidR="003C6A71">
        <w:rPr>
          <w:bCs/>
        </w:rPr>
        <w:t>a</w:t>
      </w:r>
      <w:r w:rsidR="00AE3729">
        <w:rPr>
          <w:bCs/>
        </w:rPr>
        <w:t xml:space="preserve"> price reduction of </w:t>
      </w:r>
      <w:r w:rsidR="00AE3729" w:rsidRPr="00282024">
        <w:rPr>
          <w:bCs/>
        </w:rPr>
        <w:t>87</w:t>
      </w:r>
      <w:r w:rsidR="00AE3729">
        <w:rPr>
          <w:bCs/>
        </w:rPr>
        <w:t xml:space="preserve">% </w:t>
      </w:r>
      <w:r w:rsidR="00AC4A5E">
        <w:rPr>
          <w:bCs/>
        </w:rPr>
        <w:t>to achieve a cost-mini</w:t>
      </w:r>
      <w:r w:rsidR="00CE3140">
        <w:rPr>
          <w:bCs/>
        </w:rPr>
        <w:t>mis</w:t>
      </w:r>
      <w:r w:rsidR="00AC4A5E">
        <w:rPr>
          <w:bCs/>
        </w:rPr>
        <w:t xml:space="preserve">ed </w:t>
      </w:r>
      <w:r w:rsidR="00CE3140">
        <w:rPr>
          <w:bCs/>
        </w:rPr>
        <w:t xml:space="preserve">price for concizumab </w:t>
      </w:r>
      <w:r w:rsidR="00AE3729">
        <w:rPr>
          <w:bCs/>
        </w:rPr>
        <w:t xml:space="preserve">(based on reducing the indication specific unit pricing of concizumab for HMBwI from </w:t>
      </w:r>
      <w:r w:rsidR="00AE3729" w:rsidRPr="00282024">
        <w:rPr>
          <w:bCs/>
        </w:rPr>
        <w:t>$</w:t>
      </w:r>
      <w:r w:rsidR="009026DB" w:rsidRPr="00282024">
        <w:rPr>
          <w:b/>
        </w:rPr>
        <w:t>redacted</w:t>
      </w:r>
      <w:r w:rsidR="00AE3729">
        <w:rPr>
          <w:bCs/>
        </w:rPr>
        <w:t>).</w:t>
      </w:r>
    </w:p>
    <w:p w14:paraId="71402877" w14:textId="2D4BF21C" w:rsidR="00A81D2F" w:rsidRDefault="30D348A5" w:rsidP="0034304E">
      <w:r>
        <w:t xml:space="preserve">MSAC noted the lack of established cost-effectiveness for </w:t>
      </w:r>
      <w:r w:rsidR="10444262">
        <w:t xml:space="preserve">currently funded </w:t>
      </w:r>
      <w:r>
        <w:t xml:space="preserve">comparator therapies, including BPAs and factor prophylaxis. MSAC noted that this issue has been previously noted in MSAC application 1510.1 (see the </w:t>
      </w:r>
      <w:hyperlink r:id="rId11">
        <w:r w:rsidRPr="5174EE7D">
          <w:rPr>
            <w:rStyle w:val="Hyperlink"/>
          </w:rPr>
          <w:t>public summary document</w:t>
        </w:r>
      </w:hyperlink>
      <w:r>
        <w:t xml:space="preserve">, p. 4) and continues to limit the </w:t>
      </w:r>
      <w:r w:rsidR="43424F8D">
        <w:t xml:space="preserve">assessment of cost-effectiveness of </w:t>
      </w:r>
      <w:r w:rsidR="0CA367E7">
        <w:t xml:space="preserve">new </w:t>
      </w:r>
      <w:r>
        <w:t>haemophilia treatments.</w:t>
      </w:r>
      <w:r w:rsidR="006F5853">
        <w:t xml:space="preserve"> MSAC further noted the requirement to establi</w:t>
      </w:r>
      <w:r w:rsidR="00D6657A">
        <w:t>sh the cost-effectiveness</w:t>
      </w:r>
      <w:r w:rsidR="00402843">
        <w:t xml:space="preserve"> of a compara</w:t>
      </w:r>
      <w:r w:rsidR="004569D1">
        <w:t xml:space="preserve">tor is clearly stated in the </w:t>
      </w:r>
      <w:hyperlink r:id="rId12" w:history="1">
        <w:r w:rsidR="004569D1" w:rsidRPr="00431A86">
          <w:rPr>
            <w:rStyle w:val="Hyperlink"/>
          </w:rPr>
          <w:t>MSAC Guidelines</w:t>
        </w:r>
        <w:r w:rsidR="00E12486" w:rsidRPr="00431A86">
          <w:rPr>
            <w:rStyle w:val="Hyperlink"/>
          </w:rPr>
          <w:t xml:space="preserve"> 2021</w:t>
        </w:r>
      </w:hyperlink>
      <w:r w:rsidR="00E12486">
        <w:t xml:space="preserve"> (TG 2.3)</w:t>
      </w:r>
      <w:r w:rsidR="002D261F">
        <w:t xml:space="preserve">, and was </w:t>
      </w:r>
      <w:r w:rsidR="00CE44A8">
        <w:t>included in</w:t>
      </w:r>
      <w:r w:rsidR="00324DA2">
        <w:t xml:space="preserve"> the</w:t>
      </w:r>
      <w:r w:rsidR="00CE44A8">
        <w:t xml:space="preserve"> </w:t>
      </w:r>
      <w:hyperlink r:id="rId13" w:history="1">
        <w:r w:rsidR="00535CF6" w:rsidRPr="00535CF6">
          <w:rPr>
            <w:rStyle w:val="Hyperlink"/>
          </w:rPr>
          <w:t>PICO Confirmation</w:t>
        </w:r>
      </w:hyperlink>
      <w:r w:rsidR="00045804">
        <w:t xml:space="preserve"> (</w:t>
      </w:r>
      <w:r w:rsidR="001C50B4">
        <w:t xml:space="preserve">pp. </w:t>
      </w:r>
      <w:r w:rsidR="00045804">
        <w:t>15 and 16)</w:t>
      </w:r>
      <w:r w:rsidR="00CE44A8">
        <w:t xml:space="preserve"> for the current application</w:t>
      </w:r>
      <w:r w:rsidR="00CB3745">
        <w:t>.</w:t>
      </w:r>
      <w:r>
        <w:t xml:space="preserve"> MSAC noted that BPAs are high-cost therapies that were funded without formal cost-effectiveness evaluation and </w:t>
      </w:r>
      <w:r w:rsidR="00A60D3E">
        <w:t xml:space="preserve">as per advice from PASC, </w:t>
      </w:r>
      <w:r>
        <w:t xml:space="preserve">may not </w:t>
      </w:r>
      <w:r w:rsidR="00A60D3E">
        <w:t xml:space="preserve">therefore </w:t>
      </w:r>
      <w:r>
        <w:t xml:space="preserve">represent an appropriate basis for cost-minimisation. </w:t>
      </w:r>
    </w:p>
    <w:p w14:paraId="2FC07FF0" w14:textId="700A428C" w:rsidR="0034304E" w:rsidRDefault="0034304E" w:rsidP="0034304E">
      <w:pPr>
        <w:rPr>
          <w:bCs/>
        </w:rPr>
      </w:pPr>
      <w:r>
        <w:rPr>
          <w:bCs/>
        </w:rPr>
        <w:t>MSAC noted that the pre-MSAC response disagreed with many of the economic and financial issues raised by ESC. However, MSAC considered the weak evidence base and lack of established cost-effectiveness for the comparators made the results of the economic and financial analyses uncertain.</w:t>
      </w:r>
    </w:p>
    <w:p w14:paraId="13B17084" w14:textId="57C71066" w:rsidR="0034304E" w:rsidRDefault="0034304E" w:rsidP="0034304E">
      <w:r>
        <w:t xml:space="preserve">MSAC noted that, for both HMB populations (with and without inhibitors) over 6 years, the estimated base case net cost to the NBA was </w:t>
      </w:r>
      <w:r w:rsidRPr="00282024">
        <w:t>$</w:t>
      </w:r>
      <w:r w:rsidR="00012970">
        <w:rPr>
          <w:b/>
        </w:rPr>
        <w:t>redacted</w:t>
      </w:r>
      <w:r w:rsidR="001E2B3E">
        <w:t>. W</w:t>
      </w:r>
      <w:r>
        <w:t>hile the estimated net impact to Government health budgets was $0 (cost-neutral)</w:t>
      </w:r>
      <w:r w:rsidR="00C80D00">
        <w:t>, this</w:t>
      </w:r>
      <w:r w:rsidR="00D302B4">
        <w:t xml:space="preserve"> </w:t>
      </w:r>
      <w:r w:rsidR="008644EE">
        <w:t>was</w:t>
      </w:r>
      <w:r w:rsidR="00D302B4">
        <w:t xml:space="preserve"> </w:t>
      </w:r>
      <w:r w:rsidR="005A1AC2">
        <w:t xml:space="preserve">based upon the over-optimistic </w:t>
      </w:r>
      <w:r w:rsidR="002D0F0D">
        <w:t>assum</w:t>
      </w:r>
      <w:r w:rsidR="005A1AC2">
        <w:t xml:space="preserve">ptions in the economic evaluation </w:t>
      </w:r>
      <w:r w:rsidR="00CF12D3">
        <w:t>to achieve</w:t>
      </w:r>
      <w:r w:rsidR="007549B1">
        <w:t xml:space="preserve"> </w:t>
      </w:r>
      <w:r w:rsidR="00AA1CC8">
        <w:t>cost neutrality</w:t>
      </w:r>
      <w:r w:rsidR="00F218D8">
        <w:t xml:space="preserve"> and that concizumab uptake would merely substitute for </w:t>
      </w:r>
      <w:r w:rsidR="001A6BFD">
        <w:t xml:space="preserve">the </w:t>
      </w:r>
      <w:r w:rsidR="002F4BC4">
        <w:t xml:space="preserve">replaced </w:t>
      </w:r>
      <w:r w:rsidR="001A6BFD">
        <w:t xml:space="preserve">comparator products. </w:t>
      </w:r>
      <w:r w:rsidR="008A3EB3">
        <w:t>However</w:t>
      </w:r>
      <w:r w:rsidR="00EF6DB8">
        <w:t>,</w:t>
      </w:r>
      <w:r w:rsidR="008A3EB3">
        <w:t xml:space="preserve"> MSAC noted that the </w:t>
      </w:r>
      <w:r>
        <w:t>re</w:t>
      </w:r>
      <w:r w:rsidR="119C43A9">
        <w:t>-</w:t>
      </w:r>
      <w:r>
        <w:t>specified base case</w:t>
      </w:r>
      <w:r w:rsidR="008A3EB3">
        <w:t xml:space="preserve"> requested by ESC </w:t>
      </w:r>
      <w:r w:rsidR="000C33C2">
        <w:t xml:space="preserve">(as per Table </w:t>
      </w:r>
      <w:r w:rsidR="00770A6E">
        <w:t>30</w:t>
      </w:r>
      <w:r w:rsidR="000C33C2">
        <w:t>)</w:t>
      </w:r>
      <w:r w:rsidR="008A3EB3">
        <w:t xml:space="preserve"> which included the re</w:t>
      </w:r>
      <w:r w:rsidR="0092065B">
        <w:t xml:space="preserve">-estimated </w:t>
      </w:r>
      <w:r w:rsidR="008604D7">
        <w:t xml:space="preserve">lower </w:t>
      </w:r>
      <w:r w:rsidR="0092065B">
        <w:t xml:space="preserve">cost neutral </w:t>
      </w:r>
      <w:r w:rsidR="008604D7">
        <w:t>prices for concizumab but also revised uptake rates</w:t>
      </w:r>
      <w:r w:rsidR="0060119D">
        <w:t xml:space="preserve"> </w:t>
      </w:r>
      <w:r w:rsidR="00F338DD">
        <w:t>and</w:t>
      </w:r>
      <w:r w:rsidR="008604D7">
        <w:t xml:space="preserve"> substitution patterns </w:t>
      </w:r>
      <w:r w:rsidR="00F338DD">
        <w:t>(</w:t>
      </w:r>
      <w:r w:rsidR="002B3D3F">
        <w:t>due to strong patient preference for subcutaneous administration)</w:t>
      </w:r>
      <w:r>
        <w:t xml:space="preserve"> decreased the net cost to the NBA but </w:t>
      </w:r>
      <w:r w:rsidR="00C15241">
        <w:t xml:space="preserve">caused </w:t>
      </w:r>
      <w:r>
        <w:t xml:space="preserve">the net impact to Government health budgets to </w:t>
      </w:r>
      <w:r w:rsidR="00C15241">
        <w:t>no longer be cost-neutral</w:t>
      </w:r>
      <w:r>
        <w:t>.</w:t>
      </w:r>
      <w:r w:rsidR="001E687C">
        <w:t xml:space="preserve"> </w:t>
      </w:r>
    </w:p>
    <w:p w14:paraId="3EB98A04" w14:textId="635C77C4" w:rsidR="00E539AD" w:rsidRDefault="0034304E" w:rsidP="0034304E">
      <w:pPr>
        <w:rPr>
          <w:bCs/>
        </w:rPr>
      </w:pPr>
      <w:r>
        <w:rPr>
          <w:bCs/>
        </w:rPr>
        <w:t xml:space="preserve">Overall, MSAC </w:t>
      </w:r>
      <w:r w:rsidR="008071A8">
        <w:rPr>
          <w:bCs/>
        </w:rPr>
        <w:t xml:space="preserve">only </w:t>
      </w:r>
      <w:r>
        <w:rPr>
          <w:bCs/>
        </w:rPr>
        <w:t>support</w:t>
      </w:r>
      <w:r w:rsidR="000A3B47">
        <w:rPr>
          <w:bCs/>
        </w:rPr>
        <w:t>ed listing</w:t>
      </w:r>
      <w:r>
        <w:rPr>
          <w:bCs/>
        </w:rPr>
        <w:t xml:space="preserve"> of concizumab </w:t>
      </w:r>
      <w:r w:rsidR="00C947A7">
        <w:t xml:space="preserve">for patients ≥12 years of age with congenital HMBwI, who require prophylaxis. </w:t>
      </w:r>
      <w:r w:rsidR="00EA485D">
        <w:t>MSAC acknowledged this patient population had a significant unmet clinical need</w:t>
      </w:r>
      <w:r w:rsidR="002413B6">
        <w:t xml:space="preserve"> without a</w:t>
      </w:r>
      <w:r w:rsidR="00234369">
        <w:t>n effective</w:t>
      </w:r>
      <w:r w:rsidR="002413B6">
        <w:t xml:space="preserve"> prophylactic treatment</w:t>
      </w:r>
      <w:r w:rsidR="00F84C6A">
        <w:t xml:space="preserve"> option</w:t>
      </w:r>
      <w:r w:rsidR="002413B6">
        <w:t xml:space="preserve">. </w:t>
      </w:r>
      <w:r w:rsidDel="007B7C7E">
        <w:rPr>
          <w:bCs/>
        </w:rPr>
        <w:t xml:space="preserve">MSAC </w:t>
      </w:r>
      <w:r w:rsidR="00990F5B" w:rsidDel="007B7C7E">
        <w:rPr>
          <w:bCs/>
        </w:rPr>
        <w:t>did not support the l</w:t>
      </w:r>
      <w:r w:rsidR="00F71330" w:rsidDel="007B7C7E">
        <w:rPr>
          <w:bCs/>
        </w:rPr>
        <w:t>isting of concizumab for HMB without inhibitors due to the lack of evidence</w:t>
      </w:r>
      <w:r w:rsidR="00BB6336" w:rsidDel="007B7C7E">
        <w:rPr>
          <w:bCs/>
        </w:rPr>
        <w:t xml:space="preserve"> </w:t>
      </w:r>
      <w:r w:rsidR="006F3327">
        <w:rPr>
          <w:bCs/>
        </w:rPr>
        <w:t xml:space="preserve">to support that claim that concizumab is </w:t>
      </w:r>
      <w:r w:rsidR="00BB6336" w:rsidDel="007B7C7E">
        <w:rPr>
          <w:bCs/>
        </w:rPr>
        <w:t xml:space="preserve">non-inferior </w:t>
      </w:r>
      <w:r w:rsidR="00E10408">
        <w:rPr>
          <w:bCs/>
        </w:rPr>
        <w:t xml:space="preserve">compared </w:t>
      </w:r>
      <w:r w:rsidR="00BB6336" w:rsidDel="007B7C7E">
        <w:rPr>
          <w:bCs/>
        </w:rPr>
        <w:t>with current FIX prophylaxis</w:t>
      </w:r>
      <w:r w:rsidR="00055229" w:rsidDel="007B7C7E">
        <w:rPr>
          <w:bCs/>
        </w:rPr>
        <w:t>.</w:t>
      </w:r>
      <w:r w:rsidR="00F15A42">
        <w:rPr>
          <w:bCs/>
        </w:rPr>
        <w:t xml:space="preserve"> </w:t>
      </w:r>
      <w:r w:rsidR="00F15A42" w:rsidRPr="007B7C7E">
        <w:rPr>
          <w:bCs/>
        </w:rPr>
        <w:t>MSAC advised that a resubmission for this population would require better evidence of favourable clinical effectiveness including longer duration of comparative evidence for effectiveness and safety outcomes.</w:t>
      </w:r>
      <w:r w:rsidR="004C0D77">
        <w:rPr>
          <w:bCs/>
        </w:rPr>
        <w:t xml:space="preserve"> </w:t>
      </w:r>
      <w:r w:rsidR="004C0D77" w:rsidRPr="004C0D77">
        <w:rPr>
          <w:bCs/>
        </w:rPr>
        <w:t xml:space="preserve">MSAC also </w:t>
      </w:r>
      <w:r w:rsidR="00CF615D">
        <w:rPr>
          <w:bCs/>
        </w:rPr>
        <w:t>not</w:t>
      </w:r>
      <w:r w:rsidR="004C0D77" w:rsidRPr="004C0D77">
        <w:rPr>
          <w:bCs/>
        </w:rPr>
        <w:t xml:space="preserve">ed that </w:t>
      </w:r>
      <w:r w:rsidR="00286451">
        <w:rPr>
          <w:bCs/>
        </w:rPr>
        <w:t>considerations for concizu</w:t>
      </w:r>
      <w:r w:rsidR="002A27E1">
        <w:rPr>
          <w:bCs/>
        </w:rPr>
        <w:t xml:space="preserve">mab </w:t>
      </w:r>
      <w:r w:rsidR="008044A0">
        <w:rPr>
          <w:bCs/>
        </w:rPr>
        <w:t xml:space="preserve">in </w:t>
      </w:r>
      <w:r w:rsidR="008044A0" w:rsidRPr="004C0D77">
        <w:rPr>
          <w:bCs/>
        </w:rPr>
        <w:t>patients with haemophilia B without inhibitors</w:t>
      </w:r>
      <w:r w:rsidR="008044A0">
        <w:rPr>
          <w:bCs/>
        </w:rPr>
        <w:t xml:space="preserve"> </w:t>
      </w:r>
      <w:r w:rsidR="009B2258">
        <w:rPr>
          <w:bCs/>
        </w:rPr>
        <w:t>should include</w:t>
      </w:r>
      <w:r w:rsidR="004C0D77" w:rsidRPr="004C0D77">
        <w:rPr>
          <w:bCs/>
        </w:rPr>
        <w:t xml:space="preserve"> </w:t>
      </w:r>
      <w:r w:rsidR="00193558">
        <w:rPr>
          <w:bCs/>
        </w:rPr>
        <w:t>comparison</w:t>
      </w:r>
      <w:r w:rsidR="00754EB8">
        <w:rPr>
          <w:bCs/>
        </w:rPr>
        <w:t>s</w:t>
      </w:r>
      <w:r w:rsidR="00193558">
        <w:rPr>
          <w:bCs/>
        </w:rPr>
        <w:t xml:space="preserve"> with </w:t>
      </w:r>
      <w:r w:rsidR="004C0D77" w:rsidRPr="004C0D77">
        <w:rPr>
          <w:bCs/>
        </w:rPr>
        <w:t xml:space="preserve">marstacimab and etranacogene dezaparvovec, which are alternative treatments </w:t>
      </w:r>
      <w:r w:rsidR="00193558">
        <w:rPr>
          <w:bCs/>
        </w:rPr>
        <w:t>for this population</w:t>
      </w:r>
      <w:r w:rsidR="004C0D77" w:rsidRPr="004C0D77">
        <w:rPr>
          <w:bCs/>
        </w:rPr>
        <w:t>. However, these other treatments are not yet available public funded treatments but have been considered by MSAC (see MSAC applications 180</w:t>
      </w:r>
      <w:r w:rsidR="007710BE">
        <w:rPr>
          <w:bCs/>
        </w:rPr>
        <w:t>6</w:t>
      </w:r>
      <w:r w:rsidR="004C0D77" w:rsidRPr="004C0D77">
        <w:rPr>
          <w:bCs/>
        </w:rPr>
        <w:t xml:space="preserve"> and 1728.1). </w:t>
      </w:r>
    </w:p>
    <w:p w14:paraId="7BA333EA" w14:textId="5FC5A5E3" w:rsidR="00D03C49" w:rsidRPr="009A3778" w:rsidRDefault="0034304E" w:rsidP="00533DA9">
      <w:r>
        <w:t>MSAC advised that</w:t>
      </w:r>
      <w:r w:rsidR="009A7835">
        <w:t xml:space="preserve"> their support for</w:t>
      </w:r>
      <w:r>
        <w:t xml:space="preserve"> listing </w:t>
      </w:r>
      <w:r w:rsidR="00E539AD">
        <w:t xml:space="preserve">of concizumab for HMBwI </w:t>
      </w:r>
      <w:r w:rsidR="006A41B1">
        <w:t>is</w:t>
      </w:r>
      <w:r>
        <w:t xml:space="preserve"> </w:t>
      </w:r>
      <w:r w:rsidR="009B1871">
        <w:t>based</w:t>
      </w:r>
      <w:r>
        <w:t xml:space="preserve"> on </w:t>
      </w:r>
      <w:r w:rsidR="00F65860">
        <w:t xml:space="preserve">the </w:t>
      </w:r>
      <w:r w:rsidR="005B57BD">
        <w:t xml:space="preserve">unit </w:t>
      </w:r>
      <w:r w:rsidR="00F65860">
        <w:t xml:space="preserve">price of concizumab </w:t>
      </w:r>
      <w:r w:rsidR="000A420E">
        <w:t xml:space="preserve">being </w:t>
      </w:r>
      <w:r w:rsidR="00F65860">
        <w:t>reduced</w:t>
      </w:r>
      <w:r w:rsidR="00BE4A61">
        <w:t xml:space="preserve"> </w:t>
      </w:r>
      <w:r w:rsidR="00202CCA" w:rsidRPr="00402F71">
        <w:t xml:space="preserve">to </w:t>
      </w:r>
      <w:r w:rsidR="00202CCA" w:rsidRPr="00282024">
        <w:t>$</w:t>
      </w:r>
      <w:r w:rsidR="00402F71" w:rsidRPr="00282024">
        <w:rPr>
          <w:b/>
          <w:bCs/>
        </w:rPr>
        <w:t>redacted</w:t>
      </w:r>
      <w:r w:rsidR="00202CCA">
        <w:t xml:space="preserve"> </w:t>
      </w:r>
      <w:r w:rsidR="0088792A">
        <w:t xml:space="preserve">per unit. MSAC </w:t>
      </w:r>
      <w:r w:rsidR="006065BE">
        <w:t xml:space="preserve">advised that there should </w:t>
      </w:r>
      <w:r w:rsidR="002C5810">
        <w:t>be a</w:t>
      </w:r>
      <w:r w:rsidR="00C4509B">
        <w:t xml:space="preserve"> risk-sharing arrangement</w:t>
      </w:r>
      <w:r w:rsidR="002117AD">
        <w:t xml:space="preserve"> based on the </w:t>
      </w:r>
      <w:r w:rsidR="001C5CB5">
        <w:t xml:space="preserve">highest </w:t>
      </w:r>
      <w:r w:rsidR="00765BC9">
        <w:t>estimate</w:t>
      </w:r>
      <w:r w:rsidR="003135DC">
        <w:t>d</w:t>
      </w:r>
      <w:r w:rsidR="00765BC9">
        <w:t xml:space="preserve"> </w:t>
      </w:r>
      <w:r w:rsidR="00FF2C9C">
        <w:t xml:space="preserve">number of </w:t>
      </w:r>
      <w:r w:rsidR="00A11DB0">
        <w:t xml:space="preserve">the </w:t>
      </w:r>
      <w:r w:rsidR="006A0E0B">
        <w:t xml:space="preserve">Australian population of </w:t>
      </w:r>
      <w:r w:rsidR="002117AD">
        <w:t>patients with HMBwI</w:t>
      </w:r>
      <w:r w:rsidR="003B58DC">
        <w:t>,</w:t>
      </w:r>
      <w:r w:rsidR="002117AD">
        <w:t xml:space="preserve"> </w:t>
      </w:r>
      <w:r w:rsidR="003A768D">
        <w:t>as reported</w:t>
      </w:r>
      <w:r w:rsidR="00195A0A">
        <w:t xml:space="preserve"> </w:t>
      </w:r>
      <w:r w:rsidR="006B3807">
        <w:t xml:space="preserve">by the applicant </w:t>
      </w:r>
      <w:r w:rsidR="002117AD">
        <w:t>(</w:t>
      </w:r>
      <w:r w:rsidR="006B689D">
        <w:rPr>
          <w:b/>
        </w:rPr>
        <w:t>redacted</w:t>
      </w:r>
      <w:r w:rsidR="002117AD" w:rsidRPr="00282024">
        <w:rPr>
          <w:strike/>
        </w:rPr>
        <w:t xml:space="preserve"> </w:t>
      </w:r>
      <w:r w:rsidR="002117AD">
        <w:t xml:space="preserve">patients per year). MSAC advised </w:t>
      </w:r>
      <w:r w:rsidR="00BC5C27">
        <w:t xml:space="preserve">that there should be 100% rebate for use </w:t>
      </w:r>
      <w:r w:rsidR="00C2462F">
        <w:t>beyond this</w:t>
      </w:r>
      <w:r w:rsidR="00202CCA">
        <w:t xml:space="preserve"> </w:t>
      </w:r>
      <w:r w:rsidR="0071584A">
        <w:t>to manage the risk of use outside the HMBwI population</w:t>
      </w:r>
      <w:r w:rsidR="00AA020C">
        <w:t>.</w:t>
      </w:r>
      <w:r w:rsidR="00821A90">
        <w:t xml:space="preserve"> MSAC </w:t>
      </w:r>
      <w:r w:rsidR="00962488">
        <w:t>not</w:t>
      </w:r>
      <w:r w:rsidR="00821A90">
        <w:t>ed that</w:t>
      </w:r>
      <w:r w:rsidR="00024C78">
        <w:t xml:space="preserve"> </w:t>
      </w:r>
      <w:r w:rsidR="000E0753">
        <w:t>if funding was implemented as supported</w:t>
      </w:r>
      <w:r w:rsidR="00E75457">
        <w:t>, a post-funding review</w:t>
      </w:r>
      <w:r w:rsidR="008F174D">
        <w:t xml:space="preserve"> would be useful </w:t>
      </w:r>
      <w:r w:rsidR="00DD75A7">
        <w:t>to determine and verify the utilisation estimates.</w:t>
      </w:r>
      <w:r w:rsidR="00D7172F">
        <w:t xml:space="preserve"> MSAC also noted the position of the </w:t>
      </w:r>
      <w:r w:rsidR="00405882">
        <w:t xml:space="preserve">applicant’s </w:t>
      </w:r>
      <w:r w:rsidR="00D7172F">
        <w:t>pre-MSAC response that the requested population aligned with the ratified PICO and that the term “requires prophylaxis” adequately constrained eligibility for concizumab. However, MSAC considered that further clarification and tightening of wording would be required to ensure the funded population was aligned with the clinical trial population which only included patients with moderate-severe and severe disease.</w:t>
      </w:r>
    </w:p>
    <w:p w14:paraId="01D55EAC" w14:textId="104C1ADF" w:rsidR="008667A3" w:rsidRPr="008667A3" w:rsidRDefault="30F6E7BB" w:rsidP="40933F42">
      <w:r w:rsidRPr="40933F42">
        <w:rPr>
          <w:rFonts w:eastAsia="Franklin Gothic Book" w:cs="Franklin Gothic Book"/>
          <w:color w:val="000000" w:themeColor="text1"/>
        </w:rPr>
        <w:t xml:space="preserve">MSAC advised the National Blood Authority (NBA) to undertake an evaluation of existing haemophilia products that have not undergone a health technology assessment to determine the cost-effectiveness of these products and help </w:t>
      </w:r>
      <w:r w:rsidR="00C63C59">
        <w:rPr>
          <w:rFonts w:eastAsia="Franklin Gothic Book" w:cs="Franklin Gothic Book"/>
          <w:color w:val="000000" w:themeColor="text1"/>
        </w:rPr>
        <w:t>determine</w:t>
      </w:r>
      <w:r w:rsidR="00C63C59" w:rsidRPr="40933F42">
        <w:rPr>
          <w:rFonts w:eastAsia="Franklin Gothic Book" w:cs="Franklin Gothic Book"/>
          <w:color w:val="000000" w:themeColor="text1"/>
        </w:rPr>
        <w:t xml:space="preserve"> </w:t>
      </w:r>
      <w:r w:rsidRPr="40933F42">
        <w:rPr>
          <w:rFonts w:eastAsia="Franklin Gothic Book" w:cs="Franklin Gothic Book"/>
          <w:color w:val="000000" w:themeColor="text1"/>
        </w:rPr>
        <w:t xml:space="preserve">their cost-effective prices. MSAC advised that a framework for the assessment of haemophilia treatments would be informative to ensure a consistent approach to evaluating current and future therapies. MSAC advised that it would be beneficial if this evaluation </w:t>
      </w:r>
      <w:r w:rsidR="00D77353">
        <w:rPr>
          <w:rFonts w:eastAsia="Franklin Gothic Book" w:cs="Franklin Gothic Book"/>
          <w:color w:val="000000" w:themeColor="text1"/>
        </w:rPr>
        <w:t>and the framework were</w:t>
      </w:r>
      <w:r w:rsidRPr="40933F42">
        <w:rPr>
          <w:rFonts w:eastAsia="Franklin Gothic Book" w:cs="Franklin Gothic Book"/>
          <w:color w:val="000000" w:themeColor="text1"/>
        </w:rPr>
        <w:t xml:space="preserve"> completed before MSAC considers any further haemophilia treatment products for public funding.</w:t>
      </w:r>
      <w:r w:rsidRPr="40933F42">
        <w:rPr>
          <w:rFonts w:eastAsia="Franklin Gothic Book" w:cs="Franklin Gothic Book"/>
        </w:rPr>
        <w:t xml:space="preserve"> </w:t>
      </w:r>
    </w:p>
    <w:p w14:paraId="6710B69D" w14:textId="24B84DC1" w:rsidR="00772829" w:rsidRDefault="00772829" w:rsidP="00F1192D">
      <w:pPr>
        <w:pStyle w:val="Heading2"/>
        <w:numPr>
          <w:ilvl w:val="0"/>
          <w:numId w:val="31"/>
        </w:numPr>
        <w:ind w:left="709" w:hanging="709"/>
      </w:pPr>
      <w:bookmarkStart w:id="3" w:name="_Toc69491416"/>
      <w:bookmarkEnd w:id="2"/>
      <w:r w:rsidRPr="00CE28E3">
        <w:t>Background</w:t>
      </w:r>
      <w:bookmarkEnd w:id="3"/>
    </w:p>
    <w:p w14:paraId="28E00C4E" w14:textId="7B785728" w:rsidR="00246944" w:rsidRDefault="00246944" w:rsidP="00246944">
      <w:r>
        <w:t xml:space="preserve">MSAC has not previously considered concizumab for the prophylactic treatment of patients with </w:t>
      </w:r>
      <w:r w:rsidR="00192B65">
        <w:t>h</w:t>
      </w:r>
      <w:r w:rsidR="00C656B3">
        <w:t>aemophilia B (</w:t>
      </w:r>
      <w:r>
        <w:t>HMB</w:t>
      </w:r>
      <w:r w:rsidR="00C656B3">
        <w:t>)</w:t>
      </w:r>
      <w:r>
        <w:t xml:space="preserve"> or </w:t>
      </w:r>
      <w:r w:rsidR="00192B65">
        <w:t>h</w:t>
      </w:r>
      <w:r w:rsidR="00C656B3">
        <w:t>aemophilia B with inhibitors (</w:t>
      </w:r>
      <w:r>
        <w:t>HMBwI</w:t>
      </w:r>
      <w:r w:rsidR="00C656B3">
        <w:t>)</w:t>
      </w:r>
      <w:r>
        <w:t>.</w:t>
      </w:r>
    </w:p>
    <w:p w14:paraId="3644DCCF" w14:textId="2908B2C3" w:rsidR="00C953B1" w:rsidRDefault="00246944" w:rsidP="00C953B1">
      <w:r>
        <w:t xml:space="preserve">MSAC </w:t>
      </w:r>
      <w:r w:rsidR="00C953B1">
        <w:t xml:space="preserve">has previously supported the monoclonal antibody therapy emicizumab for </w:t>
      </w:r>
      <w:r w:rsidR="00166167">
        <w:t>h</w:t>
      </w:r>
      <w:r w:rsidR="00E851D0">
        <w:t>aemophilia A (</w:t>
      </w:r>
      <w:r w:rsidR="00A83702">
        <w:t>HMA</w:t>
      </w:r>
      <w:r w:rsidR="00E851D0">
        <w:t>)</w:t>
      </w:r>
      <w:r w:rsidR="00A83702">
        <w:t xml:space="preserve"> and </w:t>
      </w:r>
      <w:r w:rsidR="00166167">
        <w:t>h</w:t>
      </w:r>
      <w:r w:rsidR="00E851D0">
        <w:t>aemophilia A with inhibitors (</w:t>
      </w:r>
      <w:r w:rsidR="00A83702">
        <w:t>HMAwI</w:t>
      </w:r>
      <w:r w:rsidR="00E851D0">
        <w:t>)</w:t>
      </w:r>
      <w:r w:rsidR="00A83702">
        <w:t xml:space="preserve"> and is currently assessing marstacimab</w:t>
      </w:r>
      <w:r w:rsidR="00E00362">
        <w:t xml:space="preserve"> for HMA and HMB without inhibitors</w:t>
      </w:r>
      <w:r w:rsidR="00A83702">
        <w:t>.</w:t>
      </w:r>
      <w:r w:rsidR="00C953B1">
        <w:t xml:space="preserve"> </w:t>
      </w:r>
      <w:r w:rsidR="002E7629">
        <w:t>MSAC has also supported a gene therapy for HMB</w:t>
      </w:r>
      <w:r w:rsidR="00367018">
        <w:t xml:space="preserve"> (</w:t>
      </w:r>
      <w:r w:rsidR="00367018">
        <w:fldChar w:fldCharType="begin"/>
      </w:r>
      <w:r w:rsidR="00367018">
        <w:instrText xml:space="preserve"> REF _Ref69480768 \h </w:instrText>
      </w:r>
      <w:r w:rsidR="00367018">
        <w:fldChar w:fldCharType="separate"/>
      </w:r>
      <w:r w:rsidR="00CD3B0F">
        <w:t xml:space="preserve">Table </w:t>
      </w:r>
      <w:r w:rsidR="00CD3B0F">
        <w:rPr>
          <w:noProof/>
        </w:rPr>
        <w:t>1</w:t>
      </w:r>
      <w:r w:rsidR="00B83A2C">
        <w:rPr>
          <w:noProof/>
        </w:rPr>
        <w:t>)</w:t>
      </w:r>
      <w:r w:rsidR="00CD3B0F">
        <w:tab/>
      </w:r>
      <w:r w:rsidR="00367018">
        <w:fldChar w:fldCharType="end"/>
      </w:r>
      <w:r w:rsidR="002E7629">
        <w:t>.</w:t>
      </w:r>
    </w:p>
    <w:p w14:paraId="6EC12EDF" w14:textId="3811CF93" w:rsidR="0068682C" w:rsidRPr="00CE28E3" w:rsidRDefault="00551590" w:rsidP="0068682C">
      <w:pPr>
        <w:pStyle w:val="Caption"/>
      </w:pPr>
      <w:bookmarkStart w:id="4" w:name="_Ref69480768"/>
      <w:bookmarkStart w:id="5" w:name="_Hlk69734557"/>
      <w:r>
        <w:t xml:space="preserve">Table </w:t>
      </w:r>
      <w:r>
        <w:fldChar w:fldCharType="begin"/>
      </w:r>
      <w:r>
        <w:instrText>SEQ Table \* ARABIC</w:instrText>
      </w:r>
      <w:r>
        <w:fldChar w:fldCharType="separate"/>
      </w:r>
      <w:r w:rsidR="00CD3B0F">
        <w:rPr>
          <w:noProof/>
        </w:rPr>
        <w:t>1</w:t>
      </w:r>
      <w:r>
        <w:fldChar w:fldCharType="end"/>
      </w:r>
      <w:r>
        <w:tab/>
      </w:r>
      <w:bookmarkEnd w:id="4"/>
      <w:r w:rsidR="0068682C" w:rsidRPr="00CE28E3">
        <w:t xml:space="preserve">Summary of </w:t>
      </w:r>
      <w:r w:rsidR="009929A7">
        <w:t>haemophilia</w:t>
      </w:r>
      <w:r w:rsidR="00521161">
        <w:t>-</w:t>
      </w:r>
      <w:r w:rsidR="007058C7">
        <w:t>related applications</w:t>
      </w:r>
      <w:r w:rsidR="00882C94">
        <w:t xml:space="preserve"> to MSAC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related applications to MSAC"/>
        <w:tblDescription w:val="Summary of related applications to MSAC, including submissions for 4 therapies"/>
      </w:tblPr>
      <w:tblGrid>
        <w:gridCol w:w="5876"/>
        <w:gridCol w:w="1979"/>
        <w:gridCol w:w="1161"/>
      </w:tblGrid>
      <w:tr w:rsidR="00F57885" w:rsidRPr="00CE28E3" w14:paraId="2BDCC27B" w14:textId="77777777" w:rsidTr="007D37FB">
        <w:trPr>
          <w:cantSplit/>
          <w:tblHeader/>
        </w:trPr>
        <w:tc>
          <w:tcPr>
            <w:tcW w:w="5949" w:type="dxa"/>
          </w:tcPr>
          <w:p w14:paraId="58F6A808" w14:textId="5149D9FD" w:rsidR="00F57885" w:rsidRPr="00CE28E3" w:rsidRDefault="00891761" w:rsidP="00C86B6C">
            <w:pPr>
              <w:pStyle w:val="TableHeading0"/>
            </w:pPr>
            <w:bookmarkStart w:id="6" w:name="ColumnTitle_Table1"/>
            <w:bookmarkStart w:id="7" w:name="_Hlk68275590"/>
            <w:bookmarkEnd w:id="6"/>
            <w:r>
              <w:t>Application</w:t>
            </w:r>
          </w:p>
        </w:tc>
        <w:tc>
          <w:tcPr>
            <w:tcW w:w="1993" w:type="dxa"/>
          </w:tcPr>
          <w:p w14:paraId="09992FB9" w14:textId="06CD9C8E" w:rsidR="00F57885" w:rsidRPr="00CE28E3" w:rsidRDefault="00891761" w:rsidP="00C86B6C">
            <w:pPr>
              <w:pStyle w:val="TableHeading0"/>
            </w:pPr>
            <w:r>
              <w:t>MSAC Meeting Date</w:t>
            </w:r>
          </w:p>
        </w:tc>
        <w:tc>
          <w:tcPr>
            <w:tcW w:w="0" w:type="auto"/>
          </w:tcPr>
          <w:p w14:paraId="54C88680" w14:textId="6D8AF605" w:rsidR="00F57885" w:rsidRPr="00CE28E3" w:rsidRDefault="00891761" w:rsidP="00C86B6C">
            <w:pPr>
              <w:pStyle w:val="TableHeading0"/>
            </w:pPr>
            <w:r>
              <w:t>Outcome</w:t>
            </w:r>
          </w:p>
        </w:tc>
      </w:tr>
      <w:tr w:rsidR="00657211" w:rsidRPr="00CE28E3" w14:paraId="771D1871" w14:textId="77777777" w:rsidTr="007D37FB">
        <w:trPr>
          <w:cantSplit/>
          <w:tblHeader/>
        </w:trPr>
        <w:tc>
          <w:tcPr>
            <w:tcW w:w="5949" w:type="dxa"/>
          </w:tcPr>
          <w:p w14:paraId="2AEDEBF0" w14:textId="06D6A29F" w:rsidR="00657211" w:rsidRDefault="00657211" w:rsidP="00C86B6C">
            <w:pPr>
              <w:pStyle w:val="TableHeading0"/>
            </w:pPr>
            <w:r>
              <w:t>Antibody therapies</w:t>
            </w:r>
          </w:p>
        </w:tc>
        <w:tc>
          <w:tcPr>
            <w:tcW w:w="1993" w:type="dxa"/>
          </w:tcPr>
          <w:p w14:paraId="048129D0" w14:textId="77777777" w:rsidR="00657211" w:rsidRDefault="00657211" w:rsidP="00824458">
            <w:pPr>
              <w:pStyle w:val="In-tableHeading"/>
            </w:pPr>
          </w:p>
        </w:tc>
        <w:tc>
          <w:tcPr>
            <w:tcW w:w="0" w:type="auto"/>
          </w:tcPr>
          <w:p w14:paraId="6A2DB8F2" w14:textId="77777777" w:rsidR="00657211" w:rsidRDefault="00657211" w:rsidP="00824458">
            <w:pPr>
              <w:pStyle w:val="In-tableHeading"/>
            </w:pPr>
          </w:p>
        </w:tc>
      </w:tr>
      <w:tr w:rsidR="00F57885" w:rsidRPr="007058C7" w14:paraId="0D0A7682" w14:textId="77777777" w:rsidTr="007D37FB">
        <w:trPr>
          <w:cantSplit/>
        </w:trPr>
        <w:tc>
          <w:tcPr>
            <w:tcW w:w="5949" w:type="dxa"/>
          </w:tcPr>
          <w:p w14:paraId="4F1DA453" w14:textId="6DE876F5" w:rsidR="00F57885" w:rsidRPr="007058C7" w:rsidRDefault="007058C7" w:rsidP="007058C7">
            <w:pPr>
              <w:pStyle w:val="TableText"/>
            </w:pPr>
            <w:hyperlink r:id="rId14" w:tooltip="Link to application page on MSAC website" w:history="1">
              <w:r w:rsidRPr="007F1587">
                <w:rPr>
                  <w:rStyle w:val="Hyperlink"/>
                </w:rPr>
                <w:t>1806</w:t>
              </w:r>
            </w:hyperlink>
            <w:r w:rsidRPr="007058C7">
              <w:t xml:space="preserve"> – Marstacimab for routine prophylaxis to prevent bleeding in patients with haemophilia</w:t>
            </w:r>
          </w:p>
        </w:tc>
        <w:tc>
          <w:tcPr>
            <w:tcW w:w="1993" w:type="dxa"/>
          </w:tcPr>
          <w:p w14:paraId="3F35F478" w14:textId="20849F15" w:rsidR="00F57885" w:rsidRPr="007058C7" w:rsidRDefault="007058C7" w:rsidP="007058C7">
            <w:pPr>
              <w:pStyle w:val="TableText"/>
            </w:pPr>
            <w:r>
              <w:t>1-2 April 2026</w:t>
            </w:r>
          </w:p>
        </w:tc>
        <w:tc>
          <w:tcPr>
            <w:tcW w:w="0" w:type="auto"/>
          </w:tcPr>
          <w:p w14:paraId="13F08427" w14:textId="722850C1" w:rsidR="00F57885" w:rsidRPr="007058C7" w:rsidRDefault="007058C7" w:rsidP="007058C7">
            <w:pPr>
              <w:pStyle w:val="TableText"/>
            </w:pPr>
            <w:r>
              <w:t>N/A</w:t>
            </w:r>
          </w:p>
        </w:tc>
      </w:tr>
      <w:tr w:rsidR="000E5C20" w:rsidRPr="00CE28E3" w14:paraId="1B6A23AA" w14:textId="77777777" w:rsidTr="007D37FB">
        <w:trPr>
          <w:cantSplit/>
        </w:trPr>
        <w:tc>
          <w:tcPr>
            <w:tcW w:w="5949" w:type="dxa"/>
          </w:tcPr>
          <w:p w14:paraId="079F8CB2" w14:textId="4DA115A9" w:rsidR="000E5C20" w:rsidRPr="00CE28E3" w:rsidRDefault="0004468F" w:rsidP="00824458">
            <w:pPr>
              <w:pStyle w:val="TableText"/>
            </w:pPr>
            <w:hyperlink r:id="rId15" w:tooltip="Link to the application on the MSAC website" w:history="1">
              <w:r w:rsidRPr="0004468F">
                <w:rPr>
                  <w:rStyle w:val="Hyperlink"/>
                </w:rPr>
                <w:t>1510.1</w:t>
              </w:r>
            </w:hyperlink>
            <w:r w:rsidRPr="0004468F">
              <w:t xml:space="preserve"> – Emicizumab for routine prophylaxis to prevent or reduce the frequency of bleeding episodes in patients with Haemophilia A</w:t>
            </w:r>
          </w:p>
        </w:tc>
        <w:tc>
          <w:tcPr>
            <w:tcW w:w="1993" w:type="dxa"/>
          </w:tcPr>
          <w:p w14:paraId="0EE52CB5" w14:textId="1263115A" w:rsidR="000E5C20" w:rsidRPr="00CE28E3" w:rsidRDefault="00110872" w:rsidP="00824458">
            <w:pPr>
              <w:pStyle w:val="TableText"/>
              <w:rPr>
                <w:rFonts w:eastAsia="Times New Roman" w:cs="Arial"/>
                <w:snapToGrid w:val="0"/>
                <w:szCs w:val="20"/>
              </w:rPr>
            </w:pPr>
            <w:r>
              <w:t>1 - 2 August 2019</w:t>
            </w:r>
          </w:p>
        </w:tc>
        <w:tc>
          <w:tcPr>
            <w:tcW w:w="0" w:type="auto"/>
          </w:tcPr>
          <w:p w14:paraId="08F0DD65" w14:textId="08F17817" w:rsidR="000E5C20" w:rsidRPr="00CE28E3" w:rsidRDefault="00110872" w:rsidP="00824458">
            <w:pPr>
              <w:pStyle w:val="TableText"/>
              <w:rPr>
                <w:rFonts w:eastAsia="Times New Roman" w:cs="Arial"/>
                <w:snapToGrid w:val="0"/>
                <w:szCs w:val="20"/>
              </w:rPr>
            </w:pPr>
            <w:r>
              <w:rPr>
                <w:rFonts w:eastAsia="Times New Roman" w:cs="Arial"/>
                <w:snapToGrid w:val="0"/>
                <w:szCs w:val="20"/>
              </w:rPr>
              <w:t>Supported</w:t>
            </w:r>
          </w:p>
        </w:tc>
      </w:tr>
      <w:tr w:rsidR="00AB531B" w:rsidRPr="00CE28E3" w14:paraId="4F490987" w14:textId="77777777" w:rsidTr="007D37FB">
        <w:trPr>
          <w:cantSplit/>
        </w:trPr>
        <w:tc>
          <w:tcPr>
            <w:tcW w:w="5949" w:type="dxa"/>
          </w:tcPr>
          <w:p w14:paraId="0D8D49C0" w14:textId="3006A9AA" w:rsidR="00AB531B" w:rsidRPr="00CE28E3" w:rsidRDefault="00AB531B" w:rsidP="00824458">
            <w:pPr>
              <w:pStyle w:val="TableText"/>
            </w:pPr>
            <w:hyperlink r:id="rId16" w:history="1">
              <w:r w:rsidRPr="00E84EF9">
                <w:rPr>
                  <w:rStyle w:val="Hyperlink"/>
                </w:rPr>
                <w:t>1579</w:t>
              </w:r>
            </w:hyperlink>
            <w:r w:rsidRPr="00E84EF9">
              <w:t xml:space="preserve"> – Emicizumab for routine prophylaxis to prevent bleeding or reduce the frequency of bleeding episodes in patients with moderate to severe Haemophilia A (congenital Factor VIII deficiency) WITHOUT Factor VIII inhibitors</w:t>
            </w:r>
          </w:p>
        </w:tc>
        <w:tc>
          <w:tcPr>
            <w:tcW w:w="1993" w:type="dxa"/>
          </w:tcPr>
          <w:p w14:paraId="005302F3" w14:textId="5AD413B8" w:rsidR="00AB531B" w:rsidRPr="00CE28E3" w:rsidRDefault="00AB531B" w:rsidP="00824458">
            <w:pPr>
              <w:pStyle w:val="TableText"/>
              <w:rPr>
                <w:rFonts w:eastAsia="Times New Roman" w:cs="Arial"/>
                <w:snapToGrid w:val="0"/>
                <w:szCs w:val="20"/>
              </w:rPr>
            </w:pPr>
            <w:r>
              <w:t>1 - 2 August 2019</w:t>
            </w:r>
          </w:p>
        </w:tc>
        <w:tc>
          <w:tcPr>
            <w:tcW w:w="0" w:type="auto"/>
          </w:tcPr>
          <w:p w14:paraId="0BA4E099" w14:textId="77777777" w:rsidR="00AB531B" w:rsidRPr="00CE28E3" w:rsidRDefault="00AB531B" w:rsidP="00824458">
            <w:pPr>
              <w:pStyle w:val="TableText"/>
              <w:rPr>
                <w:rFonts w:eastAsia="Times New Roman" w:cs="Arial"/>
                <w:snapToGrid w:val="0"/>
                <w:szCs w:val="20"/>
              </w:rPr>
            </w:pPr>
            <w:r>
              <w:rPr>
                <w:rFonts w:eastAsia="Times New Roman" w:cs="Arial"/>
                <w:snapToGrid w:val="0"/>
                <w:szCs w:val="20"/>
              </w:rPr>
              <w:t>Supported</w:t>
            </w:r>
          </w:p>
        </w:tc>
      </w:tr>
      <w:tr w:rsidR="003C6340" w:rsidRPr="00CE28E3" w14:paraId="3FA53B30" w14:textId="77777777" w:rsidTr="007D37FB">
        <w:trPr>
          <w:cantSplit/>
        </w:trPr>
        <w:tc>
          <w:tcPr>
            <w:tcW w:w="5949" w:type="dxa"/>
          </w:tcPr>
          <w:p w14:paraId="0E7D4D16" w14:textId="5EC37E5E" w:rsidR="003C6340" w:rsidRPr="00CE28E3" w:rsidRDefault="000B2BBC" w:rsidP="00824458">
            <w:pPr>
              <w:pStyle w:val="TableText"/>
            </w:pPr>
            <w:hyperlink r:id="rId17" w:tooltip="Link the application on the MSAC website" w:history="1">
              <w:r w:rsidRPr="000B2BBC">
                <w:rPr>
                  <w:rStyle w:val="Hyperlink"/>
                </w:rPr>
                <w:t>1510</w:t>
              </w:r>
            </w:hyperlink>
            <w:r w:rsidRPr="000B2BBC">
              <w:t xml:space="preserve"> – Emicizumab for routine prophylaxis to prevent bleeding or reduce the frequency of bleeding episodes in patients with Haemophilia A (congenital Factor VIII deficiency) with Factor VIII inhibitors</w:t>
            </w:r>
          </w:p>
        </w:tc>
        <w:tc>
          <w:tcPr>
            <w:tcW w:w="1993" w:type="dxa"/>
          </w:tcPr>
          <w:p w14:paraId="780308F3" w14:textId="68228063" w:rsidR="003C6340" w:rsidRPr="00CE28E3" w:rsidRDefault="0088449E" w:rsidP="00824458">
            <w:pPr>
              <w:pStyle w:val="TableText"/>
              <w:rPr>
                <w:rFonts w:eastAsia="Times New Roman" w:cs="Arial"/>
                <w:snapToGrid w:val="0"/>
                <w:szCs w:val="20"/>
              </w:rPr>
            </w:pPr>
            <w:r>
              <w:t>22 - 23 November 2018</w:t>
            </w:r>
          </w:p>
        </w:tc>
        <w:tc>
          <w:tcPr>
            <w:tcW w:w="0" w:type="auto"/>
          </w:tcPr>
          <w:p w14:paraId="277B48D1" w14:textId="6D2ADD41" w:rsidR="003C6340" w:rsidRPr="00CE28E3" w:rsidRDefault="000B2BBC" w:rsidP="00824458">
            <w:pPr>
              <w:pStyle w:val="TableText"/>
              <w:rPr>
                <w:rFonts w:eastAsia="Times New Roman" w:cs="Arial"/>
                <w:snapToGrid w:val="0"/>
                <w:szCs w:val="20"/>
              </w:rPr>
            </w:pPr>
            <w:r>
              <w:rPr>
                <w:rFonts w:eastAsia="Times New Roman" w:cs="Arial"/>
                <w:snapToGrid w:val="0"/>
                <w:szCs w:val="20"/>
              </w:rPr>
              <w:t>Not Supported</w:t>
            </w:r>
          </w:p>
        </w:tc>
      </w:tr>
      <w:tr w:rsidR="00891761" w:rsidRPr="00CE28E3" w14:paraId="5810360D" w14:textId="77777777" w:rsidTr="007D37FB">
        <w:trPr>
          <w:cantSplit/>
        </w:trPr>
        <w:tc>
          <w:tcPr>
            <w:tcW w:w="5949" w:type="dxa"/>
          </w:tcPr>
          <w:p w14:paraId="3C58E8B5" w14:textId="5CD42E4B" w:rsidR="00891761" w:rsidRPr="00CE28E3" w:rsidRDefault="000E5C20" w:rsidP="00C86B6C">
            <w:pPr>
              <w:pStyle w:val="TableHeading0"/>
            </w:pPr>
            <w:r>
              <w:t>Gene therapies</w:t>
            </w:r>
          </w:p>
        </w:tc>
        <w:tc>
          <w:tcPr>
            <w:tcW w:w="1993" w:type="dxa"/>
          </w:tcPr>
          <w:p w14:paraId="39E44D5B" w14:textId="77777777" w:rsidR="00891761" w:rsidRPr="00CE28E3" w:rsidRDefault="00891761" w:rsidP="00824458">
            <w:pPr>
              <w:pStyle w:val="TableText"/>
              <w:rPr>
                <w:rFonts w:eastAsia="Times New Roman" w:cs="Arial"/>
                <w:snapToGrid w:val="0"/>
                <w:szCs w:val="20"/>
              </w:rPr>
            </w:pPr>
          </w:p>
        </w:tc>
        <w:tc>
          <w:tcPr>
            <w:tcW w:w="0" w:type="auto"/>
          </w:tcPr>
          <w:p w14:paraId="06788197" w14:textId="77777777" w:rsidR="00891761" w:rsidRPr="00CE28E3" w:rsidRDefault="00891761" w:rsidP="00824458">
            <w:pPr>
              <w:pStyle w:val="TableText"/>
              <w:rPr>
                <w:rFonts w:eastAsia="Times New Roman" w:cs="Arial"/>
                <w:snapToGrid w:val="0"/>
                <w:szCs w:val="20"/>
              </w:rPr>
            </w:pPr>
          </w:p>
        </w:tc>
      </w:tr>
      <w:tr w:rsidR="00F57885" w:rsidRPr="00CE28E3" w14:paraId="3B9AD9C3" w14:textId="77777777" w:rsidTr="007D37FB">
        <w:trPr>
          <w:cantSplit/>
        </w:trPr>
        <w:tc>
          <w:tcPr>
            <w:tcW w:w="5949" w:type="dxa"/>
          </w:tcPr>
          <w:p w14:paraId="23382853" w14:textId="30612370" w:rsidR="00F57885" w:rsidRPr="00CE28E3" w:rsidRDefault="00B71CD5" w:rsidP="00824458">
            <w:pPr>
              <w:pStyle w:val="TableText"/>
            </w:pPr>
            <w:hyperlink r:id="rId18" w:tooltip="Link to the application on the MSAC website" w:history="1">
              <w:r w:rsidRPr="00B71CD5">
                <w:rPr>
                  <w:rStyle w:val="Hyperlink"/>
                </w:rPr>
                <w:t>1728.1</w:t>
              </w:r>
            </w:hyperlink>
            <w:r w:rsidRPr="00B71CD5">
              <w:t xml:space="preserve"> – Etranacogene dezaparvovec for the treatment of Haemophilia B</w:t>
            </w:r>
          </w:p>
        </w:tc>
        <w:tc>
          <w:tcPr>
            <w:tcW w:w="1993" w:type="dxa"/>
          </w:tcPr>
          <w:p w14:paraId="3C6FBFDC" w14:textId="2B6E576F" w:rsidR="00F57885" w:rsidRPr="00CE28E3" w:rsidRDefault="00606F97" w:rsidP="00824458">
            <w:pPr>
              <w:pStyle w:val="TableText"/>
            </w:pPr>
            <w:r>
              <w:t>31 July - 1 August 2025</w:t>
            </w:r>
          </w:p>
        </w:tc>
        <w:tc>
          <w:tcPr>
            <w:tcW w:w="0" w:type="auto"/>
          </w:tcPr>
          <w:p w14:paraId="26202E3E" w14:textId="1E431FF8" w:rsidR="00F57885" w:rsidRPr="00CE28E3" w:rsidRDefault="00B71CD5" w:rsidP="00824458">
            <w:pPr>
              <w:pStyle w:val="TableText"/>
              <w:rPr>
                <w:rFonts w:eastAsia="Times New Roman" w:cs="Arial"/>
                <w:bCs/>
                <w:snapToGrid w:val="0"/>
                <w:szCs w:val="20"/>
              </w:rPr>
            </w:pPr>
            <w:r>
              <w:rPr>
                <w:rFonts w:eastAsia="Times New Roman" w:cs="Arial"/>
                <w:snapToGrid w:val="0"/>
                <w:szCs w:val="20"/>
              </w:rPr>
              <w:t>Supported</w:t>
            </w:r>
          </w:p>
        </w:tc>
      </w:tr>
      <w:tr w:rsidR="00AB531B" w:rsidRPr="00CE28E3" w14:paraId="47871F5F" w14:textId="77777777" w:rsidTr="007D37FB">
        <w:trPr>
          <w:cantSplit/>
        </w:trPr>
        <w:tc>
          <w:tcPr>
            <w:tcW w:w="5949" w:type="dxa"/>
          </w:tcPr>
          <w:p w14:paraId="03FC5C87" w14:textId="2937D6CC" w:rsidR="00AB531B" w:rsidRPr="00CE28E3" w:rsidRDefault="00355471" w:rsidP="00824458">
            <w:pPr>
              <w:pStyle w:val="TableText"/>
            </w:pPr>
            <w:hyperlink r:id="rId19" w:tooltip="Link to the application on the MSAC website" w:history="1">
              <w:r w:rsidRPr="00355471">
                <w:rPr>
                  <w:rStyle w:val="Hyperlink"/>
                </w:rPr>
                <w:t>1728</w:t>
              </w:r>
            </w:hyperlink>
            <w:r w:rsidRPr="00355471">
              <w:t xml:space="preserve"> – Etranacogene dezaparvovec for the treatment of Haemophilia B</w:t>
            </w:r>
          </w:p>
        </w:tc>
        <w:tc>
          <w:tcPr>
            <w:tcW w:w="1993" w:type="dxa"/>
          </w:tcPr>
          <w:p w14:paraId="03766B9B" w14:textId="30F28271" w:rsidR="00AB531B" w:rsidRPr="00CE28E3" w:rsidRDefault="00755A07" w:rsidP="00824458">
            <w:pPr>
              <w:pStyle w:val="TableText"/>
              <w:rPr>
                <w:rFonts w:eastAsia="Times New Roman" w:cs="Arial"/>
                <w:snapToGrid w:val="0"/>
                <w:szCs w:val="20"/>
              </w:rPr>
            </w:pPr>
            <w:r>
              <w:t>1–2 August 2024</w:t>
            </w:r>
          </w:p>
        </w:tc>
        <w:tc>
          <w:tcPr>
            <w:tcW w:w="0" w:type="auto"/>
          </w:tcPr>
          <w:p w14:paraId="710AD480" w14:textId="0DA483D4" w:rsidR="00AB531B" w:rsidRPr="00CE28E3" w:rsidRDefault="00355471" w:rsidP="00824458">
            <w:pPr>
              <w:pStyle w:val="TableText"/>
              <w:rPr>
                <w:rFonts w:eastAsia="Times New Roman" w:cs="Arial"/>
                <w:snapToGrid w:val="0"/>
                <w:szCs w:val="20"/>
              </w:rPr>
            </w:pPr>
            <w:r>
              <w:rPr>
                <w:rFonts w:eastAsia="Times New Roman" w:cs="Arial"/>
                <w:snapToGrid w:val="0"/>
                <w:szCs w:val="20"/>
              </w:rPr>
              <w:t>Not Supported</w:t>
            </w:r>
          </w:p>
        </w:tc>
      </w:tr>
      <w:tr w:rsidR="000E5C20" w:rsidRPr="00CE28E3" w14:paraId="535F94D4" w14:textId="77777777" w:rsidTr="007D37FB">
        <w:trPr>
          <w:cantSplit/>
        </w:trPr>
        <w:tc>
          <w:tcPr>
            <w:tcW w:w="5949" w:type="dxa"/>
          </w:tcPr>
          <w:p w14:paraId="1498B075" w14:textId="28CB6230" w:rsidR="000E5C20" w:rsidRPr="00CE28E3" w:rsidRDefault="000E5C20" w:rsidP="00824458">
            <w:pPr>
              <w:pStyle w:val="TableText"/>
            </w:pPr>
            <w:hyperlink r:id="rId20" w:tooltip="Link to the application page on the MSAC website" w:history="1">
              <w:r w:rsidRPr="001B4F57">
                <w:rPr>
                  <w:rStyle w:val="Hyperlink"/>
                </w:rPr>
                <w:t>1751</w:t>
              </w:r>
            </w:hyperlink>
            <w:r w:rsidRPr="001B4F57">
              <w:t xml:space="preserve"> – Valoctocogene roxaparvovec gene therapy for congenital haemophilia A</w:t>
            </w:r>
          </w:p>
        </w:tc>
        <w:tc>
          <w:tcPr>
            <w:tcW w:w="1993" w:type="dxa"/>
          </w:tcPr>
          <w:p w14:paraId="2AB60BD8" w14:textId="77777777" w:rsidR="000E5C20" w:rsidRPr="00CE28E3" w:rsidRDefault="000E5C20" w:rsidP="00824458">
            <w:pPr>
              <w:pStyle w:val="TableText"/>
              <w:rPr>
                <w:rFonts w:eastAsia="Times New Roman" w:cs="Arial"/>
                <w:snapToGrid w:val="0"/>
                <w:szCs w:val="20"/>
              </w:rPr>
            </w:pPr>
            <w:r>
              <w:rPr>
                <w:rFonts w:eastAsia="Times New Roman" w:cs="Arial"/>
                <w:snapToGrid w:val="0"/>
                <w:szCs w:val="20"/>
              </w:rPr>
              <w:t>PASC meeting 18-19 April 2024</w:t>
            </w:r>
          </w:p>
        </w:tc>
        <w:tc>
          <w:tcPr>
            <w:tcW w:w="0" w:type="auto"/>
          </w:tcPr>
          <w:p w14:paraId="24F12D32" w14:textId="093CEBA9" w:rsidR="000E5C20" w:rsidRPr="00CE28E3" w:rsidRDefault="00147EAA" w:rsidP="00824458">
            <w:pPr>
              <w:pStyle w:val="TableText"/>
              <w:rPr>
                <w:rFonts w:eastAsia="Times New Roman" w:cs="Arial"/>
                <w:bCs/>
                <w:snapToGrid w:val="0"/>
                <w:szCs w:val="20"/>
              </w:rPr>
            </w:pPr>
            <w:r>
              <w:rPr>
                <w:rFonts w:eastAsia="Times New Roman" w:cs="Arial"/>
                <w:snapToGrid w:val="0"/>
                <w:szCs w:val="20"/>
              </w:rPr>
              <w:t>W</w:t>
            </w:r>
            <w:r w:rsidR="00BE2BD9">
              <w:rPr>
                <w:rFonts w:eastAsia="Times New Roman" w:cs="Arial"/>
                <w:snapToGrid w:val="0"/>
                <w:szCs w:val="20"/>
              </w:rPr>
              <w:t>ithdrawn</w:t>
            </w:r>
          </w:p>
        </w:tc>
      </w:tr>
    </w:tbl>
    <w:p w14:paraId="3EA0F47E" w14:textId="757E24D7" w:rsidR="00F57885" w:rsidRPr="00CE28E3" w:rsidRDefault="00882C94" w:rsidP="003E0029">
      <w:pPr>
        <w:pStyle w:val="Tablenotes0"/>
      </w:pPr>
      <w:bookmarkStart w:id="8" w:name="_Hlk215493320"/>
      <w:bookmarkStart w:id="9" w:name="_Hlk68275617"/>
      <w:bookmarkEnd w:id="7"/>
      <w:r>
        <w:rPr>
          <w:szCs w:val="20"/>
        </w:rPr>
        <w:t xml:space="preserve">MSAC = Medical Services Advisory Committee; </w:t>
      </w:r>
      <w:r w:rsidR="00755A07">
        <w:rPr>
          <w:szCs w:val="20"/>
        </w:rPr>
        <w:t>NA</w:t>
      </w:r>
      <w:r w:rsidR="00F57885" w:rsidRPr="00CE28E3">
        <w:t xml:space="preserve"> = </w:t>
      </w:r>
      <w:r w:rsidR="0002162B">
        <w:t>n</w:t>
      </w:r>
      <w:r w:rsidR="00755A07">
        <w:t>ot applicable</w:t>
      </w:r>
      <w:r>
        <w:t xml:space="preserve">; PASC = </w:t>
      </w:r>
      <w:r w:rsidR="00C953B1">
        <w:t>PICO Advisory Subcommittee</w:t>
      </w:r>
      <w:bookmarkEnd w:id="8"/>
      <w:r w:rsidR="0087277A">
        <w:t>.</w:t>
      </w:r>
    </w:p>
    <w:p w14:paraId="6F52500A" w14:textId="2971E38F" w:rsidR="00772829" w:rsidRDefault="00772829" w:rsidP="00F1192D">
      <w:pPr>
        <w:pStyle w:val="Heading2"/>
        <w:numPr>
          <w:ilvl w:val="0"/>
          <w:numId w:val="31"/>
        </w:numPr>
        <w:ind w:left="709" w:hanging="709"/>
      </w:pPr>
      <w:bookmarkStart w:id="10" w:name="_Toc69491417"/>
      <w:bookmarkEnd w:id="5"/>
      <w:bookmarkEnd w:id="9"/>
      <w:r w:rsidRPr="00CE28E3">
        <w:t>Prerequisites to implementation of any funding advice</w:t>
      </w:r>
      <w:bookmarkEnd w:id="10"/>
    </w:p>
    <w:p w14:paraId="75F1A33A" w14:textId="391E8BE0" w:rsidR="005E1D32" w:rsidRPr="005E1D32" w:rsidRDefault="005E1D32" w:rsidP="005E1D32">
      <w:r w:rsidRPr="005E1D32">
        <w:t xml:space="preserve">There are currently </w:t>
      </w:r>
      <w:r w:rsidR="00540700">
        <w:t>4</w:t>
      </w:r>
      <w:r w:rsidR="00540700" w:rsidRPr="005E1D32">
        <w:t xml:space="preserve"> </w:t>
      </w:r>
      <w:r w:rsidRPr="005E1D32">
        <w:t>Australian Register of Therapeutic Goods (ARTG) listings related to this application</w:t>
      </w:r>
      <w:r w:rsidR="00885E70">
        <w:t>;</w:t>
      </w:r>
      <w:r w:rsidRPr="005E1D32">
        <w:t xml:space="preserve"> </w:t>
      </w:r>
      <w:r w:rsidR="00C3709A" w:rsidRPr="00CE540D">
        <w:t>394068</w:t>
      </w:r>
      <w:r w:rsidRPr="005E1D32">
        <w:t xml:space="preserve">, </w:t>
      </w:r>
      <w:r w:rsidR="00EF1DC2" w:rsidRPr="00CE540D">
        <w:t>394065</w:t>
      </w:r>
      <w:r w:rsidRPr="005E1D32">
        <w:t xml:space="preserve">, </w:t>
      </w:r>
      <w:r w:rsidR="008258B6" w:rsidRPr="00CE540D">
        <w:t>394067</w:t>
      </w:r>
      <w:r w:rsidRPr="005E1D32">
        <w:t xml:space="preserve"> and </w:t>
      </w:r>
      <w:r w:rsidR="00D01637" w:rsidRPr="00CE540D">
        <w:t>394066</w:t>
      </w:r>
      <w:r w:rsidR="009029E3">
        <w:t>,</w:t>
      </w:r>
      <w:r w:rsidRPr="005E1D32">
        <w:t xml:space="preserve"> corresponding to </w:t>
      </w:r>
      <w:r w:rsidR="00B50FD1" w:rsidRPr="00CE540D">
        <w:t>15</w:t>
      </w:r>
      <w:r w:rsidR="00FD5FBD">
        <w:t> </w:t>
      </w:r>
      <w:r w:rsidR="00B50FD1" w:rsidRPr="00CE540D">
        <w:t>mg/1.5</w:t>
      </w:r>
      <w:r w:rsidR="00FD5FBD">
        <w:t> </w:t>
      </w:r>
      <w:r w:rsidR="00B50FD1" w:rsidRPr="00CE540D">
        <w:t>mL</w:t>
      </w:r>
      <w:r w:rsidRPr="005E1D32">
        <w:t xml:space="preserve">, </w:t>
      </w:r>
      <w:r w:rsidR="00FB63DD" w:rsidRPr="00CE540D">
        <w:t>60</w:t>
      </w:r>
      <w:r w:rsidR="000874D7">
        <w:t> </w:t>
      </w:r>
      <w:r w:rsidR="00FB63DD" w:rsidRPr="00CE540D">
        <w:t>mg/1.5</w:t>
      </w:r>
      <w:r w:rsidR="00FD5FBD">
        <w:t> </w:t>
      </w:r>
      <w:r w:rsidR="00FB63DD" w:rsidRPr="00CE540D">
        <w:t>mL</w:t>
      </w:r>
      <w:r w:rsidRPr="005E1D32">
        <w:t xml:space="preserve">, </w:t>
      </w:r>
      <w:r w:rsidR="00E2112B" w:rsidRPr="00CE540D">
        <w:t>150</w:t>
      </w:r>
      <w:r w:rsidR="00FD5FBD">
        <w:t> </w:t>
      </w:r>
      <w:r w:rsidR="00E2112B" w:rsidRPr="00CE540D">
        <w:t>mg/1.5</w:t>
      </w:r>
      <w:r w:rsidR="00FD5FBD">
        <w:t> </w:t>
      </w:r>
      <w:r w:rsidR="00E2112B" w:rsidRPr="00CE540D">
        <w:t>mL</w:t>
      </w:r>
      <w:r w:rsidRPr="005E1D32">
        <w:t xml:space="preserve"> and </w:t>
      </w:r>
      <w:r w:rsidR="007F396E" w:rsidRPr="00CE540D">
        <w:t>300</w:t>
      </w:r>
      <w:r w:rsidR="00FD5FBD">
        <w:t> </w:t>
      </w:r>
      <w:r w:rsidR="007F396E" w:rsidRPr="00CE540D">
        <w:t>mg/3</w:t>
      </w:r>
      <w:r w:rsidR="00FD5FBD">
        <w:t> </w:t>
      </w:r>
      <w:r w:rsidR="007F396E" w:rsidRPr="00CE540D">
        <w:t xml:space="preserve">mL </w:t>
      </w:r>
      <w:r w:rsidR="007F396E">
        <w:t>solutions</w:t>
      </w:r>
      <w:r w:rsidR="009029E3">
        <w:t>,</w:t>
      </w:r>
      <w:r w:rsidR="007F396E">
        <w:t xml:space="preserve"> </w:t>
      </w:r>
      <w:r w:rsidR="00F0414E">
        <w:t>respectively</w:t>
      </w:r>
      <w:r w:rsidR="009029E3">
        <w:t>,</w:t>
      </w:r>
      <w:r w:rsidR="00F0414E">
        <w:t xml:space="preserve"> </w:t>
      </w:r>
      <w:r w:rsidR="007F396E">
        <w:t xml:space="preserve">for </w:t>
      </w:r>
      <w:r w:rsidR="00193787">
        <w:t>the concizumab injection prefilled pen</w:t>
      </w:r>
      <w:r w:rsidRPr="005E1D32">
        <w:t xml:space="preserve">.  </w:t>
      </w:r>
    </w:p>
    <w:p w14:paraId="44C3B242" w14:textId="4044569D" w:rsidR="00772829" w:rsidRDefault="00772829" w:rsidP="00F1192D">
      <w:pPr>
        <w:pStyle w:val="Heading2"/>
        <w:numPr>
          <w:ilvl w:val="0"/>
          <w:numId w:val="31"/>
        </w:numPr>
        <w:ind w:left="709" w:hanging="709"/>
      </w:pPr>
      <w:bookmarkStart w:id="11" w:name="_Toc69491418"/>
      <w:r w:rsidRPr="00CE28E3">
        <w:t>Proposal for public funding</w:t>
      </w:r>
      <w:bookmarkEnd w:id="11"/>
    </w:p>
    <w:p w14:paraId="77F12970" w14:textId="5A3D6267" w:rsidR="00725BF0" w:rsidRDefault="00725BF0" w:rsidP="00DC4F64">
      <w:pPr>
        <w:pStyle w:val="Guidelinescross-ref"/>
        <w:keepNext/>
        <w:rPr>
          <w:b w:val="0"/>
          <w:color w:val="auto"/>
          <w:sz w:val="22"/>
        </w:rPr>
      </w:pPr>
      <w:r>
        <w:rPr>
          <w:b w:val="0"/>
          <w:color w:val="auto"/>
          <w:sz w:val="22"/>
        </w:rPr>
        <w:t xml:space="preserve">Concizumab </w:t>
      </w:r>
      <w:r w:rsidRPr="00725BF0">
        <w:rPr>
          <w:b w:val="0"/>
          <w:color w:val="auto"/>
          <w:sz w:val="22"/>
        </w:rPr>
        <w:t>is a prescription medicine and</w:t>
      </w:r>
      <w:r w:rsidR="008356B3">
        <w:rPr>
          <w:b w:val="0"/>
          <w:color w:val="auto"/>
          <w:sz w:val="22"/>
        </w:rPr>
        <w:t xml:space="preserve"> potentially</w:t>
      </w:r>
      <w:r w:rsidRPr="00725BF0">
        <w:rPr>
          <w:b w:val="0"/>
          <w:color w:val="auto"/>
          <w:sz w:val="22"/>
        </w:rPr>
        <w:t xml:space="preserve"> a blood-related product that has orphan drug status assigned by the TGA. The application is therefore seeking public funding through listing on the </w:t>
      </w:r>
      <w:r w:rsidR="00416C07">
        <w:rPr>
          <w:b w:val="0"/>
          <w:color w:val="auto"/>
          <w:sz w:val="22"/>
        </w:rPr>
        <w:t>NBA’s</w:t>
      </w:r>
      <w:r w:rsidRPr="00725BF0">
        <w:rPr>
          <w:b w:val="0"/>
          <w:color w:val="auto"/>
          <w:sz w:val="22"/>
        </w:rPr>
        <w:t xml:space="preserve"> NP</w:t>
      </w:r>
      <w:r w:rsidR="00422769">
        <w:rPr>
          <w:b w:val="0"/>
          <w:color w:val="auto"/>
          <w:sz w:val="22"/>
        </w:rPr>
        <w:t>P</w:t>
      </w:r>
      <w:r w:rsidRPr="00725BF0">
        <w:rPr>
          <w:b w:val="0"/>
          <w:color w:val="auto"/>
          <w:sz w:val="22"/>
        </w:rPr>
        <w:t>L</w:t>
      </w:r>
      <w:r w:rsidR="005D7BE0">
        <w:rPr>
          <w:b w:val="0"/>
          <w:color w:val="auto"/>
          <w:sz w:val="22"/>
        </w:rPr>
        <w:t>.</w:t>
      </w:r>
      <w:r w:rsidRPr="00725BF0">
        <w:rPr>
          <w:b w:val="0"/>
          <w:color w:val="auto"/>
          <w:sz w:val="22"/>
        </w:rPr>
        <w:t xml:space="preserve"> </w:t>
      </w:r>
      <w:r w:rsidR="005D7BE0">
        <w:rPr>
          <w:b w:val="0"/>
          <w:color w:val="auto"/>
          <w:sz w:val="22"/>
        </w:rPr>
        <w:t>N</w:t>
      </w:r>
      <w:r w:rsidRPr="00725BF0">
        <w:rPr>
          <w:b w:val="0"/>
          <w:color w:val="auto"/>
          <w:sz w:val="22"/>
        </w:rPr>
        <w:t xml:space="preserve">o </w:t>
      </w:r>
      <w:r w:rsidR="000C53DB">
        <w:rPr>
          <w:b w:val="0"/>
          <w:color w:val="auto"/>
          <w:sz w:val="22"/>
        </w:rPr>
        <w:t>Medicare Benefits Schedule (</w:t>
      </w:r>
      <w:r w:rsidRPr="00725BF0">
        <w:rPr>
          <w:b w:val="0"/>
          <w:color w:val="auto"/>
          <w:sz w:val="22"/>
        </w:rPr>
        <w:t>MBS</w:t>
      </w:r>
      <w:r w:rsidR="000C53DB">
        <w:rPr>
          <w:b w:val="0"/>
          <w:color w:val="auto"/>
          <w:sz w:val="22"/>
        </w:rPr>
        <w:t>)</w:t>
      </w:r>
      <w:r w:rsidRPr="00725BF0">
        <w:rPr>
          <w:b w:val="0"/>
          <w:color w:val="auto"/>
          <w:sz w:val="22"/>
        </w:rPr>
        <w:t xml:space="preserve"> item is required. </w:t>
      </w:r>
    </w:p>
    <w:p w14:paraId="65086646" w14:textId="79304464" w:rsidR="00A87DE3" w:rsidRDefault="00A87DE3" w:rsidP="00DC4F64">
      <w:pPr>
        <w:pStyle w:val="Guidelinescross-ref"/>
        <w:keepNext/>
        <w:rPr>
          <w:b w:val="0"/>
          <w:color w:val="auto"/>
          <w:sz w:val="22"/>
        </w:rPr>
      </w:pPr>
      <w:r>
        <w:rPr>
          <w:b w:val="0"/>
          <w:color w:val="auto"/>
          <w:sz w:val="22"/>
        </w:rPr>
        <w:t xml:space="preserve">An </w:t>
      </w:r>
      <w:r w:rsidR="000C53DB">
        <w:rPr>
          <w:b w:val="0"/>
          <w:color w:val="auto"/>
          <w:sz w:val="22"/>
        </w:rPr>
        <w:t xml:space="preserve">enzyme-linked immunosorbent </w:t>
      </w:r>
      <w:r w:rsidR="000816EB">
        <w:rPr>
          <w:b w:val="0"/>
          <w:color w:val="auto"/>
          <w:sz w:val="22"/>
        </w:rPr>
        <w:t>assay (</w:t>
      </w:r>
      <w:r>
        <w:rPr>
          <w:b w:val="0"/>
          <w:color w:val="auto"/>
          <w:sz w:val="22"/>
        </w:rPr>
        <w:t>ELISA</w:t>
      </w:r>
      <w:r w:rsidR="000816EB">
        <w:rPr>
          <w:b w:val="0"/>
          <w:color w:val="auto"/>
          <w:sz w:val="22"/>
        </w:rPr>
        <w:t>)</w:t>
      </w:r>
      <w:r>
        <w:rPr>
          <w:b w:val="0"/>
          <w:color w:val="auto"/>
          <w:sz w:val="22"/>
        </w:rPr>
        <w:t xml:space="preserve"> is required for dose setting of concizumab</w:t>
      </w:r>
      <w:r w:rsidR="00A1305F">
        <w:rPr>
          <w:b w:val="0"/>
          <w:color w:val="auto"/>
          <w:sz w:val="22"/>
        </w:rPr>
        <w:t xml:space="preserve"> (once only)</w:t>
      </w:r>
      <w:r w:rsidR="009126EF">
        <w:rPr>
          <w:b w:val="0"/>
          <w:color w:val="auto"/>
          <w:sz w:val="22"/>
        </w:rPr>
        <w:t xml:space="preserve">. </w:t>
      </w:r>
      <w:r w:rsidR="00872F15">
        <w:rPr>
          <w:b w:val="0"/>
          <w:color w:val="auto"/>
          <w:sz w:val="22"/>
        </w:rPr>
        <w:t>T</w:t>
      </w:r>
      <w:r w:rsidR="002A40A1" w:rsidRPr="002A40A1">
        <w:rPr>
          <w:b w:val="0"/>
          <w:color w:val="auto"/>
          <w:sz w:val="22"/>
        </w:rPr>
        <w:t xml:space="preserve">he costs associated with </w:t>
      </w:r>
      <w:r w:rsidR="00872F15">
        <w:rPr>
          <w:b w:val="0"/>
          <w:color w:val="auto"/>
          <w:sz w:val="22"/>
        </w:rPr>
        <w:t xml:space="preserve">the </w:t>
      </w:r>
      <w:r w:rsidR="002A40A1" w:rsidRPr="002A40A1">
        <w:rPr>
          <w:b w:val="0"/>
          <w:color w:val="auto"/>
          <w:sz w:val="22"/>
        </w:rPr>
        <w:t>concizumab-</w:t>
      </w:r>
      <w:r w:rsidR="00A330DC">
        <w:rPr>
          <w:b w:val="0"/>
          <w:color w:val="auto"/>
          <w:sz w:val="22"/>
        </w:rPr>
        <w:t xml:space="preserve">specific </w:t>
      </w:r>
      <w:r w:rsidR="002A40A1" w:rsidRPr="002A40A1">
        <w:rPr>
          <w:b w:val="0"/>
          <w:color w:val="auto"/>
          <w:sz w:val="22"/>
        </w:rPr>
        <w:t>ELISA, including the costs of collecting the sample and sending it to the centralised lab</w:t>
      </w:r>
      <w:r w:rsidR="00C4669A">
        <w:rPr>
          <w:b w:val="0"/>
          <w:color w:val="auto"/>
          <w:sz w:val="22"/>
        </w:rPr>
        <w:t>oratory</w:t>
      </w:r>
      <w:r w:rsidR="002A40A1" w:rsidRPr="002A40A1">
        <w:rPr>
          <w:b w:val="0"/>
          <w:color w:val="auto"/>
          <w:sz w:val="22"/>
        </w:rPr>
        <w:t xml:space="preserve"> for testing</w:t>
      </w:r>
      <w:r w:rsidR="00107F8D">
        <w:rPr>
          <w:b w:val="0"/>
          <w:color w:val="auto"/>
          <w:sz w:val="22"/>
        </w:rPr>
        <w:t>,</w:t>
      </w:r>
      <w:r w:rsidR="00872F15">
        <w:rPr>
          <w:b w:val="0"/>
          <w:color w:val="auto"/>
          <w:sz w:val="22"/>
        </w:rPr>
        <w:t xml:space="preserve"> are proposed to be covered by Novo Nordisk</w:t>
      </w:r>
      <w:r w:rsidR="002A40A1" w:rsidRPr="002A40A1">
        <w:rPr>
          <w:b w:val="0"/>
          <w:color w:val="auto"/>
          <w:sz w:val="22"/>
        </w:rPr>
        <w:t>. The</w:t>
      </w:r>
      <w:r w:rsidR="00872F15">
        <w:rPr>
          <w:b w:val="0"/>
          <w:color w:val="auto"/>
          <w:sz w:val="22"/>
        </w:rPr>
        <w:t xml:space="preserve"> Haemophilia Treatment Centre</w:t>
      </w:r>
      <w:r w:rsidR="002A40A1" w:rsidRPr="002A40A1">
        <w:rPr>
          <w:b w:val="0"/>
          <w:color w:val="auto"/>
          <w:sz w:val="22"/>
        </w:rPr>
        <w:t xml:space="preserve"> </w:t>
      </w:r>
      <w:r w:rsidR="00872F15">
        <w:rPr>
          <w:b w:val="0"/>
          <w:color w:val="auto"/>
          <w:sz w:val="22"/>
        </w:rPr>
        <w:t>(</w:t>
      </w:r>
      <w:r w:rsidR="002A40A1" w:rsidRPr="002A40A1">
        <w:rPr>
          <w:b w:val="0"/>
          <w:color w:val="auto"/>
          <w:sz w:val="22"/>
        </w:rPr>
        <w:t>HTC</w:t>
      </w:r>
      <w:r w:rsidR="00872F15">
        <w:rPr>
          <w:b w:val="0"/>
          <w:color w:val="auto"/>
          <w:sz w:val="22"/>
        </w:rPr>
        <w:t>)</w:t>
      </w:r>
      <w:r w:rsidR="002A40A1" w:rsidRPr="002A40A1">
        <w:rPr>
          <w:b w:val="0"/>
          <w:color w:val="auto"/>
          <w:sz w:val="22"/>
        </w:rPr>
        <w:t xml:space="preserve"> will pay for the blood draw and the onsite processing of the sample (centrifugation, freezing</w:t>
      </w:r>
      <w:r w:rsidR="004A24FB">
        <w:rPr>
          <w:b w:val="0"/>
          <w:color w:val="auto"/>
          <w:sz w:val="22"/>
        </w:rPr>
        <w:t>,</w:t>
      </w:r>
      <w:r w:rsidR="002A40A1" w:rsidRPr="002A40A1">
        <w:rPr>
          <w:b w:val="0"/>
          <w:color w:val="auto"/>
          <w:sz w:val="22"/>
        </w:rPr>
        <w:t xml:space="preserve"> etc.). No MBS item is required.</w:t>
      </w:r>
    </w:p>
    <w:p w14:paraId="34E0B08F" w14:textId="5E023849" w:rsidR="00772829" w:rsidRDefault="00772829" w:rsidP="00F1192D">
      <w:pPr>
        <w:pStyle w:val="Heading2"/>
        <w:numPr>
          <w:ilvl w:val="0"/>
          <w:numId w:val="31"/>
        </w:numPr>
        <w:ind w:left="709" w:hanging="709"/>
      </w:pPr>
      <w:bookmarkStart w:id="12" w:name="_Toc69491419"/>
      <w:r w:rsidRPr="00CE28E3">
        <w:t>Population</w:t>
      </w:r>
      <w:bookmarkEnd w:id="12"/>
      <w:r w:rsidRPr="00CE28E3">
        <w:t xml:space="preserve"> </w:t>
      </w:r>
    </w:p>
    <w:p w14:paraId="3B9F8BFB" w14:textId="1EBFBB55" w:rsidR="007C6203" w:rsidRDefault="009649DE" w:rsidP="009649DE">
      <w:r>
        <w:t>The proposed population is adolescent and adult patients (</w:t>
      </w:r>
      <w:r>
        <w:rPr>
          <w:rFonts w:cs="Calibri"/>
        </w:rPr>
        <w:t>≥</w:t>
      </w:r>
      <w:r>
        <w:t>12 years) with c</w:t>
      </w:r>
      <w:r w:rsidR="00E138F3">
        <w:t xml:space="preserve">ongenital </w:t>
      </w:r>
      <w:r>
        <w:t xml:space="preserve">HMB </w:t>
      </w:r>
      <w:r w:rsidR="00416C07">
        <w:t xml:space="preserve">(cHMB) </w:t>
      </w:r>
      <w:r>
        <w:t>where</w:t>
      </w:r>
      <w:r w:rsidRPr="00076E55">
        <w:t xml:space="preserve"> prophylaxis </w:t>
      </w:r>
      <w:r>
        <w:t xml:space="preserve">is required </w:t>
      </w:r>
      <w:r w:rsidRPr="00076E55">
        <w:t>to prevent or reduce the frequency of bleeding</w:t>
      </w:r>
      <w:r w:rsidR="007C6203">
        <w:t>.</w:t>
      </w:r>
      <w:r w:rsidR="002B7867">
        <w:t xml:space="preserve"> </w:t>
      </w:r>
      <w:r w:rsidR="0000645C">
        <w:t xml:space="preserve">This </w:t>
      </w:r>
      <w:r w:rsidR="000E0A55">
        <w:t xml:space="preserve">definition aligns with the TGA-registered indication. </w:t>
      </w:r>
      <w:r w:rsidR="002D7635">
        <w:t>Patients with and without inhibitors are considered separately.</w:t>
      </w:r>
    </w:p>
    <w:p w14:paraId="7C36E0D2" w14:textId="1AD2C96D" w:rsidR="00E511B5" w:rsidRDefault="00E511B5" w:rsidP="00E511B5">
      <w:pPr>
        <w:pStyle w:val="Heading3"/>
      </w:pPr>
      <w:r>
        <w:t>Haemophilia B with inhibitors</w:t>
      </w:r>
    </w:p>
    <w:p w14:paraId="696278BE" w14:textId="3F6F4BD8" w:rsidR="005849F2" w:rsidRDefault="005849F2" w:rsidP="005849F2">
      <w:r>
        <w:t xml:space="preserve">The PICO Set </w:t>
      </w:r>
      <w:r w:rsidR="004D1C2C">
        <w:t xml:space="preserve">in the ratified PICO </w:t>
      </w:r>
      <w:r w:rsidR="00F633BD">
        <w:t>c</w:t>
      </w:r>
      <w:r w:rsidR="004D1C2C">
        <w:t xml:space="preserve">onfirmation </w:t>
      </w:r>
      <w:r w:rsidR="00CE4E63">
        <w:t>wa</w:t>
      </w:r>
      <w:r w:rsidR="004D1C2C">
        <w:t xml:space="preserve">s for </w:t>
      </w:r>
      <w:r w:rsidR="0000645C">
        <w:t xml:space="preserve">patients with </w:t>
      </w:r>
      <w:r w:rsidR="004D1C2C">
        <w:t xml:space="preserve">HMB with inhibitors. </w:t>
      </w:r>
    </w:p>
    <w:p w14:paraId="0B01A9A8" w14:textId="77777777" w:rsidR="00A40073" w:rsidRDefault="009D63C2" w:rsidP="005849F2">
      <w:r w:rsidRPr="009D63C2">
        <w:t xml:space="preserve">The development of inhibitors </w:t>
      </w:r>
      <w:r w:rsidR="00EB452D">
        <w:t xml:space="preserve">to exogenous Factor IX (FIX) </w:t>
      </w:r>
      <w:r w:rsidRPr="009D63C2">
        <w:t>is one of the most serious and challenging complications of cHMB and the loss of treatment effect leads to reduced quality of life and higher treatment costs.</w:t>
      </w:r>
      <w:r w:rsidR="00EB452D">
        <w:t xml:space="preserve"> </w:t>
      </w:r>
      <w:r w:rsidR="00C8130B">
        <w:t xml:space="preserve">It occurs almost exclusively in patients with severe HMB. </w:t>
      </w:r>
    </w:p>
    <w:p w14:paraId="50C1D4FF" w14:textId="02D87684" w:rsidR="00106189" w:rsidRDefault="00DB7E25" w:rsidP="005849F2">
      <w:r>
        <w:t>Two bypassing agents (BPAs) are available</w:t>
      </w:r>
      <w:r w:rsidR="00B02A5D">
        <w:t xml:space="preserve"> to treat bleeds</w:t>
      </w:r>
      <w:r w:rsidR="00012C1E">
        <w:t>;</w:t>
      </w:r>
      <w:r>
        <w:t xml:space="preserve"> </w:t>
      </w:r>
      <w:r w:rsidR="00604BF3" w:rsidRPr="002D2250">
        <w:t>activated prothrombin complex concentrate</w:t>
      </w:r>
      <w:r w:rsidR="00604BF3">
        <w:t xml:space="preserve"> (</w:t>
      </w:r>
      <w:r w:rsidR="00604BF3" w:rsidRPr="00D63CEB">
        <w:t>aPCC</w:t>
      </w:r>
      <w:r w:rsidR="00604BF3">
        <w:t>)</w:t>
      </w:r>
      <w:r w:rsidR="00B02A5D">
        <w:t xml:space="preserve"> and </w:t>
      </w:r>
      <w:r w:rsidR="00B02A5D" w:rsidRPr="00AB0CB3">
        <w:t>recombinant activated human Factor VIIa</w:t>
      </w:r>
      <w:r w:rsidR="00B02A5D">
        <w:t xml:space="preserve"> (rFV</w:t>
      </w:r>
      <w:r w:rsidR="00E400AD">
        <w:t>II</w:t>
      </w:r>
      <w:r w:rsidR="00B02A5D">
        <w:t>a)</w:t>
      </w:r>
      <w:r w:rsidR="003F775A">
        <w:t>. Due to the presence of FIX in aPCC,</w:t>
      </w:r>
      <w:r w:rsidR="005A67A2">
        <w:t xml:space="preserve"> which may trigger anaphylaxis,</w:t>
      </w:r>
      <w:r w:rsidR="003F775A">
        <w:t xml:space="preserve"> rFV</w:t>
      </w:r>
      <w:r w:rsidR="00E400AD">
        <w:t>II</w:t>
      </w:r>
      <w:r w:rsidR="003F775A">
        <w:t xml:space="preserve">a is the preferred option. </w:t>
      </w:r>
      <w:r w:rsidR="00E769B5">
        <w:t>Recombinant FVIIa is also indicated for surgical prophylaxis and for short-term prophylaxis for up to 3 months in patients with a high bleeding frequency.</w:t>
      </w:r>
      <w:r w:rsidR="00106189">
        <w:t xml:space="preserve"> </w:t>
      </w:r>
      <w:r w:rsidR="00D777F0">
        <w:t>T</w:t>
      </w:r>
      <w:r w:rsidR="00F30529">
        <w:t>here is no long-term prophylactic treatment available for these patients</w:t>
      </w:r>
      <w:r w:rsidR="00106189">
        <w:t>.</w:t>
      </w:r>
      <w:r w:rsidR="00F30529">
        <w:t xml:space="preserve"> </w:t>
      </w:r>
    </w:p>
    <w:p w14:paraId="66497937" w14:textId="45475D66" w:rsidR="00283D20" w:rsidRPr="005849F2" w:rsidRDefault="00106189" w:rsidP="005849F2">
      <w:r>
        <w:t>C</w:t>
      </w:r>
      <w:r w:rsidR="00F30529">
        <w:t xml:space="preserve">oncizumab is proposed to </w:t>
      </w:r>
      <w:r w:rsidR="00B22ED4">
        <w:t xml:space="preserve">provide a </w:t>
      </w:r>
      <w:r w:rsidR="00C3287C">
        <w:t xml:space="preserve">long-term </w:t>
      </w:r>
      <w:r w:rsidR="00D777F0">
        <w:t>prophylactic treatment option</w:t>
      </w:r>
      <w:r w:rsidR="009A6227">
        <w:t xml:space="preserve"> where none currently exists</w:t>
      </w:r>
      <w:r w:rsidR="002775FC">
        <w:t xml:space="preserve"> for </w:t>
      </w:r>
      <w:r w:rsidR="008D75A4">
        <w:t>HMBwI</w:t>
      </w:r>
      <w:r w:rsidR="00D777F0">
        <w:t>. Concizumab would replace short-term</w:t>
      </w:r>
      <w:r w:rsidR="009C1A14">
        <w:t xml:space="preserve"> </w:t>
      </w:r>
      <w:r w:rsidR="00D777F0">
        <w:t xml:space="preserve">prophylaxis </w:t>
      </w:r>
      <w:r w:rsidR="00C3287C">
        <w:t xml:space="preserve">with </w:t>
      </w:r>
      <w:r w:rsidR="009C1A14">
        <w:t>rFV</w:t>
      </w:r>
      <w:r w:rsidR="00E400AD">
        <w:t>II</w:t>
      </w:r>
      <w:r w:rsidR="009C1A14">
        <w:t>a</w:t>
      </w:r>
      <w:r w:rsidR="00C635E3">
        <w:t xml:space="preserve"> but would not replace </w:t>
      </w:r>
      <w:r w:rsidR="00BA1959">
        <w:t>its</w:t>
      </w:r>
      <w:r w:rsidR="00C635E3">
        <w:t xml:space="preserve"> use to manage </w:t>
      </w:r>
      <w:r w:rsidR="00137873">
        <w:t xml:space="preserve">breakthrough </w:t>
      </w:r>
      <w:r w:rsidR="00C635E3">
        <w:t>bleeds (i.e. on</w:t>
      </w:r>
      <w:r w:rsidR="00D97CE7">
        <w:t>-</w:t>
      </w:r>
      <w:r w:rsidR="00C635E3">
        <w:t>demand use).</w:t>
      </w:r>
    </w:p>
    <w:p w14:paraId="4D1B66D7" w14:textId="116F770D" w:rsidR="002D7635" w:rsidRDefault="00CB2B8B" w:rsidP="008D080B">
      <w:pPr>
        <w:pStyle w:val="Heading3"/>
      </w:pPr>
      <w:r>
        <w:t>Haemophilia B without inhibitors</w:t>
      </w:r>
    </w:p>
    <w:p w14:paraId="7352FC37" w14:textId="1F06FE54" w:rsidR="00CB2B8B" w:rsidRDefault="003E74DA" w:rsidP="00CB2B8B">
      <w:r>
        <w:t>The application included</w:t>
      </w:r>
      <w:r w:rsidR="009A6227">
        <w:t xml:space="preserve"> a second population, </w:t>
      </w:r>
      <w:r w:rsidR="00047ABD">
        <w:t xml:space="preserve">patients with </w:t>
      </w:r>
      <w:r w:rsidR="009A6227">
        <w:t>HMB</w:t>
      </w:r>
      <w:r w:rsidR="00CA105D">
        <w:t xml:space="preserve"> </w:t>
      </w:r>
      <w:r w:rsidR="009A6227">
        <w:t xml:space="preserve">without inhibitors, at the request of </w:t>
      </w:r>
      <w:r w:rsidR="00704850">
        <w:t>the PICO Advisory Subcommittee (</w:t>
      </w:r>
      <w:r w:rsidR="009A6227">
        <w:t>PASC</w:t>
      </w:r>
      <w:r w:rsidR="00704850">
        <w:t>)</w:t>
      </w:r>
      <w:r w:rsidR="009A6227">
        <w:t>.</w:t>
      </w:r>
    </w:p>
    <w:p w14:paraId="5EDE4D91" w14:textId="6A57AEA3" w:rsidR="009A6227" w:rsidRDefault="00DC24D1" w:rsidP="00CB2B8B">
      <w:r>
        <w:t xml:space="preserve">Intravenous </w:t>
      </w:r>
      <w:r w:rsidR="00223163">
        <w:t xml:space="preserve">FIX replacement therapy is current standard of care for </w:t>
      </w:r>
      <w:r>
        <w:t xml:space="preserve">these </w:t>
      </w:r>
      <w:r w:rsidR="00C96FB2">
        <w:t xml:space="preserve">patients with </w:t>
      </w:r>
      <w:r w:rsidR="00223163">
        <w:t>HMB requiring prophylaxis</w:t>
      </w:r>
      <w:r w:rsidR="00AB4961">
        <w:t xml:space="preserve">. </w:t>
      </w:r>
      <w:r w:rsidR="009D204C">
        <w:t xml:space="preserve">Management using extended </w:t>
      </w:r>
      <w:r w:rsidR="003A2D65">
        <w:t>half-life</w:t>
      </w:r>
      <w:r w:rsidR="009D204C">
        <w:t xml:space="preserve"> products requires </w:t>
      </w:r>
      <w:r w:rsidR="00EF1D2F">
        <w:t>intravenous (</w:t>
      </w:r>
      <w:r w:rsidR="009D204C">
        <w:t>IV</w:t>
      </w:r>
      <w:r w:rsidR="00EF1D2F">
        <w:t>)</w:t>
      </w:r>
      <w:r w:rsidR="009D204C">
        <w:t xml:space="preserve"> infusions every 7</w:t>
      </w:r>
      <w:r w:rsidR="00BD1A1B">
        <w:t>–</w:t>
      </w:r>
      <w:r w:rsidR="009D204C">
        <w:t xml:space="preserve">14 days imposing a substantial burden on </w:t>
      </w:r>
      <w:r w:rsidR="00F832A5">
        <w:t xml:space="preserve">patients and their caregivers. </w:t>
      </w:r>
      <w:r w:rsidR="002A4EEA">
        <w:t xml:space="preserve">In Australia, the use of the short-acting </w:t>
      </w:r>
      <w:r w:rsidR="00833B50">
        <w:t xml:space="preserve">plasma-derived </w:t>
      </w:r>
      <w:r w:rsidR="002A4EEA">
        <w:t xml:space="preserve">FIX product </w:t>
      </w:r>
      <w:r w:rsidR="00F14E45">
        <w:t>MonoF</w:t>
      </w:r>
      <w:r w:rsidR="00833B50">
        <w:t>IX</w:t>
      </w:r>
      <w:r w:rsidR="00F14E45">
        <w:t xml:space="preserve"> VF </w:t>
      </w:r>
      <w:r w:rsidR="002E7D73">
        <w:t>has been superseded by the use of</w:t>
      </w:r>
      <w:r w:rsidR="00833B50">
        <w:t xml:space="preserve"> recombinant SHL and</w:t>
      </w:r>
      <w:r w:rsidR="002E7D73">
        <w:t xml:space="preserve"> EHL products</w:t>
      </w:r>
      <w:r w:rsidR="00A36D83">
        <w:t>.</w:t>
      </w:r>
    </w:p>
    <w:p w14:paraId="110A417F" w14:textId="2F46BF4D" w:rsidR="00B428A8" w:rsidRDefault="00F832A5" w:rsidP="00CB2B8B">
      <w:r>
        <w:t xml:space="preserve">Concizumab is administered subcutaneously </w:t>
      </w:r>
      <w:r w:rsidR="00CA6BF3">
        <w:t>and</w:t>
      </w:r>
      <w:r w:rsidR="004A0D7F">
        <w:t>,</w:t>
      </w:r>
      <w:r w:rsidR="00CA6BF3">
        <w:t xml:space="preserve"> following training, patients can self-</w:t>
      </w:r>
      <w:r w:rsidR="00AB2547">
        <w:t>inject</w:t>
      </w:r>
      <w:r w:rsidR="00A94C7E">
        <w:t xml:space="preserve">. </w:t>
      </w:r>
      <w:r w:rsidR="00E26F06">
        <w:t>Therefore,</w:t>
      </w:r>
      <w:r w:rsidR="00A94C7E">
        <w:t xml:space="preserve"> </w:t>
      </w:r>
      <w:r w:rsidR="00075A1A">
        <w:t xml:space="preserve">concizumab is proposed to provide an alternative prophylactic treatment </w:t>
      </w:r>
      <w:r w:rsidR="00A41593">
        <w:t xml:space="preserve">replacing </w:t>
      </w:r>
      <w:r w:rsidR="00EF1D2F">
        <w:t>IV infusion every 1</w:t>
      </w:r>
      <w:r w:rsidR="00D80145">
        <w:t>–</w:t>
      </w:r>
      <w:r w:rsidR="00EF1D2F">
        <w:t>2 weeks</w:t>
      </w:r>
      <w:r w:rsidR="00A41593">
        <w:t xml:space="preserve"> with a daily subcutaneous injection</w:t>
      </w:r>
      <w:r w:rsidR="00075A1A">
        <w:t>.</w:t>
      </w:r>
      <w:r w:rsidR="00750EFC">
        <w:t xml:space="preserve"> FIX </w:t>
      </w:r>
      <w:r w:rsidR="00B428A8">
        <w:t>replacement would still be used to manage breakthrough bleeds.</w:t>
      </w:r>
    </w:p>
    <w:p w14:paraId="77A1ED4A" w14:textId="40D3800D" w:rsidR="00E52308" w:rsidRPr="00CB2B8B" w:rsidRDefault="00675B5A" w:rsidP="00CB2B8B">
      <w:r>
        <w:t xml:space="preserve">Some patients may </w:t>
      </w:r>
      <w:r w:rsidR="00464F34">
        <w:t xml:space="preserve">elect to </w:t>
      </w:r>
      <w:r w:rsidR="00940EBC">
        <w:t xml:space="preserve">commence prophylactic treatment if a subcutaneous treatment is available. In this case, concizumab would be </w:t>
      </w:r>
      <w:r w:rsidR="00EA4EED">
        <w:t xml:space="preserve">an addition to the current </w:t>
      </w:r>
      <w:r w:rsidR="008E17FA">
        <w:t xml:space="preserve">therapy choice </w:t>
      </w:r>
      <w:r w:rsidR="00EA4EED">
        <w:t xml:space="preserve">and expand the number of </w:t>
      </w:r>
      <w:r w:rsidR="00D42B1F">
        <w:t xml:space="preserve">patients with </w:t>
      </w:r>
      <w:r w:rsidR="00EA4EED">
        <w:t xml:space="preserve">HMB treated prophylactically. </w:t>
      </w:r>
      <w:r w:rsidR="001B7D29">
        <w:t xml:space="preserve">The Applicant Developed Assessment Report (ADAR) </w:t>
      </w:r>
      <w:r w:rsidR="00B67CDB">
        <w:t>state</w:t>
      </w:r>
      <w:r w:rsidR="000620FF">
        <w:t>d</w:t>
      </w:r>
      <w:r w:rsidR="00B67CDB">
        <w:t xml:space="preserve"> that concizumab is intended for patients with moderate or </w:t>
      </w:r>
      <w:r w:rsidR="00BF2FBD">
        <w:t>severe HMB</w:t>
      </w:r>
      <w:r w:rsidR="004A4A78">
        <w:t>, to align with the clinical trial evidence</w:t>
      </w:r>
      <w:r w:rsidR="007C40C8">
        <w:t>.</w:t>
      </w:r>
      <w:r w:rsidR="00255D55">
        <w:t xml:space="preserve"> </w:t>
      </w:r>
      <w:r w:rsidR="007C40C8">
        <w:t>H</w:t>
      </w:r>
      <w:r w:rsidR="00255D55">
        <w:t>owever</w:t>
      </w:r>
      <w:r w:rsidR="00E93F98">
        <w:t>,</w:t>
      </w:r>
      <w:r w:rsidR="00255D55">
        <w:t xml:space="preserve"> the TGA</w:t>
      </w:r>
      <w:r w:rsidR="00E93F98">
        <w:t>-approved</w:t>
      </w:r>
      <w:r w:rsidR="00255D55">
        <w:t xml:space="preserve"> indication does not specify </w:t>
      </w:r>
      <w:r w:rsidR="00BE77B5">
        <w:t xml:space="preserve">disease </w:t>
      </w:r>
      <w:r w:rsidR="00701C76">
        <w:t>severity</w:t>
      </w:r>
      <w:r w:rsidR="007C40C8">
        <w:t>;</w:t>
      </w:r>
      <w:r w:rsidR="00701C76">
        <w:t xml:space="preserve"> </w:t>
      </w:r>
      <w:r w:rsidR="007C40C8">
        <w:t>it</w:t>
      </w:r>
      <w:r w:rsidR="00701C76">
        <w:t xml:space="preserve"> only </w:t>
      </w:r>
      <w:r w:rsidR="007C40C8">
        <w:t>specifies use for patients requiring</w:t>
      </w:r>
      <w:r w:rsidR="00701C76">
        <w:t xml:space="preserve"> prophylaxis</w:t>
      </w:r>
      <w:r w:rsidR="3300012A">
        <w:t>.</w:t>
      </w:r>
      <w:r w:rsidR="00C90CB7">
        <w:t xml:space="preserve"> </w:t>
      </w:r>
      <w:r w:rsidR="493E9989">
        <w:t>Individuals</w:t>
      </w:r>
      <w:r w:rsidR="00733808">
        <w:t xml:space="preserve"> with mild severity </w:t>
      </w:r>
      <w:r w:rsidR="085F8B07">
        <w:t>would not typically require long-term prophylaxis</w:t>
      </w:r>
      <w:r w:rsidR="00733808">
        <w:t xml:space="preserve"> </w:t>
      </w:r>
      <w:r w:rsidR="09148909">
        <w:t xml:space="preserve">and </w:t>
      </w:r>
      <w:r w:rsidR="0B43350D">
        <w:t>typically have</w:t>
      </w:r>
      <w:r w:rsidR="000B1BC2">
        <w:t xml:space="preserve"> low use of IV </w:t>
      </w:r>
      <w:r w:rsidR="0076612B">
        <w:t>therapy</w:t>
      </w:r>
      <w:r w:rsidR="000B1BC2">
        <w:t xml:space="preserve"> for</w:t>
      </w:r>
      <w:r w:rsidR="00E80CFF">
        <w:t xml:space="preserve"> </w:t>
      </w:r>
      <w:r w:rsidR="00733808">
        <w:t>bleed</w:t>
      </w:r>
      <w:r w:rsidR="5D09E020">
        <w:t>ing event</w:t>
      </w:r>
      <w:r w:rsidR="00733808">
        <w:t>s</w:t>
      </w:r>
      <w:r w:rsidR="00701C76">
        <w:t xml:space="preserve">. </w:t>
      </w:r>
    </w:p>
    <w:p w14:paraId="66BDFCC1" w14:textId="57A0DDC9" w:rsidR="00772829" w:rsidRDefault="00772829" w:rsidP="00F1192D">
      <w:pPr>
        <w:pStyle w:val="Heading2"/>
        <w:numPr>
          <w:ilvl w:val="0"/>
          <w:numId w:val="31"/>
        </w:numPr>
        <w:ind w:left="709" w:hanging="709"/>
      </w:pPr>
      <w:bookmarkStart w:id="13" w:name="_Toc69491420"/>
      <w:r w:rsidRPr="00CE28E3">
        <w:t>Comparator</w:t>
      </w:r>
      <w:bookmarkEnd w:id="13"/>
    </w:p>
    <w:p w14:paraId="0A2B25BF" w14:textId="77777777" w:rsidR="007570CF" w:rsidRDefault="007570CF" w:rsidP="007570CF">
      <w:pPr>
        <w:pStyle w:val="Heading3"/>
      </w:pPr>
      <w:r>
        <w:t>Haemophilia B with inhibitors</w:t>
      </w:r>
    </w:p>
    <w:p w14:paraId="7589F72B" w14:textId="6F06F35B" w:rsidR="00E97E9E" w:rsidRDefault="00E97E9E" w:rsidP="00E049C9">
      <w:pPr>
        <w:pStyle w:val="NormalBeforeBullet"/>
      </w:pPr>
      <w:r>
        <w:t>The proposed comparator</w:t>
      </w:r>
      <w:r w:rsidR="00AA4F7E">
        <w:t xml:space="preserve"> in the PICO </w:t>
      </w:r>
      <w:r w:rsidR="00F633BD">
        <w:t>c</w:t>
      </w:r>
      <w:r w:rsidR="00AA4F7E">
        <w:t>onfirmation</w:t>
      </w:r>
      <w:r>
        <w:t xml:space="preserve"> is standard of care, which consists of</w:t>
      </w:r>
      <w:r w:rsidR="00FE3AF4">
        <w:t>:</w:t>
      </w:r>
    </w:p>
    <w:p w14:paraId="48DC30CB" w14:textId="7B0B0EDD" w:rsidR="00E97E9E" w:rsidRDefault="00E97E9E" w:rsidP="00E049C9">
      <w:pPr>
        <w:pStyle w:val="Bullet"/>
      </w:pPr>
      <w:r>
        <w:t>on</w:t>
      </w:r>
      <w:r w:rsidR="00E22327">
        <w:t>-</w:t>
      </w:r>
      <w:r>
        <w:t>demand treatment with BPAs, most commonly rFVIIa</w:t>
      </w:r>
    </w:p>
    <w:p w14:paraId="4AD21772" w14:textId="5306FD98" w:rsidR="00D95BAF" w:rsidRDefault="00E97E9E" w:rsidP="00C03503">
      <w:pPr>
        <w:pStyle w:val="Bullet"/>
        <w:spacing w:after="200"/>
        <w:ind w:left="714" w:hanging="357"/>
      </w:pPr>
      <w:r>
        <w:t>short-term prophylaxis for up to 3 months with rFVIIa.</w:t>
      </w:r>
    </w:p>
    <w:p w14:paraId="1CF968C4" w14:textId="77777777" w:rsidR="00AA4F7E" w:rsidRDefault="00157C82" w:rsidP="00E049C9">
      <w:pPr>
        <w:pStyle w:val="NormalBeforeBullet"/>
      </w:pPr>
      <w:r>
        <w:t xml:space="preserve">The ADAR has </w:t>
      </w:r>
      <w:r w:rsidR="001D531C">
        <w:t xml:space="preserve">presented </w:t>
      </w:r>
      <w:r w:rsidR="00113B0A">
        <w:t xml:space="preserve">the clinical evidence against two </w:t>
      </w:r>
      <w:r w:rsidR="001D531C">
        <w:t>separate compar</w:t>
      </w:r>
      <w:r w:rsidR="00AA4F7E">
        <w:t>ators:</w:t>
      </w:r>
    </w:p>
    <w:p w14:paraId="29F2B30F" w14:textId="1EC18122" w:rsidR="00AA4F7E" w:rsidRDefault="00D97E6E" w:rsidP="00E049C9">
      <w:pPr>
        <w:pStyle w:val="Bullet"/>
      </w:pPr>
      <w:r>
        <w:t>m</w:t>
      </w:r>
      <w:r w:rsidR="00465C42">
        <w:t>ain comparator</w:t>
      </w:r>
      <w:r w:rsidR="00AA4F7E">
        <w:t>:</w:t>
      </w:r>
      <w:r w:rsidR="00465C42">
        <w:t xml:space="preserve"> </w:t>
      </w:r>
      <w:r w:rsidR="003F6A39">
        <w:t xml:space="preserve">short-term prophylaxis with BPAs </w:t>
      </w:r>
    </w:p>
    <w:p w14:paraId="03FBE35F" w14:textId="27643CC0" w:rsidR="00157C82" w:rsidRDefault="00D97E6E" w:rsidP="00C03503">
      <w:pPr>
        <w:pStyle w:val="Bullet"/>
        <w:spacing w:after="200"/>
        <w:ind w:left="714" w:hanging="357"/>
      </w:pPr>
      <w:r>
        <w:t>s</w:t>
      </w:r>
      <w:r w:rsidR="003F6A39">
        <w:t>econdary comparator</w:t>
      </w:r>
      <w:r w:rsidR="00AA4F7E">
        <w:t>:</w:t>
      </w:r>
      <w:r w:rsidR="003F6A39">
        <w:t xml:space="preserve"> on</w:t>
      </w:r>
      <w:r w:rsidR="00E22327">
        <w:t>-</w:t>
      </w:r>
      <w:r w:rsidR="003F6A39">
        <w:t xml:space="preserve">demand treatment with BPAs (no prophylaxis). </w:t>
      </w:r>
    </w:p>
    <w:p w14:paraId="135B4A7A" w14:textId="27F26EB8" w:rsidR="007379C9" w:rsidRDefault="007379C9" w:rsidP="00157C82">
      <w:r>
        <w:t xml:space="preserve">Given that BPAs are only indicated for short-term prophylaxis and concizumab is indicated for long-term prophylaxis, the commentary considered the </w:t>
      </w:r>
      <w:r w:rsidR="00AA14A2">
        <w:t>ADAR</w:t>
      </w:r>
      <w:r w:rsidR="008F4E59">
        <w:t>’</w:t>
      </w:r>
      <w:r w:rsidR="00AA14A2">
        <w:t xml:space="preserve">s secondary comparator to be the most applicable. </w:t>
      </w:r>
    </w:p>
    <w:p w14:paraId="26C61D31" w14:textId="2E80930D" w:rsidR="003964C2" w:rsidRDefault="003964C2" w:rsidP="00157C82">
      <w:r>
        <w:t>The comparators are reimbursed on the NBA’s N</w:t>
      </w:r>
      <w:r w:rsidR="00422769">
        <w:t>P</w:t>
      </w:r>
      <w:r>
        <w:t>PL.</w:t>
      </w:r>
    </w:p>
    <w:p w14:paraId="477D02C3" w14:textId="77777777" w:rsidR="00FE3AF4" w:rsidRDefault="00FE3AF4" w:rsidP="00FE3AF4">
      <w:pPr>
        <w:pStyle w:val="Heading3"/>
      </w:pPr>
      <w:r>
        <w:t>Haemophilia B without inhibitors</w:t>
      </w:r>
    </w:p>
    <w:p w14:paraId="49F208EB" w14:textId="38856848" w:rsidR="00B67C74" w:rsidRDefault="00B67C74" w:rsidP="00B67C74">
      <w:r>
        <w:t xml:space="preserve">The proposed comparator </w:t>
      </w:r>
      <w:r w:rsidR="007E18FD">
        <w:t xml:space="preserve">in the ADAR </w:t>
      </w:r>
      <w:r>
        <w:t xml:space="preserve">is standard of care, </w:t>
      </w:r>
      <w:r w:rsidR="00984D74">
        <w:t xml:space="preserve">with clinical evidence presented against </w:t>
      </w:r>
      <w:r w:rsidR="00796231">
        <w:t xml:space="preserve">2 </w:t>
      </w:r>
      <w:r w:rsidR="00984D74">
        <w:t>separate comparators</w:t>
      </w:r>
      <w:r>
        <w:t>:</w:t>
      </w:r>
    </w:p>
    <w:p w14:paraId="0429BB9D" w14:textId="3099BA2E" w:rsidR="00FE3AF4" w:rsidRDefault="00CD6406" w:rsidP="00E049C9">
      <w:pPr>
        <w:pStyle w:val="Bullet"/>
      </w:pPr>
      <w:r>
        <w:t>m</w:t>
      </w:r>
      <w:r w:rsidR="00023B8B">
        <w:t xml:space="preserve">ain comparator: </w:t>
      </w:r>
      <w:r w:rsidR="007E1C69">
        <w:t xml:space="preserve">prophylaxis with </w:t>
      </w:r>
      <w:r w:rsidR="00B67C74">
        <w:t>FIX replacement therapy</w:t>
      </w:r>
    </w:p>
    <w:p w14:paraId="3ED76388" w14:textId="2CCEC651" w:rsidR="000B6257" w:rsidRDefault="00CD6406" w:rsidP="00023A60">
      <w:pPr>
        <w:pStyle w:val="Bullet"/>
        <w:spacing w:after="200"/>
        <w:ind w:left="714" w:hanging="357"/>
      </w:pPr>
      <w:r>
        <w:t xml:space="preserve">secondary comparator: </w:t>
      </w:r>
      <w:r w:rsidR="000B6257">
        <w:t>on</w:t>
      </w:r>
      <w:r w:rsidR="00E22327">
        <w:t>-</w:t>
      </w:r>
      <w:r w:rsidR="000B6257">
        <w:t>demand FIX replacement therapy following a bleeding episode.</w:t>
      </w:r>
    </w:p>
    <w:p w14:paraId="740130C9" w14:textId="3BAFEF31" w:rsidR="002057DB" w:rsidRDefault="00875741" w:rsidP="000B6257">
      <w:r>
        <w:t>A</w:t>
      </w:r>
      <w:r w:rsidR="004B4A15" w:rsidRPr="004B4A15">
        <w:t xml:space="preserve">s the indication is patients who require prophylaxis, </w:t>
      </w:r>
      <w:r>
        <w:t>the commentary considered the ADAR’s main comparator to be the most applicable</w:t>
      </w:r>
      <w:r w:rsidR="009B18CF">
        <w:t xml:space="preserve"> and </w:t>
      </w:r>
      <w:r w:rsidR="004B4A15" w:rsidRPr="004B4A15">
        <w:t xml:space="preserve">the secondary comparator </w:t>
      </w:r>
      <w:r w:rsidR="00B27F35">
        <w:t>to have</w:t>
      </w:r>
      <w:r w:rsidR="00B27F35" w:rsidRPr="004B4A15">
        <w:t xml:space="preserve"> </w:t>
      </w:r>
      <w:r w:rsidR="004B4A15" w:rsidRPr="004B4A15">
        <w:t>limited applicability to the proposed indication. However, it is acknowledged that funding of concizumab could expand the indication such that patients not currently on prophylactic therapy elect to commence prophylaxis.</w:t>
      </w:r>
    </w:p>
    <w:p w14:paraId="27AC9269" w14:textId="7D4F442D" w:rsidR="004F47A0" w:rsidRDefault="004F47A0" w:rsidP="000B6257">
      <w:r>
        <w:t>The comparators are reimbursed on the NBA</w:t>
      </w:r>
      <w:r w:rsidR="001D2B72">
        <w:t>’</w:t>
      </w:r>
      <w:r>
        <w:t>s N</w:t>
      </w:r>
      <w:r w:rsidR="00422769">
        <w:t>P</w:t>
      </w:r>
      <w:r>
        <w:t>PL</w:t>
      </w:r>
      <w:r w:rsidR="33D8D96F">
        <w:t xml:space="preserve"> under the National Blood Agreement</w:t>
      </w:r>
      <w:r>
        <w:t>.</w:t>
      </w:r>
    </w:p>
    <w:p w14:paraId="5FFA986D" w14:textId="31E92B9B" w:rsidR="00B45FA9" w:rsidRDefault="00B45FA9" w:rsidP="00B45FA9">
      <w:r>
        <w:t>Two additional</w:t>
      </w:r>
      <w:r w:rsidR="00AD6EE9">
        <w:t xml:space="preserve"> </w:t>
      </w:r>
      <w:r w:rsidR="00D71C73">
        <w:t xml:space="preserve">near-market </w:t>
      </w:r>
      <w:r>
        <w:t>comparators</w:t>
      </w:r>
      <w:r w:rsidR="00D71C73">
        <w:t xml:space="preserve"> </w:t>
      </w:r>
      <w:r w:rsidR="00907B34">
        <w:t>are relevant</w:t>
      </w:r>
      <w:r>
        <w:t>:</w:t>
      </w:r>
    </w:p>
    <w:p w14:paraId="2BB677B3" w14:textId="05C5EEFD" w:rsidR="00B45FA9" w:rsidRDefault="00B45FA9" w:rsidP="00E049C9">
      <w:pPr>
        <w:pStyle w:val="Bullet"/>
      </w:pPr>
      <w:r>
        <w:t>Etranacogene dezaparvovec</w:t>
      </w:r>
      <w:r w:rsidR="2645435F">
        <w:t>,</w:t>
      </w:r>
      <w:r>
        <w:t xml:space="preserve"> </w:t>
      </w:r>
      <w:r w:rsidR="006F71C9">
        <w:t>Hemgenix®</w:t>
      </w:r>
      <w:r>
        <w:t xml:space="preserve"> (MSAC application 1728.1) was supported by MSAC in July 2025 for adults with cHMB without inhibitors. As a gene therapy, Hemgenix</w:t>
      </w:r>
      <w:r w:rsidR="5237A97C">
        <w:t>®</w:t>
      </w:r>
      <w:r>
        <w:t xml:space="preserve"> is a one-time treatment </w:t>
      </w:r>
      <w:r w:rsidR="00926BD3">
        <w:t>designed to eliminate</w:t>
      </w:r>
      <w:r>
        <w:t xml:space="preserve"> the need for </w:t>
      </w:r>
      <w:r w:rsidR="00926BD3">
        <w:t xml:space="preserve">ongoing </w:t>
      </w:r>
      <w:r>
        <w:t xml:space="preserve">prophylactic therapy. </w:t>
      </w:r>
    </w:p>
    <w:p w14:paraId="0F353786" w14:textId="2F53D2C7" w:rsidR="00B45FA9" w:rsidRDefault="00B45FA9" w:rsidP="00E049C9">
      <w:pPr>
        <w:pStyle w:val="Bullet"/>
      </w:pPr>
      <w:r>
        <w:t xml:space="preserve">Marstacimab (MSAC application 1806) will be considered by MSAC at the same meeting as concizumab. The application is for HMA and HMB without inhibitors. </w:t>
      </w:r>
      <w:r w:rsidR="005A2A34">
        <w:t>Like concizumab, m</w:t>
      </w:r>
      <w:r>
        <w:t>arstacimab is a monoclonal, anti-</w:t>
      </w:r>
      <w:r w:rsidR="003D4C15">
        <w:t>t</w:t>
      </w:r>
      <w:r w:rsidR="003D4C15" w:rsidRPr="003D4C15">
        <w:t xml:space="preserve">issue factor pathway inhibitor </w:t>
      </w:r>
      <w:r w:rsidR="003D4C15">
        <w:t>(</w:t>
      </w:r>
      <w:r>
        <w:t>TFPI</w:t>
      </w:r>
      <w:r w:rsidR="003D4C15">
        <w:t>)</w:t>
      </w:r>
      <w:r>
        <w:t xml:space="preserve"> antibody indicated for routine prophylaxis in severe HMA and HMB. It is injected </w:t>
      </w:r>
      <w:r w:rsidR="004F47A0">
        <w:t>subcutaneous</w:t>
      </w:r>
      <w:r w:rsidR="003964C2">
        <w:t>ly</w:t>
      </w:r>
      <w:r w:rsidR="004F47A0">
        <w:t xml:space="preserve"> on a </w:t>
      </w:r>
      <w:r>
        <w:t>weekly</w:t>
      </w:r>
      <w:r w:rsidR="004F47A0">
        <w:t xml:space="preserve"> basis</w:t>
      </w:r>
      <w:r>
        <w:t>.</w:t>
      </w:r>
    </w:p>
    <w:p w14:paraId="13791C6D" w14:textId="77777777" w:rsidR="00D03C49" w:rsidRPr="005B6EFD" w:rsidRDefault="00D03C49" w:rsidP="00FF3E3B">
      <w:pPr>
        <w:pStyle w:val="Heading2"/>
        <w:numPr>
          <w:ilvl w:val="0"/>
          <w:numId w:val="31"/>
        </w:numPr>
        <w:ind w:left="709" w:hanging="709"/>
      </w:pPr>
      <w:r w:rsidRPr="005B6EFD">
        <w:t xml:space="preserve">Summary of public consultation input </w:t>
      </w:r>
    </w:p>
    <w:p w14:paraId="6DCE9339" w14:textId="1DEE4FE1" w:rsidR="007601C9" w:rsidRPr="007601C9" w:rsidRDefault="00D03C49" w:rsidP="00FF3E3B">
      <w:pPr>
        <w:keepNext/>
        <w:keepLines/>
      </w:pPr>
      <w:r w:rsidRPr="005B6EFD">
        <w:t xml:space="preserve">Consultation input was welcomed from: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0"/>
        <w:gridCol w:w="1230"/>
      </w:tblGrid>
      <w:tr w:rsidR="007601C9" w:rsidRPr="007601C9" w14:paraId="61BEEF07" w14:textId="77777777" w:rsidTr="001D7EDB">
        <w:trPr>
          <w:trHeight w:val="597"/>
        </w:trPr>
        <w:tc>
          <w:tcPr>
            <w:tcW w:w="7780" w:type="dxa"/>
            <w:tcBorders>
              <w:top w:val="single" w:sz="6" w:space="0" w:color="000000"/>
              <w:left w:val="single" w:sz="6" w:space="0" w:color="000000"/>
              <w:bottom w:val="single" w:sz="6" w:space="0" w:color="auto"/>
              <w:right w:val="single" w:sz="6" w:space="0" w:color="auto"/>
            </w:tcBorders>
            <w:shd w:val="clear" w:color="auto" w:fill="D1D1D1"/>
            <w:vAlign w:val="center"/>
            <w:hideMark/>
          </w:tcPr>
          <w:p w14:paraId="28F2D6DD" w14:textId="77777777" w:rsidR="007601C9" w:rsidRPr="007601C9" w:rsidRDefault="007601C9" w:rsidP="00FF3E3B">
            <w:pPr>
              <w:pStyle w:val="Bullet"/>
              <w:keepNext/>
              <w:keepLines/>
              <w:numPr>
                <w:ilvl w:val="0"/>
                <w:numId w:val="0"/>
              </w:numPr>
              <w:spacing w:before="40" w:after="40"/>
              <w:ind w:left="127"/>
            </w:pPr>
            <w:r w:rsidRPr="007601C9">
              <w:rPr>
                <w:b/>
                <w:bCs/>
              </w:rPr>
              <w:t>1805 – Concizumab for routine prophylaxis to prevent bleeding in patients with haemophilia B</w:t>
            </w:r>
            <w:r w:rsidRPr="007601C9">
              <w:t> </w:t>
            </w:r>
          </w:p>
        </w:tc>
        <w:tc>
          <w:tcPr>
            <w:tcW w:w="1230" w:type="dxa"/>
            <w:tcBorders>
              <w:top w:val="single" w:sz="6" w:space="0" w:color="000000"/>
              <w:left w:val="nil"/>
              <w:bottom w:val="single" w:sz="6" w:space="0" w:color="auto"/>
              <w:right w:val="single" w:sz="6" w:space="0" w:color="000000"/>
            </w:tcBorders>
            <w:shd w:val="clear" w:color="auto" w:fill="D1D1D1"/>
            <w:vAlign w:val="center"/>
            <w:hideMark/>
          </w:tcPr>
          <w:p w14:paraId="07299828" w14:textId="77777777" w:rsidR="007601C9" w:rsidRPr="007601C9" w:rsidRDefault="007601C9" w:rsidP="00FF3E3B">
            <w:pPr>
              <w:pStyle w:val="Bullet"/>
              <w:keepNext/>
              <w:keepLines/>
              <w:numPr>
                <w:ilvl w:val="0"/>
                <w:numId w:val="0"/>
              </w:numPr>
              <w:spacing w:before="40" w:after="40"/>
              <w:ind w:left="199" w:firstLine="20"/>
            </w:pPr>
            <w:r w:rsidRPr="007601C9">
              <w:rPr>
                <w:b/>
                <w:bCs/>
              </w:rPr>
              <w:t>No. of Inputs Received</w:t>
            </w:r>
            <w:r w:rsidRPr="007601C9">
              <w:rPr>
                <w:rFonts w:ascii="Arial" w:hAnsi="Arial" w:cs="Arial"/>
              </w:rPr>
              <w:t> </w:t>
            </w:r>
            <w:r w:rsidRPr="007601C9">
              <w:t> </w:t>
            </w:r>
          </w:p>
        </w:tc>
      </w:tr>
      <w:tr w:rsidR="007601C9" w:rsidRPr="007601C9" w14:paraId="0569791F" w14:textId="77777777" w:rsidTr="001D7EDB">
        <w:trPr>
          <w:trHeight w:val="298"/>
        </w:trPr>
        <w:tc>
          <w:tcPr>
            <w:tcW w:w="9010" w:type="dxa"/>
            <w:gridSpan w:val="2"/>
            <w:tcBorders>
              <w:top w:val="single" w:sz="6" w:space="0" w:color="auto"/>
              <w:left w:val="single" w:sz="6" w:space="0" w:color="000000"/>
              <w:bottom w:val="single" w:sz="6" w:space="0" w:color="auto"/>
              <w:right w:val="single" w:sz="6" w:space="0" w:color="000000"/>
            </w:tcBorders>
            <w:shd w:val="clear" w:color="auto" w:fill="E8E8E8"/>
            <w:vAlign w:val="center"/>
            <w:hideMark/>
          </w:tcPr>
          <w:p w14:paraId="74E4B7BB" w14:textId="4566999C" w:rsidR="007601C9" w:rsidRPr="007601C9" w:rsidRDefault="007601C9" w:rsidP="00FF3E3B">
            <w:pPr>
              <w:pStyle w:val="Bullet"/>
              <w:keepNext/>
              <w:keepLines/>
              <w:numPr>
                <w:ilvl w:val="0"/>
                <w:numId w:val="0"/>
              </w:numPr>
              <w:spacing w:before="40" w:after="40"/>
              <w:ind w:left="127" w:hanging="26"/>
            </w:pPr>
            <w:r w:rsidRPr="007601C9">
              <w:rPr>
                <w:b/>
                <w:bCs/>
              </w:rPr>
              <w:t>Organisations (</w:t>
            </w:r>
            <w:r w:rsidR="001D7EDB">
              <w:rPr>
                <w:b/>
                <w:bCs/>
              </w:rPr>
              <w:t>5</w:t>
            </w:r>
            <w:r w:rsidRPr="007601C9">
              <w:rPr>
                <w:b/>
                <w:bCs/>
              </w:rPr>
              <w:t>)</w:t>
            </w:r>
            <w:r w:rsidRPr="007601C9">
              <w:rPr>
                <w:rFonts w:ascii="Arial" w:hAnsi="Arial" w:cs="Arial"/>
              </w:rPr>
              <w:t> </w:t>
            </w:r>
            <w:r w:rsidRPr="007601C9">
              <w:t> </w:t>
            </w:r>
          </w:p>
        </w:tc>
      </w:tr>
      <w:tr w:rsidR="007601C9" w:rsidRPr="007601C9" w14:paraId="11139397" w14:textId="77777777" w:rsidTr="001D7EDB">
        <w:trPr>
          <w:trHeight w:val="750"/>
        </w:trPr>
        <w:tc>
          <w:tcPr>
            <w:tcW w:w="7780" w:type="dxa"/>
            <w:tcBorders>
              <w:top w:val="nil"/>
              <w:left w:val="single" w:sz="6" w:space="0" w:color="000000"/>
              <w:bottom w:val="single" w:sz="6" w:space="0" w:color="auto"/>
              <w:right w:val="single" w:sz="6" w:space="0" w:color="auto"/>
            </w:tcBorders>
            <w:vAlign w:val="center"/>
            <w:hideMark/>
          </w:tcPr>
          <w:p w14:paraId="3A585B3A" w14:textId="77777777" w:rsidR="007601C9" w:rsidRPr="007601C9" w:rsidRDefault="007601C9" w:rsidP="00FF3E3B">
            <w:pPr>
              <w:pStyle w:val="Bullet"/>
              <w:keepNext/>
              <w:keepLines/>
              <w:numPr>
                <w:ilvl w:val="0"/>
                <w:numId w:val="0"/>
              </w:numPr>
              <w:spacing w:before="40" w:after="40"/>
              <w:ind w:left="127"/>
            </w:pPr>
            <w:r w:rsidRPr="007601C9">
              <w:t>I am providing input on behalf of a consumer group or organisation. Consumer organisations are not-for-profit organisations representing the interests of healthcare consumers, their families and carers.</w:t>
            </w:r>
            <w:r w:rsidRPr="007601C9">
              <w:rPr>
                <w:rFonts w:ascii="Arial" w:hAnsi="Arial" w:cs="Arial"/>
              </w:rPr>
              <w:t> </w:t>
            </w:r>
            <w:r w:rsidRPr="007601C9">
              <w:t> </w:t>
            </w:r>
          </w:p>
        </w:tc>
        <w:tc>
          <w:tcPr>
            <w:tcW w:w="1230" w:type="dxa"/>
            <w:tcBorders>
              <w:top w:val="nil"/>
              <w:left w:val="nil"/>
              <w:bottom w:val="single" w:sz="6" w:space="0" w:color="auto"/>
              <w:right w:val="single" w:sz="6" w:space="0" w:color="000000"/>
            </w:tcBorders>
            <w:vAlign w:val="center"/>
            <w:hideMark/>
          </w:tcPr>
          <w:p w14:paraId="6AB0860D" w14:textId="77777777" w:rsidR="007601C9" w:rsidRPr="007601C9" w:rsidRDefault="007601C9" w:rsidP="00FF3E3B">
            <w:pPr>
              <w:pStyle w:val="Bullet"/>
              <w:keepNext/>
              <w:keepLines/>
              <w:numPr>
                <w:ilvl w:val="0"/>
                <w:numId w:val="0"/>
              </w:numPr>
              <w:spacing w:before="40" w:after="40"/>
              <w:ind w:left="714"/>
            </w:pPr>
            <w:r w:rsidRPr="007601C9">
              <w:t>2 </w:t>
            </w:r>
          </w:p>
        </w:tc>
      </w:tr>
      <w:tr w:rsidR="007601C9" w:rsidRPr="007601C9" w14:paraId="758FC422" w14:textId="77777777" w:rsidTr="001D7EDB">
        <w:trPr>
          <w:trHeight w:val="750"/>
        </w:trPr>
        <w:tc>
          <w:tcPr>
            <w:tcW w:w="7780" w:type="dxa"/>
            <w:tcBorders>
              <w:top w:val="nil"/>
              <w:left w:val="single" w:sz="6" w:space="0" w:color="000000"/>
              <w:bottom w:val="single" w:sz="6" w:space="0" w:color="auto"/>
              <w:right w:val="single" w:sz="6" w:space="0" w:color="auto"/>
            </w:tcBorders>
            <w:vAlign w:val="center"/>
            <w:hideMark/>
          </w:tcPr>
          <w:p w14:paraId="3711CCCA" w14:textId="77777777" w:rsidR="007601C9" w:rsidRPr="007601C9" w:rsidRDefault="007601C9" w:rsidP="00FF3E3B">
            <w:pPr>
              <w:pStyle w:val="Bullet"/>
              <w:keepNext/>
              <w:keepLines/>
              <w:numPr>
                <w:ilvl w:val="0"/>
                <w:numId w:val="0"/>
              </w:numPr>
              <w:spacing w:before="40" w:after="40"/>
              <w:ind w:left="127"/>
            </w:pPr>
            <w:r w:rsidRPr="007601C9">
              <w:t>I am providing input on behalf of a medical, health, or other (non-consumer) organisation. For example, input on behalf of a group of clinicians, research organisation, professional college, or from an organisation that produces a similar service or technology.</w:t>
            </w:r>
            <w:r w:rsidRPr="007601C9">
              <w:rPr>
                <w:rFonts w:ascii="Arial" w:hAnsi="Arial" w:cs="Arial"/>
              </w:rPr>
              <w:t> </w:t>
            </w:r>
            <w:r w:rsidRPr="007601C9">
              <w:t> </w:t>
            </w:r>
          </w:p>
        </w:tc>
        <w:tc>
          <w:tcPr>
            <w:tcW w:w="1230" w:type="dxa"/>
            <w:tcBorders>
              <w:top w:val="nil"/>
              <w:left w:val="nil"/>
              <w:bottom w:val="single" w:sz="6" w:space="0" w:color="auto"/>
              <w:right w:val="single" w:sz="6" w:space="0" w:color="000000"/>
            </w:tcBorders>
            <w:vAlign w:val="center"/>
            <w:hideMark/>
          </w:tcPr>
          <w:p w14:paraId="40EA3F6B" w14:textId="77777777" w:rsidR="007601C9" w:rsidRPr="007601C9" w:rsidRDefault="007601C9" w:rsidP="00FF3E3B">
            <w:pPr>
              <w:pStyle w:val="Bullet"/>
              <w:keepNext/>
              <w:keepLines/>
              <w:numPr>
                <w:ilvl w:val="0"/>
                <w:numId w:val="0"/>
              </w:numPr>
              <w:spacing w:before="40" w:after="40"/>
              <w:ind w:left="714"/>
            </w:pPr>
            <w:r w:rsidRPr="007601C9">
              <w:t>3 </w:t>
            </w:r>
          </w:p>
        </w:tc>
      </w:tr>
      <w:tr w:rsidR="007601C9" w:rsidRPr="007601C9" w14:paraId="2AAD3034" w14:textId="77777777" w:rsidTr="001D7EDB">
        <w:trPr>
          <w:trHeight w:val="285"/>
        </w:trPr>
        <w:tc>
          <w:tcPr>
            <w:tcW w:w="7780" w:type="dxa"/>
            <w:tcBorders>
              <w:top w:val="nil"/>
              <w:left w:val="single" w:sz="6" w:space="0" w:color="000000"/>
              <w:bottom w:val="single" w:sz="6" w:space="0" w:color="000000"/>
              <w:right w:val="single" w:sz="6" w:space="0" w:color="auto"/>
            </w:tcBorders>
            <w:vAlign w:val="center"/>
            <w:hideMark/>
          </w:tcPr>
          <w:p w14:paraId="57A97425" w14:textId="77777777" w:rsidR="007601C9" w:rsidRPr="007601C9" w:rsidRDefault="007601C9" w:rsidP="00FF3E3B">
            <w:pPr>
              <w:pStyle w:val="Bullet"/>
              <w:keepNext/>
              <w:keepLines/>
              <w:numPr>
                <w:ilvl w:val="0"/>
                <w:numId w:val="0"/>
              </w:numPr>
              <w:spacing w:before="40" w:after="40"/>
              <w:ind w:left="127"/>
            </w:pPr>
            <w:r w:rsidRPr="007601C9">
              <w:rPr>
                <w:b/>
                <w:bCs/>
              </w:rPr>
              <w:t>Grand Total</w:t>
            </w:r>
            <w:r w:rsidRPr="007601C9">
              <w:rPr>
                <w:rFonts w:ascii="Arial" w:hAnsi="Arial" w:cs="Arial"/>
              </w:rPr>
              <w:t> </w:t>
            </w:r>
            <w:r w:rsidRPr="007601C9">
              <w:t> </w:t>
            </w:r>
          </w:p>
        </w:tc>
        <w:tc>
          <w:tcPr>
            <w:tcW w:w="1230" w:type="dxa"/>
            <w:tcBorders>
              <w:top w:val="nil"/>
              <w:left w:val="nil"/>
              <w:bottom w:val="single" w:sz="6" w:space="0" w:color="000000"/>
              <w:right w:val="single" w:sz="6" w:space="0" w:color="000000"/>
            </w:tcBorders>
            <w:vAlign w:val="center"/>
            <w:hideMark/>
          </w:tcPr>
          <w:p w14:paraId="1AD9A575" w14:textId="77777777" w:rsidR="007601C9" w:rsidRPr="007601C9" w:rsidRDefault="007601C9" w:rsidP="00FF3E3B">
            <w:pPr>
              <w:pStyle w:val="Bullet"/>
              <w:keepNext/>
              <w:keepLines/>
              <w:numPr>
                <w:ilvl w:val="0"/>
                <w:numId w:val="0"/>
              </w:numPr>
              <w:spacing w:before="40" w:after="40"/>
              <w:ind w:left="714"/>
            </w:pPr>
            <w:r w:rsidRPr="007601C9">
              <w:rPr>
                <w:b/>
                <w:bCs/>
              </w:rPr>
              <w:t>5</w:t>
            </w:r>
            <w:r w:rsidRPr="007601C9">
              <w:t> </w:t>
            </w:r>
          </w:p>
        </w:tc>
      </w:tr>
    </w:tbl>
    <w:p w14:paraId="2E1AF63F" w14:textId="77777777" w:rsidR="007601C9" w:rsidRPr="007601C9" w:rsidRDefault="007601C9" w:rsidP="00FF3E3B">
      <w:pPr>
        <w:pStyle w:val="Bullet"/>
        <w:keepNext/>
        <w:keepLines/>
        <w:numPr>
          <w:ilvl w:val="0"/>
          <w:numId w:val="0"/>
        </w:numPr>
        <w:spacing w:before="240"/>
      </w:pPr>
      <w:r w:rsidRPr="007601C9">
        <w:t>MSAC received consultation input from the following organisations: </w:t>
      </w:r>
    </w:p>
    <w:p w14:paraId="5B65AD38" w14:textId="77777777" w:rsidR="007601C9" w:rsidRPr="007601C9" w:rsidRDefault="007601C9" w:rsidP="00FF3E3B">
      <w:pPr>
        <w:pStyle w:val="Bullet"/>
        <w:keepNext/>
        <w:keepLines/>
        <w:numPr>
          <w:ilvl w:val="0"/>
          <w:numId w:val="32"/>
        </w:numPr>
      </w:pPr>
      <w:r w:rsidRPr="007601C9">
        <w:t>Public Pathology Australia (PPA) </w:t>
      </w:r>
    </w:p>
    <w:p w14:paraId="66B3317B" w14:textId="77777777" w:rsidR="007601C9" w:rsidRPr="00FA67E4" w:rsidRDefault="007601C9" w:rsidP="00F1192D">
      <w:pPr>
        <w:pStyle w:val="Bullet"/>
        <w:numPr>
          <w:ilvl w:val="0"/>
          <w:numId w:val="33"/>
        </w:numPr>
        <w:rPr>
          <w:lang w:val="fr-FR"/>
        </w:rPr>
      </w:pPr>
      <w:r w:rsidRPr="00FA67E4">
        <w:rPr>
          <w:lang w:val="fr-FR"/>
        </w:rPr>
        <w:t>Australian Haemophilia Centre Directors’ Organisation (AHCDO) </w:t>
      </w:r>
    </w:p>
    <w:p w14:paraId="037E2A5B" w14:textId="77777777" w:rsidR="007601C9" w:rsidRPr="007601C9" w:rsidRDefault="007601C9" w:rsidP="00F1192D">
      <w:pPr>
        <w:pStyle w:val="Bullet"/>
        <w:numPr>
          <w:ilvl w:val="0"/>
          <w:numId w:val="34"/>
        </w:numPr>
      </w:pPr>
      <w:r w:rsidRPr="007601C9">
        <w:t>Thrombosis and Haemostasis Society of Australia and New Zealand (THANZ) </w:t>
      </w:r>
    </w:p>
    <w:p w14:paraId="1A2BA367" w14:textId="77777777" w:rsidR="007601C9" w:rsidRPr="007601C9" w:rsidRDefault="007601C9" w:rsidP="00F1192D">
      <w:pPr>
        <w:pStyle w:val="Bullet"/>
        <w:numPr>
          <w:ilvl w:val="0"/>
          <w:numId w:val="35"/>
        </w:numPr>
        <w:spacing w:after="240"/>
        <w:ind w:left="714" w:hanging="357"/>
      </w:pPr>
      <w:r w:rsidRPr="007601C9">
        <w:t>Haemophilia Foundation of Australia (HFA) (2 inputs) </w:t>
      </w:r>
    </w:p>
    <w:p w14:paraId="17285EB1" w14:textId="77777777" w:rsidR="007601C9" w:rsidRPr="007601C9" w:rsidRDefault="007601C9" w:rsidP="007601C9">
      <w:pPr>
        <w:pStyle w:val="Bullet"/>
        <w:numPr>
          <w:ilvl w:val="0"/>
          <w:numId w:val="0"/>
        </w:numPr>
      </w:pPr>
      <w:r w:rsidRPr="007601C9">
        <w:rPr>
          <w:b/>
          <w:bCs/>
        </w:rPr>
        <w:t>Level of support for public funding </w:t>
      </w:r>
      <w:r w:rsidRPr="007601C9">
        <w:t> </w:t>
      </w:r>
    </w:p>
    <w:p w14:paraId="02C56F97" w14:textId="669C6C2D" w:rsidR="007601C9" w:rsidRPr="007601C9" w:rsidRDefault="007601C9" w:rsidP="007601C9">
      <w:pPr>
        <w:pStyle w:val="Bullet"/>
        <w:numPr>
          <w:ilvl w:val="0"/>
          <w:numId w:val="0"/>
        </w:numPr>
        <w:ind w:hanging="11"/>
      </w:pPr>
      <w:r w:rsidRPr="007601C9">
        <w:t>Consultation input was supportive of public funding for concizumab for routine prophylaxis to prevent</w:t>
      </w:r>
      <w:r>
        <w:t xml:space="preserve"> </w:t>
      </w:r>
      <w:r w:rsidRPr="007601C9">
        <w:t>bleeding in patients with congenital Haemophilia B (cHMB). The HFA stated that the therapy would provide significant benefits to patients.  </w:t>
      </w:r>
    </w:p>
    <w:p w14:paraId="6B56ABAD" w14:textId="77777777" w:rsidR="007601C9" w:rsidRPr="007601C9" w:rsidRDefault="007601C9" w:rsidP="007601C9">
      <w:pPr>
        <w:pStyle w:val="Bullet"/>
        <w:numPr>
          <w:ilvl w:val="0"/>
          <w:numId w:val="0"/>
        </w:numPr>
      </w:pPr>
      <w:r w:rsidRPr="007601C9">
        <w:rPr>
          <w:b/>
          <w:bCs/>
        </w:rPr>
        <w:t>Comments on PICO </w:t>
      </w:r>
      <w:r w:rsidRPr="007601C9">
        <w:t> </w:t>
      </w:r>
    </w:p>
    <w:p w14:paraId="7704F20D" w14:textId="6CBB78E5" w:rsidR="007601C9" w:rsidRPr="007601C9" w:rsidRDefault="007601C9" w:rsidP="007601C9">
      <w:pPr>
        <w:pStyle w:val="Bullet"/>
        <w:numPr>
          <w:ilvl w:val="0"/>
          <w:numId w:val="0"/>
        </w:numPr>
      </w:pPr>
      <w:r w:rsidRPr="007601C9">
        <w:t>The consultation input agreed with the proposed population. The input noted that people with</w:t>
      </w:r>
      <w:r>
        <w:t xml:space="preserve"> </w:t>
      </w:r>
      <w:r w:rsidRPr="007601C9">
        <w:t>cHMB</w:t>
      </w:r>
      <w:r>
        <w:t xml:space="preserve"> </w:t>
      </w:r>
      <w:r w:rsidRPr="007601C9">
        <w:t>and FIX inhibitors are a very rare group and that these patients have one of the greatest unmet needs in the haemophilia population as there is no effective prophylaxis (which is best practice and standard of care). AHCDO described the current treatment burden experienced by this grou</w:t>
      </w:r>
      <w:r>
        <w:t xml:space="preserve">p </w:t>
      </w:r>
      <w:r w:rsidRPr="007601C9">
        <w:t>as high, noting the significant economic costs associated with it and decreased quality of life. HFA was supportive of the recommendation in the PICO confirmation that the population be expanded to include people with haemophilia B without inhibitors.  </w:t>
      </w:r>
    </w:p>
    <w:p w14:paraId="13C6C45A" w14:textId="77777777" w:rsidR="007601C9" w:rsidRPr="007601C9" w:rsidRDefault="007601C9" w:rsidP="007601C9">
      <w:pPr>
        <w:pStyle w:val="Bullet"/>
        <w:numPr>
          <w:ilvl w:val="0"/>
          <w:numId w:val="0"/>
        </w:numPr>
      </w:pPr>
      <w:r w:rsidRPr="007601C9">
        <w:t>The consultation input agreed with the proposed comparators, noting that the current standard of care is the use of bypassing agents. </w:t>
      </w:r>
    </w:p>
    <w:p w14:paraId="4B676C43" w14:textId="77777777" w:rsidR="007601C9" w:rsidRPr="007601C9" w:rsidRDefault="007601C9" w:rsidP="007601C9">
      <w:pPr>
        <w:pStyle w:val="Bullet"/>
        <w:numPr>
          <w:ilvl w:val="0"/>
          <w:numId w:val="0"/>
        </w:numPr>
      </w:pPr>
      <w:r w:rsidRPr="007601C9">
        <w:t>AHCDO noted that the outcome measures listed in the PICO are the outcomes which are part of standard of care and are consistent with those reported in the clinical trials for concizumab.  </w:t>
      </w:r>
    </w:p>
    <w:p w14:paraId="59B12FB0" w14:textId="77777777" w:rsidR="007601C9" w:rsidRPr="007601C9" w:rsidRDefault="007601C9" w:rsidP="002B618B">
      <w:pPr>
        <w:pStyle w:val="Bullet"/>
        <w:keepNext/>
        <w:keepLines/>
        <w:numPr>
          <w:ilvl w:val="0"/>
          <w:numId w:val="0"/>
        </w:numPr>
      </w:pPr>
      <w:r w:rsidRPr="007601C9">
        <w:rPr>
          <w:b/>
          <w:bCs/>
        </w:rPr>
        <w:t>Perceived Advantages </w:t>
      </w:r>
      <w:r w:rsidRPr="007601C9">
        <w:t> </w:t>
      </w:r>
    </w:p>
    <w:p w14:paraId="7D7F5B9C" w14:textId="5970DBBD" w:rsidR="007601C9" w:rsidRPr="007601C9" w:rsidRDefault="007601C9" w:rsidP="002B618B">
      <w:pPr>
        <w:pStyle w:val="Bullet"/>
        <w:keepNext/>
        <w:keepLines/>
        <w:numPr>
          <w:ilvl w:val="0"/>
          <w:numId w:val="0"/>
        </w:numPr>
      </w:pPr>
      <w:r w:rsidRPr="007601C9">
        <w:t>The consultation input reported a range of perceived benefits of public funding of the proposed intervention.</w:t>
      </w:r>
      <w:r>
        <w:t xml:space="preserve"> </w:t>
      </w:r>
      <w:r w:rsidRPr="007601C9">
        <w:t>These included: provision of a prophylactic option for treatment, which is the preferred standard of care; subcutaneous delivery rather than venous infusions; reduction in bleeding;</w:t>
      </w:r>
      <w:r>
        <w:t xml:space="preserve"> </w:t>
      </w:r>
      <w:r w:rsidRPr="007601C9">
        <w:t>and improved quality of life. HFA input from health professionals and people who had accessed</w:t>
      </w:r>
      <w:r>
        <w:t xml:space="preserve"> </w:t>
      </w:r>
      <w:r w:rsidRPr="007601C9">
        <w:t>concizumab through clinical trials stated that: </w:t>
      </w:r>
    </w:p>
    <w:p w14:paraId="19EA665C" w14:textId="16B52E0B" w:rsidR="007601C9" w:rsidRPr="007601C9" w:rsidRDefault="007601C9" w:rsidP="002B618B">
      <w:pPr>
        <w:pStyle w:val="Bullet"/>
        <w:keepNext/>
        <w:keepLines/>
        <w:numPr>
          <w:ilvl w:val="0"/>
          <w:numId w:val="36"/>
        </w:numPr>
      </w:pPr>
      <w:r w:rsidRPr="007601C9">
        <w:t>the pen device is easy to use and much less painful</w:t>
      </w:r>
      <w:r w:rsidR="00B926F1">
        <w:t>.</w:t>
      </w:r>
      <w:r w:rsidRPr="007601C9">
        <w:t>  </w:t>
      </w:r>
    </w:p>
    <w:p w14:paraId="5065A678" w14:textId="3FB4261A" w:rsidR="007601C9" w:rsidRPr="007601C9" w:rsidRDefault="007601C9" w:rsidP="002B618B">
      <w:pPr>
        <w:pStyle w:val="Bullet"/>
        <w:keepNext/>
        <w:keepLines/>
        <w:numPr>
          <w:ilvl w:val="0"/>
          <w:numId w:val="37"/>
        </w:numPr>
      </w:pPr>
      <w:r w:rsidRPr="007601C9">
        <w:t>once opened, consumers can store concizumab at room temperature, which allows users to</w:t>
      </w:r>
      <w:r>
        <w:t xml:space="preserve"> </w:t>
      </w:r>
      <w:r w:rsidRPr="007601C9">
        <w:t>integrate its use more easily into their daily routines. This may in turn support treatment adherence</w:t>
      </w:r>
      <w:r w:rsidR="00B926F1">
        <w:t>.</w:t>
      </w:r>
      <w:r w:rsidRPr="007601C9">
        <w:t> </w:t>
      </w:r>
    </w:p>
    <w:p w14:paraId="66B03BA2" w14:textId="7D267F92" w:rsidR="007601C9" w:rsidRPr="007601C9" w:rsidRDefault="007601C9" w:rsidP="00F1192D">
      <w:pPr>
        <w:pStyle w:val="Bullet"/>
        <w:numPr>
          <w:ilvl w:val="0"/>
          <w:numId w:val="38"/>
        </w:numPr>
      </w:pPr>
      <w:r w:rsidRPr="007601C9">
        <w:t>the mode of administration does not require hand dexterity, so it is easy for people with</w:t>
      </w:r>
      <w:r>
        <w:t xml:space="preserve"> </w:t>
      </w:r>
      <w:r w:rsidRPr="007601C9">
        <w:t>arthritis or shaky hands to administer</w:t>
      </w:r>
      <w:r w:rsidR="00B926F1">
        <w:t>.</w:t>
      </w:r>
      <w:r w:rsidRPr="007601C9">
        <w:t> </w:t>
      </w:r>
    </w:p>
    <w:p w14:paraId="11ECA13A" w14:textId="69EF90CA" w:rsidR="007601C9" w:rsidRPr="007601C9" w:rsidRDefault="007601C9" w:rsidP="00F1192D">
      <w:pPr>
        <w:pStyle w:val="Bullet"/>
        <w:numPr>
          <w:ilvl w:val="0"/>
          <w:numId w:val="39"/>
        </w:numPr>
      </w:pPr>
      <w:r w:rsidRPr="007601C9">
        <w:t>the fixed dose prefilled pen means that there are no dose mistakes</w:t>
      </w:r>
      <w:r w:rsidR="00B926F1">
        <w:t>.</w:t>
      </w:r>
      <w:r w:rsidRPr="007601C9">
        <w:t> </w:t>
      </w:r>
    </w:p>
    <w:p w14:paraId="3DF1ECB6" w14:textId="77777777" w:rsidR="007601C9" w:rsidRPr="007601C9" w:rsidRDefault="007601C9" w:rsidP="007601C9">
      <w:pPr>
        <w:pStyle w:val="Bullet"/>
      </w:pPr>
      <w:r w:rsidRPr="007601C9">
        <w:t>At a broader level, HFA stated that this provides the potential for the person to increase their participation in personal and family life, the workforce, social activities, travel and physical and recreational activities. It provided case studies from two individuals with experience of concizumab, both of whom described it as life changing.  </w:t>
      </w:r>
    </w:p>
    <w:p w14:paraId="0512D644" w14:textId="77777777" w:rsidR="007601C9" w:rsidRPr="007601C9" w:rsidRDefault="007601C9" w:rsidP="007601C9">
      <w:pPr>
        <w:pStyle w:val="Bullet"/>
      </w:pPr>
      <w:r w:rsidRPr="007601C9">
        <w:t>AHCDO noted that the proposed eligibility criteria will improve health equity in the haemophilia population as patients with haemophilia B with inhibitors will have access to subcutaneous treatment.  </w:t>
      </w:r>
    </w:p>
    <w:p w14:paraId="3EB2A181" w14:textId="77777777" w:rsidR="007601C9" w:rsidRPr="007601C9" w:rsidRDefault="007601C9" w:rsidP="007601C9">
      <w:pPr>
        <w:pStyle w:val="Bullet"/>
        <w:numPr>
          <w:ilvl w:val="0"/>
          <w:numId w:val="0"/>
        </w:numPr>
        <w:spacing w:before="240"/>
      </w:pPr>
      <w:r w:rsidRPr="007601C9">
        <w:rPr>
          <w:b/>
          <w:bCs/>
        </w:rPr>
        <w:t>Perceived Disadvantages</w:t>
      </w:r>
      <w:r w:rsidRPr="007601C9">
        <w:t> </w:t>
      </w:r>
    </w:p>
    <w:p w14:paraId="374E8B78" w14:textId="59EAC1C9" w:rsidR="007601C9" w:rsidRPr="007601C9" w:rsidRDefault="007601C9" w:rsidP="007601C9">
      <w:pPr>
        <w:pStyle w:val="Bullet"/>
        <w:numPr>
          <w:ilvl w:val="0"/>
          <w:numId w:val="0"/>
        </w:numPr>
      </w:pPr>
      <w:r w:rsidRPr="007601C9">
        <w:t>There were no disadvantages of public funding identified in the consultation input. However, HFA noted that</w:t>
      </w:r>
      <w:r>
        <w:t xml:space="preserve"> </w:t>
      </w:r>
      <w:r w:rsidRPr="007601C9">
        <w:t>those on the medication may need additional support/guidance on how to recognise a bleed, how to apply for jobs etc.  </w:t>
      </w:r>
    </w:p>
    <w:p w14:paraId="549984AC" w14:textId="46835487" w:rsidR="007601C9" w:rsidRPr="007601C9" w:rsidRDefault="007601C9" w:rsidP="007601C9">
      <w:pPr>
        <w:pStyle w:val="Bullet"/>
        <w:numPr>
          <w:ilvl w:val="0"/>
          <w:numId w:val="0"/>
        </w:numPr>
        <w:spacing w:before="240"/>
      </w:pPr>
      <w:r w:rsidRPr="007601C9">
        <w:rPr>
          <w:b/>
          <w:bCs/>
        </w:rPr>
        <w:t>Support for Implementation and Issues </w:t>
      </w:r>
      <w:r w:rsidRPr="007601C9">
        <w:t> </w:t>
      </w:r>
    </w:p>
    <w:p w14:paraId="2083A602" w14:textId="612F7E61" w:rsidR="007601C9" w:rsidRPr="007601C9" w:rsidRDefault="007601C9" w:rsidP="007601C9">
      <w:pPr>
        <w:pStyle w:val="Bullet"/>
        <w:numPr>
          <w:ilvl w:val="0"/>
          <w:numId w:val="0"/>
        </w:numPr>
      </w:pPr>
      <w:r w:rsidRPr="007601C9">
        <w:t>Consultation input was supportive of the proposed approach to implementation. AHCDO noted that</w:t>
      </w:r>
      <w:r>
        <w:t xml:space="preserve"> </w:t>
      </w:r>
      <w:r w:rsidRPr="007601C9">
        <w:t>haemophilia treatment centres (HTC) that have patients who meet the criteria but have not had experience with concizumab will need some education, but that this can be done very quickly as the technology used to administer the medication is easy to use. In addition,</w:t>
      </w:r>
      <w:r>
        <w:t xml:space="preserve"> </w:t>
      </w:r>
      <w:r w:rsidRPr="007601C9">
        <w:t>HTC</w:t>
      </w:r>
      <w:r>
        <w:t xml:space="preserve"> </w:t>
      </w:r>
      <w:r w:rsidRPr="007601C9">
        <w:t>clinicians</w:t>
      </w:r>
      <w:r>
        <w:t xml:space="preserve"> </w:t>
      </w:r>
      <w:r w:rsidRPr="007601C9">
        <w:t>will be familiar with concizumab as data has been presented at numerous local and international meeting</w:t>
      </w:r>
      <w:r w:rsidR="00453AE3">
        <w:t>s</w:t>
      </w:r>
      <w:r w:rsidRPr="007601C9">
        <w:t>.  </w:t>
      </w:r>
    </w:p>
    <w:p w14:paraId="7584674D" w14:textId="07023E50" w:rsidR="007601C9" w:rsidRPr="007601C9" w:rsidRDefault="007601C9" w:rsidP="007601C9">
      <w:pPr>
        <w:pStyle w:val="Bullet"/>
        <w:numPr>
          <w:ilvl w:val="0"/>
          <w:numId w:val="0"/>
        </w:numPr>
      </w:pPr>
      <w:r w:rsidRPr="007601C9">
        <w:t>Public Pathology Australia stated that it does not believe there is any laboratory in Australia that is able to conduct the trough plasma concizumab concentration assay required 4 weeks after drug initiation to help guide maintenance therapy dosing. However, it notes that hospitals who were involved with the concizumab clinical trials will likely have some experience with the drug effect on routine pathology testing. PPA noted that if laboratory monitoring of</w:t>
      </w:r>
      <w:r>
        <w:t xml:space="preserve"> </w:t>
      </w:r>
      <w:r w:rsidRPr="007601C9">
        <w:t>concizumab</w:t>
      </w:r>
      <w:r>
        <w:t xml:space="preserve"> </w:t>
      </w:r>
      <w:r w:rsidRPr="007601C9">
        <w:t>is</w:t>
      </w:r>
      <w:r>
        <w:t xml:space="preserve"> </w:t>
      </w:r>
      <w:r w:rsidRPr="007601C9">
        <w:t>required, new assays may need to be set up.  </w:t>
      </w:r>
    </w:p>
    <w:p w14:paraId="7BC0D0A3" w14:textId="47CA38E7" w:rsidR="00D03C49" w:rsidRDefault="007601C9" w:rsidP="00D03C49">
      <w:pPr>
        <w:pStyle w:val="Bullet"/>
        <w:numPr>
          <w:ilvl w:val="0"/>
          <w:numId w:val="0"/>
        </w:numPr>
      </w:pPr>
      <w:r w:rsidRPr="007601C9">
        <w:t>AHCDO noted that there are good and effective measurements of outcomes through the</w:t>
      </w:r>
      <w:r>
        <w:t xml:space="preserve"> </w:t>
      </w:r>
      <w:r w:rsidRPr="007601C9">
        <w:t>Australian Bleeding Disorders Registry (ABDR) where patients can record number of bleeds in</w:t>
      </w:r>
      <w:r>
        <w:t xml:space="preserve"> </w:t>
      </w:r>
      <w:r w:rsidRPr="007601C9">
        <w:t>myABDR. The usage of bypass agents (recombinant FVIIa (NovoSeven) and FEIBA) can also be monitored. </w:t>
      </w:r>
    </w:p>
    <w:p w14:paraId="03C7A1F1" w14:textId="5CBD33EF" w:rsidR="00772829" w:rsidRDefault="00772829" w:rsidP="00F1192D">
      <w:pPr>
        <w:pStyle w:val="Heading2"/>
        <w:numPr>
          <w:ilvl w:val="0"/>
          <w:numId w:val="31"/>
        </w:numPr>
        <w:ind w:left="709" w:hanging="709"/>
      </w:pPr>
      <w:bookmarkStart w:id="14" w:name="_Toc69491422"/>
      <w:r w:rsidRPr="00CE28E3">
        <w:t>Characteristics of the evidence base</w:t>
      </w:r>
      <w:bookmarkEnd w:id="14"/>
    </w:p>
    <w:p w14:paraId="73F6DA1F" w14:textId="7FDE3821" w:rsidR="008E10F8" w:rsidRDefault="008E10F8" w:rsidP="008E10F8">
      <w:pPr>
        <w:pStyle w:val="Heading3"/>
      </w:pPr>
      <w:r>
        <w:t>Haemophilia B with inhibitors</w:t>
      </w:r>
    </w:p>
    <w:p w14:paraId="0B90EA13" w14:textId="58EDD208" w:rsidR="005C4568" w:rsidRDefault="005C4568" w:rsidP="005C4568">
      <w:r>
        <w:t>The evidence base consisted of 2 linked</w:t>
      </w:r>
      <w:r w:rsidR="007F3A47">
        <w:t xml:space="preserve"> </w:t>
      </w:r>
      <w:r w:rsidR="003A4010">
        <w:t>studies:</w:t>
      </w:r>
      <w:r w:rsidR="00A42D20">
        <w:t xml:space="preserve"> </w:t>
      </w:r>
      <w:r w:rsidR="007F774C">
        <w:t>E</w:t>
      </w:r>
      <w:r w:rsidR="00A42D20">
        <w:t xml:space="preserve">xplorer6 and </w:t>
      </w:r>
      <w:r w:rsidR="00DF3428">
        <w:t>Explorer</w:t>
      </w:r>
      <w:r w:rsidR="00A42D20">
        <w:t>7 (</w:t>
      </w:r>
      <w:r w:rsidR="00432982">
        <w:fldChar w:fldCharType="begin"/>
      </w:r>
      <w:r w:rsidR="00432982">
        <w:instrText xml:space="preserve"> REF _Ref214447476 \h </w:instrText>
      </w:r>
      <w:r w:rsidR="00432982">
        <w:fldChar w:fldCharType="separate"/>
      </w:r>
      <w:r w:rsidR="00CD3B0F">
        <w:t xml:space="preserve">Table </w:t>
      </w:r>
      <w:r w:rsidR="00CD3B0F">
        <w:rPr>
          <w:noProof/>
        </w:rPr>
        <w:t>2</w:t>
      </w:r>
      <w:r w:rsidR="00432982">
        <w:fldChar w:fldCharType="end"/>
      </w:r>
      <w:r w:rsidR="00432982">
        <w:t>).</w:t>
      </w:r>
      <w:r w:rsidR="003A4010">
        <w:t xml:space="preserve"> The pivotal study is </w:t>
      </w:r>
      <w:r w:rsidR="007F774C">
        <w:t>E</w:t>
      </w:r>
      <w:r w:rsidR="003A4010">
        <w:t>xplorer7.</w:t>
      </w:r>
    </w:p>
    <w:p w14:paraId="5DCF9CB3" w14:textId="1457B7EE" w:rsidR="00A42D20" w:rsidRDefault="00A42D20" w:rsidP="00A42D20">
      <w:pPr>
        <w:pStyle w:val="Caption"/>
      </w:pPr>
      <w:bookmarkStart w:id="15" w:name="_Ref214447476"/>
      <w:r>
        <w:t xml:space="preserve">Table </w:t>
      </w:r>
      <w:r>
        <w:fldChar w:fldCharType="begin"/>
      </w:r>
      <w:r>
        <w:instrText>SEQ Table \* ARABIC</w:instrText>
      </w:r>
      <w:r>
        <w:fldChar w:fldCharType="separate"/>
      </w:r>
      <w:r w:rsidR="00CD3B0F">
        <w:rPr>
          <w:noProof/>
        </w:rPr>
        <w:t>2</w:t>
      </w:r>
      <w:r>
        <w:fldChar w:fldCharType="end"/>
      </w:r>
      <w:bookmarkEnd w:id="15"/>
      <w:r w:rsidR="004215A6">
        <w:tab/>
        <w:t>Key features of the included evidence for concizumab in HMB</w:t>
      </w:r>
      <w:r w:rsidR="00236D63">
        <w:t>wI</w:t>
      </w:r>
    </w:p>
    <w:tbl>
      <w:tblPr>
        <w:tblStyle w:val="TableGrid"/>
        <w:tblW w:w="5000" w:type="pct"/>
        <w:tblLook w:val="04A0" w:firstRow="1" w:lastRow="0" w:firstColumn="1" w:lastColumn="0" w:noHBand="0" w:noVBand="1"/>
        <w:tblCaption w:val="Key features of the included evidence for concizumab in HMBwI"/>
        <w:tblDescription w:val="Key features of the included evidence for concizumab in HMBwI from two trials: Explorer6 and Explorer7."/>
      </w:tblPr>
      <w:tblGrid>
        <w:gridCol w:w="1476"/>
        <w:gridCol w:w="1433"/>
        <w:gridCol w:w="1217"/>
        <w:gridCol w:w="1325"/>
        <w:gridCol w:w="1314"/>
        <w:gridCol w:w="1131"/>
        <w:gridCol w:w="1120"/>
      </w:tblGrid>
      <w:tr w:rsidR="00E15086" w14:paraId="1861B8A7" w14:textId="77777777" w:rsidTr="00E15086">
        <w:trPr>
          <w:tblHeader/>
        </w:trPr>
        <w:tc>
          <w:tcPr>
            <w:tcW w:w="790" w:type="pct"/>
          </w:tcPr>
          <w:p w14:paraId="37392ABF" w14:textId="77777777" w:rsidR="007406ED" w:rsidRDefault="007406ED" w:rsidP="000B4F83">
            <w:pPr>
              <w:pStyle w:val="TableHeading0"/>
            </w:pPr>
            <w:r>
              <w:t>Trial/ Study</w:t>
            </w:r>
          </w:p>
          <w:p w14:paraId="56AC143E" w14:textId="2729ADE4" w:rsidR="007406ED" w:rsidRDefault="007406ED" w:rsidP="000B4F83">
            <w:pPr>
              <w:pStyle w:val="TableHeading0"/>
            </w:pPr>
            <w:r>
              <w:t>N</w:t>
            </w:r>
          </w:p>
        </w:tc>
        <w:tc>
          <w:tcPr>
            <w:tcW w:w="776" w:type="pct"/>
          </w:tcPr>
          <w:p w14:paraId="3B5587DF" w14:textId="77777777" w:rsidR="007406ED" w:rsidRDefault="007406ED" w:rsidP="000B4F83">
            <w:pPr>
              <w:pStyle w:val="TableHeading0"/>
            </w:pPr>
            <w:r>
              <w:t>Study design</w:t>
            </w:r>
          </w:p>
          <w:p w14:paraId="3E27176D" w14:textId="59144FF0" w:rsidR="007406ED" w:rsidRDefault="007406ED" w:rsidP="000B4F83">
            <w:pPr>
              <w:pStyle w:val="TableHeading0"/>
            </w:pPr>
            <w:r>
              <w:t>Risk of bias</w:t>
            </w:r>
          </w:p>
        </w:tc>
        <w:tc>
          <w:tcPr>
            <w:tcW w:w="904" w:type="pct"/>
          </w:tcPr>
          <w:p w14:paraId="7CBA7AB3" w14:textId="350F0071" w:rsidR="00E15086" w:rsidRDefault="007406ED" w:rsidP="000B4F83">
            <w:pPr>
              <w:pStyle w:val="TableHeading0"/>
            </w:pPr>
            <w:r>
              <w:t>Population</w:t>
            </w:r>
          </w:p>
        </w:tc>
        <w:tc>
          <w:tcPr>
            <w:tcW w:w="703" w:type="pct"/>
          </w:tcPr>
          <w:p w14:paraId="19021785" w14:textId="5FB8C75B" w:rsidR="007406ED" w:rsidRDefault="007406ED" w:rsidP="000B4F83">
            <w:pPr>
              <w:pStyle w:val="TableHeading0"/>
            </w:pPr>
            <w:r>
              <w:t>Intervention</w:t>
            </w:r>
          </w:p>
        </w:tc>
        <w:tc>
          <w:tcPr>
            <w:tcW w:w="699" w:type="pct"/>
          </w:tcPr>
          <w:p w14:paraId="16E6FC9F" w14:textId="39FE5E60" w:rsidR="007406ED" w:rsidRDefault="007406ED" w:rsidP="000B4F83">
            <w:pPr>
              <w:pStyle w:val="TableHeading0"/>
            </w:pPr>
            <w:r>
              <w:t>Comparator</w:t>
            </w:r>
          </w:p>
        </w:tc>
        <w:tc>
          <w:tcPr>
            <w:tcW w:w="555" w:type="pct"/>
          </w:tcPr>
          <w:p w14:paraId="004D11C7" w14:textId="02A88AF1" w:rsidR="007406ED" w:rsidRDefault="007406ED" w:rsidP="000B4F83">
            <w:pPr>
              <w:pStyle w:val="TableHeading0"/>
            </w:pPr>
            <w:r>
              <w:t>Key outcomes</w:t>
            </w:r>
          </w:p>
        </w:tc>
        <w:tc>
          <w:tcPr>
            <w:tcW w:w="573" w:type="pct"/>
          </w:tcPr>
          <w:p w14:paraId="27AFA535" w14:textId="3AFAA5DF" w:rsidR="007406ED" w:rsidRDefault="007406ED" w:rsidP="000B4F83">
            <w:pPr>
              <w:pStyle w:val="TableHeading0"/>
            </w:pPr>
            <w:r>
              <w:t>Result used in economic analysis</w:t>
            </w:r>
          </w:p>
        </w:tc>
      </w:tr>
      <w:tr w:rsidR="00E15086" w14:paraId="2EE40342" w14:textId="77777777" w:rsidTr="00E15086">
        <w:tc>
          <w:tcPr>
            <w:tcW w:w="790" w:type="pct"/>
          </w:tcPr>
          <w:p w14:paraId="26C6C919" w14:textId="6F0147F3" w:rsidR="007406ED" w:rsidRDefault="007406ED" w:rsidP="00506C7E">
            <w:pPr>
              <w:pStyle w:val="TableText"/>
            </w:pPr>
            <w:r>
              <w:t>Explorer6</w:t>
            </w:r>
            <w:r>
              <w:rPr>
                <w:rStyle w:val="FootnoteReference"/>
              </w:rPr>
              <w:footnoteReference w:id="2"/>
            </w:r>
          </w:p>
          <w:p w14:paraId="68CE5C6D" w14:textId="47FB1AFB" w:rsidR="007406ED" w:rsidRDefault="007406ED" w:rsidP="000B4F83">
            <w:pPr>
              <w:pStyle w:val="TableText"/>
              <w:rPr>
                <w:rStyle w:val="padding-left-05"/>
              </w:rPr>
            </w:pPr>
            <w:hyperlink r:id="rId21" w:tooltip="Link to the trial entry on clinicaltrials.gov" w:history="1">
              <w:r w:rsidRPr="00CE3F28">
                <w:rPr>
                  <w:rStyle w:val="Hyperlink"/>
                </w:rPr>
                <w:t>NCT03741881</w:t>
              </w:r>
            </w:hyperlink>
          </w:p>
          <w:p w14:paraId="15839CBF" w14:textId="77777777" w:rsidR="007406ED" w:rsidRDefault="007406ED" w:rsidP="000B4F83">
            <w:pPr>
              <w:pStyle w:val="TableText"/>
              <w:rPr>
                <w:rStyle w:val="padding-left-05"/>
              </w:rPr>
            </w:pPr>
          </w:p>
          <w:p w14:paraId="77F58AB9" w14:textId="218354F0" w:rsidR="007406ED" w:rsidRDefault="007406ED" w:rsidP="000B4F83">
            <w:pPr>
              <w:pStyle w:val="TableText"/>
            </w:pPr>
            <w:r>
              <w:t>231 (31 HMB</w:t>
            </w:r>
            <w:r w:rsidR="00236D63">
              <w:t>wI</w:t>
            </w:r>
            <w:r>
              <w:t>)</w:t>
            </w:r>
          </w:p>
        </w:tc>
        <w:tc>
          <w:tcPr>
            <w:tcW w:w="776" w:type="pct"/>
          </w:tcPr>
          <w:p w14:paraId="767C82E1" w14:textId="1AE321E7" w:rsidR="007406ED" w:rsidRDefault="007406ED" w:rsidP="000B4F83">
            <w:pPr>
              <w:pStyle w:val="TableText"/>
            </w:pPr>
            <w:r>
              <w:t>MC prospective cohort (non-interventional)</w:t>
            </w:r>
          </w:p>
          <w:p w14:paraId="6FE9A9D2" w14:textId="719AFCE8" w:rsidR="007406ED" w:rsidRDefault="007406ED" w:rsidP="000B4F83">
            <w:pPr>
              <w:pStyle w:val="TableText"/>
            </w:pPr>
            <w:r>
              <w:t>Moderate</w:t>
            </w:r>
          </w:p>
        </w:tc>
        <w:tc>
          <w:tcPr>
            <w:tcW w:w="904" w:type="pct"/>
          </w:tcPr>
          <w:p w14:paraId="7224DA1E" w14:textId="3466194F" w:rsidR="007406ED" w:rsidRDefault="000238BF" w:rsidP="000B4F83">
            <w:pPr>
              <w:pStyle w:val="TableText"/>
            </w:pPr>
            <w:r>
              <w:t xml:space="preserve">Males </w:t>
            </w:r>
            <w:r w:rsidR="006073DC">
              <w:t>≥12 years</w:t>
            </w:r>
            <w:r w:rsidR="0013656E">
              <w:t xml:space="preserve"> of age</w:t>
            </w:r>
            <w:r w:rsidR="006073DC">
              <w:t xml:space="preserve"> with s</w:t>
            </w:r>
            <w:r w:rsidR="007406ED" w:rsidRPr="008B0213">
              <w:t xml:space="preserve">evere </w:t>
            </w:r>
            <w:r w:rsidR="007406ED">
              <w:t>HMA</w:t>
            </w:r>
            <w:r w:rsidR="0002162B">
              <w:t>,</w:t>
            </w:r>
            <w:r w:rsidR="007406ED" w:rsidRPr="008B0213">
              <w:t xml:space="preserve"> severe/ moderate HMB </w:t>
            </w:r>
            <w:r w:rsidR="00943B76">
              <w:t xml:space="preserve">or </w:t>
            </w:r>
            <w:r w:rsidR="00943B76" w:rsidRPr="00943B76">
              <w:t>HMAwI or HMBwI of any severity</w:t>
            </w:r>
          </w:p>
        </w:tc>
        <w:tc>
          <w:tcPr>
            <w:tcW w:w="703" w:type="pct"/>
          </w:tcPr>
          <w:p w14:paraId="0AD0A26B" w14:textId="47A0953E" w:rsidR="007406ED" w:rsidRDefault="007406ED" w:rsidP="000B4F83">
            <w:pPr>
              <w:pStyle w:val="TableText"/>
            </w:pPr>
            <w:r w:rsidRPr="004E542B">
              <w:t>Treatment according to local standard of care (on-demand or prophylaxis)</w:t>
            </w:r>
          </w:p>
        </w:tc>
        <w:tc>
          <w:tcPr>
            <w:tcW w:w="699" w:type="pct"/>
          </w:tcPr>
          <w:p w14:paraId="59E53427" w14:textId="0E50CB8C" w:rsidR="007406ED" w:rsidRDefault="007406ED" w:rsidP="000B4F83">
            <w:pPr>
              <w:pStyle w:val="TableText"/>
            </w:pPr>
            <w:r>
              <w:t>N/A</w:t>
            </w:r>
          </w:p>
        </w:tc>
        <w:tc>
          <w:tcPr>
            <w:tcW w:w="555" w:type="pct"/>
          </w:tcPr>
          <w:p w14:paraId="69555BE1" w14:textId="4C496740" w:rsidR="007406ED" w:rsidRDefault="007406ED" w:rsidP="000B4F83">
            <w:pPr>
              <w:pStyle w:val="TableText"/>
            </w:pPr>
            <w:r>
              <w:t>ABR</w:t>
            </w:r>
          </w:p>
          <w:p w14:paraId="00F39D8B" w14:textId="2F738425" w:rsidR="007406ED" w:rsidRDefault="007406ED" w:rsidP="000B4F83">
            <w:pPr>
              <w:pStyle w:val="TableText"/>
            </w:pPr>
            <w:r>
              <w:t>SF-36v2</w:t>
            </w:r>
          </w:p>
        </w:tc>
        <w:tc>
          <w:tcPr>
            <w:tcW w:w="573" w:type="pct"/>
          </w:tcPr>
          <w:p w14:paraId="1CEF9997" w14:textId="01F60C51" w:rsidR="007406ED" w:rsidRDefault="007406ED" w:rsidP="000B4F83">
            <w:pPr>
              <w:pStyle w:val="TableText"/>
            </w:pPr>
            <w:r>
              <w:t>Yes</w:t>
            </w:r>
          </w:p>
        </w:tc>
      </w:tr>
      <w:tr w:rsidR="00E15086" w14:paraId="3DDB6510" w14:textId="77777777" w:rsidTr="00E15086">
        <w:tc>
          <w:tcPr>
            <w:tcW w:w="790" w:type="pct"/>
          </w:tcPr>
          <w:p w14:paraId="6F5D42E8" w14:textId="5DBB633D" w:rsidR="007406ED" w:rsidRDefault="007406ED" w:rsidP="00506C7E">
            <w:pPr>
              <w:pStyle w:val="TableText"/>
            </w:pPr>
            <w:r>
              <w:t>Explorer7</w:t>
            </w:r>
            <w:r>
              <w:rPr>
                <w:rStyle w:val="FootnoteReference"/>
              </w:rPr>
              <w:footnoteReference w:id="3"/>
            </w:r>
          </w:p>
          <w:p w14:paraId="6BCCD844" w14:textId="4760719A" w:rsidR="007406ED" w:rsidRDefault="007406ED" w:rsidP="00506C7E">
            <w:pPr>
              <w:pStyle w:val="TableText"/>
            </w:pPr>
            <w:hyperlink r:id="rId22" w:tooltip="Link the trial record on clinicaltrials.gov" w:history="1">
              <w:r w:rsidRPr="00436AE8">
                <w:rPr>
                  <w:rStyle w:val="Hyperlink"/>
                </w:rPr>
                <w:t>NCT04083781</w:t>
              </w:r>
            </w:hyperlink>
          </w:p>
          <w:p w14:paraId="1F891A5B" w14:textId="77777777" w:rsidR="007406ED" w:rsidRDefault="007406ED" w:rsidP="00506C7E">
            <w:pPr>
              <w:pStyle w:val="TableText"/>
            </w:pPr>
          </w:p>
          <w:p w14:paraId="4FDAD2D5" w14:textId="0EB28A03" w:rsidR="00236D63" w:rsidRDefault="003334D6" w:rsidP="00506C7E">
            <w:pPr>
              <w:pStyle w:val="TableText"/>
            </w:pPr>
            <w:r>
              <w:t xml:space="preserve">52 </w:t>
            </w:r>
            <w:r w:rsidR="007406ED" w:rsidRPr="00456898">
              <w:t>randomised</w:t>
            </w:r>
            <w:r w:rsidR="005F66F6">
              <w:t>:</w:t>
            </w:r>
          </w:p>
          <w:p w14:paraId="53F4E33E" w14:textId="39862CE5" w:rsidR="001713D9" w:rsidRDefault="00A731D5" w:rsidP="00506C7E">
            <w:pPr>
              <w:pStyle w:val="TableText"/>
            </w:pPr>
            <w:r>
              <w:t>I</w:t>
            </w:r>
            <w:r w:rsidR="007A287B">
              <w:t>ntervention</w:t>
            </w:r>
            <w:r>
              <w:t>, 33</w:t>
            </w:r>
            <w:r w:rsidR="0091757F">
              <w:t xml:space="preserve"> (HMBw</w:t>
            </w:r>
            <w:r w:rsidR="00CE1F70">
              <w:t>I</w:t>
            </w:r>
            <w:r w:rsidR="0091757F">
              <w:t xml:space="preserve"> = 15)</w:t>
            </w:r>
          </w:p>
          <w:p w14:paraId="2B380B26" w14:textId="02D1C5B1" w:rsidR="00B91B60" w:rsidRDefault="00B91B60" w:rsidP="00506C7E">
            <w:pPr>
              <w:pStyle w:val="TableText"/>
            </w:pPr>
            <w:r>
              <w:t>Comparator, 19</w:t>
            </w:r>
            <w:r w:rsidR="006B3FB5">
              <w:t xml:space="preserve"> (H</w:t>
            </w:r>
            <w:r w:rsidR="00DE4039">
              <w:t>MBw</w:t>
            </w:r>
            <w:r w:rsidR="00B5524D">
              <w:t>I = 10)</w:t>
            </w:r>
          </w:p>
          <w:p w14:paraId="7C5DD24D" w14:textId="5F722465" w:rsidR="0003693E" w:rsidRDefault="0003693E" w:rsidP="00E049C9">
            <w:pPr>
              <w:pStyle w:val="TableText"/>
              <w:spacing w:before="120"/>
            </w:pPr>
            <w:r>
              <w:t xml:space="preserve">81 </w:t>
            </w:r>
            <w:r w:rsidR="00E15086">
              <w:t xml:space="preserve">allocated to </w:t>
            </w:r>
            <w:r>
              <w:t>concizumab</w:t>
            </w:r>
          </w:p>
        </w:tc>
        <w:tc>
          <w:tcPr>
            <w:tcW w:w="776" w:type="pct"/>
          </w:tcPr>
          <w:p w14:paraId="067483BC" w14:textId="29DD29EC" w:rsidR="007406ED" w:rsidRDefault="007406ED" w:rsidP="000B4F83">
            <w:pPr>
              <w:pStyle w:val="TableText"/>
            </w:pPr>
            <w:r>
              <w:t>MC OL RCT</w:t>
            </w:r>
          </w:p>
          <w:p w14:paraId="305716BF" w14:textId="7E5EED41" w:rsidR="007406ED" w:rsidRDefault="007406ED" w:rsidP="000B4F83">
            <w:pPr>
              <w:pStyle w:val="TableText"/>
            </w:pPr>
            <w:r>
              <w:t>Some concerns</w:t>
            </w:r>
          </w:p>
        </w:tc>
        <w:tc>
          <w:tcPr>
            <w:tcW w:w="904" w:type="pct"/>
          </w:tcPr>
          <w:p w14:paraId="18107CB3" w14:textId="72E795A9" w:rsidR="00E15086" w:rsidRDefault="006073DC" w:rsidP="00E15086">
            <w:pPr>
              <w:pStyle w:val="TableText"/>
            </w:pPr>
            <w:r>
              <w:t>Males ≥12 years</w:t>
            </w:r>
            <w:r w:rsidR="0013656E">
              <w:t xml:space="preserve"> of age</w:t>
            </w:r>
            <w:r>
              <w:t xml:space="preserve"> with </w:t>
            </w:r>
            <w:r w:rsidR="007406ED">
              <w:t>HM</w:t>
            </w:r>
            <w:r w:rsidR="007406ED" w:rsidRPr="000F2043">
              <w:t>A</w:t>
            </w:r>
            <w:r w:rsidR="0002162B">
              <w:t>wI</w:t>
            </w:r>
            <w:r w:rsidR="007406ED" w:rsidRPr="000F2043">
              <w:t xml:space="preserve"> or </w:t>
            </w:r>
            <w:r w:rsidR="007406ED">
              <w:t>HM</w:t>
            </w:r>
            <w:r w:rsidR="007406ED" w:rsidRPr="000F2043">
              <w:t>B</w:t>
            </w:r>
            <w:r w:rsidR="0002162B">
              <w:t>wI</w:t>
            </w:r>
            <w:r w:rsidR="007406ED" w:rsidRPr="000F2043">
              <w:t xml:space="preserve"> (any severity) and treated with BPAs in the 24 weeks before screening</w:t>
            </w:r>
          </w:p>
        </w:tc>
        <w:tc>
          <w:tcPr>
            <w:tcW w:w="703" w:type="pct"/>
          </w:tcPr>
          <w:p w14:paraId="4B8C944D" w14:textId="2FC49739" w:rsidR="00E15086" w:rsidRDefault="007406ED" w:rsidP="00E049C9">
            <w:pPr>
              <w:pStyle w:val="TableText"/>
              <w:spacing w:before="0"/>
            </w:pPr>
            <w:r w:rsidRPr="00CE540D">
              <w:t>Prophylactic treatment with concizumab</w:t>
            </w:r>
          </w:p>
        </w:tc>
        <w:tc>
          <w:tcPr>
            <w:tcW w:w="699" w:type="pct"/>
          </w:tcPr>
          <w:p w14:paraId="162DAD2C" w14:textId="682D564C" w:rsidR="00E15086" w:rsidRDefault="007406ED" w:rsidP="00E049C9">
            <w:pPr>
              <w:pStyle w:val="TableText"/>
              <w:spacing w:before="0"/>
            </w:pPr>
            <w:r w:rsidRPr="00CE540D">
              <w:t>On</w:t>
            </w:r>
            <w:r w:rsidR="005444BF">
              <w:t>-</w:t>
            </w:r>
            <w:r w:rsidRPr="00CE540D">
              <w:t>demand treatment with BPA</w:t>
            </w:r>
          </w:p>
        </w:tc>
        <w:tc>
          <w:tcPr>
            <w:tcW w:w="555" w:type="pct"/>
          </w:tcPr>
          <w:p w14:paraId="0B97C956" w14:textId="77777777" w:rsidR="007406ED" w:rsidRPr="00FA67E4" w:rsidRDefault="00B629D2" w:rsidP="000B4F83">
            <w:pPr>
              <w:pStyle w:val="TableText"/>
              <w:rPr>
                <w:lang w:val="pt-BR"/>
              </w:rPr>
            </w:pPr>
            <w:r w:rsidRPr="00FA67E4">
              <w:rPr>
                <w:lang w:val="pt-BR"/>
              </w:rPr>
              <w:t>ABR</w:t>
            </w:r>
          </w:p>
          <w:p w14:paraId="5C62033C" w14:textId="4D2DDE92" w:rsidR="00B11A2A" w:rsidRPr="00FA67E4" w:rsidRDefault="00B11A2A" w:rsidP="000B4F83">
            <w:pPr>
              <w:pStyle w:val="TableText"/>
              <w:rPr>
                <w:lang w:val="pt-BR"/>
              </w:rPr>
            </w:pPr>
            <w:r w:rsidRPr="00FA67E4">
              <w:rPr>
                <w:lang w:val="pt-BR"/>
              </w:rPr>
              <w:t>AE</w:t>
            </w:r>
            <w:r w:rsidR="00D365A9" w:rsidRPr="00FA67E4">
              <w:rPr>
                <w:lang w:val="pt-BR"/>
              </w:rPr>
              <w:t>s</w:t>
            </w:r>
          </w:p>
          <w:p w14:paraId="1D1A1527" w14:textId="7D032B5F" w:rsidR="00B629D2" w:rsidRPr="00FA67E4" w:rsidRDefault="00B629D2" w:rsidP="000B4F83">
            <w:pPr>
              <w:pStyle w:val="TableText"/>
              <w:rPr>
                <w:lang w:val="pt-BR"/>
              </w:rPr>
            </w:pPr>
            <w:r w:rsidRPr="00FA67E4">
              <w:rPr>
                <w:lang w:val="pt-BR"/>
              </w:rPr>
              <w:t>SF</w:t>
            </w:r>
            <w:r w:rsidR="00712A7B" w:rsidRPr="00FA67E4">
              <w:rPr>
                <w:lang w:val="pt-BR"/>
              </w:rPr>
              <w:t>-</w:t>
            </w:r>
            <w:r w:rsidRPr="00FA67E4">
              <w:rPr>
                <w:lang w:val="pt-BR"/>
              </w:rPr>
              <w:t>36v2</w:t>
            </w:r>
          </w:p>
          <w:p w14:paraId="6B222D6E" w14:textId="1FA05583" w:rsidR="00B629D2" w:rsidRPr="00FA67E4" w:rsidRDefault="005B1AB7" w:rsidP="000B4F83">
            <w:pPr>
              <w:pStyle w:val="TableText"/>
              <w:rPr>
                <w:lang w:val="pt-BR"/>
              </w:rPr>
            </w:pPr>
            <w:r w:rsidRPr="00FA67E4">
              <w:rPr>
                <w:lang w:val="pt-BR"/>
              </w:rPr>
              <w:t>Haem-A-QoL</w:t>
            </w:r>
          </w:p>
        </w:tc>
        <w:tc>
          <w:tcPr>
            <w:tcW w:w="573" w:type="pct"/>
          </w:tcPr>
          <w:p w14:paraId="1935BE8A" w14:textId="27C43243" w:rsidR="007406ED" w:rsidRDefault="007406ED" w:rsidP="000B4F83">
            <w:pPr>
              <w:pStyle w:val="TableText"/>
            </w:pPr>
            <w:r>
              <w:t>Yes</w:t>
            </w:r>
          </w:p>
        </w:tc>
      </w:tr>
    </w:tbl>
    <w:p w14:paraId="7E0826C0" w14:textId="5115908B" w:rsidR="002669A6" w:rsidRDefault="00D365A9" w:rsidP="002C2895">
      <w:pPr>
        <w:pStyle w:val="Tablenotes0"/>
      </w:pPr>
      <w:bookmarkStart w:id="16" w:name="_Hlk215493300"/>
      <w:r>
        <w:t>ABR = annualised b</w:t>
      </w:r>
      <w:r w:rsidR="002B62AA">
        <w:t>l</w:t>
      </w:r>
      <w:r>
        <w:t>eed</w:t>
      </w:r>
      <w:r w:rsidR="00E1198F">
        <w:t>ing</w:t>
      </w:r>
      <w:r>
        <w:t xml:space="preserve"> rate; </w:t>
      </w:r>
      <w:r w:rsidR="00E32601">
        <w:t xml:space="preserve">AE = adverse event; </w:t>
      </w:r>
      <w:r w:rsidR="005A1DF3">
        <w:t xml:space="preserve">BPA = bypassing agent; </w:t>
      </w:r>
      <w:r w:rsidR="005A1DF3" w:rsidRPr="005A1DF3">
        <w:t xml:space="preserve">Haem-A-QoL = Haemophilia </w:t>
      </w:r>
      <w:r w:rsidR="00E1198F" w:rsidRPr="000A74BC">
        <w:t xml:space="preserve">Quality of Life Questionnaire for </w:t>
      </w:r>
      <w:r w:rsidR="00E1198F">
        <w:t>a</w:t>
      </w:r>
      <w:r w:rsidR="00E1198F" w:rsidRPr="000A74BC">
        <w:t>dults</w:t>
      </w:r>
      <w:r w:rsidR="005A1DF3">
        <w:t xml:space="preserve">; </w:t>
      </w:r>
      <w:r w:rsidR="00F65918">
        <w:rPr>
          <w:rStyle w:val="normaltextrun"/>
          <w:szCs w:val="18"/>
        </w:rPr>
        <w:t xml:space="preserve">HMA = haemophilia A; </w:t>
      </w:r>
      <w:r w:rsidR="009C246D" w:rsidRPr="009C246D">
        <w:rPr>
          <w:rStyle w:val="normaltextrun"/>
          <w:szCs w:val="18"/>
        </w:rPr>
        <w:t>HMAwI = haemophilia A with inhibitors;</w:t>
      </w:r>
      <w:r w:rsidR="009C246D">
        <w:rPr>
          <w:rStyle w:val="normaltextrun"/>
          <w:szCs w:val="18"/>
        </w:rPr>
        <w:t xml:space="preserve"> </w:t>
      </w:r>
      <w:r w:rsidR="00F65918">
        <w:rPr>
          <w:rStyle w:val="normaltextrun"/>
          <w:szCs w:val="18"/>
        </w:rPr>
        <w:t xml:space="preserve">HMB = haemophilia B; </w:t>
      </w:r>
      <w:r w:rsidR="009C246D" w:rsidRPr="009C246D">
        <w:rPr>
          <w:rStyle w:val="normaltextrun"/>
          <w:szCs w:val="18"/>
        </w:rPr>
        <w:t>HMBwI = haemophilia B with inhibitors;</w:t>
      </w:r>
      <w:r w:rsidR="009C246D">
        <w:rPr>
          <w:rStyle w:val="normaltextrun"/>
          <w:szCs w:val="18"/>
        </w:rPr>
        <w:t xml:space="preserve"> </w:t>
      </w:r>
      <w:r w:rsidRPr="00D365A9">
        <w:t xml:space="preserve">MC = multicentre; </w:t>
      </w:r>
      <w:r w:rsidR="009B6A82">
        <w:t xml:space="preserve">N = number of participants; </w:t>
      </w:r>
      <w:r w:rsidR="005A1DF3">
        <w:t xml:space="preserve">N/A = not applicable; </w:t>
      </w:r>
      <w:r w:rsidRPr="00D365A9">
        <w:t>OL = open label;</w:t>
      </w:r>
      <w:r w:rsidR="005A1DF3">
        <w:t xml:space="preserve"> RCT = randomised controlled </w:t>
      </w:r>
      <w:r w:rsidR="002E12C9">
        <w:t>trial</w:t>
      </w:r>
      <w:r w:rsidR="00011988">
        <w:t>; SF-36v2</w:t>
      </w:r>
      <w:r w:rsidR="003C5812">
        <w:t xml:space="preserve"> = </w:t>
      </w:r>
      <w:r w:rsidR="00E411ED" w:rsidRPr="00C811E8">
        <w:t>36-item Short-Form Health Survey</w:t>
      </w:r>
      <w:r w:rsidR="00E411ED">
        <w:t>,</w:t>
      </w:r>
      <w:r w:rsidR="00E411ED" w:rsidRPr="00C811E8">
        <w:t xml:space="preserve"> </w:t>
      </w:r>
      <w:r w:rsidR="00E411ED">
        <w:t>v</w:t>
      </w:r>
      <w:r w:rsidR="00E411ED" w:rsidRPr="00C811E8">
        <w:t>ersion 2</w:t>
      </w:r>
      <w:r w:rsidR="005A1DF3">
        <w:t>.</w:t>
      </w:r>
    </w:p>
    <w:bookmarkEnd w:id="16"/>
    <w:p w14:paraId="1E2AD16C" w14:textId="359B3F8B" w:rsidR="00F15F20" w:rsidRDefault="22A914F2" w:rsidP="002C2895">
      <w:pPr>
        <w:pStyle w:val="Tablenotes0"/>
      </w:pPr>
      <w:r>
        <w:t xml:space="preserve">Source: </w:t>
      </w:r>
      <w:r w:rsidR="208F05E1">
        <w:t xml:space="preserve">adapted from </w:t>
      </w:r>
      <w:r w:rsidR="55815972">
        <w:t>Table 1</w:t>
      </w:r>
      <w:r w:rsidR="1AB2B795">
        <w:t>2</w:t>
      </w:r>
      <w:r w:rsidR="55815972">
        <w:t xml:space="preserve"> of MSAC 1805 ADAR + in-line commentary</w:t>
      </w:r>
      <w:r w:rsidR="7932B039">
        <w:t>.</w:t>
      </w:r>
    </w:p>
    <w:p w14:paraId="78C7681B" w14:textId="271780B1" w:rsidR="00BC6222" w:rsidRDefault="00BC6222" w:rsidP="00BC6222">
      <w:r>
        <w:t>Explorer7 compared prophylactic treatment with concizumab against on-demand treatment with BPAs in patients with HMA</w:t>
      </w:r>
      <w:r w:rsidR="00522B51">
        <w:t>wI</w:t>
      </w:r>
      <w:r>
        <w:t xml:space="preserve"> and HMB</w:t>
      </w:r>
      <w:r w:rsidR="00522B51">
        <w:t>wI</w:t>
      </w:r>
      <w:r>
        <w:t>. The trial was an open</w:t>
      </w:r>
      <w:r w:rsidR="00AE3A9C">
        <w:t>-</w:t>
      </w:r>
      <w:r>
        <w:t xml:space="preserve">label RCT conducted across 27 countries (74 sites) </w:t>
      </w:r>
      <w:r w:rsidR="00830B9F">
        <w:t xml:space="preserve">that </w:t>
      </w:r>
      <w:r>
        <w:t xml:space="preserve">randomised </w:t>
      </w:r>
      <w:r w:rsidR="00830B9F">
        <w:t xml:space="preserve">52 participants </w:t>
      </w:r>
      <w:r>
        <w:t>(1:2 ratio of control to intervention)</w:t>
      </w:r>
      <w:r w:rsidR="00830B9F">
        <w:t>. The study</w:t>
      </w:r>
      <w:r>
        <w:t xml:space="preserve"> </w:t>
      </w:r>
      <w:r w:rsidR="00830B9F">
        <w:t>also included 81</w:t>
      </w:r>
      <w:r>
        <w:t xml:space="preserve"> non-randomised </w:t>
      </w:r>
      <w:r w:rsidR="00830B9F">
        <w:t xml:space="preserve">participants </w:t>
      </w:r>
      <w:r w:rsidR="00D00A58">
        <w:t>(</w:t>
      </w:r>
      <w:r w:rsidR="00830B9F">
        <w:t xml:space="preserve">including </w:t>
      </w:r>
      <w:r w:rsidR="00D00A58">
        <w:t>21 transferred from the Explorer4 trial</w:t>
      </w:r>
      <w:r w:rsidR="00830B9F">
        <w:t>) who</w:t>
      </w:r>
      <w:r>
        <w:t xml:space="preserve"> received concizumab prophylaxis. </w:t>
      </w:r>
      <w:r w:rsidR="0032668F">
        <w:t>The open</w:t>
      </w:r>
      <w:r w:rsidR="00D6446A">
        <w:t>-</w:t>
      </w:r>
      <w:r w:rsidR="0032668F">
        <w:t xml:space="preserve">label design of the trial introduces </w:t>
      </w:r>
      <w:r w:rsidR="00C020C0">
        <w:t>a risk of bias</w:t>
      </w:r>
      <w:r w:rsidR="00830B9F">
        <w:t>,</w:t>
      </w:r>
      <w:r w:rsidR="00C020C0">
        <w:t xml:space="preserve"> </w:t>
      </w:r>
      <w:r w:rsidR="00830B9F">
        <w:t>particularly</w:t>
      </w:r>
      <w:r w:rsidR="00C020C0">
        <w:t xml:space="preserve"> for </w:t>
      </w:r>
      <w:r w:rsidR="00CE644A">
        <w:t xml:space="preserve">patient-reported </w:t>
      </w:r>
      <w:r w:rsidR="00D62379">
        <w:t>quality</w:t>
      </w:r>
      <w:r w:rsidR="00522B51">
        <w:t>-</w:t>
      </w:r>
      <w:r w:rsidR="00D62379">
        <w:t>of</w:t>
      </w:r>
      <w:r w:rsidR="00522B51">
        <w:t>-</w:t>
      </w:r>
      <w:r w:rsidR="00D62379">
        <w:t xml:space="preserve">life </w:t>
      </w:r>
      <w:r w:rsidR="00CE644A">
        <w:t>outcomes</w:t>
      </w:r>
      <w:r w:rsidR="00830B9F">
        <w:t>,</w:t>
      </w:r>
      <w:r w:rsidR="00CE644A">
        <w:t xml:space="preserve"> which </w:t>
      </w:r>
      <w:r w:rsidR="00830B9F">
        <w:t>was compounded by a</w:t>
      </w:r>
      <w:r w:rsidR="00CE644A">
        <w:t xml:space="preserve"> higher loss to follow-up.</w:t>
      </w:r>
    </w:p>
    <w:p w14:paraId="1EBBBBC2" w14:textId="12910DF1" w:rsidR="006E0B7F" w:rsidRDefault="006E0B7F" w:rsidP="00BC6222">
      <w:r>
        <w:t xml:space="preserve">Due to the small number of </w:t>
      </w:r>
      <w:r w:rsidR="00D73E82">
        <w:t>randomised participants, the ADAR reported data for the combined HMAwI and HMBwI populations</w:t>
      </w:r>
      <w:r w:rsidR="00FD0842">
        <w:t>,</w:t>
      </w:r>
      <w:r w:rsidR="0077326F">
        <w:t xml:space="preserve"> stating that the mechanism of action </w:t>
      </w:r>
      <w:r w:rsidR="005E4027">
        <w:t xml:space="preserve">is the same and therefore the data </w:t>
      </w:r>
      <w:r w:rsidR="00FD0842">
        <w:t>are</w:t>
      </w:r>
      <w:r w:rsidR="005E4027">
        <w:t xml:space="preserve"> applicable. </w:t>
      </w:r>
    </w:p>
    <w:p w14:paraId="14F1C361" w14:textId="46EF8AB0" w:rsidR="00BC6222" w:rsidRDefault="00BC6222" w:rsidP="00BC6222">
      <w:r>
        <w:t xml:space="preserve">Explorer6 was an observational prospective cohort study that included a large </w:t>
      </w:r>
      <w:r w:rsidR="00F7589A">
        <w:t>population</w:t>
      </w:r>
      <w:r>
        <w:t xml:space="preserve"> of patients with HMBwI. Patients who completed the </w:t>
      </w:r>
      <w:r w:rsidR="00A60B6C">
        <w:t>E</w:t>
      </w:r>
      <w:r>
        <w:t xml:space="preserve">xplorer6 study were eligible for randomisation into </w:t>
      </w:r>
      <w:r w:rsidR="00A60B6C">
        <w:t>E</w:t>
      </w:r>
      <w:r>
        <w:t xml:space="preserve">xplorer7. </w:t>
      </w:r>
      <w:r w:rsidR="00C16219">
        <w:t xml:space="preserve">The ADAR used data from </w:t>
      </w:r>
      <w:r w:rsidR="00A60B6C">
        <w:t>E</w:t>
      </w:r>
      <w:r w:rsidR="00C16219">
        <w:t>xplorer6 to conduct a post-hoc</w:t>
      </w:r>
      <w:r w:rsidR="000B200C">
        <w:t xml:space="preserve"> intra-patient</w:t>
      </w:r>
      <w:r w:rsidR="00C16219">
        <w:t xml:space="preserve"> analysis </w:t>
      </w:r>
      <w:r w:rsidR="00800D54">
        <w:t>comparing concizumab prophylaxis (</w:t>
      </w:r>
      <w:r w:rsidR="00A60B6C">
        <w:t>E</w:t>
      </w:r>
      <w:r w:rsidR="00800D54">
        <w:t xml:space="preserve">xplorer7 data) with </w:t>
      </w:r>
      <w:r w:rsidR="00116792">
        <w:t>short-term BPA prophylaxis (</w:t>
      </w:r>
      <w:r w:rsidR="00A60B6C">
        <w:t>E</w:t>
      </w:r>
      <w:r w:rsidR="00116792">
        <w:t xml:space="preserve">xplorer6 data). </w:t>
      </w:r>
      <w:r w:rsidR="00A00B14">
        <w:t xml:space="preserve">Seven </w:t>
      </w:r>
      <w:r w:rsidR="00DB33CD">
        <w:t xml:space="preserve">HMBwI patients </w:t>
      </w:r>
      <w:r w:rsidR="00A00B14">
        <w:t xml:space="preserve">were included in the analysis with a </w:t>
      </w:r>
      <w:r w:rsidR="002B5F76">
        <w:t>3-week</w:t>
      </w:r>
      <w:r w:rsidR="00A00B14">
        <w:t xml:space="preserve"> washout period between the two trials.</w:t>
      </w:r>
    </w:p>
    <w:p w14:paraId="32DD8B1C" w14:textId="3F03F59D" w:rsidR="003E5853" w:rsidRDefault="003E5853" w:rsidP="00BC6222">
      <w:r>
        <w:t xml:space="preserve">Safety outcomes were presented from the </w:t>
      </w:r>
      <w:r w:rsidR="00A60B6C">
        <w:t>E</w:t>
      </w:r>
      <w:r>
        <w:t>xplorer7 trial</w:t>
      </w:r>
      <w:r w:rsidR="00AD7914">
        <w:t xml:space="preserve"> and included all patients with HMBwI who </w:t>
      </w:r>
      <w:r w:rsidR="004039FA">
        <w:t>received concizumab</w:t>
      </w:r>
      <w:r w:rsidR="00DA35E6">
        <w:t xml:space="preserve"> </w:t>
      </w:r>
      <w:r w:rsidR="00A8687B">
        <w:t>(</w:t>
      </w:r>
      <w:r w:rsidR="00A8687B">
        <w:fldChar w:fldCharType="begin"/>
      </w:r>
      <w:r w:rsidR="00A8687B">
        <w:instrText xml:space="preserve"> REF _Ref214465804 \h </w:instrText>
      </w:r>
      <w:r w:rsidR="00A8687B">
        <w:fldChar w:fldCharType="separate"/>
      </w:r>
      <w:r w:rsidR="00CD3B0F">
        <w:t xml:space="preserve">Table </w:t>
      </w:r>
      <w:r w:rsidR="00CD3B0F">
        <w:rPr>
          <w:noProof/>
        </w:rPr>
        <w:t>3</w:t>
      </w:r>
      <w:r w:rsidR="00A8687B">
        <w:fldChar w:fldCharType="end"/>
      </w:r>
      <w:r w:rsidR="00A8687B">
        <w:t>)</w:t>
      </w:r>
      <w:r w:rsidR="004039FA">
        <w:t xml:space="preserve">. </w:t>
      </w:r>
    </w:p>
    <w:p w14:paraId="02AF628D" w14:textId="7D7ED2B1" w:rsidR="004706A8" w:rsidRPr="004706A8" w:rsidRDefault="00062448" w:rsidP="004706A8">
      <w:pPr>
        <w:pStyle w:val="Caption"/>
      </w:pPr>
      <w:bookmarkStart w:id="17" w:name="_Ref214465804"/>
      <w:r>
        <w:t xml:space="preserve">Table </w:t>
      </w:r>
      <w:r>
        <w:fldChar w:fldCharType="begin"/>
      </w:r>
      <w:r>
        <w:instrText>SEQ Table \* ARABIC</w:instrText>
      </w:r>
      <w:r>
        <w:fldChar w:fldCharType="separate"/>
      </w:r>
      <w:r w:rsidR="00CD3B0F">
        <w:rPr>
          <w:noProof/>
        </w:rPr>
        <w:t>3</w:t>
      </w:r>
      <w:r>
        <w:fldChar w:fldCharType="end"/>
      </w:r>
      <w:bookmarkEnd w:id="17"/>
      <w:r w:rsidR="00F35BAF">
        <w:tab/>
      </w:r>
      <w:r w:rsidR="004706A8">
        <w:t>Summary of evidence base in the HMBwI population for concizumab prophylaxis (with</w:t>
      </w:r>
      <w:r w:rsidR="004706A8" w:rsidRPr="004706A8">
        <w:t xml:space="preserve"> </w:t>
      </w:r>
      <w:r w:rsidR="004706A8">
        <w:t>on</w:t>
      </w:r>
      <w:r w:rsidR="004706A8">
        <w:noBreakHyphen/>
        <w:t>demand BPAs) by comparator</w:t>
      </w:r>
    </w:p>
    <w:tbl>
      <w:tblPr>
        <w:tblStyle w:val="TableGrid"/>
        <w:tblW w:w="0" w:type="auto"/>
        <w:tblLook w:val="04A0" w:firstRow="1" w:lastRow="0" w:firstColumn="1" w:lastColumn="0" w:noHBand="0" w:noVBand="1"/>
        <w:tblCaption w:val="Summary of evidence base in the HMBwI population for concizumab prophylaxis (with on demand BPAs) by comparator"/>
        <w:tblDescription w:val="Summary of evidence base in the HMBwI population for concizumab prophylaxis (with on demand BPAs) by comparator"/>
      </w:tblPr>
      <w:tblGrid>
        <w:gridCol w:w="1838"/>
        <w:gridCol w:w="2392"/>
        <w:gridCol w:w="2393"/>
        <w:gridCol w:w="2393"/>
      </w:tblGrid>
      <w:tr w:rsidR="004706A8" w14:paraId="22E88ABE" w14:textId="77777777">
        <w:tc>
          <w:tcPr>
            <w:tcW w:w="1838" w:type="dxa"/>
          </w:tcPr>
          <w:p w14:paraId="3A528774" w14:textId="77777777" w:rsidR="004706A8" w:rsidRDefault="004706A8">
            <w:pPr>
              <w:pStyle w:val="TableHeading0"/>
            </w:pPr>
            <w:r>
              <w:t>Item</w:t>
            </w:r>
          </w:p>
        </w:tc>
        <w:tc>
          <w:tcPr>
            <w:tcW w:w="2392" w:type="dxa"/>
          </w:tcPr>
          <w:p w14:paraId="0B2342A3" w14:textId="1D4529C6" w:rsidR="004706A8" w:rsidRDefault="004706A8">
            <w:pPr>
              <w:pStyle w:val="TableHeading0"/>
            </w:pPr>
            <w:r>
              <w:t>Primary comparison in ADAR</w:t>
            </w:r>
            <w:r w:rsidRPr="007711D4">
              <w:rPr>
                <w:vertAlign w:val="superscript"/>
              </w:rPr>
              <w:t>a</w:t>
            </w:r>
            <w:r>
              <w:t xml:space="preserve"> </w:t>
            </w:r>
            <w:r w:rsidR="000A32E6">
              <w:t>–</w:t>
            </w:r>
            <w:r>
              <w:t xml:space="preserve"> effectiveness</w:t>
            </w:r>
          </w:p>
        </w:tc>
        <w:tc>
          <w:tcPr>
            <w:tcW w:w="2393" w:type="dxa"/>
          </w:tcPr>
          <w:p w14:paraId="62C0245B" w14:textId="714530BB" w:rsidR="004706A8" w:rsidRDefault="004706A8">
            <w:pPr>
              <w:pStyle w:val="TableHeading0"/>
            </w:pPr>
            <w:r>
              <w:t xml:space="preserve">Secondary comparison in ADAR </w:t>
            </w:r>
            <w:r w:rsidR="000A32E6">
              <w:t>–</w:t>
            </w:r>
            <w:r>
              <w:t xml:space="preserve"> effectiveness</w:t>
            </w:r>
          </w:p>
        </w:tc>
        <w:tc>
          <w:tcPr>
            <w:tcW w:w="2393" w:type="dxa"/>
          </w:tcPr>
          <w:p w14:paraId="003F994B" w14:textId="77777777" w:rsidR="004706A8" w:rsidRDefault="004706A8">
            <w:pPr>
              <w:pStyle w:val="TableHeading0"/>
            </w:pPr>
            <w:r>
              <w:t>Safety</w:t>
            </w:r>
          </w:p>
        </w:tc>
      </w:tr>
      <w:tr w:rsidR="004706A8" w:rsidRPr="00272F16" w14:paraId="715C579D" w14:textId="77777777">
        <w:tc>
          <w:tcPr>
            <w:tcW w:w="1838" w:type="dxa"/>
          </w:tcPr>
          <w:p w14:paraId="1E4935F0" w14:textId="77777777" w:rsidR="004706A8" w:rsidRDefault="004706A8">
            <w:pPr>
              <w:pStyle w:val="TableHeading0"/>
            </w:pPr>
            <w:r>
              <w:t>Comparator</w:t>
            </w:r>
          </w:p>
        </w:tc>
        <w:tc>
          <w:tcPr>
            <w:tcW w:w="2392" w:type="dxa"/>
          </w:tcPr>
          <w:p w14:paraId="79A6EC56" w14:textId="77777777" w:rsidR="004706A8" w:rsidRDefault="004706A8">
            <w:pPr>
              <w:pStyle w:val="TableText"/>
            </w:pPr>
            <w:r>
              <w:t>BPA prophylaxis</w:t>
            </w:r>
          </w:p>
        </w:tc>
        <w:tc>
          <w:tcPr>
            <w:tcW w:w="2393" w:type="dxa"/>
          </w:tcPr>
          <w:p w14:paraId="13C58945" w14:textId="77777777" w:rsidR="004706A8" w:rsidRDefault="004706A8">
            <w:pPr>
              <w:pStyle w:val="TableText"/>
            </w:pPr>
            <w:r>
              <w:t>On-demand BPAs</w:t>
            </w:r>
          </w:p>
        </w:tc>
        <w:tc>
          <w:tcPr>
            <w:tcW w:w="2393" w:type="dxa"/>
          </w:tcPr>
          <w:p w14:paraId="1C2FD072" w14:textId="77777777" w:rsidR="004706A8" w:rsidRPr="00FA67E4" w:rsidRDefault="004706A8">
            <w:pPr>
              <w:pStyle w:val="TableText"/>
              <w:rPr>
                <w:lang w:val="fr-FR"/>
              </w:rPr>
            </w:pPr>
            <w:r w:rsidRPr="00FA67E4">
              <w:rPr>
                <w:lang w:val="fr-FR"/>
              </w:rPr>
              <w:t>On-demand BPAs/ BPA prophylaxis</w:t>
            </w:r>
          </w:p>
        </w:tc>
      </w:tr>
      <w:tr w:rsidR="004706A8" w14:paraId="12E4D8B7" w14:textId="77777777">
        <w:tc>
          <w:tcPr>
            <w:tcW w:w="1838" w:type="dxa"/>
          </w:tcPr>
          <w:p w14:paraId="7E9A16B2" w14:textId="77777777" w:rsidR="004706A8" w:rsidRDefault="004706A8">
            <w:pPr>
              <w:pStyle w:val="TableHeading0"/>
            </w:pPr>
            <w:r>
              <w:t>Evidence base</w:t>
            </w:r>
          </w:p>
        </w:tc>
        <w:tc>
          <w:tcPr>
            <w:tcW w:w="2392" w:type="dxa"/>
          </w:tcPr>
          <w:p w14:paraId="7865A3D2" w14:textId="77777777" w:rsidR="004706A8" w:rsidRDefault="004706A8">
            <w:pPr>
              <w:pStyle w:val="TableText"/>
            </w:pPr>
            <w:r>
              <w:t>Interrupted time-series of patients enrolled in Explorer6 (BPA prophylaxis) followed by Explorer7 (concizumab)</w:t>
            </w:r>
          </w:p>
        </w:tc>
        <w:tc>
          <w:tcPr>
            <w:tcW w:w="2393" w:type="dxa"/>
          </w:tcPr>
          <w:p w14:paraId="6E4AA48D" w14:textId="5B79B7EA" w:rsidR="004706A8" w:rsidRDefault="004706A8">
            <w:pPr>
              <w:pStyle w:val="TableText"/>
            </w:pPr>
            <w:r>
              <w:t>Open</w:t>
            </w:r>
            <w:r w:rsidR="00D6446A">
              <w:t>-</w:t>
            </w:r>
            <w:r>
              <w:t>label RCT (Explorer7) – Arm 1 (on-demand BPAs) and Arm 2 (concizumab)</w:t>
            </w:r>
          </w:p>
        </w:tc>
        <w:tc>
          <w:tcPr>
            <w:tcW w:w="2393" w:type="dxa"/>
          </w:tcPr>
          <w:p w14:paraId="40979967" w14:textId="4FBAEA7A" w:rsidR="004706A8" w:rsidRDefault="004706A8">
            <w:pPr>
              <w:pStyle w:val="TableText"/>
            </w:pPr>
            <w:r>
              <w:t>Open</w:t>
            </w:r>
            <w:r w:rsidR="00D6446A">
              <w:t>-</w:t>
            </w:r>
            <w:r>
              <w:t>label RCT including non-randomised arms and patients who crossed over from Arm 1 (Explorer7) – no comparator</w:t>
            </w:r>
          </w:p>
        </w:tc>
      </w:tr>
      <w:tr w:rsidR="004706A8" w14:paraId="6529766A" w14:textId="77777777">
        <w:tc>
          <w:tcPr>
            <w:tcW w:w="1838" w:type="dxa"/>
          </w:tcPr>
          <w:p w14:paraId="78592176" w14:textId="5536F7D2" w:rsidR="004706A8" w:rsidRDefault="00F31050">
            <w:pPr>
              <w:pStyle w:val="TableHeading0"/>
            </w:pPr>
            <w:r>
              <w:t>Participants in</w:t>
            </w:r>
            <w:r w:rsidR="004706A8">
              <w:t xml:space="preserve"> analysis</w:t>
            </w:r>
            <w:r>
              <w:t xml:space="preserve"> (n)</w:t>
            </w:r>
          </w:p>
        </w:tc>
        <w:tc>
          <w:tcPr>
            <w:tcW w:w="2392" w:type="dxa"/>
          </w:tcPr>
          <w:p w14:paraId="78D5034D" w14:textId="77777777" w:rsidR="00F31050" w:rsidRDefault="004706A8">
            <w:pPr>
              <w:pStyle w:val="TableText"/>
            </w:pPr>
            <w:r>
              <w:t xml:space="preserve">7 </w:t>
            </w:r>
          </w:p>
          <w:p w14:paraId="0E65A1E2" w14:textId="2C70A775" w:rsidR="004706A8" w:rsidRDefault="004706A8">
            <w:pPr>
              <w:pStyle w:val="TableText"/>
            </w:pPr>
            <w:r>
              <w:t>(all HMBwI)</w:t>
            </w:r>
          </w:p>
        </w:tc>
        <w:tc>
          <w:tcPr>
            <w:tcW w:w="2393" w:type="dxa"/>
          </w:tcPr>
          <w:p w14:paraId="37F83ADE" w14:textId="77777777" w:rsidR="00F31050" w:rsidRDefault="004706A8">
            <w:pPr>
              <w:pStyle w:val="TableText"/>
            </w:pPr>
            <w:r>
              <w:t xml:space="preserve">52 </w:t>
            </w:r>
          </w:p>
          <w:p w14:paraId="6C0011DF" w14:textId="56D80302" w:rsidR="004706A8" w:rsidRDefault="004706A8">
            <w:pPr>
              <w:pStyle w:val="TableText"/>
            </w:pPr>
            <w:r>
              <w:t>(25 HMBwI)</w:t>
            </w:r>
          </w:p>
        </w:tc>
        <w:tc>
          <w:tcPr>
            <w:tcW w:w="2393" w:type="dxa"/>
          </w:tcPr>
          <w:p w14:paraId="4F332122" w14:textId="77777777" w:rsidR="00F31050" w:rsidRDefault="004706A8">
            <w:pPr>
              <w:pStyle w:val="TableText"/>
            </w:pPr>
            <w:r>
              <w:t xml:space="preserve">127 </w:t>
            </w:r>
          </w:p>
          <w:p w14:paraId="59BA8FBF" w14:textId="6CFAB120" w:rsidR="004706A8" w:rsidRDefault="004706A8">
            <w:pPr>
              <w:pStyle w:val="TableText"/>
            </w:pPr>
            <w:r>
              <w:t>(HMAwI</w:t>
            </w:r>
            <w:r w:rsidR="00F31050">
              <w:t xml:space="preserve"> </w:t>
            </w:r>
            <w:r>
              <w:t>/</w:t>
            </w:r>
            <w:r w:rsidR="00F31050">
              <w:t xml:space="preserve"> </w:t>
            </w:r>
            <w:r>
              <w:t>HMBwI)</w:t>
            </w:r>
          </w:p>
        </w:tc>
      </w:tr>
    </w:tbl>
    <w:p w14:paraId="74F37609" w14:textId="3DD27F0C" w:rsidR="00F31050" w:rsidRDefault="00F31050" w:rsidP="007927FA">
      <w:pPr>
        <w:pStyle w:val="Tablenotes0"/>
      </w:pPr>
      <w:r>
        <w:t>BPA = bypassing agent;</w:t>
      </w:r>
      <w:r w:rsidRPr="00D10594">
        <w:rPr>
          <w:rStyle w:val="normaltextrun"/>
          <w:szCs w:val="18"/>
        </w:rPr>
        <w:t xml:space="preserve"> </w:t>
      </w:r>
      <w:r>
        <w:rPr>
          <w:rStyle w:val="normaltextrun"/>
          <w:szCs w:val="18"/>
        </w:rPr>
        <w:t>HMAwI = haemophilia A with inhibitors; HMBwI = haemophilia B with inhibitors;</w:t>
      </w:r>
      <w:r w:rsidRPr="002E12C9">
        <w:t xml:space="preserve"> </w:t>
      </w:r>
      <w:r w:rsidRPr="00F31050">
        <w:t>NR = not reported;</w:t>
      </w:r>
      <w:r>
        <w:t xml:space="preserve"> RCT = randomised controlled trial.</w:t>
      </w:r>
    </w:p>
    <w:p w14:paraId="3B25A8FB" w14:textId="77777777" w:rsidR="00F31050" w:rsidRDefault="00F31050" w:rsidP="007927FA">
      <w:pPr>
        <w:pStyle w:val="Tablenotes0"/>
      </w:pPr>
      <w:r w:rsidRPr="00EE6C22">
        <w:t>a.</w:t>
      </w:r>
      <w:r>
        <w:t xml:space="preserve"> BPA prophylaxis was designated the primary comparator by the ADAR but not considered the primary comparator by the commentary.</w:t>
      </w:r>
    </w:p>
    <w:p w14:paraId="5B332842" w14:textId="12852F28" w:rsidR="00DF3428" w:rsidRDefault="00F31050" w:rsidP="007927FA">
      <w:pPr>
        <w:pStyle w:val="Tablenotes0"/>
      </w:pPr>
      <w:r>
        <w:t xml:space="preserve">Source: adapted from Table 13 and </w:t>
      </w:r>
      <w:r w:rsidRPr="00F31050">
        <w:t>narrative (p.56)</w:t>
      </w:r>
      <w:r>
        <w:t xml:space="preserve"> of MSAC 1805 ADAR + in-line commentary.</w:t>
      </w:r>
    </w:p>
    <w:p w14:paraId="676A9495" w14:textId="77777777" w:rsidR="00E66EF1" w:rsidRDefault="00E66EF1" w:rsidP="00E66EF1">
      <w:pPr>
        <w:pStyle w:val="Heading3"/>
      </w:pPr>
      <w:r>
        <w:t>Haemophilia B without inhibitors</w:t>
      </w:r>
    </w:p>
    <w:p w14:paraId="1ADA1E75" w14:textId="214A63EC" w:rsidR="004E6522" w:rsidRPr="004E6522" w:rsidRDefault="004E6522" w:rsidP="004E6522">
      <w:r>
        <w:t xml:space="preserve">The evidence base consisted of 2 linked studies: </w:t>
      </w:r>
      <w:r w:rsidR="00A60B6C">
        <w:t>E</w:t>
      </w:r>
      <w:r>
        <w:t xml:space="preserve">xplorer6 and </w:t>
      </w:r>
      <w:r w:rsidR="00DF3428">
        <w:t>Explorer</w:t>
      </w:r>
      <w:r>
        <w:t>8 (</w:t>
      </w:r>
      <w:r>
        <w:fldChar w:fldCharType="begin"/>
      </w:r>
      <w:r>
        <w:instrText xml:space="preserve"> REF _Ref214465890 \h </w:instrText>
      </w:r>
      <w:r>
        <w:fldChar w:fldCharType="separate"/>
      </w:r>
      <w:r w:rsidR="00CD3B0F">
        <w:t xml:space="preserve">Table </w:t>
      </w:r>
      <w:r w:rsidR="00CD3B0F">
        <w:rPr>
          <w:noProof/>
        </w:rPr>
        <w:t>4</w:t>
      </w:r>
      <w:r>
        <w:fldChar w:fldCharType="end"/>
      </w:r>
      <w:r>
        <w:t>)</w:t>
      </w:r>
      <w:r w:rsidR="00971C7C">
        <w:t xml:space="preserve">. The pivotal study is </w:t>
      </w:r>
      <w:r w:rsidR="00A60B6C">
        <w:t>E</w:t>
      </w:r>
      <w:r w:rsidR="00971C7C">
        <w:t>xplorer</w:t>
      </w:r>
      <w:r w:rsidR="003F7BC5">
        <w:t>8</w:t>
      </w:r>
      <w:r w:rsidR="00971C7C">
        <w:t>.</w:t>
      </w:r>
    </w:p>
    <w:p w14:paraId="653E96D2" w14:textId="5CCFC59E" w:rsidR="004E6522" w:rsidRDefault="004E6522" w:rsidP="004E6522">
      <w:pPr>
        <w:pStyle w:val="Caption"/>
      </w:pPr>
      <w:bookmarkStart w:id="18" w:name="_Ref214465890"/>
      <w:r>
        <w:t xml:space="preserve">Table </w:t>
      </w:r>
      <w:r>
        <w:fldChar w:fldCharType="begin"/>
      </w:r>
      <w:r>
        <w:instrText>SEQ Table \* ARABIC</w:instrText>
      </w:r>
      <w:r>
        <w:fldChar w:fldCharType="separate"/>
      </w:r>
      <w:r w:rsidR="00CD3B0F">
        <w:rPr>
          <w:noProof/>
        </w:rPr>
        <w:t>4</w:t>
      </w:r>
      <w:r>
        <w:fldChar w:fldCharType="end"/>
      </w:r>
      <w:bookmarkEnd w:id="18"/>
      <w:r>
        <w:tab/>
        <w:t>Key features of the included evidence for concizumab in HMB without inhibitors</w:t>
      </w:r>
    </w:p>
    <w:tbl>
      <w:tblPr>
        <w:tblStyle w:val="TableGrid"/>
        <w:tblW w:w="5000" w:type="pct"/>
        <w:tblLook w:val="04A0" w:firstRow="1" w:lastRow="0" w:firstColumn="1" w:lastColumn="0" w:noHBand="0" w:noVBand="1"/>
        <w:tblCaption w:val="Key features of the included evidence for concizumab in HMB without inhibitors"/>
        <w:tblDescription w:val="Key features of the included evidence for concizumab in HMB without inhibitors"/>
      </w:tblPr>
      <w:tblGrid>
        <w:gridCol w:w="1464"/>
        <w:gridCol w:w="1423"/>
        <w:gridCol w:w="1273"/>
        <w:gridCol w:w="1315"/>
        <w:gridCol w:w="1305"/>
        <w:gridCol w:w="1123"/>
        <w:gridCol w:w="1113"/>
      </w:tblGrid>
      <w:tr w:rsidR="00BF1DB9" w14:paraId="52659C80" w14:textId="77777777" w:rsidTr="00C344E5">
        <w:trPr>
          <w:tblHeader/>
        </w:trPr>
        <w:tc>
          <w:tcPr>
            <w:tcW w:w="807" w:type="pct"/>
          </w:tcPr>
          <w:p w14:paraId="43C3EEEE" w14:textId="77777777" w:rsidR="004E6522" w:rsidRDefault="004E6522">
            <w:pPr>
              <w:pStyle w:val="TableHeading0"/>
            </w:pPr>
            <w:r>
              <w:t>Trial/ Study</w:t>
            </w:r>
          </w:p>
          <w:p w14:paraId="4EB20B88" w14:textId="77777777" w:rsidR="004E6522" w:rsidRDefault="004E6522">
            <w:pPr>
              <w:pStyle w:val="TableHeading0"/>
            </w:pPr>
            <w:r>
              <w:t>N</w:t>
            </w:r>
          </w:p>
        </w:tc>
        <w:tc>
          <w:tcPr>
            <w:tcW w:w="729" w:type="pct"/>
          </w:tcPr>
          <w:p w14:paraId="1F714FE7" w14:textId="77777777" w:rsidR="004E6522" w:rsidRDefault="004E6522">
            <w:pPr>
              <w:pStyle w:val="TableHeading0"/>
            </w:pPr>
            <w:r>
              <w:t>Study design</w:t>
            </w:r>
          </w:p>
          <w:p w14:paraId="59130F2F" w14:textId="77777777" w:rsidR="004E6522" w:rsidRDefault="004E6522">
            <w:pPr>
              <w:pStyle w:val="TableHeading0"/>
            </w:pPr>
            <w:r>
              <w:t>Risk of bias</w:t>
            </w:r>
          </w:p>
        </w:tc>
        <w:tc>
          <w:tcPr>
            <w:tcW w:w="962" w:type="pct"/>
          </w:tcPr>
          <w:p w14:paraId="4B3A55BD" w14:textId="77777777" w:rsidR="004E6522" w:rsidRDefault="004E6522">
            <w:pPr>
              <w:pStyle w:val="TableHeading0"/>
            </w:pPr>
            <w:r>
              <w:t>Population</w:t>
            </w:r>
          </w:p>
        </w:tc>
        <w:tc>
          <w:tcPr>
            <w:tcW w:w="732" w:type="pct"/>
          </w:tcPr>
          <w:p w14:paraId="17F8216F" w14:textId="77777777" w:rsidR="004E6522" w:rsidRDefault="004E6522">
            <w:pPr>
              <w:pStyle w:val="TableHeading0"/>
            </w:pPr>
            <w:r>
              <w:t>Intervention</w:t>
            </w:r>
          </w:p>
        </w:tc>
        <w:tc>
          <w:tcPr>
            <w:tcW w:w="652" w:type="pct"/>
          </w:tcPr>
          <w:p w14:paraId="252756C6" w14:textId="77777777" w:rsidR="004E6522" w:rsidRDefault="004E6522">
            <w:pPr>
              <w:pStyle w:val="TableHeading0"/>
            </w:pPr>
            <w:r>
              <w:t>Comparator</w:t>
            </w:r>
          </w:p>
        </w:tc>
        <w:tc>
          <w:tcPr>
            <w:tcW w:w="559" w:type="pct"/>
          </w:tcPr>
          <w:p w14:paraId="7138AD4A" w14:textId="77777777" w:rsidR="004E6522" w:rsidRDefault="004E6522">
            <w:pPr>
              <w:pStyle w:val="TableHeading0"/>
            </w:pPr>
            <w:r>
              <w:t>Key outcomes</w:t>
            </w:r>
          </w:p>
        </w:tc>
        <w:tc>
          <w:tcPr>
            <w:tcW w:w="559" w:type="pct"/>
          </w:tcPr>
          <w:p w14:paraId="265CD50A" w14:textId="77777777" w:rsidR="004E6522" w:rsidRDefault="004E6522">
            <w:pPr>
              <w:pStyle w:val="TableHeading0"/>
            </w:pPr>
            <w:r>
              <w:t>Result used in economic analysis</w:t>
            </w:r>
          </w:p>
        </w:tc>
      </w:tr>
      <w:tr w:rsidR="00BF1DB9" w14:paraId="4A670176" w14:textId="77777777" w:rsidTr="00C344E5">
        <w:tc>
          <w:tcPr>
            <w:tcW w:w="807" w:type="pct"/>
          </w:tcPr>
          <w:p w14:paraId="1F31B95D" w14:textId="77777777" w:rsidR="004E6522" w:rsidRDefault="004E6522">
            <w:pPr>
              <w:pStyle w:val="TableText"/>
            </w:pPr>
            <w:r>
              <w:t>Explorer6</w:t>
            </w:r>
            <w:r>
              <w:rPr>
                <w:rStyle w:val="FootnoteReference"/>
              </w:rPr>
              <w:footnoteReference w:id="4"/>
            </w:r>
          </w:p>
          <w:p w14:paraId="51A0D69D" w14:textId="3725A407" w:rsidR="004E6522" w:rsidRDefault="004E6522">
            <w:pPr>
              <w:pStyle w:val="TableText"/>
              <w:rPr>
                <w:rStyle w:val="padding-left-05"/>
              </w:rPr>
            </w:pPr>
            <w:hyperlink r:id="rId23" w:tooltip="Link to the trial entry on clinicaltrials.gov" w:history="1">
              <w:r w:rsidRPr="00CE3F28">
                <w:rPr>
                  <w:rStyle w:val="Hyperlink"/>
                </w:rPr>
                <w:t>NCT03741881</w:t>
              </w:r>
            </w:hyperlink>
          </w:p>
          <w:p w14:paraId="225616DC" w14:textId="77777777" w:rsidR="004E6522" w:rsidRDefault="004E6522">
            <w:pPr>
              <w:pStyle w:val="TableText"/>
              <w:rPr>
                <w:rStyle w:val="padding-left-05"/>
              </w:rPr>
            </w:pPr>
          </w:p>
          <w:p w14:paraId="5BB7B6E2" w14:textId="2C964EF0" w:rsidR="004E6522" w:rsidRDefault="004E6522">
            <w:pPr>
              <w:pStyle w:val="TableText"/>
            </w:pPr>
            <w:r>
              <w:t>231 (</w:t>
            </w:r>
            <w:r w:rsidR="00E35721">
              <w:t>72</w:t>
            </w:r>
            <w:r>
              <w:t xml:space="preserve"> HMB with</w:t>
            </w:r>
            <w:r w:rsidR="00E35721">
              <w:t>out</w:t>
            </w:r>
            <w:r>
              <w:t xml:space="preserve"> inhibitors)</w:t>
            </w:r>
          </w:p>
        </w:tc>
        <w:tc>
          <w:tcPr>
            <w:tcW w:w="729" w:type="pct"/>
          </w:tcPr>
          <w:p w14:paraId="31EFE873" w14:textId="77777777" w:rsidR="004E6522" w:rsidRDefault="004E6522">
            <w:pPr>
              <w:pStyle w:val="TableText"/>
            </w:pPr>
            <w:r>
              <w:t>MC prospective cohort (non-interventional)</w:t>
            </w:r>
          </w:p>
          <w:p w14:paraId="5BB55047" w14:textId="77777777" w:rsidR="004E6522" w:rsidRDefault="004E6522" w:rsidP="00C344E5">
            <w:pPr>
              <w:pStyle w:val="TableText"/>
              <w:spacing w:before="120"/>
            </w:pPr>
            <w:r>
              <w:t>Moderate</w:t>
            </w:r>
          </w:p>
        </w:tc>
        <w:tc>
          <w:tcPr>
            <w:tcW w:w="962" w:type="pct"/>
          </w:tcPr>
          <w:p w14:paraId="55D59F17" w14:textId="7DD48FA3" w:rsidR="004E6522" w:rsidRDefault="004E6522">
            <w:pPr>
              <w:pStyle w:val="TableText"/>
            </w:pPr>
            <w:r>
              <w:t>Males ≥12 years</w:t>
            </w:r>
            <w:r w:rsidR="00DF3428">
              <w:t xml:space="preserve"> of age</w:t>
            </w:r>
            <w:r>
              <w:t xml:space="preserve"> with s</w:t>
            </w:r>
            <w:r w:rsidRPr="008B0213">
              <w:t xml:space="preserve">evere </w:t>
            </w:r>
            <w:r>
              <w:t>HMA</w:t>
            </w:r>
            <w:r w:rsidR="00DF3428">
              <w:t>,</w:t>
            </w:r>
            <w:r w:rsidRPr="008B0213">
              <w:t xml:space="preserve"> severe/ moderate HMB</w:t>
            </w:r>
            <w:r w:rsidR="00DF3428">
              <w:t>,</w:t>
            </w:r>
            <w:r w:rsidRPr="008B0213">
              <w:t xml:space="preserve"> </w:t>
            </w:r>
            <w:r w:rsidR="00DF3428">
              <w:t xml:space="preserve">or </w:t>
            </w:r>
            <w:r w:rsidR="00DF3428" w:rsidRPr="00943B76">
              <w:t>HMAwI or HMBwI of any severity</w:t>
            </w:r>
          </w:p>
        </w:tc>
        <w:tc>
          <w:tcPr>
            <w:tcW w:w="732" w:type="pct"/>
          </w:tcPr>
          <w:p w14:paraId="7F451363" w14:textId="77777777" w:rsidR="004E6522" w:rsidRDefault="004E6522">
            <w:pPr>
              <w:pStyle w:val="TableText"/>
            </w:pPr>
            <w:r w:rsidRPr="004E542B">
              <w:t>Treatment according to local standard of care (on-demand or prophylaxis)</w:t>
            </w:r>
          </w:p>
        </w:tc>
        <w:tc>
          <w:tcPr>
            <w:tcW w:w="652" w:type="pct"/>
          </w:tcPr>
          <w:p w14:paraId="1805BB99" w14:textId="77777777" w:rsidR="004E6522" w:rsidRDefault="004E6522">
            <w:pPr>
              <w:pStyle w:val="TableText"/>
            </w:pPr>
            <w:r>
              <w:t>N/A</w:t>
            </w:r>
          </w:p>
        </w:tc>
        <w:tc>
          <w:tcPr>
            <w:tcW w:w="559" w:type="pct"/>
          </w:tcPr>
          <w:p w14:paraId="2EFA8F29" w14:textId="77777777" w:rsidR="004E6522" w:rsidRDefault="004E6522">
            <w:pPr>
              <w:pStyle w:val="TableText"/>
            </w:pPr>
            <w:r>
              <w:t>ABR</w:t>
            </w:r>
          </w:p>
          <w:p w14:paraId="5D52E2AC" w14:textId="4DC6EE43" w:rsidR="004E6522" w:rsidRDefault="004E6522">
            <w:pPr>
              <w:pStyle w:val="TableText"/>
            </w:pPr>
            <w:r>
              <w:t>SF-36v2</w:t>
            </w:r>
          </w:p>
        </w:tc>
        <w:tc>
          <w:tcPr>
            <w:tcW w:w="559" w:type="pct"/>
          </w:tcPr>
          <w:p w14:paraId="4FCEC4F6" w14:textId="77777777" w:rsidR="004E6522" w:rsidRDefault="004E6522">
            <w:pPr>
              <w:pStyle w:val="TableText"/>
            </w:pPr>
            <w:r>
              <w:t>Yes</w:t>
            </w:r>
          </w:p>
        </w:tc>
      </w:tr>
      <w:tr w:rsidR="00BF1DB9" w14:paraId="69F67E8C" w14:textId="77777777" w:rsidTr="00C344E5">
        <w:tc>
          <w:tcPr>
            <w:tcW w:w="807" w:type="pct"/>
          </w:tcPr>
          <w:p w14:paraId="708AEE8C" w14:textId="50B676B2" w:rsidR="00ED1F93" w:rsidRDefault="00ED1F93" w:rsidP="00ED1F93">
            <w:pPr>
              <w:pStyle w:val="TableText"/>
            </w:pPr>
            <w:r>
              <w:t>Explorer8</w:t>
            </w:r>
            <w:r>
              <w:rPr>
                <w:rStyle w:val="FootnoteReference"/>
              </w:rPr>
              <w:footnoteReference w:id="5"/>
            </w:r>
          </w:p>
          <w:p w14:paraId="7C70E1E1" w14:textId="6F6150A1" w:rsidR="00ED1F93" w:rsidRDefault="00ED1F93" w:rsidP="00ED1F93">
            <w:pPr>
              <w:pStyle w:val="TableText"/>
              <w:rPr>
                <w:rStyle w:val="padding-left-05"/>
              </w:rPr>
            </w:pPr>
            <w:hyperlink r:id="rId24" w:tooltip="Link to study entry on clinicaltrials.gov" w:history="1">
              <w:r w:rsidRPr="00074B99">
                <w:rPr>
                  <w:rStyle w:val="Hyperlink"/>
                </w:rPr>
                <w:t>NCT04082429</w:t>
              </w:r>
            </w:hyperlink>
          </w:p>
          <w:p w14:paraId="611E8345" w14:textId="235D7A3E" w:rsidR="00BF1DB9" w:rsidRDefault="00BF1DB9" w:rsidP="00ED1F93">
            <w:pPr>
              <w:pStyle w:val="TableText"/>
            </w:pPr>
          </w:p>
          <w:p w14:paraId="4FEB3351" w14:textId="32CF061B" w:rsidR="00E15086" w:rsidRDefault="00F64E40" w:rsidP="00ED1F93">
            <w:pPr>
              <w:pStyle w:val="TableText"/>
            </w:pPr>
            <w:r>
              <w:t>63</w:t>
            </w:r>
            <w:r w:rsidR="00BF1DB9">
              <w:t xml:space="preserve"> </w:t>
            </w:r>
            <w:r w:rsidR="00E15086">
              <w:t>r</w:t>
            </w:r>
            <w:r w:rsidR="00ED1F93" w:rsidRPr="00456898">
              <w:t>andomised</w:t>
            </w:r>
            <w:r w:rsidR="00CC2E2E">
              <w:t>:</w:t>
            </w:r>
          </w:p>
          <w:p w14:paraId="5EEA96DD" w14:textId="3C6E0B81" w:rsidR="00CC2E2E" w:rsidRDefault="00A80515" w:rsidP="00ED1F93">
            <w:pPr>
              <w:pStyle w:val="TableText"/>
            </w:pPr>
            <w:r>
              <w:t xml:space="preserve">Intervention, </w:t>
            </w:r>
            <w:r w:rsidR="003042D0">
              <w:t>42 (HMB</w:t>
            </w:r>
            <w:r w:rsidR="00881556">
              <w:t xml:space="preserve"> = </w:t>
            </w:r>
            <w:r w:rsidR="00DC7377">
              <w:t>24)</w:t>
            </w:r>
          </w:p>
          <w:p w14:paraId="5688E328" w14:textId="31E7A698" w:rsidR="00931475" w:rsidRDefault="00714B80" w:rsidP="00ED1F93">
            <w:pPr>
              <w:pStyle w:val="TableText"/>
            </w:pPr>
            <w:r>
              <w:t>C</w:t>
            </w:r>
            <w:r w:rsidR="00563772">
              <w:t xml:space="preserve">omparator, </w:t>
            </w:r>
            <w:r w:rsidR="00931475">
              <w:t>21 (HMB = 12)</w:t>
            </w:r>
          </w:p>
          <w:p w14:paraId="70BC444C" w14:textId="5EE5C03C" w:rsidR="00ED1F93" w:rsidRDefault="00DD0106" w:rsidP="00E049C9">
            <w:pPr>
              <w:pStyle w:val="TableText"/>
              <w:spacing w:before="120"/>
            </w:pPr>
            <w:r>
              <w:t>85</w:t>
            </w:r>
            <w:r w:rsidR="00E15086">
              <w:t xml:space="preserve"> </w:t>
            </w:r>
            <w:r w:rsidR="00C344E5">
              <w:t xml:space="preserve">(30 HMB) </w:t>
            </w:r>
            <w:r w:rsidR="00E15086">
              <w:t>allocated to concizumab</w:t>
            </w:r>
            <w:r w:rsidR="000E260D">
              <w:t xml:space="preserve"> PPX</w:t>
            </w:r>
          </w:p>
        </w:tc>
        <w:tc>
          <w:tcPr>
            <w:tcW w:w="729" w:type="pct"/>
          </w:tcPr>
          <w:p w14:paraId="13F6A78A" w14:textId="77777777" w:rsidR="00ED1F93" w:rsidRDefault="00ED1F93" w:rsidP="00ED1F93">
            <w:pPr>
              <w:pStyle w:val="TableText"/>
            </w:pPr>
            <w:r>
              <w:t>MC OL RCT</w:t>
            </w:r>
          </w:p>
          <w:p w14:paraId="4F2F9EC6" w14:textId="788626AE" w:rsidR="00ED1F93" w:rsidRDefault="00ED1F93" w:rsidP="00C344E5">
            <w:pPr>
              <w:pStyle w:val="TableText"/>
              <w:spacing w:before="120"/>
            </w:pPr>
            <w:r>
              <w:t>Some concerns</w:t>
            </w:r>
          </w:p>
        </w:tc>
        <w:tc>
          <w:tcPr>
            <w:tcW w:w="962" w:type="pct"/>
          </w:tcPr>
          <w:p w14:paraId="70EB0086" w14:textId="1C4E4E9A" w:rsidR="00ED1F93" w:rsidRDefault="00ED1F93" w:rsidP="00ED1F93">
            <w:pPr>
              <w:pStyle w:val="TableText"/>
            </w:pPr>
            <w:r>
              <w:t xml:space="preserve">Males ≥12 years </w:t>
            </w:r>
            <w:r w:rsidR="00DF3428">
              <w:t xml:space="preserve">of age </w:t>
            </w:r>
            <w:r>
              <w:t>with s</w:t>
            </w:r>
            <w:r w:rsidRPr="008B0213">
              <w:t xml:space="preserve">evere </w:t>
            </w:r>
            <w:r>
              <w:t>HMA</w:t>
            </w:r>
            <w:r w:rsidRPr="008B0213">
              <w:t xml:space="preserve"> or severe/ moderate HMB</w:t>
            </w:r>
            <w:r>
              <w:t xml:space="preserve"> without inhibitors and</w:t>
            </w:r>
            <w:r w:rsidR="00BF1DB9">
              <w:t>,</w:t>
            </w:r>
            <w:r>
              <w:t xml:space="preserve"> </w:t>
            </w:r>
            <w:r w:rsidR="00BF1DB9">
              <w:t xml:space="preserve">unless transferring from </w:t>
            </w:r>
            <w:r w:rsidR="00BF1DB9" w:rsidRPr="000B2BA6">
              <w:t>Explorer5</w:t>
            </w:r>
            <w:r w:rsidR="00BF1DB9">
              <w:t xml:space="preserve">, </w:t>
            </w:r>
            <w:r>
              <w:t xml:space="preserve">with documented clotting factor </w:t>
            </w:r>
            <w:r w:rsidR="00BF1DB9">
              <w:t xml:space="preserve">treatment </w:t>
            </w:r>
            <w:r>
              <w:t>in the 24 weeks before screening</w:t>
            </w:r>
          </w:p>
        </w:tc>
        <w:tc>
          <w:tcPr>
            <w:tcW w:w="732" w:type="pct"/>
          </w:tcPr>
          <w:p w14:paraId="027FFDE2" w14:textId="491E1CD3" w:rsidR="000E260D" w:rsidRDefault="00ED1F93" w:rsidP="00E049C9">
            <w:pPr>
              <w:pStyle w:val="TableText"/>
              <w:spacing w:before="0"/>
            </w:pPr>
            <w:r w:rsidRPr="00CE540D">
              <w:t>Prophylactic treatment with concizumab</w:t>
            </w:r>
          </w:p>
        </w:tc>
        <w:tc>
          <w:tcPr>
            <w:tcW w:w="652" w:type="pct"/>
          </w:tcPr>
          <w:p w14:paraId="033B7B7B" w14:textId="577D4757" w:rsidR="000E260D" w:rsidRDefault="00ED1F93" w:rsidP="00E049C9">
            <w:pPr>
              <w:pStyle w:val="TableText"/>
              <w:spacing w:before="0"/>
            </w:pPr>
            <w:r>
              <w:t>No prophylaxis, on-demand treatment with clotting factor</w:t>
            </w:r>
          </w:p>
        </w:tc>
        <w:tc>
          <w:tcPr>
            <w:tcW w:w="559" w:type="pct"/>
          </w:tcPr>
          <w:p w14:paraId="5E1443A8" w14:textId="77777777" w:rsidR="00ED1F93" w:rsidRPr="00FA67E4" w:rsidRDefault="00ED1F93" w:rsidP="00ED1F93">
            <w:pPr>
              <w:pStyle w:val="TableText"/>
              <w:rPr>
                <w:lang w:val="pt-BR"/>
              </w:rPr>
            </w:pPr>
            <w:r w:rsidRPr="00FA67E4">
              <w:rPr>
                <w:lang w:val="pt-BR"/>
              </w:rPr>
              <w:t>ABR</w:t>
            </w:r>
          </w:p>
          <w:p w14:paraId="4A745C85" w14:textId="77777777" w:rsidR="00ED1F93" w:rsidRPr="00FA67E4" w:rsidRDefault="00ED1F93" w:rsidP="00ED1F93">
            <w:pPr>
              <w:pStyle w:val="TableText"/>
              <w:rPr>
                <w:lang w:val="pt-BR"/>
              </w:rPr>
            </w:pPr>
            <w:r w:rsidRPr="00FA67E4">
              <w:rPr>
                <w:lang w:val="pt-BR"/>
              </w:rPr>
              <w:t>AEs</w:t>
            </w:r>
          </w:p>
          <w:p w14:paraId="6D0E4802" w14:textId="1087605F" w:rsidR="00ED1F93" w:rsidRPr="00FA67E4" w:rsidRDefault="00ED1F93" w:rsidP="00ED1F93">
            <w:pPr>
              <w:pStyle w:val="TableText"/>
              <w:rPr>
                <w:lang w:val="pt-BR"/>
              </w:rPr>
            </w:pPr>
            <w:r w:rsidRPr="00FA67E4">
              <w:rPr>
                <w:lang w:val="pt-BR"/>
              </w:rPr>
              <w:t>SF</w:t>
            </w:r>
            <w:r w:rsidR="00712A7B" w:rsidRPr="00FA67E4">
              <w:rPr>
                <w:lang w:val="pt-BR"/>
              </w:rPr>
              <w:t>-</w:t>
            </w:r>
            <w:r w:rsidRPr="00FA67E4">
              <w:rPr>
                <w:lang w:val="pt-BR"/>
              </w:rPr>
              <w:t>36v2</w:t>
            </w:r>
          </w:p>
          <w:p w14:paraId="4A767848" w14:textId="63BED062" w:rsidR="00ED1F93" w:rsidRPr="00FA67E4" w:rsidRDefault="00ED1F93" w:rsidP="00ED1F93">
            <w:pPr>
              <w:pStyle w:val="TableText"/>
              <w:rPr>
                <w:lang w:val="pt-BR"/>
              </w:rPr>
            </w:pPr>
            <w:r w:rsidRPr="00FA67E4">
              <w:rPr>
                <w:lang w:val="pt-BR"/>
              </w:rPr>
              <w:t>Haem-A-QoL</w:t>
            </w:r>
          </w:p>
        </w:tc>
        <w:tc>
          <w:tcPr>
            <w:tcW w:w="559" w:type="pct"/>
          </w:tcPr>
          <w:p w14:paraId="3DF137CD" w14:textId="4B38A561" w:rsidR="00ED1F93" w:rsidRDefault="00ED1F93" w:rsidP="00ED1F93">
            <w:pPr>
              <w:pStyle w:val="TableText"/>
            </w:pPr>
            <w:r>
              <w:t>Yes</w:t>
            </w:r>
          </w:p>
        </w:tc>
      </w:tr>
    </w:tbl>
    <w:p w14:paraId="6BF69362" w14:textId="4D938805" w:rsidR="00E54796" w:rsidRDefault="00E54796" w:rsidP="001758BD">
      <w:pPr>
        <w:pStyle w:val="Tablenotes0"/>
      </w:pPr>
      <w:bookmarkStart w:id="19" w:name="_Hlk215493368"/>
      <w:r>
        <w:t>ABR = annualised bleed</w:t>
      </w:r>
      <w:r w:rsidR="00E1198F">
        <w:t>ing</w:t>
      </w:r>
      <w:r>
        <w:t xml:space="preserve"> rate; AE = adverse event; BPA = bypassing agent; </w:t>
      </w:r>
      <w:r w:rsidRPr="005A1DF3">
        <w:t xml:space="preserve">Haem-A-QoL = Haemophilia </w:t>
      </w:r>
      <w:r w:rsidR="00E1198F" w:rsidRPr="000A74BC">
        <w:t xml:space="preserve">Quality of Life Questionnaire for </w:t>
      </w:r>
      <w:r w:rsidR="00E1198F">
        <w:t>a</w:t>
      </w:r>
      <w:r w:rsidR="00E1198F" w:rsidRPr="000A74BC">
        <w:t>dults</w:t>
      </w:r>
      <w:r>
        <w:t xml:space="preserve">; </w:t>
      </w:r>
      <w:r>
        <w:rPr>
          <w:rStyle w:val="normaltextrun"/>
          <w:szCs w:val="18"/>
        </w:rPr>
        <w:t xml:space="preserve">HMA = haemophilia A; </w:t>
      </w:r>
      <w:r w:rsidR="008919B4">
        <w:t>;</w:t>
      </w:r>
      <w:r w:rsidR="008919B4" w:rsidRPr="00D10594">
        <w:rPr>
          <w:rStyle w:val="normaltextrun"/>
          <w:szCs w:val="18"/>
        </w:rPr>
        <w:t xml:space="preserve"> </w:t>
      </w:r>
      <w:r w:rsidR="008919B4">
        <w:rPr>
          <w:rStyle w:val="normaltextrun"/>
          <w:szCs w:val="18"/>
        </w:rPr>
        <w:t xml:space="preserve">HMAwI = haemophilia A with inhibitors; </w:t>
      </w:r>
      <w:r>
        <w:rPr>
          <w:rStyle w:val="normaltextrun"/>
          <w:szCs w:val="18"/>
        </w:rPr>
        <w:t xml:space="preserve">HMB = haemophilia B; </w:t>
      </w:r>
      <w:r w:rsidR="008919B4">
        <w:rPr>
          <w:rStyle w:val="normaltextrun"/>
          <w:szCs w:val="18"/>
        </w:rPr>
        <w:t xml:space="preserve">HMBwI = haemophilia B with inhibitors </w:t>
      </w:r>
      <w:r w:rsidRPr="00D365A9">
        <w:t xml:space="preserve">MC = multicentre; </w:t>
      </w:r>
      <w:r>
        <w:t xml:space="preserve">N = number of participants; N/A = not applicable; </w:t>
      </w:r>
      <w:r w:rsidRPr="00D365A9">
        <w:t>OL = open label;</w:t>
      </w:r>
      <w:r w:rsidR="000E260D" w:rsidRPr="000E260D">
        <w:t xml:space="preserve"> PPX = prophylaxis;</w:t>
      </w:r>
      <w:r>
        <w:t xml:space="preserve"> RCT = randomised controlled trial; SF-36v2 = </w:t>
      </w:r>
      <w:r w:rsidR="00E411ED" w:rsidRPr="00C811E8">
        <w:t>36-item Short-Form Health Survey</w:t>
      </w:r>
      <w:r w:rsidR="00E411ED">
        <w:t>,</w:t>
      </w:r>
      <w:r w:rsidR="00E411ED" w:rsidRPr="00C811E8">
        <w:t xml:space="preserve"> </w:t>
      </w:r>
      <w:r w:rsidR="00E411ED">
        <w:t>v</w:t>
      </w:r>
      <w:r w:rsidR="00E411ED" w:rsidRPr="00C811E8">
        <w:t>ersion 2</w:t>
      </w:r>
      <w:r>
        <w:t>.</w:t>
      </w:r>
    </w:p>
    <w:bookmarkEnd w:id="19"/>
    <w:p w14:paraId="02DA477F" w14:textId="39D9EB9A" w:rsidR="00F46A4B" w:rsidRDefault="00F46A4B" w:rsidP="001758BD">
      <w:pPr>
        <w:pStyle w:val="Tablenotes0"/>
      </w:pPr>
      <w:r>
        <w:t xml:space="preserve">Source: adapted from Table </w:t>
      </w:r>
      <w:r w:rsidR="00760ED5">
        <w:t xml:space="preserve">10 </w:t>
      </w:r>
      <w:r>
        <w:t>of MSAC 1805 ADAR + in-line commentary.</w:t>
      </w:r>
    </w:p>
    <w:p w14:paraId="06382138" w14:textId="5710980D" w:rsidR="00016336" w:rsidRDefault="006115F8" w:rsidP="006115F8">
      <w:r>
        <w:t>Explorer8 compared prophylactic treatment with concizumab against on-demand treatment with clotting factors in patients with HMA and HMB with</w:t>
      </w:r>
      <w:r w:rsidR="00166497">
        <w:t>out</w:t>
      </w:r>
      <w:r>
        <w:t xml:space="preserve"> inhibitors. The trial was an open</w:t>
      </w:r>
      <w:r w:rsidR="00D6446A">
        <w:t>-</w:t>
      </w:r>
      <w:r>
        <w:t xml:space="preserve">label RCT conducted across </w:t>
      </w:r>
      <w:r w:rsidR="001E6146">
        <w:t>31</w:t>
      </w:r>
      <w:r>
        <w:t xml:space="preserve"> countries (</w:t>
      </w:r>
      <w:r w:rsidR="00166497">
        <w:t>69</w:t>
      </w:r>
      <w:r>
        <w:t xml:space="preserve"> sites). The trial</w:t>
      </w:r>
      <w:r w:rsidR="00F64365">
        <w:t xml:space="preserve"> design and risk of bias in </w:t>
      </w:r>
      <w:r w:rsidR="0093476E">
        <w:t>E</w:t>
      </w:r>
      <w:r w:rsidR="00F64365">
        <w:t xml:space="preserve">xplorer7 and </w:t>
      </w:r>
      <w:r w:rsidR="00DF3428">
        <w:t>Explorer</w:t>
      </w:r>
      <w:r w:rsidR="00F64365">
        <w:t xml:space="preserve">8 were similar. </w:t>
      </w:r>
      <w:r w:rsidR="00337CD8">
        <w:t xml:space="preserve">Explorer8 </w:t>
      </w:r>
      <w:r>
        <w:t>included 2 randomised arms (1:2 ratio of control to intervention) and 2 non-randomised arms</w:t>
      </w:r>
      <w:r w:rsidR="00337CD8">
        <w:t xml:space="preserve"> </w:t>
      </w:r>
      <w:r w:rsidR="00AB09EC">
        <w:t>(intervention) and</w:t>
      </w:r>
      <w:r w:rsidR="009F6E2B">
        <w:t>, due to the open</w:t>
      </w:r>
      <w:r w:rsidR="00D6446A">
        <w:t>-</w:t>
      </w:r>
      <w:r w:rsidR="009F6E2B">
        <w:t xml:space="preserve">label design, </w:t>
      </w:r>
      <w:r w:rsidR="006F2911">
        <w:t xml:space="preserve">has some concerns </w:t>
      </w:r>
      <w:r w:rsidR="00F05B09">
        <w:t xml:space="preserve">for bias </w:t>
      </w:r>
      <w:r w:rsidR="00016336">
        <w:t xml:space="preserve">in the outcome measurement domain. </w:t>
      </w:r>
    </w:p>
    <w:p w14:paraId="36B41BB4" w14:textId="7F0D3F38" w:rsidR="006115F8" w:rsidRDefault="004E3EBC" w:rsidP="006115F8">
      <w:r>
        <w:t>T</w:t>
      </w:r>
      <w:r w:rsidR="00016336">
        <w:t>he comparator arm i</w:t>
      </w:r>
      <w:r>
        <w:t>n</w:t>
      </w:r>
      <w:r w:rsidR="00016336">
        <w:t xml:space="preserve"> </w:t>
      </w:r>
      <w:r w:rsidR="0093476E">
        <w:t>E</w:t>
      </w:r>
      <w:r w:rsidR="00016336">
        <w:t xml:space="preserve">xplorer8 is no prophylaxis, </w:t>
      </w:r>
      <w:r>
        <w:t xml:space="preserve">however </w:t>
      </w:r>
      <w:r w:rsidR="00553418">
        <w:t>the proposed population for concizumab is patients who require prophylaxis</w:t>
      </w:r>
      <w:r w:rsidR="00901C34">
        <w:t>;</w:t>
      </w:r>
      <w:r w:rsidR="00553418">
        <w:t xml:space="preserve"> therefore</w:t>
      </w:r>
      <w:r w:rsidR="00A3379B">
        <w:t>,</w:t>
      </w:r>
      <w:r w:rsidR="00553418">
        <w:t xml:space="preserve"> th</w:t>
      </w:r>
      <w:r w:rsidR="004546ED">
        <w:t xml:space="preserve">e comparator in the trial has limited applicability to the clinical question and is only relevant for patients who may </w:t>
      </w:r>
      <w:r w:rsidR="00901C34">
        <w:t xml:space="preserve">have </w:t>
      </w:r>
      <w:r w:rsidR="004546ED">
        <w:t xml:space="preserve">refused IV prophylaxis but </w:t>
      </w:r>
      <w:r w:rsidR="00901C34">
        <w:t xml:space="preserve">would </w:t>
      </w:r>
      <w:r w:rsidR="00A101FA">
        <w:t xml:space="preserve">be </w:t>
      </w:r>
      <w:r w:rsidR="00901C34">
        <w:t xml:space="preserve">appropriate for, and </w:t>
      </w:r>
      <w:r w:rsidR="00A101FA">
        <w:t>willing to</w:t>
      </w:r>
      <w:r w:rsidR="00901C34">
        <w:t>,</w:t>
      </w:r>
      <w:r w:rsidR="00A101FA">
        <w:t xml:space="preserve"> commence subcutaneous prophylaxis. This would expand the </w:t>
      </w:r>
      <w:r w:rsidR="00FB1FDA">
        <w:t xml:space="preserve">eligible </w:t>
      </w:r>
      <w:r w:rsidR="00A101FA">
        <w:t>population.</w:t>
      </w:r>
    </w:p>
    <w:p w14:paraId="0625EC25" w14:textId="72A8B4AB" w:rsidR="002B5F76" w:rsidRPr="005C4568" w:rsidRDefault="00FB1FDA" w:rsidP="00BC6222">
      <w:r>
        <w:t xml:space="preserve">For the main comparator, the ADAR </w:t>
      </w:r>
      <w:r w:rsidR="007F23FE">
        <w:t xml:space="preserve">used data from </w:t>
      </w:r>
      <w:r w:rsidR="0093476E">
        <w:t>E</w:t>
      </w:r>
      <w:r w:rsidR="007F23FE">
        <w:t>xplorer6 to conduct a</w:t>
      </w:r>
      <w:r w:rsidR="00200941">
        <w:t>n</w:t>
      </w:r>
      <w:r w:rsidR="007F23FE">
        <w:t xml:space="preserve"> intra-patient analysis comparing concizumab prophylaxis (</w:t>
      </w:r>
      <w:r w:rsidR="0093476E">
        <w:t>E</w:t>
      </w:r>
      <w:r w:rsidR="007F23FE">
        <w:t xml:space="preserve">xplorer7 data) with </w:t>
      </w:r>
      <w:r w:rsidR="00200941">
        <w:t>previous FIX</w:t>
      </w:r>
      <w:r w:rsidR="007F23FE">
        <w:t xml:space="preserve"> prophylaxis (</w:t>
      </w:r>
      <w:r w:rsidR="0093476E">
        <w:t>E</w:t>
      </w:r>
      <w:r w:rsidR="007F23FE">
        <w:t>xplorer6</w:t>
      </w:r>
      <w:r w:rsidR="007B27DF">
        <w:t>)</w:t>
      </w:r>
      <w:r w:rsidR="006F1CF5">
        <w:t>. The analysis included 22</w:t>
      </w:r>
      <w:r w:rsidR="00D42B1F">
        <w:t xml:space="preserve"> patients with</w:t>
      </w:r>
      <w:r w:rsidR="006F1CF5">
        <w:t xml:space="preserve"> HMB </w:t>
      </w:r>
      <w:r w:rsidR="00ED3DA0">
        <w:t>with a 3-week wash-out period between trials</w:t>
      </w:r>
      <w:r w:rsidR="00104DEE">
        <w:t xml:space="preserve"> (</w:t>
      </w:r>
      <w:r w:rsidR="00104DEE">
        <w:fldChar w:fldCharType="begin"/>
      </w:r>
      <w:r w:rsidR="00104DEE">
        <w:instrText xml:space="preserve"> REF _Ref214539458 \h </w:instrText>
      </w:r>
      <w:r w:rsidR="00104DEE">
        <w:fldChar w:fldCharType="separate"/>
      </w:r>
      <w:r w:rsidR="00CD3B0F">
        <w:t>Table</w:t>
      </w:r>
      <w:r w:rsidR="00567A5A">
        <w:t> </w:t>
      </w:r>
      <w:r w:rsidR="00CD3B0F">
        <w:rPr>
          <w:noProof/>
        </w:rPr>
        <w:t>5</w:t>
      </w:r>
      <w:r w:rsidR="00104DEE">
        <w:fldChar w:fldCharType="end"/>
      </w:r>
      <w:r w:rsidR="00104DEE">
        <w:t>)</w:t>
      </w:r>
      <w:r w:rsidR="00ED3DA0">
        <w:t>.</w:t>
      </w:r>
    </w:p>
    <w:p w14:paraId="47168BF8" w14:textId="6EA5ED5F" w:rsidR="00CA4CD1" w:rsidRDefault="00CA4CD1" w:rsidP="00CA4CD1">
      <w:pPr>
        <w:pStyle w:val="Caption"/>
      </w:pPr>
      <w:bookmarkStart w:id="20" w:name="_Ref214539458"/>
      <w:r>
        <w:t xml:space="preserve">Table </w:t>
      </w:r>
      <w:r>
        <w:fldChar w:fldCharType="begin"/>
      </w:r>
      <w:r>
        <w:instrText>SEQ Table \* ARABIC</w:instrText>
      </w:r>
      <w:r>
        <w:fldChar w:fldCharType="separate"/>
      </w:r>
      <w:r w:rsidR="00CD3B0F">
        <w:rPr>
          <w:noProof/>
        </w:rPr>
        <w:t>5</w:t>
      </w:r>
      <w:r>
        <w:fldChar w:fldCharType="end"/>
      </w:r>
      <w:bookmarkEnd w:id="20"/>
      <w:r>
        <w:tab/>
        <w:t>Summary of evidence base for each comparison in the HMB population</w:t>
      </w:r>
    </w:p>
    <w:tbl>
      <w:tblPr>
        <w:tblStyle w:val="TableGrid"/>
        <w:tblW w:w="0" w:type="auto"/>
        <w:tblLook w:val="04A0" w:firstRow="1" w:lastRow="0" w:firstColumn="1" w:lastColumn="0" w:noHBand="0" w:noVBand="1"/>
        <w:tblCaption w:val="Summary of evidence base for each comparison in the HMB population"/>
        <w:tblDescription w:val="Summary of evidence base for each comparison in the HMB population"/>
      </w:tblPr>
      <w:tblGrid>
        <w:gridCol w:w="1696"/>
        <w:gridCol w:w="2440"/>
        <w:gridCol w:w="2440"/>
        <w:gridCol w:w="2440"/>
      </w:tblGrid>
      <w:tr w:rsidR="00D53638" w14:paraId="2EC0508B" w14:textId="77777777" w:rsidTr="00901C34">
        <w:trPr>
          <w:tblHeader/>
        </w:trPr>
        <w:tc>
          <w:tcPr>
            <w:tcW w:w="1696" w:type="dxa"/>
          </w:tcPr>
          <w:p w14:paraId="461EA55D" w14:textId="77777777" w:rsidR="00D53638" w:rsidRDefault="00D53638">
            <w:pPr>
              <w:pStyle w:val="TableHeading0"/>
            </w:pPr>
          </w:p>
        </w:tc>
        <w:tc>
          <w:tcPr>
            <w:tcW w:w="2440" w:type="dxa"/>
          </w:tcPr>
          <w:p w14:paraId="20BAC079" w14:textId="1524F094" w:rsidR="00D53638" w:rsidRDefault="00D53638">
            <w:pPr>
              <w:pStyle w:val="TableHeading0"/>
            </w:pPr>
            <w:r>
              <w:t xml:space="preserve">Primary comparison </w:t>
            </w:r>
            <w:r w:rsidR="00E94150">
              <w:t>–</w:t>
            </w:r>
            <w:r>
              <w:t xml:space="preserve"> effectiveness</w:t>
            </w:r>
            <w:r w:rsidR="00E94150">
              <w:t xml:space="preserve"> </w:t>
            </w:r>
          </w:p>
        </w:tc>
        <w:tc>
          <w:tcPr>
            <w:tcW w:w="2440" w:type="dxa"/>
          </w:tcPr>
          <w:p w14:paraId="377693B6" w14:textId="05E9362A" w:rsidR="00D53638" w:rsidRDefault="00D53638">
            <w:pPr>
              <w:pStyle w:val="TableHeading0"/>
            </w:pPr>
            <w:r>
              <w:t xml:space="preserve">Secondary comparison </w:t>
            </w:r>
            <w:r w:rsidR="00E94150">
              <w:t>–</w:t>
            </w:r>
            <w:r>
              <w:t xml:space="preserve"> effectiveness</w:t>
            </w:r>
            <w:r w:rsidR="00E94150">
              <w:t xml:space="preserve"> </w:t>
            </w:r>
          </w:p>
        </w:tc>
        <w:tc>
          <w:tcPr>
            <w:tcW w:w="2440" w:type="dxa"/>
          </w:tcPr>
          <w:p w14:paraId="5B0D77F8" w14:textId="1356B83B" w:rsidR="00D53638" w:rsidRDefault="00D53638">
            <w:pPr>
              <w:pStyle w:val="TableHeading0"/>
            </w:pPr>
            <w:r>
              <w:t>Safety</w:t>
            </w:r>
          </w:p>
        </w:tc>
      </w:tr>
      <w:tr w:rsidR="00D53638" w14:paraId="2864D478" w14:textId="77777777" w:rsidTr="00901C34">
        <w:tc>
          <w:tcPr>
            <w:tcW w:w="1696" w:type="dxa"/>
          </w:tcPr>
          <w:p w14:paraId="05F9615D" w14:textId="77777777" w:rsidR="00D53638" w:rsidRDefault="00D53638">
            <w:pPr>
              <w:pStyle w:val="TableHeading0"/>
            </w:pPr>
            <w:r>
              <w:t>Comparator</w:t>
            </w:r>
          </w:p>
        </w:tc>
        <w:tc>
          <w:tcPr>
            <w:tcW w:w="2440" w:type="dxa"/>
          </w:tcPr>
          <w:p w14:paraId="4B18D446" w14:textId="606D83CF" w:rsidR="00D53638" w:rsidRDefault="00B5079D">
            <w:pPr>
              <w:pStyle w:val="TableText"/>
            </w:pPr>
            <w:r>
              <w:t>FIX</w:t>
            </w:r>
            <w:r w:rsidR="00D53638">
              <w:t xml:space="preserve"> prophylaxis</w:t>
            </w:r>
          </w:p>
        </w:tc>
        <w:tc>
          <w:tcPr>
            <w:tcW w:w="2440" w:type="dxa"/>
          </w:tcPr>
          <w:p w14:paraId="129450B5" w14:textId="23A0DA79" w:rsidR="00D53638" w:rsidRDefault="00D53638">
            <w:pPr>
              <w:pStyle w:val="TableText"/>
            </w:pPr>
            <w:r>
              <w:t xml:space="preserve">On-demand </w:t>
            </w:r>
            <w:r w:rsidR="00B5079D">
              <w:t>FIX</w:t>
            </w:r>
          </w:p>
        </w:tc>
        <w:tc>
          <w:tcPr>
            <w:tcW w:w="2440" w:type="dxa"/>
          </w:tcPr>
          <w:p w14:paraId="5EE8E9F9" w14:textId="5C5AA96E" w:rsidR="00D53638" w:rsidRDefault="00F30B4A">
            <w:pPr>
              <w:pStyle w:val="TableText"/>
            </w:pPr>
            <w:r>
              <w:t>FIX prophylaxis</w:t>
            </w:r>
          </w:p>
        </w:tc>
      </w:tr>
      <w:tr w:rsidR="00D53638" w14:paraId="0023B6EA" w14:textId="77777777" w:rsidTr="00901C34">
        <w:tc>
          <w:tcPr>
            <w:tcW w:w="1696" w:type="dxa"/>
          </w:tcPr>
          <w:p w14:paraId="3F37BF5C" w14:textId="77777777" w:rsidR="00D53638" w:rsidRDefault="00D53638">
            <w:pPr>
              <w:pStyle w:val="TableHeading0"/>
            </w:pPr>
            <w:r>
              <w:t>Evidence base</w:t>
            </w:r>
          </w:p>
        </w:tc>
        <w:tc>
          <w:tcPr>
            <w:tcW w:w="2440" w:type="dxa"/>
          </w:tcPr>
          <w:p w14:paraId="58B4F600" w14:textId="2DCE6A5A" w:rsidR="00D53638" w:rsidRDefault="00D53638">
            <w:pPr>
              <w:pStyle w:val="TableText"/>
            </w:pPr>
            <w:r>
              <w:t xml:space="preserve">Interrupted time-series of patients enrolled in </w:t>
            </w:r>
            <w:r w:rsidR="00F851B1">
              <w:t>E</w:t>
            </w:r>
            <w:r>
              <w:t>xplorer6 (</w:t>
            </w:r>
            <w:r w:rsidR="00D86D16">
              <w:t>FIX</w:t>
            </w:r>
            <w:r>
              <w:t xml:space="preserve"> prophylaxis) followed by </w:t>
            </w:r>
            <w:r w:rsidR="00DF3428">
              <w:t>E</w:t>
            </w:r>
            <w:r>
              <w:t>xplorer</w:t>
            </w:r>
            <w:r w:rsidR="00D86D16">
              <w:t>8</w:t>
            </w:r>
            <w:r>
              <w:t xml:space="preserve"> (concizumab)</w:t>
            </w:r>
          </w:p>
        </w:tc>
        <w:tc>
          <w:tcPr>
            <w:tcW w:w="2440" w:type="dxa"/>
          </w:tcPr>
          <w:p w14:paraId="314E4614" w14:textId="2662F5FA" w:rsidR="00D53638" w:rsidRDefault="00D53638">
            <w:pPr>
              <w:pStyle w:val="TableText"/>
            </w:pPr>
            <w:r>
              <w:t>Open</w:t>
            </w:r>
            <w:r w:rsidR="00D6446A">
              <w:t>-</w:t>
            </w:r>
            <w:r>
              <w:t>label RCT (</w:t>
            </w:r>
            <w:r w:rsidR="00F851B1">
              <w:t>E</w:t>
            </w:r>
            <w:r>
              <w:t>xplorer</w:t>
            </w:r>
            <w:r w:rsidR="00D86D16">
              <w:t>8</w:t>
            </w:r>
            <w:r>
              <w:t>) – Arm 1 (on</w:t>
            </w:r>
            <w:r w:rsidR="00CB4519">
              <w:t>-</w:t>
            </w:r>
            <w:r>
              <w:t xml:space="preserve">demand </w:t>
            </w:r>
            <w:r w:rsidR="00D86D16">
              <w:t>FIX</w:t>
            </w:r>
            <w:r>
              <w:t>) and Arm 2 (concizumab)</w:t>
            </w:r>
          </w:p>
        </w:tc>
        <w:tc>
          <w:tcPr>
            <w:tcW w:w="2440" w:type="dxa"/>
          </w:tcPr>
          <w:p w14:paraId="22E32C35" w14:textId="6FE988B2" w:rsidR="00D53638" w:rsidRDefault="00D53638">
            <w:pPr>
              <w:pStyle w:val="TableText"/>
            </w:pPr>
            <w:r>
              <w:t>Open</w:t>
            </w:r>
            <w:r w:rsidR="00D6446A">
              <w:t>-</w:t>
            </w:r>
            <w:r>
              <w:t>label RCT including non-randomised arms and patients who crossed over from Arm 1 (</w:t>
            </w:r>
            <w:r w:rsidR="00F851B1">
              <w:t>E</w:t>
            </w:r>
            <w:r>
              <w:t>xplorer</w:t>
            </w:r>
            <w:r w:rsidR="002179D8">
              <w:t>8</w:t>
            </w:r>
            <w:r>
              <w:t>) – no comparator</w:t>
            </w:r>
          </w:p>
        </w:tc>
      </w:tr>
      <w:tr w:rsidR="00D53638" w14:paraId="31534A46" w14:textId="77777777" w:rsidTr="00901C34">
        <w:tc>
          <w:tcPr>
            <w:tcW w:w="1696" w:type="dxa"/>
          </w:tcPr>
          <w:p w14:paraId="73934F5C" w14:textId="51E3E892" w:rsidR="00D53638" w:rsidRDefault="00A73FF1">
            <w:pPr>
              <w:pStyle w:val="TableHeading0"/>
            </w:pPr>
            <w:r>
              <w:t>Participants</w:t>
            </w:r>
            <w:r w:rsidR="00D53638">
              <w:t xml:space="preserve"> in analysis</w:t>
            </w:r>
            <w:r>
              <w:t xml:space="preserve"> (n)</w:t>
            </w:r>
          </w:p>
        </w:tc>
        <w:tc>
          <w:tcPr>
            <w:tcW w:w="2440" w:type="dxa"/>
          </w:tcPr>
          <w:p w14:paraId="1B9741B9" w14:textId="77777777" w:rsidR="00D53638" w:rsidRDefault="00D86D16">
            <w:pPr>
              <w:pStyle w:val="TableText"/>
            </w:pPr>
            <w:r>
              <w:t>22</w:t>
            </w:r>
          </w:p>
          <w:p w14:paraId="75586133" w14:textId="4E351401" w:rsidR="00D530E7" w:rsidRDefault="00D530E7">
            <w:pPr>
              <w:pStyle w:val="TableText"/>
            </w:pPr>
            <w:r>
              <w:t>(all HMB)</w:t>
            </w:r>
          </w:p>
        </w:tc>
        <w:tc>
          <w:tcPr>
            <w:tcW w:w="2440" w:type="dxa"/>
          </w:tcPr>
          <w:p w14:paraId="5150FEE1" w14:textId="77777777" w:rsidR="00D53638" w:rsidRDefault="00D87BCA">
            <w:pPr>
              <w:pStyle w:val="TableText"/>
            </w:pPr>
            <w:r>
              <w:t>36</w:t>
            </w:r>
          </w:p>
          <w:p w14:paraId="5A95C734" w14:textId="1C5344BE" w:rsidR="00D530E7" w:rsidRDefault="00D530E7">
            <w:pPr>
              <w:pStyle w:val="TableText"/>
            </w:pPr>
            <w:r>
              <w:t>(all HMB)</w:t>
            </w:r>
          </w:p>
        </w:tc>
        <w:tc>
          <w:tcPr>
            <w:tcW w:w="2440" w:type="dxa"/>
          </w:tcPr>
          <w:p w14:paraId="385256B8" w14:textId="77777777" w:rsidR="00D53638" w:rsidRDefault="004A5B1F">
            <w:pPr>
              <w:pStyle w:val="TableText"/>
            </w:pPr>
            <w:r>
              <w:t>151</w:t>
            </w:r>
          </w:p>
          <w:p w14:paraId="3F080276" w14:textId="497EF5C1" w:rsidR="00A73FF1" w:rsidRDefault="00A73FF1">
            <w:pPr>
              <w:pStyle w:val="TableText"/>
            </w:pPr>
            <w:r>
              <w:t>(</w:t>
            </w:r>
            <w:r w:rsidR="00CE56CA">
              <w:t>HMA/</w:t>
            </w:r>
            <w:r>
              <w:t>HMB)</w:t>
            </w:r>
          </w:p>
        </w:tc>
      </w:tr>
    </w:tbl>
    <w:p w14:paraId="6B2D523F" w14:textId="75D6538A" w:rsidR="00106B50" w:rsidRDefault="004A5B1F" w:rsidP="00E32152">
      <w:pPr>
        <w:pStyle w:val="Tablenotes0"/>
      </w:pPr>
      <w:bookmarkStart w:id="21" w:name="_Hlk215493381"/>
      <w:r w:rsidRPr="004A5B1F">
        <w:t xml:space="preserve">BPA = bypassing agent; </w:t>
      </w:r>
      <w:r w:rsidR="00901C34" w:rsidRPr="00901C34">
        <w:t xml:space="preserve">FIX = Factor IX; </w:t>
      </w:r>
      <w:r w:rsidRPr="004A5B1F">
        <w:t>HMA = haemophilia A; HM</w:t>
      </w:r>
      <w:r w:rsidR="006F7618">
        <w:t>B</w:t>
      </w:r>
      <w:r w:rsidRPr="004A5B1F">
        <w:t xml:space="preserve"> = haemophilia B; RCT = randomised controlled trial.</w:t>
      </w:r>
    </w:p>
    <w:p w14:paraId="3E7CC6CB" w14:textId="4FBC2A33" w:rsidR="00F46A4B" w:rsidRDefault="00F46A4B" w:rsidP="00E32152">
      <w:pPr>
        <w:pStyle w:val="Tablenotes0"/>
      </w:pPr>
      <w:r>
        <w:t>Source: adapted from Table 1</w:t>
      </w:r>
      <w:r w:rsidR="00BA22AD">
        <w:t>1</w:t>
      </w:r>
      <w:r>
        <w:t xml:space="preserve"> of MSAC 1805 ADAR + in-line commentary</w:t>
      </w:r>
      <w:bookmarkEnd w:id="21"/>
      <w:r>
        <w:t>.</w:t>
      </w:r>
    </w:p>
    <w:p w14:paraId="347D5789" w14:textId="2D7BD085" w:rsidR="00D7670C" w:rsidRDefault="00D7670C" w:rsidP="00D7670C">
      <w:r w:rsidRPr="00D7670C">
        <w:t xml:space="preserve">Although the Explorer6, </w:t>
      </w:r>
      <w:r w:rsidR="00DF3428">
        <w:t>Explorer</w:t>
      </w:r>
      <w:r w:rsidRPr="00D7670C">
        <w:t xml:space="preserve">7 and </w:t>
      </w:r>
      <w:r w:rsidR="00DF3428">
        <w:t>Explorer</w:t>
      </w:r>
      <w:r w:rsidRPr="00D7670C">
        <w:t>8 trials are directly applicable, details of the comparator treatments</w:t>
      </w:r>
      <w:r w:rsidR="001F5BAC">
        <w:t xml:space="preserve"> (</w:t>
      </w:r>
      <w:r w:rsidR="005F173D">
        <w:t>treatment type, dose, frequency</w:t>
      </w:r>
      <w:r w:rsidR="00A325EE">
        <w:t>,</w:t>
      </w:r>
      <w:r w:rsidR="005F173D">
        <w:t xml:space="preserve"> etc.)</w:t>
      </w:r>
      <w:r w:rsidRPr="00D7670C">
        <w:t xml:space="preserve"> were not provided</w:t>
      </w:r>
      <w:r w:rsidR="00A73FF1">
        <w:t xml:space="preserve"> in the ADAR</w:t>
      </w:r>
      <w:r w:rsidRPr="00D7670C">
        <w:t>. The trials were conducted across many sites in multiple countries. Therefore, there is likely to be variability in current ‘standard of care’ across the trials and it may not be consistent with that in Australia.</w:t>
      </w:r>
    </w:p>
    <w:p w14:paraId="0538F29C" w14:textId="21CB20CB" w:rsidR="00211539" w:rsidRPr="00106B50" w:rsidRDefault="00211539" w:rsidP="00D7670C">
      <w:r>
        <w:t xml:space="preserve">The </w:t>
      </w:r>
      <w:r w:rsidR="002D0423">
        <w:t xml:space="preserve">ADAR did </w:t>
      </w:r>
      <w:r w:rsidR="002D0423" w:rsidRPr="002D0423">
        <w:t xml:space="preserve">not present data for all the outcomes listed in the PICO confirmation (responder status, other bleeding outcomes, individual bleed rate compared to historical bleed rate, perioperative use of therapy and outcomes, joint health outcomes, number of days or missed work/activity/school).  </w:t>
      </w:r>
    </w:p>
    <w:p w14:paraId="3B9FC2AD" w14:textId="206071BA" w:rsidR="00772829" w:rsidRDefault="00772829" w:rsidP="00F1192D">
      <w:pPr>
        <w:pStyle w:val="Heading2"/>
        <w:numPr>
          <w:ilvl w:val="0"/>
          <w:numId w:val="31"/>
        </w:numPr>
        <w:ind w:left="709" w:hanging="709"/>
      </w:pPr>
      <w:bookmarkStart w:id="22" w:name="_Toc69491423"/>
      <w:r w:rsidRPr="00CE28E3">
        <w:t>Comparative safety</w:t>
      </w:r>
      <w:bookmarkEnd w:id="22"/>
    </w:p>
    <w:p w14:paraId="213954A5" w14:textId="425E4ABE" w:rsidR="00AF77F8" w:rsidRDefault="001F5C59" w:rsidP="00671317">
      <w:r>
        <w:t>The ADAR reported safety outcomes</w:t>
      </w:r>
      <w:r w:rsidR="00D64ACE">
        <w:t xml:space="preserve"> from the </w:t>
      </w:r>
      <w:r w:rsidR="00D11D0D">
        <w:t xml:space="preserve">interventional arms of </w:t>
      </w:r>
      <w:r w:rsidR="008425B1">
        <w:t>E</w:t>
      </w:r>
      <w:r w:rsidR="00D64ACE">
        <w:t xml:space="preserve">xplorer7 and </w:t>
      </w:r>
      <w:r w:rsidR="008425B1">
        <w:t>E</w:t>
      </w:r>
      <w:r w:rsidR="00D64ACE">
        <w:t>xplorer8 trials</w:t>
      </w:r>
      <w:r w:rsidR="0069040D">
        <w:t xml:space="preserve"> only</w:t>
      </w:r>
      <w:r>
        <w:t>.</w:t>
      </w:r>
      <w:r w:rsidR="009408D3">
        <w:t xml:space="preserve"> </w:t>
      </w:r>
      <w:r w:rsidR="003737E2">
        <w:t>Although b</w:t>
      </w:r>
      <w:r w:rsidR="009408D3">
        <w:t>oth trials have very small comparator arms</w:t>
      </w:r>
      <w:r w:rsidR="001132A6">
        <w:t xml:space="preserve"> </w:t>
      </w:r>
      <w:r w:rsidR="003047C4">
        <w:t>th</w:t>
      </w:r>
      <w:r w:rsidR="003737E2">
        <w:t>e ADAR did not present this data</w:t>
      </w:r>
      <w:r w:rsidR="009066E3">
        <w:t xml:space="preserve"> and</w:t>
      </w:r>
      <w:r w:rsidR="003047C4">
        <w:t xml:space="preserve"> the commentary considered </w:t>
      </w:r>
      <w:r w:rsidR="009066E3">
        <w:t xml:space="preserve">they would be </w:t>
      </w:r>
      <w:r w:rsidR="003047C4">
        <w:t>insufficient for the assessment of comparative safety</w:t>
      </w:r>
      <w:r w:rsidR="004310EA">
        <w:t>.</w:t>
      </w:r>
      <w:r w:rsidR="00FC4962">
        <w:t xml:space="preserve"> However, the commentary note</w:t>
      </w:r>
      <w:r w:rsidR="00CC32C7">
        <w:t>d</w:t>
      </w:r>
      <w:r w:rsidR="00FC4962">
        <w:t xml:space="preserve"> </w:t>
      </w:r>
      <w:r w:rsidR="003F1BD4">
        <w:t xml:space="preserve">that </w:t>
      </w:r>
      <w:r w:rsidR="0052694F">
        <w:t>i</w:t>
      </w:r>
      <w:r w:rsidR="00FC4962" w:rsidRPr="00FC4962">
        <w:t>n a population with severe haemophilia, bleeds tend to lead to the most serious adverse outcomes and therefore the ABR</w:t>
      </w:r>
      <w:r w:rsidR="00A73FF1">
        <w:t>,</w:t>
      </w:r>
      <w:r w:rsidR="00FC4962" w:rsidRPr="00FC4962">
        <w:t xml:space="preserve"> which is the primary effectiveness outcome</w:t>
      </w:r>
      <w:r w:rsidR="00A73FF1">
        <w:t>,</w:t>
      </w:r>
      <w:r w:rsidR="00FC4962" w:rsidRPr="00FC4962">
        <w:t xml:space="preserve"> also captures comparative safety to some extent.</w:t>
      </w:r>
    </w:p>
    <w:p w14:paraId="66D62A61" w14:textId="107A75A9" w:rsidR="00944A9D" w:rsidRDefault="00810743" w:rsidP="00C43F59">
      <w:pPr>
        <w:ind w:left="60"/>
      </w:pPr>
      <w:r>
        <w:t xml:space="preserve">The most common </w:t>
      </w:r>
      <w:r w:rsidR="00BE638C">
        <w:t>adver</w:t>
      </w:r>
      <w:r w:rsidR="00323BAE">
        <w:t>se events (</w:t>
      </w:r>
      <w:r>
        <w:t>AEs</w:t>
      </w:r>
      <w:r w:rsidR="00323BAE">
        <w:t>)</w:t>
      </w:r>
      <w:r>
        <w:t xml:space="preserve"> reported in the trial</w:t>
      </w:r>
      <w:r w:rsidR="000620EA">
        <w:t>s</w:t>
      </w:r>
      <w:r>
        <w:t xml:space="preserve"> as </w:t>
      </w:r>
      <w:r w:rsidR="002B3C9E">
        <w:t>possibly or probably related to concizumab were injection</w:t>
      </w:r>
      <w:r w:rsidR="00A370A1">
        <w:t>-</w:t>
      </w:r>
      <w:r w:rsidR="002B3C9E">
        <w:t xml:space="preserve">site reactions </w:t>
      </w:r>
      <w:r w:rsidR="00342ABA">
        <w:t>(</w:t>
      </w:r>
      <w:r w:rsidR="00AC67BE">
        <w:t xml:space="preserve">48 events in 26 patients (20.5%) in </w:t>
      </w:r>
      <w:r w:rsidR="00F851B1">
        <w:t>E</w:t>
      </w:r>
      <w:r w:rsidR="00AC67BE">
        <w:t xml:space="preserve">xplorer7, </w:t>
      </w:r>
      <w:r w:rsidR="007C6134">
        <w:t>40</w:t>
      </w:r>
      <w:r w:rsidR="00567A5A">
        <w:t> </w:t>
      </w:r>
      <w:r w:rsidR="007C6134">
        <w:t xml:space="preserve">events in 23 patients (15.2%) in </w:t>
      </w:r>
      <w:r w:rsidR="00F851B1">
        <w:t>E</w:t>
      </w:r>
      <w:r w:rsidR="007C6134">
        <w:t>xplorer8)</w:t>
      </w:r>
      <w:r w:rsidR="008D0461">
        <w:t>.</w:t>
      </w:r>
      <w:r w:rsidR="007C6134">
        <w:t xml:space="preserve"> These were all mild, </w:t>
      </w:r>
      <w:r w:rsidR="00C43F59">
        <w:t xml:space="preserve">although in 1 patient </w:t>
      </w:r>
      <w:r w:rsidR="00944A9D">
        <w:t>injection</w:t>
      </w:r>
      <w:r w:rsidR="00CF1DBA">
        <w:t>-</w:t>
      </w:r>
      <w:r w:rsidR="00944A9D">
        <w:t>site pain</w:t>
      </w:r>
      <w:r w:rsidR="00C43F59">
        <w:t xml:space="preserve"> led to permanent discontinuation of concizumab.</w:t>
      </w:r>
      <w:r w:rsidR="00944A9D">
        <w:t xml:space="preserve"> </w:t>
      </w:r>
    </w:p>
    <w:p w14:paraId="37D9599E" w14:textId="5F3B75B3" w:rsidR="00671317" w:rsidRDefault="00C43F59" w:rsidP="00C43F59">
      <w:pPr>
        <w:ind w:left="60"/>
      </w:pPr>
      <w:r>
        <w:t>Two</w:t>
      </w:r>
      <w:r w:rsidR="007C6134">
        <w:t xml:space="preserve"> patients</w:t>
      </w:r>
      <w:r w:rsidR="003911D8">
        <w:t xml:space="preserve"> (1.6%)</w:t>
      </w:r>
      <w:r w:rsidR="007C6134">
        <w:t xml:space="preserve"> in </w:t>
      </w:r>
      <w:r w:rsidR="00F851B1">
        <w:t>E</w:t>
      </w:r>
      <w:r w:rsidR="007C6134">
        <w:t xml:space="preserve">xplorer7 </w:t>
      </w:r>
      <w:r w:rsidR="00C0237E">
        <w:t xml:space="preserve">had hypersensitivity reactions (1 </w:t>
      </w:r>
      <w:r w:rsidR="003911D8">
        <w:t>non-serious</w:t>
      </w:r>
      <w:r w:rsidR="00C0237E">
        <w:t>, 1 se</w:t>
      </w:r>
      <w:r w:rsidR="003911D8">
        <w:t>rious)</w:t>
      </w:r>
      <w:r w:rsidR="001F5C59">
        <w:t xml:space="preserve"> </w:t>
      </w:r>
      <w:r w:rsidR="003911D8">
        <w:t xml:space="preserve">that led to permanent discontinuation of concizumab. The patient with </w:t>
      </w:r>
      <w:r w:rsidR="00541056">
        <w:t xml:space="preserve">a serious hypersensitivity reaction was also reported to have a history of hypersensitivity to FIX. </w:t>
      </w:r>
    </w:p>
    <w:p w14:paraId="1A5F2560" w14:textId="5DA3301C" w:rsidR="00D926C2" w:rsidRDefault="000222AD" w:rsidP="00961A7E">
      <w:pPr>
        <w:ind w:left="60"/>
      </w:pPr>
      <w:r>
        <w:t>The AEs of hypersensitivity and injection</w:t>
      </w:r>
      <w:r w:rsidR="00A370A1">
        <w:t>-</w:t>
      </w:r>
      <w:r>
        <w:t>site reaction are expected to be specific to concizumab</w:t>
      </w:r>
      <w:r w:rsidR="00F646AA">
        <w:t xml:space="preserve"> and its subcutaneous </w:t>
      </w:r>
      <w:r w:rsidR="00484E5B">
        <w:t>administration</w:t>
      </w:r>
      <w:r>
        <w:t xml:space="preserve">. AEs that are specific to FIX or BPA’s, </w:t>
      </w:r>
      <w:r w:rsidR="00F646AA">
        <w:t>which</w:t>
      </w:r>
      <w:r>
        <w:t xml:space="preserve"> require IV infusion, are not captured in the ADAR.</w:t>
      </w:r>
    </w:p>
    <w:p w14:paraId="66C23577" w14:textId="6068F7CC" w:rsidR="008962E9" w:rsidRDefault="00E2470A" w:rsidP="00C43F59">
      <w:pPr>
        <w:ind w:left="60"/>
      </w:pPr>
      <w:r>
        <w:t xml:space="preserve">AEs leading to treatment discontinuation occurred in </w:t>
      </w:r>
      <w:r w:rsidR="00735D7E">
        <w:t xml:space="preserve">6 </w:t>
      </w:r>
      <w:r>
        <w:t>partici</w:t>
      </w:r>
      <w:r w:rsidR="001368ED">
        <w:t xml:space="preserve">pants (4.0% with 8 AEs) </w:t>
      </w:r>
      <w:r w:rsidR="001868B8">
        <w:t xml:space="preserve">with HMA/HMB and </w:t>
      </w:r>
      <w:r w:rsidR="008C3159">
        <w:t>4 participants (</w:t>
      </w:r>
      <w:r w:rsidR="000B609C">
        <w:t>3.</w:t>
      </w:r>
      <w:r w:rsidR="00FA531C">
        <w:t>1</w:t>
      </w:r>
      <w:r w:rsidR="008C3159">
        <w:t>% with 4 AEs) with HM</w:t>
      </w:r>
      <w:r w:rsidR="00AF71EE">
        <w:t>AwI/HMBwI.</w:t>
      </w:r>
      <w:r w:rsidR="001368ED">
        <w:t xml:space="preserve"> </w:t>
      </w:r>
      <w:r w:rsidR="009E61DB">
        <w:t xml:space="preserve">Serious AEs (SAEs) </w:t>
      </w:r>
      <w:r w:rsidR="00E25DE5">
        <w:t xml:space="preserve">occurred in 14 participants (9.3% with 22 SAEs) with HMA/HMB and </w:t>
      </w:r>
      <w:r w:rsidR="00BC3DEC">
        <w:t>14 participants (11% with 18 SAEs) with HMBwI/HMAwI.</w:t>
      </w:r>
    </w:p>
    <w:p w14:paraId="4FED606F" w14:textId="0B56AF6E" w:rsidR="00F646AA" w:rsidRDefault="00A464E4" w:rsidP="00A464E4">
      <w:pPr>
        <w:pStyle w:val="Heading4"/>
      </w:pPr>
      <w:r>
        <w:t>Trial pause – thrombosis</w:t>
      </w:r>
    </w:p>
    <w:p w14:paraId="6564C227" w14:textId="4482A6F6" w:rsidR="00A464E4" w:rsidRDefault="00CB3AA8" w:rsidP="00A464E4">
      <w:r>
        <w:t xml:space="preserve">Both the </w:t>
      </w:r>
      <w:r w:rsidR="00F851B1">
        <w:t>E</w:t>
      </w:r>
      <w:r>
        <w:t xml:space="preserve">xplorer7 and </w:t>
      </w:r>
      <w:r w:rsidR="00DF3428">
        <w:t>Explorer</w:t>
      </w:r>
      <w:r>
        <w:t>8 trials underwent a</w:t>
      </w:r>
      <w:r w:rsidR="00635C8D" w:rsidRPr="00CE540D">
        <w:t xml:space="preserve"> treatment pause due to the occurrence of nonfatal thromboembolic events.</w:t>
      </w:r>
      <w:r>
        <w:t xml:space="preserve"> </w:t>
      </w:r>
      <w:r w:rsidR="008047EA">
        <w:t>A new</w:t>
      </w:r>
      <w:r w:rsidR="00D54550">
        <w:t xml:space="preserve"> dosing</w:t>
      </w:r>
      <w:r w:rsidR="008047EA">
        <w:t xml:space="preserve"> regime</w:t>
      </w:r>
      <w:r w:rsidR="00FA531C">
        <w:t>n</w:t>
      </w:r>
      <w:r w:rsidR="00D54550">
        <w:t xml:space="preserve"> was </w:t>
      </w:r>
      <w:r w:rsidR="00AC533C">
        <w:t>implemented</w:t>
      </w:r>
      <w:r w:rsidR="00637852">
        <w:t xml:space="preserve"> upon re-initiation of the trial</w:t>
      </w:r>
      <w:r w:rsidR="008047EA">
        <w:t xml:space="preserve"> (</w:t>
      </w:r>
      <w:r w:rsidR="00371C42">
        <w:t xml:space="preserve">the same as the dosing </w:t>
      </w:r>
      <w:r w:rsidR="008047EA">
        <w:t>specified in the PICO confirmation)</w:t>
      </w:r>
      <w:r w:rsidR="00637852">
        <w:t xml:space="preserve">, and any participants randomised before the pause were transferred to one of the non-randomised arms (3 or 4). </w:t>
      </w:r>
      <w:r w:rsidR="00284C19">
        <w:t>For this reason, thrombosis was specified as a safety outcome by PASC.</w:t>
      </w:r>
    </w:p>
    <w:p w14:paraId="131AE1FD" w14:textId="7F14BFA8" w:rsidR="00284C19" w:rsidRDefault="009123FB" w:rsidP="00A464E4">
      <w:r>
        <w:t>The ADAR reported that:</w:t>
      </w:r>
    </w:p>
    <w:p w14:paraId="3890C658" w14:textId="06F7F578" w:rsidR="009123FB" w:rsidRDefault="009123FB" w:rsidP="00F1192D">
      <w:pPr>
        <w:pStyle w:val="ListParagraph"/>
        <w:numPr>
          <w:ilvl w:val="0"/>
          <w:numId w:val="16"/>
        </w:numPr>
      </w:pPr>
      <w:r w:rsidRPr="009123FB">
        <w:t>Prior to the study pause, one non-fatal</w:t>
      </w:r>
      <w:r w:rsidR="00FA531C">
        <w:t>,</w:t>
      </w:r>
      <w:r w:rsidRPr="009123FB">
        <w:t xml:space="preserve"> severe thromboembolic event (renal infarct) was reported in a patient with HMBwI</w:t>
      </w:r>
      <w:r>
        <w:t xml:space="preserve"> (</w:t>
      </w:r>
      <w:r w:rsidR="00F851B1">
        <w:t>E</w:t>
      </w:r>
      <w:r>
        <w:t>xplorer7)</w:t>
      </w:r>
      <w:r w:rsidRPr="009123FB">
        <w:t>.</w:t>
      </w:r>
    </w:p>
    <w:p w14:paraId="021B716B" w14:textId="409643E7" w:rsidR="00852EAC" w:rsidRDefault="00A93361" w:rsidP="00F1192D">
      <w:pPr>
        <w:pStyle w:val="ListParagraph"/>
        <w:numPr>
          <w:ilvl w:val="0"/>
          <w:numId w:val="16"/>
        </w:numPr>
      </w:pPr>
      <w:r>
        <w:t xml:space="preserve">Prior to the study pause, </w:t>
      </w:r>
      <w:r w:rsidR="00852EAC" w:rsidRPr="00CE540D">
        <w:t>2 participants with HMA experienced 4 serious, nonfatal thromboembolic events</w:t>
      </w:r>
      <w:r w:rsidR="007909C1">
        <w:t xml:space="preserve"> (</w:t>
      </w:r>
      <w:r w:rsidR="00A42C0C">
        <w:t>acute myocardial infarction, deep vein thrombosis, pulmonary embolism, superficial vein thrombosis)</w:t>
      </w:r>
      <w:r w:rsidR="00616E58">
        <w:t xml:space="preserve"> (</w:t>
      </w:r>
      <w:r w:rsidR="00F851B1">
        <w:t>E</w:t>
      </w:r>
      <w:r w:rsidR="00616E58">
        <w:t>xplorer8).</w:t>
      </w:r>
    </w:p>
    <w:p w14:paraId="162850C6" w14:textId="2AC51CED" w:rsidR="00867C6F" w:rsidRDefault="00616E58" w:rsidP="00A464E4">
      <w:r w:rsidRPr="00616E58">
        <w:t>No thromboembolic events were reported</w:t>
      </w:r>
      <w:r w:rsidR="00855D9F">
        <w:t xml:space="preserve"> after the </w:t>
      </w:r>
      <w:r w:rsidR="00DE4C51">
        <w:t>trials restarted or</w:t>
      </w:r>
      <w:r w:rsidRPr="00616E58">
        <w:t xml:space="preserve"> in patients on no </w:t>
      </w:r>
      <w:r w:rsidR="00B01D4F">
        <w:t>prophylaxis</w:t>
      </w:r>
      <w:r w:rsidR="00DE4C51">
        <w:t>.</w:t>
      </w:r>
    </w:p>
    <w:p w14:paraId="4185CD0F" w14:textId="6C9B4440" w:rsidR="00A464E4" w:rsidRDefault="00A464E4" w:rsidP="00A464E4">
      <w:pPr>
        <w:pStyle w:val="Heading4"/>
      </w:pPr>
      <w:r>
        <w:t>Anti-drug antibodies</w:t>
      </w:r>
    </w:p>
    <w:p w14:paraId="3C62CCB2" w14:textId="64D71B4B" w:rsidR="004E6CBA" w:rsidRDefault="007B45C4" w:rsidP="004E6CBA">
      <w:r>
        <w:t xml:space="preserve">In the HMAwI and HMBwI </w:t>
      </w:r>
      <w:r w:rsidR="00346F69">
        <w:t xml:space="preserve">trial </w:t>
      </w:r>
      <w:r>
        <w:t>population</w:t>
      </w:r>
      <w:r w:rsidR="00302267">
        <w:t>,</w:t>
      </w:r>
      <w:r>
        <w:t xml:space="preserve"> </w:t>
      </w:r>
      <w:r w:rsidRPr="007B45C4">
        <w:t xml:space="preserve">33 (26%) out of the 127 patients exposed to concizumab were </w:t>
      </w:r>
      <w:r>
        <w:t>anti-drug antibody (</w:t>
      </w:r>
      <w:r w:rsidRPr="007B45C4">
        <w:t>ADA</w:t>
      </w:r>
      <w:r>
        <w:t>)</w:t>
      </w:r>
      <w:r w:rsidRPr="007B45C4">
        <w:t>-positive at 1 or more visits after first exposure to concizumab.</w:t>
      </w:r>
      <w:r>
        <w:t xml:space="preserve"> </w:t>
      </w:r>
      <w:r w:rsidR="005E6EAF">
        <w:t>Eight</w:t>
      </w:r>
      <w:r w:rsidR="005E6EAF" w:rsidRPr="005E6EAF">
        <w:t xml:space="preserve"> patients (6.3%) were positive for in vitro neutralising ADAs at 1 or more visits during the trial, with no apparent clinical impact.</w:t>
      </w:r>
    </w:p>
    <w:p w14:paraId="61BA81AE" w14:textId="47CDBD7A" w:rsidR="00697D1F" w:rsidRDefault="00697D1F" w:rsidP="004E6CBA">
      <w:r>
        <w:t xml:space="preserve">In the HMA and HMB </w:t>
      </w:r>
      <w:r w:rsidR="00BA5A2F">
        <w:t xml:space="preserve">trial </w:t>
      </w:r>
      <w:r>
        <w:t>population</w:t>
      </w:r>
      <w:r w:rsidR="00302267">
        <w:t>,</w:t>
      </w:r>
      <w:r>
        <w:t xml:space="preserve"> </w:t>
      </w:r>
      <w:r w:rsidR="00A910A7" w:rsidRPr="00CE540D">
        <w:t>18 (11.9%) out of the 151 patients exposed to concizumab were ADA-positive at 1 or more visits after first exposure to concizumab.</w:t>
      </w:r>
      <w:r w:rsidR="00A910A7">
        <w:t xml:space="preserve"> </w:t>
      </w:r>
      <w:r w:rsidR="00BA6543">
        <w:t>Five</w:t>
      </w:r>
      <w:r w:rsidR="00BA6543" w:rsidRPr="00BA6543">
        <w:t xml:space="preserve"> patients (3.3%) were positive for in vitro neutralising ADAs at 1 or more visits during the trial, with no apparent clinical impact.</w:t>
      </w:r>
    </w:p>
    <w:p w14:paraId="58C4BD76" w14:textId="403CEEBE" w:rsidR="00EA4977" w:rsidRDefault="00EA4977" w:rsidP="00EA4977">
      <w:pPr>
        <w:pStyle w:val="Heading4"/>
      </w:pPr>
      <w:r>
        <w:t>Conclusion regarding safety</w:t>
      </w:r>
    </w:p>
    <w:p w14:paraId="1710BD45" w14:textId="023C75A8" w:rsidR="00EA4977" w:rsidRDefault="00567F03" w:rsidP="00EA4977">
      <w:r>
        <w:t xml:space="preserve">The </w:t>
      </w:r>
      <w:r w:rsidR="00EA3D6E">
        <w:t xml:space="preserve">commentary </w:t>
      </w:r>
      <w:r w:rsidR="00624338">
        <w:t>note</w:t>
      </w:r>
      <w:r w:rsidR="0060208F">
        <w:t>d</w:t>
      </w:r>
      <w:r w:rsidR="00624338">
        <w:t xml:space="preserve"> </w:t>
      </w:r>
      <w:r w:rsidR="00EA3D6E">
        <w:t xml:space="preserve">that the </w:t>
      </w:r>
      <w:r>
        <w:t>data presented</w:t>
      </w:r>
      <w:r w:rsidR="00295F35">
        <w:t xml:space="preserve"> in the ADAR</w:t>
      </w:r>
      <w:r>
        <w:t xml:space="preserve"> for safety w</w:t>
      </w:r>
      <w:r w:rsidR="00624338">
        <w:t>ere</w:t>
      </w:r>
      <w:r>
        <w:t xml:space="preserve"> not </w:t>
      </w:r>
      <w:r w:rsidR="001B77E1">
        <w:t>comparative and</w:t>
      </w:r>
      <w:r w:rsidR="00624338">
        <w:t xml:space="preserve"> were</w:t>
      </w:r>
      <w:r w:rsidR="009B1114">
        <w:t xml:space="preserve"> </w:t>
      </w:r>
      <w:r w:rsidR="00624338">
        <w:t>in</w:t>
      </w:r>
      <w:r w:rsidR="009B1114">
        <w:t xml:space="preserve">sufficient </w:t>
      </w:r>
      <w:r w:rsidR="00624338">
        <w:t xml:space="preserve">in sample size and </w:t>
      </w:r>
      <w:r w:rsidR="009B1114">
        <w:t>follow-up to detect ra</w:t>
      </w:r>
      <w:r w:rsidR="00EA3D6E">
        <w:t>r</w:t>
      </w:r>
      <w:r w:rsidR="009B1114">
        <w:t xml:space="preserve">e or late-onset AEs. </w:t>
      </w:r>
      <w:r w:rsidR="00142B92">
        <w:t xml:space="preserve">Nevertheless, across </w:t>
      </w:r>
      <w:r w:rsidR="00DE7485">
        <w:t>the HMA and HMB population</w:t>
      </w:r>
      <w:r w:rsidR="00624338">
        <w:t>,</w:t>
      </w:r>
      <w:r w:rsidR="00DE7485">
        <w:t xml:space="preserve"> with and without inhibitors</w:t>
      </w:r>
      <w:r w:rsidR="00624338">
        <w:t>,</w:t>
      </w:r>
      <w:r w:rsidR="00DE7485">
        <w:t xml:space="preserve"> treated with concizumab</w:t>
      </w:r>
      <w:r w:rsidR="00624338">
        <w:t>,</w:t>
      </w:r>
      <w:r w:rsidR="009B506F">
        <w:t xml:space="preserve"> treatment-related AEs were most commonly mild injection</w:t>
      </w:r>
      <w:r w:rsidR="00624338">
        <w:t>-</w:t>
      </w:r>
      <w:r w:rsidR="009B506F">
        <w:t xml:space="preserve">site reactions. No thromboembolic events were reported after </w:t>
      </w:r>
      <w:r w:rsidR="003F6ECF">
        <w:t>the trials restarted with revis</w:t>
      </w:r>
      <w:r w:rsidR="00591111">
        <w:t>ed</w:t>
      </w:r>
      <w:r w:rsidR="003F6ECF">
        <w:t xml:space="preserve"> dosing. Two hypersensitivity reactions were reported, both in patients with inhibitors, and these led to treatment discontinuation. </w:t>
      </w:r>
    </w:p>
    <w:p w14:paraId="7E0AF50F" w14:textId="47BAE10C" w:rsidR="00172B00" w:rsidRDefault="002E1915" w:rsidP="00EA4977">
      <w:r>
        <w:t xml:space="preserve">The </w:t>
      </w:r>
      <w:r w:rsidR="008700DA">
        <w:t xml:space="preserve">ADAR concluded that the use of concizumab results in </w:t>
      </w:r>
      <w:r>
        <w:t>noninfer</w:t>
      </w:r>
      <w:r w:rsidR="00C75532">
        <w:t>ior safety compared to standard of care</w:t>
      </w:r>
      <w:r w:rsidR="00E77448">
        <w:t xml:space="preserve"> for both comparisons</w:t>
      </w:r>
      <w:r w:rsidR="009A5D0C">
        <w:t xml:space="preserve">. The commentary </w:t>
      </w:r>
      <w:r w:rsidR="00EA2066">
        <w:t>did not agree that this was</w:t>
      </w:r>
      <w:r w:rsidR="00D12293">
        <w:t xml:space="preserve"> supported by the evidence presented in the ADAR as it was non-comparative. Randomised trials of standard of care</w:t>
      </w:r>
      <w:r w:rsidR="00690C00">
        <w:t xml:space="preserve"> (BPAs and FIX) have been undertaken and </w:t>
      </w:r>
      <w:r w:rsidR="00847F1E">
        <w:t xml:space="preserve">could have been used to provide an indirect comparison of safety. </w:t>
      </w:r>
      <w:r w:rsidR="003313F9">
        <w:t xml:space="preserve">Nevertheless, </w:t>
      </w:r>
      <w:r w:rsidR="00D06216">
        <w:t xml:space="preserve">in </w:t>
      </w:r>
      <w:r w:rsidR="003313F9">
        <w:t>the pivotal trials of concizumab</w:t>
      </w:r>
      <w:r w:rsidR="00EC3570">
        <w:t>,</w:t>
      </w:r>
      <w:r w:rsidR="003313F9">
        <w:t xml:space="preserve"> </w:t>
      </w:r>
      <w:r w:rsidR="004940FE">
        <w:t>the most common AEs were mild injection</w:t>
      </w:r>
      <w:r w:rsidR="00EC3570">
        <w:t>-</w:t>
      </w:r>
      <w:r w:rsidR="004940FE">
        <w:t>site reactions</w:t>
      </w:r>
      <w:r w:rsidR="00450123">
        <w:t>. The rate of more serious AEs, including those leading to treatment discontinuation, may be acceptable</w:t>
      </w:r>
      <w:r w:rsidR="00D06216">
        <w:t xml:space="preserve"> </w:t>
      </w:r>
      <w:r w:rsidR="00D348DF">
        <w:t>and consistent with a population with severe haemophilia.</w:t>
      </w:r>
    </w:p>
    <w:p w14:paraId="3717AA01" w14:textId="383B8BDD" w:rsidR="00772829" w:rsidRDefault="00772829" w:rsidP="00F1192D">
      <w:pPr>
        <w:pStyle w:val="Heading2"/>
        <w:numPr>
          <w:ilvl w:val="0"/>
          <w:numId w:val="31"/>
        </w:numPr>
        <w:ind w:left="709" w:hanging="709"/>
      </w:pPr>
      <w:bookmarkStart w:id="23" w:name="_Toc69491424"/>
      <w:r w:rsidRPr="00CE28E3">
        <w:t>Comparative effectiveness</w:t>
      </w:r>
      <w:bookmarkEnd w:id="23"/>
    </w:p>
    <w:p w14:paraId="695881DE" w14:textId="77777777" w:rsidR="00CF26DA" w:rsidRDefault="00CF26DA" w:rsidP="00CF26DA">
      <w:pPr>
        <w:pStyle w:val="Heading3"/>
      </w:pPr>
      <w:r>
        <w:t>Haemophilia B with inhibitors</w:t>
      </w:r>
    </w:p>
    <w:p w14:paraId="4D73AA49" w14:textId="1A08B654" w:rsidR="00CF26DA" w:rsidRDefault="00E84F7C" w:rsidP="00CF26DA">
      <w:pPr>
        <w:pStyle w:val="Heading4"/>
      </w:pPr>
      <w:r>
        <w:t>Bleed</w:t>
      </w:r>
      <w:r w:rsidR="00037164">
        <w:t>ing outcomes</w:t>
      </w:r>
    </w:p>
    <w:p w14:paraId="7E9E3CA3" w14:textId="5707F9DC" w:rsidR="003A6C6F" w:rsidRPr="003A6C6F" w:rsidRDefault="003A6C6F" w:rsidP="003A6C6F">
      <w:pPr>
        <w:pStyle w:val="Heading5"/>
      </w:pPr>
      <w:r>
        <w:t>Concizumab v</w:t>
      </w:r>
      <w:r w:rsidR="0071727E">
        <w:t>ersu</w:t>
      </w:r>
      <w:r>
        <w:t xml:space="preserve">s </w:t>
      </w:r>
      <w:r w:rsidR="00B77719">
        <w:t>BPAs o</w:t>
      </w:r>
      <w:r>
        <w:t>n demand</w:t>
      </w:r>
    </w:p>
    <w:p w14:paraId="63CCAE26" w14:textId="7254D973" w:rsidR="00F351E1" w:rsidRPr="00F351E1" w:rsidRDefault="00D05292" w:rsidP="00F351E1">
      <w:r>
        <w:t xml:space="preserve">In adolescent and adult patients with haemophilia </w:t>
      </w:r>
      <w:r w:rsidR="00F17FDC">
        <w:t xml:space="preserve">A or </w:t>
      </w:r>
      <w:r w:rsidR="009236A5">
        <w:t xml:space="preserve">B </w:t>
      </w:r>
      <w:r>
        <w:t xml:space="preserve">with inhibitors, </w:t>
      </w:r>
      <w:r w:rsidR="008D1B94">
        <w:t xml:space="preserve">the </w:t>
      </w:r>
      <w:r w:rsidR="008A2776">
        <w:t>E</w:t>
      </w:r>
      <w:r>
        <w:t xml:space="preserve">xplorer7 </w:t>
      </w:r>
      <w:r w:rsidR="008D1B94">
        <w:t xml:space="preserve">RCT </w:t>
      </w:r>
      <w:r>
        <w:t>reported</w:t>
      </w:r>
      <w:r w:rsidR="0023665E">
        <w:t xml:space="preserve"> that the use of concizumab </w:t>
      </w:r>
      <w:r w:rsidR="0071727E">
        <w:t xml:space="preserve">prophylaxis </w:t>
      </w:r>
      <w:r w:rsidR="00541A35">
        <w:t xml:space="preserve">resulted in fewer treated </w:t>
      </w:r>
      <w:r w:rsidR="00330328">
        <w:t>spontaneous and traumatic bleeding episodes than the use of no concizumab (</w:t>
      </w:r>
      <w:r w:rsidR="0071727E">
        <w:t xml:space="preserve">i.e. </w:t>
      </w:r>
      <w:r w:rsidR="00330328">
        <w:t xml:space="preserve">BPAs on demand). The ABR ratio was </w:t>
      </w:r>
      <w:r w:rsidR="00BF1240">
        <w:t>0.14 in favour of concizumab (</w:t>
      </w:r>
      <w:r w:rsidR="009D08FD">
        <w:t xml:space="preserve">86% reduction, </w:t>
      </w:r>
      <w:r w:rsidR="00BF1240">
        <w:t>p&lt;0.001) (</w:t>
      </w:r>
      <w:r w:rsidR="00BF1240">
        <w:fldChar w:fldCharType="begin"/>
      </w:r>
      <w:r w:rsidR="00BF1240">
        <w:instrText xml:space="preserve"> REF _Ref214873539 \h </w:instrText>
      </w:r>
      <w:r w:rsidR="00BF1240">
        <w:fldChar w:fldCharType="separate"/>
      </w:r>
      <w:r w:rsidR="00CD3B0F">
        <w:t xml:space="preserve">Table </w:t>
      </w:r>
      <w:r w:rsidR="00CD3B0F">
        <w:rPr>
          <w:noProof/>
        </w:rPr>
        <w:t>6</w:t>
      </w:r>
      <w:r w:rsidR="00BF1240">
        <w:fldChar w:fldCharType="end"/>
      </w:r>
      <w:r w:rsidR="00BF1240">
        <w:t>).</w:t>
      </w:r>
      <w:r w:rsidR="00FA1D68">
        <w:t xml:space="preserve"> </w:t>
      </w:r>
      <w:r w:rsidR="008353D9">
        <w:t>A statistically significant ABR ratio favouring concizumab was also reported for treated spontaneous bleed</w:t>
      </w:r>
      <w:r w:rsidR="003D1096">
        <w:t>ing episodes</w:t>
      </w:r>
      <w:r w:rsidR="00280C55">
        <w:t>,</w:t>
      </w:r>
      <w:r w:rsidR="003D1096">
        <w:t xml:space="preserve"> treated spontaneous and traumatic joint bleeding episodes</w:t>
      </w:r>
      <w:r w:rsidR="00667EDE">
        <w:t xml:space="preserve">, </w:t>
      </w:r>
      <w:r w:rsidR="00280C55">
        <w:t>all treated and untreated spontaneous and traumatic bleeding episodes</w:t>
      </w:r>
      <w:r w:rsidR="003171C4">
        <w:t>,</w:t>
      </w:r>
      <w:r w:rsidR="00667EDE">
        <w:t xml:space="preserve"> and</w:t>
      </w:r>
      <w:r w:rsidR="003D1096">
        <w:t xml:space="preserve"> for </w:t>
      </w:r>
      <w:r w:rsidR="003D1096" w:rsidRPr="00DF4785">
        <w:t xml:space="preserve">treated spontaneous and traumatic </w:t>
      </w:r>
      <w:r w:rsidR="00280C55" w:rsidRPr="00DF4785">
        <w:t xml:space="preserve">target </w:t>
      </w:r>
      <w:r w:rsidR="003D1096" w:rsidRPr="00DF4785">
        <w:t>joint bleeding episodes</w:t>
      </w:r>
      <w:r w:rsidR="00280C55">
        <w:t>.</w:t>
      </w:r>
    </w:p>
    <w:p w14:paraId="634493D7" w14:textId="74E57DB9" w:rsidR="00E033BE" w:rsidRDefault="00E033BE" w:rsidP="00E033BE">
      <w:pPr>
        <w:pStyle w:val="Caption"/>
      </w:pPr>
      <w:bookmarkStart w:id="24" w:name="_Ref214873539"/>
      <w:r>
        <w:t xml:space="preserve">Table </w:t>
      </w:r>
      <w:r>
        <w:fldChar w:fldCharType="begin"/>
      </w:r>
      <w:r>
        <w:instrText>SEQ Table \* ARABIC</w:instrText>
      </w:r>
      <w:r>
        <w:fldChar w:fldCharType="separate"/>
      </w:r>
      <w:r w:rsidR="00CD3B0F">
        <w:rPr>
          <w:noProof/>
        </w:rPr>
        <w:t>6</w:t>
      </w:r>
      <w:r>
        <w:fldChar w:fldCharType="end"/>
      </w:r>
      <w:bookmarkEnd w:id="24"/>
      <w:r>
        <w:tab/>
        <w:t xml:space="preserve">Treated bleeding episodes in </w:t>
      </w:r>
      <w:r w:rsidR="00F851B1">
        <w:t>E</w:t>
      </w:r>
      <w:r>
        <w:t>xplorer7 (HMAwI and HMBwI)</w:t>
      </w:r>
    </w:p>
    <w:tbl>
      <w:tblPr>
        <w:tblStyle w:val="TableGrid"/>
        <w:tblW w:w="5000" w:type="pct"/>
        <w:tblLook w:val="04A0" w:firstRow="1" w:lastRow="0" w:firstColumn="1" w:lastColumn="0" w:noHBand="0" w:noVBand="1"/>
        <w:tblCaption w:val="Treated bleeding episodes in Explorer7 (HMAwI and HMBwI)"/>
        <w:tblDescription w:val="Treated bleeding episodes in Explorer7 (HMAwI and HMBwI)"/>
      </w:tblPr>
      <w:tblGrid>
        <w:gridCol w:w="2669"/>
        <w:gridCol w:w="2304"/>
        <w:gridCol w:w="2440"/>
        <w:gridCol w:w="1603"/>
      </w:tblGrid>
      <w:tr w:rsidR="0071727E" w14:paraId="4048A1B3" w14:textId="77777777" w:rsidTr="00DF4785">
        <w:trPr>
          <w:tblHeader/>
        </w:trPr>
        <w:tc>
          <w:tcPr>
            <w:tcW w:w="1480" w:type="pct"/>
          </w:tcPr>
          <w:p w14:paraId="522BC63B" w14:textId="7E304AC6" w:rsidR="00715CF0" w:rsidRDefault="00715CF0" w:rsidP="007F5202">
            <w:pPr>
              <w:pStyle w:val="TableHeading0"/>
            </w:pPr>
            <w:r w:rsidRPr="007664B5">
              <w:t>HMAwI</w:t>
            </w:r>
            <w:r>
              <w:t xml:space="preserve"> &amp;</w:t>
            </w:r>
            <w:r w:rsidRPr="007664B5">
              <w:t xml:space="preserve"> HMBwI</w:t>
            </w:r>
          </w:p>
        </w:tc>
        <w:tc>
          <w:tcPr>
            <w:tcW w:w="1278" w:type="pct"/>
          </w:tcPr>
          <w:p w14:paraId="7460A14B" w14:textId="02B50FA1" w:rsidR="00715CF0" w:rsidRDefault="00715CF0" w:rsidP="00C43B17">
            <w:pPr>
              <w:pStyle w:val="TableHeading0"/>
              <w:jc w:val="center"/>
            </w:pPr>
            <w:r w:rsidRPr="007664B5">
              <w:t>Concizumab prophylaxis (Arm 2 of Explorer7)</w:t>
            </w:r>
          </w:p>
        </w:tc>
        <w:tc>
          <w:tcPr>
            <w:tcW w:w="1353" w:type="pct"/>
          </w:tcPr>
          <w:p w14:paraId="3A18AE9C" w14:textId="4B327DF1" w:rsidR="00715CF0" w:rsidRDefault="00715CF0" w:rsidP="00C43B17">
            <w:pPr>
              <w:pStyle w:val="TableHeading0"/>
              <w:jc w:val="center"/>
            </w:pPr>
            <w:r w:rsidRPr="00DA38BC">
              <w:t xml:space="preserve">No </w:t>
            </w:r>
            <w:r w:rsidR="00712279">
              <w:t>c</w:t>
            </w:r>
            <w:r w:rsidRPr="00DA38BC">
              <w:t>oncizumab prophylaxis (Arm 1 of Explorer7)</w:t>
            </w:r>
          </w:p>
        </w:tc>
        <w:tc>
          <w:tcPr>
            <w:tcW w:w="889" w:type="pct"/>
          </w:tcPr>
          <w:p w14:paraId="5FEF73F5" w14:textId="3377F55E" w:rsidR="00715CF0" w:rsidRDefault="00715CF0" w:rsidP="00C43B17">
            <w:pPr>
              <w:pStyle w:val="TableHeading0"/>
              <w:jc w:val="center"/>
            </w:pPr>
            <w:r>
              <w:t xml:space="preserve">ABR ratio </w:t>
            </w:r>
            <w:r w:rsidR="0071727E">
              <w:br/>
            </w:r>
            <w:r>
              <w:t>(95% CI)</w:t>
            </w:r>
          </w:p>
        </w:tc>
      </w:tr>
      <w:tr w:rsidR="0071727E" w14:paraId="1E6CE05C" w14:textId="77777777" w:rsidTr="0026429F">
        <w:tc>
          <w:tcPr>
            <w:tcW w:w="1480" w:type="pct"/>
          </w:tcPr>
          <w:p w14:paraId="3D702F7D" w14:textId="55D77AE1" w:rsidR="00715CF0" w:rsidRDefault="00712279" w:rsidP="004362A3">
            <w:pPr>
              <w:pStyle w:val="TableText"/>
            </w:pPr>
            <w:r>
              <w:t>Participants, n</w:t>
            </w:r>
          </w:p>
        </w:tc>
        <w:tc>
          <w:tcPr>
            <w:tcW w:w="1278" w:type="pct"/>
            <w:vAlign w:val="center"/>
          </w:tcPr>
          <w:p w14:paraId="13DAA003" w14:textId="0A727DB8" w:rsidR="00715CF0" w:rsidRDefault="00715CF0" w:rsidP="0026429F">
            <w:pPr>
              <w:pStyle w:val="TableText"/>
              <w:jc w:val="center"/>
            </w:pPr>
            <w:r>
              <w:t>33</w:t>
            </w:r>
          </w:p>
        </w:tc>
        <w:tc>
          <w:tcPr>
            <w:tcW w:w="1353" w:type="pct"/>
            <w:vAlign w:val="center"/>
          </w:tcPr>
          <w:p w14:paraId="45393F26" w14:textId="73200DDE" w:rsidR="00715CF0" w:rsidRDefault="00715CF0" w:rsidP="0026429F">
            <w:pPr>
              <w:pStyle w:val="TableText"/>
              <w:jc w:val="center"/>
            </w:pPr>
            <w:r>
              <w:t>19</w:t>
            </w:r>
          </w:p>
        </w:tc>
        <w:tc>
          <w:tcPr>
            <w:tcW w:w="889" w:type="pct"/>
            <w:vAlign w:val="center"/>
          </w:tcPr>
          <w:p w14:paraId="40386727" w14:textId="45409137" w:rsidR="00715CF0" w:rsidRDefault="008D1B94" w:rsidP="0026429F">
            <w:pPr>
              <w:pStyle w:val="TableText"/>
              <w:jc w:val="center"/>
            </w:pPr>
            <w:r>
              <w:t>-</w:t>
            </w:r>
          </w:p>
        </w:tc>
      </w:tr>
      <w:tr w:rsidR="0071727E" w14:paraId="1FB58280" w14:textId="77777777" w:rsidTr="0026429F">
        <w:tc>
          <w:tcPr>
            <w:tcW w:w="1480" w:type="pct"/>
          </w:tcPr>
          <w:p w14:paraId="539FF00D" w14:textId="5FDBA7DF" w:rsidR="00715CF0" w:rsidRDefault="00EF4C99" w:rsidP="004362A3">
            <w:pPr>
              <w:pStyle w:val="TableText"/>
            </w:pPr>
            <w:r>
              <w:t>Patients with z</w:t>
            </w:r>
            <w:r w:rsidR="00715CF0">
              <w:t>ero treated bleeds</w:t>
            </w:r>
            <w:r w:rsidR="00712279">
              <w:t>,</w:t>
            </w:r>
            <w:r w:rsidR="00715CF0">
              <w:t xml:space="preserve"> </w:t>
            </w:r>
            <w:r w:rsidR="00712279">
              <w:t>n</w:t>
            </w:r>
            <w:r w:rsidR="00715CF0">
              <w:t xml:space="preserve"> (%)</w:t>
            </w:r>
          </w:p>
        </w:tc>
        <w:tc>
          <w:tcPr>
            <w:tcW w:w="1278" w:type="pct"/>
            <w:vAlign w:val="center"/>
          </w:tcPr>
          <w:p w14:paraId="39C91404" w14:textId="7E52176B" w:rsidR="00715CF0" w:rsidRDefault="00715CF0" w:rsidP="0026429F">
            <w:pPr>
              <w:pStyle w:val="TableText"/>
              <w:jc w:val="center"/>
            </w:pPr>
            <w:r>
              <w:t>5 (38.5)</w:t>
            </w:r>
          </w:p>
        </w:tc>
        <w:tc>
          <w:tcPr>
            <w:tcW w:w="1353" w:type="pct"/>
            <w:vAlign w:val="center"/>
          </w:tcPr>
          <w:p w14:paraId="7211A981" w14:textId="0E72348F" w:rsidR="00715CF0" w:rsidRDefault="00715CF0" w:rsidP="0026429F">
            <w:pPr>
              <w:pStyle w:val="TableText"/>
              <w:jc w:val="center"/>
            </w:pPr>
            <w:r>
              <w:t>1 (5.3)</w:t>
            </w:r>
          </w:p>
        </w:tc>
        <w:tc>
          <w:tcPr>
            <w:tcW w:w="889" w:type="pct"/>
            <w:vAlign w:val="center"/>
          </w:tcPr>
          <w:p w14:paraId="2AA0A1B7" w14:textId="590FD514" w:rsidR="00715CF0" w:rsidRDefault="008D1B94" w:rsidP="0026429F">
            <w:pPr>
              <w:pStyle w:val="TableText"/>
              <w:jc w:val="center"/>
            </w:pPr>
            <w:r>
              <w:t>-</w:t>
            </w:r>
          </w:p>
        </w:tc>
      </w:tr>
      <w:tr w:rsidR="0071727E" w14:paraId="4961EEB2" w14:textId="77777777" w:rsidTr="0026429F">
        <w:tc>
          <w:tcPr>
            <w:tcW w:w="1480" w:type="pct"/>
          </w:tcPr>
          <w:p w14:paraId="7876260A" w14:textId="65A5C47C" w:rsidR="00715CF0" w:rsidRPr="00CE540D" w:rsidRDefault="00EF4C99" w:rsidP="00E033BE">
            <w:pPr>
              <w:pStyle w:val="TableText"/>
              <w:rPr>
                <w:snapToGrid w:val="0"/>
              </w:rPr>
            </w:pPr>
            <w:r>
              <w:rPr>
                <w:snapToGrid w:val="0"/>
              </w:rPr>
              <w:t>Patients with t</w:t>
            </w:r>
            <w:r w:rsidR="00715CF0">
              <w:rPr>
                <w:snapToGrid w:val="0"/>
              </w:rPr>
              <w:t>reated bleeding episodes</w:t>
            </w:r>
            <w:r w:rsidR="00712279">
              <w:rPr>
                <w:snapToGrid w:val="0"/>
              </w:rPr>
              <w:t>,</w:t>
            </w:r>
            <w:r w:rsidR="00715CF0">
              <w:rPr>
                <w:snapToGrid w:val="0"/>
              </w:rPr>
              <w:t xml:space="preserve"> </w:t>
            </w:r>
            <w:r w:rsidR="00712279">
              <w:rPr>
                <w:snapToGrid w:val="0"/>
              </w:rPr>
              <w:t>n</w:t>
            </w:r>
            <w:r w:rsidR="00715CF0">
              <w:rPr>
                <w:snapToGrid w:val="0"/>
              </w:rPr>
              <w:t xml:space="preserve"> (%)</w:t>
            </w:r>
          </w:p>
        </w:tc>
        <w:tc>
          <w:tcPr>
            <w:tcW w:w="1278" w:type="pct"/>
            <w:vAlign w:val="center"/>
          </w:tcPr>
          <w:p w14:paraId="679E413F" w14:textId="2E5958B0" w:rsidR="00715CF0" w:rsidRPr="00EA62DA" w:rsidRDefault="00715CF0" w:rsidP="0026429F">
            <w:pPr>
              <w:pStyle w:val="TableText"/>
              <w:jc w:val="center"/>
            </w:pPr>
            <w:r>
              <w:t>8 (61.5)</w:t>
            </w:r>
          </w:p>
        </w:tc>
        <w:tc>
          <w:tcPr>
            <w:tcW w:w="1353" w:type="pct"/>
            <w:vAlign w:val="center"/>
          </w:tcPr>
          <w:p w14:paraId="3D39F237" w14:textId="4E571875" w:rsidR="00715CF0" w:rsidRPr="00EA62DA" w:rsidRDefault="00715CF0" w:rsidP="0026429F">
            <w:pPr>
              <w:pStyle w:val="TableText"/>
              <w:jc w:val="center"/>
            </w:pPr>
            <w:r>
              <w:t>17 (89.5)</w:t>
            </w:r>
          </w:p>
        </w:tc>
        <w:tc>
          <w:tcPr>
            <w:tcW w:w="889" w:type="pct"/>
            <w:vAlign w:val="center"/>
          </w:tcPr>
          <w:p w14:paraId="730E0A22" w14:textId="4F6E41E6" w:rsidR="00715CF0" w:rsidRPr="008B7114" w:rsidRDefault="008D1B94" w:rsidP="0026429F">
            <w:pPr>
              <w:pStyle w:val="TableText"/>
              <w:jc w:val="center"/>
            </w:pPr>
            <w:r>
              <w:t>-</w:t>
            </w:r>
          </w:p>
        </w:tc>
      </w:tr>
      <w:tr w:rsidR="0071727E" w14:paraId="62D245AD" w14:textId="77777777" w:rsidTr="0026429F">
        <w:tc>
          <w:tcPr>
            <w:tcW w:w="1480" w:type="pct"/>
          </w:tcPr>
          <w:p w14:paraId="7CE7111E" w14:textId="105A123B" w:rsidR="00715CF0" w:rsidRDefault="007169B9" w:rsidP="00E033BE">
            <w:pPr>
              <w:pStyle w:val="TableText"/>
              <w:rPr>
                <w:snapToGrid w:val="0"/>
              </w:rPr>
            </w:pPr>
            <w:r>
              <w:rPr>
                <w:snapToGrid w:val="0"/>
              </w:rPr>
              <w:t>Number of t</w:t>
            </w:r>
            <w:r w:rsidR="00715CF0">
              <w:rPr>
                <w:snapToGrid w:val="0"/>
              </w:rPr>
              <w:t>reated bleeding episodes</w:t>
            </w:r>
            <w:r w:rsidR="00EF4C99">
              <w:rPr>
                <w:snapToGrid w:val="0"/>
              </w:rPr>
              <w:t>,</w:t>
            </w:r>
            <w:r w:rsidR="00715CF0">
              <w:rPr>
                <w:snapToGrid w:val="0"/>
              </w:rPr>
              <w:t xml:space="preserve"> </w:t>
            </w:r>
            <w:r w:rsidR="0056232E">
              <w:rPr>
                <w:snapToGrid w:val="0"/>
              </w:rPr>
              <w:t>n</w:t>
            </w:r>
          </w:p>
        </w:tc>
        <w:tc>
          <w:tcPr>
            <w:tcW w:w="1278" w:type="pct"/>
            <w:vAlign w:val="center"/>
          </w:tcPr>
          <w:p w14:paraId="4788A761" w14:textId="71B814F7" w:rsidR="00715CF0" w:rsidRDefault="00715CF0" w:rsidP="0026429F">
            <w:pPr>
              <w:pStyle w:val="TableText"/>
              <w:jc w:val="center"/>
            </w:pPr>
            <w:r>
              <w:t>25</w:t>
            </w:r>
          </w:p>
        </w:tc>
        <w:tc>
          <w:tcPr>
            <w:tcW w:w="1353" w:type="pct"/>
            <w:vAlign w:val="center"/>
          </w:tcPr>
          <w:p w14:paraId="608A1B43" w14:textId="2E2477CD" w:rsidR="00715CF0" w:rsidRDefault="00715CF0" w:rsidP="0026429F">
            <w:pPr>
              <w:pStyle w:val="TableText"/>
              <w:jc w:val="center"/>
            </w:pPr>
            <w:r>
              <w:t>167</w:t>
            </w:r>
          </w:p>
        </w:tc>
        <w:tc>
          <w:tcPr>
            <w:tcW w:w="889" w:type="pct"/>
            <w:vAlign w:val="center"/>
          </w:tcPr>
          <w:p w14:paraId="2D44D02D" w14:textId="53E2E208" w:rsidR="00715CF0" w:rsidRPr="008B7114" w:rsidRDefault="008D1B94" w:rsidP="0026429F">
            <w:pPr>
              <w:pStyle w:val="TableText"/>
              <w:jc w:val="center"/>
            </w:pPr>
            <w:r>
              <w:t>-</w:t>
            </w:r>
          </w:p>
        </w:tc>
      </w:tr>
      <w:tr w:rsidR="0071727E" w14:paraId="5CF6CE69" w14:textId="77777777" w:rsidTr="0026429F">
        <w:tc>
          <w:tcPr>
            <w:tcW w:w="1480" w:type="pct"/>
          </w:tcPr>
          <w:p w14:paraId="51E7F88C" w14:textId="17D892FF" w:rsidR="00715CF0" w:rsidRDefault="00715CF0" w:rsidP="00E033BE">
            <w:pPr>
              <w:pStyle w:val="TableText"/>
            </w:pPr>
            <w:r w:rsidRPr="00CE540D">
              <w:rPr>
                <w:snapToGrid w:val="0"/>
              </w:rPr>
              <w:t>Treated spontaneous and traumatic bleeding episodes</w:t>
            </w:r>
            <w:r w:rsidR="00EF4C99">
              <w:rPr>
                <w:snapToGrid w:val="0"/>
              </w:rPr>
              <w:t xml:space="preserve"> – </w:t>
            </w:r>
            <w:r w:rsidR="004228F0">
              <w:rPr>
                <w:snapToGrid w:val="0"/>
              </w:rPr>
              <w:t>estimated m</w:t>
            </w:r>
            <w:r w:rsidRPr="00CE540D">
              <w:rPr>
                <w:snapToGrid w:val="0"/>
              </w:rPr>
              <w:t>ean ABR (95% CI)</w:t>
            </w:r>
          </w:p>
        </w:tc>
        <w:tc>
          <w:tcPr>
            <w:tcW w:w="1278" w:type="pct"/>
            <w:vAlign w:val="center"/>
          </w:tcPr>
          <w:p w14:paraId="4B36E581" w14:textId="1587D974" w:rsidR="00715CF0" w:rsidRDefault="00715CF0" w:rsidP="0026429F">
            <w:pPr>
              <w:pStyle w:val="TableText"/>
              <w:jc w:val="center"/>
            </w:pPr>
            <w:r w:rsidRPr="00EA62DA">
              <w:t>1.7 (1.01, 2.87)</w:t>
            </w:r>
          </w:p>
        </w:tc>
        <w:tc>
          <w:tcPr>
            <w:tcW w:w="1353" w:type="pct"/>
            <w:vAlign w:val="center"/>
          </w:tcPr>
          <w:p w14:paraId="140F6D1E" w14:textId="17ADE17A" w:rsidR="00715CF0" w:rsidRDefault="00715CF0" w:rsidP="0026429F">
            <w:pPr>
              <w:pStyle w:val="TableText"/>
              <w:jc w:val="center"/>
            </w:pPr>
            <w:r w:rsidRPr="00EA62DA">
              <w:t>11.8 (7.03, 19.86)</w:t>
            </w:r>
          </w:p>
        </w:tc>
        <w:tc>
          <w:tcPr>
            <w:tcW w:w="889" w:type="pct"/>
            <w:vAlign w:val="center"/>
          </w:tcPr>
          <w:p w14:paraId="2ED9D6EA" w14:textId="1023FE8F" w:rsidR="00715CF0" w:rsidRDefault="00715CF0" w:rsidP="0026429F">
            <w:pPr>
              <w:pStyle w:val="TableText"/>
              <w:jc w:val="center"/>
            </w:pPr>
            <w:r w:rsidRPr="008B7114">
              <w:t>0.14 (0.07, 0.29)</w:t>
            </w:r>
          </w:p>
        </w:tc>
      </w:tr>
    </w:tbl>
    <w:p w14:paraId="71F57397" w14:textId="642EFAF5" w:rsidR="00D854E0" w:rsidRDefault="005A2582" w:rsidP="00415033">
      <w:pPr>
        <w:pStyle w:val="Tablenotes0"/>
      </w:pPr>
      <w:bookmarkStart w:id="25" w:name="_Hlk215493397"/>
      <w:r w:rsidRPr="005A2582">
        <w:t>ABR</w:t>
      </w:r>
      <w:r>
        <w:t xml:space="preserve"> =</w:t>
      </w:r>
      <w:r w:rsidRPr="005A2582">
        <w:t xml:space="preserve"> annualised bleeding rate</w:t>
      </w:r>
      <w:r>
        <w:t>;</w:t>
      </w:r>
      <w:r w:rsidRPr="005A2582">
        <w:t xml:space="preserve"> </w:t>
      </w:r>
      <w:r w:rsidR="0090218D">
        <w:t>CI = confidence interval;</w:t>
      </w:r>
      <w:r w:rsidR="007820AE">
        <w:t xml:space="preserve"> </w:t>
      </w:r>
      <w:r w:rsidRPr="005A2582">
        <w:t>HMAwI</w:t>
      </w:r>
      <w:r w:rsidR="0090218D">
        <w:t xml:space="preserve"> = </w:t>
      </w:r>
      <w:r w:rsidRPr="005A2582">
        <w:t>haemophilia A with inhibitors; HMBwI</w:t>
      </w:r>
      <w:r w:rsidR="0090218D">
        <w:t xml:space="preserve"> =</w:t>
      </w:r>
      <w:r w:rsidRPr="005A2582">
        <w:t xml:space="preserve"> haemophilia B with inhibitors.</w:t>
      </w:r>
    </w:p>
    <w:bookmarkEnd w:id="25"/>
    <w:p w14:paraId="6CF3C4CE" w14:textId="5FA7E4C5" w:rsidR="00F175C2" w:rsidRDefault="00F175C2" w:rsidP="00415033">
      <w:pPr>
        <w:pStyle w:val="Tablenotes0"/>
      </w:pPr>
      <w:r>
        <w:t>Source: adapted from Table 2</w:t>
      </w:r>
      <w:r w:rsidR="00415033">
        <w:t>4</w:t>
      </w:r>
      <w:r>
        <w:t xml:space="preserve"> of MSAC 1805 ADAR + in-line commentary.</w:t>
      </w:r>
    </w:p>
    <w:p w14:paraId="3FD754C6" w14:textId="3AEC1702" w:rsidR="00280C55" w:rsidRDefault="002943B0" w:rsidP="002943B0">
      <w:r>
        <w:t xml:space="preserve">The ABR ratio for </w:t>
      </w:r>
      <w:r w:rsidR="005A33E0">
        <w:t xml:space="preserve">patients with </w:t>
      </w:r>
      <w:r>
        <w:t xml:space="preserve">HMBwI only </w:t>
      </w:r>
      <w:r w:rsidR="00D4343F">
        <w:t>for</w:t>
      </w:r>
      <w:r w:rsidR="00CE76B0">
        <w:t xml:space="preserve"> the primary outcome of</w:t>
      </w:r>
      <w:r w:rsidR="00D4343F">
        <w:t xml:space="preserve"> treated traumatic and spontaneous bleeding episodes was </w:t>
      </w:r>
      <w:r w:rsidR="008D6090" w:rsidRPr="008D6090">
        <w:t>0.31 (95% CI 0.07</w:t>
      </w:r>
      <w:r w:rsidR="008D6090">
        <w:t xml:space="preserve"> to</w:t>
      </w:r>
      <w:r w:rsidR="008D6090" w:rsidRPr="008D6090">
        <w:t xml:space="preserve"> 1.36; p</w:t>
      </w:r>
      <w:r w:rsidR="008231CA">
        <w:t> </w:t>
      </w:r>
      <w:r w:rsidR="008D6090" w:rsidRPr="008D6090">
        <w:t>=</w:t>
      </w:r>
      <w:r w:rsidR="008231CA">
        <w:t> </w:t>
      </w:r>
      <w:r w:rsidR="008D6090" w:rsidRPr="008D6090">
        <w:t>0.120)</w:t>
      </w:r>
      <w:r w:rsidR="008D6090">
        <w:t xml:space="preserve">. </w:t>
      </w:r>
      <w:r w:rsidR="005366B2">
        <w:t>The trial was not powered to detect differences within each haemophilia subtype.</w:t>
      </w:r>
    </w:p>
    <w:p w14:paraId="1B1F29AE" w14:textId="39798991" w:rsidR="004348CD" w:rsidRDefault="004348CD" w:rsidP="004348CD">
      <w:pPr>
        <w:pStyle w:val="Heading5"/>
      </w:pPr>
      <w:r>
        <w:t>Concizumab v</w:t>
      </w:r>
      <w:r w:rsidR="00C75D51">
        <w:t>ersu</w:t>
      </w:r>
      <w:r>
        <w:t>s BPA prophylaxis</w:t>
      </w:r>
    </w:p>
    <w:p w14:paraId="2EFE7A51" w14:textId="0E3B6EE9" w:rsidR="00087404" w:rsidRDefault="00037164" w:rsidP="002943B0">
      <w:r>
        <w:t xml:space="preserve">The ADAR included a post-hoc </w:t>
      </w:r>
      <w:r w:rsidR="00594E73">
        <w:t xml:space="preserve">analysis to compare concizumab prophylaxis with BPA prophylaxis. </w:t>
      </w:r>
      <w:r w:rsidR="00910154">
        <w:t xml:space="preserve">The analysis included 7 </w:t>
      </w:r>
      <w:r w:rsidR="005A33E0">
        <w:t xml:space="preserve">patients with </w:t>
      </w:r>
      <w:r w:rsidR="00910154">
        <w:t xml:space="preserve">HMBwI who were on stable prophylaxis </w:t>
      </w:r>
      <w:r w:rsidR="00087404">
        <w:t xml:space="preserve">for at least 24 weeks in </w:t>
      </w:r>
      <w:r w:rsidR="00E33AEA">
        <w:t>E</w:t>
      </w:r>
      <w:r w:rsidR="00087404">
        <w:t xml:space="preserve">xplorer6 (details of prophylactic treatment were not reported) and </w:t>
      </w:r>
      <w:r w:rsidR="00C75D51">
        <w:t xml:space="preserve">who </w:t>
      </w:r>
      <w:r w:rsidR="006E235B">
        <w:t>re</w:t>
      </w:r>
      <w:r w:rsidR="001B4E56">
        <w:t xml:space="preserve">ached maintenance dose of concizumab in </w:t>
      </w:r>
      <w:r w:rsidR="00712D55">
        <w:t>E</w:t>
      </w:r>
      <w:r w:rsidR="001B4E56">
        <w:t>xplorer7.</w:t>
      </w:r>
      <w:r w:rsidR="00027F61">
        <w:t xml:space="preserve"> The ABR ratio favoured concizumab but was not statistically </w:t>
      </w:r>
      <w:r w:rsidR="00DF18BA">
        <w:t>significant</w:t>
      </w:r>
      <w:r w:rsidR="001A221B">
        <w:t xml:space="preserve"> (</w:t>
      </w:r>
      <w:r w:rsidR="001A221B">
        <w:fldChar w:fldCharType="begin"/>
      </w:r>
      <w:r w:rsidR="001A221B">
        <w:instrText xml:space="preserve"> REF _Ref215218368 \h </w:instrText>
      </w:r>
      <w:r w:rsidR="001A221B">
        <w:fldChar w:fldCharType="separate"/>
      </w:r>
      <w:r w:rsidR="00CD3B0F">
        <w:t xml:space="preserve">Table </w:t>
      </w:r>
      <w:r w:rsidR="00CD3B0F">
        <w:rPr>
          <w:noProof/>
        </w:rPr>
        <w:t>7</w:t>
      </w:r>
      <w:r w:rsidR="001A221B">
        <w:fldChar w:fldCharType="end"/>
      </w:r>
      <w:r w:rsidR="001A221B">
        <w:t>)</w:t>
      </w:r>
      <w:r w:rsidR="0082573F">
        <w:t>. The ABR ratio for the HMAwI participants (</w:t>
      </w:r>
      <w:r w:rsidR="004B634C">
        <w:t xml:space="preserve">0.16 [95% CI, 0.05 to 0.46], </w:t>
      </w:r>
      <w:r w:rsidR="0082573F">
        <w:t>n=6) and the combined HMAwI</w:t>
      </w:r>
      <w:r w:rsidR="008C4D26">
        <w:t>/HMBwI participants (</w:t>
      </w:r>
      <w:r w:rsidR="005D5ABE">
        <w:t xml:space="preserve">0.33 [95% CI, 0.15 to 0.72], </w:t>
      </w:r>
      <w:r w:rsidR="008C4D26">
        <w:t>n=13)</w:t>
      </w:r>
      <w:r w:rsidR="00B31E10">
        <w:t xml:space="preserve"> were statistically significant</w:t>
      </w:r>
      <w:r w:rsidR="008C4D26">
        <w:t>.</w:t>
      </w:r>
      <w:r w:rsidR="005D5ABE">
        <w:t xml:space="preserve"> Due to the small number of participants, these </w:t>
      </w:r>
      <w:r w:rsidR="00AF0236">
        <w:t xml:space="preserve">results are </w:t>
      </w:r>
      <w:r w:rsidR="00E80D19">
        <w:t>prone to random variation</w:t>
      </w:r>
      <w:r w:rsidR="00B31E10">
        <w:t xml:space="preserve"> and should be interpreted cautiously.</w:t>
      </w:r>
    </w:p>
    <w:p w14:paraId="68CC097E" w14:textId="3C6710B4" w:rsidR="007823F5" w:rsidRDefault="007823F5" w:rsidP="007823F5">
      <w:pPr>
        <w:pStyle w:val="Caption"/>
      </w:pPr>
      <w:bookmarkStart w:id="26" w:name="_Ref215218368"/>
      <w:r>
        <w:t xml:space="preserve">Table </w:t>
      </w:r>
      <w:r>
        <w:fldChar w:fldCharType="begin"/>
      </w:r>
      <w:r>
        <w:instrText>SEQ Table \* ARABIC</w:instrText>
      </w:r>
      <w:r>
        <w:fldChar w:fldCharType="separate"/>
      </w:r>
      <w:r w:rsidR="00CD3B0F">
        <w:rPr>
          <w:noProof/>
        </w:rPr>
        <w:t>7</w:t>
      </w:r>
      <w:r>
        <w:fldChar w:fldCharType="end"/>
      </w:r>
      <w:bookmarkEnd w:id="26"/>
      <w:r>
        <w:tab/>
      </w:r>
      <w:r w:rsidR="00A67CE3">
        <w:t xml:space="preserve">Treated bleeding episodes in </w:t>
      </w:r>
      <w:r w:rsidR="00F851B1">
        <w:t>E</w:t>
      </w:r>
      <w:r w:rsidR="00A67CE3">
        <w:t xml:space="preserve">xplorer6 and </w:t>
      </w:r>
      <w:r w:rsidR="00F851B1">
        <w:t>E</w:t>
      </w:r>
      <w:r w:rsidR="00A56F83">
        <w:t>xplorer</w:t>
      </w:r>
      <w:r w:rsidR="00A67CE3">
        <w:t>7 intra-patient analysis</w:t>
      </w:r>
      <w:r w:rsidR="00CB1933">
        <w:t xml:space="preserve"> (HMBwI)</w:t>
      </w:r>
    </w:p>
    <w:tbl>
      <w:tblPr>
        <w:tblStyle w:val="TableGrid"/>
        <w:tblW w:w="0" w:type="auto"/>
        <w:tblLook w:val="04A0" w:firstRow="1" w:lastRow="0" w:firstColumn="1" w:lastColumn="0" w:noHBand="0" w:noVBand="1"/>
        <w:tblCaption w:val="Treated bleeding episodes in Explorer6 and Explorer7 intra-patient analysis (HMBwI)"/>
        <w:tblDescription w:val="Treated bleeding episodes in Explorer6 and Explorer7 intra-patient analysis (HMBwI)"/>
      </w:tblPr>
      <w:tblGrid>
        <w:gridCol w:w="2547"/>
        <w:gridCol w:w="2268"/>
        <w:gridCol w:w="2268"/>
        <w:gridCol w:w="1933"/>
      </w:tblGrid>
      <w:tr w:rsidR="001634E1" w14:paraId="3CF1BDD9" w14:textId="77777777" w:rsidTr="00B63C25">
        <w:trPr>
          <w:tblHeader/>
        </w:trPr>
        <w:tc>
          <w:tcPr>
            <w:tcW w:w="2547" w:type="dxa"/>
          </w:tcPr>
          <w:p w14:paraId="71055F8A" w14:textId="4509692E" w:rsidR="001634E1" w:rsidRDefault="001634E1" w:rsidP="001634E1">
            <w:pPr>
              <w:pStyle w:val="TableHeading0"/>
            </w:pPr>
            <w:r>
              <w:t>HMBwI (</w:t>
            </w:r>
            <w:r w:rsidR="00C75D51">
              <w:t>n</w:t>
            </w:r>
            <w:r>
              <w:t>=7)</w:t>
            </w:r>
          </w:p>
        </w:tc>
        <w:tc>
          <w:tcPr>
            <w:tcW w:w="2268" w:type="dxa"/>
          </w:tcPr>
          <w:p w14:paraId="762F2C16" w14:textId="517128D2" w:rsidR="001634E1" w:rsidRDefault="001634E1" w:rsidP="00B63C25">
            <w:pPr>
              <w:pStyle w:val="TableHeading0"/>
              <w:jc w:val="center"/>
            </w:pPr>
            <w:r w:rsidRPr="0074674B">
              <w:t>Concizumab prophylaxis (Arm 4 of Explorer7)</w:t>
            </w:r>
          </w:p>
        </w:tc>
        <w:tc>
          <w:tcPr>
            <w:tcW w:w="2268" w:type="dxa"/>
          </w:tcPr>
          <w:p w14:paraId="0ABB4B0C" w14:textId="7D37E6CA" w:rsidR="001634E1" w:rsidRDefault="001634E1" w:rsidP="00B63C25">
            <w:pPr>
              <w:pStyle w:val="TableHeading0"/>
              <w:jc w:val="center"/>
            </w:pPr>
            <w:r w:rsidRPr="0074674B">
              <w:t>BPA prophylaxis (Explorer6)</w:t>
            </w:r>
          </w:p>
        </w:tc>
        <w:tc>
          <w:tcPr>
            <w:tcW w:w="1933" w:type="dxa"/>
          </w:tcPr>
          <w:p w14:paraId="4E3AB2FF" w14:textId="649DBFCD" w:rsidR="001634E1" w:rsidRDefault="001634E1" w:rsidP="00B63C25">
            <w:pPr>
              <w:pStyle w:val="TableHeading0"/>
              <w:jc w:val="center"/>
            </w:pPr>
            <w:r w:rsidRPr="0074674B">
              <w:t>ABR ratio (95% CI)</w:t>
            </w:r>
          </w:p>
        </w:tc>
      </w:tr>
      <w:tr w:rsidR="002858E5" w14:paraId="40FCF2BD" w14:textId="77777777" w:rsidTr="00B63C25">
        <w:tc>
          <w:tcPr>
            <w:tcW w:w="2547" w:type="dxa"/>
          </w:tcPr>
          <w:p w14:paraId="210D062D" w14:textId="660EC92D" w:rsidR="002858E5" w:rsidRDefault="002858E5" w:rsidP="002858E5">
            <w:pPr>
              <w:pStyle w:val="TableText"/>
            </w:pPr>
            <w:r w:rsidRPr="00781BB2">
              <w:t>Treated spontaneous and traumatic bleeding episodes</w:t>
            </w:r>
            <w:r w:rsidR="00C75D51">
              <w:t xml:space="preserve"> – estimate</w:t>
            </w:r>
            <w:r w:rsidR="00006DC7">
              <w:t>d</w:t>
            </w:r>
            <w:r w:rsidR="00C75D51">
              <w:t xml:space="preserve"> m</w:t>
            </w:r>
            <w:r w:rsidRPr="00781BB2">
              <w:t>ean ABR</w:t>
            </w:r>
          </w:p>
        </w:tc>
        <w:tc>
          <w:tcPr>
            <w:tcW w:w="2268" w:type="dxa"/>
            <w:vAlign w:val="center"/>
          </w:tcPr>
          <w:p w14:paraId="0BB2A5BF" w14:textId="2FA5ABFB" w:rsidR="002858E5" w:rsidRDefault="002858E5" w:rsidP="00B63C25">
            <w:pPr>
              <w:pStyle w:val="TableText"/>
              <w:jc w:val="center"/>
            </w:pPr>
            <w:r w:rsidRPr="00781BB2">
              <w:t>9.1</w:t>
            </w:r>
            <w:r>
              <w:t xml:space="preserve"> (2.58, 31.92)</w:t>
            </w:r>
          </w:p>
        </w:tc>
        <w:tc>
          <w:tcPr>
            <w:tcW w:w="2268" w:type="dxa"/>
            <w:vAlign w:val="center"/>
          </w:tcPr>
          <w:p w14:paraId="5F8D491B" w14:textId="2B3F1F03" w:rsidR="002858E5" w:rsidRDefault="002858E5" w:rsidP="00B63C25">
            <w:pPr>
              <w:pStyle w:val="TableText"/>
              <w:jc w:val="center"/>
            </w:pPr>
            <w:r w:rsidRPr="00781BB2">
              <w:t>18.1</w:t>
            </w:r>
            <w:r>
              <w:t xml:space="preserve"> (8.85, </w:t>
            </w:r>
            <w:r w:rsidR="00334E15">
              <w:t>37.18)</w:t>
            </w:r>
          </w:p>
        </w:tc>
        <w:tc>
          <w:tcPr>
            <w:tcW w:w="1933" w:type="dxa"/>
            <w:vAlign w:val="center"/>
          </w:tcPr>
          <w:p w14:paraId="4A3A7DE7" w14:textId="707CC9AD" w:rsidR="002858E5" w:rsidRDefault="002858E5" w:rsidP="00B63C25">
            <w:pPr>
              <w:pStyle w:val="TableText"/>
              <w:jc w:val="center"/>
            </w:pPr>
            <w:r w:rsidRPr="00781BB2">
              <w:t>0.5 (0.23, 1.08)</w:t>
            </w:r>
          </w:p>
        </w:tc>
      </w:tr>
    </w:tbl>
    <w:p w14:paraId="4D9EEE49" w14:textId="7E78B028" w:rsidR="00AD4909" w:rsidRDefault="00414EB1" w:rsidP="00263197">
      <w:pPr>
        <w:pStyle w:val="Tablenotes0"/>
      </w:pPr>
      <w:bookmarkStart w:id="27" w:name="_Hlk215493408"/>
      <w:r w:rsidRPr="00414EB1">
        <w:t>ABR</w:t>
      </w:r>
      <w:r>
        <w:t xml:space="preserve"> =</w:t>
      </w:r>
      <w:r w:rsidRPr="00414EB1">
        <w:t xml:space="preserve"> annualised bleeding rate; BPA</w:t>
      </w:r>
      <w:r w:rsidR="007823F5">
        <w:t xml:space="preserve"> =</w:t>
      </w:r>
      <w:r w:rsidRPr="00414EB1">
        <w:t xml:space="preserve"> bypassing agent; CI</w:t>
      </w:r>
      <w:r w:rsidR="007823F5">
        <w:t xml:space="preserve"> =</w:t>
      </w:r>
      <w:r w:rsidRPr="00414EB1">
        <w:t xml:space="preserve"> confidence interval; HMBwI</w:t>
      </w:r>
      <w:r w:rsidR="007823F5">
        <w:t xml:space="preserve"> =</w:t>
      </w:r>
      <w:r w:rsidRPr="00414EB1">
        <w:t xml:space="preserve"> haemophilia B with inhibitors</w:t>
      </w:r>
      <w:r w:rsidR="007823F5">
        <w:t>.</w:t>
      </w:r>
    </w:p>
    <w:bookmarkEnd w:id="27"/>
    <w:p w14:paraId="1B37F3B9" w14:textId="0DFD54EE" w:rsidR="00DC7EB6" w:rsidRDefault="00DC7EB6" w:rsidP="00263197">
      <w:pPr>
        <w:pStyle w:val="Tablenotes0"/>
      </w:pPr>
      <w:r>
        <w:t xml:space="preserve">Source: adapted from </w:t>
      </w:r>
      <w:r w:rsidR="005B3C9C">
        <w:t xml:space="preserve">Commentary </w:t>
      </w:r>
      <w:r>
        <w:t>Table 24 of MSAC 1805 ADAR + in-line commentary.</w:t>
      </w:r>
    </w:p>
    <w:p w14:paraId="75B3B53D" w14:textId="5FBBBA20" w:rsidR="00147E4A" w:rsidRDefault="00147E4A" w:rsidP="00147E4A">
      <w:pPr>
        <w:pStyle w:val="Heading4"/>
      </w:pPr>
      <w:r>
        <w:t>Quality of life outcomes</w:t>
      </w:r>
    </w:p>
    <w:p w14:paraId="56822EF7" w14:textId="52AF88B2" w:rsidR="00945365" w:rsidRDefault="2332CCD6" w:rsidP="00945365">
      <w:r>
        <w:t>Explorer7 measured a range of patient</w:t>
      </w:r>
      <w:r w:rsidR="3E156418">
        <w:t>-</w:t>
      </w:r>
      <w:r>
        <w:t>reported outcomes (PROs)</w:t>
      </w:r>
      <w:r w:rsidR="3E156418">
        <w:t>;</w:t>
      </w:r>
      <w:r>
        <w:t xml:space="preserve"> however</w:t>
      </w:r>
      <w:r w:rsidR="3E156418">
        <w:t>,</w:t>
      </w:r>
      <w:r>
        <w:t xml:space="preserve"> a considerable proportion of patients did not fill out the questionnaires</w:t>
      </w:r>
      <w:r w:rsidR="431BCAC9">
        <w:t xml:space="preserve">. Therefore, </w:t>
      </w:r>
      <w:r w:rsidR="3E156418">
        <w:t xml:space="preserve">the </w:t>
      </w:r>
      <w:r w:rsidR="431BCAC9">
        <w:t>quality</w:t>
      </w:r>
      <w:r w:rsidR="3E156418">
        <w:t>-</w:t>
      </w:r>
      <w:r w:rsidR="431BCAC9">
        <w:t>of</w:t>
      </w:r>
      <w:r w:rsidR="3E156418">
        <w:t>-</w:t>
      </w:r>
      <w:r w:rsidR="431BCAC9">
        <w:t>life outcomes are at high risk of bias and have a reduced statistical power compared to bleeding outcomes.</w:t>
      </w:r>
    </w:p>
    <w:p w14:paraId="7D5ED4E0" w14:textId="606B5675" w:rsidR="00D219C7" w:rsidRDefault="00E56AC7" w:rsidP="00945365">
      <w:r>
        <w:t xml:space="preserve">For </w:t>
      </w:r>
      <w:r w:rsidR="005024F8">
        <w:t xml:space="preserve">the combined group of </w:t>
      </w:r>
      <w:r w:rsidR="005A33E0">
        <w:t xml:space="preserve">patients with </w:t>
      </w:r>
      <w:r>
        <w:t>HMAwI and HMBwI, n</w:t>
      </w:r>
      <w:r w:rsidR="000B400C">
        <w:t xml:space="preserve">o differences were observed between concizumab prophylaxis and no prophylaxis for the </w:t>
      </w:r>
      <w:r w:rsidR="00300E5E">
        <w:t>36</w:t>
      </w:r>
      <w:r>
        <w:noBreakHyphen/>
      </w:r>
      <w:r w:rsidR="00300E5E">
        <w:t xml:space="preserve">item </w:t>
      </w:r>
      <w:r w:rsidR="5A150F5D">
        <w:t>S</w:t>
      </w:r>
      <w:r w:rsidR="00300E5E">
        <w:t>hort</w:t>
      </w:r>
      <w:r>
        <w:noBreakHyphen/>
      </w:r>
      <w:r w:rsidR="4A329924">
        <w:t>F</w:t>
      </w:r>
      <w:r w:rsidR="00300E5E">
        <w:t xml:space="preserve">orm </w:t>
      </w:r>
      <w:r w:rsidR="5D22765E">
        <w:t>H</w:t>
      </w:r>
      <w:r w:rsidR="00300E5E">
        <w:t xml:space="preserve">ealth </w:t>
      </w:r>
      <w:r w:rsidR="20D92A3F">
        <w:t>S</w:t>
      </w:r>
      <w:r w:rsidR="00300E5E">
        <w:t xml:space="preserve">urvey </w:t>
      </w:r>
      <w:r w:rsidR="0DBF6408">
        <w:t>V</w:t>
      </w:r>
      <w:r w:rsidR="00300E5E">
        <w:t>ersion 2 (</w:t>
      </w:r>
      <w:r w:rsidR="000B400C">
        <w:t>SF</w:t>
      </w:r>
      <w:r w:rsidR="00F633BD">
        <w:t>-</w:t>
      </w:r>
      <w:r w:rsidR="000B400C">
        <w:t>36</w:t>
      </w:r>
      <w:r w:rsidR="00516BBF">
        <w:t>v2</w:t>
      </w:r>
      <w:r w:rsidR="00300E5E">
        <w:t>)</w:t>
      </w:r>
      <w:r w:rsidR="00516BBF">
        <w:t xml:space="preserve"> </w:t>
      </w:r>
      <w:r w:rsidR="00B8795C">
        <w:t xml:space="preserve">scores </w:t>
      </w:r>
      <w:r w:rsidR="00516BBF">
        <w:t>for bodily pain (</w:t>
      </w:r>
      <w:r>
        <w:fldChar w:fldCharType="begin"/>
      </w:r>
      <w:r>
        <w:instrText xml:space="preserve"> REF _Ref214891724 \h </w:instrText>
      </w:r>
      <w:r>
        <w:fldChar w:fldCharType="separate"/>
      </w:r>
      <w:r w:rsidR="00CD3B0F">
        <w:t xml:space="preserve">Table </w:t>
      </w:r>
      <w:r w:rsidR="00CD3B0F" w:rsidRPr="5174EE7D">
        <w:rPr>
          <w:noProof/>
        </w:rPr>
        <w:t>8</w:t>
      </w:r>
      <w:r>
        <w:fldChar w:fldCharType="end"/>
      </w:r>
      <w:r w:rsidR="00516BBF">
        <w:t xml:space="preserve">) or physical functioning </w:t>
      </w:r>
      <w:r w:rsidR="00276470">
        <w:t>(not shown).</w:t>
      </w:r>
    </w:p>
    <w:p w14:paraId="5733D7F4" w14:textId="2EE755F3" w:rsidR="00AC329E" w:rsidRDefault="00AC329E" w:rsidP="00AC329E">
      <w:pPr>
        <w:pStyle w:val="Caption"/>
      </w:pPr>
      <w:bookmarkStart w:id="28" w:name="_Ref214891724"/>
      <w:r>
        <w:t xml:space="preserve">Table </w:t>
      </w:r>
      <w:r>
        <w:fldChar w:fldCharType="begin"/>
      </w:r>
      <w:r>
        <w:instrText>SEQ Table \* ARABIC</w:instrText>
      </w:r>
      <w:r>
        <w:fldChar w:fldCharType="separate"/>
      </w:r>
      <w:r w:rsidR="00CD3B0F">
        <w:rPr>
          <w:noProof/>
        </w:rPr>
        <w:t>8</w:t>
      </w:r>
      <w:r>
        <w:fldChar w:fldCharType="end"/>
      </w:r>
      <w:bookmarkEnd w:id="28"/>
      <w:r>
        <w:tab/>
        <w:t>SF</w:t>
      </w:r>
      <w:r w:rsidR="00F633BD">
        <w:t>-</w:t>
      </w:r>
      <w:r>
        <w:t>36v2 bodily pain outcomes for</w:t>
      </w:r>
      <w:r w:rsidR="005024F8">
        <w:t xml:space="preserve"> participants with</w:t>
      </w:r>
      <w:r>
        <w:t xml:space="preserve"> HMAwI and HMBwI </w:t>
      </w:r>
      <w:r w:rsidR="005024F8">
        <w:t>combined</w:t>
      </w:r>
      <w:r>
        <w:t xml:space="preserve"> in </w:t>
      </w:r>
      <w:r w:rsidR="00C01985">
        <w:t>E</w:t>
      </w:r>
      <w:r>
        <w:t>xplorer7</w:t>
      </w:r>
    </w:p>
    <w:tbl>
      <w:tblPr>
        <w:tblStyle w:val="TableGrid"/>
        <w:tblW w:w="5000" w:type="pct"/>
        <w:tblLook w:val="04A0" w:firstRow="1" w:lastRow="0" w:firstColumn="1" w:lastColumn="0" w:noHBand="0" w:noVBand="1"/>
        <w:tblCaption w:val="SF36v2 bodily pain outcomes for HMAwI and HMBwI participants in Explorer7"/>
        <w:tblDescription w:val="SF36v2 bodily pain outcomes for HMAwI and HMBwI participants in Explorer7"/>
      </w:tblPr>
      <w:tblGrid>
        <w:gridCol w:w="3100"/>
        <w:gridCol w:w="2140"/>
        <w:gridCol w:w="1973"/>
        <w:gridCol w:w="1803"/>
      </w:tblGrid>
      <w:tr w:rsidR="00B8795C" w14:paraId="059B4C33" w14:textId="77777777" w:rsidTr="00B8795C">
        <w:trPr>
          <w:tblHeader/>
        </w:trPr>
        <w:tc>
          <w:tcPr>
            <w:tcW w:w="1719" w:type="pct"/>
          </w:tcPr>
          <w:p w14:paraId="686E52A9" w14:textId="6EAD8289" w:rsidR="00195E09" w:rsidRDefault="004476A2" w:rsidP="00195E09">
            <w:pPr>
              <w:pStyle w:val="TableHeading0"/>
            </w:pPr>
            <w:r>
              <w:t>Outcome</w:t>
            </w:r>
          </w:p>
        </w:tc>
        <w:tc>
          <w:tcPr>
            <w:tcW w:w="1187" w:type="pct"/>
          </w:tcPr>
          <w:p w14:paraId="6B660D8F" w14:textId="00AA4DC7" w:rsidR="00195E09" w:rsidRDefault="00AC69C3" w:rsidP="00E049C9">
            <w:pPr>
              <w:pStyle w:val="TableHeading0"/>
              <w:jc w:val="center"/>
            </w:pPr>
            <w:r>
              <w:t>Concizumab prophylaxis</w:t>
            </w:r>
          </w:p>
        </w:tc>
        <w:tc>
          <w:tcPr>
            <w:tcW w:w="1094" w:type="pct"/>
          </w:tcPr>
          <w:p w14:paraId="452323EE" w14:textId="7474E26C" w:rsidR="00195E09" w:rsidRDefault="00AC69C3" w:rsidP="00E049C9">
            <w:pPr>
              <w:pStyle w:val="TableHeading0"/>
              <w:jc w:val="center"/>
            </w:pPr>
            <w:r>
              <w:t>No prophylaxis</w:t>
            </w:r>
          </w:p>
        </w:tc>
        <w:tc>
          <w:tcPr>
            <w:tcW w:w="1000" w:type="pct"/>
          </w:tcPr>
          <w:p w14:paraId="70263A66" w14:textId="2F9FE71F" w:rsidR="00195E09" w:rsidRDefault="00EA4D66" w:rsidP="00E049C9">
            <w:pPr>
              <w:pStyle w:val="TableHeading0"/>
              <w:jc w:val="center"/>
            </w:pPr>
            <w:r>
              <w:t>Difference estimate</w:t>
            </w:r>
            <w:r w:rsidR="008E549A">
              <w:t xml:space="preserve"> (95% CI)</w:t>
            </w:r>
          </w:p>
        </w:tc>
      </w:tr>
      <w:tr w:rsidR="00B8795C" w:rsidRPr="00C811E8" w14:paraId="7E92159F" w14:textId="77777777" w:rsidTr="00D96D81">
        <w:tc>
          <w:tcPr>
            <w:tcW w:w="1719" w:type="pct"/>
          </w:tcPr>
          <w:p w14:paraId="60F03875" w14:textId="09EE9F40" w:rsidR="00195E09" w:rsidRPr="00C811E8" w:rsidRDefault="00C13A19" w:rsidP="00195E09">
            <w:pPr>
              <w:pStyle w:val="TableText"/>
            </w:pPr>
            <w:r w:rsidRPr="00C811E8">
              <w:t>SF</w:t>
            </w:r>
            <w:r w:rsidR="00C324FC">
              <w:t>-</w:t>
            </w:r>
            <w:r w:rsidRPr="00C811E8">
              <w:t xml:space="preserve">36v2 mean change in bodily pain from baseline to week </w:t>
            </w:r>
            <w:r w:rsidR="00010727" w:rsidRPr="00C811E8">
              <w:t>24 (95% CI)</w:t>
            </w:r>
          </w:p>
        </w:tc>
        <w:tc>
          <w:tcPr>
            <w:tcW w:w="1187" w:type="pct"/>
            <w:vAlign w:val="center"/>
          </w:tcPr>
          <w:p w14:paraId="7AB2C295" w14:textId="028D243F" w:rsidR="00195E09" w:rsidRPr="00C811E8" w:rsidRDefault="00F91F12" w:rsidP="00D96D81">
            <w:pPr>
              <w:pStyle w:val="TableText"/>
              <w:jc w:val="center"/>
            </w:pPr>
            <w:r w:rsidRPr="00C811E8">
              <w:t>9.2 (5.06, 13.25)</w:t>
            </w:r>
            <w:r w:rsidR="008E7423" w:rsidRPr="00C811E8">
              <w:t xml:space="preserve"> [</w:t>
            </w:r>
            <w:r w:rsidR="00B8795C" w:rsidRPr="00C811E8">
              <w:t>n</w:t>
            </w:r>
            <w:r w:rsidR="008E7423" w:rsidRPr="00C811E8">
              <w:t>=23]</w:t>
            </w:r>
          </w:p>
        </w:tc>
        <w:tc>
          <w:tcPr>
            <w:tcW w:w="1094" w:type="pct"/>
            <w:vAlign w:val="center"/>
          </w:tcPr>
          <w:p w14:paraId="36DFC56A" w14:textId="1BC67CB3" w:rsidR="00195E09" w:rsidRPr="00C811E8" w:rsidRDefault="001358D1" w:rsidP="00D96D81">
            <w:pPr>
              <w:pStyle w:val="TableText"/>
              <w:jc w:val="center"/>
            </w:pPr>
            <w:r w:rsidRPr="00C811E8">
              <w:t>2.2 (-5.14, 9.52)</w:t>
            </w:r>
            <w:r w:rsidR="008E7423" w:rsidRPr="00C811E8">
              <w:t xml:space="preserve"> [</w:t>
            </w:r>
            <w:r w:rsidR="00B8795C" w:rsidRPr="00C811E8">
              <w:t>n</w:t>
            </w:r>
            <w:r w:rsidR="008E7423" w:rsidRPr="00C811E8">
              <w:t>=9]</w:t>
            </w:r>
          </w:p>
        </w:tc>
        <w:tc>
          <w:tcPr>
            <w:tcW w:w="1000" w:type="pct"/>
            <w:vAlign w:val="center"/>
          </w:tcPr>
          <w:p w14:paraId="41A553F1" w14:textId="7CC87546" w:rsidR="00195E09" w:rsidRPr="00C811E8" w:rsidRDefault="00A66E91" w:rsidP="00D96D81">
            <w:pPr>
              <w:pStyle w:val="TableText"/>
              <w:jc w:val="center"/>
            </w:pPr>
            <w:r w:rsidRPr="00C811E8">
              <w:t>6.96 (-1.64, 15.57),</w:t>
            </w:r>
            <w:r w:rsidR="00110E60" w:rsidRPr="00C811E8">
              <w:t xml:space="preserve"> </w:t>
            </w:r>
            <w:r w:rsidRPr="00C811E8">
              <w:t>p=0.109</w:t>
            </w:r>
          </w:p>
        </w:tc>
      </w:tr>
      <w:tr w:rsidR="00B8795C" w:rsidRPr="00C811E8" w14:paraId="6E3700A2" w14:textId="77777777" w:rsidTr="00D96D81">
        <w:tc>
          <w:tcPr>
            <w:tcW w:w="1719" w:type="pct"/>
          </w:tcPr>
          <w:p w14:paraId="7B6EF4AE" w14:textId="22601B54" w:rsidR="00494016" w:rsidRPr="00C811E8" w:rsidRDefault="00903423" w:rsidP="00903423">
            <w:pPr>
              <w:pStyle w:val="TableText"/>
            </w:pPr>
            <w:r w:rsidRPr="00C811E8">
              <w:t>N</w:t>
            </w:r>
            <w:r w:rsidR="003F19A8" w:rsidRPr="00C811E8">
              <w:t xml:space="preserve">umber of </w:t>
            </w:r>
            <w:r w:rsidR="00432EC1" w:rsidRPr="00C811E8">
              <w:t>SF</w:t>
            </w:r>
            <w:r w:rsidR="00C324FC">
              <w:t>-</w:t>
            </w:r>
            <w:r w:rsidR="00432EC1" w:rsidRPr="00C811E8">
              <w:t xml:space="preserve">36v2 </w:t>
            </w:r>
            <w:r w:rsidR="003F19A8" w:rsidRPr="00C811E8">
              <w:t>responders at week 24</w:t>
            </w:r>
            <w:r w:rsidR="00432EC1" w:rsidRPr="00C811E8">
              <w:t xml:space="preserve"> (at least 6.2 increase in bodily pain</w:t>
            </w:r>
            <w:r w:rsidR="00B8795C" w:rsidRPr="00C811E8">
              <w:rPr>
                <w:vertAlign w:val="superscript"/>
              </w:rPr>
              <w:t>a</w:t>
            </w:r>
            <w:r w:rsidR="00432EC1" w:rsidRPr="00C811E8">
              <w:t>)</w:t>
            </w:r>
            <w:r w:rsidR="009963CC">
              <w:t>,</w:t>
            </w:r>
            <w:r w:rsidR="00432EC1" w:rsidRPr="00C811E8">
              <w:t xml:space="preserve"> </w:t>
            </w:r>
            <w:r w:rsidR="004476A2" w:rsidRPr="00C811E8">
              <w:t>n/</w:t>
            </w:r>
            <w:r w:rsidR="00432EC1" w:rsidRPr="00C811E8">
              <w:t>N</w:t>
            </w:r>
            <w:r w:rsidR="00025460" w:rsidRPr="00C811E8">
              <w:t xml:space="preserve"> (%)</w:t>
            </w:r>
          </w:p>
        </w:tc>
        <w:tc>
          <w:tcPr>
            <w:tcW w:w="1187" w:type="pct"/>
            <w:vAlign w:val="center"/>
          </w:tcPr>
          <w:p w14:paraId="6AADC1D3" w14:textId="019B48C0" w:rsidR="00494016" w:rsidRPr="00C811E8" w:rsidRDefault="00025460" w:rsidP="00D96D81">
            <w:pPr>
              <w:pStyle w:val="TableText"/>
              <w:jc w:val="center"/>
            </w:pPr>
            <w:r w:rsidRPr="00C811E8">
              <w:t>2/12 (1</w:t>
            </w:r>
            <w:r w:rsidR="00BC0E10" w:rsidRPr="00C811E8">
              <w:t>6.7%)</w:t>
            </w:r>
          </w:p>
        </w:tc>
        <w:tc>
          <w:tcPr>
            <w:tcW w:w="1094" w:type="pct"/>
            <w:vAlign w:val="center"/>
          </w:tcPr>
          <w:p w14:paraId="26F1BD5B" w14:textId="7FAE652C" w:rsidR="00494016" w:rsidRPr="00C811E8" w:rsidRDefault="00025460" w:rsidP="00D96D81">
            <w:pPr>
              <w:pStyle w:val="TableText"/>
              <w:jc w:val="center"/>
            </w:pPr>
            <w:r w:rsidRPr="00C811E8">
              <w:t>12/24 (50%)</w:t>
            </w:r>
          </w:p>
        </w:tc>
        <w:tc>
          <w:tcPr>
            <w:tcW w:w="1000" w:type="pct"/>
            <w:vAlign w:val="center"/>
          </w:tcPr>
          <w:p w14:paraId="22FA0FA5" w14:textId="32AD033E" w:rsidR="00494016" w:rsidRPr="00C811E8" w:rsidRDefault="0032747A" w:rsidP="00D96D81">
            <w:pPr>
              <w:pStyle w:val="TableText"/>
              <w:jc w:val="center"/>
            </w:pPr>
            <w:r w:rsidRPr="00C811E8">
              <w:t>-</w:t>
            </w:r>
          </w:p>
        </w:tc>
      </w:tr>
      <w:tr w:rsidR="00B8795C" w:rsidRPr="00C811E8" w14:paraId="517B43BB" w14:textId="77777777" w:rsidTr="00D96D81">
        <w:tc>
          <w:tcPr>
            <w:tcW w:w="1719" w:type="pct"/>
          </w:tcPr>
          <w:p w14:paraId="45546322" w14:textId="5C0522C5" w:rsidR="00195E09" w:rsidRPr="00C811E8" w:rsidRDefault="003D11FD" w:rsidP="00195E09">
            <w:pPr>
              <w:pStyle w:val="TableText"/>
            </w:pPr>
            <w:r w:rsidRPr="00C811E8">
              <w:t>SF</w:t>
            </w:r>
            <w:r w:rsidR="00C324FC">
              <w:t>-</w:t>
            </w:r>
            <w:r w:rsidRPr="00C811E8">
              <w:t>36v2 responders (</w:t>
            </w:r>
            <w:r w:rsidR="00DD2AC0" w:rsidRPr="00C811E8">
              <w:t>at least 6.2 increase in bodily pain</w:t>
            </w:r>
            <w:r w:rsidR="00B8795C" w:rsidRPr="00C811E8">
              <w:rPr>
                <w:vertAlign w:val="superscript"/>
              </w:rPr>
              <w:t>a</w:t>
            </w:r>
            <w:r w:rsidR="00494016" w:rsidRPr="00C811E8">
              <w:t>)</w:t>
            </w:r>
            <w:r w:rsidR="00F57A96" w:rsidRPr="00C811E8">
              <w:t xml:space="preserve"> – </w:t>
            </w:r>
            <w:r w:rsidR="00E56AC7" w:rsidRPr="00C811E8">
              <w:t xml:space="preserve">estimated </w:t>
            </w:r>
            <w:r w:rsidR="0070156F">
              <w:t xml:space="preserve">OR </w:t>
            </w:r>
            <w:r w:rsidR="0070156F" w:rsidRPr="00C811E8">
              <w:t>(95% CI)</w:t>
            </w:r>
          </w:p>
        </w:tc>
        <w:tc>
          <w:tcPr>
            <w:tcW w:w="1187" w:type="pct"/>
            <w:vAlign w:val="center"/>
          </w:tcPr>
          <w:p w14:paraId="516BD842" w14:textId="0113AF09" w:rsidR="00195E09" w:rsidRPr="00C811E8" w:rsidRDefault="00324247" w:rsidP="00D96D81">
            <w:pPr>
              <w:pStyle w:val="TableText"/>
              <w:jc w:val="center"/>
            </w:pPr>
            <w:r w:rsidRPr="00C811E8">
              <w:t>1.1 (0.36 to 3.08)</w:t>
            </w:r>
          </w:p>
        </w:tc>
        <w:tc>
          <w:tcPr>
            <w:tcW w:w="1094" w:type="pct"/>
            <w:vAlign w:val="center"/>
          </w:tcPr>
          <w:p w14:paraId="31542BB4" w14:textId="2305AC59" w:rsidR="00195E09" w:rsidRPr="00C811E8" w:rsidRDefault="00ED7F05" w:rsidP="00D96D81">
            <w:pPr>
              <w:pStyle w:val="TableText"/>
              <w:jc w:val="center"/>
            </w:pPr>
            <w:r w:rsidRPr="00C811E8">
              <w:t>0.3 (0.04 to 1.65)</w:t>
            </w:r>
          </w:p>
        </w:tc>
        <w:tc>
          <w:tcPr>
            <w:tcW w:w="1000" w:type="pct"/>
            <w:vAlign w:val="center"/>
          </w:tcPr>
          <w:p w14:paraId="051D560F" w14:textId="37A8A4F9" w:rsidR="00195E09" w:rsidRPr="00C811E8" w:rsidRDefault="00110E60" w:rsidP="00D96D81">
            <w:pPr>
              <w:pStyle w:val="TableText"/>
              <w:jc w:val="center"/>
            </w:pPr>
            <w:r w:rsidRPr="00C811E8">
              <w:t>4.12 (0.54, 31.71), p=0.174</w:t>
            </w:r>
          </w:p>
        </w:tc>
      </w:tr>
    </w:tbl>
    <w:p w14:paraId="576B910E" w14:textId="5A04097A" w:rsidR="00E56AC7" w:rsidRDefault="009621E9" w:rsidP="00397FD7">
      <w:pPr>
        <w:pStyle w:val="Tablenotes0"/>
      </w:pPr>
      <w:bookmarkStart w:id="29" w:name="_Hlk215493416"/>
      <w:r w:rsidRPr="00C811E8">
        <w:t xml:space="preserve">CI = confidence interval; </w:t>
      </w:r>
      <w:r w:rsidR="006029B5" w:rsidRPr="00C811E8">
        <w:t>HMAwI = haemophilia A with inhibitors; HMBwI = haemophilia B with inhibitors; N = number of patients</w:t>
      </w:r>
      <w:r w:rsidR="00AF7509" w:rsidRPr="00C811E8">
        <w:t xml:space="preserve">; </w:t>
      </w:r>
      <w:r w:rsidR="00084B63">
        <w:t xml:space="preserve">OR = odds ratio; </w:t>
      </w:r>
      <w:r w:rsidR="00AF7509" w:rsidRPr="00C811E8">
        <w:t>SF-36v2 = 36</w:t>
      </w:r>
      <w:r w:rsidR="009C246D" w:rsidRPr="00C811E8">
        <w:t>-</w:t>
      </w:r>
      <w:r w:rsidR="00AF7509" w:rsidRPr="00C811E8">
        <w:t xml:space="preserve">item </w:t>
      </w:r>
      <w:r w:rsidR="00F0034C" w:rsidRPr="00C811E8">
        <w:t>Short</w:t>
      </w:r>
      <w:r w:rsidR="009C246D" w:rsidRPr="00C811E8">
        <w:t>-</w:t>
      </w:r>
      <w:r w:rsidR="00AB7A65" w:rsidRPr="00C811E8">
        <w:t>Form Health Survey</w:t>
      </w:r>
      <w:r w:rsidR="00E411ED">
        <w:t>,</w:t>
      </w:r>
      <w:r w:rsidR="00AB7A65" w:rsidRPr="00C811E8">
        <w:t xml:space="preserve"> </w:t>
      </w:r>
      <w:r w:rsidR="003C6238">
        <w:t>v</w:t>
      </w:r>
      <w:r w:rsidR="00AB7A65" w:rsidRPr="00C811E8">
        <w:t xml:space="preserve">ersion </w:t>
      </w:r>
      <w:r w:rsidR="007A6ABF" w:rsidRPr="00C811E8">
        <w:t>2</w:t>
      </w:r>
      <w:r w:rsidR="006029B5" w:rsidRPr="00C811E8">
        <w:t>.</w:t>
      </w:r>
    </w:p>
    <w:p w14:paraId="68540B64" w14:textId="675852B6" w:rsidR="00435BC6" w:rsidRDefault="00E56AC7" w:rsidP="00397FD7">
      <w:pPr>
        <w:pStyle w:val="Tablenotes0"/>
      </w:pPr>
      <w:r>
        <w:t>a</w:t>
      </w:r>
      <w:r w:rsidR="00260BAE">
        <w:t>.</w:t>
      </w:r>
      <w:r>
        <w:t xml:space="preserve"> An increase of at least 6.2 in SF-36 bodily pain score was prespecified as the threshold for a clinically meaningful within-patient change.</w:t>
      </w:r>
    </w:p>
    <w:bookmarkEnd w:id="29"/>
    <w:p w14:paraId="1E1AD43B" w14:textId="12B1EDB5" w:rsidR="003F6607" w:rsidRDefault="00B8795C" w:rsidP="00397FD7">
      <w:pPr>
        <w:pStyle w:val="Tablenotes0"/>
      </w:pPr>
      <w:r>
        <w:t>Note: f</w:t>
      </w:r>
      <w:r w:rsidR="00435BC6">
        <w:t>or SF-36v2, h</w:t>
      </w:r>
      <w:r w:rsidR="009B0198">
        <w:t>igher values indicate better functional health</w:t>
      </w:r>
      <w:r w:rsidR="00435BC6">
        <w:t>.</w:t>
      </w:r>
    </w:p>
    <w:p w14:paraId="5AB0533C" w14:textId="167A4711" w:rsidR="005F73EE" w:rsidRDefault="005F73EE" w:rsidP="00397FD7">
      <w:pPr>
        <w:pStyle w:val="Tablenotes0"/>
      </w:pPr>
      <w:r>
        <w:t xml:space="preserve">Source: adapted from Commentary Table </w:t>
      </w:r>
      <w:r w:rsidR="00397FD7">
        <w:t>7</w:t>
      </w:r>
      <w:r>
        <w:t xml:space="preserve"> of MSAC 1805 ADAR + in-line commentary.</w:t>
      </w:r>
    </w:p>
    <w:p w14:paraId="21CCF0E4" w14:textId="7BD908F1" w:rsidR="00D0392D" w:rsidRDefault="00BD3F8E" w:rsidP="00210E93">
      <w:r>
        <w:t>For</w:t>
      </w:r>
      <w:r w:rsidR="005024F8">
        <w:t xml:space="preserve"> the combined population of patients with</w:t>
      </w:r>
      <w:r>
        <w:t xml:space="preserve"> HMAwI and HMBwI, t</w:t>
      </w:r>
      <w:r w:rsidR="00210E93">
        <w:t>he</w:t>
      </w:r>
      <w:r w:rsidR="00BB5EF9">
        <w:t xml:space="preserve">re was a statistically significant </w:t>
      </w:r>
      <w:r w:rsidR="004476A2">
        <w:t>difference</w:t>
      </w:r>
      <w:r>
        <w:t>, favouring concizumab,</w:t>
      </w:r>
      <w:r w:rsidR="004476A2">
        <w:t xml:space="preserve"> </w:t>
      </w:r>
      <w:r w:rsidR="00BB5EF9">
        <w:t xml:space="preserve">in </w:t>
      </w:r>
      <w:r w:rsidR="004476A2">
        <w:t xml:space="preserve">mean change from baseline </w:t>
      </w:r>
      <w:r>
        <w:t>of</w:t>
      </w:r>
      <w:r w:rsidR="004476A2">
        <w:t xml:space="preserve"> the</w:t>
      </w:r>
      <w:r w:rsidR="00176DFD">
        <w:t xml:space="preserve"> </w:t>
      </w:r>
      <w:r w:rsidR="00E049C9">
        <w:t xml:space="preserve">total score for the </w:t>
      </w:r>
      <w:r w:rsidR="00774B5E" w:rsidRPr="000A74BC">
        <w:t xml:space="preserve">Haemophilia Quality of Life Questionnaire for </w:t>
      </w:r>
      <w:r w:rsidR="00774B5E">
        <w:t>a</w:t>
      </w:r>
      <w:r w:rsidR="00774B5E" w:rsidRPr="000A74BC">
        <w:t>dults</w:t>
      </w:r>
      <w:r w:rsidR="00210E93">
        <w:t xml:space="preserve"> </w:t>
      </w:r>
      <w:r w:rsidR="00774B5E">
        <w:t>(</w:t>
      </w:r>
      <w:r w:rsidR="00210E93">
        <w:t>Haem-A-QoL</w:t>
      </w:r>
      <w:r w:rsidR="00E049C9">
        <w:t xml:space="preserve">; </w:t>
      </w:r>
      <w:r w:rsidR="00E049C9">
        <w:fldChar w:fldCharType="begin"/>
      </w:r>
      <w:r w:rsidR="00E049C9">
        <w:instrText xml:space="preserve"> REF _Ref215527753 \h </w:instrText>
      </w:r>
      <w:r w:rsidR="00E049C9">
        <w:fldChar w:fldCharType="separate"/>
      </w:r>
      <w:r w:rsidR="00CD3B0F">
        <w:t xml:space="preserve">Table </w:t>
      </w:r>
      <w:r w:rsidR="00CD3B0F">
        <w:rPr>
          <w:noProof/>
        </w:rPr>
        <w:t>9</w:t>
      </w:r>
      <w:r w:rsidR="00E049C9">
        <w:fldChar w:fldCharType="end"/>
      </w:r>
      <w:r w:rsidR="00D02209">
        <w:t>)</w:t>
      </w:r>
      <w:r w:rsidR="00176DFD">
        <w:t xml:space="preserve">. The analysis was based on 13 patients who received concizumab and 4 patients on no </w:t>
      </w:r>
      <w:r w:rsidR="009F394C">
        <w:t xml:space="preserve">prophylaxis. </w:t>
      </w:r>
      <w:r w:rsidR="00B569F1">
        <w:t>No statistically significant improvement in the physical health domain score was observed (not shown).</w:t>
      </w:r>
      <w:r w:rsidR="009969E6">
        <w:t xml:space="preserve"> </w:t>
      </w:r>
    </w:p>
    <w:p w14:paraId="781D9313" w14:textId="1B3046E5" w:rsidR="00276470" w:rsidRDefault="00276470" w:rsidP="00276470">
      <w:pPr>
        <w:pStyle w:val="Caption"/>
      </w:pPr>
      <w:bookmarkStart w:id="30" w:name="_Ref215527753"/>
      <w:r>
        <w:t xml:space="preserve">Table </w:t>
      </w:r>
      <w:r>
        <w:fldChar w:fldCharType="begin"/>
      </w:r>
      <w:r>
        <w:instrText>SEQ Table \* ARABIC</w:instrText>
      </w:r>
      <w:r>
        <w:fldChar w:fldCharType="separate"/>
      </w:r>
      <w:r w:rsidR="00CD3B0F">
        <w:rPr>
          <w:noProof/>
        </w:rPr>
        <w:t>9</w:t>
      </w:r>
      <w:r>
        <w:fldChar w:fldCharType="end"/>
      </w:r>
      <w:bookmarkEnd w:id="30"/>
      <w:r>
        <w:tab/>
        <w:t>H</w:t>
      </w:r>
      <w:r w:rsidR="00E81E15">
        <w:t>a</w:t>
      </w:r>
      <w:r>
        <w:t>em</w:t>
      </w:r>
      <w:r w:rsidR="006029B5">
        <w:t xml:space="preserve">-A-QoL </w:t>
      </w:r>
      <w:r w:rsidR="004476A2">
        <w:t>t</w:t>
      </w:r>
      <w:r w:rsidR="006029B5">
        <w:t xml:space="preserve">otal score </w:t>
      </w:r>
      <w:r w:rsidR="004476A2">
        <w:t xml:space="preserve">– mean </w:t>
      </w:r>
      <w:r w:rsidR="006029B5">
        <w:t xml:space="preserve">change from baseline for HMAwI and HMBwI participants in </w:t>
      </w:r>
      <w:r w:rsidR="00F851B1">
        <w:t>E</w:t>
      </w:r>
      <w:r w:rsidR="006029B5">
        <w:t>xplorer7</w:t>
      </w:r>
    </w:p>
    <w:tbl>
      <w:tblPr>
        <w:tblStyle w:val="TableGrid"/>
        <w:tblW w:w="0" w:type="auto"/>
        <w:tblLook w:val="04A0" w:firstRow="1" w:lastRow="0" w:firstColumn="1" w:lastColumn="0" w:noHBand="0" w:noVBand="1"/>
        <w:tblCaption w:val="Hem-A-QoL total score – mean change from baseline for HMAwI and HMBwI participants in Explorer7"/>
        <w:tblDescription w:val="Hem-A-QoL total score – mean change from baseline for HMAwI and HMBwI participants in Explorer7"/>
      </w:tblPr>
      <w:tblGrid>
        <w:gridCol w:w="2254"/>
        <w:gridCol w:w="2254"/>
        <w:gridCol w:w="2254"/>
        <w:gridCol w:w="2254"/>
      </w:tblGrid>
      <w:tr w:rsidR="00214EAA" w14:paraId="1E41D0D7" w14:textId="77777777" w:rsidTr="00E049C9">
        <w:trPr>
          <w:tblHeader/>
        </w:trPr>
        <w:tc>
          <w:tcPr>
            <w:tcW w:w="2254" w:type="dxa"/>
          </w:tcPr>
          <w:p w14:paraId="3BD8687D" w14:textId="4D12E862" w:rsidR="00214EAA" w:rsidRDefault="004476A2">
            <w:pPr>
              <w:pStyle w:val="TableHeading0"/>
            </w:pPr>
            <w:r>
              <w:t>Outcome</w:t>
            </w:r>
          </w:p>
        </w:tc>
        <w:tc>
          <w:tcPr>
            <w:tcW w:w="2254" w:type="dxa"/>
          </w:tcPr>
          <w:p w14:paraId="782D46C5" w14:textId="2E33654B" w:rsidR="00214EAA" w:rsidRDefault="00214EAA" w:rsidP="00E049C9">
            <w:pPr>
              <w:pStyle w:val="TableHeading0"/>
              <w:jc w:val="center"/>
            </w:pPr>
            <w:r>
              <w:t>Concizumab prophylaxis</w:t>
            </w:r>
            <w:r w:rsidR="004476A2">
              <w:t xml:space="preserve"> (n=13)</w:t>
            </w:r>
          </w:p>
        </w:tc>
        <w:tc>
          <w:tcPr>
            <w:tcW w:w="2254" w:type="dxa"/>
          </w:tcPr>
          <w:p w14:paraId="7C00D8B7" w14:textId="55C1FECE" w:rsidR="004476A2" w:rsidRDefault="00214EAA" w:rsidP="00E049C9">
            <w:pPr>
              <w:pStyle w:val="TableHeading0"/>
              <w:jc w:val="center"/>
            </w:pPr>
            <w:r>
              <w:t>No prophylaxis</w:t>
            </w:r>
            <w:r w:rsidR="004476A2">
              <w:br/>
              <w:t>(n=4)</w:t>
            </w:r>
          </w:p>
        </w:tc>
        <w:tc>
          <w:tcPr>
            <w:tcW w:w="2254" w:type="dxa"/>
          </w:tcPr>
          <w:p w14:paraId="4786ED13" w14:textId="1A64A538" w:rsidR="00214EAA" w:rsidRDefault="00214EAA" w:rsidP="00E049C9">
            <w:pPr>
              <w:pStyle w:val="TableHeading0"/>
              <w:jc w:val="center"/>
            </w:pPr>
            <w:r>
              <w:t xml:space="preserve">Difference estimate </w:t>
            </w:r>
            <w:r w:rsidR="004476A2">
              <w:br/>
            </w:r>
            <w:r>
              <w:t>(95% CI)</w:t>
            </w:r>
          </w:p>
        </w:tc>
      </w:tr>
      <w:tr w:rsidR="006071A3" w14:paraId="6E78DA2E" w14:textId="77777777" w:rsidTr="00613430">
        <w:tc>
          <w:tcPr>
            <w:tcW w:w="2254" w:type="dxa"/>
          </w:tcPr>
          <w:p w14:paraId="0903584F" w14:textId="52D932D1" w:rsidR="006071A3" w:rsidRDefault="006071A3" w:rsidP="006071A3">
            <w:pPr>
              <w:pStyle w:val="TableText"/>
            </w:pPr>
            <w:r>
              <w:t>Mean H</w:t>
            </w:r>
            <w:r w:rsidR="00E81E15">
              <w:t>a</w:t>
            </w:r>
            <w:r>
              <w:t>em-A-QoL score at week 24 (95% CI)</w:t>
            </w:r>
          </w:p>
        </w:tc>
        <w:tc>
          <w:tcPr>
            <w:tcW w:w="2254" w:type="dxa"/>
            <w:vAlign w:val="center"/>
          </w:tcPr>
          <w:p w14:paraId="605F74C3" w14:textId="5C557467" w:rsidR="006071A3" w:rsidRPr="00025314" w:rsidRDefault="006071A3" w:rsidP="006071A3">
            <w:pPr>
              <w:pStyle w:val="TableText"/>
              <w:jc w:val="center"/>
              <w:rPr>
                <w:highlight w:val="cyan"/>
              </w:rPr>
            </w:pPr>
            <w:r w:rsidRPr="00C811E8">
              <w:t>32.4 (22.98, 41.88)</w:t>
            </w:r>
          </w:p>
        </w:tc>
        <w:tc>
          <w:tcPr>
            <w:tcW w:w="2254" w:type="dxa"/>
            <w:vAlign w:val="center"/>
          </w:tcPr>
          <w:p w14:paraId="490F412B" w14:textId="7D8E4822" w:rsidR="006071A3" w:rsidRPr="00025314" w:rsidRDefault="006071A3" w:rsidP="006071A3">
            <w:pPr>
              <w:pStyle w:val="TableText"/>
              <w:jc w:val="center"/>
              <w:rPr>
                <w:highlight w:val="cyan"/>
              </w:rPr>
            </w:pPr>
            <w:r w:rsidRPr="00C811E8">
              <w:t>55.0 (37.75, 72.29)</w:t>
            </w:r>
          </w:p>
        </w:tc>
        <w:tc>
          <w:tcPr>
            <w:tcW w:w="2254" w:type="dxa"/>
            <w:vAlign w:val="center"/>
          </w:tcPr>
          <w:p w14:paraId="6943F0C6" w14:textId="33F634F8" w:rsidR="006071A3" w:rsidRPr="00025314" w:rsidRDefault="006071A3" w:rsidP="006071A3">
            <w:pPr>
              <w:pStyle w:val="TableText"/>
              <w:jc w:val="center"/>
              <w:rPr>
                <w:highlight w:val="cyan"/>
              </w:rPr>
            </w:pPr>
            <w:r w:rsidRPr="00C811E8">
              <w:t>-</w:t>
            </w:r>
          </w:p>
        </w:tc>
      </w:tr>
      <w:tr w:rsidR="006071A3" w14:paraId="4BA1F86A" w14:textId="77777777" w:rsidTr="00613430">
        <w:tc>
          <w:tcPr>
            <w:tcW w:w="2254" w:type="dxa"/>
          </w:tcPr>
          <w:p w14:paraId="2D571963" w14:textId="53A58614" w:rsidR="006071A3" w:rsidRDefault="006071A3" w:rsidP="006071A3">
            <w:pPr>
              <w:pStyle w:val="TableText"/>
            </w:pPr>
            <w:r>
              <w:t>Mean change from baseline to week 24 (95% CI)</w:t>
            </w:r>
          </w:p>
        </w:tc>
        <w:tc>
          <w:tcPr>
            <w:tcW w:w="2254" w:type="dxa"/>
            <w:vAlign w:val="center"/>
          </w:tcPr>
          <w:p w14:paraId="0175BC6B" w14:textId="555F8815" w:rsidR="006071A3" w:rsidRPr="00025314" w:rsidRDefault="006071A3" w:rsidP="006071A3">
            <w:pPr>
              <w:pStyle w:val="TableText"/>
              <w:jc w:val="center"/>
              <w:rPr>
                <w:highlight w:val="cyan"/>
              </w:rPr>
            </w:pPr>
            <w:r w:rsidRPr="00C811E8">
              <w:t>-15.9 (-25.37, -6.47)</w:t>
            </w:r>
          </w:p>
        </w:tc>
        <w:tc>
          <w:tcPr>
            <w:tcW w:w="2254" w:type="dxa"/>
            <w:vAlign w:val="center"/>
          </w:tcPr>
          <w:p w14:paraId="1CC9F2FF" w14:textId="5672383C" w:rsidR="006071A3" w:rsidRPr="00025314" w:rsidRDefault="006071A3" w:rsidP="006071A3">
            <w:pPr>
              <w:pStyle w:val="TableText"/>
              <w:jc w:val="center"/>
              <w:rPr>
                <w:highlight w:val="cyan"/>
              </w:rPr>
            </w:pPr>
            <w:r w:rsidRPr="00C811E8">
              <w:t>6.7 (-10.59, 23.95)</w:t>
            </w:r>
          </w:p>
        </w:tc>
        <w:tc>
          <w:tcPr>
            <w:tcW w:w="2254" w:type="dxa"/>
            <w:vAlign w:val="center"/>
          </w:tcPr>
          <w:p w14:paraId="0A7BD4DE" w14:textId="075AD4E8" w:rsidR="006071A3" w:rsidRPr="00025314" w:rsidRDefault="006071A3" w:rsidP="006071A3">
            <w:pPr>
              <w:pStyle w:val="TableText"/>
              <w:jc w:val="center"/>
              <w:rPr>
                <w:highlight w:val="cyan"/>
              </w:rPr>
            </w:pPr>
            <w:r w:rsidRPr="00C811E8">
              <w:t>-22.6 (-42.46, -2.73), p=0.028</w:t>
            </w:r>
          </w:p>
        </w:tc>
      </w:tr>
    </w:tbl>
    <w:p w14:paraId="6FA063E4" w14:textId="4BC3CCFE" w:rsidR="00435BC6" w:rsidRDefault="009621E9" w:rsidP="00FC79AA">
      <w:pPr>
        <w:pStyle w:val="Tablenotes0"/>
      </w:pPr>
      <w:bookmarkStart w:id="31" w:name="_Hlk215493424"/>
      <w:r w:rsidRPr="00414EB1">
        <w:t>CI</w:t>
      </w:r>
      <w:r>
        <w:t xml:space="preserve"> =</w:t>
      </w:r>
      <w:r w:rsidRPr="00414EB1">
        <w:t xml:space="preserve"> confidence interval;</w:t>
      </w:r>
      <w:r w:rsidR="00AF7509">
        <w:t xml:space="preserve"> H</w:t>
      </w:r>
      <w:r w:rsidR="00E81E15">
        <w:t>a</w:t>
      </w:r>
      <w:r w:rsidR="00AF7509">
        <w:t>em-A-QoL =</w:t>
      </w:r>
      <w:r w:rsidR="000A74BC" w:rsidRPr="000A74BC">
        <w:t xml:space="preserve"> Haemophilia Quality of Life Questionnaire for Adults</w:t>
      </w:r>
      <w:r w:rsidR="00AF7509">
        <w:t>;</w:t>
      </w:r>
      <w:r w:rsidRPr="00414EB1">
        <w:t xml:space="preserve"> </w:t>
      </w:r>
      <w:r w:rsidR="006029B5" w:rsidRPr="006029B5">
        <w:t>HMAwI = haemophilia A with inhibitors; HMBwI = haemophilia B with inhibitors.</w:t>
      </w:r>
      <w:r w:rsidR="00435BC6">
        <w:t xml:space="preserve"> </w:t>
      </w:r>
    </w:p>
    <w:bookmarkEnd w:id="31"/>
    <w:p w14:paraId="09670A31" w14:textId="4002E942" w:rsidR="00C811E8" w:rsidRDefault="00435BC6" w:rsidP="00FC79AA">
      <w:pPr>
        <w:pStyle w:val="Tablenotes0"/>
      </w:pPr>
      <w:r>
        <w:t>For H</w:t>
      </w:r>
      <w:r w:rsidR="00E81E15">
        <w:t>a</w:t>
      </w:r>
      <w:r>
        <w:t>em-A-QOL, lower values indicate better quality of life.</w:t>
      </w:r>
    </w:p>
    <w:p w14:paraId="5AAFA2A9" w14:textId="25B0258B" w:rsidR="009542E6" w:rsidRDefault="009542E6" w:rsidP="00FC79AA">
      <w:pPr>
        <w:pStyle w:val="Tablenotes0"/>
      </w:pPr>
      <w:r>
        <w:t xml:space="preserve">Source: Commentary Table </w:t>
      </w:r>
      <w:r w:rsidR="00FC79AA">
        <w:t>6</w:t>
      </w:r>
      <w:r>
        <w:t xml:space="preserve"> of MSAC 1805 ADAR + in-line commentary.</w:t>
      </w:r>
    </w:p>
    <w:p w14:paraId="36C9BE19" w14:textId="4298CA0F" w:rsidR="00C62580" w:rsidRDefault="00B24A25" w:rsidP="00C62580">
      <w:pPr>
        <w:pStyle w:val="Heading3"/>
      </w:pPr>
      <w:r>
        <w:t>Haemophilia B without inhibitors</w:t>
      </w:r>
    </w:p>
    <w:p w14:paraId="7879ED89" w14:textId="0620BF1F" w:rsidR="00B24A25" w:rsidRDefault="00B24A25" w:rsidP="00B24A25">
      <w:pPr>
        <w:pStyle w:val="Heading4"/>
      </w:pPr>
      <w:r>
        <w:t>Bleeding outcomes</w:t>
      </w:r>
    </w:p>
    <w:p w14:paraId="01648601" w14:textId="0B7A8525" w:rsidR="002815D9" w:rsidRPr="002815D9" w:rsidRDefault="002815D9" w:rsidP="002815D9">
      <w:pPr>
        <w:pStyle w:val="Heading5"/>
      </w:pPr>
      <w:r>
        <w:t>Concizumab v</w:t>
      </w:r>
      <w:r w:rsidR="00E049C9">
        <w:t>ersu</w:t>
      </w:r>
      <w:r>
        <w:t>s FIX prophylaxis</w:t>
      </w:r>
    </w:p>
    <w:p w14:paraId="013393DA" w14:textId="64068D6F" w:rsidR="00B24A25" w:rsidRPr="00C811E8" w:rsidRDefault="002258FB" w:rsidP="00B24A25">
      <w:r>
        <w:t xml:space="preserve">The </w:t>
      </w:r>
      <w:r w:rsidR="00430E3B">
        <w:t>Explorer8 RCT compared on-demand treatment against concizumab in HM</w:t>
      </w:r>
      <w:r w:rsidR="00C850A6">
        <w:t>B</w:t>
      </w:r>
      <w:r w:rsidR="00E049C9">
        <w:t>;</w:t>
      </w:r>
      <w:r w:rsidR="00C850A6">
        <w:t xml:space="preserve"> however</w:t>
      </w:r>
      <w:r w:rsidR="00E049C9">
        <w:t>,</w:t>
      </w:r>
      <w:r w:rsidR="00C850A6">
        <w:t xml:space="preserve"> </w:t>
      </w:r>
      <w:r w:rsidR="00211E43">
        <w:t>in clinical practice</w:t>
      </w:r>
      <w:r w:rsidR="005B4BD9">
        <w:t xml:space="preserve">, </w:t>
      </w:r>
      <w:r w:rsidR="00C850A6">
        <w:t xml:space="preserve">most </w:t>
      </w:r>
      <w:r w:rsidR="0056542C">
        <w:t xml:space="preserve">Australian </w:t>
      </w:r>
      <w:r w:rsidR="005B4BD9">
        <w:t xml:space="preserve">patients with </w:t>
      </w:r>
      <w:r w:rsidR="002C19D4">
        <w:t xml:space="preserve">severe </w:t>
      </w:r>
      <w:r w:rsidR="005B4BD9">
        <w:t xml:space="preserve">or </w:t>
      </w:r>
      <w:r w:rsidR="002C19D4">
        <w:t xml:space="preserve">moderately severe HMB </w:t>
      </w:r>
      <w:r w:rsidR="005B4BD9">
        <w:t>receive</w:t>
      </w:r>
      <w:r w:rsidR="002C19D4">
        <w:t xml:space="preserve"> regular FIX prophylaxis. </w:t>
      </w:r>
      <w:r w:rsidR="00E34AB2">
        <w:t>Data for t</w:t>
      </w:r>
      <w:r w:rsidR="002C19D4">
        <w:t xml:space="preserve">his comparison was derived from the intra-patient analysis of 22 patients </w:t>
      </w:r>
      <w:r w:rsidR="00E33AEA">
        <w:t xml:space="preserve">who were on stable prophylaxis for at least 24 weeks in Explorer6 (details of prophylactic treatment were not reported) and </w:t>
      </w:r>
      <w:r w:rsidR="00E34AB2">
        <w:t xml:space="preserve">who </w:t>
      </w:r>
      <w:r w:rsidR="00E33AEA">
        <w:t>reached maintenance dose of concizumab in Explorer8</w:t>
      </w:r>
      <w:r w:rsidR="002C19D4">
        <w:t xml:space="preserve">. </w:t>
      </w:r>
      <w:r w:rsidR="006C006B">
        <w:t>Based on t</w:t>
      </w:r>
      <w:r w:rsidR="009261CE">
        <w:t xml:space="preserve">he ABR ratio </w:t>
      </w:r>
      <w:r w:rsidR="00394913">
        <w:t xml:space="preserve">of </w:t>
      </w:r>
      <w:r w:rsidR="00552156" w:rsidRPr="00CE540D">
        <w:rPr>
          <w:snapToGrid w:val="0"/>
        </w:rPr>
        <w:t>1.75 (</w:t>
      </w:r>
      <w:r w:rsidR="00552156">
        <w:rPr>
          <w:snapToGrid w:val="0"/>
        </w:rPr>
        <w:t xml:space="preserve">95% CI </w:t>
      </w:r>
      <w:r w:rsidR="00552156" w:rsidRPr="00CE540D">
        <w:rPr>
          <w:snapToGrid w:val="0"/>
        </w:rPr>
        <w:t>0.81</w:t>
      </w:r>
      <w:r w:rsidR="00552156">
        <w:rPr>
          <w:snapToGrid w:val="0"/>
        </w:rPr>
        <w:t xml:space="preserve"> to</w:t>
      </w:r>
      <w:r w:rsidR="00552156" w:rsidRPr="00CE540D">
        <w:rPr>
          <w:snapToGrid w:val="0"/>
        </w:rPr>
        <w:t xml:space="preserve"> 3.78)</w:t>
      </w:r>
      <w:r w:rsidR="00552156">
        <w:rPr>
          <w:snapToGrid w:val="0"/>
        </w:rPr>
        <w:t xml:space="preserve"> </w:t>
      </w:r>
      <w:r w:rsidR="006C006B">
        <w:rPr>
          <w:snapToGrid w:val="0"/>
        </w:rPr>
        <w:t xml:space="preserve">noninferiority was not demonstrated as the </w:t>
      </w:r>
      <w:r w:rsidR="00325697">
        <w:rPr>
          <w:snapToGrid w:val="0"/>
        </w:rPr>
        <w:t xml:space="preserve">upper bound of the CI exceeded the </w:t>
      </w:r>
      <w:r w:rsidR="00552156" w:rsidRPr="00C811E8">
        <w:rPr>
          <w:snapToGrid w:val="0"/>
        </w:rPr>
        <w:t>prespecified noninferiority margin of 2.0 that was predicted to preserve 60% of the established treatment effect of FIX prophylaxis.</w:t>
      </w:r>
      <w:r w:rsidR="00E5200E" w:rsidRPr="00C811E8">
        <w:rPr>
          <w:snapToGrid w:val="0"/>
        </w:rPr>
        <w:t xml:space="preserve"> Noninferiority was also not confirmed in the HMA </w:t>
      </w:r>
      <w:r w:rsidR="00E34AB2" w:rsidRPr="00C811E8">
        <w:rPr>
          <w:snapToGrid w:val="0"/>
        </w:rPr>
        <w:t>n</w:t>
      </w:r>
      <w:r w:rsidR="00E5200E" w:rsidRPr="00C811E8">
        <w:rPr>
          <w:snapToGrid w:val="0"/>
        </w:rPr>
        <w:t xml:space="preserve">or </w:t>
      </w:r>
      <w:r w:rsidR="00564159" w:rsidRPr="00C811E8">
        <w:rPr>
          <w:snapToGrid w:val="0"/>
        </w:rPr>
        <w:t xml:space="preserve">combined </w:t>
      </w:r>
      <w:r w:rsidR="00E5200E" w:rsidRPr="00C811E8">
        <w:rPr>
          <w:snapToGrid w:val="0"/>
        </w:rPr>
        <w:t>HMA/HMB</w:t>
      </w:r>
      <w:r w:rsidR="00564159" w:rsidRPr="00C811E8">
        <w:rPr>
          <w:snapToGrid w:val="0"/>
        </w:rPr>
        <w:t xml:space="preserve"> (N=51)</w:t>
      </w:r>
      <w:r w:rsidR="00E5200E" w:rsidRPr="00C811E8">
        <w:rPr>
          <w:snapToGrid w:val="0"/>
        </w:rPr>
        <w:t xml:space="preserve"> populations</w:t>
      </w:r>
      <w:r w:rsidR="00717864" w:rsidRPr="00C811E8">
        <w:rPr>
          <w:snapToGrid w:val="0"/>
        </w:rPr>
        <w:t xml:space="preserve"> (ABR ratio 1.53 [95% CI 0.93 to 2.52</w:t>
      </w:r>
      <w:r w:rsidR="00E34AB2" w:rsidRPr="00C811E8">
        <w:rPr>
          <w:snapToGrid w:val="0"/>
        </w:rPr>
        <w:t>]</w:t>
      </w:r>
      <w:r w:rsidR="00717864" w:rsidRPr="00C811E8">
        <w:rPr>
          <w:snapToGrid w:val="0"/>
        </w:rPr>
        <w:t>).</w:t>
      </w:r>
    </w:p>
    <w:p w14:paraId="3A5EC3AD" w14:textId="0018E244" w:rsidR="00885829" w:rsidRPr="00C811E8" w:rsidRDefault="00885829" w:rsidP="00885829">
      <w:pPr>
        <w:pStyle w:val="Caption"/>
      </w:pPr>
      <w:bookmarkStart w:id="32" w:name="_Ref215136536"/>
      <w:r w:rsidRPr="00C811E8">
        <w:t xml:space="preserve">Table </w:t>
      </w:r>
      <w:r>
        <w:fldChar w:fldCharType="begin"/>
      </w:r>
      <w:r>
        <w:instrText>SEQ Table \* ARABIC</w:instrText>
      </w:r>
      <w:r>
        <w:fldChar w:fldCharType="separate"/>
      </w:r>
      <w:r w:rsidR="00CD3B0F">
        <w:rPr>
          <w:noProof/>
        </w:rPr>
        <w:t>10</w:t>
      </w:r>
      <w:r>
        <w:fldChar w:fldCharType="end"/>
      </w:r>
      <w:bookmarkEnd w:id="32"/>
      <w:r w:rsidRPr="00C811E8">
        <w:tab/>
      </w:r>
      <w:r w:rsidR="0096315F" w:rsidRPr="00C811E8">
        <w:t>Treated bleeding episodes in Explorer6 and Explorer8 intra-patient analysis (HMB)</w:t>
      </w:r>
    </w:p>
    <w:tbl>
      <w:tblPr>
        <w:tblStyle w:val="TableGrid"/>
        <w:tblW w:w="5000" w:type="pct"/>
        <w:tblLook w:val="04A0" w:firstRow="1" w:lastRow="0" w:firstColumn="1" w:lastColumn="0" w:noHBand="0" w:noVBand="1"/>
        <w:tblCaption w:val="Treated bleeding episodes in Explorer6 and Explorer8 intra-patient analysis (HMB)"/>
        <w:tblDescription w:val="Treated bleeding episodes in Explorer6 and Explorer8 intra-patient analysis (HMB)"/>
      </w:tblPr>
      <w:tblGrid>
        <w:gridCol w:w="2593"/>
        <w:gridCol w:w="2299"/>
        <w:gridCol w:w="2063"/>
        <w:gridCol w:w="2061"/>
      </w:tblGrid>
      <w:tr w:rsidR="00125FB1" w:rsidRPr="00C811E8" w14:paraId="1A25C24B" w14:textId="77777777" w:rsidTr="00E34AB2">
        <w:trPr>
          <w:tblHeader/>
        </w:trPr>
        <w:tc>
          <w:tcPr>
            <w:tcW w:w="1438" w:type="pct"/>
          </w:tcPr>
          <w:p w14:paraId="0669F9F1" w14:textId="480796B1" w:rsidR="00125FB1" w:rsidRPr="00C811E8" w:rsidRDefault="00125FB1">
            <w:pPr>
              <w:pStyle w:val="TableHeading0"/>
            </w:pPr>
            <w:r w:rsidRPr="00C811E8">
              <w:t xml:space="preserve">HMB </w:t>
            </w:r>
            <w:r w:rsidR="008E166B" w:rsidRPr="00C811E8">
              <w:t>(N=22)</w:t>
            </w:r>
          </w:p>
        </w:tc>
        <w:tc>
          <w:tcPr>
            <w:tcW w:w="1275" w:type="pct"/>
          </w:tcPr>
          <w:p w14:paraId="2AA6347F" w14:textId="36986A71" w:rsidR="00125FB1" w:rsidRPr="00C811E8" w:rsidRDefault="00125FB1" w:rsidP="00804B35">
            <w:pPr>
              <w:pStyle w:val="TableHeading0"/>
              <w:jc w:val="center"/>
            </w:pPr>
            <w:r w:rsidRPr="00C811E8">
              <w:t>Concizumab prophylaxis (Arm 4 of Explorer</w:t>
            </w:r>
            <w:r w:rsidR="00CA1664" w:rsidRPr="00C811E8">
              <w:t>8</w:t>
            </w:r>
            <w:r w:rsidRPr="00C811E8">
              <w:t>)</w:t>
            </w:r>
          </w:p>
        </w:tc>
        <w:tc>
          <w:tcPr>
            <w:tcW w:w="1144" w:type="pct"/>
          </w:tcPr>
          <w:p w14:paraId="4538AA7A" w14:textId="0D5E17E4" w:rsidR="00125FB1" w:rsidRPr="00C811E8" w:rsidRDefault="009C1CF3" w:rsidP="00804B35">
            <w:pPr>
              <w:pStyle w:val="TableHeading0"/>
              <w:jc w:val="center"/>
            </w:pPr>
            <w:r w:rsidRPr="00C811E8">
              <w:t>FIX</w:t>
            </w:r>
            <w:r w:rsidR="00125FB1" w:rsidRPr="00C811E8">
              <w:t xml:space="preserve"> prophylaxis (Explorer6)</w:t>
            </w:r>
          </w:p>
        </w:tc>
        <w:tc>
          <w:tcPr>
            <w:tcW w:w="1144" w:type="pct"/>
          </w:tcPr>
          <w:p w14:paraId="29F0E8F5" w14:textId="77777777" w:rsidR="00125FB1" w:rsidRPr="00C811E8" w:rsidRDefault="00125FB1" w:rsidP="00804B35">
            <w:pPr>
              <w:pStyle w:val="TableHeading0"/>
              <w:jc w:val="center"/>
            </w:pPr>
            <w:r w:rsidRPr="00C811E8">
              <w:t>ABR ratio (95% CI)</w:t>
            </w:r>
          </w:p>
        </w:tc>
      </w:tr>
      <w:tr w:rsidR="008E166B" w:rsidRPr="00C811E8" w14:paraId="331BA2B7" w14:textId="77777777" w:rsidTr="0068315D">
        <w:tc>
          <w:tcPr>
            <w:tcW w:w="1438" w:type="pct"/>
          </w:tcPr>
          <w:p w14:paraId="1271CCDD" w14:textId="00E11B29" w:rsidR="008E166B" w:rsidRPr="00C811E8" w:rsidRDefault="00E34AB2" w:rsidP="008E166B">
            <w:pPr>
              <w:pStyle w:val="TableText"/>
            </w:pPr>
            <w:r w:rsidRPr="00C811E8">
              <w:t>Participants with z</w:t>
            </w:r>
            <w:r w:rsidR="008E166B" w:rsidRPr="00C811E8">
              <w:t>ero treated spontaneous and traumatic bleeding episodes</w:t>
            </w:r>
            <w:r w:rsidR="008E166B" w:rsidRPr="00C811E8">
              <w:rPr>
                <w:vertAlign w:val="superscript"/>
              </w:rPr>
              <w:t>a</w:t>
            </w:r>
            <w:r w:rsidR="00442EBE">
              <w:t>,</w:t>
            </w:r>
            <w:r w:rsidR="008E166B" w:rsidRPr="00C811E8">
              <w:t xml:space="preserve"> </w:t>
            </w:r>
            <w:r w:rsidRPr="00C811E8">
              <w:t>n</w:t>
            </w:r>
            <w:r w:rsidR="008E166B" w:rsidRPr="00C811E8">
              <w:t xml:space="preserve"> (%)</w:t>
            </w:r>
          </w:p>
        </w:tc>
        <w:tc>
          <w:tcPr>
            <w:tcW w:w="1275" w:type="pct"/>
            <w:vAlign w:val="center"/>
          </w:tcPr>
          <w:p w14:paraId="32CCF76E" w14:textId="1F4201B7" w:rsidR="00E34AB2" w:rsidRPr="00C811E8" w:rsidRDefault="008E166B" w:rsidP="0068315D">
            <w:pPr>
              <w:pStyle w:val="TableText"/>
              <w:jc w:val="center"/>
            </w:pPr>
            <w:r w:rsidRPr="00C811E8">
              <w:t>9 (40.9)</w:t>
            </w:r>
          </w:p>
        </w:tc>
        <w:tc>
          <w:tcPr>
            <w:tcW w:w="1144" w:type="pct"/>
            <w:vAlign w:val="center"/>
          </w:tcPr>
          <w:p w14:paraId="7C3CF2D3" w14:textId="0A79BA25" w:rsidR="008E166B" w:rsidRPr="00C811E8" w:rsidRDefault="008E166B" w:rsidP="0068315D">
            <w:pPr>
              <w:pStyle w:val="TableText"/>
              <w:jc w:val="center"/>
            </w:pPr>
            <w:r w:rsidRPr="00C811E8">
              <w:t>7 (31.8)</w:t>
            </w:r>
          </w:p>
        </w:tc>
        <w:tc>
          <w:tcPr>
            <w:tcW w:w="1144" w:type="pct"/>
            <w:vAlign w:val="center"/>
          </w:tcPr>
          <w:p w14:paraId="493C8DE0" w14:textId="44035E59" w:rsidR="008E166B" w:rsidRPr="00C811E8" w:rsidRDefault="00A27E94" w:rsidP="0068315D">
            <w:pPr>
              <w:pStyle w:val="TableText"/>
              <w:jc w:val="center"/>
            </w:pPr>
            <w:r w:rsidRPr="00C811E8">
              <w:t>-</w:t>
            </w:r>
          </w:p>
        </w:tc>
      </w:tr>
      <w:tr w:rsidR="00885829" w:rsidRPr="00C811E8" w14:paraId="7837AA22" w14:textId="77777777" w:rsidTr="0068315D">
        <w:tc>
          <w:tcPr>
            <w:tcW w:w="1438" w:type="pct"/>
          </w:tcPr>
          <w:p w14:paraId="359B6F12" w14:textId="5B7B5CDF" w:rsidR="00885829" w:rsidRPr="00C811E8" w:rsidRDefault="00885829" w:rsidP="00885829">
            <w:pPr>
              <w:pStyle w:val="TableText"/>
            </w:pPr>
            <w:r w:rsidRPr="00C811E8">
              <w:t>Treated spontaneous and traumatic bleeding episodes</w:t>
            </w:r>
            <w:r w:rsidR="00E34AB2" w:rsidRPr="00C811E8">
              <w:t xml:space="preserve"> – estimated m</w:t>
            </w:r>
            <w:r w:rsidRPr="00C811E8">
              <w:t>ean ABR (</w:t>
            </w:r>
            <w:r w:rsidR="00442EBE">
              <w:t xml:space="preserve">95% </w:t>
            </w:r>
            <w:r w:rsidR="00F9160A" w:rsidRPr="00C811E8">
              <w:t>CI</w:t>
            </w:r>
            <w:r w:rsidRPr="00C811E8">
              <w:t>)</w:t>
            </w:r>
          </w:p>
        </w:tc>
        <w:tc>
          <w:tcPr>
            <w:tcW w:w="1275" w:type="pct"/>
            <w:vAlign w:val="center"/>
          </w:tcPr>
          <w:p w14:paraId="2700C561" w14:textId="21FAA662" w:rsidR="00885829" w:rsidRPr="00C811E8" w:rsidRDefault="00AE71CB" w:rsidP="0068315D">
            <w:pPr>
              <w:pStyle w:val="TableText"/>
              <w:jc w:val="center"/>
            </w:pPr>
            <w:r w:rsidRPr="00C811E8">
              <w:t>5.4 (2.27, 12.91)</w:t>
            </w:r>
          </w:p>
        </w:tc>
        <w:tc>
          <w:tcPr>
            <w:tcW w:w="1144" w:type="pct"/>
            <w:vAlign w:val="center"/>
          </w:tcPr>
          <w:p w14:paraId="63A0EAC9" w14:textId="59EADDAB" w:rsidR="00885829" w:rsidRPr="00C811E8" w:rsidRDefault="00885829" w:rsidP="0068315D">
            <w:pPr>
              <w:pStyle w:val="TableText"/>
              <w:jc w:val="center"/>
            </w:pPr>
            <w:r w:rsidRPr="00C811E8">
              <w:t xml:space="preserve">3.1 </w:t>
            </w:r>
            <w:r w:rsidR="007A704A" w:rsidRPr="00C811E8">
              <w:t>(2.07, 4.62)</w:t>
            </w:r>
          </w:p>
        </w:tc>
        <w:tc>
          <w:tcPr>
            <w:tcW w:w="1144" w:type="pct"/>
            <w:vAlign w:val="center"/>
          </w:tcPr>
          <w:p w14:paraId="2F5C04FA" w14:textId="44E176DA" w:rsidR="00885829" w:rsidRPr="00C811E8" w:rsidRDefault="00885829" w:rsidP="0068315D">
            <w:pPr>
              <w:pStyle w:val="TableText"/>
              <w:jc w:val="center"/>
            </w:pPr>
            <w:r w:rsidRPr="00C811E8">
              <w:t>1.75 (0.81, 3.78)</w:t>
            </w:r>
          </w:p>
        </w:tc>
      </w:tr>
    </w:tbl>
    <w:p w14:paraId="583C79EA" w14:textId="5601341B" w:rsidR="00CA1664" w:rsidRPr="00C811E8" w:rsidRDefault="00CA1664" w:rsidP="009E789D">
      <w:pPr>
        <w:pStyle w:val="Tablenotes0"/>
      </w:pPr>
      <w:bookmarkStart w:id="33" w:name="_Hlk215493436"/>
      <w:r w:rsidRPr="00C811E8">
        <w:t xml:space="preserve">ABR = annualised bleeding rate; CI = confidence interval; </w:t>
      </w:r>
      <w:r w:rsidR="00076B04" w:rsidRPr="00C811E8">
        <w:t xml:space="preserve">FIX = Factor IX; </w:t>
      </w:r>
      <w:r w:rsidRPr="00C811E8">
        <w:t>HMB = haemophilia B.</w:t>
      </w:r>
    </w:p>
    <w:bookmarkEnd w:id="33"/>
    <w:p w14:paraId="189CDABD" w14:textId="48497E66" w:rsidR="00EE5F89" w:rsidRPr="00C811E8" w:rsidRDefault="00EE5F89" w:rsidP="009E789D">
      <w:pPr>
        <w:pStyle w:val="Tablenotes0"/>
      </w:pPr>
      <w:r w:rsidRPr="00C811E8">
        <w:t>a</w:t>
      </w:r>
      <w:r w:rsidR="00BA1CC7">
        <w:t>.</w:t>
      </w:r>
      <w:r w:rsidRPr="00C811E8">
        <w:t xml:space="preserve"> </w:t>
      </w:r>
      <w:r w:rsidR="00B54CCA">
        <w:t>Also,</w:t>
      </w:r>
      <w:r w:rsidR="00E34AB2" w:rsidRPr="00C811E8">
        <w:t xml:space="preserve"> </w:t>
      </w:r>
      <w:r w:rsidRPr="00C811E8">
        <w:t>no permanent discontinuation of treatment before 24 weeks.</w:t>
      </w:r>
    </w:p>
    <w:p w14:paraId="5575954A" w14:textId="3E61C3BD" w:rsidR="00EE5F89" w:rsidRDefault="00EE5F89" w:rsidP="009E789D">
      <w:pPr>
        <w:pStyle w:val="Tablenotes0"/>
      </w:pPr>
      <w:r w:rsidRPr="00C811E8">
        <w:t xml:space="preserve">Source: </w:t>
      </w:r>
      <w:r w:rsidR="00860B62" w:rsidRPr="00C811E8">
        <w:t xml:space="preserve">Table 16 of </w:t>
      </w:r>
      <w:r w:rsidRPr="00C811E8">
        <w:t>MSAC Application 1805 in-line Commentary.</w:t>
      </w:r>
    </w:p>
    <w:p w14:paraId="3DD1F533" w14:textId="33B050B1" w:rsidR="005A793A" w:rsidRDefault="0048472D" w:rsidP="00B24A25">
      <w:r>
        <w:t xml:space="preserve">The concizumab ABR </w:t>
      </w:r>
      <w:r w:rsidR="00FD7334">
        <w:t xml:space="preserve">for this analysis </w:t>
      </w:r>
      <w:r w:rsidR="000B5F84">
        <w:t>(</w:t>
      </w:r>
      <w:r w:rsidR="000B5F84">
        <w:fldChar w:fldCharType="begin"/>
      </w:r>
      <w:r w:rsidR="000B5F84">
        <w:instrText xml:space="preserve"> REF _Ref215136536 \h </w:instrText>
      </w:r>
      <w:r w:rsidR="000B5F84">
        <w:fldChar w:fldCharType="separate"/>
      </w:r>
      <w:r w:rsidR="00CD3B0F" w:rsidRPr="00C811E8">
        <w:t xml:space="preserve">Table </w:t>
      </w:r>
      <w:r w:rsidR="00CD3B0F">
        <w:rPr>
          <w:noProof/>
        </w:rPr>
        <w:t>10</w:t>
      </w:r>
      <w:r w:rsidR="000B5F84">
        <w:fldChar w:fldCharType="end"/>
      </w:r>
      <w:r w:rsidR="000B5F84">
        <w:t xml:space="preserve">) </w:t>
      </w:r>
      <w:r w:rsidR="00FD7334">
        <w:t xml:space="preserve">is influenced by an outlier patient who </w:t>
      </w:r>
      <w:r w:rsidR="00F663C7">
        <w:t xml:space="preserve">had an increased number of bleeding episodes on concizumab. A similar </w:t>
      </w:r>
      <w:r w:rsidR="00E434CE">
        <w:t xml:space="preserve">observation is made in the HMA population where </w:t>
      </w:r>
      <w:r w:rsidR="002C459A">
        <w:t xml:space="preserve">2 </w:t>
      </w:r>
      <w:r w:rsidR="00E434CE">
        <w:t>patients had a high</w:t>
      </w:r>
      <w:r w:rsidR="00481028">
        <w:t>er</w:t>
      </w:r>
      <w:r w:rsidR="00E434CE">
        <w:t xml:space="preserve"> number of bleeds on concizumab prophylaxis</w:t>
      </w:r>
      <w:r w:rsidR="00905B2C">
        <w:t>.</w:t>
      </w:r>
      <w:r w:rsidR="00AA5FB9">
        <w:t xml:space="preserve"> All </w:t>
      </w:r>
      <w:r w:rsidR="002C459A">
        <w:t xml:space="preserve">3 </w:t>
      </w:r>
      <w:r w:rsidR="00AA5FB9">
        <w:t xml:space="preserve">patients are visualised in </w:t>
      </w:r>
      <w:r w:rsidR="00AA5FB9">
        <w:fldChar w:fldCharType="begin"/>
      </w:r>
      <w:r w:rsidR="00AA5FB9">
        <w:instrText xml:space="preserve"> REF _Ref215136778 \h </w:instrText>
      </w:r>
      <w:r w:rsidR="00AA5FB9">
        <w:fldChar w:fldCharType="separate"/>
      </w:r>
      <w:r w:rsidR="00CD3B0F">
        <w:t xml:space="preserve">Figure </w:t>
      </w:r>
      <w:r w:rsidR="00CD3B0F">
        <w:rPr>
          <w:noProof/>
        </w:rPr>
        <w:t>1</w:t>
      </w:r>
      <w:r w:rsidR="00AA5FB9">
        <w:fldChar w:fldCharType="end"/>
      </w:r>
      <w:r w:rsidR="00AA5FB9">
        <w:t>.</w:t>
      </w:r>
      <w:r w:rsidR="00D207E0">
        <w:t xml:space="preserve"> The CSR stated that </w:t>
      </w:r>
      <w:r w:rsidR="00D207E0" w:rsidRPr="00D207E0">
        <w:t>that all 3 patients remained on concizumab for longer than necessary during the trial due to patient, family and/or investigator preference.</w:t>
      </w:r>
    </w:p>
    <w:p w14:paraId="63D70E6F" w14:textId="73FB27AE" w:rsidR="005A793A" w:rsidRDefault="005A793A" w:rsidP="00C8210F">
      <w:pPr>
        <w:pStyle w:val="Caption"/>
      </w:pPr>
      <w:bookmarkStart w:id="34" w:name="_Ref215136778"/>
      <w:r>
        <w:t xml:space="preserve">Figure </w:t>
      </w:r>
      <w:r>
        <w:fldChar w:fldCharType="begin"/>
      </w:r>
      <w:r>
        <w:instrText>SEQ Figure \* ARABIC</w:instrText>
      </w:r>
      <w:r>
        <w:fldChar w:fldCharType="separate"/>
      </w:r>
      <w:r w:rsidR="00CD3B0F">
        <w:rPr>
          <w:noProof/>
        </w:rPr>
        <w:t>1</w:t>
      </w:r>
      <w:r>
        <w:fldChar w:fldCharType="end"/>
      </w:r>
      <w:bookmarkEnd w:id="34"/>
      <w:r w:rsidR="00494442">
        <w:tab/>
        <w:t xml:space="preserve">Treated spontaneous and </w:t>
      </w:r>
      <w:r w:rsidR="00494442" w:rsidRPr="00C8210F">
        <w:t>traumatic</w:t>
      </w:r>
      <w:r w:rsidR="00494442">
        <w:t xml:space="preserve"> </w:t>
      </w:r>
      <w:r w:rsidR="00494442" w:rsidRPr="00ED7B35">
        <w:t>bleeding</w:t>
      </w:r>
      <w:r w:rsidR="00494442">
        <w:t xml:space="preserve"> episodes in patients with </w:t>
      </w:r>
      <w:r w:rsidR="00ED7B35">
        <w:t>HM</w:t>
      </w:r>
      <w:r w:rsidR="00494442">
        <w:t xml:space="preserve">A and </w:t>
      </w:r>
      <w:r w:rsidR="00ED7B35">
        <w:t>HM</w:t>
      </w:r>
      <w:r w:rsidR="00494442">
        <w:t xml:space="preserve">B in group 4 of </w:t>
      </w:r>
      <w:r w:rsidR="00E97DF6">
        <w:t>E</w:t>
      </w:r>
      <w:r w:rsidR="00494442">
        <w:t>xplorer8 (intra-patient analysis set)</w:t>
      </w:r>
    </w:p>
    <w:p w14:paraId="3AFF5EAC" w14:textId="71DFBE27" w:rsidR="009B2E6E" w:rsidRPr="00B24A25" w:rsidRDefault="009B2E6E" w:rsidP="00061DD0">
      <w:pPr>
        <w:pBdr>
          <w:top w:val="single" w:sz="4" w:space="1" w:color="auto"/>
          <w:left w:val="single" w:sz="4" w:space="4" w:color="auto"/>
          <w:bottom w:val="single" w:sz="4" w:space="1" w:color="auto"/>
          <w:right w:val="single" w:sz="4" w:space="4" w:color="auto"/>
        </w:pBdr>
        <w:spacing w:after="0"/>
        <w:jc w:val="center"/>
      </w:pPr>
      <w:r w:rsidRPr="0089677B">
        <w:rPr>
          <w:noProof/>
        </w:rPr>
        <w:drawing>
          <wp:inline distT="0" distB="0" distL="0" distR="0" wp14:anchorId="2F8EDDEC" wp14:editId="795DDC84">
            <wp:extent cx="4493895" cy="2656936"/>
            <wp:effectExtent l="0" t="0" r="1905" b="0"/>
            <wp:docPr id="1" name="Picture 1" descr="Treated spontaneous and traumatic bleeding episodes in patients with HMA and HMB in group 4 of Explorer8 (intra-patient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ated spontaneous and traumatic bleeding episodes in patients with HMA and HMB in group 4 of Explorer8 (intra-patient analysis set)"/>
                    <pic:cNvPicPr/>
                  </pic:nvPicPr>
                  <pic:blipFill rotWithShape="1">
                    <a:blip r:embed="rId25"/>
                    <a:srcRect l="2850" t="5104" r="4301" b="2397"/>
                    <a:stretch>
                      <a:fillRect/>
                    </a:stretch>
                  </pic:blipFill>
                  <pic:spPr bwMode="auto">
                    <a:xfrm>
                      <a:off x="0" y="0"/>
                      <a:ext cx="4499136" cy="2660035"/>
                    </a:xfrm>
                    <a:prstGeom prst="rect">
                      <a:avLst/>
                    </a:prstGeom>
                    <a:ln>
                      <a:noFill/>
                    </a:ln>
                    <a:extLst>
                      <a:ext uri="{53640926-AAD7-44D8-BBD7-CCE9431645EC}">
                        <a14:shadowObscured xmlns:a14="http://schemas.microsoft.com/office/drawing/2010/main"/>
                      </a:ext>
                    </a:extLst>
                  </pic:spPr>
                </pic:pic>
              </a:graphicData>
            </a:graphic>
          </wp:inline>
        </w:drawing>
      </w:r>
    </w:p>
    <w:p w14:paraId="76E1A12A" w14:textId="6E91F47D" w:rsidR="00F1616E" w:rsidRDefault="00F1616E" w:rsidP="00F1616E">
      <w:pPr>
        <w:pStyle w:val="TableFigureFooter"/>
      </w:pPr>
      <w:r w:rsidRPr="00F1616E">
        <w:t>Source: Supplementary Figure S3 of Chowdary et al. (20</w:t>
      </w:r>
      <w:r w:rsidR="00394842">
        <w:t>2</w:t>
      </w:r>
      <w:r w:rsidRPr="00F1616E">
        <w:t>4)</w:t>
      </w:r>
      <w:r w:rsidR="00170458">
        <w:t>.</w:t>
      </w:r>
      <w:r w:rsidR="007D7CFB">
        <w:t xml:space="preserve"> </w:t>
      </w:r>
      <w:r w:rsidR="00C02650">
        <w:t xml:space="preserve">Creative Commons Licence </w:t>
      </w:r>
      <w:hyperlink r:id="rId26" w:tooltip="Link to the relevant licence" w:history="1">
        <w:r w:rsidR="0038066C" w:rsidRPr="0038066C">
          <w:rPr>
            <w:rStyle w:val="Hyperlink"/>
          </w:rPr>
          <w:t>CC BY 4.0</w:t>
        </w:r>
      </w:hyperlink>
      <w:r w:rsidR="0038066C">
        <w:t>.</w:t>
      </w:r>
    </w:p>
    <w:p w14:paraId="0ED8D1F9" w14:textId="1E0CC720" w:rsidR="00E366C1" w:rsidRDefault="00E366C1" w:rsidP="00E366C1">
      <w:r>
        <w:t xml:space="preserve">The 3 patients are </w:t>
      </w:r>
      <w:r w:rsidR="008D214C">
        <w:t>briefly described:</w:t>
      </w:r>
    </w:p>
    <w:p w14:paraId="0CE7EEB4" w14:textId="17588B54" w:rsidR="008D214C" w:rsidRDefault="008D214C" w:rsidP="00F1192D">
      <w:pPr>
        <w:pStyle w:val="ListParagraph"/>
        <w:numPr>
          <w:ilvl w:val="0"/>
          <w:numId w:val="17"/>
        </w:numPr>
      </w:pPr>
      <w:r>
        <w:t xml:space="preserve">HMB: </w:t>
      </w:r>
      <w:r w:rsidR="0005546C">
        <w:t>14-year-old</w:t>
      </w:r>
      <w:r>
        <w:t xml:space="preserve"> with ABR of 50.6 on concizumab. </w:t>
      </w:r>
      <w:r w:rsidR="0005546C">
        <w:t>Historically difficult to treat and engaged in sports with variable use of protective gear.</w:t>
      </w:r>
    </w:p>
    <w:p w14:paraId="1D9B9B98" w14:textId="415F1A37" w:rsidR="0005546C" w:rsidRDefault="0005546C" w:rsidP="00F1192D">
      <w:pPr>
        <w:pStyle w:val="ListParagraph"/>
        <w:numPr>
          <w:ilvl w:val="0"/>
          <w:numId w:val="17"/>
        </w:numPr>
      </w:pPr>
      <w:r>
        <w:t>HMA: 16-year-old with ABR</w:t>
      </w:r>
      <w:r w:rsidR="00AD6528">
        <w:t xml:space="preserve"> of 46.7 on concizumab. Increased ABR </w:t>
      </w:r>
      <w:r w:rsidR="00C15588">
        <w:t xml:space="preserve">attributed </w:t>
      </w:r>
      <w:r w:rsidR="00AD6528">
        <w:t xml:space="preserve">to worsening target joint/synovitis in the right ankle where all 11 treated bleeding episodes occurred. </w:t>
      </w:r>
      <w:r w:rsidR="00C21104" w:rsidRPr="00CE540D">
        <w:t>There were no bleeding episodes after synovectomy.</w:t>
      </w:r>
    </w:p>
    <w:p w14:paraId="4D333FD1" w14:textId="0E6D6D09" w:rsidR="00C21104" w:rsidRDefault="00C21104" w:rsidP="00F1192D">
      <w:pPr>
        <w:pStyle w:val="ListParagraph"/>
        <w:numPr>
          <w:ilvl w:val="0"/>
          <w:numId w:val="17"/>
        </w:numPr>
      </w:pPr>
      <w:r>
        <w:t>HMA: 39-year-old with a mean ABR of 34 on concizumab. It was not possible to identify the specific cause of the high ABR during the trial.</w:t>
      </w:r>
    </w:p>
    <w:p w14:paraId="754CE39C" w14:textId="783F36D5" w:rsidR="00C21104" w:rsidRPr="00C811E8" w:rsidRDefault="008A1470" w:rsidP="00C21104">
      <w:r>
        <w:t xml:space="preserve">The response of these patients may reflect random variation due to the small sample size but could also </w:t>
      </w:r>
      <w:r w:rsidR="00D411EE">
        <w:t xml:space="preserve">reflect variable response and reduced effectiveness in some patients. The ADAR presented a </w:t>
      </w:r>
      <w:r w:rsidR="00B12707">
        <w:t>post-</w:t>
      </w:r>
      <w:r w:rsidR="00645BF9">
        <w:t>hoc analysis where the outlier HMB patient had values imputed</w:t>
      </w:r>
      <w:r w:rsidR="00ED7B35">
        <w:t>,</w:t>
      </w:r>
      <w:r w:rsidR="00FE0549">
        <w:t xml:space="preserve"> resulting in a</w:t>
      </w:r>
      <w:r w:rsidR="00EE4B63">
        <w:t>n ABR ratio of 1.00 (95% CI</w:t>
      </w:r>
      <w:r w:rsidR="00D53662">
        <w:t xml:space="preserve"> 0.58 to 1.73) that met the noninferiority margin. A</w:t>
      </w:r>
      <w:r w:rsidR="00EB709C">
        <w:t xml:space="preserve"> tipping point analysis was also conducted that </w:t>
      </w:r>
      <w:r w:rsidR="003E7C49">
        <w:t xml:space="preserve">showed a reduction of 31 treated spontaneous and traumatic bleeding episodes is needed to change the noninferiority conclusion, corresponding to a reduction in the mean ABR estimate on concizumab </w:t>
      </w:r>
      <w:r w:rsidR="00ED7B35">
        <w:t>prophylaxis</w:t>
      </w:r>
      <w:r w:rsidR="003E7C49">
        <w:t xml:space="preserve"> from 5.4 to 3.8 and </w:t>
      </w:r>
      <w:r w:rsidR="006A286B">
        <w:t xml:space="preserve">a </w:t>
      </w:r>
      <w:r w:rsidR="003E7C49">
        <w:t xml:space="preserve">reduction in the individual ABR </w:t>
      </w:r>
      <w:r w:rsidR="006A286B">
        <w:t xml:space="preserve">of the outlier patient </w:t>
      </w:r>
      <w:r w:rsidR="003E7C49">
        <w:t>from 50.6 to 17.2.</w:t>
      </w:r>
      <w:r w:rsidR="00B32AFE">
        <w:t xml:space="preserve"> The commentary note</w:t>
      </w:r>
      <w:r w:rsidR="003420C0">
        <w:t>d</w:t>
      </w:r>
      <w:r w:rsidR="00B32AFE">
        <w:t xml:space="preserve"> that this is a large change</w:t>
      </w:r>
      <w:r w:rsidR="00BC7AED">
        <w:t xml:space="preserve"> and </w:t>
      </w:r>
      <w:r w:rsidR="00CC3C52">
        <w:t>that the use of imputed data is not adequately justified</w:t>
      </w:r>
      <w:r w:rsidR="00ED7B35">
        <w:t>;</w:t>
      </w:r>
      <w:r w:rsidR="00BC7AED">
        <w:t xml:space="preserve"> however</w:t>
      </w:r>
      <w:r w:rsidR="00ED7B35">
        <w:t>,</w:t>
      </w:r>
      <w:r w:rsidR="00BC7AED">
        <w:t xml:space="preserve"> </w:t>
      </w:r>
      <w:r w:rsidR="006F54E8">
        <w:t xml:space="preserve">it is recognised that HMB is a rare condition and that </w:t>
      </w:r>
      <w:r w:rsidR="00A83ADF">
        <w:t xml:space="preserve">the trial reported difficulty recruiting the planned number of trial participants within a reasonable timeframe. </w:t>
      </w:r>
    </w:p>
    <w:p w14:paraId="6F5C7AE9" w14:textId="2B7D01D0" w:rsidR="002815D9" w:rsidRPr="00C811E8" w:rsidRDefault="002815D9" w:rsidP="002815D9">
      <w:pPr>
        <w:pStyle w:val="Heading5"/>
      </w:pPr>
      <w:r w:rsidRPr="00C811E8">
        <w:t>Concizumab v</w:t>
      </w:r>
      <w:r w:rsidR="00ED7B35" w:rsidRPr="00C811E8">
        <w:t>ersu</w:t>
      </w:r>
      <w:r w:rsidRPr="00C811E8">
        <w:t>s FIX on</w:t>
      </w:r>
      <w:r w:rsidR="001A36A2" w:rsidRPr="00C811E8">
        <w:t xml:space="preserve"> </w:t>
      </w:r>
      <w:r w:rsidRPr="00C811E8">
        <w:t>demand</w:t>
      </w:r>
    </w:p>
    <w:p w14:paraId="3B1CF7C2" w14:textId="3D9B2F3B" w:rsidR="000166BC" w:rsidRPr="00C811E8" w:rsidRDefault="000166BC" w:rsidP="00C21104">
      <w:r w:rsidRPr="00C811E8">
        <w:t>The randomised comparator in Explorer8 was on</w:t>
      </w:r>
      <w:r w:rsidR="00574410" w:rsidRPr="00C811E8">
        <w:t>-</w:t>
      </w:r>
      <w:r w:rsidRPr="00C811E8">
        <w:t>demand</w:t>
      </w:r>
      <w:r w:rsidR="00574410" w:rsidRPr="00C811E8">
        <w:t xml:space="preserve"> </w:t>
      </w:r>
      <w:r w:rsidRPr="00C811E8">
        <w:t xml:space="preserve">treatment. </w:t>
      </w:r>
      <w:r w:rsidR="00AF35FB" w:rsidRPr="00C811E8">
        <w:t>The ABR ratio favoured concizumab over on-demand treatment</w:t>
      </w:r>
      <w:r w:rsidR="003E199C" w:rsidRPr="00C811E8">
        <w:t xml:space="preserve"> (0.21 [95% CI 0.10 to 0.45])</w:t>
      </w:r>
      <w:r w:rsidR="00D42B33" w:rsidRPr="00C811E8">
        <w:t xml:space="preserve"> (</w:t>
      </w:r>
      <w:r w:rsidR="00D42B33" w:rsidRPr="00C811E8">
        <w:fldChar w:fldCharType="begin"/>
      </w:r>
      <w:r w:rsidR="00D42B33" w:rsidRPr="00C811E8">
        <w:instrText xml:space="preserve"> REF _Ref215150350 \h </w:instrText>
      </w:r>
      <w:r w:rsidR="00C811E8">
        <w:instrText xml:space="preserve"> \* MERGEFORMAT </w:instrText>
      </w:r>
      <w:r w:rsidR="00D42B33" w:rsidRPr="00C811E8">
        <w:fldChar w:fldCharType="separate"/>
      </w:r>
      <w:r w:rsidR="00CD3B0F" w:rsidRPr="00C811E8">
        <w:t xml:space="preserve">Table </w:t>
      </w:r>
      <w:r w:rsidR="00CD3B0F">
        <w:rPr>
          <w:noProof/>
        </w:rPr>
        <w:t>11</w:t>
      </w:r>
      <w:r w:rsidR="00D42B33" w:rsidRPr="00C811E8">
        <w:fldChar w:fldCharType="end"/>
      </w:r>
      <w:r w:rsidR="00D42B33" w:rsidRPr="00C811E8">
        <w:t>)</w:t>
      </w:r>
      <w:r w:rsidR="003E199C" w:rsidRPr="00C811E8">
        <w:t>.</w:t>
      </w:r>
      <w:r w:rsidR="00D42B33" w:rsidRPr="00C811E8">
        <w:t xml:space="preserve"> A statistically</w:t>
      </w:r>
      <w:r w:rsidR="00D42B33">
        <w:t xml:space="preserve"> significant ABR ratio in favour of concizumab was also reported for treated spontaneous bleeds, </w:t>
      </w:r>
      <w:r w:rsidR="007F4BEC">
        <w:t>treated spontaneous and traumatic joint bleeds</w:t>
      </w:r>
      <w:r w:rsidR="004405BF">
        <w:t>,</w:t>
      </w:r>
      <w:r w:rsidR="007F4BEC">
        <w:t xml:space="preserve"> and all treated and untreated spontaneous and traumatic bleeding episodes. The ABR r</w:t>
      </w:r>
      <w:r w:rsidR="005D0915">
        <w:t>atio was not statistically significant for all treated spontaneous and traumatic target joint episodes</w:t>
      </w:r>
      <w:r w:rsidR="006948BE">
        <w:t>;</w:t>
      </w:r>
      <w:r w:rsidR="009153BF">
        <w:t xml:space="preserve"> </w:t>
      </w:r>
      <w:r w:rsidR="00BC75DD">
        <w:t>because</w:t>
      </w:r>
      <w:r w:rsidR="009153BF">
        <w:t xml:space="preserve"> these occur at a lower frequency</w:t>
      </w:r>
      <w:r w:rsidR="00DD6853">
        <w:t>,</w:t>
      </w:r>
      <w:r w:rsidR="009153BF">
        <w:t xml:space="preserve"> this may </w:t>
      </w:r>
      <w:r w:rsidR="00BC75DD">
        <w:t>reflect</w:t>
      </w:r>
      <w:r w:rsidR="009153BF">
        <w:t xml:space="preserve"> lack of</w:t>
      </w:r>
      <w:r w:rsidR="00BC75DD">
        <w:t xml:space="preserve"> statistical</w:t>
      </w:r>
      <w:r w:rsidR="009153BF">
        <w:t xml:space="preserve"> power.</w:t>
      </w:r>
      <w:r w:rsidR="003E199C">
        <w:t xml:space="preserve"> </w:t>
      </w:r>
      <w:r w:rsidR="001460A3">
        <w:t>The findings in the HMA population from the randomised comparison with on</w:t>
      </w:r>
      <w:r w:rsidR="00574410">
        <w:t>-</w:t>
      </w:r>
      <w:r w:rsidR="001460A3">
        <w:t xml:space="preserve">demand treatment were </w:t>
      </w:r>
      <w:r w:rsidR="001460A3" w:rsidRPr="00C811E8">
        <w:t xml:space="preserve">similar with an ABR ratio of </w:t>
      </w:r>
      <w:r w:rsidR="004072A4" w:rsidRPr="00C811E8">
        <w:t>0.</w:t>
      </w:r>
      <w:r w:rsidR="00885899" w:rsidRPr="00C811E8">
        <w:t>14</w:t>
      </w:r>
      <w:r w:rsidR="004072A4" w:rsidRPr="00C811E8">
        <w:t xml:space="preserve"> (95% CI 0.0</w:t>
      </w:r>
      <w:r w:rsidR="009257D6" w:rsidRPr="00C811E8">
        <w:t>7</w:t>
      </w:r>
      <w:r w:rsidR="004072A4" w:rsidRPr="00C811E8">
        <w:t xml:space="preserve"> to 0.</w:t>
      </w:r>
      <w:r w:rsidR="009257D6" w:rsidRPr="00C811E8">
        <w:t>29</w:t>
      </w:r>
      <w:r w:rsidR="004072A4" w:rsidRPr="00C811E8">
        <w:t>).</w:t>
      </w:r>
    </w:p>
    <w:p w14:paraId="572D3552" w14:textId="1286AF05" w:rsidR="00A71B7D" w:rsidRPr="00C811E8" w:rsidRDefault="00A71B7D" w:rsidP="00A71B7D">
      <w:pPr>
        <w:pStyle w:val="Caption"/>
      </w:pPr>
      <w:bookmarkStart w:id="35" w:name="_Ref215150350"/>
      <w:r w:rsidRPr="00C811E8">
        <w:t xml:space="preserve">Table </w:t>
      </w:r>
      <w:r>
        <w:fldChar w:fldCharType="begin"/>
      </w:r>
      <w:r>
        <w:instrText>SEQ Table \* ARABIC</w:instrText>
      </w:r>
      <w:r>
        <w:fldChar w:fldCharType="separate"/>
      </w:r>
      <w:r w:rsidR="00CD3B0F">
        <w:rPr>
          <w:noProof/>
        </w:rPr>
        <w:t>11</w:t>
      </w:r>
      <w:r>
        <w:fldChar w:fldCharType="end"/>
      </w:r>
      <w:bookmarkEnd w:id="35"/>
      <w:r w:rsidRPr="00C811E8">
        <w:tab/>
      </w:r>
      <w:r w:rsidR="00D36A3D" w:rsidRPr="00C811E8">
        <w:t>Treated bleeding episodes in Explorer8 (HMB)</w:t>
      </w:r>
    </w:p>
    <w:tbl>
      <w:tblPr>
        <w:tblStyle w:val="TableGrid"/>
        <w:tblW w:w="5000" w:type="pct"/>
        <w:tblLook w:val="04A0" w:firstRow="1" w:lastRow="0" w:firstColumn="1" w:lastColumn="0" w:noHBand="0" w:noVBand="1"/>
        <w:tblCaption w:val="Treated bleeding episodes in Explorer8 (HMB)"/>
        <w:tblDescription w:val="Treated bleeding episodes in Explorer8 (HMB)"/>
      </w:tblPr>
      <w:tblGrid>
        <w:gridCol w:w="3720"/>
        <w:gridCol w:w="1803"/>
        <w:gridCol w:w="1803"/>
        <w:gridCol w:w="1690"/>
      </w:tblGrid>
      <w:tr w:rsidR="009E12BC" w:rsidRPr="00C811E8" w14:paraId="5FCC0370" w14:textId="77777777" w:rsidTr="00ED7B35">
        <w:trPr>
          <w:tblHeader/>
        </w:trPr>
        <w:tc>
          <w:tcPr>
            <w:tcW w:w="2063" w:type="pct"/>
          </w:tcPr>
          <w:p w14:paraId="6D4DBC50" w14:textId="5070CCC7" w:rsidR="009E12BC" w:rsidRPr="00C811E8" w:rsidRDefault="009E12BC" w:rsidP="0051409A">
            <w:pPr>
              <w:pStyle w:val="TableHeading0"/>
            </w:pPr>
            <w:r w:rsidRPr="00C811E8">
              <w:t>HMB</w:t>
            </w:r>
          </w:p>
        </w:tc>
        <w:tc>
          <w:tcPr>
            <w:tcW w:w="1000" w:type="pct"/>
          </w:tcPr>
          <w:p w14:paraId="5F7D8B2D" w14:textId="470C9A55" w:rsidR="009E12BC" w:rsidRPr="00C811E8" w:rsidRDefault="009E12BC" w:rsidP="00EF5EC8">
            <w:pPr>
              <w:pStyle w:val="TableHeading0"/>
              <w:jc w:val="center"/>
            </w:pPr>
            <w:r w:rsidRPr="00C811E8">
              <w:t xml:space="preserve">Concizumab prophylaxis </w:t>
            </w:r>
            <w:r w:rsidR="00ED7B35" w:rsidRPr="00C811E8">
              <w:br/>
            </w:r>
            <w:r w:rsidRPr="00C811E8">
              <w:t>(Arm 2 of Explorer8)</w:t>
            </w:r>
          </w:p>
          <w:p w14:paraId="5A3E4D16" w14:textId="0FC7D3C6" w:rsidR="00ED7B35" w:rsidRPr="00C811E8" w:rsidRDefault="00ED7B35" w:rsidP="00EF5EC8">
            <w:pPr>
              <w:pStyle w:val="TableHeading0"/>
              <w:jc w:val="center"/>
            </w:pPr>
            <w:r w:rsidRPr="00C811E8">
              <w:t>(n=24)</w:t>
            </w:r>
          </w:p>
        </w:tc>
        <w:tc>
          <w:tcPr>
            <w:tcW w:w="1000" w:type="pct"/>
          </w:tcPr>
          <w:p w14:paraId="7D88E2AB" w14:textId="38520E1A" w:rsidR="009E12BC" w:rsidRPr="00C811E8" w:rsidRDefault="009E12BC" w:rsidP="00EF5EC8">
            <w:pPr>
              <w:pStyle w:val="TableHeading0"/>
              <w:jc w:val="center"/>
            </w:pPr>
            <w:r w:rsidRPr="00C811E8">
              <w:t xml:space="preserve">No concizumab prophylaxis </w:t>
            </w:r>
            <w:r w:rsidR="00ED7B35" w:rsidRPr="00C811E8">
              <w:br/>
            </w:r>
            <w:r w:rsidRPr="00C811E8">
              <w:t>(Arm 1 of Explorer8)</w:t>
            </w:r>
          </w:p>
          <w:p w14:paraId="232020EE" w14:textId="3C9BA94B" w:rsidR="00ED7B35" w:rsidRPr="00C811E8" w:rsidRDefault="00ED7B35" w:rsidP="00EF5EC8">
            <w:pPr>
              <w:pStyle w:val="TableHeading0"/>
              <w:jc w:val="center"/>
            </w:pPr>
            <w:r w:rsidRPr="00C811E8">
              <w:t>(n=12)</w:t>
            </w:r>
          </w:p>
        </w:tc>
        <w:tc>
          <w:tcPr>
            <w:tcW w:w="938" w:type="pct"/>
          </w:tcPr>
          <w:p w14:paraId="229C1F6F" w14:textId="32C209EF" w:rsidR="009E12BC" w:rsidRPr="00C811E8" w:rsidRDefault="009E12BC" w:rsidP="00EF5EC8">
            <w:pPr>
              <w:pStyle w:val="TableHeading0"/>
              <w:jc w:val="center"/>
            </w:pPr>
            <w:r w:rsidRPr="00C811E8">
              <w:t>ABR ratio (95% CI)</w:t>
            </w:r>
          </w:p>
        </w:tc>
      </w:tr>
      <w:tr w:rsidR="009E12BC" w:rsidRPr="00C811E8" w14:paraId="0C8E28B0" w14:textId="77777777" w:rsidTr="00ED7B35">
        <w:tc>
          <w:tcPr>
            <w:tcW w:w="2063" w:type="pct"/>
          </w:tcPr>
          <w:p w14:paraId="20762B94" w14:textId="26B6CB28" w:rsidR="009E12BC" w:rsidRPr="00C811E8" w:rsidRDefault="00ED7B35" w:rsidP="00ED7B35">
            <w:pPr>
              <w:pStyle w:val="TableText"/>
            </w:pPr>
            <w:r w:rsidRPr="00C811E8">
              <w:t>Participants with z</w:t>
            </w:r>
            <w:r w:rsidR="00B3743B" w:rsidRPr="00C811E8">
              <w:t>ero</w:t>
            </w:r>
            <w:r w:rsidR="000033BC" w:rsidRPr="00C811E8">
              <w:t xml:space="preserve"> treated spontaneous and traumatic</w:t>
            </w:r>
            <w:r w:rsidR="00B3743B" w:rsidRPr="00C811E8">
              <w:t xml:space="preserve"> bleeds</w:t>
            </w:r>
            <w:r w:rsidR="00755950" w:rsidRPr="00C811E8">
              <w:rPr>
                <w:vertAlign w:val="superscript"/>
              </w:rPr>
              <w:t>a</w:t>
            </w:r>
            <w:r w:rsidRPr="00C811E8">
              <w:t>,</w:t>
            </w:r>
            <w:r w:rsidR="00B3743B" w:rsidRPr="00C811E8">
              <w:t xml:space="preserve"> </w:t>
            </w:r>
            <w:r w:rsidRPr="00C811E8">
              <w:t xml:space="preserve">n </w:t>
            </w:r>
            <w:r w:rsidR="00B3743B" w:rsidRPr="00C811E8">
              <w:t>(%)</w:t>
            </w:r>
          </w:p>
        </w:tc>
        <w:tc>
          <w:tcPr>
            <w:tcW w:w="1000" w:type="pct"/>
          </w:tcPr>
          <w:p w14:paraId="70728363" w14:textId="305CE1D4" w:rsidR="009E12BC" w:rsidRPr="00C811E8" w:rsidRDefault="006E784A" w:rsidP="00EF5EC8">
            <w:pPr>
              <w:pStyle w:val="TableText"/>
              <w:jc w:val="center"/>
            </w:pPr>
            <w:r w:rsidRPr="00C811E8">
              <w:t>1</w:t>
            </w:r>
            <w:r w:rsidR="004C013D" w:rsidRPr="00C811E8">
              <w:t>0</w:t>
            </w:r>
            <w:r w:rsidRPr="00C811E8">
              <w:t xml:space="preserve"> (4</w:t>
            </w:r>
            <w:r w:rsidR="004C013D" w:rsidRPr="00C811E8">
              <w:t>1</w:t>
            </w:r>
            <w:r w:rsidR="00F51848" w:rsidRPr="00C811E8">
              <w:t>.</w:t>
            </w:r>
            <w:r w:rsidR="004C013D" w:rsidRPr="00C811E8">
              <w:t>7</w:t>
            </w:r>
            <w:r w:rsidRPr="00C811E8">
              <w:t>)</w:t>
            </w:r>
          </w:p>
        </w:tc>
        <w:tc>
          <w:tcPr>
            <w:tcW w:w="1000" w:type="pct"/>
          </w:tcPr>
          <w:p w14:paraId="742756C3" w14:textId="101CE586" w:rsidR="009E12BC" w:rsidRPr="00C811E8" w:rsidRDefault="006E784A" w:rsidP="00EF5EC8">
            <w:pPr>
              <w:pStyle w:val="TableText"/>
              <w:jc w:val="center"/>
            </w:pPr>
            <w:r w:rsidRPr="00C811E8">
              <w:t>1 (8</w:t>
            </w:r>
            <w:r w:rsidR="002866E1" w:rsidRPr="00C811E8">
              <w:t>.3</w:t>
            </w:r>
            <w:r w:rsidRPr="00C811E8">
              <w:t>)</w:t>
            </w:r>
          </w:p>
        </w:tc>
        <w:tc>
          <w:tcPr>
            <w:tcW w:w="938" w:type="pct"/>
          </w:tcPr>
          <w:p w14:paraId="243862F7" w14:textId="13D3E197" w:rsidR="009E12BC" w:rsidRPr="00C811E8" w:rsidRDefault="00763EB3" w:rsidP="00EF5EC8">
            <w:pPr>
              <w:pStyle w:val="TableText"/>
              <w:jc w:val="center"/>
            </w:pPr>
            <w:r w:rsidRPr="00C811E8">
              <w:t>-</w:t>
            </w:r>
          </w:p>
        </w:tc>
      </w:tr>
      <w:tr w:rsidR="005B6F71" w:rsidRPr="00C811E8" w14:paraId="3CBC9E2B" w14:textId="77777777" w:rsidTr="00ED7B35">
        <w:tc>
          <w:tcPr>
            <w:tcW w:w="2063" w:type="pct"/>
          </w:tcPr>
          <w:p w14:paraId="23E4457B" w14:textId="78650D5B" w:rsidR="005B6F71" w:rsidRPr="00C811E8" w:rsidRDefault="00033628" w:rsidP="0051409A">
            <w:pPr>
              <w:pStyle w:val="TableText"/>
            </w:pPr>
            <w:r w:rsidRPr="00C811E8">
              <w:rPr>
                <w:snapToGrid w:val="0"/>
              </w:rPr>
              <w:t>Patients with t</w:t>
            </w:r>
            <w:r w:rsidR="005B6F71" w:rsidRPr="00C811E8">
              <w:rPr>
                <w:snapToGrid w:val="0"/>
              </w:rPr>
              <w:t>reated bleeding episodes</w:t>
            </w:r>
            <w:r w:rsidRPr="00C811E8">
              <w:rPr>
                <w:snapToGrid w:val="0"/>
              </w:rPr>
              <w:t>,</w:t>
            </w:r>
            <w:r w:rsidR="005B6F71" w:rsidRPr="00C811E8">
              <w:rPr>
                <w:snapToGrid w:val="0"/>
              </w:rPr>
              <w:t xml:space="preserve"> </w:t>
            </w:r>
            <w:r w:rsidRPr="00C811E8">
              <w:rPr>
                <w:snapToGrid w:val="0"/>
              </w:rPr>
              <w:t>n</w:t>
            </w:r>
            <w:r w:rsidR="005B6F71" w:rsidRPr="00C811E8">
              <w:rPr>
                <w:snapToGrid w:val="0"/>
              </w:rPr>
              <w:t xml:space="preserve"> (%)</w:t>
            </w:r>
          </w:p>
        </w:tc>
        <w:tc>
          <w:tcPr>
            <w:tcW w:w="1000" w:type="pct"/>
          </w:tcPr>
          <w:p w14:paraId="074A3D0E" w14:textId="66D3EAC4" w:rsidR="005B6F71" w:rsidRPr="00C811E8" w:rsidRDefault="003B7B44" w:rsidP="00EF5EC8">
            <w:pPr>
              <w:pStyle w:val="TableText"/>
              <w:jc w:val="center"/>
            </w:pPr>
            <w:r w:rsidRPr="00C811E8">
              <w:t>17 (70.8)</w:t>
            </w:r>
          </w:p>
        </w:tc>
        <w:tc>
          <w:tcPr>
            <w:tcW w:w="1000" w:type="pct"/>
          </w:tcPr>
          <w:p w14:paraId="4614EC7F" w14:textId="602ADBBA" w:rsidR="005B6F71" w:rsidRPr="00C811E8" w:rsidRDefault="005B6F71" w:rsidP="00EF5EC8">
            <w:pPr>
              <w:pStyle w:val="TableText"/>
              <w:jc w:val="center"/>
            </w:pPr>
            <w:r w:rsidRPr="00C811E8">
              <w:t>11 (91.7)</w:t>
            </w:r>
          </w:p>
        </w:tc>
        <w:tc>
          <w:tcPr>
            <w:tcW w:w="938" w:type="pct"/>
          </w:tcPr>
          <w:p w14:paraId="2BC196A2" w14:textId="0764B534" w:rsidR="005B6F71" w:rsidRPr="00C811E8" w:rsidRDefault="00755950" w:rsidP="00EF5EC8">
            <w:pPr>
              <w:pStyle w:val="TableText"/>
              <w:jc w:val="center"/>
            </w:pPr>
            <w:r w:rsidRPr="00C811E8">
              <w:t>-</w:t>
            </w:r>
          </w:p>
        </w:tc>
      </w:tr>
      <w:tr w:rsidR="009E12BC" w:rsidRPr="00C811E8" w14:paraId="49E76F56" w14:textId="77777777" w:rsidTr="00ED7B35">
        <w:tc>
          <w:tcPr>
            <w:tcW w:w="2063" w:type="pct"/>
          </w:tcPr>
          <w:p w14:paraId="44BB9A5D" w14:textId="2B28D73B" w:rsidR="009E12BC" w:rsidRPr="00C811E8" w:rsidRDefault="006E4616" w:rsidP="0051409A">
            <w:pPr>
              <w:pStyle w:val="TableText"/>
            </w:pPr>
            <w:r w:rsidRPr="00C811E8">
              <w:t xml:space="preserve">Treated </w:t>
            </w:r>
            <w:r w:rsidR="00B3743B" w:rsidRPr="00C811E8">
              <w:t>bleeding</w:t>
            </w:r>
            <w:r w:rsidRPr="00C811E8">
              <w:t xml:space="preserve"> epi</w:t>
            </w:r>
            <w:r w:rsidR="006B51B2" w:rsidRPr="00C811E8">
              <w:t>s</w:t>
            </w:r>
            <w:r w:rsidRPr="00C811E8">
              <w:t>o</w:t>
            </w:r>
            <w:r w:rsidR="006B51B2" w:rsidRPr="00C811E8">
              <w:t>des</w:t>
            </w:r>
            <w:r w:rsidR="00033628" w:rsidRPr="00C811E8">
              <w:t>,</w:t>
            </w:r>
            <w:r w:rsidR="00B3743B" w:rsidRPr="00C811E8">
              <w:t xml:space="preserve"> </w:t>
            </w:r>
            <w:r w:rsidR="005B6E72" w:rsidRPr="00C811E8">
              <w:t>n</w:t>
            </w:r>
          </w:p>
        </w:tc>
        <w:tc>
          <w:tcPr>
            <w:tcW w:w="1000" w:type="pct"/>
          </w:tcPr>
          <w:p w14:paraId="6C1DC4FD" w14:textId="14B11152" w:rsidR="009E12BC" w:rsidRPr="00C811E8" w:rsidRDefault="003B7B44" w:rsidP="00EF5EC8">
            <w:pPr>
              <w:pStyle w:val="TableText"/>
              <w:jc w:val="center"/>
            </w:pPr>
            <w:r w:rsidRPr="00C811E8">
              <w:t>59</w:t>
            </w:r>
          </w:p>
        </w:tc>
        <w:tc>
          <w:tcPr>
            <w:tcW w:w="1000" w:type="pct"/>
          </w:tcPr>
          <w:p w14:paraId="4D1B0AA1" w14:textId="4F52A07D" w:rsidR="009E12BC" w:rsidRPr="00C811E8" w:rsidRDefault="003B7B44" w:rsidP="00EF5EC8">
            <w:pPr>
              <w:pStyle w:val="TableText"/>
              <w:jc w:val="center"/>
            </w:pPr>
            <w:r w:rsidRPr="00C811E8">
              <w:t>97</w:t>
            </w:r>
          </w:p>
        </w:tc>
        <w:tc>
          <w:tcPr>
            <w:tcW w:w="938" w:type="pct"/>
          </w:tcPr>
          <w:p w14:paraId="2173B1E9" w14:textId="42820AD0" w:rsidR="009E12BC" w:rsidRPr="00C811E8" w:rsidRDefault="00763EB3" w:rsidP="00EF5EC8">
            <w:pPr>
              <w:pStyle w:val="TableText"/>
              <w:jc w:val="center"/>
            </w:pPr>
            <w:r w:rsidRPr="00C811E8">
              <w:t>-</w:t>
            </w:r>
          </w:p>
        </w:tc>
      </w:tr>
      <w:tr w:rsidR="0050578C" w:rsidRPr="00C811E8" w14:paraId="137D5073" w14:textId="77777777" w:rsidTr="00ED7B35">
        <w:tc>
          <w:tcPr>
            <w:tcW w:w="2063" w:type="pct"/>
          </w:tcPr>
          <w:p w14:paraId="6405269F" w14:textId="1EEA9EE5" w:rsidR="0050578C" w:rsidRPr="00C811E8" w:rsidRDefault="0050578C" w:rsidP="0050578C">
            <w:pPr>
              <w:pStyle w:val="TableText"/>
            </w:pPr>
            <w:r w:rsidRPr="00C811E8">
              <w:t xml:space="preserve">Treated spontaneous and traumatic bleeding episodes </w:t>
            </w:r>
            <w:r w:rsidR="00033628" w:rsidRPr="00C811E8">
              <w:t>–</w:t>
            </w:r>
            <w:r w:rsidR="00F20C7F" w:rsidRPr="00C811E8">
              <w:t xml:space="preserve"> </w:t>
            </w:r>
            <w:r w:rsidR="00033628" w:rsidRPr="00C811E8">
              <w:t>estimated m</w:t>
            </w:r>
            <w:r w:rsidR="00F20C7F" w:rsidRPr="00C811E8">
              <w:t>ean</w:t>
            </w:r>
            <w:r w:rsidRPr="00C811E8">
              <w:t xml:space="preserve"> ABR (95% CI)</w:t>
            </w:r>
          </w:p>
        </w:tc>
        <w:tc>
          <w:tcPr>
            <w:tcW w:w="1000" w:type="pct"/>
          </w:tcPr>
          <w:p w14:paraId="34A79D2B" w14:textId="649A9284" w:rsidR="0050578C" w:rsidRPr="00C811E8" w:rsidRDefault="0050578C" w:rsidP="00EF5EC8">
            <w:pPr>
              <w:pStyle w:val="TableText"/>
              <w:jc w:val="center"/>
            </w:pPr>
            <w:r w:rsidRPr="00C811E8">
              <w:t>3.1 (1.91, 5.04)</w:t>
            </w:r>
          </w:p>
        </w:tc>
        <w:tc>
          <w:tcPr>
            <w:tcW w:w="1000" w:type="pct"/>
          </w:tcPr>
          <w:p w14:paraId="1D455AAE" w14:textId="18F3CCD7" w:rsidR="0050578C" w:rsidRPr="00C811E8" w:rsidRDefault="0050578C" w:rsidP="00EF5EC8">
            <w:pPr>
              <w:pStyle w:val="TableText"/>
              <w:jc w:val="center"/>
            </w:pPr>
            <w:r w:rsidRPr="00C811E8">
              <w:t>14.8 (8.14, 26.86)</w:t>
            </w:r>
          </w:p>
        </w:tc>
        <w:tc>
          <w:tcPr>
            <w:tcW w:w="938" w:type="pct"/>
          </w:tcPr>
          <w:p w14:paraId="08B499CF" w14:textId="56003255" w:rsidR="0050578C" w:rsidRPr="00C811E8" w:rsidRDefault="0050578C" w:rsidP="00EF5EC8">
            <w:pPr>
              <w:pStyle w:val="TableText"/>
              <w:jc w:val="center"/>
            </w:pPr>
            <w:r w:rsidRPr="00C811E8">
              <w:t>0.21 (0.10, 0.45), p&lt;0.001</w:t>
            </w:r>
          </w:p>
        </w:tc>
      </w:tr>
    </w:tbl>
    <w:p w14:paraId="7A6E8492" w14:textId="2472B0DF" w:rsidR="00D36A3D" w:rsidRPr="00C811E8" w:rsidRDefault="00D36A3D" w:rsidP="004B1072">
      <w:pPr>
        <w:pStyle w:val="Tablenotes0"/>
      </w:pPr>
      <w:bookmarkStart w:id="36" w:name="_Hlk215493447"/>
      <w:r w:rsidRPr="00C811E8">
        <w:t>ABR = annualised bleeding rate; CI = confidence interval; HMB = haemophilia B</w:t>
      </w:r>
      <w:bookmarkEnd w:id="36"/>
      <w:r w:rsidRPr="00C811E8">
        <w:t>.</w:t>
      </w:r>
    </w:p>
    <w:p w14:paraId="69B49483" w14:textId="10235174" w:rsidR="00755950" w:rsidRDefault="00755950" w:rsidP="004B1072">
      <w:pPr>
        <w:pStyle w:val="Tablenotes0"/>
      </w:pPr>
      <w:r w:rsidRPr="00C811E8">
        <w:t xml:space="preserve">a. </w:t>
      </w:r>
      <w:r w:rsidR="00AF112F">
        <w:t>Also,</w:t>
      </w:r>
      <w:r w:rsidRPr="00C811E8">
        <w:t xml:space="preserve"> no permanent discontinuation of treatment before 24 weeks.</w:t>
      </w:r>
    </w:p>
    <w:p w14:paraId="2012A954" w14:textId="5D18AA88" w:rsidR="00161142" w:rsidRDefault="00161142" w:rsidP="004B1072">
      <w:pPr>
        <w:pStyle w:val="Tablenotes0"/>
      </w:pPr>
      <w:r>
        <w:t xml:space="preserve">Source: </w:t>
      </w:r>
      <w:r w:rsidR="006948BE">
        <w:t xml:space="preserve">Table 18 of </w:t>
      </w:r>
      <w:r>
        <w:t>MSAC Application 1805 in-line Commentary</w:t>
      </w:r>
      <w:r w:rsidR="00033628">
        <w:t xml:space="preserve">, Explorer8 CSR, narrative p155; Table 11-2, p123; </w:t>
      </w:r>
      <w:r w:rsidR="00EF5EC8">
        <w:t>and narrative p198.</w:t>
      </w:r>
    </w:p>
    <w:p w14:paraId="60DF37A3" w14:textId="6D4CF176" w:rsidR="005A7E97" w:rsidRDefault="008450F1" w:rsidP="008450F1">
      <w:pPr>
        <w:pStyle w:val="Heading4"/>
      </w:pPr>
      <w:r>
        <w:t>Quality of life outcomes</w:t>
      </w:r>
    </w:p>
    <w:p w14:paraId="562B5A91" w14:textId="1E76BA84" w:rsidR="008450F1" w:rsidRPr="00C811E8" w:rsidRDefault="0045265A" w:rsidP="008450F1">
      <w:r>
        <w:t>Like Explorer7, Explorer8 measured a range of PROs</w:t>
      </w:r>
      <w:r w:rsidR="00656C6B">
        <w:t xml:space="preserve"> with a similarly high proportion of non-response over the trial. Furthermore, </w:t>
      </w:r>
      <w:r w:rsidR="00EF5EC8">
        <w:t xml:space="preserve">the applicability of these outcomes is low, </w:t>
      </w:r>
      <w:r w:rsidR="00656C6B">
        <w:t>as Explorer8</w:t>
      </w:r>
      <w:r w:rsidR="0021084B">
        <w:t xml:space="preserve"> compared concizumab prophylaxis to no prophylaxis, </w:t>
      </w:r>
      <w:r w:rsidR="00EF5EC8">
        <w:t>whereas the</w:t>
      </w:r>
      <w:r w:rsidR="00FA57C5">
        <w:t xml:space="preserve"> standard of care for</w:t>
      </w:r>
      <w:r w:rsidR="00E9630B">
        <w:t xml:space="preserve"> patients with severe or moderately severe </w:t>
      </w:r>
      <w:r w:rsidR="00E9630B" w:rsidRPr="00C811E8">
        <w:t>HMB</w:t>
      </w:r>
      <w:r w:rsidR="00FA57C5" w:rsidRPr="00C811E8">
        <w:t xml:space="preserve"> is FIX prophylaxis.</w:t>
      </w:r>
    </w:p>
    <w:p w14:paraId="2100E58E" w14:textId="1E155D5B" w:rsidR="00307D3D" w:rsidRDefault="00307D3D" w:rsidP="008450F1">
      <w:r w:rsidRPr="00C811E8">
        <w:t xml:space="preserve">A statistically significant difference was observed for the </w:t>
      </w:r>
      <w:r w:rsidR="004C6FC8" w:rsidRPr="00C811E8">
        <w:t>SF</w:t>
      </w:r>
      <w:r w:rsidR="00C324FC">
        <w:t>-</w:t>
      </w:r>
      <w:r w:rsidR="004C6FC8" w:rsidRPr="00C811E8">
        <w:t xml:space="preserve">36v2 bodily pain outcome in favour of concizumab </w:t>
      </w:r>
      <w:r w:rsidR="003D1D6F" w:rsidRPr="00C811E8">
        <w:t>(</w:t>
      </w:r>
      <w:r w:rsidR="003D1D6F" w:rsidRPr="00C811E8">
        <w:fldChar w:fldCharType="begin"/>
      </w:r>
      <w:r w:rsidR="003D1D6F" w:rsidRPr="00C811E8">
        <w:instrText xml:space="preserve"> REF _Ref215155501 \h </w:instrText>
      </w:r>
      <w:r w:rsidR="00C811E8">
        <w:instrText xml:space="preserve"> \* MERGEFORMAT </w:instrText>
      </w:r>
      <w:r w:rsidR="003D1D6F" w:rsidRPr="00C811E8">
        <w:fldChar w:fldCharType="separate"/>
      </w:r>
      <w:r w:rsidR="00CD3B0F">
        <w:t xml:space="preserve">Table </w:t>
      </w:r>
      <w:r w:rsidR="00CD3B0F">
        <w:rPr>
          <w:noProof/>
        </w:rPr>
        <w:t>12</w:t>
      </w:r>
      <w:r w:rsidR="003D1D6F" w:rsidRPr="00C811E8">
        <w:fldChar w:fldCharType="end"/>
      </w:r>
      <w:r w:rsidR="003D1D6F" w:rsidRPr="00C811E8">
        <w:t>)</w:t>
      </w:r>
      <w:r w:rsidR="0068597D" w:rsidRPr="00C811E8">
        <w:t xml:space="preserve">. </w:t>
      </w:r>
      <w:r w:rsidR="002C2460" w:rsidRPr="00C811E8">
        <w:t xml:space="preserve">No statistically significant difference in the odds </w:t>
      </w:r>
      <w:r w:rsidR="00E8146B" w:rsidRPr="00C811E8">
        <w:t xml:space="preserve">ratio </w:t>
      </w:r>
      <w:r w:rsidR="002C2460" w:rsidRPr="00C811E8">
        <w:t xml:space="preserve">for achieving at least </w:t>
      </w:r>
      <w:r w:rsidR="00EF5EC8" w:rsidRPr="00C811E8">
        <w:t xml:space="preserve">a </w:t>
      </w:r>
      <w:r w:rsidR="002C2460" w:rsidRPr="00C811E8">
        <w:t>6.2-point increase</w:t>
      </w:r>
      <w:r w:rsidR="0099235A" w:rsidRPr="00C811E8">
        <w:t xml:space="preserve"> in bodily pain score</w:t>
      </w:r>
      <w:r w:rsidR="002C2460" w:rsidRPr="00C811E8">
        <w:t xml:space="preserve"> from baseline to </w:t>
      </w:r>
      <w:r w:rsidR="00EF5EC8" w:rsidRPr="00C811E8">
        <w:t>w</w:t>
      </w:r>
      <w:r w:rsidR="002C2460" w:rsidRPr="00C811E8">
        <w:t>eek 24 was observed between patients in Arm 2 and Arm 1 (odds ratio 3.65 [95% CI 0.31, 43.42]</w:t>
      </w:r>
      <w:r w:rsidR="005B30FF" w:rsidRPr="00C811E8">
        <w:t>). With</w:t>
      </w:r>
      <w:r w:rsidR="0012192E" w:rsidRPr="00C811E8">
        <w:t xml:space="preserve"> the exception of the physical health component score, other domains of the SF-36</w:t>
      </w:r>
      <w:r w:rsidR="00F563AB">
        <w:t>v2</w:t>
      </w:r>
      <w:r w:rsidR="0012192E" w:rsidRPr="00C811E8">
        <w:t xml:space="preserve"> were not significantly different for the comparison of concizumab versus no prophylaxis</w:t>
      </w:r>
      <w:r w:rsidR="001F201C" w:rsidRPr="00C811E8">
        <w:t>;</w:t>
      </w:r>
      <w:r w:rsidR="0012192E" w:rsidRPr="00C811E8">
        <w:t xml:space="preserve"> however</w:t>
      </w:r>
      <w:r w:rsidR="00EF5EC8">
        <w:t>,</w:t>
      </w:r>
      <w:r w:rsidR="0012192E" w:rsidRPr="00CE540D">
        <w:t xml:space="preserve"> the direction of effect favoured concizumab</w:t>
      </w:r>
      <w:r w:rsidR="00E90A38">
        <w:t>.</w:t>
      </w:r>
    </w:p>
    <w:p w14:paraId="45AE8B41" w14:textId="4A3999DD" w:rsidR="004C6FC8" w:rsidRDefault="004C6FC8" w:rsidP="004C6FC8">
      <w:pPr>
        <w:pStyle w:val="Caption"/>
      </w:pPr>
      <w:bookmarkStart w:id="37" w:name="_Ref215155501"/>
      <w:r>
        <w:t xml:space="preserve">Table </w:t>
      </w:r>
      <w:r>
        <w:fldChar w:fldCharType="begin"/>
      </w:r>
      <w:r>
        <w:instrText>SEQ Table \* ARABIC</w:instrText>
      </w:r>
      <w:r>
        <w:fldChar w:fldCharType="separate"/>
      </w:r>
      <w:r w:rsidR="00CD3B0F">
        <w:rPr>
          <w:noProof/>
        </w:rPr>
        <w:t>12</w:t>
      </w:r>
      <w:r>
        <w:fldChar w:fldCharType="end"/>
      </w:r>
      <w:bookmarkEnd w:id="37"/>
      <w:r>
        <w:tab/>
        <w:t>SF</w:t>
      </w:r>
      <w:r w:rsidR="00C324FC">
        <w:t>-</w:t>
      </w:r>
      <w:r>
        <w:t>36v2 bodily pain outcomes for HMB</w:t>
      </w:r>
      <w:r w:rsidR="00C01985">
        <w:t xml:space="preserve"> in Explorer8</w:t>
      </w:r>
    </w:p>
    <w:tbl>
      <w:tblPr>
        <w:tblStyle w:val="TableGrid"/>
        <w:tblW w:w="0" w:type="auto"/>
        <w:tblLook w:val="04A0" w:firstRow="1" w:lastRow="0" w:firstColumn="1" w:lastColumn="0" w:noHBand="0" w:noVBand="1"/>
        <w:tblCaption w:val="SF36v2 bodily pain outcomes for HMB in Explorer8"/>
        <w:tblDescription w:val="SF36v2 bodily pain outcomes for HMB in Explorer8"/>
      </w:tblPr>
      <w:tblGrid>
        <w:gridCol w:w="2254"/>
        <w:gridCol w:w="2254"/>
        <w:gridCol w:w="2254"/>
        <w:gridCol w:w="2254"/>
      </w:tblGrid>
      <w:tr w:rsidR="006B06EC" w14:paraId="1C0F4D59" w14:textId="77777777" w:rsidTr="00E049C9">
        <w:trPr>
          <w:tblHeader/>
        </w:trPr>
        <w:tc>
          <w:tcPr>
            <w:tcW w:w="2254" w:type="dxa"/>
          </w:tcPr>
          <w:p w14:paraId="764218A6" w14:textId="509E9C8F" w:rsidR="006B06EC" w:rsidRDefault="00EF5EC8">
            <w:pPr>
              <w:pStyle w:val="TableHeading0"/>
            </w:pPr>
            <w:r>
              <w:t>Outcome</w:t>
            </w:r>
          </w:p>
        </w:tc>
        <w:tc>
          <w:tcPr>
            <w:tcW w:w="2254" w:type="dxa"/>
          </w:tcPr>
          <w:p w14:paraId="60B87D9B" w14:textId="2F99CF82" w:rsidR="00EF5EC8" w:rsidRDefault="006B06EC" w:rsidP="00EF5EC8">
            <w:pPr>
              <w:pStyle w:val="TableHeading0"/>
              <w:jc w:val="center"/>
            </w:pPr>
            <w:r>
              <w:t>Concizumab prophylaxis</w:t>
            </w:r>
            <w:r w:rsidR="00EF5EC8">
              <w:br/>
              <w:t>(n=12)</w:t>
            </w:r>
          </w:p>
        </w:tc>
        <w:tc>
          <w:tcPr>
            <w:tcW w:w="2254" w:type="dxa"/>
          </w:tcPr>
          <w:p w14:paraId="20B79354" w14:textId="1B270029" w:rsidR="00EF5EC8" w:rsidRDefault="006B06EC" w:rsidP="00EF5EC8">
            <w:pPr>
              <w:pStyle w:val="TableHeading0"/>
              <w:jc w:val="center"/>
            </w:pPr>
            <w:r>
              <w:t>No prophylaxis</w:t>
            </w:r>
            <w:r w:rsidR="00EF5EC8">
              <w:br/>
              <w:t>(n=6)</w:t>
            </w:r>
          </w:p>
        </w:tc>
        <w:tc>
          <w:tcPr>
            <w:tcW w:w="2254" w:type="dxa"/>
          </w:tcPr>
          <w:p w14:paraId="3D9BC632" w14:textId="333FD260" w:rsidR="006B06EC" w:rsidRDefault="006B06EC" w:rsidP="00EF5EC8">
            <w:pPr>
              <w:pStyle w:val="TableHeading0"/>
              <w:jc w:val="center"/>
            </w:pPr>
            <w:r>
              <w:t xml:space="preserve">Difference estimate </w:t>
            </w:r>
            <w:r w:rsidR="00EF5EC8">
              <w:br/>
            </w:r>
            <w:r>
              <w:t>(95% CI)</w:t>
            </w:r>
          </w:p>
        </w:tc>
      </w:tr>
      <w:tr w:rsidR="00090A0E" w14:paraId="1BBC1CC4" w14:textId="77777777" w:rsidTr="00BB65D9">
        <w:tc>
          <w:tcPr>
            <w:tcW w:w="2254" w:type="dxa"/>
          </w:tcPr>
          <w:p w14:paraId="1217195D" w14:textId="0D8F7AF6" w:rsidR="00090A0E" w:rsidRDefault="00090A0E" w:rsidP="00090A0E">
            <w:pPr>
              <w:pStyle w:val="TableText"/>
            </w:pPr>
            <w:r>
              <w:t>SF</w:t>
            </w:r>
            <w:r w:rsidR="00C324FC">
              <w:t>-</w:t>
            </w:r>
            <w:r>
              <w:t>36v2 mean change in bodily pain from baseline to week 24 (95% CI)</w:t>
            </w:r>
          </w:p>
        </w:tc>
        <w:tc>
          <w:tcPr>
            <w:tcW w:w="2254" w:type="dxa"/>
            <w:vAlign w:val="center"/>
          </w:tcPr>
          <w:p w14:paraId="1B34C9F2" w14:textId="3A231B3B" w:rsidR="00090A0E" w:rsidRDefault="00090A0E" w:rsidP="00BB65D9">
            <w:pPr>
              <w:pStyle w:val="TableText"/>
              <w:jc w:val="center"/>
            </w:pPr>
            <w:r w:rsidRPr="00442EE5">
              <w:t>-3.3 (-12.20, 5.69)</w:t>
            </w:r>
          </w:p>
        </w:tc>
        <w:tc>
          <w:tcPr>
            <w:tcW w:w="2254" w:type="dxa"/>
            <w:vAlign w:val="center"/>
          </w:tcPr>
          <w:p w14:paraId="5334157D" w14:textId="17F872E5" w:rsidR="00090A0E" w:rsidRDefault="00090A0E" w:rsidP="00BB65D9">
            <w:pPr>
              <w:pStyle w:val="TableText"/>
              <w:jc w:val="center"/>
            </w:pPr>
            <w:r w:rsidRPr="00442EE5">
              <w:t>11.4 (4.89, 17.87)</w:t>
            </w:r>
          </w:p>
        </w:tc>
        <w:tc>
          <w:tcPr>
            <w:tcW w:w="2254" w:type="dxa"/>
            <w:vAlign w:val="center"/>
          </w:tcPr>
          <w:p w14:paraId="10294EAE" w14:textId="70806F52" w:rsidR="00090A0E" w:rsidRDefault="00090A0E" w:rsidP="00BB65D9">
            <w:pPr>
              <w:pStyle w:val="TableText"/>
              <w:jc w:val="center"/>
            </w:pPr>
            <w:r w:rsidRPr="00442EE5">
              <w:t>14.64 (3.37, 25.91)</w:t>
            </w:r>
            <w:r w:rsidR="00F4591C">
              <w:t xml:space="preserve">, </w:t>
            </w:r>
            <w:r w:rsidR="00F4591C" w:rsidRPr="00F4591C">
              <w:t>p=0.014</w:t>
            </w:r>
          </w:p>
        </w:tc>
      </w:tr>
    </w:tbl>
    <w:p w14:paraId="3F2ABFC7" w14:textId="23A471A9" w:rsidR="005E6B42" w:rsidRDefault="005E6B42" w:rsidP="00481987">
      <w:pPr>
        <w:pStyle w:val="Tablenotes0"/>
      </w:pPr>
      <w:r w:rsidRPr="00414EB1">
        <w:t>CI</w:t>
      </w:r>
      <w:r>
        <w:t xml:space="preserve"> =</w:t>
      </w:r>
      <w:r w:rsidRPr="00414EB1">
        <w:t xml:space="preserve"> confidence interval</w:t>
      </w:r>
      <w:r w:rsidRPr="006029B5">
        <w:t>; HMB = haemophilia B; N = number of patients</w:t>
      </w:r>
      <w:r>
        <w:t xml:space="preserve">; SF-36v2 = </w:t>
      </w:r>
      <w:r w:rsidR="00E411ED" w:rsidRPr="00C811E8">
        <w:t>36-item Short-Form Health Survey</w:t>
      </w:r>
      <w:r w:rsidR="00E411ED">
        <w:t>,</w:t>
      </w:r>
      <w:r w:rsidR="00E411ED" w:rsidRPr="00C811E8">
        <w:t xml:space="preserve"> </w:t>
      </w:r>
      <w:r w:rsidR="00E411ED">
        <w:t>v</w:t>
      </w:r>
      <w:r w:rsidR="00E411ED" w:rsidRPr="00C811E8">
        <w:t>ersion 2</w:t>
      </w:r>
      <w:r w:rsidRPr="006029B5">
        <w:t>.</w:t>
      </w:r>
      <w:r>
        <w:t xml:space="preserve"> </w:t>
      </w:r>
    </w:p>
    <w:p w14:paraId="660C071D" w14:textId="336D3951" w:rsidR="005E6B42" w:rsidRDefault="005E6B42" w:rsidP="00F36010">
      <w:pPr>
        <w:pStyle w:val="Tablenotes0"/>
      </w:pPr>
      <w:r>
        <w:t>For SF-36v2, higher values indicate better functional health.</w:t>
      </w:r>
    </w:p>
    <w:p w14:paraId="420EE2B9" w14:textId="67B9E64D" w:rsidR="00B20DEA" w:rsidRDefault="00B20DEA" w:rsidP="00F36010">
      <w:pPr>
        <w:pStyle w:val="Tablenotes0"/>
      </w:pPr>
      <w:r>
        <w:t xml:space="preserve">Source: </w:t>
      </w:r>
      <w:r w:rsidR="006948BE">
        <w:t xml:space="preserve">Commentary Table </w:t>
      </w:r>
      <w:r w:rsidR="006556E9">
        <w:t>3</w:t>
      </w:r>
      <w:r w:rsidR="00860B62">
        <w:t xml:space="preserve"> of </w:t>
      </w:r>
      <w:r>
        <w:t>MSAC Application 1805 in-line Commentary</w:t>
      </w:r>
      <w:r w:rsidR="000253AB">
        <w:t>.</w:t>
      </w:r>
    </w:p>
    <w:p w14:paraId="0F0963B0" w14:textId="3831AAB4" w:rsidR="006B06EC" w:rsidRDefault="00094B1A" w:rsidP="008450F1">
      <w:r>
        <w:t xml:space="preserve">For the </w:t>
      </w:r>
      <w:r w:rsidR="00790D20">
        <w:t>Haem-A-QoL questionnaire</w:t>
      </w:r>
      <w:r w:rsidR="00960155">
        <w:t xml:space="preserve"> total score,</w:t>
      </w:r>
      <w:r w:rsidR="00790D20">
        <w:t xml:space="preserve"> there was a statistically significant difference between concizumab prophylaxis</w:t>
      </w:r>
      <w:r w:rsidR="00E714E5">
        <w:t xml:space="preserve"> (</w:t>
      </w:r>
      <w:r w:rsidR="00EF5EC8">
        <w:t>n</w:t>
      </w:r>
      <w:r w:rsidR="00E714E5">
        <w:t>=11)</w:t>
      </w:r>
      <w:r w:rsidR="00790D20">
        <w:t xml:space="preserve"> and no prophylaxis </w:t>
      </w:r>
      <w:r w:rsidR="00E714E5">
        <w:t>(</w:t>
      </w:r>
      <w:r w:rsidR="00EF5EC8">
        <w:t>n</w:t>
      </w:r>
      <w:r w:rsidR="00E714E5">
        <w:t>=3)</w:t>
      </w:r>
      <w:r w:rsidR="00960155">
        <w:t>, favouring concizumab</w:t>
      </w:r>
      <w:r w:rsidR="00E714E5">
        <w:t xml:space="preserve"> </w:t>
      </w:r>
      <w:r w:rsidR="006B4AF8">
        <w:t xml:space="preserve">(difference </w:t>
      </w:r>
      <w:r w:rsidR="006B4AF8" w:rsidRPr="00C811E8">
        <w:t>estimate -17.55 [95% CI -28.77 to -6.33</w:t>
      </w:r>
      <w:r w:rsidR="00E714E5" w:rsidRPr="00C811E8">
        <w:t>]).</w:t>
      </w:r>
      <w:r w:rsidR="00E714E5">
        <w:t xml:space="preserve"> </w:t>
      </w:r>
    </w:p>
    <w:p w14:paraId="1D90CA89" w14:textId="5DA8C77D" w:rsidR="00F02B45" w:rsidRPr="00F02B45" w:rsidRDefault="00772829" w:rsidP="00835528">
      <w:pPr>
        <w:pStyle w:val="Heading3"/>
      </w:pPr>
      <w:r w:rsidRPr="00223664">
        <w:t>Clinical claim</w:t>
      </w:r>
    </w:p>
    <w:p w14:paraId="72354388" w14:textId="056FB55E" w:rsidR="00B53A01" w:rsidRDefault="00835528" w:rsidP="00332A67">
      <w:pPr>
        <w:keepNext/>
      </w:pPr>
      <w:r>
        <w:t xml:space="preserve">For </w:t>
      </w:r>
      <w:r w:rsidR="00E913E8">
        <w:t xml:space="preserve">patients with </w:t>
      </w:r>
      <w:r>
        <w:t>HMB with inhibitors, t</w:t>
      </w:r>
      <w:r w:rsidR="006233B4">
        <w:t>he A</w:t>
      </w:r>
      <w:r w:rsidR="00B75537">
        <w:t>DAR concluded that</w:t>
      </w:r>
      <w:r w:rsidR="00B45B9B">
        <w:t xml:space="preserve"> the use of concizumab results</w:t>
      </w:r>
      <w:r w:rsidR="009F3ED9">
        <w:t xml:space="preserve"> in</w:t>
      </w:r>
      <w:r w:rsidR="00352EAB">
        <w:t>:</w:t>
      </w:r>
    </w:p>
    <w:p w14:paraId="48890073" w14:textId="6A8FA704" w:rsidR="00B53A01" w:rsidRDefault="00352EAB" w:rsidP="00F1192D">
      <w:pPr>
        <w:pStyle w:val="ListParagraph"/>
        <w:numPr>
          <w:ilvl w:val="0"/>
          <w:numId w:val="18"/>
        </w:numPr>
      </w:pPr>
      <w:r>
        <w:t>S</w:t>
      </w:r>
      <w:r w:rsidR="00615317">
        <w:t>uperior effectiveness compared with no prophylaxis (on</w:t>
      </w:r>
      <w:r w:rsidR="00574410">
        <w:t>-</w:t>
      </w:r>
      <w:r w:rsidR="00615317">
        <w:t>d</w:t>
      </w:r>
      <w:r w:rsidR="00C618C7">
        <w:t>emand BPAs)</w:t>
      </w:r>
      <w:r w:rsidR="00315961">
        <w:t>.</w:t>
      </w:r>
    </w:p>
    <w:p w14:paraId="4C3C97FF" w14:textId="17563CAF" w:rsidR="00352EAB" w:rsidRDefault="331D91E5" w:rsidP="2B05014C">
      <w:r>
        <w:t xml:space="preserve">Superiority was </w:t>
      </w:r>
      <w:r w:rsidR="20A4AF18">
        <w:t xml:space="preserve">not </w:t>
      </w:r>
      <w:r>
        <w:t>demonstrated for this comparison</w:t>
      </w:r>
      <w:r w:rsidR="7464C1E4">
        <w:t xml:space="preserve"> in the open-label RCT</w:t>
      </w:r>
      <w:r>
        <w:t xml:space="preserve"> for the HMBwI </w:t>
      </w:r>
      <w:r w:rsidR="63026F6D">
        <w:t>population</w:t>
      </w:r>
      <w:r w:rsidR="318F89D1">
        <w:t>,</w:t>
      </w:r>
      <w:r>
        <w:t xml:space="preserve"> however, the trial was underpowered for the HMBwI population alone. </w:t>
      </w:r>
      <w:r w:rsidR="6E98945C">
        <w:t>Superiority was demonstrated for the combined HMAwI/HMBwI population.</w:t>
      </w:r>
    </w:p>
    <w:p w14:paraId="74754772" w14:textId="2109A3CF" w:rsidR="00352EAB" w:rsidRDefault="006F6F9B" w:rsidP="00352EAB">
      <w:r>
        <w:t>In summary, while t</w:t>
      </w:r>
      <w:r w:rsidR="00352EAB">
        <w:t>he clinical claim of superiority</w:t>
      </w:r>
      <w:r w:rsidR="00EE66DA">
        <w:t xml:space="preserve"> made in the ADAR</w:t>
      </w:r>
      <w:r w:rsidR="00352EAB">
        <w:t xml:space="preserve"> is supported</w:t>
      </w:r>
      <w:r w:rsidR="00EE66DA">
        <w:t xml:space="preserve"> by clinical evidence</w:t>
      </w:r>
      <w:r w:rsidR="00352EAB">
        <w:t xml:space="preserve"> </w:t>
      </w:r>
      <w:r>
        <w:t xml:space="preserve">for the combined HMAwI and HMBwI populations, it </w:t>
      </w:r>
      <w:r w:rsidR="00352EAB">
        <w:t xml:space="preserve">is considered uncertain </w:t>
      </w:r>
      <w:r>
        <w:t xml:space="preserve">for HMBwI </w:t>
      </w:r>
      <w:r w:rsidR="00352EAB">
        <w:t>(GRADE certainty of evidence for HMBwI</w:t>
      </w:r>
      <w:r w:rsidR="00EE66DA">
        <w:t>:</w:t>
      </w:r>
      <w:r w:rsidR="00352EAB">
        <w:t xml:space="preserve"> </w:t>
      </w:r>
      <w:r w:rsidR="00315961">
        <w:t>V</w:t>
      </w:r>
      <w:r w:rsidR="00352EAB">
        <w:t xml:space="preserve">ery low). </w:t>
      </w:r>
      <w:r w:rsidR="00EE66DA">
        <w:t xml:space="preserve">The </w:t>
      </w:r>
      <w:r w:rsidR="00446C5B">
        <w:t xml:space="preserve">comparative </w:t>
      </w:r>
      <w:r w:rsidR="00EE66DA">
        <w:t>e</w:t>
      </w:r>
      <w:r w:rsidR="00352EAB">
        <w:t xml:space="preserve">ffectiveness </w:t>
      </w:r>
      <w:r w:rsidR="00EE66DA">
        <w:t>of concizumab may</w:t>
      </w:r>
      <w:r w:rsidR="00352EAB">
        <w:t xml:space="preserve"> differ </w:t>
      </w:r>
      <w:r>
        <w:t xml:space="preserve">for </w:t>
      </w:r>
      <w:r w:rsidR="00EE66DA">
        <w:t>the</w:t>
      </w:r>
      <w:r w:rsidR="00352EAB">
        <w:t xml:space="preserve"> HMAwI and HMBwI</w:t>
      </w:r>
      <w:r w:rsidR="00EE66DA">
        <w:t xml:space="preserve"> populations</w:t>
      </w:r>
      <w:r>
        <w:t>.</w:t>
      </w:r>
      <w:r w:rsidR="00352EAB">
        <w:t xml:space="preserve"> </w:t>
      </w:r>
      <w:r w:rsidR="00446C5B">
        <w:t>P</w:t>
      </w:r>
      <w:r w:rsidR="00352EAB">
        <w:t>atients with HMAwI have access to a broader range of treatments than patients with HMBwI</w:t>
      </w:r>
      <w:r w:rsidR="00EE66DA">
        <w:t>,</w:t>
      </w:r>
      <w:r w:rsidR="00352EAB">
        <w:t xml:space="preserve"> who tend to be restricted to rFVIIa</w:t>
      </w:r>
      <w:r>
        <w:t xml:space="preserve">, which introduces differences in comparative effectiveness </w:t>
      </w:r>
      <w:r w:rsidR="00315961">
        <w:t>for these populations compared to standard of care</w:t>
      </w:r>
      <w:r w:rsidR="00352EAB">
        <w:t>.</w:t>
      </w:r>
    </w:p>
    <w:p w14:paraId="445EFEA3" w14:textId="7987B11D" w:rsidR="00C55C53" w:rsidRDefault="00FD7015" w:rsidP="00F1192D">
      <w:pPr>
        <w:pStyle w:val="ListParagraph"/>
        <w:numPr>
          <w:ilvl w:val="0"/>
          <w:numId w:val="18"/>
        </w:numPr>
      </w:pPr>
      <w:r>
        <w:t>Superior</w:t>
      </w:r>
      <w:r w:rsidR="00C618C7">
        <w:t xml:space="preserve"> effectiveness compared with BPA prophylaxis.</w:t>
      </w:r>
    </w:p>
    <w:p w14:paraId="18EDEE99" w14:textId="2C278FE0" w:rsidR="00C618C7" w:rsidRDefault="006E45B3" w:rsidP="00AD1B60">
      <w:r>
        <w:t>Superiority was not demonstrated in the intra-patient analysis for this comparison</w:t>
      </w:r>
      <w:r w:rsidR="00FB7B34">
        <w:t>. The direction of effect favoured concizumab over BPA prophylaxis</w:t>
      </w:r>
      <w:r w:rsidR="007D5100">
        <w:t xml:space="preserve">. </w:t>
      </w:r>
      <w:r w:rsidR="00D43632">
        <w:t>Due to the s</w:t>
      </w:r>
      <w:r w:rsidR="007D5100">
        <w:t>mall patient numbers and</w:t>
      </w:r>
      <w:r w:rsidR="00422D17">
        <w:t xml:space="preserve"> </w:t>
      </w:r>
      <w:r w:rsidR="00BB787D">
        <w:t>pre- post-</w:t>
      </w:r>
      <w:r w:rsidR="007D5100">
        <w:t xml:space="preserve"> design</w:t>
      </w:r>
      <w:r w:rsidR="00315961">
        <w:t xml:space="preserve"> of the stud</w:t>
      </w:r>
      <w:r w:rsidR="00A572CC">
        <w:t>y</w:t>
      </w:r>
      <w:r w:rsidR="00315961">
        <w:t>,</w:t>
      </w:r>
      <w:r w:rsidR="007D5100">
        <w:t xml:space="preserve"> </w:t>
      </w:r>
      <w:r w:rsidR="00422D17">
        <w:t xml:space="preserve">the commentary </w:t>
      </w:r>
      <w:r w:rsidR="00F443DF">
        <w:t>considered</w:t>
      </w:r>
      <w:r w:rsidR="00422D17">
        <w:t xml:space="preserve"> the clinical claim to be </w:t>
      </w:r>
      <w:r w:rsidR="005749FE">
        <w:t>unsupported</w:t>
      </w:r>
      <w:r w:rsidR="00315961">
        <w:t>;</w:t>
      </w:r>
      <w:r w:rsidR="005749FE">
        <w:t xml:space="preserve"> however</w:t>
      </w:r>
      <w:r w:rsidR="00315961">
        <w:t>,</w:t>
      </w:r>
      <w:r w:rsidR="005749FE">
        <w:t xml:space="preserve"> a claim of noninferiority could be supported</w:t>
      </w:r>
      <w:r w:rsidR="00315961">
        <w:t>,</w:t>
      </w:r>
      <w:r w:rsidR="005749FE">
        <w:t xml:space="preserve"> </w:t>
      </w:r>
      <w:r w:rsidR="00315961">
        <w:t xml:space="preserve">albeit </w:t>
      </w:r>
      <w:r w:rsidR="003B07CB">
        <w:t>with a low level of certainty (GRADE certainty of evidence</w:t>
      </w:r>
      <w:r w:rsidR="00315961">
        <w:t>;</w:t>
      </w:r>
      <w:r w:rsidR="003B07CB">
        <w:t xml:space="preserve"> </w:t>
      </w:r>
      <w:r w:rsidR="00315961">
        <w:t>V</w:t>
      </w:r>
      <w:r w:rsidR="003B07CB">
        <w:t>ery low).</w:t>
      </w:r>
    </w:p>
    <w:p w14:paraId="0F24443E" w14:textId="298D7CD7" w:rsidR="00A174F9" w:rsidRDefault="00A174F9" w:rsidP="00A572CC">
      <w:pPr>
        <w:keepNext/>
      </w:pPr>
      <w:r>
        <w:t>For</w:t>
      </w:r>
      <w:r w:rsidR="00BC1E29">
        <w:t xml:space="preserve"> patients with</w:t>
      </w:r>
      <w:r>
        <w:t xml:space="preserve"> HMB without inhibitors</w:t>
      </w:r>
      <w:r w:rsidR="00BC1743">
        <w:t>, the</w:t>
      </w:r>
      <w:r>
        <w:t xml:space="preserve"> ADAR concluded that the</w:t>
      </w:r>
      <w:r w:rsidR="00BC1743">
        <w:t xml:space="preserve"> use of concizumab results in</w:t>
      </w:r>
      <w:r>
        <w:t>:</w:t>
      </w:r>
    </w:p>
    <w:p w14:paraId="7D5C9C0E" w14:textId="04C76004" w:rsidR="00A174F9" w:rsidRDefault="00A174F9" w:rsidP="00F1192D">
      <w:pPr>
        <w:pStyle w:val="ListParagraph"/>
        <w:numPr>
          <w:ilvl w:val="0"/>
          <w:numId w:val="19"/>
        </w:numPr>
      </w:pPr>
      <w:r>
        <w:t>N</w:t>
      </w:r>
      <w:r w:rsidR="00173605">
        <w:t xml:space="preserve">oninferior </w:t>
      </w:r>
      <w:r w:rsidR="00BC1743">
        <w:t xml:space="preserve">effectiveness compared with </w:t>
      </w:r>
      <w:r w:rsidR="00173605">
        <w:t>FIX prophylaxis</w:t>
      </w:r>
      <w:r w:rsidR="00315961">
        <w:t>.</w:t>
      </w:r>
    </w:p>
    <w:p w14:paraId="39724E30" w14:textId="7B8F0E6E" w:rsidR="002E1AD6" w:rsidRDefault="00F5234D" w:rsidP="002E1AD6">
      <w:r>
        <w:t>Noninferiority was not demonstrated for this comparison in the intra-patient analysis</w:t>
      </w:r>
      <w:r w:rsidR="007B7B8E">
        <w:t>. Due to the small sample size, the analysis is prone to the influence of random variation</w:t>
      </w:r>
      <w:r w:rsidR="00C04925">
        <w:t xml:space="preserve">. </w:t>
      </w:r>
      <w:r w:rsidR="00A8353A">
        <w:t>For this reason, t</w:t>
      </w:r>
      <w:r w:rsidR="00C04925">
        <w:t>he ADAR undertook</w:t>
      </w:r>
      <w:r w:rsidR="00A8353A">
        <w:t xml:space="preserve"> an analysis replacing a patient with a high number of bleeds on concizumab with </w:t>
      </w:r>
      <w:r w:rsidR="00CA7CB0">
        <w:t>imputed data. The commentary does not consider this analysis to demonstrate noninferiority</w:t>
      </w:r>
      <w:r w:rsidR="00315961">
        <w:t>,</w:t>
      </w:r>
      <w:r w:rsidR="00DA7825">
        <w:t xml:space="preserve"> noting that </w:t>
      </w:r>
      <w:r w:rsidR="00CA7CB0">
        <w:t xml:space="preserve">patients with high bleed numbers </w:t>
      </w:r>
      <w:r w:rsidR="00DA7825">
        <w:t xml:space="preserve">were </w:t>
      </w:r>
      <w:r w:rsidR="00CA7CB0">
        <w:t>also observed in the HM</w:t>
      </w:r>
      <w:r w:rsidR="003069AE">
        <w:t>A</w:t>
      </w:r>
      <w:r w:rsidR="00CA7CB0">
        <w:t xml:space="preserve"> population. </w:t>
      </w:r>
    </w:p>
    <w:p w14:paraId="777E6D92" w14:textId="77777777" w:rsidR="00DB46CD" w:rsidRDefault="003204D9" w:rsidP="002E1AD6">
      <w:r>
        <w:t>T</w:t>
      </w:r>
      <w:r w:rsidR="00FC4715">
        <w:t xml:space="preserve">he </w:t>
      </w:r>
      <w:r>
        <w:t>commentary f</w:t>
      </w:r>
      <w:r w:rsidR="00315961">
        <w:t>ound</w:t>
      </w:r>
      <w:r>
        <w:t xml:space="preserve"> that the </w:t>
      </w:r>
      <w:r w:rsidR="00FC4715">
        <w:t xml:space="preserve">clinical claim is not supported </w:t>
      </w:r>
      <w:r w:rsidR="005D21AC">
        <w:t>for the primary outcome (treated spontaneous and traumatic bleeds)</w:t>
      </w:r>
      <w:r>
        <w:t xml:space="preserve"> as the </w:t>
      </w:r>
      <w:r w:rsidR="000D1B72">
        <w:t xml:space="preserve">true effects could include a higher </w:t>
      </w:r>
      <w:r w:rsidR="0011323B">
        <w:t xml:space="preserve">ABR on concizumab than FIX prophylaxis. It is possible that variability in </w:t>
      </w:r>
      <w:r w:rsidR="00315961">
        <w:t xml:space="preserve">patient </w:t>
      </w:r>
      <w:r w:rsidR="00780B17">
        <w:t>response</w:t>
      </w:r>
      <w:r w:rsidR="00315961">
        <w:t xml:space="preserve"> is a contributing factor</w:t>
      </w:r>
      <w:r w:rsidR="00442A86">
        <w:t>.</w:t>
      </w:r>
      <w:r w:rsidR="008D185F">
        <w:t xml:space="preserve"> </w:t>
      </w:r>
    </w:p>
    <w:p w14:paraId="7D40FE18" w14:textId="0AF3B1BF" w:rsidR="00FC4715" w:rsidRDefault="027B9315" w:rsidP="002E1AD6">
      <w:r>
        <w:t xml:space="preserve">Although the commentary did not support the clinical claim of noninferiority for the primary outcome, </w:t>
      </w:r>
      <w:r w:rsidR="3844084A">
        <w:t xml:space="preserve">the commentary noted </w:t>
      </w:r>
      <w:r>
        <w:t>the strong patient preference for a subcutaneous prophylactic treatment is acknowledged. Furthermore, it is noted that patients can be on concizumab prophylaxis and on-demand FIX. The volume of FIX used while patients were on concizumab prophylaxis was not reported in the ADAR.</w:t>
      </w:r>
      <w:r w:rsidR="0FB8C4A2">
        <w:t xml:space="preserve"> </w:t>
      </w:r>
      <w:r w:rsidR="3E16D55F">
        <w:t>The commentary noted that p</w:t>
      </w:r>
      <w:r w:rsidR="0FB8C4A2">
        <w:t>atient preference and real-world considerations (access to on-demand treatment, patient compliance, burden on carers etc.) may still support an overall judgement of noninferiority, despite the data presented in the ADAR.</w:t>
      </w:r>
    </w:p>
    <w:p w14:paraId="12C4DA13" w14:textId="04278FAC" w:rsidR="00C618C7" w:rsidRDefault="00A174F9" w:rsidP="00F1192D">
      <w:pPr>
        <w:pStyle w:val="ListParagraph"/>
        <w:numPr>
          <w:ilvl w:val="0"/>
          <w:numId w:val="19"/>
        </w:numPr>
      </w:pPr>
      <w:r>
        <w:t>S</w:t>
      </w:r>
      <w:r w:rsidR="00173605">
        <w:t>uperior effectiveness compared with no prophylaxis (on</w:t>
      </w:r>
      <w:r w:rsidR="00574410">
        <w:t>-</w:t>
      </w:r>
      <w:r w:rsidR="00173605">
        <w:t xml:space="preserve">demand FIX). </w:t>
      </w:r>
    </w:p>
    <w:p w14:paraId="26558B48" w14:textId="4DE32407" w:rsidR="00F71A0D" w:rsidRPr="00223664" w:rsidRDefault="008C3B3F" w:rsidP="00F71A0D">
      <w:r>
        <w:t>Superior</w:t>
      </w:r>
      <w:r w:rsidR="0027541E">
        <w:t>ity</w:t>
      </w:r>
      <w:r>
        <w:t xml:space="preserve"> was demonstrated in the open-label RCT for this comparison for the HMB population (GRADE certainty</w:t>
      </w:r>
      <w:r w:rsidR="00315961">
        <w:t xml:space="preserve"> of evidence:</w:t>
      </w:r>
      <w:r>
        <w:t xml:space="preserve"> </w:t>
      </w:r>
      <w:r w:rsidR="007D3094">
        <w:t>Low). The commentary note</w:t>
      </w:r>
      <w:r w:rsidR="004270AC">
        <w:t>d</w:t>
      </w:r>
      <w:r w:rsidR="007D3094">
        <w:t xml:space="preserve"> that on-demand treatment is not standard of care for </w:t>
      </w:r>
      <w:r w:rsidR="00B1528E">
        <w:t xml:space="preserve">Australian patients with </w:t>
      </w:r>
      <w:r w:rsidR="0027541E">
        <w:t xml:space="preserve">severe HMB. </w:t>
      </w:r>
    </w:p>
    <w:p w14:paraId="0D09C9E4" w14:textId="4CFF1CF5" w:rsidR="00772829" w:rsidRDefault="00772829" w:rsidP="00F1192D">
      <w:pPr>
        <w:pStyle w:val="Heading2"/>
        <w:numPr>
          <w:ilvl w:val="0"/>
          <w:numId w:val="31"/>
        </w:numPr>
        <w:ind w:left="709" w:hanging="709"/>
      </w:pPr>
      <w:bookmarkStart w:id="38" w:name="_Toc69491425"/>
      <w:r w:rsidRPr="00CE28E3">
        <w:t>Economic evaluation</w:t>
      </w:r>
      <w:bookmarkEnd w:id="38"/>
    </w:p>
    <w:p w14:paraId="186771DC" w14:textId="52130B62" w:rsidR="00997674" w:rsidRDefault="009559E6" w:rsidP="009559E6">
      <w:r>
        <w:t>A cost-minimisation analysis (CMA) was presented in the ADAR</w:t>
      </w:r>
      <w:r w:rsidR="00E6199E">
        <w:t xml:space="preserve"> for both </w:t>
      </w:r>
      <w:r w:rsidR="00A164E4">
        <w:t xml:space="preserve">the </w:t>
      </w:r>
      <w:r w:rsidR="00E6199E">
        <w:t>HMB and HMBwI</w:t>
      </w:r>
      <w:r w:rsidR="00A164E4">
        <w:t xml:space="preserve"> populations</w:t>
      </w:r>
      <w:r>
        <w:t>.</w:t>
      </w:r>
      <w:r w:rsidR="00E6199E">
        <w:t xml:space="preserve"> Due to the claim of superiority for HMBwI over standard of care, the CMA for this population incorporated </w:t>
      </w:r>
      <w:r w:rsidR="00EA1213">
        <w:t>the cost of breakthrough bleeds</w:t>
      </w:r>
      <w:r w:rsidR="00436AE9">
        <w:t>.</w:t>
      </w:r>
    </w:p>
    <w:p w14:paraId="11B25E6A" w14:textId="73379BC8" w:rsidR="00436AE9" w:rsidRDefault="00AB2C45" w:rsidP="00436AE9">
      <w:pPr>
        <w:pStyle w:val="Heading3"/>
      </w:pPr>
      <w:r>
        <w:t>Haemophilia B with inhibitors</w:t>
      </w:r>
    </w:p>
    <w:p w14:paraId="020DE78E" w14:textId="57CC3D0A" w:rsidR="00AB2C45" w:rsidRDefault="002C2E43" w:rsidP="00AB2C45">
      <w:r>
        <w:t>The ADAR claim</w:t>
      </w:r>
      <w:r w:rsidR="000660D1">
        <w:t>ed</w:t>
      </w:r>
      <w:r>
        <w:t xml:space="preserve"> that </w:t>
      </w:r>
      <w:r w:rsidR="007275BB">
        <w:t>prophylactic concizumab is superior to standard of care</w:t>
      </w:r>
      <w:r w:rsidR="00757338">
        <w:t xml:space="preserve"> and has presented a CMA approach so that funding is cost</w:t>
      </w:r>
      <w:r w:rsidR="00F04112">
        <w:t xml:space="preserve"> </w:t>
      </w:r>
      <w:r w:rsidR="00757338">
        <w:t>neutral to the health system</w:t>
      </w:r>
      <w:r w:rsidR="00833634">
        <w:t>. T</w:t>
      </w:r>
      <w:r w:rsidR="00D211E7">
        <w:t xml:space="preserve">he </w:t>
      </w:r>
      <w:r w:rsidR="003456A6">
        <w:t xml:space="preserve">ADAR did not </w:t>
      </w:r>
      <w:r w:rsidR="00FE1D03">
        <w:t xml:space="preserve">explicitly </w:t>
      </w:r>
      <w:r w:rsidR="00074AE4">
        <w:t xml:space="preserve">address whether the introduction of concizumab is likely to lead to any other cost differences </w:t>
      </w:r>
      <w:r w:rsidR="006E4039">
        <w:t xml:space="preserve">not accounted for in the CMA. </w:t>
      </w:r>
    </w:p>
    <w:p w14:paraId="76683D6D" w14:textId="1D444B6B" w:rsidR="00A45242" w:rsidRPr="00AB2C45" w:rsidRDefault="00A45242" w:rsidP="00AB2C45">
      <w:r>
        <w:t xml:space="preserve">An overview of the CMA is provided in </w:t>
      </w:r>
      <w:r>
        <w:fldChar w:fldCharType="begin"/>
      </w:r>
      <w:r>
        <w:instrText xml:space="preserve"> REF _Ref69725820 \h </w:instrText>
      </w:r>
      <w:r>
        <w:fldChar w:fldCharType="separate"/>
      </w:r>
      <w:r w:rsidR="00CD3B0F" w:rsidRPr="00CE28E3">
        <w:t>Table</w:t>
      </w:r>
      <w:r w:rsidR="00CD3B0F">
        <w:t> </w:t>
      </w:r>
      <w:r w:rsidR="00CD3B0F">
        <w:rPr>
          <w:noProof/>
        </w:rPr>
        <w:t>13</w:t>
      </w:r>
      <w:r>
        <w:fldChar w:fldCharType="end"/>
      </w:r>
      <w:r>
        <w:t xml:space="preserve">. </w:t>
      </w:r>
    </w:p>
    <w:p w14:paraId="7832FEBA" w14:textId="23E96CB6" w:rsidR="00C107C3" w:rsidRDefault="00C107C3" w:rsidP="00670650">
      <w:pPr>
        <w:pStyle w:val="Caption"/>
        <w:tabs>
          <w:tab w:val="left" w:pos="1134"/>
        </w:tabs>
        <w:ind w:left="1134" w:hanging="1134"/>
      </w:pPr>
      <w:bookmarkStart w:id="39" w:name="_Ref69725820"/>
      <w:r w:rsidRPr="00CE28E3">
        <w:t>Table</w:t>
      </w:r>
      <w:r w:rsidR="004A4FDF">
        <w:t> </w:t>
      </w:r>
      <w:r w:rsidRPr="00CE28E3">
        <w:rPr>
          <w:noProof/>
        </w:rPr>
        <w:fldChar w:fldCharType="begin"/>
      </w:r>
      <w:r w:rsidRPr="00CE28E3">
        <w:rPr>
          <w:noProof/>
        </w:rPr>
        <w:instrText xml:space="preserve"> SEQ Table \* ARABIC </w:instrText>
      </w:r>
      <w:r w:rsidRPr="00CE28E3">
        <w:rPr>
          <w:noProof/>
        </w:rPr>
        <w:fldChar w:fldCharType="separate"/>
      </w:r>
      <w:r w:rsidR="00CD3B0F">
        <w:rPr>
          <w:noProof/>
        </w:rPr>
        <w:t>13</w:t>
      </w:r>
      <w:r w:rsidRPr="00CE28E3">
        <w:rPr>
          <w:noProof/>
        </w:rPr>
        <w:fldChar w:fldCharType="end"/>
      </w:r>
      <w:bookmarkEnd w:id="39"/>
      <w:r w:rsidRPr="00CE28E3">
        <w:tab/>
        <w:t xml:space="preserve">Summary of the </w:t>
      </w:r>
      <w:r w:rsidR="00985DAA">
        <w:t xml:space="preserve">HMBwI </w:t>
      </w:r>
      <w:r w:rsidRPr="00CE28E3">
        <w:t>economic evaluation</w:t>
      </w:r>
    </w:p>
    <w:tbl>
      <w:tblPr>
        <w:tblStyle w:val="TableGrid1"/>
        <w:tblW w:w="0" w:type="auto"/>
        <w:tblLook w:val="0420" w:firstRow="1" w:lastRow="0" w:firstColumn="0" w:lastColumn="0" w:noHBand="0" w:noVBand="1"/>
        <w:tblCaption w:val="Summary of the HMBwI economic evaluation"/>
        <w:tblDescription w:val="Summary of the HMBwI economic evaluation"/>
      </w:tblPr>
      <w:tblGrid>
        <w:gridCol w:w="2834"/>
        <w:gridCol w:w="6181"/>
      </w:tblGrid>
      <w:tr w:rsidR="00E102E2" w:rsidRPr="00CE540D" w14:paraId="0DCA1D77" w14:textId="77777777" w:rsidTr="00A164E4">
        <w:trPr>
          <w:cnfStyle w:val="100000000000" w:firstRow="1" w:lastRow="0" w:firstColumn="0" w:lastColumn="0" w:oddVBand="0" w:evenVBand="0" w:oddHBand="0" w:evenHBand="0" w:firstRowFirstColumn="0" w:firstRowLastColumn="0" w:lastRowFirstColumn="0" w:lastRowLastColumn="0"/>
          <w:cantSplit/>
          <w:tblHeader/>
        </w:trPr>
        <w:tc>
          <w:tcPr>
            <w:tcW w:w="2834" w:type="dxa"/>
          </w:tcPr>
          <w:p w14:paraId="1125F01F" w14:textId="77777777" w:rsidR="00E102E2" w:rsidRPr="00CE540D" w:rsidRDefault="00E102E2" w:rsidP="00E102E2">
            <w:pPr>
              <w:pStyle w:val="TableHeading0"/>
            </w:pPr>
            <w:r w:rsidRPr="00CE540D">
              <w:t>Component</w:t>
            </w:r>
          </w:p>
        </w:tc>
        <w:tc>
          <w:tcPr>
            <w:tcW w:w="6181" w:type="dxa"/>
          </w:tcPr>
          <w:p w14:paraId="7779915A" w14:textId="77777777" w:rsidR="00E102E2" w:rsidRPr="00CE540D" w:rsidRDefault="00E102E2" w:rsidP="00E102E2">
            <w:pPr>
              <w:pStyle w:val="TableHeading0"/>
            </w:pPr>
            <w:r w:rsidRPr="00CE540D">
              <w:t>Description</w:t>
            </w:r>
          </w:p>
        </w:tc>
      </w:tr>
      <w:tr w:rsidR="00E102E2" w:rsidRPr="00CE540D" w14:paraId="2FFCB66C" w14:textId="77777777" w:rsidTr="00A164E4">
        <w:trPr>
          <w:cantSplit/>
        </w:trPr>
        <w:tc>
          <w:tcPr>
            <w:tcW w:w="2834" w:type="dxa"/>
          </w:tcPr>
          <w:p w14:paraId="1DD903C6" w14:textId="77777777" w:rsidR="00E102E2" w:rsidRPr="00CE540D" w:rsidRDefault="00E102E2" w:rsidP="00E102E2">
            <w:pPr>
              <w:pStyle w:val="TableText"/>
            </w:pPr>
            <w:r w:rsidRPr="00CE540D">
              <w:t>Therapeutic claim: effectiveness</w:t>
            </w:r>
          </w:p>
        </w:tc>
        <w:tc>
          <w:tcPr>
            <w:tcW w:w="6181" w:type="dxa"/>
          </w:tcPr>
          <w:p w14:paraId="2972767B" w14:textId="33800B41" w:rsidR="00E102E2" w:rsidRDefault="00A164E4" w:rsidP="00E102E2">
            <w:pPr>
              <w:pStyle w:val="TableText"/>
            </w:pPr>
            <w:r>
              <w:t xml:space="preserve">The </w:t>
            </w:r>
            <w:r w:rsidR="00A3432B">
              <w:t>ADAR claim</w:t>
            </w:r>
            <w:r w:rsidR="000620FF">
              <w:t>ed</w:t>
            </w:r>
            <w:r w:rsidR="00E102E2" w:rsidRPr="00CE540D">
              <w:t xml:space="preserve"> superior</w:t>
            </w:r>
            <w:r w:rsidR="00A3432B">
              <w:t xml:space="preserve"> effectiveness.</w:t>
            </w:r>
          </w:p>
          <w:p w14:paraId="27382553" w14:textId="523C982D" w:rsidR="00E102E2" w:rsidRPr="00CE540D" w:rsidRDefault="00E102E2" w:rsidP="00E102E2">
            <w:pPr>
              <w:pStyle w:val="TableText"/>
            </w:pPr>
            <w:r>
              <w:t xml:space="preserve">The </w:t>
            </w:r>
            <w:r w:rsidR="00862FFA">
              <w:t xml:space="preserve">commentary </w:t>
            </w:r>
            <w:r w:rsidR="00A164E4">
              <w:t>consider</w:t>
            </w:r>
            <w:r w:rsidR="00481D79">
              <w:t>ed</w:t>
            </w:r>
            <w:r w:rsidR="00862FFA">
              <w:t xml:space="preserve"> the </w:t>
            </w:r>
            <w:r w:rsidR="00A3432B">
              <w:t>E</w:t>
            </w:r>
            <w:r>
              <w:t xml:space="preserve">xplorer7 trial demonstrated superiority of concizumab over no </w:t>
            </w:r>
            <w:r w:rsidR="00E44B70">
              <w:t xml:space="preserve">PPX </w:t>
            </w:r>
            <w:r>
              <w:t xml:space="preserve">for a combined HMAwI and HMBwI </w:t>
            </w:r>
            <w:r w:rsidR="005E5F62">
              <w:t>population,</w:t>
            </w:r>
            <w:r w:rsidR="00862FFA">
              <w:t xml:space="preserve"> but</w:t>
            </w:r>
            <w:r>
              <w:t xml:space="preserve"> </w:t>
            </w:r>
            <w:r w:rsidR="00A164E4">
              <w:t xml:space="preserve">that </w:t>
            </w:r>
            <w:r>
              <w:t xml:space="preserve">the trial was not powered to detect a difference for the HMBwI population. Superiority was not demonstrated for the comparison against BPA </w:t>
            </w:r>
            <w:r w:rsidR="00E44B70">
              <w:t>PPX</w:t>
            </w:r>
            <w:r>
              <w:t xml:space="preserve">. </w:t>
            </w:r>
          </w:p>
        </w:tc>
      </w:tr>
      <w:tr w:rsidR="00E102E2" w:rsidRPr="00CE540D" w14:paraId="1751D88F" w14:textId="77777777" w:rsidTr="00A164E4">
        <w:trPr>
          <w:cantSplit/>
        </w:trPr>
        <w:tc>
          <w:tcPr>
            <w:tcW w:w="2834" w:type="dxa"/>
          </w:tcPr>
          <w:p w14:paraId="0CEF1BD6" w14:textId="77777777" w:rsidR="00E102E2" w:rsidRPr="00CE540D" w:rsidRDefault="00E102E2" w:rsidP="00E102E2">
            <w:pPr>
              <w:pStyle w:val="TableText"/>
            </w:pPr>
            <w:r w:rsidRPr="00CE540D">
              <w:t>Therapeutic claim: safety</w:t>
            </w:r>
          </w:p>
        </w:tc>
        <w:tc>
          <w:tcPr>
            <w:tcW w:w="6181" w:type="dxa"/>
          </w:tcPr>
          <w:p w14:paraId="4C0BA8F9" w14:textId="79A6CED6" w:rsidR="00E102E2" w:rsidRDefault="009A37BF" w:rsidP="00E102E2">
            <w:pPr>
              <w:pStyle w:val="TableText"/>
            </w:pPr>
            <w:r>
              <w:t xml:space="preserve">The </w:t>
            </w:r>
            <w:r w:rsidR="00D7552D">
              <w:t>ADAR claim</w:t>
            </w:r>
            <w:r w:rsidR="000620FF">
              <w:t>ed</w:t>
            </w:r>
            <w:r w:rsidR="00D7552D">
              <w:t xml:space="preserve"> noninferior</w:t>
            </w:r>
            <w:r w:rsidR="00E102E2" w:rsidRPr="00CE540D">
              <w:t xml:space="preserve"> safety</w:t>
            </w:r>
            <w:r w:rsidR="00D7552D">
              <w:t>.</w:t>
            </w:r>
          </w:p>
          <w:p w14:paraId="765E3630" w14:textId="0F59D571" w:rsidR="00E102E2" w:rsidRPr="00CE540D" w:rsidRDefault="00D7552D" w:rsidP="00E102E2">
            <w:pPr>
              <w:pStyle w:val="TableText"/>
            </w:pPr>
            <w:r>
              <w:t>The commentary consider</w:t>
            </w:r>
            <w:r w:rsidR="00481D79">
              <w:t>ed</w:t>
            </w:r>
            <w:r>
              <w:t xml:space="preserve"> that</w:t>
            </w:r>
            <w:r w:rsidR="00E102E2">
              <w:t xml:space="preserve"> insufficient comparative safety evidence</w:t>
            </w:r>
            <w:r>
              <w:t xml:space="preserve"> was presented</w:t>
            </w:r>
            <w:r w:rsidR="00E102E2">
              <w:t xml:space="preserve">; therefore, this claim is an assumption based on limited evidence and </w:t>
            </w:r>
            <w:r>
              <w:t xml:space="preserve">is </w:t>
            </w:r>
            <w:r w:rsidR="00E102E2">
              <w:t>uncertain.</w:t>
            </w:r>
          </w:p>
        </w:tc>
      </w:tr>
      <w:tr w:rsidR="00E102E2" w:rsidRPr="00CE540D" w14:paraId="6E3085B6" w14:textId="77777777" w:rsidTr="00A164E4">
        <w:trPr>
          <w:cantSplit/>
        </w:trPr>
        <w:tc>
          <w:tcPr>
            <w:tcW w:w="2834" w:type="dxa"/>
          </w:tcPr>
          <w:p w14:paraId="39EDA903" w14:textId="77777777" w:rsidR="00E102E2" w:rsidRPr="00CE540D" w:rsidRDefault="00E102E2" w:rsidP="00E102E2">
            <w:pPr>
              <w:pStyle w:val="TableText"/>
            </w:pPr>
            <w:r w:rsidRPr="00CE540D">
              <w:t>Evidence base</w:t>
            </w:r>
          </w:p>
        </w:tc>
        <w:tc>
          <w:tcPr>
            <w:tcW w:w="6181" w:type="dxa"/>
          </w:tcPr>
          <w:p w14:paraId="6D79A15E" w14:textId="6EAB06ED" w:rsidR="00E102E2" w:rsidRPr="00C811E8" w:rsidRDefault="00E102E2" w:rsidP="00E102E2">
            <w:pPr>
              <w:pStyle w:val="TableText"/>
            </w:pPr>
            <w:r w:rsidRPr="00C811E8">
              <w:t xml:space="preserve">Direct randomised trial </w:t>
            </w:r>
            <w:r w:rsidR="00D7552D" w:rsidRPr="00C811E8">
              <w:t>(</w:t>
            </w:r>
            <w:r w:rsidRPr="00C811E8">
              <w:t>Explorer7</w:t>
            </w:r>
            <w:r w:rsidR="00D7552D" w:rsidRPr="00C811E8">
              <w:t>)</w:t>
            </w:r>
            <w:r w:rsidR="007128B2" w:rsidRPr="00C811E8">
              <w:t xml:space="preserve"> for the comparison of no prophylaxis.</w:t>
            </w:r>
          </w:p>
        </w:tc>
      </w:tr>
      <w:tr w:rsidR="00E102E2" w:rsidRPr="00CE540D" w14:paraId="3174B138" w14:textId="77777777" w:rsidTr="00A164E4">
        <w:trPr>
          <w:cantSplit/>
        </w:trPr>
        <w:tc>
          <w:tcPr>
            <w:tcW w:w="2834" w:type="dxa"/>
          </w:tcPr>
          <w:p w14:paraId="56868CFA" w14:textId="77777777" w:rsidR="00E102E2" w:rsidRPr="00CE540D" w:rsidRDefault="00E102E2" w:rsidP="00E102E2">
            <w:pPr>
              <w:pStyle w:val="TableText"/>
            </w:pPr>
            <w:r w:rsidRPr="00CE540D">
              <w:t>Equi-effective doses</w:t>
            </w:r>
          </w:p>
        </w:tc>
        <w:tc>
          <w:tcPr>
            <w:tcW w:w="6181" w:type="dxa"/>
          </w:tcPr>
          <w:p w14:paraId="0F2FB6CD" w14:textId="0E588AEA" w:rsidR="007128B2" w:rsidRPr="00C811E8" w:rsidRDefault="00E102E2" w:rsidP="00E102E2">
            <w:pPr>
              <w:pStyle w:val="TableText"/>
            </w:pPr>
            <w:r w:rsidRPr="00C811E8">
              <w:t>Concizumab</w:t>
            </w:r>
            <w:r w:rsidR="009A37BF" w:rsidRPr="00C811E8">
              <w:t>:</w:t>
            </w:r>
            <w:r w:rsidRPr="00C811E8">
              <w:t xml:space="preserve"> 0.212 mg/kg/day</w:t>
            </w:r>
          </w:p>
          <w:p w14:paraId="02DB4863" w14:textId="5D49E750" w:rsidR="00E102E2" w:rsidRPr="00C811E8" w:rsidRDefault="00C55853" w:rsidP="00E102E2">
            <w:pPr>
              <w:pStyle w:val="TableText"/>
            </w:pPr>
            <w:r>
              <w:t>rFVIIa</w:t>
            </w:r>
            <w:r w:rsidRPr="00C811E8">
              <w:t xml:space="preserve"> </w:t>
            </w:r>
            <w:r w:rsidR="009A6EBB">
              <w:t>(</w:t>
            </w:r>
            <w:r w:rsidR="00E102E2" w:rsidRPr="00C811E8">
              <w:t>NovoSeven</w:t>
            </w:r>
            <w:r w:rsidR="007C3372" w:rsidRPr="00D5207E">
              <w:rPr>
                <w:vertAlign w:val="superscript"/>
              </w:rPr>
              <w:t>®</w:t>
            </w:r>
            <w:r w:rsidR="009A6EBB">
              <w:t>)</w:t>
            </w:r>
            <w:r w:rsidR="009A37BF" w:rsidRPr="00C811E8">
              <w:t>:</w:t>
            </w:r>
            <w:r w:rsidR="00E102E2" w:rsidRPr="00C811E8">
              <w:t xml:space="preserve"> 0.090 mg/kg/day</w:t>
            </w:r>
          </w:p>
        </w:tc>
      </w:tr>
      <w:tr w:rsidR="00E102E2" w:rsidRPr="00CE540D" w14:paraId="7DC5827E" w14:textId="77777777" w:rsidTr="00A164E4">
        <w:trPr>
          <w:cantSplit/>
        </w:trPr>
        <w:tc>
          <w:tcPr>
            <w:tcW w:w="2834" w:type="dxa"/>
          </w:tcPr>
          <w:p w14:paraId="64BF6E1C" w14:textId="77777777" w:rsidR="00E102E2" w:rsidRPr="00CE540D" w:rsidRDefault="00E102E2" w:rsidP="00E102E2">
            <w:pPr>
              <w:pStyle w:val="TableText"/>
            </w:pPr>
            <w:r w:rsidRPr="00CE540D">
              <w:t>Direct health technology costs</w:t>
            </w:r>
          </w:p>
        </w:tc>
        <w:tc>
          <w:tcPr>
            <w:tcW w:w="6181" w:type="dxa"/>
          </w:tcPr>
          <w:p w14:paraId="1EF024EE" w14:textId="009B76D0" w:rsidR="00E102E2" w:rsidRPr="00C811E8" w:rsidRDefault="00E102E2" w:rsidP="00E102E2">
            <w:pPr>
              <w:pStyle w:val="TableText"/>
            </w:pPr>
            <w:r w:rsidRPr="00C811E8">
              <w:t xml:space="preserve">Higher; </w:t>
            </w:r>
            <w:r w:rsidRPr="00282024">
              <w:t>$</w:t>
            </w:r>
            <w:r w:rsidR="001448B5">
              <w:rPr>
                <w:b/>
              </w:rPr>
              <w:t>redacted</w:t>
            </w:r>
            <w:r w:rsidR="00F3039D" w:rsidRPr="00C811E8">
              <w:t xml:space="preserve"> (concizumab)</w:t>
            </w:r>
            <w:r w:rsidRPr="00C811E8">
              <w:t xml:space="preserve"> v</w:t>
            </w:r>
            <w:r w:rsidR="00CC1726">
              <w:t>ersu</w:t>
            </w:r>
            <w:r w:rsidRPr="00C811E8">
              <w:t xml:space="preserve">s </w:t>
            </w:r>
            <w:r w:rsidRPr="00282024">
              <w:t>$</w:t>
            </w:r>
            <w:r w:rsidR="001448B5">
              <w:rPr>
                <w:b/>
              </w:rPr>
              <w:t>redacted</w:t>
            </w:r>
            <w:r w:rsidRPr="00C811E8">
              <w:t xml:space="preserve"> (</w:t>
            </w:r>
            <w:r w:rsidR="000179EC">
              <w:t>rFVIIa</w:t>
            </w:r>
            <w:r w:rsidR="005E5F62" w:rsidRPr="00C811E8">
              <w:t xml:space="preserve">, </w:t>
            </w:r>
            <w:r w:rsidRPr="00C811E8">
              <w:t xml:space="preserve">including cost of prophylaxis and cost of </w:t>
            </w:r>
            <w:r w:rsidR="000179EC">
              <w:t>rFVIIa</w:t>
            </w:r>
            <w:r w:rsidRPr="00C811E8">
              <w:t xml:space="preserve"> on demand for breakthrough bleeding)</w:t>
            </w:r>
          </w:p>
        </w:tc>
      </w:tr>
      <w:tr w:rsidR="00E102E2" w:rsidRPr="00CE540D" w14:paraId="0DC011F9" w14:textId="77777777" w:rsidTr="00A164E4">
        <w:trPr>
          <w:cantSplit/>
        </w:trPr>
        <w:tc>
          <w:tcPr>
            <w:tcW w:w="2834" w:type="dxa"/>
          </w:tcPr>
          <w:p w14:paraId="1D2C1948" w14:textId="77777777" w:rsidR="00E102E2" w:rsidRPr="00CE540D" w:rsidRDefault="00E102E2" w:rsidP="00E102E2">
            <w:pPr>
              <w:pStyle w:val="TableText"/>
            </w:pPr>
            <w:r w:rsidRPr="00CE540D">
              <w:t>Other costs or cost offsets</w:t>
            </w:r>
          </w:p>
        </w:tc>
        <w:tc>
          <w:tcPr>
            <w:tcW w:w="6181" w:type="dxa"/>
          </w:tcPr>
          <w:p w14:paraId="3FD29C39" w14:textId="2878CECD" w:rsidR="00E102E2" w:rsidRPr="00CE540D" w:rsidRDefault="00E102E2" w:rsidP="00E102E2">
            <w:pPr>
              <w:pStyle w:val="TableText"/>
            </w:pPr>
            <w:r w:rsidRPr="00CE540D">
              <w:t>Yes; cost of</w:t>
            </w:r>
            <w:r w:rsidR="005E5F62">
              <w:t xml:space="preserve"> </w:t>
            </w:r>
            <w:r w:rsidR="000179EC">
              <w:t>rFVIIa</w:t>
            </w:r>
            <w:r w:rsidRPr="00CE540D">
              <w:t xml:space="preserve"> administration and cost offset of breakthrough bleeds</w:t>
            </w:r>
            <w:r w:rsidR="00A66B72">
              <w:t>.</w:t>
            </w:r>
          </w:p>
        </w:tc>
      </w:tr>
    </w:tbl>
    <w:p w14:paraId="1675366F" w14:textId="5FD82FC1" w:rsidR="00AB2C45" w:rsidRDefault="00735A0A" w:rsidP="009763B7">
      <w:pPr>
        <w:pStyle w:val="Tablenotes0"/>
      </w:pPr>
      <w:r>
        <w:t xml:space="preserve">ADAR = </w:t>
      </w:r>
      <w:r w:rsidR="00190FC7">
        <w:t>applicant-developed assessment report</w:t>
      </w:r>
      <w:r w:rsidR="009A37BF">
        <w:t xml:space="preserve">; </w:t>
      </w:r>
      <w:r w:rsidR="009A37BF" w:rsidRPr="009A37BF">
        <w:t>BPA = bypassing agent; HMAwI = haemophilia A with inhibitors;</w:t>
      </w:r>
      <w:r w:rsidR="009A37BF">
        <w:t xml:space="preserve"> </w:t>
      </w:r>
      <w:r w:rsidR="009A37BF" w:rsidRPr="009A37BF">
        <w:t>HMBwI = haemophilia B with inhibitors;</w:t>
      </w:r>
      <w:r>
        <w:t xml:space="preserve"> kg = kilograms; mg = milligrams</w:t>
      </w:r>
      <w:r w:rsidR="00E44B70">
        <w:t xml:space="preserve">; </w:t>
      </w:r>
      <w:r w:rsidR="00E44B70" w:rsidRPr="00E44B70">
        <w:t>PPX = prophylaxis</w:t>
      </w:r>
      <w:r w:rsidR="00DD5A08">
        <w:t>.</w:t>
      </w:r>
    </w:p>
    <w:p w14:paraId="06080E8E" w14:textId="5CBE1732" w:rsidR="00DD5A08" w:rsidRDefault="00DD5A08" w:rsidP="009763B7">
      <w:pPr>
        <w:pStyle w:val="Tablenotes0"/>
      </w:pPr>
      <w:r>
        <w:t>Source: Table 4</w:t>
      </w:r>
      <w:r w:rsidR="00106049">
        <w:t>2</w:t>
      </w:r>
      <w:r>
        <w:t xml:space="preserve"> of MSAC Application 1805 in-line Commentary.</w:t>
      </w:r>
    </w:p>
    <w:p w14:paraId="162C570E" w14:textId="0F7D8379" w:rsidR="00696CB7" w:rsidRDefault="00696CB7" w:rsidP="00696CB7">
      <w:r>
        <w:t>The ADAR assumed a 100% adherence rate for both the intervention and comparator</w:t>
      </w:r>
      <w:r w:rsidR="009A37BF">
        <w:t>,</w:t>
      </w:r>
      <w:r>
        <w:t xml:space="preserve"> despite stating that treatment adherence is likely to be higher for subcutaneous concizumab compared to BPAs. </w:t>
      </w:r>
      <w:r w:rsidR="00DD269C">
        <w:t xml:space="preserve">The base case assumes </w:t>
      </w:r>
      <w:r w:rsidR="00DD269C" w:rsidRPr="00282024">
        <w:t>32</w:t>
      </w:r>
      <w:r w:rsidR="00DD269C">
        <w:t xml:space="preserve">% </w:t>
      </w:r>
      <w:r w:rsidR="000179EC">
        <w:t>rFVIIa</w:t>
      </w:r>
      <w:r w:rsidR="000179EC" w:rsidDel="000179EC">
        <w:t xml:space="preserve"> </w:t>
      </w:r>
      <w:r w:rsidR="00DD269C">
        <w:t>prophylaxis use over 1</w:t>
      </w:r>
      <w:r w:rsidR="00CD608C">
        <w:t xml:space="preserve"> </w:t>
      </w:r>
      <w:r w:rsidR="00DD269C">
        <w:t>year</w:t>
      </w:r>
      <w:r w:rsidR="008030CC">
        <w:t xml:space="preserve"> and on</w:t>
      </w:r>
      <w:r w:rsidR="00067D1B">
        <w:noBreakHyphen/>
      </w:r>
      <w:r w:rsidR="008030CC">
        <w:t>demand treatment for the remainder of the year. The ADAR extrapolated use</w:t>
      </w:r>
      <w:r w:rsidR="0032154C">
        <w:t xml:space="preserve"> from Australian</w:t>
      </w:r>
      <w:r w:rsidR="005024F8">
        <w:t xml:space="preserve"> patients with</w:t>
      </w:r>
      <w:r w:rsidR="0032154C">
        <w:t xml:space="preserve"> HMBwI</w:t>
      </w:r>
      <w:r w:rsidR="009A37BF">
        <w:t>;</w:t>
      </w:r>
      <w:r w:rsidR="0032154C">
        <w:t xml:space="preserve"> however</w:t>
      </w:r>
      <w:r w:rsidR="009A37BF">
        <w:t>,</w:t>
      </w:r>
      <w:r w:rsidR="0032154C">
        <w:t xml:space="preserve"> year-on-year use varied</w:t>
      </w:r>
      <w:r w:rsidR="009A37BF">
        <w:t>,</w:t>
      </w:r>
      <w:r w:rsidR="0032154C">
        <w:t xml:space="preserve"> as did use between patients</w:t>
      </w:r>
      <w:r w:rsidR="009A37BF">
        <w:t>.</w:t>
      </w:r>
      <w:r w:rsidR="0032154C">
        <w:t xml:space="preserve"> </w:t>
      </w:r>
      <w:r w:rsidR="009A37BF">
        <w:t>T</w:t>
      </w:r>
      <w:r w:rsidR="0032154C">
        <w:t>herefore</w:t>
      </w:r>
      <w:r w:rsidR="009A37BF">
        <w:t>,</w:t>
      </w:r>
      <w:r w:rsidR="0032154C">
        <w:t xml:space="preserve"> the </w:t>
      </w:r>
      <w:r w:rsidR="004F7E38">
        <w:t xml:space="preserve">cumulative time on </w:t>
      </w:r>
      <w:r w:rsidR="000179EC">
        <w:t>rFVIIa</w:t>
      </w:r>
      <w:r w:rsidR="000179EC" w:rsidDel="000179EC">
        <w:t xml:space="preserve"> </w:t>
      </w:r>
      <w:r w:rsidR="004F7E38">
        <w:t xml:space="preserve">prophylaxis per year is uncertain and likely to vary depending on individual patient factors. Given the very small </w:t>
      </w:r>
      <w:r w:rsidR="009A37BF">
        <w:t>sample size</w:t>
      </w:r>
      <w:r w:rsidR="004F7E38">
        <w:t>, individual patient variation would directly impact the overall cost</w:t>
      </w:r>
      <w:r w:rsidR="00F04112">
        <w:t xml:space="preserve"> </w:t>
      </w:r>
      <w:r w:rsidR="004F7E38">
        <w:t>neutrality</w:t>
      </w:r>
      <w:r w:rsidR="00040371">
        <w:t xml:space="preserve">. </w:t>
      </w:r>
    </w:p>
    <w:p w14:paraId="63E6D61F" w14:textId="4B735C90" w:rsidR="003168AB" w:rsidRDefault="003168AB" w:rsidP="00696CB7">
      <w:r>
        <w:t xml:space="preserve">The ADAR has included </w:t>
      </w:r>
      <w:r w:rsidR="00210DA7">
        <w:t xml:space="preserve">administration costs for </w:t>
      </w:r>
      <w:r w:rsidR="000179EC">
        <w:t>rFVIIa</w:t>
      </w:r>
      <w:r w:rsidR="000179EC" w:rsidDel="000179EC">
        <w:t xml:space="preserve"> </w:t>
      </w:r>
      <w:r w:rsidR="00210DA7">
        <w:t xml:space="preserve">due to it being administered </w:t>
      </w:r>
      <w:r w:rsidR="00C912F6">
        <w:t xml:space="preserve">by </w:t>
      </w:r>
      <w:r w:rsidR="00210DA7">
        <w:t xml:space="preserve">IV infusion. </w:t>
      </w:r>
      <w:r w:rsidR="002D0CE4">
        <w:t>The cost is based on an outpatient hospital setting</w:t>
      </w:r>
      <w:r w:rsidR="00AE12F1">
        <w:t xml:space="preserve"> and is applied to all infusions. The commentary note</w:t>
      </w:r>
      <w:r w:rsidR="004270AC">
        <w:t>d</w:t>
      </w:r>
      <w:r w:rsidR="00AE12F1">
        <w:t xml:space="preserve"> that patients can self-</w:t>
      </w:r>
      <w:r w:rsidR="005B6CC6">
        <w:t>infuse,</w:t>
      </w:r>
      <w:r w:rsidR="00AE12F1">
        <w:t xml:space="preserve"> and </w:t>
      </w:r>
      <w:r w:rsidR="00666991">
        <w:t xml:space="preserve">it is unclear what proportion of infusions would </w:t>
      </w:r>
      <w:r w:rsidR="00C912F6">
        <w:t>occur</w:t>
      </w:r>
      <w:r w:rsidR="00666991">
        <w:t xml:space="preserve"> in a </w:t>
      </w:r>
      <w:r w:rsidR="005B6CC6">
        <w:t xml:space="preserve">healthcare setting </w:t>
      </w:r>
      <w:r w:rsidR="00C912F6">
        <w:t>versus at</w:t>
      </w:r>
      <w:r w:rsidR="005B6CC6">
        <w:t xml:space="preserve"> home. </w:t>
      </w:r>
      <w:r w:rsidR="00210DA7">
        <w:t>No administration costs are included for concizumab.</w:t>
      </w:r>
    </w:p>
    <w:p w14:paraId="5A6F994F" w14:textId="3DD0A2BE" w:rsidR="008167E7" w:rsidRDefault="008167E7" w:rsidP="00696CB7">
      <w:r>
        <w:t xml:space="preserve">Similarly, the ADAR has </w:t>
      </w:r>
      <w:r w:rsidR="009F7B7F">
        <w:t xml:space="preserve">applied a cost for each treated bleeding episode based on an inpatient hospitalisation. </w:t>
      </w:r>
      <w:r w:rsidR="00796304">
        <w:t>The commentary consider</w:t>
      </w:r>
      <w:r w:rsidR="004F01EF">
        <w:t>ed</w:t>
      </w:r>
      <w:r w:rsidR="00796304">
        <w:t xml:space="preserve"> that </w:t>
      </w:r>
      <w:r w:rsidR="00C912F6">
        <w:t>this may lead to an overestimation of treatment costs</w:t>
      </w:r>
      <w:r w:rsidR="00897D42">
        <w:t>. In Explorer7, approximately</w:t>
      </w:r>
      <w:r w:rsidR="00796304" w:rsidRPr="005C27E5">
        <w:t xml:space="preserve"> </w:t>
      </w:r>
      <w:r w:rsidR="00796304" w:rsidRPr="00A65AE3">
        <w:t xml:space="preserve">90% of bleeds in </w:t>
      </w:r>
      <w:r w:rsidR="00897D42" w:rsidRPr="00A65AE3">
        <w:t>HMBwI participants</w:t>
      </w:r>
      <w:r w:rsidR="00796304" w:rsidRPr="00A65AE3">
        <w:t xml:space="preserve"> were</w:t>
      </w:r>
      <w:r w:rsidR="00C912F6" w:rsidRPr="00A65AE3">
        <w:t xml:space="preserve"> categorised as</w:t>
      </w:r>
      <w:r w:rsidR="00796304" w:rsidRPr="00A65AE3">
        <w:t xml:space="preserve"> mild</w:t>
      </w:r>
      <w:r w:rsidR="00B511FB" w:rsidRPr="00A65AE3">
        <w:t xml:space="preserve"> or </w:t>
      </w:r>
      <w:r w:rsidR="00796304" w:rsidRPr="00A65AE3">
        <w:t>moderate</w:t>
      </w:r>
      <w:r w:rsidR="00796304">
        <w:t xml:space="preserve"> </w:t>
      </w:r>
      <w:r w:rsidR="00C912F6">
        <w:t xml:space="preserve">and </w:t>
      </w:r>
      <w:r w:rsidR="00F35983">
        <w:t xml:space="preserve">by definition </w:t>
      </w:r>
      <w:r w:rsidR="00A65AE3">
        <w:t>do</w:t>
      </w:r>
      <w:r w:rsidR="00796304">
        <w:t xml:space="preserve"> not</w:t>
      </w:r>
      <w:r w:rsidR="00AF0D65">
        <w:t xml:space="preserve"> </w:t>
      </w:r>
      <w:r w:rsidR="00796304">
        <w:t>require hospitalisation.</w:t>
      </w:r>
    </w:p>
    <w:p w14:paraId="2CE60FB7" w14:textId="6729B6E4" w:rsidR="00AE2365" w:rsidRPr="00C811E8" w:rsidRDefault="00AE2365" w:rsidP="00696CB7">
      <w:r>
        <w:t xml:space="preserve">The total cost per year of each treatment in the ADAR base case is presented in </w:t>
      </w:r>
      <w:r>
        <w:fldChar w:fldCharType="begin"/>
      </w:r>
      <w:r>
        <w:instrText xml:space="preserve"> REF _Ref215416107 \h </w:instrText>
      </w:r>
      <w:r>
        <w:fldChar w:fldCharType="separate"/>
      </w:r>
      <w:r w:rsidR="00CD3B0F" w:rsidRPr="00C811E8">
        <w:t xml:space="preserve">Table </w:t>
      </w:r>
      <w:r w:rsidR="00CD3B0F">
        <w:rPr>
          <w:noProof/>
        </w:rPr>
        <w:t>14</w:t>
      </w:r>
      <w:r>
        <w:fldChar w:fldCharType="end"/>
      </w:r>
      <w:r>
        <w:t>.</w:t>
      </w:r>
      <w:r w:rsidR="00185B06">
        <w:t xml:space="preserve"> This is a cost per </w:t>
      </w:r>
      <w:r w:rsidR="00401135" w:rsidRPr="00C811E8">
        <w:t xml:space="preserve">milligram of </w:t>
      </w:r>
      <w:r w:rsidR="00401135" w:rsidRPr="00282024">
        <w:t>$</w:t>
      </w:r>
      <w:r w:rsidR="003338AE" w:rsidRPr="00282024">
        <w:rPr>
          <w:b/>
          <w:bCs/>
        </w:rPr>
        <w:t>redacted</w:t>
      </w:r>
      <w:r w:rsidR="00401135" w:rsidRPr="00C811E8">
        <w:t xml:space="preserve"> for concizumab compared to $1,250.00 for </w:t>
      </w:r>
      <w:r w:rsidR="006367ED">
        <w:t>rFVIIa</w:t>
      </w:r>
      <w:r w:rsidR="006367ED" w:rsidRPr="00C811E8" w:rsidDel="00CC640A">
        <w:t>.</w:t>
      </w:r>
      <w:r w:rsidR="00401135" w:rsidRPr="00C811E8">
        <w:t xml:space="preserve"> </w:t>
      </w:r>
    </w:p>
    <w:p w14:paraId="1925D6BA" w14:textId="0A0EC441" w:rsidR="00B975ED" w:rsidRPr="00C811E8" w:rsidRDefault="00B975ED" w:rsidP="00B975ED">
      <w:pPr>
        <w:pStyle w:val="Caption"/>
      </w:pPr>
      <w:bookmarkStart w:id="40" w:name="_Ref215416107"/>
      <w:r w:rsidRPr="00C811E8">
        <w:t xml:space="preserve">Table </w:t>
      </w:r>
      <w:r>
        <w:fldChar w:fldCharType="begin"/>
      </w:r>
      <w:r>
        <w:instrText>SEQ Table \* ARABIC</w:instrText>
      </w:r>
      <w:r>
        <w:fldChar w:fldCharType="separate"/>
      </w:r>
      <w:r w:rsidR="00CD3B0F">
        <w:rPr>
          <w:noProof/>
        </w:rPr>
        <w:t>14</w:t>
      </w:r>
      <w:r>
        <w:fldChar w:fldCharType="end"/>
      </w:r>
      <w:bookmarkEnd w:id="40"/>
      <w:r w:rsidR="00354153" w:rsidRPr="00C811E8">
        <w:tab/>
        <w:t>Total cost per patient for a year of treatment</w:t>
      </w:r>
    </w:p>
    <w:tbl>
      <w:tblPr>
        <w:tblStyle w:val="TableGrid1"/>
        <w:tblW w:w="0" w:type="auto"/>
        <w:tblLook w:val="0420" w:firstRow="1" w:lastRow="0" w:firstColumn="0" w:lastColumn="0" w:noHBand="0" w:noVBand="1"/>
        <w:tblCaption w:val="Total cost per patient for a year of treatment"/>
        <w:tblDescription w:val="Total cost per patient for a year of treatment"/>
      </w:tblPr>
      <w:tblGrid>
        <w:gridCol w:w="4390"/>
        <w:gridCol w:w="2312"/>
        <w:gridCol w:w="2313"/>
      </w:tblGrid>
      <w:tr w:rsidR="00B975ED" w:rsidRPr="00C811E8" w14:paraId="075153D1" w14:textId="77777777" w:rsidTr="00E049C9">
        <w:trPr>
          <w:cnfStyle w:val="100000000000" w:firstRow="1" w:lastRow="0" w:firstColumn="0" w:lastColumn="0" w:oddVBand="0" w:evenVBand="0" w:oddHBand="0" w:evenHBand="0" w:firstRowFirstColumn="0" w:firstRowLastColumn="0" w:lastRowFirstColumn="0" w:lastRowLastColumn="0"/>
          <w:tblHeader/>
        </w:trPr>
        <w:tc>
          <w:tcPr>
            <w:tcW w:w="4390" w:type="dxa"/>
          </w:tcPr>
          <w:p w14:paraId="20621DEF" w14:textId="5B0E2453" w:rsidR="00B975ED" w:rsidRPr="00C811E8" w:rsidRDefault="00C912F6" w:rsidP="00B975ED">
            <w:pPr>
              <w:pStyle w:val="TableHeading0"/>
            </w:pPr>
            <w:r w:rsidRPr="00C811E8">
              <w:t>Item</w:t>
            </w:r>
          </w:p>
        </w:tc>
        <w:tc>
          <w:tcPr>
            <w:tcW w:w="2312" w:type="dxa"/>
          </w:tcPr>
          <w:p w14:paraId="6F232C8B" w14:textId="77777777" w:rsidR="00B975ED" w:rsidRPr="00C811E8" w:rsidRDefault="00B975ED" w:rsidP="00B975ED">
            <w:pPr>
              <w:pStyle w:val="TableHeading0"/>
            </w:pPr>
            <w:r w:rsidRPr="00C811E8">
              <w:t>Concizumab</w:t>
            </w:r>
          </w:p>
        </w:tc>
        <w:tc>
          <w:tcPr>
            <w:tcW w:w="2313" w:type="dxa"/>
          </w:tcPr>
          <w:p w14:paraId="3370BEB7" w14:textId="0AEDFEA4" w:rsidR="00B975ED" w:rsidRPr="00C811E8" w:rsidRDefault="00CC640A" w:rsidP="00B975ED">
            <w:pPr>
              <w:pStyle w:val="TableHeading0"/>
            </w:pPr>
            <w:r>
              <w:t>rFVIIa</w:t>
            </w:r>
          </w:p>
        </w:tc>
      </w:tr>
      <w:tr w:rsidR="00B975ED" w:rsidRPr="00C811E8" w14:paraId="497CBC8B" w14:textId="77777777" w:rsidTr="00B975ED">
        <w:tc>
          <w:tcPr>
            <w:tcW w:w="4390" w:type="dxa"/>
          </w:tcPr>
          <w:p w14:paraId="56092A87" w14:textId="77777777" w:rsidR="00B975ED" w:rsidRPr="00C811E8" w:rsidRDefault="00B975ED" w:rsidP="00B975ED">
            <w:pPr>
              <w:pStyle w:val="TableText"/>
            </w:pPr>
            <w:r w:rsidRPr="00C811E8">
              <w:t>Drug cost (prophylaxis)</w:t>
            </w:r>
          </w:p>
        </w:tc>
        <w:tc>
          <w:tcPr>
            <w:tcW w:w="2312" w:type="dxa"/>
          </w:tcPr>
          <w:p w14:paraId="38B16053" w14:textId="465A44E9" w:rsidR="00B975ED" w:rsidRPr="00C77CF1" w:rsidRDefault="002B6FFE" w:rsidP="00B975ED">
            <w:pPr>
              <w:pStyle w:val="TableText"/>
            </w:pPr>
            <w:r w:rsidRPr="00282024">
              <w:rPr>
                <w:b/>
                <w:bCs/>
              </w:rPr>
              <w:t>redacted</w:t>
            </w:r>
          </w:p>
        </w:tc>
        <w:tc>
          <w:tcPr>
            <w:tcW w:w="2313" w:type="dxa"/>
          </w:tcPr>
          <w:p w14:paraId="07C91D7B" w14:textId="10127C29" w:rsidR="00B975ED" w:rsidRPr="00B91454" w:rsidRDefault="00B975ED" w:rsidP="00B975ED">
            <w:pPr>
              <w:pStyle w:val="TableText"/>
            </w:pPr>
            <w:r w:rsidRPr="00282024">
              <w:t>$</w:t>
            </w:r>
            <w:r w:rsidR="008C4204" w:rsidRPr="00282024">
              <w:rPr>
                <w:b/>
                <w:bCs/>
              </w:rPr>
              <w:t>redacted</w:t>
            </w:r>
          </w:p>
        </w:tc>
      </w:tr>
      <w:tr w:rsidR="00B975ED" w:rsidRPr="00C811E8" w14:paraId="1B5CB7C8" w14:textId="77777777" w:rsidTr="00B975ED">
        <w:tc>
          <w:tcPr>
            <w:tcW w:w="4390" w:type="dxa"/>
          </w:tcPr>
          <w:p w14:paraId="5159F790" w14:textId="77777777" w:rsidR="00B975ED" w:rsidRPr="00C811E8" w:rsidRDefault="00B975ED" w:rsidP="00B975ED">
            <w:pPr>
              <w:pStyle w:val="TableText"/>
            </w:pPr>
            <w:r w:rsidRPr="00C811E8">
              <w:t>Administration cost for prophylaxis</w:t>
            </w:r>
          </w:p>
        </w:tc>
        <w:tc>
          <w:tcPr>
            <w:tcW w:w="2312" w:type="dxa"/>
          </w:tcPr>
          <w:p w14:paraId="037B2BB4" w14:textId="77777777" w:rsidR="00B975ED" w:rsidRPr="00C811E8" w:rsidRDefault="00B975ED" w:rsidP="00B975ED">
            <w:pPr>
              <w:pStyle w:val="TableText"/>
            </w:pPr>
            <w:r w:rsidRPr="00C811E8">
              <w:t>$0</w:t>
            </w:r>
          </w:p>
        </w:tc>
        <w:tc>
          <w:tcPr>
            <w:tcW w:w="2313" w:type="dxa"/>
          </w:tcPr>
          <w:p w14:paraId="27484A72" w14:textId="77777777" w:rsidR="00B975ED" w:rsidRPr="00B91454" w:rsidRDefault="00B975ED" w:rsidP="00B975ED">
            <w:pPr>
              <w:pStyle w:val="TableText"/>
            </w:pPr>
            <w:r w:rsidRPr="00B91454">
              <w:t>$56,309</w:t>
            </w:r>
          </w:p>
        </w:tc>
      </w:tr>
      <w:tr w:rsidR="00B975ED" w:rsidRPr="00C811E8" w14:paraId="624E424E" w14:textId="77777777" w:rsidTr="00B975ED">
        <w:tc>
          <w:tcPr>
            <w:tcW w:w="4390" w:type="dxa"/>
          </w:tcPr>
          <w:p w14:paraId="4F032841" w14:textId="674E8A21" w:rsidR="00B975ED" w:rsidRPr="00C811E8" w:rsidRDefault="00B975ED" w:rsidP="00B975ED">
            <w:pPr>
              <w:pStyle w:val="TableText"/>
            </w:pPr>
            <w:r w:rsidRPr="00C811E8">
              <w:t xml:space="preserve">Breakthrough bleeding </w:t>
            </w:r>
            <w:r w:rsidR="00C912F6" w:rsidRPr="00C811E8">
              <w:t xml:space="preserve">– </w:t>
            </w:r>
            <w:r w:rsidR="00CC640A">
              <w:t>rFVIIa</w:t>
            </w:r>
            <w:r w:rsidRPr="00C811E8">
              <w:t xml:space="preserve"> cost</w:t>
            </w:r>
          </w:p>
        </w:tc>
        <w:tc>
          <w:tcPr>
            <w:tcW w:w="2312" w:type="dxa"/>
          </w:tcPr>
          <w:p w14:paraId="472C3315" w14:textId="77777777" w:rsidR="00B975ED" w:rsidRPr="00C811E8" w:rsidRDefault="00B975ED" w:rsidP="00B975ED">
            <w:pPr>
              <w:pStyle w:val="TableText"/>
            </w:pPr>
            <w:r w:rsidRPr="00C811E8">
              <w:t>$0</w:t>
            </w:r>
          </w:p>
        </w:tc>
        <w:tc>
          <w:tcPr>
            <w:tcW w:w="2313" w:type="dxa"/>
          </w:tcPr>
          <w:p w14:paraId="05B094EF" w14:textId="77777777" w:rsidR="00B975ED" w:rsidRPr="00B91454" w:rsidRDefault="00B975ED" w:rsidP="00B975ED">
            <w:pPr>
              <w:pStyle w:val="TableText"/>
            </w:pPr>
            <w:r w:rsidRPr="00B91454">
              <w:t>$372,555</w:t>
            </w:r>
          </w:p>
        </w:tc>
      </w:tr>
      <w:tr w:rsidR="00B975ED" w:rsidRPr="00C811E8" w14:paraId="3733E2EA" w14:textId="77777777" w:rsidTr="00B975ED">
        <w:tc>
          <w:tcPr>
            <w:tcW w:w="4390" w:type="dxa"/>
          </w:tcPr>
          <w:p w14:paraId="6F528DFD" w14:textId="62BDF62D" w:rsidR="00B975ED" w:rsidRPr="00C811E8" w:rsidRDefault="00B975ED" w:rsidP="00B975ED">
            <w:pPr>
              <w:pStyle w:val="TableText"/>
            </w:pPr>
            <w:r w:rsidRPr="00C811E8">
              <w:t xml:space="preserve">Breakthrough bleeding </w:t>
            </w:r>
            <w:r w:rsidR="00C912F6" w:rsidRPr="00C811E8">
              <w:t xml:space="preserve">– </w:t>
            </w:r>
            <w:r w:rsidRPr="00C811E8">
              <w:t>hospitalisation cost (includes administration)</w:t>
            </w:r>
          </w:p>
        </w:tc>
        <w:tc>
          <w:tcPr>
            <w:tcW w:w="2312" w:type="dxa"/>
          </w:tcPr>
          <w:p w14:paraId="4D1E1314" w14:textId="77777777" w:rsidR="00B975ED" w:rsidRPr="00C811E8" w:rsidRDefault="00B975ED" w:rsidP="00B975ED">
            <w:pPr>
              <w:pStyle w:val="TableText"/>
            </w:pPr>
            <w:r w:rsidRPr="00C811E8">
              <w:t>$26,923</w:t>
            </w:r>
          </w:p>
        </w:tc>
        <w:tc>
          <w:tcPr>
            <w:tcW w:w="2313" w:type="dxa"/>
          </w:tcPr>
          <w:p w14:paraId="15CEBCF6" w14:textId="77777777" w:rsidR="00B975ED" w:rsidRPr="00B91454" w:rsidRDefault="00B975ED" w:rsidP="00B975ED">
            <w:pPr>
              <w:pStyle w:val="TableText"/>
            </w:pPr>
            <w:r w:rsidRPr="00B91454">
              <w:t>$76,289</w:t>
            </w:r>
          </w:p>
        </w:tc>
      </w:tr>
      <w:tr w:rsidR="00B975ED" w:rsidRPr="00C811E8" w14:paraId="6F6AA7ED" w14:textId="77777777" w:rsidTr="00B975ED">
        <w:tc>
          <w:tcPr>
            <w:tcW w:w="4390" w:type="dxa"/>
          </w:tcPr>
          <w:p w14:paraId="5C94F1AA" w14:textId="77777777" w:rsidR="00B975ED" w:rsidRPr="00C811E8" w:rsidRDefault="00B975ED" w:rsidP="00B975ED">
            <w:pPr>
              <w:pStyle w:val="TableText"/>
            </w:pPr>
            <w:r w:rsidRPr="00C811E8">
              <w:t>Total cost per patient per year</w:t>
            </w:r>
          </w:p>
        </w:tc>
        <w:tc>
          <w:tcPr>
            <w:tcW w:w="2312" w:type="dxa"/>
          </w:tcPr>
          <w:p w14:paraId="5907EB9C" w14:textId="3031D862" w:rsidR="00B975ED" w:rsidRPr="00C811E8" w:rsidRDefault="00B975ED" w:rsidP="00B975ED">
            <w:pPr>
              <w:pStyle w:val="TableText"/>
            </w:pPr>
            <w:r w:rsidRPr="00282024">
              <w:t>$</w:t>
            </w:r>
            <w:r w:rsidR="002B6FFE" w:rsidRPr="00282024">
              <w:rPr>
                <w:b/>
                <w:bCs/>
              </w:rPr>
              <w:t>redacted</w:t>
            </w:r>
          </w:p>
        </w:tc>
        <w:tc>
          <w:tcPr>
            <w:tcW w:w="2313" w:type="dxa"/>
          </w:tcPr>
          <w:p w14:paraId="1FE6AC3F" w14:textId="0346F6E1" w:rsidR="00B975ED" w:rsidRPr="00B91454" w:rsidRDefault="00B975ED" w:rsidP="00B975ED">
            <w:pPr>
              <w:pStyle w:val="TableText"/>
            </w:pPr>
            <w:r w:rsidRPr="00282024">
              <w:t>$</w:t>
            </w:r>
            <w:r w:rsidR="00B91454" w:rsidRPr="00282024">
              <w:rPr>
                <w:b/>
                <w:bCs/>
              </w:rPr>
              <w:t>redacted</w:t>
            </w:r>
          </w:p>
        </w:tc>
      </w:tr>
    </w:tbl>
    <w:p w14:paraId="6A4376C9" w14:textId="67C84E1E" w:rsidR="00354153" w:rsidRPr="00C811E8" w:rsidRDefault="00354153" w:rsidP="00D64769">
      <w:pPr>
        <w:pStyle w:val="Tablenotes0"/>
      </w:pPr>
      <w:r w:rsidRPr="00C811E8">
        <w:t xml:space="preserve">Source: Table </w:t>
      </w:r>
      <w:r w:rsidR="00D64769" w:rsidRPr="00C811E8">
        <w:t>49</w:t>
      </w:r>
      <w:r w:rsidRPr="00C811E8">
        <w:t xml:space="preserve"> of MSAC Application 1805 in-line Commentary.</w:t>
      </w:r>
    </w:p>
    <w:p w14:paraId="43C6100A" w14:textId="0BE0C841" w:rsidR="00B975ED" w:rsidRPr="00C811E8" w:rsidRDefault="00B33614" w:rsidP="00696CB7">
      <w:r w:rsidRPr="00C811E8">
        <w:t xml:space="preserve">Key drivers of the analysis were the duration of BPA prophylaxis, the inclusion of </w:t>
      </w:r>
      <w:r w:rsidR="00CC640A">
        <w:t>rFVIIa</w:t>
      </w:r>
      <w:r w:rsidRPr="00C811E8">
        <w:t xml:space="preserve"> costs in the intervention</w:t>
      </w:r>
      <w:r w:rsidR="00843D1D" w:rsidRPr="00C811E8">
        <w:t xml:space="preserve"> arm</w:t>
      </w:r>
      <w:r w:rsidR="004172D5">
        <w:t>,</w:t>
      </w:r>
      <w:r w:rsidR="00843D1D" w:rsidRPr="00C811E8">
        <w:t xml:space="preserve"> and the adherence rates for each treatment (</w:t>
      </w:r>
      <w:r w:rsidR="00843D1D" w:rsidRPr="00C811E8">
        <w:fldChar w:fldCharType="begin"/>
      </w:r>
      <w:r w:rsidR="00843D1D" w:rsidRPr="00C811E8">
        <w:instrText xml:space="preserve"> REF _Ref69726321 \h </w:instrText>
      </w:r>
      <w:r w:rsidR="00C811E8">
        <w:instrText xml:space="preserve"> \* MERGEFORMAT </w:instrText>
      </w:r>
      <w:r w:rsidR="00843D1D" w:rsidRPr="00C811E8">
        <w:fldChar w:fldCharType="separate"/>
      </w:r>
      <w:r w:rsidR="00CD3B0F" w:rsidRPr="00C811E8">
        <w:t>Table </w:t>
      </w:r>
      <w:r w:rsidR="00CD3B0F">
        <w:t>15</w:t>
      </w:r>
      <w:r w:rsidR="00843D1D" w:rsidRPr="00C811E8">
        <w:fldChar w:fldCharType="end"/>
      </w:r>
      <w:r w:rsidR="00843D1D" w:rsidRPr="00C811E8">
        <w:t>).</w:t>
      </w:r>
    </w:p>
    <w:p w14:paraId="708EBBC4" w14:textId="7495CC1D" w:rsidR="002F32FB" w:rsidRPr="00C811E8" w:rsidRDefault="002F32FB" w:rsidP="002F32FB">
      <w:pPr>
        <w:pStyle w:val="Caption"/>
      </w:pPr>
      <w:bookmarkStart w:id="41" w:name="_Ref69726321"/>
      <w:r w:rsidRPr="00C811E8">
        <w:t>Table</w:t>
      </w:r>
      <w:r w:rsidR="003571C2" w:rsidRPr="00C811E8">
        <w:t> </w:t>
      </w:r>
      <w:r>
        <w:fldChar w:fldCharType="begin"/>
      </w:r>
      <w:r>
        <w:instrText>SEQ Table \* ARABIC</w:instrText>
      </w:r>
      <w:r>
        <w:fldChar w:fldCharType="separate"/>
      </w:r>
      <w:r w:rsidR="00CD3B0F">
        <w:rPr>
          <w:noProof/>
        </w:rPr>
        <w:t>15</w:t>
      </w:r>
      <w:r>
        <w:fldChar w:fldCharType="end"/>
      </w:r>
      <w:bookmarkEnd w:id="41"/>
      <w:r w:rsidRPr="00C811E8">
        <w:tab/>
        <w:t xml:space="preserve">Key drivers of the </w:t>
      </w:r>
      <w:r w:rsidR="00AF4209" w:rsidRPr="00C811E8">
        <w:t>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analysis"/>
        <w:tblDescription w:val="Key drivers of the analysis"/>
      </w:tblPr>
      <w:tblGrid>
        <w:gridCol w:w="1980"/>
        <w:gridCol w:w="3403"/>
        <w:gridCol w:w="3633"/>
      </w:tblGrid>
      <w:tr w:rsidR="002F32FB" w:rsidRPr="00C811E8" w14:paraId="11B0BC91" w14:textId="77777777" w:rsidTr="3033F75F">
        <w:tc>
          <w:tcPr>
            <w:tcW w:w="1098" w:type="pct"/>
            <w:tcMar>
              <w:left w:w="108" w:type="dxa"/>
              <w:right w:w="108" w:type="dxa"/>
            </w:tcMar>
            <w:vAlign w:val="center"/>
          </w:tcPr>
          <w:p w14:paraId="2EC6365B" w14:textId="77777777" w:rsidR="002F32FB" w:rsidRPr="00C811E8" w:rsidRDefault="002F32FB" w:rsidP="00C912F6">
            <w:pPr>
              <w:pStyle w:val="In-tableHeading"/>
            </w:pPr>
            <w:bookmarkStart w:id="42" w:name="Title_Table10" w:colFirst="0" w:colLast="0"/>
            <w:bookmarkStart w:id="43" w:name="_Hlk68276626"/>
            <w:r w:rsidRPr="00C811E8">
              <w:t>Description</w:t>
            </w:r>
          </w:p>
        </w:tc>
        <w:tc>
          <w:tcPr>
            <w:tcW w:w="1887" w:type="pct"/>
            <w:tcMar>
              <w:left w:w="108" w:type="dxa"/>
              <w:right w:w="108" w:type="dxa"/>
            </w:tcMar>
            <w:vAlign w:val="center"/>
          </w:tcPr>
          <w:p w14:paraId="0520071F" w14:textId="77777777" w:rsidR="002F32FB" w:rsidRPr="00C811E8" w:rsidRDefault="002F32FB" w:rsidP="00C912F6">
            <w:pPr>
              <w:pStyle w:val="In-tableHeading"/>
            </w:pPr>
            <w:r w:rsidRPr="00C811E8">
              <w:t>Method/Value</w:t>
            </w:r>
          </w:p>
        </w:tc>
        <w:tc>
          <w:tcPr>
            <w:tcW w:w="2015" w:type="pct"/>
            <w:tcMar>
              <w:left w:w="108" w:type="dxa"/>
              <w:right w:w="108" w:type="dxa"/>
            </w:tcMar>
            <w:vAlign w:val="center"/>
          </w:tcPr>
          <w:p w14:paraId="38BDDD5F" w14:textId="77777777" w:rsidR="002F32FB" w:rsidRPr="00C811E8" w:rsidRDefault="002F32FB" w:rsidP="00C912F6">
            <w:pPr>
              <w:pStyle w:val="In-tableHeading"/>
            </w:pPr>
            <w:r w:rsidRPr="00C811E8">
              <w:t>Impact</w:t>
            </w:r>
          </w:p>
          <w:p w14:paraId="66E24653" w14:textId="0ACB7539" w:rsidR="002F32FB" w:rsidRPr="00C811E8" w:rsidRDefault="002F32FB" w:rsidP="00C912F6">
            <w:pPr>
              <w:pStyle w:val="In-tableHeading"/>
              <w:spacing w:after="160"/>
            </w:pPr>
            <w:r w:rsidRPr="00C811E8">
              <w:rPr>
                <w:rFonts w:cs="Arial"/>
                <w:szCs w:val="20"/>
              </w:rPr>
              <w:t xml:space="preserve">Base case: </w:t>
            </w:r>
            <w:r w:rsidRPr="00282024">
              <w:rPr>
                <w:rFonts w:cs="Arial"/>
                <w:szCs w:val="20"/>
              </w:rPr>
              <w:t>$</w:t>
            </w:r>
            <w:r w:rsidR="003338AE" w:rsidRPr="00282024">
              <w:t>redacted</w:t>
            </w:r>
            <w:r w:rsidRPr="00282024">
              <w:rPr>
                <w:rFonts w:cs="Arial"/>
                <w:szCs w:val="20"/>
              </w:rPr>
              <w:t>/</w:t>
            </w:r>
            <w:r w:rsidR="007A0354" w:rsidRPr="00282024">
              <w:rPr>
                <w:rFonts w:cs="Arial"/>
                <w:szCs w:val="20"/>
              </w:rPr>
              <w:t>mg</w:t>
            </w:r>
          </w:p>
        </w:tc>
      </w:tr>
      <w:bookmarkEnd w:id="42"/>
      <w:tr w:rsidR="002F32FB" w:rsidRPr="00C811E8" w14:paraId="65F2DB8D" w14:textId="77777777" w:rsidTr="3033F75F">
        <w:tc>
          <w:tcPr>
            <w:tcW w:w="1098" w:type="pct"/>
            <w:tcMar>
              <w:left w:w="108" w:type="dxa"/>
              <w:right w:w="108" w:type="dxa"/>
            </w:tcMar>
          </w:tcPr>
          <w:p w14:paraId="443EB50E" w14:textId="3802CFA7" w:rsidR="002F32FB" w:rsidRPr="00C811E8" w:rsidRDefault="00AD66CE" w:rsidP="00C912F6">
            <w:pPr>
              <w:pStyle w:val="TableText"/>
              <w:rPr>
                <w:lang w:val="en-US"/>
              </w:rPr>
            </w:pPr>
            <w:r w:rsidRPr="00C811E8">
              <w:rPr>
                <w:lang w:val="en-US"/>
              </w:rPr>
              <w:t>Duration of BPA prophylaxis</w:t>
            </w:r>
          </w:p>
        </w:tc>
        <w:tc>
          <w:tcPr>
            <w:tcW w:w="1887" w:type="pct"/>
            <w:tcMar>
              <w:left w:w="108" w:type="dxa"/>
              <w:right w:w="108" w:type="dxa"/>
            </w:tcMar>
          </w:tcPr>
          <w:p w14:paraId="0EB50894" w14:textId="3A5CCC39" w:rsidR="002F32FB" w:rsidRPr="00C811E8" w:rsidRDefault="003C3886" w:rsidP="00C912F6">
            <w:pPr>
              <w:pStyle w:val="TableText"/>
              <w:rPr>
                <w:lang w:val="en-US"/>
              </w:rPr>
            </w:pPr>
            <w:r w:rsidRPr="00C811E8">
              <w:rPr>
                <w:lang w:val="en-US"/>
              </w:rPr>
              <w:t xml:space="preserve">Extrapolated from </w:t>
            </w:r>
            <w:r w:rsidR="00D93F5D" w:rsidRPr="00282024">
              <w:rPr>
                <w:b/>
                <w:bCs/>
                <w:iCs/>
                <w:lang w:val="en-US"/>
              </w:rPr>
              <w:t>redacted</w:t>
            </w:r>
            <w:r w:rsidRPr="00C811E8">
              <w:rPr>
                <w:lang w:val="en-US"/>
              </w:rPr>
              <w:t xml:space="preserve"> patients for base case of 32% per year. </w:t>
            </w:r>
            <w:r w:rsidR="009825FE" w:rsidRPr="00C811E8">
              <w:rPr>
                <w:lang w:val="en-US"/>
              </w:rPr>
              <w:t>Sensitivity analysis at 25% (3</w:t>
            </w:r>
            <w:r w:rsidR="00FF1160">
              <w:rPr>
                <w:lang w:val="en-US"/>
              </w:rPr>
              <w:t xml:space="preserve"> </w:t>
            </w:r>
            <w:r w:rsidR="009825FE" w:rsidRPr="00C811E8">
              <w:rPr>
                <w:lang w:val="en-US"/>
              </w:rPr>
              <w:t>months) and 50% (6</w:t>
            </w:r>
            <w:r w:rsidR="00FF1160">
              <w:rPr>
                <w:lang w:val="en-US"/>
              </w:rPr>
              <w:t xml:space="preserve"> </w:t>
            </w:r>
            <w:r w:rsidR="009825FE" w:rsidRPr="00C811E8">
              <w:rPr>
                <w:lang w:val="en-US"/>
              </w:rPr>
              <w:t>months).</w:t>
            </w:r>
          </w:p>
        </w:tc>
        <w:tc>
          <w:tcPr>
            <w:tcW w:w="2015" w:type="pct"/>
            <w:tcMar>
              <w:left w:w="108" w:type="dxa"/>
              <w:right w:w="108" w:type="dxa"/>
            </w:tcMar>
          </w:tcPr>
          <w:p w14:paraId="02B4AA67" w14:textId="4A5716C5" w:rsidR="00C912F6" w:rsidRPr="00B41D8D" w:rsidRDefault="002F32FB" w:rsidP="00C912F6">
            <w:pPr>
              <w:pStyle w:val="TableText"/>
              <w:rPr>
                <w:i/>
                <w:lang w:val="en-US"/>
              </w:rPr>
            </w:pPr>
            <w:r w:rsidRPr="00B41D8D">
              <w:rPr>
                <w:i/>
                <w:lang w:val="en-US"/>
              </w:rPr>
              <w:t>High</w:t>
            </w:r>
          </w:p>
          <w:p w14:paraId="754ACFA4" w14:textId="1513693F" w:rsidR="00C912F6" w:rsidRPr="00B41D8D" w:rsidRDefault="002F32FB" w:rsidP="00C912F6">
            <w:pPr>
              <w:pStyle w:val="TableText"/>
              <w:spacing w:before="120"/>
              <w:rPr>
                <w:i/>
                <w:lang w:val="en-US"/>
              </w:rPr>
            </w:pPr>
            <w:r w:rsidRPr="00B41D8D">
              <w:rPr>
                <w:i/>
                <w:lang w:val="en-US"/>
              </w:rPr>
              <w:t xml:space="preserve">Use of </w:t>
            </w:r>
            <w:r w:rsidR="00432AA3" w:rsidRPr="00B41D8D">
              <w:rPr>
                <w:i/>
                <w:lang w:val="en-US"/>
              </w:rPr>
              <w:t>25%</w:t>
            </w:r>
            <w:r w:rsidRPr="00B41D8D">
              <w:rPr>
                <w:i/>
                <w:lang w:val="en-US"/>
              </w:rPr>
              <w:t xml:space="preserve"> </w:t>
            </w:r>
            <w:r w:rsidR="00432AA3" w:rsidRPr="00B41D8D">
              <w:rPr>
                <w:i/>
                <w:lang w:val="en-US"/>
              </w:rPr>
              <w:t>de</w:t>
            </w:r>
            <w:r w:rsidRPr="00B41D8D">
              <w:rPr>
                <w:i/>
                <w:lang w:val="en-US"/>
              </w:rPr>
              <w:t>creased the</w:t>
            </w:r>
            <w:r w:rsidR="00432AA3" w:rsidRPr="00B41D8D">
              <w:rPr>
                <w:i/>
                <w:lang w:val="en-US"/>
              </w:rPr>
              <w:t xml:space="preserve"> cost</w:t>
            </w:r>
            <w:r w:rsidRPr="00B41D8D">
              <w:rPr>
                <w:i/>
                <w:lang w:val="en-US"/>
              </w:rPr>
              <w:t xml:space="preserve"> to </w:t>
            </w:r>
            <w:r w:rsidRPr="00282024">
              <w:rPr>
                <w:i/>
                <w:lang w:val="en-US"/>
              </w:rPr>
              <w:t>$</w:t>
            </w:r>
            <w:r w:rsidR="00B41D8D">
              <w:rPr>
                <w:b/>
                <w:bCs/>
                <w:i/>
                <w:lang w:val="en-US"/>
              </w:rPr>
              <w:t>redacted</w:t>
            </w:r>
            <w:r w:rsidRPr="00282024">
              <w:rPr>
                <w:i/>
                <w:lang w:val="en-US"/>
              </w:rPr>
              <w:t>/</w:t>
            </w:r>
            <w:r w:rsidR="00432AA3" w:rsidRPr="00282024">
              <w:rPr>
                <w:i/>
                <w:lang w:val="en-US"/>
              </w:rPr>
              <w:t>mg</w:t>
            </w:r>
            <w:r w:rsidRPr="00282024">
              <w:rPr>
                <w:i/>
                <w:lang w:val="en-US"/>
              </w:rPr>
              <w:t>.</w:t>
            </w:r>
            <w:r w:rsidR="004B4E20" w:rsidRPr="00B41D8D">
              <w:rPr>
                <w:i/>
                <w:lang w:val="en-US"/>
              </w:rPr>
              <w:t xml:space="preserve"> </w:t>
            </w:r>
          </w:p>
          <w:p w14:paraId="4E7B2979" w14:textId="24B954C1" w:rsidR="002F32FB" w:rsidRPr="00B41D8D" w:rsidRDefault="004B4E20" w:rsidP="00C912F6">
            <w:pPr>
              <w:pStyle w:val="TableText"/>
              <w:spacing w:before="120"/>
              <w:rPr>
                <w:i/>
                <w:lang w:val="en-US"/>
              </w:rPr>
            </w:pPr>
            <w:r w:rsidRPr="00B41D8D">
              <w:rPr>
                <w:i/>
                <w:lang w:val="en-US"/>
              </w:rPr>
              <w:t xml:space="preserve">Use of 50% increased the cost to </w:t>
            </w:r>
            <w:r w:rsidRPr="00282024">
              <w:rPr>
                <w:i/>
                <w:lang w:val="en-US"/>
              </w:rPr>
              <w:t>$</w:t>
            </w:r>
            <w:r w:rsidR="00B41D8D">
              <w:rPr>
                <w:b/>
                <w:bCs/>
                <w:i/>
                <w:lang w:val="en-US"/>
              </w:rPr>
              <w:t>redac</w:t>
            </w:r>
            <w:r w:rsidR="00FD446F">
              <w:rPr>
                <w:b/>
                <w:bCs/>
                <w:i/>
                <w:lang w:val="en-US"/>
              </w:rPr>
              <w:t>t</w:t>
            </w:r>
            <w:r w:rsidR="00B41D8D">
              <w:rPr>
                <w:b/>
                <w:bCs/>
                <w:i/>
                <w:lang w:val="en-US"/>
              </w:rPr>
              <w:t>ed</w:t>
            </w:r>
            <w:r w:rsidR="007D7A7B" w:rsidRPr="00282024">
              <w:rPr>
                <w:i/>
                <w:lang w:val="en-US"/>
              </w:rPr>
              <w:t>/mg.</w:t>
            </w:r>
            <w:r w:rsidR="002F32FB" w:rsidRPr="00B41D8D">
              <w:rPr>
                <w:i/>
                <w:lang w:val="en-US"/>
              </w:rPr>
              <w:t xml:space="preserve"> </w:t>
            </w:r>
          </w:p>
        </w:tc>
      </w:tr>
      <w:tr w:rsidR="002F32FB" w:rsidRPr="00CE28E3" w14:paraId="6395056A" w14:textId="77777777" w:rsidTr="3033F75F">
        <w:tc>
          <w:tcPr>
            <w:tcW w:w="1098" w:type="pct"/>
            <w:tcMar>
              <w:left w:w="108" w:type="dxa"/>
              <w:right w:w="108" w:type="dxa"/>
            </w:tcMar>
          </w:tcPr>
          <w:p w14:paraId="30DD8CD6" w14:textId="22D2B4F8" w:rsidR="002F32FB" w:rsidRPr="00C811E8" w:rsidRDefault="004F0404" w:rsidP="00C912F6">
            <w:pPr>
              <w:pStyle w:val="TableText"/>
              <w:rPr>
                <w:lang w:val="en-US"/>
              </w:rPr>
            </w:pPr>
            <w:r w:rsidRPr="00C811E8">
              <w:rPr>
                <w:lang w:val="en-US"/>
              </w:rPr>
              <w:t xml:space="preserve">Inclusion of </w:t>
            </w:r>
            <w:r w:rsidR="009D0097">
              <w:t>rFVIIa</w:t>
            </w:r>
            <w:r w:rsidRPr="00C811E8">
              <w:rPr>
                <w:lang w:val="en-US"/>
              </w:rPr>
              <w:t xml:space="preserve"> cost for breakthrough bleeds in the concizumab arm</w:t>
            </w:r>
          </w:p>
        </w:tc>
        <w:tc>
          <w:tcPr>
            <w:tcW w:w="1887" w:type="pct"/>
            <w:tcMar>
              <w:left w:w="108" w:type="dxa"/>
              <w:right w:w="108" w:type="dxa"/>
            </w:tcMar>
          </w:tcPr>
          <w:p w14:paraId="3E70B4B3" w14:textId="087549BE" w:rsidR="002F32FB" w:rsidRPr="00C811E8" w:rsidRDefault="63164B73" w:rsidP="00C912F6">
            <w:pPr>
              <w:pStyle w:val="TableText"/>
              <w:rPr>
                <w:lang w:val="en-US"/>
              </w:rPr>
            </w:pPr>
            <w:r w:rsidRPr="3033F75F">
              <w:rPr>
                <w:lang w:val="en-US"/>
              </w:rPr>
              <w:t xml:space="preserve">The </w:t>
            </w:r>
            <w:r w:rsidR="439F9B12" w:rsidRPr="3033F75F">
              <w:rPr>
                <w:lang w:val="en-US"/>
              </w:rPr>
              <w:t xml:space="preserve">cost of </w:t>
            </w:r>
            <w:r w:rsidR="02AA3414">
              <w:t>rFVIIa</w:t>
            </w:r>
            <w:r w:rsidR="439F9B12" w:rsidRPr="3033F75F">
              <w:rPr>
                <w:lang w:val="en-US"/>
              </w:rPr>
              <w:t xml:space="preserve"> for the treatment of breakthough bleeds when patients are on prophylactic concizumab is to be covered by </w:t>
            </w:r>
            <w:r w:rsidR="38FCBE4F" w:rsidRPr="3033F75F">
              <w:rPr>
                <w:lang w:val="en-US"/>
              </w:rPr>
              <w:t>NovoNordisk and therefore was not included in the CMA.</w:t>
            </w:r>
          </w:p>
        </w:tc>
        <w:tc>
          <w:tcPr>
            <w:tcW w:w="2015" w:type="pct"/>
            <w:tcMar>
              <w:left w:w="108" w:type="dxa"/>
              <w:right w:w="108" w:type="dxa"/>
            </w:tcMar>
          </w:tcPr>
          <w:p w14:paraId="43F9E75A" w14:textId="77777777" w:rsidR="00C912F6" w:rsidRPr="00B41D8D" w:rsidRDefault="002F32FB" w:rsidP="00C912F6">
            <w:pPr>
              <w:pStyle w:val="TableText"/>
              <w:rPr>
                <w:i/>
                <w:lang w:val="en-US"/>
              </w:rPr>
            </w:pPr>
            <w:r w:rsidRPr="00B41D8D">
              <w:rPr>
                <w:i/>
                <w:lang w:val="en-US"/>
              </w:rPr>
              <w:t>High</w:t>
            </w:r>
          </w:p>
          <w:p w14:paraId="14EEAFFE" w14:textId="77777777" w:rsidR="00C912F6" w:rsidRPr="00B41D8D" w:rsidRDefault="00C912F6" w:rsidP="00C912F6">
            <w:pPr>
              <w:pStyle w:val="TableText"/>
              <w:spacing w:before="120"/>
              <w:rPr>
                <w:i/>
                <w:lang w:val="en-US"/>
              </w:rPr>
            </w:pPr>
            <w:r w:rsidRPr="00B41D8D">
              <w:rPr>
                <w:i/>
                <w:lang w:val="en-US"/>
              </w:rPr>
              <w:t xml:space="preserve">Favours </w:t>
            </w:r>
            <w:r w:rsidR="00AB67FB" w:rsidRPr="00B41D8D">
              <w:rPr>
                <w:i/>
                <w:lang w:val="en-US"/>
              </w:rPr>
              <w:t>concizumab</w:t>
            </w:r>
          </w:p>
          <w:p w14:paraId="04D11165" w14:textId="74F532CC" w:rsidR="002F32FB" w:rsidRPr="00B41D8D" w:rsidRDefault="003D4597" w:rsidP="00C912F6">
            <w:pPr>
              <w:pStyle w:val="TableText"/>
              <w:spacing w:before="120"/>
            </w:pPr>
            <w:r w:rsidRPr="00B41D8D">
              <w:rPr>
                <w:i/>
                <w:lang w:val="en-US"/>
              </w:rPr>
              <w:t>Inclusion of these costs</w:t>
            </w:r>
            <w:r w:rsidR="002F32FB" w:rsidRPr="00B41D8D">
              <w:rPr>
                <w:i/>
                <w:lang w:val="en-US"/>
              </w:rPr>
              <w:t xml:space="preserve"> </w:t>
            </w:r>
            <w:r w:rsidRPr="00B41D8D">
              <w:rPr>
                <w:i/>
                <w:lang w:val="en-US"/>
              </w:rPr>
              <w:t>de</w:t>
            </w:r>
            <w:r w:rsidR="002F32FB" w:rsidRPr="00B41D8D">
              <w:rPr>
                <w:i/>
                <w:lang w:val="en-US"/>
              </w:rPr>
              <w:t xml:space="preserve">creased the </w:t>
            </w:r>
            <w:r w:rsidRPr="00B41D8D">
              <w:rPr>
                <w:i/>
                <w:lang w:val="en-US"/>
              </w:rPr>
              <w:t>cost</w:t>
            </w:r>
            <w:r w:rsidR="002F32FB" w:rsidRPr="00B41D8D">
              <w:rPr>
                <w:i/>
                <w:lang w:val="en-US"/>
              </w:rPr>
              <w:t xml:space="preserve"> to </w:t>
            </w:r>
            <w:r w:rsidR="002F32FB" w:rsidRPr="00282024">
              <w:rPr>
                <w:i/>
                <w:lang w:val="en-US"/>
              </w:rPr>
              <w:t>$</w:t>
            </w:r>
            <w:r w:rsidR="00FD446F">
              <w:rPr>
                <w:b/>
                <w:bCs/>
                <w:i/>
                <w:lang w:val="en-US"/>
              </w:rPr>
              <w:t>redacted</w:t>
            </w:r>
            <w:r w:rsidR="002F32FB" w:rsidRPr="00282024">
              <w:rPr>
                <w:i/>
                <w:lang w:val="en-US"/>
              </w:rPr>
              <w:t>/</w:t>
            </w:r>
            <w:r w:rsidR="00EE0174" w:rsidRPr="00282024">
              <w:rPr>
                <w:i/>
                <w:lang w:val="en-US"/>
              </w:rPr>
              <w:t>mg</w:t>
            </w:r>
            <w:r w:rsidR="002F32FB" w:rsidRPr="00282024">
              <w:rPr>
                <w:i/>
                <w:lang w:val="en-US"/>
              </w:rPr>
              <w:t>.</w:t>
            </w:r>
            <w:r w:rsidR="002F32FB" w:rsidRPr="00B41D8D">
              <w:rPr>
                <w:rFonts w:cs="Arial"/>
                <w:color w:val="538135" w:themeColor="accent6" w:themeShade="BF"/>
                <w:szCs w:val="20"/>
              </w:rPr>
              <w:t xml:space="preserve"> </w:t>
            </w:r>
          </w:p>
        </w:tc>
      </w:tr>
      <w:tr w:rsidR="002F32FB" w:rsidRPr="00CE28E3" w14:paraId="2AFB6EE0" w14:textId="77777777" w:rsidTr="3033F75F">
        <w:tc>
          <w:tcPr>
            <w:tcW w:w="1098" w:type="pct"/>
            <w:tcMar>
              <w:left w:w="108" w:type="dxa"/>
              <w:right w:w="108" w:type="dxa"/>
            </w:tcMar>
          </w:tcPr>
          <w:p w14:paraId="66FD9669" w14:textId="169AA19E" w:rsidR="002F32FB" w:rsidRPr="00CE28E3" w:rsidRDefault="002E5094" w:rsidP="00C912F6">
            <w:pPr>
              <w:pStyle w:val="TableText"/>
              <w:rPr>
                <w:lang w:val="en-US"/>
              </w:rPr>
            </w:pPr>
            <w:r>
              <w:rPr>
                <w:lang w:val="en-US"/>
              </w:rPr>
              <w:t xml:space="preserve">Higher adherence for concizumab compared to </w:t>
            </w:r>
            <w:r w:rsidR="009D0097">
              <w:t>rFVIIa</w:t>
            </w:r>
          </w:p>
        </w:tc>
        <w:tc>
          <w:tcPr>
            <w:tcW w:w="1887" w:type="pct"/>
            <w:tcMar>
              <w:left w:w="108" w:type="dxa"/>
              <w:right w:w="108" w:type="dxa"/>
            </w:tcMar>
          </w:tcPr>
          <w:p w14:paraId="2980315B" w14:textId="4536E897" w:rsidR="002F32FB" w:rsidRPr="00CE28E3" w:rsidRDefault="002E5094" w:rsidP="00C912F6">
            <w:pPr>
              <w:pStyle w:val="TableText"/>
              <w:rPr>
                <w:lang w:val="en-US"/>
              </w:rPr>
            </w:pPr>
            <w:r>
              <w:rPr>
                <w:lang w:val="en-US"/>
              </w:rPr>
              <w:t xml:space="preserve">Base case assumed </w:t>
            </w:r>
            <w:r w:rsidR="00B76E6F">
              <w:rPr>
                <w:lang w:val="en-US"/>
              </w:rPr>
              <w:t xml:space="preserve">100% adherence for both treatments. However, </w:t>
            </w:r>
            <w:r w:rsidR="009D0097">
              <w:t>rFVIIa</w:t>
            </w:r>
            <w:r w:rsidR="00B76E6F">
              <w:rPr>
                <w:lang w:val="en-US"/>
              </w:rPr>
              <w:t xml:space="preserve"> is predicted to have poorer adherence (</w:t>
            </w:r>
            <w:r w:rsidR="002E3F95">
              <w:rPr>
                <w:lang w:val="en-US"/>
              </w:rPr>
              <w:t>87.2%</w:t>
            </w:r>
            <w:r w:rsidR="00AF4209">
              <w:rPr>
                <w:lang w:val="en-US"/>
              </w:rPr>
              <w:t xml:space="preserve"> based on reference to FIX</w:t>
            </w:r>
            <w:r w:rsidR="002E3F95">
              <w:rPr>
                <w:lang w:val="en-US"/>
              </w:rPr>
              <w:t xml:space="preserve">). </w:t>
            </w:r>
          </w:p>
        </w:tc>
        <w:tc>
          <w:tcPr>
            <w:tcW w:w="2015" w:type="pct"/>
            <w:tcMar>
              <w:left w:w="108" w:type="dxa"/>
              <w:right w:w="108" w:type="dxa"/>
            </w:tcMar>
          </w:tcPr>
          <w:p w14:paraId="35F8BA29" w14:textId="30B9708B" w:rsidR="00C912F6" w:rsidRPr="00B41D8D" w:rsidRDefault="002E3F95" w:rsidP="00C912F6">
            <w:pPr>
              <w:pStyle w:val="TableText"/>
              <w:rPr>
                <w:i/>
                <w:lang w:val="en-US"/>
              </w:rPr>
            </w:pPr>
            <w:r w:rsidRPr="00B41D8D">
              <w:rPr>
                <w:i/>
                <w:lang w:val="en-US"/>
              </w:rPr>
              <w:t>Hig</w:t>
            </w:r>
            <w:r w:rsidR="00C912F6" w:rsidRPr="00B41D8D">
              <w:rPr>
                <w:i/>
                <w:lang w:val="en-US"/>
              </w:rPr>
              <w:t>h</w:t>
            </w:r>
          </w:p>
          <w:p w14:paraId="40987D43" w14:textId="77777777" w:rsidR="00C912F6" w:rsidRPr="00B41D8D" w:rsidRDefault="00C912F6" w:rsidP="00C912F6">
            <w:pPr>
              <w:pStyle w:val="TableText"/>
              <w:spacing w:before="120"/>
              <w:rPr>
                <w:i/>
                <w:lang w:val="en-US"/>
              </w:rPr>
            </w:pPr>
            <w:r w:rsidRPr="00B41D8D">
              <w:rPr>
                <w:i/>
                <w:lang w:val="en-US"/>
              </w:rPr>
              <w:t xml:space="preserve">Favours </w:t>
            </w:r>
            <w:r w:rsidR="002E3F95" w:rsidRPr="00B41D8D">
              <w:rPr>
                <w:i/>
                <w:lang w:val="en-US"/>
              </w:rPr>
              <w:t>concizumab</w:t>
            </w:r>
          </w:p>
          <w:p w14:paraId="35F24986" w14:textId="29C05EA9" w:rsidR="002F32FB" w:rsidRPr="00B41D8D" w:rsidRDefault="002E3F95" w:rsidP="00C912F6">
            <w:pPr>
              <w:pStyle w:val="TableText"/>
              <w:spacing w:before="120"/>
              <w:rPr>
                <w:lang w:val="en-US"/>
              </w:rPr>
            </w:pPr>
            <w:r w:rsidRPr="00B41D8D">
              <w:rPr>
                <w:i/>
                <w:lang w:val="en-US"/>
              </w:rPr>
              <w:t xml:space="preserve">Different adherence rates decreased the cost to </w:t>
            </w:r>
            <w:r w:rsidRPr="00282024">
              <w:rPr>
                <w:i/>
                <w:lang w:val="en-US"/>
              </w:rPr>
              <w:t>$</w:t>
            </w:r>
            <w:r w:rsidR="00FD446F">
              <w:rPr>
                <w:b/>
                <w:bCs/>
                <w:i/>
                <w:lang w:val="en-US"/>
              </w:rPr>
              <w:t>redacted</w:t>
            </w:r>
            <w:r w:rsidRPr="00282024">
              <w:rPr>
                <w:i/>
                <w:lang w:val="en-US"/>
              </w:rPr>
              <w:t>/mg.</w:t>
            </w:r>
          </w:p>
        </w:tc>
      </w:tr>
    </w:tbl>
    <w:p w14:paraId="5C001136" w14:textId="43C9A5E8" w:rsidR="00206B57" w:rsidRDefault="00055B42" w:rsidP="0022094C">
      <w:pPr>
        <w:pStyle w:val="Tablenotes0"/>
      </w:pPr>
      <w:bookmarkStart w:id="44" w:name="_Hlk68276635"/>
      <w:bookmarkEnd w:id="43"/>
      <w:r>
        <w:t xml:space="preserve">CMA = cost minimisation analysis; </w:t>
      </w:r>
      <w:r w:rsidR="00B169BD">
        <w:t xml:space="preserve">BPA = </w:t>
      </w:r>
      <w:r>
        <w:t xml:space="preserve">bypassing agent; </w:t>
      </w:r>
      <w:r w:rsidR="00C912F6" w:rsidRPr="00C912F6">
        <w:t xml:space="preserve">FIX = Factor IX; </w:t>
      </w:r>
      <w:r>
        <w:t>mg = milligram</w:t>
      </w:r>
      <w:r w:rsidR="0045093D">
        <w:t>.</w:t>
      </w:r>
    </w:p>
    <w:p w14:paraId="09A12F18" w14:textId="634CA628" w:rsidR="00206B57" w:rsidRDefault="00206B57" w:rsidP="0022094C">
      <w:pPr>
        <w:pStyle w:val="Tablenotes0"/>
      </w:pPr>
      <w:r>
        <w:t>Source: Compiled</w:t>
      </w:r>
      <w:r w:rsidR="005E190C">
        <w:t xml:space="preserve"> </w:t>
      </w:r>
      <w:r w:rsidR="007838AE">
        <w:t>by commentary</w:t>
      </w:r>
      <w:r>
        <w:t xml:space="preserve"> for the executive summary.</w:t>
      </w:r>
    </w:p>
    <w:p w14:paraId="0D3EAF1F" w14:textId="763AC9C1" w:rsidR="002A2699" w:rsidRDefault="005D2AF9" w:rsidP="005D2AF9">
      <w:pPr>
        <w:rPr>
          <w:lang w:eastAsia="en-AU"/>
        </w:rPr>
      </w:pPr>
      <w:r>
        <w:rPr>
          <w:lang w:eastAsia="en-AU"/>
        </w:rPr>
        <w:t xml:space="preserve">The results of key univariate sensitivity analyses are summarised in </w:t>
      </w:r>
      <w:r w:rsidR="002A2699">
        <w:rPr>
          <w:lang w:eastAsia="en-AU"/>
        </w:rPr>
        <w:fldChar w:fldCharType="begin"/>
      </w:r>
      <w:r w:rsidR="002A2699">
        <w:rPr>
          <w:lang w:eastAsia="en-AU"/>
        </w:rPr>
        <w:instrText xml:space="preserve"> REF _Ref215418643 \h </w:instrText>
      </w:r>
      <w:r w:rsidR="002A2699">
        <w:rPr>
          <w:lang w:eastAsia="en-AU"/>
        </w:rPr>
      </w:r>
      <w:r w:rsidR="002A2699">
        <w:rPr>
          <w:lang w:eastAsia="en-AU"/>
        </w:rPr>
        <w:fldChar w:fldCharType="separate"/>
      </w:r>
      <w:r w:rsidR="00CD3B0F">
        <w:t xml:space="preserve">Table </w:t>
      </w:r>
      <w:r w:rsidR="00CD3B0F">
        <w:rPr>
          <w:noProof/>
        </w:rPr>
        <w:t>16</w:t>
      </w:r>
      <w:r w:rsidR="002A2699">
        <w:rPr>
          <w:lang w:eastAsia="en-AU"/>
        </w:rPr>
        <w:fldChar w:fldCharType="end"/>
      </w:r>
      <w:r w:rsidR="002A2699">
        <w:rPr>
          <w:lang w:eastAsia="en-AU"/>
        </w:rPr>
        <w:t>.</w:t>
      </w:r>
    </w:p>
    <w:p w14:paraId="5CFC77FD" w14:textId="6146ABA1" w:rsidR="004903F3" w:rsidRDefault="004903F3" w:rsidP="00F1192D">
      <w:pPr>
        <w:pStyle w:val="Caption"/>
        <w:keepLines/>
      </w:pPr>
      <w:bookmarkStart w:id="45" w:name="_Ref215418643"/>
      <w:r>
        <w:t xml:space="preserve">Table </w:t>
      </w:r>
      <w:r>
        <w:fldChar w:fldCharType="begin"/>
      </w:r>
      <w:r>
        <w:instrText>SEQ Table \* ARABIC</w:instrText>
      </w:r>
      <w:r>
        <w:fldChar w:fldCharType="separate"/>
      </w:r>
      <w:r w:rsidR="00CD3B0F">
        <w:rPr>
          <w:noProof/>
        </w:rPr>
        <w:t>16</w:t>
      </w:r>
      <w:r>
        <w:fldChar w:fldCharType="end"/>
      </w:r>
      <w:bookmarkEnd w:id="45"/>
      <w:r>
        <w:tab/>
        <w:t>Key sensitivity analyses</w:t>
      </w:r>
    </w:p>
    <w:tbl>
      <w:tblPr>
        <w:tblStyle w:val="TableGrid"/>
        <w:tblW w:w="9014" w:type="dxa"/>
        <w:tblLayout w:type="fixed"/>
        <w:tblLook w:val="04A0" w:firstRow="1" w:lastRow="0" w:firstColumn="1" w:lastColumn="0" w:noHBand="0" w:noVBand="1"/>
        <w:tblCaption w:val="Key sensitivity analyses"/>
        <w:tblDescription w:val="Key sensitivity analyses"/>
      </w:tblPr>
      <w:tblGrid>
        <w:gridCol w:w="4932"/>
        <w:gridCol w:w="2041"/>
        <w:gridCol w:w="2041"/>
      </w:tblGrid>
      <w:tr w:rsidR="009B4B0D" w14:paraId="10888061" w14:textId="77777777" w:rsidTr="009B4B0D">
        <w:trPr>
          <w:tblHeader/>
        </w:trPr>
        <w:tc>
          <w:tcPr>
            <w:tcW w:w="4932" w:type="dxa"/>
          </w:tcPr>
          <w:p w14:paraId="6EF7C030" w14:textId="1D2854DD" w:rsidR="00B878F4" w:rsidRPr="00C811E8" w:rsidRDefault="00B878F4" w:rsidP="00F1192D">
            <w:pPr>
              <w:pStyle w:val="TableHeading0"/>
              <w:keepNext/>
              <w:keepLines/>
            </w:pPr>
            <w:r w:rsidRPr="00C811E8">
              <w:t>Scenario</w:t>
            </w:r>
          </w:p>
        </w:tc>
        <w:tc>
          <w:tcPr>
            <w:tcW w:w="2041" w:type="dxa"/>
          </w:tcPr>
          <w:p w14:paraId="3194E2A8" w14:textId="5D976C35" w:rsidR="00B878F4" w:rsidRPr="00C811E8" w:rsidRDefault="00B878F4" w:rsidP="00F1192D">
            <w:pPr>
              <w:pStyle w:val="TableHeading0"/>
              <w:keepNext/>
              <w:keepLines/>
              <w:jc w:val="right"/>
            </w:pPr>
            <w:r w:rsidRPr="00C811E8">
              <w:t>Cost per unit of concizumab to be</w:t>
            </w:r>
            <w:r w:rsidR="009B4B0D" w:rsidRPr="00C811E8">
              <w:t xml:space="preserve"> </w:t>
            </w:r>
            <w:r w:rsidRPr="00C811E8">
              <w:t>cost</w:t>
            </w:r>
            <w:r w:rsidR="007B3204">
              <w:t xml:space="preserve"> </w:t>
            </w:r>
            <w:r w:rsidRPr="00C811E8">
              <w:t>neutral</w:t>
            </w:r>
          </w:p>
        </w:tc>
        <w:tc>
          <w:tcPr>
            <w:tcW w:w="2041" w:type="dxa"/>
          </w:tcPr>
          <w:p w14:paraId="37C80C31" w14:textId="231A969F" w:rsidR="00B878F4" w:rsidRPr="00C811E8" w:rsidRDefault="00B878F4" w:rsidP="00F1192D">
            <w:pPr>
              <w:pStyle w:val="TableHeading0"/>
              <w:keepNext/>
              <w:keepLines/>
              <w:jc w:val="right"/>
            </w:pPr>
            <w:r w:rsidRPr="00C811E8">
              <w:t>Change in concizumab per unit to base case</w:t>
            </w:r>
          </w:p>
        </w:tc>
      </w:tr>
      <w:tr w:rsidR="009B4B0D" w:rsidRPr="009B4B0D" w14:paraId="4AA67E8C" w14:textId="77777777" w:rsidTr="009B4B0D">
        <w:tc>
          <w:tcPr>
            <w:tcW w:w="4932" w:type="dxa"/>
          </w:tcPr>
          <w:p w14:paraId="29965E8E" w14:textId="14D2BD41" w:rsidR="005B3168" w:rsidRPr="00C811E8" w:rsidRDefault="005B3168" w:rsidP="00F1192D">
            <w:pPr>
              <w:pStyle w:val="TableText"/>
              <w:keepNext/>
              <w:keepLines/>
              <w:rPr>
                <w:b/>
                <w:bCs/>
              </w:rPr>
            </w:pPr>
            <w:r w:rsidRPr="00C811E8">
              <w:rPr>
                <w:b/>
                <w:bCs/>
              </w:rPr>
              <w:t>Base case</w:t>
            </w:r>
          </w:p>
        </w:tc>
        <w:tc>
          <w:tcPr>
            <w:tcW w:w="2041" w:type="dxa"/>
          </w:tcPr>
          <w:p w14:paraId="08B641E2" w14:textId="53FC2FA4" w:rsidR="005B3168" w:rsidRPr="00282024" w:rsidRDefault="005B3168" w:rsidP="00F1192D">
            <w:pPr>
              <w:pStyle w:val="TableText"/>
              <w:keepNext/>
              <w:keepLines/>
              <w:jc w:val="right"/>
              <w:rPr>
                <w:b/>
                <w:bCs/>
              </w:rPr>
            </w:pPr>
            <w:r w:rsidRPr="00282024">
              <w:rPr>
                <w:b/>
                <w:bCs/>
              </w:rPr>
              <w:t>$</w:t>
            </w:r>
            <w:r w:rsidR="003E7710">
              <w:rPr>
                <w:b/>
                <w:bCs/>
              </w:rPr>
              <w:t>redacted</w:t>
            </w:r>
          </w:p>
        </w:tc>
        <w:tc>
          <w:tcPr>
            <w:tcW w:w="2041" w:type="dxa"/>
          </w:tcPr>
          <w:p w14:paraId="530A3BD7" w14:textId="066A245B" w:rsidR="005B3168" w:rsidRPr="00763EF5" w:rsidRDefault="009B4B0D" w:rsidP="00F1192D">
            <w:pPr>
              <w:pStyle w:val="TableText"/>
              <w:keepNext/>
              <w:keepLines/>
              <w:jc w:val="right"/>
              <w:rPr>
                <w:b/>
                <w:bCs/>
              </w:rPr>
            </w:pPr>
            <w:r w:rsidRPr="00763EF5">
              <w:rPr>
                <w:b/>
                <w:bCs/>
              </w:rPr>
              <w:t>-</w:t>
            </w:r>
          </w:p>
        </w:tc>
      </w:tr>
      <w:tr w:rsidR="009B4B0D" w14:paraId="62180546" w14:textId="77777777" w:rsidTr="009B4B0D">
        <w:tc>
          <w:tcPr>
            <w:tcW w:w="4932" w:type="dxa"/>
          </w:tcPr>
          <w:p w14:paraId="5FB1D524" w14:textId="6685B98D" w:rsidR="00C204DC" w:rsidRPr="00C811E8" w:rsidRDefault="00C204DC" w:rsidP="00F1192D">
            <w:pPr>
              <w:pStyle w:val="TableText"/>
              <w:keepNext/>
              <w:keepLines/>
            </w:pPr>
            <w:r w:rsidRPr="00C811E8">
              <w:t>Including the cost of on</w:t>
            </w:r>
            <w:r w:rsidR="00574410" w:rsidRPr="00C811E8">
              <w:t>-</w:t>
            </w:r>
            <w:r w:rsidRPr="00C811E8">
              <w:t xml:space="preserve">demand </w:t>
            </w:r>
            <w:r w:rsidR="00C876E9">
              <w:t>rFVIIa</w:t>
            </w:r>
            <w:r w:rsidRPr="00C811E8">
              <w:t xml:space="preserve"> in concizumab </w:t>
            </w:r>
            <w:r w:rsidR="009B4B0D" w:rsidRPr="00C811E8">
              <w:t>a</w:t>
            </w:r>
            <w:r w:rsidRPr="00C811E8">
              <w:t>rm</w:t>
            </w:r>
          </w:p>
        </w:tc>
        <w:tc>
          <w:tcPr>
            <w:tcW w:w="2041" w:type="dxa"/>
          </w:tcPr>
          <w:p w14:paraId="444A9FFE" w14:textId="0CBC93E7" w:rsidR="00C204DC" w:rsidRPr="00282024" w:rsidRDefault="00C204DC" w:rsidP="00F1192D">
            <w:pPr>
              <w:pStyle w:val="TableText"/>
              <w:keepNext/>
              <w:keepLines/>
              <w:jc w:val="right"/>
            </w:pPr>
            <w:r w:rsidRPr="00282024">
              <w:t>$</w:t>
            </w:r>
            <w:r w:rsidR="003E7710" w:rsidRPr="00282024">
              <w:rPr>
                <w:b/>
                <w:bCs/>
              </w:rPr>
              <w:t>redacted</w:t>
            </w:r>
          </w:p>
        </w:tc>
        <w:tc>
          <w:tcPr>
            <w:tcW w:w="2041" w:type="dxa"/>
          </w:tcPr>
          <w:p w14:paraId="7DE8ABE9" w14:textId="3982B8EB" w:rsidR="00C204DC" w:rsidRPr="00282024" w:rsidRDefault="00C204DC" w:rsidP="00F1192D">
            <w:pPr>
              <w:pStyle w:val="TableText"/>
              <w:keepNext/>
              <w:keepLines/>
              <w:jc w:val="right"/>
            </w:pPr>
            <w:r w:rsidRPr="00282024">
              <w:t>-$</w:t>
            </w:r>
            <w:r w:rsidR="002D2909" w:rsidRPr="002A3DCB">
              <w:rPr>
                <w:b/>
                <w:bCs/>
              </w:rPr>
              <w:t>redacted</w:t>
            </w:r>
          </w:p>
        </w:tc>
      </w:tr>
      <w:tr w:rsidR="009B4B0D" w14:paraId="53CFF6C1" w14:textId="77777777" w:rsidTr="009B4B0D">
        <w:tc>
          <w:tcPr>
            <w:tcW w:w="4932" w:type="dxa"/>
          </w:tcPr>
          <w:p w14:paraId="4E8F438B" w14:textId="332C481D" w:rsidR="004850AB" w:rsidRPr="00C811E8" w:rsidRDefault="004850AB" w:rsidP="00F1192D">
            <w:pPr>
              <w:pStyle w:val="TableText"/>
              <w:keepNext/>
              <w:keepLines/>
            </w:pPr>
            <w:r w:rsidRPr="00C811E8">
              <w:t xml:space="preserve">Proportion of time on </w:t>
            </w:r>
            <w:r w:rsidR="00C876E9">
              <w:t>rFVIIa</w:t>
            </w:r>
            <w:r w:rsidRPr="00C811E8">
              <w:t xml:space="preserve"> prophylaxis 50% (6 months)</w:t>
            </w:r>
          </w:p>
        </w:tc>
        <w:tc>
          <w:tcPr>
            <w:tcW w:w="2041" w:type="dxa"/>
          </w:tcPr>
          <w:p w14:paraId="691F01A9" w14:textId="66FCEB75" w:rsidR="004850AB" w:rsidRPr="00282024" w:rsidRDefault="004850AB" w:rsidP="00F1192D">
            <w:pPr>
              <w:pStyle w:val="TableText"/>
              <w:keepNext/>
              <w:keepLines/>
              <w:jc w:val="right"/>
            </w:pPr>
            <w:r w:rsidRPr="00282024">
              <w:t>$</w:t>
            </w:r>
            <w:r w:rsidR="003E7710" w:rsidRPr="00282024">
              <w:rPr>
                <w:b/>
                <w:bCs/>
              </w:rPr>
              <w:t>redacted</w:t>
            </w:r>
          </w:p>
        </w:tc>
        <w:tc>
          <w:tcPr>
            <w:tcW w:w="2041" w:type="dxa"/>
          </w:tcPr>
          <w:p w14:paraId="658FAC40" w14:textId="0FE1CA6A" w:rsidR="004850AB" w:rsidRPr="00282024" w:rsidRDefault="004850AB" w:rsidP="00F1192D">
            <w:pPr>
              <w:pStyle w:val="TableText"/>
              <w:keepNext/>
              <w:keepLines/>
              <w:jc w:val="right"/>
            </w:pPr>
            <w:r w:rsidRPr="00282024">
              <w:t>$</w:t>
            </w:r>
            <w:r w:rsidR="002D2909" w:rsidRPr="002A3DCB">
              <w:rPr>
                <w:b/>
                <w:bCs/>
              </w:rPr>
              <w:t>redacted</w:t>
            </w:r>
          </w:p>
        </w:tc>
      </w:tr>
      <w:tr w:rsidR="009B4B0D" w14:paraId="62EB65D1" w14:textId="77777777" w:rsidTr="009B4B0D">
        <w:tc>
          <w:tcPr>
            <w:tcW w:w="4932" w:type="dxa"/>
          </w:tcPr>
          <w:p w14:paraId="6C3A2C58" w14:textId="44D75DF9" w:rsidR="004850AB" w:rsidRPr="00C811E8" w:rsidRDefault="004850AB" w:rsidP="00F1192D">
            <w:pPr>
              <w:pStyle w:val="TableText"/>
              <w:keepNext/>
              <w:keepLines/>
            </w:pPr>
            <w:r w:rsidRPr="00C811E8">
              <w:t xml:space="preserve">Proportion of time on </w:t>
            </w:r>
            <w:r w:rsidR="00C876E9">
              <w:t>rFVIIa</w:t>
            </w:r>
            <w:r w:rsidRPr="00C811E8">
              <w:t xml:space="preserve"> prophylaxis 25% (3 months)</w:t>
            </w:r>
          </w:p>
        </w:tc>
        <w:tc>
          <w:tcPr>
            <w:tcW w:w="2041" w:type="dxa"/>
          </w:tcPr>
          <w:p w14:paraId="0EC40AD5" w14:textId="641EEEFE" w:rsidR="004850AB" w:rsidRPr="00282024" w:rsidRDefault="004850AB" w:rsidP="00F1192D">
            <w:pPr>
              <w:pStyle w:val="TableText"/>
              <w:keepNext/>
              <w:keepLines/>
              <w:jc w:val="right"/>
            </w:pPr>
            <w:r w:rsidRPr="00282024">
              <w:t>$</w:t>
            </w:r>
            <w:r w:rsidR="003E7710" w:rsidRPr="00282024">
              <w:rPr>
                <w:b/>
                <w:bCs/>
              </w:rPr>
              <w:t>redacted</w:t>
            </w:r>
          </w:p>
        </w:tc>
        <w:tc>
          <w:tcPr>
            <w:tcW w:w="2041" w:type="dxa"/>
          </w:tcPr>
          <w:p w14:paraId="11E03F5C" w14:textId="11C35FBE" w:rsidR="004850AB" w:rsidRPr="00282024" w:rsidRDefault="004850AB" w:rsidP="00F1192D">
            <w:pPr>
              <w:pStyle w:val="TableText"/>
              <w:keepNext/>
              <w:keepLines/>
              <w:jc w:val="right"/>
            </w:pPr>
            <w:r w:rsidRPr="00282024">
              <w:t>-$</w:t>
            </w:r>
            <w:r w:rsidR="00BE017E" w:rsidRPr="002A3DCB">
              <w:rPr>
                <w:b/>
                <w:bCs/>
              </w:rPr>
              <w:t>redacted</w:t>
            </w:r>
          </w:p>
        </w:tc>
      </w:tr>
      <w:tr w:rsidR="009B4B0D" w14:paraId="217599A0" w14:textId="77777777" w:rsidTr="009B4B0D">
        <w:tc>
          <w:tcPr>
            <w:tcW w:w="4932" w:type="dxa"/>
          </w:tcPr>
          <w:p w14:paraId="7BADE202" w14:textId="29308157" w:rsidR="00A34029" w:rsidRPr="00C811E8" w:rsidRDefault="000859C8" w:rsidP="00F1192D">
            <w:pPr>
              <w:pStyle w:val="TableText"/>
              <w:keepNext/>
              <w:keepLines/>
            </w:pPr>
            <w:r w:rsidRPr="00C811E8">
              <w:t xml:space="preserve">BPA </w:t>
            </w:r>
            <w:r w:rsidR="00A34029" w:rsidRPr="00C811E8">
              <w:t>ABRs reported in Explorer6</w:t>
            </w:r>
            <w:r w:rsidRPr="00C811E8">
              <w:t xml:space="preserve"> (Wheeler et al. 2025)</w:t>
            </w:r>
          </w:p>
        </w:tc>
        <w:tc>
          <w:tcPr>
            <w:tcW w:w="2041" w:type="dxa"/>
          </w:tcPr>
          <w:p w14:paraId="58C453D2" w14:textId="0F3CAADB" w:rsidR="00A34029" w:rsidRPr="00282024" w:rsidRDefault="00A34029" w:rsidP="00F1192D">
            <w:pPr>
              <w:pStyle w:val="TableText"/>
              <w:keepNext/>
              <w:keepLines/>
              <w:jc w:val="right"/>
            </w:pPr>
            <w:r w:rsidRPr="00282024">
              <w:t>$</w:t>
            </w:r>
            <w:r w:rsidR="0038195E" w:rsidRPr="00282024">
              <w:rPr>
                <w:b/>
                <w:bCs/>
              </w:rPr>
              <w:t>redacted</w:t>
            </w:r>
          </w:p>
        </w:tc>
        <w:tc>
          <w:tcPr>
            <w:tcW w:w="2041" w:type="dxa"/>
          </w:tcPr>
          <w:p w14:paraId="7ED08B1B" w14:textId="25735B31" w:rsidR="00A34029" w:rsidRPr="00282024" w:rsidRDefault="00A34029" w:rsidP="00F1192D">
            <w:pPr>
              <w:pStyle w:val="TableText"/>
              <w:keepNext/>
              <w:keepLines/>
              <w:jc w:val="right"/>
            </w:pPr>
            <w:r w:rsidRPr="00282024">
              <w:t>-$</w:t>
            </w:r>
            <w:r w:rsidR="00BE017E" w:rsidRPr="002A3DCB">
              <w:rPr>
                <w:b/>
                <w:bCs/>
              </w:rPr>
              <w:t>redacted</w:t>
            </w:r>
          </w:p>
        </w:tc>
      </w:tr>
      <w:tr w:rsidR="009B4B0D" w:rsidRPr="00F12E4E" w14:paraId="7935AE81" w14:textId="77777777" w:rsidTr="009B4B0D">
        <w:tc>
          <w:tcPr>
            <w:tcW w:w="4932" w:type="dxa"/>
          </w:tcPr>
          <w:p w14:paraId="37934AB2" w14:textId="5CD9A658" w:rsidR="00A34029" w:rsidRPr="00C811E8" w:rsidRDefault="00A34029" w:rsidP="00F1192D">
            <w:pPr>
              <w:pStyle w:val="TableText"/>
              <w:keepNext/>
              <w:keepLines/>
            </w:pPr>
            <w:r w:rsidRPr="00C811E8">
              <w:t>No difference in ABRs</w:t>
            </w:r>
          </w:p>
        </w:tc>
        <w:tc>
          <w:tcPr>
            <w:tcW w:w="2041" w:type="dxa"/>
          </w:tcPr>
          <w:p w14:paraId="28A551A7" w14:textId="557E3327" w:rsidR="00A34029" w:rsidRPr="00282024" w:rsidRDefault="00A34029" w:rsidP="00F1192D">
            <w:pPr>
              <w:pStyle w:val="TableText"/>
              <w:keepNext/>
              <w:keepLines/>
              <w:jc w:val="right"/>
            </w:pPr>
            <w:r w:rsidRPr="00282024">
              <w:t>$</w:t>
            </w:r>
            <w:r w:rsidR="0038195E" w:rsidRPr="002A3DCB">
              <w:rPr>
                <w:b/>
                <w:bCs/>
              </w:rPr>
              <w:t>redacted</w:t>
            </w:r>
          </w:p>
        </w:tc>
        <w:tc>
          <w:tcPr>
            <w:tcW w:w="2041" w:type="dxa"/>
          </w:tcPr>
          <w:p w14:paraId="693A35FA" w14:textId="657D3C87" w:rsidR="00A34029" w:rsidRPr="00282024" w:rsidRDefault="00A34029" w:rsidP="00F1192D">
            <w:pPr>
              <w:pStyle w:val="TableText"/>
              <w:keepNext/>
              <w:keepLines/>
              <w:jc w:val="right"/>
            </w:pPr>
            <w:r w:rsidRPr="00282024">
              <w:t>-$</w:t>
            </w:r>
            <w:r w:rsidR="00BE017E" w:rsidRPr="002A3DCB">
              <w:rPr>
                <w:b/>
                <w:bCs/>
              </w:rPr>
              <w:t>redacted</w:t>
            </w:r>
          </w:p>
        </w:tc>
      </w:tr>
      <w:tr w:rsidR="009B4B0D" w:rsidRPr="00F12E4E" w14:paraId="6A75879F" w14:textId="77777777" w:rsidTr="009B4B0D">
        <w:tc>
          <w:tcPr>
            <w:tcW w:w="4932" w:type="dxa"/>
          </w:tcPr>
          <w:p w14:paraId="1B748047" w14:textId="153CE058" w:rsidR="00A34029" w:rsidRPr="00C811E8" w:rsidRDefault="00A34029" w:rsidP="00F1192D">
            <w:pPr>
              <w:pStyle w:val="TableText"/>
              <w:keepNext/>
              <w:keepLines/>
            </w:pPr>
            <w:r w:rsidRPr="00C811E8">
              <w:t xml:space="preserve">No administration cost for </w:t>
            </w:r>
            <w:r w:rsidR="00C876E9">
              <w:t>rFVIIa</w:t>
            </w:r>
          </w:p>
        </w:tc>
        <w:tc>
          <w:tcPr>
            <w:tcW w:w="2041" w:type="dxa"/>
          </w:tcPr>
          <w:p w14:paraId="5F69EF8B" w14:textId="1087ED53" w:rsidR="00A34029" w:rsidRPr="00282024" w:rsidRDefault="00A34029" w:rsidP="00F1192D">
            <w:pPr>
              <w:pStyle w:val="TableText"/>
              <w:keepNext/>
              <w:keepLines/>
              <w:jc w:val="right"/>
            </w:pPr>
            <w:r w:rsidRPr="00282024">
              <w:t>$</w:t>
            </w:r>
            <w:r w:rsidR="0038195E" w:rsidRPr="002A3DCB">
              <w:rPr>
                <w:b/>
                <w:bCs/>
              </w:rPr>
              <w:t>redacted</w:t>
            </w:r>
          </w:p>
        </w:tc>
        <w:tc>
          <w:tcPr>
            <w:tcW w:w="2041" w:type="dxa"/>
          </w:tcPr>
          <w:p w14:paraId="7E1799D5" w14:textId="49A83A4E" w:rsidR="00A34029" w:rsidRPr="00282024" w:rsidRDefault="00A34029" w:rsidP="00F1192D">
            <w:pPr>
              <w:pStyle w:val="TableText"/>
              <w:keepNext/>
              <w:keepLines/>
              <w:jc w:val="right"/>
            </w:pPr>
            <w:r w:rsidRPr="00282024">
              <w:t>-$</w:t>
            </w:r>
            <w:r w:rsidR="007C2EA0" w:rsidRPr="002A3DCB">
              <w:rPr>
                <w:b/>
                <w:bCs/>
              </w:rPr>
              <w:t>redacted</w:t>
            </w:r>
          </w:p>
        </w:tc>
      </w:tr>
      <w:tr w:rsidR="009B4B0D" w:rsidRPr="00F12E4E" w14:paraId="374F461F" w14:textId="77777777" w:rsidTr="009B4B0D">
        <w:tc>
          <w:tcPr>
            <w:tcW w:w="4932" w:type="dxa"/>
          </w:tcPr>
          <w:p w14:paraId="61B9FD09" w14:textId="20278970" w:rsidR="005768AE" w:rsidRPr="00C811E8" w:rsidRDefault="005768AE" w:rsidP="00F1192D">
            <w:pPr>
              <w:pStyle w:val="TableText"/>
              <w:keepNext/>
              <w:keepLines/>
            </w:pPr>
            <w:r w:rsidRPr="00C811E8">
              <w:t>No cost for bleeds (above drug cost)</w:t>
            </w:r>
          </w:p>
        </w:tc>
        <w:tc>
          <w:tcPr>
            <w:tcW w:w="2041" w:type="dxa"/>
          </w:tcPr>
          <w:p w14:paraId="372D3549" w14:textId="55D1A22B" w:rsidR="005768AE" w:rsidRPr="00282024" w:rsidRDefault="005768AE" w:rsidP="00F1192D">
            <w:pPr>
              <w:pStyle w:val="TableText"/>
              <w:keepNext/>
              <w:keepLines/>
              <w:jc w:val="right"/>
            </w:pPr>
            <w:r w:rsidRPr="00282024">
              <w:t>$</w:t>
            </w:r>
            <w:r w:rsidR="00A07C1F" w:rsidRPr="002A3DCB">
              <w:rPr>
                <w:b/>
                <w:bCs/>
              </w:rPr>
              <w:t>redacted</w:t>
            </w:r>
          </w:p>
        </w:tc>
        <w:tc>
          <w:tcPr>
            <w:tcW w:w="2041" w:type="dxa"/>
          </w:tcPr>
          <w:p w14:paraId="5C620464" w14:textId="664731AC" w:rsidR="005768AE" w:rsidRPr="00282024" w:rsidRDefault="005768AE" w:rsidP="00F1192D">
            <w:pPr>
              <w:pStyle w:val="TableText"/>
              <w:keepNext/>
              <w:keepLines/>
              <w:jc w:val="right"/>
            </w:pPr>
            <w:r w:rsidRPr="00282024">
              <w:t>-$</w:t>
            </w:r>
            <w:r w:rsidR="007C2EA0" w:rsidRPr="002A3DCB">
              <w:rPr>
                <w:b/>
                <w:bCs/>
              </w:rPr>
              <w:t>redacted</w:t>
            </w:r>
          </w:p>
        </w:tc>
      </w:tr>
      <w:tr w:rsidR="009B4B0D" w:rsidRPr="00F12E4E" w14:paraId="51947C1C" w14:textId="77777777" w:rsidTr="009B4B0D">
        <w:tc>
          <w:tcPr>
            <w:tcW w:w="4932" w:type="dxa"/>
          </w:tcPr>
          <w:p w14:paraId="22BEB98D" w14:textId="3366544A" w:rsidR="005768AE" w:rsidRPr="00C811E8" w:rsidRDefault="005768AE" w:rsidP="00F1192D">
            <w:pPr>
              <w:pStyle w:val="TableText"/>
              <w:keepNext/>
              <w:keepLines/>
            </w:pPr>
            <w:r w:rsidRPr="00C811E8">
              <w:t xml:space="preserve">Adherence higher for concizumab </w:t>
            </w:r>
          </w:p>
        </w:tc>
        <w:tc>
          <w:tcPr>
            <w:tcW w:w="2041" w:type="dxa"/>
          </w:tcPr>
          <w:p w14:paraId="09E10954" w14:textId="54497C75" w:rsidR="005768AE" w:rsidRPr="00282024" w:rsidRDefault="005768AE" w:rsidP="00F1192D">
            <w:pPr>
              <w:pStyle w:val="TableText"/>
              <w:keepNext/>
              <w:keepLines/>
              <w:jc w:val="right"/>
            </w:pPr>
            <w:r w:rsidRPr="00282024">
              <w:t>$</w:t>
            </w:r>
            <w:r w:rsidR="00A07C1F" w:rsidRPr="002A3DCB">
              <w:rPr>
                <w:b/>
                <w:bCs/>
              </w:rPr>
              <w:t>redacted</w:t>
            </w:r>
          </w:p>
        </w:tc>
        <w:tc>
          <w:tcPr>
            <w:tcW w:w="2041" w:type="dxa"/>
          </w:tcPr>
          <w:p w14:paraId="192F95DA" w14:textId="223880B4" w:rsidR="005768AE" w:rsidRPr="00282024" w:rsidRDefault="005768AE" w:rsidP="00F1192D">
            <w:pPr>
              <w:pStyle w:val="TableText"/>
              <w:keepNext/>
              <w:keepLines/>
              <w:jc w:val="right"/>
            </w:pPr>
            <w:r w:rsidRPr="00282024">
              <w:t>-$</w:t>
            </w:r>
            <w:r w:rsidR="007C2EA0" w:rsidRPr="002A3DCB">
              <w:rPr>
                <w:b/>
                <w:bCs/>
              </w:rPr>
              <w:t>redacted</w:t>
            </w:r>
          </w:p>
        </w:tc>
      </w:tr>
    </w:tbl>
    <w:p w14:paraId="67F08921" w14:textId="13966E2A" w:rsidR="00450C28" w:rsidRDefault="004903F3" w:rsidP="00F1192D">
      <w:pPr>
        <w:pStyle w:val="Tablenotes0"/>
        <w:keepNext/>
        <w:keepLines/>
      </w:pPr>
      <w:r>
        <w:t>ABR = annualised bleeding rate; BPA = bypassing agent.</w:t>
      </w:r>
    </w:p>
    <w:p w14:paraId="454F1F62" w14:textId="7B9B204E" w:rsidR="004903F3" w:rsidRDefault="004903F3" w:rsidP="00F1192D">
      <w:pPr>
        <w:pStyle w:val="Tablenotes0"/>
        <w:keepNext/>
        <w:keepLines/>
      </w:pPr>
      <w:r>
        <w:t xml:space="preserve">Source: adapted from </w:t>
      </w:r>
      <w:r w:rsidR="00CE3CBF">
        <w:t>Table 5</w:t>
      </w:r>
      <w:r w:rsidR="00810D48">
        <w:t>2</w:t>
      </w:r>
      <w:r w:rsidR="00CE3CBF">
        <w:t xml:space="preserve"> of MSAC Application 1805 in-line Commentary.</w:t>
      </w:r>
    </w:p>
    <w:p w14:paraId="628CB361" w14:textId="167EC0C9" w:rsidR="001445F9" w:rsidRDefault="001445F9" w:rsidP="009B4B0D">
      <w:pPr>
        <w:spacing w:after="0"/>
      </w:pPr>
      <w:r>
        <w:t>The commentary undertook a scenario analysis using the following inputs:</w:t>
      </w:r>
    </w:p>
    <w:p w14:paraId="50E871C6" w14:textId="38B738AF" w:rsidR="001445F9" w:rsidRDefault="001445F9" w:rsidP="00F1192D">
      <w:pPr>
        <w:pStyle w:val="ListParagraph"/>
        <w:numPr>
          <w:ilvl w:val="0"/>
          <w:numId w:val="21"/>
        </w:numPr>
        <w:spacing w:before="40"/>
      </w:pPr>
      <w:r>
        <w:t xml:space="preserve">Lower adherence for </w:t>
      </w:r>
      <w:r w:rsidR="006367ED">
        <w:t>rFVIIa</w:t>
      </w:r>
      <w:r w:rsidR="006367ED" w:rsidDel="00C876E9">
        <w:t xml:space="preserve"> </w:t>
      </w:r>
      <w:r w:rsidR="006367ED">
        <w:t>(</w:t>
      </w:r>
      <w:r>
        <w:t>87%) compared to concizumab (100%)</w:t>
      </w:r>
    </w:p>
    <w:p w14:paraId="3A8D3236" w14:textId="4E00D2E2" w:rsidR="001445F9" w:rsidRPr="00C811E8" w:rsidRDefault="00642362" w:rsidP="00F1192D">
      <w:pPr>
        <w:pStyle w:val="ListParagraph"/>
        <w:numPr>
          <w:ilvl w:val="0"/>
          <w:numId w:val="21"/>
        </w:numPr>
      </w:pPr>
      <w:r>
        <w:t>Including the</w:t>
      </w:r>
      <w:r w:rsidR="001445F9" w:rsidRPr="00C811E8">
        <w:t xml:space="preserve"> cost </w:t>
      </w:r>
      <w:r>
        <w:t>o</w:t>
      </w:r>
      <w:r w:rsidR="001445F9" w:rsidRPr="00C811E8">
        <w:t xml:space="preserve">f </w:t>
      </w:r>
      <w:r w:rsidR="006367ED">
        <w:t>rFVIIa</w:t>
      </w:r>
      <w:r w:rsidR="006367ED" w:rsidRPr="00C811E8" w:rsidDel="00C876E9">
        <w:t xml:space="preserve"> </w:t>
      </w:r>
      <w:r w:rsidR="006367ED">
        <w:t>in</w:t>
      </w:r>
      <w:r>
        <w:t xml:space="preserve"> the concizumab arm</w:t>
      </w:r>
    </w:p>
    <w:p w14:paraId="34F799DD" w14:textId="43474BAE" w:rsidR="001445F9" w:rsidRPr="00C811E8" w:rsidRDefault="001445F9" w:rsidP="00F1192D">
      <w:pPr>
        <w:pStyle w:val="ListParagraph"/>
        <w:numPr>
          <w:ilvl w:val="0"/>
          <w:numId w:val="21"/>
        </w:numPr>
      </w:pPr>
      <w:r w:rsidRPr="00C811E8">
        <w:t>ABRs for BPAs as reported in Explorer6 (Wheeler et al. 2025)</w:t>
      </w:r>
    </w:p>
    <w:p w14:paraId="27EAF538" w14:textId="6CC754AE" w:rsidR="001445F9" w:rsidRPr="00C811E8" w:rsidRDefault="007F0E33" w:rsidP="00F1192D">
      <w:pPr>
        <w:pStyle w:val="ListParagraph"/>
        <w:numPr>
          <w:ilvl w:val="1"/>
          <w:numId w:val="21"/>
        </w:numPr>
      </w:pPr>
      <w:r w:rsidRPr="00C811E8">
        <w:t>9.3 for HMBwI on demand</w:t>
      </w:r>
    </w:p>
    <w:p w14:paraId="02D0AD65" w14:textId="0D3489C8" w:rsidR="007F0E33" w:rsidRPr="00C811E8" w:rsidRDefault="007F0E33" w:rsidP="00F1192D">
      <w:pPr>
        <w:pStyle w:val="ListParagraph"/>
        <w:numPr>
          <w:ilvl w:val="1"/>
          <w:numId w:val="21"/>
        </w:numPr>
      </w:pPr>
      <w:r w:rsidRPr="00C811E8">
        <w:t>12.4 for HMBwI on prophylaxis</w:t>
      </w:r>
    </w:p>
    <w:p w14:paraId="2F5F016D" w14:textId="66589677" w:rsidR="007F0E33" w:rsidRPr="00C811E8" w:rsidRDefault="006450C3" w:rsidP="00F1192D">
      <w:pPr>
        <w:pStyle w:val="ListParagraph"/>
        <w:numPr>
          <w:ilvl w:val="0"/>
          <w:numId w:val="21"/>
        </w:numPr>
      </w:pPr>
      <w:r w:rsidRPr="00C811E8">
        <w:t>Breakthrough bleeding hospitalisation costs applied to 10% of bleeds.</w:t>
      </w:r>
    </w:p>
    <w:p w14:paraId="320FFF78" w14:textId="53BFA9C3" w:rsidR="006450C3" w:rsidRPr="00C811E8" w:rsidRDefault="006450C3" w:rsidP="006450C3">
      <w:r w:rsidRPr="00C811E8">
        <w:t>The analysis results in a cost per mg of concizumab of $</w:t>
      </w:r>
      <w:r w:rsidR="00992124">
        <w:rPr>
          <w:b/>
        </w:rPr>
        <w:t>redacted</w:t>
      </w:r>
      <w:r w:rsidRPr="00C811E8">
        <w:t xml:space="preserve"> (</w:t>
      </w:r>
      <w:r w:rsidRPr="00C811E8">
        <w:fldChar w:fldCharType="begin"/>
      </w:r>
      <w:r w:rsidRPr="00C811E8">
        <w:instrText xml:space="preserve"> REF _Ref215477801 \h </w:instrText>
      </w:r>
      <w:r w:rsidR="00C811E8">
        <w:instrText xml:space="preserve"> \* MERGEFORMAT </w:instrText>
      </w:r>
      <w:r w:rsidRPr="00C811E8">
        <w:fldChar w:fldCharType="separate"/>
      </w:r>
      <w:r w:rsidR="00CD3B0F" w:rsidRPr="00C811E8">
        <w:t xml:space="preserve">Table </w:t>
      </w:r>
      <w:r w:rsidR="00CD3B0F">
        <w:rPr>
          <w:noProof/>
        </w:rPr>
        <w:t>17</w:t>
      </w:r>
      <w:r w:rsidRPr="00C811E8">
        <w:fldChar w:fldCharType="end"/>
      </w:r>
      <w:r w:rsidRPr="00C811E8">
        <w:t>).</w:t>
      </w:r>
      <w:r w:rsidR="006D243F">
        <w:t xml:space="preserve"> </w:t>
      </w:r>
      <w:r w:rsidR="00A75946" w:rsidRPr="00A75946">
        <w:t xml:space="preserve">PASC advised the approach to this economic evaluation needed to consider the lack of an established cost-effectiveness for the </w:t>
      </w:r>
      <w:r w:rsidR="00A75946">
        <w:t>BPA</w:t>
      </w:r>
      <w:r w:rsidR="00A75946" w:rsidRPr="00A75946">
        <w:t xml:space="preserve"> treatments</w:t>
      </w:r>
      <w:r w:rsidR="00A75946">
        <w:t xml:space="preserve">. </w:t>
      </w:r>
      <w:r w:rsidR="00D96F52">
        <w:t>This was not addressed in the ADAR and remains a source of uncertainty in terms of whether the proposed cost-neutral price is also a cost-effective price.</w:t>
      </w:r>
    </w:p>
    <w:p w14:paraId="42D32C89" w14:textId="6DEBE1D4" w:rsidR="00741C35" w:rsidRPr="00C811E8" w:rsidRDefault="00741C35" w:rsidP="001445F9">
      <w:pPr>
        <w:pStyle w:val="Caption"/>
      </w:pPr>
      <w:bookmarkStart w:id="46" w:name="_Ref215477801"/>
      <w:bookmarkEnd w:id="44"/>
      <w:r w:rsidRPr="00C811E8">
        <w:t xml:space="preserve">Table </w:t>
      </w:r>
      <w:r>
        <w:fldChar w:fldCharType="begin"/>
      </w:r>
      <w:r>
        <w:instrText>SEQ Table \* ARABIC</w:instrText>
      </w:r>
      <w:r>
        <w:fldChar w:fldCharType="separate"/>
      </w:r>
      <w:r w:rsidR="00CD3B0F">
        <w:rPr>
          <w:noProof/>
        </w:rPr>
        <w:t>17</w:t>
      </w:r>
      <w:r>
        <w:fldChar w:fldCharType="end"/>
      </w:r>
      <w:bookmarkEnd w:id="46"/>
      <w:r w:rsidRPr="00C811E8">
        <w:tab/>
        <w:t xml:space="preserve">Results of scenario </w:t>
      </w:r>
      <w:r w:rsidR="009B4B0D" w:rsidRPr="00C811E8">
        <w:t xml:space="preserve">analysis </w:t>
      </w:r>
      <w:r w:rsidRPr="00C811E8">
        <w:t>using inputs proposed by the commentary</w:t>
      </w:r>
    </w:p>
    <w:tbl>
      <w:tblPr>
        <w:tblStyle w:val="TableGrid"/>
        <w:tblW w:w="0" w:type="auto"/>
        <w:tblLook w:val="04A0" w:firstRow="1" w:lastRow="0" w:firstColumn="1" w:lastColumn="0" w:noHBand="0" w:noVBand="1"/>
        <w:tblCaption w:val="Results of scenario analysis using inputs proposed by the commentary"/>
        <w:tblDescription w:val="Results of scenario analysis using inputs proposed by the commentary"/>
      </w:tblPr>
      <w:tblGrid>
        <w:gridCol w:w="5524"/>
        <w:gridCol w:w="1746"/>
        <w:gridCol w:w="1746"/>
      </w:tblGrid>
      <w:tr w:rsidR="00741C35" w:rsidRPr="00C811E8" w14:paraId="6DA0BF85" w14:textId="77777777" w:rsidTr="00284182">
        <w:trPr>
          <w:trHeight w:val="270"/>
          <w:tblHeader/>
        </w:trPr>
        <w:tc>
          <w:tcPr>
            <w:tcW w:w="5524" w:type="dxa"/>
            <w:noWrap/>
            <w:hideMark/>
          </w:tcPr>
          <w:p w14:paraId="6115E04A" w14:textId="34970214" w:rsidR="003F716B" w:rsidRPr="00C811E8" w:rsidRDefault="003F716B" w:rsidP="00741C35">
            <w:pPr>
              <w:pStyle w:val="TableHeading0"/>
            </w:pPr>
            <w:r w:rsidRPr="00C811E8">
              <w:t> </w:t>
            </w:r>
            <w:r w:rsidR="009B4B0D" w:rsidRPr="00C811E8">
              <w:t>Item</w:t>
            </w:r>
          </w:p>
        </w:tc>
        <w:tc>
          <w:tcPr>
            <w:tcW w:w="1746" w:type="dxa"/>
            <w:noWrap/>
            <w:hideMark/>
          </w:tcPr>
          <w:p w14:paraId="1F4A7417" w14:textId="77777777" w:rsidR="003F716B" w:rsidRPr="00C811E8" w:rsidRDefault="003F716B" w:rsidP="009B4B0D">
            <w:pPr>
              <w:pStyle w:val="TableHeading0"/>
              <w:jc w:val="right"/>
            </w:pPr>
            <w:r w:rsidRPr="00C811E8">
              <w:t>Concizumab</w:t>
            </w:r>
          </w:p>
        </w:tc>
        <w:tc>
          <w:tcPr>
            <w:tcW w:w="1746" w:type="dxa"/>
            <w:hideMark/>
          </w:tcPr>
          <w:p w14:paraId="06545DD7" w14:textId="306EC467" w:rsidR="003F716B" w:rsidRPr="00C811E8" w:rsidRDefault="00C876E9" w:rsidP="009B4B0D">
            <w:pPr>
              <w:pStyle w:val="TableHeading0"/>
              <w:jc w:val="right"/>
            </w:pPr>
            <w:r>
              <w:t>rFVIIa</w:t>
            </w:r>
          </w:p>
        </w:tc>
      </w:tr>
      <w:tr w:rsidR="00B602D9" w:rsidRPr="00C811E8" w14:paraId="660A8337" w14:textId="77777777" w:rsidTr="00284182">
        <w:trPr>
          <w:trHeight w:val="230"/>
        </w:trPr>
        <w:tc>
          <w:tcPr>
            <w:tcW w:w="5524" w:type="dxa"/>
            <w:noWrap/>
            <w:hideMark/>
          </w:tcPr>
          <w:p w14:paraId="4AE036EB" w14:textId="77777777" w:rsidR="00B602D9" w:rsidRPr="00C811E8" w:rsidRDefault="00B602D9" w:rsidP="00B602D9">
            <w:pPr>
              <w:pStyle w:val="TableText"/>
            </w:pPr>
            <w:r w:rsidRPr="00C811E8">
              <w:t>Drug cost (prophylaxis)</w:t>
            </w:r>
          </w:p>
        </w:tc>
        <w:tc>
          <w:tcPr>
            <w:tcW w:w="1746" w:type="dxa"/>
            <w:noWrap/>
            <w:hideMark/>
          </w:tcPr>
          <w:p w14:paraId="16A7BAE7" w14:textId="7AE07833" w:rsidR="00B602D9" w:rsidRPr="0092594C" w:rsidRDefault="00B602D9" w:rsidP="00B602D9">
            <w:pPr>
              <w:pStyle w:val="TableText"/>
              <w:jc w:val="right"/>
              <w:rPr>
                <w:highlight w:val="yellow"/>
              </w:rPr>
            </w:pPr>
            <w:r w:rsidRPr="00282024">
              <w:t>$</w:t>
            </w:r>
            <w:r w:rsidR="00992124">
              <w:rPr>
                <w:b/>
              </w:rPr>
              <w:t>redacted</w:t>
            </w:r>
          </w:p>
        </w:tc>
        <w:tc>
          <w:tcPr>
            <w:tcW w:w="1746" w:type="dxa"/>
            <w:noWrap/>
            <w:hideMark/>
          </w:tcPr>
          <w:p w14:paraId="3BB9E81D" w14:textId="7D929349" w:rsidR="00B602D9" w:rsidRPr="0092594C" w:rsidRDefault="00C61D00" w:rsidP="00B602D9">
            <w:pPr>
              <w:pStyle w:val="TableText"/>
              <w:jc w:val="right"/>
              <w:rPr>
                <w:highlight w:val="yellow"/>
              </w:rPr>
            </w:pPr>
            <w:r w:rsidRPr="00282024">
              <w:t xml:space="preserve"> </w:t>
            </w:r>
            <w:r w:rsidR="00B602D9" w:rsidRPr="00282024">
              <w:t>$</w:t>
            </w:r>
            <w:r w:rsidR="00D02179" w:rsidRPr="00D02179">
              <w:rPr>
                <w:b/>
              </w:rPr>
              <w:t>redacted</w:t>
            </w:r>
            <w:r w:rsidR="00D02179" w:rsidRPr="00282024">
              <w:t xml:space="preserve"> </w:t>
            </w:r>
          </w:p>
        </w:tc>
      </w:tr>
      <w:tr w:rsidR="00B602D9" w:rsidRPr="00C811E8" w14:paraId="30421C9E" w14:textId="77777777" w:rsidTr="00284182">
        <w:trPr>
          <w:trHeight w:val="230"/>
        </w:trPr>
        <w:tc>
          <w:tcPr>
            <w:tcW w:w="5524" w:type="dxa"/>
            <w:noWrap/>
            <w:hideMark/>
          </w:tcPr>
          <w:p w14:paraId="3C58B749" w14:textId="77777777" w:rsidR="00B602D9" w:rsidRPr="00C811E8" w:rsidRDefault="00B602D9" w:rsidP="00B602D9">
            <w:pPr>
              <w:pStyle w:val="TableText"/>
            </w:pPr>
            <w:r w:rsidRPr="00C811E8">
              <w:t>Administration cost for prophylaxis</w:t>
            </w:r>
          </w:p>
        </w:tc>
        <w:tc>
          <w:tcPr>
            <w:tcW w:w="1746" w:type="dxa"/>
            <w:noWrap/>
            <w:hideMark/>
          </w:tcPr>
          <w:p w14:paraId="327C5159" w14:textId="00B9A336" w:rsidR="00B602D9" w:rsidRPr="00C811E8" w:rsidRDefault="00B602D9" w:rsidP="00B602D9">
            <w:pPr>
              <w:pStyle w:val="TableText"/>
              <w:jc w:val="right"/>
            </w:pPr>
            <w:r w:rsidRPr="00F17865">
              <w:t>$0</w:t>
            </w:r>
          </w:p>
        </w:tc>
        <w:tc>
          <w:tcPr>
            <w:tcW w:w="1746" w:type="dxa"/>
            <w:noWrap/>
            <w:hideMark/>
          </w:tcPr>
          <w:p w14:paraId="66499766" w14:textId="6CB6FC3F" w:rsidR="00B602D9" w:rsidRPr="00C811E8" w:rsidRDefault="00B602D9" w:rsidP="00B602D9">
            <w:pPr>
              <w:pStyle w:val="TableText"/>
              <w:jc w:val="right"/>
            </w:pPr>
            <w:r w:rsidRPr="00F17865">
              <w:t>$49,101</w:t>
            </w:r>
          </w:p>
        </w:tc>
      </w:tr>
      <w:tr w:rsidR="00B602D9" w:rsidRPr="00C811E8" w14:paraId="581786E3" w14:textId="77777777" w:rsidTr="00284182">
        <w:trPr>
          <w:trHeight w:val="270"/>
        </w:trPr>
        <w:tc>
          <w:tcPr>
            <w:tcW w:w="5524" w:type="dxa"/>
            <w:noWrap/>
            <w:hideMark/>
          </w:tcPr>
          <w:p w14:paraId="735096D6" w14:textId="42F7EE7B" w:rsidR="00B602D9" w:rsidRPr="00C811E8" w:rsidRDefault="00B602D9" w:rsidP="00B602D9">
            <w:pPr>
              <w:pStyle w:val="TableText"/>
            </w:pPr>
            <w:r w:rsidRPr="00C811E8">
              <w:t xml:space="preserve">Breakthrough bleeding – </w:t>
            </w:r>
            <w:r w:rsidR="00C876E9">
              <w:t>rFVIIa</w:t>
            </w:r>
            <w:r w:rsidRPr="00C811E8">
              <w:t xml:space="preserve"> cost</w:t>
            </w:r>
          </w:p>
        </w:tc>
        <w:tc>
          <w:tcPr>
            <w:tcW w:w="1746" w:type="dxa"/>
            <w:noWrap/>
            <w:hideMark/>
          </w:tcPr>
          <w:p w14:paraId="75B78DD8" w14:textId="3C84B1C9" w:rsidR="00B602D9" w:rsidRPr="00C811E8" w:rsidRDefault="00B602D9" w:rsidP="00B602D9">
            <w:pPr>
              <w:pStyle w:val="TableText"/>
              <w:jc w:val="right"/>
            </w:pPr>
            <w:r w:rsidRPr="00F17865">
              <w:t>$131,480</w:t>
            </w:r>
          </w:p>
        </w:tc>
        <w:tc>
          <w:tcPr>
            <w:tcW w:w="1746" w:type="dxa"/>
            <w:noWrap/>
            <w:hideMark/>
          </w:tcPr>
          <w:p w14:paraId="1DC98C49" w14:textId="49A54256" w:rsidR="00B602D9" w:rsidRPr="00C811E8" w:rsidRDefault="00B602D9" w:rsidP="00B602D9">
            <w:pPr>
              <w:pStyle w:val="TableText"/>
              <w:jc w:val="right"/>
            </w:pPr>
            <w:r w:rsidRPr="00F17865">
              <w:t>$314,696</w:t>
            </w:r>
          </w:p>
        </w:tc>
      </w:tr>
      <w:tr w:rsidR="00B602D9" w:rsidRPr="00C811E8" w14:paraId="4930CCD4" w14:textId="77777777" w:rsidTr="00284182">
        <w:trPr>
          <w:trHeight w:val="270"/>
        </w:trPr>
        <w:tc>
          <w:tcPr>
            <w:tcW w:w="5524" w:type="dxa"/>
            <w:noWrap/>
            <w:hideMark/>
          </w:tcPr>
          <w:p w14:paraId="199E9F6A" w14:textId="78D0B866" w:rsidR="00B602D9" w:rsidRPr="00C811E8" w:rsidRDefault="00B602D9" w:rsidP="00B602D9">
            <w:pPr>
              <w:pStyle w:val="TableText"/>
            </w:pPr>
            <w:r w:rsidRPr="00C811E8">
              <w:t>Breakthrough bleeding – hospitalisation cost (includes administration)</w:t>
            </w:r>
          </w:p>
        </w:tc>
        <w:tc>
          <w:tcPr>
            <w:tcW w:w="1746" w:type="dxa"/>
            <w:noWrap/>
            <w:hideMark/>
          </w:tcPr>
          <w:p w14:paraId="75565D07" w14:textId="63EEC0AC" w:rsidR="00B602D9" w:rsidRPr="00C811E8" w:rsidRDefault="00B602D9" w:rsidP="00B602D9">
            <w:pPr>
              <w:pStyle w:val="TableText"/>
              <w:jc w:val="right"/>
            </w:pPr>
            <w:r w:rsidRPr="00F17865">
              <w:t>$2,692</w:t>
            </w:r>
          </w:p>
        </w:tc>
        <w:tc>
          <w:tcPr>
            <w:tcW w:w="1746" w:type="dxa"/>
            <w:noWrap/>
            <w:hideMark/>
          </w:tcPr>
          <w:p w14:paraId="0D3BC63D" w14:textId="596261BF" w:rsidR="00B602D9" w:rsidRPr="00C811E8" w:rsidRDefault="00B602D9" w:rsidP="00B602D9">
            <w:pPr>
              <w:pStyle w:val="TableText"/>
              <w:jc w:val="right"/>
            </w:pPr>
            <w:r w:rsidRPr="00F17865">
              <w:t>$6,444</w:t>
            </w:r>
          </w:p>
        </w:tc>
      </w:tr>
      <w:tr w:rsidR="00B602D9" w:rsidRPr="00C811E8" w14:paraId="4ADDE111" w14:textId="77777777" w:rsidTr="00284182">
        <w:trPr>
          <w:trHeight w:val="230"/>
        </w:trPr>
        <w:tc>
          <w:tcPr>
            <w:tcW w:w="5524" w:type="dxa"/>
            <w:noWrap/>
            <w:hideMark/>
          </w:tcPr>
          <w:p w14:paraId="702EC378" w14:textId="77777777" w:rsidR="00B602D9" w:rsidRPr="00C811E8" w:rsidRDefault="00B602D9" w:rsidP="00B602D9">
            <w:pPr>
              <w:pStyle w:val="TableText"/>
            </w:pPr>
            <w:r w:rsidRPr="00C811E8">
              <w:t>Total cost per patient per year</w:t>
            </w:r>
          </w:p>
        </w:tc>
        <w:tc>
          <w:tcPr>
            <w:tcW w:w="1746" w:type="dxa"/>
            <w:noWrap/>
            <w:hideMark/>
          </w:tcPr>
          <w:p w14:paraId="4D0DC65C" w14:textId="7B295339" w:rsidR="00B602D9" w:rsidRPr="0092594C" w:rsidRDefault="00B602D9" w:rsidP="00B602D9">
            <w:pPr>
              <w:pStyle w:val="TableText"/>
              <w:jc w:val="right"/>
              <w:rPr>
                <w:highlight w:val="yellow"/>
              </w:rPr>
            </w:pPr>
            <w:r w:rsidRPr="00282024">
              <w:t>$</w:t>
            </w:r>
            <w:r w:rsidR="00992124">
              <w:rPr>
                <w:b/>
              </w:rPr>
              <w:t>redacted</w:t>
            </w:r>
          </w:p>
        </w:tc>
        <w:tc>
          <w:tcPr>
            <w:tcW w:w="1746" w:type="dxa"/>
            <w:noWrap/>
            <w:hideMark/>
          </w:tcPr>
          <w:p w14:paraId="247F8354" w14:textId="7B6AADB6" w:rsidR="00B602D9" w:rsidRPr="0092594C" w:rsidRDefault="00B602D9" w:rsidP="00B602D9">
            <w:pPr>
              <w:pStyle w:val="TableText"/>
              <w:jc w:val="right"/>
              <w:rPr>
                <w:highlight w:val="yellow"/>
              </w:rPr>
            </w:pPr>
            <w:r w:rsidRPr="00282024">
              <w:t>$</w:t>
            </w:r>
            <w:r w:rsidR="00992124">
              <w:rPr>
                <w:b/>
              </w:rPr>
              <w:t>redacted</w:t>
            </w:r>
          </w:p>
        </w:tc>
      </w:tr>
      <w:tr w:rsidR="00284182" w:rsidRPr="003F716B" w14:paraId="6B7AC99C" w14:textId="77777777" w:rsidTr="00284182">
        <w:trPr>
          <w:trHeight w:val="230"/>
        </w:trPr>
        <w:tc>
          <w:tcPr>
            <w:tcW w:w="5524" w:type="dxa"/>
            <w:noWrap/>
          </w:tcPr>
          <w:p w14:paraId="3DA4FD02" w14:textId="555AE310" w:rsidR="00284182" w:rsidRPr="00C811E8" w:rsidRDefault="00284182" w:rsidP="00284182">
            <w:pPr>
              <w:pStyle w:val="TableText"/>
            </w:pPr>
            <w:r w:rsidRPr="00C811E8">
              <w:t>Cost per mg</w:t>
            </w:r>
          </w:p>
        </w:tc>
        <w:tc>
          <w:tcPr>
            <w:tcW w:w="1746" w:type="dxa"/>
            <w:noWrap/>
          </w:tcPr>
          <w:p w14:paraId="7D8AFFFA" w14:textId="469710A2" w:rsidR="00284182" w:rsidRPr="00C811E8" w:rsidRDefault="00284182" w:rsidP="00284182">
            <w:pPr>
              <w:pStyle w:val="TableText"/>
              <w:jc w:val="right"/>
            </w:pPr>
            <w:r w:rsidRPr="00282024">
              <w:t>$</w:t>
            </w:r>
            <w:r w:rsidR="00992124">
              <w:rPr>
                <w:b/>
              </w:rPr>
              <w:t>redacted</w:t>
            </w:r>
          </w:p>
        </w:tc>
        <w:tc>
          <w:tcPr>
            <w:tcW w:w="1746" w:type="dxa"/>
            <w:noWrap/>
          </w:tcPr>
          <w:p w14:paraId="588B1A3F" w14:textId="28365379" w:rsidR="00284182" w:rsidRPr="00C811E8" w:rsidRDefault="00284182" w:rsidP="00284182">
            <w:pPr>
              <w:pStyle w:val="TableText"/>
              <w:jc w:val="right"/>
            </w:pPr>
            <w:r w:rsidRPr="000B58D4">
              <w:t>$1,250.00</w:t>
            </w:r>
          </w:p>
        </w:tc>
      </w:tr>
    </w:tbl>
    <w:p w14:paraId="1223236D" w14:textId="1B38D0B6" w:rsidR="0048581A" w:rsidRDefault="0048581A" w:rsidP="00CD4875">
      <w:pPr>
        <w:pStyle w:val="Tablenotes0"/>
      </w:pPr>
      <w:r>
        <w:t>mg = milligram.</w:t>
      </w:r>
    </w:p>
    <w:p w14:paraId="1457375F" w14:textId="7A3AD666" w:rsidR="007E719C" w:rsidRDefault="0048581A" w:rsidP="00CD4875">
      <w:pPr>
        <w:pStyle w:val="Tablenotes0"/>
      </w:pPr>
      <w:r>
        <w:t xml:space="preserve">Source: Commentary Table </w:t>
      </w:r>
      <w:r w:rsidR="00090A7C">
        <w:t>9</w:t>
      </w:r>
      <w:r>
        <w:t xml:space="preserve"> of MSAC Application 1805 in-line Commentary.</w:t>
      </w:r>
    </w:p>
    <w:p w14:paraId="27BC6F7A" w14:textId="396416FA" w:rsidR="00B95EA0" w:rsidRPr="00B95EA0" w:rsidRDefault="00DF09DA" w:rsidP="00B95EA0">
      <w:r>
        <w:t xml:space="preserve">The results of the </w:t>
      </w:r>
      <w:r w:rsidR="00B95EA0">
        <w:t>revised</w:t>
      </w:r>
      <w:r>
        <w:t xml:space="preserve"> </w:t>
      </w:r>
      <w:r w:rsidR="00B95EA0">
        <w:t xml:space="preserve">cost-minimisation analysis </w:t>
      </w:r>
      <w:r>
        <w:t>based</w:t>
      </w:r>
      <w:r w:rsidR="00B95EA0">
        <w:t xml:space="preserve"> on ESC’s </w:t>
      </w:r>
      <w:r w:rsidR="00B95EA0" w:rsidRPr="00B95EA0">
        <w:t>specifi</w:t>
      </w:r>
      <w:r w:rsidR="00B95EA0">
        <w:t>cations (</w:t>
      </w:r>
      <w:r w:rsidR="00B95EA0" w:rsidRPr="00B95EA0">
        <w:fldChar w:fldCharType="begin"/>
      </w:r>
      <w:r w:rsidR="00B95EA0" w:rsidRPr="00B95EA0">
        <w:instrText xml:space="preserve"> REF _Ref223212072 \h </w:instrText>
      </w:r>
      <w:r w:rsidR="00B95EA0" w:rsidRPr="00B95EA0">
        <w:fldChar w:fldCharType="separate"/>
      </w:r>
      <w:r w:rsidR="00CD3B0F">
        <w:t xml:space="preserve">Table </w:t>
      </w:r>
      <w:r w:rsidR="00CD3B0F">
        <w:rPr>
          <w:noProof/>
        </w:rPr>
        <w:t>29</w:t>
      </w:r>
      <w:r w:rsidR="00B95EA0" w:rsidRPr="00B95EA0">
        <w:fldChar w:fldCharType="end"/>
      </w:r>
      <w:r w:rsidR="00B95EA0">
        <w:t xml:space="preserve">) is presented in </w:t>
      </w:r>
      <w:r w:rsidR="00CD3B0F" w:rsidRPr="00CD3B0F">
        <w:fldChar w:fldCharType="begin"/>
      </w:r>
      <w:r w:rsidR="00CD3B0F" w:rsidRPr="00CD3B0F">
        <w:instrText xml:space="preserve"> REF _Ref227317489 \h </w:instrText>
      </w:r>
      <w:r w:rsidR="00CD3B0F">
        <w:instrText xml:space="preserve"> \* MERGEFORMAT </w:instrText>
      </w:r>
      <w:r w:rsidR="00CD3B0F" w:rsidRPr="00CD3B0F">
        <w:fldChar w:fldCharType="separate"/>
      </w:r>
      <w:r w:rsidR="00CD3B0F" w:rsidRPr="000B7975">
        <w:t>Table 18</w:t>
      </w:r>
      <w:r w:rsidR="00CD3B0F" w:rsidRPr="00CD3B0F">
        <w:fldChar w:fldCharType="end"/>
      </w:r>
      <w:r w:rsidR="00B95EA0" w:rsidRPr="00CD3B0F">
        <w:t>.</w:t>
      </w:r>
    </w:p>
    <w:p w14:paraId="185DBA1B" w14:textId="5BD89AF4" w:rsidR="00BD57CE" w:rsidRPr="00BD57CE" w:rsidRDefault="00BD57CE" w:rsidP="00567A5A">
      <w:pPr>
        <w:keepNext/>
        <w:keepLines/>
        <w:spacing w:before="360" w:after="120" w:line="240" w:lineRule="auto"/>
        <w:ind w:left="794" w:hanging="794"/>
        <w:rPr>
          <w:rFonts w:ascii="Arial Narrow" w:eastAsia="Times New Roman" w:hAnsi="Arial Narrow" w:cs="Times New Roman"/>
          <w:b/>
          <w:bCs/>
          <w:sz w:val="20"/>
          <w:szCs w:val="20"/>
        </w:rPr>
      </w:pPr>
      <w:bookmarkStart w:id="47" w:name="_Ref227317489"/>
      <w:r w:rsidRPr="00BD57CE">
        <w:rPr>
          <w:rFonts w:ascii="Arial Narrow" w:eastAsia="Times New Roman" w:hAnsi="Arial Narrow" w:cs="Times New Roman"/>
          <w:b/>
          <w:bCs/>
          <w:sz w:val="20"/>
          <w:szCs w:val="20"/>
        </w:rPr>
        <w:t xml:space="preserve">Table </w:t>
      </w:r>
      <w:r w:rsidRPr="00BD57CE">
        <w:rPr>
          <w:rFonts w:ascii="Arial Narrow" w:eastAsia="Times New Roman" w:hAnsi="Arial Narrow" w:cs="Times New Roman"/>
          <w:b/>
          <w:bCs/>
          <w:sz w:val="20"/>
          <w:szCs w:val="20"/>
        </w:rPr>
        <w:fldChar w:fldCharType="begin"/>
      </w:r>
      <w:r w:rsidRPr="00BD57CE">
        <w:rPr>
          <w:rFonts w:ascii="Arial Narrow" w:eastAsia="Times New Roman" w:hAnsi="Arial Narrow" w:cs="Times New Roman"/>
          <w:b/>
          <w:bCs/>
          <w:sz w:val="20"/>
          <w:szCs w:val="20"/>
        </w:rPr>
        <w:instrText xml:space="preserve"> SEQ Table \* ARABIC </w:instrText>
      </w:r>
      <w:r w:rsidRPr="00BD57CE">
        <w:rPr>
          <w:rFonts w:ascii="Arial Narrow" w:eastAsia="Times New Roman" w:hAnsi="Arial Narrow" w:cs="Times New Roman"/>
          <w:b/>
          <w:bCs/>
          <w:sz w:val="20"/>
          <w:szCs w:val="20"/>
        </w:rPr>
        <w:fldChar w:fldCharType="separate"/>
      </w:r>
      <w:r w:rsidR="00CD3B0F">
        <w:rPr>
          <w:rFonts w:ascii="Arial Narrow" w:eastAsia="Times New Roman" w:hAnsi="Arial Narrow" w:cs="Times New Roman"/>
          <w:b/>
          <w:bCs/>
          <w:noProof/>
          <w:sz w:val="20"/>
          <w:szCs w:val="20"/>
        </w:rPr>
        <w:t>18</w:t>
      </w:r>
      <w:r w:rsidRPr="00BD57CE">
        <w:rPr>
          <w:rFonts w:ascii="Arial Narrow" w:eastAsia="Times New Roman" w:hAnsi="Arial Narrow" w:cs="Times New Roman"/>
          <w:b/>
          <w:bCs/>
          <w:noProof/>
          <w:sz w:val="20"/>
          <w:szCs w:val="20"/>
        </w:rPr>
        <w:fldChar w:fldCharType="end"/>
      </w:r>
      <w:bookmarkEnd w:id="47"/>
      <w:r w:rsidRPr="00BD57CE">
        <w:rPr>
          <w:rFonts w:ascii="Arial Narrow" w:eastAsia="Times New Roman" w:hAnsi="Arial Narrow" w:cs="Times New Roman"/>
          <w:b/>
          <w:bCs/>
          <w:sz w:val="20"/>
          <w:szCs w:val="20"/>
        </w:rPr>
        <w:tab/>
        <w:t>Revised cost-minimisation analysis based on total cost per patient for a year of treatment</w:t>
      </w:r>
    </w:p>
    <w:tbl>
      <w:tblPr>
        <w:tblStyle w:val="TableGrid11"/>
        <w:tblW w:w="0" w:type="auto"/>
        <w:tblLook w:val="0420" w:firstRow="1" w:lastRow="0" w:firstColumn="0" w:lastColumn="0" w:noHBand="0" w:noVBand="1"/>
        <w:tblCaption w:val="Total cost per patient for a year of treatment"/>
        <w:tblDescription w:val="Total cost per patient for a year of treatment"/>
      </w:tblPr>
      <w:tblGrid>
        <w:gridCol w:w="4390"/>
        <w:gridCol w:w="2312"/>
        <w:gridCol w:w="2313"/>
      </w:tblGrid>
      <w:tr w:rsidR="00BD57CE" w:rsidRPr="00BD57CE" w14:paraId="1E4A7CEC" w14:textId="77777777" w:rsidTr="00F022E2">
        <w:trPr>
          <w:cnfStyle w:val="100000000000" w:firstRow="1" w:lastRow="0" w:firstColumn="0" w:lastColumn="0" w:oddVBand="0" w:evenVBand="0" w:oddHBand="0" w:evenHBand="0" w:firstRowFirstColumn="0" w:firstRowLastColumn="0" w:lastRowFirstColumn="0" w:lastRowLastColumn="0"/>
          <w:tblHeader/>
        </w:trPr>
        <w:tc>
          <w:tcPr>
            <w:tcW w:w="4390" w:type="dxa"/>
          </w:tcPr>
          <w:p w14:paraId="5EB96417" w14:textId="77777777" w:rsidR="00BD57CE" w:rsidRPr="00BD57CE" w:rsidRDefault="00BD57CE" w:rsidP="00567A5A">
            <w:pPr>
              <w:keepNext/>
              <w:keepLines/>
              <w:spacing w:after="60"/>
              <w:rPr>
                <w:rFonts w:ascii="Arial Narrow" w:hAnsi="Arial Narrow"/>
                <w:b/>
              </w:rPr>
            </w:pPr>
            <w:r w:rsidRPr="00BD57CE">
              <w:rPr>
                <w:rFonts w:ascii="Arial Narrow" w:hAnsi="Arial Narrow"/>
                <w:b/>
              </w:rPr>
              <w:t>Item</w:t>
            </w:r>
          </w:p>
        </w:tc>
        <w:tc>
          <w:tcPr>
            <w:tcW w:w="2312" w:type="dxa"/>
          </w:tcPr>
          <w:p w14:paraId="0941AEBC" w14:textId="77777777" w:rsidR="00BD57CE" w:rsidRPr="00BD57CE" w:rsidRDefault="00BD57CE" w:rsidP="00567A5A">
            <w:pPr>
              <w:keepNext/>
              <w:keepLines/>
              <w:spacing w:after="60"/>
              <w:rPr>
                <w:rFonts w:ascii="Arial Narrow" w:hAnsi="Arial Narrow"/>
                <w:b/>
              </w:rPr>
            </w:pPr>
            <w:r w:rsidRPr="00BD57CE">
              <w:rPr>
                <w:rFonts w:ascii="Arial Narrow" w:hAnsi="Arial Narrow"/>
                <w:b/>
              </w:rPr>
              <w:t>Concizumab</w:t>
            </w:r>
          </w:p>
        </w:tc>
        <w:tc>
          <w:tcPr>
            <w:tcW w:w="2313" w:type="dxa"/>
          </w:tcPr>
          <w:p w14:paraId="37D916BF" w14:textId="77777777" w:rsidR="00BD57CE" w:rsidRPr="00BD57CE" w:rsidRDefault="00BD57CE" w:rsidP="00567A5A">
            <w:pPr>
              <w:keepNext/>
              <w:keepLines/>
              <w:spacing w:after="60"/>
              <w:rPr>
                <w:rFonts w:ascii="Arial Narrow" w:hAnsi="Arial Narrow"/>
                <w:b/>
              </w:rPr>
            </w:pPr>
            <w:r w:rsidRPr="00BD57CE">
              <w:rPr>
                <w:rFonts w:ascii="Arial Narrow" w:hAnsi="Arial Narrow"/>
                <w:b/>
              </w:rPr>
              <w:t>rFVIIa</w:t>
            </w:r>
          </w:p>
        </w:tc>
      </w:tr>
      <w:tr w:rsidR="00BD57CE" w:rsidRPr="00BD57CE" w14:paraId="3D17EB18" w14:textId="77777777" w:rsidTr="00F022E2">
        <w:tc>
          <w:tcPr>
            <w:tcW w:w="4390" w:type="dxa"/>
          </w:tcPr>
          <w:p w14:paraId="2AA733EA" w14:textId="77777777" w:rsidR="00BD57CE" w:rsidRPr="00BD57CE" w:rsidRDefault="00BD57CE" w:rsidP="00567A5A">
            <w:pPr>
              <w:keepNext/>
              <w:keepLines/>
              <w:spacing w:before="40"/>
              <w:rPr>
                <w:rFonts w:ascii="Arial Narrow" w:hAnsi="Arial Narrow"/>
              </w:rPr>
            </w:pPr>
            <w:r w:rsidRPr="00BD57CE">
              <w:rPr>
                <w:rFonts w:ascii="Arial Narrow" w:hAnsi="Arial Narrow"/>
              </w:rPr>
              <w:t>Administration cost for prophylaxis</w:t>
            </w:r>
          </w:p>
        </w:tc>
        <w:tc>
          <w:tcPr>
            <w:tcW w:w="2312" w:type="dxa"/>
          </w:tcPr>
          <w:p w14:paraId="6B7F6B1A" w14:textId="2C65F7E3" w:rsidR="00BD57CE" w:rsidRPr="003315B0" w:rsidRDefault="00BD57CE" w:rsidP="00567A5A">
            <w:pPr>
              <w:keepNext/>
              <w:keepLines/>
              <w:spacing w:before="40"/>
              <w:rPr>
                <w:rFonts w:ascii="Arial Narrow" w:hAnsi="Arial Narrow"/>
                <w:highlight w:val="yellow"/>
              </w:rPr>
            </w:pPr>
            <w:r w:rsidRPr="00282024">
              <w:rPr>
                <w:rFonts w:ascii="Arial Narrow" w:hAnsi="Arial Narrow"/>
              </w:rPr>
              <w:t>$</w:t>
            </w:r>
            <w:r w:rsidR="00992124" w:rsidRPr="00282024">
              <w:rPr>
                <w:rFonts w:ascii="Arial Narrow" w:hAnsi="Arial Narrow"/>
                <w:b/>
              </w:rPr>
              <w:t>redacted</w:t>
            </w:r>
          </w:p>
        </w:tc>
        <w:tc>
          <w:tcPr>
            <w:tcW w:w="2313" w:type="dxa"/>
          </w:tcPr>
          <w:p w14:paraId="123CAF25" w14:textId="0DEED56B" w:rsidR="00BD57CE" w:rsidRPr="00BD57CE" w:rsidRDefault="00BD57CE" w:rsidP="00567A5A">
            <w:pPr>
              <w:keepNext/>
              <w:keepLines/>
              <w:spacing w:before="40"/>
              <w:rPr>
                <w:rFonts w:ascii="Arial Narrow" w:hAnsi="Arial Narrow"/>
              </w:rPr>
            </w:pPr>
            <w:r w:rsidRPr="00BD57CE">
              <w:rPr>
                <w:rFonts w:ascii="Arial Narrow" w:hAnsi="Arial Narrow"/>
              </w:rPr>
              <w:t>$0</w:t>
            </w:r>
            <w:r w:rsidRPr="00BD57CE">
              <w:rPr>
                <w:rFonts w:ascii="Arial Narrow" w:hAnsi="Arial Narrow"/>
                <w:vertAlign w:val="superscript"/>
              </w:rPr>
              <w:t>a</w:t>
            </w:r>
          </w:p>
        </w:tc>
      </w:tr>
      <w:tr w:rsidR="00BD57CE" w:rsidRPr="00BD57CE" w14:paraId="0436E88A" w14:textId="77777777" w:rsidTr="00F022E2">
        <w:tc>
          <w:tcPr>
            <w:tcW w:w="4390" w:type="dxa"/>
          </w:tcPr>
          <w:p w14:paraId="59A2CA97" w14:textId="77777777" w:rsidR="00BD57CE" w:rsidRPr="00BD57CE" w:rsidRDefault="00BD57CE" w:rsidP="00567A5A">
            <w:pPr>
              <w:keepNext/>
              <w:keepLines/>
              <w:spacing w:before="40"/>
              <w:rPr>
                <w:rFonts w:ascii="Arial Narrow" w:hAnsi="Arial Narrow"/>
                <w:vertAlign w:val="superscript"/>
              </w:rPr>
            </w:pPr>
            <w:r w:rsidRPr="00BD57CE">
              <w:rPr>
                <w:rFonts w:ascii="Arial Narrow" w:hAnsi="Arial Narrow"/>
              </w:rPr>
              <w:t xml:space="preserve">Breakthrough bleeding – rFVIIa cost </w:t>
            </w:r>
            <w:r w:rsidRPr="00BD57CE">
              <w:rPr>
                <w:rFonts w:ascii="Arial Narrow" w:hAnsi="Arial Narrow"/>
                <w:vertAlign w:val="superscript"/>
              </w:rPr>
              <w:t>b</w:t>
            </w:r>
          </w:p>
        </w:tc>
        <w:tc>
          <w:tcPr>
            <w:tcW w:w="2312" w:type="dxa"/>
          </w:tcPr>
          <w:p w14:paraId="5542D8A6" w14:textId="26E3D065" w:rsidR="00BD57CE" w:rsidRPr="003315B0" w:rsidRDefault="00BD57CE" w:rsidP="00567A5A">
            <w:pPr>
              <w:keepNext/>
              <w:keepLines/>
              <w:spacing w:before="40"/>
              <w:rPr>
                <w:rFonts w:ascii="Arial Narrow" w:hAnsi="Arial Narrow"/>
              </w:rPr>
            </w:pPr>
            <w:r w:rsidRPr="003315B0">
              <w:rPr>
                <w:rFonts w:ascii="Arial Narrow" w:hAnsi="Arial Narrow"/>
              </w:rPr>
              <w:t>$77,530</w:t>
            </w:r>
          </w:p>
        </w:tc>
        <w:tc>
          <w:tcPr>
            <w:tcW w:w="2313" w:type="dxa"/>
          </w:tcPr>
          <w:p w14:paraId="007E3153" w14:textId="77777777" w:rsidR="00BD57CE" w:rsidRPr="003315B0" w:rsidRDefault="00BD57CE" w:rsidP="00567A5A">
            <w:pPr>
              <w:keepNext/>
              <w:keepLines/>
              <w:spacing w:before="40"/>
              <w:rPr>
                <w:rFonts w:ascii="Arial Narrow" w:hAnsi="Arial Narrow"/>
              </w:rPr>
            </w:pPr>
            <w:r w:rsidRPr="003315B0">
              <w:rPr>
                <w:rFonts w:ascii="Arial Narrow" w:hAnsi="Arial Narrow"/>
              </w:rPr>
              <w:t>$253,735</w:t>
            </w:r>
          </w:p>
        </w:tc>
      </w:tr>
      <w:tr w:rsidR="00BD57CE" w:rsidRPr="00BD57CE" w14:paraId="7519AAD8" w14:textId="77777777" w:rsidTr="00F022E2">
        <w:tc>
          <w:tcPr>
            <w:tcW w:w="4390" w:type="dxa"/>
          </w:tcPr>
          <w:p w14:paraId="4983B021" w14:textId="77777777" w:rsidR="00BD57CE" w:rsidRPr="00BD57CE" w:rsidRDefault="00BD57CE" w:rsidP="00567A5A">
            <w:pPr>
              <w:keepNext/>
              <w:keepLines/>
              <w:spacing w:before="40"/>
              <w:rPr>
                <w:rFonts w:ascii="Arial Narrow" w:hAnsi="Arial Narrow"/>
                <w:vertAlign w:val="superscript"/>
              </w:rPr>
            </w:pPr>
            <w:r w:rsidRPr="00BD57CE">
              <w:rPr>
                <w:rFonts w:ascii="Arial Narrow" w:hAnsi="Arial Narrow"/>
              </w:rPr>
              <w:t xml:space="preserve">Breakthrough bleeding – hospitalisation cost (includes administration) </w:t>
            </w:r>
            <w:r w:rsidRPr="00BD57CE">
              <w:rPr>
                <w:rFonts w:ascii="Arial Narrow" w:hAnsi="Arial Narrow"/>
                <w:vertAlign w:val="superscript"/>
              </w:rPr>
              <w:t>c</w:t>
            </w:r>
          </w:p>
        </w:tc>
        <w:tc>
          <w:tcPr>
            <w:tcW w:w="2312" w:type="dxa"/>
          </w:tcPr>
          <w:p w14:paraId="5C08B796" w14:textId="77777777" w:rsidR="00BD57CE" w:rsidRPr="003315B0" w:rsidRDefault="00BD57CE" w:rsidP="00567A5A">
            <w:pPr>
              <w:keepNext/>
              <w:keepLines/>
              <w:spacing w:before="40"/>
              <w:rPr>
                <w:rFonts w:ascii="Arial Narrow" w:hAnsi="Arial Narrow"/>
              </w:rPr>
            </w:pPr>
            <w:r w:rsidRPr="003315B0">
              <w:rPr>
                <w:rFonts w:ascii="Arial Narrow" w:hAnsi="Arial Narrow"/>
              </w:rPr>
              <w:t>$13,775</w:t>
            </w:r>
          </w:p>
        </w:tc>
        <w:tc>
          <w:tcPr>
            <w:tcW w:w="2313" w:type="dxa"/>
          </w:tcPr>
          <w:p w14:paraId="5577EF06" w14:textId="77777777" w:rsidR="00BD57CE" w:rsidRPr="003315B0" w:rsidRDefault="00BD57CE" w:rsidP="00567A5A">
            <w:pPr>
              <w:keepNext/>
              <w:keepLines/>
              <w:spacing w:before="40"/>
              <w:rPr>
                <w:rFonts w:ascii="Arial Narrow" w:hAnsi="Arial Narrow"/>
              </w:rPr>
            </w:pPr>
            <w:r w:rsidRPr="003315B0">
              <w:rPr>
                <w:rFonts w:ascii="Arial Narrow" w:hAnsi="Arial Narrow"/>
              </w:rPr>
              <w:t>$45,081</w:t>
            </w:r>
          </w:p>
        </w:tc>
      </w:tr>
      <w:tr w:rsidR="00BD57CE" w:rsidRPr="00BD57CE" w14:paraId="7156008D" w14:textId="77777777" w:rsidTr="00F022E2">
        <w:tc>
          <w:tcPr>
            <w:tcW w:w="4390" w:type="dxa"/>
          </w:tcPr>
          <w:p w14:paraId="1DB722A5" w14:textId="02253AA2" w:rsidR="00BD57CE" w:rsidRPr="00BD57CE" w:rsidRDefault="00BD57CE" w:rsidP="00567A5A">
            <w:pPr>
              <w:keepNext/>
              <w:keepLines/>
              <w:spacing w:before="40"/>
              <w:rPr>
                <w:rFonts w:ascii="Arial Narrow" w:hAnsi="Arial Narrow"/>
              </w:rPr>
            </w:pPr>
            <w:r w:rsidRPr="00BD57CE">
              <w:rPr>
                <w:rFonts w:ascii="Arial Narrow" w:hAnsi="Arial Narrow"/>
              </w:rPr>
              <w:t>Total cost</w:t>
            </w:r>
            <w:r w:rsidR="001E4F77">
              <w:rPr>
                <w:rFonts w:ascii="Arial Narrow" w:hAnsi="Arial Narrow"/>
              </w:rPr>
              <w:t xml:space="preserve"> </w:t>
            </w:r>
            <w:r w:rsidR="001E4F77" w:rsidRPr="00BD57CE">
              <w:rPr>
                <w:rFonts w:ascii="Arial Narrow" w:hAnsi="Arial Narrow"/>
              </w:rPr>
              <w:t>per patient per year</w:t>
            </w:r>
          </w:p>
        </w:tc>
        <w:tc>
          <w:tcPr>
            <w:tcW w:w="2312" w:type="dxa"/>
          </w:tcPr>
          <w:p w14:paraId="15B8DEF3" w14:textId="5EE37B8E" w:rsidR="00BD57CE" w:rsidRPr="003315B0" w:rsidRDefault="00BD57CE" w:rsidP="00567A5A">
            <w:pPr>
              <w:keepNext/>
              <w:keepLines/>
              <w:spacing w:before="40"/>
              <w:rPr>
                <w:rFonts w:ascii="Arial Narrow" w:hAnsi="Arial Narrow"/>
                <w:highlight w:val="yellow"/>
              </w:rPr>
            </w:pPr>
            <w:r w:rsidRPr="00282024">
              <w:rPr>
                <w:rFonts w:ascii="Arial Narrow" w:hAnsi="Arial Narrow"/>
              </w:rPr>
              <w:t>$</w:t>
            </w:r>
            <w:r w:rsidR="00992124" w:rsidRPr="00282024">
              <w:rPr>
                <w:rFonts w:ascii="Arial Narrow" w:hAnsi="Arial Narrow"/>
                <w:b/>
              </w:rPr>
              <w:t>redacted</w:t>
            </w:r>
          </w:p>
        </w:tc>
        <w:tc>
          <w:tcPr>
            <w:tcW w:w="2313" w:type="dxa"/>
          </w:tcPr>
          <w:p w14:paraId="704DBCEF" w14:textId="5807EA59" w:rsidR="00BD57CE" w:rsidRPr="003315B0" w:rsidRDefault="00BD57CE" w:rsidP="00567A5A">
            <w:pPr>
              <w:keepNext/>
              <w:keepLines/>
              <w:spacing w:before="40"/>
              <w:rPr>
                <w:rFonts w:ascii="Arial Narrow" w:hAnsi="Arial Narrow"/>
                <w:highlight w:val="yellow"/>
              </w:rPr>
            </w:pPr>
            <w:r w:rsidRPr="00282024">
              <w:rPr>
                <w:rFonts w:ascii="Arial Narrow" w:hAnsi="Arial Narrow"/>
              </w:rPr>
              <w:t>$</w:t>
            </w:r>
            <w:r w:rsidR="00992124" w:rsidRPr="00282024">
              <w:rPr>
                <w:rFonts w:ascii="Arial Narrow" w:hAnsi="Arial Narrow"/>
                <w:b/>
              </w:rPr>
              <w:t>redacted</w:t>
            </w:r>
          </w:p>
        </w:tc>
      </w:tr>
      <w:tr w:rsidR="004605F7" w:rsidRPr="00BD57CE" w14:paraId="7BDD696F" w14:textId="77777777" w:rsidTr="00F022E2">
        <w:tc>
          <w:tcPr>
            <w:tcW w:w="4390" w:type="dxa"/>
          </w:tcPr>
          <w:p w14:paraId="1B18BF97" w14:textId="0ECC6232" w:rsidR="004605F7" w:rsidRPr="00BD57CE" w:rsidRDefault="004605F7" w:rsidP="00567A5A">
            <w:pPr>
              <w:keepNext/>
              <w:keepLines/>
              <w:spacing w:before="40"/>
              <w:rPr>
                <w:rFonts w:ascii="Arial Narrow" w:hAnsi="Arial Narrow"/>
              </w:rPr>
            </w:pPr>
            <w:r>
              <w:rPr>
                <w:rFonts w:ascii="Arial Narrow" w:hAnsi="Arial Narrow"/>
              </w:rPr>
              <w:t>Cost per mg</w:t>
            </w:r>
          </w:p>
        </w:tc>
        <w:tc>
          <w:tcPr>
            <w:tcW w:w="2312" w:type="dxa"/>
          </w:tcPr>
          <w:p w14:paraId="1F7ACC04" w14:textId="42B64A86" w:rsidR="004605F7" w:rsidRPr="003315B0" w:rsidRDefault="004605F7" w:rsidP="00567A5A">
            <w:pPr>
              <w:keepNext/>
              <w:keepLines/>
              <w:spacing w:before="40"/>
              <w:rPr>
                <w:rFonts w:ascii="Arial Narrow" w:hAnsi="Arial Narrow"/>
                <w:highlight w:val="yellow"/>
              </w:rPr>
            </w:pPr>
            <w:r w:rsidRPr="00282024">
              <w:rPr>
                <w:rFonts w:ascii="Arial Narrow" w:hAnsi="Arial Narrow"/>
              </w:rPr>
              <w:t>$</w:t>
            </w:r>
            <w:r w:rsidR="00992124" w:rsidRPr="00282024">
              <w:rPr>
                <w:rFonts w:ascii="Arial Narrow" w:hAnsi="Arial Narrow"/>
                <w:b/>
              </w:rPr>
              <w:t>redacted</w:t>
            </w:r>
          </w:p>
        </w:tc>
        <w:tc>
          <w:tcPr>
            <w:tcW w:w="2313" w:type="dxa"/>
          </w:tcPr>
          <w:p w14:paraId="44F165DB" w14:textId="70BE394E" w:rsidR="004605F7" w:rsidRPr="003315B0" w:rsidRDefault="004605F7" w:rsidP="00567A5A">
            <w:pPr>
              <w:keepNext/>
              <w:keepLines/>
              <w:spacing w:before="40"/>
              <w:rPr>
                <w:rFonts w:ascii="Arial Narrow" w:hAnsi="Arial Narrow"/>
              </w:rPr>
            </w:pPr>
            <w:r w:rsidRPr="003315B0">
              <w:rPr>
                <w:rFonts w:ascii="Arial Narrow" w:hAnsi="Arial Narrow"/>
              </w:rPr>
              <w:t>$1</w:t>
            </w:r>
            <w:r w:rsidR="001F4DEE" w:rsidRPr="003315B0">
              <w:rPr>
                <w:rFonts w:ascii="Arial Narrow" w:hAnsi="Arial Narrow"/>
              </w:rPr>
              <w:t>,</w:t>
            </w:r>
            <w:r w:rsidRPr="003315B0">
              <w:rPr>
                <w:rFonts w:ascii="Arial Narrow" w:hAnsi="Arial Narrow"/>
              </w:rPr>
              <w:t>250.00</w:t>
            </w:r>
          </w:p>
        </w:tc>
      </w:tr>
    </w:tbl>
    <w:p w14:paraId="0B601870" w14:textId="77777777" w:rsidR="00BD57CE" w:rsidRPr="00BD57CE" w:rsidRDefault="00BD57CE" w:rsidP="00567A5A">
      <w:pPr>
        <w:keepNext/>
        <w:keepLines/>
        <w:spacing w:before="60" w:after="240"/>
        <w:contextualSpacing/>
        <w:jc w:val="both"/>
        <w:rPr>
          <w:rFonts w:ascii="Arial Narrow" w:eastAsia="Calibri" w:hAnsi="Arial Narrow" w:cs="Arial"/>
          <w:sz w:val="18"/>
          <w:szCs w:val="18"/>
        </w:rPr>
      </w:pPr>
      <w:r w:rsidRPr="00BD57CE">
        <w:rPr>
          <w:rFonts w:ascii="Arial Narrow" w:eastAsia="Calibri" w:hAnsi="Arial Narrow" w:cs="Arial"/>
          <w:sz w:val="18"/>
          <w:szCs w:val="18"/>
        </w:rPr>
        <w:t>Source: Calculated by the Department based on ESC’s specifications.</w:t>
      </w:r>
    </w:p>
    <w:p w14:paraId="438D8ED6" w14:textId="4AF4638B" w:rsidR="00DF09DA" w:rsidRPr="000B7975" w:rsidRDefault="00BD57CE" w:rsidP="00567A5A">
      <w:pPr>
        <w:keepNext/>
        <w:keepLines/>
        <w:spacing w:before="0"/>
        <w:rPr>
          <w:rStyle w:val="InstructionaltextChar"/>
          <w:rFonts w:ascii="Arial Narrow" w:eastAsia="Aptos" w:hAnsi="Arial Narrow" w:cs="Times New Roman"/>
          <w:color w:val="auto"/>
          <w:kern w:val="2"/>
          <w:sz w:val="18"/>
          <w:szCs w:val="18"/>
          <w14:ligatures w14:val="standardContextual"/>
        </w:rPr>
      </w:pPr>
      <w:r w:rsidRPr="00BD57CE">
        <w:rPr>
          <w:rFonts w:ascii="Arial Narrow" w:eastAsia="Aptos" w:hAnsi="Arial Narrow" w:cs="Times New Roman"/>
          <w:kern w:val="2"/>
          <w:sz w:val="18"/>
          <w:szCs w:val="18"/>
          <w:vertAlign w:val="superscript"/>
          <w14:ligatures w14:val="standardContextual"/>
        </w:rPr>
        <w:t xml:space="preserve">a </w:t>
      </w:r>
      <w:r w:rsidRPr="00BD57CE">
        <w:rPr>
          <w:rFonts w:ascii="Arial Narrow" w:eastAsia="Aptos" w:hAnsi="Arial Narrow" w:cs="Times New Roman"/>
          <w:kern w:val="2"/>
          <w:sz w:val="18"/>
          <w:szCs w:val="18"/>
          <w14:ligatures w14:val="standardContextual"/>
        </w:rPr>
        <w:t>No rFVIIa prophylaxis (comparator is on-demand treatment)</w:t>
      </w:r>
      <w:r w:rsidR="007C4283">
        <w:rPr>
          <w:rFonts w:ascii="Arial Narrow" w:eastAsia="Aptos" w:hAnsi="Arial Narrow" w:cs="Times New Roman"/>
          <w:kern w:val="2"/>
          <w:sz w:val="18"/>
          <w:szCs w:val="18"/>
          <w14:ligatures w14:val="standardContextual"/>
        </w:rPr>
        <w:t>.</w:t>
      </w:r>
      <w:r w:rsidRPr="00BD57CE">
        <w:rPr>
          <w:rFonts w:ascii="Arial Narrow" w:eastAsia="Aptos" w:hAnsi="Arial Narrow" w:cs="Times New Roman"/>
          <w:kern w:val="2"/>
          <w:sz w:val="18"/>
          <w:szCs w:val="18"/>
          <w14:ligatures w14:val="standardContextual"/>
        </w:rPr>
        <w:br/>
      </w:r>
      <w:r w:rsidRPr="00BD57CE">
        <w:rPr>
          <w:rFonts w:ascii="Arial Narrow" w:eastAsia="Aptos" w:hAnsi="Arial Narrow" w:cs="Times New Roman"/>
          <w:kern w:val="2"/>
          <w:sz w:val="18"/>
          <w:szCs w:val="18"/>
          <w:vertAlign w:val="superscript"/>
          <w14:ligatures w14:val="standardContextual"/>
        </w:rPr>
        <w:t xml:space="preserve">b </w:t>
      </w:r>
      <w:r w:rsidRPr="00BD57CE">
        <w:rPr>
          <w:rFonts w:ascii="Arial Narrow" w:eastAsia="Aptos" w:hAnsi="Arial Narrow" w:cs="Times New Roman"/>
          <w:kern w:val="2"/>
          <w:sz w:val="18"/>
          <w:szCs w:val="18"/>
          <w14:ligatures w14:val="standardContextual"/>
        </w:rPr>
        <w:t>Based on annualised bleed rates of 7.2 (HMBwI patients previously using on-demand treatment) and 2.2 on concizumab. Cost of treating a bleed was $</w:t>
      </w:r>
      <w:r w:rsidR="00AF077C">
        <w:rPr>
          <w:rFonts w:ascii="Arial Narrow" w:eastAsia="Aptos" w:hAnsi="Arial Narrow" w:cs="Times New Roman"/>
          <w:b/>
          <w:bCs/>
          <w:kern w:val="2"/>
          <w:sz w:val="18"/>
          <w:szCs w:val="18"/>
          <w14:ligatures w14:val="standardContextual"/>
        </w:rPr>
        <w:t>redacted</w:t>
      </w:r>
      <w:r w:rsidRPr="00BD57CE">
        <w:rPr>
          <w:rFonts w:ascii="Arial Narrow" w:eastAsia="Aptos" w:hAnsi="Arial Narrow" w:cs="Times New Roman"/>
          <w:kern w:val="2"/>
          <w:sz w:val="18"/>
          <w:szCs w:val="18"/>
          <w14:ligatures w14:val="standardContextual"/>
        </w:rPr>
        <w:t xml:space="preserve"> based on </w:t>
      </w:r>
      <w:r w:rsidR="00AF077C">
        <w:rPr>
          <w:rFonts w:ascii="Arial Narrow" w:eastAsia="Aptos" w:hAnsi="Arial Narrow" w:cs="Times New Roman"/>
          <w:b/>
          <w:bCs/>
          <w:kern w:val="2"/>
          <w:sz w:val="18"/>
          <w:szCs w:val="18"/>
          <w14:ligatures w14:val="standardContextual"/>
        </w:rPr>
        <w:t>redacted</w:t>
      </w:r>
      <w:r w:rsidR="00215868">
        <w:rPr>
          <w:rFonts w:ascii="Arial Narrow" w:eastAsia="Aptos" w:hAnsi="Arial Narrow" w:cs="Times New Roman"/>
          <w:b/>
          <w:bCs/>
          <w:kern w:val="2"/>
          <w:sz w:val="18"/>
          <w:szCs w:val="18"/>
          <w14:ligatures w14:val="standardContextual"/>
        </w:rPr>
        <w:t xml:space="preserve"> </w:t>
      </w:r>
      <w:r w:rsidRPr="00BD57CE">
        <w:rPr>
          <w:rFonts w:ascii="Arial Narrow" w:eastAsia="Aptos" w:hAnsi="Arial Narrow" w:cs="Times New Roman"/>
          <w:kern w:val="2"/>
          <w:sz w:val="18"/>
          <w:szCs w:val="18"/>
          <w14:ligatures w14:val="standardContextual"/>
        </w:rPr>
        <w:t>mg of rFVIIa per bleeding event (</w:t>
      </w:r>
      <w:r w:rsidR="00AF077C">
        <w:rPr>
          <w:rFonts w:ascii="Arial Narrow" w:eastAsia="Aptos" w:hAnsi="Arial Narrow" w:cs="Times New Roman"/>
          <w:b/>
          <w:bCs/>
          <w:kern w:val="2"/>
          <w:sz w:val="18"/>
          <w:szCs w:val="18"/>
          <w14:ligatures w14:val="standardContextual"/>
        </w:rPr>
        <w:t>redacted</w:t>
      </w:r>
      <w:r w:rsidR="00215868">
        <w:rPr>
          <w:rFonts w:ascii="Arial Narrow" w:eastAsia="Aptos" w:hAnsi="Arial Narrow" w:cs="Times New Roman"/>
          <w:b/>
          <w:bCs/>
          <w:kern w:val="2"/>
          <w:sz w:val="18"/>
          <w:szCs w:val="18"/>
          <w14:ligatures w14:val="standardContextual"/>
        </w:rPr>
        <w:t xml:space="preserve"> </w:t>
      </w:r>
      <w:r w:rsidRPr="00BD57CE">
        <w:rPr>
          <w:rFonts w:ascii="Arial Narrow" w:eastAsia="Aptos" w:hAnsi="Arial Narrow" w:cs="Times New Roman"/>
          <w:kern w:val="2"/>
          <w:sz w:val="18"/>
          <w:szCs w:val="18"/>
          <w14:ligatures w14:val="standardContextual"/>
        </w:rPr>
        <w:t xml:space="preserve">mg/kg for a </w:t>
      </w:r>
      <w:r w:rsidR="00AF077C">
        <w:rPr>
          <w:rFonts w:ascii="Arial Narrow" w:eastAsia="Aptos" w:hAnsi="Arial Narrow" w:cs="Times New Roman"/>
          <w:b/>
          <w:bCs/>
          <w:kern w:val="2"/>
          <w:sz w:val="18"/>
          <w:szCs w:val="18"/>
          <w14:ligatures w14:val="standardContextual"/>
        </w:rPr>
        <w:t>redacted</w:t>
      </w:r>
      <w:r w:rsidRPr="00BD57CE">
        <w:rPr>
          <w:rFonts w:ascii="Arial Narrow" w:eastAsia="Aptos" w:hAnsi="Arial Narrow" w:cs="Times New Roman"/>
          <w:kern w:val="2"/>
          <w:sz w:val="18"/>
          <w:szCs w:val="18"/>
          <w14:ligatures w14:val="standardContextual"/>
        </w:rPr>
        <w:t xml:space="preserve"> kg patient).</w:t>
      </w:r>
      <w:r w:rsidRPr="00BD57CE">
        <w:rPr>
          <w:rFonts w:ascii="Arial Narrow" w:eastAsia="Aptos" w:hAnsi="Arial Narrow" w:cs="Times New Roman"/>
          <w:kern w:val="2"/>
          <w:sz w:val="18"/>
          <w:szCs w:val="18"/>
          <w14:ligatures w14:val="standardContextual"/>
        </w:rPr>
        <w:br/>
      </w:r>
      <w:r w:rsidRPr="00BD57CE">
        <w:rPr>
          <w:rFonts w:ascii="Arial Narrow" w:eastAsia="Aptos" w:hAnsi="Arial Narrow" w:cs="Times New Roman"/>
          <w:kern w:val="2"/>
          <w:sz w:val="18"/>
          <w:szCs w:val="18"/>
          <w:vertAlign w:val="superscript"/>
          <w14:ligatures w14:val="standardContextual"/>
        </w:rPr>
        <w:t xml:space="preserve">c </w:t>
      </w:r>
      <w:r w:rsidRPr="00BD57CE">
        <w:rPr>
          <w:rFonts w:ascii="Arial Narrow" w:eastAsia="Aptos" w:hAnsi="Arial Narrow" w:cs="Times New Roman"/>
          <w:kern w:val="2"/>
          <w:sz w:val="18"/>
          <w:szCs w:val="18"/>
          <w14:ligatures w14:val="standardContextual"/>
        </w:rPr>
        <w:t xml:space="preserve">Hospitalisation cost of $6,261.24 per bleed. </w:t>
      </w:r>
    </w:p>
    <w:p w14:paraId="79534A99" w14:textId="3C565229" w:rsidR="00E661F8" w:rsidRDefault="00AD66CE" w:rsidP="00E661F8">
      <w:pPr>
        <w:pStyle w:val="Heading3"/>
      </w:pPr>
      <w:bookmarkStart w:id="48" w:name="_Hlk68276759"/>
      <w:r>
        <w:t>Haemophilia B without inhibitors</w:t>
      </w:r>
    </w:p>
    <w:p w14:paraId="104EAC73" w14:textId="2C2965F5" w:rsidR="008E197E" w:rsidRPr="008E197E" w:rsidRDefault="66656242" w:rsidP="008E197E">
      <w:r>
        <w:t xml:space="preserve">An overview of the CMA is provided in </w:t>
      </w:r>
      <w:r w:rsidR="008E197E">
        <w:fldChar w:fldCharType="begin"/>
      </w:r>
      <w:r w:rsidR="008E197E">
        <w:instrText xml:space="preserve"> REF _Ref215421111 \h </w:instrText>
      </w:r>
      <w:r w:rsidR="008E197E">
        <w:fldChar w:fldCharType="separate"/>
      </w:r>
      <w:r w:rsidR="00CD3B0F">
        <w:t xml:space="preserve">Table </w:t>
      </w:r>
      <w:r w:rsidR="00CD3B0F">
        <w:rPr>
          <w:noProof/>
        </w:rPr>
        <w:t>19</w:t>
      </w:r>
      <w:r w:rsidR="008E197E">
        <w:fldChar w:fldCharType="end"/>
      </w:r>
      <w:r>
        <w:t>.</w:t>
      </w:r>
      <w:r w:rsidR="28C8790D">
        <w:t xml:space="preserve"> Although the c</w:t>
      </w:r>
      <w:r w:rsidR="6E6FF6DD">
        <w:t>onclusion of the clinical claim was uncertain,</w:t>
      </w:r>
      <w:r w:rsidR="2165731B">
        <w:t xml:space="preserve"> given the small patient population</w:t>
      </w:r>
      <w:r w:rsidR="13045B21">
        <w:t xml:space="preserve"> and</w:t>
      </w:r>
      <w:r w:rsidR="2165731B">
        <w:t xml:space="preserve"> the reported patient preference for a subcutaneous treatment option</w:t>
      </w:r>
      <w:r w:rsidR="5F1023BC">
        <w:t>,</w:t>
      </w:r>
      <w:r w:rsidR="0BC066D8">
        <w:t xml:space="preserve"> </w:t>
      </w:r>
      <w:r w:rsidR="2165731B">
        <w:t>a cost minimisation approach for the analysis of HMB without inhibitors is reasonable.</w:t>
      </w:r>
      <w:r w:rsidR="3CA63631">
        <w:t xml:space="preserve"> However, if </w:t>
      </w:r>
      <w:r w:rsidR="3DC3206F">
        <w:t xml:space="preserve">bleed rates are higher with concizumab compared to FIX prophylaxis (albeit offset by patient preference), </w:t>
      </w:r>
      <w:r w:rsidR="02FC7C4E">
        <w:t>a</w:t>
      </w:r>
      <w:r w:rsidR="3DC3206F">
        <w:t xml:space="preserve"> cost-utility analysis would be more informative. </w:t>
      </w:r>
    </w:p>
    <w:p w14:paraId="6063730E" w14:textId="4B392346" w:rsidR="008E197E" w:rsidRDefault="008E197E" w:rsidP="008E197E">
      <w:pPr>
        <w:pStyle w:val="Caption"/>
      </w:pPr>
      <w:bookmarkStart w:id="49" w:name="_Ref215421111"/>
      <w:r>
        <w:t xml:space="preserve">Table </w:t>
      </w:r>
      <w:r>
        <w:fldChar w:fldCharType="begin"/>
      </w:r>
      <w:r>
        <w:instrText>SEQ Table \* ARABIC</w:instrText>
      </w:r>
      <w:r>
        <w:fldChar w:fldCharType="separate"/>
      </w:r>
      <w:r w:rsidR="00CD3B0F">
        <w:rPr>
          <w:noProof/>
        </w:rPr>
        <w:t>19</w:t>
      </w:r>
      <w:r>
        <w:fldChar w:fldCharType="end"/>
      </w:r>
      <w:bookmarkEnd w:id="49"/>
      <w:r>
        <w:tab/>
      </w:r>
      <w:r w:rsidRPr="00CE28E3">
        <w:t xml:space="preserve">Summary of the </w:t>
      </w:r>
      <w:r w:rsidR="00985DAA">
        <w:t xml:space="preserve">HMB </w:t>
      </w:r>
      <w:r w:rsidRPr="00CE28E3">
        <w:t>economic evaluation</w:t>
      </w:r>
    </w:p>
    <w:tbl>
      <w:tblPr>
        <w:tblStyle w:val="TableGrid1"/>
        <w:tblW w:w="0" w:type="auto"/>
        <w:tblLook w:val="0420" w:firstRow="1" w:lastRow="0" w:firstColumn="0" w:lastColumn="0" w:noHBand="0" w:noVBand="1"/>
        <w:tblCaption w:val="Summary of the HMB economic evaluation"/>
        <w:tblDescription w:val="Summary of the HMB economic evaluation"/>
      </w:tblPr>
      <w:tblGrid>
        <w:gridCol w:w="2972"/>
        <w:gridCol w:w="6043"/>
      </w:tblGrid>
      <w:tr w:rsidR="00E15C21" w:rsidRPr="00CE540D" w14:paraId="693B932C" w14:textId="77777777" w:rsidTr="25994664">
        <w:trPr>
          <w:cnfStyle w:val="100000000000" w:firstRow="1" w:lastRow="0" w:firstColumn="0" w:lastColumn="0" w:oddVBand="0" w:evenVBand="0" w:oddHBand="0" w:evenHBand="0" w:firstRowFirstColumn="0" w:firstRowLastColumn="0" w:lastRowFirstColumn="0" w:lastRowLastColumn="0"/>
          <w:tblHeader/>
        </w:trPr>
        <w:tc>
          <w:tcPr>
            <w:tcW w:w="2972" w:type="dxa"/>
          </w:tcPr>
          <w:p w14:paraId="1CC5496A" w14:textId="77777777" w:rsidR="00E15C21" w:rsidRPr="00CE540D" w:rsidRDefault="00E15C21" w:rsidP="00E15C21">
            <w:pPr>
              <w:pStyle w:val="TableHeading0"/>
            </w:pPr>
            <w:bookmarkStart w:id="50" w:name="Title_Table37" w:colFirst="0" w:colLast="0"/>
            <w:r w:rsidRPr="00CE540D">
              <w:t>Component</w:t>
            </w:r>
          </w:p>
        </w:tc>
        <w:tc>
          <w:tcPr>
            <w:tcW w:w="6043" w:type="dxa"/>
          </w:tcPr>
          <w:p w14:paraId="579E2699" w14:textId="77777777" w:rsidR="00E15C21" w:rsidRPr="00CE540D" w:rsidRDefault="00E15C21" w:rsidP="00E15C21">
            <w:pPr>
              <w:pStyle w:val="TableHeading0"/>
            </w:pPr>
            <w:r w:rsidRPr="00CE540D">
              <w:t>Description</w:t>
            </w:r>
          </w:p>
        </w:tc>
      </w:tr>
      <w:bookmarkEnd w:id="50"/>
      <w:tr w:rsidR="00E15C21" w:rsidRPr="00CE540D" w14:paraId="3FBE82CD" w14:textId="77777777" w:rsidTr="25994664">
        <w:tc>
          <w:tcPr>
            <w:tcW w:w="2972" w:type="dxa"/>
          </w:tcPr>
          <w:p w14:paraId="2D89E5CA" w14:textId="77777777" w:rsidR="00E15C21" w:rsidRPr="00CE540D" w:rsidRDefault="00E15C21" w:rsidP="00E15C21">
            <w:pPr>
              <w:pStyle w:val="TableText"/>
            </w:pPr>
            <w:r w:rsidRPr="00CE540D">
              <w:t>Therapeutic claim: effectiveness</w:t>
            </w:r>
          </w:p>
        </w:tc>
        <w:tc>
          <w:tcPr>
            <w:tcW w:w="6043" w:type="dxa"/>
          </w:tcPr>
          <w:p w14:paraId="1E4131F4" w14:textId="151F0E70" w:rsidR="00E15C21" w:rsidRDefault="00E44B70" w:rsidP="00E15C21">
            <w:pPr>
              <w:pStyle w:val="TableText"/>
            </w:pPr>
            <w:r>
              <w:t xml:space="preserve">The </w:t>
            </w:r>
            <w:r w:rsidR="00E15C21">
              <w:t>ADAR claim</w:t>
            </w:r>
            <w:r w:rsidR="000620FF">
              <w:t>ed</w:t>
            </w:r>
            <w:r w:rsidR="00E15C21" w:rsidRPr="00CE540D">
              <w:t xml:space="preserve"> noninferior</w:t>
            </w:r>
            <w:r w:rsidR="007D78F3">
              <w:t xml:space="preserve"> effectiveness</w:t>
            </w:r>
            <w:r w:rsidR="001F37BF">
              <w:t>.</w:t>
            </w:r>
          </w:p>
          <w:p w14:paraId="462620A0" w14:textId="42433EB8" w:rsidR="00E15C21" w:rsidRPr="00CE540D" w:rsidRDefault="55FE6530" w:rsidP="00E15C21">
            <w:pPr>
              <w:pStyle w:val="TableText"/>
            </w:pPr>
            <w:r>
              <w:t>The c</w:t>
            </w:r>
            <w:r w:rsidR="42F1572D">
              <w:t xml:space="preserve">ommentary </w:t>
            </w:r>
            <w:r w:rsidR="00E44B70">
              <w:t>consider</w:t>
            </w:r>
            <w:r w:rsidR="004F01EF">
              <w:t>ed</w:t>
            </w:r>
            <w:r w:rsidR="42F1572D">
              <w:t xml:space="preserve"> the c</w:t>
            </w:r>
            <w:r>
              <w:t>linical evidence did not meet the prespecified noninferiority margin and therefore there remains uncertainty regarding the clinical claim of noninferiority compared to FIX PPX.</w:t>
            </w:r>
          </w:p>
        </w:tc>
      </w:tr>
      <w:tr w:rsidR="00E15C21" w:rsidRPr="00CE540D" w14:paraId="0E3FEF6A" w14:textId="77777777" w:rsidTr="25994664">
        <w:tc>
          <w:tcPr>
            <w:tcW w:w="2972" w:type="dxa"/>
          </w:tcPr>
          <w:p w14:paraId="0AACC2CD" w14:textId="77777777" w:rsidR="00E15C21" w:rsidRPr="00CE540D" w:rsidRDefault="00E15C21" w:rsidP="00E15C21">
            <w:pPr>
              <w:pStyle w:val="TableText"/>
            </w:pPr>
            <w:r w:rsidRPr="00CE540D">
              <w:t>Therapeutic claim: safety</w:t>
            </w:r>
          </w:p>
        </w:tc>
        <w:tc>
          <w:tcPr>
            <w:tcW w:w="6043" w:type="dxa"/>
          </w:tcPr>
          <w:p w14:paraId="20B9DB29" w14:textId="4D4A6001" w:rsidR="00E15C21" w:rsidRDefault="00E44B70" w:rsidP="00E15C21">
            <w:pPr>
              <w:pStyle w:val="TableText"/>
            </w:pPr>
            <w:r>
              <w:t xml:space="preserve">The </w:t>
            </w:r>
            <w:r w:rsidR="007D78F3">
              <w:t>ADAR claim</w:t>
            </w:r>
            <w:r w:rsidR="000620FF">
              <w:t>ed</w:t>
            </w:r>
            <w:r w:rsidR="00E15C21" w:rsidRPr="00CE540D">
              <w:t xml:space="preserve"> noninferior</w:t>
            </w:r>
            <w:r w:rsidR="007D78F3">
              <w:t xml:space="preserve"> safety</w:t>
            </w:r>
            <w:r w:rsidR="001F37BF">
              <w:t>.</w:t>
            </w:r>
          </w:p>
          <w:p w14:paraId="15197F93" w14:textId="3951D2F1" w:rsidR="00E15C21" w:rsidRPr="00CE540D" w:rsidRDefault="0040322A" w:rsidP="00E15C21">
            <w:pPr>
              <w:pStyle w:val="TableText"/>
            </w:pPr>
            <w:r>
              <w:t>The commentary consider</w:t>
            </w:r>
            <w:r w:rsidR="004F01EF">
              <w:t>ed</w:t>
            </w:r>
            <w:r>
              <w:t xml:space="preserve"> that insufficient comparative safety evidence was presented; therefore, this claim is an assumption based on limited evidence and is uncertain.</w:t>
            </w:r>
          </w:p>
        </w:tc>
      </w:tr>
      <w:tr w:rsidR="00E15C21" w:rsidRPr="00CE540D" w14:paraId="4862D6BC" w14:textId="77777777" w:rsidTr="25994664">
        <w:tc>
          <w:tcPr>
            <w:tcW w:w="2972" w:type="dxa"/>
          </w:tcPr>
          <w:p w14:paraId="45D07426" w14:textId="77777777" w:rsidR="00E15C21" w:rsidRPr="00CE540D" w:rsidRDefault="00E15C21" w:rsidP="00E15C21">
            <w:pPr>
              <w:pStyle w:val="TableText"/>
            </w:pPr>
            <w:r w:rsidRPr="00CE540D">
              <w:t>Evidence base</w:t>
            </w:r>
          </w:p>
        </w:tc>
        <w:tc>
          <w:tcPr>
            <w:tcW w:w="6043" w:type="dxa"/>
          </w:tcPr>
          <w:p w14:paraId="72F8A870" w14:textId="55C0C30E" w:rsidR="00E15C21" w:rsidRPr="00CE540D" w:rsidRDefault="00E15C21" w:rsidP="00E15C21">
            <w:pPr>
              <w:pStyle w:val="TableText"/>
            </w:pPr>
            <w:r>
              <w:t>The clinical evidence to inform the FIX PPX comparator is an intra-patient before</w:t>
            </w:r>
            <w:r w:rsidR="00044DA4">
              <w:t>-</w:t>
            </w:r>
            <w:r>
              <w:t>and</w:t>
            </w:r>
            <w:r w:rsidR="00044DA4">
              <w:t>-</w:t>
            </w:r>
            <w:r>
              <w:t xml:space="preserve">after analysis (observational </w:t>
            </w:r>
            <w:r w:rsidR="00732689">
              <w:t>E</w:t>
            </w:r>
            <w:r>
              <w:t xml:space="preserve">xplorer6 trial and non-randomised arms of </w:t>
            </w:r>
            <w:r w:rsidR="00732689">
              <w:t>E</w:t>
            </w:r>
            <w:r>
              <w:t>xplorer8 trial</w:t>
            </w:r>
            <w:r w:rsidR="00DE5A52">
              <w:t>)</w:t>
            </w:r>
          </w:p>
        </w:tc>
      </w:tr>
      <w:tr w:rsidR="00E15C21" w:rsidRPr="00C811E8" w14:paraId="3EC049C3" w14:textId="77777777" w:rsidTr="25994664">
        <w:tc>
          <w:tcPr>
            <w:tcW w:w="2972" w:type="dxa"/>
          </w:tcPr>
          <w:p w14:paraId="12D4C27E" w14:textId="276CB1A3" w:rsidR="00E15C21" w:rsidRPr="00C811E8" w:rsidRDefault="6B9DF688" w:rsidP="00E15C21">
            <w:pPr>
              <w:pStyle w:val="TableText"/>
            </w:pPr>
            <w:r>
              <w:t>Equi-effective doses</w:t>
            </w:r>
          </w:p>
        </w:tc>
        <w:tc>
          <w:tcPr>
            <w:tcW w:w="6043" w:type="dxa"/>
          </w:tcPr>
          <w:p w14:paraId="78FEFA80" w14:textId="77777777" w:rsidR="00150631" w:rsidRPr="00C811E8" w:rsidRDefault="00E15C21" w:rsidP="00E15C21">
            <w:pPr>
              <w:pStyle w:val="TableText"/>
            </w:pPr>
            <w:r w:rsidRPr="00C811E8">
              <w:t xml:space="preserve">Concizumab 0.213 mg/kg/day  </w:t>
            </w:r>
          </w:p>
          <w:p w14:paraId="0736073C" w14:textId="68F58644" w:rsidR="00E15C21" w:rsidRPr="00C811E8" w:rsidRDefault="069CC07C" w:rsidP="00E15C21">
            <w:pPr>
              <w:pStyle w:val="TableText"/>
            </w:pPr>
            <w:r>
              <w:t>FIX replacement</w:t>
            </w:r>
            <w:r w:rsidR="3D94AAAF">
              <w:t xml:space="preserve">: </w:t>
            </w:r>
            <w:r>
              <w:t>A</w:t>
            </w:r>
            <w:r w:rsidR="3843EB60">
              <w:t>lprolix®</w:t>
            </w:r>
            <w:r>
              <w:t xml:space="preserve"> 50 IU/kg/</w:t>
            </w:r>
            <w:r w:rsidR="6C3F0AE1">
              <w:t>weekly</w:t>
            </w:r>
            <w:r w:rsidR="3D94AAAF">
              <w:t>,</w:t>
            </w:r>
            <w:r>
              <w:t xml:space="preserve"> BeneFIX</w:t>
            </w:r>
            <w:r w:rsidR="20084F2A">
              <w:t>®</w:t>
            </w:r>
            <w:r>
              <w:t xml:space="preserve"> 40 IU/kg</w:t>
            </w:r>
            <w:r w:rsidR="5949E27A">
              <w:t xml:space="preserve"> twice weekly</w:t>
            </w:r>
            <w:r>
              <w:t>, MonoFIX</w:t>
            </w:r>
            <w:r w:rsidR="5B018A54">
              <w:t>-VF</w:t>
            </w:r>
            <w:r w:rsidR="65F1DA70">
              <w:t>®</w:t>
            </w:r>
            <w:r>
              <w:t xml:space="preserve"> 32.5 IU/kg</w:t>
            </w:r>
            <w:r w:rsidR="5949E27A">
              <w:t xml:space="preserve"> twice weekly</w:t>
            </w:r>
          </w:p>
        </w:tc>
      </w:tr>
      <w:tr w:rsidR="00E15C21" w:rsidRPr="00C811E8" w14:paraId="065F7D8B" w14:textId="77777777" w:rsidTr="25994664">
        <w:tc>
          <w:tcPr>
            <w:tcW w:w="2972" w:type="dxa"/>
          </w:tcPr>
          <w:p w14:paraId="71DA83D2" w14:textId="77777777" w:rsidR="00E15C21" w:rsidRPr="00C811E8" w:rsidRDefault="00E15C21" w:rsidP="00E15C21">
            <w:pPr>
              <w:pStyle w:val="TableText"/>
            </w:pPr>
            <w:r w:rsidRPr="00C811E8">
              <w:t>Direct health technology costs</w:t>
            </w:r>
          </w:p>
        </w:tc>
        <w:tc>
          <w:tcPr>
            <w:tcW w:w="6043" w:type="dxa"/>
          </w:tcPr>
          <w:p w14:paraId="67000227" w14:textId="50312E64" w:rsidR="00E15C21" w:rsidRPr="00C811E8" w:rsidRDefault="00E15C21" w:rsidP="00E15C21">
            <w:pPr>
              <w:pStyle w:val="TableText"/>
            </w:pPr>
            <w:r w:rsidRPr="00C811E8">
              <w:t xml:space="preserve">Higher; </w:t>
            </w:r>
            <w:r w:rsidRPr="00282024">
              <w:t>$</w:t>
            </w:r>
            <w:r w:rsidR="00992124">
              <w:rPr>
                <w:b/>
              </w:rPr>
              <w:t>redacted</w:t>
            </w:r>
            <w:r w:rsidR="00150631" w:rsidRPr="00C811E8">
              <w:t>(concizumab)</w:t>
            </w:r>
            <w:r w:rsidRPr="00C811E8">
              <w:t xml:space="preserve"> v</w:t>
            </w:r>
            <w:r w:rsidR="00760613">
              <w:t>ersu</w:t>
            </w:r>
            <w:r w:rsidRPr="00C811E8">
              <w:t xml:space="preserve">s </w:t>
            </w:r>
            <w:r w:rsidRPr="00282024">
              <w:t>$</w:t>
            </w:r>
            <w:r w:rsidR="00992124">
              <w:rPr>
                <w:b/>
              </w:rPr>
              <w:t>redacted</w:t>
            </w:r>
            <w:r w:rsidR="00150631" w:rsidRPr="00C811E8">
              <w:t>(FIX)</w:t>
            </w:r>
          </w:p>
        </w:tc>
      </w:tr>
      <w:tr w:rsidR="00E15C21" w:rsidRPr="00C811E8" w14:paraId="23D33717" w14:textId="77777777" w:rsidTr="25994664">
        <w:tc>
          <w:tcPr>
            <w:tcW w:w="2972" w:type="dxa"/>
          </w:tcPr>
          <w:p w14:paraId="185FFC24" w14:textId="77777777" w:rsidR="00E15C21" w:rsidRPr="00C811E8" w:rsidRDefault="00E15C21" w:rsidP="00E15C21">
            <w:pPr>
              <w:pStyle w:val="TableText"/>
            </w:pPr>
            <w:r w:rsidRPr="00C811E8">
              <w:t>Other costs or cost offsets</w:t>
            </w:r>
          </w:p>
        </w:tc>
        <w:tc>
          <w:tcPr>
            <w:tcW w:w="6043" w:type="dxa"/>
          </w:tcPr>
          <w:p w14:paraId="35589EDC" w14:textId="1461AD60" w:rsidR="00E15C21" w:rsidRPr="00C811E8" w:rsidRDefault="00E15C21" w:rsidP="00E15C21">
            <w:pPr>
              <w:pStyle w:val="TableText"/>
            </w:pPr>
            <w:r w:rsidRPr="00C811E8">
              <w:t xml:space="preserve">Yes; cost of </w:t>
            </w:r>
            <w:r w:rsidR="00732689" w:rsidRPr="00C811E8">
              <w:t xml:space="preserve">FIX </w:t>
            </w:r>
            <w:r w:rsidRPr="00C811E8">
              <w:t xml:space="preserve">administration </w:t>
            </w:r>
          </w:p>
        </w:tc>
      </w:tr>
    </w:tbl>
    <w:p w14:paraId="0CBFF2B4" w14:textId="2E2CC4AF" w:rsidR="00AD66CE" w:rsidRPr="00C811E8" w:rsidRDefault="00DE5A52" w:rsidP="006605A0">
      <w:pPr>
        <w:pStyle w:val="Tablenotes0"/>
      </w:pPr>
      <w:r>
        <w:t xml:space="preserve">ADAR = Applicant developed assessment report; </w:t>
      </w:r>
      <w:r w:rsidR="00F80BD9">
        <w:t>FIX</w:t>
      </w:r>
      <w:r w:rsidR="00F2050B">
        <w:t xml:space="preserve"> =</w:t>
      </w:r>
      <w:r w:rsidR="00F80BD9">
        <w:t xml:space="preserve"> </w:t>
      </w:r>
      <w:r w:rsidR="5DD4C72D">
        <w:t>F</w:t>
      </w:r>
      <w:r w:rsidR="00F80BD9">
        <w:t>actor IX; IU</w:t>
      </w:r>
      <w:r w:rsidR="00F2050B">
        <w:t xml:space="preserve"> =</w:t>
      </w:r>
      <w:r w:rsidR="00F80BD9">
        <w:t xml:space="preserve"> international units; kg</w:t>
      </w:r>
      <w:r w:rsidR="00F2050B">
        <w:t xml:space="preserve"> =</w:t>
      </w:r>
      <w:r w:rsidR="00F80BD9">
        <w:t xml:space="preserve"> kilograms; mg</w:t>
      </w:r>
      <w:r w:rsidR="00F2050B">
        <w:t xml:space="preserve"> =</w:t>
      </w:r>
      <w:r w:rsidR="00F80BD9">
        <w:t xml:space="preserve"> milligrams; </w:t>
      </w:r>
      <w:bookmarkStart w:id="51" w:name="_Hlk215493494"/>
      <w:r w:rsidR="00F80BD9">
        <w:t>PPX</w:t>
      </w:r>
      <w:r w:rsidR="00F2050B">
        <w:t xml:space="preserve"> =</w:t>
      </w:r>
      <w:r w:rsidR="00F80BD9">
        <w:t xml:space="preserve"> prophylaxis</w:t>
      </w:r>
      <w:bookmarkEnd w:id="51"/>
      <w:r w:rsidR="00F80BD9">
        <w:t>.</w:t>
      </w:r>
    </w:p>
    <w:p w14:paraId="71D67EB2" w14:textId="5B16D06D" w:rsidR="00F80BD9" w:rsidRPr="00C811E8" w:rsidRDefault="00F80BD9" w:rsidP="006605A0">
      <w:pPr>
        <w:pStyle w:val="Tablenotes0"/>
      </w:pPr>
      <w:r w:rsidRPr="00C811E8">
        <w:t>Source: Table 3</w:t>
      </w:r>
      <w:r w:rsidR="006605A0" w:rsidRPr="00C811E8">
        <w:t>1</w:t>
      </w:r>
      <w:r w:rsidRPr="00C811E8">
        <w:t xml:space="preserve"> of MSAC Application 1805 in-line Commentary.</w:t>
      </w:r>
    </w:p>
    <w:p w14:paraId="2A7E7372" w14:textId="0ADBF480" w:rsidR="009C580F" w:rsidRPr="00C811E8" w:rsidRDefault="002B76DF" w:rsidP="002B76DF">
      <w:r w:rsidRPr="00C811E8">
        <w:t xml:space="preserve">The assumptions </w:t>
      </w:r>
      <w:r w:rsidR="00585BEB" w:rsidRPr="00C811E8">
        <w:t>consistent with the</w:t>
      </w:r>
      <w:r w:rsidR="009C580F" w:rsidRPr="00C811E8">
        <w:t xml:space="preserve"> HMBwI analysis</w:t>
      </w:r>
      <w:r w:rsidR="00585BEB" w:rsidRPr="00C811E8">
        <w:t xml:space="preserve"> </w:t>
      </w:r>
      <w:r w:rsidR="002039D0">
        <w:t>we</w:t>
      </w:r>
      <w:r w:rsidR="002039D0" w:rsidRPr="00C811E8">
        <w:t>re</w:t>
      </w:r>
      <w:r w:rsidR="009C580F" w:rsidRPr="00C811E8">
        <w:t>:</w:t>
      </w:r>
    </w:p>
    <w:p w14:paraId="299AD1F6" w14:textId="771E19B2" w:rsidR="00F80BD9" w:rsidRPr="00C811E8" w:rsidRDefault="009C580F" w:rsidP="00F1192D">
      <w:pPr>
        <w:pStyle w:val="ListParagraph"/>
        <w:numPr>
          <w:ilvl w:val="0"/>
          <w:numId w:val="20"/>
        </w:numPr>
      </w:pPr>
      <w:r w:rsidRPr="00C811E8">
        <w:t>A</w:t>
      </w:r>
      <w:r w:rsidR="002B76DF" w:rsidRPr="00C811E8">
        <w:t xml:space="preserve"> 100% adherence rate for both the intervention and comparator</w:t>
      </w:r>
      <w:r w:rsidR="00DE5A52" w:rsidRPr="00C811E8">
        <w:t>,</w:t>
      </w:r>
      <w:r w:rsidR="002B76DF" w:rsidRPr="00C811E8">
        <w:t xml:space="preserve"> despite </w:t>
      </w:r>
      <w:r w:rsidR="00DE5A52" w:rsidRPr="00C811E8">
        <w:t xml:space="preserve">ADAR </w:t>
      </w:r>
      <w:r w:rsidR="002B76DF" w:rsidRPr="00C811E8">
        <w:t>stat</w:t>
      </w:r>
      <w:r w:rsidR="00DE5A52" w:rsidRPr="00C811E8">
        <w:t>ement</w:t>
      </w:r>
      <w:r w:rsidR="002B76DF" w:rsidRPr="00C811E8">
        <w:t xml:space="preserve"> that treatment adherence is likely to be higher for subcutaneous concizumab compared to FIX.</w:t>
      </w:r>
    </w:p>
    <w:p w14:paraId="3575A8FC" w14:textId="062CE7C4" w:rsidR="009C580F" w:rsidRPr="00C811E8" w:rsidRDefault="009C580F" w:rsidP="00F1192D">
      <w:pPr>
        <w:pStyle w:val="ListParagraph"/>
        <w:numPr>
          <w:ilvl w:val="0"/>
          <w:numId w:val="20"/>
        </w:numPr>
      </w:pPr>
      <w:r w:rsidRPr="00C811E8">
        <w:t>Included administration costs for FIX based on an outpatient hospital setting.</w:t>
      </w:r>
    </w:p>
    <w:p w14:paraId="12E496FF" w14:textId="5173CA38" w:rsidR="009C580F" w:rsidRPr="00C811E8" w:rsidRDefault="00585BEB" w:rsidP="00585BEB">
      <w:r w:rsidRPr="00C811E8">
        <w:t xml:space="preserve">The </w:t>
      </w:r>
      <w:r w:rsidR="00401CFB" w:rsidRPr="00C811E8">
        <w:t xml:space="preserve">utilisation of FIX product, and product mix, is based on data from the </w:t>
      </w:r>
      <w:r w:rsidR="00391785" w:rsidRPr="00C811E8">
        <w:t>Australian Bleeding Disorders Registry</w:t>
      </w:r>
      <w:r w:rsidR="00D43EAF">
        <w:t xml:space="preserve"> (ABDR)</w:t>
      </w:r>
      <w:r w:rsidR="00DE5A52" w:rsidRPr="00C811E8">
        <w:t>;</w:t>
      </w:r>
      <w:r w:rsidR="000356AB" w:rsidRPr="00C811E8">
        <w:t xml:space="preserve"> however</w:t>
      </w:r>
      <w:r w:rsidR="00DE5A52" w:rsidRPr="00C811E8">
        <w:t>,</w:t>
      </w:r>
      <w:r w:rsidR="000356AB" w:rsidRPr="00C811E8">
        <w:t xml:space="preserve"> data w</w:t>
      </w:r>
      <w:r w:rsidR="00DE5A52" w:rsidRPr="00C811E8">
        <w:t>ere</w:t>
      </w:r>
      <w:r w:rsidR="000356AB" w:rsidRPr="00C811E8">
        <w:t xml:space="preserve"> only available until 2021-22 and </w:t>
      </w:r>
      <w:r w:rsidR="00DE5A52" w:rsidRPr="00C811E8">
        <w:t>were</w:t>
      </w:r>
      <w:r w:rsidR="000356AB" w:rsidRPr="00C811E8">
        <w:t xml:space="preserve"> high</w:t>
      </w:r>
      <w:r w:rsidR="00DE5A52" w:rsidRPr="00C811E8">
        <w:t>ly</w:t>
      </w:r>
      <w:r w:rsidR="000356AB" w:rsidRPr="00C811E8">
        <w:t xml:space="preserve"> variab</w:t>
      </w:r>
      <w:r w:rsidR="00DE5A52" w:rsidRPr="00C811E8">
        <w:t>le.</w:t>
      </w:r>
      <w:r w:rsidR="000356AB" w:rsidRPr="00C811E8">
        <w:t xml:space="preserve"> </w:t>
      </w:r>
      <w:r w:rsidR="00DE5A52" w:rsidRPr="00C811E8">
        <w:t>T</w:t>
      </w:r>
      <w:r w:rsidR="000356AB" w:rsidRPr="00C811E8">
        <w:t>herefore</w:t>
      </w:r>
      <w:r w:rsidR="00DE5A52" w:rsidRPr="00C811E8">
        <w:t>,</w:t>
      </w:r>
      <w:r w:rsidR="000356AB" w:rsidRPr="00C811E8">
        <w:t xml:space="preserve"> this is a source of </w:t>
      </w:r>
      <w:r w:rsidR="00DE5A52" w:rsidRPr="00C811E8">
        <w:t xml:space="preserve">uncertainty </w:t>
      </w:r>
      <w:r w:rsidR="000356AB" w:rsidRPr="00C811E8">
        <w:t xml:space="preserve">and </w:t>
      </w:r>
      <w:r w:rsidR="00DE5A52" w:rsidRPr="00C811E8">
        <w:t xml:space="preserve">is </w:t>
      </w:r>
      <w:r w:rsidR="000356AB" w:rsidRPr="00C811E8">
        <w:t>likely to change over time</w:t>
      </w:r>
      <w:r w:rsidR="00690CFE" w:rsidRPr="00C811E8">
        <w:t>, particularly as new products are introduced.</w:t>
      </w:r>
    </w:p>
    <w:p w14:paraId="5F0B6B2E" w14:textId="72D8376C" w:rsidR="00690CFE" w:rsidRDefault="00690CFE" w:rsidP="00585BEB">
      <w:r w:rsidRPr="00C811E8">
        <w:t xml:space="preserve">The total cost per year of each treatment in the ADAR base case is presented </w:t>
      </w:r>
      <w:r w:rsidR="006430A6" w:rsidRPr="00C811E8">
        <w:fldChar w:fldCharType="begin"/>
      </w:r>
      <w:r w:rsidR="006430A6" w:rsidRPr="00C811E8">
        <w:instrText xml:space="preserve"> REF _Ref215421774 \h </w:instrText>
      </w:r>
      <w:r w:rsidR="00C811E8">
        <w:instrText xml:space="preserve"> \* MERGEFORMAT </w:instrText>
      </w:r>
      <w:r w:rsidR="006430A6" w:rsidRPr="00C811E8">
        <w:fldChar w:fldCharType="separate"/>
      </w:r>
      <w:r w:rsidR="00CD3B0F">
        <w:t xml:space="preserve">Table </w:t>
      </w:r>
      <w:r w:rsidR="00CD3B0F">
        <w:rPr>
          <w:noProof/>
        </w:rPr>
        <w:t>20</w:t>
      </w:r>
      <w:r w:rsidR="006430A6" w:rsidRPr="00C811E8">
        <w:fldChar w:fldCharType="end"/>
      </w:r>
      <w:r w:rsidR="006430A6" w:rsidRPr="00C811E8">
        <w:t xml:space="preserve">. </w:t>
      </w:r>
      <w:r w:rsidRPr="00C811E8">
        <w:t xml:space="preserve">This is a cost per milligram of </w:t>
      </w:r>
      <w:r w:rsidRPr="00282024">
        <w:t>$</w:t>
      </w:r>
      <w:r w:rsidR="00992124">
        <w:rPr>
          <w:b/>
        </w:rPr>
        <w:t>redacted</w:t>
      </w:r>
      <w:r w:rsidRPr="00C811E8">
        <w:t xml:space="preserve"> for concizumab compared to </w:t>
      </w:r>
      <w:r w:rsidRPr="00282024">
        <w:t>$</w:t>
      </w:r>
      <w:r w:rsidR="00992124">
        <w:rPr>
          <w:b/>
        </w:rPr>
        <w:t>redacted</w:t>
      </w:r>
      <w:r w:rsidR="006F613A" w:rsidRPr="00C811E8">
        <w:t xml:space="preserve"> per IU</w:t>
      </w:r>
      <w:r w:rsidRPr="00C811E8">
        <w:t xml:space="preserve"> for</w:t>
      </w:r>
      <w:r>
        <w:t xml:space="preserve"> </w:t>
      </w:r>
      <w:r w:rsidR="006F613A">
        <w:t>FIX replacement</w:t>
      </w:r>
      <w:r>
        <w:t>.</w:t>
      </w:r>
    </w:p>
    <w:p w14:paraId="13A7137D" w14:textId="2D247217" w:rsidR="00E2785E" w:rsidRDefault="00E2785E" w:rsidP="00E2785E">
      <w:pPr>
        <w:pStyle w:val="Caption"/>
      </w:pPr>
      <w:bookmarkStart w:id="52" w:name="_Ref215421774"/>
      <w:r>
        <w:t xml:space="preserve">Table </w:t>
      </w:r>
      <w:r>
        <w:fldChar w:fldCharType="begin"/>
      </w:r>
      <w:r>
        <w:instrText>SEQ Table \* ARABIC</w:instrText>
      </w:r>
      <w:r>
        <w:fldChar w:fldCharType="separate"/>
      </w:r>
      <w:r w:rsidR="00CD3B0F">
        <w:rPr>
          <w:noProof/>
        </w:rPr>
        <w:t>20</w:t>
      </w:r>
      <w:r>
        <w:fldChar w:fldCharType="end"/>
      </w:r>
      <w:bookmarkEnd w:id="52"/>
      <w:r>
        <w:tab/>
        <w:t>Total cost per patient for a year of treatment</w:t>
      </w:r>
    </w:p>
    <w:tbl>
      <w:tblPr>
        <w:tblStyle w:val="TableGrid1"/>
        <w:tblW w:w="0" w:type="auto"/>
        <w:tblLook w:val="0420" w:firstRow="1" w:lastRow="0" w:firstColumn="0" w:lastColumn="0" w:noHBand="0" w:noVBand="1"/>
        <w:tblCaption w:val="Total cost per patient for a year of treatment"/>
        <w:tblDescription w:val="Total cost per patient for a year of treatment"/>
      </w:tblPr>
      <w:tblGrid>
        <w:gridCol w:w="3005"/>
        <w:gridCol w:w="3005"/>
        <w:gridCol w:w="3005"/>
      </w:tblGrid>
      <w:tr w:rsidR="00E2785E" w:rsidRPr="00C811E8" w14:paraId="1585B730" w14:textId="77777777" w:rsidTr="00E049C9">
        <w:trPr>
          <w:cnfStyle w:val="100000000000" w:firstRow="1" w:lastRow="0" w:firstColumn="0" w:lastColumn="0" w:oddVBand="0" w:evenVBand="0" w:oddHBand="0" w:evenHBand="0" w:firstRowFirstColumn="0" w:firstRowLastColumn="0" w:lastRowFirstColumn="0" w:lastRowLastColumn="0"/>
          <w:tblHeader/>
        </w:trPr>
        <w:tc>
          <w:tcPr>
            <w:tcW w:w="3005" w:type="dxa"/>
          </w:tcPr>
          <w:p w14:paraId="70D2CD9A" w14:textId="29F006B1" w:rsidR="00E2785E" w:rsidRPr="00C811E8" w:rsidRDefault="0098070C" w:rsidP="00E2785E">
            <w:pPr>
              <w:pStyle w:val="TableHeading0"/>
            </w:pPr>
            <w:r w:rsidRPr="00C811E8">
              <w:t>Item</w:t>
            </w:r>
          </w:p>
        </w:tc>
        <w:tc>
          <w:tcPr>
            <w:tcW w:w="3005" w:type="dxa"/>
          </w:tcPr>
          <w:p w14:paraId="62267821" w14:textId="77777777" w:rsidR="00E2785E" w:rsidRPr="00C811E8" w:rsidRDefault="00E2785E" w:rsidP="0098070C">
            <w:pPr>
              <w:pStyle w:val="TableHeading0"/>
              <w:jc w:val="right"/>
            </w:pPr>
            <w:r w:rsidRPr="00C811E8">
              <w:t>Concizumab</w:t>
            </w:r>
          </w:p>
        </w:tc>
        <w:tc>
          <w:tcPr>
            <w:tcW w:w="3005" w:type="dxa"/>
          </w:tcPr>
          <w:p w14:paraId="78DB70DD" w14:textId="77777777" w:rsidR="00E2785E" w:rsidRPr="00C811E8" w:rsidRDefault="00E2785E" w:rsidP="0098070C">
            <w:pPr>
              <w:pStyle w:val="TableHeading0"/>
              <w:jc w:val="right"/>
            </w:pPr>
            <w:r w:rsidRPr="00C811E8">
              <w:t>FIX replacement</w:t>
            </w:r>
          </w:p>
        </w:tc>
      </w:tr>
      <w:tr w:rsidR="00E2785E" w:rsidRPr="00C811E8" w14:paraId="416089FE" w14:textId="77777777" w:rsidTr="00E2785E">
        <w:tc>
          <w:tcPr>
            <w:tcW w:w="3005" w:type="dxa"/>
          </w:tcPr>
          <w:p w14:paraId="45D16B4D" w14:textId="77777777" w:rsidR="00E2785E" w:rsidRPr="00C811E8" w:rsidRDefault="00E2785E" w:rsidP="00E2785E">
            <w:pPr>
              <w:pStyle w:val="TableText"/>
            </w:pPr>
            <w:r w:rsidRPr="00C811E8">
              <w:t>Drug cost</w:t>
            </w:r>
          </w:p>
        </w:tc>
        <w:tc>
          <w:tcPr>
            <w:tcW w:w="3005" w:type="dxa"/>
          </w:tcPr>
          <w:p w14:paraId="0E0E5207" w14:textId="6BD312AF" w:rsidR="00E2785E" w:rsidRPr="00C811E8" w:rsidRDefault="00E2785E" w:rsidP="0098070C">
            <w:pPr>
              <w:pStyle w:val="TableText"/>
              <w:jc w:val="right"/>
            </w:pPr>
            <w:r w:rsidRPr="00282024">
              <w:t>$</w:t>
            </w:r>
            <w:r w:rsidR="00992124">
              <w:rPr>
                <w:b/>
              </w:rPr>
              <w:t>redacted</w:t>
            </w:r>
          </w:p>
        </w:tc>
        <w:tc>
          <w:tcPr>
            <w:tcW w:w="3005" w:type="dxa"/>
          </w:tcPr>
          <w:p w14:paraId="566D7CFB" w14:textId="1B80A582" w:rsidR="00E2785E" w:rsidRPr="00C811E8" w:rsidRDefault="00E2785E" w:rsidP="0098070C">
            <w:pPr>
              <w:pStyle w:val="TableText"/>
              <w:jc w:val="right"/>
            </w:pPr>
            <w:r w:rsidRPr="00282024">
              <w:t>$</w:t>
            </w:r>
            <w:r w:rsidR="00992124">
              <w:rPr>
                <w:b/>
              </w:rPr>
              <w:t>redacted</w:t>
            </w:r>
          </w:p>
        </w:tc>
      </w:tr>
      <w:tr w:rsidR="00E2785E" w:rsidRPr="00C811E8" w14:paraId="3104EDEA" w14:textId="77777777" w:rsidTr="00E2785E">
        <w:tc>
          <w:tcPr>
            <w:tcW w:w="3005" w:type="dxa"/>
          </w:tcPr>
          <w:p w14:paraId="2F9AA2D3" w14:textId="77777777" w:rsidR="00E2785E" w:rsidRPr="00C811E8" w:rsidRDefault="00E2785E" w:rsidP="00E2785E">
            <w:pPr>
              <w:pStyle w:val="TableText"/>
            </w:pPr>
            <w:r w:rsidRPr="00C811E8">
              <w:t>Administration</w:t>
            </w:r>
          </w:p>
        </w:tc>
        <w:tc>
          <w:tcPr>
            <w:tcW w:w="3005" w:type="dxa"/>
          </w:tcPr>
          <w:p w14:paraId="5A65526A" w14:textId="77777777" w:rsidR="00E2785E" w:rsidRPr="00C811E8" w:rsidRDefault="00E2785E" w:rsidP="0098070C">
            <w:pPr>
              <w:pStyle w:val="TableText"/>
              <w:jc w:val="right"/>
            </w:pPr>
            <w:r w:rsidRPr="00C811E8">
              <w:t>$0</w:t>
            </w:r>
          </w:p>
        </w:tc>
        <w:tc>
          <w:tcPr>
            <w:tcW w:w="3005" w:type="dxa"/>
          </w:tcPr>
          <w:p w14:paraId="7C179D92" w14:textId="77777777" w:rsidR="00E2785E" w:rsidRPr="00C811E8" w:rsidRDefault="00E2785E" w:rsidP="0098070C">
            <w:pPr>
              <w:pStyle w:val="TableText"/>
              <w:jc w:val="right"/>
            </w:pPr>
            <w:r w:rsidRPr="00C811E8">
              <w:t>$33,863</w:t>
            </w:r>
          </w:p>
        </w:tc>
      </w:tr>
      <w:tr w:rsidR="00E2785E" w:rsidRPr="00C811E8" w14:paraId="1B1FB666" w14:textId="77777777" w:rsidTr="00E2785E">
        <w:tc>
          <w:tcPr>
            <w:tcW w:w="3005" w:type="dxa"/>
          </w:tcPr>
          <w:p w14:paraId="2527F7DC" w14:textId="77777777" w:rsidR="00E2785E" w:rsidRPr="00C811E8" w:rsidRDefault="00E2785E" w:rsidP="00E2785E">
            <w:pPr>
              <w:pStyle w:val="TableText"/>
            </w:pPr>
            <w:r w:rsidRPr="00C811E8">
              <w:t>Total cost per patient</w:t>
            </w:r>
          </w:p>
        </w:tc>
        <w:tc>
          <w:tcPr>
            <w:tcW w:w="3005" w:type="dxa"/>
          </w:tcPr>
          <w:p w14:paraId="095C8233" w14:textId="315A2F4A" w:rsidR="00E2785E" w:rsidRPr="00C811E8" w:rsidRDefault="00E2785E" w:rsidP="0098070C">
            <w:pPr>
              <w:pStyle w:val="TableText"/>
              <w:jc w:val="right"/>
            </w:pPr>
            <w:r w:rsidRPr="00282024">
              <w:t>$</w:t>
            </w:r>
            <w:r w:rsidR="00992124">
              <w:rPr>
                <w:b/>
              </w:rPr>
              <w:t>redacted</w:t>
            </w:r>
          </w:p>
        </w:tc>
        <w:tc>
          <w:tcPr>
            <w:tcW w:w="3005" w:type="dxa"/>
          </w:tcPr>
          <w:p w14:paraId="3CFB98BF" w14:textId="6BD4F329" w:rsidR="00E2785E" w:rsidRPr="00C811E8" w:rsidRDefault="00E2785E" w:rsidP="0098070C">
            <w:pPr>
              <w:pStyle w:val="TableText"/>
              <w:jc w:val="right"/>
            </w:pPr>
            <w:r w:rsidRPr="00282024">
              <w:t>$</w:t>
            </w:r>
            <w:r w:rsidR="00992124">
              <w:rPr>
                <w:b/>
              </w:rPr>
              <w:t>redacted</w:t>
            </w:r>
          </w:p>
        </w:tc>
      </w:tr>
    </w:tbl>
    <w:p w14:paraId="0CDC92F4" w14:textId="54F09533" w:rsidR="0098070C" w:rsidRPr="00C811E8" w:rsidRDefault="0098070C" w:rsidP="00CF467B">
      <w:pPr>
        <w:pStyle w:val="Tablenotes0"/>
      </w:pPr>
      <w:r w:rsidRPr="00C811E8">
        <w:t>FIX = Factor IX.</w:t>
      </w:r>
    </w:p>
    <w:p w14:paraId="4E1CDCDE" w14:textId="3794AA6A" w:rsidR="00513329" w:rsidRPr="00C811E8" w:rsidRDefault="00513329" w:rsidP="00CF467B">
      <w:pPr>
        <w:pStyle w:val="Tablenotes0"/>
      </w:pPr>
      <w:r w:rsidRPr="00C811E8">
        <w:t>Source: Table 3</w:t>
      </w:r>
      <w:r w:rsidR="00CF467B" w:rsidRPr="00C811E8">
        <w:t>8</w:t>
      </w:r>
      <w:r w:rsidRPr="00C811E8">
        <w:t xml:space="preserve"> of MSAC Application 1805 in-line Commentary.</w:t>
      </w:r>
    </w:p>
    <w:p w14:paraId="7C7BC129" w14:textId="438DE825" w:rsidR="00731D15" w:rsidRPr="00C811E8" w:rsidRDefault="00513329" w:rsidP="00585BEB">
      <w:r w:rsidRPr="00C811E8">
        <w:t xml:space="preserve">Key drivers of the analysis were </w:t>
      </w:r>
      <w:r w:rsidR="00FA3F43" w:rsidRPr="00C811E8">
        <w:t>the price of FIX, the inclusion of administration costs for FIX</w:t>
      </w:r>
      <w:r w:rsidR="00731D15" w:rsidRPr="00C811E8">
        <w:t xml:space="preserve"> and the adherence rates for FIX compared to concizumab</w:t>
      </w:r>
      <w:r w:rsidR="00E26C1B" w:rsidRPr="00C811E8">
        <w:t xml:space="preserve"> </w:t>
      </w:r>
      <w:r w:rsidR="0039053D" w:rsidRPr="00C811E8">
        <w:t>(</w:t>
      </w:r>
      <w:r w:rsidR="00E26C1B" w:rsidRPr="00C811E8">
        <w:fldChar w:fldCharType="begin"/>
      </w:r>
      <w:r w:rsidR="00E26C1B" w:rsidRPr="00C811E8">
        <w:instrText xml:space="preserve"> REF _Ref215422701 \h </w:instrText>
      </w:r>
      <w:r w:rsidR="00C811E8">
        <w:instrText xml:space="preserve"> \* MERGEFORMAT </w:instrText>
      </w:r>
      <w:r w:rsidR="00E26C1B" w:rsidRPr="00C811E8">
        <w:fldChar w:fldCharType="separate"/>
      </w:r>
      <w:r w:rsidR="00CD3B0F" w:rsidRPr="00C811E8">
        <w:t xml:space="preserve">Table </w:t>
      </w:r>
      <w:r w:rsidR="00CD3B0F">
        <w:rPr>
          <w:noProof/>
        </w:rPr>
        <w:t>21</w:t>
      </w:r>
      <w:r w:rsidR="00E26C1B" w:rsidRPr="00C811E8">
        <w:fldChar w:fldCharType="end"/>
      </w:r>
      <w:r w:rsidR="0039053D" w:rsidRPr="00C811E8">
        <w:t>)</w:t>
      </w:r>
      <w:r w:rsidR="00731D15" w:rsidRPr="00C811E8">
        <w:t>.</w:t>
      </w:r>
    </w:p>
    <w:p w14:paraId="3496D91C" w14:textId="360FB752" w:rsidR="002F142D" w:rsidRPr="00C811E8" w:rsidRDefault="002F142D" w:rsidP="002F142D">
      <w:pPr>
        <w:pStyle w:val="Caption"/>
      </w:pPr>
      <w:bookmarkStart w:id="53" w:name="_Ref215422701"/>
      <w:r w:rsidRPr="00C811E8">
        <w:t xml:space="preserve">Table </w:t>
      </w:r>
      <w:r>
        <w:fldChar w:fldCharType="begin"/>
      </w:r>
      <w:r>
        <w:instrText>SEQ Table \* ARABIC</w:instrText>
      </w:r>
      <w:r>
        <w:fldChar w:fldCharType="separate"/>
      </w:r>
      <w:r w:rsidR="00CD3B0F">
        <w:rPr>
          <w:noProof/>
        </w:rPr>
        <w:t>21</w:t>
      </w:r>
      <w:r>
        <w:fldChar w:fldCharType="end"/>
      </w:r>
      <w:bookmarkEnd w:id="53"/>
      <w:r w:rsidRPr="00C811E8">
        <w:tab/>
        <w:t xml:space="preserve">Key drivers of the </w:t>
      </w:r>
      <w:r w:rsidR="00AF4209" w:rsidRPr="00C811E8">
        <w:t>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analysis"/>
        <w:tblDescription w:val="Key drivers of the analysis"/>
      </w:tblPr>
      <w:tblGrid>
        <w:gridCol w:w="2123"/>
        <w:gridCol w:w="4109"/>
        <w:gridCol w:w="2784"/>
      </w:tblGrid>
      <w:tr w:rsidR="00731D15" w:rsidRPr="00C811E8" w14:paraId="5C966E8A" w14:textId="77777777" w:rsidTr="2112ADDD">
        <w:trPr>
          <w:cantSplit/>
          <w:tblHeader/>
        </w:trPr>
        <w:tc>
          <w:tcPr>
            <w:tcW w:w="1177" w:type="pct"/>
            <w:tcMar>
              <w:left w:w="108" w:type="dxa"/>
              <w:right w:w="108" w:type="dxa"/>
            </w:tcMar>
          </w:tcPr>
          <w:p w14:paraId="664042C5" w14:textId="77777777" w:rsidR="00731D15" w:rsidRPr="00C811E8" w:rsidRDefault="00731D15" w:rsidP="0098070C">
            <w:pPr>
              <w:pStyle w:val="In-tableHeading"/>
            </w:pPr>
            <w:r w:rsidRPr="00C811E8">
              <w:t>Description</w:t>
            </w:r>
          </w:p>
        </w:tc>
        <w:tc>
          <w:tcPr>
            <w:tcW w:w="2279" w:type="pct"/>
            <w:tcMar>
              <w:left w:w="108" w:type="dxa"/>
              <w:right w:w="108" w:type="dxa"/>
            </w:tcMar>
          </w:tcPr>
          <w:p w14:paraId="4A4E6C96" w14:textId="77777777" w:rsidR="00731D15" w:rsidRPr="00C811E8" w:rsidRDefault="00731D15" w:rsidP="0098070C">
            <w:pPr>
              <w:pStyle w:val="In-tableHeading"/>
            </w:pPr>
            <w:r w:rsidRPr="00C811E8">
              <w:t>Method/Value</w:t>
            </w:r>
          </w:p>
        </w:tc>
        <w:tc>
          <w:tcPr>
            <w:tcW w:w="1544" w:type="pct"/>
            <w:tcMar>
              <w:left w:w="108" w:type="dxa"/>
              <w:right w:w="108" w:type="dxa"/>
            </w:tcMar>
          </w:tcPr>
          <w:p w14:paraId="3DA89B59" w14:textId="77777777" w:rsidR="00731D15" w:rsidRPr="00C811E8" w:rsidRDefault="00731D15" w:rsidP="0098070C">
            <w:pPr>
              <w:pStyle w:val="In-tableHeading"/>
            </w:pPr>
            <w:r w:rsidRPr="00C811E8">
              <w:t>Impact</w:t>
            </w:r>
          </w:p>
          <w:p w14:paraId="085C6B8B" w14:textId="63815E75" w:rsidR="00731D15" w:rsidRPr="00C811E8" w:rsidRDefault="00731D15" w:rsidP="0098070C">
            <w:pPr>
              <w:pStyle w:val="In-tableHeading"/>
              <w:spacing w:after="160"/>
            </w:pPr>
            <w:r w:rsidRPr="00C811E8">
              <w:rPr>
                <w:rFonts w:cs="Arial"/>
                <w:szCs w:val="20"/>
              </w:rPr>
              <w:t xml:space="preserve">Base case: </w:t>
            </w:r>
            <w:r w:rsidRPr="00282024">
              <w:rPr>
                <w:rFonts w:cs="Arial"/>
                <w:szCs w:val="20"/>
              </w:rPr>
              <w:t>$</w:t>
            </w:r>
            <w:r w:rsidR="00DD71CD" w:rsidRPr="00282024">
              <w:rPr>
                <w:bCs/>
              </w:rPr>
              <w:t>redacted</w:t>
            </w:r>
            <w:r w:rsidRPr="00282024">
              <w:rPr>
                <w:rFonts w:cs="Arial"/>
                <w:szCs w:val="20"/>
              </w:rPr>
              <w:t>/mg</w:t>
            </w:r>
          </w:p>
        </w:tc>
      </w:tr>
      <w:tr w:rsidR="00731D15" w:rsidRPr="00CE28E3" w14:paraId="4ECE8B13" w14:textId="77777777" w:rsidTr="2112ADDD">
        <w:trPr>
          <w:cantSplit/>
        </w:trPr>
        <w:tc>
          <w:tcPr>
            <w:tcW w:w="1177" w:type="pct"/>
            <w:tcMar>
              <w:left w:w="108" w:type="dxa"/>
              <w:right w:w="108" w:type="dxa"/>
            </w:tcMar>
          </w:tcPr>
          <w:p w14:paraId="121B8312" w14:textId="3A5E621A" w:rsidR="00731D15" w:rsidRPr="00C811E8" w:rsidRDefault="077E1216" w:rsidP="0098070C">
            <w:pPr>
              <w:pStyle w:val="TableText"/>
              <w:rPr>
                <w:lang w:val="en-US"/>
              </w:rPr>
            </w:pPr>
            <w:r w:rsidRPr="2112ADDD">
              <w:rPr>
                <w:lang w:val="en-US"/>
              </w:rPr>
              <w:t>MonoFIX</w:t>
            </w:r>
            <w:r w:rsidR="0B551094" w:rsidRPr="2112ADDD">
              <w:rPr>
                <w:lang w:val="en-US"/>
              </w:rPr>
              <w:t>-VF</w:t>
            </w:r>
            <w:r w:rsidR="0B551094">
              <w:t>®</w:t>
            </w:r>
            <w:r w:rsidRPr="2112ADDD">
              <w:rPr>
                <w:lang w:val="en-US"/>
              </w:rPr>
              <w:t xml:space="preserve"> published price used for all FIX products</w:t>
            </w:r>
          </w:p>
        </w:tc>
        <w:tc>
          <w:tcPr>
            <w:tcW w:w="2279" w:type="pct"/>
            <w:tcMar>
              <w:left w:w="108" w:type="dxa"/>
              <w:right w:w="108" w:type="dxa"/>
            </w:tcMar>
          </w:tcPr>
          <w:p w14:paraId="7DE66AF0" w14:textId="666195E4" w:rsidR="00731D15" w:rsidRPr="00C811E8" w:rsidRDefault="077E1216" w:rsidP="0098070C">
            <w:pPr>
              <w:pStyle w:val="TableText"/>
              <w:rPr>
                <w:lang w:val="en-US"/>
              </w:rPr>
            </w:pPr>
            <w:r w:rsidRPr="2112ADDD">
              <w:rPr>
                <w:lang w:val="en-US"/>
              </w:rPr>
              <w:t xml:space="preserve">The </w:t>
            </w:r>
            <w:r w:rsidR="725E4627">
              <w:t>price of MonoFIX</w:t>
            </w:r>
            <w:r w:rsidR="2F455CD5">
              <w:t>-VR</w:t>
            </w:r>
            <w:r w:rsidR="2A0590B7">
              <w:t>®</w:t>
            </w:r>
            <w:r w:rsidR="725E4627">
              <w:t xml:space="preserve"> based on the National Product Price List is</w:t>
            </w:r>
            <w:r w:rsidR="7F486DE7">
              <w:t xml:space="preserve"> $1.09 per IU</w:t>
            </w:r>
            <w:r w:rsidR="00731D15" w:rsidRPr="2112ADDD">
              <w:rPr>
                <w:lang w:val="en-US"/>
              </w:rPr>
              <w:t>.</w:t>
            </w:r>
            <w:r w:rsidR="7F486DE7" w:rsidRPr="2112ADDD">
              <w:rPr>
                <w:lang w:val="en-US"/>
              </w:rPr>
              <w:t xml:space="preserve"> </w:t>
            </w:r>
            <w:r w:rsidR="5884C95B">
              <w:t>The prices of BeneFIX</w:t>
            </w:r>
            <w:r w:rsidR="26B11DF1">
              <w:t>®</w:t>
            </w:r>
            <w:r w:rsidR="5884C95B">
              <w:t xml:space="preserve"> and A</w:t>
            </w:r>
            <w:r w:rsidR="7EAE6C32">
              <w:t>lprolix®</w:t>
            </w:r>
            <w:r w:rsidR="5884C95B">
              <w:t xml:space="preserve"> are confidential and were estimated at </w:t>
            </w:r>
            <w:r w:rsidR="4DB34A0D">
              <w:t>$1.50 per IU for A</w:t>
            </w:r>
            <w:r w:rsidR="0364E876">
              <w:t>lprolix®</w:t>
            </w:r>
            <w:r w:rsidR="4DB34A0D">
              <w:t xml:space="preserve"> and $0.85 per IU for BeneFIX</w:t>
            </w:r>
            <w:r w:rsidR="2E9DA5A0">
              <w:t>®</w:t>
            </w:r>
            <w:r w:rsidR="7DAE72F8">
              <w:t>.</w:t>
            </w:r>
          </w:p>
        </w:tc>
        <w:tc>
          <w:tcPr>
            <w:tcW w:w="1544" w:type="pct"/>
            <w:tcMar>
              <w:left w:w="108" w:type="dxa"/>
              <w:right w:w="108" w:type="dxa"/>
            </w:tcMar>
          </w:tcPr>
          <w:p w14:paraId="35EF3E97" w14:textId="03A04B8A" w:rsidR="0098070C" w:rsidRPr="00C811E8" w:rsidRDefault="00731D15" w:rsidP="0098070C">
            <w:pPr>
              <w:pStyle w:val="TableText"/>
              <w:rPr>
                <w:i/>
                <w:iCs/>
              </w:rPr>
            </w:pPr>
            <w:r w:rsidRPr="00C811E8">
              <w:rPr>
                <w:i/>
                <w:iCs/>
              </w:rPr>
              <w:t>High</w:t>
            </w:r>
          </w:p>
          <w:p w14:paraId="67158874" w14:textId="4EF1B901" w:rsidR="0098070C" w:rsidRPr="00C811E8" w:rsidRDefault="0098070C" w:rsidP="00302A7F">
            <w:pPr>
              <w:pStyle w:val="TableText"/>
              <w:spacing w:before="120"/>
              <w:rPr>
                <w:i/>
                <w:iCs/>
              </w:rPr>
            </w:pPr>
            <w:r w:rsidRPr="00C811E8">
              <w:rPr>
                <w:i/>
                <w:iCs/>
              </w:rPr>
              <w:t>F</w:t>
            </w:r>
            <w:r w:rsidR="00273C89" w:rsidRPr="00C811E8">
              <w:rPr>
                <w:i/>
                <w:iCs/>
              </w:rPr>
              <w:t>avours concizumab</w:t>
            </w:r>
          </w:p>
          <w:p w14:paraId="0BA18741" w14:textId="7511A45D" w:rsidR="00731D15" w:rsidRPr="00274635" w:rsidRDefault="00731D15" w:rsidP="2112ADDD">
            <w:pPr>
              <w:pStyle w:val="TableText"/>
              <w:spacing w:before="120"/>
              <w:rPr>
                <w:i/>
                <w:iCs/>
              </w:rPr>
            </w:pPr>
            <w:r w:rsidRPr="2112ADDD">
              <w:rPr>
                <w:i/>
                <w:iCs/>
              </w:rPr>
              <w:t xml:space="preserve">Use of </w:t>
            </w:r>
            <w:r w:rsidR="5DC653F4" w:rsidRPr="2112ADDD">
              <w:rPr>
                <w:i/>
                <w:iCs/>
              </w:rPr>
              <w:t>MonoFIX</w:t>
            </w:r>
            <w:r w:rsidR="0BD0921F" w:rsidRPr="2112ADDD">
              <w:rPr>
                <w:i/>
                <w:iCs/>
              </w:rPr>
              <w:t>-VF</w:t>
            </w:r>
            <w:r w:rsidR="388F15FD" w:rsidRPr="2112ADDD">
              <w:rPr>
                <w:i/>
                <w:iCs/>
              </w:rPr>
              <w:t>®</w:t>
            </w:r>
            <w:r w:rsidR="5DC653F4" w:rsidRPr="2112ADDD">
              <w:rPr>
                <w:i/>
                <w:iCs/>
              </w:rPr>
              <w:t xml:space="preserve"> price</w:t>
            </w:r>
            <w:r w:rsidRPr="2112ADDD">
              <w:rPr>
                <w:i/>
                <w:iCs/>
              </w:rPr>
              <w:t xml:space="preserve"> decreased the cost to </w:t>
            </w:r>
            <w:r w:rsidRPr="00282024">
              <w:rPr>
                <w:i/>
                <w:iCs/>
              </w:rPr>
              <w:t>$</w:t>
            </w:r>
            <w:r w:rsidR="00DD71CD">
              <w:rPr>
                <w:b/>
              </w:rPr>
              <w:t>redacted</w:t>
            </w:r>
            <w:r w:rsidRPr="00282024">
              <w:rPr>
                <w:i/>
                <w:iCs/>
              </w:rPr>
              <w:t>/mg.</w:t>
            </w:r>
            <w:r w:rsidRPr="2112ADDD">
              <w:rPr>
                <w:i/>
                <w:iCs/>
              </w:rPr>
              <w:t xml:space="preserve"> </w:t>
            </w:r>
          </w:p>
        </w:tc>
      </w:tr>
      <w:tr w:rsidR="00731D15" w:rsidRPr="00C811E8" w14:paraId="6EDD2046" w14:textId="77777777" w:rsidTr="2112ADDD">
        <w:trPr>
          <w:cantSplit/>
        </w:trPr>
        <w:tc>
          <w:tcPr>
            <w:tcW w:w="1177" w:type="pct"/>
            <w:tcMar>
              <w:left w:w="108" w:type="dxa"/>
              <w:right w:w="108" w:type="dxa"/>
            </w:tcMar>
          </w:tcPr>
          <w:p w14:paraId="64BA3629" w14:textId="46A7A326" w:rsidR="00731D15" w:rsidRPr="00C811E8" w:rsidRDefault="00E52062" w:rsidP="0098070C">
            <w:pPr>
              <w:pStyle w:val="TableText"/>
              <w:rPr>
                <w:lang w:val="en-US"/>
              </w:rPr>
            </w:pPr>
            <w:r w:rsidRPr="00C811E8">
              <w:rPr>
                <w:lang w:val="en-US"/>
              </w:rPr>
              <w:t>Cost of administration of FIX excluded</w:t>
            </w:r>
          </w:p>
        </w:tc>
        <w:tc>
          <w:tcPr>
            <w:tcW w:w="2279" w:type="pct"/>
            <w:tcMar>
              <w:left w:w="108" w:type="dxa"/>
              <w:right w:w="108" w:type="dxa"/>
            </w:tcMar>
          </w:tcPr>
          <w:p w14:paraId="56BCB010" w14:textId="6525F59C" w:rsidR="00731D15" w:rsidRPr="00C811E8" w:rsidRDefault="00731D15" w:rsidP="0098070C">
            <w:pPr>
              <w:pStyle w:val="TableText"/>
              <w:rPr>
                <w:lang w:val="en-US"/>
              </w:rPr>
            </w:pPr>
            <w:r w:rsidRPr="00C811E8">
              <w:rPr>
                <w:lang w:val="en-US"/>
              </w:rPr>
              <w:t xml:space="preserve">The cost of </w:t>
            </w:r>
            <w:r w:rsidR="00E52062" w:rsidRPr="00C811E8">
              <w:rPr>
                <w:lang w:val="en-US"/>
              </w:rPr>
              <w:t>administration was included and based on an outpatient hospital setting</w:t>
            </w:r>
            <w:r w:rsidRPr="00C811E8">
              <w:rPr>
                <w:lang w:val="en-US"/>
              </w:rPr>
              <w:t>.</w:t>
            </w:r>
            <w:r w:rsidR="00E52062" w:rsidRPr="00C811E8">
              <w:rPr>
                <w:lang w:val="en-US"/>
              </w:rPr>
              <w:t xml:space="preserve"> Most patients self-infuse FIX. </w:t>
            </w:r>
          </w:p>
        </w:tc>
        <w:tc>
          <w:tcPr>
            <w:tcW w:w="1544" w:type="pct"/>
            <w:tcMar>
              <w:left w:w="108" w:type="dxa"/>
              <w:right w:w="108" w:type="dxa"/>
            </w:tcMar>
          </w:tcPr>
          <w:p w14:paraId="4E49175F" w14:textId="56B3B91D" w:rsidR="0098070C" w:rsidRPr="00C811E8" w:rsidRDefault="00731D15" w:rsidP="0098070C">
            <w:pPr>
              <w:pStyle w:val="TableText"/>
              <w:rPr>
                <w:i/>
                <w:iCs/>
              </w:rPr>
            </w:pPr>
            <w:r w:rsidRPr="00C811E8">
              <w:rPr>
                <w:i/>
                <w:iCs/>
              </w:rPr>
              <w:t>High</w:t>
            </w:r>
          </w:p>
          <w:p w14:paraId="5440CD33" w14:textId="78ED5E93" w:rsidR="0098070C" w:rsidRPr="00C811E8" w:rsidRDefault="0098070C" w:rsidP="00302A7F">
            <w:pPr>
              <w:pStyle w:val="TableText"/>
              <w:spacing w:before="120"/>
              <w:rPr>
                <w:i/>
                <w:iCs/>
              </w:rPr>
            </w:pPr>
            <w:r w:rsidRPr="00C811E8">
              <w:rPr>
                <w:i/>
                <w:iCs/>
              </w:rPr>
              <w:t>F</w:t>
            </w:r>
            <w:r w:rsidR="00731D15" w:rsidRPr="00C811E8">
              <w:rPr>
                <w:i/>
                <w:iCs/>
              </w:rPr>
              <w:t>avours concizumab</w:t>
            </w:r>
          </w:p>
          <w:p w14:paraId="1FBB489B" w14:textId="40DB7946" w:rsidR="00731D15" w:rsidRPr="00C811E8" w:rsidRDefault="00983C07" w:rsidP="00484A73">
            <w:pPr>
              <w:pStyle w:val="TableText"/>
              <w:spacing w:before="120"/>
              <w:rPr>
                <w:i/>
                <w:iCs/>
              </w:rPr>
            </w:pPr>
            <w:r w:rsidRPr="00C811E8">
              <w:rPr>
                <w:i/>
                <w:iCs/>
              </w:rPr>
              <w:t xml:space="preserve">Exclusion </w:t>
            </w:r>
            <w:r w:rsidR="00731D15" w:rsidRPr="00C811E8">
              <w:rPr>
                <w:i/>
                <w:iCs/>
              </w:rPr>
              <w:t xml:space="preserve">of these costs decreased the cost to </w:t>
            </w:r>
            <w:r w:rsidR="00731D15" w:rsidRPr="00282024">
              <w:rPr>
                <w:i/>
                <w:iCs/>
              </w:rPr>
              <w:t>$</w:t>
            </w:r>
            <w:r w:rsidR="00DD71CD">
              <w:rPr>
                <w:b/>
              </w:rPr>
              <w:t>redacted</w:t>
            </w:r>
            <w:r w:rsidR="00731D15" w:rsidRPr="00282024">
              <w:rPr>
                <w:i/>
                <w:iCs/>
              </w:rPr>
              <w:t>/mg</w:t>
            </w:r>
            <w:r w:rsidR="00731D15" w:rsidRPr="00DD71CD">
              <w:rPr>
                <w:i/>
                <w:iCs/>
              </w:rPr>
              <w:t>.</w:t>
            </w:r>
            <w:r w:rsidR="00731D15" w:rsidRPr="00C811E8">
              <w:rPr>
                <w:i/>
                <w:iCs/>
              </w:rPr>
              <w:t xml:space="preserve"> </w:t>
            </w:r>
          </w:p>
        </w:tc>
      </w:tr>
      <w:tr w:rsidR="00731D15" w:rsidRPr="00C811E8" w14:paraId="08B9923D" w14:textId="77777777" w:rsidTr="2112ADDD">
        <w:trPr>
          <w:cantSplit/>
        </w:trPr>
        <w:tc>
          <w:tcPr>
            <w:tcW w:w="1177" w:type="pct"/>
            <w:tcMar>
              <w:left w:w="108" w:type="dxa"/>
              <w:right w:w="108" w:type="dxa"/>
            </w:tcMar>
          </w:tcPr>
          <w:p w14:paraId="342BFF96" w14:textId="24B0905F" w:rsidR="00731D15" w:rsidRPr="00C811E8" w:rsidRDefault="00731D15" w:rsidP="0098070C">
            <w:pPr>
              <w:pStyle w:val="TableText"/>
              <w:rPr>
                <w:lang w:val="en-US"/>
              </w:rPr>
            </w:pPr>
            <w:r w:rsidRPr="00C811E8">
              <w:rPr>
                <w:lang w:val="en-US"/>
              </w:rPr>
              <w:t xml:space="preserve">Higher adherence for concizumab compared to </w:t>
            </w:r>
            <w:r w:rsidR="00AF4209" w:rsidRPr="00C811E8">
              <w:rPr>
                <w:lang w:val="en-US"/>
              </w:rPr>
              <w:t>FIX</w:t>
            </w:r>
          </w:p>
        </w:tc>
        <w:tc>
          <w:tcPr>
            <w:tcW w:w="2279" w:type="pct"/>
            <w:tcMar>
              <w:left w:w="108" w:type="dxa"/>
              <w:right w:w="108" w:type="dxa"/>
            </w:tcMar>
          </w:tcPr>
          <w:p w14:paraId="16F8F589" w14:textId="3A9960DF" w:rsidR="00731D15" w:rsidRPr="00C811E8" w:rsidRDefault="00731D15" w:rsidP="0098070C">
            <w:pPr>
              <w:pStyle w:val="TableText"/>
              <w:rPr>
                <w:lang w:val="en-US"/>
              </w:rPr>
            </w:pPr>
            <w:r w:rsidRPr="00C811E8">
              <w:rPr>
                <w:lang w:val="en-US"/>
              </w:rPr>
              <w:t xml:space="preserve">Base case assumed 100% adherence for both treatments. However, </w:t>
            </w:r>
            <w:r w:rsidR="00AF4209" w:rsidRPr="00C811E8">
              <w:rPr>
                <w:lang w:val="en-US"/>
              </w:rPr>
              <w:t>FIX</w:t>
            </w:r>
            <w:r w:rsidRPr="00C811E8">
              <w:rPr>
                <w:lang w:val="en-US"/>
              </w:rPr>
              <w:t xml:space="preserve"> is predicted to have poorer adherence (87.2%). </w:t>
            </w:r>
          </w:p>
        </w:tc>
        <w:tc>
          <w:tcPr>
            <w:tcW w:w="1544" w:type="pct"/>
            <w:tcMar>
              <w:left w:w="108" w:type="dxa"/>
              <w:right w:w="108" w:type="dxa"/>
            </w:tcMar>
          </w:tcPr>
          <w:p w14:paraId="69D9EC47" w14:textId="334B6576" w:rsidR="0098070C" w:rsidRPr="00C811E8" w:rsidRDefault="00731D15" w:rsidP="0098070C">
            <w:pPr>
              <w:pStyle w:val="TableText"/>
              <w:rPr>
                <w:i/>
                <w:iCs/>
              </w:rPr>
            </w:pPr>
            <w:r w:rsidRPr="00C811E8">
              <w:rPr>
                <w:i/>
                <w:iCs/>
              </w:rPr>
              <w:t>High</w:t>
            </w:r>
          </w:p>
          <w:p w14:paraId="6E6FDF22" w14:textId="1F60C5B1" w:rsidR="0098070C" w:rsidRPr="00C811E8" w:rsidRDefault="0098070C" w:rsidP="00CB29F6">
            <w:pPr>
              <w:pStyle w:val="TableText"/>
              <w:spacing w:before="120"/>
              <w:rPr>
                <w:i/>
                <w:iCs/>
              </w:rPr>
            </w:pPr>
            <w:r w:rsidRPr="00C811E8">
              <w:rPr>
                <w:i/>
                <w:iCs/>
              </w:rPr>
              <w:t>F</w:t>
            </w:r>
            <w:r w:rsidR="00731D15" w:rsidRPr="00C811E8">
              <w:rPr>
                <w:i/>
                <w:iCs/>
              </w:rPr>
              <w:t>avours concizumab</w:t>
            </w:r>
          </w:p>
          <w:p w14:paraId="67F04CA7" w14:textId="3EC84513" w:rsidR="00731D15" w:rsidRPr="00C811E8" w:rsidRDefault="00731D15" w:rsidP="00CB29F6">
            <w:pPr>
              <w:pStyle w:val="TableText"/>
              <w:spacing w:before="120"/>
              <w:rPr>
                <w:i/>
                <w:iCs/>
              </w:rPr>
            </w:pPr>
            <w:r w:rsidRPr="00C811E8">
              <w:rPr>
                <w:i/>
                <w:iCs/>
              </w:rPr>
              <w:t xml:space="preserve">Different adherence rates decreased the cost to </w:t>
            </w:r>
            <w:r w:rsidRPr="00282024">
              <w:rPr>
                <w:i/>
                <w:iCs/>
              </w:rPr>
              <w:t>$</w:t>
            </w:r>
            <w:r w:rsidR="00DD71CD">
              <w:rPr>
                <w:b/>
              </w:rPr>
              <w:t>redacted</w:t>
            </w:r>
            <w:r w:rsidRPr="00282024">
              <w:rPr>
                <w:i/>
                <w:iCs/>
              </w:rPr>
              <w:t>/mg</w:t>
            </w:r>
            <w:r w:rsidRPr="00DD71CD">
              <w:rPr>
                <w:i/>
                <w:iCs/>
              </w:rPr>
              <w:t>.</w:t>
            </w:r>
          </w:p>
        </w:tc>
      </w:tr>
    </w:tbl>
    <w:p w14:paraId="1EFA0D1E" w14:textId="48C039D3" w:rsidR="00274635" w:rsidRPr="00C811E8" w:rsidRDefault="00274635" w:rsidP="00B212DA">
      <w:pPr>
        <w:pStyle w:val="Tablenotes0"/>
      </w:pPr>
      <w:r>
        <w:t>FIX</w:t>
      </w:r>
      <w:r w:rsidR="00F2050B">
        <w:t xml:space="preserve"> =</w:t>
      </w:r>
      <w:r>
        <w:t xml:space="preserve"> </w:t>
      </w:r>
      <w:r w:rsidR="68BEA5DE">
        <w:t>F</w:t>
      </w:r>
      <w:r>
        <w:t>actor IX; IU</w:t>
      </w:r>
      <w:r w:rsidR="00F2050B">
        <w:t xml:space="preserve"> =</w:t>
      </w:r>
      <w:r>
        <w:t xml:space="preserve"> international units;</w:t>
      </w:r>
      <w:r w:rsidR="00E26C1B">
        <w:t xml:space="preserve"> mg = milligrams</w:t>
      </w:r>
      <w:r>
        <w:t>.</w:t>
      </w:r>
    </w:p>
    <w:p w14:paraId="79D5F9FB" w14:textId="192AC5D6" w:rsidR="00274635" w:rsidRPr="00C811E8" w:rsidRDefault="00274635" w:rsidP="00B212DA">
      <w:pPr>
        <w:pStyle w:val="Tablenotes0"/>
      </w:pPr>
      <w:r w:rsidRPr="00C811E8">
        <w:t xml:space="preserve">Source: </w:t>
      </w:r>
      <w:r w:rsidR="008E737E" w:rsidRPr="00C811E8">
        <w:t>C</w:t>
      </w:r>
      <w:r w:rsidR="00E26C1B" w:rsidRPr="00C811E8">
        <w:t xml:space="preserve">ompiled </w:t>
      </w:r>
      <w:r w:rsidR="00B212DA" w:rsidRPr="00C811E8">
        <w:t xml:space="preserve">by commentary </w:t>
      </w:r>
      <w:r w:rsidR="00E26C1B" w:rsidRPr="00C811E8">
        <w:t>for the executive summary</w:t>
      </w:r>
      <w:r w:rsidRPr="00C811E8">
        <w:t>.</w:t>
      </w:r>
    </w:p>
    <w:p w14:paraId="71A12E25" w14:textId="240ED128" w:rsidR="00513329" w:rsidRDefault="0039053D" w:rsidP="2112ADDD">
      <w:pPr>
        <w:rPr>
          <w:lang w:eastAsia="en-AU"/>
        </w:rPr>
      </w:pPr>
      <w:r w:rsidRPr="00C811E8">
        <w:rPr>
          <w:lang w:eastAsia="en-AU"/>
        </w:rPr>
        <w:t>The results of key univariate sensitivity analyses are summarised in</w:t>
      </w:r>
      <w:r w:rsidR="000A12FD" w:rsidRPr="00C811E8">
        <w:rPr>
          <w:lang w:eastAsia="en-AU"/>
        </w:rPr>
        <w:t xml:space="preserve"> </w:t>
      </w:r>
      <w:r w:rsidR="000A12FD" w:rsidRPr="00C811E8">
        <w:rPr>
          <w:lang w:eastAsia="en-AU"/>
        </w:rPr>
        <w:fldChar w:fldCharType="begin"/>
      </w:r>
      <w:r w:rsidR="000A12FD" w:rsidRPr="00C811E8">
        <w:rPr>
          <w:lang w:eastAsia="en-AU"/>
        </w:rPr>
        <w:instrText xml:space="preserve"> REF _Ref215422977 \h </w:instrText>
      </w:r>
      <w:r w:rsidR="00C811E8">
        <w:rPr>
          <w:lang w:eastAsia="en-AU"/>
        </w:rPr>
        <w:instrText xml:space="preserve"> \* MERGEFORMAT </w:instrText>
      </w:r>
      <w:r w:rsidR="000A12FD" w:rsidRPr="00C811E8">
        <w:rPr>
          <w:lang w:eastAsia="en-AU"/>
        </w:rPr>
      </w:r>
      <w:r w:rsidR="000A12FD" w:rsidRPr="00C811E8">
        <w:rPr>
          <w:lang w:eastAsia="en-AU"/>
        </w:rPr>
        <w:fldChar w:fldCharType="separate"/>
      </w:r>
      <w:r w:rsidR="00CD3B0F">
        <w:t xml:space="preserve">Table </w:t>
      </w:r>
      <w:r w:rsidR="00CD3B0F">
        <w:rPr>
          <w:noProof/>
        </w:rPr>
        <w:t>22</w:t>
      </w:r>
      <w:r w:rsidR="000A12FD" w:rsidRPr="00C811E8">
        <w:rPr>
          <w:lang w:eastAsia="en-AU"/>
        </w:rPr>
        <w:fldChar w:fldCharType="end"/>
      </w:r>
      <w:r w:rsidR="000A12FD" w:rsidRPr="00C811E8">
        <w:rPr>
          <w:lang w:eastAsia="en-AU"/>
        </w:rPr>
        <w:t xml:space="preserve">. In a scenario analysis where all 3 </w:t>
      </w:r>
      <w:r w:rsidR="005C1EC0" w:rsidRPr="00C811E8">
        <w:rPr>
          <w:lang w:eastAsia="en-AU"/>
        </w:rPr>
        <w:t>variables are modified (MonoFIX</w:t>
      </w:r>
      <w:r w:rsidR="529D0B49" w:rsidRPr="00C811E8">
        <w:rPr>
          <w:lang w:eastAsia="en-AU"/>
        </w:rPr>
        <w:t>-VF</w:t>
      </w:r>
      <w:r w:rsidR="529D0B49">
        <w:t>®</w:t>
      </w:r>
      <w:r w:rsidR="005C1EC0" w:rsidRPr="00C811E8">
        <w:rPr>
          <w:lang w:eastAsia="en-AU"/>
        </w:rPr>
        <w:t xml:space="preserve"> price, exclu</w:t>
      </w:r>
      <w:r w:rsidR="0098070C" w:rsidRPr="00C811E8">
        <w:rPr>
          <w:lang w:eastAsia="en-AU"/>
        </w:rPr>
        <w:t>sion of</w:t>
      </w:r>
      <w:r w:rsidR="005C1EC0" w:rsidRPr="00C811E8">
        <w:rPr>
          <w:lang w:eastAsia="en-AU"/>
        </w:rPr>
        <w:t xml:space="preserve"> administration costs, variable adherence)</w:t>
      </w:r>
      <w:r w:rsidR="0098070C" w:rsidRPr="00C811E8">
        <w:rPr>
          <w:lang w:eastAsia="en-AU"/>
        </w:rPr>
        <w:t>,</w:t>
      </w:r>
      <w:r w:rsidR="005C1EC0" w:rsidRPr="00C811E8">
        <w:rPr>
          <w:lang w:eastAsia="en-AU"/>
        </w:rPr>
        <w:t xml:space="preserve"> the cost per unit of concizumab is </w:t>
      </w:r>
      <w:r w:rsidR="005C1EC0" w:rsidRPr="00282024">
        <w:rPr>
          <w:lang w:eastAsia="en-AU"/>
        </w:rPr>
        <w:t>$</w:t>
      </w:r>
      <w:r w:rsidR="009125E9">
        <w:rPr>
          <w:b/>
        </w:rPr>
        <w:t>redacted</w:t>
      </w:r>
      <w:r w:rsidR="005C1EC0" w:rsidRPr="00282024">
        <w:rPr>
          <w:lang w:eastAsia="en-AU"/>
        </w:rPr>
        <w:t>.</w:t>
      </w:r>
    </w:p>
    <w:p w14:paraId="78946BF5" w14:textId="1025D92E" w:rsidR="000A12FD" w:rsidRDefault="000A12FD" w:rsidP="00567A5A">
      <w:pPr>
        <w:pStyle w:val="Caption"/>
        <w:keepLines/>
      </w:pPr>
      <w:bookmarkStart w:id="54" w:name="_Ref215422977"/>
      <w:r>
        <w:t xml:space="preserve">Table </w:t>
      </w:r>
      <w:r>
        <w:fldChar w:fldCharType="begin"/>
      </w:r>
      <w:r>
        <w:instrText>SEQ Table \* ARABIC</w:instrText>
      </w:r>
      <w:r>
        <w:fldChar w:fldCharType="separate"/>
      </w:r>
      <w:r w:rsidR="00CD3B0F">
        <w:rPr>
          <w:noProof/>
        </w:rPr>
        <w:t>22</w:t>
      </w:r>
      <w:r>
        <w:fldChar w:fldCharType="end"/>
      </w:r>
      <w:bookmarkEnd w:id="54"/>
      <w:r>
        <w:tab/>
        <w:t>Key sensitivity analyses</w:t>
      </w:r>
    </w:p>
    <w:tbl>
      <w:tblPr>
        <w:tblStyle w:val="TableGrid"/>
        <w:tblW w:w="0" w:type="auto"/>
        <w:tblLook w:val="04A0" w:firstRow="1" w:lastRow="0" w:firstColumn="1" w:lastColumn="0" w:noHBand="0" w:noVBand="1"/>
        <w:tblCaption w:val="Key sensitivity analyses"/>
        <w:tblDescription w:val="Key sensitivity analyses"/>
      </w:tblPr>
      <w:tblGrid>
        <w:gridCol w:w="3964"/>
        <w:gridCol w:w="2526"/>
        <w:gridCol w:w="2526"/>
      </w:tblGrid>
      <w:tr w:rsidR="00667B20" w14:paraId="1BE9DCF5" w14:textId="77777777" w:rsidTr="2112ADDD">
        <w:trPr>
          <w:tblHeader/>
        </w:trPr>
        <w:tc>
          <w:tcPr>
            <w:tcW w:w="3964" w:type="dxa"/>
          </w:tcPr>
          <w:p w14:paraId="17597A3D" w14:textId="18D7C813" w:rsidR="00667B20" w:rsidRDefault="00667B20" w:rsidP="00567A5A">
            <w:pPr>
              <w:pStyle w:val="TableHeading0"/>
              <w:keepNext/>
              <w:keepLines/>
            </w:pPr>
            <w:r w:rsidRPr="009964AB">
              <w:t>Scenario</w:t>
            </w:r>
          </w:p>
        </w:tc>
        <w:tc>
          <w:tcPr>
            <w:tcW w:w="2526" w:type="dxa"/>
          </w:tcPr>
          <w:p w14:paraId="5EB33745" w14:textId="22F0756A" w:rsidR="00667B20" w:rsidRDefault="00667B20" w:rsidP="00567A5A">
            <w:pPr>
              <w:pStyle w:val="TableHeading0"/>
              <w:keepNext/>
              <w:keepLines/>
              <w:jc w:val="right"/>
            </w:pPr>
            <w:r w:rsidRPr="009964AB">
              <w:t>Cost per unit of concizumab to be cost</w:t>
            </w:r>
            <w:r w:rsidR="007B3204">
              <w:t xml:space="preserve"> </w:t>
            </w:r>
            <w:r w:rsidRPr="009964AB">
              <w:t>neutral</w:t>
            </w:r>
          </w:p>
        </w:tc>
        <w:tc>
          <w:tcPr>
            <w:tcW w:w="2526" w:type="dxa"/>
          </w:tcPr>
          <w:p w14:paraId="1C5C4C5A" w14:textId="48214D73" w:rsidR="00667B20" w:rsidRDefault="00667B20" w:rsidP="00567A5A">
            <w:pPr>
              <w:pStyle w:val="TableHeading0"/>
              <w:keepNext/>
              <w:keepLines/>
              <w:jc w:val="right"/>
            </w:pPr>
            <w:r w:rsidRPr="009964AB">
              <w:t>Change in concizumab cost per unit to base case</w:t>
            </w:r>
          </w:p>
        </w:tc>
      </w:tr>
      <w:tr w:rsidR="00667B20" w:rsidRPr="00667B20" w14:paraId="03990526" w14:textId="77777777" w:rsidTr="2112ADDD">
        <w:tc>
          <w:tcPr>
            <w:tcW w:w="3964" w:type="dxa"/>
          </w:tcPr>
          <w:p w14:paraId="75CE68AF" w14:textId="40A52146" w:rsidR="00667B20" w:rsidRPr="00667B20" w:rsidRDefault="00667B20" w:rsidP="00567A5A">
            <w:pPr>
              <w:pStyle w:val="TableText"/>
              <w:keepNext/>
              <w:keepLines/>
              <w:rPr>
                <w:b/>
                <w:bCs/>
              </w:rPr>
            </w:pPr>
            <w:r w:rsidRPr="00667B20">
              <w:rPr>
                <w:b/>
                <w:bCs/>
              </w:rPr>
              <w:t>Base case</w:t>
            </w:r>
          </w:p>
        </w:tc>
        <w:tc>
          <w:tcPr>
            <w:tcW w:w="2526" w:type="dxa"/>
          </w:tcPr>
          <w:p w14:paraId="0A92FEEF" w14:textId="677AAA8B" w:rsidR="00667B20" w:rsidRPr="000E7306" w:rsidRDefault="00667B20" w:rsidP="00567A5A">
            <w:pPr>
              <w:pStyle w:val="TableText"/>
              <w:keepNext/>
              <w:keepLines/>
              <w:jc w:val="right"/>
              <w:rPr>
                <w:b/>
                <w:bCs/>
                <w:highlight w:val="yellow"/>
              </w:rPr>
            </w:pPr>
            <w:r w:rsidRPr="00282024">
              <w:rPr>
                <w:b/>
                <w:bCs/>
              </w:rPr>
              <w:t>$</w:t>
            </w:r>
            <w:r w:rsidR="009125E9">
              <w:rPr>
                <w:b/>
              </w:rPr>
              <w:t>redacted</w:t>
            </w:r>
          </w:p>
        </w:tc>
        <w:tc>
          <w:tcPr>
            <w:tcW w:w="2526" w:type="dxa"/>
          </w:tcPr>
          <w:p w14:paraId="444AC5F4" w14:textId="0502B542" w:rsidR="00667B20" w:rsidRPr="00667B20" w:rsidRDefault="0098070C" w:rsidP="00567A5A">
            <w:pPr>
              <w:pStyle w:val="TableText"/>
              <w:keepNext/>
              <w:keepLines/>
              <w:jc w:val="right"/>
              <w:rPr>
                <w:b/>
                <w:bCs/>
              </w:rPr>
            </w:pPr>
            <w:r>
              <w:rPr>
                <w:b/>
                <w:bCs/>
              </w:rPr>
              <w:t>-</w:t>
            </w:r>
          </w:p>
        </w:tc>
      </w:tr>
      <w:tr w:rsidR="003506C2" w14:paraId="2954A1B8" w14:textId="77777777" w:rsidTr="2112ADDD">
        <w:tc>
          <w:tcPr>
            <w:tcW w:w="3964" w:type="dxa"/>
          </w:tcPr>
          <w:p w14:paraId="20673EAD" w14:textId="11772002" w:rsidR="003506C2" w:rsidRDefault="74A1FAAB" w:rsidP="00567A5A">
            <w:pPr>
              <w:pStyle w:val="TableText"/>
              <w:keepNext/>
              <w:keepLines/>
            </w:pPr>
            <w:r>
              <w:t>A</w:t>
            </w:r>
            <w:r w:rsidR="4A3F9B2F">
              <w:t>lprolix®</w:t>
            </w:r>
            <w:r>
              <w:t xml:space="preserve"> and BeneFIX</w:t>
            </w:r>
            <w:r w:rsidR="4F0D2CF0">
              <w:t>®</w:t>
            </w:r>
            <w:r>
              <w:t xml:space="preserve"> treatment costs matched to MonoFIX</w:t>
            </w:r>
            <w:r w:rsidR="09BB32E3">
              <w:t>-VF</w:t>
            </w:r>
            <w:r w:rsidR="674928CC">
              <w:t>®</w:t>
            </w:r>
            <w:r>
              <w:t xml:space="preserve"> published price</w:t>
            </w:r>
          </w:p>
        </w:tc>
        <w:tc>
          <w:tcPr>
            <w:tcW w:w="2526" w:type="dxa"/>
          </w:tcPr>
          <w:p w14:paraId="33DC2B58" w14:textId="67ED8D7B" w:rsidR="003506C2" w:rsidRPr="000E7306" w:rsidRDefault="003506C2" w:rsidP="00567A5A">
            <w:pPr>
              <w:pStyle w:val="TableText"/>
              <w:keepNext/>
              <w:keepLines/>
              <w:jc w:val="right"/>
              <w:rPr>
                <w:highlight w:val="yellow"/>
              </w:rPr>
            </w:pPr>
            <w:r w:rsidRPr="00282024">
              <w:t>$</w:t>
            </w:r>
            <w:r w:rsidR="009125E9">
              <w:rPr>
                <w:b/>
              </w:rPr>
              <w:t>redacted</w:t>
            </w:r>
          </w:p>
        </w:tc>
        <w:tc>
          <w:tcPr>
            <w:tcW w:w="2526" w:type="dxa"/>
          </w:tcPr>
          <w:p w14:paraId="2077A729" w14:textId="1F59929C" w:rsidR="003506C2" w:rsidRPr="000E7306" w:rsidRDefault="003506C2" w:rsidP="00567A5A">
            <w:pPr>
              <w:pStyle w:val="TableText"/>
              <w:keepNext/>
              <w:keepLines/>
              <w:jc w:val="right"/>
              <w:rPr>
                <w:highlight w:val="yellow"/>
              </w:rPr>
            </w:pPr>
            <w:r w:rsidRPr="00282024">
              <w:t>-$</w:t>
            </w:r>
            <w:r w:rsidR="009125E9">
              <w:rPr>
                <w:b/>
              </w:rPr>
              <w:t>redacted</w:t>
            </w:r>
          </w:p>
        </w:tc>
      </w:tr>
      <w:tr w:rsidR="00014176" w14:paraId="5F0380B3" w14:textId="77777777" w:rsidTr="2112ADDD">
        <w:tc>
          <w:tcPr>
            <w:tcW w:w="3964" w:type="dxa"/>
          </w:tcPr>
          <w:p w14:paraId="2ECCD0CF" w14:textId="5F5DC26E" w:rsidR="00014176" w:rsidRDefault="00014176" w:rsidP="00567A5A">
            <w:pPr>
              <w:pStyle w:val="TableText"/>
              <w:keepNext/>
              <w:keepLines/>
            </w:pPr>
            <w:r w:rsidRPr="00972728">
              <w:t>Administration costs excluded (self-administered)</w:t>
            </w:r>
          </w:p>
        </w:tc>
        <w:tc>
          <w:tcPr>
            <w:tcW w:w="2526" w:type="dxa"/>
          </w:tcPr>
          <w:p w14:paraId="02735B30" w14:textId="4A5A25DD" w:rsidR="00014176" w:rsidRPr="000E7306" w:rsidRDefault="00014176" w:rsidP="00567A5A">
            <w:pPr>
              <w:pStyle w:val="TableText"/>
              <w:keepNext/>
              <w:keepLines/>
              <w:jc w:val="right"/>
              <w:rPr>
                <w:highlight w:val="yellow"/>
              </w:rPr>
            </w:pPr>
            <w:r w:rsidRPr="00282024">
              <w:t>$</w:t>
            </w:r>
            <w:r w:rsidR="009125E9">
              <w:rPr>
                <w:b/>
              </w:rPr>
              <w:t>redacted</w:t>
            </w:r>
          </w:p>
        </w:tc>
        <w:tc>
          <w:tcPr>
            <w:tcW w:w="2526" w:type="dxa"/>
          </w:tcPr>
          <w:p w14:paraId="1E7DE694" w14:textId="7F6B7C27" w:rsidR="00014176" w:rsidRPr="000E7306" w:rsidRDefault="00014176" w:rsidP="00567A5A">
            <w:pPr>
              <w:pStyle w:val="TableText"/>
              <w:keepNext/>
              <w:keepLines/>
              <w:jc w:val="right"/>
              <w:rPr>
                <w:highlight w:val="yellow"/>
              </w:rPr>
            </w:pPr>
            <w:r w:rsidRPr="00282024">
              <w:t>-$</w:t>
            </w:r>
            <w:r w:rsidR="009125E9">
              <w:rPr>
                <w:b/>
              </w:rPr>
              <w:t>redacted</w:t>
            </w:r>
          </w:p>
        </w:tc>
      </w:tr>
      <w:tr w:rsidR="00014176" w14:paraId="678C458A" w14:textId="77777777" w:rsidTr="2112ADDD">
        <w:tc>
          <w:tcPr>
            <w:tcW w:w="3964" w:type="dxa"/>
          </w:tcPr>
          <w:p w14:paraId="246D4811" w14:textId="4F683657" w:rsidR="00014176" w:rsidRDefault="00014176" w:rsidP="00567A5A">
            <w:pPr>
              <w:pStyle w:val="TableText"/>
              <w:keepNext/>
              <w:keepLines/>
            </w:pPr>
            <w:r w:rsidRPr="00972728">
              <w:t>Adherence higher for concizumab (100%</w:t>
            </w:r>
            <w:r w:rsidR="0098070C">
              <w:t>;</w:t>
            </w:r>
            <w:r w:rsidRPr="00972728">
              <w:t xml:space="preserve"> 87.2%</w:t>
            </w:r>
            <w:r w:rsidR="0098070C">
              <w:t xml:space="preserve"> for</w:t>
            </w:r>
            <w:r w:rsidRPr="00972728">
              <w:t xml:space="preserve"> comparators)</w:t>
            </w:r>
          </w:p>
        </w:tc>
        <w:tc>
          <w:tcPr>
            <w:tcW w:w="2526" w:type="dxa"/>
          </w:tcPr>
          <w:p w14:paraId="0F728361" w14:textId="5986E172" w:rsidR="00014176" w:rsidRPr="000E7306" w:rsidRDefault="00014176" w:rsidP="00567A5A">
            <w:pPr>
              <w:pStyle w:val="TableText"/>
              <w:keepNext/>
              <w:keepLines/>
              <w:jc w:val="right"/>
              <w:rPr>
                <w:highlight w:val="yellow"/>
              </w:rPr>
            </w:pPr>
            <w:r w:rsidRPr="00282024">
              <w:t>$</w:t>
            </w:r>
            <w:r w:rsidR="009125E9">
              <w:rPr>
                <w:b/>
              </w:rPr>
              <w:t>redacted</w:t>
            </w:r>
          </w:p>
        </w:tc>
        <w:tc>
          <w:tcPr>
            <w:tcW w:w="2526" w:type="dxa"/>
          </w:tcPr>
          <w:p w14:paraId="3726D37D" w14:textId="2683C73B" w:rsidR="00014176" w:rsidRPr="000E7306" w:rsidRDefault="00014176" w:rsidP="00567A5A">
            <w:pPr>
              <w:pStyle w:val="TableText"/>
              <w:keepNext/>
              <w:keepLines/>
              <w:jc w:val="right"/>
              <w:rPr>
                <w:highlight w:val="yellow"/>
              </w:rPr>
            </w:pPr>
            <w:r w:rsidRPr="00282024">
              <w:t>-$</w:t>
            </w:r>
            <w:r w:rsidR="009125E9">
              <w:rPr>
                <w:b/>
              </w:rPr>
              <w:t>redacted</w:t>
            </w:r>
          </w:p>
        </w:tc>
      </w:tr>
    </w:tbl>
    <w:p w14:paraId="543C7925" w14:textId="135D43FD" w:rsidR="000A12FD" w:rsidRDefault="000A12FD" w:rsidP="00567A5A">
      <w:pPr>
        <w:pStyle w:val="Tablenotes0"/>
        <w:keepNext/>
        <w:keepLines/>
        <w:contextualSpacing w:val="0"/>
      </w:pPr>
      <w:r>
        <w:t>Source: adapted from Table 4</w:t>
      </w:r>
      <w:r w:rsidR="008561E5">
        <w:t>1</w:t>
      </w:r>
      <w:r>
        <w:t xml:space="preserve"> of MSAC Application 1805 in-line Commentary.</w:t>
      </w:r>
    </w:p>
    <w:p w14:paraId="50510E59" w14:textId="78502946" w:rsidR="00B81F08" w:rsidRPr="00567A5A" w:rsidRDefault="00B81F08" w:rsidP="00567A5A">
      <w:pPr>
        <w:pStyle w:val="Tablenotes0"/>
        <w:spacing w:before="240"/>
        <w:contextualSpacing w:val="0"/>
        <w:rPr>
          <w:rFonts w:ascii="Franklin Gothic Book" w:hAnsi="Franklin Gothic Book"/>
          <w:i/>
          <w:iCs/>
          <w:sz w:val="22"/>
        </w:rPr>
      </w:pPr>
      <w:r w:rsidRPr="004D3324">
        <w:rPr>
          <w:rFonts w:ascii="Franklin Gothic Book" w:hAnsi="Franklin Gothic Book"/>
          <w:i/>
          <w:iCs/>
          <w:sz w:val="22"/>
        </w:rPr>
        <w:t xml:space="preserve">MSAC also considered an analysis based on Table </w:t>
      </w:r>
      <w:r w:rsidR="00D455B9">
        <w:rPr>
          <w:rFonts w:ascii="Franklin Gothic Book" w:hAnsi="Franklin Gothic Book"/>
          <w:i/>
          <w:iCs/>
          <w:sz w:val="22"/>
        </w:rPr>
        <w:t>2</w:t>
      </w:r>
      <w:r w:rsidR="006901F4">
        <w:rPr>
          <w:rFonts w:ascii="Franklin Gothic Book" w:hAnsi="Franklin Gothic Book"/>
          <w:i/>
          <w:iCs/>
          <w:sz w:val="22"/>
        </w:rPr>
        <w:t>9</w:t>
      </w:r>
      <w:r w:rsidRPr="004D3324">
        <w:rPr>
          <w:rFonts w:ascii="Franklin Gothic Book" w:hAnsi="Franklin Gothic Book"/>
          <w:i/>
          <w:iCs/>
          <w:sz w:val="22"/>
        </w:rPr>
        <w:t>.</w:t>
      </w:r>
    </w:p>
    <w:p w14:paraId="25AE2BAC" w14:textId="4DCC8F38" w:rsidR="00772829" w:rsidRDefault="00772829" w:rsidP="00F1192D">
      <w:pPr>
        <w:pStyle w:val="Heading2"/>
        <w:numPr>
          <w:ilvl w:val="0"/>
          <w:numId w:val="31"/>
        </w:numPr>
        <w:ind w:left="709" w:hanging="709"/>
      </w:pPr>
      <w:bookmarkStart w:id="55" w:name="_Toc69491426"/>
      <w:bookmarkEnd w:id="48"/>
      <w:r w:rsidRPr="00CE28E3">
        <w:t>Financial/budgetary impacts</w:t>
      </w:r>
      <w:bookmarkEnd w:id="55"/>
    </w:p>
    <w:p w14:paraId="1149A46E" w14:textId="35F7FD79" w:rsidR="00332823" w:rsidRDefault="00332823" w:rsidP="00332823">
      <w:r w:rsidRPr="00CE540D">
        <w:t>A combined epidemiology and market</w:t>
      </w:r>
      <w:r w:rsidR="005B3205">
        <w:t>-</w:t>
      </w:r>
      <w:r w:rsidRPr="00CE540D">
        <w:t xml:space="preserve">share approach was used to estimate the financial impact of the proposed inclusion of concizumab in the </w:t>
      </w:r>
      <w:r w:rsidR="005B3205">
        <w:t>N</w:t>
      </w:r>
      <w:r w:rsidR="00422769">
        <w:t>P</w:t>
      </w:r>
      <w:r w:rsidR="005B3205">
        <w:t>PL</w:t>
      </w:r>
      <w:r w:rsidRPr="00CE540D">
        <w:t xml:space="preserve"> </w:t>
      </w:r>
      <w:r w:rsidR="29377295">
        <w:t xml:space="preserve">under the National Blood Agreement </w:t>
      </w:r>
      <w:r w:rsidRPr="00CE540D">
        <w:t>for the HMB</w:t>
      </w:r>
      <w:r>
        <w:t xml:space="preserve"> </w:t>
      </w:r>
      <w:r w:rsidRPr="00CE540D">
        <w:t>population.</w:t>
      </w:r>
    </w:p>
    <w:p w14:paraId="35DFB18B" w14:textId="77777777" w:rsidR="009C0C7C" w:rsidRDefault="009C0C7C" w:rsidP="009C0C7C">
      <w:pPr>
        <w:pStyle w:val="Heading3"/>
      </w:pPr>
      <w:r>
        <w:t>Haemophilia B with inhibitors</w:t>
      </w:r>
    </w:p>
    <w:p w14:paraId="1CDBC34A" w14:textId="01F333ED" w:rsidR="009C0C7C" w:rsidRPr="00C811E8" w:rsidRDefault="00977C60" w:rsidP="00332823">
      <w:r>
        <w:t xml:space="preserve">The ADAR </w:t>
      </w:r>
      <w:r w:rsidR="00756CC1">
        <w:t xml:space="preserve">reported there are currently </w:t>
      </w:r>
      <w:r w:rsidR="009125E9">
        <w:rPr>
          <w:b/>
        </w:rPr>
        <w:t>redacted</w:t>
      </w:r>
      <w:r w:rsidR="00756CC1">
        <w:t xml:space="preserve"> patients in Australia </w:t>
      </w:r>
      <w:r w:rsidR="00215587">
        <w:t xml:space="preserve">that have HMBwI and are eligible for concizumab. In the financial analysis, this </w:t>
      </w:r>
      <w:r w:rsidR="001B31D3">
        <w:t>wa</w:t>
      </w:r>
      <w:r w:rsidR="00215587">
        <w:t xml:space="preserve">s </w:t>
      </w:r>
      <w:r w:rsidR="00215587" w:rsidRPr="00C811E8">
        <w:t>assumed to remain constant over the first 6 years. The</w:t>
      </w:r>
      <w:r w:rsidR="009C4A1A">
        <w:t xml:space="preserve"> </w:t>
      </w:r>
      <w:r w:rsidR="00A01282">
        <w:t>actual number of patients is likely to vary year to year</w:t>
      </w:r>
      <w:r w:rsidR="00BA60AC">
        <w:t>,</w:t>
      </w:r>
      <w:r w:rsidR="00A01282">
        <w:t xml:space="preserve"> and the</w:t>
      </w:r>
      <w:r w:rsidR="00215587" w:rsidRPr="00C811E8">
        <w:t xml:space="preserve"> </w:t>
      </w:r>
      <w:r w:rsidR="00D616DE" w:rsidRPr="00C811E8">
        <w:t>commentary</w:t>
      </w:r>
      <w:r w:rsidR="00215587" w:rsidRPr="00C811E8">
        <w:t xml:space="preserve"> observe</w:t>
      </w:r>
      <w:r w:rsidR="006221B4">
        <w:t>d</w:t>
      </w:r>
      <w:r w:rsidR="00215587" w:rsidRPr="00C811E8">
        <w:t xml:space="preserve"> that a small change in patient numbers</w:t>
      </w:r>
      <w:r w:rsidR="00977FE0" w:rsidRPr="00C811E8">
        <w:t xml:space="preserve"> (i.e</w:t>
      </w:r>
      <w:r w:rsidR="005B3205" w:rsidRPr="00C811E8">
        <w:t>.</w:t>
      </w:r>
      <w:r w:rsidR="00977FE0" w:rsidRPr="00C811E8">
        <w:t xml:space="preserve"> the addition or loss</w:t>
      </w:r>
      <w:r w:rsidR="005B3205" w:rsidRPr="00C811E8">
        <w:t xml:space="preserve"> </w:t>
      </w:r>
      <w:r w:rsidR="00977FE0" w:rsidRPr="00C811E8">
        <w:t xml:space="preserve">of </w:t>
      </w:r>
      <w:r w:rsidR="009125E9">
        <w:rPr>
          <w:b/>
        </w:rPr>
        <w:t>redacted</w:t>
      </w:r>
      <w:r w:rsidR="005E424F">
        <w:rPr>
          <w:b/>
        </w:rPr>
        <w:t xml:space="preserve"> </w:t>
      </w:r>
      <w:r w:rsidR="00977FE0" w:rsidRPr="00C811E8">
        <w:t>patients) would impact the cost substantially.</w:t>
      </w:r>
    </w:p>
    <w:p w14:paraId="05A6BEE0" w14:textId="4996E233" w:rsidR="00614A48" w:rsidRDefault="00614A48" w:rsidP="00332823">
      <w:r w:rsidRPr="00C811E8">
        <w:t xml:space="preserve">Using the cost-neutral prices generated in the </w:t>
      </w:r>
      <w:r w:rsidR="002A1A67" w:rsidRPr="00C811E8">
        <w:t xml:space="preserve">CMA of </w:t>
      </w:r>
      <w:r w:rsidR="002A1A67" w:rsidRPr="00282024">
        <w:t>$</w:t>
      </w:r>
      <w:r w:rsidR="009125E9">
        <w:rPr>
          <w:b/>
        </w:rPr>
        <w:t>redacted</w:t>
      </w:r>
      <w:r w:rsidR="002A1A67" w:rsidRPr="00282024">
        <w:t>/mg</w:t>
      </w:r>
      <w:r w:rsidR="002A1A67" w:rsidRPr="009125E9">
        <w:t xml:space="preserve">, </w:t>
      </w:r>
      <w:r w:rsidR="002A1A67" w:rsidRPr="00C811E8">
        <w:t>t</w:t>
      </w:r>
      <w:r w:rsidRPr="00C811E8">
        <w:t xml:space="preserve">he financial implications to the </w:t>
      </w:r>
      <w:r w:rsidR="00172E22">
        <w:t>n</w:t>
      </w:r>
      <w:r w:rsidR="001D4A54">
        <w:t xml:space="preserve">ational </w:t>
      </w:r>
      <w:r w:rsidR="00172E22">
        <w:t>b</w:t>
      </w:r>
      <w:r w:rsidR="001D4A54">
        <w:t xml:space="preserve">lood </w:t>
      </w:r>
      <w:r w:rsidR="008C0BC1">
        <w:t>arrangements</w:t>
      </w:r>
      <w:r w:rsidR="008C0BC1" w:rsidRPr="00C811E8">
        <w:t xml:space="preserve"> </w:t>
      </w:r>
      <w:r w:rsidRPr="00C811E8">
        <w:t xml:space="preserve">resulting from the proposed listing of </w:t>
      </w:r>
      <w:r w:rsidR="002A1A67" w:rsidRPr="00C811E8">
        <w:t>concizumab</w:t>
      </w:r>
      <w:r w:rsidRPr="00C811E8">
        <w:t xml:space="preserve"> are summarised</w:t>
      </w:r>
      <w:r w:rsidRPr="00CE28E3">
        <w:t xml:space="preserve"> in</w:t>
      </w:r>
      <w:r w:rsidR="002A1A67">
        <w:t xml:space="preserve"> </w:t>
      </w:r>
      <w:r w:rsidR="002A1A67">
        <w:fldChar w:fldCharType="begin"/>
      </w:r>
      <w:r w:rsidR="002A1A67">
        <w:instrText xml:space="preserve"> REF _Ref215423826 \h </w:instrText>
      </w:r>
      <w:r w:rsidR="002A1A67">
        <w:fldChar w:fldCharType="separate"/>
      </w:r>
      <w:r w:rsidR="00CD3B0F" w:rsidRPr="00CE28E3">
        <w:t>Table</w:t>
      </w:r>
      <w:r w:rsidR="00CD3B0F">
        <w:t> </w:t>
      </w:r>
      <w:r w:rsidR="00CD3B0F">
        <w:rPr>
          <w:noProof/>
        </w:rPr>
        <w:t>23</w:t>
      </w:r>
      <w:r w:rsidR="002A1A67">
        <w:fldChar w:fldCharType="end"/>
      </w:r>
      <w:r w:rsidR="002A1A67">
        <w:t>.</w:t>
      </w:r>
      <w:r w:rsidR="008D61AA">
        <w:t xml:space="preserve"> This is proposed to be offset by the reduced use of </w:t>
      </w:r>
      <w:r w:rsidR="006367ED">
        <w:t>rFVIIa</w:t>
      </w:r>
      <w:r w:rsidR="006367ED" w:rsidDel="00C876E9">
        <w:t xml:space="preserve"> </w:t>
      </w:r>
      <w:r w:rsidR="006367ED">
        <w:t>for</w:t>
      </w:r>
      <w:r w:rsidR="003E5C5E">
        <w:t xml:space="preserve"> prophylaxis and on-demand treatment. </w:t>
      </w:r>
    </w:p>
    <w:p w14:paraId="6E4722D5" w14:textId="2F18BB41" w:rsidR="00977FE0" w:rsidRPr="00CE28E3" w:rsidRDefault="00977FE0" w:rsidP="00977FE0">
      <w:pPr>
        <w:pStyle w:val="Caption"/>
      </w:pPr>
      <w:bookmarkStart w:id="56" w:name="_Ref215423826"/>
      <w:r w:rsidRPr="00CE28E3">
        <w:t>Table</w:t>
      </w:r>
      <w:r>
        <w:t> </w:t>
      </w:r>
      <w:r>
        <w:fldChar w:fldCharType="begin"/>
      </w:r>
      <w:r>
        <w:instrText>SEQ Table \* ARABIC</w:instrText>
      </w:r>
      <w:r>
        <w:fldChar w:fldCharType="separate"/>
      </w:r>
      <w:r w:rsidR="00CD3B0F">
        <w:rPr>
          <w:noProof/>
        </w:rPr>
        <w:t>23</w:t>
      </w:r>
      <w:r>
        <w:fldChar w:fldCharType="end"/>
      </w:r>
      <w:bookmarkEnd w:id="56"/>
      <w:r w:rsidRPr="00CE28E3">
        <w:tab/>
        <w:t xml:space="preserve">Net financial implications of </w:t>
      </w:r>
      <w:r w:rsidR="002A1A67">
        <w:t xml:space="preserve">concizumab prophylaxis </w:t>
      </w:r>
      <w:r w:rsidR="005B3205">
        <w:t>for</w:t>
      </w:r>
      <w:r w:rsidR="005024F8">
        <w:t xml:space="preserve"> patients with</w:t>
      </w:r>
      <w:r w:rsidR="005B3205">
        <w:t xml:space="preserve"> </w:t>
      </w:r>
      <w:r w:rsidR="002A1A67">
        <w:t>HMBwI</w:t>
      </w:r>
      <w:r w:rsidRPr="00CE28E3">
        <w:t xml:space="preserve"> </w:t>
      </w:r>
    </w:p>
    <w:tbl>
      <w:tblPr>
        <w:tblW w:w="0" w:type="auto"/>
        <w:tblCellMar>
          <w:left w:w="0" w:type="dxa"/>
          <w:right w:w="0" w:type="dxa"/>
        </w:tblCellMar>
        <w:tblLook w:val="04A0" w:firstRow="1" w:lastRow="0" w:firstColumn="1" w:lastColumn="0" w:noHBand="0" w:noVBand="1"/>
        <w:tblCaption w:val="Net financial implications to the NBA of concizumab prophylaxis for HMBwI patients"/>
        <w:tblDescription w:val="Net financial implications to the NBA of concizumab prophylaxis for HMBwI patients"/>
      </w:tblPr>
      <w:tblGrid>
        <w:gridCol w:w="2040"/>
        <w:gridCol w:w="1161"/>
        <w:gridCol w:w="1161"/>
        <w:gridCol w:w="1161"/>
        <w:gridCol w:w="1161"/>
        <w:gridCol w:w="1161"/>
        <w:gridCol w:w="1161"/>
      </w:tblGrid>
      <w:tr w:rsidR="00B959AD" w:rsidRPr="00CE28E3" w14:paraId="4EF4F8DA" w14:textId="77777777" w:rsidTr="00B959AD">
        <w:trPr>
          <w:tblHead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102F1A" w14:textId="77777777" w:rsidR="00977FE0" w:rsidRPr="00CE28E3" w:rsidRDefault="00977FE0">
            <w:pPr>
              <w:pStyle w:val="TableText"/>
              <w:keepNext/>
              <w:rPr>
                <w:b/>
                <w:bCs/>
              </w:rPr>
            </w:pPr>
            <w:r>
              <w:rPr>
                <w:b/>
                <w:bCs/>
              </w:rPr>
              <w:t xml:space="preserve">Parameter </w:t>
            </w: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BDDAD" w14:textId="77777777" w:rsidR="00977FE0" w:rsidRPr="00CE28E3" w:rsidRDefault="00977FE0" w:rsidP="005B3205">
            <w:pPr>
              <w:pStyle w:val="TableText"/>
              <w:keepNext/>
              <w:jc w:val="right"/>
              <w:rPr>
                <w:b/>
                <w:bCs/>
              </w:rPr>
            </w:pPr>
            <w:r w:rsidRPr="00CE28E3">
              <w:rPr>
                <w:b/>
                <w:bCs/>
              </w:rPr>
              <w:t xml:space="preserve">Year </w:t>
            </w:r>
            <w:r>
              <w:rPr>
                <w:b/>
                <w:bCs/>
              </w:rPr>
              <w:t>2027</w:t>
            </w:r>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3F88A" w14:textId="77777777" w:rsidR="00977FE0" w:rsidRPr="00CE28E3" w:rsidRDefault="00977FE0" w:rsidP="005B3205">
            <w:pPr>
              <w:pStyle w:val="TableText"/>
              <w:keepNext/>
              <w:jc w:val="right"/>
              <w:rPr>
                <w:b/>
                <w:bCs/>
              </w:rPr>
            </w:pPr>
            <w:r w:rsidRPr="00CE28E3">
              <w:rPr>
                <w:b/>
                <w:bCs/>
              </w:rPr>
              <w:t xml:space="preserve">Year </w:t>
            </w:r>
            <w:r>
              <w:rPr>
                <w:b/>
                <w:bCs/>
              </w:rPr>
              <w:t>2028</w:t>
            </w:r>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26C93" w14:textId="77777777" w:rsidR="00977FE0" w:rsidRPr="00CE28E3" w:rsidRDefault="00977FE0" w:rsidP="005B3205">
            <w:pPr>
              <w:pStyle w:val="TableText"/>
              <w:keepNext/>
              <w:jc w:val="right"/>
              <w:rPr>
                <w:b/>
                <w:bCs/>
              </w:rPr>
            </w:pPr>
            <w:r w:rsidRPr="00CE28E3">
              <w:rPr>
                <w:b/>
                <w:bCs/>
              </w:rPr>
              <w:t xml:space="preserve">Year </w:t>
            </w:r>
            <w:r>
              <w:rPr>
                <w:b/>
                <w:bCs/>
              </w:rPr>
              <w:t>2029</w:t>
            </w:r>
          </w:p>
        </w:tc>
        <w:tc>
          <w:tcPr>
            <w:tcW w:w="11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BFDD9" w14:textId="77777777" w:rsidR="00977FE0" w:rsidRPr="00CE28E3" w:rsidRDefault="00977FE0" w:rsidP="005B3205">
            <w:pPr>
              <w:pStyle w:val="TableText"/>
              <w:keepNext/>
              <w:jc w:val="right"/>
              <w:rPr>
                <w:b/>
                <w:bCs/>
              </w:rPr>
            </w:pPr>
            <w:r w:rsidRPr="00CE28E3">
              <w:rPr>
                <w:b/>
                <w:bCs/>
              </w:rPr>
              <w:t xml:space="preserve">Year </w:t>
            </w:r>
            <w:r>
              <w:rPr>
                <w:b/>
                <w:bCs/>
              </w:rPr>
              <w:t>2030</w:t>
            </w:r>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963B62" w14:textId="77777777" w:rsidR="00977FE0" w:rsidRPr="00CE28E3" w:rsidRDefault="00977FE0" w:rsidP="005B3205">
            <w:pPr>
              <w:pStyle w:val="TableText"/>
              <w:keepNext/>
              <w:jc w:val="right"/>
              <w:rPr>
                <w:b/>
                <w:bCs/>
              </w:rPr>
            </w:pPr>
            <w:r w:rsidRPr="00CE28E3">
              <w:rPr>
                <w:b/>
                <w:bCs/>
              </w:rPr>
              <w:t xml:space="preserve">Year </w:t>
            </w:r>
            <w:r>
              <w:rPr>
                <w:b/>
                <w:bCs/>
              </w:rPr>
              <w:t>2031</w:t>
            </w:r>
          </w:p>
        </w:tc>
        <w:tc>
          <w:tcPr>
            <w:tcW w:w="11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0F85D" w14:textId="77777777" w:rsidR="00977FE0" w:rsidRPr="00CE28E3" w:rsidRDefault="00977FE0" w:rsidP="005B3205">
            <w:pPr>
              <w:pStyle w:val="TableText"/>
              <w:keepNext/>
              <w:jc w:val="right"/>
              <w:rPr>
                <w:b/>
                <w:bCs/>
              </w:rPr>
            </w:pPr>
            <w:r w:rsidRPr="00CE28E3">
              <w:rPr>
                <w:b/>
                <w:bCs/>
              </w:rPr>
              <w:t xml:space="preserve">Year </w:t>
            </w:r>
            <w:r>
              <w:rPr>
                <w:b/>
                <w:bCs/>
              </w:rPr>
              <w:t>2032</w:t>
            </w:r>
          </w:p>
        </w:tc>
      </w:tr>
      <w:tr w:rsidR="008A5AC6" w:rsidRPr="00CE28E3" w14:paraId="3A274A33" w14:textId="77777777" w:rsidTr="00B959AD">
        <w:trPr>
          <w:tblHeader/>
        </w:trPr>
        <w:tc>
          <w:tcPr>
            <w:tcW w:w="2258" w:type="dxa"/>
            <w:tcBorders>
              <w:top w:val="single" w:sz="8" w:space="0" w:color="auto"/>
              <w:left w:val="single" w:sz="8" w:space="0" w:color="auto"/>
              <w:bottom w:val="single" w:sz="8" w:space="0" w:color="auto"/>
            </w:tcBorders>
            <w:tcMar>
              <w:top w:w="0" w:type="dxa"/>
              <w:left w:w="108" w:type="dxa"/>
              <w:bottom w:w="0" w:type="dxa"/>
              <w:right w:w="108" w:type="dxa"/>
            </w:tcMar>
          </w:tcPr>
          <w:p w14:paraId="4EE061C8" w14:textId="0203FE7C" w:rsidR="008A5AC6" w:rsidRDefault="008A5AC6">
            <w:pPr>
              <w:pStyle w:val="TableText"/>
              <w:keepNext/>
              <w:rPr>
                <w:b/>
                <w:bCs/>
              </w:rPr>
            </w:pPr>
            <w:r w:rsidRPr="00CE28E3">
              <w:rPr>
                <w:b/>
                <w:bCs/>
              </w:rPr>
              <w:t>Estimated use and cost of the proposed health technology</w:t>
            </w:r>
          </w:p>
        </w:tc>
        <w:tc>
          <w:tcPr>
            <w:tcW w:w="1124" w:type="dxa"/>
            <w:tcBorders>
              <w:top w:val="single" w:sz="8" w:space="0" w:color="auto"/>
              <w:bottom w:val="single" w:sz="8" w:space="0" w:color="auto"/>
            </w:tcBorders>
            <w:tcMar>
              <w:top w:w="0" w:type="dxa"/>
              <w:left w:w="108" w:type="dxa"/>
              <w:bottom w:w="0" w:type="dxa"/>
              <w:right w:w="108" w:type="dxa"/>
            </w:tcMar>
          </w:tcPr>
          <w:p w14:paraId="111411D2" w14:textId="77777777" w:rsidR="008A5AC6" w:rsidRPr="00CE28E3" w:rsidRDefault="008A5AC6" w:rsidP="005B3205">
            <w:pPr>
              <w:pStyle w:val="TableText"/>
              <w:keepNext/>
              <w:jc w:val="right"/>
              <w:rPr>
                <w:b/>
                <w:bCs/>
              </w:rPr>
            </w:pPr>
          </w:p>
        </w:tc>
        <w:tc>
          <w:tcPr>
            <w:tcW w:w="1125" w:type="dxa"/>
            <w:tcBorders>
              <w:top w:val="single" w:sz="8" w:space="0" w:color="auto"/>
              <w:bottom w:val="single" w:sz="8" w:space="0" w:color="auto"/>
            </w:tcBorders>
            <w:tcMar>
              <w:top w:w="0" w:type="dxa"/>
              <w:left w:w="108" w:type="dxa"/>
              <w:bottom w:w="0" w:type="dxa"/>
              <w:right w:w="108" w:type="dxa"/>
            </w:tcMar>
          </w:tcPr>
          <w:p w14:paraId="49FC68CD" w14:textId="77777777" w:rsidR="008A5AC6" w:rsidRPr="00CE28E3" w:rsidRDefault="008A5AC6" w:rsidP="005B3205">
            <w:pPr>
              <w:pStyle w:val="TableText"/>
              <w:keepNext/>
              <w:jc w:val="right"/>
              <w:rPr>
                <w:b/>
                <w:bCs/>
              </w:rPr>
            </w:pPr>
          </w:p>
        </w:tc>
        <w:tc>
          <w:tcPr>
            <w:tcW w:w="1125" w:type="dxa"/>
            <w:tcBorders>
              <w:top w:val="single" w:sz="8" w:space="0" w:color="auto"/>
              <w:bottom w:val="single" w:sz="8" w:space="0" w:color="auto"/>
            </w:tcBorders>
            <w:tcMar>
              <w:top w:w="0" w:type="dxa"/>
              <w:left w:w="108" w:type="dxa"/>
              <w:bottom w:w="0" w:type="dxa"/>
              <w:right w:w="108" w:type="dxa"/>
            </w:tcMar>
          </w:tcPr>
          <w:p w14:paraId="734D4D32" w14:textId="77777777" w:rsidR="008A5AC6" w:rsidRPr="00CE28E3" w:rsidRDefault="008A5AC6" w:rsidP="005B3205">
            <w:pPr>
              <w:pStyle w:val="TableText"/>
              <w:keepNext/>
              <w:jc w:val="right"/>
              <w:rPr>
                <w:b/>
                <w:bCs/>
              </w:rPr>
            </w:pPr>
          </w:p>
        </w:tc>
        <w:tc>
          <w:tcPr>
            <w:tcW w:w="1124" w:type="dxa"/>
            <w:tcBorders>
              <w:top w:val="single" w:sz="8" w:space="0" w:color="auto"/>
              <w:bottom w:val="single" w:sz="8" w:space="0" w:color="auto"/>
            </w:tcBorders>
            <w:tcMar>
              <w:top w:w="0" w:type="dxa"/>
              <w:left w:w="108" w:type="dxa"/>
              <w:bottom w:w="0" w:type="dxa"/>
              <w:right w:w="108" w:type="dxa"/>
            </w:tcMar>
          </w:tcPr>
          <w:p w14:paraId="7797775D" w14:textId="77777777" w:rsidR="008A5AC6" w:rsidRPr="00CE28E3" w:rsidRDefault="008A5AC6" w:rsidP="005B3205">
            <w:pPr>
              <w:pStyle w:val="TableText"/>
              <w:keepNext/>
              <w:jc w:val="right"/>
              <w:rPr>
                <w:b/>
                <w:bCs/>
              </w:rPr>
            </w:pPr>
          </w:p>
        </w:tc>
        <w:tc>
          <w:tcPr>
            <w:tcW w:w="1125" w:type="dxa"/>
            <w:tcBorders>
              <w:top w:val="single" w:sz="8" w:space="0" w:color="auto"/>
              <w:bottom w:val="single" w:sz="8" w:space="0" w:color="auto"/>
            </w:tcBorders>
            <w:tcMar>
              <w:top w:w="0" w:type="dxa"/>
              <w:left w:w="108" w:type="dxa"/>
              <w:bottom w:w="0" w:type="dxa"/>
              <w:right w:w="108" w:type="dxa"/>
            </w:tcMar>
          </w:tcPr>
          <w:p w14:paraId="08CB22E6" w14:textId="77777777" w:rsidR="008A5AC6" w:rsidRPr="00CE28E3" w:rsidRDefault="008A5AC6" w:rsidP="005B3205">
            <w:pPr>
              <w:pStyle w:val="TableText"/>
              <w:keepNext/>
              <w:jc w:val="right"/>
              <w:rPr>
                <w:b/>
                <w:bCs/>
              </w:rPr>
            </w:pPr>
          </w:p>
        </w:tc>
        <w:tc>
          <w:tcPr>
            <w:tcW w:w="1125" w:type="dxa"/>
            <w:tcBorders>
              <w:top w:val="single" w:sz="8" w:space="0" w:color="auto"/>
              <w:bottom w:val="single" w:sz="8" w:space="0" w:color="auto"/>
              <w:right w:val="single" w:sz="8" w:space="0" w:color="auto"/>
            </w:tcBorders>
            <w:tcMar>
              <w:top w:w="0" w:type="dxa"/>
              <w:left w:w="108" w:type="dxa"/>
              <w:bottom w:w="0" w:type="dxa"/>
              <w:right w:w="108" w:type="dxa"/>
            </w:tcMar>
          </w:tcPr>
          <w:p w14:paraId="74068B9F" w14:textId="77777777" w:rsidR="008A5AC6" w:rsidRPr="00CE28E3" w:rsidRDefault="008A5AC6" w:rsidP="005B3205">
            <w:pPr>
              <w:pStyle w:val="TableText"/>
              <w:keepNext/>
              <w:jc w:val="right"/>
              <w:rPr>
                <w:b/>
                <w:bCs/>
              </w:rPr>
            </w:pPr>
          </w:p>
        </w:tc>
      </w:tr>
      <w:tr w:rsidR="0065654B" w:rsidRPr="00C811E8" w14:paraId="244849D8"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A2C7A" w14:textId="7559CD03" w:rsidR="0065654B" w:rsidRPr="00C811E8" w:rsidRDefault="0065654B" w:rsidP="0065654B">
            <w:pPr>
              <w:pStyle w:val="TableText"/>
              <w:keepNext/>
            </w:pPr>
            <w:r w:rsidRPr="00C811E8">
              <w:t xml:space="preserve">Number of </w:t>
            </w:r>
            <w:r w:rsidR="005B3205" w:rsidRPr="00C811E8">
              <w:t xml:space="preserve">patients </w:t>
            </w:r>
            <w:r w:rsidRPr="00C811E8">
              <w:t>eligible for concizumab (patients with HMB</w:t>
            </w:r>
            <w:r w:rsidR="0057491C" w:rsidRPr="00C811E8">
              <w:t>wI</w:t>
            </w:r>
            <w:r w:rsidRPr="00C811E8">
              <w:t xml:space="preserve"> receiving PPX)</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2B18FEEA" w14:textId="3C708A0E" w:rsidR="0065654B"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8F8327E" w14:textId="446D1886" w:rsidR="0065654B"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64B603A8" w14:textId="28529390" w:rsidR="0065654B" w:rsidRPr="00C53C7A" w:rsidRDefault="009125E9" w:rsidP="005B3205">
            <w:pPr>
              <w:pStyle w:val="TableText"/>
              <w:keepNext/>
              <w:jc w:val="right"/>
              <w:rPr>
                <w:highlight w:val="yellow"/>
              </w:rPr>
            </w:pPr>
            <w:r>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35B735D9" w14:textId="02F3CEB6" w:rsidR="0065654B"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0999C4C" w14:textId="5E4DD5F6" w:rsidR="0065654B"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00E00FA" w14:textId="6B1620E6" w:rsidR="0065654B" w:rsidRPr="00C53C7A" w:rsidRDefault="009125E9" w:rsidP="005B3205">
            <w:pPr>
              <w:pStyle w:val="TableText"/>
              <w:keepNext/>
              <w:jc w:val="right"/>
              <w:rPr>
                <w:highlight w:val="yellow"/>
              </w:rPr>
            </w:pPr>
            <w:r>
              <w:rPr>
                <w:b/>
              </w:rPr>
              <w:t>redacted</w:t>
            </w:r>
          </w:p>
        </w:tc>
      </w:tr>
      <w:tr w:rsidR="00A25BCC" w:rsidRPr="00C811E8" w14:paraId="22F03E7A"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5A0D7" w14:textId="50D34B6F" w:rsidR="00A25BCC" w:rsidRPr="00C811E8" w:rsidRDefault="00A25BCC" w:rsidP="00A25BCC">
            <w:pPr>
              <w:pStyle w:val="TableText"/>
              <w:keepNext/>
            </w:pPr>
            <w:r w:rsidRPr="00C811E8">
              <w:t xml:space="preserve">Number of </w:t>
            </w:r>
            <w:r w:rsidR="005B3205" w:rsidRPr="00C811E8">
              <w:t xml:space="preserve">patients </w:t>
            </w:r>
            <w:r w:rsidRPr="00C811E8">
              <w:t>who receive concizumab</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7E380283" w14:textId="4AF902ED" w:rsidR="00A25BCC"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45C55473" w14:textId="4DF2232D" w:rsidR="00A25BCC"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E45992B" w14:textId="5D3C5076" w:rsidR="00A25BCC" w:rsidRPr="00C53C7A" w:rsidRDefault="009125E9" w:rsidP="005B3205">
            <w:pPr>
              <w:pStyle w:val="TableText"/>
              <w:keepNext/>
              <w:jc w:val="right"/>
              <w:rPr>
                <w:highlight w:val="yellow"/>
              </w:rPr>
            </w:pPr>
            <w:r>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0F11D4D9" w14:textId="6DE793E9" w:rsidR="00A25BCC"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A1F5496" w14:textId="682231B3" w:rsidR="00A25BCC"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EFCCA78" w14:textId="02D99B23" w:rsidR="00A25BCC" w:rsidRPr="00C53C7A" w:rsidRDefault="009125E9" w:rsidP="005B3205">
            <w:pPr>
              <w:pStyle w:val="TableText"/>
              <w:keepNext/>
              <w:jc w:val="right"/>
              <w:rPr>
                <w:highlight w:val="yellow"/>
              </w:rPr>
            </w:pPr>
            <w:r>
              <w:rPr>
                <w:b/>
              </w:rPr>
              <w:t>redacted</w:t>
            </w:r>
          </w:p>
        </w:tc>
      </w:tr>
      <w:tr w:rsidR="00E45875" w:rsidRPr="00C811E8" w14:paraId="06FCED24"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9A2D6" w14:textId="77777777" w:rsidR="00E45875" w:rsidRPr="00C811E8" w:rsidRDefault="00E45875" w:rsidP="00E45875">
            <w:pPr>
              <w:pStyle w:val="TableText"/>
              <w:keepNext/>
            </w:pPr>
            <w:r w:rsidRPr="00C811E8">
              <w:t>Doses administered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2208E7C0" w14:textId="712151E6" w:rsidR="00E45875"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4AAF7BE7" w14:textId="264FC9A3" w:rsidR="00E45875"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49312DE0" w14:textId="5DF73DF7" w:rsidR="00E45875" w:rsidRPr="00C53C7A" w:rsidRDefault="009125E9" w:rsidP="005B3205">
            <w:pPr>
              <w:pStyle w:val="TableText"/>
              <w:keepNext/>
              <w:jc w:val="right"/>
              <w:rPr>
                <w:highlight w:val="yellow"/>
              </w:rPr>
            </w:pPr>
            <w:r>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7EB9C5DC" w14:textId="71111F12" w:rsidR="00E45875"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7E880CF" w14:textId="38E1D66C" w:rsidR="00E45875" w:rsidRPr="00C53C7A" w:rsidRDefault="009125E9" w:rsidP="005B3205">
            <w:pPr>
              <w:pStyle w:val="TableText"/>
              <w:keepNext/>
              <w:jc w:val="right"/>
              <w:rPr>
                <w:highlight w:val="yellow"/>
              </w:rPr>
            </w:pPr>
            <w:r>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6DA250A6" w14:textId="4AEBC1D4" w:rsidR="00E45875" w:rsidRPr="00C53C7A" w:rsidRDefault="009125E9" w:rsidP="005B3205">
            <w:pPr>
              <w:pStyle w:val="TableText"/>
              <w:keepNext/>
              <w:jc w:val="right"/>
              <w:rPr>
                <w:highlight w:val="yellow"/>
              </w:rPr>
            </w:pPr>
            <w:r>
              <w:rPr>
                <w:b/>
              </w:rPr>
              <w:t>redacted</w:t>
            </w:r>
          </w:p>
        </w:tc>
      </w:tr>
      <w:tr w:rsidR="00B959AD" w:rsidRPr="00C811E8" w14:paraId="554F1504" w14:textId="77777777" w:rsidTr="00B959A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222DF" w14:textId="498A12BD" w:rsidR="00614A48" w:rsidRPr="00C811E8" w:rsidRDefault="00614A48" w:rsidP="00614A48">
            <w:pPr>
              <w:pStyle w:val="TableText"/>
              <w:keepNext/>
            </w:pPr>
            <w:r w:rsidRPr="00C811E8">
              <w:t>Cost to the NBA</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28A07F9B" w14:textId="5177BEA0" w:rsidR="00614A48" w:rsidRPr="00C53C7A" w:rsidRDefault="00614A48" w:rsidP="005B3205">
            <w:pPr>
              <w:pStyle w:val="TableText"/>
              <w:keepNext/>
              <w:jc w:val="right"/>
              <w:rPr>
                <w:highlight w:val="yellow"/>
              </w:rPr>
            </w:pPr>
            <w:r w:rsidRPr="00282024">
              <w:t>$</w:t>
            </w:r>
            <w:r w:rsidR="009125E9">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04C38CC" w14:textId="79D8ED71" w:rsidR="00614A48" w:rsidRPr="00C53C7A" w:rsidRDefault="00614A48" w:rsidP="005B3205">
            <w:pPr>
              <w:pStyle w:val="TableText"/>
              <w:keepNext/>
              <w:jc w:val="right"/>
              <w:rPr>
                <w:highlight w:val="yellow"/>
              </w:rPr>
            </w:pPr>
            <w:r w:rsidRPr="00282024">
              <w:t>$</w:t>
            </w:r>
            <w:r w:rsidR="009125E9">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72BBBA1" w14:textId="121A08C8" w:rsidR="00614A48" w:rsidRPr="00C53C7A" w:rsidRDefault="00614A48" w:rsidP="005B3205">
            <w:pPr>
              <w:pStyle w:val="TableText"/>
              <w:keepNext/>
              <w:jc w:val="right"/>
              <w:rPr>
                <w:highlight w:val="yellow"/>
              </w:rPr>
            </w:pPr>
            <w:r w:rsidRPr="00282024">
              <w:t>$</w:t>
            </w:r>
            <w:r w:rsidR="009125E9">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63CA014D" w14:textId="0BCF9689" w:rsidR="00614A48" w:rsidRPr="00C53C7A" w:rsidRDefault="00614A48" w:rsidP="005B3205">
            <w:pPr>
              <w:pStyle w:val="TableText"/>
              <w:keepNext/>
              <w:jc w:val="right"/>
              <w:rPr>
                <w:highlight w:val="yellow"/>
              </w:rPr>
            </w:pPr>
            <w:r w:rsidRPr="00282024">
              <w:t>$</w:t>
            </w:r>
            <w:r w:rsidR="009125E9">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7A0E3E1" w14:textId="35CEA9E3" w:rsidR="00614A48" w:rsidRPr="00C53C7A" w:rsidRDefault="00614A48" w:rsidP="005B3205">
            <w:pPr>
              <w:pStyle w:val="TableText"/>
              <w:keepNext/>
              <w:jc w:val="right"/>
              <w:rPr>
                <w:highlight w:val="yellow"/>
              </w:rPr>
            </w:pPr>
            <w:r w:rsidRPr="00282024">
              <w:t>$</w:t>
            </w:r>
            <w:r w:rsidR="009125E9">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25300B6" w14:textId="54583212" w:rsidR="00614A48" w:rsidRPr="00C53C7A" w:rsidRDefault="00614A48" w:rsidP="005B3205">
            <w:pPr>
              <w:pStyle w:val="TableText"/>
              <w:keepNext/>
              <w:jc w:val="right"/>
              <w:rPr>
                <w:highlight w:val="yellow"/>
              </w:rPr>
            </w:pPr>
            <w:r w:rsidRPr="00282024">
              <w:t>$</w:t>
            </w:r>
            <w:r w:rsidR="009125E9">
              <w:rPr>
                <w:b/>
              </w:rPr>
              <w:t>redacted</w:t>
            </w:r>
          </w:p>
        </w:tc>
      </w:tr>
      <w:tr w:rsidR="00B959AD" w:rsidRPr="00C811E8" w14:paraId="50CC626E" w14:textId="77777777" w:rsidTr="00B959AD">
        <w:tc>
          <w:tcPr>
            <w:tcW w:w="2258" w:type="dxa"/>
            <w:tcBorders>
              <w:top w:val="nil"/>
              <w:left w:val="single" w:sz="8" w:space="0" w:color="auto"/>
              <w:bottom w:val="single" w:sz="8" w:space="0" w:color="auto"/>
            </w:tcBorders>
            <w:tcMar>
              <w:top w:w="0" w:type="dxa"/>
              <w:left w:w="108" w:type="dxa"/>
              <w:bottom w:w="0" w:type="dxa"/>
              <w:right w:w="108" w:type="dxa"/>
            </w:tcMar>
          </w:tcPr>
          <w:p w14:paraId="184F0F66" w14:textId="50DE8044" w:rsidR="008A5AC6" w:rsidRPr="00C811E8" w:rsidRDefault="008A5AC6" w:rsidP="008A5AC6">
            <w:pPr>
              <w:pStyle w:val="TableText"/>
              <w:keepNext/>
            </w:pPr>
            <w:r w:rsidRPr="00C811E8">
              <w:rPr>
                <w:b/>
                <w:bCs/>
              </w:rPr>
              <w:t>Change in use and cost of other health technologies</w:t>
            </w:r>
          </w:p>
        </w:tc>
        <w:tc>
          <w:tcPr>
            <w:tcW w:w="1124" w:type="dxa"/>
            <w:tcBorders>
              <w:top w:val="single" w:sz="8" w:space="0" w:color="auto"/>
              <w:bottom w:val="single" w:sz="8" w:space="0" w:color="auto"/>
            </w:tcBorders>
            <w:tcMar>
              <w:top w:w="0" w:type="dxa"/>
              <w:left w:w="108" w:type="dxa"/>
              <w:bottom w:w="0" w:type="dxa"/>
              <w:right w:w="108" w:type="dxa"/>
            </w:tcMar>
          </w:tcPr>
          <w:p w14:paraId="2C0E89AF" w14:textId="77777777" w:rsidR="008A5AC6" w:rsidRPr="00C53C7A" w:rsidRDefault="008A5AC6" w:rsidP="005B3205">
            <w:pPr>
              <w:pStyle w:val="TableText"/>
              <w:keepNext/>
              <w:jc w:val="right"/>
              <w:rPr>
                <w:highlight w:val="yellow"/>
              </w:rPr>
            </w:pPr>
          </w:p>
        </w:tc>
        <w:tc>
          <w:tcPr>
            <w:tcW w:w="1125" w:type="dxa"/>
            <w:tcBorders>
              <w:top w:val="single" w:sz="8" w:space="0" w:color="auto"/>
              <w:bottom w:val="single" w:sz="8" w:space="0" w:color="auto"/>
            </w:tcBorders>
            <w:tcMar>
              <w:top w:w="0" w:type="dxa"/>
              <w:left w:w="108" w:type="dxa"/>
              <w:bottom w:w="0" w:type="dxa"/>
              <w:right w:w="108" w:type="dxa"/>
            </w:tcMar>
          </w:tcPr>
          <w:p w14:paraId="44C4B8F2" w14:textId="77777777" w:rsidR="008A5AC6" w:rsidRPr="00C53C7A" w:rsidRDefault="008A5AC6" w:rsidP="005B3205">
            <w:pPr>
              <w:pStyle w:val="TableText"/>
              <w:keepNext/>
              <w:jc w:val="right"/>
              <w:rPr>
                <w:highlight w:val="yellow"/>
              </w:rPr>
            </w:pPr>
          </w:p>
        </w:tc>
        <w:tc>
          <w:tcPr>
            <w:tcW w:w="1125" w:type="dxa"/>
            <w:tcBorders>
              <w:top w:val="single" w:sz="8" w:space="0" w:color="auto"/>
              <w:bottom w:val="single" w:sz="8" w:space="0" w:color="auto"/>
            </w:tcBorders>
            <w:tcMar>
              <w:top w:w="0" w:type="dxa"/>
              <w:left w:w="108" w:type="dxa"/>
              <w:bottom w:w="0" w:type="dxa"/>
              <w:right w:w="108" w:type="dxa"/>
            </w:tcMar>
          </w:tcPr>
          <w:p w14:paraId="49F7E27F" w14:textId="77777777" w:rsidR="008A5AC6" w:rsidRPr="00C53C7A" w:rsidRDefault="008A5AC6" w:rsidP="005B3205">
            <w:pPr>
              <w:pStyle w:val="TableText"/>
              <w:keepNext/>
              <w:jc w:val="right"/>
              <w:rPr>
                <w:highlight w:val="yellow"/>
              </w:rPr>
            </w:pPr>
          </w:p>
        </w:tc>
        <w:tc>
          <w:tcPr>
            <w:tcW w:w="1124" w:type="dxa"/>
            <w:tcBorders>
              <w:top w:val="single" w:sz="8" w:space="0" w:color="auto"/>
              <w:bottom w:val="single" w:sz="8" w:space="0" w:color="auto"/>
            </w:tcBorders>
            <w:tcMar>
              <w:top w:w="0" w:type="dxa"/>
              <w:left w:w="108" w:type="dxa"/>
              <w:bottom w:w="0" w:type="dxa"/>
              <w:right w:w="108" w:type="dxa"/>
            </w:tcMar>
          </w:tcPr>
          <w:p w14:paraId="45B90006" w14:textId="77777777" w:rsidR="008A5AC6" w:rsidRPr="00C53C7A" w:rsidRDefault="008A5AC6" w:rsidP="005B3205">
            <w:pPr>
              <w:pStyle w:val="TableText"/>
              <w:keepNext/>
              <w:jc w:val="right"/>
              <w:rPr>
                <w:highlight w:val="yellow"/>
              </w:rPr>
            </w:pPr>
          </w:p>
        </w:tc>
        <w:tc>
          <w:tcPr>
            <w:tcW w:w="1125" w:type="dxa"/>
            <w:tcBorders>
              <w:top w:val="single" w:sz="8" w:space="0" w:color="auto"/>
              <w:bottom w:val="single" w:sz="8" w:space="0" w:color="auto"/>
            </w:tcBorders>
            <w:tcMar>
              <w:top w:w="0" w:type="dxa"/>
              <w:left w:w="108" w:type="dxa"/>
              <w:bottom w:w="0" w:type="dxa"/>
              <w:right w:w="108" w:type="dxa"/>
            </w:tcMar>
          </w:tcPr>
          <w:p w14:paraId="6542B082" w14:textId="77777777" w:rsidR="008A5AC6" w:rsidRPr="00C53C7A" w:rsidRDefault="008A5AC6" w:rsidP="005B3205">
            <w:pPr>
              <w:pStyle w:val="TableText"/>
              <w:keepNext/>
              <w:jc w:val="right"/>
              <w:rPr>
                <w:highlight w:val="yellow"/>
              </w:rPr>
            </w:pPr>
          </w:p>
        </w:tc>
        <w:tc>
          <w:tcPr>
            <w:tcW w:w="1125" w:type="dxa"/>
            <w:tcBorders>
              <w:top w:val="single" w:sz="8" w:space="0" w:color="auto"/>
              <w:bottom w:val="single" w:sz="8" w:space="0" w:color="auto"/>
              <w:right w:val="single" w:sz="8" w:space="0" w:color="auto"/>
            </w:tcBorders>
            <w:tcMar>
              <w:top w:w="0" w:type="dxa"/>
              <w:left w:w="108" w:type="dxa"/>
              <w:bottom w:w="0" w:type="dxa"/>
              <w:right w:w="108" w:type="dxa"/>
            </w:tcMar>
          </w:tcPr>
          <w:p w14:paraId="4A7A4C42" w14:textId="77777777" w:rsidR="008A5AC6" w:rsidRPr="00C53C7A" w:rsidRDefault="008A5AC6" w:rsidP="005B3205">
            <w:pPr>
              <w:pStyle w:val="TableText"/>
              <w:keepNext/>
              <w:jc w:val="right"/>
              <w:rPr>
                <w:highlight w:val="yellow"/>
              </w:rPr>
            </w:pPr>
          </w:p>
        </w:tc>
      </w:tr>
      <w:tr w:rsidR="008A5AC6" w:rsidRPr="00C811E8" w14:paraId="2CC5B2BD"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985C8" w14:textId="50FDC376" w:rsidR="008A5AC6" w:rsidRPr="00C811E8" w:rsidRDefault="008A5AC6" w:rsidP="008A5AC6">
            <w:pPr>
              <w:pStyle w:val="TableText"/>
              <w:keepNext/>
            </w:pPr>
            <w:r w:rsidRPr="00C811E8">
              <w:t xml:space="preserve">Change in use of </w:t>
            </w:r>
            <w:r w:rsidR="00C876E9">
              <w:t>rFVIIa</w:t>
            </w:r>
            <w:r w:rsidRPr="00C811E8">
              <w:t xml:space="preserve"> prophylaxis – number of doses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452E24FE" w14:textId="5685B6C0" w:rsidR="008A5AC6" w:rsidRPr="00C53C7A" w:rsidRDefault="008A5AC6" w:rsidP="005B3205">
            <w:pPr>
              <w:pStyle w:val="TableText"/>
              <w:keepNext/>
              <w:jc w:val="right"/>
              <w:rPr>
                <w:highlight w:val="yellow"/>
              </w:rPr>
            </w:pPr>
            <w:r w:rsidRPr="00282024">
              <w:t>-</w:t>
            </w:r>
            <w:r w:rsidR="003615BE">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164E0E3A" w14:textId="62C0D843" w:rsidR="008A5AC6" w:rsidRPr="00C53C7A" w:rsidRDefault="008A5AC6" w:rsidP="005B3205">
            <w:pPr>
              <w:pStyle w:val="TableText"/>
              <w:keepNext/>
              <w:jc w:val="right"/>
              <w:rPr>
                <w:highlight w:val="yellow"/>
              </w:rPr>
            </w:pPr>
            <w:r w:rsidRPr="00282024">
              <w:t>-</w:t>
            </w:r>
            <w:r w:rsidR="003615BE">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4B847467" w14:textId="1B356D7D" w:rsidR="008A5AC6" w:rsidRPr="00C53C7A" w:rsidRDefault="008A5AC6" w:rsidP="005B3205">
            <w:pPr>
              <w:pStyle w:val="TableText"/>
              <w:keepNext/>
              <w:jc w:val="right"/>
              <w:rPr>
                <w:highlight w:val="yellow"/>
              </w:rPr>
            </w:pPr>
            <w:r w:rsidRPr="00282024">
              <w:t>-</w:t>
            </w:r>
            <w:r w:rsidR="003615BE">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33726923" w14:textId="6BB62482" w:rsidR="008A5AC6" w:rsidRPr="00C53C7A" w:rsidRDefault="008A5AC6" w:rsidP="005B3205">
            <w:pPr>
              <w:pStyle w:val="TableText"/>
              <w:keepNext/>
              <w:jc w:val="right"/>
              <w:rPr>
                <w:highlight w:val="yellow"/>
              </w:rPr>
            </w:pPr>
            <w:r w:rsidRPr="00282024">
              <w:t>-</w:t>
            </w:r>
            <w:r w:rsidR="003615BE">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473835C3" w14:textId="45A36FBC" w:rsidR="008A5AC6" w:rsidRPr="00C53C7A" w:rsidRDefault="008A5AC6" w:rsidP="005B3205">
            <w:pPr>
              <w:pStyle w:val="TableText"/>
              <w:keepNext/>
              <w:jc w:val="right"/>
              <w:rPr>
                <w:highlight w:val="yellow"/>
              </w:rPr>
            </w:pPr>
            <w:r w:rsidRPr="00282024">
              <w:t>-</w:t>
            </w:r>
            <w:r w:rsidR="003615BE">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2734FB5" w14:textId="2A025757" w:rsidR="008A5AC6" w:rsidRPr="00C53C7A" w:rsidRDefault="008A5AC6" w:rsidP="005B3205">
            <w:pPr>
              <w:pStyle w:val="TableText"/>
              <w:keepNext/>
              <w:jc w:val="right"/>
              <w:rPr>
                <w:highlight w:val="yellow"/>
              </w:rPr>
            </w:pPr>
            <w:r w:rsidRPr="00282024">
              <w:t>-</w:t>
            </w:r>
            <w:r w:rsidR="003615BE">
              <w:rPr>
                <w:b/>
              </w:rPr>
              <w:t>redacted</w:t>
            </w:r>
          </w:p>
        </w:tc>
      </w:tr>
      <w:tr w:rsidR="008A5AC6" w:rsidRPr="00C811E8" w14:paraId="0064ADF7"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6CA49" w14:textId="3438240C" w:rsidR="008A5AC6" w:rsidRPr="00C811E8" w:rsidRDefault="008A5AC6" w:rsidP="008A5AC6">
            <w:pPr>
              <w:pStyle w:val="TableText"/>
              <w:keepNext/>
            </w:pPr>
            <w:r w:rsidRPr="00C811E8">
              <w:t>Administration cost to hospitals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7D6B3340" w14:textId="36DD687E"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149A0B33" w14:textId="66FE72FA"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4AC5B32" w14:textId="4A8DCC6B" w:rsidR="008A5AC6" w:rsidRPr="00282024" w:rsidRDefault="008A5AC6" w:rsidP="005B3205">
            <w:pPr>
              <w:pStyle w:val="TableText"/>
              <w:keepNext/>
              <w:jc w:val="right"/>
            </w:pPr>
            <w:r w:rsidRPr="00282024">
              <w:t>-$</w:t>
            </w:r>
            <w:r w:rsidR="007418CB" w:rsidRPr="007418CB">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13338BCC" w14:textId="3CE7F86B"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B86C3B0" w14:textId="2A31E8A7"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C0E01B7" w14:textId="57B728F5" w:rsidR="008A5AC6" w:rsidRPr="00282024" w:rsidRDefault="008A5AC6" w:rsidP="005B3205">
            <w:pPr>
              <w:pStyle w:val="TableText"/>
              <w:keepNext/>
              <w:jc w:val="right"/>
            </w:pPr>
            <w:r w:rsidRPr="00282024">
              <w:t>-$</w:t>
            </w:r>
            <w:r w:rsidR="007418CB" w:rsidRPr="007418CB">
              <w:rPr>
                <w:b/>
              </w:rPr>
              <w:t>redacted</w:t>
            </w:r>
          </w:p>
        </w:tc>
      </w:tr>
      <w:tr w:rsidR="008A5AC6" w:rsidRPr="00C811E8" w14:paraId="1CDE5053"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28019" w14:textId="6A00D037" w:rsidR="008A5AC6" w:rsidRPr="00C811E8" w:rsidRDefault="008A5AC6" w:rsidP="008A5AC6">
            <w:pPr>
              <w:pStyle w:val="TableText"/>
              <w:keepNext/>
            </w:pPr>
            <w:r w:rsidRPr="00C811E8">
              <w:t>Drug cost to NBA</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10A90EBC" w14:textId="28AB1420"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40A70762" w14:textId="462FD04A"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62D30035" w14:textId="3356775B" w:rsidR="008A5AC6" w:rsidRPr="00282024" w:rsidRDefault="008A5AC6" w:rsidP="005B3205">
            <w:pPr>
              <w:pStyle w:val="TableText"/>
              <w:keepNext/>
              <w:jc w:val="right"/>
            </w:pPr>
            <w:r w:rsidRPr="00282024">
              <w:t>-$</w:t>
            </w:r>
            <w:r w:rsidR="007418CB" w:rsidRPr="007418CB">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53BBE7A4" w14:textId="172DBB0C"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6AB2581D" w14:textId="506D7ECB"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6EB530F" w14:textId="13A61DDF" w:rsidR="008A5AC6" w:rsidRPr="00282024" w:rsidRDefault="008A5AC6" w:rsidP="005B3205">
            <w:pPr>
              <w:pStyle w:val="TableText"/>
              <w:keepNext/>
              <w:jc w:val="right"/>
            </w:pPr>
            <w:r w:rsidRPr="00282024">
              <w:t>-$</w:t>
            </w:r>
            <w:r w:rsidR="007418CB" w:rsidRPr="007418CB">
              <w:rPr>
                <w:b/>
              </w:rPr>
              <w:t>redacted</w:t>
            </w:r>
          </w:p>
        </w:tc>
      </w:tr>
      <w:tr w:rsidR="008A5AC6" w:rsidRPr="00C811E8" w14:paraId="5866F395"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7AFF00" w14:textId="324067CD" w:rsidR="008A5AC6" w:rsidRPr="00C811E8" w:rsidRDefault="008A5AC6" w:rsidP="008A5AC6">
            <w:pPr>
              <w:pStyle w:val="TableText"/>
              <w:keepNext/>
            </w:pPr>
            <w:r w:rsidRPr="00C811E8">
              <w:t xml:space="preserve">Change in use of </w:t>
            </w:r>
            <w:r w:rsidR="00C876E9">
              <w:t>rFVIIa</w:t>
            </w:r>
            <w:r w:rsidRPr="00C811E8">
              <w:t xml:space="preserve"> on demand – number of doses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39959F75" w14:textId="66D4AB9B"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C131A1B" w14:textId="07C850F9"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43DD460A" w14:textId="2AD71702" w:rsidR="008A5AC6" w:rsidRPr="00282024" w:rsidRDefault="008A5AC6" w:rsidP="005B3205">
            <w:pPr>
              <w:pStyle w:val="TableText"/>
              <w:keepNext/>
              <w:jc w:val="right"/>
            </w:pPr>
            <w:r w:rsidRPr="00282024">
              <w:t>-</w:t>
            </w:r>
            <w:r w:rsidR="007418CB" w:rsidRPr="007418CB">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1AD4CB5F" w14:textId="189A6432"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08AB7E7" w14:textId="76029C0A"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14BE0232" w14:textId="5D292F95" w:rsidR="008A5AC6" w:rsidRPr="00282024" w:rsidRDefault="008A5AC6" w:rsidP="005B3205">
            <w:pPr>
              <w:pStyle w:val="TableText"/>
              <w:keepNext/>
              <w:jc w:val="right"/>
            </w:pPr>
            <w:r w:rsidRPr="00282024">
              <w:t>-</w:t>
            </w:r>
            <w:r w:rsidR="007418CB" w:rsidRPr="007418CB">
              <w:rPr>
                <w:b/>
              </w:rPr>
              <w:t>redacted</w:t>
            </w:r>
          </w:p>
        </w:tc>
      </w:tr>
      <w:tr w:rsidR="008A5AC6" w:rsidRPr="00C811E8" w14:paraId="6B3D27C0"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63B3BD" w14:textId="34176257" w:rsidR="008A5AC6" w:rsidRPr="00C811E8" w:rsidRDefault="008A5AC6" w:rsidP="008A5AC6">
            <w:pPr>
              <w:pStyle w:val="TableText"/>
              <w:keepNext/>
            </w:pPr>
            <w:r w:rsidRPr="00C811E8">
              <w:t>Administration cost to hospitals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2CF31A2D" w14:textId="10133C07"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053FF2E3" w14:textId="4CF2844D"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0155AD55" w14:textId="0ECA5AD0" w:rsidR="008A5AC6" w:rsidRPr="00282024" w:rsidRDefault="008A5AC6" w:rsidP="005B3205">
            <w:pPr>
              <w:pStyle w:val="TableText"/>
              <w:keepNext/>
              <w:jc w:val="right"/>
            </w:pPr>
            <w:r w:rsidRPr="00282024">
              <w:t>-$</w:t>
            </w:r>
            <w:r w:rsidR="007418CB" w:rsidRPr="007418CB">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4EE75891" w14:textId="040A9311"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1C3D7F7B" w14:textId="24B89AD1"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E505797" w14:textId="5917FAC6" w:rsidR="008A5AC6" w:rsidRPr="00282024" w:rsidRDefault="008A5AC6" w:rsidP="005B3205">
            <w:pPr>
              <w:pStyle w:val="TableText"/>
              <w:keepNext/>
              <w:jc w:val="right"/>
            </w:pPr>
            <w:r w:rsidRPr="00282024">
              <w:t>-$</w:t>
            </w:r>
            <w:r w:rsidR="007418CB" w:rsidRPr="007418CB">
              <w:rPr>
                <w:b/>
              </w:rPr>
              <w:t>redacted</w:t>
            </w:r>
          </w:p>
        </w:tc>
      </w:tr>
      <w:tr w:rsidR="008A5AC6" w:rsidRPr="00C811E8" w14:paraId="162F10E8"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C5A235" w14:textId="5E95581C" w:rsidR="008A5AC6" w:rsidRPr="00C811E8" w:rsidRDefault="008A5AC6" w:rsidP="008A5AC6">
            <w:pPr>
              <w:pStyle w:val="TableText"/>
              <w:keepNext/>
            </w:pPr>
            <w:r w:rsidRPr="00C811E8">
              <w:t>Drug cost to NBA</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31ECB91A" w14:textId="07FC5646"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6185D8DC" w14:textId="768674D2"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66DD5586" w14:textId="1F3CA1BD" w:rsidR="008A5AC6" w:rsidRPr="00282024" w:rsidRDefault="008A5AC6" w:rsidP="005B3205">
            <w:pPr>
              <w:pStyle w:val="TableText"/>
              <w:keepNext/>
              <w:jc w:val="right"/>
            </w:pPr>
            <w:r w:rsidRPr="00282024">
              <w:t>-$</w:t>
            </w:r>
            <w:r w:rsidR="007418CB" w:rsidRPr="007418CB">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5426DB35" w14:textId="74159677"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71B45ED0" w14:textId="7B3A4604" w:rsidR="008A5AC6" w:rsidRPr="00282024" w:rsidRDefault="008A5AC6" w:rsidP="005B3205">
            <w:pPr>
              <w:pStyle w:val="TableText"/>
              <w:keepNext/>
              <w:jc w:val="right"/>
            </w:pPr>
            <w:r w:rsidRPr="00282024">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2FA6343F" w14:textId="059D1226" w:rsidR="008A5AC6" w:rsidRPr="00282024" w:rsidRDefault="008A5AC6" w:rsidP="005B3205">
            <w:pPr>
              <w:pStyle w:val="TableText"/>
              <w:keepNext/>
              <w:jc w:val="right"/>
            </w:pPr>
            <w:r w:rsidRPr="00282024">
              <w:t>-$</w:t>
            </w:r>
            <w:r w:rsidR="007418CB" w:rsidRPr="007418CB">
              <w:rPr>
                <w:b/>
              </w:rPr>
              <w:t>redacted</w:t>
            </w:r>
          </w:p>
        </w:tc>
      </w:tr>
      <w:tr w:rsidR="008A5AC6" w:rsidRPr="00C811E8" w14:paraId="5D067897"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E4CD9" w14:textId="46F5D1CE" w:rsidR="008A5AC6" w:rsidRPr="00C811E8" w:rsidRDefault="008A5AC6" w:rsidP="008A5AC6">
            <w:pPr>
              <w:pStyle w:val="TableText"/>
              <w:keepNext/>
            </w:pPr>
            <w:r w:rsidRPr="00C811E8">
              <w:rPr>
                <w:b/>
                <w:bCs/>
              </w:rPr>
              <w:t>Net financial impact to the NBA</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1936E625" w14:textId="75CDF7AB"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6A27CD97" w14:textId="79A36057"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140703E2" w14:textId="0BB3E850"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6C2CA966" w14:textId="0FE3FE89"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086BA605" w14:textId="38A88D76"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24CCB9F3" w14:textId="3547AA7B" w:rsidR="008A5AC6" w:rsidRPr="00282024" w:rsidRDefault="008A5AC6" w:rsidP="005B3205">
            <w:pPr>
              <w:pStyle w:val="TableText"/>
              <w:keepNext/>
              <w:jc w:val="right"/>
              <w:rPr>
                <w:b/>
                <w:bCs/>
              </w:rPr>
            </w:pPr>
            <w:r w:rsidRPr="00282024">
              <w:rPr>
                <w:b/>
                <w:bCs/>
              </w:rPr>
              <w:t>$</w:t>
            </w:r>
            <w:r w:rsidR="007418CB" w:rsidRPr="007418CB">
              <w:rPr>
                <w:b/>
              </w:rPr>
              <w:t>redacted</w:t>
            </w:r>
          </w:p>
        </w:tc>
      </w:tr>
      <w:tr w:rsidR="008A5AC6" w:rsidRPr="00C811E8" w14:paraId="4971BBB3" w14:textId="77777777" w:rsidTr="008A5AC6">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C4CE2" w14:textId="18244EB4" w:rsidR="008A5AC6" w:rsidRPr="00C811E8" w:rsidRDefault="008A5AC6" w:rsidP="008A5AC6">
            <w:pPr>
              <w:pStyle w:val="TableText"/>
              <w:keepNext/>
              <w:rPr>
                <w:b/>
                <w:bCs/>
              </w:rPr>
            </w:pPr>
            <w:r w:rsidRPr="00C811E8">
              <w:rPr>
                <w:b/>
                <w:bCs/>
              </w:rPr>
              <w:t>Net financial impact to hospitals</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2DDE2D94" w14:textId="1963F685"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F875870" w14:textId="2AF50AE2"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46589A14" w14:textId="15AF4D48"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4" w:type="dxa"/>
            <w:tcBorders>
              <w:top w:val="nil"/>
              <w:left w:val="nil"/>
              <w:bottom w:val="single" w:sz="8" w:space="0" w:color="auto"/>
              <w:right w:val="single" w:sz="8" w:space="0" w:color="auto"/>
            </w:tcBorders>
            <w:tcMar>
              <w:top w:w="0" w:type="dxa"/>
              <w:left w:w="108" w:type="dxa"/>
              <w:bottom w:w="0" w:type="dxa"/>
              <w:right w:w="108" w:type="dxa"/>
            </w:tcMar>
          </w:tcPr>
          <w:p w14:paraId="501BBF7D" w14:textId="01347A15"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38E1086" w14:textId="553C3093" w:rsidR="008A5AC6" w:rsidRPr="00282024" w:rsidRDefault="008A5AC6" w:rsidP="005B3205">
            <w:pPr>
              <w:pStyle w:val="TableText"/>
              <w:keepNext/>
              <w:jc w:val="right"/>
              <w:rPr>
                <w:b/>
                <w:bCs/>
              </w:rPr>
            </w:pPr>
            <w:r w:rsidRPr="00282024">
              <w:rPr>
                <w:b/>
                <w:bCs/>
              </w:rPr>
              <w:t>-$</w:t>
            </w:r>
            <w:r w:rsidR="007418CB" w:rsidRPr="007418CB">
              <w:rPr>
                <w:b/>
              </w:rPr>
              <w:t>redacted</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0C1CD706" w14:textId="0120530C" w:rsidR="008A5AC6" w:rsidRPr="00282024" w:rsidRDefault="008A5AC6" w:rsidP="005B3205">
            <w:pPr>
              <w:pStyle w:val="TableText"/>
              <w:keepNext/>
              <w:jc w:val="right"/>
              <w:rPr>
                <w:b/>
                <w:bCs/>
              </w:rPr>
            </w:pPr>
            <w:r w:rsidRPr="00282024">
              <w:rPr>
                <w:b/>
                <w:bCs/>
              </w:rPr>
              <w:t>-$</w:t>
            </w:r>
            <w:r w:rsidR="007418CB" w:rsidRPr="007418CB">
              <w:rPr>
                <w:b/>
              </w:rPr>
              <w:t>redacted</w:t>
            </w:r>
          </w:p>
        </w:tc>
      </w:tr>
    </w:tbl>
    <w:p w14:paraId="2B3A968C" w14:textId="0A142407" w:rsidR="00977FE0" w:rsidRPr="00C811E8" w:rsidRDefault="002A1A67" w:rsidP="00746BD9">
      <w:pPr>
        <w:pStyle w:val="Tablenotes0"/>
      </w:pPr>
      <w:r w:rsidRPr="00C811E8">
        <w:t xml:space="preserve">HMBwI = haemophilia B with inhibitors; </w:t>
      </w:r>
      <w:r w:rsidR="0032160D">
        <w:t xml:space="preserve">NBA = National Blood Authority; </w:t>
      </w:r>
      <w:r w:rsidRPr="00C811E8">
        <w:t xml:space="preserve">PPX = prophylaxis. </w:t>
      </w:r>
    </w:p>
    <w:p w14:paraId="2344B023" w14:textId="42AAA9E0" w:rsidR="00B959AD" w:rsidRPr="00C811E8" w:rsidRDefault="00B959AD" w:rsidP="00746BD9">
      <w:pPr>
        <w:pStyle w:val="Tablenotes0"/>
      </w:pPr>
      <w:r w:rsidRPr="00C811E8">
        <w:t>Source: adapted from Table</w:t>
      </w:r>
      <w:r w:rsidR="00E047D0">
        <w:t>s</w:t>
      </w:r>
      <w:r w:rsidRPr="00C811E8">
        <w:t xml:space="preserve"> </w:t>
      </w:r>
      <w:r w:rsidR="006A58C8" w:rsidRPr="00C811E8">
        <w:t xml:space="preserve">64, </w:t>
      </w:r>
      <w:r w:rsidR="0035362A" w:rsidRPr="00C811E8">
        <w:t xml:space="preserve">65, </w:t>
      </w:r>
      <w:r w:rsidR="006A58C8" w:rsidRPr="00C811E8">
        <w:t xml:space="preserve">and </w:t>
      </w:r>
      <w:r w:rsidRPr="00C811E8">
        <w:t>66, of MSAC Application 1805 in-line Commentary.</w:t>
      </w:r>
    </w:p>
    <w:p w14:paraId="16D277A5" w14:textId="3C6CEBEF" w:rsidR="00B959AD" w:rsidRPr="00C811E8" w:rsidRDefault="00BC17AC" w:rsidP="003D5070">
      <w:r w:rsidRPr="00C811E8">
        <w:t xml:space="preserve">The </w:t>
      </w:r>
      <w:r w:rsidR="00727261" w:rsidRPr="00C811E8">
        <w:t>financial analysis is informed by the CMA and therefore subject to the same sensitivities. The commentary consider</w:t>
      </w:r>
      <w:r w:rsidR="004F01EF">
        <w:t>ed</w:t>
      </w:r>
      <w:r w:rsidR="00727261" w:rsidRPr="00C811E8">
        <w:t xml:space="preserve"> the </w:t>
      </w:r>
      <w:r w:rsidRPr="00C811E8">
        <w:t>greatest uncertainty in the model to be the extent of prophylactic BPA use currently in eligible patients</w:t>
      </w:r>
      <w:r w:rsidR="005B3205" w:rsidRPr="00C811E8">
        <w:t>,</w:t>
      </w:r>
      <w:r w:rsidR="00A64346" w:rsidRPr="00C811E8">
        <w:t xml:space="preserve"> noting this is likely to vary between patients and across time</w:t>
      </w:r>
      <w:r w:rsidRPr="00C811E8">
        <w:t>. As the drug is indicated for long-term, daily prophylactic treatment, the cost to the N</w:t>
      </w:r>
      <w:r w:rsidR="001D4A54">
        <w:t xml:space="preserve">ational </w:t>
      </w:r>
      <w:r w:rsidRPr="00C811E8">
        <w:t>B</w:t>
      </w:r>
      <w:r w:rsidR="001D4A54">
        <w:t xml:space="preserve">lood </w:t>
      </w:r>
      <w:r w:rsidRPr="00C811E8">
        <w:t>A</w:t>
      </w:r>
      <w:r w:rsidR="001D4A54">
        <w:t>greement</w:t>
      </w:r>
      <w:r w:rsidR="005B3205" w:rsidRPr="00C811E8">
        <w:t xml:space="preserve"> of concizumab would be</w:t>
      </w:r>
      <w:r w:rsidRPr="00C811E8">
        <w:t xml:space="preserve"> substantial despite the very small patient population.</w:t>
      </w:r>
    </w:p>
    <w:p w14:paraId="306F3D42" w14:textId="77777777" w:rsidR="009C0C7C" w:rsidRPr="00C811E8" w:rsidRDefault="009C0C7C" w:rsidP="003D5070">
      <w:pPr>
        <w:pStyle w:val="Heading3"/>
        <w:keepNext w:val="0"/>
        <w:keepLines w:val="0"/>
      </w:pPr>
      <w:r w:rsidRPr="00C811E8">
        <w:t>Haemophilia B without inhibitors</w:t>
      </w:r>
    </w:p>
    <w:p w14:paraId="08181ADA" w14:textId="0C9BD44F" w:rsidR="008C2FD2" w:rsidRPr="00C811E8" w:rsidRDefault="006A13F2" w:rsidP="003D5070">
      <w:r w:rsidRPr="00C811E8">
        <w:t xml:space="preserve">The eligible population </w:t>
      </w:r>
      <w:r w:rsidR="00DF06E3" w:rsidRPr="00C811E8">
        <w:t xml:space="preserve">was derived from the ABDR using the number of </w:t>
      </w:r>
      <w:r w:rsidR="00425817">
        <w:t xml:space="preserve">patients with </w:t>
      </w:r>
      <w:r w:rsidR="00DF06E3" w:rsidRPr="00C811E8">
        <w:t xml:space="preserve">HMB on prophylaxis. </w:t>
      </w:r>
      <w:r w:rsidR="00CC32C7" w:rsidRPr="00C811E8">
        <w:t>Th</w:t>
      </w:r>
      <w:r w:rsidR="00CC32C7">
        <w:t>e</w:t>
      </w:r>
      <w:r w:rsidR="00C107F6" w:rsidRPr="00C811E8">
        <w:t xml:space="preserve"> commentary note</w:t>
      </w:r>
      <w:r w:rsidR="00CC32C7">
        <w:t>d</w:t>
      </w:r>
      <w:r w:rsidR="00C107F6" w:rsidRPr="00C811E8">
        <w:t xml:space="preserve"> this represents patients currently on prophylaxis </w:t>
      </w:r>
      <w:r w:rsidR="009F0995" w:rsidRPr="00C811E8">
        <w:t>and may not represent all who are eligible</w:t>
      </w:r>
      <w:r w:rsidR="005B3205" w:rsidRPr="00C811E8">
        <w:t xml:space="preserve"> for prophylaxis</w:t>
      </w:r>
      <w:r w:rsidR="009F0995" w:rsidRPr="00C811E8">
        <w:t xml:space="preserve">. </w:t>
      </w:r>
      <w:r w:rsidR="00F36A9D" w:rsidRPr="00C811E8">
        <w:t xml:space="preserve">Uptake of prophylaxis </w:t>
      </w:r>
      <w:r w:rsidR="005B3205" w:rsidRPr="00C811E8">
        <w:t xml:space="preserve">may be expected to </w:t>
      </w:r>
      <w:r w:rsidR="00F36A9D" w:rsidRPr="00C811E8">
        <w:t>increase if a subcutaneous treatment is available. In 2023</w:t>
      </w:r>
      <w:r w:rsidR="00F65293">
        <w:t>–</w:t>
      </w:r>
      <w:r w:rsidR="00F36A9D" w:rsidRPr="00C811E8">
        <w:t>24</w:t>
      </w:r>
      <w:r w:rsidR="00232BAB">
        <w:t>,</w:t>
      </w:r>
      <w:r w:rsidR="00F36A9D" w:rsidRPr="00C811E8">
        <w:t xml:space="preserve"> there were 116 </w:t>
      </w:r>
      <w:r w:rsidR="00425817">
        <w:t xml:space="preserve">patients with </w:t>
      </w:r>
      <w:r w:rsidR="00F36A9D" w:rsidRPr="00C811E8">
        <w:t xml:space="preserve">HMB in the </w:t>
      </w:r>
      <w:r w:rsidR="000764D3">
        <w:t>ABDR</w:t>
      </w:r>
      <w:r w:rsidR="000764D3" w:rsidRPr="00C811E8">
        <w:t xml:space="preserve"> </w:t>
      </w:r>
      <w:r w:rsidR="00F36A9D" w:rsidRPr="00C811E8">
        <w:t>with severe disease</w:t>
      </w:r>
      <w:r w:rsidR="005B3205" w:rsidRPr="00C811E8">
        <w:t>;</w:t>
      </w:r>
      <w:r w:rsidR="00F36A9D" w:rsidRPr="00C811E8">
        <w:t xml:space="preserve"> 140 with moderate disease and 328 with mild disease. Therefore, there is scope for expansion of the population</w:t>
      </w:r>
      <w:r w:rsidR="005B3205" w:rsidRPr="00C811E8">
        <w:t xml:space="preserve"> eligible for uptake of concizumab prophylaxis</w:t>
      </w:r>
      <w:r w:rsidR="00F36A9D" w:rsidRPr="00C811E8">
        <w:t>.</w:t>
      </w:r>
      <w:r w:rsidR="00F11DF2" w:rsidRPr="00C811E8">
        <w:t xml:space="preserve"> </w:t>
      </w:r>
      <w:r w:rsidR="008C2FD2" w:rsidRPr="00C811E8">
        <w:t>Conversely, uptake of gene therapy could reduce the eligible population</w:t>
      </w:r>
      <w:r w:rsidR="005B3205" w:rsidRPr="00C811E8">
        <w:t>,</w:t>
      </w:r>
      <w:r w:rsidR="008C2FD2" w:rsidRPr="00C811E8">
        <w:t xml:space="preserve"> given </w:t>
      </w:r>
      <w:r w:rsidR="00851BFB" w:rsidRPr="00C811E8">
        <w:t xml:space="preserve">it </w:t>
      </w:r>
      <w:r w:rsidR="008C2FD2" w:rsidRPr="00C811E8">
        <w:t xml:space="preserve">is </w:t>
      </w:r>
      <w:r w:rsidR="00851BFB" w:rsidRPr="00C811E8">
        <w:t xml:space="preserve">intended as </w:t>
      </w:r>
      <w:r w:rsidR="008C2FD2" w:rsidRPr="00C811E8">
        <w:t xml:space="preserve">a one-time treatment </w:t>
      </w:r>
      <w:r w:rsidR="00A65920" w:rsidRPr="00C811E8">
        <w:t xml:space="preserve">to </w:t>
      </w:r>
      <w:r w:rsidR="000764D3">
        <w:t>eliminate</w:t>
      </w:r>
      <w:r w:rsidR="000764D3" w:rsidRPr="00C811E8">
        <w:t xml:space="preserve"> </w:t>
      </w:r>
      <w:r w:rsidR="008C2FD2" w:rsidRPr="00C811E8">
        <w:t xml:space="preserve">the requirement for regular prophylaxis. Furthermore, market share for concizumab could be affected by other subcutaneous treatments entering the market. </w:t>
      </w:r>
    </w:p>
    <w:p w14:paraId="64D54C23" w14:textId="3FC2D625" w:rsidR="004E5437" w:rsidRPr="00C811E8" w:rsidRDefault="004E5437" w:rsidP="00332823">
      <w:r w:rsidRPr="00C811E8">
        <w:t xml:space="preserve">The ADAR estimated uptake of concizumab to be </w:t>
      </w:r>
      <w:r w:rsidR="007418CB">
        <w:rPr>
          <w:b/>
        </w:rPr>
        <w:t>redacted</w:t>
      </w:r>
      <w:r w:rsidRPr="00282024">
        <w:t>%</w:t>
      </w:r>
      <w:r w:rsidRPr="00C811E8">
        <w:t xml:space="preserve"> in the first year of listing, growing to and plateauing at </w:t>
      </w:r>
      <w:r w:rsidR="007418CB">
        <w:rPr>
          <w:b/>
        </w:rPr>
        <w:t>redacted</w:t>
      </w:r>
      <w:r w:rsidRPr="00282024">
        <w:t>%</w:t>
      </w:r>
      <w:r w:rsidRPr="00C811E8">
        <w:t xml:space="preserve"> by Year 4. The ADAR stated this was a conservative estimate</w:t>
      </w:r>
      <w:r w:rsidR="00753136">
        <w:t>;</w:t>
      </w:r>
      <w:r w:rsidRPr="00C811E8">
        <w:t xml:space="preserve"> </w:t>
      </w:r>
      <w:r w:rsidR="00753136">
        <w:t>h</w:t>
      </w:r>
      <w:r w:rsidRPr="00C811E8">
        <w:t>owever</w:t>
      </w:r>
      <w:r w:rsidR="00851BFB" w:rsidRPr="00C811E8">
        <w:t>,</w:t>
      </w:r>
      <w:r w:rsidRPr="00C811E8">
        <w:t xml:space="preserve"> a </w:t>
      </w:r>
      <w:r w:rsidR="00EE2178">
        <w:t>lower uptake assumption results in</w:t>
      </w:r>
      <w:r w:rsidR="00975296" w:rsidRPr="00C811E8">
        <w:t xml:space="preserve"> a higher weighted price. </w:t>
      </w:r>
      <w:r w:rsidR="00A534B4" w:rsidRPr="00C811E8">
        <w:t>Patient preference data indicated strong patient preference for subcutaneous administration over current injection methods</w:t>
      </w:r>
      <w:r w:rsidR="00851BFB" w:rsidRPr="00C811E8">
        <w:t>,</w:t>
      </w:r>
      <w:r w:rsidR="00A534B4" w:rsidRPr="00C811E8">
        <w:t xml:space="preserve"> and rapid and high uptake of emicizumab in the HMA population supports this assertion.</w:t>
      </w:r>
    </w:p>
    <w:p w14:paraId="4FE2390F" w14:textId="309E1B6A" w:rsidR="0072578A" w:rsidRDefault="006359B1" w:rsidP="00330A0A">
      <w:r w:rsidRPr="00C811E8">
        <w:t xml:space="preserve">Using the cost-neutral price generated in the CMA of </w:t>
      </w:r>
      <w:r w:rsidR="004445E9" w:rsidRPr="00282024">
        <w:t>$</w:t>
      </w:r>
      <w:r w:rsidR="000A4C01">
        <w:rPr>
          <w:b/>
        </w:rPr>
        <w:t>redacted</w:t>
      </w:r>
      <w:r w:rsidR="004445E9" w:rsidRPr="00C811E8">
        <w:t>, t</w:t>
      </w:r>
      <w:r w:rsidR="00D428B9" w:rsidRPr="00C811E8">
        <w:t xml:space="preserve">he financial implications to the </w:t>
      </w:r>
      <w:r w:rsidR="003C6F26" w:rsidRPr="00C811E8">
        <w:t>N</w:t>
      </w:r>
      <w:r w:rsidR="001D4A54">
        <w:t xml:space="preserve">ational </w:t>
      </w:r>
      <w:r w:rsidR="003C6F26" w:rsidRPr="00C811E8">
        <w:t>B</w:t>
      </w:r>
      <w:r w:rsidR="001D4A54">
        <w:t xml:space="preserve">lood </w:t>
      </w:r>
      <w:r w:rsidR="003C6F26" w:rsidRPr="00C811E8">
        <w:t>A</w:t>
      </w:r>
      <w:r w:rsidR="001D4A54">
        <w:t>g</w:t>
      </w:r>
      <w:r w:rsidR="009F5CD2">
        <w:t>r</w:t>
      </w:r>
      <w:r w:rsidR="001D4A54">
        <w:t>eement</w:t>
      </w:r>
      <w:r w:rsidR="00D428B9" w:rsidRPr="00C811E8">
        <w:t xml:space="preserve"> resulting from the proposed listing of </w:t>
      </w:r>
      <w:r w:rsidR="004445E9" w:rsidRPr="00C811E8">
        <w:t xml:space="preserve">concizumab for HMB </w:t>
      </w:r>
      <w:r w:rsidR="00D428B9" w:rsidRPr="00C811E8">
        <w:t>are summarised in</w:t>
      </w:r>
      <w:r w:rsidR="004445E9" w:rsidRPr="00C811E8">
        <w:t xml:space="preserve"> </w:t>
      </w:r>
      <w:r w:rsidR="004445E9" w:rsidRPr="00C811E8">
        <w:fldChar w:fldCharType="begin"/>
      </w:r>
      <w:r w:rsidR="004445E9" w:rsidRPr="00C811E8">
        <w:instrText xml:space="preserve"> REF _Ref69726382 \h </w:instrText>
      </w:r>
      <w:r w:rsidR="00C811E8">
        <w:instrText xml:space="preserve"> \* MERGEFORMAT </w:instrText>
      </w:r>
      <w:r w:rsidR="004445E9" w:rsidRPr="00C811E8">
        <w:fldChar w:fldCharType="separate"/>
      </w:r>
      <w:r w:rsidR="00CD3B0F" w:rsidRPr="00CE28E3">
        <w:t>Table</w:t>
      </w:r>
      <w:r w:rsidR="00CD3B0F">
        <w:t> 24</w:t>
      </w:r>
      <w:r w:rsidR="004445E9" w:rsidRPr="00C811E8">
        <w:fldChar w:fldCharType="end"/>
      </w:r>
      <w:r w:rsidR="00D428B9" w:rsidRPr="00C811E8">
        <w:t>.</w:t>
      </w:r>
      <w:r w:rsidR="00D428B9" w:rsidRPr="00CE28E3">
        <w:t xml:space="preserve"> </w:t>
      </w:r>
    </w:p>
    <w:p w14:paraId="33FCA9D4" w14:textId="069671A3" w:rsidR="00D428B9" w:rsidRPr="00CE28E3" w:rsidRDefault="00D428B9" w:rsidP="003D5070">
      <w:pPr>
        <w:pStyle w:val="Caption"/>
        <w:keepNext w:val="0"/>
      </w:pPr>
      <w:bookmarkStart w:id="57" w:name="_Ref69726382"/>
      <w:r>
        <w:t>Table</w:t>
      </w:r>
      <w:r w:rsidR="003571C2">
        <w:t> </w:t>
      </w:r>
      <w:r w:rsidRPr="07BA124B">
        <w:fldChar w:fldCharType="begin"/>
      </w:r>
      <w:r>
        <w:instrText xml:space="preserve"> SEQ Table \* ARABIC </w:instrText>
      </w:r>
      <w:r w:rsidRPr="07BA124B">
        <w:fldChar w:fldCharType="separate"/>
      </w:r>
      <w:r w:rsidR="00CD3B0F" w:rsidRPr="07BA124B">
        <w:rPr>
          <w:noProof/>
        </w:rPr>
        <w:t>24</w:t>
      </w:r>
      <w:r w:rsidRPr="07BA124B">
        <w:rPr>
          <w:noProof/>
        </w:rPr>
        <w:fldChar w:fldCharType="end"/>
      </w:r>
      <w:bookmarkEnd w:id="57"/>
      <w:r>
        <w:tab/>
        <w:t xml:space="preserve">Net financial implications of </w:t>
      </w:r>
      <w:r w:rsidR="004445E9">
        <w:t>concizumab for prophylaxis in HMB</w:t>
      </w:r>
    </w:p>
    <w:tbl>
      <w:tblPr>
        <w:tblW w:w="4874" w:type="pct"/>
        <w:tblCellMar>
          <w:left w:w="0" w:type="dxa"/>
          <w:right w:w="0" w:type="dxa"/>
        </w:tblCellMar>
        <w:tblLook w:val="04A0" w:firstRow="1" w:lastRow="0" w:firstColumn="1" w:lastColumn="0" w:noHBand="0" w:noVBand="1"/>
        <w:tblCaption w:val="Net financial implications of concizumab for prophylaxis in HMB to the NBA"/>
        <w:tblDescription w:val="Net financial implications of concizumab for prophylaxis in HMB to the NBA"/>
      </w:tblPr>
      <w:tblGrid>
        <w:gridCol w:w="1484"/>
        <w:gridCol w:w="1226"/>
        <w:gridCol w:w="1227"/>
        <w:gridCol w:w="1227"/>
        <w:gridCol w:w="1227"/>
        <w:gridCol w:w="1227"/>
        <w:gridCol w:w="1161"/>
      </w:tblGrid>
      <w:tr w:rsidR="00851BFB" w:rsidRPr="008B3641" w14:paraId="10C955A8" w14:textId="77777777" w:rsidTr="00282024">
        <w:trPr>
          <w:tblHeader/>
        </w:trPr>
        <w:tc>
          <w:tcPr>
            <w:tcW w:w="5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0BEFFF" w14:textId="130CD43F" w:rsidR="00D428B9" w:rsidRPr="008B3641" w:rsidRDefault="00211DC3" w:rsidP="003D5070">
            <w:pPr>
              <w:pStyle w:val="TableText"/>
              <w:rPr>
                <w:b/>
                <w:bCs/>
              </w:rPr>
            </w:pPr>
            <w:bookmarkStart w:id="58" w:name="Title_Table12" w:colFirst="0" w:colLast="0"/>
            <w:bookmarkStart w:id="59" w:name="_Hlk68276802"/>
            <w:r w:rsidRPr="008B3641">
              <w:rPr>
                <w:b/>
                <w:bCs/>
              </w:rPr>
              <w:t>Parameter</w:t>
            </w:r>
            <w:r w:rsidR="001531D6" w:rsidRPr="008B3641">
              <w:rPr>
                <w:b/>
                <w:bCs/>
              </w:rPr>
              <w:t xml:space="preserve"> </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2FC81" w14:textId="27954C30" w:rsidR="00D428B9" w:rsidRPr="008B3641" w:rsidRDefault="00D428B9" w:rsidP="003D5070">
            <w:pPr>
              <w:pStyle w:val="TableText"/>
              <w:jc w:val="right"/>
              <w:rPr>
                <w:b/>
                <w:bCs/>
              </w:rPr>
            </w:pPr>
            <w:r w:rsidRPr="008B3641">
              <w:rPr>
                <w:b/>
                <w:bCs/>
              </w:rPr>
              <w:t xml:space="preserve">Year </w:t>
            </w:r>
            <w:r w:rsidR="00D77B20" w:rsidRPr="008B3641">
              <w:rPr>
                <w:b/>
                <w:bCs/>
              </w:rPr>
              <w:t>20</w:t>
            </w:r>
            <w:r w:rsidR="00522108" w:rsidRPr="008B3641">
              <w:rPr>
                <w:b/>
                <w:bCs/>
              </w:rPr>
              <w:t>27</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DA5DF" w14:textId="0FB6C82E" w:rsidR="00D428B9" w:rsidRPr="008B3641" w:rsidRDefault="00D428B9" w:rsidP="003D5070">
            <w:pPr>
              <w:pStyle w:val="TableText"/>
              <w:jc w:val="right"/>
              <w:rPr>
                <w:b/>
                <w:bCs/>
              </w:rPr>
            </w:pPr>
            <w:r w:rsidRPr="008B3641">
              <w:rPr>
                <w:b/>
                <w:bCs/>
              </w:rPr>
              <w:t xml:space="preserve">Year </w:t>
            </w:r>
            <w:r w:rsidR="00D77B20" w:rsidRPr="008B3641">
              <w:rPr>
                <w:b/>
                <w:bCs/>
              </w:rPr>
              <w:t>20</w:t>
            </w:r>
            <w:r w:rsidR="00522108" w:rsidRPr="008B3641">
              <w:rPr>
                <w:b/>
                <w:bCs/>
              </w:rPr>
              <w:t>28</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14104" w14:textId="57273E6B" w:rsidR="00D428B9" w:rsidRPr="008B3641" w:rsidRDefault="00D428B9" w:rsidP="003D5070">
            <w:pPr>
              <w:pStyle w:val="TableText"/>
              <w:jc w:val="right"/>
              <w:rPr>
                <w:b/>
                <w:bCs/>
              </w:rPr>
            </w:pPr>
            <w:r w:rsidRPr="008B3641">
              <w:rPr>
                <w:b/>
                <w:bCs/>
              </w:rPr>
              <w:t xml:space="preserve">Year </w:t>
            </w:r>
            <w:r w:rsidR="00D77B20" w:rsidRPr="008B3641">
              <w:rPr>
                <w:b/>
                <w:bCs/>
              </w:rPr>
              <w:t>20</w:t>
            </w:r>
            <w:r w:rsidR="00522108" w:rsidRPr="008B3641">
              <w:rPr>
                <w:b/>
                <w:bCs/>
              </w:rPr>
              <w:t>29</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580A99" w14:textId="17B82933" w:rsidR="00D428B9" w:rsidRPr="008B3641" w:rsidRDefault="00D428B9" w:rsidP="003D5070">
            <w:pPr>
              <w:pStyle w:val="TableText"/>
              <w:jc w:val="right"/>
              <w:rPr>
                <w:b/>
                <w:bCs/>
              </w:rPr>
            </w:pPr>
            <w:r w:rsidRPr="008B3641">
              <w:rPr>
                <w:b/>
                <w:bCs/>
              </w:rPr>
              <w:t xml:space="preserve">Year </w:t>
            </w:r>
            <w:r w:rsidR="00D77B20" w:rsidRPr="008B3641">
              <w:rPr>
                <w:b/>
                <w:bCs/>
              </w:rPr>
              <w:t>20</w:t>
            </w:r>
            <w:r w:rsidR="005868E3" w:rsidRPr="008B3641">
              <w:rPr>
                <w:b/>
                <w:bCs/>
              </w:rPr>
              <w:t>30</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B68C0" w14:textId="145331E3" w:rsidR="00D428B9" w:rsidRPr="008B3641" w:rsidRDefault="00D428B9" w:rsidP="003D5070">
            <w:pPr>
              <w:pStyle w:val="TableText"/>
              <w:jc w:val="right"/>
              <w:rPr>
                <w:b/>
                <w:bCs/>
              </w:rPr>
            </w:pPr>
            <w:r w:rsidRPr="008B3641">
              <w:rPr>
                <w:b/>
                <w:bCs/>
              </w:rPr>
              <w:t xml:space="preserve">Year </w:t>
            </w:r>
            <w:r w:rsidR="00D77B20" w:rsidRPr="008B3641">
              <w:rPr>
                <w:b/>
                <w:bCs/>
              </w:rPr>
              <w:t>20</w:t>
            </w:r>
            <w:r w:rsidR="005868E3" w:rsidRPr="008B3641">
              <w:rPr>
                <w:b/>
                <w:bCs/>
              </w:rPr>
              <w:t>31</w:t>
            </w:r>
          </w:p>
        </w:tc>
        <w:tc>
          <w:tcPr>
            <w:tcW w:w="6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0E4711" w14:textId="22C340DD" w:rsidR="00D428B9" w:rsidRPr="008B3641" w:rsidRDefault="00D428B9" w:rsidP="003D5070">
            <w:pPr>
              <w:pStyle w:val="TableText"/>
              <w:jc w:val="right"/>
              <w:rPr>
                <w:b/>
                <w:bCs/>
              </w:rPr>
            </w:pPr>
            <w:r w:rsidRPr="008B3641">
              <w:rPr>
                <w:b/>
                <w:bCs/>
              </w:rPr>
              <w:t xml:space="preserve">Year </w:t>
            </w:r>
            <w:r w:rsidR="00D77B20" w:rsidRPr="008B3641">
              <w:rPr>
                <w:b/>
                <w:bCs/>
              </w:rPr>
              <w:t>20</w:t>
            </w:r>
            <w:r w:rsidR="005868E3" w:rsidRPr="008B3641">
              <w:rPr>
                <w:b/>
                <w:bCs/>
              </w:rPr>
              <w:t>32</w:t>
            </w:r>
          </w:p>
        </w:tc>
      </w:tr>
      <w:tr w:rsidR="00851BFB" w:rsidRPr="008B3641" w14:paraId="5F87C769" w14:textId="77777777" w:rsidTr="00282024">
        <w:trPr>
          <w:tblHeader/>
        </w:trPr>
        <w:tc>
          <w:tcPr>
            <w:tcW w:w="564" w:type="pct"/>
            <w:tcBorders>
              <w:top w:val="single" w:sz="8" w:space="0" w:color="auto"/>
              <w:left w:val="single" w:sz="8" w:space="0" w:color="auto"/>
              <w:bottom w:val="single" w:sz="8" w:space="0" w:color="auto"/>
            </w:tcBorders>
            <w:tcMar>
              <w:top w:w="0" w:type="dxa"/>
              <w:left w:w="108" w:type="dxa"/>
              <w:bottom w:w="0" w:type="dxa"/>
              <w:right w:w="108" w:type="dxa"/>
            </w:tcMar>
          </w:tcPr>
          <w:p w14:paraId="03471AB6" w14:textId="048E1DD6" w:rsidR="00B809BB" w:rsidRPr="008B3641" w:rsidRDefault="00B809BB" w:rsidP="003D5070">
            <w:pPr>
              <w:pStyle w:val="TableText"/>
              <w:rPr>
                <w:b/>
                <w:bCs/>
              </w:rPr>
            </w:pPr>
            <w:r w:rsidRPr="008B3641">
              <w:rPr>
                <w:b/>
                <w:bCs/>
              </w:rPr>
              <w:t>Estimated use and cost of the proposed health technology</w:t>
            </w:r>
          </w:p>
        </w:tc>
        <w:tc>
          <w:tcPr>
            <w:tcW w:w="761" w:type="pct"/>
            <w:tcBorders>
              <w:top w:val="single" w:sz="8" w:space="0" w:color="auto"/>
              <w:bottom w:val="single" w:sz="8" w:space="0" w:color="auto"/>
            </w:tcBorders>
            <w:tcMar>
              <w:top w:w="0" w:type="dxa"/>
              <w:left w:w="108" w:type="dxa"/>
              <w:bottom w:w="0" w:type="dxa"/>
              <w:right w:w="108" w:type="dxa"/>
            </w:tcMar>
          </w:tcPr>
          <w:p w14:paraId="59D8673F" w14:textId="77777777" w:rsidR="00B809BB" w:rsidRPr="008B3641" w:rsidRDefault="00B809BB" w:rsidP="003D5070">
            <w:pPr>
              <w:pStyle w:val="TableText"/>
              <w:jc w:val="right"/>
              <w:rPr>
                <w:b/>
                <w:bCs/>
              </w:rPr>
            </w:pPr>
          </w:p>
        </w:tc>
        <w:tc>
          <w:tcPr>
            <w:tcW w:w="761" w:type="pct"/>
            <w:tcBorders>
              <w:top w:val="single" w:sz="8" w:space="0" w:color="auto"/>
              <w:bottom w:val="single" w:sz="8" w:space="0" w:color="auto"/>
            </w:tcBorders>
            <w:tcMar>
              <w:top w:w="0" w:type="dxa"/>
              <w:left w:w="108" w:type="dxa"/>
              <w:bottom w:w="0" w:type="dxa"/>
              <w:right w:w="108" w:type="dxa"/>
            </w:tcMar>
          </w:tcPr>
          <w:p w14:paraId="5DFDBF64" w14:textId="77777777" w:rsidR="00B809BB" w:rsidRPr="008B3641" w:rsidRDefault="00B809BB" w:rsidP="003D5070">
            <w:pPr>
              <w:pStyle w:val="TableText"/>
              <w:jc w:val="right"/>
              <w:rPr>
                <w:b/>
                <w:bCs/>
              </w:rPr>
            </w:pPr>
          </w:p>
        </w:tc>
        <w:tc>
          <w:tcPr>
            <w:tcW w:w="761" w:type="pct"/>
            <w:tcBorders>
              <w:top w:val="single" w:sz="8" w:space="0" w:color="auto"/>
              <w:bottom w:val="single" w:sz="8" w:space="0" w:color="auto"/>
            </w:tcBorders>
            <w:tcMar>
              <w:top w:w="0" w:type="dxa"/>
              <w:left w:w="108" w:type="dxa"/>
              <w:bottom w:w="0" w:type="dxa"/>
              <w:right w:w="108" w:type="dxa"/>
            </w:tcMar>
          </w:tcPr>
          <w:p w14:paraId="6AA4588F" w14:textId="77777777" w:rsidR="00B809BB" w:rsidRPr="008B3641" w:rsidRDefault="00B809BB" w:rsidP="003D5070">
            <w:pPr>
              <w:pStyle w:val="TableText"/>
              <w:jc w:val="right"/>
              <w:rPr>
                <w:b/>
                <w:bCs/>
              </w:rPr>
            </w:pPr>
          </w:p>
        </w:tc>
        <w:tc>
          <w:tcPr>
            <w:tcW w:w="761" w:type="pct"/>
            <w:tcBorders>
              <w:top w:val="single" w:sz="8" w:space="0" w:color="auto"/>
              <w:bottom w:val="single" w:sz="8" w:space="0" w:color="auto"/>
            </w:tcBorders>
            <w:tcMar>
              <w:top w:w="0" w:type="dxa"/>
              <w:left w:w="108" w:type="dxa"/>
              <w:bottom w:w="0" w:type="dxa"/>
              <w:right w:w="108" w:type="dxa"/>
            </w:tcMar>
          </w:tcPr>
          <w:p w14:paraId="3DE6621B" w14:textId="77777777" w:rsidR="00B809BB" w:rsidRPr="008B3641" w:rsidRDefault="00B809BB" w:rsidP="003D5070">
            <w:pPr>
              <w:pStyle w:val="TableText"/>
              <w:jc w:val="right"/>
              <w:rPr>
                <w:b/>
                <w:bCs/>
              </w:rPr>
            </w:pPr>
          </w:p>
        </w:tc>
        <w:tc>
          <w:tcPr>
            <w:tcW w:w="761" w:type="pct"/>
            <w:tcBorders>
              <w:top w:val="single" w:sz="8" w:space="0" w:color="auto"/>
              <w:bottom w:val="single" w:sz="8" w:space="0" w:color="auto"/>
            </w:tcBorders>
            <w:tcMar>
              <w:top w:w="0" w:type="dxa"/>
              <w:left w:w="108" w:type="dxa"/>
              <w:bottom w:w="0" w:type="dxa"/>
              <w:right w:w="108" w:type="dxa"/>
            </w:tcMar>
          </w:tcPr>
          <w:p w14:paraId="4A4E7ED3" w14:textId="77777777" w:rsidR="00B809BB" w:rsidRPr="008B3641" w:rsidRDefault="00B809BB" w:rsidP="003D5070">
            <w:pPr>
              <w:pStyle w:val="TableText"/>
              <w:jc w:val="right"/>
              <w:rPr>
                <w:b/>
                <w:bCs/>
              </w:rPr>
            </w:pPr>
          </w:p>
        </w:tc>
        <w:tc>
          <w:tcPr>
            <w:tcW w:w="632" w:type="pct"/>
            <w:tcBorders>
              <w:top w:val="single" w:sz="8" w:space="0" w:color="auto"/>
              <w:bottom w:val="single" w:sz="8" w:space="0" w:color="auto"/>
              <w:right w:val="single" w:sz="8" w:space="0" w:color="auto"/>
            </w:tcBorders>
            <w:tcMar>
              <w:top w:w="0" w:type="dxa"/>
              <w:left w:w="108" w:type="dxa"/>
              <w:bottom w:w="0" w:type="dxa"/>
              <w:right w:w="108" w:type="dxa"/>
            </w:tcMar>
          </w:tcPr>
          <w:p w14:paraId="40643666" w14:textId="77777777" w:rsidR="00B809BB" w:rsidRPr="008B3641" w:rsidRDefault="00B809BB" w:rsidP="003D5070">
            <w:pPr>
              <w:pStyle w:val="TableText"/>
              <w:jc w:val="right"/>
              <w:rPr>
                <w:b/>
                <w:bCs/>
              </w:rPr>
            </w:pPr>
          </w:p>
        </w:tc>
      </w:tr>
      <w:bookmarkEnd w:id="58"/>
      <w:tr w:rsidR="00851BFB" w:rsidRPr="008B3641" w14:paraId="16C50CDA"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783D5" w14:textId="55CF3984" w:rsidR="00490E23" w:rsidRPr="008B3641" w:rsidRDefault="00490E23" w:rsidP="003D5070">
            <w:pPr>
              <w:pStyle w:val="TableText"/>
            </w:pPr>
            <w:r w:rsidRPr="008B3641">
              <w:t xml:space="preserve">Number of </w:t>
            </w:r>
            <w:r w:rsidR="00851BFB" w:rsidRPr="008B3641">
              <w:t xml:space="preserve">patients </w:t>
            </w:r>
            <w:r w:rsidRPr="008B3641">
              <w:t>eligible for concizumab (patients with HMB receiving PPX)</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3095266" w14:textId="3C8E8068" w:rsidR="00490E23"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7AB12F5" w14:textId="41E0F9E3" w:rsidR="00490E23"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9031D3F" w14:textId="6EDF46B7" w:rsidR="00490E23"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7859E00" w14:textId="06A8BEBD" w:rsidR="00490E23"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C0B54F8" w14:textId="12AA0DA3" w:rsidR="00490E23" w:rsidRPr="00282024" w:rsidRDefault="000A4C01" w:rsidP="003D5070">
            <w:pPr>
              <w:pStyle w:val="TableText"/>
              <w:jc w:val="right"/>
            </w:pPr>
            <w:r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19C7884F" w14:textId="20D9E9CD" w:rsidR="00490E23" w:rsidRPr="00282024" w:rsidRDefault="000A4C01" w:rsidP="003D5070">
            <w:pPr>
              <w:pStyle w:val="TableText"/>
              <w:jc w:val="right"/>
            </w:pPr>
            <w:r w:rsidRPr="008B3641">
              <w:rPr>
                <w:b/>
              </w:rPr>
              <w:t>redacted</w:t>
            </w:r>
          </w:p>
        </w:tc>
      </w:tr>
      <w:tr w:rsidR="00851BFB" w:rsidRPr="008B3641" w14:paraId="755DEAF4"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ACBFB" w14:textId="0B639EC4" w:rsidR="00120808" w:rsidRPr="008B3641" w:rsidRDefault="00120808" w:rsidP="003D5070">
            <w:pPr>
              <w:pStyle w:val="TableText"/>
            </w:pPr>
            <w:r w:rsidRPr="008B3641">
              <w:t xml:space="preserve">Number of </w:t>
            </w:r>
            <w:r w:rsidR="00851BFB" w:rsidRPr="008B3641">
              <w:t xml:space="preserve">patients </w:t>
            </w:r>
            <w:r w:rsidRPr="008B3641">
              <w:t>who receive concizumab</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07C02C49" w14:textId="62EB312A" w:rsidR="00120808"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726FA6A9" w14:textId="73CA1456" w:rsidR="00120808"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40599FCD" w14:textId="2A7B1FA7" w:rsidR="00120808"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49543F6F" w14:textId="507A1F9C" w:rsidR="00120808"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4012557F" w14:textId="781B8A9F" w:rsidR="00120808" w:rsidRPr="00282024" w:rsidRDefault="000A4C01" w:rsidP="003D5070">
            <w:pPr>
              <w:pStyle w:val="TableText"/>
              <w:jc w:val="right"/>
            </w:pPr>
            <w:r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66D09E" w14:textId="53A1E5A1" w:rsidR="00120808" w:rsidRPr="00282024" w:rsidRDefault="000A4C01" w:rsidP="003D5070">
            <w:pPr>
              <w:pStyle w:val="TableText"/>
              <w:jc w:val="right"/>
            </w:pPr>
            <w:r w:rsidRPr="008B3641">
              <w:rPr>
                <w:b/>
              </w:rPr>
              <w:t>redacted</w:t>
            </w:r>
          </w:p>
        </w:tc>
      </w:tr>
      <w:tr w:rsidR="000A4C01" w:rsidRPr="008B3641" w14:paraId="55A6176D"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B7D44" w14:textId="361FA07F" w:rsidR="000A4C01" w:rsidRPr="008B3641" w:rsidRDefault="000A4C01" w:rsidP="003D5070">
            <w:pPr>
              <w:pStyle w:val="TableText"/>
            </w:pPr>
            <w:r w:rsidRPr="008B3641">
              <w:t>Doses administered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66D15F76" w14:textId="04F332AD" w:rsidR="000A4C01"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09480FD5" w14:textId="00EBBA85" w:rsidR="000A4C01"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2C940950" w14:textId="6E5F1F1C" w:rsidR="000A4C01"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46361EF9" w14:textId="5239681D" w:rsidR="000A4C01" w:rsidRPr="00282024" w:rsidRDefault="000A4C01"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54F194A" w14:textId="7F5BF7F9" w:rsidR="000A4C01" w:rsidRPr="00282024" w:rsidRDefault="000A4C01" w:rsidP="003D5070">
            <w:pPr>
              <w:pStyle w:val="TableText"/>
              <w:jc w:val="right"/>
            </w:pPr>
            <w:r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6689F5C3" w14:textId="06450AB0" w:rsidR="000A4C01" w:rsidRPr="00282024" w:rsidRDefault="000A4C01" w:rsidP="003D5070">
            <w:pPr>
              <w:pStyle w:val="TableText"/>
              <w:jc w:val="right"/>
            </w:pPr>
            <w:r w:rsidRPr="008B3641">
              <w:rPr>
                <w:b/>
              </w:rPr>
              <w:t>redacted</w:t>
            </w:r>
          </w:p>
        </w:tc>
      </w:tr>
      <w:tr w:rsidR="00851BFB" w:rsidRPr="008B3641" w14:paraId="17BAD6C0"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D856A" w14:textId="3DB68B8E" w:rsidR="000359D9" w:rsidRPr="008B3641" w:rsidRDefault="000359D9" w:rsidP="003D5070">
            <w:pPr>
              <w:pStyle w:val="TableText"/>
            </w:pPr>
            <w:r w:rsidRPr="008B3641">
              <w:t>Cost to the NBA</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0542506" w14:textId="21B7C5E6" w:rsidR="000359D9" w:rsidRPr="00282024" w:rsidRDefault="000359D9"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71D3823" w14:textId="222FD8BB" w:rsidR="000359D9" w:rsidRPr="00282024" w:rsidRDefault="000359D9"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6FF7234" w14:textId="209A3F0C" w:rsidR="000359D9" w:rsidRPr="00282024" w:rsidRDefault="000359D9"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0CD0669" w14:textId="58718347" w:rsidR="000359D9" w:rsidRPr="00282024" w:rsidRDefault="000359D9"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47BDBF5" w14:textId="15C6256B" w:rsidR="000359D9" w:rsidRPr="00282024" w:rsidRDefault="000359D9" w:rsidP="003D5070">
            <w:pPr>
              <w:pStyle w:val="TableText"/>
              <w:jc w:val="right"/>
            </w:pPr>
            <w:r w:rsidRPr="00282024">
              <w:t>$</w:t>
            </w:r>
            <w:r w:rsidR="000A4C0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7EB242D5" w14:textId="6D963F8D" w:rsidR="000359D9" w:rsidRPr="00282024" w:rsidRDefault="000359D9" w:rsidP="003D5070">
            <w:pPr>
              <w:pStyle w:val="TableText"/>
              <w:jc w:val="right"/>
            </w:pPr>
            <w:r w:rsidRPr="00282024">
              <w:t>$</w:t>
            </w:r>
            <w:r w:rsidR="000A4C01" w:rsidRPr="008B3641">
              <w:rPr>
                <w:b/>
              </w:rPr>
              <w:t>redacted</w:t>
            </w:r>
          </w:p>
        </w:tc>
      </w:tr>
      <w:tr w:rsidR="00851BFB" w:rsidRPr="008B3641" w14:paraId="69DC3864" w14:textId="77777777" w:rsidTr="00282024">
        <w:tc>
          <w:tcPr>
            <w:tcW w:w="564" w:type="pct"/>
            <w:tcBorders>
              <w:top w:val="nil"/>
              <w:left w:val="single" w:sz="8" w:space="0" w:color="auto"/>
              <w:bottom w:val="single" w:sz="8" w:space="0" w:color="auto"/>
            </w:tcBorders>
            <w:tcMar>
              <w:top w:w="0" w:type="dxa"/>
              <w:left w:w="108" w:type="dxa"/>
              <w:bottom w:w="0" w:type="dxa"/>
              <w:right w:w="108" w:type="dxa"/>
            </w:tcMar>
          </w:tcPr>
          <w:p w14:paraId="078CB6EC" w14:textId="2D0149DF" w:rsidR="00B809BB" w:rsidRPr="008B3641" w:rsidRDefault="00B809BB" w:rsidP="003D5070">
            <w:pPr>
              <w:pStyle w:val="TableText"/>
            </w:pPr>
            <w:r w:rsidRPr="008B3641">
              <w:rPr>
                <w:b/>
                <w:bCs/>
              </w:rPr>
              <w:t>Change in use and cost of other health technologies</w:t>
            </w:r>
          </w:p>
        </w:tc>
        <w:tc>
          <w:tcPr>
            <w:tcW w:w="761" w:type="pct"/>
            <w:tcBorders>
              <w:top w:val="single" w:sz="8" w:space="0" w:color="auto"/>
              <w:bottom w:val="single" w:sz="8" w:space="0" w:color="auto"/>
            </w:tcBorders>
            <w:tcMar>
              <w:top w:w="0" w:type="dxa"/>
              <w:left w:w="108" w:type="dxa"/>
              <w:bottom w:w="0" w:type="dxa"/>
              <w:right w:w="108" w:type="dxa"/>
            </w:tcMar>
          </w:tcPr>
          <w:p w14:paraId="3C52294B" w14:textId="77777777" w:rsidR="00B809BB" w:rsidRPr="00282024" w:rsidRDefault="00B809BB" w:rsidP="003D5070">
            <w:pPr>
              <w:pStyle w:val="TableText"/>
              <w:jc w:val="right"/>
            </w:pPr>
          </w:p>
        </w:tc>
        <w:tc>
          <w:tcPr>
            <w:tcW w:w="761" w:type="pct"/>
            <w:tcBorders>
              <w:top w:val="single" w:sz="8" w:space="0" w:color="auto"/>
              <w:bottom w:val="single" w:sz="8" w:space="0" w:color="auto"/>
            </w:tcBorders>
            <w:tcMar>
              <w:top w:w="0" w:type="dxa"/>
              <w:left w:w="108" w:type="dxa"/>
              <w:bottom w:w="0" w:type="dxa"/>
              <w:right w:w="108" w:type="dxa"/>
            </w:tcMar>
          </w:tcPr>
          <w:p w14:paraId="3706E682" w14:textId="77777777" w:rsidR="00B809BB" w:rsidRPr="00282024" w:rsidRDefault="00B809BB" w:rsidP="003D5070">
            <w:pPr>
              <w:pStyle w:val="TableText"/>
              <w:jc w:val="right"/>
            </w:pPr>
          </w:p>
        </w:tc>
        <w:tc>
          <w:tcPr>
            <w:tcW w:w="761" w:type="pct"/>
            <w:tcBorders>
              <w:top w:val="single" w:sz="8" w:space="0" w:color="auto"/>
              <w:bottom w:val="single" w:sz="8" w:space="0" w:color="auto"/>
            </w:tcBorders>
            <w:tcMar>
              <w:top w:w="0" w:type="dxa"/>
              <w:left w:w="108" w:type="dxa"/>
              <w:bottom w:w="0" w:type="dxa"/>
              <w:right w:w="108" w:type="dxa"/>
            </w:tcMar>
          </w:tcPr>
          <w:p w14:paraId="1EC5CEEA" w14:textId="77777777" w:rsidR="00B809BB" w:rsidRPr="00282024" w:rsidRDefault="00B809BB" w:rsidP="003D5070">
            <w:pPr>
              <w:pStyle w:val="TableText"/>
              <w:jc w:val="right"/>
            </w:pPr>
          </w:p>
        </w:tc>
        <w:tc>
          <w:tcPr>
            <w:tcW w:w="761" w:type="pct"/>
            <w:tcBorders>
              <w:top w:val="single" w:sz="8" w:space="0" w:color="auto"/>
              <w:bottom w:val="single" w:sz="8" w:space="0" w:color="auto"/>
            </w:tcBorders>
            <w:tcMar>
              <w:top w:w="0" w:type="dxa"/>
              <w:left w:w="108" w:type="dxa"/>
              <w:bottom w:w="0" w:type="dxa"/>
              <w:right w:w="108" w:type="dxa"/>
            </w:tcMar>
          </w:tcPr>
          <w:p w14:paraId="259F97A3" w14:textId="77777777" w:rsidR="00B809BB" w:rsidRPr="00282024" w:rsidRDefault="00B809BB" w:rsidP="003D5070">
            <w:pPr>
              <w:pStyle w:val="TableText"/>
              <w:jc w:val="right"/>
            </w:pPr>
          </w:p>
        </w:tc>
        <w:tc>
          <w:tcPr>
            <w:tcW w:w="761" w:type="pct"/>
            <w:tcBorders>
              <w:top w:val="single" w:sz="8" w:space="0" w:color="auto"/>
              <w:bottom w:val="single" w:sz="8" w:space="0" w:color="auto"/>
            </w:tcBorders>
            <w:tcMar>
              <w:top w:w="0" w:type="dxa"/>
              <w:left w:w="108" w:type="dxa"/>
              <w:bottom w:w="0" w:type="dxa"/>
              <w:right w:w="108" w:type="dxa"/>
            </w:tcMar>
          </w:tcPr>
          <w:p w14:paraId="76891DA1" w14:textId="77777777" w:rsidR="00B809BB" w:rsidRPr="00282024" w:rsidRDefault="00B809BB" w:rsidP="003D5070">
            <w:pPr>
              <w:pStyle w:val="TableText"/>
              <w:jc w:val="right"/>
            </w:pPr>
          </w:p>
        </w:tc>
        <w:tc>
          <w:tcPr>
            <w:tcW w:w="632" w:type="pct"/>
            <w:tcBorders>
              <w:top w:val="single" w:sz="8" w:space="0" w:color="auto"/>
              <w:bottom w:val="single" w:sz="8" w:space="0" w:color="auto"/>
              <w:right w:val="single" w:sz="8" w:space="0" w:color="auto"/>
            </w:tcBorders>
            <w:tcMar>
              <w:top w:w="0" w:type="dxa"/>
              <w:left w:w="108" w:type="dxa"/>
              <w:bottom w:w="0" w:type="dxa"/>
              <w:right w:w="108" w:type="dxa"/>
            </w:tcMar>
          </w:tcPr>
          <w:p w14:paraId="0542AC64" w14:textId="77777777" w:rsidR="00B809BB" w:rsidRPr="00282024" w:rsidRDefault="00B809BB" w:rsidP="003D5070">
            <w:pPr>
              <w:pStyle w:val="TableText"/>
              <w:jc w:val="right"/>
            </w:pPr>
          </w:p>
        </w:tc>
      </w:tr>
      <w:tr w:rsidR="00851BFB" w:rsidRPr="008B3641" w14:paraId="141B431A"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F8140" w14:textId="7F45AA60" w:rsidR="003B2984" w:rsidRPr="008B3641" w:rsidRDefault="4789CCCD" w:rsidP="003D5070">
            <w:pPr>
              <w:pStyle w:val="TableText"/>
            </w:pPr>
            <w:r w:rsidRPr="008B3641">
              <w:t>Change in use of A</w:t>
            </w:r>
            <w:r w:rsidR="72521E7D" w:rsidRPr="008B3641">
              <w:t>lprolix®</w:t>
            </w:r>
            <w:r w:rsidRPr="008B3641">
              <w:t xml:space="preserve"> (number of patient</w:t>
            </w:r>
            <w:r w:rsidR="00851BFB" w:rsidRPr="008B3641">
              <w:t>s</w:t>
            </w:r>
            <w:r w:rsidRPr="008B3641">
              <w:t>)</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A4E6D7D" w14:textId="38110194" w:rsidR="003B2984" w:rsidRPr="00282024" w:rsidRDefault="003B2984"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DCB03D6" w14:textId="7F766041" w:rsidR="003B2984" w:rsidRPr="00282024" w:rsidRDefault="003B2984"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05F281E" w14:textId="7B57A77A" w:rsidR="003B2984" w:rsidRPr="00282024" w:rsidRDefault="003B2984"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D92FF03" w14:textId="6CC0FBEA" w:rsidR="003B2984" w:rsidRPr="00282024" w:rsidRDefault="003B2984"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B4DD028" w14:textId="428D1EF1" w:rsidR="003B2984" w:rsidRPr="00282024" w:rsidRDefault="003B2984" w:rsidP="003D5070">
            <w:pPr>
              <w:pStyle w:val="TableText"/>
              <w:jc w:val="right"/>
            </w:pPr>
            <w:r w:rsidRPr="00282024">
              <w:t>-</w:t>
            </w:r>
            <w:r w:rsidR="000A4C0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533785F7" w14:textId="3AE8E2C9" w:rsidR="003B2984" w:rsidRPr="00282024" w:rsidRDefault="003B2984" w:rsidP="003D5070">
            <w:pPr>
              <w:pStyle w:val="TableText"/>
              <w:jc w:val="right"/>
            </w:pPr>
            <w:r w:rsidRPr="00282024">
              <w:t>-</w:t>
            </w:r>
            <w:r w:rsidR="000A4C01" w:rsidRPr="008B3641">
              <w:rPr>
                <w:b/>
              </w:rPr>
              <w:t>redacted</w:t>
            </w:r>
          </w:p>
        </w:tc>
      </w:tr>
      <w:tr w:rsidR="00851BFB" w:rsidRPr="008B3641" w14:paraId="3D0475C2"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A0546" w14:textId="1C40B35E" w:rsidR="003B2984" w:rsidRPr="008B3641" w:rsidRDefault="4789CCCD" w:rsidP="003D5070">
            <w:pPr>
              <w:pStyle w:val="TableText"/>
            </w:pPr>
            <w:r w:rsidRPr="008B3641">
              <w:t>Change in use of BeneFIX</w:t>
            </w:r>
            <w:r w:rsidR="273B39CC" w:rsidRPr="008B3641">
              <w:t>®</w:t>
            </w:r>
            <w:r w:rsidRPr="008B3641">
              <w:t xml:space="preserve"> (number of patient</w:t>
            </w:r>
            <w:r w:rsidR="00851BFB" w:rsidRPr="008B3641">
              <w:t>s</w:t>
            </w:r>
            <w:r w:rsidRPr="008B3641">
              <w:t>)</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0D93D8C" w14:textId="13510DB1" w:rsidR="003B2984" w:rsidRPr="00282024" w:rsidRDefault="003B2984"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91B0C16" w14:textId="2786FC85" w:rsidR="003B2984" w:rsidRPr="00282024" w:rsidRDefault="003B2984"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DAB74DE" w14:textId="00923D28" w:rsidR="003B2984" w:rsidRPr="00282024" w:rsidRDefault="003B2984"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5AF506D" w14:textId="0540DBE9" w:rsidR="003B2984" w:rsidRPr="00282024" w:rsidRDefault="003B2984" w:rsidP="003D5070">
            <w:pPr>
              <w:pStyle w:val="TableText"/>
              <w:jc w:val="right"/>
            </w:pPr>
            <w:r w:rsidRPr="00282024">
              <w:t>-</w:t>
            </w:r>
            <w:r w:rsidR="000A4C0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1AD2F08" w14:textId="24412BDA" w:rsidR="003B2984" w:rsidRPr="00282024" w:rsidRDefault="003B2984" w:rsidP="003D5070">
            <w:pPr>
              <w:pStyle w:val="TableText"/>
              <w:jc w:val="right"/>
            </w:pPr>
            <w:r w:rsidRPr="00282024">
              <w:t>-</w:t>
            </w:r>
            <w:r w:rsidR="000A4C0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6BF1F9AE" w14:textId="733BFDA0" w:rsidR="003B2984" w:rsidRPr="00282024" w:rsidRDefault="003B2984" w:rsidP="003D5070">
            <w:pPr>
              <w:pStyle w:val="TableText"/>
              <w:jc w:val="right"/>
            </w:pPr>
            <w:r w:rsidRPr="00282024">
              <w:t>-</w:t>
            </w:r>
            <w:r w:rsidR="000A4C01" w:rsidRPr="008B3641">
              <w:rPr>
                <w:b/>
              </w:rPr>
              <w:t>redacted</w:t>
            </w:r>
          </w:p>
        </w:tc>
      </w:tr>
      <w:tr w:rsidR="00851BFB" w:rsidRPr="008B3641" w14:paraId="7537920A"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67375" w14:textId="7C107563" w:rsidR="003B2984" w:rsidRPr="008B3641" w:rsidRDefault="4789CCCD" w:rsidP="003D5070">
            <w:pPr>
              <w:pStyle w:val="TableText"/>
            </w:pPr>
            <w:r w:rsidRPr="008B3641">
              <w:t>Change in use of MonoFIX</w:t>
            </w:r>
            <w:r w:rsidR="3203288C" w:rsidRPr="008B3641">
              <w:t>-VF</w:t>
            </w:r>
            <w:r w:rsidR="01DDAFBB" w:rsidRPr="008B3641">
              <w:t>®</w:t>
            </w:r>
            <w:r w:rsidRPr="008B3641">
              <w:t xml:space="preserve"> (number of patient</w:t>
            </w:r>
            <w:r w:rsidR="00851BFB" w:rsidRPr="008B3641">
              <w:t>s</w:t>
            </w:r>
            <w:r w:rsidRPr="008B3641">
              <w:t>)</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128437E" w14:textId="5F7DE337" w:rsidR="003B2984" w:rsidRPr="00282024" w:rsidRDefault="006E459D"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0B21981" w14:textId="7B828F6A" w:rsidR="003B2984" w:rsidRPr="00282024" w:rsidRDefault="006E459D"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B8956CE" w14:textId="5AC4DEED" w:rsidR="003B2984" w:rsidRPr="00282024" w:rsidRDefault="006E459D"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ED4213C" w14:textId="4DA90908" w:rsidR="003B2984" w:rsidRPr="00282024" w:rsidRDefault="006E459D" w:rsidP="003D5070">
            <w:pPr>
              <w:pStyle w:val="TableText"/>
              <w:jc w:val="right"/>
            </w:pPr>
            <w:r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B0BD324" w14:textId="68CC5710" w:rsidR="003B2984" w:rsidRPr="00282024" w:rsidRDefault="006E459D" w:rsidP="003D5070">
            <w:pPr>
              <w:pStyle w:val="TableText"/>
              <w:jc w:val="right"/>
            </w:pPr>
            <w:r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5FAFC579" w14:textId="0234F4E1" w:rsidR="003B2984" w:rsidRPr="00282024" w:rsidRDefault="006E459D" w:rsidP="003D5070">
            <w:pPr>
              <w:pStyle w:val="TableText"/>
              <w:jc w:val="right"/>
            </w:pPr>
            <w:r w:rsidRPr="008B3641">
              <w:rPr>
                <w:b/>
              </w:rPr>
              <w:t>redacted</w:t>
            </w:r>
          </w:p>
        </w:tc>
      </w:tr>
      <w:tr w:rsidR="00851BFB" w:rsidRPr="008B3641" w14:paraId="01782075"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F7F278" w14:textId="2EA63351" w:rsidR="00A8222E" w:rsidRPr="008B3641" w:rsidRDefault="357DBA76" w:rsidP="003D5070">
            <w:pPr>
              <w:pStyle w:val="TableText"/>
            </w:pPr>
            <w:r w:rsidRPr="008B3641">
              <w:t>Change in use of A</w:t>
            </w:r>
            <w:r w:rsidR="640BC2DC" w:rsidRPr="008B3641">
              <w:t>lprolix®</w:t>
            </w:r>
            <w:r w:rsidRPr="008B3641">
              <w:t xml:space="preserve"> (number of doses)</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21DD9CF" w14:textId="44A31D13" w:rsidR="00A8222E" w:rsidRPr="00282024" w:rsidRDefault="00A8222E" w:rsidP="003D5070">
            <w:pPr>
              <w:pStyle w:val="TableText"/>
              <w:jc w:val="right"/>
            </w:pPr>
            <w:r w:rsidRPr="00282024">
              <w:t>-</w:t>
            </w:r>
            <w:r w:rsidR="006E459D"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E39A979" w14:textId="409F4ABB" w:rsidR="00A8222E" w:rsidRPr="00282024" w:rsidRDefault="00A8222E" w:rsidP="003D5070">
            <w:pPr>
              <w:pStyle w:val="TableText"/>
              <w:jc w:val="right"/>
            </w:pPr>
            <w:r w:rsidRPr="00282024">
              <w:t>-</w:t>
            </w:r>
            <w:r w:rsidR="006E459D"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527678A" w14:textId="3A02B6D5" w:rsidR="00A8222E" w:rsidRPr="00282024" w:rsidRDefault="00A8222E" w:rsidP="003D5070">
            <w:pPr>
              <w:pStyle w:val="TableText"/>
              <w:jc w:val="right"/>
            </w:pPr>
            <w:r w:rsidRPr="00282024">
              <w:t>-</w:t>
            </w:r>
            <w:r w:rsidR="006E459D"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3BBF825" w14:textId="152CED7C" w:rsidR="00A8222E" w:rsidRPr="00282024" w:rsidRDefault="00A8222E" w:rsidP="003D5070">
            <w:pPr>
              <w:pStyle w:val="TableText"/>
              <w:jc w:val="right"/>
            </w:pPr>
            <w:r w:rsidRPr="00282024">
              <w:t>-</w:t>
            </w:r>
            <w:r w:rsidR="006E459D"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D2B6334" w14:textId="779F7B4B" w:rsidR="00A8222E" w:rsidRPr="00282024" w:rsidRDefault="00A8222E" w:rsidP="003D5070">
            <w:pPr>
              <w:pStyle w:val="TableText"/>
              <w:jc w:val="right"/>
            </w:pPr>
            <w:r w:rsidRPr="00282024">
              <w:t>-</w:t>
            </w:r>
            <w:r w:rsidR="006E459D"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1489B1D6" w14:textId="3C49F6DD" w:rsidR="00A8222E" w:rsidRPr="00282024" w:rsidRDefault="00A8222E" w:rsidP="003D5070">
            <w:pPr>
              <w:pStyle w:val="TableText"/>
              <w:jc w:val="right"/>
            </w:pPr>
            <w:r w:rsidRPr="00282024">
              <w:t>-</w:t>
            </w:r>
            <w:r w:rsidR="006E459D" w:rsidRPr="008B3641">
              <w:rPr>
                <w:b/>
              </w:rPr>
              <w:t>redacted</w:t>
            </w:r>
          </w:p>
        </w:tc>
      </w:tr>
      <w:tr w:rsidR="00851BFB" w:rsidRPr="008B3641" w14:paraId="63E3B052"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25B138" w14:textId="4A6B9B04" w:rsidR="00A8222E" w:rsidRPr="008B3641" w:rsidRDefault="357DBA76" w:rsidP="003D5070">
            <w:pPr>
              <w:pStyle w:val="TableText"/>
            </w:pPr>
            <w:r w:rsidRPr="008B3641">
              <w:t>Change in use of BeneFIX</w:t>
            </w:r>
            <w:r w:rsidR="7B4C271F" w:rsidRPr="008B3641">
              <w:t>®</w:t>
            </w:r>
            <w:r w:rsidRPr="008B3641">
              <w:t xml:space="preserve"> (number of doses)</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60C8B7C" w14:textId="7C90579F" w:rsidR="00A8222E" w:rsidRPr="00282024" w:rsidRDefault="00A8222E" w:rsidP="003D5070">
            <w:pPr>
              <w:pStyle w:val="TableText"/>
              <w:jc w:val="right"/>
            </w:pPr>
            <w:r w:rsidRPr="00282024">
              <w:t>-</w:t>
            </w:r>
            <w:r w:rsidR="006E459D"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A4FDB3A" w14:textId="487E58B6" w:rsidR="00A8222E" w:rsidRPr="00282024" w:rsidRDefault="00A8222E"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49A2F58" w14:textId="321E11F7" w:rsidR="00A8222E" w:rsidRPr="00282024" w:rsidRDefault="00A8222E"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A16EC53" w14:textId="46A3EE06" w:rsidR="00A8222E" w:rsidRPr="00282024" w:rsidRDefault="00A8222E"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C75368B" w14:textId="19EF25FD" w:rsidR="00A8222E" w:rsidRPr="00282024" w:rsidRDefault="00A8222E" w:rsidP="003D5070">
            <w:pPr>
              <w:pStyle w:val="TableText"/>
              <w:jc w:val="right"/>
            </w:pPr>
            <w:r w:rsidRPr="00282024">
              <w:t>-</w:t>
            </w:r>
            <w:r w:rsidR="008B364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17BA5F38" w14:textId="06910B2B" w:rsidR="00A8222E" w:rsidRPr="00282024" w:rsidRDefault="00A8222E" w:rsidP="003D5070">
            <w:pPr>
              <w:pStyle w:val="TableText"/>
              <w:jc w:val="right"/>
            </w:pPr>
            <w:r w:rsidRPr="00282024">
              <w:t>-</w:t>
            </w:r>
            <w:r w:rsidR="008B3641" w:rsidRPr="008B3641">
              <w:rPr>
                <w:b/>
              </w:rPr>
              <w:t>redacted</w:t>
            </w:r>
          </w:p>
        </w:tc>
      </w:tr>
      <w:tr w:rsidR="00851BFB" w:rsidRPr="008B3641" w14:paraId="6AA486C4"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E0CD0C1" w14:textId="390B6971" w:rsidR="00CC2A0C" w:rsidRPr="008B3641" w:rsidRDefault="61CFCD72" w:rsidP="003D5070">
            <w:pPr>
              <w:pStyle w:val="TableText"/>
            </w:pPr>
            <w:r w:rsidRPr="008B3641">
              <w:t>Cost to the NBA - A</w:t>
            </w:r>
            <w:r w:rsidR="3C4A6EB6" w:rsidRPr="008B3641">
              <w:t>lprol</w:t>
            </w:r>
            <w:r w:rsidR="42746B0D" w:rsidRPr="008B3641">
              <w:t>i</w:t>
            </w:r>
            <w:r w:rsidR="3C4A6EB6" w:rsidRPr="008B3641">
              <w:t>x®</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CB1435F" w14:textId="05662334" w:rsidR="00CC2A0C" w:rsidRPr="00282024" w:rsidRDefault="00CC2A0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7726362" w14:textId="3A61264E" w:rsidR="00CC2A0C" w:rsidRPr="00282024" w:rsidRDefault="00CC2A0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5A5B9891" w14:textId="3C0762D1" w:rsidR="00CC2A0C" w:rsidRPr="00282024" w:rsidRDefault="00CC2A0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6F8D715" w14:textId="0266B5A9" w:rsidR="00CC2A0C" w:rsidRPr="00282024" w:rsidRDefault="00CC2A0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3600365" w14:textId="3953BDAE" w:rsidR="00CC2A0C" w:rsidRPr="00282024" w:rsidRDefault="00CC2A0C" w:rsidP="003D5070">
            <w:pPr>
              <w:pStyle w:val="TableText"/>
              <w:jc w:val="right"/>
            </w:pPr>
            <w:r w:rsidRPr="00282024">
              <w:t>-$</w:t>
            </w:r>
            <w:r w:rsidR="008B364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656EE719" w14:textId="5CA09946" w:rsidR="00CC2A0C" w:rsidRPr="00282024" w:rsidRDefault="00CC2A0C" w:rsidP="003D5070">
            <w:pPr>
              <w:pStyle w:val="TableText"/>
              <w:jc w:val="right"/>
            </w:pPr>
            <w:r w:rsidRPr="00282024">
              <w:t>-$</w:t>
            </w:r>
            <w:r w:rsidR="008B3641" w:rsidRPr="008B3641">
              <w:rPr>
                <w:b/>
              </w:rPr>
              <w:t>redacted</w:t>
            </w:r>
          </w:p>
        </w:tc>
      </w:tr>
      <w:tr w:rsidR="00851BFB" w:rsidRPr="008B3641" w14:paraId="096B5A61"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4D01C1" w14:textId="600B5E70" w:rsidR="00CC2A0C" w:rsidRPr="008B3641" w:rsidRDefault="61CFCD72" w:rsidP="003D5070">
            <w:pPr>
              <w:pStyle w:val="TableText"/>
            </w:pPr>
            <w:r w:rsidRPr="008B3641">
              <w:t xml:space="preserve">Cost to the </w:t>
            </w:r>
            <w:r w:rsidR="1915C076" w:rsidRPr="008B3641">
              <w:t>NBA</w:t>
            </w:r>
            <w:r w:rsidRPr="008B3641">
              <w:t xml:space="preserve"> – BeneFIX</w:t>
            </w:r>
            <w:r w:rsidR="2976B5E4" w:rsidRPr="008B3641">
              <w:t>®</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A4945CB" w14:textId="1824F3D7" w:rsidR="00CC2A0C" w:rsidRPr="00282024" w:rsidRDefault="00CC2A0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807602C" w14:textId="5CAB37AD" w:rsidR="00CC2A0C" w:rsidRPr="00282024" w:rsidRDefault="00CC2A0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4E01799C" w14:textId="2F83C702" w:rsidR="00CC2A0C" w:rsidRPr="00282024" w:rsidRDefault="00CC2A0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9A338CE" w14:textId="6D76656D" w:rsidR="00CC2A0C" w:rsidRPr="00282024" w:rsidRDefault="00CC2A0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75C6F639" w14:textId="721DEE4C" w:rsidR="00CC2A0C" w:rsidRPr="00282024" w:rsidRDefault="00CC2A0C" w:rsidP="003D5070">
            <w:pPr>
              <w:pStyle w:val="TableText"/>
              <w:jc w:val="right"/>
            </w:pPr>
            <w:r w:rsidRPr="00282024">
              <w:t>-$</w:t>
            </w:r>
            <w:r w:rsidR="008B364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6CE0DC2B" w14:textId="014BC270" w:rsidR="00CC2A0C" w:rsidRPr="00282024" w:rsidRDefault="00CC2A0C" w:rsidP="003D5070">
            <w:pPr>
              <w:pStyle w:val="TableText"/>
              <w:jc w:val="right"/>
            </w:pPr>
            <w:r w:rsidRPr="00282024">
              <w:t>-$</w:t>
            </w:r>
            <w:r w:rsidR="008B3641" w:rsidRPr="008B3641">
              <w:rPr>
                <w:b/>
              </w:rPr>
              <w:t>redacted</w:t>
            </w:r>
          </w:p>
        </w:tc>
      </w:tr>
      <w:tr w:rsidR="00851BFB" w:rsidRPr="008B3641" w14:paraId="3E1B05BB"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33F3FB" w14:textId="05D8E4AD" w:rsidR="008241E2" w:rsidRPr="008B3641" w:rsidRDefault="79EBA019" w:rsidP="003D5070">
            <w:pPr>
              <w:pStyle w:val="TableText"/>
            </w:pPr>
            <w:r w:rsidRPr="008B3641">
              <w:t>Administration cost to hospitals – A</w:t>
            </w:r>
            <w:r w:rsidR="3A2709AA" w:rsidRPr="008B3641">
              <w:t>lprolix®</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723E2E4" w14:textId="526EFAA8" w:rsidR="008241E2" w:rsidRPr="00282024" w:rsidRDefault="008241E2"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6C3FE4D" w14:textId="0692F32D" w:rsidR="008241E2" w:rsidRPr="00282024" w:rsidRDefault="008241E2"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7FF8FAA" w14:textId="4E87B2C1" w:rsidR="008241E2" w:rsidRPr="00282024" w:rsidRDefault="008241E2"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2372F5F" w14:textId="46E172CD" w:rsidR="008241E2" w:rsidRPr="00282024" w:rsidRDefault="008241E2"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A211558" w14:textId="51FDF066" w:rsidR="008241E2" w:rsidRPr="00282024" w:rsidRDefault="008241E2" w:rsidP="003D5070">
            <w:pPr>
              <w:pStyle w:val="TableText"/>
              <w:jc w:val="right"/>
            </w:pPr>
            <w:r w:rsidRPr="00282024">
              <w:t>-$</w:t>
            </w:r>
            <w:r w:rsidR="008B364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123CB5E6" w14:textId="15FC4F4D" w:rsidR="008241E2" w:rsidRPr="00282024" w:rsidRDefault="008241E2" w:rsidP="003D5070">
            <w:pPr>
              <w:pStyle w:val="TableText"/>
              <w:jc w:val="right"/>
            </w:pPr>
            <w:r w:rsidRPr="00282024">
              <w:t>-$</w:t>
            </w:r>
            <w:r w:rsidR="008B3641" w:rsidRPr="008B3641">
              <w:rPr>
                <w:b/>
              </w:rPr>
              <w:t>redacted</w:t>
            </w:r>
          </w:p>
        </w:tc>
      </w:tr>
      <w:tr w:rsidR="00851BFB" w:rsidRPr="008B3641" w14:paraId="19825A9F"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22F2FC" w14:textId="06C30EAC" w:rsidR="008241E2" w:rsidRPr="008B3641" w:rsidRDefault="79EBA019" w:rsidP="003D5070">
            <w:pPr>
              <w:pStyle w:val="TableText"/>
            </w:pPr>
            <w:r w:rsidRPr="008B3641">
              <w:t>Administration cost to hospitals – BeneFIX</w:t>
            </w:r>
            <w:r w:rsidR="2B3D4061" w:rsidRPr="008B3641">
              <w:t>®</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9D09B9F" w14:textId="0B7AF313" w:rsidR="008241E2" w:rsidRPr="00282024" w:rsidRDefault="0DE0376C"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2EECFB9" w14:textId="06CBD8ED" w:rsidR="008241E2" w:rsidRPr="00282024" w:rsidRDefault="008241E2"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3EA39F15" w14:textId="554DB857" w:rsidR="008241E2" w:rsidRPr="00282024" w:rsidRDefault="008241E2"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61ACF48" w14:textId="21A5BCF2" w:rsidR="008241E2" w:rsidRPr="00282024" w:rsidRDefault="008241E2"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D8ED126" w14:textId="6E4E537F" w:rsidR="008241E2" w:rsidRPr="00282024" w:rsidRDefault="008241E2" w:rsidP="003D5070">
            <w:pPr>
              <w:pStyle w:val="TableText"/>
              <w:jc w:val="right"/>
            </w:pPr>
            <w:r w:rsidRPr="00282024">
              <w:t>-$</w:t>
            </w:r>
            <w:r w:rsidR="008B364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1AFA9066" w14:textId="4DE62932" w:rsidR="008241E2" w:rsidRPr="00282024" w:rsidRDefault="0DE0376C" w:rsidP="003D5070">
            <w:pPr>
              <w:pStyle w:val="TableText"/>
              <w:jc w:val="right"/>
            </w:pPr>
            <w:r w:rsidRPr="00282024">
              <w:t>-$</w:t>
            </w:r>
            <w:r w:rsidR="008B3641" w:rsidRPr="008B3641">
              <w:rPr>
                <w:b/>
              </w:rPr>
              <w:t>redacted</w:t>
            </w:r>
          </w:p>
        </w:tc>
      </w:tr>
      <w:tr w:rsidR="00851BFB" w:rsidRPr="008B3641" w14:paraId="15FAAA0C"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9A4DD9" w14:textId="694BB2B7" w:rsidR="00E6209A" w:rsidRPr="008B3641" w:rsidRDefault="00E6209A" w:rsidP="003D5070">
            <w:pPr>
              <w:pStyle w:val="TableText"/>
            </w:pPr>
            <w:r w:rsidRPr="008B3641">
              <w:rPr>
                <w:b/>
                <w:bCs/>
              </w:rPr>
              <w:t>Net financial impact to the NBA</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08A93CA0" w14:textId="11C738F6" w:rsidR="00E6209A" w:rsidRPr="00282024" w:rsidRDefault="00E6209A"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5F8781D7" w14:textId="22E0E805" w:rsidR="00E6209A" w:rsidRPr="00282024" w:rsidRDefault="00E6209A"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6C8D0C64" w14:textId="2931D991" w:rsidR="00E6209A" w:rsidRPr="00282024" w:rsidRDefault="00E6209A"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7A2138C2" w14:textId="787449AB" w:rsidR="00E6209A" w:rsidRPr="00282024" w:rsidRDefault="00E6209A" w:rsidP="003D5070">
            <w:pPr>
              <w:pStyle w:val="TableText"/>
              <w:jc w:val="right"/>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vAlign w:val="center"/>
          </w:tcPr>
          <w:p w14:paraId="678B61FC" w14:textId="203B1597" w:rsidR="00E6209A" w:rsidRPr="00282024" w:rsidRDefault="00E6209A" w:rsidP="003D5070">
            <w:pPr>
              <w:pStyle w:val="TableText"/>
              <w:jc w:val="right"/>
            </w:pPr>
            <w:r w:rsidRPr="00282024">
              <w:t>$</w:t>
            </w:r>
            <w:r w:rsidR="008B364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vAlign w:val="center"/>
          </w:tcPr>
          <w:p w14:paraId="693AF5F5" w14:textId="15B80E0F" w:rsidR="00E6209A" w:rsidRPr="00282024" w:rsidRDefault="00E6209A" w:rsidP="003D5070">
            <w:pPr>
              <w:pStyle w:val="TableText"/>
              <w:jc w:val="right"/>
            </w:pPr>
            <w:r w:rsidRPr="00282024">
              <w:t>$</w:t>
            </w:r>
            <w:r w:rsidR="008B3641" w:rsidRPr="008B3641">
              <w:rPr>
                <w:b/>
              </w:rPr>
              <w:t>redacted</w:t>
            </w:r>
          </w:p>
        </w:tc>
      </w:tr>
      <w:tr w:rsidR="00851BFB" w:rsidRPr="00C811E8" w14:paraId="1D7F897A" w14:textId="77777777" w:rsidTr="00282024">
        <w:tc>
          <w:tcPr>
            <w:tcW w:w="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A76BA" w14:textId="5673B130" w:rsidR="00E700E7" w:rsidRPr="008B3641" w:rsidRDefault="00E700E7" w:rsidP="003D5070">
            <w:pPr>
              <w:pStyle w:val="TableText"/>
              <w:rPr>
                <w:b/>
                <w:bCs/>
              </w:rPr>
            </w:pPr>
            <w:r w:rsidRPr="008B3641">
              <w:rPr>
                <w:b/>
                <w:bCs/>
              </w:rPr>
              <w:t>Net financial impact to hospitals</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0D9A965" w14:textId="510024DF" w:rsidR="00E700E7" w:rsidRPr="00282024" w:rsidRDefault="00E700E7" w:rsidP="003D5070">
            <w:pPr>
              <w:pStyle w:val="TableText"/>
              <w:jc w:val="right"/>
              <w:rPr>
                <w:b/>
                <w:bCs/>
              </w:rPr>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094449DB" w14:textId="0D936D89" w:rsidR="00E700E7" w:rsidRPr="00282024" w:rsidRDefault="00E700E7" w:rsidP="003D5070">
            <w:pPr>
              <w:pStyle w:val="TableText"/>
              <w:jc w:val="right"/>
              <w:rPr>
                <w:b/>
                <w:bCs/>
              </w:rPr>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1BD218F3" w14:textId="6BDDD12C" w:rsidR="00E700E7" w:rsidRPr="00282024" w:rsidRDefault="00E700E7" w:rsidP="003D5070">
            <w:pPr>
              <w:pStyle w:val="TableText"/>
              <w:jc w:val="right"/>
              <w:rPr>
                <w:b/>
                <w:bCs/>
              </w:rPr>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6613D334" w14:textId="37AE6BDD" w:rsidR="00E700E7" w:rsidRPr="00282024" w:rsidRDefault="00E700E7" w:rsidP="003D5070">
            <w:pPr>
              <w:pStyle w:val="TableText"/>
              <w:jc w:val="right"/>
              <w:rPr>
                <w:b/>
                <w:bCs/>
              </w:rPr>
            </w:pPr>
            <w:r w:rsidRPr="00282024">
              <w:t>-$</w:t>
            </w:r>
            <w:r w:rsidR="008B3641" w:rsidRPr="008B3641">
              <w:rPr>
                <w:b/>
              </w:rPr>
              <w:t>redacted</w:t>
            </w:r>
          </w:p>
        </w:tc>
        <w:tc>
          <w:tcPr>
            <w:tcW w:w="761" w:type="pct"/>
            <w:tcBorders>
              <w:top w:val="nil"/>
              <w:left w:val="nil"/>
              <w:bottom w:val="single" w:sz="8" w:space="0" w:color="auto"/>
              <w:right w:val="single" w:sz="8" w:space="0" w:color="auto"/>
            </w:tcBorders>
            <w:tcMar>
              <w:top w:w="0" w:type="dxa"/>
              <w:left w:w="108" w:type="dxa"/>
              <w:bottom w:w="0" w:type="dxa"/>
              <w:right w:w="108" w:type="dxa"/>
            </w:tcMar>
          </w:tcPr>
          <w:p w14:paraId="219A632F" w14:textId="396CBFE6" w:rsidR="00E700E7" w:rsidRPr="00282024" w:rsidRDefault="00E700E7" w:rsidP="003D5070">
            <w:pPr>
              <w:pStyle w:val="TableText"/>
              <w:jc w:val="right"/>
              <w:rPr>
                <w:b/>
                <w:bCs/>
              </w:rPr>
            </w:pPr>
            <w:r w:rsidRPr="00282024">
              <w:t>-$</w:t>
            </w:r>
            <w:r w:rsidR="008B3641" w:rsidRPr="008B3641">
              <w:rPr>
                <w:b/>
              </w:rPr>
              <w:t>redacted</w:t>
            </w:r>
          </w:p>
        </w:tc>
        <w:tc>
          <w:tcPr>
            <w:tcW w:w="632" w:type="pct"/>
            <w:tcBorders>
              <w:top w:val="nil"/>
              <w:left w:val="nil"/>
              <w:bottom w:val="single" w:sz="8" w:space="0" w:color="auto"/>
              <w:right w:val="single" w:sz="8" w:space="0" w:color="auto"/>
            </w:tcBorders>
            <w:tcMar>
              <w:top w:w="0" w:type="dxa"/>
              <w:left w:w="108" w:type="dxa"/>
              <w:bottom w:w="0" w:type="dxa"/>
              <w:right w:w="108" w:type="dxa"/>
            </w:tcMar>
          </w:tcPr>
          <w:p w14:paraId="3ADBCE21" w14:textId="1C0AA064" w:rsidR="00E700E7" w:rsidRPr="00282024" w:rsidRDefault="00E700E7" w:rsidP="003D5070">
            <w:pPr>
              <w:pStyle w:val="TableText"/>
              <w:jc w:val="right"/>
              <w:rPr>
                <w:b/>
                <w:bCs/>
              </w:rPr>
            </w:pPr>
            <w:r w:rsidRPr="00282024">
              <w:t>-$</w:t>
            </w:r>
            <w:r w:rsidR="008B3641" w:rsidRPr="008B3641">
              <w:rPr>
                <w:b/>
              </w:rPr>
              <w:t>redacted</w:t>
            </w:r>
          </w:p>
        </w:tc>
      </w:tr>
    </w:tbl>
    <w:p w14:paraId="37A94B22" w14:textId="391ACC90" w:rsidR="00E700E7" w:rsidRPr="00C811E8" w:rsidRDefault="00E700E7" w:rsidP="00DD49DD">
      <w:pPr>
        <w:pStyle w:val="Tablenotes0"/>
      </w:pPr>
      <w:bookmarkStart w:id="60" w:name="_Hlk68276814"/>
      <w:bookmarkEnd w:id="59"/>
      <w:r w:rsidRPr="00C811E8">
        <w:t xml:space="preserve">HMB = haemophilia B; </w:t>
      </w:r>
      <w:r w:rsidR="0032160D">
        <w:t xml:space="preserve">NBA = National Blood Authority; </w:t>
      </w:r>
      <w:r w:rsidRPr="00C811E8">
        <w:t xml:space="preserve">PPX = prophylaxis. </w:t>
      </w:r>
    </w:p>
    <w:p w14:paraId="74B41B9C" w14:textId="41803230" w:rsidR="00E700E7" w:rsidRDefault="00E700E7" w:rsidP="00DD49DD">
      <w:pPr>
        <w:pStyle w:val="Tablenotes0"/>
      </w:pPr>
      <w:r w:rsidRPr="00C811E8">
        <w:t xml:space="preserve">Source: adapted from Table </w:t>
      </w:r>
      <w:r w:rsidR="0092600A" w:rsidRPr="00C811E8">
        <w:t>57</w:t>
      </w:r>
      <w:r w:rsidRPr="00C811E8">
        <w:t xml:space="preserve">, </w:t>
      </w:r>
      <w:r w:rsidR="00025867" w:rsidRPr="00C811E8">
        <w:t>5</w:t>
      </w:r>
      <w:r w:rsidR="00DD49DD" w:rsidRPr="00C811E8">
        <w:t>9</w:t>
      </w:r>
      <w:r w:rsidRPr="00C811E8">
        <w:t xml:space="preserve"> and 6</w:t>
      </w:r>
      <w:r w:rsidR="00025867" w:rsidRPr="00C811E8">
        <w:t>0</w:t>
      </w:r>
      <w:r w:rsidRPr="00C811E8">
        <w:t xml:space="preserve"> of MSAC Application 1805 in-line Commentary.</w:t>
      </w:r>
    </w:p>
    <w:bookmarkEnd w:id="60"/>
    <w:p w14:paraId="1C8F3559" w14:textId="66714353" w:rsidR="009F205C" w:rsidRDefault="009F205C" w:rsidP="009F205C">
      <w:r>
        <w:t>The commentary consider</w:t>
      </w:r>
      <w:r w:rsidR="004F01EF">
        <w:t>ed</w:t>
      </w:r>
      <w:r>
        <w:t xml:space="preserve"> the main uncertainty to be the </w:t>
      </w:r>
      <w:r w:rsidR="00851BFB">
        <w:t xml:space="preserve">degree of </w:t>
      </w:r>
      <w:r>
        <w:t>uptake of concizumab</w:t>
      </w:r>
      <w:r w:rsidR="00851BFB">
        <w:t>,</w:t>
      </w:r>
      <w:r>
        <w:t xml:space="preserve"> which is likely to be underestimated due to </w:t>
      </w:r>
      <w:r w:rsidR="00F84E10">
        <w:t xml:space="preserve">both </w:t>
      </w:r>
      <w:r w:rsidR="00851BFB">
        <w:t xml:space="preserve">the potential for </w:t>
      </w:r>
      <w:r>
        <w:t xml:space="preserve">uptake </w:t>
      </w:r>
      <w:r w:rsidR="00851BFB">
        <w:t>by</w:t>
      </w:r>
      <w:r>
        <w:t xml:space="preserve"> patients not currently on prophylactic therapy</w:t>
      </w:r>
      <w:r w:rsidR="00F84E10">
        <w:t xml:space="preserve"> and</w:t>
      </w:r>
      <w:r>
        <w:t xml:space="preserve"> patient preference for subcutaneous therapy</w:t>
      </w:r>
      <w:r w:rsidR="00E72481">
        <w:t>.</w:t>
      </w:r>
      <w:r>
        <w:t xml:space="preserve"> Uptake in patients not currently on FIX prophylaxis could affect cost</w:t>
      </w:r>
      <w:r w:rsidR="007B3204">
        <w:t xml:space="preserve"> </w:t>
      </w:r>
      <w:r>
        <w:t>neutrality.</w:t>
      </w:r>
    </w:p>
    <w:p w14:paraId="56649FC4" w14:textId="72066FF2" w:rsidR="0035680E" w:rsidRDefault="0035680E" w:rsidP="009F205C">
      <w:r>
        <w:t>A further uncertainty for future financial impact is the assumption that the current therapies are replaced in the historical average proportions</w:t>
      </w:r>
      <w:r w:rsidR="00613B68">
        <w:t xml:space="preserve">. Given that new therapies have been </w:t>
      </w:r>
      <w:r w:rsidR="0081721B">
        <w:t xml:space="preserve">only recently </w:t>
      </w:r>
      <w:r w:rsidR="00613B68">
        <w:t>approved for market in Australia, this assu</w:t>
      </w:r>
      <w:r w:rsidR="003875CE">
        <w:t>mption is unlikely to hold</w:t>
      </w:r>
      <w:r w:rsidR="003271FC">
        <w:t xml:space="preserve"> but is highly uncertain</w:t>
      </w:r>
      <w:r w:rsidR="003875CE">
        <w:t>.</w:t>
      </w:r>
    </w:p>
    <w:p w14:paraId="6876361F" w14:textId="793F3F7A" w:rsidR="005607F0" w:rsidRDefault="005607F0" w:rsidP="005607F0">
      <w:pPr>
        <w:pStyle w:val="Caption"/>
      </w:pPr>
      <w:r>
        <w:t xml:space="preserve">Table </w:t>
      </w:r>
      <w:r>
        <w:fldChar w:fldCharType="begin"/>
      </w:r>
      <w:r>
        <w:instrText>SEQ Table \* ARABIC</w:instrText>
      </w:r>
      <w:r>
        <w:fldChar w:fldCharType="separate"/>
      </w:r>
      <w:r w:rsidR="00CD3B0F">
        <w:rPr>
          <w:noProof/>
        </w:rPr>
        <w:t>25</w:t>
      </w:r>
      <w:r>
        <w:fldChar w:fldCharType="end"/>
      </w:r>
      <w:r>
        <w:tab/>
        <w:t>Higher uptake scenario and impact on cost of concizumab to the N</w:t>
      </w:r>
      <w:r w:rsidR="00250403">
        <w:t xml:space="preserve">ational </w:t>
      </w:r>
      <w:r>
        <w:t>B</w:t>
      </w:r>
      <w:r w:rsidR="00250403">
        <w:t xml:space="preserve">lood </w:t>
      </w:r>
      <w:r>
        <w:t>A</w:t>
      </w:r>
      <w:r w:rsidR="00250403">
        <w:t>greement</w:t>
      </w:r>
    </w:p>
    <w:tbl>
      <w:tblPr>
        <w:tblStyle w:val="TableGrid1"/>
        <w:tblW w:w="0" w:type="auto"/>
        <w:tblLook w:val="0420" w:firstRow="1" w:lastRow="0" w:firstColumn="0" w:lastColumn="0" w:noHBand="0" w:noVBand="1"/>
        <w:tblCaption w:val="Higher uptake scenario and impact on cost of concizumab to the NBA"/>
        <w:tblDescription w:val="Higher uptake scenario and impact on cost of concizumab to the NBA"/>
      </w:tblPr>
      <w:tblGrid>
        <w:gridCol w:w="1648"/>
        <w:gridCol w:w="1228"/>
        <w:gridCol w:w="1228"/>
        <w:gridCol w:w="1228"/>
        <w:gridCol w:w="1228"/>
        <w:gridCol w:w="1228"/>
        <w:gridCol w:w="1228"/>
      </w:tblGrid>
      <w:tr w:rsidR="00BC75A2" w:rsidRPr="00C811E8" w14:paraId="605F7AF4" w14:textId="77777777" w:rsidTr="00E049C9">
        <w:trPr>
          <w:cnfStyle w:val="100000000000" w:firstRow="1" w:lastRow="0" w:firstColumn="0" w:lastColumn="0" w:oddVBand="0" w:evenVBand="0" w:oddHBand="0" w:evenHBand="0" w:firstRowFirstColumn="0" w:firstRowLastColumn="0" w:lastRowFirstColumn="0" w:lastRowLastColumn="0"/>
          <w:tblHeader/>
        </w:trPr>
        <w:tc>
          <w:tcPr>
            <w:tcW w:w="0" w:type="auto"/>
          </w:tcPr>
          <w:p w14:paraId="243CD0B3" w14:textId="4E1F368D" w:rsidR="00BC75A2" w:rsidRPr="007B2AA2" w:rsidRDefault="00851BFB" w:rsidP="00BC75A2">
            <w:pPr>
              <w:pStyle w:val="TableHeading0"/>
            </w:pPr>
            <w:r w:rsidRPr="007B2AA2">
              <w:t>Item</w:t>
            </w:r>
          </w:p>
        </w:tc>
        <w:tc>
          <w:tcPr>
            <w:tcW w:w="0" w:type="auto"/>
          </w:tcPr>
          <w:p w14:paraId="4C1F2DCE" w14:textId="77777777" w:rsidR="00BC75A2" w:rsidRPr="007B2AA2" w:rsidRDefault="00BC75A2" w:rsidP="00851BFB">
            <w:pPr>
              <w:pStyle w:val="TableHeading0"/>
              <w:jc w:val="right"/>
            </w:pPr>
            <w:r w:rsidRPr="007B2AA2">
              <w:t>2027</w:t>
            </w:r>
          </w:p>
        </w:tc>
        <w:tc>
          <w:tcPr>
            <w:tcW w:w="0" w:type="auto"/>
          </w:tcPr>
          <w:p w14:paraId="632D1C50" w14:textId="77777777" w:rsidR="00BC75A2" w:rsidRPr="007B2AA2" w:rsidRDefault="00BC75A2" w:rsidP="00851BFB">
            <w:pPr>
              <w:pStyle w:val="TableHeading0"/>
              <w:jc w:val="right"/>
            </w:pPr>
            <w:r w:rsidRPr="007B2AA2">
              <w:t>2028</w:t>
            </w:r>
          </w:p>
        </w:tc>
        <w:tc>
          <w:tcPr>
            <w:tcW w:w="0" w:type="auto"/>
          </w:tcPr>
          <w:p w14:paraId="54A41927" w14:textId="77777777" w:rsidR="00BC75A2" w:rsidRPr="007B2AA2" w:rsidRDefault="00BC75A2" w:rsidP="00851BFB">
            <w:pPr>
              <w:pStyle w:val="TableHeading0"/>
              <w:jc w:val="right"/>
            </w:pPr>
            <w:r w:rsidRPr="007B2AA2">
              <w:t>2029</w:t>
            </w:r>
          </w:p>
        </w:tc>
        <w:tc>
          <w:tcPr>
            <w:tcW w:w="0" w:type="auto"/>
          </w:tcPr>
          <w:p w14:paraId="3665E32E" w14:textId="77777777" w:rsidR="00BC75A2" w:rsidRPr="007B2AA2" w:rsidRDefault="00BC75A2" w:rsidP="00851BFB">
            <w:pPr>
              <w:pStyle w:val="TableHeading0"/>
              <w:jc w:val="right"/>
            </w:pPr>
            <w:r w:rsidRPr="007B2AA2">
              <w:t>2030</w:t>
            </w:r>
          </w:p>
        </w:tc>
        <w:tc>
          <w:tcPr>
            <w:tcW w:w="0" w:type="auto"/>
          </w:tcPr>
          <w:p w14:paraId="7DC938C5" w14:textId="77777777" w:rsidR="00BC75A2" w:rsidRPr="007B2AA2" w:rsidRDefault="00BC75A2" w:rsidP="00851BFB">
            <w:pPr>
              <w:pStyle w:val="TableHeading0"/>
              <w:jc w:val="right"/>
            </w:pPr>
            <w:r w:rsidRPr="007B2AA2">
              <w:t>2031</w:t>
            </w:r>
          </w:p>
        </w:tc>
        <w:tc>
          <w:tcPr>
            <w:tcW w:w="0" w:type="auto"/>
          </w:tcPr>
          <w:p w14:paraId="2B93CE56" w14:textId="77777777" w:rsidR="00BC75A2" w:rsidRPr="007B2AA2" w:rsidRDefault="00BC75A2" w:rsidP="00851BFB">
            <w:pPr>
              <w:pStyle w:val="TableHeading0"/>
              <w:jc w:val="right"/>
            </w:pPr>
            <w:r w:rsidRPr="007B2AA2">
              <w:t>2032</w:t>
            </w:r>
          </w:p>
        </w:tc>
      </w:tr>
      <w:tr w:rsidR="00BC75A2" w:rsidRPr="00C811E8" w14:paraId="35E8982A" w14:textId="77777777" w:rsidTr="00BC75A2">
        <w:tc>
          <w:tcPr>
            <w:tcW w:w="0" w:type="auto"/>
          </w:tcPr>
          <w:p w14:paraId="49FCC7F2" w14:textId="77777777" w:rsidR="00BC75A2" w:rsidRPr="007B2AA2" w:rsidRDefault="00BC75A2" w:rsidP="00BC75A2">
            <w:pPr>
              <w:pStyle w:val="TableText"/>
            </w:pPr>
            <w:r w:rsidRPr="007B2AA2">
              <w:t>Adult patients with HMB receiving prophylactic treatment</w:t>
            </w:r>
          </w:p>
        </w:tc>
        <w:tc>
          <w:tcPr>
            <w:tcW w:w="0" w:type="auto"/>
          </w:tcPr>
          <w:p w14:paraId="018F5893" w14:textId="5EB7DAE4" w:rsidR="00BC75A2" w:rsidRPr="00282024" w:rsidRDefault="007B2AA2" w:rsidP="00851BFB">
            <w:pPr>
              <w:pStyle w:val="TableText"/>
              <w:jc w:val="right"/>
            </w:pPr>
            <w:r w:rsidRPr="007B2AA2">
              <w:rPr>
                <w:b/>
              </w:rPr>
              <w:t>redacted</w:t>
            </w:r>
          </w:p>
        </w:tc>
        <w:tc>
          <w:tcPr>
            <w:tcW w:w="0" w:type="auto"/>
          </w:tcPr>
          <w:p w14:paraId="7345A1B7" w14:textId="4E55505E" w:rsidR="00BC75A2" w:rsidRPr="00282024" w:rsidRDefault="007B2AA2" w:rsidP="00851BFB">
            <w:pPr>
              <w:pStyle w:val="TableText"/>
              <w:jc w:val="right"/>
            </w:pPr>
            <w:r w:rsidRPr="007B2AA2">
              <w:rPr>
                <w:b/>
              </w:rPr>
              <w:t>redacted</w:t>
            </w:r>
          </w:p>
        </w:tc>
        <w:tc>
          <w:tcPr>
            <w:tcW w:w="0" w:type="auto"/>
          </w:tcPr>
          <w:p w14:paraId="5159F107" w14:textId="39F9036F" w:rsidR="00BC75A2" w:rsidRPr="00282024" w:rsidRDefault="007B2AA2" w:rsidP="00851BFB">
            <w:pPr>
              <w:pStyle w:val="TableText"/>
              <w:jc w:val="right"/>
            </w:pPr>
            <w:r w:rsidRPr="007B2AA2">
              <w:rPr>
                <w:b/>
              </w:rPr>
              <w:t>redacted</w:t>
            </w:r>
          </w:p>
        </w:tc>
        <w:tc>
          <w:tcPr>
            <w:tcW w:w="0" w:type="auto"/>
          </w:tcPr>
          <w:p w14:paraId="02806F31" w14:textId="210598A3" w:rsidR="00BC75A2" w:rsidRPr="00282024" w:rsidRDefault="007B2AA2" w:rsidP="00851BFB">
            <w:pPr>
              <w:pStyle w:val="TableText"/>
              <w:jc w:val="right"/>
            </w:pPr>
            <w:r w:rsidRPr="007B2AA2">
              <w:rPr>
                <w:b/>
              </w:rPr>
              <w:t>redacted</w:t>
            </w:r>
          </w:p>
        </w:tc>
        <w:tc>
          <w:tcPr>
            <w:tcW w:w="0" w:type="auto"/>
          </w:tcPr>
          <w:p w14:paraId="14364F85" w14:textId="6EBD5A7D" w:rsidR="00BC75A2" w:rsidRPr="00282024" w:rsidRDefault="007B2AA2" w:rsidP="00851BFB">
            <w:pPr>
              <w:pStyle w:val="TableText"/>
              <w:jc w:val="right"/>
            </w:pPr>
            <w:r w:rsidRPr="007B2AA2">
              <w:rPr>
                <w:b/>
              </w:rPr>
              <w:t>redacted</w:t>
            </w:r>
          </w:p>
        </w:tc>
        <w:tc>
          <w:tcPr>
            <w:tcW w:w="0" w:type="auto"/>
          </w:tcPr>
          <w:p w14:paraId="029554F3" w14:textId="71454CDE" w:rsidR="00BC75A2" w:rsidRPr="00282024" w:rsidRDefault="007B2AA2" w:rsidP="00851BFB">
            <w:pPr>
              <w:pStyle w:val="TableText"/>
              <w:jc w:val="right"/>
            </w:pPr>
            <w:r w:rsidRPr="007B2AA2">
              <w:rPr>
                <w:b/>
              </w:rPr>
              <w:t>redacted</w:t>
            </w:r>
          </w:p>
        </w:tc>
      </w:tr>
      <w:tr w:rsidR="00BC75A2" w:rsidRPr="00C811E8" w14:paraId="245BE01A" w14:textId="77777777" w:rsidTr="00BC75A2">
        <w:tc>
          <w:tcPr>
            <w:tcW w:w="0" w:type="auto"/>
          </w:tcPr>
          <w:p w14:paraId="37224B58" w14:textId="77777777" w:rsidR="00BC75A2" w:rsidRPr="007B2AA2" w:rsidRDefault="00BC75A2" w:rsidP="00BC75A2">
            <w:pPr>
              <w:pStyle w:val="TableText"/>
            </w:pPr>
            <w:r w:rsidRPr="007B2AA2">
              <w:t>Uptake rate</w:t>
            </w:r>
          </w:p>
        </w:tc>
        <w:tc>
          <w:tcPr>
            <w:tcW w:w="0" w:type="auto"/>
          </w:tcPr>
          <w:p w14:paraId="39B12F68" w14:textId="0AA2CA60" w:rsidR="00BC75A2" w:rsidRPr="00282024" w:rsidRDefault="007B2AA2" w:rsidP="00851BFB">
            <w:pPr>
              <w:pStyle w:val="TableText"/>
              <w:jc w:val="right"/>
            </w:pPr>
            <w:r w:rsidRPr="007B2AA2">
              <w:rPr>
                <w:b/>
              </w:rPr>
              <w:t>redacted</w:t>
            </w:r>
            <w:r w:rsidR="00BC75A2" w:rsidRPr="00282024">
              <w:t>%</w:t>
            </w:r>
          </w:p>
        </w:tc>
        <w:tc>
          <w:tcPr>
            <w:tcW w:w="0" w:type="auto"/>
          </w:tcPr>
          <w:p w14:paraId="5D748AB6" w14:textId="223A83BE" w:rsidR="00BC75A2" w:rsidRPr="00282024" w:rsidRDefault="007B2AA2" w:rsidP="00851BFB">
            <w:pPr>
              <w:pStyle w:val="TableText"/>
              <w:jc w:val="right"/>
            </w:pPr>
            <w:r w:rsidRPr="007B2AA2">
              <w:rPr>
                <w:b/>
              </w:rPr>
              <w:t>redacted</w:t>
            </w:r>
            <w:r w:rsidR="00BC75A2" w:rsidRPr="00282024">
              <w:t>%</w:t>
            </w:r>
          </w:p>
        </w:tc>
        <w:tc>
          <w:tcPr>
            <w:tcW w:w="0" w:type="auto"/>
          </w:tcPr>
          <w:p w14:paraId="5AFA5177" w14:textId="39DCD2B6" w:rsidR="00BC75A2" w:rsidRPr="00282024" w:rsidRDefault="007B2AA2" w:rsidP="00851BFB">
            <w:pPr>
              <w:pStyle w:val="TableText"/>
              <w:jc w:val="right"/>
            </w:pPr>
            <w:r w:rsidRPr="007B2AA2">
              <w:rPr>
                <w:b/>
              </w:rPr>
              <w:t>redacted</w:t>
            </w:r>
            <w:r w:rsidR="00BC75A2" w:rsidRPr="00282024">
              <w:t>%</w:t>
            </w:r>
          </w:p>
        </w:tc>
        <w:tc>
          <w:tcPr>
            <w:tcW w:w="0" w:type="auto"/>
          </w:tcPr>
          <w:p w14:paraId="50142AE8" w14:textId="678C5CEB" w:rsidR="00BC75A2" w:rsidRPr="00282024" w:rsidRDefault="007B2AA2" w:rsidP="00851BFB">
            <w:pPr>
              <w:pStyle w:val="TableText"/>
              <w:jc w:val="right"/>
            </w:pPr>
            <w:r w:rsidRPr="007B2AA2">
              <w:rPr>
                <w:b/>
              </w:rPr>
              <w:t>redacted</w:t>
            </w:r>
            <w:r w:rsidR="00BC75A2" w:rsidRPr="00282024">
              <w:t>%</w:t>
            </w:r>
          </w:p>
        </w:tc>
        <w:tc>
          <w:tcPr>
            <w:tcW w:w="0" w:type="auto"/>
          </w:tcPr>
          <w:p w14:paraId="30BED69B" w14:textId="0ED5842F" w:rsidR="00BC75A2" w:rsidRPr="00282024" w:rsidRDefault="007B2AA2" w:rsidP="00851BFB">
            <w:pPr>
              <w:pStyle w:val="TableText"/>
              <w:jc w:val="right"/>
            </w:pPr>
            <w:r w:rsidRPr="007B2AA2">
              <w:rPr>
                <w:b/>
              </w:rPr>
              <w:t>redacted</w:t>
            </w:r>
            <w:r w:rsidR="00BC75A2" w:rsidRPr="00282024">
              <w:t>%</w:t>
            </w:r>
          </w:p>
        </w:tc>
        <w:tc>
          <w:tcPr>
            <w:tcW w:w="0" w:type="auto"/>
          </w:tcPr>
          <w:p w14:paraId="243BC75C" w14:textId="303CA643" w:rsidR="00BC75A2" w:rsidRPr="00282024" w:rsidRDefault="007B2AA2" w:rsidP="00851BFB">
            <w:pPr>
              <w:pStyle w:val="TableText"/>
              <w:jc w:val="right"/>
            </w:pPr>
            <w:r w:rsidRPr="007B2AA2">
              <w:rPr>
                <w:b/>
              </w:rPr>
              <w:t>redacted</w:t>
            </w:r>
            <w:r w:rsidR="00BC75A2" w:rsidRPr="00282024">
              <w:t>%</w:t>
            </w:r>
          </w:p>
        </w:tc>
      </w:tr>
      <w:tr w:rsidR="00BC75A2" w:rsidRPr="00C811E8" w14:paraId="59321D2D" w14:textId="77777777" w:rsidTr="00BC75A2">
        <w:tc>
          <w:tcPr>
            <w:tcW w:w="0" w:type="auto"/>
          </w:tcPr>
          <w:p w14:paraId="73B10A74" w14:textId="77777777" w:rsidR="00BC75A2" w:rsidRPr="007B2AA2" w:rsidRDefault="00BC75A2" w:rsidP="00BC75A2">
            <w:pPr>
              <w:pStyle w:val="TableText"/>
            </w:pPr>
            <w:r w:rsidRPr="007B2AA2">
              <w:t>Concizumab treated patients</w:t>
            </w:r>
          </w:p>
        </w:tc>
        <w:tc>
          <w:tcPr>
            <w:tcW w:w="0" w:type="auto"/>
          </w:tcPr>
          <w:p w14:paraId="69EAE924" w14:textId="21C3321B" w:rsidR="00BC75A2" w:rsidRPr="00282024" w:rsidRDefault="007B2AA2" w:rsidP="00851BFB">
            <w:pPr>
              <w:pStyle w:val="TableText"/>
              <w:jc w:val="right"/>
            </w:pPr>
            <w:r w:rsidRPr="007B2AA2">
              <w:rPr>
                <w:b/>
              </w:rPr>
              <w:t>redacted</w:t>
            </w:r>
          </w:p>
        </w:tc>
        <w:tc>
          <w:tcPr>
            <w:tcW w:w="0" w:type="auto"/>
          </w:tcPr>
          <w:p w14:paraId="73FF0495" w14:textId="58660083" w:rsidR="00BC75A2" w:rsidRPr="00282024" w:rsidRDefault="007B2AA2" w:rsidP="00851BFB">
            <w:pPr>
              <w:pStyle w:val="TableText"/>
              <w:jc w:val="right"/>
            </w:pPr>
            <w:r w:rsidRPr="007B2AA2">
              <w:rPr>
                <w:b/>
              </w:rPr>
              <w:t>redacted</w:t>
            </w:r>
          </w:p>
        </w:tc>
        <w:tc>
          <w:tcPr>
            <w:tcW w:w="0" w:type="auto"/>
          </w:tcPr>
          <w:p w14:paraId="195FC7A9" w14:textId="5C2E7F19" w:rsidR="00BC75A2" w:rsidRPr="00282024" w:rsidRDefault="007B2AA2" w:rsidP="00851BFB">
            <w:pPr>
              <w:pStyle w:val="TableText"/>
              <w:jc w:val="right"/>
            </w:pPr>
            <w:r w:rsidRPr="007B2AA2">
              <w:rPr>
                <w:b/>
              </w:rPr>
              <w:t>redacted</w:t>
            </w:r>
          </w:p>
        </w:tc>
        <w:tc>
          <w:tcPr>
            <w:tcW w:w="0" w:type="auto"/>
          </w:tcPr>
          <w:p w14:paraId="0A7B57DE" w14:textId="7ECED64B" w:rsidR="00BC75A2" w:rsidRPr="00282024" w:rsidRDefault="007B2AA2" w:rsidP="00851BFB">
            <w:pPr>
              <w:pStyle w:val="TableText"/>
              <w:jc w:val="right"/>
            </w:pPr>
            <w:r w:rsidRPr="007B2AA2">
              <w:rPr>
                <w:b/>
              </w:rPr>
              <w:t>redacted</w:t>
            </w:r>
          </w:p>
        </w:tc>
        <w:tc>
          <w:tcPr>
            <w:tcW w:w="0" w:type="auto"/>
          </w:tcPr>
          <w:p w14:paraId="38E69F57" w14:textId="5FFFF0E2" w:rsidR="00BC75A2" w:rsidRPr="00282024" w:rsidRDefault="007B2AA2" w:rsidP="00851BFB">
            <w:pPr>
              <w:pStyle w:val="TableText"/>
              <w:jc w:val="right"/>
            </w:pPr>
            <w:r w:rsidRPr="007B2AA2">
              <w:rPr>
                <w:b/>
              </w:rPr>
              <w:t>redacted</w:t>
            </w:r>
          </w:p>
        </w:tc>
        <w:tc>
          <w:tcPr>
            <w:tcW w:w="0" w:type="auto"/>
          </w:tcPr>
          <w:p w14:paraId="027B8F39" w14:textId="78C8EED5" w:rsidR="00BC75A2" w:rsidRPr="00282024" w:rsidRDefault="007B2AA2" w:rsidP="00851BFB">
            <w:pPr>
              <w:pStyle w:val="TableText"/>
              <w:jc w:val="right"/>
            </w:pPr>
            <w:r w:rsidRPr="007B2AA2">
              <w:rPr>
                <w:b/>
              </w:rPr>
              <w:t>redacted</w:t>
            </w:r>
          </w:p>
        </w:tc>
      </w:tr>
      <w:tr w:rsidR="00BC75A2" w:rsidRPr="00C811E8" w14:paraId="23D7614A" w14:textId="77777777" w:rsidTr="00BC75A2">
        <w:tc>
          <w:tcPr>
            <w:tcW w:w="0" w:type="auto"/>
          </w:tcPr>
          <w:p w14:paraId="72962C47" w14:textId="77777777" w:rsidR="00BC75A2" w:rsidRPr="007B2AA2" w:rsidRDefault="00BC75A2" w:rsidP="00BC75A2">
            <w:pPr>
              <w:pStyle w:val="TableText"/>
            </w:pPr>
            <w:r w:rsidRPr="007B2AA2">
              <w:t xml:space="preserve">Doses administered </w:t>
            </w:r>
          </w:p>
        </w:tc>
        <w:tc>
          <w:tcPr>
            <w:tcW w:w="0" w:type="auto"/>
          </w:tcPr>
          <w:p w14:paraId="062D83FA" w14:textId="4F7F4E53" w:rsidR="00BC75A2" w:rsidRPr="00282024" w:rsidRDefault="007B2AA2" w:rsidP="00851BFB">
            <w:pPr>
              <w:pStyle w:val="TableText"/>
              <w:jc w:val="right"/>
            </w:pPr>
            <w:r w:rsidRPr="007B2AA2">
              <w:rPr>
                <w:b/>
              </w:rPr>
              <w:t>redacted</w:t>
            </w:r>
          </w:p>
        </w:tc>
        <w:tc>
          <w:tcPr>
            <w:tcW w:w="0" w:type="auto"/>
          </w:tcPr>
          <w:p w14:paraId="1B2CBBC1" w14:textId="61ECA430" w:rsidR="00BC75A2" w:rsidRPr="00282024" w:rsidRDefault="007B2AA2" w:rsidP="00851BFB">
            <w:pPr>
              <w:pStyle w:val="TableText"/>
              <w:jc w:val="right"/>
            </w:pPr>
            <w:r w:rsidRPr="007B2AA2">
              <w:rPr>
                <w:b/>
              </w:rPr>
              <w:t>redacted</w:t>
            </w:r>
          </w:p>
        </w:tc>
        <w:tc>
          <w:tcPr>
            <w:tcW w:w="0" w:type="auto"/>
          </w:tcPr>
          <w:p w14:paraId="1E2B9BDB" w14:textId="4E639DB4" w:rsidR="00BC75A2" w:rsidRPr="00282024" w:rsidRDefault="007B2AA2" w:rsidP="00851BFB">
            <w:pPr>
              <w:pStyle w:val="TableText"/>
              <w:jc w:val="right"/>
            </w:pPr>
            <w:r w:rsidRPr="007B2AA2">
              <w:rPr>
                <w:b/>
              </w:rPr>
              <w:t>redacted</w:t>
            </w:r>
          </w:p>
        </w:tc>
        <w:tc>
          <w:tcPr>
            <w:tcW w:w="0" w:type="auto"/>
          </w:tcPr>
          <w:p w14:paraId="0A06D1A4" w14:textId="5EA5DB2E" w:rsidR="00BC75A2" w:rsidRPr="00282024" w:rsidRDefault="007B2AA2" w:rsidP="00851BFB">
            <w:pPr>
              <w:pStyle w:val="TableText"/>
              <w:jc w:val="right"/>
            </w:pPr>
            <w:r w:rsidRPr="007B2AA2">
              <w:rPr>
                <w:b/>
              </w:rPr>
              <w:t>redacted</w:t>
            </w:r>
          </w:p>
        </w:tc>
        <w:tc>
          <w:tcPr>
            <w:tcW w:w="0" w:type="auto"/>
          </w:tcPr>
          <w:p w14:paraId="42A53314" w14:textId="1BD656EB" w:rsidR="00BC75A2" w:rsidRPr="00282024" w:rsidRDefault="007B2AA2" w:rsidP="00851BFB">
            <w:pPr>
              <w:pStyle w:val="TableText"/>
              <w:jc w:val="right"/>
            </w:pPr>
            <w:r w:rsidRPr="007B2AA2">
              <w:rPr>
                <w:b/>
              </w:rPr>
              <w:t>redacted</w:t>
            </w:r>
          </w:p>
        </w:tc>
        <w:tc>
          <w:tcPr>
            <w:tcW w:w="0" w:type="auto"/>
          </w:tcPr>
          <w:p w14:paraId="56A57070" w14:textId="08D13BBC" w:rsidR="00BC75A2" w:rsidRPr="00282024" w:rsidRDefault="007B2AA2" w:rsidP="00851BFB">
            <w:pPr>
              <w:pStyle w:val="TableText"/>
              <w:jc w:val="right"/>
            </w:pPr>
            <w:r w:rsidRPr="007B2AA2">
              <w:rPr>
                <w:b/>
              </w:rPr>
              <w:t>redacted</w:t>
            </w:r>
          </w:p>
        </w:tc>
      </w:tr>
      <w:tr w:rsidR="00BC75A2" w:rsidRPr="00C811E8" w14:paraId="6F83697F" w14:textId="77777777" w:rsidTr="00BC75A2">
        <w:tc>
          <w:tcPr>
            <w:tcW w:w="0" w:type="auto"/>
          </w:tcPr>
          <w:p w14:paraId="18BC1D3E" w14:textId="77777777" w:rsidR="00BC75A2" w:rsidRPr="007B2AA2" w:rsidRDefault="00BC75A2" w:rsidP="00BC75A2">
            <w:pPr>
              <w:pStyle w:val="TableText"/>
            </w:pPr>
            <w:r w:rsidRPr="007B2AA2">
              <w:t xml:space="preserve">Administration cost to hospitals </w:t>
            </w:r>
          </w:p>
        </w:tc>
        <w:tc>
          <w:tcPr>
            <w:tcW w:w="0" w:type="auto"/>
          </w:tcPr>
          <w:p w14:paraId="03BA8056" w14:textId="5DED3DEA" w:rsidR="00BC75A2" w:rsidRPr="00282024" w:rsidRDefault="00BC75A2" w:rsidP="00851BFB">
            <w:pPr>
              <w:pStyle w:val="TableText"/>
              <w:jc w:val="right"/>
            </w:pPr>
            <w:r w:rsidRPr="00282024">
              <w:t>$</w:t>
            </w:r>
            <w:r w:rsidR="007B2AA2" w:rsidRPr="007B2AA2">
              <w:rPr>
                <w:b/>
              </w:rPr>
              <w:t>redacted</w:t>
            </w:r>
          </w:p>
        </w:tc>
        <w:tc>
          <w:tcPr>
            <w:tcW w:w="0" w:type="auto"/>
          </w:tcPr>
          <w:p w14:paraId="24DA082F" w14:textId="716D10B2" w:rsidR="00BC75A2" w:rsidRPr="00282024" w:rsidRDefault="00BC75A2" w:rsidP="00851BFB">
            <w:pPr>
              <w:pStyle w:val="TableText"/>
              <w:jc w:val="right"/>
            </w:pPr>
            <w:r w:rsidRPr="00282024">
              <w:t>$</w:t>
            </w:r>
            <w:r w:rsidR="007B2AA2" w:rsidRPr="007B2AA2">
              <w:rPr>
                <w:b/>
              </w:rPr>
              <w:t>redacted</w:t>
            </w:r>
          </w:p>
        </w:tc>
        <w:tc>
          <w:tcPr>
            <w:tcW w:w="0" w:type="auto"/>
          </w:tcPr>
          <w:p w14:paraId="5B78BB9A" w14:textId="002682F1" w:rsidR="00BC75A2" w:rsidRPr="00282024" w:rsidRDefault="00BC75A2" w:rsidP="00851BFB">
            <w:pPr>
              <w:pStyle w:val="TableText"/>
              <w:jc w:val="right"/>
            </w:pPr>
            <w:r w:rsidRPr="00282024">
              <w:t>$</w:t>
            </w:r>
            <w:r w:rsidR="007B2AA2" w:rsidRPr="007B2AA2">
              <w:rPr>
                <w:b/>
              </w:rPr>
              <w:t>redacted</w:t>
            </w:r>
          </w:p>
        </w:tc>
        <w:tc>
          <w:tcPr>
            <w:tcW w:w="0" w:type="auto"/>
          </w:tcPr>
          <w:p w14:paraId="41C1FC8E" w14:textId="6079F7D8" w:rsidR="00BC75A2" w:rsidRPr="00282024" w:rsidRDefault="00BC75A2" w:rsidP="00851BFB">
            <w:pPr>
              <w:pStyle w:val="TableText"/>
              <w:jc w:val="right"/>
            </w:pPr>
            <w:r w:rsidRPr="00282024">
              <w:t>$</w:t>
            </w:r>
            <w:r w:rsidR="007B2AA2" w:rsidRPr="007B2AA2">
              <w:rPr>
                <w:b/>
              </w:rPr>
              <w:t>redacted</w:t>
            </w:r>
          </w:p>
        </w:tc>
        <w:tc>
          <w:tcPr>
            <w:tcW w:w="0" w:type="auto"/>
          </w:tcPr>
          <w:p w14:paraId="4A02A5DB" w14:textId="4225FE53" w:rsidR="00BC75A2" w:rsidRPr="00282024" w:rsidRDefault="00BC75A2" w:rsidP="00851BFB">
            <w:pPr>
              <w:pStyle w:val="TableText"/>
              <w:jc w:val="right"/>
            </w:pPr>
            <w:r w:rsidRPr="00282024">
              <w:t>$</w:t>
            </w:r>
            <w:r w:rsidR="007B2AA2" w:rsidRPr="007B2AA2">
              <w:rPr>
                <w:b/>
              </w:rPr>
              <w:t>redacted</w:t>
            </w:r>
          </w:p>
        </w:tc>
        <w:tc>
          <w:tcPr>
            <w:tcW w:w="0" w:type="auto"/>
          </w:tcPr>
          <w:p w14:paraId="62A1AD54" w14:textId="469A8ABF" w:rsidR="00BC75A2" w:rsidRPr="00282024" w:rsidRDefault="00BC75A2" w:rsidP="00851BFB">
            <w:pPr>
              <w:pStyle w:val="TableText"/>
              <w:jc w:val="right"/>
            </w:pPr>
            <w:r w:rsidRPr="00282024">
              <w:t>$</w:t>
            </w:r>
            <w:r w:rsidR="007B2AA2" w:rsidRPr="007B2AA2">
              <w:rPr>
                <w:b/>
              </w:rPr>
              <w:t>redacted</w:t>
            </w:r>
          </w:p>
        </w:tc>
      </w:tr>
      <w:tr w:rsidR="00BC75A2" w:rsidRPr="00C811E8" w14:paraId="29E58614" w14:textId="77777777" w:rsidTr="00BC75A2">
        <w:tc>
          <w:tcPr>
            <w:tcW w:w="0" w:type="auto"/>
          </w:tcPr>
          <w:p w14:paraId="1F732241" w14:textId="66DD8D64" w:rsidR="00BC75A2" w:rsidRPr="007B2AA2" w:rsidRDefault="00BC75A2" w:rsidP="00BC75A2">
            <w:pPr>
              <w:pStyle w:val="TableText"/>
            </w:pPr>
            <w:r w:rsidRPr="007B2AA2">
              <w:t xml:space="preserve">Drug cost to NBA </w:t>
            </w:r>
          </w:p>
        </w:tc>
        <w:tc>
          <w:tcPr>
            <w:tcW w:w="0" w:type="auto"/>
          </w:tcPr>
          <w:p w14:paraId="1EF5C77F" w14:textId="31C99E00" w:rsidR="00BC75A2" w:rsidRPr="00282024" w:rsidRDefault="00BC75A2" w:rsidP="00851BFB">
            <w:pPr>
              <w:pStyle w:val="TableText"/>
              <w:jc w:val="right"/>
            </w:pPr>
            <w:r w:rsidRPr="00282024">
              <w:t>$</w:t>
            </w:r>
            <w:r w:rsidR="007B2AA2" w:rsidRPr="007B2AA2">
              <w:rPr>
                <w:b/>
              </w:rPr>
              <w:t>redacted</w:t>
            </w:r>
          </w:p>
        </w:tc>
        <w:tc>
          <w:tcPr>
            <w:tcW w:w="0" w:type="auto"/>
          </w:tcPr>
          <w:p w14:paraId="55F3093C" w14:textId="1EBF2CF6" w:rsidR="00BC75A2" w:rsidRPr="00282024" w:rsidRDefault="00BC75A2" w:rsidP="00851BFB">
            <w:pPr>
              <w:pStyle w:val="TableText"/>
              <w:jc w:val="right"/>
            </w:pPr>
            <w:r w:rsidRPr="00282024">
              <w:t>$</w:t>
            </w:r>
            <w:r w:rsidR="007B2AA2" w:rsidRPr="007B2AA2">
              <w:rPr>
                <w:b/>
              </w:rPr>
              <w:t>redacted</w:t>
            </w:r>
          </w:p>
        </w:tc>
        <w:tc>
          <w:tcPr>
            <w:tcW w:w="0" w:type="auto"/>
          </w:tcPr>
          <w:p w14:paraId="67B6222E" w14:textId="272C8D5F" w:rsidR="00BC75A2" w:rsidRPr="00282024" w:rsidRDefault="00BC75A2" w:rsidP="00851BFB">
            <w:pPr>
              <w:pStyle w:val="TableText"/>
              <w:jc w:val="right"/>
            </w:pPr>
            <w:r w:rsidRPr="00282024">
              <w:t>$</w:t>
            </w:r>
            <w:r w:rsidR="007B2AA2" w:rsidRPr="007B2AA2">
              <w:rPr>
                <w:b/>
              </w:rPr>
              <w:t>redacted</w:t>
            </w:r>
          </w:p>
        </w:tc>
        <w:tc>
          <w:tcPr>
            <w:tcW w:w="0" w:type="auto"/>
          </w:tcPr>
          <w:p w14:paraId="514A2151" w14:textId="73382B3C" w:rsidR="00BC75A2" w:rsidRPr="00282024" w:rsidRDefault="00BC75A2" w:rsidP="00851BFB">
            <w:pPr>
              <w:pStyle w:val="TableText"/>
              <w:jc w:val="right"/>
            </w:pPr>
            <w:r w:rsidRPr="00282024">
              <w:t>$</w:t>
            </w:r>
            <w:r w:rsidR="007B2AA2" w:rsidRPr="007B2AA2">
              <w:rPr>
                <w:b/>
              </w:rPr>
              <w:t>redacted</w:t>
            </w:r>
          </w:p>
        </w:tc>
        <w:tc>
          <w:tcPr>
            <w:tcW w:w="0" w:type="auto"/>
          </w:tcPr>
          <w:p w14:paraId="23ECFBC4" w14:textId="4CDF7FB4" w:rsidR="00BC75A2" w:rsidRPr="00282024" w:rsidRDefault="00BC75A2" w:rsidP="00851BFB">
            <w:pPr>
              <w:pStyle w:val="TableText"/>
              <w:jc w:val="right"/>
            </w:pPr>
            <w:r w:rsidRPr="00282024">
              <w:t>$</w:t>
            </w:r>
            <w:r w:rsidR="007B2AA2" w:rsidRPr="007B2AA2">
              <w:rPr>
                <w:b/>
              </w:rPr>
              <w:t>redacted</w:t>
            </w:r>
          </w:p>
        </w:tc>
        <w:tc>
          <w:tcPr>
            <w:tcW w:w="0" w:type="auto"/>
          </w:tcPr>
          <w:p w14:paraId="558351CA" w14:textId="3532ED3D" w:rsidR="00BC75A2" w:rsidRPr="00282024" w:rsidRDefault="00BC75A2" w:rsidP="00851BFB">
            <w:pPr>
              <w:pStyle w:val="TableText"/>
              <w:jc w:val="right"/>
            </w:pPr>
            <w:r w:rsidRPr="00282024">
              <w:t>$</w:t>
            </w:r>
            <w:r w:rsidR="007B2AA2" w:rsidRPr="007B2AA2">
              <w:rPr>
                <w:b/>
              </w:rPr>
              <w:t>redacted</w:t>
            </w:r>
          </w:p>
        </w:tc>
      </w:tr>
    </w:tbl>
    <w:p w14:paraId="655582FB" w14:textId="40623399" w:rsidR="00BC75A2" w:rsidRPr="00C811E8" w:rsidRDefault="00BC75A2" w:rsidP="00DD49DD">
      <w:pPr>
        <w:pStyle w:val="Tablenotes0"/>
      </w:pPr>
      <w:r w:rsidRPr="00C811E8">
        <w:t>HMB = haemophilia B</w:t>
      </w:r>
      <w:r w:rsidR="009E1ACB">
        <w:t>;</w:t>
      </w:r>
      <w:r w:rsidR="009E1ACB" w:rsidRPr="009E1ACB">
        <w:t xml:space="preserve"> </w:t>
      </w:r>
      <w:r w:rsidR="009E1ACB">
        <w:t>NBA = National Blood Authority</w:t>
      </w:r>
      <w:r w:rsidRPr="00C811E8">
        <w:t>.</w:t>
      </w:r>
    </w:p>
    <w:p w14:paraId="5B4C96AA" w14:textId="08DE3DC3" w:rsidR="00BC75A2" w:rsidRDefault="005607F0" w:rsidP="00DD49DD">
      <w:pPr>
        <w:pStyle w:val="Tablenotes0"/>
      </w:pPr>
      <w:r w:rsidRPr="00C811E8">
        <w:t>Source: Commentary Table 1</w:t>
      </w:r>
      <w:r w:rsidR="00DD49DD" w:rsidRPr="00C811E8">
        <w:t>4</w:t>
      </w:r>
      <w:r w:rsidRPr="00C811E8">
        <w:t xml:space="preserve"> of MSAC Application 1805 in-line Commentary.</w:t>
      </w:r>
    </w:p>
    <w:p w14:paraId="5C015C5E" w14:textId="77777777" w:rsidR="00E42EB0" w:rsidRPr="00AD66CE" w:rsidRDefault="00E42EB0" w:rsidP="00E42EB0">
      <w:pPr>
        <w:pStyle w:val="Heading3"/>
      </w:pPr>
      <w:r>
        <w:t>Weighted price analysis</w:t>
      </w:r>
    </w:p>
    <w:p w14:paraId="072AD6AB" w14:textId="454E67BB" w:rsidR="00E42EB0" w:rsidRDefault="000D1010" w:rsidP="000D1010">
      <w:r w:rsidRPr="000D1010">
        <w:t xml:space="preserve">A weighted cost per unit of concizumab was calculated </w:t>
      </w:r>
      <w:r w:rsidR="00E03E2E">
        <w:t xml:space="preserve">in the ADAR </w:t>
      </w:r>
      <w:r w:rsidRPr="000D1010">
        <w:t>based on the relative use of concizumab for HMB and HMBwI over 6 years</w:t>
      </w:r>
      <w:r w:rsidR="00851BFB">
        <w:t>.</w:t>
      </w:r>
    </w:p>
    <w:p w14:paraId="54D9DDEC" w14:textId="0A732E99" w:rsidR="00BD0DDE" w:rsidRDefault="00BD0DDE" w:rsidP="00BD0DDE">
      <w:pPr>
        <w:pStyle w:val="Caption"/>
      </w:pPr>
      <w:bookmarkStart w:id="61" w:name="_Ref215539729"/>
      <w:bookmarkStart w:id="62" w:name="_Ref224116963"/>
      <w:r>
        <w:t xml:space="preserve">Table </w:t>
      </w:r>
      <w:r>
        <w:fldChar w:fldCharType="begin"/>
      </w:r>
      <w:r>
        <w:instrText>SEQ Table \* ARABIC</w:instrText>
      </w:r>
      <w:r>
        <w:fldChar w:fldCharType="separate"/>
      </w:r>
      <w:r w:rsidR="00CD3B0F">
        <w:rPr>
          <w:noProof/>
        </w:rPr>
        <w:t>26</w:t>
      </w:r>
      <w:r>
        <w:fldChar w:fldCharType="end"/>
      </w:r>
      <w:bookmarkEnd w:id="61"/>
      <w:r>
        <w:tab/>
        <w:t>Concizumab price based on relative use for HMB and HMBwI over 6 years</w:t>
      </w:r>
      <w:bookmarkEnd w:id="62"/>
    </w:p>
    <w:tbl>
      <w:tblPr>
        <w:tblStyle w:val="TableGrid1"/>
        <w:tblW w:w="9015" w:type="dxa"/>
        <w:tblLayout w:type="fixed"/>
        <w:tblLook w:val="0420" w:firstRow="1" w:lastRow="0" w:firstColumn="0" w:lastColumn="0" w:noHBand="0" w:noVBand="1"/>
        <w:tblCaption w:val="Concizumab price based on relative use for HMB and HMBwI over 6 years"/>
        <w:tblDescription w:val="Concizumab price based on relative use for HMB and HMBwI over 6 years"/>
      </w:tblPr>
      <w:tblGrid>
        <w:gridCol w:w="1170"/>
        <w:gridCol w:w="1050"/>
        <w:gridCol w:w="971"/>
        <w:gridCol w:w="1061"/>
        <w:gridCol w:w="1140"/>
        <w:gridCol w:w="982"/>
        <w:gridCol w:w="1320"/>
        <w:gridCol w:w="1321"/>
      </w:tblGrid>
      <w:tr w:rsidR="00BD0DDE" w:rsidRPr="00BD0DDE" w14:paraId="29173F50" w14:textId="77777777" w:rsidTr="00B27311">
        <w:trPr>
          <w:cnfStyle w:val="100000000000" w:firstRow="1" w:lastRow="0" w:firstColumn="0" w:lastColumn="0" w:oddVBand="0" w:evenVBand="0" w:oddHBand="0" w:evenHBand="0" w:firstRowFirstColumn="0" w:firstRowLastColumn="0" w:lastRowFirstColumn="0" w:lastRowLastColumn="0"/>
          <w:tblHeader/>
        </w:trPr>
        <w:tc>
          <w:tcPr>
            <w:tcW w:w="1170" w:type="dxa"/>
          </w:tcPr>
          <w:p w14:paraId="7A05D2C9" w14:textId="1F1C446D" w:rsidR="00BD0DDE" w:rsidRPr="007B2AA2" w:rsidRDefault="00851BFB" w:rsidP="00BD0DDE">
            <w:pPr>
              <w:pStyle w:val="TableHeading0"/>
            </w:pPr>
            <w:r w:rsidRPr="007B2AA2">
              <w:t>Population</w:t>
            </w:r>
          </w:p>
        </w:tc>
        <w:tc>
          <w:tcPr>
            <w:tcW w:w="1050" w:type="dxa"/>
          </w:tcPr>
          <w:p w14:paraId="4C74651A" w14:textId="6E332822" w:rsidR="00BD0DDE" w:rsidRPr="007B2AA2" w:rsidRDefault="43A112BA" w:rsidP="00851BFB">
            <w:pPr>
              <w:pStyle w:val="TableHeading0"/>
              <w:jc w:val="right"/>
            </w:pPr>
            <w:r w:rsidRPr="007B2AA2">
              <w:t>Number of patient</w:t>
            </w:r>
            <w:r w:rsidR="78BD439C" w:rsidRPr="007B2AA2">
              <w:t>-years</w:t>
            </w:r>
            <w:r w:rsidRPr="007B2AA2">
              <w:t xml:space="preserve"> over 6 years</w:t>
            </w:r>
          </w:p>
        </w:tc>
        <w:tc>
          <w:tcPr>
            <w:tcW w:w="971" w:type="dxa"/>
          </w:tcPr>
          <w:p w14:paraId="2857687E" w14:textId="77777777" w:rsidR="00BD0DDE" w:rsidRPr="007B2AA2" w:rsidRDefault="00BD0DDE" w:rsidP="00851BFB">
            <w:pPr>
              <w:pStyle w:val="TableHeading0"/>
              <w:jc w:val="right"/>
            </w:pPr>
            <w:r w:rsidRPr="007B2AA2">
              <w:t>Units per year per patient (mg)</w:t>
            </w:r>
          </w:p>
        </w:tc>
        <w:tc>
          <w:tcPr>
            <w:tcW w:w="1061" w:type="dxa"/>
          </w:tcPr>
          <w:p w14:paraId="3C507FA4" w14:textId="77777777" w:rsidR="00BD0DDE" w:rsidRPr="007B2AA2" w:rsidRDefault="00BD0DDE" w:rsidP="00851BFB">
            <w:pPr>
              <w:pStyle w:val="TableHeading0"/>
              <w:jc w:val="right"/>
            </w:pPr>
            <w:r w:rsidRPr="007B2AA2">
              <w:t>Total units over 6 years (mg)</w:t>
            </w:r>
          </w:p>
        </w:tc>
        <w:tc>
          <w:tcPr>
            <w:tcW w:w="1140" w:type="dxa"/>
          </w:tcPr>
          <w:p w14:paraId="773D968F" w14:textId="77777777" w:rsidR="00BD0DDE" w:rsidRPr="007B2AA2" w:rsidRDefault="00BD0DDE" w:rsidP="00851BFB">
            <w:pPr>
              <w:pStyle w:val="TableHeading0"/>
              <w:jc w:val="right"/>
            </w:pPr>
            <w:r w:rsidRPr="007B2AA2">
              <w:t>Proportion of use</w:t>
            </w:r>
          </w:p>
        </w:tc>
        <w:tc>
          <w:tcPr>
            <w:tcW w:w="982" w:type="dxa"/>
          </w:tcPr>
          <w:p w14:paraId="10C5DFF1" w14:textId="77777777" w:rsidR="00BD0DDE" w:rsidRPr="007B2AA2" w:rsidRDefault="00BD0DDE" w:rsidP="00851BFB">
            <w:pPr>
              <w:pStyle w:val="TableHeading0"/>
              <w:jc w:val="right"/>
            </w:pPr>
            <w:r w:rsidRPr="007B2AA2">
              <w:t>Cost per unit</w:t>
            </w:r>
          </w:p>
        </w:tc>
        <w:tc>
          <w:tcPr>
            <w:tcW w:w="1320" w:type="dxa"/>
          </w:tcPr>
          <w:p w14:paraId="122CDAEC" w14:textId="77777777" w:rsidR="00BD0DDE" w:rsidRPr="007B2AA2" w:rsidRDefault="00BD0DDE" w:rsidP="00851BFB">
            <w:pPr>
              <w:pStyle w:val="TableHeading0"/>
              <w:jc w:val="right"/>
            </w:pPr>
            <w:r w:rsidRPr="007B2AA2">
              <w:t>Annual cost per patient (using unweighted price)</w:t>
            </w:r>
          </w:p>
        </w:tc>
        <w:tc>
          <w:tcPr>
            <w:tcW w:w="1321" w:type="dxa"/>
          </w:tcPr>
          <w:p w14:paraId="5DD75651" w14:textId="77777777" w:rsidR="00BD0DDE" w:rsidRPr="007B2AA2" w:rsidRDefault="00BD0DDE" w:rsidP="00851BFB">
            <w:pPr>
              <w:pStyle w:val="TableHeading0"/>
              <w:jc w:val="right"/>
            </w:pPr>
            <w:r w:rsidRPr="007B2AA2">
              <w:t>Annual cost per patient (using weighted price)</w:t>
            </w:r>
          </w:p>
        </w:tc>
      </w:tr>
      <w:tr w:rsidR="00BD0DDE" w:rsidRPr="00C811E8" w14:paraId="38049DB6" w14:textId="77777777" w:rsidTr="00B27311">
        <w:tc>
          <w:tcPr>
            <w:tcW w:w="1170" w:type="dxa"/>
          </w:tcPr>
          <w:p w14:paraId="7BE4AA63" w14:textId="77777777" w:rsidR="00BD0DDE" w:rsidRPr="007B2AA2" w:rsidRDefault="00BD0DDE" w:rsidP="00BD0DDE">
            <w:pPr>
              <w:pStyle w:val="TableText"/>
            </w:pPr>
            <w:r w:rsidRPr="007B2AA2">
              <w:t>HMB</w:t>
            </w:r>
          </w:p>
        </w:tc>
        <w:tc>
          <w:tcPr>
            <w:tcW w:w="1050" w:type="dxa"/>
          </w:tcPr>
          <w:p w14:paraId="0E699F5D" w14:textId="7DC4169F" w:rsidR="00BD0DDE" w:rsidRPr="00282024" w:rsidRDefault="007B2AA2" w:rsidP="00851BFB">
            <w:pPr>
              <w:pStyle w:val="TableText"/>
              <w:jc w:val="right"/>
            </w:pPr>
            <w:r w:rsidRPr="007B2AA2">
              <w:rPr>
                <w:b/>
              </w:rPr>
              <w:t>redacted</w:t>
            </w:r>
          </w:p>
        </w:tc>
        <w:tc>
          <w:tcPr>
            <w:tcW w:w="971" w:type="dxa"/>
          </w:tcPr>
          <w:p w14:paraId="05136EF5" w14:textId="66A4CD51" w:rsidR="00BD0DDE" w:rsidRPr="00282024" w:rsidRDefault="007B2AA2" w:rsidP="00851BFB">
            <w:pPr>
              <w:pStyle w:val="TableText"/>
              <w:jc w:val="right"/>
            </w:pPr>
            <w:r w:rsidRPr="007B2AA2">
              <w:rPr>
                <w:b/>
              </w:rPr>
              <w:t>redacted</w:t>
            </w:r>
          </w:p>
        </w:tc>
        <w:tc>
          <w:tcPr>
            <w:tcW w:w="1061" w:type="dxa"/>
          </w:tcPr>
          <w:p w14:paraId="55945B02" w14:textId="5B658A7E" w:rsidR="00BD0DDE" w:rsidRPr="00282024" w:rsidRDefault="007B2AA2" w:rsidP="00851BFB">
            <w:pPr>
              <w:pStyle w:val="TableText"/>
              <w:jc w:val="right"/>
            </w:pPr>
            <w:r w:rsidRPr="007B2AA2">
              <w:rPr>
                <w:b/>
              </w:rPr>
              <w:t>redacted</w:t>
            </w:r>
          </w:p>
        </w:tc>
        <w:tc>
          <w:tcPr>
            <w:tcW w:w="1140" w:type="dxa"/>
          </w:tcPr>
          <w:p w14:paraId="377449CC" w14:textId="617EFD75" w:rsidR="00BD0DDE" w:rsidRPr="00282024" w:rsidRDefault="007B2AA2" w:rsidP="00851BFB">
            <w:pPr>
              <w:pStyle w:val="TableText"/>
              <w:jc w:val="right"/>
            </w:pPr>
            <w:r w:rsidRPr="007B2AA2">
              <w:rPr>
                <w:b/>
              </w:rPr>
              <w:t>redacted</w:t>
            </w:r>
            <w:r w:rsidR="00BD0DDE" w:rsidRPr="00282024">
              <w:t>%</w:t>
            </w:r>
          </w:p>
        </w:tc>
        <w:tc>
          <w:tcPr>
            <w:tcW w:w="982" w:type="dxa"/>
          </w:tcPr>
          <w:p w14:paraId="033FEA6F" w14:textId="5FCE4ABE" w:rsidR="00BD0DDE" w:rsidRPr="00282024" w:rsidRDefault="00BD0DDE" w:rsidP="00851BFB">
            <w:pPr>
              <w:pStyle w:val="TableText"/>
              <w:jc w:val="right"/>
            </w:pPr>
            <w:r w:rsidRPr="00282024">
              <w:t>$</w:t>
            </w:r>
            <w:r w:rsidR="007B2AA2" w:rsidRPr="007B2AA2">
              <w:rPr>
                <w:b/>
              </w:rPr>
              <w:t>redacted</w:t>
            </w:r>
          </w:p>
        </w:tc>
        <w:tc>
          <w:tcPr>
            <w:tcW w:w="1320" w:type="dxa"/>
          </w:tcPr>
          <w:p w14:paraId="46115733" w14:textId="081641AE" w:rsidR="00BD0DDE" w:rsidRPr="00282024" w:rsidRDefault="00BD0DDE" w:rsidP="00851BFB">
            <w:pPr>
              <w:pStyle w:val="TableText"/>
              <w:jc w:val="right"/>
            </w:pPr>
            <w:r w:rsidRPr="00282024">
              <w:t>$</w:t>
            </w:r>
            <w:r w:rsidR="007B2AA2" w:rsidRPr="007B2AA2">
              <w:rPr>
                <w:b/>
              </w:rPr>
              <w:t>redacted</w:t>
            </w:r>
          </w:p>
        </w:tc>
        <w:tc>
          <w:tcPr>
            <w:tcW w:w="1321" w:type="dxa"/>
          </w:tcPr>
          <w:p w14:paraId="224B262F" w14:textId="58E25DD7" w:rsidR="00BD0DDE" w:rsidRPr="00282024" w:rsidRDefault="00BD0DDE" w:rsidP="00851BFB">
            <w:pPr>
              <w:pStyle w:val="TableText"/>
              <w:jc w:val="right"/>
            </w:pPr>
            <w:r w:rsidRPr="00282024">
              <w:t>$</w:t>
            </w:r>
            <w:r w:rsidR="007B2AA2" w:rsidRPr="007B2AA2">
              <w:rPr>
                <w:b/>
              </w:rPr>
              <w:t>redacted</w:t>
            </w:r>
          </w:p>
        </w:tc>
      </w:tr>
      <w:tr w:rsidR="00BD0DDE" w:rsidRPr="00C811E8" w14:paraId="709DD94C" w14:textId="77777777" w:rsidTr="00B27311">
        <w:tc>
          <w:tcPr>
            <w:tcW w:w="1170" w:type="dxa"/>
          </w:tcPr>
          <w:p w14:paraId="24231148" w14:textId="77777777" w:rsidR="00BD0DDE" w:rsidRPr="007B2AA2" w:rsidRDefault="00BD0DDE" w:rsidP="00BD0DDE">
            <w:pPr>
              <w:pStyle w:val="TableText"/>
            </w:pPr>
            <w:r w:rsidRPr="007B2AA2">
              <w:t>HMBwI</w:t>
            </w:r>
          </w:p>
        </w:tc>
        <w:tc>
          <w:tcPr>
            <w:tcW w:w="1050" w:type="dxa"/>
          </w:tcPr>
          <w:p w14:paraId="705AB98A" w14:textId="7F36F2B1" w:rsidR="00BD0DDE" w:rsidRPr="00282024" w:rsidRDefault="007B2AA2" w:rsidP="00851BFB">
            <w:pPr>
              <w:pStyle w:val="TableText"/>
              <w:jc w:val="right"/>
            </w:pPr>
            <w:r w:rsidRPr="007B2AA2">
              <w:rPr>
                <w:b/>
              </w:rPr>
              <w:t>redacted</w:t>
            </w:r>
          </w:p>
        </w:tc>
        <w:tc>
          <w:tcPr>
            <w:tcW w:w="971" w:type="dxa"/>
          </w:tcPr>
          <w:p w14:paraId="638CE0C9" w14:textId="7A097E96" w:rsidR="00BD0DDE" w:rsidRPr="00282024" w:rsidRDefault="007B2AA2" w:rsidP="00851BFB">
            <w:pPr>
              <w:pStyle w:val="TableText"/>
              <w:jc w:val="right"/>
            </w:pPr>
            <w:r w:rsidRPr="007B2AA2">
              <w:rPr>
                <w:b/>
              </w:rPr>
              <w:t>redacted</w:t>
            </w:r>
          </w:p>
        </w:tc>
        <w:tc>
          <w:tcPr>
            <w:tcW w:w="1061" w:type="dxa"/>
          </w:tcPr>
          <w:p w14:paraId="2E987063" w14:textId="594A3E4C" w:rsidR="00BD0DDE" w:rsidRPr="00282024" w:rsidRDefault="007B2AA2" w:rsidP="00851BFB">
            <w:pPr>
              <w:pStyle w:val="TableText"/>
              <w:jc w:val="right"/>
            </w:pPr>
            <w:r w:rsidRPr="007B2AA2">
              <w:rPr>
                <w:b/>
              </w:rPr>
              <w:t>redacted</w:t>
            </w:r>
          </w:p>
        </w:tc>
        <w:tc>
          <w:tcPr>
            <w:tcW w:w="1140" w:type="dxa"/>
          </w:tcPr>
          <w:p w14:paraId="291C58FD" w14:textId="1044C28D" w:rsidR="00BD0DDE" w:rsidRPr="00282024" w:rsidRDefault="007B2AA2" w:rsidP="00851BFB">
            <w:pPr>
              <w:pStyle w:val="TableText"/>
              <w:jc w:val="right"/>
            </w:pPr>
            <w:r w:rsidRPr="007B2AA2">
              <w:rPr>
                <w:b/>
              </w:rPr>
              <w:t>redacted</w:t>
            </w:r>
            <w:r w:rsidR="00BD0DDE" w:rsidRPr="00282024">
              <w:t>%</w:t>
            </w:r>
          </w:p>
        </w:tc>
        <w:tc>
          <w:tcPr>
            <w:tcW w:w="982" w:type="dxa"/>
          </w:tcPr>
          <w:p w14:paraId="3F8E9F47" w14:textId="38E86600" w:rsidR="00BD0DDE" w:rsidRPr="00282024" w:rsidRDefault="00BD0DDE" w:rsidP="00851BFB">
            <w:pPr>
              <w:pStyle w:val="TableText"/>
              <w:jc w:val="right"/>
            </w:pPr>
            <w:r w:rsidRPr="00282024">
              <w:t>$</w:t>
            </w:r>
            <w:r w:rsidR="007B2AA2" w:rsidRPr="007B2AA2">
              <w:rPr>
                <w:b/>
              </w:rPr>
              <w:t>redacted</w:t>
            </w:r>
          </w:p>
        </w:tc>
        <w:tc>
          <w:tcPr>
            <w:tcW w:w="1320" w:type="dxa"/>
          </w:tcPr>
          <w:p w14:paraId="5D813790" w14:textId="469DF27B" w:rsidR="00BD0DDE" w:rsidRPr="00282024" w:rsidRDefault="00BD0DDE" w:rsidP="00851BFB">
            <w:pPr>
              <w:pStyle w:val="TableText"/>
              <w:jc w:val="right"/>
            </w:pPr>
            <w:r w:rsidRPr="00282024">
              <w:t>$</w:t>
            </w:r>
            <w:r w:rsidR="007B2AA2" w:rsidRPr="007B2AA2">
              <w:rPr>
                <w:b/>
              </w:rPr>
              <w:t>redacted</w:t>
            </w:r>
          </w:p>
        </w:tc>
        <w:tc>
          <w:tcPr>
            <w:tcW w:w="1321" w:type="dxa"/>
          </w:tcPr>
          <w:p w14:paraId="413D882C" w14:textId="346C226A" w:rsidR="00BD0DDE" w:rsidRPr="00282024" w:rsidRDefault="00BD0DDE" w:rsidP="00851BFB">
            <w:pPr>
              <w:pStyle w:val="TableText"/>
              <w:jc w:val="right"/>
            </w:pPr>
            <w:r w:rsidRPr="00282024">
              <w:t>$</w:t>
            </w:r>
            <w:r w:rsidR="007B2AA2" w:rsidRPr="007B2AA2">
              <w:rPr>
                <w:b/>
              </w:rPr>
              <w:t>redacted</w:t>
            </w:r>
          </w:p>
        </w:tc>
      </w:tr>
      <w:tr w:rsidR="00BD0DDE" w:rsidRPr="00C811E8" w14:paraId="2D60115C" w14:textId="77777777" w:rsidTr="00B27311">
        <w:tc>
          <w:tcPr>
            <w:tcW w:w="1170" w:type="dxa"/>
          </w:tcPr>
          <w:p w14:paraId="72A6263A" w14:textId="77777777" w:rsidR="00BD0DDE" w:rsidRPr="007B2AA2" w:rsidRDefault="00BD0DDE" w:rsidP="00302A7F">
            <w:pPr>
              <w:pStyle w:val="TableText"/>
            </w:pPr>
            <w:r w:rsidRPr="007B2AA2">
              <w:t>Weighted</w:t>
            </w:r>
          </w:p>
        </w:tc>
        <w:tc>
          <w:tcPr>
            <w:tcW w:w="1050" w:type="dxa"/>
          </w:tcPr>
          <w:p w14:paraId="6B157561" w14:textId="77777777" w:rsidR="00BD0DDE" w:rsidRPr="00282024" w:rsidRDefault="00BD0DDE" w:rsidP="00851BFB">
            <w:pPr>
              <w:pStyle w:val="TableText"/>
              <w:jc w:val="right"/>
            </w:pPr>
          </w:p>
        </w:tc>
        <w:tc>
          <w:tcPr>
            <w:tcW w:w="971" w:type="dxa"/>
          </w:tcPr>
          <w:p w14:paraId="31450340" w14:textId="77777777" w:rsidR="00BD0DDE" w:rsidRPr="00282024" w:rsidRDefault="00BD0DDE" w:rsidP="00851BFB">
            <w:pPr>
              <w:pStyle w:val="TableText"/>
              <w:jc w:val="right"/>
            </w:pPr>
          </w:p>
        </w:tc>
        <w:tc>
          <w:tcPr>
            <w:tcW w:w="1061" w:type="dxa"/>
          </w:tcPr>
          <w:p w14:paraId="3F9A6F37" w14:textId="33710C28" w:rsidR="00BD0DDE" w:rsidRPr="00282024" w:rsidRDefault="007B2AA2" w:rsidP="00851BFB">
            <w:pPr>
              <w:pStyle w:val="TableText"/>
              <w:jc w:val="right"/>
            </w:pPr>
            <w:r w:rsidRPr="007B2AA2">
              <w:rPr>
                <w:b/>
              </w:rPr>
              <w:t>redacted</w:t>
            </w:r>
          </w:p>
        </w:tc>
        <w:tc>
          <w:tcPr>
            <w:tcW w:w="1140" w:type="dxa"/>
          </w:tcPr>
          <w:p w14:paraId="22A956F7" w14:textId="77777777" w:rsidR="00BD0DDE" w:rsidRPr="00282024" w:rsidRDefault="00BD0DDE" w:rsidP="00851BFB">
            <w:pPr>
              <w:pStyle w:val="TableText"/>
              <w:jc w:val="right"/>
            </w:pPr>
          </w:p>
        </w:tc>
        <w:tc>
          <w:tcPr>
            <w:tcW w:w="982" w:type="dxa"/>
          </w:tcPr>
          <w:p w14:paraId="557A0E3B" w14:textId="12EC3798" w:rsidR="00BD0DDE" w:rsidRPr="00282024" w:rsidRDefault="00BD0DDE" w:rsidP="00851BFB">
            <w:pPr>
              <w:pStyle w:val="TableText"/>
              <w:jc w:val="right"/>
            </w:pPr>
            <w:r w:rsidRPr="00282024">
              <w:t>$</w:t>
            </w:r>
            <w:r w:rsidR="007B2AA2" w:rsidRPr="007B2AA2">
              <w:rPr>
                <w:b/>
              </w:rPr>
              <w:t>redacted</w:t>
            </w:r>
          </w:p>
        </w:tc>
        <w:tc>
          <w:tcPr>
            <w:tcW w:w="1320" w:type="dxa"/>
          </w:tcPr>
          <w:p w14:paraId="4680D8BB" w14:textId="0B1D8CA0" w:rsidR="00BD0DDE" w:rsidRPr="00282024" w:rsidRDefault="00BD0DDE" w:rsidP="00851BFB">
            <w:pPr>
              <w:pStyle w:val="TableText"/>
              <w:jc w:val="right"/>
            </w:pPr>
            <w:r w:rsidRPr="00282024">
              <w:t>$</w:t>
            </w:r>
            <w:r w:rsidR="007B2AA2" w:rsidRPr="007B2AA2">
              <w:rPr>
                <w:b/>
              </w:rPr>
              <w:t>redacted</w:t>
            </w:r>
          </w:p>
        </w:tc>
        <w:tc>
          <w:tcPr>
            <w:tcW w:w="1321" w:type="dxa"/>
          </w:tcPr>
          <w:p w14:paraId="58075BF8" w14:textId="77777777" w:rsidR="00BD0DDE" w:rsidRPr="00282024" w:rsidRDefault="00BD0DDE" w:rsidP="00851BFB">
            <w:pPr>
              <w:pStyle w:val="TableText"/>
              <w:jc w:val="right"/>
            </w:pPr>
          </w:p>
        </w:tc>
      </w:tr>
    </w:tbl>
    <w:p w14:paraId="7B6C7D16" w14:textId="16F2AB91" w:rsidR="00BD0DDE" w:rsidRPr="00C811E8" w:rsidRDefault="00BD0DDE" w:rsidP="00142069">
      <w:pPr>
        <w:pStyle w:val="Tablenotes0"/>
      </w:pPr>
      <w:r w:rsidRPr="00C811E8">
        <w:t xml:space="preserve">HMB = haemophilia B; </w:t>
      </w:r>
      <w:r w:rsidR="003E4410" w:rsidRPr="00C811E8">
        <w:t xml:space="preserve">HMBwI = haemophilia B with inhibitors; </w:t>
      </w:r>
      <w:bookmarkStart w:id="63" w:name="_Hlk215493664"/>
      <w:r w:rsidR="003E4410" w:rsidRPr="00C811E8">
        <w:t>mg</w:t>
      </w:r>
      <w:r w:rsidRPr="00C811E8">
        <w:t xml:space="preserve"> = </w:t>
      </w:r>
      <w:r w:rsidR="003E4410" w:rsidRPr="00C811E8">
        <w:t>milligrams</w:t>
      </w:r>
      <w:bookmarkEnd w:id="63"/>
      <w:r w:rsidRPr="00C811E8">
        <w:t>.</w:t>
      </w:r>
    </w:p>
    <w:p w14:paraId="0C07B57F" w14:textId="473DBBFA" w:rsidR="00BD0DDE" w:rsidRPr="00C811E8" w:rsidRDefault="00BD0DDE" w:rsidP="00142069">
      <w:pPr>
        <w:pStyle w:val="Tablenotes0"/>
      </w:pPr>
      <w:r w:rsidRPr="00C811E8">
        <w:t xml:space="preserve">Source: Table </w:t>
      </w:r>
      <w:r w:rsidR="00A8172A" w:rsidRPr="00C811E8">
        <w:t>5</w:t>
      </w:r>
      <w:r w:rsidR="00142069" w:rsidRPr="00C811E8">
        <w:t>3</w:t>
      </w:r>
      <w:r w:rsidRPr="00C811E8">
        <w:t xml:space="preserve"> of MSAC Application 1805 in-line </w:t>
      </w:r>
      <w:r w:rsidR="0046381B" w:rsidRPr="00C811E8">
        <w:t>c</w:t>
      </w:r>
      <w:r w:rsidRPr="00C811E8">
        <w:t>ommentary.</w:t>
      </w:r>
    </w:p>
    <w:p w14:paraId="1481FA3D" w14:textId="6667A662" w:rsidR="00E03E2E" w:rsidRPr="00C811E8" w:rsidRDefault="006D7789" w:rsidP="000D1010">
      <w:r w:rsidRPr="00C811E8">
        <w:t xml:space="preserve">Due to the difference </w:t>
      </w:r>
      <w:r w:rsidR="00302A7F" w:rsidRPr="00C811E8">
        <w:t xml:space="preserve">in </w:t>
      </w:r>
      <w:r w:rsidRPr="00C811E8">
        <w:t xml:space="preserve">cost per unit for the </w:t>
      </w:r>
      <w:r w:rsidR="00E9742F">
        <w:t>2</w:t>
      </w:r>
      <w:r w:rsidR="00E9742F" w:rsidRPr="00C811E8">
        <w:t xml:space="preserve"> </w:t>
      </w:r>
      <w:r w:rsidRPr="00C811E8">
        <w:t>populations, an increase</w:t>
      </w:r>
      <w:r w:rsidR="00417DE4">
        <w:t>d</w:t>
      </w:r>
      <w:r w:rsidRPr="00C811E8">
        <w:t xml:space="preserve"> uptake in</w:t>
      </w:r>
      <w:r w:rsidR="00425817">
        <w:t xml:space="preserve"> patients with</w:t>
      </w:r>
      <w:r w:rsidRPr="00C811E8">
        <w:t xml:space="preserve"> HMB result</w:t>
      </w:r>
      <w:r w:rsidR="008600CE" w:rsidRPr="00C811E8">
        <w:t>s</w:t>
      </w:r>
      <w:r w:rsidRPr="00C811E8">
        <w:t xml:space="preserve"> in a decreas</w:t>
      </w:r>
      <w:r w:rsidR="00417DE4">
        <w:t>ed</w:t>
      </w:r>
      <w:r w:rsidRPr="00C811E8">
        <w:t xml:space="preserve"> weighted cost per unit.</w:t>
      </w:r>
    </w:p>
    <w:p w14:paraId="1CE4A3E1" w14:textId="5523F087" w:rsidR="008600CE" w:rsidRPr="00C811E8" w:rsidRDefault="008600CE" w:rsidP="008600CE">
      <w:pPr>
        <w:pStyle w:val="Caption"/>
      </w:pPr>
      <w:r w:rsidRPr="00C811E8">
        <w:t xml:space="preserve">Table </w:t>
      </w:r>
      <w:r>
        <w:fldChar w:fldCharType="begin"/>
      </w:r>
      <w:r>
        <w:instrText>SEQ Table \* ARABIC</w:instrText>
      </w:r>
      <w:r>
        <w:fldChar w:fldCharType="separate"/>
      </w:r>
      <w:r w:rsidR="00CD3B0F">
        <w:rPr>
          <w:noProof/>
        </w:rPr>
        <w:t>27</w:t>
      </w:r>
      <w:r>
        <w:fldChar w:fldCharType="end"/>
      </w:r>
      <w:r w:rsidRPr="00C811E8">
        <w:tab/>
      </w:r>
      <w:r w:rsidR="00F03756" w:rsidRPr="00C811E8">
        <w:t xml:space="preserve">Impact of higher proportion of </w:t>
      </w:r>
      <w:r w:rsidR="00161DCE">
        <w:t xml:space="preserve">patients with </w:t>
      </w:r>
      <w:r w:rsidR="00F03756" w:rsidRPr="00C811E8">
        <w:t>HMB compared to HMBwI on the weighted price</w:t>
      </w:r>
    </w:p>
    <w:tbl>
      <w:tblPr>
        <w:tblStyle w:val="TableGrid"/>
        <w:tblW w:w="5000" w:type="pct"/>
        <w:tblLook w:val="04A0" w:firstRow="1" w:lastRow="0" w:firstColumn="1" w:lastColumn="0" w:noHBand="0" w:noVBand="1"/>
        <w:tblCaption w:val="Impact of higher proportion of HMB patients compared to HMBwI on the weighted price"/>
        <w:tblDescription w:val="Impact of higher proportion of HMB patients compared to HMBwI on the weighted price"/>
      </w:tblPr>
      <w:tblGrid>
        <w:gridCol w:w="2254"/>
        <w:gridCol w:w="2254"/>
        <w:gridCol w:w="2254"/>
        <w:gridCol w:w="2254"/>
      </w:tblGrid>
      <w:tr w:rsidR="008600CE" w:rsidRPr="00C811E8" w14:paraId="28EF8819" w14:textId="77777777" w:rsidTr="00E049C9">
        <w:trPr>
          <w:trHeight w:val="420"/>
          <w:tblHeader/>
        </w:trPr>
        <w:tc>
          <w:tcPr>
            <w:tcW w:w="1250" w:type="pct"/>
          </w:tcPr>
          <w:p w14:paraId="75CAF4B5" w14:textId="3481B3B0" w:rsidR="008600CE" w:rsidRPr="00C811E8" w:rsidRDefault="00302A7F" w:rsidP="008600CE">
            <w:pPr>
              <w:pStyle w:val="TableHeading0"/>
            </w:pPr>
            <w:r w:rsidRPr="00C811E8">
              <w:t>Item</w:t>
            </w:r>
          </w:p>
        </w:tc>
        <w:tc>
          <w:tcPr>
            <w:tcW w:w="1250" w:type="pct"/>
          </w:tcPr>
          <w:p w14:paraId="061AAED5" w14:textId="77777777" w:rsidR="008600CE" w:rsidRPr="00C811E8" w:rsidRDefault="008600CE" w:rsidP="00302A7F">
            <w:pPr>
              <w:pStyle w:val="TableHeading0"/>
              <w:jc w:val="right"/>
            </w:pPr>
            <w:r w:rsidRPr="00C811E8">
              <w:t>Base</w:t>
            </w:r>
          </w:p>
        </w:tc>
        <w:tc>
          <w:tcPr>
            <w:tcW w:w="1250" w:type="pct"/>
          </w:tcPr>
          <w:p w14:paraId="48B1C438" w14:textId="77777777" w:rsidR="008600CE" w:rsidRPr="00C811E8" w:rsidRDefault="008600CE" w:rsidP="00302A7F">
            <w:pPr>
              <w:pStyle w:val="TableHeading0"/>
              <w:jc w:val="right"/>
            </w:pPr>
            <w:r w:rsidRPr="00C811E8">
              <w:t>Scenario 1</w:t>
            </w:r>
          </w:p>
        </w:tc>
        <w:tc>
          <w:tcPr>
            <w:tcW w:w="1250" w:type="pct"/>
          </w:tcPr>
          <w:p w14:paraId="66C183F0" w14:textId="77777777" w:rsidR="008600CE" w:rsidRPr="00C811E8" w:rsidRDefault="008600CE" w:rsidP="00302A7F">
            <w:pPr>
              <w:pStyle w:val="TableHeading0"/>
              <w:jc w:val="right"/>
            </w:pPr>
            <w:r w:rsidRPr="00C811E8">
              <w:t>Scenario 2</w:t>
            </w:r>
          </w:p>
        </w:tc>
      </w:tr>
      <w:tr w:rsidR="008600CE" w:rsidRPr="00C811E8" w14:paraId="1A1E4372" w14:textId="77777777" w:rsidTr="00302A7F">
        <w:tc>
          <w:tcPr>
            <w:tcW w:w="1250" w:type="pct"/>
          </w:tcPr>
          <w:p w14:paraId="0844EEDE" w14:textId="77777777" w:rsidR="008600CE" w:rsidRPr="00C811E8" w:rsidRDefault="008600CE" w:rsidP="00E049C9">
            <w:pPr>
              <w:pStyle w:val="TableText"/>
              <w:keepNext/>
            </w:pPr>
            <w:r w:rsidRPr="00C811E8">
              <w:t>HMB proportion of use</w:t>
            </w:r>
          </w:p>
        </w:tc>
        <w:tc>
          <w:tcPr>
            <w:tcW w:w="1250" w:type="pct"/>
          </w:tcPr>
          <w:p w14:paraId="578C6E93" w14:textId="07A897C4" w:rsidR="008600CE" w:rsidRPr="00282024" w:rsidRDefault="007B2AA2" w:rsidP="00302A7F">
            <w:pPr>
              <w:pStyle w:val="TableText"/>
              <w:keepNext/>
              <w:jc w:val="right"/>
            </w:pPr>
            <w:r w:rsidRPr="007B2AA2">
              <w:rPr>
                <w:b/>
              </w:rPr>
              <w:t>redacted</w:t>
            </w:r>
            <w:r w:rsidR="008600CE" w:rsidRPr="00282024">
              <w:t>%</w:t>
            </w:r>
          </w:p>
        </w:tc>
        <w:tc>
          <w:tcPr>
            <w:tcW w:w="1250" w:type="pct"/>
          </w:tcPr>
          <w:p w14:paraId="417AD285" w14:textId="69D2F22C" w:rsidR="008600CE" w:rsidRPr="00282024" w:rsidRDefault="007B2AA2" w:rsidP="00302A7F">
            <w:pPr>
              <w:pStyle w:val="TableText"/>
              <w:keepNext/>
              <w:jc w:val="right"/>
            </w:pPr>
            <w:r w:rsidRPr="007B2AA2">
              <w:rPr>
                <w:b/>
              </w:rPr>
              <w:t>redacted</w:t>
            </w:r>
            <w:r w:rsidR="008600CE" w:rsidRPr="00282024">
              <w:t>%</w:t>
            </w:r>
          </w:p>
        </w:tc>
        <w:tc>
          <w:tcPr>
            <w:tcW w:w="1250" w:type="pct"/>
          </w:tcPr>
          <w:p w14:paraId="1FEB1F58" w14:textId="5CA1761F" w:rsidR="008600CE" w:rsidRPr="00282024" w:rsidRDefault="007B2AA2" w:rsidP="00302A7F">
            <w:pPr>
              <w:pStyle w:val="TableText"/>
              <w:keepNext/>
              <w:jc w:val="right"/>
            </w:pPr>
            <w:r w:rsidRPr="007B2AA2">
              <w:rPr>
                <w:b/>
              </w:rPr>
              <w:t>redacted</w:t>
            </w:r>
            <w:r w:rsidR="008600CE" w:rsidRPr="00282024">
              <w:t>%</w:t>
            </w:r>
          </w:p>
        </w:tc>
      </w:tr>
      <w:tr w:rsidR="008600CE" w:rsidRPr="00C811E8" w14:paraId="3594697D" w14:textId="77777777" w:rsidTr="00302A7F">
        <w:tc>
          <w:tcPr>
            <w:tcW w:w="1250" w:type="pct"/>
          </w:tcPr>
          <w:p w14:paraId="160E230A" w14:textId="77777777" w:rsidR="008600CE" w:rsidRPr="00C811E8" w:rsidRDefault="008600CE" w:rsidP="008600CE">
            <w:pPr>
              <w:pStyle w:val="TableText"/>
            </w:pPr>
            <w:r w:rsidRPr="00C811E8">
              <w:t>Weighted cost</w:t>
            </w:r>
          </w:p>
        </w:tc>
        <w:tc>
          <w:tcPr>
            <w:tcW w:w="1250" w:type="pct"/>
          </w:tcPr>
          <w:p w14:paraId="3762FA12" w14:textId="393D71EE" w:rsidR="008600CE" w:rsidRPr="00282024" w:rsidRDefault="008600CE" w:rsidP="00302A7F">
            <w:pPr>
              <w:pStyle w:val="TableText"/>
              <w:jc w:val="right"/>
            </w:pPr>
            <w:r w:rsidRPr="00282024">
              <w:t>$</w:t>
            </w:r>
            <w:r w:rsidR="007B2AA2" w:rsidRPr="007B2AA2">
              <w:rPr>
                <w:b/>
              </w:rPr>
              <w:t>redacted</w:t>
            </w:r>
          </w:p>
        </w:tc>
        <w:tc>
          <w:tcPr>
            <w:tcW w:w="1250" w:type="pct"/>
          </w:tcPr>
          <w:p w14:paraId="6B204A4C" w14:textId="05489C2B" w:rsidR="008600CE" w:rsidRPr="00282024" w:rsidRDefault="008600CE" w:rsidP="00302A7F">
            <w:pPr>
              <w:pStyle w:val="TableText"/>
              <w:jc w:val="right"/>
            </w:pPr>
            <w:r w:rsidRPr="00282024">
              <w:t>$</w:t>
            </w:r>
            <w:r w:rsidR="007B2AA2" w:rsidRPr="007B2AA2">
              <w:rPr>
                <w:b/>
              </w:rPr>
              <w:t>redacted</w:t>
            </w:r>
          </w:p>
        </w:tc>
        <w:tc>
          <w:tcPr>
            <w:tcW w:w="1250" w:type="pct"/>
          </w:tcPr>
          <w:p w14:paraId="50CF2392" w14:textId="4D9BD5E4" w:rsidR="008600CE" w:rsidRPr="00282024" w:rsidRDefault="008600CE" w:rsidP="00302A7F">
            <w:pPr>
              <w:pStyle w:val="TableText"/>
              <w:jc w:val="right"/>
            </w:pPr>
            <w:r w:rsidRPr="00282024">
              <w:t>$</w:t>
            </w:r>
            <w:r w:rsidR="007B2AA2" w:rsidRPr="007B2AA2">
              <w:rPr>
                <w:b/>
              </w:rPr>
              <w:t>redacted</w:t>
            </w:r>
          </w:p>
        </w:tc>
      </w:tr>
    </w:tbl>
    <w:p w14:paraId="68CAFB23" w14:textId="0CEC4AF8" w:rsidR="0055014E" w:rsidRPr="00C811E8" w:rsidRDefault="0055014E" w:rsidP="00766A38">
      <w:pPr>
        <w:pStyle w:val="Tablenotes0"/>
      </w:pPr>
      <w:bookmarkStart w:id="64" w:name="_Hlk215426672"/>
      <w:r w:rsidRPr="00C811E8">
        <w:t>HMB = haemophilia B; HMBwI = haemophilia B with inhibitors.</w:t>
      </w:r>
    </w:p>
    <w:p w14:paraId="360492C3" w14:textId="74F60A2C" w:rsidR="00F03756" w:rsidRDefault="00F03756" w:rsidP="00766A38">
      <w:pPr>
        <w:pStyle w:val="Tablenotes0"/>
      </w:pPr>
      <w:r w:rsidRPr="00C811E8">
        <w:t xml:space="preserve">Source: Commentary Table </w:t>
      </w:r>
      <w:r w:rsidR="00766A38" w:rsidRPr="00C811E8">
        <w:t>10</w:t>
      </w:r>
      <w:r w:rsidRPr="00C811E8">
        <w:t xml:space="preserve"> of MSAC Application 1805 in-line Commentary.</w:t>
      </w:r>
      <w:bookmarkEnd w:id="64"/>
    </w:p>
    <w:p w14:paraId="70DD1D57" w14:textId="75FC9C8A" w:rsidR="006D7789" w:rsidRDefault="00AF6A96" w:rsidP="000D1010">
      <w:r>
        <w:t xml:space="preserve">Applying the weighted price of </w:t>
      </w:r>
      <w:r w:rsidR="00B91F92" w:rsidRPr="00282024">
        <w:t>$</w:t>
      </w:r>
      <w:r w:rsidR="007B2AA2" w:rsidRPr="007B2AA2">
        <w:rPr>
          <w:b/>
        </w:rPr>
        <w:t>redacted</w:t>
      </w:r>
      <w:r w:rsidR="00BB16EF">
        <w:rPr>
          <w:b/>
        </w:rPr>
        <w:t xml:space="preserve"> </w:t>
      </w:r>
      <w:r w:rsidR="00302A7F">
        <w:t>(</w:t>
      </w:r>
      <w:r w:rsidR="00302A7F">
        <w:fldChar w:fldCharType="begin"/>
      </w:r>
      <w:r w:rsidR="00302A7F">
        <w:instrText xml:space="preserve"> REF _Ref215539729 \h </w:instrText>
      </w:r>
      <w:r w:rsidR="00302A7F">
        <w:fldChar w:fldCharType="separate"/>
      </w:r>
      <w:r w:rsidR="00CD3B0F">
        <w:t xml:space="preserve">Table </w:t>
      </w:r>
      <w:r w:rsidR="00CD3B0F">
        <w:rPr>
          <w:noProof/>
        </w:rPr>
        <w:t>26</w:t>
      </w:r>
      <w:r w:rsidR="00302A7F">
        <w:fldChar w:fldCharType="end"/>
      </w:r>
      <w:r w:rsidR="00302A7F">
        <w:t xml:space="preserve">) </w:t>
      </w:r>
      <w:r w:rsidR="00B91F92">
        <w:t xml:space="preserve">to the financial analysis results in no net overall cost </w:t>
      </w:r>
      <w:r w:rsidR="00B50C9E">
        <w:t>over 6 years</w:t>
      </w:r>
      <w:r w:rsidR="00302A7F">
        <w:t>.</w:t>
      </w:r>
      <w:r w:rsidR="00B50C9E">
        <w:t xml:space="preserve"> </w:t>
      </w:r>
      <w:r w:rsidR="00302A7F">
        <w:t>H</w:t>
      </w:r>
      <w:r w:rsidR="00B50C9E">
        <w:t>owever</w:t>
      </w:r>
      <w:r w:rsidR="00302A7F">
        <w:t>,</w:t>
      </w:r>
      <w:r w:rsidR="00B50C9E">
        <w:t xml:space="preserve"> </w:t>
      </w:r>
      <w:r w:rsidR="0032377F" w:rsidRPr="0032377F">
        <w:t xml:space="preserve">the </w:t>
      </w:r>
      <w:r w:rsidR="00197856">
        <w:t xml:space="preserve">projected </w:t>
      </w:r>
      <w:r w:rsidR="0032377F" w:rsidRPr="0032377F">
        <w:t>differen</w:t>
      </w:r>
      <w:r w:rsidR="00197856">
        <w:t>ce</w:t>
      </w:r>
      <w:r w:rsidR="0032377F" w:rsidRPr="0032377F">
        <w:t xml:space="preserve"> </w:t>
      </w:r>
      <w:r w:rsidR="00197856">
        <w:t xml:space="preserve">in the </w:t>
      </w:r>
      <w:r w:rsidR="0032377F" w:rsidRPr="0032377F">
        <w:t xml:space="preserve">rate of concizumab uptake across the </w:t>
      </w:r>
      <w:r w:rsidR="004F457E">
        <w:t>2</w:t>
      </w:r>
      <w:r w:rsidR="004F457E" w:rsidRPr="0032377F">
        <w:t xml:space="preserve"> </w:t>
      </w:r>
      <w:r w:rsidR="0032377F" w:rsidRPr="0032377F">
        <w:t>indications means the budget impact fluctuate</w:t>
      </w:r>
      <w:r w:rsidR="0032377F">
        <w:t>s</w:t>
      </w:r>
      <w:r w:rsidR="0032377F" w:rsidRPr="0032377F">
        <w:t xml:space="preserve"> within the 6-year period.</w:t>
      </w:r>
    </w:p>
    <w:p w14:paraId="57DB9357" w14:textId="3A71A632" w:rsidR="00BB78CE" w:rsidRDefault="00BB78CE" w:rsidP="00BB78CE">
      <w:pPr>
        <w:pStyle w:val="Caption"/>
      </w:pPr>
      <w:r>
        <w:t xml:space="preserve">Table </w:t>
      </w:r>
      <w:r>
        <w:fldChar w:fldCharType="begin"/>
      </w:r>
      <w:r>
        <w:instrText>SEQ Table \* ARABIC</w:instrText>
      </w:r>
      <w:r>
        <w:fldChar w:fldCharType="separate"/>
      </w:r>
      <w:r w:rsidR="00CD3B0F">
        <w:rPr>
          <w:noProof/>
        </w:rPr>
        <w:t>28</w:t>
      </w:r>
      <w:r>
        <w:fldChar w:fldCharType="end"/>
      </w:r>
      <w:r>
        <w:tab/>
      </w:r>
      <w:r w:rsidR="00353A49" w:rsidRPr="00CE540D">
        <w:t>Overall budget impact of concizumab for HMB and HMBwI (weighted price)</w:t>
      </w:r>
    </w:p>
    <w:tbl>
      <w:tblPr>
        <w:tblStyle w:val="TableGrid1"/>
        <w:tblW w:w="5200" w:type="pct"/>
        <w:tblLayout w:type="fixed"/>
        <w:tblLook w:val="05A0" w:firstRow="1" w:lastRow="0" w:firstColumn="1" w:lastColumn="1" w:noHBand="0" w:noVBand="1"/>
        <w:tblCaption w:val="Overall budget impact to NBA of concizumab for HMB and HMBwI (weighted price)"/>
        <w:tblDescription w:val="Overall budget impact to NBA of concizumab for HMB and HMBwI (weighted price)"/>
      </w:tblPr>
      <w:tblGrid>
        <w:gridCol w:w="1413"/>
        <w:gridCol w:w="1137"/>
        <w:gridCol w:w="1138"/>
        <w:gridCol w:w="1138"/>
        <w:gridCol w:w="1137"/>
        <w:gridCol w:w="1138"/>
        <w:gridCol w:w="1138"/>
        <w:gridCol w:w="1138"/>
      </w:tblGrid>
      <w:tr w:rsidR="007E6E36" w:rsidRPr="007B2AA2" w14:paraId="47D4F100" w14:textId="77777777" w:rsidTr="00F5474F">
        <w:trPr>
          <w:cnfStyle w:val="100000000000" w:firstRow="1" w:lastRow="0" w:firstColumn="0" w:lastColumn="0" w:oddVBand="0" w:evenVBand="0" w:oddHBand="0" w:evenHBand="0" w:firstRowFirstColumn="0" w:firstRowLastColumn="0" w:lastRowFirstColumn="0" w:lastRowLastColumn="0"/>
          <w:tblHeader/>
        </w:trPr>
        <w:tc>
          <w:tcPr>
            <w:tcW w:w="1413" w:type="dxa"/>
            <w:tcMar>
              <w:left w:w="85" w:type="dxa"/>
              <w:right w:w="85" w:type="dxa"/>
            </w:tcMar>
          </w:tcPr>
          <w:p w14:paraId="69BD0F8A" w14:textId="63E66B6B" w:rsidR="007E6E36" w:rsidRPr="007B2AA2" w:rsidRDefault="00302A7F" w:rsidP="007E6E36">
            <w:pPr>
              <w:pStyle w:val="TableHeading0"/>
            </w:pPr>
            <w:r w:rsidRPr="007B2AA2">
              <w:rPr>
                <w:szCs w:val="22"/>
              </w:rPr>
              <w:t>Item</w:t>
            </w:r>
          </w:p>
        </w:tc>
        <w:tc>
          <w:tcPr>
            <w:tcW w:w="1137" w:type="dxa"/>
            <w:tcMar>
              <w:left w:w="85" w:type="dxa"/>
              <w:right w:w="85" w:type="dxa"/>
            </w:tcMar>
          </w:tcPr>
          <w:p w14:paraId="150A1FD7" w14:textId="77777777" w:rsidR="007E6E36" w:rsidRPr="007B2AA2" w:rsidRDefault="007E6E36" w:rsidP="00302A7F">
            <w:pPr>
              <w:pStyle w:val="TableHeading0"/>
              <w:jc w:val="right"/>
            </w:pPr>
            <w:r w:rsidRPr="007B2AA2">
              <w:rPr>
                <w:szCs w:val="22"/>
              </w:rPr>
              <w:t>Year 1</w:t>
            </w:r>
          </w:p>
        </w:tc>
        <w:tc>
          <w:tcPr>
            <w:tcW w:w="1138" w:type="dxa"/>
            <w:tcMar>
              <w:left w:w="85" w:type="dxa"/>
              <w:right w:w="85" w:type="dxa"/>
            </w:tcMar>
          </w:tcPr>
          <w:p w14:paraId="40743480" w14:textId="77777777" w:rsidR="007E6E36" w:rsidRPr="007B2AA2" w:rsidRDefault="007E6E36" w:rsidP="00302A7F">
            <w:pPr>
              <w:pStyle w:val="TableHeading0"/>
              <w:jc w:val="right"/>
            </w:pPr>
            <w:r w:rsidRPr="007B2AA2">
              <w:rPr>
                <w:szCs w:val="22"/>
              </w:rPr>
              <w:t>Year 2</w:t>
            </w:r>
          </w:p>
        </w:tc>
        <w:tc>
          <w:tcPr>
            <w:tcW w:w="1138" w:type="dxa"/>
            <w:tcMar>
              <w:left w:w="85" w:type="dxa"/>
              <w:right w:w="85" w:type="dxa"/>
            </w:tcMar>
          </w:tcPr>
          <w:p w14:paraId="450EF196" w14:textId="77777777" w:rsidR="007E6E36" w:rsidRPr="007B2AA2" w:rsidRDefault="007E6E36" w:rsidP="00302A7F">
            <w:pPr>
              <w:pStyle w:val="TableHeading0"/>
              <w:jc w:val="right"/>
            </w:pPr>
            <w:r w:rsidRPr="007B2AA2">
              <w:rPr>
                <w:szCs w:val="22"/>
              </w:rPr>
              <w:t>Year 3</w:t>
            </w:r>
          </w:p>
        </w:tc>
        <w:tc>
          <w:tcPr>
            <w:tcW w:w="1137" w:type="dxa"/>
            <w:tcMar>
              <w:left w:w="85" w:type="dxa"/>
              <w:right w:w="85" w:type="dxa"/>
            </w:tcMar>
          </w:tcPr>
          <w:p w14:paraId="6956CE39" w14:textId="77777777" w:rsidR="007E6E36" w:rsidRPr="007B2AA2" w:rsidRDefault="007E6E36" w:rsidP="00302A7F">
            <w:pPr>
              <w:pStyle w:val="TableHeading0"/>
              <w:jc w:val="right"/>
            </w:pPr>
            <w:r w:rsidRPr="007B2AA2">
              <w:rPr>
                <w:szCs w:val="22"/>
              </w:rPr>
              <w:t>Year 4</w:t>
            </w:r>
          </w:p>
        </w:tc>
        <w:tc>
          <w:tcPr>
            <w:tcW w:w="1138" w:type="dxa"/>
            <w:tcMar>
              <w:left w:w="85" w:type="dxa"/>
              <w:right w:w="85" w:type="dxa"/>
            </w:tcMar>
          </w:tcPr>
          <w:p w14:paraId="42324C87" w14:textId="77777777" w:rsidR="007E6E36" w:rsidRPr="007B2AA2" w:rsidRDefault="007E6E36" w:rsidP="00302A7F">
            <w:pPr>
              <w:pStyle w:val="TableHeading0"/>
              <w:jc w:val="right"/>
            </w:pPr>
            <w:r w:rsidRPr="007B2AA2">
              <w:rPr>
                <w:szCs w:val="22"/>
              </w:rPr>
              <w:t>Year 5</w:t>
            </w:r>
          </w:p>
        </w:tc>
        <w:tc>
          <w:tcPr>
            <w:tcW w:w="1138" w:type="dxa"/>
            <w:tcMar>
              <w:left w:w="85" w:type="dxa"/>
              <w:right w:w="85" w:type="dxa"/>
            </w:tcMar>
          </w:tcPr>
          <w:p w14:paraId="1EAEBF7F" w14:textId="77777777" w:rsidR="007E6E36" w:rsidRPr="007B2AA2" w:rsidRDefault="007E6E36" w:rsidP="00302A7F">
            <w:pPr>
              <w:pStyle w:val="TableHeading0"/>
              <w:jc w:val="right"/>
            </w:pPr>
            <w:r w:rsidRPr="007B2AA2">
              <w:rPr>
                <w:szCs w:val="22"/>
              </w:rPr>
              <w:t>Year 6</w:t>
            </w:r>
          </w:p>
        </w:tc>
        <w:tc>
          <w:tcPr>
            <w:tcW w:w="1138" w:type="dxa"/>
            <w:tcMar>
              <w:left w:w="85" w:type="dxa"/>
              <w:right w:w="85" w:type="dxa"/>
            </w:tcMar>
          </w:tcPr>
          <w:p w14:paraId="30F5268E" w14:textId="77777777" w:rsidR="007E6E36" w:rsidRPr="007B2AA2" w:rsidRDefault="007E6E36" w:rsidP="00302A7F">
            <w:pPr>
              <w:pStyle w:val="TableHeading0"/>
              <w:jc w:val="right"/>
            </w:pPr>
            <w:r w:rsidRPr="007B2AA2">
              <w:rPr>
                <w:szCs w:val="22"/>
              </w:rPr>
              <w:t>Total</w:t>
            </w:r>
          </w:p>
        </w:tc>
      </w:tr>
      <w:tr w:rsidR="007E6E36" w:rsidRPr="007B2AA2" w14:paraId="40B6BAE2" w14:textId="77777777" w:rsidTr="00F5474F">
        <w:tc>
          <w:tcPr>
            <w:tcW w:w="1413" w:type="dxa"/>
            <w:tcMar>
              <w:left w:w="85" w:type="dxa"/>
              <w:right w:w="85" w:type="dxa"/>
            </w:tcMar>
          </w:tcPr>
          <w:p w14:paraId="4F2E578E" w14:textId="77777777" w:rsidR="007E6E36" w:rsidRPr="007B2AA2" w:rsidRDefault="007E6E36" w:rsidP="007E6E36">
            <w:pPr>
              <w:pStyle w:val="TableText"/>
            </w:pPr>
            <w:r w:rsidRPr="007B2AA2">
              <w:rPr>
                <w:szCs w:val="22"/>
              </w:rPr>
              <w:t>Concizumab cost to NBA for HMB</w:t>
            </w:r>
          </w:p>
        </w:tc>
        <w:tc>
          <w:tcPr>
            <w:tcW w:w="1137" w:type="dxa"/>
            <w:tcMar>
              <w:left w:w="85" w:type="dxa"/>
              <w:right w:w="85" w:type="dxa"/>
            </w:tcMar>
            <w:vAlign w:val="center"/>
          </w:tcPr>
          <w:p w14:paraId="3FE1B229" w14:textId="6C42E623"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507CA4FD" w14:textId="5D83CA98"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58D24C6F" w14:textId="2400090E" w:rsidR="007E6E36" w:rsidRPr="00282024" w:rsidRDefault="007E6E36" w:rsidP="00302A7F">
            <w:pPr>
              <w:pStyle w:val="TableText"/>
              <w:jc w:val="right"/>
            </w:pPr>
            <w:r w:rsidRPr="00282024">
              <w:t>$</w:t>
            </w:r>
            <w:r w:rsidR="007B2AA2" w:rsidRPr="007B2AA2">
              <w:rPr>
                <w:b/>
              </w:rPr>
              <w:t>redacted</w:t>
            </w:r>
          </w:p>
        </w:tc>
        <w:tc>
          <w:tcPr>
            <w:tcW w:w="1137" w:type="dxa"/>
            <w:tcMar>
              <w:left w:w="85" w:type="dxa"/>
              <w:right w:w="85" w:type="dxa"/>
            </w:tcMar>
            <w:vAlign w:val="center"/>
          </w:tcPr>
          <w:p w14:paraId="16CB25F4" w14:textId="30681DC7"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0A7BBD23" w14:textId="254B1DE8"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4813A3BB" w14:textId="4DC7131D"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347D29BB" w14:textId="69352476" w:rsidR="007E6E36" w:rsidRPr="00282024" w:rsidRDefault="007E6E36" w:rsidP="00302A7F">
            <w:pPr>
              <w:pStyle w:val="TableText"/>
              <w:jc w:val="right"/>
            </w:pPr>
            <w:r w:rsidRPr="00282024">
              <w:t>$</w:t>
            </w:r>
            <w:r w:rsidR="007B2AA2" w:rsidRPr="007B2AA2">
              <w:rPr>
                <w:b/>
              </w:rPr>
              <w:t>redacted</w:t>
            </w:r>
          </w:p>
        </w:tc>
      </w:tr>
      <w:tr w:rsidR="007E6E36" w:rsidRPr="007B2AA2" w14:paraId="6DDE8AAC" w14:textId="77777777" w:rsidTr="00F5474F">
        <w:tc>
          <w:tcPr>
            <w:tcW w:w="1413" w:type="dxa"/>
            <w:tcMar>
              <w:left w:w="85" w:type="dxa"/>
              <w:right w:w="85" w:type="dxa"/>
            </w:tcMar>
          </w:tcPr>
          <w:p w14:paraId="3D2C42AC" w14:textId="77777777" w:rsidR="007E6E36" w:rsidRPr="007B2AA2" w:rsidRDefault="007E6E36" w:rsidP="007E6E36">
            <w:pPr>
              <w:pStyle w:val="TableText"/>
            </w:pPr>
            <w:r w:rsidRPr="007B2AA2">
              <w:rPr>
                <w:szCs w:val="22"/>
              </w:rPr>
              <w:t>Concizumab cost to NBA for HMBwI</w:t>
            </w:r>
          </w:p>
        </w:tc>
        <w:tc>
          <w:tcPr>
            <w:tcW w:w="1137" w:type="dxa"/>
            <w:tcMar>
              <w:left w:w="85" w:type="dxa"/>
              <w:right w:w="85" w:type="dxa"/>
            </w:tcMar>
            <w:vAlign w:val="center"/>
          </w:tcPr>
          <w:p w14:paraId="6606A0C4" w14:textId="36C4B668"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275268B4" w14:textId="33969111"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1F8791A4" w14:textId="3248187C" w:rsidR="007E6E36" w:rsidRPr="00282024" w:rsidRDefault="007E6E36" w:rsidP="00302A7F">
            <w:pPr>
              <w:pStyle w:val="TableText"/>
              <w:jc w:val="right"/>
            </w:pPr>
            <w:r w:rsidRPr="00282024">
              <w:t>$</w:t>
            </w:r>
            <w:r w:rsidR="007B2AA2" w:rsidRPr="007B2AA2">
              <w:rPr>
                <w:b/>
              </w:rPr>
              <w:t>redacted</w:t>
            </w:r>
          </w:p>
        </w:tc>
        <w:tc>
          <w:tcPr>
            <w:tcW w:w="1137" w:type="dxa"/>
            <w:tcMar>
              <w:left w:w="85" w:type="dxa"/>
              <w:right w:w="85" w:type="dxa"/>
            </w:tcMar>
            <w:vAlign w:val="center"/>
          </w:tcPr>
          <w:p w14:paraId="2EEB08A9" w14:textId="12E028B0"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09B80B32" w14:textId="3C85A109"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749241CC" w14:textId="6D7F997A" w:rsidR="007E6E36" w:rsidRPr="00282024" w:rsidRDefault="007E6E36" w:rsidP="00302A7F">
            <w:pPr>
              <w:pStyle w:val="TableText"/>
              <w:jc w:val="right"/>
            </w:pPr>
            <w:r w:rsidRPr="00282024">
              <w:t>$</w:t>
            </w:r>
            <w:r w:rsidR="007B2AA2" w:rsidRPr="007B2AA2">
              <w:rPr>
                <w:b/>
              </w:rPr>
              <w:t>redacted</w:t>
            </w:r>
          </w:p>
        </w:tc>
        <w:tc>
          <w:tcPr>
            <w:tcW w:w="1138" w:type="dxa"/>
            <w:tcMar>
              <w:left w:w="85" w:type="dxa"/>
              <w:right w:w="85" w:type="dxa"/>
            </w:tcMar>
            <w:vAlign w:val="center"/>
          </w:tcPr>
          <w:p w14:paraId="29F317A3" w14:textId="532FDAE6" w:rsidR="007E6E36" w:rsidRPr="00282024" w:rsidRDefault="007E6E36" w:rsidP="00302A7F">
            <w:pPr>
              <w:pStyle w:val="TableText"/>
              <w:jc w:val="right"/>
            </w:pPr>
            <w:r w:rsidRPr="00282024">
              <w:t>$</w:t>
            </w:r>
            <w:r w:rsidR="007B2AA2" w:rsidRPr="007B2AA2">
              <w:rPr>
                <w:b/>
              </w:rPr>
              <w:t>redacted</w:t>
            </w:r>
          </w:p>
        </w:tc>
      </w:tr>
      <w:tr w:rsidR="007E6E36" w:rsidRPr="007B2AA2" w14:paraId="0563EB1C" w14:textId="77777777" w:rsidTr="00F5474F">
        <w:trPr>
          <w:trHeight w:val="280"/>
        </w:trPr>
        <w:tc>
          <w:tcPr>
            <w:tcW w:w="1413" w:type="dxa"/>
            <w:noWrap/>
            <w:tcMar>
              <w:left w:w="85" w:type="dxa"/>
              <w:right w:w="85" w:type="dxa"/>
            </w:tcMar>
            <w:hideMark/>
          </w:tcPr>
          <w:p w14:paraId="0D7AED1C" w14:textId="63256FF7" w:rsidR="007E6E36" w:rsidRPr="007B2AA2" w:rsidRDefault="007E6E36" w:rsidP="007E6E36">
            <w:pPr>
              <w:pStyle w:val="TableText"/>
              <w:rPr>
                <w:b/>
              </w:rPr>
            </w:pPr>
            <w:r w:rsidRPr="007B2AA2">
              <w:rPr>
                <w:b/>
                <w:szCs w:val="22"/>
              </w:rPr>
              <w:t>Total cost of concizumab to the NBA</w:t>
            </w:r>
          </w:p>
        </w:tc>
        <w:tc>
          <w:tcPr>
            <w:tcW w:w="1137" w:type="dxa"/>
            <w:noWrap/>
            <w:tcMar>
              <w:left w:w="85" w:type="dxa"/>
              <w:right w:w="85" w:type="dxa"/>
            </w:tcMar>
            <w:vAlign w:val="center"/>
            <w:hideMark/>
          </w:tcPr>
          <w:p w14:paraId="3FE71221" w14:textId="6DED93E0" w:rsidR="007E6E36" w:rsidRPr="00282024" w:rsidRDefault="007E6E36" w:rsidP="00302A7F">
            <w:pPr>
              <w:pStyle w:val="TableText"/>
              <w:jc w:val="right"/>
              <w:rPr>
                <w:b/>
              </w:rPr>
            </w:pPr>
            <w:r w:rsidRPr="00282024">
              <w:rPr>
                <w:b/>
              </w:rPr>
              <w:t>$</w:t>
            </w:r>
            <w:r w:rsidR="007B2AA2" w:rsidRPr="007B2AA2">
              <w:rPr>
                <w:b/>
              </w:rPr>
              <w:t>redacted</w:t>
            </w:r>
          </w:p>
        </w:tc>
        <w:tc>
          <w:tcPr>
            <w:tcW w:w="1138" w:type="dxa"/>
            <w:noWrap/>
            <w:tcMar>
              <w:left w:w="85" w:type="dxa"/>
              <w:right w:w="85" w:type="dxa"/>
            </w:tcMar>
            <w:vAlign w:val="center"/>
            <w:hideMark/>
          </w:tcPr>
          <w:p w14:paraId="1EAF565B" w14:textId="4E4EEEE9" w:rsidR="007E6E36" w:rsidRPr="00282024" w:rsidRDefault="007E6E36" w:rsidP="00302A7F">
            <w:pPr>
              <w:pStyle w:val="TableText"/>
              <w:jc w:val="right"/>
              <w:rPr>
                <w:b/>
              </w:rPr>
            </w:pPr>
            <w:r w:rsidRPr="00282024">
              <w:rPr>
                <w:b/>
              </w:rPr>
              <w:t>$</w:t>
            </w:r>
            <w:r w:rsidR="007B2AA2" w:rsidRPr="007B2AA2">
              <w:rPr>
                <w:b/>
              </w:rPr>
              <w:t>redacted</w:t>
            </w:r>
          </w:p>
        </w:tc>
        <w:tc>
          <w:tcPr>
            <w:tcW w:w="1138" w:type="dxa"/>
            <w:noWrap/>
            <w:tcMar>
              <w:left w:w="85" w:type="dxa"/>
              <w:right w:w="85" w:type="dxa"/>
            </w:tcMar>
            <w:vAlign w:val="center"/>
            <w:hideMark/>
          </w:tcPr>
          <w:p w14:paraId="479096C8" w14:textId="45304845" w:rsidR="007E6E36" w:rsidRPr="00282024" w:rsidRDefault="007E6E36" w:rsidP="00302A7F">
            <w:pPr>
              <w:pStyle w:val="TableText"/>
              <w:jc w:val="right"/>
              <w:rPr>
                <w:b/>
              </w:rPr>
            </w:pPr>
            <w:r w:rsidRPr="00282024">
              <w:rPr>
                <w:b/>
              </w:rPr>
              <w:t>$</w:t>
            </w:r>
            <w:r w:rsidR="007B2AA2" w:rsidRPr="007B2AA2">
              <w:rPr>
                <w:b/>
              </w:rPr>
              <w:t>redacted</w:t>
            </w:r>
          </w:p>
        </w:tc>
        <w:tc>
          <w:tcPr>
            <w:tcW w:w="1137" w:type="dxa"/>
            <w:noWrap/>
            <w:tcMar>
              <w:left w:w="85" w:type="dxa"/>
              <w:right w:w="85" w:type="dxa"/>
            </w:tcMar>
            <w:vAlign w:val="center"/>
            <w:hideMark/>
          </w:tcPr>
          <w:p w14:paraId="10F55991" w14:textId="685160EC" w:rsidR="007E6E36" w:rsidRPr="00282024" w:rsidRDefault="007E6E36" w:rsidP="00302A7F">
            <w:pPr>
              <w:pStyle w:val="TableText"/>
              <w:jc w:val="right"/>
              <w:rPr>
                <w:b/>
              </w:rPr>
            </w:pPr>
            <w:r w:rsidRPr="00282024">
              <w:rPr>
                <w:b/>
              </w:rPr>
              <w:t>$</w:t>
            </w:r>
            <w:r w:rsidR="007B2AA2" w:rsidRPr="007B2AA2">
              <w:rPr>
                <w:b/>
              </w:rPr>
              <w:t>redacted</w:t>
            </w:r>
          </w:p>
        </w:tc>
        <w:tc>
          <w:tcPr>
            <w:tcW w:w="1138" w:type="dxa"/>
            <w:noWrap/>
            <w:tcMar>
              <w:left w:w="85" w:type="dxa"/>
              <w:right w:w="85" w:type="dxa"/>
            </w:tcMar>
            <w:vAlign w:val="center"/>
            <w:hideMark/>
          </w:tcPr>
          <w:p w14:paraId="2F79BA29" w14:textId="1500201E" w:rsidR="007E6E36" w:rsidRPr="00282024" w:rsidRDefault="007E6E36" w:rsidP="00302A7F">
            <w:pPr>
              <w:pStyle w:val="TableText"/>
              <w:jc w:val="right"/>
              <w:rPr>
                <w:b/>
              </w:rPr>
            </w:pPr>
            <w:r w:rsidRPr="00282024">
              <w:rPr>
                <w:b/>
              </w:rPr>
              <w:t>$</w:t>
            </w:r>
            <w:r w:rsidR="007B2AA2" w:rsidRPr="007B2AA2">
              <w:rPr>
                <w:b/>
              </w:rPr>
              <w:t>redacted</w:t>
            </w:r>
          </w:p>
        </w:tc>
        <w:tc>
          <w:tcPr>
            <w:tcW w:w="1138" w:type="dxa"/>
            <w:noWrap/>
            <w:tcMar>
              <w:left w:w="85" w:type="dxa"/>
              <w:right w:w="85" w:type="dxa"/>
            </w:tcMar>
            <w:vAlign w:val="center"/>
            <w:hideMark/>
          </w:tcPr>
          <w:p w14:paraId="6BE7905B" w14:textId="40DCE555" w:rsidR="007E6E36" w:rsidRPr="00282024" w:rsidRDefault="007E6E36" w:rsidP="00302A7F">
            <w:pPr>
              <w:pStyle w:val="TableText"/>
              <w:jc w:val="right"/>
              <w:rPr>
                <w:b/>
              </w:rPr>
            </w:pPr>
            <w:r w:rsidRPr="00282024">
              <w:rPr>
                <w:b/>
              </w:rPr>
              <w:t>$</w:t>
            </w:r>
            <w:r w:rsidR="007B2AA2" w:rsidRPr="007B2AA2">
              <w:rPr>
                <w:b/>
              </w:rPr>
              <w:t>redacted</w:t>
            </w:r>
          </w:p>
        </w:tc>
        <w:tc>
          <w:tcPr>
            <w:tcW w:w="1138" w:type="dxa"/>
            <w:noWrap/>
            <w:tcMar>
              <w:left w:w="85" w:type="dxa"/>
              <w:right w:w="85" w:type="dxa"/>
            </w:tcMar>
            <w:vAlign w:val="center"/>
            <w:hideMark/>
          </w:tcPr>
          <w:p w14:paraId="2D99EE9E" w14:textId="7556BDD3" w:rsidR="007E6E36" w:rsidRPr="00282024" w:rsidRDefault="007E6E36" w:rsidP="00302A7F">
            <w:pPr>
              <w:pStyle w:val="TableText"/>
              <w:jc w:val="right"/>
              <w:rPr>
                <w:b/>
              </w:rPr>
            </w:pPr>
            <w:r w:rsidRPr="00282024">
              <w:rPr>
                <w:b/>
              </w:rPr>
              <w:t>$</w:t>
            </w:r>
            <w:r w:rsidR="007B2AA2" w:rsidRPr="007B2AA2">
              <w:rPr>
                <w:b/>
              </w:rPr>
              <w:t>redacted</w:t>
            </w:r>
          </w:p>
        </w:tc>
      </w:tr>
      <w:tr w:rsidR="007E6E36" w:rsidRPr="007B2AA2" w14:paraId="1B2B524E" w14:textId="77777777" w:rsidTr="00F5474F">
        <w:trPr>
          <w:trHeight w:val="280"/>
        </w:trPr>
        <w:tc>
          <w:tcPr>
            <w:tcW w:w="1413" w:type="dxa"/>
            <w:noWrap/>
            <w:tcMar>
              <w:left w:w="85" w:type="dxa"/>
              <w:right w:w="85" w:type="dxa"/>
            </w:tcMar>
          </w:tcPr>
          <w:p w14:paraId="653F3E20" w14:textId="77777777" w:rsidR="007E6E36" w:rsidRPr="007B2AA2" w:rsidRDefault="007E6E36" w:rsidP="007E6E36">
            <w:pPr>
              <w:pStyle w:val="TableText"/>
            </w:pPr>
            <w:r w:rsidRPr="007B2AA2">
              <w:rPr>
                <w:szCs w:val="22"/>
              </w:rPr>
              <w:t>Total cost of FIX therapy replaced</w:t>
            </w:r>
          </w:p>
        </w:tc>
        <w:tc>
          <w:tcPr>
            <w:tcW w:w="1137" w:type="dxa"/>
            <w:noWrap/>
            <w:tcMar>
              <w:left w:w="85" w:type="dxa"/>
              <w:right w:w="85" w:type="dxa"/>
            </w:tcMar>
            <w:vAlign w:val="center"/>
          </w:tcPr>
          <w:p w14:paraId="463F513A" w14:textId="1BBD4097"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061C04BA" w14:textId="46639AED"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7BEE0133" w14:textId="763B472B" w:rsidR="007E6E36" w:rsidRPr="00282024" w:rsidRDefault="007E6E36" w:rsidP="00302A7F">
            <w:pPr>
              <w:pStyle w:val="TableText"/>
              <w:jc w:val="right"/>
            </w:pPr>
            <w:r w:rsidRPr="00282024">
              <w:t>-$</w:t>
            </w:r>
            <w:r w:rsidR="007B2AA2" w:rsidRPr="007B2AA2">
              <w:rPr>
                <w:b/>
              </w:rPr>
              <w:t>redacted</w:t>
            </w:r>
          </w:p>
        </w:tc>
        <w:tc>
          <w:tcPr>
            <w:tcW w:w="1137" w:type="dxa"/>
            <w:noWrap/>
            <w:tcMar>
              <w:left w:w="85" w:type="dxa"/>
              <w:right w:w="85" w:type="dxa"/>
            </w:tcMar>
            <w:vAlign w:val="center"/>
          </w:tcPr>
          <w:p w14:paraId="74B0F31E" w14:textId="5B262AFD"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436BADD3" w14:textId="624C1B2D"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14F84F19" w14:textId="1CBB8370"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14FF2496" w14:textId="60AE1D5A" w:rsidR="007E6E36" w:rsidRPr="00282024" w:rsidRDefault="007E6E36" w:rsidP="00302A7F">
            <w:pPr>
              <w:pStyle w:val="TableText"/>
              <w:jc w:val="right"/>
            </w:pPr>
            <w:r w:rsidRPr="00282024">
              <w:t>-$</w:t>
            </w:r>
            <w:r w:rsidR="007B2AA2" w:rsidRPr="007B2AA2">
              <w:rPr>
                <w:b/>
              </w:rPr>
              <w:t>redacted</w:t>
            </w:r>
          </w:p>
        </w:tc>
      </w:tr>
      <w:tr w:rsidR="007E6E36" w:rsidRPr="007B2AA2" w14:paraId="38DDC1EE" w14:textId="77777777" w:rsidTr="00F5474F">
        <w:trPr>
          <w:trHeight w:val="280"/>
        </w:trPr>
        <w:tc>
          <w:tcPr>
            <w:tcW w:w="1413" w:type="dxa"/>
            <w:noWrap/>
            <w:tcMar>
              <w:left w:w="85" w:type="dxa"/>
              <w:right w:w="85" w:type="dxa"/>
            </w:tcMar>
          </w:tcPr>
          <w:p w14:paraId="68013C92" w14:textId="2E453BCF" w:rsidR="007E6E36" w:rsidRPr="007B2AA2" w:rsidRDefault="007E6E36" w:rsidP="007E6E36">
            <w:pPr>
              <w:pStyle w:val="TableText"/>
            </w:pPr>
            <w:r w:rsidRPr="007B2AA2">
              <w:rPr>
                <w:szCs w:val="22"/>
              </w:rPr>
              <w:t xml:space="preserve">Total cost of </w:t>
            </w:r>
            <w:r w:rsidR="00C876E9" w:rsidRPr="007B2AA2">
              <w:t>rFVIIa</w:t>
            </w:r>
            <w:r w:rsidRPr="007B2AA2">
              <w:rPr>
                <w:szCs w:val="22"/>
              </w:rPr>
              <w:t xml:space="preserve"> therapy replaced</w:t>
            </w:r>
          </w:p>
        </w:tc>
        <w:tc>
          <w:tcPr>
            <w:tcW w:w="1137" w:type="dxa"/>
            <w:noWrap/>
            <w:tcMar>
              <w:left w:w="85" w:type="dxa"/>
              <w:right w:w="85" w:type="dxa"/>
            </w:tcMar>
            <w:vAlign w:val="center"/>
          </w:tcPr>
          <w:p w14:paraId="127D9CC3" w14:textId="12A8F258"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77F391A5" w14:textId="7665DBFA"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5627589B" w14:textId="3CB506FF" w:rsidR="007E6E36" w:rsidRPr="00282024" w:rsidRDefault="007E6E36" w:rsidP="00302A7F">
            <w:pPr>
              <w:pStyle w:val="TableText"/>
              <w:jc w:val="right"/>
            </w:pPr>
            <w:r w:rsidRPr="00282024">
              <w:t>-$</w:t>
            </w:r>
            <w:r w:rsidR="007B2AA2" w:rsidRPr="007B2AA2">
              <w:rPr>
                <w:b/>
              </w:rPr>
              <w:t>redacted</w:t>
            </w:r>
          </w:p>
        </w:tc>
        <w:tc>
          <w:tcPr>
            <w:tcW w:w="1137" w:type="dxa"/>
            <w:noWrap/>
            <w:tcMar>
              <w:left w:w="85" w:type="dxa"/>
              <w:right w:w="85" w:type="dxa"/>
            </w:tcMar>
            <w:vAlign w:val="center"/>
          </w:tcPr>
          <w:p w14:paraId="3E7F2147" w14:textId="07DA442D"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2E2C7B02" w14:textId="5B761629"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7B77C9E0" w14:textId="5C3D1C5A"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3D888186" w14:textId="2F759365" w:rsidR="007E6E36" w:rsidRPr="00282024" w:rsidRDefault="007E6E36" w:rsidP="00302A7F">
            <w:pPr>
              <w:pStyle w:val="TableText"/>
              <w:jc w:val="right"/>
            </w:pPr>
            <w:r w:rsidRPr="00282024">
              <w:t>-$</w:t>
            </w:r>
            <w:r w:rsidR="007B2AA2" w:rsidRPr="007B2AA2">
              <w:rPr>
                <w:b/>
              </w:rPr>
              <w:t>redacted</w:t>
            </w:r>
          </w:p>
        </w:tc>
      </w:tr>
      <w:tr w:rsidR="007E6E36" w:rsidRPr="007B2AA2" w14:paraId="34D26FD7" w14:textId="77777777" w:rsidTr="00F5474F">
        <w:trPr>
          <w:trHeight w:val="280"/>
        </w:trPr>
        <w:tc>
          <w:tcPr>
            <w:tcW w:w="1413" w:type="dxa"/>
            <w:noWrap/>
            <w:tcMar>
              <w:left w:w="85" w:type="dxa"/>
              <w:right w:w="85" w:type="dxa"/>
            </w:tcMar>
          </w:tcPr>
          <w:p w14:paraId="2E658F8B" w14:textId="1A863CDF" w:rsidR="007E6E36" w:rsidRPr="007B2AA2" w:rsidRDefault="007E6E36" w:rsidP="007E6E36">
            <w:pPr>
              <w:pStyle w:val="TableText"/>
            </w:pPr>
            <w:r w:rsidRPr="007B2AA2">
              <w:rPr>
                <w:szCs w:val="22"/>
              </w:rPr>
              <w:t>Net cost to the NBA</w:t>
            </w:r>
          </w:p>
        </w:tc>
        <w:tc>
          <w:tcPr>
            <w:tcW w:w="1137" w:type="dxa"/>
            <w:noWrap/>
            <w:tcMar>
              <w:left w:w="85" w:type="dxa"/>
              <w:right w:w="85" w:type="dxa"/>
            </w:tcMar>
            <w:vAlign w:val="center"/>
          </w:tcPr>
          <w:p w14:paraId="0940974C" w14:textId="4CA45658"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0DF9033F" w14:textId="579140D7"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24FE4A0D" w14:textId="7A714DE5" w:rsidR="007E6E36" w:rsidRPr="00282024" w:rsidRDefault="007E6E36" w:rsidP="00302A7F">
            <w:pPr>
              <w:pStyle w:val="TableText"/>
              <w:jc w:val="right"/>
            </w:pPr>
            <w:r w:rsidRPr="00282024">
              <w:t>$</w:t>
            </w:r>
            <w:r w:rsidR="007B2AA2" w:rsidRPr="007B2AA2">
              <w:rPr>
                <w:b/>
              </w:rPr>
              <w:t>redacted</w:t>
            </w:r>
          </w:p>
        </w:tc>
        <w:tc>
          <w:tcPr>
            <w:tcW w:w="1137" w:type="dxa"/>
            <w:noWrap/>
            <w:tcMar>
              <w:left w:w="85" w:type="dxa"/>
              <w:right w:w="85" w:type="dxa"/>
            </w:tcMar>
            <w:vAlign w:val="center"/>
          </w:tcPr>
          <w:p w14:paraId="4A6B971C" w14:textId="67C64991"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1C90E477" w14:textId="3D0137C9"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7D997428" w14:textId="72C5FA60"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030A14F3" w14:textId="30232558" w:rsidR="007E6E36" w:rsidRPr="00282024" w:rsidRDefault="007E6E36" w:rsidP="00302A7F">
            <w:pPr>
              <w:pStyle w:val="TableText"/>
              <w:jc w:val="right"/>
            </w:pPr>
            <w:r w:rsidRPr="00282024">
              <w:t>$</w:t>
            </w:r>
            <w:r w:rsidR="007B2AA2" w:rsidRPr="007B2AA2">
              <w:rPr>
                <w:b/>
              </w:rPr>
              <w:t>redacted</w:t>
            </w:r>
          </w:p>
        </w:tc>
      </w:tr>
      <w:tr w:rsidR="007E6E36" w:rsidRPr="007B2AA2" w14:paraId="392430AF" w14:textId="77777777" w:rsidTr="00F5474F">
        <w:trPr>
          <w:trHeight w:val="280"/>
        </w:trPr>
        <w:tc>
          <w:tcPr>
            <w:tcW w:w="1413" w:type="dxa"/>
            <w:noWrap/>
            <w:tcMar>
              <w:left w:w="85" w:type="dxa"/>
              <w:right w:w="85" w:type="dxa"/>
            </w:tcMar>
          </w:tcPr>
          <w:p w14:paraId="0819627A" w14:textId="77777777" w:rsidR="007E6E36" w:rsidRPr="007B2AA2" w:rsidRDefault="007E6E36" w:rsidP="007E6E36">
            <w:pPr>
              <w:pStyle w:val="TableText"/>
            </w:pPr>
            <w:r w:rsidRPr="007B2AA2">
              <w:rPr>
                <w:szCs w:val="22"/>
              </w:rPr>
              <w:t>Net cost to hospitals</w:t>
            </w:r>
          </w:p>
        </w:tc>
        <w:tc>
          <w:tcPr>
            <w:tcW w:w="1137" w:type="dxa"/>
            <w:noWrap/>
            <w:tcMar>
              <w:left w:w="85" w:type="dxa"/>
              <w:right w:w="85" w:type="dxa"/>
            </w:tcMar>
            <w:vAlign w:val="center"/>
          </w:tcPr>
          <w:p w14:paraId="50E3A4DB" w14:textId="4F5C6D2C"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48384AC9" w14:textId="27D50069"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3299EA12" w14:textId="317D844D" w:rsidR="007E6E36" w:rsidRPr="00282024" w:rsidRDefault="007E6E36" w:rsidP="00302A7F">
            <w:pPr>
              <w:pStyle w:val="TableText"/>
              <w:jc w:val="right"/>
            </w:pPr>
            <w:r w:rsidRPr="00282024">
              <w:t>-$</w:t>
            </w:r>
            <w:r w:rsidR="007B2AA2" w:rsidRPr="007B2AA2">
              <w:rPr>
                <w:b/>
              </w:rPr>
              <w:t>redacted</w:t>
            </w:r>
          </w:p>
        </w:tc>
        <w:tc>
          <w:tcPr>
            <w:tcW w:w="1137" w:type="dxa"/>
            <w:noWrap/>
            <w:tcMar>
              <w:left w:w="85" w:type="dxa"/>
              <w:right w:w="85" w:type="dxa"/>
            </w:tcMar>
            <w:vAlign w:val="center"/>
          </w:tcPr>
          <w:p w14:paraId="55B58157" w14:textId="374954BE"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2F2FC76A" w14:textId="1344BD8A"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5701FB0F" w14:textId="4F2819AB"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02094838" w14:textId="506D9A59" w:rsidR="007E6E36" w:rsidRPr="00282024" w:rsidRDefault="007E6E36" w:rsidP="00302A7F">
            <w:pPr>
              <w:pStyle w:val="TableText"/>
              <w:jc w:val="right"/>
            </w:pPr>
            <w:r w:rsidRPr="00282024">
              <w:t>-$</w:t>
            </w:r>
            <w:r w:rsidR="007B2AA2" w:rsidRPr="007B2AA2">
              <w:rPr>
                <w:b/>
              </w:rPr>
              <w:t>redacted</w:t>
            </w:r>
          </w:p>
        </w:tc>
      </w:tr>
      <w:tr w:rsidR="007E6E36" w:rsidRPr="00C811E8" w14:paraId="33E585C7" w14:textId="77777777" w:rsidTr="00F5474F">
        <w:trPr>
          <w:trHeight w:val="280"/>
        </w:trPr>
        <w:tc>
          <w:tcPr>
            <w:tcW w:w="1413" w:type="dxa"/>
            <w:noWrap/>
            <w:tcMar>
              <w:left w:w="85" w:type="dxa"/>
              <w:right w:w="85" w:type="dxa"/>
            </w:tcMar>
          </w:tcPr>
          <w:p w14:paraId="3C6C8716" w14:textId="5076B3BB" w:rsidR="007E6E36" w:rsidRPr="007B2AA2" w:rsidRDefault="007E6E36" w:rsidP="007E6E36">
            <w:pPr>
              <w:pStyle w:val="TableText"/>
            </w:pPr>
            <w:r w:rsidRPr="007B2AA2">
              <w:rPr>
                <w:szCs w:val="22"/>
              </w:rPr>
              <w:t xml:space="preserve">Net impact to </w:t>
            </w:r>
            <w:r w:rsidR="00197856" w:rsidRPr="007B2AA2">
              <w:rPr>
                <w:szCs w:val="22"/>
              </w:rPr>
              <w:t>g</w:t>
            </w:r>
            <w:r w:rsidRPr="007B2AA2">
              <w:rPr>
                <w:szCs w:val="22"/>
              </w:rPr>
              <w:t>overnment health budgets</w:t>
            </w:r>
          </w:p>
        </w:tc>
        <w:tc>
          <w:tcPr>
            <w:tcW w:w="1137" w:type="dxa"/>
            <w:noWrap/>
            <w:tcMar>
              <w:left w:w="85" w:type="dxa"/>
              <w:right w:w="85" w:type="dxa"/>
            </w:tcMar>
            <w:vAlign w:val="center"/>
          </w:tcPr>
          <w:p w14:paraId="2A873BD9" w14:textId="17C73162"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210FBA0B" w14:textId="4FBE4967"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7360F309" w14:textId="5212D539" w:rsidR="007E6E36" w:rsidRPr="00282024" w:rsidRDefault="007E6E36" w:rsidP="00302A7F">
            <w:pPr>
              <w:pStyle w:val="TableText"/>
              <w:jc w:val="right"/>
            </w:pPr>
            <w:r w:rsidRPr="00282024">
              <w:t>-$</w:t>
            </w:r>
            <w:r w:rsidR="007B2AA2" w:rsidRPr="007B2AA2">
              <w:rPr>
                <w:b/>
              </w:rPr>
              <w:t>redacted</w:t>
            </w:r>
          </w:p>
        </w:tc>
        <w:tc>
          <w:tcPr>
            <w:tcW w:w="1137" w:type="dxa"/>
            <w:noWrap/>
            <w:tcMar>
              <w:left w:w="85" w:type="dxa"/>
              <w:right w:w="85" w:type="dxa"/>
            </w:tcMar>
            <w:vAlign w:val="center"/>
          </w:tcPr>
          <w:p w14:paraId="6958A591" w14:textId="378ADF9F"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08D48AEA" w14:textId="65B1B086"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5CE1E150" w14:textId="6CCDF5BE" w:rsidR="007E6E36" w:rsidRPr="00282024" w:rsidRDefault="007E6E36" w:rsidP="00302A7F">
            <w:pPr>
              <w:pStyle w:val="TableText"/>
              <w:jc w:val="right"/>
            </w:pPr>
            <w:r w:rsidRPr="00282024">
              <w:t>$</w:t>
            </w:r>
            <w:r w:rsidR="007B2AA2" w:rsidRPr="007B2AA2">
              <w:rPr>
                <w:b/>
              </w:rPr>
              <w:t>redacted</w:t>
            </w:r>
          </w:p>
        </w:tc>
        <w:tc>
          <w:tcPr>
            <w:tcW w:w="1138" w:type="dxa"/>
            <w:noWrap/>
            <w:tcMar>
              <w:left w:w="85" w:type="dxa"/>
              <w:right w:w="85" w:type="dxa"/>
            </w:tcMar>
            <w:vAlign w:val="center"/>
          </w:tcPr>
          <w:p w14:paraId="608D9DA4" w14:textId="77777777" w:rsidR="007E6E36" w:rsidRPr="00282024" w:rsidRDefault="007E6E36" w:rsidP="00302A7F">
            <w:pPr>
              <w:pStyle w:val="TableText"/>
              <w:jc w:val="right"/>
            </w:pPr>
            <w:r w:rsidRPr="007B2AA2">
              <w:rPr>
                <w:szCs w:val="22"/>
              </w:rPr>
              <w:t>$0</w:t>
            </w:r>
          </w:p>
        </w:tc>
      </w:tr>
    </w:tbl>
    <w:p w14:paraId="50E81E6A" w14:textId="285E643E" w:rsidR="00353A49" w:rsidRPr="00C811E8" w:rsidRDefault="00302A7F" w:rsidP="004243F2">
      <w:pPr>
        <w:pStyle w:val="Tablenotes0"/>
      </w:pPr>
      <w:r w:rsidRPr="00C811E8">
        <w:t xml:space="preserve">FIX = Factor IX; </w:t>
      </w:r>
      <w:r w:rsidR="00353A49" w:rsidRPr="00C811E8">
        <w:t>HMB = haemophilia B; HMBwI = haemophilia B with inhibitors</w:t>
      </w:r>
      <w:r w:rsidRPr="00C811E8">
        <w:t>; NBA = National Blood Authority</w:t>
      </w:r>
      <w:r w:rsidR="00353A49" w:rsidRPr="00C811E8">
        <w:t>.</w:t>
      </w:r>
    </w:p>
    <w:p w14:paraId="7DDC0110" w14:textId="42CED239" w:rsidR="00617638" w:rsidRDefault="00353A49" w:rsidP="004243F2">
      <w:pPr>
        <w:pStyle w:val="Tablenotes0"/>
        <w:contextualSpacing w:val="0"/>
      </w:pPr>
      <w:r w:rsidRPr="00C811E8">
        <w:t>Source: Table 6</w:t>
      </w:r>
      <w:r w:rsidR="004243F2" w:rsidRPr="00C811E8">
        <w:t>8</w:t>
      </w:r>
      <w:r w:rsidRPr="00C811E8">
        <w:t xml:space="preserve"> of MSAC Application 1805 in-line Commentary.</w:t>
      </w:r>
    </w:p>
    <w:p w14:paraId="05C9947E" w14:textId="6EBBE4C0" w:rsidR="00B20694" w:rsidRPr="00B20694" w:rsidRDefault="00B81F08" w:rsidP="00B20694">
      <w:pPr>
        <w:pStyle w:val="Tablenotes0"/>
        <w:rPr>
          <w:rFonts w:ascii="Franklin Gothic Book" w:hAnsi="Franklin Gothic Book"/>
          <w:i/>
          <w:iCs/>
          <w:sz w:val="22"/>
        </w:rPr>
      </w:pPr>
      <w:r w:rsidRPr="000B7975">
        <w:rPr>
          <w:rFonts w:ascii="Franklin Gothic Book" w:hAnsi="Franklin Gothic Book"/>
          <w:i/>
          <w:iCs/>
          <w:sz w:val="22"/>
        </w:rPr>
        <w:t xml:space="preserve">MSAC also considered an analysis based on Table </w:t>
      </w:r>
      <w:r w:rsidR="00B95DC3">
        <w:rPr>
          <w:rFonts w:ascii="Franklin Gothic Book" w:hAnsi="Franklin Gothic Book"/>
          <w:i/>
          <w:iCs/>
          <w:sz w:val="22"/>
        </w:rPr>
        <w:t>29</w:t>
      </w:r>
      <w:r w:rsidRPr="000B7975">
        <w:rPr>
          <w:rFonts w:ascii="Franklin Gothic Book" w:hAnsi="Franklin Gothic Book"/>
          <w:i/>
          <w:iCs/>
          <w:sz w:val="22"/>
        </w:rPr>
        <w:t>.</w:t>
      </w:r>
      <w:r w:rsidR="00B20694">
        <w:rPr>
          <w:rFonts w:ascii="Franklin Gothic Book" w:hAnsi="Franklin Gothic Book"/>
          <w:i/>
          <w:iCs/>
          <w:sz w:val="22"/>
        </w:rPr>
        <w:br w:type="page"/>
      </w:r>
    </w:p>
    <w:p w14:paraId="68802A5E" w14:textId="060EA529" w:rsidR="00F1192D" w:rsidRPr="005B6EFD" w:rsidRDefault="00F1192D" w:rsidP="00F1192D">
      <w:pPr>
        <w:pStyle w:val="Heading2"/>
        <w:numPr>
          <w:ilvl w:val="0"/>
          <w:numId w:val="31"/>
        </w:numPr>
        <w:ind w:left="709" w:hanging="709"/>
      </w:pPr>
      <w:r w:rsidRPr="005B6EFD">
        <w:t xml:space="preserve">Key issues from ESC to MSAC </w:t>
      </w:r>
    </w:p>
    <w:tbl>
      <w:tblPr>
        <w:tblStyle w:val="TableGrid"/>
        <w:tblW w:w="0" w:type="auto"/>
        <w:tblLook w:val="04A0" w:firstRow="1" w:lastRow="0" w:firstColumn="1" w:lastColumn="0" w:noHBand="0" w:noVBand="1"/>
      </w:tblPr>
      <w:tblGrid>
        <w:gridCol w:w="9016"/>
      </w:tblGrid>
      <w:tr w:rsidR="00D03C49" w:rsidRPr="00CE28E3" w14:paraId="134A0669" w14:textId="77777777" w:rsidTr="07BA124B">
        <w:tc>
          <w:tcPr>
            <w:tcW w:w="9016" w:type="dxa"/>
          </w:tcPr>
          <w:p w14:paraId="028A0A88" w14:textId="77777777" w:rsidR="00D03C49" w:rsidRPr="00EF22AE" w:rsidRDefault="00D03C49">
            <w:pPr>
              <w:spacing w:before="240" w:after="240"/>
              <w:rPr>
                <w:b/>
                <w:bCs/>
                <w:sz w:val="24"/>
                <w:szCs w:val="24"/>
              </w:rPr>
            </w:pPr>
            <w:r w:rsidRPr="008C1771">
              <w:rPr>
                <w:rFonts w:ascii="Arial" w:hAnsi="Arial" w:cs="Arial"/>
                <w:b/>
                <w:szCs w:val="24"/>
              </w:rPr>
              <w:br w:type="page"/>
            </w:r>
            <w:r w:rsidRPr="00EF22AE">
              <w:rPr>
                <w:b/>
                <w:bCs/>
                <w:sz w:val="24"/>
                <w:szCs w:val="24"/>
              </w:rPr>
              <w:t xml:space="preserve">Main issues for MSAC consideration </w:t>
            </w:r>
          </w:p>
          <w:p w14:paraId="04C2BA7C" w14:textId="77777777" w:rsidR="00D03C49" w:rsidRPr="00EF22AE" w:rsidRDefault="00D03C49">
            <w:pPr>
              <w:rPr>
                <w:b/>
              </w:rPr>
            </w:pPr>
            <w:r w:rsidRPr="00EF22AE">
              <w:rPr>
                <w:b/>
              </w:rPr>
              <w:t>Clinical issues:</w:t>
            </w:r>
          </w:p>
          <w:p w14:paraId="3D78C792" w14:textId="77777777" w:rsidR="00D03C49" w:rsidRPr="00EF22AE" w:rsidRDefault="00D03C49" w:rsidP="00F1192D">
            <w:pPr>
              <w:pStyle w:val="ListParagraph"/>
              <w:numPr>
                <w:ilvl w:val="0"/>
                <w:numId w:val="22"/>
              </w:numPr>
              <w:spacing w:after="120"/>
              <w:contextualSpacing w:val="0"/>
              <w:rPr>
                <w:bCs/>
              </w:rPr>
            </w:pPr>
            <w:r w:rsidRPr="00EF22AE">
              <w:rPr>
                <w:bCs/>
              </w:rPr>
              <w:t>The application is seeking funding for all patients with haemophilia B (HMB)</w:t>
            </w:r>
            <w:r>
              <w:rPr>
                <w:bCs/>
              </w:rPr>
              <w:t xml:space="preserve"> (with or</w:t>
            </w:r>
            <w:r w:rsidRPr="00EF22AE">
              <w:rPr>
                <w:bCs/>
              </w:rPr>
              <w:t xml:space="preserve"> without inhibitors</w:t>
            </w:r>
            <w:r>
              <w:rPr>
                <w:bCs/>
              </w:rPr>
              <w:t>)</w:t>
            </w:r>
            <w:r w:rsidRPr="00EF22AE">
              <w:rPr>
                <w:bCs/>
              </w:rPr>
              <w:t xml:space="preserve"> &gt;12 years of age</w:t>
            </w:r>
            <w:r>
              <w:rPr>
                <w:bCs/>
              </w:rPr>
              <w:t>,</w:t>
            </w:r>
            <w:r w:rsidRPr="00EF22AE">
              <w:rPr>
                <w:bCs/>
              </w:rPr>
              <w:t xml:space="preserve"> which is broader than the clinical trial evidence </w:t>
            </w:r>
            <w:r>
              <w:rPr>
                <w:bCs/>
              </w:rPr>
              <w:t xml:space="preserve">for patients without inhibitors </w:t>
            </w:r>
            <w:r w:rsidRPr="00EF22AE">
              <w:rPr>
                <w:bCs/>
              </w:rPr>
              <w:t xml:space="preserve">that </w:t>
            </w:r>
            <w:r>
              <w:rPr>
                <w:bCs/>
              </w:rPr>
              <w:t>was</w:t>
            </w:r>
            <w:r w:rsidRPr="00EF22AE">
              <w:rPr>
                <w:bCs/>
              </w:rPr>
              <w:t xml:space="preserve"> </w:t>
            </w:r>
            <w:r>
              <w:rPr>
                <w:bCs/>
              </w:rPr>
              <w:t>restricted</w:t>
            </w:r>
            <w:r w:rsidRPr="00EF22AE">
              <w:rPr>
                <w:bCs/>
              </w:rPr>
              <w:t xml:space="preserve"> to severe or moderate-severe disease.</w:t>
            </w:r>
          </w:p>
          <w:p w14:paraId="5D8CF010" w14:textId="77777777" w:rsidR="00D03C49" w:rsidRPr="00EF22AE" w:rsidRDefault="00D03C49" w:rsidP="00F1192D">
            <w:pPr>
              <w:pStyle w:val="ListParagraph"/>
              <w:numPr>
                <w:ilvl w:val="0"/>
                <w:numId w:val="22"/>
              </w:numPr>
              <w:spacing w:after="120"/>
              <w:contextualSpacing w:val="0"/>
            </w:pPr>
            <w:r>
              <w:t>ESC agreed with the commentary that on-demand treatment with activated recombinant Factor VII (rFVIIa) (no prophylaxis) should be the main comparator for HMBwI, not short-term prophylaxis as proposed by the applicant. ESC agreed that for the HMB without inhibitors population the main comparator should be prophylaxis with Factor IX (FIX).</w:t>
            </w:r>
          </w:p>
          <w:p w14:paraId="02E28409" w14:textId="77777777" w:rsidR="00D03C49" w:rsidRPr="00EF22AE" w:rsidRDefault="00D03C49" w:rsidP="00F1192D">
            <w:pPr>
              <w:pStyle w:val="ListParagraph"/>
              <w:numPr>
                <w:ilvl w:val="0"/>
                <w:numId w:val="22"/>
              </w:numPr>
              <w:spacing w:after="120"/>
              <w:contextualSpacing w:val="0"/>
            </w:pPr>
            <w:r w:rsidRPr="00EF22AE">
              <w:t xml:space="preserve">The comparators used in the clinical evaluation (and by extension the economic evaluation) may not reflect current Australian standard of care (SOC). In particular, extended half-life </w:t>
            </w:r>
            <w:r>
              <w:t>(EHL)</w:t>
            </w:r>
            <w:r w:rsidRPr="00EF22AE">
              <w:t xml:space="preserve"> </w:t>
            </w:r>
            <w:r>
              <w:t>F</w:t>
            </w:r>
            <w:r w:rsidRPr="00EF22AE">
              <w:t xml:space="preserve">IX has largely replaced standard half-life (SHL) FIX in Australia. However, the clinical effectiveness outcomes reported for the HMB without inhibitors population are based on a likely larger proportion of SHL prophylaxis used as SOC at participating sites at the time of the Explorer6 observational study. ESC noted that the ADAR did not provide details on treatments received by participants in the comparator arms, making it unclear whether concizumab was compared with a representative SOC, and that variation across jurisdictions and study sites may further limit the applicability of the findings to the Australian setting. </w:t>
            </w:r>
          </w:p>
          <w:p w14:paraId="46F0082A" w14:textId="77777777" w:rsidR="00D03C49" w:rsidRPr="00EF22AE" w:rsidRDefault="00D03C49" w:rsidP="00F1192D">
            <w:pPr>
              <w:pStyle w:val="ListParagraph"/>
              <w:numPr>
                <w:ilvl w:val="0"/>
                <w:numId w:val="22"/>
              </w:numPr>
              <w:spacing w:after="120"/>
              <w:contextualSpacing w:val="0"/>
            </w:pPr>
            <w:r>
              <w:t>Several near market (Marstacimab (MSAC Application 1806, under consideration in this cycle); etranacogene dezaparvovec (MSAC Application 1728.1, supported, not funded for use yet) and new-to-market comparators (albutrepenonacog alfa, Idelvion®) are likely to influence the treatment landscape of HMB in Australia. None of these has been considered in the ADAR, despite the ratified PICO Confirmation requesting this.</w:t>
            </w:r>
          </w:p>
          <w:p w14:paraId="01760443" w14:textId="77777777" w:rsidR="00D03C49" w:rsidRPr="00EF22AE" w:rsidRDefault="00D03C49" w:rsidP="00F1192D">
            <w:pPr>
              <w:pStyle w:val="ListParagraph"/>
              <w:numPr>
                <w:ilvl w:val="0"/>
                <w:numId w:val="22"/>
              </w:numPr>
              <w:spacing w:after="120"/>
              <w:ind w:left="714" w:hanging="357"/>
              <w:contextualSpacing w:val="0"/>
            </w:pPr>
            <w:r w:rsidRPr="00EF22AE">
              <w:t>The safety data were not comparative and were limited in both sample size (i.e. number of participants) and duration of follow-up. Accordingly, the claim of noninferior safety compared with SOC was not clearly demonstrated for either the HMB with inhibitors (HMBwI) or HMB without inhibitors population.</w:t>
            </w:r>
          </w:p>
          <w:p w14:paraId="278E3005" w14:textId="77777777" w:rsidR="00D03C49" w:rsidRPr="00EF22AE" w:rsidRDefault="00D03C49" w:rsidP="00F1192D">
            <w:pPr>
              <w:pStyle w:val="ListParagraph"/>
              <w:numPr>
                <w:ilvl w:val="0"/>
                <w:numId w:val="22"/>
              </w:numPr>
              <w:spacing w:after="120"/>
              <w:ind w:left="714" w:hanging="357"/>
              <w:contextualSpacing w:val="0"/>
            </w:pPr>
            <w:r w:rsidRPr="00EF22AE">
              <w:t>For the HMBwI population, ESC did not accept the claim that concizumab demonstrated superior effectiveness compared with on</w:t>
            </w:r>
            <w:r w:rsidRPr="00EF22AE">
              <w:rPr>
                <w:rFonts w:ascii="Cambria Math" w:hAnsi="Cambria Math" w:cs="Cambria Math"/>
              </w:rPr>
              <w:t>‑</w:t>
            </w:r>
            <w:r w:rsidRPr="00EF22AE">
              <w:t xml:space="preserve">demand rFVIIa. Although the evidence base included a randomised comparison, the superiority claim relied on pooled data from patients with haemophilia A with inhibitors (HMAwI) and HMBwI. While the combined analysis showed a statistically significant reduction in annualised bleeding rate (ABR) in favour of concizumab, this finding was not maintained when the analysis was restricted to the HMBwI population. Although the point estimates still favoured concizumab (ABR 2.2 vs 7.2), the ABR ratio of 0.31 was associated with wide confidence intervals that crossed unity (95% CI: 0.07 to 1.36). The claim of superior effectiveness compared with short-term rFVIIa prophylaxis was also not supported. The evidence base for this comparison comprised a post-hoc intra-patient before-and-after analysis of seven study participants which ESC considered to be of low-confidence. </w:t>
            </w:r>
          </w:p>
          <w:p w14:paraId="14D4F3B5" w14:textId="77777777" w:rsidR="00D03C49" w:rsidRPr="00EF22AE" w:rsidRDefault="00D03C49" w:rsidP="00F1192D">
            <w:pPr>
              <w:pStyle w:val="ListParagraph"/>
              <w:numPr>
                <w:ilvl w:val="0"/>
                <w:numId w:val="22"/>
              </w:numPr>
              <w:spacing w:after="120"/>
              <w:contextualSpacing w:val="0"/>
            </w:pPr>
            <w:r w:rsidRPr="00EF22AE">
              <w:t>For the HMB without inhibitors population, ESC did not support the clinical claim of noninferior effectiveness compared with FIX prophylaxis. The ABR ratio (concizumab versus FIX prophylaxis, post-hoc intra-patient before-and-after analysis) in the HMB without inhibitors population did not support the noninferiority claim. Rather, the point estimates for ABR ratio suggested that concizumab may be inferior to the comparator. Superiority compared with on-demand FIX was demonstrated; however, this comparison is of limited relevance as on-demand FIX is not considered the SOC for patients with severe HMB.</w:t>
            </w:r>
          </w:p>
          <w:p w14:paraId="48961519" w14:textId="77777777" w:rsidR="00D03C49" w:rsidRPr="00EF22AE" w:rsidRDefault="00D03C49" w:rsidP="07BA124B">
            <w:pPr>
              <w:spacing w:after="120"/>
              <w:contextualSpacing/>
              <w:rPr>
                <w:b/>
                <w:bCs/>
              </w:rPr>
            </w:pPr>
            <w:r w:rsidRPr="07BA124B">
              <w:rPr>
                <w:b/>
                <w:bCs/>
              </w:rPr>
              <w:t>Economic issues:</w:t>
            </w:r>
          </w:p>
          <w:p w14:paraId="40B433F7" w14:textId="77777777" w:rsidR="00D03C49" w:rsidRPr="00EF22AE" w:rsidRDefault="00D03C49" w:rsidP="00F1192D">
            <w:pPr>
              <w:pStyle w:val="ListParagraph"/>
              <w:numPr>
                <w:ilvl w:val="0"/>
                <w:numId w:val="29"/>
              </w:numPr>
              <w:spacing w:after="120"/>
              <w:ind w:left="714" w:hanging="357"/>
              <w:contextualSpacing w:val="0"/>
              <w:rPr>
                <w:lang w:val="en-US"/>
              </w:rPr>
            </w:pPr>
            <w:r w:rsidRPr="00EF22AE">
              <w:t>ESC recommended that a more conservative approach was warranted for the cost-minimisation approach (CMA) adopted in the application, given low confidence in the clinical evidence and the sensitivity of the economic evaluation to several key structural and input assumptions which were based on this evidence. In particular, ESC recommended that the economic evaluations for both populations should be respecified assuming 87.2% adherence to prophylaxis treatments in the comparator arm</w:t>
            </w:r>
            <w:r>
              <w:t xml:space="preserve"> (as opposed to 100% adherence in the ADAR)</w:t>
            </w:r>
            <w:r w:rsidRPr="00EF22AE">
              <w:t xml:space="preserve">. For the HMBwI population, ESC also recommended that it would be more </w:t>
            </w:r>
            <w:r w:rsidRPr="00EF22AE">
              <w:rPr>
                <w:lang w:val="en-US"/>
              </w:rPr>
              <w:t xml:space="preserve">appropriate to assume that </w:t>
            </w:r>
            <w:r w:rsidRPr="00EF22AE">
              <w:t>rFVIIa</w:t>
            </w:r>
            <w:r w:rsidRPr="00EF22AE">
              <w:rPr>
                <w:lang w:val="en-US"/>
              </w:rPr>
              <w:t xml:space="preserve"> is only used for on-demand treatment rather than also including short-term prophylaxis,</w:t>
            </w:r>
          </w:p>
          <w:p w14:paraId="5C3A5EA6" w14:textId="77777777" w:rsidR="00D03C49" w:rsidRPr="00EF22AE" w:rsidRDefault="00D03C49" w:rsidP="00F1192D">
            <w:pPr>
              <w:pStyle w:val="ListParagraph"/>
              <w:numPr>
                <w:ilvl w:val="0"/>
                <w:numId w:val="29"/>
              </w:numPr>
              <w:spacing w:after="120"/>
              <w:ind w:left="714" w:hanging="357"/>
              <w:contextualSpacing w:val="0"/>
            </w:pPr>
            <w:r w:rsidRPr="00EF22AE">
              <w:rPr>
                <w:lang w:val="en-US"/>
              </w:rPr>
              <w:t xml:space="preserve">ESC recommended that the CMA for the HMB without inhibitors population should be respecified to </w:t>
            </w:r>
            <w:r w:rsidRPr="00EF22AE">
              <w:t xml:space="preserve">take account of </w:t>
            </w:r>
            <w:r w:rsidRPr="00EF22AE">
              <w:rPr>
                <w:lang w:val="en-US"/>
              </w:rPr>
              <w:t xml:space="preserve">cost offsets from a lower ABR in the comparator arm given that </w:t>
            </w:r>
            <w:r w:rsidRPr="00EF22AE">
              <w:t xml:space="preserve">point estimates for ABR suggest that concizumab may be inferior to the comparator in that population. </w:t>
            </w:r>
          </w:p>
          <w:p w14:paraId="3720A025" w14:textId="7AE2C5B2" w:rsidR="00D03C49" w:rsidRPr="00EF22AE" w:rsidRDefault="00D03C49" w:rsidP="00F1192D">
            <w:pPr>
              <w:pStyle w:val="ListParagraph"/>
              <w:numPr>
                <w:ilvl w:val="0"/>
                <w:numId w:val="29"/>
              </w:numPr>
            </w:pPr>
            <w:r w:rsidRPr="00EF22AE">
              <w:t>Although the applicant proposed covering the costs of breakthrough bleeds through rFVIIa supply for all</w:t>
            </w:r>
            <w:r w:rsidR="005024F8">
              <w:t xml:space="preserve"> patients with</w:t>
            </w:r>
            <w:r w:rsidRPr="00EF22AE">
              <w:t xml:space="preserve"> HMBwI receiving concizumab and used this to justify excluding these costs from the CMA, ESC advised that as all base case economic evaluations to MSAC should take a health system perspective (regardless of payer), the costs of managing breakthrough bleeds  should be included in the concizumab arm.</w:t>
            </w:r>
          </w:p>
          <w:p w14:paraId="79AC826E" w14:textId="77777777" w:rsidR="00D03C49" w:rsidRPr="00EF22AE" w:rsidRDefault="00D03C49">
            <w:pPr>
              <w:spacing w:after="120"/>
              <w:contextualSpacing/>
              <w:rPr>
                <w:bCs/>
              </w:rPr>
            </w:pPr>
            <w:r w:rsidRPr="00EF22AE">
              <w:rPr>
                <w:b/>
              </w:rPr>
              <w:t>Financial issues:</w:t>
            </w:r>
            <w:r w:rsidRPr="00EF22AE">
              <w:t xml:space="preserve"> </w:t>
            </w:r>
          </w:p>
          <w:p w14:paraId="6A14B1BD" w14:textId="77777777" w:rsidR="00D03C49" w:rsidRPr="00EF22AE" w:rsidRDefault="00D03C49" w:rsidP="00F1192D">
            <w:pPr>
              <w:pStyle w:val="ListParagraph"/>
              <w:numPr>
                <w:ilvl w:val="0"/>
                <w:numId w:val="22"/>
              </w:numPr>
              <w:spacing w:after="120"/>
              <w:ind w:left="714" w:hanging="357"/>
              <w:contextualSpacing w:val="0"/>
            </w:pPr>
            <w:r w:rsidRPr="00EF22AE">
              <w:t>The proposed financial impact is presented as being cost-neutral across both populations; however, this outcome is highly dependent on key modelling assumptions, including uptake rates, population size, substitution patterns, dosing and cost offsets. If these assumptions are not realised in practice, cost neutrality may not be achieved and net costs to the health system may arise. This risk is mitigated by ESC’s advice to adopt a more conservative approach for the CMA.</w:t>
            </w:r>
          </w:p>
          <w:p w14:paraId="36F3A290" w14:textId="5AD348AB" w:rsidR="00D03C49" w:rsidRPr="00EF22AE" w:rsidRDefault="00D03C49" w:rsidP="00F1192D">
            <w:pPr>
              <w:pStyle w:val="ListParagraph"/>
              <w:numPr>
                <w:ilvl w:val="0"/>
                <w:numId w:val="22"/>
              </w:numPr>
              <w:spacing w:after="120"/>
              <w:ind w:left="714" w:hanging="357"/>
              <w:contextualSpacing w:val="0"/>
            </w:pPr>
            <w:r w:rsidRPr="00EF22AE">
              <w:t xml:space="preserve">The financial analysis assumes immediate 100% substitution of rFVIIa for </w:t>
            </w:r>
            <w:r w:rsidR="00B52C53" w:rsidRPr="007B2AA2">
              <w:rPr>
                <w:b/>
              </w:rPr>
              <w:t>redacted</w:t>
            </w:r>
            <w:r w:rsidR="005024F8">
              <w:t xml:space="preserve"> patients with</w:t>
            </w:r>
            <w:r w:rsidRPr="00EF22AE">
              <w:t xml:space="preserve"> HMBwI and uptake increasing to </w:t>
            </w:r>
            <w:r w:rsidR="00B52C53" w:rsidRPr="007B2AA2">
              <w:rPr>
                <w:b/>
              </w:rPr>
              <w:t>redacted</w:t>
            </w:r>
            <w:r w:rsidRPr="00282024">
              <w:t>%</w:t>
            </w:r>
            <w:r w:rsidRPr="00EF22AE">
              <w:t xml:space="preserve"> by year 6 for </w:t>
            </w:r>
            <w:r w:rsidR="007E5875" w:rsidRPr="007B2AA2">
              <w:rPr>
                <w:b/>
              </w:rPr>
              <w:t>redacted</w:t>
            </w:r>
            <w:r w:rsidRPr="00EF22AE">
              <w:t xml:space="preserve"> HMB without inhibitors patients receiving FIX prophylaxis. ESC considered there may be some delay in substitution by </w:t>
            </w:r>
            <w:r w:rsidR="005024F8">
              <w:t xml:space="preserve">patients with </w:t>
            </w:r>
            <w:r w:rsidRPr="00EF22AE">
              <w:t>HMBwI, and noted clinical advice suggesting this population may be approximately 4-times larger (~</w:t>
            </w:r>
            <w:r w:rsidR="007E5875" w:rsidRPr="007B2AA2">
              <w:rPr>
                <w:b/>
              </w:rPr>
              <w:t>redacted</w:t>
            </w:r>
            <w:r w:rsidRPr="00EF22AE">
              <w:t xml:space="preserve"> patients), creating further uncertainty in projected costs.</w:t>
            </w:r>
          </w:p>
          <w:p w14:paraId="3BB02E4D" w14:textId="7697A734" w:rsidR="00D03C49" w:rsidRPr="00EF22AE" w:rsidRDefault="00D03C49" w:rsidP="00F1192D">
            <w:pPr>
              <w:pStyle w:val="ListParagraph"/>
              <w:numPr>
                <w:ilvl w:val="0"/>
                <w:numId w:val="22"/>
              </w:numPr>
              <w:spacing w:after="120"/>
              <w:ind w:left="714" w:hanging="357"/>
              <w:contextualSpacing w:val="0"/>
            </w:pPr>
            <w:r w:rsidRPr="00EF22AE">
              <w:t xml:space="preserve">Uptake in the HMB population without inhibitors may exceed the </w:t>
            </w:r>
            <w:r w:rsidR="007E5875" w:rsidRPr="007B2AA2">
              <w:rPr>
                <w:b/>
              </w:rPr>
              <w:t>redacted</w:t>
            </w:r>
            <w:r w:rsidRPr="00EF22AE">
              <w:t xml:space="preserve">% assumed, as demonstrated after the introduction of emicizumab (subcutaneous therapy) for HMA. Higher than expected anticipated uptake of concizumab would materially affect expenditure and would reduce the weighted average price calculated across the two populations. </w:t>
            </w:r>
          </w:p>
          <w:p w14:paraId="70ED1E74" w14:textId="77777777" w:rsidR="00D03C49" w:rsidRPr="00EF22AE" w:rsidRDefault="00D03C49" w:rsidP="00F1192D">
            <w:pPr>
              <w:pStyle w:val="ListParagraph"/>
              <w:numPr>
                <w:ilvl w:val="0"/>
                <w:numId w:val="22"/>
              </w:numPr>
              <w:spacing w:after="120"/>
              <w:ind w:left="714" w:hanging="357"/>
              <w:contextualSpacing w:val="0"/>
              <w:rPr>
                <w:bCs/>
              </w:rPr>
            </w:pPr>
            <w:r w:rsidRPr="00EF22AE">
              <w:rPr>
                <w:bCs/>
              </w:rPr>
              <w:t>The financial analysis assumes use is limited to patients already receiving FIX prophylaxis, however, in practice, use may extend to a broader HMB population, increasing financial risk.</w:t>
            </w:r>
          </w:p>
          <w:p w14:paraId="53B64A37" w14:textId="77777777" w:rsidR="00D03C49" w:rsidRPr="00EF22AE" w:rsidRDefault="00D03C49" w:rsidP="00F1192D">
            <w:pPr>
              <w:pStyle w:val="ListParagraph"/>
              <w:numPr>
                <w:ilvl w:val="0"/>
                <w:numId w:val="22"/>
              </w:numPr>
              <w:spacing w:after="120"/>
              <w:rPr>
                <w:b/>
                <w:bCs/>
              </w:rPr>
            </w:pPr>
            <w:r w:rsidRPr="00EF22AE">
              <w:t xml:space="preserve">To manage financial risk from the significant uptake and cost uncertainties, if concizumab is supported for public funding ESC considered a risk share agreement (RSA) </w:t>
            </w:r>
            <w:r>
              <w:t xml:space="preserve">with a high rebate for use above the subsidisation/financial cap </w:t>
            </w:r>
            <w:r w:rsidRPr="00EF22AE">
              <w:t>is likely unsuitable due to market complexity and multiple competing products. ESC considered that price negotiation, and/or an alternative RSA based on concizumab cost per patient and administration costs, would be more appropriate.</w:t>
            </w:r>
          </w:p>
        </w:tc>
      </w:tr>
    </w:tbl>
    <w:p w14:paraId="6BF5CEC4" w14:textId="77777777" w:rsidR="00D03C49" w:rsidRDefault="00D03C49" w:rsidP="00D03C49">
      <w:pPr>
        <w:spacing w:before="240"/>
        <w:rPr>
          <w:b/>
          <w:bCs/>
        </w:rPr>
      </w:pPr>
      <w:r w:rsidRPr="00643C9C">
        <w:rPr>
          <w:b/>
          <w:bCs/>
        </w:rPr>
        <w:t>ESC Discussion</w:t>
      </w:r>
    </w:p>
    <w:p w14:paraId="500A1722" w14:textId="2C7AF922" w:rsidR="00D03C49" w:rsidRDefault="00D03C49" w:rsidP="00D03C49">
      <w:r>
        <w:t xml:space="preserve">ESC noted that this application from Novo Nordisk requested listing on the National Blood Authority’s (NBA’s) National Product Price List (NPPL) of concizumab (Alhemo®) for </w:t>
      </w:r>
      <w:r w:rsidR="00F1192D">
        <w:br/>
      </w:r>
      <w:r>
        <w:t>patients ≥12 years of age with congenital haemophilia B (HMB), with (HMBwI) or without inhibitors, who require prophylaxis. ESC noted that concizumab is currently approved by the Therapeutic Goods Administration (TGA) for use in both haemophilia A (HMA) and haemophilia B (HMB) and in patients with or without inhibitors.</w:t>
      </w:r>
    </w:p>
    <w:p w14:paraId="2E265CC7" w14:textId="77777777" w:rsidR="00D03C49" w:rsidRDefault="00D03C49" w:rsidP="00D03C49">
      <w:r>
        <w:t>ESC noted that the Therapeutic Goods Administration (TGA) registration does not specify any disease severity category for either HMB with or without inhibitors, but there is an age restriction for both of ≥12 years of age. However, the studies leading to registration in HMB without inhibitors were restricted to individuals with severe or moderate-severe disease. For HMB with inhibitors (HMBwI), the study leading to registration was not restricted by disease severity (owing to an absence of effective long-term prophylaxis options).</w:t>
      </w:r>
    </w:p>
    <w:p w14:paraId="10C20793" w14:textId="77777777" w:rsidR="00D03C49" w:rsidRDefault="00D03C49" w:rsidP="00D03C49">
      <w:r>
        <w:t>Concizumab is a monoclonal antibody that targets tissue factor pathway inhibitor (TFPI), a regulator of the coagulation process. By binding to TFPI, concizumab enhances coagulation through directly preventing Factor Xa (FXa) inhibition and indirectly preventing activated Factor VII (FVIIa) inhibition. As concizumab’s mechanism of action is independent of Factor IX (FIX) and Factor FVIII (FVIII), its effectiveness is not affected by the presence of inhibitors to these factors.</w:t>
      </w:r>
    </w:p>
    <w:p w14:paraId="7EA95E9A" w14:textId="77777777" w:rsidR="00D03C49" w:rsidRPr="00857F4B" w:rsidRDefault="00D03C49" w:rsidP="00D03C49">
      <w:r>
        <w:t>ESC noted that public consultation input was received from 4 organisations: 3 peak bodies (including a consumer group) and the Australian Haemophilia Centre Directors’ Organisation (AHCDO). ESC noted that all the feedback was received before the PASC deliberation and no new feedback was received for ESC. ESC noted that overall the feedback was generally supportive, indicating that listing concizumab would be meaningful to both the HMA and HMB patient populations, particularly for patients with high treatment burden and persistent unmet need. ESC further noted feedback that patients experience a high burden of care, including cumulative physical damage, chronic pain and psychosocial stress, and that the complexity and intrusiveness of long-term management remain a concern for people with these conditions.</w:t>
      </w:r>
    </w:p>
    <w:p w14:paraId="429F2FBC" w14:textId="77777777" w:rsidR="00D03C49" w:rsidRDefault="00D03C49" w:rsidP="00D03C49">
      <w:r>
        <w:t xml:space="preserve">ESC noted that the AHCDO identified no implementation barriers, although AHCDO noted that patients who meet the eligibility criteria for concizumab and have not had experience with it will need to be educated on administration and monitoring of effectiveness and safety. ESC further noted feedback from the Haemophilia Foundation of Australia (HFA) which highlighted that participants from a clinical trial of concizumab had positive feedback about the therapy. ESC further noted feedback from both organisations that the subcutaneous administration of concizumab offered an important advantage over intravenous therapy, particularly in relation to venous access, treatment fatigue and day-to-day independence. </w:t>
      </w:r>
    </w:p>
    <w:p w14:paraId="6FF70773" w14:textId="77777777" w:rsidR="00D03C49" w:rsidRPr="00857F4B" w:rsidRDefault="00D03C49" w:rsidP="00D03C49">
      <w:pPr>
        <w:spacing w:before="0"/>
      </w:pPr>
      <w:r>
        <w:t xml:space="preserve">ESC noted additional feedback that, compared with </w:t>
      </w:r>
      <w:r w:rsidRPr="00AA7225">
        <w:t xml:space="preserve">other treatments in this class, the proposed therapy does not require ongoing cold-chain storage. </w:t>
      </w:r>
      <w:r>
        <w:t>ESC considered that this</w:t>
      </w:r>
      <w:r w:rsidRPr="00AA7225">
        <w:t xml:space="preserve"> reduces the practical burden on families and </w:t>
      </w:r>
      <w:r>
        <w:t>provides</w:t>
      </w:r>
      <w:r w:rsidRPr="00AA7225">
        <w:t xml:space="preserve"> greater flexibility for travel and participation in daily activities, which may support quality of life and</w:t>
      </w:r>
      <w:r>
        <w:t xml:space="preserve"> treatment</w:t>
      </w:r>
      <w:r w:rsidRPr="00AA7225">
        <w:t xml:space="preserve"> adherence.</w:t>
      </w:r>
      <w:r>
        <w:t xml:space="preserve"> </w:t>
      </w:r>
      <w:r w:rsidRPr="00AA7225">
        <w:t xml:space="preserve">However, ESC </w:t>
      </w:r>
      <w:r>
        <w:t>acknowledged</w:t>
      </w:r>
      <w:r w:rsidRPr="00AA7225">
        <w:t xml:space="preserve"> potential equity concerns</w:t>
      </w:r>
      <w:r>
        <w:t xml:space="preserve">, particularly regarding the </w:t>
      </w:r>
      <w:r w:rsidRPr="00857F4B">
        <w:t>practical</w:t>
      </w:r>
      <w:r>
        <w:t>ity of</w:t>
      </w:r>
      <w:r w:rsidRPr="00857F4B">
        <w:t xml:space="preserve"> </w:t>
      </w:r>
      <w:r>
        <w:t xml:space="preserve">ensuring </w:t>
      </w:r>
      <w:r w:rsidRPr="00857F4B">
        <w:t xml:space="preserve">ongoing specialist oversight, especially </w:t>
      </w:r>
      <w:r>
        <w:t>in</w:t>
      </w:r>
      <w:r w:rsidRPr="00857F4B">
        <w:t xml:space="preserve"> rural, remote and lower-income settings.</w:t>
      </w:r>
      <w:r>
        <w:t xml:space="preserve"> </w:t>
      </w:r>
      <w:r w:rsidRPr="00857F4B">
        <w:t xml:space="preserve">Regarding environmental considerations, ESC noted that there was a negative impact due to the treatment being a single-use device, </w:t>
      </w:r>
      <w:r w:rsidRPr="00AA7225">
        <w:t>which may increase plastic waste</w:t>
      </w:r>
      <w:r>
        <w:t xml:space="preserve">, </w:t>
      </w:r>
      <w:r w:rsidRPr="00857F4B">
        <w:t xml:space="preserve">but </w:t>
      </w:r>
      <w:r>
        <w:t xml:space="preserve">considered </w:t>
      </w:r>
      <w:r w:rsidRPr="00857F4B">
        <w:t xml:space="preserve">that this was potentially offset through </w:t>
      </w:r>
      <w:r>
        <w:t xml:space="preserve">other benefits of treatment such as </w:t>
      </w:r>
      <w:r w:rsidRPr="00857F4B">
        <w:t>fewer hospital admissions and reduced emergency transport.</w:t>
      </w:r>
      <w:r>
        <w:t xml:space="preserve"> </w:t>
      </w:r>
    </w:p>
    <w:p w14:paraId="72E5C3E8" w14:textId="35A1E864" w:rsidR="00D03C49" w:rsidRPr="00857F4B" w:rsidRDefault="00D03C49" w:rsidP="00D03C49">
      <w:r>
        <w:t xml:space="preserve">ESC noted that </w:t>
      </w:r>
      <w:r w:rsidR="005024F8">
        <w:t xml:space="preserve">patients with </w:t>
      </w:r>
      <w:r>
        <w:t xml:space="preserve">HMBwI have a higher clinical need for this treatment than those without inhibitors, as no long-term prophylaxis treatments are currently available for patients with HMBwI. </w:t>
      </w:r>
    </w:p>
    <w:p w14:paraId="7399824E" w14:textId="77777777" w:rsidR="00D03C49" w:rsidRPr="00857F4B" w:rsidRDefault="00D03C49" w:rsidP="00D03C49">
      <w:r>
        <w:t>ESC noted that t</w:t>
      </w:r>
      <w:r w:rsidRPr="005127DD">
        <w:t xml:space="preserve">he recommended dosing regimen </w:t>
      </w:r>
      <w:r>
        <w:t>comprises</w:t>
      </w:r>
      <w:r w:rsidRPr="005127DD">
        <w:t xml:space="preserve"> an initial loading dose followed by a standard maintenance dose. Four weeks after </w:t>
      </w:r>
      <w:r>
        <w:t xml:space="preserve">treatment </w:t>
      </w:r>
      <w:r w:rsidRPr="005127DD">
        <w:t>initiation,</w:t>
      </w:r>
      <w:r>
        <w:t xml:space="preserve"> a</w:t>
      </w:r>
      <w:r w:rsidRPr="005127DD">
        <w:t xml:space="preserve"> trough (i.e. pre-dose) concizumab plasma concentration is measured </w:t>
      </w:r>
      <w:r>
        <w:t>once</w:t>
      </w:r>
      <w:r w:rsidRPr="005127DD">
        <w:t xml:space="preserve"> by a concizumab-specific enzyme-linked immunoassay (ELISA). The result of this test </w:t>
      </w:r>
      <w:r>
        <w:t>is</w:t>
      </w:r>
      <w:r w:rsidRPr="005127DD">
        <w:t xml:space="preserve"> used to determine </w:t>
      </w:r>
      <w:r>
        <w:t xml:space="preserve">the individualised </w:t>
      </w:r>
      <w:r w:rsidRPr="005127DD">
        <w:t>maintenance dose</w:t>
      </w:r>
      <w:r>
        <w:t>.</w:t>
      </w:r>
    </w:p>
    <w:p w14:paraId="6328E13F" w14:textId="1F5D1F12" w:rsidR="00D03C49" w:rsidRPr="00857F4B" w:rsidRDefault="00D03C49" w:rsidP="00D03C49">
      <w:r>
        <w:t>ESC considered the proposed clinical management algorithm to be appropriate. ESC noted that patients with severe HMB or moderate HMB without inhibitors typically receive routine intravenous FIX prophylaxis. ESC noted that, for patients with HMBwI, clinical management depends on the inhibitor titre levels. For</w:t>
      </w:r>
      <w:r w:rsidR="00917C9A">
        <w:t xml:space="preserve"> patients with</w:t>
      </w:r>
      <w:r>
        <w:t xml:space="preserve"> low-titre HMBwI, treatment may involve increasing the dosage of FIX replacement therapy. For patients with high-titre HMBwI no long-term prophylaxis option is available. For acute bleeds in patients with HMBwI and high-titre inhibitors and/or allergic reactions to factor products, a bypassing agent (BPA) is used. ESC noted that the two BPAs available in Australia are recombinant activated Factor VIIa (rFVIIa) and activated prothrombin complex concentrate (aPCC), and noted that aPCC is generally not preferred in HMB due to the presence of FIX, which may increase the risk of anaphylaxis.</w:t>
      </w:r>
    </w:p>
    <w:p w14:paraId="325611EB" w14:textId="77777777" w:rsidR="00D03C49" w:rsidRDefault="00D03C49" w:rsidP="00D03C49">
      <w:r>
        <w:t xml:space="preserve">ESC noted that the ADAR proposed that the main comparator for HMBwI should be short-term prophylaxis with bypassing agents (BPAs) and that on-demand treatment with BPAs (no prophylaxis) should be the secondary comparator. ESC noted and agreed with the commentary that on-demand treatment with BPAs (no prophylaxis), in this case rFVIIa, is the most appropriate comparator given that BPAs are only indicated for short-term prophylaxis (≤3 months) in situations where bleeding risk is increased (such as perioperative use) whereas concizumab is indicated for long-term prophylaxis. </w:t>
      </w:r>
    </w:p>
    <w:p w14:paraId="2AFA2AA8" w14:textId="527DA7BD" w:rsidR="00D03C49" w:rsidRDefault="00D03C49" w:rsidP="00D03C49">
      <w:r>
        <w:t xml:space="preserve">ESC noted that the comparator for HMB without inhibitors is FIX prophylaxis which is the current standard of care (SOC) in Australia for </w:t>
      </w:r>
      <w:r w:rsidR="00161DCE">
        <w:t xml:space="preserve">patients with </w:t>
      </w:r>
      <w:r>
        <w:t>HMB. The current clinical management for these patients involves prophylaxis with extended half-life (EHL) recombinant FIX (Alprolix®), which is replacing prophylaxis with standard half-life (SHL) recombinant FIX (BeneFIX®), both of which have largely replaced plasma-derived SHL FIX (MonoFIX-VF®) in Australia.</w:t>
      </w:r>
    </w:p>
    <w:p w14:paraId="5A43310B" w14:textId="77777777" w:rsidR="00D03C49" w:rsidRDefault="00D03C49" w:rsidP="00D03C49">
      <w:pPr>
        <w:spacing w:after="120"/>
      </w:pPr>
      <w:r>
        <w:t>ESC noted that albutrepenonacog alfa, Idelvion®, an EHL recombinant FIX product, has been on the NPPL as part of the National Blood Agreement since June 2025 and agreed with the commentary that it could have been included as a new to market near-comparator; however, as it has only been available since July 2025, uptake is difficult to predict with precision. ESC considered that although a sensitivity analysis modelling potential switching from Alprolix® to Idelvion® over time could be undertaken, switching would be expected primarily where a previously stable patient with Alprolix® develops breakthrough bleeding. ESC further considered that, as MSAC had previously advised no price differential across EHL FIX products (</w:t>
      </w:r>
      <w:hyperlink r:id="rId27">
        <w:r w:rsidRPr="2112ADDD">
          <w:rPr>
            <w:rStyle w:val="Hyperlink"/>
          </w:rPr>
          <w:t>MSAC PSD for 1511</w:t>
        </w:r>
      </w:hyperlink>
      <w:r>
        <w:t>, page 4), the relative extent of use of these products should not affect the cost-minimisation approach (CMA) in the economic and financial analyses.</w:t>
      </w:r>
    </w:p>
    <w:p w14:paraId="5EBD4DCF" w14:textId="77777777" w:rsidR="00D03C49" w:rsidRDefault="00D03C49" w:rsidP="00D03C49">
      <w:pPr>
        <w:spacing w:after="120"/>
      </w:pPr>
      <w:r>
        <w:t xml:space="preserve">ESC further noted that etranacogene dezaparvovec, Hemgenix®, which was supported for funding by MSAC at its July 2025 meeting, is a therapy available for the treatment of adult patients with moderately severe or severe HMB (see </w:t>
      </w:r>
      <w:hyperlink r:id="rId28">
        <w:r w:rsidRPr="2112ADDD">
          <w:rPr>
            <w:rStyle w:val="Hyperlink"/>
          </w:rPr>
          <w:t>MSAC Application 1728.1 PSD</w:t>
        </w:r>
      </w:hyperlink>
      <w:r>
        <w:t>) and is a near-market comparator as is, marstacimab, which is TGA-registered and concurrently under consideration by MSAC to treat patients with severe HMA or HMB without inhibitors (Application 1806). ESC noted that the applicant-developed assessment report (ADAR) did not include either of these therapies as a comparator for concizumab, despite this being requested by PASC.</w:t>
      </w:r>
    </w:p>
    <w:p w14:paraId="1F5EDDBC" w14:textId="77777777" w:rsidR="00D03C49" w:rsidRPr="00857F4B" w:rsidRDefault="00D03C49" w:rsidP="00D03C49">
      <w:r>
        <w:t>ESC noted that the main clinical effectiveness outcome in the evidence for both populations was the annualised bleeding rate (ABR). The ADAR presented no comparative safety data. ESC considered that the ABR is established as a primary outcome for registration studies, but was not necessarily an accepted patient-relevant outcome, and noted that it could also be viewed as a safety endpoint.</w:t>
      </w:r>
    </w:p>
    <w:p w14:paraId="156D3F7B" w14:textId="77777777" w:rsidR="00D03C49" w:rsidRPr="00857F4B" w:rsidRDefault="00D03C49" w:rsidP="00D03C49">
      <w:r w:rsidRPr="00857F4B">
        <w:t xml:space="preserve">ESC noted that the clinical evidence </w:t>
      </w:r>
      <w:r>
        <w:t>for the effectiveness of concizumab</w:t>
      </w:r>
      <w:r w:rsidRPr="00857F4B">
        <w:t xml:space="preserve"> for the HMBwI </w:t>
      </w:r>
      <w:r>
        <w:t>population</w:t>
      </w:r>
      <w:r w:rsidRPr="00857F4B">
        <w:t xml:space="preserve"> </w:t>
      </w:r>
      <w:r>
        <w:t>was informed by</w:t>
      </w:r>
      <w:r w:rsidRPr="00857F4B">
        <w:t xml:space="preserve"> 2 studies:</w:t>
      </w:r>
    </w:p>
    <w:p w14:paraId="1B28FE6B" w14:textId="77777777" w:rsidR="00D03C49" w:rsidRPr="00857F4B" w:rsidRDefault="00D03C49" w:rsidP="00F1192D">
      <w:pPr>
        <w:pStyle w:val="ListParagraph"/>
        <w:numPr>
          <w:ilvl w:val="1"/>
          <w:numId w:val="27"/>
        </w:numPr>
      </w:pPr>
      <w:r w:rsidRPr="00857F4B">
        <w:t>Explorer6 – a non-interventional pre-trial cohort study of patients with severe HMA, severe/moderate HMB without inhibitors, or any severity of HMA with inhibitors (HMAwI) or HMBwI (a total of 31 patients with HMBwI)</w:t>
      </w:r>
    </w:p>
    <w:p w14:paraId="0EB51336" w14:textId="77777777" w:rsidR="00D03C49" w:rsidRDefault="00D03C49" w:rsidP="00F1192D">
      <w:pPr>
        <w:pStyle w:val="ListParagraph"/>
        <w:numPr>
          <w:ilvl w:val="1"/>
          <w:numId w:val="27"/>
        </w:numPr>
      </w:pPr>
      <w:r>
        <w:t>Explorer7 – a randomised controlled trial (RCT) of patients with HMAwI or HMBwI (some of whom participated in Explorer6) treated with BPAs in the 24 weeks before screening (a total of 25 patients with HMBwI [15 for the intervention and 10 for the comparator]).</w:t>
      </w:r>
    </w:p>
    <w:p w14:paraId="53AEA4E8" w14:textId="77777777" w:rsidR="00D03C49" w:rsidRPr="00857F4B" w:rsidRDefault="00D03C49" w:rsidP="00D03C49">
      <w:r>
        <w:t>ESC noted that the Explorer7 study was the pivotal study for the HMBwI population in this application, as it included the appropriate comparator of on-demand treatment with rFVIIa. Consistent with the discussion above regarding comparators, ESC acknowledged that the ADAR identified on-demand rFVIIa as a secondary comparator and had noted some short-term rFVIIa prophylaxis was supported by real-world data. However, ESC queried whether sufficient real-world data had been provided to justify short-term rFVIIa prophylaxis as the main comparator. In the absence of further evidence, ESC affirmed that on-demand rFVIIa should be the primary comparator for this population.</w:t>
      </w:r>
    </w:p>
    <w:p w14:paraId="6DF92B26" w14:textId="77777777" w:rsidR="00D03C49" w:rsidRPr="00857F4B" w:rsidRDefault="00D03C49" w:rsidP="00D03C49">
      <w:r w:rsidRPr="00857F4B">
        <w:t xml:space="preserve">ESC noted that the ADAR </w:t>
      </w:r>
      <w:r>
        <w:t>assessed</w:t>
      </w:r>
      <w:r w:rsidRPr="00857F4B">
        <w:t xml:space="preserve"> the risk of bias for Explorer6 </w:t>
      </w:r>
      <w:r>
        <w:t>as</w:t>
      </w:r>
      <w:r w:rsidRPr="00857F4B">
        <w:t xml:space="preserve"> moderate</w:t>
      </w:r>
      <w:r w:rsidRPr="00857F4B" w:rsidDel="001C0CA6">
        <w:t xml:space="preserve"> </w:t>
      </w:r>
      <w:r w:rsidRPr="00857F4B">
        <w:t>using the Cochrane risk of bias tool for non-randomised studies of interventions (ROBINS-I). However, ESC noted</w:t>
      </w:r>
      <w:r>
        <w:t xml:space="preserve"> </w:t>
      </w:r>
      <w:r w:rsidRPr="00857F4B">
        <w:t xml:space="preserve">from the commentary that the ROBINS-I tool has limited utility for a non-interventional, single-arm study such as Explorer6. </w:t>
      </w:r>
      <w:r>
        <w:t>ESC also raised</w:t>
      </w:r>
      <w:r w:rsidRPr="00857F4B">
        <w:t xml:space="preserve"> concerns </w:t>
      </w:r>
      <w:r>
        <w:t>regarding</w:t>
      </w:r>
      <w:r w:rsidRPr="00857F4B">
        <w:t xml:space="preserve"> the risk of bias for Explorer7 </w:t>
      </w:r>
      <w:r>
        <w:t>due to</w:t>
      </w:r>
      <w:r w:rsidRPr="00857F4B">
        <w:t xml:space="preserve"> the lack of information on the randomisation method and allocation concealment.</w:t>
      </w:r>
    </w:p>
    <w:p w14:paraId="0AF94CF7" w14:textId="77777777" w:rsidR="00D03C49" w:rsidRPr="00857F4B" w:rsidRDefault="00D03C49" w:rsidP="00D03C49">
      <w:r w:rsidRPr="00857F4B">
        <w:t xml:space="preserve">ESC noted </w:t>
      </w:r>
      <w:r>
        <w:t xml:space="preserve">that in the </w:t>
      </w:r>
      <w:r w:rsidRPr="00857F4B">
        <w:t>Explorer7 trial</w:t>
      </w:r>
      <w:r>
        <w:t>,</w:t>
      </w:r>
      <w:r w:rsidRPr="00857F4B">
        <w:t xml:space="preserve"> the mean ABR for the pooled population</w:t>
      </w:r>
      <w:r w:rsidRPr="00857F4B" w:rsidDel="00DE64EC">
        <w:t xml:space="preserve"> </w:t>
      </w:r>
      <w:r w:rsidRPr="00857F4B">
        <w:t>(HMAwI and HMBwI) was 1.7 (95% confidence interval [CI]: 1.01, 2.87) for the intervention (concizumab prophylaxis) and 11.8 (95% CI: 7.03, 19.86) for the comparator (no concizumab prophylaxis)</w:t>
      </w:r>
      <w:r>
        <w:t xml:space="preserve">, equating </w:t>
      </w:r>
      <w:r w:rsidRPr="00857F4B">
        <w:t>to an ABR ratio of 0.14 (95% CI: 0.07, 0.29)</w:t>
      </w:r>
      <w:r>
        <w:t xml:space="preserve"> and </w:t>
      </w:r>
      <w:r w:rsidRPr="00857F4B">
        <w:t xml:space="preserve">demonstrating superiority for </w:t>
      </w:r>
      <w:r>
        <w:t>concizumab</w:t>
      </w:r>
      <w:r w:rsidRPr="00857F4B">
        <w:t xml:space="preserve">. ESC noted that, </w:t>
      </w:r>
      <w:r>
        <w:t>in its</w:t>
      </w:r>
      <w:r w:rsidRPr="00857F4B">
        <w:t xml:space="preserve"> pre-ESC response,</w:t>
      </w:r>
      <w:r>
        <w:t xml:space="preserve"> the applicant</w:t>
      </w:r>
      <w:r w:rsidRPr="00857F4B">
        <w:t xml:space="preserve"> </w:t>
      </w:r>
      <w:r>
        <w:t>justified</w:t>
      </w:r>
      <w:r w:rsidRPr="00857F4B">
        <w:t xml:space="preserve"> </w:t>
      </w:r>
      <w:r>
        <w:t xml:space="preserve">pooling the </w:t>
      </w:r>
      <w:r w:rsidRPr="00857F4B">
        <w:t>HMAwI and HMBwI populations</w:t>
      </w:r>
      <w:r w:rsidRPr="00857F4B" w:rsidDel="007B06E2">
        <w:t xml:space="preserve"> </w:t>
      </w:r>
      <w:r w:rsidRPr="00857F4B">
        <w:t xml:space="preserve">due to the rarity of the </w:t>
      </w:r>
      <w:r>
        <w:t>conditions</w:t>
      </w:r>
      <w:r w:rsidRPr="00857F4B">
        <w:t xml:space="preserve"> and the similar mechanism of action of concizumab. However, ESC noted from </w:t>
      </w:r>
      <w:r>
        <w:t xml:space="preserve">the </w:t>
      </w:r>
      <w:r w:rsidRPr="00857F4B">
        <w:t>supplement</w:t>
      </w:r>
      <w:r>
        <w:t>ary</w:t>
      </w:r>
      <w:r w:rsidRPr="00857F4B">
        <w:t xml:space="preserve"> </w:t>
      </w:r>
      <w:r>
        <w:t>Appendix</w:t>
      </w:r>
      <w:r w:rsidRPr="00857F4B">
        <w:t xml:space="preserve"> for the Explorer7 trial</w:t>
      </w:r>
      <w:r>
        <w:t xml:space="preserve"> report</w:t>
      </w:r>
      <w:r>
        <w:rPr>
          <w:rStyle w:val="FootnoteReference"/>
        </w:rPr>
        <w:footnoteReference w:id="6"/>
      </w:r>
      <w:r w:rsidRPr="00857F4B" w:rsidDel="00CB6D09">
        <w:t xml:space="preserve"> </w:t>
      </w:r>
      <w:r w:rsidRPr="00857F4B">
        <w:t xml:space="preserve">that </w:t>
      </w:r>
      <w:r>
        <w:t>restricting the analysis to the</w:t>
      </w:r>
      <w:r w:rsidRPr="00857F4B">
        <w:t xml:space="preserve"> HMBwI population</w:t>
      </w:r>
      <w:r>
        <w:t xml:space="preserve"> reduced certainty in </w:t>
      </w:r>
      <w:r w:rsidRPr="00857F4B">
        <w:t>the superiority of the intervention</w:t>
      </w:r>
      <w:r w:rsidRPr="00857F4B" w:rsidDel="00FD0017">
        <w:t xml:space="preserve"> </w:t>
      </w:r>
      <w:r>
        <w:t>because, although the point estimates still favoured concizumab (</w:t>
      </w:r>
      <w:r w:rsidRPr="00857F4B">
        <w:t>mean ABR</w:t>
      </w:r>
      <w:r w:rsidRPr="00857F4B" w:rsidDel="00325DB1">
        <w:t xml:space="preserve"> </w:t>
      </w:r>
      <w:r>
        <w:t>of</w:t>
      </w:r>
      <w:r w:rsidRPr="00857F4B">
        <w:t xml:space="preserve"> 2.2</w:t>
      </w:r>
      <w:r>
        <w:t xml:space="preserve"> vs 7.2), the corresponding ABR ratio of 0.31 had wide confidence intervals that crossed unity </w:t>
      </w:r>
      <w:r w:rsidRPr="00857F4B">
        <w:t>(95% CI: 0.07, 1.36</w:t>
      </w:r>
      <w:r>
        <w:t xml:space="preserve">). This also contrasted with the </w:t>
      </w:r>
      <w:r w:rsidRPr="00857F4B">
        <w:t>HMAwI population</w:t>
      </w:r>
      <w:r>
        <w:t xml:space="preserve"> which had an </w:t>
      </w:r>
      <w:r w:rsidRPr="00857F4B">
        <w:t xml:space="preserve">ABR ratio of </w:t>
      </w:r>
      <w:r>
        <w:t>0.09 with narrower confidence intervals</w:t>
      </w:r>
      <w:r w:rsidRPr="00857F4B">
        <w:t xml:space="preserve"> (95% CI: 0.04, 0.18)</w:t>
      </w:r>
      <w:r>
        <w:t>.</w:t>
      </w:r>
      <w:r w:rsidRPr="00857F4B">
        <w:t xml:space="preserve"> ESC also noted that the baseline ABR in the no prophylaxis arm differed between the 2 populations (18.3 for HMAwI and 7.2 for HMBwI), suggesting pool</w:t>
      </w:r>
      <w:r>
        <w:t>ing of data may not be appropriate</w:t>
      </w:r>
      <w:r w:rsidRPr="00857F4B">
        <w:t>.</w:t>
      </w:r>
      <w:r>
        <w:t xml:space="preserve"> </w:t>
      </w:r>
    </w:p>
    <w:p w14:paraId="190A5276" w14:textId="77777777" w:rsidR="00D03C49" w:rsidRDefault="00D03C49" w:rsidP="00D03C49">
      <w:r>
        <w:t xml:space="preserve">ESC noted that total quality-of-life (QoL) scores from the Explorer7 trial showed superiority for concizumab. However, ESC noted that substantial data were missing, with QoL reported for only 13 of 33 patients in the intervention arm and 4 of 19 patients in the comparator arm. Therefore, although the superiority finding was statistically significant (p = 0.028), ESC considered the result unreliable. </w:t>
      </w:r>
    </w:p>
    <w:p w14:paraId="3C0A2B38" w14:textId="77777777" w:rsidR="00D03C49" w:rsidRPr="00857F4B" w:rsidRDefault="00D03C49" w:rsidP="00D03C49">
      <w:r>
        <w:t>ESC noted the ADAR’s clinical claim for patients with HMBwI is that concizumab has superior effectiveness compared to no prophylaxis. However, ESC considered overall that these findings are subject to low confidence due to very small patient numbers and limitations in the evidence base discussed.  ESC noted that the claim of superior effectiveness compared with short term rFVIIa prophylaxis is subject to even lower confidence, being based on a post-hoc intra-patient before-and-after comparison of seven study participants.</w:t>
      </w:r>
    </w:p>
    <w:p w14:paraId="6D28DF94" w14:textId="77777777" w:rsidR="00D03C49" w:rsidRPr="00857F4B" w:rsidRDefault="00D03C49" w:rsidP="00D03C49">
      <w:r>
        <w:t>ESC noted that the clinical evidence for the effectiveness of concizumab for the HMB without inhibitors population was also informed by 2 studies:</w:t>
      </w:r>
    </w:p>
    <w:p w14:paraId="5416219B" w14:textId="77777777" w:rsidR="00D03C49" w:rsidRPr="00857F4B" w:rsidRDefault="00D03C49" w:rsidP="00F1192D">
      <w:pPr>
        <w:pStyle w:val="ListParagraph"/>
        <w:numPr>
          <w:ilvl w:val="1"/>
          <w:numId w:val="26"/>
        </w:numPr>
      </w:pPr>
      <w:r w:rsidRPr="00857F4B">
        <w:t>Explorer6 – described previously; a total of 72 patients with HMB without inhibitors</w:t>
      </w:r>
    </w:p>
    <w:p w14:paraId="7014266D" w14:textId="77777777" w:rsidR="00D03C49" w:rsidRDefault="00D03C49" w:rsidP="00F1192D">
      <w:pPr>
        <w:pStyle w:val="ListParagraph"/>
        <w:numPr>
          <w:ilvl w:val="1"/>
          <w:numId w:val="26"/>
        </w:numPr>
      </w:pPr>
      <w:r w:rsidRPr="00857F4B">
        <w:t>Explorer8 – an RCT of patients with severe HMA or severe/moderate HMB without inhibitors and, unless transferring from Explorer5, with documented clotting factor treatment in the 24 weeks before screening (a total of 36 patients with HMB without inhibitors [24 for the intervention and 12 for the comparator]).</w:t>
      </w:r>
    </w:p>
    <w:p w14:paraId="50130BBF" w14:textId="77777777" w:rsidR="00D03C49" w:rsidRPr="00857F4B" w:rsidRDefault="00D03C49" w:rsidP="00D03C49">
      <w:r>
        <w:t>ESC noted that the ADAR combined data from the 2 studies to perform a within-person before-and-after analysis, described in the ADAR as an ‘interrupted time series’, involving 22 patients with HMB without inhibitors.</w:t>
      </w:r>
    </w:p>
    <w:p w14:paraId="05B68AD0" w14:textId="3998F253" w:rsidR="00D03C49" w:rsidRPr="00857F4B" w:rsidRDefault="00D03C49" w:rsidP="00D03C49">
      <w:r>
        <w:t xml:space="preserve">ESC noted concern from the commentary regarding the applicability of the comparator used in Explorer6 to Australian clinical practice. ESC noted that in the pre-ESC response, the applicant acknowledged regional variances exist with treatment, but that international principles guide individualised pharmacokinetic-guided dosing. However, ESC considered that the applicability to the Australian setting remained uncertain, because EHL FIX prophylaxis, rather than SHL FIX prophylaxis, represents current standard of care (SOC) for Australian </w:t>
      </w:r>
      <w:r w:rsidR="00444D5C">
        <w:t xml:space="preserve">patients with </w:t>
      </w:r>
      <w:r>
        <w:t>HMB ESC noted that the comparator in the Explorer8 trial was not relevant for this application, as it used no prophylaxis rather than FIX prophylaxis. ESC noted that the clinical claim of superior effectiveness compared with on-demand FIX was demonstrated, but considered that this comparison is of limited relevance because on-demand FIX is not considered SOC for patients with severe HMB.</w:t>
      </w:r>
    </w:p>
    <w:p w14:paraId="46F7FAAB" w14:textId="77777777" w:rsidR="00D03C49" w:rsidRPr="00857F4B" w:rsidRDefault="00D03C49" w:rsidP="00D03C49">
      <w:r w:rsidRPr="00857F4B">
        <w:t xml:space="preserve">ESC noted that the ADAR </w:t>
      </w:r>
      <w:r>
        <w:t>identified</w:t>
      </w:r>
      <w:r w:rsidRPr="00857F4B">
        <w:t xml:space="preserve"> some concern</w:t>
      </w:r>
      <w:r>
        <w:t>s</w:t>
      </w:r>
      <w:r w:rsidRPr="00857F4B">
        <w:t xml:space="preserve"> </w:t>
      </w:r>
      <w:r>
        <w:t>regarding</w:t>
      </w:r>
      <w:r w:rsidRPr="00857F4B">
        <w:t xml:space="preserve"> the risk of bias for Explorer8</w:t>
      </w:r>
      <w:r>
        <w:t>. ESC also noted that t</w:t>
      </w:r>
      <w:r w:rsidRPr="00857F4B">
        <w:t xml:space="preserve">he commentary </w:t>
      </w:r>
      <w:r>
        <w:t>highlighted a higher</w:t>
      </w:r>
      <w:r w:rsidRPr="00857F4B">
        <w:t xml:space="preserve"> risk of bias</w:t>
      </w:r>
      <w:r w:rsidRPr="00857F4B" w:rsidDel="00C77507">
        <w:t xml:space="preserve"> </w:t>
      </w:r>
      <w:r w:rsidRPr="00857F4B">
        <w:t xml:space="preserve">for health-related QoL </w:t>
      </w:r>
      <w:r>
        <w:t xml:space="preserve">outcomes </w:t>
      </w:r>
      <w:r w:rsidRPr="00857F4B">
        <w:t>due to a higher patient drop-out rate, and that treatment pause may be considered a deviation from the intended intervention.</w:t>
      </w:r>
    </w:p>
    <w:p w14:paraId="3258594C" w14:textId="77777777" w:rsidR="00D03C49" w:rsidRPr="00857F4B" w:rsidRDefault="00D03C49" w:rsidP="00D03C49">
      <w:r>
        <w:t xml:space="preserve">ESC noted that a post-hoc intra-patient analysis of ABR in Explorer6 versus Explorer8 showed between patient variability in response to the intervention vs the comparator, with one outlier patient experiencing substantially higher bleeding rates on concizumab. ESC also noted that the mean ABR ratio of 1.75 (95% CI: 0.81, 3.78) did not support the noninferiority claim for the intervention. The ADAR argued that removing the outlier produced a noninferior finding (ABR ratio of 1.00 [95% CI: 0.58, 1.73]); however, ESC noted that the commentary identified this outlier was not an isolated case, as the HMA trial population also included 2 outliers with markedly worse outcomes using concizumab compared with the comparator. Therefore, ESC considered that removing the outlier from the data was unjustified. </w:t>
      </w:r>
    </w:p>
    <w:p w14:paraId="02669706" w14:textId="77777777" w:rsidR="00D03C49" w:rsidRDefault="00D03C49" w:rsidP="00D03C49">
      <w:r>
        <w:t xml:space="preserve">ESC considered that, given the comparator from Explorer6 observational study reflected local SOC at the time across diverse locations, and that EHL FIX has recently replaced SHL FIX as SOC in Australia, the comparative effectiveness of concizumab may be overestimated. </w:t>
      </w:r>
      <w:r w:rsidRPr="29871B49">
        <w:rPr>
          <w:rFonts w:eastAsia="Franklin Gothic Book" w:cs="Franklin Gothic Book"/>
          <w:color w:val="000000" w:themeColor="text1"/>
        </w:rPr>
        <w:t>ESC noted that</w:t>
      </w:r>
      <w:r>
        <w:rPr>
          <w:rFonts w:eastAsia="Franklin Gothic Book" w:cs="Franklin Gothic Book"/>
          <w:color w:val="000000" w:themeColor="text1"/>
        </w:rPr>
        <w:t xml:space="preserve"> at the time MSAC considered EHL prophylaxis</w:t>
      </w:r>
      <w:r w:rsidRPr="29871B49">
        <w:rPr>
          <w:rFonts w:eastAsia="Franklin Gothic Book" w:cs="Franklin Gothic Book"/>
          <w:color w:val="D13438"/>
          <w:u w:val="single"/>
        </w:rPr>
        <w:t>,</w:t>
      </w:r>
      <w:r w:rsidRPr="29871B49">
        <w:rPr>
          <w:rFonts w:eastAsia="Franklin Gothic Book" w:cs="Franklin Gothic Book"/>
          <w:color w:val="000000" w:themeColor="text1"/>
        </w:rPr>
        <w:t xml:space="preserve"> </w:t>
      </w:r>
      <w:r>
        <w:rPr>
          <w:rFonts w:eastAsia="Franklin Gothic Book" w:cs="Franklin Gothic Book"/>
          <w:color w:val="000000" w:themeColor="text1"/>
        </w:rPr>
        <w:t>(</w:t>
      </w:r>
      <w:r w:rsidRPr="29871B49">
        <w:rPr>
          <w:rFonts w:eastAsia="Franklin Gothic Book" w:cs="Franklin Gothic Book"/>
        </w:rPr>
        <w:t>MSAC Application 1511</w:t>
      </w:r>
      <w:r>
        <w:rPr>
          <w:rFonts w:eastAsia="Franklin Gothic Book" w:cs="Franklin Gothic Book"/>
        </w:rPr>
        <w:t>) the evidence showed</w:t>
      </w:r>
      <w:r w:rsidRPr="29871B49">
        <w:rPr>
          <w:rFonts w:eastAsia="Franklin Gothic Book" w:cs="Franklin Gothic Book"/>
          <w:color w:val="000000" w:themeColor="text1"/>
        </w:rPr>
        <w:t xml:space="preserve"> there </w:t>
      </w:r>
      <w:r>
        <w:rPr>
          <w:rFonts w:eastAsia="Franklin Gothic Book" w:cs="Franklin Gothic Book"/>
          <w:color w:val="000000" w:themeColor="text1"/>
        </w:rPr>
        <w:t>was</w:t>
      </w:r>
      <w:r w:rsidRPr="29871B49">
        <w:rPr>
          <w:rFonts w:eastAsia="Franklin Gothic Book" w:cs="Franklin Gothic Book"/>
          <w:color w:val="000000" w:themeColor="text1"/>
        </w:rPr>
        <w:t xml:space="preserve"> little clinically important difference between EHL and SHL prophylaxis</w:t>
      </w:r>
      <w:r>
        <w:rPr>
          <w:rFonts w:eastAsia="Franklin Gothic Book" w:cs="Franklin Gothic Book"/>
          <w:color w:val="000000" w:themeColor="text1"/>
        </w:rPr>
        <w:t>,</w:t>
      </w:r>
      <w:r w:rsidRPr="29871B49">
        <w:rPr>
          <w:rFonts w:eastAsia="Franklin Gothic Book" w:cs="Franklin Gothic Book"/>
          <w:color w:val="000000" w:themeColor="text1"/>
        </w:rPr>
        <w:t xml:space="preserve"> </w:t>
      </w:r>
      <w:r>
        <w:rPr>
          <w:rFonts w:eastAsia="Franklin Gothic Book" w:cs="Franklin Gothic Book"/>
          <w:color w:val="000000" w:themeColor="text1"/>
        </w:rPr>
        <w:t xml:space="preserve">more </w:t>
      </w:r>
      <w:r w:rsidRPr="29871B49">
        <w:rPr>
          <w:rFonts w:eastAsia="Franklin Gothic Book" w:cs="Franklin Gothic Book"/>
          <w:color w:val="000000" w:themeColor="text1"/>
        </w:rPr>
        <w:t>recent accumulating observational evidence suggest</w:t>
      </w:r>
      <w:r>
        <w:rPr>
          <w:rFonts w:eastAsia="Franklin Gothic Book" w:cs="Franklin Gothic Book"/>
          <w:color w:val="000000" w:themeColor="text1"/>
        </w:rPr>
        <w:t>s</w:t>
      </w:r>
      <w:r w:rsidRPr="29871B49">
        <w:rPr>
          <w:rFonts w:eastAsia="Franklin Gothic Book" w:cs="Franklin Gothic Book"/>
          <w:color w:val="000000" w:themeColor="text1"/>
        </w:rPr>
        <w:t xml:space="preserve"> EHL is superior to SHL, as measured by ABR reduction and adherence to treatment.</w:t>
      </w:r>
      <w:r>
        <w:rPr>
          <w:rFonts w:eastAsia="Franklin Gothic Book" w:cs="Franklin Gothic Book"/>
          <w:color w:val="000000" w:themeColor="text1"/>
        </w:rPr>
        <w:t xml:space="preserve"> </w:t>
      </w:r>
      <w:r>
        <w:rPr>
          <w:rStyle w:val="FootnoteReference"/>
          <w:rFonts w:eastAsia="Franklin Gothic Book" w:cs="Franklin Gothic Book"/>
          <w:color w:val="000000" w:themeColor="text1"/>
        </w:rPr>
        <w:footnoteReference w:id="7"/>
      </w:r>
      <w:r>
        <w:rPr>
          <w:rFonts w:eastAsia="Franklin Gothic Book" w:cs="Franklin Gothic Book"/>
          <w:color w:val="000000" w:themeColor="text1"/>
          <w:vertAlign w:val="superscript"/>
        </w:rPr>
        <w:t>,</w:t>
      </w:r>
      <w:r>
        <w:rPr>
          <w:rStyle w:val="FootnoteReference"/>
          <w:rFonts w:eastAsia="Franklin Gothic Book" w:cs="Franklin Gothic Book"/>
          <w:color w:val="000000" w:themeColor="text1"/>
        </w:rPr>
        <w:footnoteReference w:id="8"/>
      </w:r>
      <w:r>
        <w:rPr>
          <w:rFonts w:eastAsia="Franklin Gothic Book" w:cs="Franklin Gothic Book"/>
          <w:color w:val="000000" w:themeColor="text1"/>
          <w:vertAlign w:val="superscript"/>
        </w:rPr>
        <w:t>,</w:t>
      </w:r>
      <w:r>
        <w:rPr>
          <w:rStyle w:val="FootnoteReference"/>
          <w:rFonts w:eastAsia="Franklin Gothic Book" w:cs="Franklin Gothic Book"/>
          <w:color w:val="000000" w:themeColor="text1"/>
        </w:rPr>
        <w:footnoteReference w:id="9"/>
      </w:r>
      <w:r>
        <w:rPr>
          <w:rFonts w:eastAsia="Franklin Gothic Book" w:cs="Franklin Gothic Book"/>
          <w:color w:val="000000" w:themeColor="text1"/>
          <w:vertAlign w:val="superscript"/>
        </w:rPr>
        <w:t>,</w:t>
      </w:r>
      <w:r>
        <w:rPr>
          <w:rStyle w:val="FootnoteReference"/>
          <w:rFonts w:eastAsia="Franklin Gothic Book" w:cs="Franklin Gothic Book"/>
          <w:color w:val="000000" w:themeColor="text1"/>
        </w:rPr>
        <w:footnoteReference w:id="10"/>
      </w:r>
      <w:r w:rsidRPr="29871B49">
        <w:rPr>
          <w:rFonts w:eastAsia="Franklin Gothic Book" w:cs="Franklin Gothic Book"/>
          <w:color w:val="000000" w:themeColor="text1"/>
        </w:rPr>
        <w:t xml:space="preserve"> ESC considered that an assessment of recent evidence (since MSAC 1511 consideration) of the effectiveness of SHL and EHL products would be informative to MSAC.</w:t>
      </w:r>
      <w:r w:rsidRPr="29871B49">
        <w:rPr>
          <w:rFonts w:eastAsia="Franklin Gothic Book" w:cs="Franklin Gothic Book"/>
        </w:rPr>
        <w:t xml:space="preserve"> </w:t>
      </w:r>
      <w:r>
        <w:t>Overall, ESC considered the ADAR’s claim of noninferior effectiveness of concizumab in the HMB without inhibitors population was not supported by the evidence, although ESC acknowledged potential patient preference for concizumab over FIX prophylaxis.</w:t>
      </w:r>
    </w:p>
    <w:p w14:paraId="34BC6F90" w14:textId="77777777" w:rsidR="00D03C49" w:rsidRPr="00857F4B" w:rsidRDefault="00D03C49" w:rsidP="00D03C49">
      <w:r>
        <w:t>Regarding the safety of concizumab, ESC noted that the ADAR presented non-comparative safety data with limited sample size and follow-up. The most common treatment related AEs with concizumab were mild injection-site reactions; two hypersensitivity reactions in patients with inhibitors led to discontinuation, and no thromboembolic events were reported. ESC also noted that the ADAR’s claims of noninferior safety versus SOC for both HMB and HMBwI populations were not demonstrated, although serious AEs were infrequent and the overall safety profile appeared acceptable for patients with severe haemophilia.</w:t>
      </w:r>
    </w:p>
    <w:p w14:paraId="3C10AB80" w14:textId="77777777" w:rsidR="00D03C49" w:rsidRPr="00857F4B" w:rsidRDefault="00D03C49" w:rsidP="00D03C49">
      <w:r w:rsidRPr="00857F4B">
        <w:t xml:space="preserve">ESC noted that the economic evaluation used a cost-minimisation approach (CMA) for both </w:t>
      </w:r>
      <w:r>
        <w:t>population</w:t>
      </w:r>
      <w:r w:rsidRPr="00857F4B">
        <w:t xml:space="preserve">s and calculated the cost-neutral concizumab shadow price on a per patient per year basis. Specifics for each </w:t>
      </w:r>
      <w:r>
        <w:t>population</w:t>
      </w:r>
      <w:r w:rsidRPr="00857F4B">
        <w:t xml:space="preserve"> </w:t>
      </w:r>
      <w:r>
        <w:t xml:space="preserve">as presented in the ADAR </w:t>
      </w:r>
      <w:r w:rsidRPr="00857F4B">
        <w:t>are as follows:</w:t>
      </w:r>
    </w:p>
    <w:p w14:paraId="66902337" w14:textId="77777777" w:rsidR="00D03C49" w:rsidRPr="00857F4B" w:rsidRDefault="00D03C49" w:rsidP="00F1192D">
      <w:pPr>
        <w:pStyle w:val="ListParagraph"/>
        <w:numPr>
          <w:ilvl w:val="0"/>
          <w:numId w:val="23"/>
        </w:numPr>
        <w:ind w:left="426" w:hanging="426"/>
      </w:pPr>
      <w:r w:rsidRPr="00857F4B">
        <w:t>For HMBwI</w:t>
      </w:r>
    </w:p>
    <w:p w14:paraId="42A3ED64" w14:textId="77777777" w:rsidR="00D03C49" w:rsidRPr="00857F4B" w:rsidRDefault="00D03C49" w:rsidP="00F1192D">
      <w:pPr>
        <w:pStyle w:val="ListParagraph"/>
        <w:numPr>
          <w:ilvl w:val="0"/>
          <w:numId w:val="24"/>
        </w:numPr>
        <w:ind w:left="851"/>
      </w:pPr>
      <w:r>
        <w:t>Fewer bleeds in the concizumab arm were valued as cost offsets but not as health outcome gains (consistent with the CMA)</w:t>
      </w:r>
    </w:p>
    <w:p w14:paraId="25D6EB33" w14:textId="77777777" w:rsidR="00D03C49" w:rsidRPr="00857F4B" w:rsidRDefault="00D03C49" w:rsidP="00F1192D">
      <w:pPr>
        <w:pStyle w:val="ListParagraph"/>
        <w:numPr>
          <w:ilvl w:val="0"/>
          <w:numId w:val="24"/>
        </w:numPr>
        <w:ind w:left="851"/>
      </w:pPr>
      <w:r>
        <w:t>Costs per patient in the comparator arm were based on comparisons with both on-demand rFVIIa to manage bleeding events and rFVIIa prophylaxis</w:t>
      </w:r>
    </w:p>
    <w:p w14:paraId="4109BD26" w14:textId="77777777" w:rsidR="00D03C49" w:rsidRPr="00857F4B" w:rsidRDefault="00D03C49" w:rsidP="00F1192D">
      <w:pPr>
        <w:pStyle w:val="ListParagraph"/>
        <w:numPr>
          <w:ilvl w:val="0"/>
          <w:numId w:val="24"/>
        </w:numPr>
        <w:ind w:left="851"/>
      </w:pPr>
      <w:r>
        <w:t>C</w:t>
      </w:r>
      <w:r w:rsidRPr="00857F4B">
        <w:t>ost offsets of rFVIIa administration</w:t>
      </w:r>
      <w:r>
        <w:t xml:space="preserve"> due to subcutaneous administration in the concizumab arm were included </w:t>
      </w:r>
    </w:p>
    <w:p w14:paraId="2DAA286F" w14:textId="3140495F" w:rsidR="00D03C49" w:rsidRPr="00857F4B" w:rsidRDefault="00D03C49" w:rsidP="00F1192D">
      <w:pPr>
        <w:pStyle w:val="ListParagraph"/>
        <w:numPr>
          <w:ilvl w:val="0"/>
          <w:numId w:val="24"/>
        </w:numPr>
        <w:ind w:left="851" w:hanging="357"/>
        <w:contextualSpacing w:val="0"/>
      </w:pPr>
      <w:r>
        <w:t>A c</w:t>
      </w:r>
      <w:r w:rsidRPr="00857F4B">
        <w:t>ost-neutra</w:t>
      </w:r>
      <w:r>
        <w:t xml:space="preserve">l </w:t>
      </w:r>
      <w:r w:rsidRPr="00857F4B">
        <w:t xml:space="preserve">shadow price of </w:t>
      </w:r>
      <w:r w:rsidRPr="00282024">
        <w:t>$</w:t>
      </w:r>
      <w:r w:rsidR="00853801" w:rsidRPr="007B2AA2">
        <w:rPr>
          <w:b/>
        </w:rPr>
        <w:t>redacted</w:t>
      </w:r>
      <w:r w:rsidRPr="00857F4B">
        <w:t>/mg</w:t>
      </w:r>
      <w:r>
        <w:t xml:space="preserve"> was estimated based on a </w:t>
      </w:r>
      <w:r w:rsidRPr="00857F4B">
        <w:t xml:space="preserve">total cost per patient per year of </w:t>
      </w:r>
      <w:r w:rsidRPr="00282024">
        <w:t>$</w:t>
      </w:r>
      <w:r w:rsidR="00853801" w:rsidRPr="007B2AA2">
        <w:rPr>
          <w:b/>
        </w:rPr>
        <w:t>redacted</w:t>
      </w:r>
      <w:r w:rsidRPr="00857F4B">
        <w:t xml:space="preserve"> </w:t>
      </w:r>
      <w:r>
        <w:t xml:space="preserve">for concizumab </w:t>
      </w:r>
      <w:r w:rsidRPr="00857F4B">
        <w:t>(</w:t>
      </w:r>
      <w:r>
        <w:t>which would offset a cost of the same magnitude under standard of care).</w:t>
      </w:r>
    </w:p>
    <w:p w14:paraId="73DDE4B1" w14:textId="77777777" w:rsidR="00D03C49" w:rsidRPr="00857F4B" w:rsidRDefault="00D03C49" w:rsidP="00F1192D">
      <w:pPr>
        <w:pStyle w:val="ListParagraph"/>
        <w:numPr>
          <w:ilvl w:val="0"/>
          <w:numId w:val="23"/>
        </w:numPr>
        <w:ind w:left="426" w:hanging="426"/>
      </w:pPr>
      <w:r w:rsidRPr="00857F4B">
        <w:t>For HMB without inhibitors</w:t>
      </w:r>
    </w:p>
    <w:p w14:paraId="229B4740" w14:textId="77777777" w:rsidR="00D03C49" w:rsidRPr="00857F4B" w:rsidRDefault="00D03C49" w:rsidP="00F1192D">
      <w:pPr>
        <w:pStyle w:val="ListParagraph"/>
        <w:numPr>
          <w:ilvl w:val="0"/>
          <w:numId w:val="25"/>
        </w:numPr>
        <w:ind w:left="851"/>
      </w:pPr>
      <w:r>
        <w:t>Cost offsets for fewer bleeds in the concizumab arm were not included (due to the assumption of noninferior effectiveness in this population)</w:t>
      </w:r>
    </w:p>
    <w:p w14:paraId="3A0919EC" w14:textId="77777777" w:rsidR="00D03C49" w:rsidRPr="00857F4B" w:rsidRDefault="00D03C49" w:rsidP="00F1192D">
      <w:pPr>
        <w:pStyle w:val="ListParagraph"/>
        <w:numPr>
          <w:ilvl w:val="0"/>
          <w:numId w:val="25"/>
        </w:numPr>
        <w:ind w:left="851"/>
      </w:pPr>
      <w:r>
        <w:t>Costs per patient in the comparator arm were w</w:t>
      </w:r>
      <w:r w:rsidRPr="00857F4B">
        <w:t>eighted across 3 FIX products (</w:t>
      </w:r>
      <w:r>
        <w:t xml:space="preserve">all with different costs per </w:t>
      </w:r>
      <w:r w:rsidRPr="00857F4B">
        <w:t>patient)</w:t>
      </w:r>
    </w:p>
    <w:p w14:paraId="0A344B01" w14:textId="77777777" w:rsidR="00D03C49" w:rsidRPr="00857F4B" w:rsidRDefault="00D03C49" w:rsidP="00F1192D">
      <w:pPr>
        <w:pStyle w:val="ListParagraph"/>
        <w:numPr>
          <w:ilvl w:val="0"/>
          <w:numId w:val="25"/>
        </w:numPr>
        <w:ind w:left="851"/>
      </w:pPr>
      <w:r>
        <w:t>C</w:t>
      </w:r>
      <w:r w:rsidRPr="00857F4B">
        <w:t>ost offsets of FIX prophylaxis administration</w:t>
      </w:r>
      <w:r>
        <w:t xml:space="preserve"> due to subcutaneous administration in the concizumab arm were included</w:t>
      </w:r>
    </w:p>
    <w:p w14:paraId="132E17CB" w14:textId="59D7D932" w:rsidR="00D03C49" w:rsidRDefault="00D03C49" w:rsidP="00F1192D">
      <w:pPr>
        <w:pStyle w:val="ListParagraph"/>
        <w:numPr>
          <w:ilvl w:val="0"/>
          <w:numId w:val="25"/>
        </w:numPr>
        <w:ind w:left="851"/>
      </w:pPr>
      <w:r>
        <w:t>A c</w:t>
      </w:r>
      <w:r w:rsidRPr="00857F4B">
        <w:t xml:space="preserve">ost-neutral shadow price of </w:t>
      </w:r>
      <w:r w:rsidRPr="00282024">
        <w:t>$</w:t>
      </w:r>
      <w:r w:rsidR="00853801" w:rsidRPr="007B2AA2">
        <w:rPr>
          <w:b/>
        </w:rPr>
        <w:t>redacted</w:t>
      </w:r>
      <w:r w:rsidRPr="00857F4B">
        <w:t>/mg</w:t>
      </w:r>
      <w:r>
        <w:t xml:space="preserve"> was estimated based on a </w:t>
      </w:r>
      <w:r w:rsidRPr="00857F4B">
        <w:t>total cost per patient per year o</w:t>
      </w:r>
      <w:r w:rsidRPr="00853801">
        <w:t xml:space="preserve">f </w:t>
      </w:r>
      <w:r w:rsidRPr="00282024">
        <w:t>$</w:t>
      </w:r>
      <w:r w:rsidR="00853801" w:rsidRPr="007B2AA2">
        <w:rPr>
          <w:b/>
        </w:rPr>
        <w:t>redacted</w:t>
      </w:r>
      <w:r w:rsidR="009C3800">
        <w:rPr>
          <w:b/>
        </w:rPr>
        <w:t xml:space="preserve"> </w:t>
      </w:r>
      <w:r>
        <w:t>for concizumab.</w:t>
      </w:r>
    </w:p>
    <w:p w14:paraId="6A538396" w14:textId="04B44660" w:rsidR="00D03C49" w:rsidRDefault="00D03C49" w:rsidP="00D03C49">
      <w:r>
        <w:t xml:space="preserve">ESC agreed with the commentary that the lack of an established cost-effectiveness for rFVIIa in the economic evaluation is a source of uncertainty regarding whether the proposed cost-neutral price for concizumab represents an acceptable cost-effective price. ESC noted that the CMA for both populations relied on assumptions of clinical equivalence supported by low-confidence evidence. ESC considered that, for the HMBwI population, small sample size and wide confidence intervals limited certainty regarding the magnitude of benefit, and for the HMB without inhibitors population, noninferiority to standard prophylaxis was not demonstrated, with evidence based on a small before-and-after comparison rather than a robust assessment against contemporary Australian practice. ESC noted that the economic models were sensitive to several key structural and input assumptions which were based on this low-confidence evidence. </w:t>
      </w:r>
    </w:p>
    <w:p w14:paraId="20EBFE37" w14:textId="77777777" w:rsidR="00D03C49" w:rsidRPr="00115F72" w:rsidRDefault="00D03C49" w:rsidP="00D03C49">
      <w:r>
        <w:t xml:space="preserve">ESC noted that there are multiple treatments currently available for haemophilia and emphasised the importance of consistency across the comparable parameters used in the economic evaluations for these products. ESC recommended that, in this context, a conservative approach to pricing is warranted when confidence in a parameter is low and multiple quantifiable alternative estimates are reasonable, accepting that some remaining parameters do not have obvious alternative estimates. ESC further recommended that uncertainty in clinical benefit should be reflected through a lower acceptable cost-neutral price, rather than assuming parity with existing therapies, with price negotiation serving as the primary mechanism to also manage financial risk. ESC also noted MSAC precedents for previous blood replacement products which adopted this approach and acknowledged that this applies to assumptions regarding daily doses in prophylaxis and adherence (assumed in the CMA to be 100% for all prophylactic treatments) for both HMB groups. </w:t>
      </w:r>
    </w:p>
    <w:p w14:paraId="18844CF7" w14:textId="3B952CE0" w:rsidR="00D03C49" w:rsidRPr="00857F4B" w:rsidRDefault="00D03C49" w:rsidP="00D03C49">
      <w:r w:rsidRPr="093656AB">
        <w:rPr>
          <w:rStyle w:val="CommentReference"/>
          <w:sz w:val="22"/>
          <w:szCs w:val="22"/>
          <w:lang w:val="en-US"/>
        </w:rPr>
        <w:t>F</w:t>
      </w:r>
      <w:r>
        <w:t xml:space="preserve">or the HMBwI population, ESC noted that the applicant proposed that the cost of managing breakthrough bleeds in the concizumab arm through prophylaxis should be assumed to be zero in the CMA because the applicant proposed covering the costs for breakthrough bleeds through the supply of rFVIIa for all </w:t>
      </w:r>
      <w:r w:rsidR="00917C9A">
        <w:t xml:space="preserve">patients with </w:t>
      </w:r>
      <w:r>
        <w:t>HMBwI receiving concizumab. ESC considered that this approach raised practical, ethical, privacy and policy issues for the NBA and healthcare workers in haemophilia treatment centres. ESC also considered that, as the economic evaluation should consider costs from a health system perspective regardless of payer, all relevant costs should be included in the analyses. Therefore, ESC advised that the cost of managing breakthrough bleeds through rFVIIa should be included in the concizumab arm and the claimed cost-neutral price of concizumab adjusted accordingly. ESC further considered that, although the applicant’s proposal to cover the costs for ELISA testing might appear to raise similar issues, this was acceptable as such funding would enable TGA-approved access rather than being a prerequisite for public funding.</w:t>
      </w:r>
    </w:p>
    <w:p w14:paraId="26895010" w14:textId="77777777" w:rsidR="00D03C49" w:rsidRDefault="00D03C49" w:rsidP="00D03C49">
      <w:r>
        <w:t xml:space="preserve">ESC noted a discrepancy in the dosing of the rFVIIa used to treat breakthrough bleeds in the Explorer7 trial. The applicant cited a dose of 0.295 mg/kg in both the ADAR and pre-ESC response; however, ESC noted that the commentary was unable to identify this figure in the trial reference material and proposed a higher dose of 0.340 mg/kg based on data provided in the trial, which ESC considered to be more appropriate. ESC emphasised that accurate costing of breakthrough bleed management was important, as this parameter materially affected the comparator costs and the resulting cost-neutral price. </w:t>
      </w:r>
    </w:p>
    <w:p w14:paraId="5A2A3ACB" w14:textId="79FDECAF" w:rsidR="00B20694" w:rsidRDefault="00D03C49" w:rsidP="00B20694">
      <w:r>
        <w:t xml:space="preserve">ESC therefore recommended that the base case of each of the two CMAs be respecified for MSAC consideration according to </w:t>
      </w:r>
      <w:r>
        <w:fldChar w:fldCharType="begin"/>
      </w:r>
      <w:r>
        <w:instrText xml:space="preserve"> REF _Ref223212072 \h </w:instrText>
      </w:r>
      <w:r>
        <w:fldChar w:fldCharType="separate"/>
      </w:r>
      <w:r w:rsidR="00CD3B0F">
        <w:t xml:space="preserve">Table </w:t>
      </w:r>
      <w:r w:rsidR="00CD3B0F">
        <w:rPr>
          <w:noProof/>
        </w:rPr>
        <w:t>29</w:t>
      </w:r>
      <w:r>
        <w:fldChar w:fldCharType="end"/>
      </w:r>
      <w:r>
        <w:t>.</w:t>
      </w:r>
      <w:r w:rsidR="00B20694">
        <w:br w:type="page"/>
      </w:r>
    </w:p>
    <w:p w14:paraId="0012A315" w14:textId="75E62D60" w:rsidR="00D03C49" w:rsidRDefault="00D03C49" w:rsidP="00D03C49">
      <w:pPr>
        <w:pStyle w:val="Caption"/>
      </w:pPr>
      <w:bookmarkStart w:id="65" w:name="_Ref223212072"/>
      <w:r>
        <w:t xml:space="preserve">Table </w:t>
      </w:r>
      <w:r>
        <w:fldChar w:fldCharType="begin"/>
      </w:r>
      <w:r>
        <w:instrText>SEQ Table \* ARABIC</w:instrText>
      </w:r>
      <w:r>
        <w:fldChar w:fldCharType="separate"/>
      </w:r>
      <w:r w:rsidR="00CD3B0F">
        <w:rPr>
          <w:noProof/>
        </w:rPr>
        <w:t>29</w:t>
      </w:r>
      <w:r>
        <w:fldChar w:fldCharType="end"/>
      </w:r>
      <w:bookmarkEnd w:id="65"/>
      <w:r>
        <w:t xml:space="preserve"> ESC-recommended multivariate respecifications for recalculating the CMAs</w:t>
      </w:r>
    </w:p>
    <w:tbl>
      <w:tblPr>
        <w:tblStyle w:val="TableGrid"/>
        <w:tblW w:w="0" w:type="auto"/>
        <w:tblLook w:val="04A0" w:firstRow="1" w:lastRow="0" w:firstColumn="1" w:lastColumn="0" w:noHBand="0" w:noVBand="1"/>
      </w:tblPr>
      <w:tblGrid>
        <w:gridCol w:w="1872"/>
        <w:gridCol w:w="2149"/>
        <w:gridCol w:w="2960"/>
        <w:gridCol w:w="2025"/>
      </w:tblGrid>
      <w:tr w:rsidR="00D03C49" w14:paraId="177F1C9B"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66071B31"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Variable</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39AB1A58"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Proposed product</w:t>
            </w:r>
          </w:p>
        </w:tc>
        <w:tc>
          <w:tcPr>
            <w:tcW w:w="2900" w:type="dxa"/>
            <w:tcBorders>
              <w:top w:val="single" w:sz="8" w:space="0" w:color="auto"/>
              <w:left w:val="single" w:sz="8" w:space="0" w:color="auto"/>
              <w:bottom w:val="single" w:sz="8" w:space="0" w:color="auto"/>
              <w:right w:val="single" w:sz="8" w:space="0" w:color="auto"/>
            </w:tcBorders>
            <w:tcMar>
              <w:left w:w="108" w:type="dxa"/>
              <w:right w:w="108" w:type="dxa"/>
            </w:tcMar>
          </w:tcPr>
          <w:p w14:paraId="741E6686"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Comparator</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4D502A99"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Rationale</w:t>
            </w:r>
          </w:p>
        </w:tc>
      </w:tr>
      <w:tr w:rsidR="00D03C49" w14:paraId="7C8592AD" w14:textId="77777777">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27924CE"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Cost-minimisation approach (CMA) with inhibitors</w:t>
            </w:r>
          </w:p>
        </w:tc>
      </w:tr>
      <w:tr w:rsidR="00D03C49" w14:paraId="1037074D"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2B58FE9F"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Product cost</w:t>
            </w:r>
          </w:p>
        </w:tc>
        <w:tc>
          <w:tcPr>
            <w:tcW w:w="2187" w:type="dxa"/>
            <w:tcBorders>
              <w:top w:val="nil"/>
              <w:left w:val="single" w:sz="8" w:space="0" w:color="auto"/>
              <w:bottom w:val="single" w:sz="8" w:space="0" w:color="auto"/>
              <w:right w:val="single" w:sz="8" w:space="0" w:color="auto"/>
            </w:tcBorders>
            <w:tcMar>
              <w:left w:w="108" w:type="dxa"/>
              <w:right w:w="108" w:type="dxa"/>
            </w:tcMar>
          </w:tcPr>
          <w:p w14:paraId="102CE96A" w14:textId="77777777" w:rsidR="00D03C49" w:rsidRDefault="00D03C49">
            <w:pPr>
              <w:spacing w:before="0"/>
              <w:rPr>
                <w:rFonts w:ascii="Arial Narrow" w:eastAsia="Arial Narrow" w:hAnsi="Arial Narrow" w:cs="Arial Narrow"/>
                <w:i/>
                <w:iCs/>
                <w:sz w:val="20"/>
                <w:szCs w:val="20"/>
              </w:rPr>
            </w:pPr>
            <w:r w:rsidRPr="3F303C0C">
              <w:rPr>
                <w:rFonts w:ascii="Arial Narrow" w:eastAsia="Arial Narrow" w:hAnsi="Arial Narrow" w:cs="Arial Narrow"/>
                <w:i/>
                <w:iCs/>
                <w:sz w:val="20"/>
                <w:szCs w:val="20"/>
              </w:rPr>
              <w:t>Back-calculated to achieve cost-neutrality</w:t>
            </w:r>
          </w:p>
        </w:tc>
        <w:tc>
          <w:tcPr>
            <w:tcW w:w="2900" w:type="dxa"/>
            <w:tcBorders>
              <w:top w:val="nil"/>
              <w:left w:val="single" w:sz="8" w:space="0" w:color="auto"/>
              <w:bottom w:val="single" w:sz="8" w:space="0" w:color="auto"/>
              <w:right w:val="single" w:sz="8" w:space="0" w:color="auto"/>
            </w:tcBorders>
            <w:tcMar>
              <w:left w:w="108" w:type="dxa"/>
              <w:right w:w="108" w:type="dxa"/>
            </w:tcMar>
          </w:tcPr>
          <w:p w14:paraId="26033E35" w14:textId="77777777" w:rsidR="00D03C49" w:rsidRDefault="00D03C49" w:rsidP="00F1192D">
            <w:pPr>
              <w:pStyle w:val="ListParagraph"/>
              <w:numPr>
                <w:ilvl w:val="0"/>
                <w:numId w:val="6"/>
              </w:numPr>
              <w:spacing w:before="0"/>
              <w:ind w:left="200" w:hanging="218"/>
              <w:rPr>
                <w:rFonts w:ascii="Arial Narrow" w:eastAsia="Arial Narrow" w:hAnsi="Arial Narrow" w:cs="Arial Narrow"/>
                <w:sz w:val="20"/>
                <w:szCs w:val="20"/>
              </w:rPr>
            </w:pPr>
            <w:r w:rsidRPr="3F303C0C">
              <w:rPr>
                <w:rFonts w:ascii="Arial Narrow" w:eastAsia="Arial Narrow" w:hAnsi="Arial Narrow" w:cs="Arial Narrow"/>
                <w:sz w:val="20"/>
                <w:szCs w:val="20"/>
              </w:rPr>
              <w:t>Multiply by adherence at 87.2%</w:t>
            </w:r>
          </w:p>
          <w:p w14:paraId="657641A8" w14:textId="77777777" w:rsidR="00D03C49" w:rsidRDefault="00D03C49" w:rsidP="00F1192D">
            <w:pPr>
              <w:pStyle w:val="ListParagraph"/>
              <w:numPr>
                <w:ilvl w:val="0"/>
                <w:numId w:val="6"/>
              </w:numPr>
              <w:spacing w:before="0"/>
              <w:ind w:left="200" w:hanging="218"/>
              <w:rPr>
                <w:rFonts w:ascii="Arial Narrow" w:eastAsia="Arial Narrow" w:hAnsi="Arial Narrow" w:cs="Arial Narrow"/>
                <w:sz w:val="20"/>
                <w:szCs w:val="20"/>
              </w:rPr>
            </w:pPr>
            <w:r w:rsidRPr="3F303C0C">
              <w:rPr>
                <w:rFonts w:ascii="Arial Narrow" w:eastAsia="Arial Narrow" w:hAnsi="Arial Narrow" w:cs="Arial Narrow"/>
                <w:sz w:val="20"/>
                <w:szCs w:val="20"/>
              </w:rPr>
              <w:t>Remove 32% on prophylaxis leaving 100% on demand</w:t>
            </w:r>
          </w:p>
        </w:tc>
        <w:tc>
          <w:tcPr>
            <w:tcW w:w="2030" w:type="dxa"/>
            <w:tcBorders>
              <w:top w:val="nil"/>
              <w:left w:val="single" w:sz="8" w:space="0" w:color="auto"/>
              <w:bottom w:val="single" w:sz="8" w:space="0" w:color="auto"/>
              <w:right w:val="single" w:sz="8" w:space="0" w:color="auto"/>
            </w:tcBorders>
            <w:tcMar>
              <w:left w:w="108" w:type="dxa"/>
              <w:right w:w="108" w:type="dxa"/>
            </w:tcMar>
          </w:tcPr>
          <w:p w14:paraId="04C1B209" w14:textId="77777777" w:rsidR="00D03C49" w:rsidRDefault="00D03C49" w:rsidP="00F1192D">
            <w:pPr>
              <w:pStyle w:val="ListParagraph"/>
              <w:numPr>
                <w:ilvl w:val="0"/>
                <w:numId w:val="5"/>
              </w:numPr>
              <w:spacing w:before="0"/>
              <w:ind w:left="208" w:hanging="218"/>
              <w:rPr>
                <w:rFonts w:ascii="Arial Narrow" w:eastAsia="Arial Narrow" w:hAnsi="Arial Narrow" w:cs="Arial Narrow"/>
                <w:sz w:val="20"/>
                <w:szCs w:val="20"/>
              </w:rPr>
            </w:pPr>
            <w:r w:rsidRPr="3F303C0C">
              <w:rPr>
                <w:rFonts w:ascii="Arial Narrow" w:eastAsia="Arial Narrow" w:hAnsi="Arial Narrow" w:cs="Arial Narrow"/>
                <w:sz w:val="20"/>
                <w:szCs w:val="20"/>
              </w:rPr>
              <w:t>Observed for FIX</w:t>
            </w:r>
            <w:r>
              <w:rPr>
                <w:rFonts w:ascii="Arial Narrow" w:eastAsia="Arial Narrow" w:hAnsi="Arial Narrow" w:cs="Arial Narrow"/>
                <w:sz w:val="20"/>
                <w:szCs w:val="20"/>
                <w:vertAlign w:val="superscript"/>
              </w:rPr>
              <w:t>3</w:t>
            </w:r>
          </w:p>
          <w:p w14:paraId="15D7BB3E" w14:textId="77777777" w:rsidR="00D03C49" w:rsidRDefault="00D03C49" w:rsidP="00F1192D">
            <w:pPr>
              <w:pStyle w:val="ListParagraph"/>
              <w:numPr>
                <w:ilvl w:val="0"/>
                <w:numId w:val="5"/>
              </w:numPr>
              <w:spacing w:before="0"/>
              <w:ind w:left="208" w:hanging="218"/>
              <w:rPr>
                <w:rFonts w:ascii="Arial Narrow" w:eastAsia="Arial Narrow" w:hAnsi="Arial Narrow" w:cs="Arial Narrow"/>
                <w:sz w:val="20"/>
                <w:szCs w:val="20"/>
              </w:rPr>
            </w:pPr>
            <w:r w:rsidRPr="3F303C0C">
              <w:rPr>
                <w:rFonts w:ascii="Arial Narrow" w:eastAsia="Arial Narrow" w:hAnsi="Arial Narrow" w:cs="Arial Narrow"/>
                <w:sz w:val="20"/>
                <w:szCs w:val="20"/>
              </w:rPr>
              <w:t>Reflect strongest randomised trial data generating breakthrough bleed estimates</w:t>
            </w:r>
          </w:p>
        </w:tc>
      </w:tr>
      <w:tr w:rsidR="00D03C49" w14:paraId="10771A52"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2A1FDD48"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ABR to estimate number of breakthrough bleeds</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2378D180"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2.2</w:t>
            </w:r>
          </w:p>
        </w:tc>
        <w:tc>
          <w:tcPr>
            <w:tcW w:w="2900" w:type="dxa"/>
            <w:tcBorders>
              <w:top w:val="single" w:sz="8" w:space="0" w:color="auto"/>
              <w:left w:val="single" w:sz="8" w:space="0" w:color="auto"/>
              <w:bottom w:val="single" w:sz="8" w:space="0" w:color="auto"/>
              <w:right w:val="single" w:sz="8" w:space="0" w:color="auto"/>
            </w:tcBorders>
            <w:tcMar>
              <w:left w:w="108" w:type="dxa"/>
              <w:right w:w="108" w:type="dxa"/>
            </w:tcMar>
          </w:tcPr>
          <w:p w14:paraId="6D09D3C5"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7.2</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2D0E1637"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Relevant subgroup analysis from randomised comparison in Explorer7</w:t>
            </w:r>
          </w:p>
        </w:tc>
      </w:tr>
      <w:tr w:rsidR="00D03C49" w14:paraId="2E550ECE"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44396334"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rFVIIa cost for treating breakthrough bleeds</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689F8A32"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Include at 0.340mg/kg</w:t>
            </w:r>
          </w:p>
        </w:tc>
        <w:tc>
          <w:tcPr>
            <w:tcW w:w="2900" w:type="dxa"/>
            <w:tcBorders>
              <w:top w:val="single" w:sz="8" w:space="0" w:color="auto"/>
              <w:left w:val="single" w:sz="8" w:space="0" w:color="auto"/>
              <w:bottom w:val="single" w:sz="8" w:space="0" w:color="auto"/>
              <w:right w:val="single" w:sz="8" w:space="0" w:color="auto"/>
            </w:tcBorders>
            <w:tcMar>
              <w:left w:w="108" w:type="dxa"/>
              <w:right w:w="108" w:type="dxa"/>
            </w:tcMar>
          </w:tcPr>
          <w:p w14:paraId="4B8584DE"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Include at 0.340mg/kg</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5C471748"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Accept Table 14.2.34, p320, Explorer7 CSR</w:t>
            </w:r>
          </w:p>
        </w:tc>
      </w:tr>
      <w:tr w:rsidR="00D03C49" w14:paraId="69EA707C"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1025D306"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Hospital and administration cost for treating breakthrough bleeds</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161D4D05"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Include</w:t>
            </w:r>
          </w:p>
        </w:tc>
        <w:tc>
          <w:tcPr>
            <w:tcW w:w="2900" w:type="dxa"/>
            <w:tcBorders>
              <w:top w:val="single" w:sz="8" w:space="0" w:color="auto"/>
              <w:left w:val="single" w:sz="8" w:space="0" w:color="auto"/>
              <w:bottom w:val="single" w:sz="8" w:space="0" w:color="auto"/>
              <w:right w:val="single" w:sz="8" w:space="0" w:color="auto"/>
            </w:tcBorders>
            <w:tcMar>
              <w:left w:w="108" w:type="dxa"/>
              <w:right w:w="108" w:type="dxa"/>
            </w:tcMar>
          </w:tcPr>
          <w:p w14:paraId="7D20895C"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Include</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644298BD"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Accept 1728.1 precedent of hospital and administration offsets in calculating cost neutrality</w:t>
            </w:r>
          </w:p>
        </w:tc>
      </w:tr>
      <w:tr w:rsidR="00D03C49" w14:paraId="729223E1" w14:textId="77777777">
        <w:trPr>
          <w:trHeight w:val="300"/>
        </w:trPr>
        <w:tc>
          <w:tcPr>
            <w:tcW w:w="900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1EA3F7A"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Cost-minimisation approach (CMA) without inhibitors</w:t>
            </w:r>
          </w:p>
        </w:tc>
      </w:tr>
      <w:tr w:rsidR="00D03C49" w14:paraId="32BE0A9D"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6B77528A"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Product cost</w:t>
            </w:r>
          </w:p>
        </w:tc>
        <w:tc>
          <w:tcPr>
            <w:tcW w:w="2187" w:type="dxa"/>
            <w:tcBorders>
              <w:top w:val="nil"/>
              <w:left w:val="single" w:sz="8" w:space="0" w:color="auto"/>
              <w:bottom w:val="single" w:sz="8" w:space="0" w:color="auto"/>
              <w:right w:val="single" w:sz="8" w:space="0" w:color="auto"/>
            </w:tcBorders>
            <w:tcMar>
              <w:left w:w="108" w:type="dxa"/>
              <w:right w:w="108" w:type="dxa"/>
            </w:tcMar>
          </w:tcPr>
          <w:p w14:paraId="5BA6763C" w14:textId="77777777" w:rsidR="00D03C49" w:rsidRDefault="00D03C49">
            <w:pPr>
              <w:spacing w:before="0"/>
              <w:rPr>
                <w:rFonts w:ascii="Arial Narrow" w:eastAsia="Arial Narrow" w:hAnsi="Arial Narrow" w:cs="Arial Narrow"/>
                <w:i/>
                <w:iCs/>
                <w:sz w:val="20"/>
                <w:szCs w:val="20"/>
              </w:rPr>
            </w:pPr>
            <w:r w:rsidRPr="3F303C0C">
              <w:rPr>
                <w:rFonts w:ascii="Arial Narrow" w:eastAsia="Arial Narrow" w:hAnsi="Arial Narrow" w:cs="Arial Narrow"/>
                <w:i/>
                <w:iCs/>
                <w:sz w:val="20"/>
                <w:szCs w:val="20"/>
              </w:rPr>
              <w:t>Back-calculated to achieve cost-neutrality</w:t>
            </w:r>
          </w:p>
        </w:tc>
        <w:tc>
          <w:tcPr>
            <w:tcW w:w="2900" w:type="dxa"/>
            <w:tcBorders>
              <w:top w:val="nil"/>
              <w:left w:val="single" w:sz="8" w:space="0" w:color="auto"/>
              <w:bottom w:val="single" w:sz="8" w:space="0" w:color="auto"/>
              <w:right w:val="single" w:sz="8" w:space="0" w:color="auto"/>
            </w:tcBorders>
            <w:tcMar>
              <w:left w:w="108" w:type="dxa"/>
              <w:right w:w="108" w:type="dxa"/>
            </w:tcMar>
          </w:tcPr>
          <w:p w14:paraId="1C12D09D" w14:textId="77777777" w:rsidR="00D03C49" w:rsidRDefault="00D03C49" w:rsidP="00F1192D">
            <w:pPr>
              <w:pStyle w:val="ListParagraph"/>
              <w:numPr>
                <w:ilvl w:val="0"/>
                <w:numId w:val="4"/>
              </w:numPr>
              <w:spacing w:before="0"/>
              <w:ind w:left="200" w:hanging="218"/>
              <w:rPr>
                <w:rFonts w:ascii="Arial Narrow" w:eastAsia="Arial Narrow" w:hAnsi="Arial Narrow" w:cs="Arial Narrow"/>
                <w:sz w:val="20"/>
                <w:szCs w:val="20"/>
              </w:rPr>
            </w:pPr>
            <w:r w:rsidRPr="3F303C0C">
              <w:rPr>
                <w:rFonts w:ascii="Arial Narrow" w:eastAsia="Arial Narrow" w:hAnsi="Arial Narrow" w:cs="Arial Narrow"/>
                <w:sz w:val="20"/>
                <w:szCs w:val="20"/>
              </w:rPr>
              <w:t>Use cheapest EHL FIX based on TGA-approved dose and in-confidence NBA unit price</w:t>
            </w:r>
          </w:p>
          <w:p w14:paraId="18D9D155" w14:textId="77777777" w:rsidR="00D03C49" w:rsidRDefault="00D03C49" w:rsidP="00F1192D">
            <w:pPr>
              <w:pStyle w:val="ListParagraph"/>
              <w:numPr>
                <w:ilvl w:val="0"/>
                <w:numId w:val="4"/>
              </w:numPr>
              <w:spacing w:before="0"/>
              <w:ind w:left="200" w:hanging="218"/>
              <w:rPr>
                <w:rFonts w:ascii="Arial Narrow" w:eastAsia="Arial Narrow" w:hAnsi="Arial Narrow" w:cs="Arial Narrow"/>
                <w:sz w:val="20"/>
                <w:szCs w:val="20"/>
              </w:rPr>
            </w:pPr>
            <w:r w:rsidRPr="3F303C0C">
              <w:rPr>
                <w:rFonts w:ascii="Arial Narrow" w:eastAsia="Arial Narrow" w:hAnsi="Arial Narrow" w:cs="Arial Narrow"/>
                <w:sz w:val="20"/>
                <w:szCs w:val="20"/>
              </w:rPr>
              <w:t>Multiply by adherence at 87.2%</w:t>
            </w:r>
          </w:p>
        </w:tc>
        <w:tc>
          <w:tcPr>
            <w:tcW w:w="2030" w:type="dxa"/>
            <w:tcBorders>
              <w:top w:val="nil"/>
              <w:left w:val="single" w:sz="8" w:space="0" w:color="auto"/>
              <w:bottom w:val="single" w:sz="8" w:space="0" w:color="auto"/>
              <w:right w:val="single" w:sz="8" w:space="0" w:color="auto"/>
            </w:tcBorders>
            <w:tcMar>
              <w:left w:w="108" w:type="dxa"/>
              <w:right w:w="108" w:type="dxa"/>
            </w:tcMar>
          </w:tcPr>
          <w:p w14:paraId="7740697D" w14:textId="77777777" w:rsidR="00D03C49" w:rsidRDefault="00D03C49" w:rsidP="00F1192D">
            <w:pPr>
              <w:pStyle w:val="ListParagraph"/>
              <w:numPr>
                <w:ilvl w:val="0"/>
                <w:numId w:val="3"/>
              </w:numPr>
              <w:spacing w:before="0"/>
              <w:ind w:left="208" w:hanging="218"/>
              <w:rPr>
                <w:rFonts w:ascii="Arial Narrow" w:eastAsia="Arial Narrow" w:hAnsi="Arial Narrow" w:cs="Arial Narrow"/>
                <w:sz w:val="20"/>
                <w:szCs w:val="20"/>
              </w:rPr>
            </w:pPr>
            <w:r w:rsidRPr="3F303C0C">
              <w:rPr>
                <w:rFonts w:ascii="Arial Narrow" w:eastAsia="Arial Narrow" w:hAnsi="Arial Narrow" w:cs="Arial Narrow"/>
                <w:sz w:val="20"/>
                <w:szCs w:val="20"/>
              </w:rPr>
              <w:t>Consistency with MSAC recommendation for no cost differential between EHL FIX products (PSD for 1511, page 4)</w:t>
            </w:r>
          </w:p>
          <w:p w14:paraId="7D1BE8C7" w14:textId="77777777" w:rsidR="00D03C49" w:rsidRDefault="00D03C49" w:rsidP="00F1192D">
            <w:pPr>
              <w:pStyle w:val="ListParagraph"/>
              <w:numPr>
                <w:ilvl w:val="0"/>
                <w:numId w:val="3"/>
              </w:numPr>
              <w:spacing w:before="0"/>
              <w:ind w:left="208" w:hanging="218"/>
              <w:rPr>
                <w:rFonts w:ascii="Arial Narrow" w:eastAsia="Arial Narrow" w:hAnsi="Arial Narrow" w:cs="Arial Narrow"/>
                <w:sz w:val="20"/>
                <w:szCs w:val="20"/>
              </w:rPr>
            </w:pPr>
            <w:r w:rsidRPr="3F303C0C">
              <w:rPr>
                <w:rFonts w:ascii="Arial Narrow" w:eastAsia="Arial Narrow" w:hAnsi="Arial Narrow" w:cs="Arial Narrow"/>
                <w:sz w:val="20"/>
                <w:szCs w:val="20"/>
              </w:rPr>
              <w:t xml:space="preserve">Observed for </w:t>
            </w:r>
            <w:r>
              <w:rPr>
                <w:rFonts w:ascii="Arial Narrow" w:eastAsia="Arial Narrow" w:hAnsi="Arial Narrow" w:cs="Arial Narrow"/>
                <w:sz w:val="20"/>
                <w:szCs w:val="20"/>
              </w:rPr>
              <w:t>FI</w:t>
            </w:r>
            <w:r w:rsidRPr="3F303C0C">
              <w:rPr>
                <w:rFonts w:ascii="Arial Narrow" w:eastAsia="Arial Narrow" w:hAnsi="Arial Narrow" w:cs="Arial Narrow"/>
                <w:sz w:val="20"/>
                <w:szCs w:val="20"/>
              </w:rPr>
              <w:t>X</w:t>
            </w:r>
            <w:r>
              <w:rPr>
                <w:rFonts w:ascii="Arial Narrow" w:eastAsia="Arial Narrow" w:hAnsi="Arial Narrow" w:cs="Arial Narrow"/>
                <w:sz w:val="20"/>
                <w:szCs w:val="20"/>
                <w:vertAlign w:val="superscript"/>
              </w:rPr>
              <w:t>3</w:t>
            </w:r>
          </w:p>
        </w:tc>
      </w:tr>
      <w:tr w:rsidR="00D03C49" w14:paraId="79DDCD72"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3FA9E74D"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Administration cost of product</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741B4CA3"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$0</w:t>
            </w:r>
          </w:p>
        </w:tc>
        <w:tc>
          <w:tcPr>
            <w:tcW w:w="2900" w:type="dxa"/>
            <w:tcBorders>
              <w:top w:val="single" w:sz="8" w:space="0" w:color="auto"/>
              <w:left w:val="single" w:sz="8" w:space="0" w:color="auto"/>
              <w:bottom w:val="single" w:sz="8" w:space="0" w:color="auto"/>
              <w:right w:val="single" w:sz="8" w:space="0" w:color="auto"/>
            </w:tcBorders>
            <w:tcMar>
              <w:left w:w="108" w:type="dxa"/>
              <w:right w:w="108" w:type="dxa"/>
            </w:tcMar>
          </w:tcPr>
          <w:p w14:paraId="5657F6FC" w14:textId="77777777" w:rsidR="00D03C49" w:rsidRDefault="00D03C49" w:rsidP="00F1192D">
            <w:pPr>
              <w:pStyle w:val="ListParagraph"/>
              <w:numPr>
                <w:ilvl w:val="0"/>
                <w:numId w:val="2"/>
              </w:numPr>
              <w:spacing w:before="0"/>
              <w:rPr>
                <w:rFonts w:ascii="Arial Narrow" w:eastAsia="Arial Narrow" w:hAnsi="Arial Narrow" w:cs="Arial Narrow"/>
                <w:sz w:val="20"/>
                <w:szCs w:val="20"/>
              </w:rPr>
            </w:pPr>
            <w:r>
              <w:rPr>
                <w:rFonts w:ascii="Arial Narrow" w:eastAsia="Arial Narrow" w:hAnsi="Arial Narrow" w:cs="Arial Narrow"/>
                <w:sz w:val="20"/>
                <w:szCs w:val="20"/>
              </w:rPr>
              <w:t xml:space="preserve">50% self- administered (i.e. no administration cost) and 50% nurse administered at </w:t>
            </w:r>
            <w:r w:rsidRPr="3F303C0C">
              <w:rPr>
                <w:rFonts w:ascii="Arial Narrow" w:eastAsia="Arial Narrow" w:hAnsi="Arial Narrow" w:cs="Arial Narrow"/>
                <w:sz w:val="20"/>
                <w:szCs w:val="20"/>
              </w:rPr>
              <w:t>$375.96/administration</w:t>
            </w:r>
          </w:p>
          <w:p w14:paraId="07AAFF70" w14:textId="77777777" w:rsidR="00D03C49" w:rsidRDefault="00D03C49" w:rsidP="00F1192D">
            <w:pPr>
              <w:pStyle w:val="ListParagraph"/>
              <w:numPr>
                <w:ilvl w:val="0"/>
                <w:numId w:val="2"/>
              </w:num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Adjusted for number of doses administered</w:t>
            </w:r>
          </w:p>
          <w:p w14:paraId="46160FA7" w14:textId="77777777" w:rsidR="00D03C49" w:rsidRDefault="00D03C49" w:rsidP="00F1192D">
            <w:pPr>
              <w:pStyle w:val="ListParagraph"/>
              <w:numPr>
                <w:ilvl w:val="0"/>
                <w:numId w:val="2"/>
              </w:numPr>
              <w:spacing w:before="0"/>
              <w:rPr>
                <w:rFonts w:ascii="Arial Narrow" w:eastAsia="Arial Narrow" w:hAnsi="Arial Narrow" w:cs="Arial Narrow"/>
                <w:sz w:val="20"/>
                <w:szCs w:val="20"/>
              </w:rPr>
            </w:pPr>
            <w:r>
              <w:rPr>
                <w:rFonts w:ascii="Arial Narrow" w:eastAsia="Arial Narrow" w:hAnsi="Arial Narrow" w:cs="Arial Narrow"/>
                <w:sz w:val="20"/>
                <w:szCs w:val="20"/>
              </w:rPr>
              <w:t>T</w:t>
            </w:r>
            <w:r w:rsidRPr="00B97D3B">
              <w:rPr>
                <w:rFonts w:ascii="Arial Narrow" w:eastAsia="Arial Narrow" w:hAnsi="Arial Narrow" w:cs="Arial Narrow"/>
                <w:sz w:val="20"/>
                <w:szCs w:val="20"/>
              </w:rPr>
              <w:t xml:space="preserve">wo additional sensitivity analyses should </w:t>
            </w:r>
            <w:r>
              <w:rPr>
                <w:rFonts w:ascii="Arial Narrow" w:eastAsia="Arial Narrow" w:hAnsi="Arial Narrow" w:cs="Arial Narrow"/>
                <w:sz w:val="20"/>
                <w:szCs w:val="20"/>
              </w:rPr>
              <w:t xml:space="preserve">also </w:t>
            </w:r>
            <w:r w:rsidRPr="00B97D3B">
              <w:rPr>
                <w:rFonts w:ascii="Arial Narrow" w:eastAsia="Arial Narrow" w:hAnsi="Arial Narrow" w:cs="Arial Narrow"/>
                <w:sz w:val="20"/>
                <w:szCs w:val="20"/>
              </w:rPr>
              <w:t>be undertaken assuming 100% self-administration costs (i.e. zero administration costs) and 100% of administration costs comprising nurse administered costs</w:t>
            </w:r>
            <w:r>
              <w:rPr>
                <w:rFonts w:ascii="Arial Narrow" w:eastAsia="Arial Narrow" w:hAnsi="Arial Narrow" w:cs="Arial Narrow"/>
                <w:sz w:val="20"/>
                <w:szCs w:val="20"/>
              </w:rPr>
              <w:t>.</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57635AB3" w14:textId="77777777" w:rsidR="00D03C49" w:rsidRDefault="00D03C49" w:rsidP="00F1192D">
            <w:pPr>
              <w:pStyle w:val="ListParagraph"/>
              <w:numPr>
                <w:ilvl w:val="0"/>
                <w:numId w:val="1"/>
              </w:numPr>
              <w:spacing w:before="0"/>
              <w:ind w:left="208" w:hanging="218"/>
              <w:rPr>
                <w:rFonts w:ascii="Arial Narrow" w:eastAsia="Arial Narrow" w:hAnsi="Arial Narrow" w:cs="Arial Narrow"/>
                <w:sz w:val="20"/>
                <w:szCs w:val="20"/>
              </w:rPr>
            </w:pPr>
            <w:r>
              <w:rPr>
                <w:rFonts w:ascii="Arial Narrow" w:eastAsia="Arial Narrow" w:hAnsi="Arial Narrow" w:cs="Arial Narrow"/>
                <w:sz w:val="20"/>
                <w:szCs w:val="20"/>
              </w:rPr>
              <w:t xml:space="preserve">Nurse administration cost represents </w:t>
            </w:r>
            <w:r w:rsidRPr="3F303C0C">
              <w:rPr>
                <w:rFonts w:ascii="Arial Narrow" w:eastAsia="Arial Narrow" w:hAnsi="Arial Narrow" w:cs="Arial Narrow"/>
                <w:sz w:val="20"/>
                <w:szCs w:val="20"/>
              </w:rPr>
              <w:t>2025-26 national efficient price from IHPA for code 40.48 (for IV infusion by a nurse)</w:t>
            </w:r>
          </w:p>
          <w:p w14:paraId="199B677C" w14:textId="77777777" w:rsidR="00D03C49" w:rsidRDefault="00D03C49" w:rsidP="00F1192D">
            <w:pPr>
              <w:pStyle w:val="ListParagraph"/>
              <w:numPr>
                <w:ilvl w:val="0"/>
                <w:numId w:val="1"/>
              </w:numPr>
              <w:spacing w:before="0"/>
              <w:ind w:left="208" w:hanging="218"/>
              <w:rPr>
                <w:rFonts w:ascii="Arial Narrow" w:eastAsia="Arial Narrow" w:hAnsi="Arial Narrow" w:cs="Arial Narrow"/>
                <w:sz w:val="20"/>
                <w:szCs w:val="20"/>
              </w:rPr>
            </w:pPr>
            <w:r w:rsidRPr="3F303C0C">
              <w:rPr>
                <w:rFonts w:ascii="Arial Narrow" w:eastAsia="Arial Narrow" w:hAnsi="Arial Narrow" w:cs="Arial Narrow"/>
                <w:sz w:val="20"/>
                <w:szCs w:val="20"/>
              </w:rPr>
              <w:t>Consistency with product cost and 1728.1 precedent</w:t>
            </w:r>
          </w:p>
        </w:tc>
      </w:tr>
      <w:tr w:rsidR="00D03C49" w14:paraId="64BBFDB0"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4D1F809B"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ABR to estimate number of breakthrough bleeds</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4C958D41"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5.4</w:t>
            </w:r>
          </w:p>
        </w:tc>
        <w:tc>
          <w:tcPr>
            <w:tcW w:w="2900" w:type="dxa"/>
            <w:tcBorders>
              <w:top w:val="single" w:sz="8" w:space="0" w:color="auto"/>
              <w:left w:val="single" w:sz="8" w:space="0" w:color="auto"/>
              <w:bottom w:val="single" w:sz="8" w:space="0" w:color="auto"/>
              <w:right w:val="single" w:sz="8" w:space="0" w:color="auto"/>
            </w:tcBorders>
            <w:tcMar>
              <w:left w:w="108" w:type="dxa"/>
              <w:right w:w="108" w:type="dxa"/>
            </w:tcMar>
          </w:tcPr>
          <w:p w14:paraId="2058D360"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3.1</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0AB1DEC6"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Relevant post hoc subgroup analysis of intra-patient comparison across Explorer6 and Explorer8</w:t>
            </w:r>
          </w:p>
        </w:tc>
      </w:tr>
      <w:tr w:rsidR="00D03C49" w14:paraId="4D91B665"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1B0025C7"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EHL FIX cost for treating breakthrough bleeds</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6FB5F8CA"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Use cheapest EHL FIX based on TGA-approved dose for a moderate bleed and NBA data to estimate number of doses/bleed and in-confidence NBA unit price</w:t>
            </w:r>
          </w:p>
        </w:tc>
        <w:tc>
          <w:tcPr>
            <w:tcW w:w="2900" w:type="dxa"/>
            <w:tcBorders>
              <w:top w:val="single" w:sz="8" w:space="0" w:color="auto"/>
              <w:left w:val="single" w:sz="8" w:space="0" w:color="auto"/>
              <w:bottom w:val="single" w:sz="8" w:space="0" w:color="auto"/>
              <w:right w:val="single" w:sz="8" w:space="0" w:color="auto"/>
            </w:tcBorders>
            <w:tcMar>
              <w:left w:w="108" w:type="dxa"/>
              <w:right w:w="108" w:type="dxa"/>
            </w:tcMar>
          </w:tcPr>
          <w:p w14:paraId="331651BF"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Use cheapest EHL FIX based on TGA-approved dose for a moderate bleed and NBA data to estimate number of doses/bleed and in-confidence NBA unit price</w:t>
            </w:r>
            <w:r>
              <w:rPr>
                <w:rFonts w:ascii="Arial Narrow" w:eastAsia="Arial Narrow" w:hAnsi="Arial Narrow" w:cs="Arial Narrow"/>
                <w:sz w:val="20"/>
                <w:szCs w:val="20"/>
              </w:rPr>
              <w:t>.</w:t>
            </w:r>
          </w:p>
          <w:p w14:paraId="7A4AE9AB" w14:textId="77777777" w:rsidR="00D03C49" w:rsidRDefault="00D03C49">
            <w:pPr>
              <w:spacing w:before="0"/>
              <w:rPr>
                <w:rFonts w:ascii="Arial Narrow" w:eastAsia="Arial Narrow" w:hAnsi="Arial Narrow" w:cs="Arial Narrow"/>
                <w:sz w:val="20"/>
                <w:szCs w:val="20"/>
              </w:rPr>
            </w:pPr>
          </w:p>
          <w:p w14:paraId="26F34ACC" w14:textId="77777777" w:rsidR="00D03C49" w:rsidRDefault="00D03C49">
            <w:pPr>
              <w:spacing w:before="0"/>
              <w:rPr>
                <w:rFonts w:ascii="Arial Narrow" w:eastAsia="Arial Narrow" w:hAnsi="Arial Narrow" w:cs="Arial Narrow"/>
                <w:sz w:val="20"/>
                <w:szCs w:val="20"/>
              </w:rPr>
            </w:pPr>
            <w:r>
              <w:rPr>
                <w:rFonts w:ascii="Arial Narrow" w:eastAsia="Arial Narrow" w:hAnsi="Arial Narrow" w:cs="Arial Narrow"/>
                <w:sz w:val="20"/>
                <w:szCs w:val="20"/>
              </w:rPr>
              <w:t xml:space="preserve">ESC recommended an assumption of </w:t>
            </w:r>
            <w:r w:rsidRPr="008B1AD4">
              <w:rPr>
                <w:rFonts w:ascii="Arial Narrow" w:eastAsia="Arial Narrow" w:hAnsi="Arial Narrow" w:cs="Arial Narrow"/>
                <w:sz w:val="20"/>
                <w:szCs w:val="20"/>
              </w:rPr>
              <w:t>130 IU/kg/patient/bleed</w:t>
            </w:r>
            <w:r>
              <w:rPr>
                <w:rFonts w:ascii="Arial Narrow" w:eastAsia="Arial Narrow" w:hAnsi="Arial Narrow" w:cs="Arial Narrow"/>
                <w:sz w:val="20"/>
                <w:szCs w:val="20"/>
              </w:rPr>
              <w:t xml:space="preserve">. </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5E892962"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Consistency with MSAC recommendation for no cost differential between EHL FIX products (PSD for 1511, page 4)</w:t>
            </w:r>
          </w:p>
          <w:p w14:paraId="4F05740F" w14:textId="77777777" w:rsidR="00D03C49" w:rsidRDefault="00D03C49">
            <w:pPr>
              <w:spacing w:before="0"/>
              <w:rPr>
                <w:rFonts w:ascii="Arial Narrow" w:eastAsia="Arial Narrow" w:hAnsi="Arial Narrow" w:cs="Arial Narrow"/>
                <w:sz w:val="20"/>
                <w:szCs w:val="20"/>
              </w:rPr>
            </w:pPr>
          </w:p>
          <w:p w14:paraId="1F424D07" w14:textId="77777777" w:rsidR="00D03C49" w:rsidRDefault="00D03C49">
            <w:pPr>
              <w:spacing w:before="0"/>
              <w:rPr>
                <w:rFonts w:ascii="Arial Narrow" w:eastAsia="Arial Narrow" w:hAnsi="Arial Narrow" w:cs="Arial Narrow"/>
                <w:sz w:val="20"/>
                <w:szCs w:val="20"/>
              </w:rPr>
            </w:pPr>
            <w:r>
              <w:rPr>
                <w:rFonts w:ascii="Arial Narrow" w:eastAsia="Arial Narrow" w:hAnsi="Arial Narrow" w:cs="Arial Narrow"/>
                <w:sz w:val="20"/>
                <w:szCs w:val="20"/>
              </w:rPr>
              <w:t xml:space="preserve">The assumption of </w:t>
            </w:r>
            <w:r w:rsidRPr="008B1AD4">
              <w:rPr>
                <w:rFonts w:ascii="Arial Narrow" w:eastAsia="Arial Narrow" w:hAnsi="Arial Narrow" w:cs="Arial Narrow"/>
                <w:sz w:val="20"/>
                <w:szCs w:val="20"/>
              </w:rPr>
              <w:t xml:space="preserve">130 IU/kg/patient/bleed </w:t>
            </w:r>
            <w:r>
              <w:rPr>
                <w:rFonts w:ascii="Arial Narrow" w:eastAsia="Arial Narrow" w:hAnsi="Arial Narrow" w:cs="Arial Narrow"/>
                <w:sz w:val="20"/>
                <w:szCs w:val="20"/>
              </w:rPr>
              <w:t xml:space="preserve">is based on the Australian Bleeding Disorders Registry Annual Report </w:t>
            </w:r>
            <w:r w:rsidRPr="00866D61">
              <w:rPr>
                <w:rFonts w:ascii="Arial Narrow" w:eastAsia="Arial Narrow" w:hAnsi="Arial Narrow" w:cs="Arial Narrow"/>
                <w:sz w:val="20"/>
                <w:szCs w:val="20"/>
              </w:rPr>
              <w:t xml:space="preserve">2023-24 </w:t>
            </w:r>
            <w:r>
              <w:rPr>
                <w:rFonts w:ascii="Arial Narrow" w:eastAsia="Arial Narrow" w:hAnsi="Arial Narrow" w:cs="Arial Narrow"/>
                <w:sz w:val="20"/>
                <w:szCs w:val="20"/>
              </w:rPr>
              <w:t xml:space="preserve">which reported this as the </w:t>
            </w:r>
            <w:r w:rsidRPr="00866D61">
              <w:rPr>
                <w:rFonts w:ascii="Arial Narrow" w:eastAsia="Arial Narrow" w:hAnsi="Arial Narrow" w:cs="Arial Narrow"/>
                <w:sz w:val="20"/>
                <w:szCs w:val="20"/>
              </w:rPr>
              <w:t xml:space="preserve">average IU/kg per patient for on-demand use across all severity inclusive of all </w:t>
            </w:r>
            <w:r w:rsidRPr="00B27311">
              <w:rPr>
                <w:rFonts w:ascii="Arial Narrow" w:eastAsia="Arial Narrow" w:hAnsi="Arial Narrow" w:cs="Arial Narrow"/>
                <w:b/>
                <w:bCs/>
                <w:sz w:val="20"/>
                <w:szCs w:val="20"/>
              </w:rPr>
              <w:t>initial and subsequent doses</w:t>
            </w:r>
            <w:r>
              <w:rPr>
                <w:rFonts w:ascii="Arial Narrow" w:eastAsia="Arial Narrow" w:hAnsi="Arial Narrow" w:cs="Arial Narrow"/>
                <w:sz w:val="20"/>
                <w:szCs w:val="20"/>
              </w:rPr>
              <w:t xml:space="preserve">. ESC noted that this assumption triangulates well with </w:t>
            </w:r>
            <w:r w:rsidRPr="00866D61">
              <w:rPr>
                <w:rFonts w:ascii="Arial Narrow" w:eastAsia="Arial Narrow" w:hAnsi="Arial Narrow" w:cs="Arial Narrow"/>
                <w:sz w:val="20"/>
                <w:szCs w:val="20"/>
              </w:rPr>
              <w:t xml:space="preserve">60 IU/kg </w:t>
            </w:r>
            <w:r>
              <w:rPr>
                <w:rFonts w:ascii="Arial Narrow" w:eastAsia="Arial Narrow" w:hAnsi="Arial Narrow" w:cs="Arial Narrow"/>
                <w:sz w:val="20"/>
                <w:szCs w:val="20"/>
              </w:rPr>
              <w:t xml:space="preserve">as the approximate midpoint recommended for </w:t>
            </w:r>
            <w:r w:rsidRPr="00B27311">
              <w:rPr>
                <w:rFonts w:ascii="Arial Narrow" w:eastAsia="Arial Narrow" w:hAnsi="Arial Narrow" w:cs="Arial Narrow"/>
                <w:b/>
                <w:bCs/>
                <w:sz w:val="20"/>
                <w:szCs w:val="20"/>
              </w:rPr>
              <w:t>initial</w:t>
            </w:r>
            <w:r>
              <w:rPr>
                <w:rFonts w:ascii="Arial Narrow" w:eastAsia="Arial Narrow" w:hAnsi="Arial Narrow" w:cs="Arial Narrow"/>
                <w:sz w:val="20"/>
                <w:szCs w:val="20"/>
              </w:rPr>
              <w:t xml:space="preserve"> doses in the </w:t>
            </w:r>
            <w:r w:rsidRPr="00866D61">
              <w:rPr>
                <w:rFonts w:ascii="Arial Narrow" w:eastAsia="Arial Narrow" w:hAnsi="Arial Narrow" w:cs="Arial Narrow"/>
                <w:sz w:val="20"/>
                <w:szCs w:val="20"/>
              </w:rPr>
              <w:t>Alproplix P</w:t>
            </w:r>
            <w:r>
              <w:rPr>
                <w:rFonts w:ascii="Arial Narrow" w:eastAsia="Arial Narrow" w:hAnsi="Arial Narrow" w:cs="Arial Narrow"/>
                <w:sz w:val="20"/>
                <w:szCs w:val="20"/>
              </w:rPr>
              <w:t xml:space="preserve">roduct Information (specifically the PI recommends an </w:t>
            </w:r>
            <w:r w:rsidRPr="00866D61">
              <w:rPr>
                <w:rFonts w:ascii="Arial Narrow" w:eastAsia="Arial Narrow" w:hAnsi="Arial Narrow" w:cs="Arial Narrow"/>
                <w:sz w:val="20"/>
                <w:szCs w:val="20"/>
              </w:rPr>
              <w:t>initial dose of 30-60 IU/kg</w:t>
            </w:r>
            <w:r>
              <w:rPr>
                <w:rFonts w:ascii="Arial Narrow" w:eastAsia="Arial Narrow" w:hAnsi="Arial Narrow" w:cs="Arial Narrow"/>
                <w:sz w:val="20"/>
                <w:szCs w:val="20"/>
              </w:rPr>
              <w:t xml:space="preserve"> </w:t>
            </w:r>
            <w:r w:rsidRPr="00866D61">
              <w:rPr>
                <w:rFonts w:ascii="Arial Narrow" w:eastAsia="Arial Narrow" w:hAnsi="Arial Narrow" w:cs="Arial Narrow"/>
                <w:sz w:val="20"/>
                <w:szCs w:val="20"/>
              </w:rPr>
              <w:t>for mild to moderate bleeds and 100 IU/kg for severe</w:t>
            </w:r>
            <w:r>
              <w:rPr>
                <w:rFonts w:ascii="Arial Narrow" w:eastAsia="Arial Narrow" w:hAnsi="Arial Narrow" w:cs="Arial Narrow"/>
                <w:sz w:val="20"/>
                <w:szCs w:val="20"/>
              </w:rPr>
              <w:t xml:space="preserve"> bleeds)</w:t>
            </w:r>
            <w:r w:rsidRPr="00866D61">
              <w:rPr>
                <w:rFonts w:ascii="Arial Narrow" w:eastAsia="Arial Narrow" w:hAnsi="Arial Narrow" w:cs="Arial Narrow"/>
                <w:sz w:val="20"/>
                <w:szCs w:val="20"/>
              </w:rPr>
              <w:t>.</w:t>
            </w:r>
          </w:p>
        </w:tc>
      </w:tr>
      <w:tr w:rsidR="00D03C49" w14:paraId="518EC4E8" w14:textId="77777777">
        <w:trPr>
          <w:trHeight w:val="300"/>
        </w:trPr>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6A0F2B03"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Hospital and administration cost for treating breakthrough bleeds</w:t>
            </w:r>
          </w:p>
        </w:tc>
        <w:tc>
          <w:tcPr>
            <w:tcW w:w="2187" w:type="dxa"/>
            <w:tcBorders>
              <w:top w:val="single" w:sz="8" w:space="0" w:color="auto"/>
              <w:left w:val="single" w:sz="8" w:space="0" w:color="auto"/>
              <w:bottom w:val="single" w:sz="8" w:space="0" w:color="auto"/>
              <w:right w:val="single" w:sz="8" w:space="0" w:color="auto"/>
            </w:tcBorders>
            <w:tcMar>
              <w:left w:w="108" w:type="dxa"/>
              <w:right w:w="108" w:type="dxa"/>
            </w:tcMar>
          </w:tcPr>
          <w:p w14:paraId="62F208A0"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Include</w:t>
            </w:r>
          </w:p>
        </w:tc>
        <w:tc>
          <w:tcPr>
            <w:tcW w:w="2900" w:type="dxa"/>
            <w:tcBorders>
              <w:top w:val="single" w:sz="8" w:space="0" w:color="auto"/>
              <w:left w:val="single" w:sz="8" w:space="0" w:color="auto"/>
              <w:bottom w:val="single" w:sz="8" w:space="0" w:color="auto"/>
              <w:right w:val="single" w:sz="8" w:space="0" w:color="auto"/>
            </w:tcBorders>
            <w:tcMar>
              <w:left w:w="108" w:type="dxa"/>
              <w:right w:w="108" w:type="dxa"/>
            </w:tcMar>
          </w:tcPr>
          <w:p w14:paraId="7A41C999"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Include</w:t>
            </w:r>
          </w:p>
        </w:tc>
        <w:tc>
          <w:tcPr>
            <w:tcW w:w="2030" w:type="dxa"/>
            <w:tcBorders>
              <w:top w:val="single" w:sz="8" w:space="0" w:color="auto"/>
              <w:left w:val="single" w:sz="8" w:space="0" w:color="auto"/>
              <w:bottom w:val="single" w:sz="8" w:space="0" w:color="auto"/>
              <w:right w:val="single" w:sz="8" w:space="0" w:color="auto"/>
            </w:tcBorders>
            <w:tcMar>
              <w:left w:w="108" w:type="dxa"/>
              <w:right w:w="108" w:type="dxa"/>
            </w:tcMar>
          </w:tcPr>
          <w:p w14:paraId="48DFECDD"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Accept 1728.1 precedent of hospital and administration offsets in calculating cost neutrality</w:t>
            </w:r>
          </w:p>
        </w:tc>
      </w:tr>
    </w:tbl>
    <w:p w14:paraId="3B584182" w14:textId="77777777" w:rsidR="00D03C49" w:rsidRPr="00857F4B" w:rsidRDefault="00D03C49" w:rsidP="00F1192D">
      <w:pPr>
        <w:spacing w:before="240"/>
      </w:pPr>
      <w:r>
        <w:t xml:space="preserve">ESC noted that the CMA for the HMBwI population included cost offsets for reduced hospitalisations associated with breakthrough bleeding costs. ESC considered that one residual source of uncertainty associated with accepting hospitalisation costs without more detailed scrutiny of these costs was that there was potential for costs associated with rFVIIa treatment of these bleeds to be double counted because the hospitalisation cost data should include treatment costs. </w:t>
      </w:r>
    </w:p>
    <w:p w14:paraId="43D5EDB8" w14:textId="6C786CEA" w:rsidR="00D03C49" w:rsidRDefault="00D03C49" w:rsidP="00D03C49">
      <w:r>
        <w:t xml:space="preserve">ESC noted that the financial estimates incorporated all calculated costs and cost offsets to maintain cost neutrality across both HMBwI and HMB without inhibitors populations. ESC noted the financial analysis assumed immediate 100% substitution for all </w:t>
      </w:r>
      <w:r w:rsidR="00D17125" w:rsidRPr="007B2AA2">
        <w:rPr>
          <w:b/>
        </w:rPr>
        <w:t>redacted</w:t>
      </w:r>
      <w:r>
        <w:t xml:space="preserve"> estimated patients with HMBwI and immediate substitution </w:t>
      </w:r>
      <w:r w:rsidRPr="009C3800">
        <w:t xml:space="preserve">of </w:t>
      </w:r>
      <w:r w:rsidR="00606EE9" w:rsidRPr="00282024">
        <w:rPr>
          <w:b/>
          <w:bCs/>
        </w:rPr>
        <w:t>redacted</w:t>
      </w:r>
      <w:r w:rsidRPr="009C3800">
        <w:t xml:space="preserve">% to </w:t>
      </w:r>
      <w:r w:rsidR="00606EE9" w:rsidRPr="00282024">
        <w:rPr>
          <w:b/>
          <w:bCs/>
        </w:rPr>
        <w:t>redacted</w:t>
      </w:r>
      <w:r w:rsidRPr="009C3800">
        <w:t>%</w:t>
      </w:r>
      <w:r>
        <w:t xml:space="preserve"> for an increasing population (</w:t>
      </w:r>
      <w:r w:rsidR="00D73B88" w:rsidRPr="007B2AA2">
        <w:rPr>
          <w:b/>
        </w:rPr>
        <w:t>redacted</w:t>
      </w:r>
      <w:r>
        <w:t xml:space="preserve"> patients) patients with HMB without inhibitors receiving FIX prophylaxis. ESC considered immediate substitution unlikely, although this would be partially offset by the immediate reduced use of comparator therapies. ESC also noted that clinical expert opinion received by PASC estimated the HMBwI population to be </w:t>
      </w:r>
      <w:r w:rsidR="00D73B88" w:rsidRPr="007B2AA2">
        <w:rPr>
          <w:b/>
        </w:rPr>
        <w:t>redacted</w:t>
      </w:r>
      <w:r>
        <w:t xml:space="preserve"> patients rather than </w:t>
      </w:r>
      <w:r w:rsidR="00D73B88" w:rsidRPr="007B2AA2">
        <w:rPr>
          <w:b/>
        </w:rPr>
        <w:t>redacted</w:t>
      </w:r>
      <w:r>
        <w:t>. ESC noted that the requested concizumab price was weighted average based on the projected total funded cost over 6 years across both populations (</w:t>
      </w:r>
      <w:r w:rsidRPr="00282024">
        <w:t>$</w:t>
      </w:r>
      <w:r w:rsidR="00D73B88" w:rsidRPr="007B2AA2">
        <w:rPr>
          <w:b/>
        </w:rPr>
        <w:t>redacted</w:t>
      </w:r>
      <w:r>
        <w:t>/mg). ESC noted that if all calculations are accepted, this would result in net savings in years 1 to 3 (fewer patients with HMB without inhibitors) and net costs in all years thereafter.</w:t>
      </w:r>
    </w:p>
    <w:p w14:paraId="010D8F5A" w14:textId="417443BB" w:rsidR="00D03C49" w:rsidRPr="00857F4B" w:rsidRDefault="00D03C49" w:rsidP="00D03C49">
      <w:r>
        <w:t xml:space="preserve">ESC noted that the financial analysis assumed concizumab uptake of approximately </w:t>
      </w:r>
      <w:r w:rsidR="00D73B88" w:rsidRPr="007B2AA2">
        <w:rPr>
          <w:b/>
        </w:rPr>
        <w:t>redacted</w:t>
      </w:r>
      <w:r>
        <w:t xml:space="preserve">% of the eligible HMB without inhibitors population, but advised that a higher uptake of </w:t>
      </w:r>
      <w:r w:rsidR="00D73B88" w:rsidRPr="007B2AA2">
        <w:rPr>
          <w:b/>
        </w:rPr>
        <w:t>redacted</w:t>
      </w:r>
      <w:r>
        <w:t>% should be assumed in the financial analysis to reflect the strong patient preference for subcutaneous administration which would be consistent with the higher than anticipated uptake of subcutaneous treatment in HMA following the introduction of emicizumab (see MSAC Application</w:t>
      </w:r>
      <w:r w:rsidR="00B20694">
        <w:t> </w:t>
      </w:r>
      <w:r>
        <w:t xml:space="preserve">1510.1). ESC noted that the financial estimates assume concizumab would be taken up by patients previously receiving FIX prophylaxis, but ESC considered that in practice it may also be taken up by </w:t>
      </w:r>
      <w:r w:rsidR="00742CB0">
        <w:t xml:space="preserve">patients with </w:t>
      </w:r>
      <w:r>
        <w:t>HMB not currently receiving FIX.</w:t>
      </w:r>
    </w:p>
    <w:p w14:paraId="00412B91" w14:textId="77777777" w:rsidR="00D03C49" w:rsidRDefault="00D03C49" w:rsidP="00D03C49">
      <w:r>
        <w:t>ESC therefore recommended that the base case of the financial analysis be respecified for MSAC consideration, incorporating the results of the respecified CMAs and the additional respecifications according to the table below.</w:t>
      </w:r>
    </w:p>
    <w:p w14:paraId="5F31122C" w14:textId="5C9EA184" w:rsidR="00D03C49" w:rsidRDefault="00D03C49" w:rsidP="00D03C49">
      <w:pPr>
        <w:pStyle w:val="Caption"/>
      </w:pPr>
      <w:r>
        <w:t xml:space="preserve">Table </w:t>
      </w:r>
      <w:r>
        <w:fldChar w:fldCharType="begin"/>
      </w:r>
      <w:r>
        <w:instrText>SEQ Table \* ARABIC</w:instrText>
      </w:r>
      <w:r>
        <w:fldChar w:fldCharType="separate"/>
      </w:r>
      <w:r w:rsidR="00CD3B0F">
        <w:rPr>
          <w:noProof/>
        </w:rPr>
        <w:t>30</w:t>
      </w:r>
      <w:r>
        <w:fldChar w:fldCharType="end"/>
      </w:r>
      <w:r>
        <w:t xml:space="preserve"> Additional ESC-recommended multivariate respecifications for recalculating the financial analysis</w:t>
      </w:r>
    </w:p>
    <w:tbl>
      <w:tblPr>
        <w:tblStyle w:val="TableGrid"/>
        <w:tblW w:w="0" w:type="auto"/>
        <w:tblLook w:val="04A0" w:firstRow="1" w:lastRow="0" w:firstColumn="1" w:lastColumn="0" w:noHBand="0" w:noVBand="1"/>
      </w:tblPr>
      <w:tblGrid>
        <w:gridCol w:w="2250"/>
        <w:gridCol w:w="2250"/>
        <w:gridCol w:w="2250"/>
        <w:gridCol w:w="2250"/>
      </w:tblGrid>
      <w:tr w:rsidR="00D03C49" w14:paraId="7FE0B76D"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89305AC"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Variable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B4D8A33"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Proposed product</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28BBA3F7"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Comparator</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18E019D" w14:textId="77777777" w:rsidR="00D03C49" w:rsidRDefault="00D03C49">
            <w:pPr>
              <w:spacing w:before="0"/>
              <w:rPr>
                <w:rFonts w:ascii="Arial Narrow" w:eastAsia="Arial Narrow" w:hAnsi="Arial Narrow" w:cs="Arial Narrow"/>
                <w:b/>
                <w:bCs/>
                <w:sz w:val="20"/>
                <w:szCs w:val="20"/>
              </w:rPr>
            </w:pPr>
            <w:r w:rsidRPr="3F303C0C">
              <w:rPr>
                <w:rFonts w:ascii="Arial Narrow" w:eastAsia="Arial Narrow" w:hAnsi="Arial Narrow" w:cs="Arial Narrow"/>
                <w:b/>
                <w:bCs/>
                <w:sz w:val="20"/>
                <w:szCs w:val="20"/>
              </w:rPr>
              <w:t>Rationale</w:t>
            </w:r>
          </w:p>
        </w:tc>
      </w:tr>
      <w:tr w:rsidR="00D03C49" w14:paraId="56082D51"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AE9D72B"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Number of eligible patients with inhibitors</w:t>
            </w:r>
          </w:p>
        </w:tc>
        <w:tc>
          <w:tcPr>
            <w:tcW w:w="2250" w:type="dxa"/>
            <w:tcBorders>
              <w:top w:val="nil"/>
              <w:left w:val="single" w:sz="8" w:space="0" w:color="auto"/>
              <w:bottom w:val="single" w:sz="8" w:space="0" w:color="auto"/>
              <w:right w:val="single" w:sz="8" w:space="0" w:color="auto"/>
            </w:tcBorders>
            <w:tcMar>
              <w:left w:w="108" w:type="dxa"/>
              <w:right w:w="108" w:type="dxa"/>
            </w:tcMar>
          </w:tcPr>
          <w:p w14:paraId="27F06F27" w14:textId="59478181"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 xml:space="preserve">Increase gradually from </w:t>
            </w:r>
            <w:r w:rsidR="00AF0700">
              <w:rPr>
                <w:rFonts w:ascii="Arial Narrow" w:eastAsia="Arial Narrow" w:hAnsi="Arial Narrow" w:cs="Arial Narrow"/>
                <w:b/>
                <w:bCs/>
                <w:sz w:val="20"/>
                <w:szCs w:val="20"/>
              </w:rPr>
              <w:t>redacted</w:t>
            </w:r>
            <w:r w:rsidR="00AF0700" w:rsidRPr="3F303C0C">
              <w:rPr>
                <w:rFonts w:ascii="Arial Narrow" w:eastAsia="Arial Narrow" w:hAnsi="Arial Narrow" w:cs="Arial Narrow"/>
                <w:sz w:val="20"/>
                <w:szCs w:val="20"/>
              </w:rPr>
              <w:t xml:space="preserve"> </w:t>
            </w:r>
            <w:r w:rsidRPr="3F303C0C">
              <w:rPr>
                <w:rFonts w:ascii="Arial Narrow" w:eastAsia="Arial Narrow" w:hAnsi="Arial Narrow" w:cs="Arial Narrow"/>
                <w:sz w:val="20"/>
                <w:szCs w:val="20"/>
              </w:rPr>
              <w:t xml:space="preserve">to </w:t>
            </w:r>
            <w:r w:rsidR="00AF0700">
              <w:rPr>
                <w:rFonts w:ascii="Arial Narrow" w:eastAsia="Arial Narrow" w:hAnsi="Arial Narrow" w:cs="Arial Narrow"/>
                <w:b/>
                <w:bCs/>
                <w:sz w:val="20"/>
                <w:szCs w:val="20"/>
              </w:rPr>
              <w:t>redacted</w:t>
            </w:r>
            <w:r w:rsidR="00AF0700" w:rsidRPr="3F303C0C">
              <w:rPr>
                <w:rFonts w:ascii="Arial Narrow" w:eastAsia="Arial Narrow" w:hAnsi="Arial Narrow" w:cs="Arial Narrow"/>
                <w:sz w:val="20"/>
                <w:szCs w:val="20"/>
              </w:rPr>
              <w:t xml:space="preserve"> </w:t>
            </w:r>
            <w:r w:rsidRPr="3F303C0C">
              <w:rPr>
                <w:rFonts w:ascii="Arial Narrow" w:eastAsia="Arial Narrow" w:hAnsi="Arial Narrow" w:cs="Arial Narrow"/>
                <w:sz w:val="20"/>
                <w:szCs w:val="20"/>
              </w:rPr>
              <w:t>patients over 6 years</w:t>
            </w:r>
          </w:p>
        </w:tc>
        <w:tc>
          <w:tcPr>
            <w:tcW w:w="2250" w:type="dxa"/>
            <w:tcBorders>
              <w:top w:val="nil"/>
              <w:left w:val="single" w:sz="8" w:space="0" w:color="auto"/>
              <w:bottom w:val="single" w:sz="8" w:space="0" w:color="auto"/>
              <w:right w:val="single" w:sz="8" w:space="0" w:color="auto"/>
            </w:tcBorders>
            <w:tcMar>
              <w:left w:w="108" w:type="dxa"/>
              <w:right w:w="108" w:type="dxa"/>
            </w:tcMar>
          </w:tcPr>
          <w:p w14:paraId="4DE4FF9D" w14:textId="5F55A6D4"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 xml:space="preserve">Leave at </w:t>
            </w:r>
            <w:r w:rsidR="00AF0700">
              <w:rPr>
                <w:rFonts w:ascii="Arial Narrow" w:eastAsia="Arial Narrow" w:hAnsi="Arial Narrow" w:cs="Arial Narrow"/>
                <w:b/>
                <w:bCs/>
                <w:sz w:val="20"/>
                <w:szCs w:val="20"/>
              </w:rPr>
              <w:t>redacted</w:t>
            </w:r>
            <w:r w:rsidR="00AF0700" w:rsidRPr="3F303C0C">
              <w:rPr>
                <w:rFonts w:ascii="Arial Narrow" w:eastAsia="Arial Narrow" w:hAnsi="Arial Narrow" w:cs="Arial Narrow"/>
                <w:sz w:val="20"/>
                <w:szCs w:val="20"/>
              </w:rPr>
              <w:t xml:space="preserve"> </w:t>
            </w:r>
            <w:r w:rsidRPr="3F303C0C">
              <w:rPr>
                <w:rFonts w:ascii="Arial Narrow" w:eastAsia="Arial Narrow" w:hAnsi="Arial Narrow" w:cs="Arial Narrow"/>
                <w:sz w:val="20"/>
                <w:szCs w:val="20"/>
              </w:rPr>
              <w:t>patients</w:t>
            </w:r>
          </w:p>
        </w:tc>
        <w:tc>
          <w:tcPr>
            <w:tcW w:w="2250" w:type="dxa"/>
            <w:tcBorders>
              <w:top w:val="nil"/>
              <w:left w:val="single" w:sz="8" w:space="0" w:color="auto"/>
              <w:bottom w:val="single" w:sz="8" w:space="0" w:color="auto"/>
              <w:right w:val="single" w:sz="8" w:space="0" w:color="auto"/>
            </w:tcBorders>
            <w:tcMar>
              <w:left w:w="108" w:type="dxa"/>
              <w:right w:w="108" w:type="dxa"/>
            </w:tcMar>
          </w:tcPr>
          <w:p w14:paraId="652EF8B5" w14:textId="73EDF8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 xml:space="preserve">Expert advice to PASC that there are </w:t>
            </w:r>
            <w:r w:rsidR="00AF0700">
              <w:rPr>
                <w:rFonts w:ascii="Arial Narrow" w:eastAsia="Arial Narrow" w:hAnsi="Arial Narrow" w:cs="Arial Narrow"/>
                <w:b/>
                <w:bCs/>
                <w:sz w:val="20"/>
                <w:szCs w:val="20"/>
              </w:rPr>
              <w:t>redacted</w:t>
            </w:r>
            <w:r w:rsidR="00AF0700" w:rsidRPr="3F303C0C">
              <w:rPr>
                <w:rFonts w:ascii="Arial Narrow" w:eastAsia="Arial Narrow" w:hAnsi="Arial Narrow" w:cs="Arial Narrow"/>
                <w:sz w:val="20"/>
                <w:szCs w:val="20"/>
              </w:rPr>
              <w:t xml:space="preserve"> </w:t>
            </w:r>
            <w:r w:rsidRPr="3F303C0C">
              <w:rPr>
                <w:rFonts w:ascii="Arial Narrow" w:eastAsia="Arial Narrow" w:hAnsi="Arial Narrow" w:cs="Arial Narrow"/>
                <w:sz w:val="20"/>
                <w:szCs w:val="20"/>
              </w:rPr>
              <w:t>eligible patients, likely receiving non-NBA funded interventions</w:t>
            </w:r>
          </w:p>
        </w:tc>
      </w:tr>
      <w:tr w:rsidR="00D03C49" w14:paraId="20DC921C"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2BF560B"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Uptake by eligible patients with inhibitors</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5154A0C3"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100% each year</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6A83E98" w14:textId="0B61EB30"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 xml:space="preserve">100% substitution each year for </w:t>
            </w:r>
            <w:r w:rsidR="00D73B88" w:rsidRPr="00282024">
              <w:rPr>
                <w:rFonts w:ascii="Arial Narrow" w:hAnsi="Arial Narrow"/>
                <w:b/>
                <w:sz w:val="20"/>
                <w:szCs w:val="20"/>
              </w:rPr>
              <w:t>redacted</w:t>
            </w:r>
            <w:r w:rsidRPr="006D670F">
              <w:rPr>
                <w:rFonts w:ascii="Arial Narrow" w:eastAsia="Arial Narrow" w:hAnsi="Arial Narrow" w:cs="Arial Narrow"/>
                <w:sz w:val="20"/>
                <w:szCs w:val="20"/>
              </w:rPr>
              <w:t xml:space="preserve"> patients only</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F761A51"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Accept application’s rationale</w:t>
            </w:r>
          </w:p>
        </w:tc>
      </w:tr>
      <w:tr w:rsidR="00D03C49" w14:paraId="111C6E75"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8DDF93D"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Per patient per year costs of patients with inhibitors</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6AF746D"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As for relevant respecified CMA above, including the back-calculated shadow prices of concizumab in each population</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4123638"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As for relevant respecified CMA above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9B6B3CD"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Consistency across economic and financial analyses</w:t>
            </w:r>
          </w:p>
        </w:tc>
      </w:tr>
      <w:tr w:rsidR="00D03C49" w:rsidRPr="00BD5060" w14:paraId="754F2595"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0AC62DB6" w14:textId="77777777" w:rsidR="00D03C49" w:rsidRPr="00BD5060"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Uptake by eligible patients without inhibitors</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FD46339" w14:textId="7696632D" w:rsidR="00D03C49" w:rsidRPr="00BD5060" w:rsidRDefault="00D03C49">
            <w:pPr>
              <w:spacing w:before="0"/>
              <w:rPr>
                <w:rFonts w:ascii="Arial Narrow" w:eastAsia="Arial Narrow" w:hAnsi="Arial Narrow" w:cs="Arial Narrow"/>
                <w:sz w:val="20"/>
                <w:szCs w:val="20"/>
              </w:rPr>
            </w:pPr>
            <w:r w:rsidRPr="00BD5060">
              <w:rPr>
                <w:rFonts w:ascii="Arial Narrow" w:eastAsia="Arial Narrow" w:hAnsi="Arial Narrow" w:cs="Arial Narrow"/>
                <w:sz w:val="20"/>
                <w:szCs w:val="20"/>
              </w:rPr>
              <w:t xml:space="preserve">Increase to </w:t>
            </w:r>
            <w:r w:rsidR="00D73B88" w:rsidRPr="00282024">
              <w:rPr>
                <w:rFonts w:ascii="Arial Narrow" w:hAnsi="Arial Narrow"/>
                <w:b/>
                <w:sz w:val="20"/>
                <w:szCs w:val="20"/>
              </w:rPr>
              <w:t>redacted</w:t>
            </w:r>
            <w:r w:rsidRPr="006D670F">
              <w:rPr>
                <w:rFonts w:ascii="Arial Narrow" w:eastAsia="Arial Narrow" w:hAnsi="Arial Narrow" w:cs="Arial Narrow"/>
                <w:sz w:val="20"/>
                <w:szCs w:val="20"/>
              </w:rPr>
              <w:t xml:space="preserve">% rather than </w:t>
            </w:r>
            <w:r w:rsidR="00D73B88" w:rsidRPr="00282024">
              <w:rPr>
                <w:rFonts w:ascii="Arial Narrow" w:hAnsi="Arial Narrow"/>
                <w:b/>
                <w:sz w:val="20"/>
                <w:szCs w:val="20"/>
              </w:rPr>
              <w:t>redacted</w:t>
            </w:r>
            <w:r w:rsidRPr="006D670F">
              <w:rPr>
                <w:rFonts w:ascii="Arial Narrow" w:eastAsia="Arial Narrow" w:hAnsi="Arial Narrow" w:cs="Arial Narrow"/>
                <w:sz w:val="20"/>
                <w:szCs w:val="20"/>
              </w:rPr>
              <w:t>%, retaining</w:t>
            </w:r>
            <w:r w:rsidRPr="00BD5060">
              <w:rPr>
                <w:rFonts w:ascii="Arial Narrow" w:eastAsia="Arial Narrow" w:hAnsi="Arial Narrow" w:cs="Arial Narrow"/>
                <w:sz w:val="20"/>
                <w:szCs w:val="20"/>
              </w:rPr>
              <w:t xml:space="preserve"> similar proportional increases each year as in application</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1EF862E" w14:textId="77777777" w:rsidR="00D03C49" w:rsidRPr="00BD5060" w:rsidRDefault="00D03C49">
            <w:pPr>
              <w:spacing w:before="0"/>
              <w:rPr>
                <w:rFonts w:ascii="Arial Narrow" w:eastAsia="Arial Narrow" w:hAnsi="Arial Narrow" w:cs="Arial Narrow"/>
                <w:sz w:val="20"/>
                <w:szCs w:val="20"/>
              </w:rPr>
            </w:pPr>
            <w:r w:rsidRPr="00BD5060">
              <w:rPr>
                <w:rFonts w:ascii="Arial Narrow" w:eastAsia="Arial Narrow" w:hAnsi="Arial Narrow" w:cs="Arial Narrow"/>
                <w:sz w:val="20"/>
                <w:szCs w:val="20"/>
              </w:rPr>
              <w:t>Increase consistent with concizumab</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CFB71F2" w14:textId="77777777" w:rsidR="00D03C49" w:rsidRPr="00BD5060" w:rsidRDefault="00D03C49">
            <w:pPr>
              <w:spacing w:before="0"/>
              <w:rPr>
                <w:rFonts w:ascii="Arial Narrow" w:eastAsia="Arial Narrow" w:hAnsi="Arial Narrow" w:cs="Arial Narrow"/>
                <w:sz w:val="20"/>
                <w:szCs w:val="20"/>
              </w:rPr>
            </w:pPr>
            <w:r w:rsidRPr="00B27311">
              <w:rPr>
                <w:rFonts w:ascii="Arial Narrow" w:eastAsia="Arial Narrow" w:hAnsi="Arial Narrow" w:cs="Arial Narrow"/>
                <w:sz w:val="20"/>
                <w:szCs w:val="20"/>
              </w:rPr>
              <w:t>Expert advice to PASC of likely uptake;</w:t>
            </w:r>
            <w:r w:rsidRPr="00BD5060">
              <w:rPr>
                <w:rFonts w:ascii="Arial Narrow" w:eastAsia="Arial Narrow" w:hAnsi="Arial Narrow" w:cs="Arial Narrow"/>
                <w:sz w:val="20"/>
                <w:szCs w:val="20"/>
              </w:rPr>
              <w:t xml:space="preserve"> accept application’s rationale for substitution</w:t>
            </w:r>
          </w:p>
        </w:tc>
      </w:tr>
      <w:tr w:rsidR="00D03C49" w14:paraId="193CF73B" w14:textId="77777777">
        <w:trPr>
          <w:trHeight w:val="300"/>
        </w:trPr>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861A8B5"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Per patient per year costs of patients without inhibitors</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55921107"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As for relevant respecified CMA above, including the back-calculated shadow prices of concizumab in each population</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5FA41B53"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As for relevant respecified CMA above</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5B91A91" w14:textId="77777777" w:rsidR="00D03C49" w:rsidRDefault="00D03C49">
            <w:pPr>
              <w:spacing w:before="0"/>
              <w:rPr>
                <w:rFonts w:ascii="Arial Narrow" w:eastAsia="Arial Narrow" w:hAnsi="Arial Narrow" w:cs="Arial Narrow"/>
                <w:sz w:val="20"/>
                <w:szCs w:val="20"/>
              </w:rPr>
            </w:pPr>
            <w:r w:rsidRPr="3F303C0C">
              <w:rPr>
                <w:rFonts w:ascii="Arial Narrow" w:eastAsia="Arial Narrow" w:hAnsi="Arial Narrow" w:cs="Arial Narrow"/>
                <w:sz w:val="20"/>
                <w:szCs w:val="20"/>
              </w:rPr>
              <w:t>Consistency across economic and financial analyses</w:t>
            </w:r>
          </w:p>
        </w:tc>
      </w:tr>
      <w:tr w:rsidR="00D03C49" w14:paraId="44EDBCD2" w14:textId="77777777">
        <w:trPr>
          <w:trHeight w:val="300"/>
        </w:trPr>
        <w:tc>
          <w:tcPr>
            <w:tcW w:w="900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2E56202" w14:textId="77777777" w:rsidR="00D03C49" w:rsidRDefault="00D03C49">
            <w:pPr>
              <w:spacing w:before="0"/>
              <w:rPr>
                <w:rFonts w:ascii="Arial Narrow" w:eastAsia="Arial Narrow" w:hAnsi="Arial Narrow" w:cs="Arial Narrow"/>
                <w:b/>
                <w:bCs/>
                <w:i/>
                <w:iCs/>
                <w:sz w:val="20"/>
                <w:szCs w:val="20"/>
              </w:rPr>
            </w:pPr>
            <w:r w:rsidRPr="3F303C0C">
              <w:rPr>
                <w:rFonts w:ascii="Arial Narrow" w:eastAsia="Arial Narrow" w:hAnsi="Arial Narrow" w:cs="Arial Narrow"/>
                <w:b/>
                <w:bCs/>
                <w:i/>
                <w:iCs/>
                <w:sz w:val="20"/>
                <w:szCs w:val="20"/>
              </w:rPr>
              <w:t>Recalculate weighted average price across 6 years</w:t>
            </w:r>
          </w:p>
        </w:tc>
      </w:tr>
    </w:tbl>
    <w:p w14:paraId="731A1D2F" w14:textId="77777777" w:rsidR="00D03C49" w:rsidRDefault="00D03C49" w:rsidP="00D03C49">
      <w:r>
        <w:t>Regarding the potential for leakage, if public funding for concizumab is supported ESC considered that a risk-share agreement with a high rebate for use above the subsidisation/financial cap was inappropriate because of the complexity of the market (requiring a HMA and HMB market) and the number of products. ESC considered a price negotiation would be more appropriate. In addition, there could be a risk-share agreement based on the total annual cost per patient and total administration costs. ESC noted that the NBA has governance in place to minimise leakage, which has been successful for previously funded products.</w:t>
      </w:r>
    </w:p>
    <w:p w14:paraId="4BDE9C5E" w14:textId="5E43DD74" w:rsidR="00D03C49" w:rsidRPr="00857F4B" w:rsidRDefault="00D03C49" w:rsidP="00D03C49">
      <w:r>
        <w:t xml:space="preserve">ESC requested that the respecified multivariate analyses of the economic and financial analyses be undertaken prior to MSAC to inform MSAC’s consideration. </w:t>
      </w:r>
    </w:p>
    <w:p w14:paraId="780C14D6" w14:textId="77777777" w:rsidR="00F1192D" w:rsidRPr="005B6EFD" w:rsidRDefault="00F1192D" w:rsidP="00F1192D">
      <w:pPr>
        <w:pStyle w:val="Heading2"/>
        <w:numPr>
          <w:ilvl w:val="0"/>
          <w:numId w:val="31"/>
        </w:numPr>
        <w:ind w:left="709" w:hanging="709"/>
      </w:pPr>
      <w:bookmarkStart w:id="66" w:name="_Hlk213745948"/>
      <w:r w:rsidRPr="005B6EFD">
        <w:t>Applicant comments on MSAC’s Public Summary Document</w:t>
      </w:r>
    </w:p>
    <w:p w14:paraId="02883F65" w14:textId="6C7C28D0" w:rsidR="00F1192D" w:rsidRDefault="006620CE" w:rsidP="00F1192D">
      <w:pPr>
        <w:spacing w:after="240"/>
        <w:rPr>
          <w:lang w:val="en-GB"/>
        </w:rPr>
      </w:pPr>
      <w:r w:rsidRPr="00FB1A94">
        <w:t xml:space="preserve">Novo Nordisk welcomes MSAC’s support for funding concizumab for patients with </w:t>
      </w:r>
      <w:r>
        <w:t>Haemophilia B with inhibitors (HMBwI)</w:t>
      </w:r>
      <w:r w:rsidRPr="00FB1A94">
        <w:t>, recognising the significant unmet need in this ultra-rare population</w:t>
      </w:r>
      <w:r>
        <w:t>,</w:t>
      </w:r>
      <w:r w:rsidRPr="00FB1A94">
        <w:t xml:space="preserve"> and the role of concizumab as the first ongoing prophylactic treatment option. </w:t>
      </w:r>
      <w:r>
        <w:t>Although</w:t>
      </w:r>
      <w:r w:rsidRPr="00FB1A94">
        <w:t xml:space="preserve"> BPAs </w:t>
      </w:r>
      <w:r>
        <w:t>are</w:t>
      </w:r>
      <w:r w:rsidRPr="00FB1A94">
        <w:t xml:space="preserve"> not intended for long-term prophyla</w:t>
      </w:r>
      <w:r>
        <w:t>xis and</w:t>
      </w:r>
      <w:r w:rsidRPr="00FB1A94">
        <w:t xml:space="preserve"> MSAC accepted concizumab as a </w:t>
      </w:r>
      <w:r>
        <w:t xml:space="preserve">long-term </w:t>
      </w:r>
      <w:r w:rsidRPr="00FB1A94">
        <w:t xml:space="preserve">prophylactic therapy, </w:t>
      </w:r>
      <w:r>
        <w:t>the pricing approach did not adequately reflect this, with an episodic on-demand care framework applied instead. Novo Nordisk does not consider this appropriate and</w:t>
      </w:r>
      <w:r w:rsidRPr="00FB1A94">
        <w:t xml:space="preserve"> remains committed to working constructively with the Department to secure timely patient access through a fair and sustainable pricing arrang</w:t>
      </w:r>
      <w:r>
        <w:t>e</w:t>
      </w:r>
      <w:r w:rsidRPr="00FB1A94">
        <w:t>ment.</w:t>
      </w:r>
    </w:p>
    <w:p w14:paraId="3FF4BDAA" w14:textId="77777777" w:rsidR="00F1192D" w:rsidRPr="005B6EFD" w:rsidRDefault="00F1192D" w:rsidP="00F1192D">
      <w:pPr>
        <w:pStyle w:val="Heading2"/>
        <w:numPr>
          <w:ilvl w:val="0"/>
          <w:numId w:val="31"/>
        </w:numPr>
        <w:ind w:left="709" w:hanging="709"/>
      </w:pPr>
      <w:r w:rsidRPr="005B6EFD">
        <w:t>Further information on MSAC</w:t>
      </w:r>
    </w:p>
    <w:p w14:paraId="09404B01" w14:textId="343F5091" w:rsidR="00D03C49" w:rsidRPr="00F1192D" w:rsidRDefault="00F1192D" w:rsidP="00F1192D">
      <w:pPr>
        <w:keepLines/>
        <w:spacing w:before="0" w:line="269" w:lineRule="auto"/>
        <w:rPr>
          <w:rFonts w:eastAsia="Calibri" w:cs="Calibri"/>
        </w:rPr>
      </w:pPr>
      <w:r w:rsidRPr="005B6EFD">
        <w:rPr>
          <w:rFonts w:eastAsia="Calibri" w:cs="Calibri"/>
          <w:bCs/>
          <w:iCs/>
        </w:rPr>
        <w:t xml:space="preserve">MSAC Terms of Reference and other information are available on the MSAC Website: </w:t>
      </w:r>
      <w:hyperlink r:id="rId29" w:tooltip="Link to the MSAC website" w:history="1">
        <w:r w:rsidRPr="005B6EFD">
          <w:rPr>
            <w:rFonts w:eastAsia="Calibri" w:cs="Calibri"/>
            <w:iCs/>
            <w:color w:val="007BB8"/>
            <w:u w:val="single"/>
          </w:rPr>
          <w:t>visit the MSAC website</w:t>
        </w:r>
      </w:hyperlink>
      <w:bookmarkEnd w:id="66"/>
    </w:p>
    <w:sectPr w:rsidR="00D03C49" w:rsidRPr="00F1192D" w:rsidSect="00784341">
      <w:headerReference w:type="even" r:id="rId30"/>
      <w:headerReference w:type="default" r:id="rId31"/>
      <w:footerReference w:type="even" r:id="rId32"/>
      <w:footerReference w:type="default" r:id="rId33"/>
      <w:headerReference w:type="first" r:id="rId34"/>
      <w:footerReference w:type="first" r:id="rId35"/>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2F20" w14:textId="77777777" w:rsidR="00C964FD" w:rsidRDefault="00C964FD" w:rsidP="00B62DF2">
      <w:pPr>
        <w:spacing w:after="0" w:line="240" w:lineRule="auto"/>
      </w:pPr>
      <w:r>
        <w:separator/>
      </w:r>
    </w:p>
  </w:endnote>
  <w:endnote w:type="continuationSeparator" w:id="0">
    <w:p w14:paraId="46E7D609" w14:textId="77777777" w:rsidR="00C964FD" w:rsidRDefault="00C964FD" w:rsidP="00B62DF2">
      <w:pPr>
        <w:spacing w:after="0" w:line="240" w:lineRule="auto"/>
      </w:pPr>
      <w:r>
        <w:continuationSeparator/>
      </w:r>
    </w:p>
  </w:endnote>
  <w:endnote w:type="continuationNotice" w:id="1">
    <w:p w14:paraId="0A0FCE01" w14:textId="77777777" w:rsidR="00C964FD" w:rsidRDefault="00C964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Narrow">
    <w:altName w:val="Arial"/>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D499" w14:textId="4B75233A" w:rsidR="005947B5" w:rsidRDefault="003D3179" w:rsidP="00857F4B">
    <w:pPr>
      <w:pStyle w:val="Footer"/>
      <w:jc w:val="right"/>
    </w:pPr>
    <w:r>
      <w:rPr>
        <w:noProof/>
      </w:rPr>
      <mc:AlternateContent>
        <mc:Choice Requires="wps">
          <w:drawing>
            <wp:anchor distT="0" distB="0" distL="0" distR="0" simplePos="0" relativeHeight="251658244" behindDoc="0" locked="0" layoutInCell="1" allowOverlap="1" wp14:anchorId="67D54E7F" wp14:editId="3311E2B1">
              <wp:simplePos x="635" y="635"/>
              <wp:positionH relativeFrom="page">
                <wp:align>center</wp:align>
              </wp:positionH>
              <wp:positionV relativeFrom="page">
                <wp:align>bottom</wp:align>
              </wp:positionV>
              <wp:extent cx="622300" cy="467360"/>
              <wp:effectExtent l="0" t="0" r="6350" b="0"/>
              <wp:wrapNone/>
              <wp:docPr id="1887396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67B29BA8" w14:textId="4A0A78A3"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54E7F"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6.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tUDgIAABwEAAAOAAAAZHJzL2Uyb0RvYy54bWysU02P0zAQvSPxHyzfadIuFIiarsquipCq&#10;3ZW6aM+O4zSRbI81dpuUX8/YbVpYOCEuzmRmPB/vPS9uB6PZQaHvwJZ8Osk5U1ZC3dldyb8/r999&#10;4swHYWuhwaqSH5Xnt8u3bxa9K9QMWtC1QkZFrC96V/I2BFdkmZetMsJPwClLwQbQiEC/uMtqFD1V&#10;Nzqb5fk86wFrhyCV9+S9PwX5MtVvGiXDY9N4FZguOc0W0onprOKZLRei2KFwbSfPY4h/mMKIzlLT&#10;S6l7EQTbY/dHKdNJBA9NmEgwGTRNJ1XagbaZ5q+22bbCqbQLgePdBSb//8rKh8PWPSELwxcYiMAI&#10;SO984ckZ9xkaNPFLkzKKE4THC2xqCEyScz6b3eQUkRR6P/94M0+wZtfLDn34qsCwaJQciZUEljhs&#10;fKCGlDqmxF4W1p3WiRltf3NQYvRk1wmjFYZqYF1d8tk4fQX1kZZCOPHtnVx31HojfHgSSATTtCTa&#10;8EhHo6EvOZwtzlrAH3/zx3zCnaKc9SSYkltSNGf6myU+orZGA0ejSsb0c/4hwmP35g5IhlN6EU4m&#10;k7wY9Gg2COaF5LyKjSgkrKR2Ja9G8y6clEvPQarVKiWRjJwIG7t1MpaOcEUsn4cXge4MeCCmHmBU&#10;kyhe4X7KjTe9W+0DoZ9IidCegDwjThJMXJ2fS9T4r/8p6/qolz8B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8DdtUDgIAABwE&#10;AAAOAAAAAAAAAAAAAAAAAC4CAABkcnMvZTJvRG9jLnhtbFBLAQItABQABgAIAAAAIQCQpICC2gAA&#10;AAMBAAAPAAAAAAAAAAAAAAAAAGgEAABkcnMvZG93bnJldi54bWxQSwUGAAAAAAQABADzAAAAbwUA&#10;AAAA&#10;" filled="f" stroked="f">
              <v:textbox style="mso-fit-shape-to-text:t" inset="0,0,0,15pt">
                <w:txbxContent>
                  <w:p w14:paraId="67B29BA8" w14:textId="4A0A78A3"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v:textbox>
              <w10:wrap anchorx="page" anchory="page"/>
            </v:shape>
          </w:pict>
        </mc:Fallback>
      </mc:AlternateContent>
    </w:r>
    <w:sdt>
      <w:sdtPr>
        <w:id w:val="1925460831"/>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22</w:t>
        </w:r>
        <w:r w:rsidR="005947B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385A" w14:textId="3AE66FDD" w:rsidR="005947B5" w:rsidRDefault="003D3179" w:rsidP="00052DD3">
    <w:pPr>
      <w:pStyle w:val="Footer"/>
      <w:jc w:val="right"/>
    </w:pPr>
    <w:r>
      <w:rPr>
        <w:noProof/>
      </w:rPr>
      <mc:AlternateContent>
        <mc:Choice Requires="wps">
          <w:drawing>
            <wp:anchor distT="0" distB="0" distL="0" distR="0" simplePos="0" relativeHeight="251658245" behindDoc="0" locked="0" layoutInCell="1" allowOverlap="1" wp14:anchorId="355E4727" wp14:editId="7FA2AE40">
              <wp:simplePos x="635" y="635"/>
              <wp:positionH relativeFrom="page">
                <wp:align>center</wp:align>
              </wp:positionH>
              <wp:positionV relativeFrom="page">
                <wp:align>bottom</wp:align>
              </wp:positionV>
              <wp:extent cx="622300" cy="467360"/>
              <wp:effectExtent l="0" t="0" r="6350" b="0"/>
              <wp:wrapNone/>
              <wp:docPr id="19401923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32A03CCB" w14:textId="4849187A"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E4727"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6.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lpDgIAABwEAAAOAAAAZHJzL2Uyb0RvYy54bWysU02P2jAQvVfqf7B8LwnQ0jYirOiuqCqh&#10;3ZXY1Z6N45BItscaGxL66zs2BNrtnqpenMnMeD7ee57f9Eazg0Lfgi35eJRzpqyEqrW7kj8/rT58&#10;4cwHYSuhwaqSH5XnN4v37+adK9QEGtCVQkZFrC86V/ImBFdkmZeNMsKPwClLwRrQiEC/uMsqFB1V&#10;Nzqb5Pks6wArhyCV9+S9OwX5ItWvayXDQ117FZguOc0W0onp3MYzW8xFsUPhmlaexxD/MIURraWm&#10;l1J3Igi2x/avUqaVCB7qMJJgMqjrVqq0A20zzl9ts2mEU2kXAse7C0z+/5WV94eNe0QW+m/QE4ER&#10;kM75wpMz7tPXaOKXJmUUJwiPF9hUH5gk52wymeYUkRT6OPs8nSVYs+tlhz58V2BYNEqOxEoCSxzW&#10;PlBDSh1SYi8Lq1brxIy2fzgoMXqy64TRCv22Z21V8ukw/RaqIy2FcOLbO7lqqfVa+PAokAimaUm0&#10;4YGOWkNXcjhbnDWAP9/yx3zCnaKcdSSYkltSNGf6hyU+orYGAwdjm4zx1/xThMfuzS2QDMf0IpxM&#10;Jnkx6MGsEcwLyXkZG1FIWEntSr4dzNtwUi49B6mWy5REMnIirO3GyVg6whWxfOpfBLoz4IGYuodB&#10;TaJ4hfspN970brkPhH4iJUJ7AvKMOEkwcXV+LlHjv/+nrOujXvwC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BRsmlpDgIAABwE&#10;AAAOAAAAAAAAAAAAAAAAAC4CAABkcnMvZTJvRG9jLnhtbFBLAQItABQABgAIAAAAIQCQpICC2gAA&#10;AAMBAAAPAAAAAAAAAAAAAAAAAGgEAABkcnMvZG93bnJldi54bWxQSwUGAAAAAAQABADzAAAAbwUA&#10;AAAA&#10;" filled="f" stroked="f">
              <v:textbox style="mso-fit-shape-to-text:t" inset="0,0,0,15pt">
                <w:txbxContent>
                  <w:p w14:paraId="32A03CCB" w14:textId="4849187A"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v:textbox>
              <w10:wrap anchorx="page" anchory="page"/>
            </v:shape>
          </w:pict>
        </mc:Fallback>
      </mc:AlternateContent>
    </w:r>
    <w:sdt>
      <w:sdtPr>
        <w:id w:val="-18244847"/>
        <w:docPartObj>
          <w:docPartGallery w:val="Page Numbers (Bottom of Page)"/>
          <w:docPartUnique/>
        </w:docPartObj>
      </w:sdtPr>
      <w:sdtEndPr>
        <w:rPr>
          <w:noProof/>
        </w:rPr>
      </w:sdtEndPr>
      <w:sdtContent>
        <w:r w:rsidR="005947B5">
          <w:fldChar w:fldCharType="begin"/>
        </w:r>
        <w:r w:rsidR="005947B5">
          <w:instrText xml:space="preserve"> PAGE   \* MERGEFORMAT </w:instrText>
        </w:r>
        <w:r w:rsidR="005947B5">
          <w:fldChar w:fldCharType="separate"/>
        </w:r>
        <w:r w:rsidR="00120BD3">
          <w:rPr>
            <w:noProof/>
          </w:rPr>
          <w:t>21</w:t>
        </w:r>
        <w:r w:rsidR="005947B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D55A" w14:textId="4A9CDE1A" w:rsidR="00722FE4" w:rsidRDefault="003D3179">
    <w:pPr>
      <w:pStyle w:val="Footer"/>
    </w:pPr>
    <w:r>
      <w:rPr>
        <w:noProof/>
      </w:rPr>
      <mc:AlternateContent>
        <mc:Choice Requires="wps">
          <w:drawing>
            <wp:anchor distT="0" distB="0" distL="0" distR="0" simplePos="0" relativeHeight="251658243" behindDoc="0" locked="0" layoutInCell="1" allowOverlap="1" wp14:anchorId="7F0163C8" wp14:editId="244184B9">
              <wp:simplePos x="635" y="635"/>
              <wp:positionH relativeFrom="page">
                <wp:align>center</wp:align>
              </wp:positionH>
              <wp:positionV relativeFrom="page">
                <wp:align>bottom</wp:align>
              </wp:positionV>
              <wp:extent cx="622300" cy="467360"/>
              <wp:effectExtent l="0" t="0" r="6350" b="0"/>
              <wp:wrapNone/>
              <wp:docPr id="20458941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76AAB286" w14:textId="0D8FB9CA"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163C8" id="_x0000_t202" coordsize="21600,21600" o:spt="202" path="m,l,21600r21600,l21600,xe">
              <v:stroke joinstyle="miter"/>
              <v:path gradientshapeok="t" o:connecttype="rect"/>
            </v:shapetype>
            <v:shape id="Text Box 4" o:spid="_x0000_s1031" type="#_x0000_t202" alt="OFFICIAL" style="position:absolute;margin-left:0;margin-top:0;width:49pt;height:36.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kDgIAABwEAAAOAAAAZHJzL2Uyb0RvYy54bWysU01v2zAMvQ/YfxB0X+yka9YacYqsRYYB&#10;QVsgLXpWZDk2IIkCpcTOfv0oJU62bqdhF5kmKX689zS7641me4W+BVvy8SjnTFkJVWu3JX99WX66&#10;4cwHYSuhwaqSH5Tnd/OPH2adK9QEGtCVQkZFrC86V/ImBFdkmZeNMsKPwClLwRrQiEC/uM0qFB1V&#10;Nzqb5Pk06wArhyCV9+R9OAb5PNWvayXDU117FZguOc0W0onp3MQzm89EsUXhmlaexhD/MIURraWm&#10;51IPIgi2w/aPUqaVCB7qMJJgMqjrVqq0A20zzt9ts26EU2kXAse7M0z+/5WVj/u1e0YW+q/QE4ER&#10;kM75wpMz7tPXaOKXJmUUJwgPZ9hUH5gk53QyucopIin0efrlappgzS6XHfrwTYFh0Sg5EisJLLFf&#10;+UANKXVIib0sLFutEzPa/uagxOjJLhNGK/SbnrVVya+H6TdQHWgphCPf3sllS61XwodngUQwTUui&#10;DU901Bq6ksPJ4qwB/PE3f8wn3CnKWUeCKbklRXOmv1viI2prMHAwNskY3+bXER67M/dAMhzTi3Ay&#10;meTFoAezRjBvJOdFbEQhYSW1K/lmMO/DUbn0HKRaLFISyciJsLJrJ2PpCFfE8qV/E+hOgAdi6hEG&#10;NYniHe7H3HjTu8UuEPqJlAjtEcgT4iTBxNXpuUSN//qfsi6Pev4TAAD//wMAUEsDBBQABgAIAAAA&#10;IQCQpICC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4DWdgSxyec9e/AAAAP//AwBQSwECLQAUAAYACAAAACEAtoM4kv4AAADhAQAAEwAAAAAA&#10;AAAAAAAAAAAAAAAAW0NvbnRlbnRfVHlwZXNdLnhtbFBLAQItABQABgAIAAAAIQA4/SH/1gAAAJQB&#10;AAALAAAAAAAAAAAAAAAAAC8BAABfcmVscy8ucmVsc1BLAQItABQABgAIAAAAIQA/McbkDgIAABwE&#10;AAAOAAAAAAAAAAAAAAAAAC4CAABkcnMvZTJvRG9jLnhtbFBLAQItABQABgAIAAAAIQCQpICC2gAA&#10;AAMBAAAPAAAAAAAAAAAAAAAAAGgEAABkcnMvZG93bnJldi54bWxQSwUGAAAAAAQABADzAAAAbwUA&#10;AAAA&#10;" filled="f" stroked="f">
              <v:textbox style="mso-fit-shape-to-text:t" inset="0,0,0,15pt">
                <w:txbxContent>
                  <w:p w14:paraId="76AAB286" w14:textId="0D8FB9CA"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C5FB" w14:textId="77777777" w:rsidR="00C964FD" w:rsidRDefault="00C964FD" w:rsidP="00B62DF2">
      <w:pPr>
        <w:spacing w:after="0" w:line="240" w:lineRule="auto"/>
      </w:pPr>
      <w:r>
        <w:separator/>
      </w:r>
    </w:p>
  </w:footnote>
  <w:footnote w:type="continuationSeparator" w:id="0">
    <w:p w14:paraId="13DB30D0" w14:textId="77777777" w:rsidR="00C964FD" w:rsidRDefault="00C964FD" w:rsidP="00B62DF2">
      <w:pPr>
        <w:spacing w:after="0" w:line="240" w:lineRule="auto"/>
      </w:pPr>
      <w:r>
        <w:continuationSeparator/>
      </w:r>
    </w:p>
  </w:footnote>
  <w:footnote w:type="continuationNotice" w:id="1">
    <w:p w14:paraId="37F9F4C9" w14:textId="77777777" w:rsidR="00C964FD" w:rsidRDefault="00C964FD">
      <w:pPr>
        <w:spacing w:before="0" w:after="0" w:line="240" w:lineRule="auto"/>
      </w:pPr>
    </w:p>
  </w:footnote>
  <w:footnote w:id="2">
    <w:p w14:paraId="1F321C28" w14:textId="5DE88EB6" w:rsidR="007406ED" w:rsidRPr="00C81D29" w:rsidRDefault="007406ED" w:rsidP="008A02BB">
      <w:pPr>
        <w:pStyle w:val="FootnoteText"/>
      </w:pPr>
      <w:r>
        <w:rPr>
          <w:rStyle w:val="FootnoteReference"/>
        </w:rPr>
        <w:footnoteRef/>
      </w:r>
      <w:r>
        <w:t xml:space="preserve"> </w:t>
      </w:r>
      <w:r w:rsidRPr="00C81D29">
        <w:t xml:space="preserve">Windyga J, Apte S, Frei-Jones M, Fujii T, Lyu CJ, Villarreal Martinez L, Sathar J, Stasyshyn O, Tran H, Zozulya N, Brown Frandsen R, Neergaard JS, Thaung Zaw JJ and Mahlangu J (2024) ‘Disease and treatment burden of patients with haemophilia entering the explorer6 non-interventional study’, </w:t>
      </w:r>
      <w:r w:rsidRPr="00C81D29">
        <w:rPr>
          <w:i/>
          <w:iCs/>
        </w:rPr>
        <w:t>European Journal of Haematology</w:t>
      </w:r>
      <w:r w:rsidRPr="00C81D29">
        <w:t>, 113(5):631–640, doi:10.1111/ejh.14277</w:t>
      </w:r>
      <w:r w:rsidR="00895E8B">
        <w:t>.</w:t>
      </w:r>
    </w:p>
    <w:p w14:paraId="606EED24" w14:textId="77777777" w:rsidR="007406ED" w:rsidRDefault="007406ED" w:rsidP="008A02BB">
      <w:pPr>
        <w:pStyle w:val="FootnoteText"/>
      </w:pPr>
      <w:r w:rsidRPr="00A94D23">
        <w:t xml:space="preserve">Wheeler AP, Abraham A, Barnes C, Brown Frandsen R, d’Oiron R, Eichler H, Hampton K, López-Jaime FJ, Lyu CJ, Tavares CMM, Nogami K, Sutton C, Windyga J, Zulfikar B and Castaman G (2025) ‘Real-World Unmet Needs of Patients With Haemophilia A and Haemophilia B With or Without Inhibitors: End-of-Study Results From the explorer6 Non-Interventional Study’, </w:t>
      </w:r>
      <w:r w:rsidRPr="00A94D23">
        <w:rPr>
          <w:i/>
          <w:iCs/>
        </w:rPr>
        <w:t>Haemophilia: The Official Journal of the World Federation of Hemophilia</w:t>
      </w:r>
      <w:r w:rsidRPr="00A94D23">
        <w:t>, 31(5):903–911, doi:10.1111/hae.70051.</w:t>
      </w:r>
    </w:p>
  </w:footnote>
  <w:footnote w:id="3">
    <w:p w14:paraId="0D3DFEDD" w14:textId="77777777" w:rsidR="007406ED" w:rsidRDefault="007406ED" w:rsidP="0098583C">
      <w:pPr>
        <w:pStyle w:val="FootnoteText"/>
      </w:pPr>
      <w:r>
        <w:rPr>
          <w:rStyle w:val="FootnoteReference"/>
        </w:rPr>
        <w:footnoteRef/>
      </w:r>
      <w:r>
        <w:t xml:space="preserve"> </w:t>
      </w:r>
      <w:r w:rsidRPr="0098583C">
        <w:t xml:space="preserve">Matsushita T, Shapiro A, Abraham A, Angchaisuksiri P, Castaman G, Cepo K, d’Oiron R, Frei-Jones M, Goh A-S, Haaning J, Hald Jacobsen S, Mahlangu J, Mathias M, Nogami K, Skovgaard Rasmussen J, Stasyshyn O, Tran H, Vilchevska K, Villarreal Martinez L, Windyga J, You CW, Zozulya N, Zulfikar B and Jiménez-Yuste V (2023) ‘Phase 3 Trial of Concizumab in Hemophilia with Inhibitors’, </w:t>
      </w:r>
      <w:r w:rsidRPr="0098583C">
        <w:rPr>
          <w:i/>
          <w:iCs/>
        </w:rPr>
        <w:t>New England Journal of Medicine</w:t>
      </w:r>
      <w:r w:rsidRPr="0098583C">
        <w:t>, 389(9):783–794, doi:10.1056/NEJMoa2216455.</w:t>
      </w:r>
    </w:p>
    <w:p w14:paraId="78DAF79E" w14:textId="3180425D" w:rsidR="007406ED" w:rsidRDefault="007406ED">
      <w:pPr>
        <w:pStyle w:val="FootnoteText"/>
      </w:pPr>
      <w:r w:rsidRPr="004238A7">
        <w:t xml:space="preserve">Tran H, von Mackensen S, Abraham A, Castaman G, Hampton K, Knoebl P, Linari S, Odgaard-Jensen J, Neergaard JS, Stasyshyn O, Thaung Zaw JJ, Zulfikar B and Shapiro A (2024) ‘Concizumab prophylaxis in persons with hemophilia A or B with inhibitors: patient-reported outcome results from the phase 3 explorer7 study’, </w:t>
      </w:r>
      <w:r w:rsidRPr="004238A7">
        <w:rPr>
          <w:i/>
          <w:iCs/>
        </w:rPr>
        <w:t>Research and Practice in Thrombosis and Haemostasis</w:t>
      </w:r>
      <w:r w:rsidRPr="004238A7">
        <w:t>, 8(4):102476, doi:10.1016/j.rpth.2024.102476.</w:t>
      </w:r>
    </w:p>
  </w:footnote>
  <w:footnote w:id="4">
    <w:p w14:paraId="3061C136" w14:textId="77777777" w:rsidR="004E6522" w:rsidRPr="00C81D29" w:rsidRDefault="004E6522" w:rsidP="004E6522">
      <w:pPr>
        <w:pStyle w:val="FootnoteText"/>
      </w:pPr>
      <w:r>
        <w:rPr>
          <w:rStyle w:val="FootnoteReference"/>
        </w:rPr>
        <w:footnoteRef/>
      </w:r>
      <w:r>
        <w:t xml:space="preserve"> </w:t>
      </w:r>
      <w:r w:rsidRPr="00C81D29">
        <w:t xml:space="preserve">Windyga J, Apte S, Frei-Jones M, Fujii T, Lyu CJ, Villarreal Martinez L, Sathar J, Stasyshyn O, Tran H, Zozulya N, Brown Frandsen R, Neergaard JS, Thaung Zaw JJ and Mahlangu J (2024) ‘Disease and treatment burden of patients with haemophilia entering the explorer6 non-interventional study’, </w:t>
      </w:r>
      <w:r w:rsidRPr="00C81D29">
        <w:rPr>
          <w:i/>
          <w:iCs/>
        </w:rPr>
        <w:t>European Journal of Haematology</w:t>
      </w:r>
      <w:r w:rsidRPr="00C81D29">
        <w:t>, 113(5):631–640, doi:10.1111/ejh.14277</w:t>
      </w:r>
      <w:r>
        <w:t xml:space="preserve"> </w:t>
      </w:r>
    </w:p>
    <w:p w14:paraId="313E143A" w14:textId="77777777" w:rsidR="004E6522" w:rsidRDefault="004E6522" w:rsidP="004E6522">
      <w:pPr>
        <w:pStyle w:val="FootnoteText"/>
      </w:pPr>
      <w:r w:rsidRPr="00A94D23">
        <w:t xml:space="preserve">Wheeler AP, Abraham A, Barnes C, Brown Frandsen R, d’Oiron R, Eichler H, Hampton K, López-Jaime FJ, Lyu CJ, Tavares CMM, Nogami K, Sutton C, Windyga J, Zulfikar B and Castaman G (2025) ‘Real-World Unmet Needs of Patients With Haemophilia A and Haemophilia B With or Without Inhibitors: End-of-Study Results From the explorer6 Non-Interventional Study’, </w:t>
      </w:r>
      <w:r w:rsidRPr="00A94D23">
        <w:rPr>
          <w:i/>
          <w:iCs/>
        </w:rPr>
        <w:t>Haemophilia: The Official Journal of the World Federation of Hemophilia</w:t>
      </w:r>
      <w:r w:rsidRPr="00A94D23">
        <w:t>, 31(5):903–911, doi:10.1111/hae.70051.</w:t>
      </w:r>
    </w:p>
  </w:footnote>
  <w:footnote w:id="5">
    <w:p w14:paraId="0D9E67D9" w14:textId="77777777" w:rsidR="00ED1F93" w:rsidRPr="00845586" w:rsidRDefault="00ED1F93" w:rsidP="00845586">
      <w:pPr>
        <w:pStyle w:val="FootnoteText"/>
      </w:pPr>
      <w:r>
        <w:rPr>
          <w:rStyle w:val="FootnoteReference"/>
        </w:rPr>
        <w:footnoteRef/>
      </w:r>
      <w:r>
        <w:t xml:space="preserve"> </w:t>
      </w:r>
      <w:r w:rsidRPr="00845586">
        <w:t xml:space="preserve">Angchaisuksiri P, von Mackensen S, Apte S, Benson G, Eichler H, Findley A, Matsushita T, Mazini Tavares CM, Puggaard Ravn M, Sathar J, Villarreal Martinez L and Young G (2025) ‘Concizumab prophylaxis in people with hemophilia A or B without inhibitors: patient-reported outcome results from the phase 3 explorer8 study’, </w:t>
      </w:r>
      <w:r w:rsidRPr="00845586">
        <w:rPr>
          <w:i/>
          <w:iCs/>
        </w:rPr>
        <w:t>Research and Practice in Thrombosis and Haemostasis</w:t>
      </w:r>
      <w:r w:rsidRPr="00845586">
        <w:t>, 9(2):102705, doi:10.1016/j.rpth.2025.102705.</w:t>
      </w:r>
    </w:p>
    <w:p w14:paraId="02F47238" w14:textId="4C1F13C5" w:rsidR="00ED1F93" w:rsidRDefault="00ED1F93">
      <w:pPr>
        <w:pStyle w:val="FootnoteText"/>
      </w:pPr>
      <w:r w:rsidRPr="00164682">
        <w:t xml:space="preserve">Chowdary P, Angchaisuksiri P, Apte S, Astermark J, Benson G, Chan AKC, Jiménez Yuste V, Matsushita T, Høgh Nielsen AR, Sathar J, Sutton C, Šaulytė Trakymienė S, Tran H, Villarreal Martinez L, Wheeler AP, Windyga J, Young G, Thaung Zaw JJ and Eichler H (2024) ‘Concizumab prophylaxis in people with haemophilia A or haemophilia B without inhibitors (explorer8): a prospective, multicentre, open-label, randomised, phase 3a trial’, </w:t>
      </w:r>
      <w:r w:rsidRPr="00164682">
        <w:rPr>
          <w:i/>
          <w:iCs/>
        </w:rPr>
        <w:t>The Lancet. Haematology</w:t>
      </w:r>
      <w:r w:rsidRPr="00164682">
        <w:t>, 11(12):e891–e904, doi:10.1016/S2352-3026(24)00307-7.</w:t>
      </w:r>
    </w:p>
  </w:footnote>
  <w:footnote w:id="6">
    <w:p w14:paraId="3621AB93" w14:textId="77777777" w:rsidR="00D03C49" w:rsidRDefault="00D03C49" w:rsidP="00D03C49">
      <w:pPr>
        <w:pStyle w:val="FootnoteText"/>
      </w:pPr>
      <w:r>
        <w:rPr>
          <w:rStyle w:val="FootnoteReference"/>
        </w:rPr>
        <w:footnoteRef/>
      </w:r>
      <w:r>
        <w:t xml:space="preserve"> </w:t>
      </w:r>
      <w:r w:rsidRPr="0098583C">
        <w:t>Matsushita T, Shapiro A, Abraham A, Angchaisuksiri P, Castaman G, Cepo K, d’Oiron R, Frei-Jones M, Goh A-S, Haaning J, Hald Jacobsen S, Mahlangu J, Mathias M, Nogami K, Skovgaard Rasmussen J, Stasyshyn O, Tran H, Vilchevska K, Villarreal Martinez L, Windyga J, You CW, Zozulya N, Zulfikar B and Jiménez-Yuste V (2023) ‘Phase 3 Trial of Concizumab in Hemophilia with Inhibitors’</w:t>
      </w:r>
      <w:r>
        <w:t xml:space="preserve"> [Supplemental Material]</w:t>
      </w:r>
      <w:r w:rsidRPr="0098583C">
        <w:t xml:space="preserve">, </w:t>
      </w:r>
      <w:r w:rsidRPr="0098583C">
        <w:rPr>
          <w:i/>
          <w:iCs/>
        </w:rPr>
        <w:t>New England Journal of Medicine</w:t>
      </w:r>
      <w:r w:rsidRPr="0098583C">
        <w:t>, 389(9):783–794, doi:10.1056/NEJMoa2216455.</w:t>
      </w:r>
    </w:p>
  </w:footnote>
  <w:footnote w:id="7">
    <w:p w14:paraId="44BFEFAF" w14:textId="77777777" w:rsidR="00D03C49" w:rsidRPr="00B27311" w:rsidRDefault="00D03C49" w:rsidP="00D03C49">
      <w:pPr>
        <w:pStyle w:val="FootnoteText"/>
        <w:spacing w:before="0"/>
        <w:rPr>
          <w:lang w:val="en-US"/>
        </w:rPr>
      </w:pPr>
      <w:r>
        <w:rPr>
          <w:rStyle w:val="FootnoteReference"/>
        </w:rPr>
        <w:footnoteRef/>
      </w:r>
      <w:r>
        <w:t xml:space="preserve"> B</w:t>
      </w:r>
      <w:r>
        <w:rPr>
          <w:lang w:val="en-US"/>
        </w:rPr>
        <w:t>rennan Y, Parikh S, McRae S and Tran H (2020) '</w:t>
      </w:r>
      <w:r w:rsidRPr="00341233">
        <w:t>The Australian experience with switching to extended half-life factor VIII and IX concentrates: on behalf of the Australian Haemophilia Centre Directors' Organisation</w:t>
      </w:r>
      <w:r>
        <w:rPr>
          <w:lang w:val="en-US"/>
        </w:rPr>
        <w:t xml:space="preserve">', </w:t>
      </w:r>
      <w:r>
        <w:rPr>
          <w:rStyle w:val="Emphasis"/>
          <w:lang w:val="en-US"/>
        </w:rPr>
        <w:t>Haemophilia</w:t>
      </w:r>
      <w:r>
        <w:rPr>
          <w:lang w:val="en-US"/>
        </w:rPr>
        <w:t>, 26(3):529–535.</w:t>
      </w:r>
    </w:p>
  </w:footnote>
  <w:footnote w:id="8">
    <w:p w14:paraId="125AD8C8" w14:textId="77777777" w:rsidR="00D03C49" w:rsidRDefault="00D03C49" w:rsidP="00D03C49">
      <w:pPr>
        <w:pStyle w:val="FootnoteText"/>
      </w:pPr>
      <w:r>
        <w:rPr>
          <w:rStyle w:val="FootnoteReference"/>
        </w:rPr>
        <w:footnoteRef/>
      </w:r>
      <w:r>
        <w:t xml:space="preserve"> George C, Parikh S, Carter T, Mccosker J, Carlino S and Tran H (2023) ‘</w:t>
      </w:r>
      <w:r w:rsidRPr="00341233">
        <w:t>Evaluation of treatment and outcome for patients with haemophilia A and haemophilia B on extended half-life (EHL) factor products: a 12-month data analysis</w:t>
      </w:r>
      <w:r>
        <w:t xml:space="preserve">’, </w:t>
      </w:r>
      <w:r>
        <w:rPr>
          <w:rStyle w:val="Emphasis"/>
        </w:rPr>
        <w:t>Haemophilia</w:t>
      </w:r>
      <w:r>
        <w:t>, 29(5):1283–1290.</w:t>
      </w:r>
    </w:p>
  </w:footnote>
  <w:footnote w:id="9">
    <w:p w14:paraId="423B19B8" w14:textId="77777777" w:rsidR="00D03C49" w:rsidRDefault="00D03C49" w:rsidP="00D03C49">
      <w:pPr>
        <w:pStyle w:val="FootnoteText"/>
      </w:pPr>
      <w:r>
        <w:rPr>
          <w:rStyle w:val="FootnoteReference"/>
        </w:rPr>
        <w:footnoteRef/>
      </w:r>
      <w:r>
        <w:t xml:space="preserve"> Koivusalo M, Szanto T, Kovalainen T, Vesikansa A, Laine O, Partanen A et al. (2025) ‘</w:t>
      </w:r>
      <w:r w:rsidRPr="00D07215">
        <w:t>Switching from standard to extended half-life coagulation factor replacement in haemophilia: clinical outcomes and costs of care in Finland</w:t>
      </w:r>
      <w:r>
        <w:t xml:space="preserve">’, </w:t>
      </w:r>
      <w:r>
        <w:rPr>
          <w:rStyle w:val="Emphasis"/>
        </w:rPr>
        <w:t>Haemophilia</w:t>
      </w:r>
      <w:r>
        <w:t>, 31(4):722–733.</w:t>
      </w:r>
    </w:p>
  </w:footnote>
  <w:footnote w:id="10">
    <w:p w14:paraId="70566FFF" w14:textId="77777777" w:rsidR="00D03C49" w:rsidRDefault="00D03C49" w:rsidP="00D03C49">
      <w:pPr>
        <w:pStyle w:val="FootnoteText"/>
      </w:pPr>
      <w:r>
        <w:rPr>
          <w:rStyle w:val="FootnoteReference"/>
        </w:rPr>
        <w:footnoteRef/>
      </w:r>
      <w:r w:rsidRPr="009B3513">
        <w:rPr>
          <w:lang w:val="da-DK"/>
        </w:rPr>
        <w:t xml:space="preserve"> Bidlingmaier C, Heller C, Langer F, Miesbach W, Scholz U, Oldenburg J et al. </w:t>
      </w:r>
      <w:r>
        <w:t>(2024) ‘</w:t>
      </w:r>
      <w:r w:rsidRPr="009167EF">
        <w:t>Real-world usage and effectiveness of recombinant factor VIII/factor IX Fc in hemophilia A/B: final data from the 24-month, prospective, noninterventional PREVENT study in Germany</w:t>
      </w:r>
      <w:r>
        <w:t xml:space="preserve">’, </w:t>
      </w:r>
      <w:r>
        <w:rPr>
          <w:rStyle w:val="Emphasis"/>
        </w:rPr>
        <w:t>Research and Practice in Thrombosis and Haemostasis</w:t>
      </w:r>
      <w:r>
        <w:t>, 8(5):102482.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EE061" w14:textId="13A6A8CD" w:rsidR="00722FE4" w:rsidRDefault="003D3179">
    <w:pPr>
      <w:pStyle w:val="Header"/>
    </w:pPr>
    <w:r>
      <w:rPr>
        <w:noProof/>
      </w:rPr>
      <mc:AlternateContent>
        <mc:Choice Requires="wps">
          <w:drawing>
            <wp:anchor distT="0" distB="0" distL="0" distR="0" simplePos="0" relativeHeight="251658241" behindDoc="0" locked="0" layoutInCell="1" allowOverlap="1" wp14:anchorId="7BA67E83" wp14:editId="6953F02C">
              <wp:simplePos x="635" y="635"/>
              <wp:positionH relativeFrom="page">
                <wp:align>center</wp:align>
              </wp:positionH>
              <wp:positionV relativeFrom="page">
                <wp:align>top</wp:align>
              </wp:positionV>
              <wp:extent cx="622300" cy="467360"/>
              <wp:effectExtent l="0" t="0" r="6350" b="8890"/>
              <wp:wrapNone/>
              <wp:docPr id="17871764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4D355053" w14:textId="115763CF"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A67E83" id="_x0000_t202" coordsize="21600,21600" o:spt="202" path="m,l,21600r21600,l21600,xe">
              <v:stroke joinstyle="miter"/>
              <v:path gradientshapeok="t" o:connecttype="rect"/>
            </v:shapetype>
            <v:shape id="Text Box 2" o:spid="_x0000_s1026" type="#_x0000_t202" alt="OFFICIAL" style="position:absolute;margin-left:0;margin-top:0;width:49pt;height:36.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3KCQIAABU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fhh7B9WJtvFwJjo4uW6o50YEfBKemKUxSa34SIc2&#10;0JUcBouzGvyPv/ljPgFOUc46UkrJLUmZM/PNEhFRVMmYfs4/RBT86N6Nhj20d0D6m9JTcDKZMQ/N&#10;aGoP7QvpeBUbUUhYSe1KjqN5h2fJ0juQarVKSaQfJ3Bjt07G0hGnCOJz/yK8G5BGougBRhmJ4hXg&#10;59x4M7jVAQn2xEbE9AzkADVpL5E0vJMo7l//U9b1NS9/AgAA//8DAFBLAwQUAAYACAAAACEAc1dc&#10;P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PD1OQRe5/s9e/AIAAP//AwBQSwECLQAUAAYACAAAACEAtoM4kv4AAADhAQAAEwAAAAAAAAAAAAAA&#10;AAAAAAAAW0NvbnRlbnRfVHlwZXNdLnhtbFBLAQItABQABgAIAAAAIQA4/SH/1gAAAJQBAAALAAAA&#10;AAAAAAAAAAAAAC8BAABfcmVscy8ucmVsc1BLAQItABQABgAIAAAAIQCGME3KCQIAABUEAAAOAAAA&#10;AAAAAAAAAAAAAC4CAABkcnMvZTJvRG9jLnhtbFBLAQItABQABgAIAAAAIQBzV1w92QAAAAMBAAAP&#10;AAAAAAAAAAAAAAAAAGMEAABkcnMvZG93bnJldi54bWxQSwUGAAAAAAQABADzAAAAaQUAAAAA&#10;" filled="f" stroked="f">
              <v:textbox style="mso-fit-shape-to-text:t" inset="0,15pt,0,0">
                <w:txbxContent>
                  <w:p w14:paraId="4D355053" w14:textId="115763CF"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9A7C" w14:textId="13611C0E" w:rsidR="00722FE4" w:rsidRDefault="003D3179">
    <w:pPr>
      <w:pStyle w:val="Header"/>
    </w:pPr>
    <w:r>
      <w:rPr>
        <w:noProof/>
      </w:rPr>
      <mc:AlternateContent>
        <mc:Choice Requires="wps">
          <w:drawing>
            <wp:anchor distT="0" distB="0" distL="0" distR="0" simplePos="0" relativeHeight="251658242" behindDoc="0" locked="0" layoutInCell="1" allowOverlap="1" wp14:anchorId="0F7DFAE3" wp14:editId="0C03F5E1">
              <wp:simplePos x="635" y="635"/>
              <wp:positionH relativeFrom="page">
                <wp:align>center</wp:align>
              </wp:positionH>
              <wp:positionV relativeFrom="page">
                <wp:align>top</wp:align>
              </wp:positionV>
              <wp:extent cx="622300" cy="467360"/>
              <wp:effectExtent l="0" t="0" r="6350" b="8890"/>
              <wp:wrapNone/>
              <wp:docPr id="17300866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1E35D88D" w14:textId="12C14CB4"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DFAE3" id="_x0000_t202" coordsize="21600,21600" o:spt="202" path="m,l,21600r21600,l21600,xe">
              <v:stroke joinstyle="miter"/>
              <v:path gradientshapeok="t" o:connecttype="rect"/>
            </v:shapetype>
            <v:shape id="Text Box 3" o:spid="_x0000_s1027" type="#_x0000_t202" alt="OFFICIAL" style="position:absolute;margin-left:0;margin-top:0;width:49pt;height:36.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2mDAIAABwEAAAOAAAAZHJzL2Uyb0RvYy54bWysU01v2zAMvQ/YfxB0X+ykW9YZcYqsRYYB&#10;QVsgHXpWZCk2IIuCxMTOfv0oJU66bqeiF5kmKX689zS76VvD9sqHBmzJx6OcM2UlVI3dlvzX0/LT&#10;NWcBha2EAatKflCB38w/fph1rlATqMFUyjMqYkPRuZLXiK7IsiBr1YowAqcsBTX4ViD9+m1WedFR&#10;9dZkkzyfZh34ynmQKgTy3h2DfJ7qa60kPmgdFDJTcpoN0+nTuYlnNp+JYuuFqxt5GkO8YYpWNJaa&#10;nkvdCRRs55t/SrWN9BBA40hCm4HWjVRpB9pmnL/aZl0Lp9IuBE5wZ5jC+5WV9/u1e/QM++/QE4ER&#10;kM6FIpAz7tNr38YvTcooThAezrCpHpkk53QyucopIin0efr1appgzS6XnQ/4Q0HLolFyT6wksMR+&#10;FZAaUuqQEntZWDbGJGaM/ctBidGTXSaMFvabnjXVi+k3UB1oKQ9HvoOTy4Zar0TAR+GJYJqWRIsP&#10;dGgDXcnhZHFWg//9P3/MJ9wpyllHgim5JUVzZn5a4iNqKxnjb/mXCIYf3JvBsLv2FkiGY3oRTiYz&#10;5qEZTO2hfSY5L2IjCgkrqV3JcTBv8ahceg5SLRYpiWTkBK7s2slYOsIVsXzqn4V3J8CRmLqHQU2i&#10;eIX7MTfeDG6xQ0I/kRKhPQJ5QpwkmLg6PZeo8Zf/KevyqOd/AAAA//8DAFBLAwQUAAYACAAAACEA&#10;c1dcP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PD1OQRe5/s9e/AIAAP//AwBQSwECLQAUAAYACAAAACEAtoM4kv4AAADhAQAAEwAAAAAAAAAA&#10;AAAAAAAAAAAAW0NvbnRlbnRfVHlwZXNdLnhtbFBLAQItABQABgAIAAAAIQA4/SH/1gAAAJQBAAAL&#10;AAAAAAAAAAAAAAAAAC8BAABfcmVscy8ucmVsc1BLAQItABQABgAIAAAAIQAVC12mDAIAABwEAAAO&#10;AAAAAAAAAAAAAAAAAC4CAABkcnMvZTJvRG9jLnhtbFBLAQItABQABgAIAAAAIQBzV1w92QAAAAMB&#10;AAAPAAAAAAAAAAAAAAAAAGYEAABkcnMvZG93bnJldi54bWxQSwUGAAAAAAQABADzAAAAbAUAAAAA&#10;" filled="f" stroked="f">
              <v:textbox style="mso-fit-shape-to-text:t" inset="0,15pt,0,0">
                <w:txbxContent>
                  <w:p w14:paraId="1E35D88D" w14:textId="12C14CB4"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8298" w14:textId="19F45CA5" w:rsidR="00722FE4" w:rsidRDefault="003D3179">
    <w:pPr>
      <w:pStyle w:val="Header"/>
    </w:pPr>
    <w:r>
      <w:rPr>
        <w:noProof/>
      </w:rPr>
      <mc:AlternateContent>
        <mc:Choice Requires="wps">
          <w:drawing>
            <wp:anchor distT="0" distB="0" distL="0" distR="0" simplePos="0" relativeHeight="251658240" behindDoc="0" locked="0" layoutInCell="1" allowOverlap="1" wp14:anchorId="4E92E81A" wp14:editId="67205341">
              <wp:simplePos x="635" y="635"/>
              <wp:positionH relativeFrom="page">
                <wp:align>center</wp:align>
              </wp:positionH>
              <wp:positionV relativeFrom="page">
                <wp:align>top</wp:align>
              </wp:positionV>
              <wp:extent cx="622300" cy="467360"/>
              <wp:effectExtent l="0" t="0" r="6350" b="8890"/>
              <wp:wrapNone/>
              <wp:docPr id="14580761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67360"/>
                      </a:xfrm>
                      <a:prstGeom prst="rect">
                        <a:avLst/>
                      </a:prstGeom>
                      <a:noFill/>
                      <a:ln>
                        <a:noFill/>
                      </a:ln>
                    </wps:spPr>
                    <wps:txbx>
                      <w:txbxContent>
                        <w:p w14:paraId="2D635375" w14:textId="56857A82"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2E81A" id="_x0000_t202" coordsize="21600,21600" o:spt="202" path="m,l,21600r21600,l21600,xe">
              <v:stroke joinstyle="miter"/>
              <v:path gradientshapeok="t" o:connecttype="rect"/>
            </v:shapetype>
            <v:shape id="Text Box 1" o:spid="_x0000_s1030" type="#_x0000_t202" alt="OFFICIAL" style="position:absolute;margin-left:0;margin-top:0;width:49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VtDQIAABwEAAAOAAAAZHJzL2Uyb0RvYy54bWysU02P0zAQvSPxHyzfadIuFIiarsquipCq&#10;3ZW6aM+uYzeRHI9lT5uUX8/YTVpYOCEuzmRmPB/vPS9u+9awo/KhAVvy6STnTFkJVWP3Jf/+vH73&#10;ibOAwlbCgFUlP6nAb5dv3yw6V6gZ1GAq5RkVsaHoXMlrRFdkWZC1akWYgFOWghp8K5B+/T6rvOio&#10;emuyWZ7Psw585TxIFQJ5789Bvkz1tVYSH7UOCpkpOc2G6fTp3MUzWy5EsffC1Y0cxhD/MEUrGktN&#10;L6XuBQp28M0fpdpGegigcSKhzUDrRqq0A20zzV9ts62FU2kXAie4C0zh/5WVD8ete/IM+y/QE4ER&#10;kM6FIpAz7tNr38YvTcooThCeLrCpHpkk53w2u8kpIin0fv7xZp5gza6XnQ/4VUHLolFyT6wksMRx&#10;E5AaUuqYEntZWDfGJGaM/c1BidGTXSeMFva7njUVNR+n30F1oqU8nPkOTq4bar0RAZ+EJ4JpWhIt&#10;PtKhDXQlh8HirAb/42/+mE+4U5SzjgRTckuK5sx8s8RH1FYypp/zDxEMP7p3o2EP7R2QDKf0IpxM&#10;ZsxDM5raQ/tCcl7FRhQSVlK7kuNo3uFZufQcpFqtUhLJyAnc2K2TsXSEK2L53L8I7wbAkZh6gFFN&#10;oniF+zk33gxudUBCP5ESoT0DOSBOEkxcDc8lavzX/5R1fdTLnwAAAP//AwBQSwMEFAAGAAgAAAAh&#10;AHNXXD3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Dw9TkEXuf7PXvwCAAD//wMAUEsBAi0AFAAGAAgAAAAhALaDOJL+AAAA4QEAABMAAAAAAAAA&#10;AAAAAAAAAAAAAFtDb250ZW50X1R5cGVzXS54bWxQSwECLQAUAAYACAAAACEAOP0h/9YAAACUAQAA&#10;CwAAAAAAAAAAAAAAAAAvAQAAX3JlbHMvLnJlbHNQSwECLQAUAAYACAAAACEAzEklbQ0CAAAcBAAA&#10;DgAAAAAAAAAAAAAAAAAuAgAAZHJzL2Uyb0RvYy54bWxQSwECLQAUAAYACAAAACEAc1dcPdkAAAAD&#10;AQAADwAAAAAAAAAAAAAAAABnBAAAZHJzL2Rvd25yZXYueG1sUEsFBgAAAAAEAAQA8wAAAG0FAAAA&#10;AA==&#10;" filled="f" stroked="f">
              <v:textbox style="mso-fit-shape-to-text:t" inset="0,15pt,0,0">
                <w:txbxContent>
                  <w:p w14:paraId="2D635375" w14:textId="56857A82" w:rsidR="003D3179" w:rsidRPr="003D3179" w:rsidRDefault="003D3179" w:rsidP="003D3179">
                    <w:pPr>
                      <w:spacing w:after="0"/>
                      <w:rPr>
                        <w:rFonts w:ascii="Aptos" w:eastAsia="Aptos" w:hAnsi="Aptos" w:cs="Aptos"/>
                        <w:noProof/>
                        <w:color w:val="FF0000"/>
                        <w:sz w:val="24"/>
                        <w:szCs w:val="24"/>
                      </w:rPr>
                    </w:pPr>
                    <w:r w:rsidRPr="003D317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362"/>
    <w:multiLevelType w:val="hybridMultilevel"/>
    <w:tmpl w:val="B27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C7555"/>
    <w:multiLevelType w:val="multilevel"/>
    <w:tmpl w:val="22B4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6C17"/>
    <w:multiLevelType w:val="hybridMultilevel"/>
    <w:tmpl w:val="EC5C2DF8"/>
    <w:lvl w:ilvl="0" w:tplc="131A27E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F135CE"/>
    <w:multiLevelType w:val="multilevel"/>
    <w:tmpl w:val="B5F0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F935A7"/>
    <w:multiLevelType w:val="multilevel"/>
    <w:tmpl w:val="66E6DD1C"/>
    <w:lvl w:ilvl="0">
      <w:start w:val="1"/>
      <w:numFmt w:val="bullet"/>
      <w:pStyle w:val="Bullet12"/>
      <w:lvlText w:val=""/>
      <w:lvlJc w:val="left"/>
      <w:pPr>
        <w:tabs>
          <w:tab w:val="num" w:pos="357"/>
        </w:tabs>
        <w:ind w:left="357" w:firstLine="0"/>
      </w:pPr>
      <w:rPr>
        <w:rFonts w:ascii="Symbol" w:hAnsi="Symbol" w:hint="default"/>
      </w:rPr>
    </w:lvl>
    <w:lvl w:ilvl="1">
      <w:start w:val="1"/>
      <w:numFmt w:val="bullet"/>
      <w:lvlText w:val="-"/>
      <w:lvlJc w:val="left"/>
      <w:pPr>
        <w:tabs>
          <w:tab w:val="num" w:pos="357"/>
        </w:tabs>
        <w:ind w:left="1077" w:hanging="357"/>
      </w:pPr>
      <w:rPr>
        <w:rFonts w:ascii="Courier New" w:hAnsi="Courier New" w:hint="default"/>
      </w:rPr>
    </w:lvl>
    <w:lvl w:ilvl="2">
      <w:start w:val="1"/>
      <w:numFmt w:val="bullet"/>
      <w:lvlText w:val=""/>
      <w:lvlJc w:val="left"/>
      <w:pPr>
        <w:tabs>
          <w:tab w:val="num" w:pos="357"/>
        </w:tabs>
        <w:ind w:left="1435" w:hanging="358"/>
      </w:pPr>
      <w:rPr>
        <w:rFonts w:ascii="Wingdings" w:hAnsi="Wingdings" w:hint="default"/>
      </w:rPr>
    </w:lvl>
    <w:lvl w:ilvl="3">
      <w:start w:val="1"/>
      <w:numFmt w:val="bullet"/>
      <w:lvlText w:val=""/>
      <w:lvlJc w:val="left"/>
      <w:pPr>
        <w:tabs>
          <w:tab w:val="num" w:pos="357"/>
        </w:tabs>
        <w:ind w:left="1792" w:hanging="357"/>
      </w:pPr>
      <w:rPr>
        <w:rFonts w:ascii="Symbol" w:hAnsi="Symbol" w:hint="default"/>
      </w:rPr>
    </w:lvl>
    <w:lvl w:ilvl="4">
      <w:start w:val="1"/>
      <w:numFmt w:val="bullet"/>
      <w:lvlText w:val="o"/>
      <w:lvlJc w:val="left"/>
      <w:pPr>
        <w:tabs>
          <w:tab w:val="num" w:pos="1792"/>
        </w:tabs>
        <w:ind w:left="2149" w:hanging="357"/>
      </w:pPr>
      <w:rPr>
        <w:rFonts w:ascii="Courier New" w:hAnsi="Courier New" w:hint="default"/>
      </w:rPr>
    </w:lvl>
    <w:lvl w:ilvl="5">
      <w:start w:val="1"/>
      <w:numFmt w:val="bullet"/>
      <w:lvlText w:val=""/>
      <w:lvlJc w:val="left"/>
      <w:pPr>
        <w:ind w:left="2506" w:hanging="357"/>
      </w:pPr>
      <w:rPr>
        <w:rFonts w:ascii="Wingdings" w:hAnsi="Wingdings" w:hint="default"/>
      </w:rPr>
    </w:lvl>
    <w:lvl w:ilvl="6">
      <w:start w:val="1"/>
      <w:numFmt w:val="bullet"/>
      <w:lvlText w:val=""/>
      <w:lvlJc w:val="left"/>
      <w:pPr>
        <w:ind w:left="2863" w:hanging="357"/>
      </w:pPr>
      <w:rPr>
        <w:rFonts w:ascii="Symbol" w:hAnsi="Symbol" w:hint="default"/>
      </w:rPr>
    </w:lvl>
    <w:lvl w:ilvl="7">
      <w:start w:val="1"/>
      <w:numFmt w:val="bullet"/>
      <w:lvlText w:val="o"/>
      <w:lvlJc w:val="left"/>
      <w:pPr>
        <w:ind w:left="5400" w:hanging="2537"/>
      </w:pPr>
      <w:rPr>
        <w:rFonts w:ascii="Courier New" w:hAnsi="Courier New" w:hint="default"/>
      </w:rPr>
    </w:lvl>
    <w:lvl w:ilvl="8">
      <w:start w:val="1"/>
      <w:numFmt w:val="bullet"/>
      <w:lvlText w:val=""/>
      <w:lvlJc w:val="left"/>
      <w:pPr>
        <w:ind w:left="3221" w:firstLine="2539"/>
      </w:pPr>
      <w:rPr>
        <w:rFonts w:ascii="Wingdings" w:hAnsi="Wingdings" w:hint="default"/>
      </w:rPr>
    </w:lvl>
  </w:abstractNum>
  <w:abstractNum w:abstractNumId="6" w15:restartNumberingAfterBreak="0">
    <w:nsid w:val="12C01314"/>
    <w:multiLevelType w:val="multilevel"/>
    <w:tmpl w:val="1520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415796"/>
    <w:multiLevelType w:val="hybridMultilevel"/>
    <w:tmpl w:val="B63CC1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65438C"/>
    <w:multiLevelType w:val="hybridMultilevel"/>
    <w:tmpl w:val="D5F4780C"/>
    <w:lvl w:ilvl="0" w:tplc="D7988072">
      <w:start w:val="1"/>
      <w:numFmt w:val="decimal"/>
      <w:lvlText w:val="%1."/>
      <w:lvlJc w:val="left"/>
      <w:pPr>
        <w:ind w:left="720" w:hanging="360"/>
      </w:pPr>
    </w:lvl>
    <w:lvl w:ilvl="1" w:tplc="0D467B62">
      <w:start w:val="1"/>
      <w:numFmt w:val="lowerLetter"/>
      <w:lvlText w:val="%2."/>
      <w:lvlJc w:val="left"/>
      <w:pPr>
        <w:ind w:left="1440" w:hanging="360"/>
      </w:pPr>
    </w:lvl>
    <w:lvl w:ilvl="2" w:tplc="C0E6C412">
      <w:start w:val="1"/>
      <w:numFmt w:val="lowerRoman"/>
      <w:lvlText w:val="%3."/>
      <w:lvlJc w:val="right"/>
      <w:pPr>
        <w:ind w:left="2160" w:hanging="180"/>
      </w:pPr>
    </w:lvl>
    <w:lvl w:ilvl="3" w:tplc="8CE6E7E2">
      <w:start w:val="1"/>
      <w:numFmt w:val="decimal"/>
      <w:lvlText w:val="%4."/>
      <w:lvlJc w:val="left"/>
      <w:pPr>
        <w:ind w:left="2880" w:hanging="360"/>
      </w:pPr>
    </w:lvl>
    <w:lvl w:ilvl="4" w:tplc="58B0B408">
      <w:start w:val="1"/>
      <w:numFmt w:val="lowerLetter"/>
      <w:lvlText w:val="%5."/>
      <w:lvlJc w:val="left"/>
      <w:pPr>
        <w:ind w:left="3600" w:hanging="360"/>
      </w:pPr>
    </w:lvl>
    <w:lvl w:ilvl="5" w:tplc="3CDE602A">
      <w:start w:val="1"/>
      <w:numFmt w:val="lowerRoman"/>
      <w:lvlText w:val="%6."/>
      <w:lvlJc w:val="right"/>
      <w:pPr>
        <w:ind w:left="4320" w:hanging="180"/>
      </w:pPr>
    </w:lvl>
    <w:lvl w:ilvl="6" w:tplc="908CEB7A">
      <w:start w:val="1"/>
      <w:numFmt w:val="decimal"/>
      <w:lvlText w:val="%7."/>
      <w:lvlJc w:val="left"/>
      <w:pPr>
        <w:ind w:left="5040" w:hanging="360"/>
      </w:pPr>
    </w:lvl>
    <w:lvl w:ilvl="7" w:tplc="437409E6">
      <w:start w:val="1"/>
      <w:numFmt w:val="lowerLetter"/>
      <w:lvlText w:val="%8."/>
      <w:lvlJc w:val="left"/>
      <w:pPr>
        <w:ind w:left="5760" w:hanging="360"/>
      </w:pPr>
    </w:lvl>
    <w:lvl w:ilvl="8" w:tplc="10865B98">
      <w:start w:val="1"/>
      <w:numFmt w:val="lowerRoman"/>
      <w:lvlText w:val="%9."/>
      <w:lvlJc w:val="right"/>
      <w:pPr>
        <w:ind w:left="6480" w:hanging="180"/>
      </w:pPr>
    </w:lvl>
  </w:abstractNum>
  <w:abstractNum w:abstractNumId="9" w15:restartNumberingAfterBreak="0">
    <w:nsid w:val="18866FC1"/>
    <w:multiLevelType w:val="hybridMultilevel"/>
    <w:tmpl w:val="3214A392"/>
    <w:lvl w:ilvl="0" w:tplc="A21CB802">
      <w:start w:val="1"/>
      <w:numFmt w:val="bullet"/>
      <w:pStyle w:val="Norm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96401"/>
    <w:multiLevelType w:val="multilevel"/>
    <w:tmpl w:val="81BC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F17E2"/>
    <w:multiLevelType w:val="hybridMultilevel"/>
    <w:tmpl w:val="BC2A3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13"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1026515"/>
    <w:multiLevelType w:val="multilevel"/>
    <w:tmpl w:val="3E0E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371DC"/>
    <w:multiLevelType w:val="multilevel"/>
    <w:tmpl w:val="4A02812C"/>
    <w:lvl w:ilvl="0">
      <w:start w:val="1"/>
      <w:numFmt w:val="decimal"/>
      <w:pStyle w:val="Heading1"/>
      <w:lvlText w:val="Section %1"/>
      <w:lvlJc w:val="left"/>
      <w:pPr>
        <w:ind w:left="786" w:hanging="360"/>
      </w:pPr>
      <w:rPr>
        <w:rFonts w:hint="default"/>
      </w:rPr>
    </w:lvl>
    <w:lvl w:ilvl="1">
      <w:start w:val="1"/>
      <w:numFmt w:val="decimal"/>
      <w:pStyle w:val="Heading2"/>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E48852"/>
    <w:multiLevelType w:val="hybridMultilevel"/>
    <w:tmpl w:val="E0CA52EA"/>
    <w:lvl w:ilvl="0" w:tplc="2DAC9360">
      <w:start w:val="1"/>
      <w:numFmt w:val="decimal"/>
      <w:lvlText w:val="%1."/>
      <w:lvlJc w:val="left"/>
      <w:pPr>
        <w:ind w:left="720" w:hanging="360"/>
      </w:pPr>
    </w:lvl>
    <w:lvl w:ilvl="1" w:tplc="4B765548">
      <w:start w:val="1"/>
      <w:numFmt w:val="lowerLetter"/>
      <w:lvlText w:val="%2."/>
      <w:lvlJc w:val="left"/>
      <w:pPr>
        <w:ind w:left="1440" w:hanging="360"/>
      </w:pPr>
    </w:lvl>
    <w:lvl w:ilvl="2" w:tplc="15F23394">
      <w:start w:val="1"/>
      <w:numFmt w:val="lowerRoman"/>
      <w:lvlText w:val="%3."/>
      <w:lvlJc w:val="right"/>
      <w:pPr>
        <w:ind w:left="2160" w:hanging="180"/>
      </w:pPr>
    </w:lvl>
    <w:lvl w:ilvl="3" w:tplc="0D3AC196">
      <w:start w:val="1"/>
      <w:numFmt w:val="decimal"/>
      <w:lvlText w:val="%4."/>
      <w:lvlJc w:val="left"/>
      <w:pPr>
        <w:ind w:left="2880" w:hanging="360"/>
      </w:pPr>
    </w:lvl>
    <w:lvl w:ilvl="4" w:tplc="28686FBA">
      <w:start w:val="1"/>
      <w:numFmt w:val="lowerLetter"/>
      <w:lvlText w:val="%5."/>
      <w:lvlJc w:val="left"/>
      <w:pPr>
        <w:ind w:left="3600" w:hanging="360"/>
      </w:pPr>
    </w:lvl>
    <w:lvl w:ilvl="5" w:tplc="B6AEB6C2">
      <w:start w:val="1"/>
      <w:numFmt w:val="lowerRoman"/>
      <w:lvlText w:val="%6."/>
      <w:lvlJc w:val="right"/>
      <w:pPr>
        <w:ind w:left="4320" w:hanging="180"/>
      </w:pPr>
    </w:lvl>
    <w:lvl w:ilvl="6" w:tplc="DA98B428">
      <w:start w:val="1"/>
      <w:numFmt w:val="decimal"/>
      <w:lvlText w:val="%7."/>
      <w:lvlJc w:val="left"/>
      <w:pPr>
        <w:ind w:left="5040" w:hanging="360"/>
      </w:pPr>
    </w:lvl>
    <w:lvl w:ilvl="7" w:tplc="EC900CD2">
      <w:start w:val="1"/>
      <w:numFmt w:val="lowerLetter"/>
      <w:lvlText w:val="%8."/>
      <w:lvlJc w:val="left"/>
      <w:pPr>
        <w:ind w:left="5760" w:hanging="360"/>
      </w:pPr>
    </w:lvl>
    <w:lvl w:ilvl="8" w:tplc="1B64414C">
      <w:start w:val="1"/>
      <w:numFmt w:val="lowerRoman"/>
      <w:lvlText w:val="%9."/>
      <w:lvlJc w:val="right"/>
      <w:pPr>
        <w:ind w:left="6480" w:hanging="180"/>
      </w:pPr>
    </w:lvl>
  </w:abstractNum>
  <w:abstractNum w:abstractNumId="19" w15:restartNumberingAfterBreak="0">
    <w:nsid w:val="34986257"/>
    <w:multiLevelType w:val="multilevel"/>
    <w:tmpl w:val="DC5A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E20BB1"/>
    <w:multiLevelType w:val="hybridMultilevel"/>
    <w:tmpl w:val="65EA5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CD573B"/>
    <w:multiLevelType w:val="hybridMultilevel"/>
    <w:tmpl w:val="98DCD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9B6246B"/>
    <w:multiLevelType w:val="hybridMultilevel"/>
    <w:tmpl w:val="9CD4037E"/>
    <w:lvl w:ilvl="0" w:tplc="6F429CB4">
      <w:start w:val="1"/>
      <w:numFmt w:val="decimal"/>
      <w:lvlText w:val="%1."/>
      <w:lvlJc w:val="left"/>
      <w:pPr>
        <w:ind w:left="720" w:hanging="360"/>
      </w:pPr>
    </w:lvl>
    <w:lvl w:ilvl="1" w:tplc="4422537C">
      <w:start w:val="1"/>
      <w:numFmt w:val="lowerLetter"/>
      <w:lvlText w:val="%2."/>
      <w:lvlJc w:val="left"/>
      <w:pPr>
        <w:ind w:left="1440" w:hanging="360"/>
      </w:pPr>
    </w:lvl>
    <w:lvl w:ilvl="2" w:tplc="39C8F53E">
      <w:start w:val="1"/>
      <w:numFmt w:val="lowerRoman"/>
      <w:lvlText w:val="%3."/>
      <w:lvlJc w:val="right"/>
      <w:pPr>
        <w:ind w:left="2160" w:hanging="180"/>
      </w:pPr>
    </w:lvl>
    <w:lvl w:ilvl="3" w:tplc="F05A49F0">
      <w:start w:val="1"/>
      <w:numFmt w:val="decimal"/>
      <w:lvlText w:val="%4."/>
      <w:lvlJc w:val="left"/>
      <w:pPr>
        <w:ind w:left="2880" w:hanging="360"/>
      </w:pPr>
    </w:lvl>
    <w:lvl w:ilvl="4" w:tplc="CFF2EEAA">
      <w:start w:val="1"/>
      <w:numFmt w:val="lowerLetter"/>
      <w:lvlText w:val="%5."/>
      <w:lvlJc w:val="left"/>
      <w:pPr>
        <w:ind w:left="3600" w:hanging="360"/>
      </w:pPr>
    </w:lvl>
    <w:lvl w:ilvl="5" w:tplc="865A8958">
      <w:start w:val="1"/>
      <w:numFmt w:val="lowerRoman"/>
      <w:lvlText w:val="%6."/>
      <w:lvlJc w:val="right"/>
      <w:pPr>
        <w:ind w:left="4320" w:hanging="180"/>
      </w:pPr>
    </w:lvl>
    <w:lvl w:ilvl="6" w:tplc="5F745638">
      <w:start w:val="1"/>
      <w:numFmt w:val="decimal"/>
      <w:lvlText w:val="%7."/>
      <w:lvlJc w:val="left"/>
      <w:pPr>
        <w:ind w:left="5040" w:hanging="360"/>
      </w:pPr>
    </w:lvl>
    <w:lvl w:ilvl="7" w:tplc="F440E07C">
      <w:start w:val="1"/>
      <w:numFmt w:val="lowerLetter"/>
      <w:lvlText w:val="%8."/>
      <w:lvlJc w:val="left"/>
      <w:pPr>
        <w:ind w:left="5760" w:hanging="360"/>
      </w:pPr>
    </w:lvl>
    <w:lvl w:ilvl="8" w:tplc="71C4C7FA">
      <w:start w:val="1"/>
      <w:numFmt w:val="lowerRoman"/>
      <w:lvlText w:val="%9."/>
      <w:lvlJc w:val="right"/>
      <w:pPr>
        <w:ind w:left="6480" w:hanging="180"/>
      </w:pPr>
    </w:lvl>
  </w:abstractNum>
  <w:abstractNum w:abstractNumId="24" w15:restartNumberingAfterBreak="0">
    <w:nsid w:val="4FE8A768"/>
    <w:multiLevelType w:val="hybridMultilevel"/>
    <w:tmpl w:val="32EAC036"/>
    <w:lvl w:ilvl="0" w:tplc="57DE61DE">
      <w:start w:val="1"/>
      <w:numFmt w:val="decimal"/>
      <w:lvlText w:val="%1."/>
      <w:lvlJc w:val="left"/>
      <w:pPr>
        <w:ind w:left="720" w:hanging="360"/>
      </w:pPr>
    </w:lvl>
    <w:lvl w:ilvl="1" w:tplc="F942F042">
      <w:start w:val="1"/>
      <w:numFmt w:val="lowerLetter"/>
      <w:lvlText w:val="%2."/>
      <w:lvlJc w:val="left"/>
      <w:pPr>
        <w:ind w:left="1440" w:hanging="360"/>
      </w:pPr>
    </w:lvl>
    <w:lvl w:ilvl="2" w:tplc="9D00A60C">
      <w:start w:val="1"/>
      <w:numFmt w:val="lowerRoman"/>
      <w:lvlText w:val="%3."/>
      <w:lvlJc w:val="right"/>
      <w:pPr>
        <w:ind w:left="2160" w:hanging="180"/>
      </w:pPr>
    </w:lvl>
    <w:lvl w:ilvl="3" w:tplc="B6B83D08">
      <w:start w:val="1"/>
      <w:numFmt w:val="decimal"/>
      <w:lvlText w:val="%4."/>
      <w:lvlJc w:val="left"/>
      <w:pPr>
        <w:ind w:left="2880" w:hanging="360"/>
      </w:pPr>
    </w:lvl>
    <w:lvl w:ilvl="4" w:tplc="DE9C94C8">
      <w:start w:val="1"/>
      <w:numFmt w:val="lowerLetter"/>
      <w:lvlText w:val="%5."/>
      <w:lvlJc w:val="left"/>
      <w:pPr>
        <w:ind w:left="3600" w:hanging="360"/>
      </w:pPr>
    </w:lvl>
    <w:lvl w:ilvl="5" w:tplc="35CE7DA4">
      <w:start w:val="1"/>
      <w:numFmt w:val="lowerRoman"/>
      <w:lvlText w:val="%6."/>
      <w:lvlJc w:val="right"/>
      <w:pPr>
        <w:ind w:left="4320" w:hanging="180"/>
      </w:pPr>
    </w:lvl>
    <w:lvl w:ilvl="6" w:tplc="A40C041E">
      <w:start w:val="1"/>
      <w:numFmt w:val="decimal"/>
      <w:lvlText w:val="%7."/>
      <w:lvlJc w:val="left"/>
      <w:pPr>
        <w:ind w:left="5040" w:hanging="360"/>
      </w:pPr>
    </w:lvl>
    <w:lvl w:ilvl="7" w:tplc="3A7E6542">
      <w:start w:val="1"/>
      <w:numFmt w:val="lowerLetter"/>
      <w:lvlText w:val="%8."/>
      <w:lvlJc w:val="left"/>
      <w:pPr>
        <w:ind w:left="5760" w:hanging="360"/>
      </w:pPr>
    </w:lvl>
    <w:lvl w:ilvl="8" w:tplc="F33ABEB4">
      <w:start w:val="1"/>
      <w:numFmt w:val="lowerRoman"/>
      <w:lvlText w:val="%9."/>
      <w:lvlJc w:val="right"/>
      <w:pPr>
        <w:ind w:left="6480" w:hanging="180"/>
      </w:pPr>
    </w:lvl>
  </w:abstractNum>
  <w:abstractNum w:abstractNumId="25" w15:restartNumberingAfterBreak="0">
    <w:nsid w:val="51AE3EFC"/>
    <w:multiLevelType w:val="hybridMultilevel"/>
    <w:tmpl w:val="293427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A9135C"/>
    <w:multiLevelType w:val="hybridMultilevel"/>
    <w:tmpl w:val="BA94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613ADD"/>
    <w:multiLevelType w:val="hybridMultilevel"/>
    <w:tmpl w:val="E7CAC3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134B2E"/>
    <w:multiLevelType w:val="hybridMultilevel"/>
    <w:tmpl w:val="A980367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586BC7"/>
    <w:multiLevelType w:val="multilevel"/>
    <w:tmpl w:val="DB9A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0734D1"/>
    <w:multiLevelType w:val="hybridMultilevel"/>
    <w:tmpl w:val="E7CAC346"/>
    <w:lvl w:ilvl="0" w:tplc="0B029D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6EC1092"/>
    <w:multiLevelType w:val="hybridMultilevel"/>
    <w:tmpl w:val="B2A01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901E14"/>
    <w:multiLevelType w:val="hybridMultilevel"/>
    <w:tmpl w:val="9BFEF09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5E7102"/>
    <w:multiLevelType w:val="multilevel"/>
    <w:tmpl w:val="6E86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D36512"/>
    <w:multiLevelType w:val="hybridMultilevel"/>
    <w:tmpl w:val="691A86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A38C92"/>
    <w:multiLevelType w:val="hybridMultilevel"/>
    <w:tmpl w:val="AB265750"/>
    <w:lvl w:ilvl="0" w:tplc="313C490A">
      <w:start w:val="1"/>
      <w:numFmt w:val="decimal"/>
      <w:lvlText w:val="%1."/>
      <w:lvlJc w:val="left"/>
      <w:pPr>
        <w:ind w:left="720" w:hanging="360"/>
      </w:pPr>
    </w:lvl>
    <w:lvl w:ilvl="1" w:tplc="75AEFFB4">
      <w:start w:val="1"/>
      <w:numFmt w:val="lowerLetter"/>
      <w:lvlText w:val="%2."/>
      <w:lvlJc w:val="left"/>
      <w:pPr>
        <w:ind w:left="1440" w:hanging="360"/>
      </w:pPr>
    </w:lvl>
    <w:lvl w:ilvl="2" w:tplc="513AB8A8">
      <w:start w:val="1"/>
      <w:numFmt w:val="lowerRoman"/>
      <w:lvlText w:val="%3."/>
      <w:lvlJc w:val="right"/>
      <w:pPr>
        <w:ind w:left="2160" w:hanging="180"/>
      </w:pPr>
    </w:lvl>
    <w:lvl w:ilvl="3" w:tplc="7ECA81DA">
      <w:start w:val="1"/>
      <w:numFmt w:val="decimal"/>
      <w:lvlText w:val="%4."/>
      <w:lvlJc w:val="left"/>
      <w:pPr>
        <w:ind w:left="2880" w:hanging="360"/>
      </w:pPr>
    </w:lvl>
    <w:lvl w:ilvl="4" w:tplc="1816564A">
      <w:start w:val="1"/>
      <w:numFmt w:val="lowerLetter"/>
      <w:lvlText w:val="%5."/>
      <w:lvlJc w:val="left"/>
      <w:pPr>
        <w:ind w:left="3600" w:hanging="360"/>
      </w:pPr>
    </w:lvl>
    <w:lvl w:ilvl="5" w:tplc="D6E00EAE">
      <w:start w:val="1"/>
      <w:numFmt w:val="lowerRoman"/>
      <w:lvlText w:val="%6."/>
      <w:lvlJc w:val="right"/>
      <w:pPr>
        <w:ind w:left="4320" w:hanging="180"/>
      </w:pPr>
    </w:lvl>
    <w:lvl w:ilvl="6" w:tplc="9F341068">
      <w:start w:val="1"/>
      <w:numFmt w:val="decimal"/>
      <w:lvlText w:val="%7."/>
      <w:lvlJc w:val="left"/>
      <w:pPr>
        <w:ind w:left="5040" w:hanging="360"/>
      </w:pPr>
    </w:lvl>
    <w:lvl w:ilvl="7" w:tplc="E512A9F4">
      <w:start w:val="1"/>
      <w:numFmt w:val="lowerLetter"/>
      <w:lvlText w:val="%8."/>
      <w:lvlJc w:val="left"/>
      <w:pPr>
        <w:ind w:left="5760" w:hanging="360"/>
      </w:pPr>
    </w:lvl>
    <w:lvl w:ilvl="8" w:tplc="8B0AA882">
      <w:start w:val="1"/>
      <w:numFmt w:val="lowerRoman"/>
      <w:lvlText w:val="%9."/>
      <w:lvlJc w:val="right"/>
      <w:pPr>
        <w:ind w:left="6480" w:hanging="180"/>
      </w:pPr>
    </w:lvl>
  </w:abstractNum>
  <w:abstractNum w:abstractNumId="37" w15:restartNumberingAfterBreak="0">
    <w:nsid w:val="7DDAD5CD"/>
    <w:multiLevelType w:val="hybridMultilevel"/>
    <w:tmpl w:val="E06888BA"/>
    <w:lvl w:ilvl="0" w:tplc="D9E0EDD6">
      <w:start w:val="1"/>
      <w:numFmt w:val="decimal"/>
      <w:lvlText w:val="%1."/>
      <w:lvlJc w:val="left"/>
      <w:pPr>
        <w:ind w:left="720" w:hanging="360"/>
      </w:pPr>
    </w:lvl>
    <w:lvl w:ilvl="1" w:tplc="C7522472">
      <w:start w:val="1"/>
      <w:numFmt w:val="lowerLetter"/>
      <w:lvlText w:val="%2."/>
      <w:lvlJc w:val="left"/>
      <w:pPr>
        <w:ind w:left="1440" w:hanging="360"/>
      </w:pPr>
    </w:lvl>
    <w:lvl w:ilvl="2" w:tplc="703C3C4E">
      <w:start w:val="1"/>
      <w:numFmt w:val="lowerRoman"/>
      <w:lvlText w:val="%3."/>
      <w:lvlJc w:val="right"/>
      <w:pPr>
        <w:ind w:left="2160" w:hanging="180"/>
      </w:pPr>
    </w:lvl>
    <w:lvl w:ilvl="3" w:tplc="E1EEE504">
      <w:start w:val="1"/>
      <w:numFmt w:val="decimal"/>
      <w:lvlText w:val="%4."/>
      <w:lvlJc w:val="left"/>
      <w:pPr>
        <w:ind w:left="2880" w:hanging="360"/>
      </w:pPr>
    </w:lvl>
    <w:lvl w:ilvl="4" w:tplc="517C5230">
      <w:start w:val="1"/>
      <w:numFmt w:val="lowerLetter"/>
      <w:lvlText w:val="%5."/>
      <w:lvlJc w:val="left"/>
      <w:pPr>
        <w:ind w:left="3600" w:hanging="360"/>
      </w:pPr>
    </w:lvl>
    <w:lvl w:ilvl="5" w:tplc="5370546C">
      <w:start w:val="1"/>
      <w:numFmt w:val="lowerRoman"/>
      <w:lvlText w:val="%6."/>
      <w:lvlJc w:val="right"/>
      <w:pPr>
        <w:ind w:left="4320" w:hanging="180"/>
      </w:pPr>
    </w:lvl>
    <w:lvl w:ilvl="6" w:tplc="16FE60BC">
      <w:start w:val="1"/>
      <w:numFmt w:val="decimal"/>
      <w:lvlText w:val="%7."/>
      <w:lvlJc w:val="left"/>
      <w:pPr>
        <w:ind w:left="5040" w:hanging="360"/>
      </w:pPr>
    </w:lvl>
    <w:lvl w:ilvl="7" w:tplc="9954C4E8">
      <w:start w:val="1"/>
      <w:numFmt w:val="lowerLetter"/>
      <w:lvlText w:val="%8."/>
      <w:lvlJc w:val="left"/>
      <w:pPr>
        <w:ind w:left="5760" w:hanging="360"/>
      </w:pPr>
    </w:lvl>
    <w:lvl w:ilvl="8" w:tplc="6FEC43F8">
      <w:start w:val="1"/>
      <w:numFmt w:val="lowerRoman"/>
      <w:lvlText w:val="%9."/>
      <w:lvlJc w:val="right"/>
      <w:pPr>
        <w:ind w:left="6480" w:hanging="180"/>
      </w:pPr>
    </w:lvl>
  </w:abstractNum>
  <w:abstractNum w:abstractNumId="38"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16cid:durableId="305478734">
    <w:abstractNumId w:val="24"/>
  </w:num>
  <w:num w:numId="2" w16cid:durableId="1664698796">
    <w:abstractNumId w:val="18"/>
  </w:num>
  <w:num w:numId="3" w16cid:durableId="633095246">
    <w:abstractNumId w:val="23"/>
  </w:num>
  <w:num w:numId="4" w16cid:durableId="779833551">
    <w:abstractNumId w:val="37"/>
  </w:num>
  <w:num w:numId="5" w16cid:durableId="239800027">
    <w:abstractNumId w:val="36"/>
  </w:num>
  <w:num w:numId="6" w16cid:durableId="860707903">
    <w:abstractNumId w:val="8"/>
  </w:num>
  <w:num w:numId="7" w16cid:durableId="1749109160">
    <w:abstractNumId w:val="17"/>
  </w:num>
  <w:num w:numId="8" w16cid:durableId="1270162788">
    <w:abstractNumId w:val="38"/>
  </w:num>
  <w:num w:numId="9" w16cid:durableId="1754930659">
    <w:abstractNumId w:val="4"/>
  </w:num>
  <w:num w:numId="10" w16cid:durableId="410388863">
    <w:abstractNumId w:val="12"/>
  </w:num>
  <w:num w:numId="11" w16cid:durableId="1821774551">
    <w:abstractNumId w:val="33"/>
  </w:num>
  <w:num w:numId="12" w16cid:durableId="758334604">
    <w:abstractNumId w:val="13"/>
  </w:num>
  <w:num w:numId="13" w16cid:durableId="1414619933">
    <w:abstractNumId w:val="14"/>
  </w:num>
  <w:num w:numId="14" w16cid:durableId="747844684">
    <w:abstractNumId w:val="16"/>
  </w:num>
  <w:num w:numId="15" w16cid:durableId="1180662619">
    <w:abstractNumId w:val="22"/>
  </w:num>
  <w:num w:numId="16" w16cid:durableId="2070759350">
    <w:abstractNumId w:val="26"/>
  </w:num>
  <w:num w:numId="17" w16cid:durableId="615988214">
    <w:abstractNumId w:val="11"/>
  </w:num>
  <w:num w:numId="18" w16cid:durableId="1038701293">
    <w:abstractNumId w:val="30"/>
  </w:num>
  <w:num w:numId="19" w16cid:durableId="1759985899">
    <w:abstractNumId w:val="27"/>
  </w:num>
  <w:num w:numId="20" w16cid:durableId="187570310">
    <w:abstractNumId w:val="0"/>
  </w:num>
  <w:num w:numId="21" w16cid:durableId="2037189678">
    <w:abstractNumId w:val="35"/>
  </w:num>
  <w:num w:numId="22" w16cid:durableId="2075152293">
    <w:abstractNumId w:val="20"/>
  </w:num>
  <w:num w:numId="23" w16cid:durableId="1641879879">
    <w:abstractNumId w:val="31"/>
  </w:num>
  <w:num w:numId="24" w16cid:durableId="2080054161">
    <w:abstractNumId w:val="25"/>
  </w:num>
  <w:num w:numId="25" w16cid:durableId="1433404342">
    <w:abstractNumId w:val="7"/>
  </w:num>
  <w:num w:numId="26" w16cid:durableId="475800730">
    <w:abstractNumId w:val="32"/>
  </w:num>
  <w:num w:numId="27" w16cid:durableId="1762410545">
    <w:abstractNumId w:val="28"/>
  </w:num>
  <w:num w:numId="28" w16cid:durableId="446897144">
    <w:abstractNumId w:val="5"/>
  </w:num>
  <w:num w:numId="29" w16cid:durableId="519783773">
    <w:abstractNumId w:val="21"/>
  </w:num>
  <w:num w:numId="30" w16cid:durableId="533083807">
    <w:abstractNumId w:val="9"/>
  </w:num>
  <w:num w:numId="31" w16cid:durableId="723287275">
    <w:abstractNumId w:val="2"/>
  </w:num>
  <w:num w:numId="32" w16cid:durableId="46224803">
    <w:abstractNumId w:val="19"/>
  </w:num>
  <w:num w:numId="33" w16cid:durableId="9718955">
    <w:abstractNumId w:val="1"/>
  </w:num>
  <w:num w:numId="34" w16cid:durableId="296496034">
    <w:abstractNumId w:val="34"/>
  </w:num>
  <w:num w:numId="35" w16cid:durableId="1929192959">
    <w:abstractNumId w:val="15"/>
  </w:num>
  <w:num w:numId="36" w16cid:durableId="1115251548">
    <w:abstractNumId w:val="29"/>
  </w:num>
  <w:num w:numId="37" w16cid:durableId="1578437486">
    <w:abstractNumId w:val="6"/>
  </w:num>
  <w:num w:numId="38" w16cid:durableId="261378603">
    <w:abstractNumId w:val="10"/>
  </w:num>
  <w:num w:numId="39" w16cid:durableId="480389784">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F1"/>
    <w:rsid w:val="0000000D"/>
    <w:rsid w:val="00000037"/>
    <w:rsid w:val="00000A1F"/>
    <w:rsid w:val="00000A2B"/>
    <w:rsid w:val="0000109A"/>
    <w:rsid w:val="0000126C"/>
    <w:rsid w:val="000015AF"/>
    <w:rsid w:val="000015C5"/>
    <w:rsid w:val="000016B4"/>
    <w:rsid w:val="00001931"/>
    <w:rsid w:val="00001AE6"/>
    <w:rsid w:val="00001D55"/>
    <w:rsid w:val="00001F99"/>
    <w:rsid w:val="0000232E"/>
    <w:rsid w:val="00002474"/>
    <w:rsid w:val="0000300A"/>
    <w:rsid w:val="000032DA"/>
    <w:rsid w:val="000033BC"/>
    <w:rsid w:val="00003996"/>
    <w:rsid w:val="00003BBA"/>
    <w:rsid w:val="00003F6F"/>
    <w:rsid w:val="00004248"/>
    <w:rsid w:val="00004463"/>
    <w:rsid w:val="0000466A"/>
    <w:rsid w:val="00004B99"/>
    <w:rsid w:val="00004BE4"/>
    <w:rsid w:val="00004D4F"/>
    <w:rsid w:val="00004D69"/>
    <w:rsid w:val="00004DD6"/>
    <w:rsid w:val="00004F7F"/>
    <w:rsid w:val="0000516D"/>
    <w:rsid w:val="000054C9"/>
    <w:rsid w:val="00005D1A"/>
    <w:rsid w:val="00005E5D"/>
    <w:rsid w:val="0000645C"/>
    <w:rsid w:val="00006AE9"/>
    <w:rsid w:val="00006D80"/>
    <w:rsid w:val="00006DAF"/>
    <w:rsid w:val="00006DC7"/>
    <w:rsid w:val="00006EFB"/>
    <w:rsid w:val="000070A2"/>
    <w:rsid w:val="000070F8"/>
    <w:rsid w:val="0000740D"/>
    <w:rsid w:val="0000768A"/>
    <w:rsid w:val="00007842"/>
    <w:rsid w:val="00007A8B"/>
    <w:rsid w:val="00007B2F"/>
    <w:rsid w:val="00007DF2"/>
    <w:rsid w:val="00007F8B"/>
    <w:rsid w:val="00010013"/>
    <w:rsid w:val="00010727"/>
    <w:rsid w:val="0001093B"/>
    <w:rsid w:val="000109C6"/>
    <w:rsid w:val="000110B5"/>
    <w:rsid w:val="00011311"/>
    <w:rsid w:val="00011568"/>
    <w:rsid w:val="00011623"/>
    <w:rsid w:val="0001183F"/>
    <w:rsid w:val="00011988"/>
    <w:rsid w:val="00011F57"/>
    <w:rsid w:val="00011F97"/>
    <w:rsid w:val="00012964"/>
    <w:rsid w:val="00012970"/>
    <w:rsid w:val="00012AE9"/>
    <w:rsid w:val="00012B37"/>
    <w:rsid w:val="00012B8D"/>
    <w:rsid w:val="00012C1E"/>
    <w:rsid w:val="00012D4D"/>
    <w:rsid w:val="00012F8E"/>
    <w:rsid w:val="00012FBA"/>
    <w:rsid w:val="00013032"/>
    <w:rsid w:val="000130AC"/>
    <w:rsid w:val="000131CF"/>
    <w:rsid w:val="000132A4"/>
    <w:rsid w:val="00013454"/>
    <w:rsid w:val="000136EC"/>
    <w:rsid w:val="00014176"/>
    <w:rsid w:val="000145A7"/>
    <w:rsid w:val="0001468A"/>
    <w:rsid w:val="000146A3"/>
    <w:rsid w:val="00014974"/>
    <w:rsid w:val="000149B2"/>
    <w:rsid w:val="00014A39"/>
    <w:rsid w:val="00014BFF"/>
    <w:rsid w:val="0001519B"/>
    <w:rsid w:val="000151F3"/>
    <w:rsid w:val="000154FF"/>
    <w:rsid w:val="00015533"/>
    <w:rsid w:val="000157E1"/>
    <w:rsid w:val="00015A3C"/>
    <w:rsid w:val="00015AFF"/>
    <w:rsid w:val="00016037"/>
    <w:rsid w:val="000160E9"/>
    <w:rsid w:val="00016336"/>
    <w:rsid w:val="000166BC"/>
    <w:rsid w:val="00016764"/>
    <w:rsid w:val="00016BAF"/>
    <w:rsid w:val="00016BFE"/>
    <w:rsid w:val="00016E61"/>
    <w:rsid w:val="0001712E"/>
    <w:rsid w:val="000173AA"/>
    <w:rsid w:val="0001744E"/>
    <w:rsid w:val="000174BC"/>
    <w:rsid w:val="000177F5"/>
    <w:rsid w:val="000179EC"/>
    <w:rsid w:val="00017AF4"/>
    <w:rsid w:val="000204DA"/>
    <w:rsid w:val="000205B2"/>
    <w:rsid w:val="000205BE"/>
    <w:rsid w:val="00020738"/>
    <w:rsid w:val="00020A19"/>
    <w:rsid w:val="00020A38"/>
    <w:rsid w:val="00020A95"/>
    <w:rsid w:val="00020ED6"/>
    <w:rsid w:val="0002162B"/>
    <w:rsid w:val="0002181D"/>
    <w:rsid w:val="0002183D"/>
    <w:rsid w:val="00022216"/>
    <w:rsid w:val="0002226D"/>
    <w:rsid w:val="000222AD"/>
    <w:rsid w:val="000228B8"/>
    <w:rsid w:val="00022F1B"/>
    <w:rsid w:val="000231A4"/>
    <w:rsid w:val="0002381B"/>
    <w:rsid w:val="000238BF"/>
    <w:rsid w:val="000239FA"/>
    <w:rsid w:val="00023A60"/>
    <w:rsid w:val="00023B8B"/>
    <w:rsid w:val="00023E5E"/>
    <w:rsid w:val="00023F95"/>
    <w:rsid w:val="00024871"/>
    <w:rsid w:val="00024BB2"/>
    <w:rsid w:val="00024C78"/>
    <w:rsid w:val="00024D31"/>
    <w:rsid w:val="00024E61"/>
    <w:rsid w:val="00024E63"/>
    <w:rsid w:val="00024EA5"/>
    <w:rsid w:val="000250BD"/>
    <w:rsid w:val="00025314"/>
    <w:rsid w:val="000253AB"/>
    <w:rsid w:val="00025460"/>
    <w:rsid w:val="00025867"/>
    <w:rsid w:val="00025955"/>
    <w:rsid w:val="00025982"/>
    <w:rsid w:val="00025AAE"/>
    <w:rsid w:val="000263CF"/>
    <w:rsid w:val="000264C1"/>
    <w:rsid w:val="0002687B"/>
    <w:rsid w:val="00026D93"/>
    <w:rsid w:val="00026E75"/>
    <w:rsid w:val="00026E97"/>
    <w:rsid w:val="00026ECE"/>
    <w:rsid w:val="000270B6"/>
    <w:rsid w:val="00027503"/>
    <w:rsid w:val="0002755F"/>
    <w:rsid w:val="00027877"/>
    <w:rsid w:val="00027BF5"/>
    <w:rsid w:val="00027F61"/>
    <w:rsid w:val="00027FE2"/>
    <w:rsid w:val="0003028D"/>
    <w:rsid w:val="00030676"/>
    <w:rsid w:val="00030AB0"/>
    <w:rsid w:val="00030F06"/>
    <w:rsid w:val="00030F26"/>
    <w:rsid w:val="00030F35"/>
    <w:rsid w:val="00031842"/>
    <w:rsid w:val="00031DB7"/>
    <w:rsid w:val="0003200E"/>
    <w:rsid w:val="0003203A"/>
    <w:rsid w:val="00032232"/>
    <w:rsid w:val="0003277F"/>
    <w:rsid w:val="00032D79"/>
    <w:rsid w:val="00032EF5"/>
    <w:rsid w:val="000330CF"/>
    <w:rsid w:val="000332F5"/>
    <w:rsid w:val="00033309"/>
    <w:rsid w:val="00033615"/>
    <w:rsid w:val="00033628"/>
    <w:rsid w:val="0003397C"/>
    <w:rsid w:val="00033A59"/>
    <w:rsid w:val="00033DF3"/>
    <w:rsid w:val="0003423A"/>
    <w:rsid w:val="000342F7"/>
    <w:rsid w:val="000343E4"/>
    <w:rsid w:val="0003477F"/>
    <w:rsid w:val="000347A0"/>
    <w:rsid w:val="0003487F"/>
    <w:rsid w:val="00034B71"/>
    <w:rsid w:val="00034DBF"/>
    <w:rsid w:val="00034FA8"/>
    <w:rsid w:val="0003518A"/>
    <w:rsid w:val="000356AB"/>
    <w:rsid w:val="00035862"/>
    <w:rsid w:val="000359D9"/>
    <w:rsid w:val="00035B25"/>
    <w:rsid w:val="00035CE3"/>
    <w:rsid w:val="00036104"/>
    <w:rsid w:val="0003693E"/>
    <w:rsid w:val="00036AD8"/>
    <w:rsid w:val="00036B9B"/>
    <w:rsid w:val="00036C22"/>
    <w:rsid w:val="00036C5B"/>
    <w:rsid w:val="00036EC0"/>
    <w:rsid w:val="00037037"/>
    <w:rsid w:val="00037164"/>
    <w:rsid w:val="000372EC"/>
    <w:rsid w:val="00037302"/>
    <w:rsid w:val="00037561"/>
    <w:rsid w:val="000377A4"/>
    <w:rsid w:val="00037A40"/>
    <w:rsid w:val="00037C64"/>
    <w:rsid w:val="00037CDF"/>
    <w:rsid w:val="00037E5A"/>
    <w:rsid w:val="0004005D"/>
    <w:rsid w:val="000401C5"/>
    <w:rsid w:val="00040223"/>
    <w:rsid w:val="00040371"/>
    <w:rsid w:val="0004092D"/>
    <w:rsid w:val="00040ADF"/>
    <w:rsid w:val="00040B25"/>
    <w:rsid w:val="00040FB4"/>
    <w:rsid w:val="0004142C"/>
    <w:rsid w:val="0004178C"/>
    <w:rsid w:val="000417AF"/>
    <w:rsid w:val="00041A96"/>
    <w:rsid w:val="00041F28"/>
    <w:rsid w:val="00041F5D"/>
    <w:rsid w:val="0004239B"/>
    <w:rsid w:val="0004268D"/>
    <w:rsid w:val="00042A23"/>
    <w:rsid w:val="0004329A"/>
    <w:rsid w:val="000433AC"/>
    <w:rsid w:val="00043562"/>
    <w:rsid w:val="0004362C"/>
    <w:rsid w:val="000436A0"/>
    <w:rsid w:val="00043791"/>
    <w:rsid w:val="00043C30"/>
    <w:rsid w:val="00043DFD"/>
    <w:rsid w:val="00043E49"/>
    <w:rsid w:val="00043FD5"/>
    <w:rsid w:val="000440C2"/>
    <w:rsid w:val="000440EA"/>
    <w:rsid w:val="00044128"/>
    <w:rsid w:val="000443A6"/>
    <w:rsid w:val="00044647"/>
    <w:rsid w:val="0004468F"/>
    <w:rsid w:val="00044773"/>
    <w:rsid w:val="00044789"/>
    <w:rsid w:val="000449D1"/>
    <w:rsid w:val="00044DA4"/>
    <w:rsid w:val="000450AB"/>
    <w:rsid w:val="00045108"/>
    <w:rsid w:val="00045245"/>
    <w:rsid w:val="0004530B"/>
    <w:rsid w:val="0004575C"/>
    <w:rsid w:val="00045804"/>
    <w:rsid w:val="00045903"/>
    <w:rsid w:val="00045B8D"/>
    <w:rsid w:val="00045CC5"/>
    <w:rsid w:val="00045EFD"/>
    <w:rsid w:val="00045F1C"/>
    <w:rsid w:val="00045FA5"/>
    <w:rsid w:val="00046952"/>
    <w:rsid w:val="00046B6A"/>
    <w:rsid w:val="00046FD1"/>
    <w:rsid w:val="00047095"/>
    <w:rsid w:val="000472D4"/>
    <w:rsid w:val="000478B5"/>
    <w:rsid w:val="000478DB"/>
    <w:rsid w:val="00047ABD"/>
    <w:rsid w:val="00047BD2"/>
    <w:rsid w:val="0005032A"/>
    <w:rsid w:val="0005058D"/>
    <w:rsid w:val="00050EF4"/>
    <w:rsid w:val="00050FDD"/>
    <w:rsid w:val="00051024"/>
    <w:rsid w:val="000510BB"/>
    <w:rsid w:val="000510F1"/>
    <w:rsid w:val="000511D8"/>
    <w:rsid w:val="000517C2"/>
    <w:rsid w:val="000518CD"/>
    <w:rsid w:val="00051A0E"/>
    <w:rsid w:val="00051A75"/>
    <w:rsid w:val="00051BEB"/>
    <w:rsid w:val="00051FC1"/>
    <w:rsid w:val="0005214A"/>
    <w:rsid w:val="000529D0"/>
    <w:rsid w:val="00052D46"/>
    <w:rsid w:val="00052DB7"/>
    <w:rsid w:val="00052DD3"/>
    <w:rsid w:val="00053043"/>
    <w:rsid w:val="0005304B"/>
    <w:rsid w:val="000530AC"/>
    <w:rsid w:val="00053132"/>
    <w:rsid w:val="000531B9"/>
    <w:rsid w:val="0005326D"/>
    <w:rsid w:val="000532EC"/>
    <w:rsid w:val="00053513"/>
    <w:rsid w:val="00053721"/>
    <w:rsid w:val="00053F6C"/>
    <w:rsid w:val="00054094"/>
    <w:rsid w:val="00054365"/>
    <w:rsid w:val="000543D2"/>
    <w:rsid w:val="000546C0"/>
    <w:rsid w:val="00054703"/>
    <w:rsid w:val="00054EF5"/>
    <w:rsid w:val="00054FDC"/>
    <w:rsid w:val="000550C1"/>
    <w:rsid w:val="00055229"/>
    <w:rsid w:val="0005522A"/>
    <w:rsid w:val="0005546C"/>
    <w:rsid w:val="000556D2"/>
    <w:rsid w:val="00055B42"/>
    <w:rsid w:val="00055BD4"/>
    <w:rsid w:val="00055D71"/>
    <w:rsid w:val="0005660B"/>
    <w:rsid w:val="00056701"/>
    <w:rsid w:val="00056744"/>
    <w:rsid w:val="0005681B"/>
    <w:rsid w:val="00056D43"/>
    <w:rsid w:val="000574B1"/>
    <w:rsid w:val="00057D4C"/>
    <w:rsid w:val="000604D9"/>
    <w:rsid w:val="00060666"/>
    <w:rsid w:val="000609C7"/>
    <w:rsid w:val="00060CC9"/>
    <w:rsid w:val="00060F18"/>
    <w:rsid w:val="000618C3"/>
    <w:rsid w:val="00061D8C"/>
    <w:rsid w:val="00061DBC"/>
    <w:rsid w:val="00061DD0"/>
    <w:rsid w:val="00062085"/>
    <w:rsid w:val="000620EA"/>
    <w:rsid w:val="000620FF"/>
    <w:rsid w:val="00062326"/>
    <w:rsid w:val="0006241D"/>
    <w:rsid w:val="00062448"/>
    <w:rsid w:val="00062771"/>
    <w:rsid w:val="000629E8"/>
    <w:rsid w:val="00062FC6"/>
    <w:rsid w:val="0006339C"/>
    <w:rsid w:val="00063CC8"/>
    <w:rsid w:val="00063D91"/>
    <w:rsid w:val="00063DA9"/>
    <w:rsid w:val="00063E62"/>
    <w:rsid w:val="00063ED4"/>
    <w:rsid w:val="00064783"/>
    <w:rsid w:val="000647C2"/>
    <w:rsid w:val="0006497F"/>
    <w:rsid w:val="00065845"/>
    <w:rsid w:val="00066034"/>
    <w:rsid w:val="000660D1"/>
    <w:rsid w:val="000663CC"/>
    <w:rsid w:val="00066709"/>
    <w:rsid w:val="00066C20"/>
    <w:rsid w:val="000674CC"/>
    <w:rsid w:val="00067559"/>
    <w:rsid w:val="00067D1B"/>
    <w:rsid w:val="00067D25"/>
    <w:rsid w:val="00070027"/>
    <w:rsid w:val="0007021F"/>
    <w:rsid w:val="00070627"/>
    <w:rsid w:val="000708CB"/>
    <w:rsid w:val="00070925"/>
    <w:rsid w:val="000709A0"/>
    <w:rsid w:val="00070C0C"/>
    <w:rsid w:val="00070DCA"/>
    <w:rsid w:val="00070F13"/>
    <w:rsid w:val="0007116D"/>
    <w:rsid w:val="0007133F"/>
    <w:rsid w:val="000715AB"/>
    <w:rsid w:val="00071A90"/>
    <w:rsid w:val="00071E7C"/>
    <w:rsid w:val="0007219B"/>
    <w:rsid w:val="00072620"/>
    <w:rsid w:val="000727F1"/>
    <w:rsid w:val="00072CAE"/>
    <w:rsid w:val="00072D19"/>
    <w:rsid w:val="00073081"/>
    <w:rsid w:val="00073594"/>
    <w:rsid w:val="0007362B"/>
    <w:rsid w:val="00073659"/>
    <w:rsid w:val="00073773"/>
    <w:rsid w:val="000740A7"/>
    <w:rsid w:val="00074138"/>
    <w:rsid w:val="00074199"/>
    <w:rsid w:val="0007426D"/>
    <w:rsid w:val="00074942"/>
    <w:rsid w:val="0007499C"/>
    <w:rsid w:val="00074AE4"/>
    <w:rsid w:val="00074B99"/>
    <w:rsid w:val="00074FA8"/>
    <w:rsid w:val="000750B6"/>
    <w:rsid w:val="00075127"/>
    <w:rsid w:val="000759B2"/>
    <w:rsid w:val="00075A1A"/>
    <w:rsid w:val="00075A32"/>
    <w:rsid w:val="00075D14"/>
    <w:rsid w:val="00075DEE"/>
    <w:rsid w:val="00076360"/>
    <w:rsid w:val="000763F9"/>
    <w:rsid w:val="000764D3"/>
    <w:rsid w:val="00076929"/>
    <w:rsid w:val="00076986"/>
    <w:rsid w:val="00076B04"/>
    <w:rsid w:val="00076C07"/>
    <w:rsid w:val="00076C71"/>
    <w:rsid w:val="00076D6B"/>
    <w:rsid w:val="00076E25"/>
    <w:rsid w:val="000771B4"/>
    <w:rsid w:val="00077527"/>
    <w:rsid w:val="0007752E"/>
    <w:rsid w:val="00077963"/>
    <w:rsid w:val="00077D3C"/>
    <w:rsid w:val="00077EFD"/>
    <w:rsid w:val="00080241"/>
    <w:rsid w:val="0008028A"/>
    <w:rsid w:val="00080365"/>
    <w:rsid w:val="00080416"/>
    <w:rsid w:val="0008092B"/>
    <w:rsid w:val="00080ADA"/>
    <w:rsid w:val="00080B2B"/>
    <w:rsid w:val="00080B48"/>
    <w:rsid w:val="00080E30"/>
    <w:rsid w:val="00080FB9"/>
    <w:rsid w:val="000813A4"/>
    <w:rsid w:val="000816EB"/>
    <w:rsid w:val="00081778"/>
    <w:rsid w:val="0008187F"/>
    <w:rsid w:val="00081C67"/>
    <w:rsid w:val="00081EB8"/>
    <w:rsid w:val="0008272B"/>
    <w:rsid w:val="0008287D"/>
    <w:rsid w:val="00082B78"/>
    <w:rsid w:val="00083331"/>
    <w:rsid w:val="00083A5E"/>
    <w:rsid w:val="00083AA5"/>
    <w:rsid w:val="00083B90"/>
    <w:rsid w:val="00083C05"/>
    <w:rsid w:val="00083D37"/>
    <w:rsid w:val="00083E02"/>
    <w:rsid w:val="00084B63"/>
    <w:rsid w:val="00084BAC"/>
    <w:rsid w:val="00084C1D"/>
    <w:rsid w:val="00084EA4"/>
    <w:rsid w:val="00084EE2"/>
    <w:rsid w:val="000851D8"/>
    <w:rsid w:val="000853A7"/>
    <w:rsid w:val="00085763"/>
    <w:rsid w:val="000859C8"/>
    <w:rsid w:val="000867B0"/>
    <w:rsid w:val="000867D1"/>
    <w:rsid w:val="000870B6"/>
    <w:rsid w:val="00087404"/>
    <w:rsid w:val="000874D7"/>
    <w:rsid w:val="00087648"/>
    <w:rsid w:val="00087916"/>
    <w:rsid w:val="00087E11"/>
    <w:rsid w:val="00090463"/>
    <w:rsid w:val="00090528"/>
    <w:rsid w:val="00090613"/>
    <w:rsid w:val="000908FD"/>
    <w:rsid w:val="00090A0E"/>
    <w:rsid w:val="00090A7C"/>
    <w:rsid w:val="00090BD1"/>
    <w:rsid w:val="00090D83"/>
    <w:rsid w:val="00090DDC"/>
    <w:rsid w:val="0009127D"/>
    <w:rsid w:val="00091369"/>
    <w:rsid w:val="000913A5"/>
    <w:rsid w:val="000916CF"/>
    <w:rsid w:val="00091857"/>
    <w:rsid w:val="00091C59"/>
    <w:rsid w:val="0009204A"/>
    <w:rsid w:val="000920DB"/>
    <w:rsid w:val="0009250F"/>
    <w:rsid w:val="00092589"/>
    <w:rsid w:val="00092A1E"/>
    <w:rsid w:val="00092A21"/>
    <w:rsid w:val="00092C10"/>
    <w:rsid w:val="00093024"/>
    <w:rsid w:val="00093036"/>
    <w:rsid w:val="0009314F"/>
    <w:rsid w:val="000931AD"/>
    <w:rsid w:val="000935B9"/>
    <w:rsid w:val="00093BE5"/>
    <w:rsid w:val="00093C02"/>
    <w:rsid w:val="00093D11"/>
    <w:rsid w:val="00093D12"/>
    <w:rsid w:val="00093D9A"/>
    <w:rsid w:val="000940FA"/>
    <w:rsid w:val="000941EA"/>
    <w:rsid w:val="00094335"/>
    <w:rsid w:val="00094656"/>
    <w:rsid w:val="0009466A"/>
    <w:rsid w:val="000947C2"/>
    <w:rsid w:val="000948C6"/>
    <w:rsid w:val="00094B1A"/>
    <w:rsid w:val="00094D21"/>
    <w:rsid w:val="000954B5"/>
    <w:rsid w:val="00095946"/>
    <w:rsid w:val="00095A8C"/>
    <w:rsid w:val="00095FC3"/>
    <w:rsid w:val="00096007"/>
    <w:rsid w:val="000960F0"/>
    <w:rsid w:val="000961D4"/>
    <w:rsid w:val="00096207"/>
    <w:rsid w:val="00096401"/>
    <w:rsid w:val="00096B52"/>
    <w:rsid w:val="00096B7C"/>
    <w:rsid w:val="00096D45"/>
    <w:rsid w:val="000971AA"/>
    <w:rsid w:val="00097269"/>
    <w:rsid w:val="00097525"/>
    <w:rsid w:val="0009755D"/>
    <w:rsid w:val="000A0049"/>
    <w:rsid w:val="000A01AA"/>
    <w:rsid w:val="000A0259"/>
    <w:rsid w:val="000A02D2"/>
    <w:rsid w:val="000A0414"/>
    <w:rsid w:val="000A0897"/>
    <w:rsid w:val="000A0A70"/>
    <w:rsid w:val="000A0F6E"/>
    <w:rsid w:val="000A10BF"/>
    <w:rsid w:val="000A12FD"/>
    <w:rsid w:val="000A1568"/>
    <w:rsid w:val="000A1A1A"/>
    <w:rsid w:val="000A1CD6"/>
    <w:rsid w:val="000A20D6"/>
    <w:rsid w:val="000A23EF"/>
    <w:rsid w:val="000A27B4"/>
    <w:rsid w:val="000A2975"/>
    <w:rsid w:val="000A2ACD"/>
    <w:rsid w:val="000A2B65"/>
    <w:rsid w:val="000A2BAE"/>
    <w:rsid w:val="000A2DA8"/>
    <w:rsid w:val="000A2F1A"/>
    <w:rsid w:val="000A32E6"/>
    <w:rsid w:val="000A32F5"/>
    <w:rsid w:val="000A347A"/>
    <w:rsid w:val="000A3533"/>
    <w:rsid w:val="000A3543"/>
    <w:rsid w:val="000A3877"/>
    <w:rsid w:val="000A38E8"/>
    <w:rsid w:val="000A3934"/>
    <w:rsid w:val="000A3969"/>
    <w:rsid w:val="000A39E2"/>
    <w:rsid w:val="000A3B47"/>
    <w:rsid w:val="000A3C8B"/>
    <w:rsid w:val="000A3CA6"/>
    <w:rsid w:val="000A3D07"/>
    <w:rsid w:val="000A3EC6"/>
    <w:rsid w:val="000A3F6F"/>
    <w:rsid w:val="000A40D8"/>
    <w:rsid w:val="000A4132"/>
    <w:rsid w:val="000A4153"/>
    <w:rsid w:val="000A420E"/>
    <w:rsid w:val="000A4223"/>
    <w:rsid w:val="000A452D"/>
    <w:rsid w:val="000A4C01"/>
    <w:rsid w:val="000A5486"/>
    <w:rsid w:val="000A5592"/>
    <w:rsid w:val="000A5652"/>
    <w:rsid w:val="000A585C"/>
    <w:rsid w:val="000A5917"/>
    <w:rsid w:val="000A5BB8"/>
    <w:rsid w:val="000A5C47"/>
    <w:rsid w:val="000A5E88"/>
    <w:rsid w:val="000A629E"/>
    <w:rsid w:val="000A67F6"/>
    <w:rsid w:val="000A68B8"/>
    <w:rsid w:val="000A6989"/>
    <w:rsid w:val="000A6B30"/>
    <w:rsid w:val="000A6E4C"/>
    <w:rsid w:val="000A7224"/>
    <w:rsid w:val="000A7365"/>
    <w:rsid w:val="000A73D0"/>
    <w:rsid w:val="000A74AE"/>
    <w:rsid w:val="000A74BC"/>
    <w:rsid w:val="000A76A1"/>
    <w:rsid w:val="000A784E"/>
    <w:rsid w:val="000A79BA"/>
    <w:rsid w:val="000B008F"/>
    <w:rsid w:val="000B013E"/>
    <w:rsid w:val="000B0562"/>
    <w:rsid w:val="000B058B"/>
    <w:rsid w:val="000B061A"/>
    <w:rsid w:val="000B0C02"/>
    <w:rsid w:val="000B172B"/>
    <w:rsid w:val="000B1BC2"/>
    <w:rsid w:val="000B200C"/>
    <w:rsid w:val="000B2876"/>
    <w:rsid w:val="000B2905"/>
    <w:rsid w:val="000B2BA6"/>
    <w:rsid w:val="000B2BBC"/>
    <w:rsid w:val="000B2C18"/>
    <w:rsid w:val="000B2E37"/>
    <w:rsid w:val="000B2ED9"/>
    <w:rsid w:val="000B3330"/>
    <w:rsid w:val="000B33F5"/>
    <w:rsid w:val="000B3533"/>
    <w:rsid w:val="000B35B6"/>
    <w:rsid w:val="000B39EF"/>
    <w:rsid w:val="000B3B4B"/>
    <w:rsid w:val="000B3B81"/>
    <w:rsid w:val="000B3CB0"/>
    <w:rsid w:val="000B3F96"/>
    <w:rsid w:val="000B400C"/>
    <w:rsid w:val="000B461E"/>
    <w:rsid w:val="000B4F83"/>
    <w:rsid w:val="000B517E"/>
    <w:rsid w:val="000B57E4"/>
    <w:rsid w:val="000B5872"/>
    <w:rsid w:val="000B59F9"/>
    <w:rsid w:val="000B5B95"/>
    <w:rsid w:val="000B5E5F"/>
    <w:rsid w:val="000B5F84"/>
    <w:rsid w:val="000B609C"/>
    <w:rsid w:val="000B6257"/>
    <w:rsid w:val="000B626B"/>
    <w:rsid w:val="000B6730"/>
    <w:rsid w:val="000B6CF0"/>
    <w:rsid w:val="000B71BB"/>
    <w:rsid w:val="000B720C"/>
    <w:rsid w:val="000B7665"/>
    <w:rsid w:val="000B7975"/>
    <w:rsid w:val="000B7B42"/>
    <w:rsid w:val="000C0399"/>
    <w:rsid w:val="000C0566"/>
    <w:rsid w:val="000C05F4"/>
    <w:rsid w:val="000C0932"/>
    <w:rsid w:val="000C0995"/>
    <w:rsid w:val="000C09FC"/>
    <w:rsid w:val="000C0A8B"/>
    <w:rsid w:val="000C0DD1"/>
    <w:rsid w:val="000C109D"/>
    <w:rsid w:val="000C122D"/>
    <w:rsid w:val="000C1766"/>
    <w:rsid w:val="000C17A7"/>
    <w:rsid w:val="000C1EEB"/>
    <w:rsid w:val="000C1FA4"/>
    <w:rsid w:val="000C227A"/>
    <w:rsid w:val="000C240F"/>
    <w:rsid w:val="000C2429"/>
    <w:rsid w:val="000C2937"/>
    <w:rsid w:val="000C2ACA"/>
    <w:rsid w:val="000C2C88"/>
    <w:rsid w:val="000C2D71"/>
    <w:rsid w:val="000C2F38"/>
    <w:rsid w:val="000C2F9B"/>
    <w:rsid w:val="000C3063"/>
    <w:rsid w:val="000C30C2"/>
    <w:rsid w:val="000C33C2"/>
    <w:rsid w:val="000C397C"/>
    <w:rsid w:val="000C3E5B"/>
    <w:rsid w:val="000C425A"/>
    <w:rsid w:val="000C43BB"/>
    <w:rsid w:val="000C4831"/>
    <w:rsid w:val="000C4962"/>
    <w:rsid w:val="000C4C13"/>
    <w:rsid w:val="000C4C90"/>
    <w:rsid w:val="000C4FFC"/>
    <w:rsid w:val="000C50D4"/>
    <w:rsid w:val="000C5102"/>
    <w:rsid w:val="000C52A4"/>
    <w:rsid w:val="000C53DB"/>
    <w:rsid w:val="000C55A8"/>
    <w:rsid w:val="000C5959"/>
    <w:rsid w:val="000C631C"/>
    <w:rsid w:val="000C632A"/>
    <w:rsid w:val="000C63BC"/>
    <w:rsid w:val="000C69D1"/>
    <w:rsid w:val="000C69D9"/>
    <w:rsid w:val="000C6A8E"/>
    <w:rsid w:val="000C6B27"/>
    <w:rsid w:val="000C7037"/>
    <w:rsid w:val="000C7205"/>
    <w:rsid w:val="000C7C46"/>
    <w:rsid w:val="000C7D42"/>
    <w:rsid w:val="000C7E4B"/>
    <w:rsid w:val="000D00CF"/>
    <w:rsid w:val="000D01E1"/>
    <w:rsid w:val="000D0543"/>
    <w:rsid w:val="000D0A7B"/>
    <w:rsid w:val="000D0D0B"/>
    <w:rsid w:val="000D0F2F"/>
    <w:rsid w:val="000D1010"/>
    <w:rsid w:val="000D10D6"/>
    <w:rsid w:val="000D12EB"/>
    <w:rsid w:val="000D1308"/>
    <w:rsid w:val="000D143A"/>
    <w:rsid w:val="000D1697"/>
    <w:rsid w:val="000D1742"/>
    <w:rsid w:val="000D1B52"/>
    <w:rsid w:val="000D1B72"/>
    <w:rsid w:val="000D1FCF"/>
    <w:rsid w:val="000D204E"/>
    <w:rsid w:val="000D26D7"/>
    <w:rsid w:val="000D2D02"/>
    <w:rsid w:val="000D2DFD"/>
    <w:rsid w:val="000D2EBE"/>
    <w:rsid w:val="000D2ED7"/>
    <w:rsid w:val="000D2FB3"/>
    <w:rsid w:val="000D3020"/>
    <w:rsid w:val="000D313F"/>
    <w:rsid w:val="000D32E9"/>
    <w:rsid w:val="000D346D"/>
    <w:rsid w:val="000D3732"/>
    <w:rsid w:val="000D40AD"/>
    <w:rsid w:val="000D476C"/>
    <w:rsid w:val="000D4C1B"/>
    <w:rsid w:val="000D4D46"/>
    <w:rsid w:val="000D4D7C"/>
    <w:rsid w:val="000D545A"/>
    <w:rsid w:val="000D551C"/>
    <w:rsid w:val="000D5523"/>
    <w:rsid w:val="000D5855"/>
    <w:rsid w:val="000D596A"/>
    <w:rsid w:val="000D5C3A"/>
    <w:rsid w:val="000D5D97"/>
    <w:rsid w:val="000D5F67"/>
    <w:rsid w:val="000D6023"/>
    <w:rsid w:val="000D62C3"/>
    <w:rsid w:val="000D659C"/>
    <w:rsid w:val="000D66E6"/>
    <w:rsid w:val="000D6706"/>
    <w:rsid w:val="000D6A97"/>
    <w:rsid w:val="000D6AFE"/>
    <w:rsid w:val="000D6CFC"/>
    <w:rsid w:val="000D6D67"/>
    <w:rsid w:val="000D6F10"/>
    <w:rsid w:val="000D7706"/>
    <w:rsid w:val="000D7BB6"/>
    <w:rsid w:val="000D7BD2"/>
    <w:rsid w:val="000D7C3B"/>
    <w:rsid w:val="000D7E69"/>
    <w:rsid w:val="000D7EC4"/>
    <w:rsid w:val="000E0173"/>
    <w:rsid w:val="000E018F"/>
    <w:rsid w:val="000E03DC"/>
    <w:rsid w:val="000E0753"/>
    <w:rsid w:val="000E0A55"/>
    <w:rsid w:val="000E0BA2"/>
    <w:rsid w:val="000E0FF3"/>
    <w:rsid w:val="000E1124"/>
    <w:rsid w:val="000E16AF"/>
    <w:rsid w:val="000E16C9"/>
    <w:rsid w:val="000E1A99"/>
    <w:rsid w:val="000E260D"/>
    <w:rsid w:val="000E2734"/>
    <w:rsid w:val="000E2790"/>
    <w:rsid w:val="000E2D35"/>
    <w:rsid w:val="000E2E71"/>
    <w:rsid w:val="000E2F2C"/>
    <w:rsid w:val="000E3931"/>
    <w:rsid w:val="000E39CE"/>
    <w:rsid w:val="000E3D00"/>
    <w:rsid w:val="000E3E8A"/>
    <w:rsid w:val="000E452B"/>
    <w:rsid w:val="000E4642"/>
    <w:rsid w:val="000E475A"/>
    <w:rsid w:val="000E4962"/>
    <w:rsid w:val="000E4B48"/>
    <w:rsid w:val="000E4E54"/>
    <w:rsid w:val="000E4E6C"/>
    <w:rsid w:val="000E52D0"/>
    <w:rsid w:val="000E5531"/>
    <w:rsid w:val="000E5A7A"/>
    <w:rsid w:val="000E5C20"/>
    <w:rsid w:val="000E5DC2"/>
    <w:rsid w:val="000E61E4"/>
    <w:rsid w:val="000E61E5"/>
    <w:rsid w:val="000E6410"/>
    <w:rsid w:val="000E649C"/>
    <w:rsid w:val="000E64F4"/>
    <w:rsid w:val="000E678B"/>
    <w:rsid w:val="000E7062"/>
    <w:rsid w:val="000E7306"/>
    <w:rsid w:val="000E750D"/>
    <w:rsid w:val="000E7708"/>
    <w:rsid w:val="000E771D"/>
    <w:rsid w:val="000E79F7"/>
    <w:rsid w:val="000E7F14"/>
    <w:rsid w:val="000F0364"/>
    <w:rsid w:val="000F047D"/>
    <w:rsid w:val="000F048E"/>
    <w:rsid w:val="000F050A"/>
    <w:rsid w:val="000F05FE"/>
    <w:rsid w:val="000F0A4B"/>
    <w:rsid w:val="000F0CC5"/>
    <w:rsid w:val="000F0D70"/>
    <w:rsid w:val="000F0ED4"/>
    <w:rsid w:val="000F1182"/>
    <w:rsid w:val="000F1364"/>
    <w:rsid w:val="000F13CF"/>
    <w:rsid w:val="000F14C0"/>
    <w:rsid w:val="000F14EA"/>
    <w:rsid w:val="000F1678"/>
    <w:rsid w:val="000F19E1"/>
    <w:rsid w:val="000F1E78"/>
    <w:rsid w:val="000F1F47"/>
    <w:rsid w:val="000F2043"/>
    <w:rsid w:val="000F276A"/>
    <w:rsid w:val="000F29F1"/>
    <w:rsid w:val="000F2E01"/>
    <w:rsid w:val="000F3143"/>
    <w:rsid w:val="000F31AE"/>
    <w:rsid w:val="000F3409"/>
    <w:rsid w:val="000F3C9C"/>
    <w:rsid w:val="000F3EC9"/>
    <w:rsid w:val="000F4062"/>
    <w:rsid w:val="000F44B8"/>
    <w:rsid w:val="000F46F2"/>
    <w:rsid w:val="000F49CE"/>
    <w:rsid w:val="000F5170"/>
    <w:rsid w:val="000F5704"/>
    <w:rsid w:val="000F5A54"/>
    <w:rsid w:val="000F5ABF"/>
    <w:rsid w:val="000F5BCD"/>
    <w:rsid w:val="000F5C26"/>
    <w:rsid w:val="000F614F"/>
    <w:rsid w:val="000F6D84"/>
    <w:rsid w:val="000F7521"/>
    <w:rsid w:val="000F7987"/>
    <w:rsid w:val="000F7DBC"/>
    <w:rsid w:val="001002FB"/>
    <w:rsid w:val="0010050F"/>
    <w:rsid w:val="0010051C"/>
    <w:rsid w:val="0010052C"/>
    <w:rsid w:val="0010080F"/>
    <w:rsid w:val="00100846"/>
    <w:rsid w:val="0010084B"/>
    <w:rsid w:val="00100A03"/>
    <w:rsid w:val="00100AD4"/>
    <w:rsid w:val="00100B12"/>
    <w:rsid w:val="00100C2F"/>
    <w:rsid w:val="00100C52"/>
    <w:rsid w:val="00100D51"/>
    <w:rsid w:val="00100F32"/>
    <w:rsid w:val="00100F94"/>
    <w:rsid w:val="001012F4"/>
    <w:rsid w:val="00101742"/>
    <w:rsid w:val="001018C9"/>
    <w:rsid w:val="00101D02"/>
    <w:rsid w:val="001022A7"/>
    <w:rsid w:val="001024EA"/>
    <w:rsid w:val="0010251D"/>
    <w:rsid w:val="00102A36"/>
    <w:rsid w:val="00102D73"/>
    <w:rsid w:val="00103074"/>
    <w:rsid w:val="001031E9"/>
    <w:rsid w:val="0010320B"/>
    <w:rsid w:val="00103675"/>
    <w:rsid w:val="00103679"/>
    <w:rsid w:val="00103B0C"/>
    <w:rsid w:val="00103E48"/>
    <w:rsid w:val="00103F22"/>
    <w:rsid w:val="0010415F"/>
    <w:rsid w:val="001041FB"/>
    <w:rsid w:val="00104229"/>
    <w:rsid w:val="0010448B"/>
    <w:rsid w:val="0010451E"/>
    <w:rsid w:val="0010455C"/>
    <w:rsid w:val="00104DEE"/>
    <w:rsid w:val="00104DF0"/>
    <w:rsid w:val="001051EA"/>
    <w:rsid w:val="0010521F"/>
    <w:rsid w:val="0010529B"/>
    <w:rsid w:val="00105477"/>
    <w:rsid w:val="001054B6"/>
    <w:rsid w:val="001056AB"/>
    <w:rsid w:val="00105F76"/>
    <w:rsid w:val="00106032"/>
    <w:rsid w:val="00106049"/>
    <w:rsid w:val="00106189"/>
    <w:rsid w:val="0010625A"/>
    <w:rsid w:val="00106369"/>
    <w:rsid w:val="00106747"/>
    <w:rsid w:val="00106A49"/>
    <w:rsid w:val="00106B50"/>
    <w:rsid w:val="00106C21"/>
    <w:rsid w:val="00106C9D"/>
    <w:rsid w:val="00106D52"/>
    <w:rsid w:val="00106E46"/>
    <w:rsid w:val="0010718A"/>
    <w:rsid w:val="00107524"/>
    <w:rsid w:val="001075AF"/>
    <w:rsid w:val="00107847"/>
    <w:rsid w:val="00107B0C"/>
    <w:rsid w:val="00107B63"/>
    <w:rsid w:val="00107DCD"/>
    <w:rsid w:val="00107EF0"/>
    <w:rsid w:val="00107F8D"/>
    <w:rsid w:val="001104F0"/>
    <w:rsid w:val="001107FD"/>
    <w:rsid w:val="00110872"/>
    <w:rsid w:val="001109B0"/>
    <w:rsid w:val="001109D1"/>
    <w:rsid w:val="00110AC3"/>
    <w:rsid w:val="00110B78"/>
    <w:rsid w:val="00110D32"/>
    <w:rsid w:val="00110E60"/>
    <w:rsid w:val="00111234"/>
    <w:rsid w:val="001112D5"/>
    <w:rsid w:val="00111417"/>
    <w:rsid w:val="0011175D"/>
    <w:rsid w:val="00111789"/>
    <w:rsid w:val="001117DD"/>
    <w:rsid w:val="00111857"/>
    <w:rsid w:val="00111861"/>
    <w:rsid w:val="00111B04"/>
    <w:rsid w:val="00111B46"/>
    <w:rsid w:val="00111D6A"/>
    <w:rsid w:val="0011222F"/>
    <w:rsid w:val="0011248B"/>
    <w:rsid w:val="00112506"/>
    <w:rsid w:val="00112658"/>
    <w:rsid w:val="00112871"/>
    <w:rsid w:val="00112995"/>
    <w:rsid w:val="00112DE5"/>
    <w:rsid w:val="0011323B"/>
    <w:rsid w:val="001132A6"/>
    <w:rsid w:val="00113620"/>
    <w:rsid w:val="00113B0A"/>
    <w:rsid w:val="00113C60"/>
    <w:rsid w:val="00113E9C"/>
    <w:rsid w:val="00113E9F"/>
    <w:rsid w:val="00113F17"/>
    <w:rsid w:val="00114983"/>
    <w:rsid w:val="00114A64"/>
    <w:rsid w:val="00114AD8"/>
    <w:rsid w:val="00114C3B"/>
    <w:rsid w:val="00114DD3"/>
    <w:rsid w:val="00114F33"/>
    <w:rsid w:val="00115427"/>
    <w:rsid w:val="00115691"/>
    <w:rsid w:val="00115B21"/>
    <w:rsid w:val="00115E01"/>
    <w:rsid w:val="00115F72"/>
    <w:rsid w:val="001166DB"/>
    <w:rsid w:val="00116792"/>
    <w:rsid w:val="00116E3B"/>
    <w:rsid w:val="00116F88"/>
    <w:rsid w:val="00117039"/>
    <w:rsid w:val="00117081"/>
    <w:rsid w:val="001173E0"/>
    <w:rsid w:val="0011753D"/>
    <w:rsid w:val="00117540"/>
    <w:rsid w:val="001176B7"/>
    <w:rsid w:val="00117AB2"/>
    <w:rsid w:val="00117BB6"/>
    <w:rsid w:val="00117F04"/>
    <w:rsid w:val="00117F68"/>
    <w:rsid w:val="0012004E"/>
    <w:rsid w:val="0012030F"/>
    <w:rsid w:val="001203F3"/>
    <w:rsid w:val="0012055A"/>
    <w:rsid w:val="00120808"/>
    <w:rsid w:val="00120A4E"/>
    <w:rsid w:val="00120BD3"/>
    <w:rsid w:val="00120FCB"/>
    <w:rsid w:val="0012168C"/>
    <w:rsid w:val="0012192E"/>
    <w:rsid w:val="00121DF5"/>
    <w:rsid w:val="00121F8E"/>
    <w:rsid w:val="00122AE3"/>
    <w:rsid w:val="00122EE1"/>
    <w:rsid w:val="00123027"/>
    <w:rsid w:val="00123233"/>
    <w:rsid w:val="0012329D"/>
    <w:rsid w:val="00123481"/>
    <w:rsid w:val="00123658"/>
    <w:rsid w:val="001237AF"/>
    <w:rsid w:val="0012397A"/>
    <w:rsid w:val="00124264"/>
    <w:rsid w:val="00124496"/>
    <w:rsid w:val="001247EB"/>
    <w:rsid w:val="00124D0F"/>
    <w:rsid w:val="00124F3C"/>
    <w:rsid w:val="001256E8"/>
    <w:rsid w:val="001257F1"/>
    <w:rsid w:val="00125B61"/>
    <w:rsid w:val="00125DDA"/>
    <w:rsid w:val="00125FB1"/>
    <w:rsid w:val="00126122"/>
    <w:rsid w:val="00126498"/>
    <w:rsid w:val="00126C0D"/>
    <w:rsid w:val="001273F6"/>
    <w:rsid w:val="00127824"/>
    <w:rsid w:val="00127864"/>
    <w:rsid w:val="00127A32"/>
    <w:rsid w:val="0013114F"/>
    <w:rsid w:val="001312D6"/>
    <w:rsid w:val="0013138A"/>
    <w:rsid w:val="0013163F"/>
    <w:rsid w:val="001316A2"/>
    <w:rsid w:val="001317A3"/>
    <w:rsid w:val="001317EC"/>
    <w:rsid w:val="00131964"/>
    <w:rsid w:val="00131B5E"/>
    <w:rsid w:val="00131D45"/>
    <w:rsid w:val="00131D5A"/>
    <w:rsid w:val="00131EBC"/>
    <w:rsid w:val="001320F0"/>
    <w:rsid w:val="0013302E"/>
    <w:rsid w:val="00133084"/>
    <w:rsid w:val="001331E6"/>
    <w:rsid w:val="0013362D"/>
    <w:rsid w:val="001336E0"/>
    <w:rsid w:val="00133752"/>
    <w:rsid w:val="0013390A"/>
    <w:rsid w:val="00133E43"/>
    <w:rsid w:val="00133F34"/>
    <w:rsid w:val="001340E3"/>
    <w:rsid w:val="001343A7"/>
    <w:rsid w:val="0013462A"/>
    <w:rsid w:val="001346CD"/>
    <w:rsid w:val="00134A9F"/>
    <w:rsid w:val="00134CE5"/>
    <w:rsid w:val="00134D8E"/>
    <w:rsid w:val="00134FF9"/>
    <w:rsid w:val="00135273"/>
    <w:rsid w:val="001353A4"/>
    <w:rsid w:val="00135457"/>
    <w:rsid w:val="0013546C"/>
    <w:rsid w:val="001358D1"/>
    <w:rsid w:val="00135BDE"/>
    <w:rsid w:val="00135D0C"/>
    <w:rsid w:val="00135E43"/>
    <w:rsid w:val="00135E9C"/>
    <w:rsid w:val="00135FC9"/>
    <w:rsid w:val="00136419"/>
    <w:rsid w:val="0013656E"/>
    <w:rsid w:val="001368ED"/>
    <w:rsid w:val="00136C42"/>
    <w:rsid w:val="00136D09"/>
    <w:rsid w:val="001371A8"/>
    <w:rsid w:val="00137355"/>
    <w:rsid w:val="00137708"/>
    <w:rsid w:val="00137873"/>
    <w:rsid w:val="0014016E"/>
    <w:rsid w:val="0014068B"/>
    <w:rsid w:val="0014085A"/>
    <w:rsid w:val="0014097A"/>
    <w:rsid w:val="00140998"/>
    <w:rsid w:val="00140BDC"/>
    <w:rsid w:val="00140C45"/>
    <w:rsid w:val="0014106F"/>
    <w:rsid w:val="001415E3"/>
    <w:rsid w:val="001416DC"/>
    <w:rsid w:val="00141896"/>
    <w:rsid w:val="001418D6"/>
    <w:rsid w:val="00142069"/>
    <w:rsid w:val="00142B92"/>
    <w:rsid w:val="00142C64"/>
    <w:rsid w:val="00143268"/>
    <w:rsid w:val="001432A4"/>
    <w:rsid w:val="00143478"/>
    <w:rsid w:val="001434E0"/>
    <w:rsid w:val="001435F1"/>
    <w:rsid w:val="001437D2"/>
    <w:rsid w:val="00143A96"/>
    <w:rsid w:val="00143E92"/>
    <w:rsid w:val="00143F2F"/>
    <w:rsid w:val="00143FE1"/>
    <w:rsid w:val="00144277"/>
    <w:rsid w:val="00144406"/>
    <w:rsid w:val="00144497"/>
    <w:rsid w:val="001444B5"/>
    <w:rsid w:val="001445DD"/>
    <w:rsid w:val="001445F9"/>
    <w:rsid w:val="0014463B"/>
    <w:rsid w:val="001448B5"/>
    <w:rsid w:val="00144A1C"/>
    <w:rsid w:val="00144F3C"/>
    <w:rsid w:val="0014501D"/>
    <w:rsid w:val="001450AE"/>
    <w:rsid w:val="00145333"/>
    <w:rsid w:val="001459A3"/>
    <w:rsid w:val="00145E62"/>
    <w:rsid w:val="00145E78"/>
    <w:rsid w:val="001460A3"/>
    <w:rsid w:val="0014642D"/>
    <w:rsid w:val="001465D3"/>
    <w:rsid w:val="00146624"/>
    <w:rsid w:val="00146B2F"/>
    <w:rsid w:val="00146BF3"/>
    <w:rsid w:val="00146D5F"/>
    <w:rsid w:val="00146DFD"/>
    <w:rsid w:val="00146F51"/>
    <w:rsid w:val="00147091"/>
    <w:rsid w:val="001472FF"/>
    <w:rsid w:val="00147874"/>
    <w:rsid w:val="00147BB3"/>
    <w:rsid w:val="00147C99"/>
    <w:rsid w:val="00147CD9"/>
    <w:rsid w:val="00147E4A"/>
    <w:rsid w:val="00147EAA"/>
    <w:rsid w:val="00147EB0"/>
    <w:rsid w:val="00150167"/>
    <w:rsid w:val="0015022F"/>
    <w:rsid w:val="00150376"/>
    <w:rsid w:val="00150631"/>
    <w:rsid w:val="00150A9B"/>
    <w:rsid w:val="00150C3E"/>
    <w:rsid w:val="00150EB9"/>
    <w:rsid w:val="0015189F"/>
    <w:rsid w:val="00151959"/>
    <w:rsid w:val="001519E2"/>
    <w:rsid w:val="00151C56"/>
    <w:rsid w:val="00151CC2"/>
    <w:rsid w:val="00151DBD"/>
    <w:rsid w:val="0015219E"/>
    <w:rsid w:val="001522A6"/>
    <w:rsid w:val="001527A6"/>
    <w:rsid w:val="001527C0"/>
    <w:rsid w:val="001528FD"/>
    <w:rsid w:val="001530BA"/>
    <w:rsid w:val="00153112"/>
    <w:rsid w:val="0015315D"/>
    <w:rsid w:val="001531D6"/>
    <w:rsid w:val="00153CB2"/>
    <w:rsid w:val="00153D9F"/>
    <w:rsid w:val="00153DF8"/>
    <w:rsid w:val="00153EF4"/>
    <w:rsid w:val="001542BA"/>
    <w:rsid w:val="001547C8"/>
    <w:rsid w:val="001548AA"/>
    <w:rsid w:val="001549EB"/>
    <w:rsid w:val="00154BD5"/>
    <w:rsid w:val="00154D0A"/>
    <w:rsid w:val="00155076"/>
    <w:rsid w:val="001553C0"/>
    <w:rsid w:val="00155434"/>
    <w:rsid w:val="00155650"/>
    <w:rsid w:val="00155991"/>
    <w:rsid w:val="001559F5"/>
    <w:rsid w:val="00155BDA"/>
    <w:rsid w:val="00156388"/>
    <w:rsid w:val="0015664D"/>
    <w:rsid w:val="0015684A"/>
    <w:rsid w:val="001568B2"/>
    <w:rsid w:val="001569BF"/>
    <w:rsid w:val="00156D13"/>
    <w:rsid w:val="00156FA7"/>
    <w:rsid w:val="001579E7"/>
    <w:rsid w:val="00157BED"/>
    <w:rsid w:val="00157C82"/>
    <w:rsid w:val="00157F73"/>
    <w:rsid w:val="0016023A"/>
    <w:rsid w:val="001603CF"/>
    <w:rsid w:val="00160B03"/>
    <w:rsid w:val="00160B49"/>
    <w:rsid w:val="00160C33"/>
    <w:rsid w:val="00160F9B"/>
    <w:rsid w:val="00161142"/>
    <w:rsid w:val="0016140C"/>
    <w:rsid w:val="00161687"/>
    <w:rsid w:val="00161A44"/>
    <w:rsid w:val="00161CB7"/>
    <w:rsid w:val="00161CF4"/>
    <w:rsid w:val="00161DCE"/>
    <w:rsid w:val="001622E6"/>
    <w:rsid w:val="00162428"/>
    <w:rsid w:val="00162610"/>
    <w:rsid w:val="00162AAC"/>
    <w:rsid w:val="00162DBF"/>
    <w:rsid w:val="00162DF3"/>
    <w:rsid w:val="00162E0F"/>
    <w:rsid w:val="001630F8"/>
    <w:rsid w:val="001631C1"/>
    <w:rsid w:val="001632CA"/>
    <w:rsid w:val="001634E1"/>
    <w:rsid w:val="001638D9"/>
    <w:rsid w:val="00163A78"/>
    <w:rsid w:val="00163C81"/>
    <w:rsid w:val="00163DE1"/>
    <w:rsid w:val="00163E6A"/>
    <w:rsid w:val="0016415F"/>
    <w:rsid w:val="0016466C"/>
    <w:rsid w:val="00164682"/>
    <w:rsid w:val="001649C1"/>
    <w:rsid w:val="00164B3C"/>
    <w:rsid w:val="00164BA5"/>
    <w:rsid w:val="00164CF8"/>
    <w:rsid w:val="00164E3A"/>
    <w:rsid w:val="001653AE"/>
    <w:rsid w:val="0016545D"/>
    <w:rsid w:val="00165861"/>
    <w:rsid w:val="00165B4B"/>
    <w:rsid w:val="00165B4D"/>
    <w:rsid w:val="00166042"/>
    <w:rsid w:val="00166167"/>
    <w:rsid w:val="00166497"/>
    <w:rsid w:val="00166567"/>
    <w:rsid w:val="001667E2"/>
    <w:rsid w:val="00166B31"/>
    <w:rsid w:val="00166DB2"/>
    <w:rsid w:val="00166E87"/>
    <w:rsid w:val="00167293"/>
    <w:rsid w:val="00167367"/>
    <w:rsid w:val="00167943"/>
    <w:rsid w:val="00167D50"/>
    <w:rsid w:val="00167E7B"/>
    <w:rsid w:val="00170251"/>
    <w:rsid w:val="001702B0"/>
    <w:rsid w:val="00170458"/>
    <w:rsid w:val="001706CF"/>
    <w:rsid w:val="0017084B"/>
    <w:rsid w:val="00170CA6"/>
    <w:rsid w:val="00170D5B"/>
    <w:rsid w:val="00170EF8"/>
    <w:rsid w:val="001713D9"/>
    <w:rsid w:val="00171580"/>
    <w:rsid w:val="00171687"/>
    <w:rsid w:val="00171DE7"/>
    <w:rsid w:val="00171E36"/>
    <w:rsid w:val="0017207D"/>
    <w:rsid w:val="001722C3"/>
    <w:rsid w:val="001723A4"/>
    <w:rsid w:val="0017244C"/>
    <w:rsid w:val="0017265F"/>
    <w:rsid w:val="00172B00"/>
    <w:rsid w:val="00172B8F"/>
    <w:rsid w:val="00172CD7"/>
    <w:rsid w:val="00172DB2"/>
    <w:rsid w:val="00172E22"/>
    <w:rsid w:val="00172F29"/>
    <w:rsid w:val="00173246"/>
    <w:rsid w:val="00173605"/>
    <w:rsid w:val="001736F8"/>
    <w:rsid w:val="0017399F"/>
    <w:rsid w:val="00173C9E"/>
    <w:rsid w:val="00173CED"/>
    <w:rsid w:val="00173D85"/>
    <w:rsid w:val="001743C1"/>
    <w:rsid w:val="0017476C"/>
    <w:rsid w:val="001748C7"/>
    <w:rsid w:val="001748C8"/>
    <w:rsid w:val="00174A98"/>
    <w:rsid w:val="00174E9C"/>
    <w:rsid w:val="00174FD4"/>
    <w:rsid w:val="001752FC"/>
    <w:rsid w:val="001758BD"/>
    <w:rsid w:val="00175D51"/>
    <w:rsid w:val="001765E6"/>
    <w:rsid w:val="00176DFD"/>
    <w:rsid w:val="00176E75"/>
    <w:rsid w:val="00176FDD"/>
    <w:rsid w:val="0017702E"/>
    <w:rsid w:val="0017759C"/>
    <w:rsid w:val="00177A7F"/>
    <w:rsid w:val="00177AFC"/>
    <w:rsid w:val="00177BBF"/>
    <w:rsid w:val="001801EB"/>
    <w:rsid w:val="0018051E"/>
    <w:rsid w:val="0018055D"/>
    <w:rsid w:val="00180680"/>
    <w:rsid w:val="001807C2"/>
    <w:rsid w:val="001809E5"/>
    <w:rsid w:val="001809F3"/>
    <w:rsid w:val="00180CC3"/>
    <w:rsid w:val="00180EA0"/>
    <w:rsid w:val="00180ECE"/>
    <w:rsid w:val="00180ED2"/>
    <w:rsid w:val="00181355"/>
    <w:rsid w:val="001815DB"/>
    <w:rsid w:val="0018179A"/>
    <w:rsid w:val="00181BC7"/>
    <w:rsid w:val="00181C93"/>
    <w:rsid w:val="00182205"/>
    <w:rsid w:val="0018238B"/>
    <w:rsid w:val="001823D6"/>
    <w:rsid w:val="0018274A"/>
    <w:rsid w:val="001827CE"/>
    <w:rsid w:val="00182888"/>
    <w:rsid w:val="001828D6"/>
    <w:rsid w:val="00182A2E"/>
    <w:rsid w:val="00182B84"/>
    <w:rsid w:val="00182DC6"/>
    <w:rsid w:val="00182F5A"/>
    <w:rsid w:val="00182FA7"/>
    <w:rsid w:val="00183DB3"/>
    <w:rsid w:val="001843EA"/>
    <w:rsid w:val="0018481E"/>
    <w:rsid w:val="00184BAE"/>
    <w:rsid w:val="00184EAB"/>
    <w:rsid w:val="00184EC6"/>
    <w:rsid w:val="0018542D"/>
    <w:rsid w:val="00185B06"/>
    <w:rsid w:val="00185B07"/>
    <w:rsid w:val="00185B4D"/>
    <w:rsid w:val="00185B5A"/>
    <w:rsid w:val="00185D26"/>
    <w:rsid w:val="00185FB0"/>
    <w:rsid w:val="0018648D"/>
    <w:rsid w:val="00186575"/>
    <w:rsid w:val="001865A7"/>
    <w:rsid w:val="0018675D"/>
    <w:rsid w:val="001868B8"/>
    <w:rsid w:val="00186F6D"/>
    <w:rsid w:val="0018701F"/>
    <w:rsid w:val="001873B5"/>
    <w:rsid w:val="00187844"/>
    <w:rsid w:val="0018787B"/>
    <w:rsid w:val="0018795A"/>
    <w:rsid w:val="00187E05"/>
    <w:rsid w:val="00187EFE"/>
    <w:rsid w:val="00190096"/>
    <w:rsid w:val="0019070B"/>
    <w:rsid w:val="0019094D"/>
    <w:rsid w:val="00190D2C"/>
    <w:rsid w:val="00190FC7"/>
    <w:rsid w:val="001914BC"/>
    <w:rsid w:val="0019177D"/>
    <w:rsid w:val="001917FC"/>
    <w:rsid w:val="001919B8"/>
    <w:rsid w:val="001919BA"/>
    <w:rsid w:val="00192448"/>
    <w:rsid w:val="001925A3"/>
    <w:rsid w:val="00192624"/>
    <w:rsid w:val="0019279C"/>
    <w:rsid w:val="001927CD"/>
    <w:rsid w:val="00192805"/>
    <w:rsid w:val="001929CE"/>
    <w:rsid w:val="00192B65"/>
    <w:rsid w:val="00192E8D"/>
    <w:rsid w:val="0019304D"/>
    <w:rsid w:val="001930E3"/>
    <w:rsid w:val="00193134"/>
    <w:rsid w:val="00193315"/>
    <w:rsid w:val="00193558"/>
    <w:rsid w:val="0019355B"/>
    <w:rsid w:val="0019362A"/>
    <w:rsid w:val="00193716"/>
    <w:rsid w:val="00193787"/>
    <w:rsid w:val="00193B56"/>
    <w:rsid w:val="00193CFC"/>
    <w:rsid w:val="00193F3A"/>
    <w:rsid w:val="0019407F"/>
    <w:rsid w:val="0019410D"/>
    <w:rsid w:val="00194431"/>
    <w:rsid w:val="0019474E"/>
    <w:rsid w:val="00194EFB"/>
    <w:rsid w:val="0019540F"/>
    <w:rsid w:val="00195728"/>
    <w:rsid w:val="00195830"/>
    <w:rsid w:val="001959BF"/>
    <w:rsid w:val="00195A0A"/>
    <w:rsid w:val="00195D00"/>
    <w:rsid w:val="00195E09"/>
    <w:rsid w:val="00195F0C"/>
    <w:rsid w:val="00195F2B"/>
    <w:rsid w:val="00196260"/>
    <w:rsid w:val="001964D4"/>
    <w:rsid w:val="00196CF7"/>
    <w:rsid w:val="00196FCF"/>
    <w:rsid w:val="001970C0"/>
    <w:rsid w:val="001970DC"/>
    <w:rsid w:val="001972CB"/>
    <w:rsid w:val="001974D4"/>
    <w:rsid w:val="00197856"/>
    <w:rsid w:val="001978B9"/>
    <w:rsid w:val="00197E09"/>
    <w:rsid w:val="001A0010"/>
    <w:rsid w:val="001A0339"/>
    <w:rsid w:val="001A036A"/>
    <w:rsid w:val="001A0553"/>
    <w:rsid w:val="001A0878"/>
    <w:rsid w:val="001A08F2"/>
    <w:rsid w:val="001A09FD"/>
    <w:rsid w:val="001A0ADB"/>
    <w:rsid w:val="001A0BE2"/>
    <w:rsid w:val="001A0CDA"/>
    <w:rsid w:val="001A1557"/>
    <w:rsid w:val="001A16B3"/>
    <w:rsid w:val="001A1897"/>
    <w:rsid w:val="001A1A2B"/>
    <w:rsid w:val="001A1BA9"/>
    <w:rsid w:val="001A1CB7"/>
    <w:rsid w:val="001A2097"/>
    <w:rsid w:val="001A221B"/>
    <w:rsid w:val="001A237B"/>
    <w:rsid w:val="001A2488"/>
    <w:rsid w:val="001A24AF"/>
    <w:rsid w:val="001A27C3"/>
    <w:rsid w:val="001A286D"/>
    <w:rsid w:val="001A2A4E"/>
    <w:rsid w:val="001A2ACE"/>
    <w:rsid w:val="001A2BB7"/>
    <w:rsid w:val="001A2BF7"/>
    <w:rsid w:val="001A2D4A"/>
    <w:rsid w:val="001A2E17"/>
    <w:rsid w:val="001A320E"/>
    <w:rsid w:val="001A34EF"/>
    <w:rsid w:val="001A35C9"/>
    <w:rsid w:val="001A35D2"/>
    <w:rsid w:val="001A36A2"/>
    <w:rsid w:val="001A3715"/>
    <w:rsid w:val="001A3EE5"/>
    <w:rsid w:val="001A420B"/>
    <w:rsid w:val="001A4B97"/>
    <w:rsid w:val="001A4D89"/>
    <w:rsid w:val="001A4EFB"/>
    <w:rsid w:val="001A4F7D"/>
    <w:rsid w:val="001A51DC"/>
    <w:rsid w:val="001A53DE"/>
    <w:rsid w:val="001A5EBE"/>
    <w:rsid w:val="001A6003"/>
    <w:rsid w:val="001A6087"/>
    <w:rsid w:val="001A623F"/>
    <w:rsid w:val="001A6A03"/>
    <w:rsid w:val="001A6BAF"/>
    <w:rsid w:val="001A6BFD"/>
    <w:rsid w:val="001A6E22"/>
    <w:rsid w:val="001A6E47"/>
    <w:rsid w:val="001A708E"/>
    <w:rsid w:val="001A7275"/>
    <w:rsid w:val="001A798C"/>
    <w:rsid w:val="001A79D4"/>
    <w:rsid w:val="001A7A8F"/>
    <w:rsid w:val="001A7B42"/>
    <w:rsid w:val="001A7D8F"/>
    <w:rsid w:val="001B00A6"/>
    <w:rsid w:val="001B0331"/>
    <w:rsid w:val="001B0A02"/>
    <w:rsid w:val="001B10D8"/>
    <w:rsid w:val="001B10E1"/>
    <w:rsid w:val="001B115C"/>
    <w:rsid w:val="001B118B"/>
    <w:rsid w:val="001B1531"/>
    <w:rsid w:val="001B1EA3"/>
    <w:rsid w:val="001B1EC4"/>
    <w:rsid w:val="001B21F5"/>
    <w:rsid w:val="001B21FD"/>
    <w:rsid w:val="001B24E2"/>
    <w:rsid w:val="001B27C3"/>
    <w:rsid w:val="001B2A97"/>
    <w:rsid w:val="001B2CD4"/>
    <w:rsid w:val="001B30D1"/>
    <w:rsid w:val="001B31C1"/>
    <w:rsid w:val="001B31D3"/>
    <w:rsid w:val="001B3356"/>
    <w:rsid w:val="001B33EB"/>
    <w:rsid w:val="001B386E"/>
    <w:rsid w:val="001B3E6E"/>
    <w:rsid w:val="001B3EC1"/>
    <w:rsid w:val="001B3EE7"/>
    <w:rsid w:val="001B49AE"/>
    <w:rsid w:val="001B49C9"/>
    <w:rsid w:val="001B4A53"/>
    <w:rsid w:val="001B4DD8"/>
    <w:rsid w:val="001B4E56"/>
    <w:rsid w:val="001B4E65"/>
    <w:rsid w:val="001B4F57"/>
    <w:rsid w:val="001B50A6"/>
    <w:rsid w:val="001B52DE"/>
    <w:rsid w:val="001B54E7"/>
    <w:rsid w:val="001B5716"/>
    <w:rsid w:val="001B5B11"/>
    <w:rsid w:val="001B5B3D"/>
    <w:rsid w:val="001B5B6C"/>
    <w:rsid w:val="001B5D7C"/>
    <w:rsid w:val="001B60F6"/>
    <w:rsid w:val="001B6429"/>
    <w:rsid w:val="001B6949"/>
    <w:rsid w:val="001B6A94"/>
    <w:rsid w:val="001B6B2B"/>
    <w:rsid w:val="001B6FAE"/>
    <w:rsid w:val="001B7329"/>
    <w:rsid w:val="001B77E1"/>
    <w:rsid w:val="001B7851"/>
    <w:rsid w:val="001B7B3A"/>
    <w:rsid w:val="001B7C27"/>
    <w:rsid w:val="001B7C75"/>
    <w:rsid w:val="001B7D29"/>
    <w:rsid w:val="001B7FCB"/>
    <w:rsid w:val="001C005E"/>
    <w:rsid w:val="001C0861"/>
    <w:rsid w:val="001C087E"/>
    <w:rsid w:val="001C0CA6"/>
    <w:rsid w:val="001C0D8E"/>
    <w:rsid w:val="001C0FE1"/>
    <w:rsid w:val="001C128C"/>
    <w:rsid w:val="001C1359"/>
    <w:rsid w:val="001C1612"/>
    <w:rsid w:val="001C1651"/>
    <w:rsid w:val="001C16DC"/>
    <w:rsid w:val="001C174A"/>
    <w:rsid w:val="001C1763"/>
    <w:rsid w:val="001C187C"/>
    <w:rsid w:val="001C1B6F"/>
    <w:rsid w:val="001C1BF0"/>
    <w:rsid w:val="001C1C14"/>
    <w:rsid w:val="001C1C4D"/>
    <w:rsid w:val="001C1D05"/>
    <w:rsid w:val="001C20D7"/>
    <w:rsid w:val="001C2229"/>
    <w:rsid w:val="001C2423"/>
    <w:rsid w:val="001C2497"/>
    <w:rsid w:val="001C2A48"/>
    <w:rsid w:val="001C2E20"/>
    <w:rsid w:val="001C30F5"/>
    <w:rsid w:val="001C31F8"/>
    <w:rsid w:val="001C3327"/>
    <w:rsid w:val="001C3396"/>
    <w:rsid w:val="001C37AB"/>
    <w:rsid w:val="001C3BD5"/>
    <w:rsid w:val="001C3CF2"/>
    <w:rsid w:val="001C3D83"/>
    <w:rsid w:val="001C4263"/>
    <w:rsid w:val="001C462D"/>
    <w:rsid w:val="001C4736"/>
    <w:rsid w:val="001C4852"/>
    <w:rsid w:val="001C490E"/>
    <w:rsid w:val="001C4CB2"/>
    <w:rsid w:val="001C4E78"/>
    <w:rsid w:val="001C5038"/>
    <w:rsid w:val="001C50B4"/>
    <w:rsid w:val="001C51F0"/>
    <w:rsid w:val="001C53A0"/>
    <w:rsid w:val="001C562C"/>
    <w:rsid w:val="001C562E"/>
    <w:rsid w:val="001C5CB5"/>
    <w:rsid w:val="001C627F"/>
    <w:rsid w:val="001C676D"/>
    <w:rsid w:val="001C69E3"/>
    <w:rsid w:val="001C6DFD"/>
    <w:rsid w:val="001C6E1E"/>
    <w:rsid w:val="001C6F3E"/>
    <w:rsid w:val="001C6F5A"/>
    <w:rsid w:val="001C709F"/>
    <w:rsid w:val="001C70DB"/>
    <w:rsid w:val="001C7325"/>
    <w:rsid w:val="001C77BB"/>
    <w:rsid w:val="001C799D"/>
    <w:rsid w:val="001C7AAD"/>
    <w:rsid w:val="001C7AC0"/>
    <w:rsid w:val="001C7D84"/>
    <w:rsid w:val="001C7FE9"/>
    <w:rsid w:val="001D0879"/>
    <w:rsid w:val="001D0897"/>
    <w:rsid w:val="001D0CB9"/>
    <w:rsid w:val="001D130A"/>
    <w:rsid w:val="001D1446"/>
    <w:rsid w:val="001D1DA6"/>
    <w:rsid w:val="001D1DCE"/>
    <w:rsid w:val="001D1FDD"/>
    <w:rsid w:val="001D1FED"/>
    <w:rsid w:val="001D2262"/>
    <w:rsid w:val="001D2416"/>
    <w:rsid w:val="001D2515"/>
    <w:rsid w:val="001D26A5"/>
    <w:rsid w:val="001D288C"/>
    <w:rsid w:val="001D2AE3"/>
    <w:rsid w:val="001D2B72"/>
    <w:rsid w:val="001D2CDE"/>
    <w:rsid w:val="001D2E23"/>
    <w:rsid w:val="001D2E60"/>
    <w:rsid w:val="001D2F4D"/>
    <w:rsid w:val="001D30A3"/>
    <w:rsid w:val="001D327E"/>
    <w:rsid w:val="001D32C0"/>
    <w:rsid w:val="001D3323"/>
    <w:rsid w:val="001D3A64"/>
    <w:rsid w:val="001D3BD4"/>
    <w:rsid w:val="001D3DCA"/>
    <w:rsid w:val="001D3E2E"/>
    <w:rsid w:val="001D43C9"/>
    <w:rsid w:val="001D4443"/>
    <w:rsid w:val="001D455F"/>
    <w:rsid w:val="001D47BD"/>
    <w:rsid w:val="001D47CF"/>
    <w:rsid w:val="001D4A54"/>
    <w:rsid w:val="001D4EC3"/>
    <w:rsid w:val="001D531C"/>
    <w:rsid w:val="001D556A"/>
    <w:rsid w:val="001D5573"/>
    <w:rsid w:val="001D5699"/>
    <w:rsid w:val="001D5793"/>
    <w:rsid w:val="001D5968"/>
    <w:rsid w:val="001D5AE3"/>
    <w:rsid w:val="001D60BF"/>
    <w:rsid w:val="001D642A"/>
    <w:rsid w:val="001D68F6"/>
    <w:rsid w:val="001D692C"/>
    <w:rsid w:val="001D69E7"/>
    <w:rsid w:val="001D6A29"/>
    <w:rsid w:val="001D6EAD"/>
    <w:rsid w:val="001D721F"/>
    <w:rsid w:val="001D736C"/>
    <w:rsid w:val="001D74A7"/>
    <w:rsid w:val="001D7634"/>
    <w:rsid w:val="001D7A18"/>
    <w:rsid w:val="001D7D3D"/>
    <w:rsid w:val="001D7EDB"/>
    <w:rsid w:val="001E0469"/>
    <w:rsid w:val="001E0740"/>
    <w:rsid w:val="001E131A"/>
    <w:rsid w:val="001E15F2"/>
    <w:rsid w:val="001E1679"/>
    <w:rsid w:val="001E1BF8"/>
    <w:rsid w:val="001E1C66"/>
    <w:rsid w:val="001E21D5"/>
    <w:rsid w:val="001E22F7"/>
    <w:rsid w:val="001E233C"/>
    <w:rsid w:val="001E29DC"/>
    <w:rsid w:val="001E2A33"/>
    <w:rsid w:val="001E2B3E"/>
    <w:rsid w:val="001E32B4"/>
    <w:rsid w:val="001E3436"/>
    <w:rsid w:val="001E375C"/>
    <w:rsid w:val="001E3833"/>
    <w:rsid w:val="001E3B71"/>
    <w:rsid w:val="001E3EF3"/>
    <w:rsid w:val="001E4123"/>
    <w:rsid w:val="001E41BD"/>
    <w:rsid w:val="001E44F9"/>
    <w:rsid w:val="001E4626"/>
    <w:rsid w:val="001E465F"/>
    <w:rsid w:val="001E4B2F"/>
    <w:rsid w:val="001E4E11"/>
    <w:rsid w:val="001E4E1D"/>
    <w:rsid w:val="001E4F77"/>
    <w:rsid w:val="001E4FD8"/>
    <w:rsid w:val="001E5060"/>
    <w:rsid w:val="001E542F"/>
    <w:rsid w:val="001E5B0B"/>
    <w:rsid w:val="001E5E10"/>
    <w:rsid w:val="001E60D3"/>
    <w:rsid w:val="001E6141"/>
    <w:rsid w:val="001E6146"/>
    <w:rsid w:val="001E64D7"/>
    <w:rsid w:val="001E687C"/>
    <w:rsid w:val="001E6E98"/>
    <w:rsid w:val="001E6EB0"/>
    <w:rsid w:val="001E6EBC"/>
    <w:rsid w:val="001E798B"/>
    <w:rsid w:val="001E7CFE"/>
    <w:rsid w:val="001E7DCB"/>
    <w:rsid w:val="001F040E"/>
    <w:rsid w:val="001F04EA"/>
    <w:rsid w:val="001F06E7"/>
    <w:rsid w:val="001F0985"/>
    <w:rsid w:val="001F0BBD"/>
    <w:rsid w:val="001F12EF"/>
    <w:rsid w:val="001F1332"/>
    <w:rsid w:val="001F14A4"/>
    <w:rsid w:val="001F17FE"/>
    <w:rsid w:val="001F194D"/>
    <w:rsid w:val="001F1ADF"/>
    <w:rsid w:val="001F1D79"/>
    <w:rsid w:val="001F1DF5"/>
    <w:rsid w:val="001F201C"/>
    <w:rsid w:val="001F205A"/>
    <w:rsid w:val="001F2345"/>
    <w:rsid w:val="001F247C"/>
    <w:rsid w:val="001F24BC"/>
    <w:rsid w:val="001F2902"/>
    <w:rsid w:val="001F2FB3"/>
    <w:rsid w:val="001F3431"/>
    <w:rsid w:val="001F37BF"/>
    <w:rsid w:val="001F3F36"/>
    <w:rsid w:val="001F42DE"/>
    <w:rsid w:val="001F4755"/>
    <w:rsid w:val="001F4863"/>
    <w:rsid w:val="001F4A8F"/>
    <w:rsid w:val="001F4B1C"/>
    <w:rsid w:val="001F4BF5"/>
    <w:rsid w:val="001F4D7F"/>
    <w:rsid w:val="001F4DEE"/>
    <w:rsid w:val="001F503F"/>
    <w:rsid w:val="001F511C"/>
    <w:rsid w:val="001F5851"/>
    <w:rsid w:val="001F595F"/>
    <w:rsid w:val="001F599F"/>
    <w:rsid w:val="001F59F1"/>
    <w:rsid w:val="001F5ADE"/>
    <w:rsid w:val="001F5BAC"/>
    <w:rsid w:val="001F5C59"/>
    <w:rsid w:val="001F621E"/>
    <w:rsid w:val="001F658C"/>
    <w:rsid w:val="001F675C"/>
    <w:rsid w:val="001F69E6"/>
    <w:rsid w:val="001F6B00"/>
    <w:rsid w:val="001F6F44"/>
    <w:rsid w:val="001F7194"/>
    <w:rsid w:val="001F7563"/>
    <w:rsid w:val="001F7639"/>
    <w:rsid w:val="001F79DF"/>
    <w:rsid w:val="001F7DC4"/>
    <w:rsid w:val="00200067"/>
    <w:rsid w:val="0020052F"/>
    <w:rsid w:val="002007EF"/>
    <w:rsid w:val="00200941"/>
    <w:rsid w:val="002009A7"/>
    <w:rsid w:val="00200A39"/>
    <w:rsid w:val="00200B34"/>
    <w:rsid w:val="00200F5C"/>
    <w:rsid w:val="002013FE"/>
    <w:rsid w:val="00201403"/>
    <w:rsid w:val="00201F03"/>
    <w:rsid w:val="002021AA"/>
    <w:rsid w:val="002023C7"/>
    <w:rsid w:val="00202735"/>
    <w:rsid w:val="0020296C"/>
    <w:rsid w:val="00202B65"/>
    <w:rsid w:val="00202C79"/>
    <w:rsid w:val="00202CCA"/>
    <w:rsid w:val="00202D5E"/>
    <w:rsid w:val="00202EFE"/>
    <w:rsid w:val="00202F45"/>
    <w:rsid w:val="002032F2"/>
    <w:rsid w:val="002033A1"/>
    <w:rsid w:val="00203665"/>
    <w:rsid w:val="002039D0"/>
    <w:rsid w:val="00203AE0"/>
    <w:rsid w:val="00203DD5"/>
    <w:rsid w:val="0020459A"/>
    <w:rsid w:val="00204905"/>
    <w:rsid w:val="002049C3"/>
    <w:rsid w:val="00204B3C"/>
    <w:rsid w:val="0020574A"/>
    <w:rsid w:val="002057A6"/>
    <w:rsid w:val="002057DB"/>
    <w:rsid w:val="00205C1F"/>
    <w:rsid w:val="00205DBF"/>
    <w:rsid w:val="00205E35"/>
    <w:rsid w:val="00205FFA"/>
    <w:rsid w:val="002060A7"/>
    <w:rsid w:val="002061D5"/>
    <w:rsid w:val="0020642A"/>
    <w:rsid w:val="00206602"/>
    <w:rsid w:val="00206966"/>
    <w:rsid w:val="00206B57"/>
    <w:rsid w:val="00206D2E"/>
    <w:rsid w:val="00206DEC"/>
    <w:rsid w:val="0020719A"/>
    <w:rsid w:val="002072F1"/>
    <w:rsid w:val="0020734A"/>
    <w:rsid w:val="00207634"/>
    <w:rsid w:val="002076FC"/>
    <w:rsid w:val="002078CE"/>
    <w:rsid w:val="00207C3D"/>
    <w:rsid w:val="00207F59"/>
    <w:rsid w:val="00210127"/>
    <w:rsid w:val="002103E5"/>
    <w:rsid w:val="0021084B"/>
    <w:rsid w:val="00210889"/>
    <w:rsid w:val="00210A33"/>
    <w:rsid w:val="00210DA7"/>
    <w:rsid w:val="00210E93"/>
    <w:rsid w:val="00211041"/>
    <w:rsid w:val="00211103"/>
    <w:rsid w:val="0021123F"/>
    <w:rsid w:val="00211366"/>
    <w:rsid w:val="0021137A"/>
    <w:rsid w:val="00211539"/>
    <w:rsid w:val="002117AD"/>
    <w:rsid w:val="0021181B"/>
    <w:rsid w:val="00211A1E"/>
    <w:rsid w:val="00211A39"/>
    <w:rsid w:val="00211C95"/>
    <w:rsid w:val="00211DC3"/>
    <w:rsid w:val="00211E31"/>
    <w:rsid w:val="00211E43"/>
    <w:rsid w:val="00211E5D"/>
    <w:rsid w:val="002121AC"/>
    <w:rsid w:val="002122C9"/>
    <w:rsid w:val="00212AE8"/>
    <w:rsid w:val="00212FC4"/>
    <w:rsid w:val="002133FF"/>
    <w:rsid w:val="002135BB"/>
    <w:rsid w:val="0021373F"/>
    <w:rsid w:val="00213897"/>
    <w:rsid w:val="00213E79"/>
    <w:rsid w:val="002141F2"/>
    <w:rsid w:val="00214202"/>
    <w:rsid w:val="002143A2"/>
    <w:rsid w:val="002144DE"/>
    <w:rsid w:val="00214BA8"/>
    <w:rsid w:val="00214EAA"/>
    <w:rsid w:val="00215587"/>
    <w:rsid w:val="002155B6"/>
    <w:rsid w:val="002157E4"/>
    <w:rsid w:val="0021581F"/>
    <w:rsid w:val="00215868"/>
    <w:rsid w:val="00215AFB"/>
    <w:rsid w:val="00215DEA"/>
    <w:rsid w:val="0021611A"/>
    <w:rsid w:val="0021645F"/>
    <w:rsid w:val="002165A8"/>
    <w:rsid w:val="00216824"/>
    <w:rsid w:val="002168F4"/>
    <w:rsid w:val="00216B5C"/>
    <w:rsid w:val="00216D32"/>
    <w:rsid w:val="00216D9C"/>
    <w:rsid w:val="002173E9"/>
    <w:rsid w:val="0021787A"/>
    <w:rsid w:val="002179D8"/>
    <w:rsid w:val="00217D0F"/>
    <w:rsid w:val="002200D8"/>
    <w:rsid w:val="002201E2"/>
    <w:rsid w:val="0022023E"/>
    <w:rsid w:val="00220689"/>
    <w:rsid w:val="00220702"/>
    <w:rsid w:val="00220896"/>
    <w:rsid w:val="0022094C"/>
    <w:rsid w:val="00220978"/>
    <w:rsid w:val="00220B1F"/>
    <w:rsid w:val="0022107C"/>
    <w:rsid w:val="00221084"/>
    <w:rsid w:val="002212C7"/>
    <w:rsid w:val="00221460"/>
    <w:rsid w:val="0022186F"/>
    <w:rsid w:val="002221C7"/>
    <w:rsid w:val="002221F7"/>
    <w:rsid w:val="00222403"/>
    <w:rsid w:val="002224D2"/>
    <w:rsid w:val="002226D5"/>
    <w:rsid w:val="00222DD2"/>
    <w:rsid w:val="00223163"/>
    <w:rsid w:val="002233D5"/>
    <w:rsid w:val="00223434"/>
    <w:rsid w:val="0022364A"/>
    <w:rsid w:val="00223664"/>
    <w:rsid w:val="00223A56"/>
    <w:rsid w:val="00223ABC"/>
    <w:rsid w:val="00223B91"/>
    <w:rsid w:val="00223EDF"/>
    <w:rsid w:val="00224071"/>
    <w:rsid w:val="00224AC2"/>
    <w:rsid w:val="00224BE1"/>
    <w:rsid w:val="0022511F"/>
    <w:rsid w:val="00225347"/>
    <w:rsid w:val="002257E9"/>
    <w:rsid w:val="00225821"/>
    <w:rsid w:val="00225833"/>
    <w:rsid w:val="002258FB"/>
    <w:rsid w:val="00225AD8"/>
    <w:rsid w:val="00225B0B"/>
    <w:rsid w:val="00225EFF"/>
    <w:rsid w:val="00226095"/>
    <w:rsid w:val="0022650F"/>
    <w:rsid w:val="00226589"/>
    <w:rsid w:val="00226894"/>
    <w:rsid w:val="002269E5"/>
    <w:rsid w:val="00226A32"/>
    <w:rsid w:val="00226E2E"/>
    <w:rsid w:val="00227131"/>
    <w:rsid w:val="0022730A"/>
    <w:rsid w:val="0022751F"/>
    <w:rsid w:val="002278EE"/>
    <w:rsid w:val="00227B89"/>
    <w:rsid w:val="00227F43"/>
    <w:rsid w:val="002301ED"/>
    <w:rsid w:val="00230274"/>
    <w:rsid w:val="00230590"/>
    <w:rsid w:val="00230932"/>
    <w:rsid w:val="002309AE"/>
    <w:rsid w:val="00230C9F"/>
    <w:rsid w:val="00230D03"/>
    <w:rsid w:val="0023122F"/>
    <w:rsid w:val="0023175F"/>
    <w:rsid w:val="002317D9"/>
    <w:rsid w:val="00231B9E"/>
    <w:rsid w:val="002321A8"/>
    <w:rsid w:val="002322CE"/>
    <w:rsid w:val="0023243C"/>
    <w:rsid w:val="002329D7"/>
    <w:rsid w:val="00232ABB"/>
    <w:rsid w:val="00232BAB"/>
    <w:rsid w:val="00232DF8"/>
    <w:rsid w:val="0023345B"/>
    <w:rsid w:val="0023397C"/>
    <w:rsid w:val="002339A5"/>
    <w:rsid w:val="00233DB4"/>
    <w:rsid w:val="00234369"/>
    <w:rsid w:val="00234581"/>
    <w:rsid w:val="00234640"/>
    <w:rsid w:val="00234704"/>
    <w:rsid w:val="0023482F"/>
    <w:rsid w:val="002349CE"/>
    <w:rsid w:val="00235199"/>
    <w:rsid w:val="002351D0"/>
    <w:rsid w:val="0023535C"/>
    <w:rsid w:val="00235381"/>
    <w:rsid w:val="00235A2C"/>
    <w:rsid w:val="00235B3C"/>
    <w:rsid w:val="00235C6F"/>
    <w:rsid w:val="00235E8D"/>
    <w:rsid w:val="00235E92"/>
    <w:rsid w:val="00235F83"/>
    <w:rsid w:val="00236503"/>
    <w:rsid w:val="0023665E"/>
    <w:rsid w:val="00236674"/>
    <w:rsid w:val="00236717"/>
    <w:rsid w:val="002367F6"/>
    <w:rsid w:val="00236D63"/>
    <w:rsid w:val="0023724B"/>
    <w:rsid w:val="00237722"/>
    <w:rsid w:val="002377F6"/>
    <w:rsid w:val="002379DF"/>
    <w:rsid w:val="002379F3"/>
    <w:rsid w:val="00237EE1"/>
    <w:rsid w:val="00240017"/>
    <w:rsid w:val="00240106"/>
    <w:rsid w:val="0024039A"/>
    <w:rsid w:val="00240F41"/>
    <w:rsid w:val="00240FF3"/>
    <w:rsid w:val="002410D2"/>
    <w:rsid w:val="00241126"/>
    <w:rsid w:val="002411C7"/>
    <w:rsid w:val="002413B6"/>
    <w:rsid w:val="00241986"/>
    <w:rsid w:val="00241D43"/>
    <w:rsid w:val="00242146"/>
    <w:rsid w:val="002421DA"/>
    <w:rsid w:val="002422EC"/>
    <w:rsid w:val="002429A8"/>
    <w:rsid w:val="00242C0A"/>
    <w:rsid w:val="00242E31"/>
    <w:rsid w:val="00242F4E"/>
    <w:rsid w:val="00242F6C"/>
    <w:rsid w:val="002434B1"/>
    <w:rsid w:val="00243578"/>
    <w:rsid w:val="0024361E"/>
    <w:rsid w:val="0024362E"/>
    <w:rsid w:val="002437BB"/>
    <w:rsid w:val="002438CF"/>
    <w:rsid w:val="0024390F"/>
    <w:rsid w:val="00243C1F"/>
    <w:rsid w:val="00243EEA"/>
    <w:rsid w:val="0024450E"/>
    <w:rsid w:val="00244544"/>
    <w:rsid w:val="00244632"/>
    <w:rsid w:val="00244898"/>
    <w:rsid w:val="00244D70"/>
    <w:rsid w:val="00245069"/>
    <w:rsid w:val="002452A0"/>
    <w:rsid w:val="002457DA"/>
    <w:rsid w:val="00245893"/>
    <w:rsid w:val="00245ACA"/>
    <w:rsid w:val="00245DAC"/>
    <w:rsid w:val="00245E96"/>
    <w:rsid w:val="002463A6"/>
    <w:rsid w:val="0024661F"/>
    <w:rsid w:val="002467D6"/>
    <w:rsid w:val="002467EB"/>
    <w:rsid w:val="0024681F"/>
    <w:rsid w:val="0024687F"/>
    <w:rsid w:val="00246944"/>
    <w:rsid w:val="00246988"/>
    <w:rsid w:val="00246ADB"/>
    <w:rsid w:val="00246E74"/>
    <w:rsid w:val="00247157"/>
    <w:rsid w:val="00247227"/>
    <w:rsid w:val="002473C9"/>
    <w:rsid w:val="0024746E"/>
    <w:rsid w:val="00247588"/>
    <w:rsid w:val="00247CA3"/>
    <w:rsid w:val="00247D5A"/>
    <w:rsid w:val="00247EB9"/>
    <w:rsid w:val="00250325"/>
    <w:rsid w:val="00250403"/>
    <w:rsid w:val="002504E1"/>
    <w:rsid w:val="0025057B"/>
    <w:rsid w:val="00250848"/>
    <w:rsid w:val="0025177A"/>
    <w:rsid w:val="002517A5"/>
    <w:rsid w:val="00251B0E"/>
    <w:rsid w:val="00251C01"/>
    <w:rsid w:val="00251F6C"/>
    <w:rsid w:val="0025205F"/>
    <w:rsid w:val="00252164"/>
    <w:rsid w:val="0025249C"/>
    <w:rsid w:val="002524B4"/>
    <w:rsid w:val="002527D3"/>
    <w:rsid w:val="00252869"/>
    <w:rsid w:val="00252BB7"/>
    <w:rsid w:val="00252E80"/>
    <w:rsid w:val="00252EC7"/>
    <w:rsid w:val="00252ED7"/>
    <w:rsid w:val="00252EFA"/>
    <w:rsid w:val="0025317A"/>
    <w:rsid w:val="002532F6"/>
    <w:rsid w:val="00253569"/>
    <w:rsid w:val="002536C4"/>
    <w:rsid w:val="002538E3"/>
    <w:rsid w:val="002539AB"/>
    <w:rsid w:val="002539ED"/>
    <w:rsid w:val="00253FF7"/>
    <w:rsid w:val="00254186"/>
    <w:rsid w:val="00254302"/>
    <w:rsid w:val="0025440D"/>
    <w:rsid w:val="00254469"/>
    <w:rsid w:val="0025450E"/>
    <w:rsid w:val="00254756"/>
    <w:rsid w:val="002547FC"/>
    <w:rsid w:val="00254B06"/>
    <w:rsid w:val="00255152"/>
    <w:rsid w:val="002552DA"/>
    <w:rsid w:val="0025554E"/>
    <w:rsid w:val="002556CC"/>
    <w:rsid w:val="00255D55"/>
    <w:rsid w:val="00256220"/>
    <w:rsid w:val="00256698"/>
    <w:rsid w:val="00257318"/>
    <w:rsid w:val="002578BB"/>
    <w:rsid w:val="00257D00"/>
    <w:rsid w:val="00257D06"/>
    <w:rsid w:val="00257D33"/>
    <w:rsid w:val="00257FB6"/>
    <w:rsid w:val="0026019A"/>
    <w:rsid w:val="00260476"/>
    <w:rsid w:val="0026068B"/>
    <w:rsid w:val="0026082D"/>
    <w:rsid w:val="00260950"/>
    <w:rsid w:val="00260BAE"/>
    <w:rsid w:val="00261114"/>
    <w:rsid w:val="002612A5"/>
    <w:rsid w:val="002617D7"/>
    <w:rsid w:val="00261D15"/>
    <w:rsid w:val="00262057"/>
    <w:rsid w:val="0026245A"/>
    <w:rsid w:val="0026270C"/>
    <w:rsid w:val="00262713"/>
    <w:rsid w:val="00262854"/>
    <w:rsid w:val="00262897"/>
    <w:rsid w:val="00262B26"/>
    <w:rsid w:val="00262C4C"/>
    <w:rsid w:val="00262C4D"/>
    <w:rsid w:val="00263197"/>
    <w:rsid w:val="00263389"/>
    <w:rsid w:val="00263583"/>
    <w:rsid w:val="00263751"/>
    <w:rsid w:val="002638DF"/>
    <w:rsid w:val="002638F4"/>
    <w:rsid w:val="0026391C"/>
    <w:rsid w:val="00263A7D"/>
    <w:rsid w:val="00263B47"/>
    <w:rsid w:val="00263D83"/>
    <w:rsid w:val="00263EB7"/>
    <w:rsid w:val="0026429F"/>
    <w:rsid w:val="00264488"/>
    <w:rsid w:val="002645C3"/>
    <w:rsid w:val="00264895"/>
    <w:rsid w:val="00264DB8"/>
    <w:rsid w:val="00264E36"/>
    <w:rsid w:val="00264E74"/>
    <w:rsid w:val="00265059"/>
    <w:rsid w:val="0026551F"/>
    <w:rsid w:val="00265B19"/>
    <w:rsid w:val="00265F70"/>
    <w:rsid w:val="002661D0"/>
    <w:rsid w:val="002662F6"/>
    <w:rsid w:val="00266369"/>
    <w:rsid w:val="00266568"/>
    <w:rsid w:val="0026673A"/>
    <w:rsid w:val="0026690D"/>
    <w:rsid w:val="002669A6"/>
    <w:rsid w:val="002677F7"/>
    <w:rsid w:val="00267858"/>
    <w:rsid w:val="00267BFE"/>
    <w:rsid w:val="00267DBE"/>
    <w:rsid w:val="002702B8"/>
    <w:rsid w:val="00270376"/>
    <w:rsid w:val="002709B0"/>
    <w:rsid w:val="00270A7E"/>
    <w:rsid w:val="00270B7C"/>
    <w:rsid w:val="00270F87"/>
    <w:rsid w:val="002711C7"/>
    <w:rsid w:val="002711C8"/>
    <w:rsid w:val="00271493"/>
    <w:rsid w:val="0027160C"/>
    <w:rsid w:val="00271795"/>
    <w:rsid w:val="002718DD"/>
    <w:rsid w:val="00271F8B"/>
    <w:rsid w:val="002720AC"/>
    <w:rsid w:val="0027234B"/>
    <w:rsid w:val="0027279D"/>
    <w:rsid w:val="00272982"/>
    <w:rsid w:val="00272994"/>
    <w:rsid w:val="00272F16"/>
    <w:rsid w:val="00272F83"/>
    <w:rsid w:val="002739D4"/>
    <w:rsid w:val="00273A63"/>
    <w:rsid w:val="00273C89"/>
    <w:rsid w:val="00273F73"/>
    <w:rsid w:val="0027427E"/>
    <w:rsid w:val="002742B1"/>
    <w:rsid w:val="0027443A"/>
    <w:rsid w:val="00274635"/>
    <w:rsid w:val="00274B8C"/>
    <w:rsid w:val="002750E9"/>
    <w:rsid w:val="00275180"/>
    <w:rsid w:val="002751D1"/>
    <w:rsid w:val="00275209"/>
    <w:rsid w:val="0027541E"/>
    <w:rsid w:val="002756E6"/>
    <w:rsid w:val="00275D15"/>
    <w:rsid w:val="00275DCE"/>
    <w:rsid w:val="00275ED3"/>
    <w:rsid w:val="00275F32"/>
    <w:rsid w:val="00276064"/>
    <w:rsid w:val="00276112"/>
    <w:rsid w:val="00276470"/>
    <w:rsid w:val="002764BD"/>
    <w:rsid w:val="0027671C"/>
    <w:rsid w:val="00276745"/>
    <w:rsid w:val="00276ADF"/>
    <w:rsid w:val="00276B15"/>
    <w:rsid w:val="00276FA3"/>
    <w:rsid w:val="00277346"/>
    <w:rsid w:val="002773E7"/>
    <w:rsid w:val="002775FC"/>
    <w:rsid w:val="002777FB"/>
    <w:rsid w:val="00277ACA"/>
    <w:rsid w:val="00277B41"/>
    <w:rsid w:val="002800BD"/>
    <w:rsid w:val="002800EA"/>
    <w:rsid w:val="00280181"/>
    <w:rsid w:val="00280712"/>
    <w:rsid w:val="00280C55"/>
    <w:rsid w:val="00280C62"/>
    <w:rsid w:val="00280E79"/>
    <w:rsid w:val="002813A3"/>
    <w:rsid w:val="002815D9"/>
    <w:rsid w:val="002818CA"/>
    <w:rsid w:val="0028194E"/>
    <w:rsid w:val="00281E0F"/>
    <w:rsid w:val="00282024"/>
    <w:rsid w:val="002822FD"/>
    <w:rsid w:val="00282A55"/>
    <w:rsid w:val="00282B86"/>
    <w:rsid w:val="00282D36"/>
    <w:rsid w:val="00282F69"/>
    <w:rsid w:val="0028348C"/>
    <w:rsid w:val="0028350B"/>
    <w:rsid w:val="00283585"/>
    <w:rsid w:val="00283603"/>
    <w:rsid w:val="00283D20"/>
    <w:rsid w:val="00284182"/>
    <w:rsid w:val="00284340"/>
    <w:rsid w:val="00284376"/>
    <w:rsid w:val="002843B6"/>
    <w:rsid w:val="0028487D"/>
    <w:rsid w:val="00284C19"/>
    <w:rsid w:val="00284C20"/>
    <w:rsid w:val="00284D1E"/>
    <w:rsid w:val="00284D29"/>
    <w:rsid w:val="00285157"/>
    <w:rsid w:val="0028521D"/>
    <w:rsid w:val="002858B4"/>
    <w:rsid w:val="002858E5"/>
    <w:rsid w:val="00285A49"/>
    <w:rsid w:val="00285A9C"/>
    <w:rsid w:val="0028608D"/>
    <w:rsid w:val="002860C4"/>
    <w:rsid w:val="00286451"/>
    <w:rsid w:val="0028665E"/>
    <w:rsid w:val="002866E1"/>
    <w:rsid w:val="00286881"/>
    <w:rsid w:val="00286B4D"/>
    <w:rsid w:val="00286F0D"/>
    <w:rsid w:val="00286F56"/>
    <w:rsid w:val="0028703C"/>
    <w:rsid w:val="0028718A"/>
    <w:rsid w:val="00287564"/>
    <w:rsid w:val="00287963"/>
    <w:rsid w:val="00287B35"/>
    <w:rsid w:val="00287E60"/>
    <w:rsid w:val="00287E78"/>
    <w:rsid w:val="00287ED7"/>
    <w:rsid w:val="00290329"/>
    <w:rsid w:val="00290637"/>
    <w:rsid w:val="00290676"/>
    <w:rsid w:val="002908EE"/>
    <w:rsid w:val="00290BBE"/>
    <w:rsid w:val="00290CB5"/>
    <w:rsid w:val="00290D9E"/>
    <w:rsid w:val="00290E49"/>
    <w:rsid w:val="0029128C"/>
    <w:rsid w:val="00291462"/>
    <w:rsid w:val="00291572"/>
    <w:rsid w:val="0029166F"/>
    <w:rsid w:val="002918D9"/>
    <w:rsid w:val="002919CA"/>
    <w:rsid w:val="00291EF4"/>
    <w:rsid w:val="0029283F"/>
    <w:rsid w:val="00292ADD"/>
    <w:rsid w:val="00292BC7"/>
    <w:rsid w:val="00292E65"/>
    <w:rsid w:val="00292E6C"/>
    <w:rsid w:val="00292F4F"/>
    <w:rsid w:val="0029321F"/>
    <w:rsid w:val="002933B3"/>
    <w:rsid w:val="00293408"/>
    <w:rsid w:val="00293735"/>
    <w:rsid w:val="002937D1"/>
    <w:rsid w:val="002938AC"/>
    <w:rsid w:val="00293972"/>
    <w:rsid w:val="00293AE3"/>
    <w:rsid w:val="00293CC5"/>
    <w:rsid w:val="00293DA3"/>
    <w:rsid w:val="00293EE7"/>
    <w:rsid w:val="00293F53"/>
    <w:rsid w:val="002943B0"/>
    <w:rsid w:val="00294425"/>
    <w:rsid w:val="0029488B"/>
    <w:rsid w:val="00294A40"/>
    <w:rsid w:val="00294AD1"/>
    <w:rsid w:val="00294E9C"/>
    <w:rsid w:val="00294F25"/>
    <w:rsid w:val="00295106"/>
    <w:rsid w:val="002958CE"/>
    <w:rsid w:val="00295DEC"/>
    <w:rsid w:val="00295F35"/>
    <w:rsid w:val="00296497"/>
    <w:rsid w:val="002967C2"/>
    <w:rsid w:val="002967D7"/>
    <w:rsid w:val="002969D1"/>
    <w:rsid w:val="002969DF"/>
    <w:rsid w:val="00296CE8"/>
    <w:rsid w:val="00296F4F"/>
    <w:rsid w:val="00297400"/>
    <w:rsid w:val="0029767A"/>
    <w:rsid w:val="0029769D"/>
    <w:rsid w:val="0029783C"/>
    <w:rsid w:val="00297A25"/>
    <w:rsid w:val="00297F5A"/>
    <w:rsid w:val="002A008D"/>
    <w:rsid w:val="002A0116"/>
    <w:rsid w:val="002A02F6"/>
    <w:rsid w:val="002A04B4"/>
    <w:rsid w:val="002A0661"/>
    <w:rsid w:val="002A07D9"/>
    <w:rsid w:val="002A108B"/>
    <w:rsid w:val="002A145B"/>
    <w:rsid w:val="002A1606"/>
    <w:rsid w:val="002A1865"/>
    <w:rsid w:val="002A18BE"/>
    <w:rsid w:val="002A1A67"/>
    <w:rsid w:val="002A1D6C"/>
    <w:rsid w:val="002A1DC9"/>
    <w:rsid w:val="002A21BF"/>
    <w:rsid w:val="002A2206"/>
    <w:rsid w:val="002A2569"/>
    <w:rsid w:val="002A2699"/>
    <w:rsid w:val="002A2732"/>
    <w:rsid w:val="002A2745"/>
    <w:rsid w:val="002A27E1"/>
    <w:rsid w:val="002A2C18"/>
    <w:rsid w:val="002A31FB"/>
    <w:rsid w:val="002A3408"/>
    <w:rsid w:val="002A35B4"/>
    <w:rsid w:val="002A36F6"/>
    <w:rsid w:val="002A3891"/>
    <w:rsid w:val="002A3EFE"/>
    <w:rsid w:val="002A3FB2"/>
    <w:rsid w:val="002A3FC2"/>
    <w:rsid w:val="002A4084"/>
    <w:rsid w:val="002A40A1"/>
    <w:rsid w:val="002A41D8"/>
    <w:rsid w:val="002A4445"/>
    <w:rsid w:val="002A45EA"/>
    <w:rsid w:val="002A470C"/>
    <w:rsid w:val="002A4A3A"/>
    <w:rsid w:val="002A4AD6"/>
    <w:rsid w:val="002A4D0C"/>
    <w:rsid w:val="002A4D5B"/>
    <w:rsid w:val="002A4EEA"/>
    <w:rsid w:val="002A5CC5"/>
    <w:rsid w:val="002A61E1"/>
    <w:rsid w:val="002A6AEB"/>
    <w:rsid w:val="002A6C4E"/>
    <w:rsid w:val="002A6F80"/>
    <w:rsid w:val="002A7016"/>
    <w:rsid w:val="002A7120"/>
    <w:rsid w:val="002A715B"/>
    <w:rsid w:val="002A7196"/>
    <w:rsid w:val="002A75D5"/>
    <w:rsid w:val="002A76AE"/>
    <w:rsid w:val="002A783F"/>
    <w:rsid w:val="002A7968"/>
    <w:rsid w:val="002A7A41"/>
    <w:rsid w:val="002B0079"/>
    <w:rsid w:val="002B022C"/>
    <w:rsid w:val="002B0507"/>
    <w:rsid w:val="002B0577"/>
    <w:rsid w:val="002B0798"/>
    <w:rsid w:val="002B07A3"/>
    <w:rsid w:val="002B087C"/>
    <w:rsid w:val="002B0C09"/>
    <w:rsid w:val="002B10F5"/>
    <w:rsid w:val="002B1207"/>
    <w:rsid w:val="002B1384"/>
    <w:rsid w:val="002B1497"/>
    <w:rsid w:val="002B172F"/>
    <w:rsid w:val="002B1735"/>
    <w:rsid w:val="002B198F"/>
    <w:rsid w:val="002B1A4A"/>
    <w:rsid w:val="002B1D98"/>
    <w:rsid w:val="002B21F6"/>
    <w:rsid w:val="002B21FA"/>
    <w:rsid w:val="002B2C7D"/>
    <w:rsid w:val="002B3358"/>
    <w:rsid w:val="002B3681"/>
    <w:rsid w:val="002B3887"/>
    <w:rsid w:val="002B3A7B"/>
    <w:rsid w:val="002B3B81"/>
    <w:rsid w:val="002B3C9E"/>
    <w:rsid w:val="002B3D22"/>
    <w:rsid w:val="002B3D3F"/>
    <w:rsid w:val="002B3EC9"/>
    <w:rsid w:val="002B40C7"/>
    <w:rsid w:val="002B428E"/>
    <w:rsid w:val="002B434F"/>
    <w:rsid w:val="002B4455"/>
    <w:rsid w:val="002B46F2"/>
    <w:rsid w:val="002B4B85"/>
    <w:rsid w:val="002B4DB9"/>
    <w:rsid w:val="002B4E03"/>
    <w:rsid w:val="002B54FF"/>
    <w:rsid w:val="002B59C5"/>
    <w:rsid w:val="002B5C39"/>
    <w:rsid w:val="002B5E2B"/>
    <w:rsid w:val="002B5F41"/>
    <w:rsid w:val="002B5F76"/>
    <w:rsid w:val="002B60ED"/>
    <w:rsid w:val="002B618B"/>
    <w:rsid w:val="002B61A2"/>
    <w:rsid w:val="002B62A2"/>
    <w:rsid w:val="002B62AA"/>
    <w:rsid w:val="002B6315"/>
    <w:rsid w:val="002B667C"/>
    <w:rsid w:val="002B6948"/>
    <w:rsid w:val="002B6B92"/>
    <w:rsid w:val="002B6FFE"/>
    <w:rsid w:val="002B704A"/>
    <w:rsid w:val="002B731B"/>
    <w:rsid w:val="002B766F"/>
    <w:rsid w:val="002B76DF"/>
    <w:rsid w:val="002B7867"/>
    <w:rsid w:val="002B7B7E"/>
    <w:rsid w:val="002C01CA"/>
    <w:rsid w:val="002C02FC"/>
    <w:rsid w:val="002C0855"/>
    <w:rsid w:val="002C0920"/>
    <w:rsid w:val="002C0BA8"/>
    <w:rsid w:val="002C0BC9"/>
    <w:rsid w:val="002C0D6B"/>
    <w:rsid w:val="002C0EE6"/>
    <w:rsid w:val="002C1096"/>
    <w:rsid w:val="002C11CA"/>
    <w:rsid w:val="002C1289"/>
    <w:rsid w:val="002C15F1"/>
    <w:rsid w:val="002C19D4"/>
    <w:rsid w:val="002C19DE"/>
    <w:rsid w:val="002C1A6F"/>
    <w:rsid w:val="002C1FEC"/>
    <w:rsid w:val="002C2179"/>
    <w:rsid w:val="002C230C"/>
    <w:rsid w:val="002C2460"/>
    <w:rsid w:val="002C27DD"/>
    <w:rsid w:val="002C2895"/>
    <w:rsid w:val="002C2AF4"/>
    <w:rsid w:val="002C2B52"/>
    <w:rsid w:val="002C2C52"/>
    <w:rsid w:val="002C2E43"/>
    <w:rsid w:val="002C2E51"/>
    <w:rsid w:val="002C2E9D"/>
    <w:rsid w:val="002C2FFC"/>
    <w:rsid w:val="002C3053"/>
    <w:rsid w:val="002C34B0"/>
    <w:rsid w:val="002C3655"/>
    <w:rsid w:val="002C3BD9"/>
    <w:rsid w:val="002C3EAF"/>
    <w:rsid w:val="002C4256"/>
    <w:rsid w:val="002C42C0"/>
    <w:rsid w:val="002C456D"/>
    <w:rsid w:val="002C459A"/>
    <w:rsid w:val="002C45E8"/>
    <w:rsid w:val="002C4839"/>
    <w:rsid w:val="002C489F"/>
    <w:rsid w:val="002C4AE2"/>
    <w:rsid w:val="002C4C49"/>
    <w:rsid w:val="002C4C5D"/>
    <w:rsid w:val="002C4DB2"/>
    <w:rsid w:val="002C5540"/>
    <w:rsid w:val="002C5810"/>
    <w:rsid w:val="002C5A1E"/>
    <w:rsid w:val="002C60CB"/>
    <w:rsid w:val="002C66FA"/>
    <w:rsid w:val="002C6A21"/>
    <w:rsid w:val="002C6B3A"/>
    <w:rsid w:val="002C6BCE"/>
    <w:rsid w:val="002C6C82"/>
    <w:rsid w:val="002C70CE"/>
    <w:rsid w:val="002C74E4"/>
    <w:rsid w:val="002C7B56"/>
    <w:rsid w:val="002C7EEE"/>
    <w:rsid w:val="002C7F62"/>
    <w:rsid w:val="002D0154"/>
    <w:rsid w:val="002D0423"/>
    <w:rsid w:val="002D0549"/>
    <w:rsid w:val="002D0A0B"/>
    <w:rsid w:val="002D0BA4"/>
    <w:rsid w:val="002D0CE4"/>
    <w:rsid w:val="002D0F0D"/>
    <w:rsid w:val="002D1227"/>
    <w:rsid w:val="002D1A86"/>
    <w:rsid w:val="002D1DAB"/>
    <w:rsid w:val="002D226F"/>
    <w:rsid w:val="002D261F"/>
    <w:rsid w:val="002D2712"/>
    <w:rsid w:val="002D2909"/>
    <w:rsid w:val="002D2914"/>
    <w:rsid w:val="002D325D"/>
    <w:rsid w:val="002D344F"/>
    <w:rsid w:val="002D3A60"/>
    <w:rsid w:val="002D3D2A"/>
    <w:rsid w:val="002D3F38"/>
    <w:rsid w:val="002D4385"/>
    <w:rsid w:val="002D5097"/>
    <w:rsid w:val="002D55E4"/>
    <w:rsid w:val="002D5660"/>
    <w:rsid w:val="002D5A2E"/>
    <w:rsid w:val="002D5A65"/>
    <w:rsid w:val="002D61EF"/>
    <w:rsid w:val="002D6242"/>
    <w:rsid w:val="002D627C"/>
    <w:rsid w:val="002D6775"/>
    <w:rsid w:val="002D67F1"/>
    <w:rsid w:val="002D690D"/>
    <w:rsid w:val="002D6CDA"/>
    <w:rsid w:val="002D7635"/>
    <w:rsid w:val="002D7853"/>
    <w:rsid w:val="002D7AC2"/>
    <w:rsid w:val="002D7B78"/>
    <w:rsid w:val="002E0476"/>
    <w:rsid w:val="002E0477"/>
    <w:rsid w:val="002E08A0"/>
    <w:rsid w:val="002E12C9"/>
    <w:rsid w:val="002E13A9"/>
    <w:rsid w:val="002E13E5"/>
    <w:rsid w:val="002E156A"/>
    <w:rsid w:val="002E1915"/>
    <w:rsid w:val="002E1AD6"/>
    <w:rsid w:val="002E2047"/>
    <w:rsid w:val="002E20F6"/>
    <w:rsid w:val="002E231E"/>
    <w:rsid w:val="002E2617"/>
    <w:rsid w:val="002E2878"/>
    <w:rsid w:val="002E28FB"/>
    <w:rsid w:val="002E293D"/>
    <w:rsid w:val="002E2959"/>
    <w:rsid w:val="002E2FC1"/>
    <w:rsid w:val="002E300D"/>
    <w:rsid w:val="002E3714"/>
    <w:rsid w:val="002E3AA9"/>
    <w:rsid w:val="002E3ABC"/>
    <w:rsid w:val="002E3F95"/>
    <w:rsid w:val="002E432A"/>
    <w:rsid w:val="002E45BE"/>
    <w:rsid w:val="002E46A3"/>
    <w:rsid w:val="002E46D0"/>
    <w:rsid w:val="002E46F3"/>
    <w:rsid w:val="002E4729"/>
    <w:rsid w:val="002E47DE"/>
    <w:rsid w:val="002E487B"/>
    <w:rsid w:val="002E4A12"/>
    <w:rsid w:val="002E4A24"/>
    <w:rsid w:val="002E4ABF"/>
    <w:rsid w:val="002E5094"/>
    <w:rsid w:val="002E50CE"/>
    <w:rsid w:val="002E5192"/>
    <w:rsid w:val="002E51BF"/>
    <w:rsid w:val="002E5558"/>
    <w:rsid w:val="002E5748"/>
    <w:rsid w:val="002E5A84"/>
    <w:rsid w:val="002E5A9F"/>
    <w:rsid w:val="002E5C25"/>
    <w:rsid w:val="002E5DCF"/>
    <w:rsid w:val="002E63BE"/>
    <w:rsid w:val="002E651D"/>
    <w:rsid w:val="002E6651"/>
    <w:rsid w:val="002E67D4"/>
    <w:rsid w:val="002E681A"/>
    <w:rsid w:val="002E6ADE"/>
    <w:rsid w:val="002E6C5F"/>
    <w:rsid w:val="002E7291"/>
    <w:rsid w:val="002E736D"/>
    <w:rsid w:val="002E7608"/>
    <w:rsid w:val="002E7629"/>
    <w:rsid w:val="002E7775"/>
    <w:rsid w:val="002E7A3C"/>
    <w:rsid w:val="002E7A9F"/>
    <w:rsid w:val="002E7AD2"/>
    <w:rsid w:val="002E7CB3"/>
    <w:rsid w:val="002E7D73"/>
    <w:rsid w:val="002E7E9E"/>
    <w:rsid w:val="002EBAB8"/>
    <w:rsid w:val="002F0594"/>
    <w:rsid w:val="002F082A"/>
    <w:rsid w:val="002F083E"/>
    <w:rsid w:val="002F08F6"/>
    <w:rsid w:val="002F0B68"/>
    <w:rsid w:val="002F0C97"/>
    <w:rsid w:val="002F0F9C"/>
    <w:rsid w:val="002F12EE"/>
    <w:rsid w:val="002F1399"/>
    <w:rsid w:val="002F142D"/>
    <w:rsid w:val="002F1490"/>
    <w:rsid w:val="002F1962"/>
    <w:rsid w:val="002F1A05"/>
    <w:rsid w:val="002F1C14"/>
    <w:rsid w:val="002F22F0"/>
    <w:rsid w:val="002F243B"/>
    <w:rsid w:val="002F272B"/>
    <w:rsid w:val="002F28E3"/>
    <w:rsid w:val="002F2ABE"/>
    <w:rsid w:val="002F2D6D"/>
    <w:rsid w:val="002F2DDB"/>
    <w:rsid w:val="002F3296"/>
    <w:rsid w:val="002F32FB"/>
    <w:rsid w:val="002F34D6"/>
    <w:rsid w:val="002F3892"/>
    <w:rsid w:val="002F3F45"/>
    <w:rsid w:val="002F4069"/>
    <w:rsid w:val="002F4329"/>
    <w:rsid w:val="002F4588"/>
    <w:rsid w:val="002F4881"/>
    <w:rsid w:val="002F49B3"/>
    <w:rsid w:val="002F4B5B"/>
    <w:rsid w:val="002F4BB8"/>
    <w:rsid w:val="002F4BC4"/>
    <w:rsid w:val="002F4F03"/>
    <w:rsid w:val="002F4FB1"/>
    <w:rsid w:val="002F5071"/>
    <w:rsid w:val="002F54A0"/>
    <w:rsid w:val="002F5611"/>
    <w:rsid w:val="002F5947"/>
    <w:rsid w:val="002F5F5E"/>
    <w:rsid w:val="002F5F85"/>
    <w:rsid w:val="002F62F4"/>
    <w:rsid w:val="002F693F"/>
    <w:rsid w:val="002F6D47"/>
    <w:rsid w:val="002F6F49"/>
    <w:rsid w:val="002F715C"/>
    <w:rsid w:val="002F73AE"/>
    <w:rsid w:val="002F75F2"/>
    <w:rsid w:val="002F79F5"/>
    <w:rsid w:val="002F7D51"/>
    <w:rsid w:val="002F7EAD"/>
    <w:rsid w:val="00300152"/>
    <w:rsid w:val="0030025A"/>
    <w:rsid w:val="003008CC"/>
    <w:rsid w:val="00300D95"/>
    <w:rsid w:val="00300DC7"/>
    <w:rsid w:val="00300E5E"/>
    <w:rsid w:val="00300F93"/>
    <w:rsid w:val="00301763"/>
    <w:rsid w:val="00301983"/>
    <w:rsid w:val="00301AEB"/>
    <w:rsid w:val="00301C70"/>
    <w:rsid w:val="00302252"/>
    <w:rsid w:val="00302267"/>
    <w:rsid w:val="003023B9"/>
    <w:rsid w:val="003025E1"/>
    <w:rsid w:val="003025E8"/>
    <w:rsid w:val="003027A1"/>
    <w:rsid w:val="0030286E"/>
    <w:rsid w:val="00302A7F"/>
    <w:rsid w:val="00302DB0"/>
    <w:rsid w:val="0030317F"/>
    <w:rsid w:val="003032D6"/>
    <w:rsid w:val="00303C33"/>
    <w:rsid w:val="00303C60"/>
    <w:rsid w:val="00303DCD"/>
    <w:rsid w:val="00303FE6"/>
    <w:rsid w:val="003042D0"/>
    <w:rsid w:val="003045A6"/>
    <w:rsid w:val="003045C5"/>
    <w:rsid w:val="003047C4"/>
    <w:rsid w:val="00304AF8"/>
    <w:rsid w:val="00304F10"/>
    <w:rsid w:val="00304FB8"/>
    <w:rsid w:val="00305469"/>
    <w:rsid w:val="003055B3"/>
    <w:rsid w:val="003057E8"/>
    <w:rsid w:val="003058E1"/>
    <w:rsid w:val="00305A2A"/>
    <w:rsid w:val="00305A2D"/>
    <w:rsid w:val="00305DC9"/>
    <w:rsid w:val="003060F1"/>
    <w:rsid w:val="003067AA"/>
    <w:rsid w:val="003069AE"/>
    <w:rsid w:val="00306F68"/>
    <w:rsid w:val="00307299"/>
    <w:rsid w:val="003073A9"/>
    <w:rsid w:val="0030767B"/>
    <w:rsid w:val="003076D8"/>
    <w:rsid w:val="003078C2"/>
    <w:rsid w:val="00307980"/>
    <w:rsid w:val="00307D3D"/>
    <w:rsid w:val="00307EFC"/>
    <w:rsid w:val="00307F62"/>
    <w:rsid w:val="003100CB"/>
    <w:rsid w:val="003101B0"/>
    <w:rsid w:val="0031021A"/>
    <w:rsid w:val="003105C4"/>
    <w:rsid w:val="0031060D"/>
    <w:rsid w:val="003108BA"/>
    <w:rsid w:val="00310B9B"/>
    <w:rsid w:val="00310C3F"/>
    <w:rsid w:val="00310DE4"/>
    <w:rsid w:val="00310F48"/>
    <w:rsid w:val="00310FAC"/>
    <w:rsid w:val="00311C5C"/>
    <w:rsid w:val="00311CE6"/>
    <w:rsid w:val="00312000"/>
    <w:rsid w:val="00312183"/>
    <w:rsid w:val="0031221A"/>
    <w:rsid w:val="00312526"/>
    <w:rsid w:val="003127AA"/>
    <w:rsid w:val="00312A67"/>
    <w:rsid w:val="00312A86"/>
    <w:rsid w:val="00312CD0"/>
    <w:rsid w:val="00312EC1"/>
    <w:rsid w:val="00312F94"/>
    <w:rsid w:val="003131B6"/>
    <w:rsid w:val="003135DC"/>
    <w:rsid w:val="00313711"/>
    <w:rsid w:val="00313A70"/>
    <w:rsid w:val="00313C89"/>
    <w:rsid w:val="003140D2"/>
    <w:rsid w:val="003145A3"/>
    <w:rsid w:val="00314746"/>
    <w:rsid w:val="0031479E"/>
    <w:rsid w:val="00314B85"/>
    <w:rsid w:val="00314C84"/>
    <w:rsid w:val="00314E46"/>
    <w:rsid w:val="00314ED4"/>
    <w:rsid w:val="00314FED"/>
    <w:rsid w:val="0031532B"/>
    <w:rsid w:val="00315379"/>
    <w:rsid w:val="00315439"/>
    <w:rsid w:val="003157E6"/>
    <w:rsid w:val="00315961"/>
    <w:rsid w:val="00315BEE"/>
    <w:rsid w:val="00315E5F"/>
    <w:rsid w:val="00315F85"/>
    <w:rsid w:val="00315FA8"/>
    <w:rsid w:val="00315FD8"/>
    <w:rsid w:val="0031686B"/>
    <w:rsid w:val="003168AB"/>
    <w:rsid w:val="0031692D"/>
    <w:rsid w:val="00316F91"/>
    <w:rsid w:val="00316FE6"/>
    <w:rsid w:val="003170AA"/>
    <w:rsid w:val="003171C4"/>
    <w:rsid w:val="0031747C"/>
    <w:rsid w:val="003176AD"/>
    <w:rsid w:val="00317714"/>
    <w:rsid w:val="0031788A"/>
    <w:rsid w:val="00317DA5"/>
    <w:rsid w:val="00317E6D"/>
    <w:rsid w:val="00317FA3"/>
    <w:rsid w:val="00320186"/>
    <w:rsid w:val="00320226"/>
    <w:rsid w:val="003204D9"/>
    <w:rsid w:val="003206CE"/>
    <w:rsid w:val="003208EF"/>
    <w:rsid w:val="00320988"/>
    <w:rsid w:val="00320A17"/>
    <w:rsid w:val="00320A53"/>
    <w:rsid w:val="00320C2A"/>
    <w:rsid w:val="003211DD"/>
    <w:rsid w:val="0032128B"/>
    <w:rsid w:val="0032154C"/>
    <w:rsid w:val="0032158D"/>
    <w:rsid w:val="003215B6"/>
    <w:rsid w:val="0032160D"/>
    <w:rsid w:val="0032166D"/>
    <w:rsid w:val="003219A4"/>
    <w:rsid w:val="00321AF0"/>
    <w:rsid w:val="00321D80"/>
    <w:rsid w:val="003222C5"/>
    <w:rsid w:val="0032249F"/>
    <w:rsid w:val="003224BD"/>
    <w:rsid w:val="00322DA9"/>
    <w:rsid w:val="003230DC"/>
    <w:rsid w:val="003235C6"/>
    <w:rsid w:val="00323635"/>
    <w:rsid w:val="0032377F"/>
    <w:rsid w:val="003237EB"/>
    <w:rsid w:val="00323925"/>
    <w:rsid w:val="003239AF"/>
    <w:rsid w:val="00323AF6"/>
    <w:rsid w:val="00323B70"/>
    <w:rsid w:val="00323BAE"/>
    <w:rsid w:val="00323C46"/>
    <w:rsid w:val="00323E0E"/>
    <w:rsid w:val="0032410A"/>
    <w:rsid w:val="00324247"/>
    <w:rsid w:val="003243DD"/>
    <w:rsid w:val="00324807"/>
    <w:rsid w:val="00324C72"/>
    <w:rsid w:val="00324CC5"/>
    <w:rsid w:val="00324D9D"/>
    <w:rsid w:val="00324DA2"/>
    <w:rsid w:val="003251C2"/>
    <w:rsid w:val="00325483"/>
    <w:rsid w:val="00325494"/>
    <w:rsid w:val="00325697"/>
    <w:rsid w:val="003258D8"/>
    <w:rsid w:val="0032596A"/>
    <w:rsid w:val="0032596D"/>
    <w:rsid w:val="003259F1"/>
    <w:rsid w:val="00325DB1"/>
    <w:rsid w:val="00325FA0"/>
    <w:rsid w:val="003260DC"/>
    <w:rsid w:val="0032624F"/>
    <w:rsid w:val="0032626A"/>
    <w:rsid w:val="00326362"/>
    <w:rsid w:val="00326504"/>
    <w:rsid w:val="0032668F"/>
    <w:rsid w:val="003266F0"/>
    <w:rsid w:val="00326746"/>
    <w:rsid w:val="00326799"/>
    <w:rsid w:val="003267FE"/>
    <w:rsid w:val="00326AA3"/>
    <w:rsid w:val="00326B67"/>
    <w:rsid w:val="00326C97"/>
    <w:rsid w:val="00326F1C"/>
    <w:rsid w:val="00327022"/>
    <w:rsid w:val="00327162"/>
    <w:rsid w:val="003271FC"/>
    <w:rsid w:val="0032747A"/>
    <w:rsid w:val="003274FE"/>
    <w:rsid w:val="00327525"/>
    <w:rsid w:val="00327536"/>
    <w:rsid w:val="00327592"/>
    <w:rsid w:val="003275F5"/>
    <w:rsid w:val="00327E04"/>
    <w:rsid w:val="00327E96"/>
    <w:rsid w:val="00327EBC"/>
    <w:rsid w:val="00327EED"/>
    <w:rsid w:val="00327F24"/>
    <w:rsid w:val="00330328"/>
    <w:rsid w:val="0033086E"/>
    <w:rsid w:val="003308B8"/>
    <w:rsid w:val="00330A0A"/>
    <w:rsid w:val="00331151"/>
    <w:rsid w:val="003312C3"/>
    <w:rsid w:val="0033134E"/>
    <w:rsid w:val="003313F9"/>
    <w:rsid w:val="003315B0"/>
    <w:rsid w:val="00331A60"/>
    <w:rsid w:val="00331DFD"/>
    <w:rsid w:val="00331F2C"/>
    <w:rsid w:val="00332823"/>
    <w:rsid w:val="003328A9"/>
    <w:rsid w:val="00332943"/>
    <w:rsid w:val="00332A67"/>
    <w:rsid w:val="00332B76"/>
    <w:rsid w:val="00332CE7"/>
    <w:rsid w:val="00333182"/>
    <w:rsid w:val="003331B0"/>
    <w:rsid w:val="003332C5"/>
    <w:rsid w:val="003333A2"/>
    <w:rsid w:val="003334D6"/>
    <w:rsid w:val="003336A5"/>
    <w:rsid w:val="003337F1"/>
    <w:rsid w:val="003338AE"/>
    <w:rsid w:val="00333A44"/>
    <w:rsid w:val="00333AC5"/>
    <w:rsid w:val="00333B7F"/>
    <w:rsid w:val="00333BF3"/>
    <w:rsid w:val="00333DA0"/>
    <w:rsid w:val="00334086"/>
    <w:rsid w:val="00334524"/>
    <w:rsid w:val="003347CB"/>
    <w:rsid w:val="00334BCB"/>
    <w:rsid w:val="00334E15"/>
    <w:rsid w:val="00334E52"/>
    <w:rsid w:val="00334F48"/>
    <w:rsid w:val="003353BC"/>
    <w:rsid w:val="003356C3"/>
    <w:rsid w:val="00335C48"/>
    <w:rsid w:val="00335FE6"/>
    <w:rsid w:val="0033618E"/>
    <w:rsid w:val="00336250"/>
    <w:rsid w:val="003362AD"/>
    <w:rsid w:val="0033649D"/>
    <w:rsid w:val="00336537"/>
    <w:rsid w:val="00336591"/>
    <w:rsid w:val="003365AA"/>
    <w:rsid w:val="003365F3"/>
    <w:rsid w:val="00336912"/>
    <w:rsid w:val="003371B5"/>
    <w:rsid w:val="003372EF"/>
    <w:rsid w:val="0033783F"/>
    <w:rsid w:val="00337BAF"/>
    <w:rsid w:val="00337BD1"/>
    <w:rsid w:val="00337CD8"/>
    <w:rsid w:val="00337E1D"/>
    <w:rsid w:val="00337ED2"/>
    <w:rsid w:val="00337F56"/>
    <w:rsid w:val="0034015B"/>
    <w:rsid w:val="0034023A"/>
    <w:rsid w:val="00340341"/>
    <w:rsid w:val="003404A5"/>
    <w:rsid w:val="00340501"/>
    <w:rsid w:val="00340868"/>
    <w:rsid w:val="00340D2F"/>
    <w:rsid w:val="00340F5E"/>
    <w:rsid w:val="00341136"/>
    <w:rsid w:val="003413E8"/>
    <w:rsid w:val="003413F2"/>
    <w:rsid w:val="00341430"/>
    <w:rsid w:val="00341769"/>
    <w:rsid w:val="003417CB"/>
    <w:rsid w:val="0034184C"/>
    <w:rsid w:val="003418B5"/>
    <w:rsid w:val="003419CA"/>
    <w:rsid w:val="00341C63"/>
    <w:rsid w:val="003420C0"/>
    <w:rsid w:val="003422FE"/>
    <w:rsid w:val="003423A0"/>
    <w:rsid w:val="0034246A"/>
    <w:rsid w:val="003428C1"/>
    <w:rsid w:val="00342932"/>
    <w:rsid w:val="00342ABA"/>
    <w:rsid w:val="0034304E"/>
    <w:rsid w:val="00343237"/>
    <w:rsid w:val="0034348E"/>
    <w:rsid w:val="003435A9"/>
    <w:rsid w:val="00343FE6"/>
    <w:rsid w:val="0034417D"/>
    <w:rsid w:val="00344649"/>
    <w:rsid w:val="003448AD"/>
    <w:rsid w:val="00344919"/>
    <w:rsid w:val="0034499D"/>
    <w:rsid w:val="00344D62"/>
    <w:rsid w:val="00344E01"/>
    <w:rsid w:val="00344EFF"/>
    <w:rsid w:val="0034523C"/>
    <w:rsid w:val="00345496"/>
    <w:rsid w:val="003456A6"/>
    <w:rsid w:val="00345743"/>
    <w:rsid w:val="00345928"/>
    <w:rsid w:val="00345A46"/>
    <w:rsid w:val="00345BCF"/>
    <w:rsid w:val="00345E65"/>
    <w:rsid w:val="00345F68"/>
    <w:rsid w:val="003466F9"/>
    <w:rsid w:val="0034678E"/>
    <w:rsid w:val="00346B21"/>
    <w:rsid w:val="00346BEF"/>
    <w:rsid w:val="00346F69"/>
    <w:rsid w:val="003474AC"/>
    <w:rsid w:val="00347575"/>
    <w:rsid w:val="0034794D"/>
    <w:rsid w:val="00347ED5"/>
    <w:rsid w:val="00347EE0"/>
    <w:rsid w:val="0035006D"/>
    <w:rsid w:val="00350092"/>
    <w:rsid w:val="0035042E"/>
    <w:rsid w:val="0035054B"/>
    <w:rsid w:val="00350696"/>
    <w:rsid w:val="003506C2"/>
    <w:rsid w:val="003507E0"/>
    <w:rsid w:val="00350940"/>
    <w:rsid w:val="00350AB7"/>
    <w:rsid w:val="00351220"/>
    <w:rsid w:val="00351304"/>
    <w:rsid w:val="00351335"/>
    <w:rsid w:val="0035180E"/>
    <w:rsid w:val="003519AD"/>
    <w:rsid w:val="003519E6"/>
    <w:rsid w:val="00351C0E"/>
    <w:rsid w:val="00351E01"/>
    <w:rsid w:val="00351E0E"/>
    <w:rsid w:val="00351E9B"/>
    <w:rsid w:val="00351EC9"/>
    <w:rsid w:val="003526A6"/>
    <w:rsid w:val="00352B02"/>
    <w:rsid w:val="00352EAB"/>
    <w:rsid w:val="0035312F"/>
    <w:rsid w:val="00353394"/>
    <w:rsid w:val="0035362A"/>
    <w:rsid w:val="00353864"/>
    <w:rsid w:val="00353958"/>
    <w:rsid w:val="00353983"/>
    <w:rsid w:val="00353A09"/>
    <w:rsid w:val="00353A49"/>
    <w:rsid w:val="00354153"/>
    <w:rsid w:val="0035428A"/>
    <w:rsid w:val="003546E7"/>
    <w:rsid w:val="00354D17"/>
    <w:rsid w:val="00354DA3"/>
    <w:rsid w:val="00354EB4"/>
    <w:rsid w:val="00354F94"/>
    <w:rsid w:val="00355135"/>
    <w:rsid w:val="00355294"/>
    <w:rsid w:val="00355471"/>
    <w:rsid w:val="003556CF"/>
    <w:rsid w:val="00355CAD"/>
    <w:rsid w:val="00356009"/>
    <w:rsid w:val="0035636B"/>
    <w:rsid w:val="003563ED"/>
    <w:rsid w:val="0035665D"/>
    <w:rsid w:val="0035680E"/>
    <w:rsid w:val="00356D29"/>
    <w:rsid w:val="00356DB4"/>
    <w:rsid w:val="003571C2"/>
    <w:rsid w:val="00357601"/>
    <w:rsid w:val="0035774F"/>
    <w:rsid w:val="00357798"/>
    <w:rsid w:val="003577AE"/>
    <w:rsid w:val="0035787B"/>
    <w:rsid w:val="00357D7A"/>
    <w:rsid w:val="00357F92"/>
    <w:rsid w:val="00357FFE"/>
    <w:rsid w:val="003601EE"/>
    <w:rsid w:val="00360210"/>
    <w:rsid w:val="003602E6"/>
    <w:rsid w:val="0036042C"/>
    <w:rsid w:val="003605D6"/>
    <w:rsid w:val="0036092F"/>
    <w:rsid w:val="003612FD"/>
    <w:rsid w:val="003615BE"/>
    <w:rsid w:val="003615FE"/>
    <w:rsid w:val="003616B6"/>
    <w:rsid w:val="00361795"/>
    <w:rsid w:val="00362697"/>
    <w:rsid w:val="00362F6D"/>
    <w:rsid w:val="00363057"/>
    <w:rsid w:val="00363164"/>
    <w:rsid w:val="00363215"/>
    <w:rsid w:val="0036329A"/>
    <w:rsid w:val="003635DD"/>
    <w:rsid w:val="00363EE6"/>
    <w:rsid w:val="003640A7"/>
    <w:rsid w:val="00364335"/>
    <w:rsid w:val="00364A7B"/>
    <w:rsid w:val="00365441"/>
    <w:rsid w:val="00365447"/>
    <w:rsid w:val="00365741"/>
    <w:rsid w:val="00365FC1"/>
    <w:rsid w:val="003664D0"/>
    <w:rsid w:val="00366618"/>
    <w:rsid w:val="00366642"/>
    <w:rsid w:val="003667B5"/>
    <w:rsid w:val="00366AE5"/>
    <w:rsid w:val="00366E22"/>
    <w:rsid w:val="00367018"/>
    <w:rsid w:val="00367281"/>
    <w:rsid w:val="00367289"/>
    <w:rsid w:val="003672E3"/>
    <w:rsid w:val="0036771B"/>
    <w:rsid w:val="0036794E"/>
    <w:rsid w:val="003679CC"/>
    <w:rsid w:val="00367A42"/>
    <w:rsid w:val="00367C90"/>
    <w:rsid w:val="0036ABDD"/>
    <w:rsid w:val="0036EABD"/>
    <w:rsid w:val="00370AC9"/>
    <w:rsid w:val="00370B3A"/>
    <w:rsid w:val="00370D56"/>
    <w:rsid w:val="00370E7B"/>
    <w:rsid w:val="00370F78"/>
    <w:rsid w:val="00371127"/>
    <w:rsid w:val="00371152"/>
    <w:rsid w:val="003713B6"/>
    <w:rsid w:val="003715A4"/>
    <w:rsid w:val="00371C42"/>
    <w:rsid w:val="00371D51"/>
    <w:rsid w:val="00371D78"/>
    <w:rsid w:val="003720EC"/>
    <w:rsid w:val="0037233C"/>
    <w:rsid w:val="0037238D"/>
    <w:rsid w:val="00372927"/>
    <w:rsid w:val="00372A9B"/>
    <w:rsid w:val="00372CAB"/>
    <w:rsid w:val="00372D9C"/>
    <w:rsid w:val="003731E4"/>
    <w:rsid w:val="0037352D"/>
    <w:rsid w:val="003737E2"/>
    <w:rsid w:val="00374803"/>
    <w:rsid w:val="00374AC0"/>
    <w:rsid w:val="00374F85"/>
    <w:rsid w:val="003751A2"/>
    <w:rsid w:val="00375D65"/>
    <w:rsid w:val="00375EFD"/>
    <w:rsid w:val="00376072"/>
    <w:rsid w:val="00376A3F"/>
    <w:rsid w:val="00377083"/>
    <w:rsid w:val="00377371"/>
    <w:rsid w:val="003774A6"/>
    <w:rsid w:val="0037756D"/>
    <w:rsid w:val="003777E5"/>
    <w:rsid w:val="00377B2C"/>
    <w:rsid w:val="0038042A"/>
    <w:rsid w:val="0038066C"/>
    <w:rsid w:val="003806FD"/>
    <w:rsid w:val="00380D04"/>
    <w:rsid w:val="00380FA4"/>
    <w:rsid w:val="00380FEA"/>
    <w:rsid w:val="003810E5"/>
    <w:rsid w:val="0038146C"/>
    <w:rsid w:val="0038148C"/>
    <w:rsid w:val="003815E7"/>
    <w:rsid w:val="003818C0"/>
    <w:rsid w:val="0038195E"/>
    <w:rsid w:val="00381AEB"/>
    <w:rsid w:val="00381DF3"/>
    <w:rsid w:val="00381E35"/>
    <w:rsid w:val="00381E4C"/>
    <w:rsid w:val="00381F57"/>
    <w:rsid w:val="0038248D"/>
    <w:rsid w:val="00382609"/>
    <w:rsid w:val="00382B68"/>
    <w:rsid w:val="00383C69"/>
    <w:rsid w:val="00383E14"/>
    <w:rsid w:val="00383E6F"/>
    <w:rsid w:val="00383EDB"/>
    <w:rsid w:val="003847E0"/>
    <w:rsid w:val="00385004"/>
    <w:rsid w:val="003853E9"/>
    <w:rsid w:val="0038595B"/>
    <w:rsid w:val="00385B5B"/>
    <w:rsid w:val="00385FAB"/>
    <w:rsid w:val="00386124"/>
    <w:rsid w:val="00386199"/>
    <w:rsid w:val="003862A8"/>
    <w:rsid w:val="0038633A"/>
    <w:rsid w:val="003864D5"/>
    <w:rsid w:val="00386B09"/>
    <w:rsid w:val="00386EBF"/>
    <w:rsid w:val="0038727F"/>
    <w:rsid w:val="003872A3"/>
    <w:rsid w:val="0038745C"/>
    <w:rsid w:val="003875CE"/>
    <w:rsid w:val="003875DA"/>
    <w:rsid w:val="00387CFB"/>
    <w:rsid w:val="00387DFA"/>
    <w:rsid w:val="00387E33"/>
    <w:rsid w:val="00387FC2"/>
    <w:rsid w:val="00390111"/>
    <w:rsid w:val="00390115"/>
    <w:rsid w:val="00390258"/>
    <w:rsid w:val="0039053D"/>
    <w:rsid w:val="00390567"/>
    <w:rsid w:val="003905E9"/>
    <w:rsid w:val="00390683"/>
    <w:rsid w:val="00390A26"/>
    <w:rsid w:val="00390B2D"/>
    <w:rsid w:val="00390CBA"/>
    <w:rsid w:val="00390E7E"/>
    <w:rsid w:val="003911D8"/>
    <w:rsid w:val="00391785"/>
    <w:rsid w:val="0039180F"/>
    <w:rsid w:val="00391C95"/>
    <w:rsid w:val="00391C99"/>
    <w:rsid w:val="00391D97"/>
    <w:rsid w:val="00391FE2"/>
    <w:rsid w:val="0039205F"/>
    <w:rsid w:val="00392302"/>
    <w:rsid w:val="00392768"/>
    <w:rsid w:val="003927AA"/>
    <w:rsid w:val="00392935"/>
    <w:rsid w:val="00392B8E"/>
    <w:rsid w:val="00392EE6"/>
    <w:rsid w:val="003930D8"/>
    <w:rsid w:val="003933B7"/>
    <w:rsid w:val="003937FD"/>
    <w:rsid w:val="0039393F"/>
    <w:rsid w:val="00393A5B"/>
    <w:rsid w:val="00393AFC"/>
    <w:rsid w:val="00393B5F"/>
    <w:rsid w:val="00393B74"/>
    <w:rsid w:val="00393E08"/>
    <w:rsid w:val="00394614"/>
    <w:rsid w:val="00394842"/>
    <w:rsid w:val="003948B3"/>
    <w:rsid w:val="00394913"/>
    <w:rsid w:val="00394A28"/>
    <w:rsid w:val="00394A71"/>
    <w:rsid w:val="00394CB7"/>
    <w:rsid w:val="00394D09"/>
    <w:rsid w:val="00395168"/>
    <w:rsid w:val="0039535F"/>
    <w:rsid w:val="0039543C"/>
    <w:rsid w:val="00395AB8"/>
    <w:rsid w:val="003964C2"/>
    <w:rsid w:val="00396650"/>
    <w:rsid w:val="003966F6"/>
    <w:rsid w:val="0039677D"/>
    <w:rsid w:val="00396E18"/>
    <w:rsid w:val="003979AB"/>
    <w:rsid w:val="00397AB0"/>
    <w:rsid w:val="00397AF0"/>
    <w:rsid w:val="00397B42"/>
    <w:rsid w:val="00397EB8"/>
    <w:rsid w:val="00397F35"/>
    <w:rsid w:val="00397FD7"/>
    <w:rsid w:val="003A0521"/>
    <w:rsid w:val="003A0660"/>
    <w:rsid w:val="003A08B0"/>
    <w:rsid w:val="003A0A07"/>
    <w:rsid w:val="003A0BE8"/>
    <w:rsid w:val="003A0D52"/>
    <w:rsid w:val="003A1169"/>
    <w:rsid w:val="003A1221"/>
    <w:rsid w:val="003A149B"/>
    <w:rsid w:val="003A166D"/>
    <w:rsid w:val="003A1722"/>
    <w:rsid w:val="003A18DE"/>
    <w:rsid w:val="003A191D"/>
    <w:rsid w:val="003A256D"/>
    <w:rsid w:val="003A2B3D"/>
    <w:rsid w:val="003A2D65"/>
    <w:rsid w:val="003A2ED1"/>
    <w:rsid w:val="003A2EE6"/>
    <w:rsid w:val="003A3699"/>
    <w:rsid w:val="003A37CA"/>
    <w:rsid w:val="003A3837"/>
    <w:rsid w:val="003A3BEC"/>
    <w:rsid w:val="003A3C00"/>
    <w:rsid w:val="003A3DC3"/>
    <w:rsid w:val="003A3E05"/>
    <w:rsid w:val="003A3E84"/>
    <w:rsid w:val="003A4010"/>
    <w:rsid w:val="003A413E"/>
    <w:rsid w:val="003A42A1"/>
    <w:rsid w:val="003A489F"/>
    <w:rsid w:val="003A48D8"/>
    <w:rsid w:val="003A4C47"/>
    <w:rsid w:val="003A4D67"/>
    <w:rsid w:val="003A528D"/>
    <w:rsid w:val="003A531F"/>
    <w:rsid w:val="003A53C4"/>
    <w:rsid w:val="003A5C13"/>
    <w:rsid w:val="003A5CE4"/>
    <w:rsid w:val="003A5E09"/>
    <w:rsid w:val="003A6724"/>
    <w:rsid w:val="003A6A82"/>
    <w:rsid w:val="003A6B6D"/>
    <w:rsid w:val="003A6C6F"/>
    <w:rsid w:val="003A6DA5"/>
    <w:rsid w:val="003A6E1A"/>
    <w:rsid w:val="003A70E4"/>
    <w:rsid w:val="003A75E3"/>
    <w:rsid w:val="003A768D"/>
    <w:rsid w:val="003A7702"/>
    <w:rsid w:val="003B033A"/>
    <w:rsid w:val="003B0365"/>
    <w:rsid w:val="003B03B1"/>
    <w:rsid w:val="003B07CB"/>
    <w:rsid w:val="003B08E2"/>
    <w:rsid w:val="003B0BA1"/>
    <w:rsid w:val="003B0C07"/>
    <w:rsid w:val="003B0DA2"/>
    <w:rsid w:val="003B0DCD"/>
    <w:rsid w:val="003B14DB"/>
    <w:rsid w:val="003B15F8"/>
    <w:rsid w:val="003B16A1"/>
    <w:rsid w:val="003B208F"/>
    <w:rsid w:val="003B21BD"/>
    <w:rsid w:val="003B22EC"/>
    <w:rsid w:val="003B2611"/>
    <w:rsid w:val="003B26C1"/>
    <w:rsid w:val="003B284E"/>
    <w:rsid w:val="003B2984"/>
    <w:rsid w:val="003B2FB8"/>
    <w:rsid w:val="003B36C0"/>
    <w:rsid w:val="003B382F"/>
    <w:rsid w:val="003B3B87"/>
    <w:rsid w:val="003B3EFD"/>
    <w:rsid w:val="003B4171"/>
    <w:rsid w:val="003B4382"/>
    <w:rsid w:val="003B4599"/>
    <w:rsid w:val="003B4D58"/>
    <w:rsid w:val="003B4FF2"/>
    <w:rsid w:val="003B50B9"/>
    <w:rsid w:val="003B55B8"/>
    <w:rsid w:val="003B58D3"/>
    <w:rsid w:val="003B58D5"/>
    <w:rsid w:val="003B58DC"/>
    <w:rsid w:val="003B5B22"/>
    <w:rsid w:val="003B6022"/>
    <w:rsid w:val="003B605B"/>
    <w:rsid w:val="003B61B7"/>
    <w:rsid w:val="003B6345"/>
    <w:rsid w:val="003B6B0D"/>
    <w:rsid w:val="003B6C57"/>
    <w:rsid w:val="003B6E9F"/>
    <w:rsid w:val="003B72DB"/>
    <w:rsid w:val="003B7409"/>
    <w:rsid w:val="003B75E4"/>
    <w:rsid w:val="003B76F2"/>
    <w:rsid w:val="003B7B44"/>
    <w:rsid w:val="003C0048"/>
    <w:rsid w:val="003C01B8"/>
    <w:rsid w:val="003C0684"/>
    <w:rsid w:val="003C09C2"/>
    <w:rsid w:val="003C1224"/>
    <w:rsid w:val="003C123B"/>
    <w:rsid w:val="003C12F4"/>
    <w:rsid w:val="003C1718"/>
    <w:rsid w:val="003C1830"/>
    <w:rsid w:val="003C19A5"/>
    <w:rsid w:val="003C1AE2"/>
    <w:rsid w:val="003C1CEF"/>
    <w:rsid w:val="003C1DE5"/>
    <w:rsid w:val="003C1FF0"/>
    <w:rsid w:val="003C20FB"/>
    <w:rsid w:val="003C24CA"/>
    <w:rsid w:val="003C260E"/>
    <w:rsid w:val="003C2C55"/>
    <w:rsid w:val="003C2E6C"/>
    <w:rsid w:val="003C2F29"/>
    <w:rsid w:val="003C2F40"/>
    <w:rsid w:val="003C326D"/>
    <w:rsid w:val="003C3302"/>
    <w:rsid w:val="003C333A"/>
    <w:rsid w:val="003C36CB"/>
    <w:rsid w:val="003C3702"/>
    <w:rsid w:val="003C3886"/>
    <w:rsid w:val="003C3D78"/>
    <w:rsid w:val="003C3E16"/>
    <w:rsid w:val="003C4011"/>
    <w:rsid w:val="003C4201"/>
    <w:rsid w:val="003C4252"/>
    <w:rsid w:val="003C4585"/>
    <w:rsid w:val="003C4CDB"/>
    <w:rsid w:val="003C4D1D"/>
    <w:rsid w:val="003C4F8F"/>
    <w:rsid w:val="003C5812"/>
    <w:rsid w:val="003C5F15"/>
    <w:rsid w:val="003C6238"/>
    <w:rsid w:val="003C6340"/>
    <w:rsid w:val="003C63F7"/>
    <w:rsid w:val="003C664A"/>
    <w:rsid w:val="003C68DE"/>
    <w:rsid w:val="003C6A71"/>
    <w:rsid w:val="003C6B59"/>
    <w:rsid w:val="003C6C1A"/>
    <w:rsid w:val="003C6F26"/>
    <w:rsid w:val="003C7291"/>
    <w:rsid w:val="003C765B"/>
    <w:rsid w:val="003C7793"/>
    <w:rsid w:val="003C79C4"/>
    <w:rsid w:val="003C7BC7"/>
    <w:rsid w:val="003C7BDE"/>
    <w:rsid w:val="003C7CD5"/>
    <w:rsid w:val="003C7D24"/>
    <w:rsid w:val="003D0336"/>
    <w:rsid w:val="003D0952"/>
    <w:rsid w:val="003D0F1B"/>
    <w:rsid w:val="003D1096"/>
    <w:rsid w:val="003D11D4"/>
    <w:rsid w:val="003D11F0"/>
    <w:rsid w:val="003D11FD"/>
    <w:rsid w:val="003D136E"/>
    <w:rsid w:val="003D1B68"/>
    <w:rsid w:val="003D1C15"/>
    <w:rsid w:val="003D1C87"/>
    <w:rsid w:val="003D1D61"/>
    <w:rsid w:val="003D1D6F"/>
    <w:rsid w:val="003D1ED0"/>
    <w:rsid w:val="003D2352"/>
    <w:rsid w:val="003D248D"/>
    <w:rsid w:val="003D24D3"/>
    <w:rsid w:val="003D299E"/>
    <w:rsid w:val="003D2BF6"/>
    <w:rsid w:val="003D2CCC"/>
    <w:rsid w:val="003D3179"/>
    <w:rsid w:val="003D3323"/>
    <w:rsid w:val="003D33F4"/>
    <w:rsid w:val="003D3414"/>
    <w:rsid w:val="003D3437"/>
    <w:rsid w:val="003D399E"/>
    <w:rsid w:val="003D3B0B"/>
    <w:rsid w:val="003D3B4B"/>
    <w:rsid w:val="003D410E"/>
    <w:rsid w:val="003D44CC"/>
    <w:rsid w:val="003D4597"/>
    <w:rsid w:val="003D4605"/>
    <w:rsid w:val="003D469D"/>
    <w:rsid w:val="003D47C7"/>
    <w:rsid w:val="003D48F4"/>
    <w:rsid w:val="003D4AA0"/>
    <w:rsid w:val="003D4B95"/>
    <w:rsid w:val="003D4C15"/>
    <w:rsid w:val="003D5004"/>
    <w:rsid w:val="003D5070"/>
    <w:rsid w:val="003D50EC"/>
    <w:rsid w:val="003D521F"/>
    <w:rsid w:val="003D55D4"/>
    <w:rsid w:val="003D55E1"/>
    <w:rsid w:val="003D5731"/>
    <w:rsid w:val="003D5F98"/>
    <w:rsid w:val="003D6292"/>
    <w:rsid w:val="003D62F6"/>
    <w:rsid w:val="003D6338"/>
    <w:rsid w:val="003D641A"/>
    <w:rsid w:val="003D660D"/>
    <w:rsid w:val="003D6742"/>
    <w:rsid w:val="003D6926"/>
    <w:rsid w:val="003D695C"/>
    <w:rsid w:val="003D698E"/>
    <w:rsid w:val="003D6B49"/>
    <w:rsid w:val="003D6E41"/>
    <w:rsid w:val="003D6FE1"/>
    <w:rsid w:val="003D7130"/>
    <w:rsid w:val="003D7184"/>
    <w:rsid w:val="003D71EB"/>
    <w:rsid w:val="003D7495"/>
    <w:rsid w:val="003D74B8"/>
    <w:rsid w:val="003D760F"/>
    <w:rsid w:val="003D7652"/>
    <w:rsid w:val="003D79ED"/>
    <w:rsid w:val="003D7B44"/>
    <w:rsid w:val="003D7D1C"/>
    <w:rsid w:val="003DCE9E"/>
    <w:rsid w:val="003E0029"/>
    <w:rsid w:val="003E0336"/>
    <w:rsid w:val="003E06E5"/>
    <w:rsid w:val="003E0B08"/>
    <w:rsid w:val="003E0B7F"/>
    <w:rsid w:val="003E13B0"/>
    <w:rsid w:val="003E1983"/>
    <w:rsid w:val="003E199C"/>
    <w:rsid w:val="003E19A9"/>
    <w:rsid w:val="003E1A28"/>
    <w:rsid w:val="003E1B2C"/>
    <w:rsid w:val="003E1BAF"/>
    <w:rsid w:val="003E2001"/>
    <w:rsid w:val="003E20CB"/>
    <w:rsid w:val="003E22CB"/>
    <w:rsid w:val="003E231E"/>
    <w:rsid w:val="003E2343"/>
    <w:rsid w:val="003E301F"/>
    <w:rsid w:val="003E31AC"/>
    <w:rsid w:val="003E34D6"/>
    <w:rsid w:val="003E377E"/>
    <w:rsid w:val="003E386E"/>
    <w:rsid w:val="003E3B8D"/>
    <w:rsid w:val="003E3BD4"/>
    <w:rsid w:val="003E3C3E"/>
    <w:rsid w:val="003E406B"/>
    <w:rsid w:val="003E4131"/>
    <w:rsid w:val="003E415E"/>
    <w:rsid w:val="003E4410"/>
    <w:rsid w:val="003E44F5"/>
    <w:rsid w:val="003E465A"/>
    <w:rsid w:val="003E469C"/>
    <w:rsid w:val="003E4EFD"/>
    <w:rsid w:val="003E4F1D"/>
    <w:rsid w:val="003E4F96"/>
    <w:rsid w:val="003E53B2"/>
    <w:rsid w:val="003E5692"/>
    <w:rsid w:val="003E56C5"/>
    <w:rsid w:val="003E5736"/>
    <w:rsid w:val="003E5853"/>
    <w:rsid w:val="003E5C5E"/>
    <w:rsid w:val="003E5CCA"/>
    <w:rsid w:val="003E5DF8"/>
    <w:rsid w:val="003E5E60"/>
    <w:rsid w:val="003E6228"/>
    <w:rsid w:val="003E670D"/>
    <w:rsid w:val="003E6746"/>
    <w:rsid w:val="003E67EE"/>
    <w:rsid w:val="003E6986"/>
    <w:rsid w:val="003E69DC"/>
    <w:rsid w:val="003E6CBD"/>
    <w:rsid w:val="003E6D92"/>
    <w:rsid w:val="003E6F0D"/>
    <w:rsid w:val="003E704D"/>
    <w:rsid w:val="003E735B"/>
    <w:rsid w:val="003E7483"/>
    <w:rsid w:val="003E74DA"/>
    <w:rsid w:val="003E74EC"/>
    <w:rsid w:val="003E7710"/>
    <w:rsid w:val="003E7773"/>
    <w:rsid w:val="003E7846"/>
    <w:rsid w:val="003E7C49"/>
    <w:rsid w:val="003E7D82"/>
    <w:rsid w:val="003E7F0F"/>
    <w:rsid w:val="003F00F4"/>
    <w:rsid w:val="003F0104"/>
    <w:rsid w:val="003F0251"/>
    <w:rsid w:val="003F0547"/>
    <w:rsid w:val="003F06A9"/>
    <w:rsid w:val="003F0744"/>
    <w:rsid w:val="003F0906"/>
    <w:rsid w:val="003F0EC5"/>
    <w:rsid w:val="003F115E"/>
    <w:rsid w:val="003F14C2"/>
    <w:rsid w:val="003F1500"/>
    <w:rsid w:val="003F1762"/>
    <w:rsid w:val="003F19A8"/>
    <w:rsid w:val="003F1A5E"/>
    <w:rsid w:val="003F1BD4"/>
    <w:rsid w:val="003F1C78"/>
    <w:rsid w:val="003F1F2F"/>
    <w:rsid w:val="003F1F31"/>
    <w:rsid w:val="003F2210"/>
    <w:rsid w:val="003F2679"/>
    <w:rsid w:val="003F2695"/>
    <w:rsid w:val="003F2727"/>
    <w:rsid w:val="003F2BD7"/>
    <w:rsid w:val="003F3203"/>
    <w:rsid w:val="003F328E"/>
    <w:rsid w:val="003F403A"/>
    <w:rsid w:val="003F42B7"/>
    <w:rsid w:val="003F47E6"/>
    <w:rsid w:val="003F4B44"/>
    <w:rsid w:val="003F5124"/>
    <w:rsid w:val="003F535C"/>
    <w:rsid w:val="003F54D5"/>
    <w:rsid w:val="003F5855"/>
    <w:rsid w:val="003F590E"/>
    <w:rsid w:val="003F6607"/>
    <w:rsid w:val="003F6893"/>
    <w:rsid w:val="003F6914"/>
    <w:rsid w:val="003F6A39"/>
    <w:rsid w:val="003F6ECF"/>
    <w:rsid w:val="003F716B"/>
    <w:rsid w:val="003F7196"/>
    <w:rsid w:val="003F725D"/>
    <w:rsid w:val="003F7384"/>
    <w:rsid w:val="003F775A"/>
    <w:rsid w:val="003F7BC5"/>
    <w:rsid w:val="0040017B"/>
    <w:rsid w:val="0040035F"/>
    <w:rsid w:val="00400530"/>
    <w:rsid w:val="004007BB"/>
    <w:rsid w:val="004008AF"/>
    <w:rsid w:val="00400A17"/>
    <w:rsid w:val="00400B5F"/>
    <w:rsid w:val="00400BA3"/>
    <w:rsid w:val="0040102C"/>
    <w:rsid w:val="00401135"/>
    <w:rsid w:val="0040134C"/>
    <w:rsid w:val="00401CE7"/>
    <w:rsid w:val="00401CFB"/>
    <w:rsid w:val="00401D85"/>
    <w:rsid w:val="00401DBF"/>
    <w:rsid w:val="00402233"/>
    <w:rsid w:val="0040249D"/>
    <w:rsid w:val="00402530"/>
    <w:rsid w:val="004026F9"/>
    <w:rsid w:val="00402843"/>
    <w:rsid w:val="004028C2"/>
    <w:rsid w:val="004029CD"/>
    <w:rsid w:val="00402F71"/>
    <w:rsid w:val="00403200"/>
    <w:rsid w:val="0040322A"/>
    <w:rsid w:val="004033D9"/>
    <w:rsid w:val="00403624"/>
    <w:rsid w:val="004037A9"/>
    <w:rsid w:val="00403859"/>
    <w:rsid w:val="004039FA"/>
    <w:rsid w:val="00403A44"/>
    <w:rsid w:val="00403EED"/>
    <w:rsid w:val="004043F8"/>
    <w:rsid w:val="00404A94"/>
    <w:rsid w:val="0040514B"/>
    <w:rsid w:val="00405155"/>
    <w:rsid w:val="0040551F"/>
    <w:rsid w:val="004057F5"/>
    <w:rsid w:val="00405882"/>
    <w:rsid w:val="00406124"/>
    <w:rsid w:val="00406300"/>
    <w:rsid w:val="00406711"/>
    <w:rsid w:val="004068A5"/>
    <w:rsid w:val="00406943"/>
    <w:rsid w:val="00407022"/>
    <w:rsid w:val="004070E1"/>
    <w:rsid w:val="004072A4"/>
    <w:rsid w:val="00407558"/>
    <w:rsid w:val="00407616"/>
    <w:rsid w:val="0040771F"/>
    <w:rsid w:val="00407DB5"/>
    <w:rsid w:val="0041007E"/>
    <w:rsid w:val="004107B9"/>
    <w:rsid w:val="004109D5"/>
    <w:rsid w:val="00410D35"/>
    <w:rsid w:val="00410D9C"/>
    <w:rsid w:val="00410F01"/>
    <w:rsid w:val="004111F7"/>
    <w:rsid w:val="0041128B"/>
    <w:rsid w:val="00411931"/>
    <w:rsid w:val="00411A49"/>
    <w:rsid w:val="00411C5D"/>
    <w:rsid w:val="00411C8B"/>
    <w:rsid w:val="00411EFA"/>
    <w:rsid w:val="00411F84"/>
    <w:rsid w:val="0041217D"/>
    <w:rsid w:val="004121BB"/>
    <w:rsid w:val="0041236D"/>
    <w:rsid w:val="00412384"/>
    <w:rsid w:val="004125C6"/>
    <w:rsid w:val="0041264C"/>
    <w:rsid w:val="0041275F"/>
    <w:rsid w:val="00412A62"/>
    <w:rsid w:val="00412B3B"/>
    <w:rsid w:val="00412EAE"/>
    <w:rsid w:val="0041317A"/>
    <w:rsid w:val="00413464"/>
    <w:rsid w:val="00413C56"/>
    <w:rsid w:val="00413DBB"/>
    <w:rsid w:val="00413F8F"/>
    <w:rsid w:val="0041413E"/>
    <w:rsid w:val="004148B8"/>
    <w:rsid w:val="00414B92"/>
    <w:rsid w:val="00414EB1"/>
    <w:rsid w:val="00415033"/>
    <w:rsid w:val="004152DE"/>
    <w:rsid w:val="004154E2"/>
    <w:rsid w:val="004155A1"/>
    <w:rsid w:val="004158ED"/>
    <w:rsid w:val="004159C2"/>
    <w:rsid w:val="00415D96"/>
    <w:rsid w:val="00415DEB"/>
    <w:rsid w:val="0041605E"/>
    <w:rsid w:val="0041612A"/>
    <w:rsid w:val="00416190"/>
    <w:rsid w:val="004162CC"/>
    <w:rsid w:val="004164B2"/>
    <w:rsid w:val="0041678E"/>
    <w:rsid w:val="00416B67"/>
    <w:rsid w:val="00416C07"/>
    <w:rsid w:val="00416E8D"/>
    <w:rsid w:val="00417045"/>
    <w:rsid w:val="00417135"/>
    <w:rsid w:val="004172D5"/>
    <w:rsid w:val="00417488"/>
    <w:rsid w:val="004178AE"/>
    <w:rsid w:val="00417DE4"/>
    <w:rsid w:val="00417FAC"/>
    <w:rsid w:val="00420111"/>
    <w:rsid w:val="0042019D"/>
    <w:rsid w:val="0042022B"/>
    <w:rsid w:val="004203E4"/>
    <w:rsid w:val="004206FD"/>
    <w:rsid w:val="004213CC"/>
    <w:rsid w:val="004215A6"/>
    <w:rsid w:val="00421A89"/>
    <w:rsid w:val="00421D76"/>
    <w:rsid w:val="00421EBC"/>
    <w:rsid w:val="00422346"/>
    <w:rsid w:val="004223C3"/>
    <w:rsid w:val="004226B5"/>
    <w:rsid w:val="00422769"/>
    <w:rsid w:val="004228F0"/>
    <w:rsid w:val="00422989"/>
    <w:rsid w:val="00422B7B"/>
    <w:rsid w:val="00422D17"/>
    <w:rsid w:val="00422F61"/>
    <w:rsid w:val="0042304B"/>
    <w:rsid w:val="004234F0"/>
    <w:rsid w:val="004238A7"/>
    <w:rsid w:val="00423B35"/>
    <w:rsid w:val="00423BB9"/>
    <w:rsid w:val="00423BFC"/>
    <w:rsid w:val="00424084"/>
    <w:rsid w:val="00424124"/>
    <w:rsid w:val="004243F2"/>
    <w:rsid w:val="004246F7"/>
    <w:rsid w:val="004249CB"/>
    <w:rsid w:val="00424A3E"/>
    <w:rsid w:val="00424AEB"/>
    <w:rsid w:val="00424BBC"/>
    <w:rsid w:val="004253D0"/>
    <w:rsid w:val="00425680"/>
    <w:rsid w:val="00425817"/>
    <w:rsid w:val="0042589D"/>
    <w:rsid w:val="00425A2E"/>
    <w:rsid w:val="00425F45"/>
    <w:rsid w:val="00426C44"/>
    <w:rsid w:val="004270AC"/>
    <w:rsid w:val="004273AD"/>
    <w:rsid w:val="00427511"/>
    <w:rsid w:val="004275F5"/>
    <w:rsid w:val="00427690"/>
    <w:rsid w:val="00427805"/>
    <w:rsid w:val="004279BE"/>
    <w:rsid w:val="00427E0F"/>
    <w:rsid w:val="004305AE"/>
    <w:rsid w:val="00430762"/>
    <w:rsid w:val="004307A8"/>
    <w:rsid w:val="00430914"/>
    <w:rsid w:val="00430D9B"/>
    <w:rsid w:val="00430E3B"/>
    <w:rsid w:val="00430EC7"/>
    <w:rsid w:val="00430ECD"/>
    <w:rsid w:val="00430F76"/>
    <w:rsid w:val="004310EA"/>
    <w:rsid w:val="00431800"/>
    <w:rsid w:val="00431A86"/>
    <w:rsid w:val="00431F0E"/>
    <w:rsid w:val="004321A6"/>
    <w:rsid w:val="00432426"/>
    <w:rsid w:val="0043266F"/>
    <w:rsid w:val="00432780"/>
    <w:rsid w:val="00432982"/>
    <w:rsid w:val="00432AA3"/>
    <w:rsid w:val="00432ACF"/>
    <w:rsid w:val="00432B45"/>
    <w:rsid w:val="00432BDB"/>
    <w:rsid w:val="00432D06"/>
    <w:rsid w:val="00432D71"/>
    <w:rsid w:val="00432D7C"/>
    <w:rsid w:val="00432EC1"/>
    <w:rsid w:val="00432EF7"/>
    <w:rsid w:val="004330A5"/>
    <w:rsid w:val="00433541"/>
    <w:rsid w:val="00433551"/>
    <w:rsid w:val="004336AD"/>
    <w:rsid w:val="00433722"/>
    <w:rsid w:val="004339DA"/>
    <w:rsid w:val="00433CAE"/>
    <w:rsid w:val="00433E6F"/>
    <w:rsid w:val="004340F4"/>
    <w:rsid w:val="0043421F"/>
    <w:rsid w:val="004348CD"/>
    <w:rsid w:val="00434A18"/>
    <w:rsid w:val="00434CD2"/>
    <w:rsid w:val="00434DC1"/>
    <w:rsid w:val="00434F19"/>
    <w:rsid w:val="00435102"/>
    <w:rsid w:val="0043523B"/>
    <w:rsid w:val="0043542E"/>
    <w:rsid w:val="0043559A"/>
    <w:rsid w:val="00435BC6"/>
    <w:rsid w:val="00435D63"/>
    <w:rsid w:val="00435D7F"/>
    <w:rsid w:val="00435E4A"/>
    <w:rsid w:val="004360A7"/>
    <w:rsid w:val="0043617E"/>
    <w:rsid w:val="00436222"/>
    <w:rsid w:val="004362A3"/>
    <w:rsid w:val="00436471"/>
    <w:rsid w:val="00436514"/>
    <w:rsid w:val="004365FE"/>
    <w:rsid w:val="00436AE8"/>
    <w:rsid w:val="00436AE9"/>
    <w:rsid w:val="00436AEA"/>
    <w:rsid w:val="00436E99"/>
    <w:rsid w:val="004374BF"/>
    <w:rsid w:val="004401B4"/>
    <w:rsid w:val="004405BF"/>
    <w:rsid w:val="0044073B"/>
    <w:rsid w:val="00440CC4"/>
    <w:rsid w:val="00440D2F"/>
    <w:rsid w:val="00440DE0"/>
    <w:rsid w:val="004412B3"/>
    <w:rsid w:val="004414E1"/>
    <w:rsid w:val="004417C3"/>
    <w:rsid w:val="00441883"/>
    <w:rsid w:val="004423F7"/>
    <w:rsid w:val="0044241D"/>
    <w:rsid w:val="004424C7"/>
    <w:rsid w:val="004425F9"/>
    <w:rsid w:val="0044289A"/>
    <w:rsid w:val="00442A49"/>
    <w:rsid w:val="00442A86"/>
    <w:rsid w:val="00442E8B"/>
    <w:rsid w:val="00442EBE"/>
    <w:rsid w:val="00443111"/>
    <w:rsid w:val="00443D10"/>
    <w:rsid w:val="00443DF8"/>
    <w:rsid w:val="004440E7"/>
    <w:rsid w:val="004441E7"/>
    <w:rsid w:val="004445E9"/>
    <w:rsid w:val="00444892"/>
    <w:rsid w:val="00444B1A"/>
    <w:rsid w:val="00444D5C"/>
    <w:rsid w:val="00444E77"/>
    <w:rsid w:val="00445324"/>
    <w:rsid w:val="00445411"/>
    <w:rsid w:val="00445883"/>
    <w:rsid w:val="00445A2D"/>
    <w:rsid w:val="00445A5D"/>
    <w:rsid w:val="00445C38"/>
    <w:rsid w:val="00445CE5"/>
    <w:rsid w:val="004460FD"/>
    <w:rsid w:val="0044636E"/>
    <w:rsid w:val="0044690B"/>
    <w:rsid w:val="00446B8A"/>
    <w:rsid w:val="00446BBE"/>
    <w:rsid w:val="00446C5B"/>
    <w:rsid w:val="00446EBB"/>
    <w:rsid w:val="0044700B"/>
    <w:rsid w:val="0044701F"/>
    <w:rsid w:val="0044711B"/>
    <w:rsid w:val="0044714D"/>
    <w:rsid w:val="004475F8"/>
    <w:rsid w:val="004476A2"/>
    <w:rsid w:val="0044782C"/>
    <w:rsid w:val="0044792B"/>
    <w:rsid w:val="00447A23"/>
    <w:rsid w:val="00447D01"/>
    <w:rsid w:val="004500B2"/>
    <w:rsid w:val="00450123"/>
    <w:rsid w:val="00450230"/>
    <w:rsid w:val="00450856"/>
    <w:rsid w:val="0045093D"/>
    <w:rsid w:val="004509FB"/>
    <w:rsid w:val="00450C28"/>
    <w:rsid w:val="00450C3C"/>
    <w:rsid w:val="00450FC7"/>
    <w:rsid w:val="004512F6"/>
    <w:rsid w:val="00451528"/>
    <w:rsid w:val="00451645"/>
    <w:rsid w:val="00451B9A"/>
    <w:rsid w:val="00451BE5"/>
    <w:rsid w:val="00451E9D"/>
    <w:rsid w:val="00451EBA"/>
    <w:rsid w:val="0045262E"/>
    <w:rsid w:val="0045265A"/>
    <w:rsid w:val="0045266C"/>
    <w:rsid w:val="00452C42"/>
    <w:rsid w:val="00452D1E"/>
    <w:rsid w:val="00452D62"/>
    <w:rsid w:val="00452E8A"/>
    <w:rsid w:val="00453139"/>
    <w:rsid w:val="00453145"/>
    <w:rsid w:val="004532C1"/>
    <w:rsid w:val="004534B2"/>
    <w:rsid w:val="00453AE3"/>
    <w:rsid w:val="0045424D"/>
    <w:rsid w:val="004543EF"/>
    <w:rsid w:val="00454418"/>
    <w:rsid w:val="004546ED"/>
    <w:rsid w:val="004546F1"/>
    <w:rsid w:val="00454976"/>
    <w:rsid w:val="00454AAA"/>
    <w:rsid w:val="00454D04"/>
    <w:rsid w:val="00454DDF"/>
    <w:rsid w:val="00454F8E"/>
    <w:rsid w:val="004550BC"/>
    <w:rsid w:val="00455867"/>
    <w:rsid w:val="00455995"/>
    <w:rsid w:val="00455D1B"/>
    <w:rsid w:val="00455D40"/>
    <w:rsid w:val="00456019"/>
    <w:rsid w:val="0045610C"/>
    <w:rsid w:val="00456189"/>
    <w:rsid w:val="00456898"/>
    <w:rsid w:val="004569D1"/>
    <w:rsid w:val="00456DEF"/>
    <w:rsid w:val="00456E61"/>
    <w:rsid w:val="00456F07"/>
    <w:rsid w:val="004570A6"/>
    <w:rsid w:val="00457168"/>
    <w:rsid w:val="00457232"/>
    <w:rsid w:val="004572CE"/>
    <w:rsid w:val="0045731C"/>
    <w:rsid w:val="004573EF"/>
    <w:rsid w:val="00457823"/>
    <w:rsid w:val="00457857"/>
    <w:rsid w:val="00457ACB"/>
    <w:rsid w:val="00457BA7"/>
    <w:rsid w:val="00457C0F"/>
    <w:rsid w:val="00457C2F"/>
    <w:rsid w:val="00457E16"/>
    <w:rsid w:val="00457EDA"/>
    <w:rsid w:val="004601C5"/>
    <w:rsid w:val="00460215"/>
    <w:rsid w:val="004602FF"/>
    <w:rsid w:val="004605F7"/>
    <w:rsid w:val="0046078D"/>
    <w:rsid w:val="00460A16"/>
    <w:rsid w:val="00461127"/>
    <w:rsid w:val="004613AD"/>
    <w:rsid w:val="00461780"/>
    <w:rsid w:val="00461BD1"/>
    <w:rsid w:val="00461D59"/>
    <w:rsid w:val="00461DB5"/>
    <w:rsid w:val="0046226D"/>
    <w:rsid w:val="00462623"/>
    <w:rsid w:val="00462778"/>
    <w:rsid w:val="00462C50"/>
    <w:rsid w:val="00462D70"/>
    <w:rsid w:val="00463412"/>
    <w:rsid w:val="004635FC"/>
    <w:rsid w:val="0046375A"/>
    <w:rsid w:val="0046381B"/>
    <w:rsid w:val="00464062"/>
    <w:rsid w:val="004640A8"/>
    <w:rsid w:val="0046446D"/>
    <w:rsid w:val="004646E7"/>
    <w:rsid w:val="004649A2"/>
    <w:rsid w:val="00464AE0"/>
    <w:rsid w:val="00464F34"/>
    <w:rsid w:val="00464F6C"/>
    <w:rsid w:val="0046558A"/>
    <w:rsid w:val="004655DC"/>
    <w:rsid w:val="00465857"/>
    <w:rsid w:val="00465B0B"/>
    <w:rsid w:val="00465C01"/>
    <w:rsid w:val="00465C0E"/>
    <w:rsid w:val="00465C42"/>
    <w:rsid w:val="00465F9D"/>
    <w:rsid w:val="00465FE2"/>
    <w:rsid w:val="0046716C"/>
    <w:rsid w:val="00467860"/>
    <w:rsid w:val="00467A31"/>
    <w:rsid w:val="004702E0"/>
    <w:rsid w:val="004706A8"/>
    <w:rsid w:val="00470BF1"/>
    <w:rsid w:val="00470C13"/>
    <w:rsid w:val="00470FF6"/>
    <w:rsid w:val="00471367"/>
    <w:rsid w:val="0047142B"/>
    <w:rsid w:val="0047170E"/>
    <w:rsid w:val="00471D0D"/>
    <w:rsid w:val="00471DA0"/>
    <w:rsid w:val="004724CD"/>
    <w:rsid w:val="00472534"/>
    <w:rsid w:val="00472A88"/>
    <w:rsid w:val="00472E92"/>
    <w:rsid w:val="00472F2D"/>
    <w:rsid w:val="0047303D"/>
    <w:rsid w:val="004730D8"/>
    <w:rsid w:val="004730EB"/>
    <w:rsid w:val="00473203"/>
    <w:rsid w:val="0047321F"/>
    <w:rsid w:val="0047354A"/>
    <w:rsid w:val="00473562"/>
    <w:rsid w:val="00473752"/>
    <w:rsid w:val="00473763"/>
    <w:rsid w:val="00473769"/>
    <w:rsid w:val="00473C8A"/>
    <w:rsid w:val="004740EB"/>
    <w:rsid w:val="004741F5"/>
    <w:rsid w:val="004743B2"/>
    <w:rsid w:val="00474587"/>
    <w:rsid w:val="00474760"/>
    <w:rsid w:val="00474E01"/>
    <w:rsid w:val="00474E3B"/>
    <w:rsid w:val="004752A8"/>
    <w:rsid w:val="004757A9"/>
    <w:rsid w:val="004758C4"/>
    <w:rsid w:val="00475973"/>
    <w:rsid w:val="00475C1C"/>
    <w:rsid w:val="00475FEA"/>
    <w:rsid w:val="00476005"/>
    <w:rsid w:val="0047639F"/>
    <w:rsid w:val="00476953"/>
    <w:rsid w:val="00476B89"/>
    <w:rsid w:val="00476DFF"/>
    <w:rsid w:val="004773FB"/>
    <w:rsid w:val="00477444"/>
    <w:rsid w:val="004779E8"/>
    <w:rsid w:val="00477B54"/>
    <w:rsid w:val="00477BFF"/>
    <w:rsid w:val="00477DCC"/>
    <w:rsid w:val="00477F8D"/>
    <w:rsid w:val="00477FA8"/>
    <w:rsid w:val="00480604"/>
    <w:rsid w:val="00480A67"/>
    <w:rsid w:val="00480AC1"/>
    <w:rsid w:val="00480E46"/>
    <w:rsid w:val="00481028"/>
    <w:rsid w:val="004810DD"/>
    <w:rsid w:val="004811C1"/>
    <w:rsid w:val="004815DD"/>
    <w:rsid w:val="00481987"/>
    <w:rsid w:val="004819E9"/>
    <w:rsid w:val="00481C24"/>
    <w:rsid w:val="00481C67"/>
    <w:rsid w:val="00481D79"/>
    <w:rsid w:val="00481FC4"/>
    <w:rsid w:val="00482011"/>
    <w:rsid w:val="004821CA"/>
    <w:rsid w:val="004822D0"/>
    <w:rsid w:val="00482804"/>
    <w:rsid w:val="00482893"/>
    <w:rsid w:val="004828F5"/>
    <w:rsid w:val="00482996"/>
    <w:rsid w:val="00482B47"/>
    <w:rsid w:val="00482CA4"/>
    <w:rsid w:val="00482FB4"/>
    <w:rsid w:val="004831C7"/>
    <w:rsid w:val="0048323E"/>
    <w:rsid w:val="004832B7"/>
    <w:rsid w:val="00483374"/>
    <w:rsid w:val="004833B5"/>
    <w:rsid w:val="00483CB6"/>
    <w:rsid w:val="00483F87"/>
    <w:rsid w:val="00484391"/>
    <w:rsid w:val="004844F5"/>
    <w:rsid w:val="00484531"/>
    <w:rsid w:val="0048472D"/>
    <w:rsid w:val="00484A73"/>
    <w:rsid w:val="00484CF7"/>
    <w:rsid w:val="00484DC5"/>
    <w:rsid w:val="00484E5B"/>
    <w:rsid w:val="00484F66"/>
    <w:rsid w:val="004850AB"/>
    <w:rsid w:val="0048531D"/>
    <w:rsid w:val="0048532D"/>
    <w:rsid w:val="00485675"/>
    <w:rsid w:val="0048581A"/>
    <w:rsid w:val="004860C9"/>
    <w:rsid w:val="00486757"/>
    <w:rsid w:val="004873BC"/>
    <w:rsid w:val="0048769D"/>
    <w:rsid w:val="00487773"/>
    <w:rsid w:val="00487BB8"/>
    <w:rsid w:val="00487C85"/>
    <w:rsid w:val="004900EE"/>
    <w:rsid w:val="00490300"/>
    <w:rsid w:val="004903F3"/>
    <w:rsid w:val="004905EA"/>
    <w:rsid w:val="00490AB1"/>
    <w:rsid w:val="00490B52"/>
    <w:rsid w:val="00490DC4"/>
    <w:rsid w:val="00490E23"/>
    <w:rsid w:val="00490E4D"/>
    <w:rsid w:val="0049133A"/>
    <w:rsid w:val="004915A8"/>
    <w:rsid w:val="0049173F"/>
    <w:rsid w:val="004917D6"/>
    <w:rsid w:val="00491A01"/>
    <w:rsid w:val="004921C9"/>
    <w:rsid w:val="00492408"/>
    <w:rsid w:val="0049294B"/>
    <w:rsid w:val="00493292"/>
    <w:rsid w:val="00493EBD"/>
    <w:rsid w:val="00493EE5"/>
    <w:rsid w:val="00493F5D"/>
    <w:rsid w:val="00494016"/>
    <w:rsid w:val="004940FE"/>
    <w:rsid w:val="00494296"/>
    <w:rsid w:val="00494322"/>
    <w:rsid w:val="00494442"/>
    <w:rsid w:val="00494DDD"/>
    <w:rsid w:val="00494F64"/>
    <w:rsid w:val="0049543C"/>
    <w:rsid w:val="00495654"/>
    <w:rsid w:val="004956C5"/>
    <w:rsid w:val="004958DB"/>
    <w:rsid w:val="00495E9F"/>
    <w:rsid w:val="00495EC2"/>
    <w:rsid w:val="0049683E"/>
    <w:rsid w:val="00496850"/>
    <w:rsid w:val="00496B03"/>
    <w:rsid w:val="00497067"/>
    <w:rsid w:val="0049729C"/>
    <w:rsid w:val="00497632"/>
    <w:rsid w:val="004976FD"/>
    <w:rsid w:val="00497B9F"/>
    <w:rsid w:val="00497CC9"/>
    <w:rsid w:val="00497E7F"/>
    <w:rsid w:val="004A03A9"/>
    <w:rsid w:val="004A04D3"/>
    <w:rsid w:val="004A076D"/>
    <w:rsid w:val="004A0D7F"/>
    <w:rsid w:val="004A0DF3"/>
    <w:rsid w:val="004A0F24"/>
    <w:rsid w:val="004A0F5E"/>
    <w:rsid w:val="004A1170"/>
    <w:rsid w:val="004A11DD"/>
    <w:rsid w:val="004A12D0"/>
    <w:rsid w:val="004A1960"/>
    <w:rsid w:val="004A2084"/>
    <w:rsid w:val="004A24FB"/>
    <w:rsid w:val="004A2543"/>
    <w:rsid w:val="004A2740"/>
    <w:rsid w:val="004A2899"/>
    <w:rsid w:val="004A30C4"/>
    <w:rsid w:val="004A3195"/>
    <w:rsid w:val="004A3CE4"/>
    <w:rsid w:val="004A404A"/>
    <w:rsid w:val="004A4430"/>
    <w:rsid w:val="004A49F2"/>
    <w:rsid w:val="004A4A78"/>
    <w:rsid w:val="004A4DA5"/>
    <w:rsid w:val="004A4EFD"/>
    <w:rsid w:val="004A4FDF"/>
    <w:rsid w:val="004A512F"/>
    <w:rsid w:val="004A5413"/>
    <w:rsid w:val="004A5489"/>
    <w:rsid w:val="004A5725"/>
    <w:rsid w:val="004A57B9"/>
    <w:rsid w:val="004A5B1F"/>
    <w:rsid w:val="004A5B46"/>
    <w:rsid w:val="004A5E73"/>
    <w:rsid w:val="004A609F"/>
    <w:rsid w:val="004A62D4"/>
    <w:rsid w:val="004A698D"/>
    <w:rsid w:val="004A6EE2"/>
    <w:rsid w:val="004A6F49"/>
    <w:rsid w:val="004A71C5"/>
    <w:rsid w:val="004A73C1"/>
    <w:rsid w:val="004A755B"/>
    <w:rsid w:val="004A7627"/>
    <w:rsid w:val="004A762B"/>
    <w:rsid w:val="004A7913"/>
    <w:rsid w:val="004A7A52"/>
    <w:rsid w:val="004A7BD0"/>
    <w:rsid w:val="004A7ECD"/>
    <w:rsid w:val="004B0391"/>
    <w:rsid w:val="004B0755"/>
    <w:rsid w:val="004B0A65"/>
    <w:rsid w:val="004B0EA6"/>
    <w:rsid w:val="004B0ED1"/>
    <w:rsid w:val="004B1072"/>
    <w:rsid w:val="004B10E0"/>
    <w:rsid w:val="004B11CB"/>
    <w:rsid w:val="004B16C9"/>
    <w:rsid w:val="004B1879"/>
    <w:rsid w:val="004B196C"/>
    <w:rsid w:val="004B19FE"/>
    <w:rsid w:val="004B21F0"/>
    <w:rsid w:val="004B27D7"/>
    <w:rsid w:val="004B2812"/>
    <w:rsid w:val="004B2A4D"/>
    <w:rsid w:val="004B2C76"/>
    <w:rsid w:val="004B2D3C"/>
    <w:rsid w:val="004B2F45"/>
    <w:rsid w:val="004B33C2"/>
    <w:rsid w:val="004B3468"/>
    <w:rsid w:val="004B37C0"/>
    <w:rsid w:val="004B3B32"/>
    <w:rsid w:val="004B3C6B"/>
    <w:rsid w:val="004B4214"/>
    <w:rsid w:val="004B457D"/>
    <w:rsid w:val="004B47A2"/>
    <w:rsid w:val="004B488A"/>
    <w:rsid w:val="004B4A15"/>
    <w:rsid w:val="004B4E20"/>
    <w:rsid w:val="004B4EF6"/>
    <w:rsid w:val="004B4F47"/>
    <w:rsid w:val="004B50FF"/>
    <w:rsid w:val="004B52CF"/>
    <w:rsid w:val="004B531F"/>
    <w:rsid w:val="004B5853"/>
    <w:rsid w:val="004B5F1C"/>
    <w:rsid w:val="004B5F49"/>
    <w:rsid w:val="004B6069"/>
    <w:rsid w:val="004B60F3"/>
    <w:rsid w:val="004B6192"/>
    <w:rsid w:val="004B634C"/>
    <w:rsid w:val="004B66B0"/>
    <w:rsid w:val="004B684A"/>
    <w:rsid w:val="004B689D"/>
    <w:rsid w:val="004B6DDC"/>
    <w:rsid w:val="004B71A8"/>
    <w:rsid w:val="004B7603"/>
    <w:rsid w:val="004B7DCF"/>
    <w:rsid w:val="004C0062"/>
    <w:rsid w:val="004C010C"/>
    <w:rsid w:val="004C013D"/>
    <w:rsid w:val="004C023F"/>
    <w:rsid w:val="004C04B4"/>
    <w:rsid w:val="004C064E"/>
    <w:rsid w:val="004C0912"/>
    <w:rsid w:val="004C0A7C"/>
    <w:rsid w:val="004C0BBE"/>
    <w:rsid w:val="004C0C48"/>
    <w:rsid w:val="004C0D77"/>
    <w:rsid w:val="004C0E97"/>
    <w:rsid w:val="004C108A"/>
    <w:rsid w:val="004C11F8"/>
    <w:rsid w:val="004C1286"/>
    <w:rsid w:val="004C1373"/>
    <w:rsid w:val="004C17E2"/>
    <w:rsid w:val="004C1C25"/>
    <w:rsid w:val="004C2083"/>
    <w:rsid w:val="004C2168"/>
    <w:rsid w:val="004C2951"/>
    <w:rsid w:val="004C29B5"/>
    <w:rsid w:val="004C2A1B"/>
    <w:rsid w:val="004C2A79"/>
    <w:rsid w:val="004C2ACD"/>
    <w:rsid w:val="004C2D51"/>
    <w:rsid w:val="004C30BF"/>
    <w:rsid w:val="004C34D4"/>
    <w:rsid w:val="004C3D4B"/>
    <w:rsid w:val="004C3DF7"/>
    <w:rsid w:val="004C3FDD"/>
    <w:rsid w:val="004C4037"/>
    <w:rsid w:val="004C412F"/>
    <w:rsid w:val="004C44AA"/>
    <w:rsid w:val="004C48C8"/>
    <w:rsid w:val="004C4BBE"/>
    <w:rsid w:val="004C4CCE"/>
    <w:rsid w:val="004C4E88"/>
    <w:rsid w:val="004C52D7"/>
    <w:rsid w:val="004C598D"/>
    <w:rsid w:val="004C59A3"/>
    <w:rsid w:val="004C5C82"/>
    <w:rsid w:val="004C6559"/>
    <w:rsid w:val="004C67D9"/>
    <w:rsid w:val="004C693B"/>
    <w:rsid w:val="004C6C83"/>
    <w:rsid w:val="004C6FC8"/>
    <w:rsid w:val="004C7151"/>
    <w:rsid w:val="004C777A"/>
    <w:rsid w:val="004C7933"/>
    <w:rsid w:val="004C7C2B"/>
    <w:rsid w:val="004D018C"/>
    <w:rsid w:val="004D01F5"/>
    <w:rsid w:val="004D02CA"/>
    <w:rsid w:val="004D07CA"/>
    <w:rsid w:val="004D0A6B"/>
    <w:rsid w:val="004D0A8C"/>
    <w:rsid w:val="004D107F"/>
    <w:rsid w:val="004D10DE"/>
    <w:rsid w:val="004D12C7"/>
    <w:rsid w:val="004D14D0"/>
    <w:rsid w:val="004D162F"/>
    <w:rsid w:val="004D1723"/>
    <w:rsid w:val="004D1786"/>
    <w:rsid w:val="004D1C2C"/>
    <w:rsid w:val="004D1D14"/>
    <w:rsid w:val="004D2030"/>
    <w:rsid w:val="004D23D6"/>
    <w:rsid w:val="004D2539"/>
    <w:rsid w:val="004D25A4"/>
    <w:rsid w:val="004D27E2"/>
    <w:rsid w:val="004D2A45"/>
    <w:rsid w:val="004D2A9C"/>
    <w:rsid w:val="004D2CEB"/>
    <w:rsid w:val="004D2F30"/>
    <w:rsid w:val="004D32EC"/>
    <w:rsid w:val="004D3897"/>
    <w:rsid w:val="004D3A6E"/>
    <w:rsid w:val="004D4425"/>
    <w:rsid w:val="004D4431"/>
    <w:rsid w:val="004D48F9"/>
    <w:rsid w:val="004D4A6D"/>
    <w:rsid w:val="004D50BE"/>
    <w:rsid w:val="004D53D6"/>
    <w:rsid w:val="004D59C5"/>
    <w:rsid w:val="004D5A69"/>
    <w:rsid w:val="004D5B52"/>
    <w:rsid w:val="004D5B6D"/>
    <w:rsid w:val="004D5C17"/>
    <w:rsid w:val="004D6232"/>
    <w:rsid w:val="004D65B3"/>
    <w:rsid w:val="004D6794"/>
    <w:rsid w:val="004D6819"/>
    <w:rsid w:val="004D69BA"/>
    <w:rsid w:val="004D6E64"/>
    <w:rsid w:val="004D7819"/>
    <w:rsid w:val="004D7E8A"/>
    <w:rsid w:val="004D7EBE"/>
    <w:rsid w:val="004E02D7"/>
    <w:rsid w:val="004E041E"/>
    <w:rsid w:val="004E0631"/>
    <w:rsid w:val="004E086B"/>
    <w:rsid w:val="004E09A0"/>
    <w:rsid w:val="004E124B"/>
    <w:rsid w:val="004E1315"/>
    <w:rsid w:val="004E13FD"/>
    <w:rsid w:val="004E16CC"/>
    <w:rsid w:val="004E17D8"/>
    <w:rsid w:val="004E1DA7"/>
    <w:rsid w:val="004E2BD6"/>
    <w:rsid w:val="004E2DDF"/>
    <w:rsid w:val="004E3EBC"/>
    <w:rsid w:val="004E40BA"/>
    <w:rsid w:val="004E41B1"/>
    <w:rsid w:val="004E41F4"/>
    <w:rsid w:val="004E4376"/>
    <w:rsid w:val="004E4901"/>
    <w:rsid w:val="004E49A9"/>
    <w:rsid w:val="004E52BE"/>
    <w:rsid w:val="004E5313"/>
    <w:rsid w:val="004E5385"/>
    <w:rsid w:val="004E542B"/>
    <w:rsid w:val="004E5432"/>
    <w:rsid w:val="004E5437"/>
    <w:rsid w:val="004E5595"/>
    <w:rsid w:val="004E55C4"/>
    <w:rsid w:val="004E5797"/>
    <w:rsid w:val="004E5845"/>
    <w:rsid w:val="004E5A0F"/>
    <w:rsid w:val="004E5EA0"/>
    <w:rsid w:val="004E63A5"/>
    <w:rsid w:val="004E6522"/>
    <w:rsid w:val="004E6845"/>
    <w:rsid w:val="004E6AAE"/>
    <w:rsid w:val="004E6C0E"/>
    <w:rsid w:val="004E6CBA"/>
    <w:rsid w:val="004E7841"/>
    <w:rsid w:val="004E7978"/>
    <w:rsid w:val="004E7E24"/>
    <w:rsid w:val="004F01EF"/>
    <w:rsid w:val="004F0404"/>
    <w:rsid w:val="004F053D"/>
    <w:rsid w:val="004F085D"/>
    <w:rsid w:val="004F0FCD"/>
    <w:rsid w:val="004F1676"/>
    <w:rsid w:val="004F1876"/>
    <w:rsid w:val="004F1C5A"/>
    <w:rsid w:val="004F229B"/>
    <w:rsid w:val="004F2528"/>
    <w:rsid w:val="004F2642"/>
    <w:rsid w:val="004F26C6"/>
    <w:rsid w:val="004F297A"/>
    <w:rsid w:val="004F2ED3"/>
    <w:rsid w:val="004F2FF3"/>
    <w:rsid w:val="004F3005"/>
    <w:rsid w:val="004F30B7"/>
    <w:rsid w:val="004F32C3"/>
    <w:rsid w:val="004F38C8"/>
    <w:rsid w:val="004F3B38"/>
    <w:rsid w:val="004F3B3C"/>
    <w:rsid w:val="004F4115"/>
    <w:rsid w:val="004F457E"/>
    <w:rsid w:val="004F463C"/>
    <w:rsid w:val="004F47A0"/>
    <w:rsid w:val="004F4886"/>
    <w:rsid w:val="004F4B79"/>
    <w:rsid w:val="004F4D85"/>
    <w:rsid w:val="004F4E44"/>
    <w:rsid w:val="004F529A"/>
    <w:rsid w:val="004F5636"/>
    <w:rsid w:val="004F59B7"/>
    <w:rsid w:val="004F5C3E"/>
    <w:rsid w:val="004F5C48"/>
    <w:rsid w:val="004F5D82"/>
    <w:rsid w:val="004F5E24"/>
    <w:rsid w:val="004F61A2"/>
    <w:rsid w:val="004F6252"/>
    <w:rsid w:val="004F63A8"/>
    <w:rsid w:val="004F67F9"/>
    <w:rsid w:val="004F6AD3"/>
    <w:rsid w:val="004F6E5B"/>
    <w:rsid w:val="004F7194"/>
    <w:rsid w:val="004F7A78"/>
    <w:rsid w:val="004F7C05"/>
    <w:rsid w:val="004F7C5D"/>
    <w:rsid w:val="004F7CDC"/>
    <w:rsid w:val="004F7CE9"/>
    <w:rsid w:val="004F7D06"/>
    <w:rsid w:val="004F7DA1"/>
    <w:rsid w:val="004F7E38"/>
    <w:rsid w:val="00500601"/>
    <w:rsid w:val="00500638"/>
    <w:rsid w:val="00500F42"/>
    <w:rsid w:val="005010C1"/>
    <w:rsid w:val="00501386"/>
    <w:rsid w:val="005018C0"/>
    <w:rsid w:val="00501BD9"/>
    <w:rsid w:val="00501C25"/>
    <w:rsid w:val="00501E3A"/>
    <w:rsid w:val="00501E5D"/>
    <w:rsid w:val="00501F79"/>
    <w:rsid w:val="00501F87"/>
    <w:rsid w:val="0050213A"/>
    <w:rsid w:val="0050225F"/>
    <w:rsid w:val="005024F8"/>
    <w:rsid w:val="0050260D"/>
    <w:rsid w:val="005027A6"/>
    <w:rsid w:val="00502DAE"/>
    <w:rsid w:val="00502FFB"/>
    <w:rsid w:val="0050365D"/>
    <w:rsid w:val="005037A2"/>
    <w:rsid w:val="005038A0"/>
    <w:rsid w:val="005039C9"/>
    <w:rsid w:val="00503C1D"/>
    <w:rsid w:val="00503C5B"/>
    <w:rsid w:val="00503EB1"/>
    <w:rsid w:val="005043D8"/>
    <w:rsid w:val="0050444C"/>
    <w:rsid w:val="0050447C"/>
    <w:rsid w:val="005045A9"/>
    <w:rsid w:val="00504A82"/>
    <w:rsid w:val="00504A95"/>
    <w:rsid w:val="00504B47"/>
    <w:rsid w:val="00504BC2"/>
    <w:rsid w:val="00504CF8"/>
    <w:rsid w:val="00504DF7"/>
    <w:rsid w:val="00505168"/>
    <w:rsid w:val="0050578C"/>
    <w:rsid w:val="005057FF"/>
    <w:rsid w:val="00505C86"/>
    <w:rsid w:val="00505D4C"/>
    <w:rsid w:val="00505E19"/>
    <w:rsid w:val="00505E1F"/>
    <w:rsid w:val="00506478"/>
    <w:rsid w:val="00506629"/>
    <w:rsid w:val="005068A7"/>
    <w:rsid w:val="00506A58"/>
    <w:rsid w:val="00506C7E"/>
    <w:rsid w:val="00507349"/>
    <w:rsid w:val="00507491"/>
    <w:rsid w:val="00507943"/>
    <w:rsid w:val="00507953"/>
    <w:rsid w:val="00507977"/>
    <w:rsid w:val="00507A94"/>
    <w:rsid w:val="005101B0"/>
    <w:rsid w:val="005103C5"/>
    <w:rsid w:val="00510675"/>
    <w:rsid w:val="00510D17"/>
    <w:rsid w:val="00510EB4"/>
    <w:rsid w:val="0051104C"/>
    <w:rsid w:val="005110B4"/>
    <w:rsid w:val="005111D9"/>
    <w:rsid w:val="0051140E"/>
    <w:rsid w:val="00511480"/>
    <w:rsid w:val="005115B3"/>
    <w:rsid w:val="005119B1"/>
    <w:rsid w:val="00511FB3"/>
    <w:rsid w:val="00511FBA"/>
    <w:rsid w:val="005123B8"/>
    <w:rsid w:val="0051252D"/>
    <w:rsid w:val="00512708"/>
    <w:rsid w:val="005127DD"/>
    <w:rsid w:val="00512D6F"/>
    <w:rsid w:val="00512D84"/>
    <w:rsid w:val="00512E10"/>
    <w:rsid w:val="00513116"/>
    <w:rsid w:val="0051311A"/>
    <w:rsid w:val="005131D3"/>
    <w:rsid w:val="00513329"/>
    <w:rsid w:val="00513422"/>
    <w:rsid w:val="00513504"/>
    <w:rsid w:val="0051352C"/>
    <w:rsid w:val="0051353E"/>
    <w:rsid w:val="005135B4"/>
    <w:rsid w:val="0051385A"/>
    <w:rsid w:val="00513C96"/>
    <w:rsid w:val="0051409A"/>
    <w:rsid w:val="00514304"/>
    <w:rsid w:val="0051447E"/>
    <w:rsid w:val="00514504"/>
    <w:rsid w:val="00514506"/>
    <w:rsid w:val="00514513"/>
    <w:rsid w:val="005145A4"/>
    <w:rsid w:val="00514AE6"/>
    <w:rsid w:val="00514C24"/>
    <w:rsid w:val="00514FC2"/>
    <w:rsid w:val="0051525F"/>
    <w:rsid w:val="00515354"/>
    <w:rsid w:val="0051537A"/>
    <w:rsid w:val="005154D0"/>
    <w:rsid w:val="00515BFA"/>
    <w:rsid w:val="00515C09"/>
    <w:rsid w:val="00515E83"/>
    <w:rsid w:val="00515F44"/>
    <w:rsid w:val="00516206"/>
    <w:rsid w:val="00516585"/>
    <w:rsid w:val="00516B40"/>
    <w:rsid w:val="00516BBF"/>
    <w:rsid w:val="00516E96"/>
    <w:rsid w:val="0051725A"/>
    <w:rsid w:val="00517A86"/>
    <w:rsid w:val="00517FA7"/>
    <w:rsid w:val="00520C00"/>
    <w:rsid w:val="00520D52"/>
    <w:rsid w:val="00521161"/>
    <w:rsid w:val="005217B7"/>
    <w:rsid w:val="00521B48"/>
    <w:rsid w:val="00521B59"/>
    <w:rsid w:val="00521CF9"/>
    <w:rsid w:val="00522051"/>
    <w:rsid w:val="00522108"/>
    <w:rsid w:val="00522B51"/>
    <w:rsid w:val="00522ED4"/>
    <w:rsid w:val="0052331A"/>
    <w:rsid w:val="00523366"/>
    <w:rsid w:val="00523433"/>
    <w:rsid w:val="0052349D"/>
    <w:rsid w:val="00523650"/>
    <w:rsid w:val="005236ED"/>
    <w:rsid w:val="0052408E"/>
    <w:rsid w:val="00524928"/>
    <w:rsid w:val="005249B4"/>
    <w:rsid w:val="00524BE8"/>
    <w:rsid w:val="00524C7D"/>
    <w:rsid w:val="00524DEF"/>
    <w:rsid w:val="00525072"/>
    <w:rsid w:val="0052575D"/>
    <w:rsid w:val="00525A73"/>
    <w:rsid w:val="00525F6A"/>
    <w:rsid w:val="00526514"/>
    <w:rsid w:val="005266A9"/>
    <w:rsid w:val="0052694F"/>
    <w:rsid w:val="0052698D"/>
    <w:rsid w:val="00526B56"/>
    <w:rsid w:val="00526C92"/>
    <w:rsid w:val="0052714E"/>
    <w:rsid w:val="005272D5"/>
    <w:rsid w:val="0052738F"/>
    <w:rsid w:val="00527425"/>
    <w:rsid w:val="005275FC"/>
    <w:rsid w:val="0052768C"/>
    <w:rsid w:val="00527C1E"/>
    <w:rsid w:val="0052E399"/>
    <w:rsid w:val="005303A5"/>
    <w:rsid w:val="00530896"/>
    <w:rsid w:val="005309AC"/>
    <w:rsid w:val="00530CB2"/>
    <w:rsid w:val="00530DF6"/>
    <w:rsid w:val="00530ED5"/>
    <w:rsid w:val="005310AF"/>
    <w:rsid w:val="00531325"/>
    <w:rsid w:val="00531520"/>
    <w:rsid w:val="00531858"/>
    <w:rsid w:val="00531B3B"/>
    <w:rsid w:val="00531B3E"/>
    <w:rsid w:val="00531E3D"/>
    <w:rsid w:val="00532257"/>
    <w:rsid w:val="00532431"/>
    <w:rsid w:val="00532842"/>
    <w:rsid w:val="00532BBA"/>
    <w:rsid w:val="00532D09"/>
    <w:rsid w:val="00532D59"/>
    <w:rsid w:val="00532E9F"/>
    <w:rsid w:val="005331AC"/>
    <w:rsid w:val="00533369"/>
    <w:rsid w:val="00533611"/>
    <w:rsid w:val="00533683"/>
    <w:rsid w:val="00533A5C"/>
    <w:rsid w:val="00533B94"/>
    <w:rsid w:val="00533DA9"/>
    <w:rsid w:val="0053428E"/>
    <w:rsid w:val="005342C3"/>
    <w:rsid w:val="00534381"/>
    <w:rsid w:val="00534456"/>
    <w:rsid w:val="005345D3"/>
    <w:rsid w:val="00534652"/>
    <w:rsid w:val="00534BDB"/>
    <w:rsid w:val="00534D7E"/>
    <w:rsid w:val="00534F98"/>
    <w:rsid w:val="00535163"/>
    <w:rsid w:val="005356D4"/>
    <w:rsid w:val="005357BC"/>
    <w:rsid w:val="00535CF6"/>
    <w:rsid w:val="00536151"/>
    <w:rsid w:val="005361EF"/>
    <w:rsid w:val="005362F5"/>
    <w:rsid w:val="0053635C"/>
    <w:rsid w:val="00536517"/>
    <w:rsid w:val="005366B2"/>
    <w:rsid w:val="00536788"/>
    <w:rsid w:val="00536D46"/>
    <w:rsid w:val="0053725B"/>
    <w:rsid w:val="00537E0E"/>
    <w:rsid w:val="00540073"/>
    <w:rsid w:val="00540264"/>
    <w:rsid w:val="005402D7"/>
    <w:rsid w:val="0054055C"/>
    <w:rsid w:val="005406A5"/>
    <w:rsid w:val="00540700"/>
    <w:rsid w:val="005407B1"/>
    <w:rsid w:val="00540A4E"/>
    <w:rsid w:val="00540C57"/>
    <w:rsid w:val="00540F08"/>
    <w:rsid w:val="00541056"/>
    <w:rsid w:val="00541913"/>
    <w:rsid w:val="005419CC"/>
    <w:rsid w:val="00541A35"/>
    <w:rsid w:val="00541E63"/>
    <w:rsid w:val="00541E71"/>
    <w:rsid w:val="00542172"/>
    <w:rsid w:val="005421D8"/>
    <w:rsid w:val="005421FE"/>
    <w:rsid w:val="005423D1"/>
    <w:rsid w:val="00542927"/>
    <w:rsid w:val="00542D4A"/>
    <w:rsid w:val="00543056"/>
    <w:rsid w:val="00543075"/>
    <w:rsid w:val="005434B5"/>
    <w:rsid w:val="005434D8"/>
    <w:rsid w:val="00543C8F"/>
    <w:rsid w:val="005444BF"/>
    <w:rsid w:val="005445DA"/>
    <w:rsid w:val="0054477B"/>
    <w:rsid w:val="005447BD"/>
    <w:rsid w:val="005448B5"/>
    <w:rsid w:val="005448CF"/>
    <w:rsid w:val="00544AC9"/>
    <w:rsid w:val="00544DA0"/>
    <w:rsid w:val="00544E9F"/>
    <w:rsid w:val="0054527F"/>
    <w:rsid w:val="0054536B"/>
    <w:rsid w:val="005455F3"/>
    <w:rsid w:val="005457D3"/>
    <w:rsid w:val="00545923"/>
    <w:rsid w:val="00545A01"/>
    <w:rsid w:val="00545E91"/>
    <w:rsid w:val="00546314"/>
    <w:rsid w:val="00546369"/>
    <w:rsid w:val="0054638F"/>
    <w:rsid w:val="00546411"/>
    <w:rsid w:val="00546605"/>
    <w:rsid w:val="0054664C"/>
    <w:rsid w:val="00546749"/>
    <w:rsid w:val="005469C9"/>
    <w:rsid w:val="005469CF"/>
    <w:rsid w:val="005469F6"/>
    <w:rsid w:val="00546BD6"/>
    <w:rsid w:val="0054735D"/>
    <w:rsid w:val="0054748B"/>
    <w:rsid w:val="005474D4"/>
    <w:rsid w:val="00547630"/>
    <w:rsid w:val="00547761"/>
    <w:rsid w:val="00547793"/>
    <w:rsid w:val="005477AE"/>
    <w:rsid w:val="005477C5"/>
    <w:rsid w:val="0055014E"/>
    <w:rsid w:val="00550383"/>
    <w:rsid w:val="005503E0"/>
    <w:rsid w:val="00550453"/>
    <w:rsid w:val="00550A45"/>
    <w:rsid w:val="00550B16"/>
    <w:rsid w:val="00550B2F"/>
    <w:rsid w:val="00550BAF"/>
    <w:rsid w:val="00550FA1"/>
    <w:rsid w:val="00551502"/>
    <w:rsid w:val="00551590"/>
    <w:rsid w:val="00551693"/>
    <w:rsid w:val="005519C0"/>
    <w:rsid w:val="00551A87"/>
    <w:rsid w:val="00551A8D"/>
    <w:rsid w:val="00552156"/>
    <w:rsid w:val="0055239E"/>
    <w:rsid w:val="00552C21"/>
    <w:rsid w:val="00552E4D"/>
    <w:rsid w:val="00552E98"/>
    <w:rsid w:val="005531BD"/>
    <w:rsid w:val="00553418"/>
    <w:rsid w:val="00553A6A"/>
    <w:rsid w:val="00553AE1"/>
    <w:rsid w:val="00553B2D"/>
    <w:rsid w:val="00553FA3"/>
    <w:rsid w:val="00553FFF"/>
    <w:rsid w:val="005541BA"/>
    <w:rsid w:val="00554384"/>
    <w:rsid w:val="00554BD7"/>
    <w:rsid w:val="00554DF2"/>
    <w:rsid w:val="005553EB"/>
    <w:rsid w:val="0055540E"/>
    <w:rsid w:val="00555412"/>
    <w:rsid w:val="0055554C"/>
    <w:rsid w:val="00555A32"/>
    <w:rsid w:val="00556685"/>
    <w:rsid w:val="00556771"/>
    <w:rsid w:val="005567B2"/>
    <w:rsid w:val="00556B82"/>
    <w:rsid w:val="00556C5B"/>
    <w:rsid w:val="0055725D"/>
    <w:rsid w:val="0055727A"/>
    <w:rsid w:val="00557870"/>
    <w:rsid w:val="00557932"/>
    <w:rsid w:val="00557F0D"/>
    <w:rsid w:val="00557FAE"/>
    <w:rsid w:val="005601E8"/>
    <w:rsid w:val="00560254"/>
    <w:rsid w:val="00560277"/>
    <w:rsid w:val="005602A1"/>
    <w:rsid w:val="005605C8"/>
    <w:rsid w:val="005607F0"/>
    <w:rsid w:val="00560905"/>
    <w:rsid w:val="00560938"/>
    <w:rsid w:val="00560AF1"/>
    <w:rsid w:val="00560D8B"/>
    <w:rsid w:val="00561198"/>
    <w:rsid w:val="00561291"/>
    <w:rsid w:val="00561309"/>
    <w:rsid w:val="00561513"/>
    <w:rsid w:val="00561521"/>
    <w:rsid w:val="00561562"/>
    <w:rsid w:val="005619F5"/>
    <w:rsid w:val="00562132"/>
    <w:rsid w:val="00562150"/>
    <w:rsid w:val="00562175"/>
    <w:rsid w:val="0056220D"/>
    <w:rsid w:val="005622F1"/>
    <w:rsid w:val="0056232E"/>
    <w:rsid w:val="005624AE"/>
    <w:rsid w:val="0056268C"/>
    <w:rsid w:val="005626A4"/>
    <w:rsid w:val="00562A6F"/>
    <w:rsid w:val="00562D2B"/>
    <w:rsid w:val="00562EC1"/>
    <w:rsid w:val="00562F8E"/>
    <w:rsid w:val="0056304F"/>
    <w:rsid w:val="0056355A"/>
    <w:rsid w:val="00563772"/>
    <w:rsid w:val="00563A49"/>
    <w:rsid w:val="00563DE6"/>
    <w:rsid w:val="00564159"/>
    <w:rsid w:val="0056429C"/>
    <w:rsid w:val="005643A0"/>
    <w:rsid w:val="005645F2"/>
    <w:rsid w:val="0056461F"/>
    <w:rsid w:val="00564635"/>
    <w:rsid w:val="00564A27"/>
    <w:rsid w:val="00564E45"/>
    <w:rsid w:val="00565004"/>
    <w:rsid w:val="005650A9"/>
    <w:rsid w:val="0056528D"/>
    <w:rsid w:val="0056542C"/>
    <w:rsid w:val="005658FE"/>
    <w:rsid w:val="00565CA9"/>
    <w:rsid w:val="00566009"/>
    <w:rsid w:val="0056628B"/>
    <w:rsid w:val="00566298"/>
    <w:rsid w:val="00566C06"/>
    <w:rsid w:val="00566D8F"/>
    <w:rsid w:val="005670A5"/>
    <w:rsid w:val="00567243"/>
    <w:rsid w:val="005673CD"/>
    <w:rsid w:val="0056795E"/>
    <w:rsid w:val="00567972"/>
    <w:rsid w:val="005679A8"/>
    <w:rsid w:val="00567A5A"/>
    <w:rsid w:val="00567B00"/>
    <w:rsid w:val="00567EBA"/>
    <w:rsid w:val="00567F03"/>
    <w:rsid w:val="005702C8"/>
    <w:rsid w:val="0057032F"/>
    <w:rsid w:val="005706AE"/>
    <w:rsid w:val="0057083E"/>
    <w:rsid w:val="005708CA"/>
    <w:rsid w:val="0057091E"/>
    <w:rsid w:val="00570A6C"/>
    <w:rsid w:val="00570B11"/>
    <w:rsid w:val="00570B99"/>
    <w:rsid w:val="00570BAE"/>
    <w:rsid w:val="00570FD9"/>
    <w:rsid w:val="00570FFE"/>
    <w:rsid w:val="005712AA"/>
    <w:rsid w:val="00571B2A"/>
    <w:rsid w:val="00571D07"/>
    <w:rsid w:val="00572057"/>
    <w:rsid w:val="005720B8"/>
    <w:rsid w:val="005723D6"/>
    <w:rsid w:val="005726AD"/>
    <w:rsid w:val="005728DE"/>
    <w:rsid w:val="0057299D"/>
    <w:rsid w:val="005729DA"/>
    <w:rsid w:val="00572A3F"/>
    <w:rsid w:val="00572BBA"/>
    <w:rsid w:val="00573037"/>
    <w:rsid w:val="00573818"/>
    <w:rsid w:val="00573861"/>
    <w:rsid w:val="005738E6"/>
    <w:rsid w:val="00574048"/>
    <w:rsid w:val="005740D4"/>
    <w:rsid w:val="005743BF"/>
    <w:rsid w:val="00574410"/>
    <w:rsid w:val="005744B6"/>
    <w:rsid w:val="0057491C"/>
    <w:rsid w:val="005749FE"/>
    <w:rsid w:val="00574A6E"/>
    <w:rsid w:val="00574B96"/>
    <w:rsid w:val="005759B3"/>
    <w:rsid w:val="00575A3A"/>
    <w:rsid w:val="00575A66"/>
    <w:rsid w:val="00576081"/>
    <w:rsid w:val="00576544"/>
    <w:rsid w:val="005766A0"/>
    <w:rsid w:val="005768AE"/>
    <w:rsid w:val="00576B0F"/>
    <w:rsid w:val="00576B51"/>
    <w:rsid w:val="00576D2D"/>
    <w:rsid w:val="00576D59"/>
    <w:rsid w:val="00577145"/>
    <w:rsid w:val="005771BB"/>
    <w:rsid w:val="005773BE"/>
    <w:rsid w:val="0057763A"/>
    <w:rsid w:val="0057781D"/>
    <w:rsid w:val="005779E5"/>
    <w:rsid w:val="00577C44"/>
    <w:rsid w:val="00577FAA"/>
    <w:rsid w:val="00580073"/>
    <w:rsid w:val="005800F3"/>
    <w:rsid w:val="00580112"/>
    <w:rsid w:val="00580D4D"/>
    <w:rsid w:val="00580DC0"/>
    <w:rsid w:val="005810FE"/>
    <w:rsid w:val="00581128"/>
    <w:rsid w:val="00581521"/>
    <w:rsid w:val="0058153D"/>
    <w:rsid w:val="00581B79"/>
    <w:rsid w:val="00581FC0"/>
    <w:rsid w:val="00581FE3"/>
    <w:rsid w:val="00582365"/>
    <w:rsid w:val="00582B94"/>
    <w:rsid w:val="00582DBC"/>
    <w:rsid w:val="005835AA"/>
    <w:rsid w:val="0058361A"/>
    <w:rsid w:val="005837E8"/>
    <w:rsid w:val="00584485"/>
    <w:rsid w:val="00584512"/>
    <w:rsid w:val="0058484C"/>
    <w:rsid w:val="005849F2"/>
    <w:rsid w:val="00584AEF"/>
    <w:rsid w:val="00584C45"/>
    <w:rsid w:val="00585003"/>
    <w:rsid w:val="0058502F"/>
    <w:rsid w:val="00585399"/>
    <w:rsid w:val="00585625"/>
    <w:rsid w:val="005857F2"/>
    <w:rsid w:val="00585BDC"/>
    <w:rsid w:val="00585BEB"/>
    <w:rsid w:val="00585C1B"/>
    <w:rsid w:val="00586243"/>
    <w:rsid w:val="005868E3"/>
    <w:rsid w:val="0058695D"/>
    <w:rsid w:val="00586A38"/>
    <w:rsid w:val="00586DE8"/>
    <w:rsid w:val="0058721C"/>
    <w:rsid w:val="005872C9"/>
    <w:rsid w:val="00587639"/>
    <w:rsid w:val="00587A7C"/>
    <w:rsid w:val="00587FE7"/>
    <w:rsid w:val="005900FD"/>
    <w:rsid w:val="00590767"/>
    <w:rsid w:val="00591111"/>
    <w:rsid w:val="0059114B"/>
    <w:rsid w:val="00591203"/>
    <w:rsid w:val="005915E9"/>
    <w:rsid w:val="00591B43"/>
    <w:rsid w:val="00592197"/>
    <w:rsid w:val="00592638"/>
    <w:rsid w:val="005926DE"/>
    <w:rsid w:val="00592BE4"/>
    <w:rsid w:val="00593138"/>
    <w:rsid w:val="00593272"/>
    <w:rsid w:val="005932B0"/>
    <w:rsid w:val="005937F9"/>
    <w:rsid w:val="005938A6"/>
    <w:rsid w:val="00593A33"/>
    <w:rsid w:val="00593FD6"/>
    <w:rsid w:val="00593FF0"/>
    <w:rsid w:val="00594082"/>
    <w:rsid w:val="005941BA"/>
    <w:rsid w:val="00594246"/>
    <w:rsid w:val="005947B5"/>
    <w:rsid w:val="00594D91"/>
    <w:rsid w:val="00594E73"/>
    <w:rsid w:val="00594F5A"/>
    <w:rsid w:val="005950F3"/>
    <w:rsid w:val="005951E2"/>
    <w:rsid w:val="0059525F"/>
    <w:rsid w:val="005953A6"/>
    <w:rsid w:val="0059540A"/>
    <w:rsid w:val="00595B7C"/>
    <w:rsid w:val="00595B94"/>
    <w:rsid w:val="00595CEE"/>
    <w:rsid w:val="00595D5A"/>
    <w:rsid w:val="00595F46"/>
    <w:rsid w:val="005960BB"/>
    <w:rsid w:val="00596443"/>
    <w:rsid w:val="005967C6"/>
    <w:rsid w:val="00596992"/>
    <w:rsid w:val="00596B40"/>
    <w:rsid w:val="00596D92"/>
    <w:rsid w:val="00597085"/>
    <w:rsid w:val="005970B5"/>
    <w:rsid w:val="0059729C"/>
    <w:rsid w:val="00597339"/>
    <w:rsid w:val="005973F1"/>
    <w:rsid w:val="00597407"/>
    <w:rsid w:val="0059749F"/>
    <w:rsid w:val="00597553"/>
    <w:rsid w:val="0059773E"/>
    <w:rsid w:val="005A006F"/>
    <w:rsid w:val="005A0170"/>
    <w:rsid w:val="005A0496"/>
    <w:rsid w:val="005A0ACD"/>
    <w:rsid w:val="005A0CD1"/>
    <w:rsid w:val="005A0D23"/>
    <w:rsid w:val="005A10FD"/>
    <w:rsid w:val="005A1146"/>
    <w:rsid w:val="005A1156"/>
    <w:rsid w:val="005A14D5"/>
    <w:rsid w:val="005A1814"/>
    <w:rsid w:val="005A18EE"/>
    <w:rsid w:val="005A1A93"/>
    <w:rsid w:val="005A1AC2"/>
    <w:rsid w:val="005A1DF3"/>
    <w:rsid w:val="005A1F36"/>
    <w:rsid w:val="005A2305"/>
    <w:rsid w:val="005A237C"/>
    <w:rsid w:val="005A2552"/>
    <w:rsid w:val="005A2582"/>
    <w:rsid w:val="005A25AF"/>
    <w:rsid w:val="005A2A34"/>
    <w:rsid w:val="005A2A9B"/>
    <w:rsid w:val="005A33E0"/>
    <w:rsid w:val="005A3676"/>
    <w:rsid w:val="005A385D"/>
    <w:rsid w:val="005A3872"/>
    <w:rsid w:val="005A4037"/>
    <w:rsid w:val="005A4047"/>
    <w:rsid w:val="005A4384"/>
    <w:rsid w:val="005A456C"/>
    <w:rsid w:val="005A46EB"/>
    <w:rsid w:val="005A4AA4"/>
    <w:rsid w:val="005A4D14"/>
    <w:rsid w:val="005A5202"/>
    <w:rsid w:val="005A529F"/>
    <w:rsid w:val="005A539B"/>
    <w:rsid w:val="005A53D5"/>
    <w:rsid w:val="005A5505"/>
    <w:rsid w:val="005A5573"/>
    <w:rsid w:val="005A59B0"/>
    <w:rsid w:val="005A5BAD"/>
    <w:rsid w:val="005A6207"/>
    <w:rsid w:val="005A62E0"/>
    <w:rsid w:val="005A67A2"/>
    <w:rsid w:val="005A68E9"/>
    <w:rsid w:val="005A6EBC"/>
    <w:rsid w:val="005A7012"/>
    <w:rsid w:val="005A7154"/>
    <w:rsid w:val="005A7340"/>
    <w:rsid w:val="005A78EE"/>
    <w:rsid w:val="005A793A"/>
    <w:rsid w:val="005A7A5E"/>
    <w:rsid w:val="005A7E97"/>
    <w:rsid w:val="005B03A6"/>
    <w:rsid w:val="005B0433"/>
    <w:rsid w:val="005B06B5"/>
    <w:rsid w:val="005B07E7"/>
    <w:rsid w:val="005B0A4C"/>
    <w:rsid w:val="005B0D0C"/>
    <w:rsid w:val="005B0EF8"/>
    <w:rsid w:val="005B0FDF"/>
    <w:rsid w:val="005B10E5"/>
    <w:rsid w:val="005B135C"/>
    <w:rsid w:val="005B17F3"/>
    <w:rsid w:val="005B181A"/>
    <w:rsid w:val="005B1AB7"/>
    <w:rsid w:val="005B1C07"/>
    <w:rsid w:val="005B2210"/>
    <w:rsid w:val="005B24B8"/>
    <w:rsid w:val="005B24D0"/>
    <w:rsid w:val="005B2517"/>
    <w:rsid w:val="005B2579"/>
    <w:rsid w:val="005B27C7"/>
    <w:rsid w:val="005B2A0B"/>
    <w:rsid w:val="005B2F8E"/>
    <w:rsid w:val="005B30FF"/>
    <w:rsid w:val="005B312C"/>
    <w:rsid w:val="005B3168"/>
    <w:rsid w:val="005B3205"/>
    <w:rsid w:val="005B3432"/>
    <w:rsid w:val="005B36DE"/>
    <w:rsid w:val="005B377D"/>
    <w:rsid w:val="005B3A00"/>
    <w:rsid w:val="005B3BD6"/>
    <w:rsid w:val="005B3BE8"/>
    <w:rsid w:val="005B3C9C"/>
    <w:rsid w:val="005B3E74"/>
    <w:rsid w:val="005B4146"/>
    <w:rsid w:val="005B4159"/>
    <w:rsid w:val="005B42F3"/>
    <w:rsid w:val="005B43B2"/>
    <w:rsid w:val="005B43BF"/>
    <w:rsid w:val="005B4556"/>
    <w:rsid w:val="005B4558"/>
    <w:rsid w:val="005B4BD9"/>
    <w:rsid w:val="005B4C60"/>
    <w:rsid w:val="005B4D35"/>
    <w:rsid w:val="005B4E15"/>
    <w:rsid w:val="005B57BD"/>
    <w:rsid w:val="005B582B"/>
    <w:rsid w:val="005B5A75"/>
    <w:rsid w:val="005B5B06"/>
    <w:rsid w:val="005B63B8"/>
    <w:rsid w:val="005B6CC6"/>
    <w:rsid w:val="005B6CF7"/>
    <w:rsid w:val="005B6DE3"/>
    <w:rsid w:val="005B6E72"/>
    <w:rsid w:val="005B6F71"/>
    <w:rsid w:val="005B6FD2"/>
    <w:rsid w:val="005B7293"/>
    <w:rsid w:val="005B7D6C"/>
    <w:rsid w:val="005C077D"/>
    <w:rsid w:val="005C0790"/>
    <w:rsid w:val="005C07C6"/>
    <w:rsid w:val="005C0C34"/>
    <w:rsid w:val="005C0D43"/>
    <w:rsid w:val="005C1036"/>
    <w:rsid w:val="005C139F"/>
    <w:rsid w:val="005C1529"/>
    <w:rsid w:val="005C154B"/>
    <w:rsid w:val="005C1EC0"/>
    <w:rsid w:val="005C1F7B"/>
    <w:rsid w:val="005C227F"/>
    <w:rsid w:val="005C22C0"/>
    <w:rsid w:val="005C2386"/>
    <w:rsid w:val="005C269A"/>
    <w:rsid w:val="005C2DA0"/>
    <w:rsid w:val="005C30F6"/>
    <w:rsid w:val="005C329B"/>
    <w:rsid w:val="005C33EF"/>
    <w:rsid w:val="005C34C4"/>
    <w:rsid w:val="005C3736"/>
    <w:rsid w:val="005C39C9"/>
    <w:rsid w:val="005C3A7B"/>
    <w:rsid w:val="005C3ACE"/>
    <w:rsid w:val="005C3DD0"/>
    <w:rsid w:val="005C4168"/>
    <w:rsid w:val="005C42A2"/>
    <w:rsid w:val="005C43B9"/>
    <w:rsid w:val="005C4400"/>
    <w:rsid w:val="005C4568"/>
    <w:rsid w:val="005C4670"/>
    <w:rsid w:val="005C4859"/>
    <w:rsid w:val="005C4E6A"/>
    <w:rsid w:val="005C50B5"/>
    <w:rsid w:val="005C518E"/>
    <w:rsid w:val="005C545A"/>
    <w:rsid w:val="005C5644"/>
    <w:rsid w:val="005C5819"/>
    <w:rsid w:val="005C594A"/>
    <w:rsid w:val="005C5ABE"/>
    <w:rsid w:val="005C5D62"/>
    <w:rsid w:val="005C6117"/>
    <w:rsid w:val="005C6561"/>
    <w:rsid w:val="005C65F7"/>
    <w:rsid w:val="005C69EC"/>
    <w:rsid w:val="005C6C96"/>
    <w:rsid w:val="005C7215"/>
    <w:rsid w:val="005C7296"/>
    <w:rsid w:val="005C73C4"/>
    <w:rsid w:val="005C7DBF"/>
    <w:rsid w:val="005D00EA"/>
    <w:rsid w:val="005D023B"/>
    <w:rsid w:val="005D02C4"/>
    <w:rsid w:val="005D03BC"/>
    <w:rsid w:val="005D03E6"/>
    <w:rsid w:val="005D049B"/>
    <w:rsid w:val="005D07A9"/>
    <w:rsid w:val="005D0915"/>
    <w:rsid w:val="005D09B8"/>
    <w:rsid w:val="005D0D8B"/>
    <w:rsid w:val="005D11AB"/>
    <w:rsid w:val="005D15A9"/>
    <w:rsid w:val="005D16A1"/>
    <w:rsid w:val="005D18EC"/>
    <w:rsid w:val="005D1CA0"/>
    <w:rsid w:val="005D1D8B"/>
    <w:rsid w:val="005D1FE8"/>
    <w:rsid w:val="005D205D"/>
    <w:rsid w:val="005D21AC"/>
    <w:rsid w:val="005D2304"/>
    <w:rsid w:val="005D23FC"/>
    <w:rsid w:val="005D2631"/>
    <w:rsid w:val="005D2A40"/>
    <w:rsid w:val="005D2A4C"/>
    <w:rsid w:val="005D2AF9"/>
    <w:rsid w:val="005D2CEA"/>
    <w:rsid w:val="005D2DBA"/>
    <w:rsid w:val="005D3048"/>
    <w:rsid w:val="005D3514"/>
    <w:rsid w:val="005D373F"/>
    <w:rsid w:val="005D3A04"/>
    <w:rsid w:val="005D3C37"/>
    <w:rsid w:val="005D3C52"/>
    <w:rsid w:val="005D3DF4"/>
    <w:rsid w:val="005D3E35"/>
    <w:rsid w:val="005D40D7"/>
    <w:rsid w:val="005D42B5"/>
    <w:rsid w:val="005D453E"/>
    <w:rsid w:val="005D4723"/>
    <w:rsid w:val="005D48FE"/>
    <w:rsid w:val="005D49E4"/>
    <w:rsid w:val="005D4A03"/>
    <w:rsid w:val="005D4ACE"/>
    <w:rsid w:val="005D4C52"/>
    <w:rsid w:val="005D51CD"/>
    <w:rsid w:val="005D51F6"/>
    <w:rsid w:val="005D5289"/>
    <w:rsid w:val="005D57FC"/>
    <w:rsid w:val="005D5836"/>
    <w:rsid w:val="005D5ABE"/>
    <w:rsid w:val="005D5B4D"/>
    <w:rsid w:val="005D5C22"/>
    <w:rsid w:val="005D62E1"/>
    <w:rsid w:val="005D64C3"/>
    <w:rsid w:val="005D698F"/>
    <w:rsid w:val="005D6B7A"/>
    <w:rsid w:val="005D6F5B"/>
    <w:rsid w:val="005D7471"/>
    <w:rsid w:val="005D749D"/>
    <w:rsid w:val="005D779D"/>
    <w:rsid w:val="005D784B"/>
    <w:rsid w:val="005D7B62"/>
    <w:rsid w:val="005D7BE0"/>
    <w:rsid w:val="005E0D0B"/>
    <w:rsid w:val="005E0D63"/>
    <w:rsid w:val="005E1296"/>
    <w:rsid w:val="005E16E2"/>
    <w:rsid w:val="005E190C"/>
    <w:rsid w:val="005E1C18"/>
    <w:rsid w:val="005E1D32"/>
    <w:rsid w:val="005E1DA5"/>
    <w:rsid w:val="005E2060"/>
    <w:rsid w:val="005E2082"/>
    <w:rsid w:val="005E227D"/>
    <w:rsid w:val="005E23C8"/>
    <w:rsid w:val="005E2702"/>
    <w:rsid w:val="005E27D1"/>
    <w:rsid w:val="005E28F7"/>
    <w:rsid w:val="005E2970"/>
    <w:rsid w:val="005E29DB"/>
    <w:rsid w:val="005E2F66"/>
    <w:rsid w:val="005E32DA"/>
    <w:rsid w:val="005E3417"/>
    <w:rsid w:val="005E3770"/>
    <w:rsid w:val="005E3911"/>
    <w:rsid w:val="005E4027"/>
    <w:rsid w:val="005E41D8"/>
    <w:rsid w:val="005E424F"/>
    <w:rsid w:val="005E49E1"/>
    <w:rsid w:val="005E4CB3"/>
    <w:rsid w:val="005E4D73"/>
    <w:rsid w:val="005E5149"/>
    <w:rsid w:val="005E519B"/>
    <w:rsid w:val="005E5874"/>
    <w:rsid w:val="005E5A48"/>
    <w:rsid w:val="005E5DE3"/>
    <w:rsid w:val="005E5F62"/>
    <w:rsid w:val="005E5FB8"/>
    <w:rsid w:val="005E64ED"/>
    <w:rsid w:val="005E67D6"/>
    <w:rsid w:val="005E67DB"/>
    <w:rsid w:val="005E6AF0"/>
    <w:rsid w:val="005E6B42"/>
    <w:rsid w:val="005E6CEB"/>
    <w:rsid w:val="005E6EAF"/>
    <w:rsid w:val="005E71B1"/>
    <w:rsid w:val="005E7545"/>
    <w:rsid w:val="005E75D5"/>
    <w:rsid w:val="005E75DD"/>
    <w:rsid w:val="005E766F"/>
    <w:rsid w:val="005E778F"/>
    <w:rsid w:val="005E7C16"/>
    <w:rsid w:val="005E7D38"/>
    <w:rsid w:val="005E7E7B"/>
    <w:rsid w:val="005E7F50"/>
    <w:rsid w:val="005F082C"/>
    <w:rsid w:val="005F0A3A"/>
    <w:rsid w:val="005F128E"/>
    <w:rsid w:val="005F14B4"/>
    <w:rsid w:val="005F1512"/>
    <w:rsid w:val="005F1555"/>
    <w:rsid w:val="005F173D"/>
    <w:rsid w:val="005F1CC4"/>
    <w:rsid w:val="005F1D4E"/>
    <w:rsid w:val="005F20D5"/>
    <w:rsid w:val="005F2150"/>
    <w:rsid w:val="005F228D"/>
    <w:rsid w:val="005F22D7"/>
    <w:rsid w:val="005F22F2"/>
    <w:rsid w:val="005F277F"/>
    <w:rsid w:val="005F2862"/>
    <w:rsid w:val="005F2926"/>
    <w:rsid w:val="005F2978"/>
    <w:rsid w:val="005F2A9A"/>
    <w:rsid w:val="005F2B6F"/>
    <w:rsid w:val="005F33DF"/>
    <w:rsid w:val="005F3464"/>
    <w:rsid w:val="005F34BD"/>
    <w:rsid w:val="005F366D"/>
    <w:rsid w:val="005F373E"/>
    <w:rsid w:val="005F3FFE"/>
    <w:rsid w:val="005F4721"/>
    <w:rsid w:val="005F4BC6"/>
    <w:rsid w:val="005F57A6"/>
    <w:rsid w:val="005F58CE"/>
    <w:rsid w:val="005F59A2"/>
    <w:rsid w:val="005F5A52"/>
    <w:rsid w:val="005F5C61"/>
    <w:rsid w:val="005F5D9C"/>
    <w:rsid w:val="005F5DB0"/>
    <w:rsid w:val="005F5ECD"/>
    <w:rsid w:val="005F62CA"/>
    <w:rsid w:val="005F6330"/>
    <w:rsid w:val="005F66F6"/>
    <w:rsid w:val="005F6A6D"/>
    <w:rsid w:val="005F6B83"/>
    <w:rsid w:val="005F7103"/>
    <w:rsid w:val="005F71C9"/>
    <w:rsid w:val="005F720A"/>
    <w:rsid w:val="005F72C1"/>
    <w:rsid w:val="005F73EE"/>
    <w:rsid w:val="006003D3"/>
    <w:rsid w:val="006006EF"/>
    <w:rsid w:val="006006F9"/>
    <w:rsid w:val="00600714"/>
    <w:rsid w:val="00600BF3"/>
    <w:rsid w:val="00601055"/>
    <w:rsid w:val="0060119D"/>
    <w:rsid w:val="00601464"/>
    <w:rsid w:val="006015AD"/>
    <w:rsid w:val="006016CB"/>
    <w:rsid w:val="006016FA"/>
    <w:rsid w:val="00601ABD"/>
    <w:rsid w:val="00601D5C"/>
    <w:rsid w:val="00601F1C"/>
    <w:rsid w:val="00601F27"/>
    <w:rsid w:val="0060208F"/>
    <w:rsid w:val="006024EC"/>
    <w:rsid w:val="006029B5"/>
    <w:rsid w:val="00602A55"/>
    <w:rsid w:val="00602C5A"/>
    <w:rsid w:val="00602F43"/>
    <w:rsid w:val="006035FA"/>
    <w:rsid w:val="006036C0"/>
    <w:rsid w:val="006038F7"/>
    <w:rsid w:val="0060394A"/>
    <w:rsid w:val="00603961"/>
    <w:rsid w:val="00603B08"/>
    <w:rsid w:val="00603CEB"/>
    <w:rsid w:val="0060408D"/>
    <w:rsid w:val="0060411C"/>
    <w:rsid w:val="00604176"/>
    <w:rsid w:val="0060430E"/>
    <w:rsid w:val="00604BF3"/>
    <w:rsid w:val="006050AD"/>
    <w:rsid w:val="006054D9"/>
    <w:rsid w:val="00605776"/>
    <w:rsid w:val="006059BE"/>
    <w:rsid w:val="00605DC1"/>
    <w:rsid w:val="00605FED"/>
    <w:rsid w:val="0060618C"/>
    <w:rsid w:val="00606427"/>
    <w:rsid w:val="006065BE"/>
    <w:rsid w:val="00606720"/>
    <w:rsid w:val="00606AD1"/>
    <w:rsid w:val="00606C23"/>
    <w:rsid w:val="00606EE9"/>
    <w:rsid w:val="00606F97"/>
    <w:rsid w:val="00607039"/>
    <w:rsid w:val="00607053"/>
    <w:rsid w:val="006071A3"/>
    <w:rsid w:val="006071B7"/>
    <w:rsid w:val="006073DC"/>
    <w:rsid w:val="0060742C"/>
    <w:rsid w:val="00607B64"/>
    <w:rsid w:val="00607FB8"/>
    <w:rsid w:val="00610162"/>
    <w:rsid w:val="0061019F"/>
    <w:rsid w:val="006104A0"/>
    <w:rsid w:val="00610ABA"/>
    <w:rsid w:val="00610C69"/>
    <w:rsid w:val="00610CEF"/>
    <w:rsid w:val="0061111B"/>
    <w:rsid w:val="00611336"/>
    <w:rsid w:val="00611389"/>
    <w:rsid w:val="006113B1"/>
    <w:rsid w:val="006115F0"/>
    <w:rsid w:val="006115F8"/>
    <w:rsid w:val="006118AC"/>
    <w:rsid w:val="00611A28"/>
    <w:rsid w:val="00611EAC"/>
    <w:rsid w:val="0061216B"/>
    <w:rsid w:val="006125CE"/>
    <w:rsid w:val="006125FD"/>
    <w:rsid w:val="006126C8"/>
    <w:rsid w:val="00612984"/>
    <w:rsid w:val="00612A5F"/>
    <w:rsid w:val="00612B4D"/>
    <w:rsid w:val="00613037"/>
    <w:rsid w:val="00613114"/>
    <w:rsid w:val="00613430"/>
    <w:rsid w:val="006135AB"/>
    <w:rsid w:val="0061362F"/>
    <w:rsid w:val="00613826"/>
    <w:rsid w:val="006138E4"/>
    <w:rsid w:val="006138F8"/>
    <w:rsid w:val="00613B68"/>
    <w:rsid w:val="00613D0A"/>
    <w:rsid w:val="00613E05"/>
    <w:rsid w:val="00613F17"/>
    <w:rsid w:val="006143C0"/>
    <w:rsid w:val="00614402"/>
    <w:rsid w:val="006144F6"/>
    <w:rsid w:val="0061480F"/>
    <w:rsid w:val="006148ED"/>
    <w:rsid w:val="00614A48"/>
    <w:rsid w:val="00614C64"/>
    <w:rsid w:val="00615317"/>
    <w:rsid w:val="00615998"/>
    <w:rsid w:val="006159D1"/>
    <w:rsid w:val="00615C04"/>
    <w:rsid w:val="00615C2E"/>
    <w:rsid w:val="00615CB1"/>
    <w:rsid w:val="00615DB5"/>
    <w:rsid w:val="00615F2E"/>
    <w:rsid w:val="00615FCA"/>
    <w:rsid w:val="00616407"/>
    <w:rsid w:val="00616474"/>
    <w:rsid w:val="00616726"/>
    <w:rsid w:val="006169F8"/>
    <w:rsid w:val="00616AB5"/>
    <w:rsid w:val="00616DD5"/>
    <w:rsid w:val="00616E58"/>
    <w:rsid w:val="00616E86"/>
    <w:rsid w:val="0061707E"/>
    <w:rsid w:val="006173DD"/>
    <w:rsid w:val="0061745B"/>
    <w:rsid w:val="00617638"/>
    <w:rsid w:val="00617E61"/>
    <w:rsid w:val="00617F23"/>
    <w:rsid w:val="0062005F"/>
    <w:rsid w:val="00620273"/>
    <w:rsid w:val="00620447"/>
    <w:rsid w:val="006206F8"/>
    <w:rsid w:val="006209E3"/>
    <w:rsid w:val="00620DEF"/>
    <w:rsid w:val="00620E5A"/>
    <w:rsid w:val="00620E80"/>
    <w:rsid w:val="00621052"/>
    <w:rsid w:val="00621238"/>
    <w:rsid w:val="0062127C"/>
    <w:rsid w:val="0062166A"/>
    <w:rsid w:val="006216AC"/>
    <w:rsid w:val="00621780"/>
    <w:rsid w:val="00621945"/>
    <w:rsid w:val="006221B4"/>
    <w:rsid w:val="00622413"/>
    <w:rsid w:val="006226F8"/>
    <w:rsid w:val="00622912"/>
    <w:rsid w:val="00622C0E"/>
    <w:rsid w:val="00622CE9"/>
    <w:rsid w:val="00622D0D"/>
    <w:rsid w:val="00622D3E"/>
    <w:rsid w:val="00622DBD"/>
    <w:rsid w:val="00623012"/>
    <w:rsid w:val="006231FA"/>
    <w:rsid w:val="006233B4"/>
    <w:rsid w:val="006234A7"/>
    <w:rsid w:val="006236B9"/>
    <w:rsid w:val="0062370C"/>
    <w:rsid w:val="00623E20"/>
    <w:rsid w:val="00623E2D"/>
    <w:rsid w:val="006240C7"/>
    <w:rsid w:val="00624338"/>
    <w:rsid w:val="00624371"/>
    <w:rsid w:val="006245D8"/>
    <w:rsid w:val="006247ED"/>
    <w:rsid w:val="00624972"/>
    <w:rsid w:val="00624EE2"/>
    <w:rsid w:val="00625055"/>
    <w:rsid w:val="006250C0"/>
    <w:rsid w:val="006250E9"/>
    <w:rsid w:val="00625109"/>
    <w:rsid w:val="0062511C"/>
    <w:rsid w:val="006254ED"/>
    <w:rsid w:val="00625838"/>
    <w:rsid w:val="006264E0"/>
    <w:rsid w:val="00626523"/>
    <w:rsid w:val="0062670B"/>
    <w:rsid w:val="00626799"/>
    <w:rsid w:val="0062687C"/>
    <w:rsid w:val="006268A9"/>
    <w:rsid w:val="00626D9A"/>
    <w:rsid w:val="00626EC1"/>
    <w:rsid w:val="00626F60"/>
    <w:rsid w:val="006270E5"/>
    <w:rsid w:val="00627129"/>
    <w:rsid w:val="00627396"/>
    <w:rsid w:val="0062780B"/>
    <w:rsid w:val="00627C6F"/>
    <w:rsid w:val="00627D5C"/>
    <w:rsid w:val="00627D69"/>
    <w:rsid w:val="00627E1E"/>
    <w:rsid w:val="006304B0"/>
    <w:rsid w:val="006306FF"/>
    <w:rsid w:val="0063071F"/>
    <w:rsid w:val="00630A6C"/>
    <w:rsid w:val="00631929"/>
    <w:rsid w:val="006319FD"/>
    <w:rsid w:val="00631BFD"/>
    <w:rsid w:val="00631E83"/>
    <w:rsid w:val="006323B9"/>
    <w:rsid w:val="006327AA"/>
    <w:rsid w:val="00632934"/>
    <w:rsid w:val="006331A8"/>
    <w:rsid w:val="006336FB"/>
    <w:rsid w:val="00633B2F"/>
    <w:rsid w:val="00633B71"/>
    <w:rsid w:val="00633EBD"/>
    <w:rsid w:val="00634E17"/>
    <w:rsid w:val="006350B9"/>
    <w:rsid w:val="00635400"/>
    <w:rsid w:val="00635548"/>
    <w:rsid w:val="006359B1"/>
    <w:rsid w:val="00635C8D"/>
    <w:rsid w:val="00635F63"/>
    <w:rsid w:val="00636446"/>
    <w:rsid w:val="006367ED"/>
    <w:rsid w:val="006369D8"/>
    <w:rsid w:val="0063704B"/>
    <w:rsid w:val="0063743F"/>
    <w:rsid w:val="006375A2"/>
    <w:rsid w:val="00637642"/>
    <w:rsid w:val="0063780C"/>
    <w:rsid w:val="00637852"/>
    <w:rsid w:val="00637A31"/>
    <w:rsid w:val="00637E96"/>
    <w:rsid w:val="00637EDE"/>
    <w:rsid w:val="00637FCA"/>
    <w:rsid w:val="00640115"/>
    <w:rsid w:val="0064015A"/>
    <w:rsid w:val="00640368"/>
    <w:rsid w:val="006405C6"/>
    <w:rsid w:val="006405DF"/>
    <w:rsid w:val="00640658"/>
    <w:rsid w:val="00640C31"/>
    <w:rsid w:val="00640E72"/>
    <w:rsid w:val="00640F2D"/>
    <w:rsid w:val="0064109A"/>
    <w:rsid w:val="006410B4"/>
    <w:rsid w:val="006410E8"/>
    <w:rsid w:val="0064162C"/>
    <w:rsid w:val="00641B23"/>
    <w:rsid w:val="00641EAE"/>
    <w:rsid w:val="00642362"/>
    <w:rsid w:val="00642389"/>
    <w:rsid w:val="006423D7"/>
    <w:rsid w:val="00642826"/>
    <w:rsid w:val="00642883"/>
    <w:rsid w:val="00642897"/>
    <w:rsid w:val="00642AD3"/>
    <w:rsid w:val="00642E9E"/>
    <w:rsid w:val="00642F26"/>
    <w:rsid w:val="006430A6"/>
    <w:rsid w:val="00643226"/>
    <w:rsid w:val="0064332B"/>
    <w:rsid w:val="006434DB"/>
    <w:rsid w:val="00643C9C"/>
    <w:rsid w:val="00643D4B"/>
    <w:rsid w:val="00643E24"/>
    <w:rsid w:val="00644221"/>
    <w:rsid w:val="00644252"/>
    <w:rsid w:val="00644464"/>
    <w:rsid w:val="006445F8"/>
    <w:rsid w:val="00644609"/>
    <w:rsid w:val="00644837"/>
    <w:rsid w:val="0064496C"/>
    <w:rsid w:val="006450C3"/>
    <w:rsid w:val="006450FB"/>
    <w:rsid w:val="0064526A"/>
    <w:rsid w:val="0064539E"/>
    <w:rsid w:val="0064540D"/>
    <w:rsid w:val="006455CE"/>
    <w:rsid w:val="006459EF"/>
    <w:rsid w:val="00645BB9"/>
    <w:rsid w:val="00645BF9"/>
    <w:rsid w:val="00645CC3"/>
    <w:rsid w:val="00645D50"/>
    <w:rsid w:val="006465F3"/>
    <w:rsid w:val="00646740"/>
    <w:rsid w:val="00646CAC"/>
    <w:rsid w:val="00646FF5"/>
    <w:rsid w:val="0064753C"/>
    <w:rsid w:val="00647E62"/>
    <w:rsid w:val="006501C5"/>
    <w:rsid w:val="0065083A"/>
    <w:rsid w:val="00650A8A"/>
    <w:rsid w:val="00650ABF"/>
    <w:rsid w:val="00650B1E"/>
    <w:rsid w:val="00651270"/>
    <w:rsid w:val="00651668"/>
    <w:rsid w:val="0065187D"/>
    <w:rsid w:val="00651B00"/>
    <w:rsid w:val="00651EB4"/>
    <w:rsid w:val="00652552"/>
    <w:rsid w:val="006528CE"/>
    <w:rsid w:val="00652D64"/>
    <w:rsid w:val="00652F27"/>
    <w:rsid w:val="00653431"/>
    <w:rsid w:val="006534BF"/>
    <w:rsid w:val="006534D7"/>
    <w:rsid w:val="00653589"/>
    <w:rsid w:val="006537D7"/>
    <w:rsid w:val="00653966"/>
    <w:rsid w:val="00654024"/>
    <w:rsid w:val="0065404A"/>
    <w:rsid w:val="0065418F"/>
    <w:rsid w:val="006543DE"/>
    <w:rsid w:val="0065444A"/>
    <w:rsid w:val="006545AA"/>
    <w:rsid w:val="006545BF"/>
    <w:rsid w:val="00654665"/>
    <w:rsid w:val="00654693"/>
    <w:rsid w:val="0065485E"/>
    <w:rsid w:val="006549D9"/>
    <w:rsid w:val="00654B82"/>
    <w:rsid w:val="00654F68"/>
    <w:rsid w:val="0065560D"/>
    <w:rsid w:val="006556E9"/>
    <w:rsid w:val="00655734"/>
    <w:rsid w:val="00655AC5"/>
    <w:rsid w:val="00655CF9"/>
    <w:rsid w:val="00655D45"/>
    <w:rsid w:val="00655E74"/>
    <w:rsid w:val="006563E2"/>
    <w:rsid w:val="00656468"/>
    <w:rsid w:val="00656533"/>
    <w:rsid w:val="0065654B"/>
    <w:rsid w:val="00656A68"/>
    <w:rsid w:val="00656B3A"/>
    <w:rsid w:val="00656C6B"/>
    <w:rsid w:val="00656D1F"/>
    <w:rsid w:val="0065714C"/>
    <w:rsid w:val="00657211"/>
    <w:rsid w:val="006573B4"/>
    <w:rsid w:val="006574DE"/>
    <w:rsid w:val="00657762"/>
    <w:rsid w:val="006579A8"/>
    <w:rsid w:val="00657B19"/>
    <w:rsid w:val="00657D31"/>
    <w:rsid w:val="00660254"/>
    <w:rsid w:val="006605A0"/>
    <w:rsid w:val="00660947"/>
    <w:rsid w:val="0066096B"/>
    <w:rsid w:val="00660A74"/>
    <w:rsid w:val="00660C41"/>
    <w:rsid w:val="00660CB5"/>
    <w:rsid w:val="0066153B"/>
    <w:rsid w:val="00661639"/>
    <w:rsid w:val="006618AA"/>
    <w:rsid w:val="00661C9C"/>
    <w:rsid w:val="00661CF7"/>
    <w:rsid w:val="00661E50"/>
    <w:rsid w:val="00661EFA"/>
    <w:rsid w:val="006620CE"/>
    <w:rsid w:val="00662259"/>
    <w:rsid w:val="00662591"/>
    <w:rsid w:val="006625BB"/>
    <w:rsid w:val="006626C3"/>
    <w:rsid w:val="00662818"/>
    <w:rsid w:val="006629F7"/>
    <w:rsid w:val="00662A6F"/>
    <w:rsid w:val="00662CD2"/>
    <w:rsid w:val="00662E5F"/>
    <w:rsid w:val="00662FBC"/>
    <w:rsid w:val="00663199"/>
    <w:rsid w:val="00663849"/>
    <w:rsid w:val="00663A48"/>
    <w:rsid w:val="00663D43"/>
    <w:rsid w:val="00663DC3"/>
    <w:rsid w:val="00664241"/>
    <w:rsid w:val="00664434"/>
    <w:rsid w:val="00664C52"/>
    <w:rsid w:val="006652E3"/>
    <w:rsid w:val="006655C5"/>
    <w:rsid w:val="0066561F"/>
    <w:rsid w:val="0066576A"/>
    <w:rsid w:val="0066594D"/>
    <w:rsid w:val="00665AFA"/>
    <w:rsid w:val="00665E14"/>
    <w:rsid w:val="0066624F"/>
    <w:rsid w:val="00666843"/>
    <w:rsid w:val="00666991"/>
    <w:rsid w:val="00666A58"/>
    <w:rsid w:val="00666B69"/>
    <w:rsid w:val="00666EC2"/>
    <w:rsid w:val="00667462"/>
    <w:rsid w:val="00667655"/>
    <w:rsid w:val="0066779E"/>
    <w:rsid w:val="006677E0"/>
    <w:rsid w:val="006678C7"/>
    <w:rsid w:val="00667B20"/>
    <w:rsid w:val="00667EDE"/>
    <w:rsid w:val="00667F82"/>
    <w:rsid w:val="006702E0"/>
    <w:rsid w:val="006705DF"/>
    <w:rsid w:val="00670650"/>
    <w:rsid w:val="00670AE0"/>
    <w:rsid w:val="00670C94"/>
    <w:rsid w:val="006710B6"/>
    <w:rsid w:val="006711BD"/>
    <w:rsid w:val="006712C0"/>
    <w:rsid w:val="00671317"/>
    <w:rsid w:val="0067186A"/>
    <w:rsid w:val="006718AA"/>
    <w:rsid w:val="00671B79"/>
    <w:rsid w:val="00671DFF"/>
    <w:rsid w:val="00671E76"/>
    <w:rsid w:val="0067200D"/>
    <w:rsid w:val="00672693"/>
    <w:rsid w:val="00672CD5"/>
    <w:rsid w:val="0067329A"/>
    <w:rsid w:val="006732E9"/>
    <w:rsid w:val="00673373"/>
    <w:rsid w:val="00673588"/>
    <w:rsid w:val="006735B9"/>
    <w:rsid w:val="00673955"/>
    <w:rsid w:val="00673984"/>
    <w:rsid w:val="00673A19"/>
    <w:rsid w:val="00674118"/>
    <w:rsid w:val="006744AC"/>
    <w:rsid w:val="00674849"/>
    <w:rsid w:val="006749F7"/>
    <w:rsid w:val="00674C7D"/>
    <w:rsid w:val="00674F8F"/>
    <w:rsid w:val="00674FCA"/>
    <w:rsid w:val="00675117"/>
    <w:rsid w:val="0067537B"/>
    <w:rsid w:val="006755B5"/>
    <w:rsid w:val="006759CA"/>
    <w:rsid w:val="00675B5A"/>
    <w:rsid w:val="00675BED"/>
    <w:rsid w:val="00675C34"/>
    <w:rsid w:val="00675D6E"/>
    <w:rsid w:val="00675F62"/>
    <w:rsid w:val="006763A6"/>
    <w:rsid w:val="00676508"/>
    <w:rsid w:val="006768E3"/>
    <w:rsid w:val="00676DFE"/>
    <w:rsid w:val="00676E3D"/>
    <w:rsid w:val="00677313"/>
    <w:rsid w:val="00677591"/>
    <w:rsid w:val="006776F3"/>
    <w:rsid w:val="00677CA9"/>
    <w:rsid w:val="00677EB5"/>
    <w:rsid w:val="006806AC"/>
    <w:rsid w:val="00680818"/>
    <w:rsid w:val="00680B40"/>
    <w:rsid w:val="00680EB5"/>
    <w:rsid w:val="00680FE6"/>
    <w:rsid w:val="00681347"/>
    <w:rsid w:val="00681369"/>
    <w:rsid w:val="00681380"/>
    <w:rsid w:val="0068152A"/>
    <w:rsid w:val="006815E3"/>
    <w:rsid w:val="00681604"/>
    <w:rsid w:val="006817FB"/>
    <w:rsid w:val="00681821"/>
    <w:rsid w:val="00681A35"/>
    <w:rsid w:val="00681A9C"/>
    <w:rsid w:val="00681E83"/>
    <w:rsid w:val="00681EC9"/>
    <w:rsid w:val="00681EFB"/>
    <w:rsid w:val="006822FA"/>
    <w:rsid w:val="00682316"/>
    <w:rsid w:val="00682500"/>
    <w:rsid w:val="00682785"/>
    <w:rsid w:val="006827BD"/>
    <w:rsid w:val="006827E5"/>
    <w:rsid w:val="0068288C"/>
    <w:rsid w:val="00682EBE"/>
    <w:rsid w:val="00682F34"/>
    <w:rsid w:val="006830BC"/>
    <w:rsid w:val="0068315D"/>
    <w:rsid w:val="006839E5"/>
    <w:rsid w:val="00683A65"/>
    <w:rsid w:val="00683E4A"/>
    <w:rsid w:val="00683F36"/>
    <w:rsid w:val="00684614"/>
    <w:rsid w:val="00685153"/>
    <w:rsid w:val="006851FB"/>
    <w:rsid w:val="00685257"/>
    <w:rsid w:val="00685589"/>
    <w:rsid w:val="006856F4"/>
    <w:rsid w:val="00685904"/>
    <w:rsid w:val="0068597D"/>
    <w:rsid w:val="006859ED"/>
    <w:rsid w:val="00685B2B"/>
    <w:rsid w:val="00686685"/>
    <w:rsid w:val="0068682C"/>
    <w:rsid w:val="00686C87"/>
    <w:rsid w:val="00686F37"/>
    <w:rsid w:val="006901F4"/>
    <w:rsid w:val="0069040D"/>
    <w:rsid w:val="00690460"/>
    <w:rsid w:val="0069069F"/>
    <w:rsid w:val="00690C00"/>
    <w:rsid w:val="00690CFE"/>
    <w:rsid w:val="00690F41"/>
    <w:rsid w:val="006913BC"/>
    <w:rsid w:val="00691963"/>
    <w:rsid w:val="00691E5A"/>
    <w:rsid w:val="006920A1"/>
    <w:rsid w:val="00692251"/>
    <w:rsid w:val="006929A5"/>
    <w:rsid w:val="00692EF3"/>
    <w:rsid w:val="006930CA"/>
    <w:rsid w:val="00693139"/>
    <w:rsid w:val="00693218"/>
    <w:rsid w:val="0069341F"/>
    <w:rsid w:val="00693537"/>
    <w:rsid w:val="006935A7"/>
    <w:rsid w:val="006937A7"/>
    <w:rsid w:val="006938AA"/>
    <w:rsid w:val="00693A3F"/>
    <w:rsid w:val="00693C85"/>
    <w:rsid w:val="00693E0B"/>
    <w:rsid w:val="00693E72"/>
    <w:rsid w:val="00693F96"/>
    <w:rsid w:val="0069426A"/>
    <w:rsid w:val="006943BB"/>
    <w:rsid w:val="00694441"/>
    <w:rsid w:val="006944CC"/>
    <w:rsid w:val="006944FC"/>
    <w:rsid w:val="0069474B"/>
    <w:rsid w:val="0069475D"/>
    <w:rsid w:val="006947CB"/>
    <w:rsid w:val="006948BE"/>
    <w:rsid w:val="006949C1"/>
    <w:rsid w:val="00694D29"/>
    <w:rsid w:val="00695135"/>
    <w:rsid w:val="0069544A"/>
    <w:rsid w:val="006954CA"/>
    <w:rsid w:val="006955FA"/>
    <w:rsid w:val="00695641"/>
    <w:rsid w:val="006959CD"/>
    <w:rsid w:val="0069633D"/>
    <w:rsid w:val="00696462"/>
    <w:rsid w:val="00696600"/>
    <w:rsid w:val="006966F8"/>
    <w:rsid w:val="00696880"/>
    <w:rsid w:val="00696B24"/>
    <w:rsid w:val="00696CB7"/>
    <w:rsid w:val="0069710B"/>
    <w:rsid w:val="0069711E"/>
    <w:rsid w:val="00697966"/>
    <w:rsid w:val="0069796E"/>
    <w:rsid w:val="00697A4B"/>
    <w:rsid w:val="00697B9C"/>
    <w:rsid w:val="00697CEE"/>
    <w:rsid w:val="00697CFD"/>
    <w:rsid w:val="00697D1F"/>
    <w:rsid w:val="006A0188"/>
    <w:rsid w:val="006A0193"/>
    <w:rsid w:val="006A0862"/>
    <w:rsid w:val="006A0BFD"/>
    <w:rsid w:val="006A0D06"/>
    <w:rsid w:val="006A0D3B"/>
    <w:rsid w:val="006A0E0B"/>
    <w:rsid w:val="006A13F2"/>
    <w:rsid w:val="006A1856"/>
    <w:rsid w:val="006A1B8F"/>
    <w:rsid w:val="006A1CAB"/>
    <w:rsid w:val="006A23FF"/>
    <w:rsid w:val="006A265F"/>
    <w:rsid w:val="006A286B"/>
    <w:rsid w:val="006A2AD3"/>
    <w:rsid w:val="006A2D42"/>
    <w:rsid w:val="006A2F17"/>
    <w:rsid w:val="006A2F52"/>
    <w:rsid w:val="006A3A2B"/>
    <w:rsid w:val="006A3B22"/>
    <w:rsid w:val="006A3FCF"/>
    <w:rsid w:val="006A4029"/>
    <w:rsid w:val="006A4169"/>
    <w:rsid w:val="006A41B1"/>
    <w:rsid w:val="006A5000"/>
    <w:rsid w:val="006A50F3"/>
    <w:rsid w:val="006A523A"/>
    <w:rsid w:val="006A5468"/>
    <w:rsid w:val="006A56F7"/>
    <w:rsid w:val="006A58C8"/>
    <w:rsid w:val="006A5AE8"/>
    <w:rsid w:val="006A5F40"/>
    <w:rsid w:val="006A5F9D"/>
    <w:rsid w:val="006A6268"/>
    <w:rsid w:val="006A63EE"/>
    <w:rsid w:val="006A679F"/>
    <w:rsid w:val="006A69DA"/>
    <w:rsid w:val="006A6BF1"/>
    <w:rsid w:val="006A6C99"/>
    <w:rsid w:val="006A7B61"/>
    <w:rsid w:val="006A7C30"/>
    <w:rsid w:val="006A7D31"/>
    <w:rsid w:val="006A7EF1"/>
    <w:rsid w:val="006B0286"/>
    <w:rsid w:val="006B06EC"/>
    <w:rsid w:val="006B090A"/>
    <w:rsid w:val="006B0B82"/>
    <w:rsid w:val="006B1115"/>
    <w:rsid w:val="006B11E1"/>
    <w:rsid w:val="006B12E9"/>
    <w:rsid w:val="006B1752"/>
    <w:rsid w:val="006B1958"/>
    <w:rsid w:val="006B1B90"/>
    <w:rsid w:val="006B1CD7"/>
    <w:rsid w:val="006B1DB1"/>
    <w:rsid w:val="006B1F14"/>
    <w:rsid w:val="006B2097"/>
    <w:rsid w:val="006B2467"/>
    <w:rsid w:val="006B2879"/>
    <w:rsid w:val="006B2B12"/>
    <w:rsid w:val="006B2C49"/>
    <w:rsid w:val="006B3032"/>
    <w:rsid w:val="006B308E"/>
    <w:rsid w:val="006B323B"/>
    <w:rsid w:val="006B324A"/>
    <w:rsid w:val="006B325C"/>
    <w:rsid w:val="006B3409"/>
    <w:rsid w:val="006B36D5"/>
    <w:rsid w:val="006B3807"/>
    <w:rsid w:val="006B3B4B"/>
    <w:rsid w:val="006B3D9B"/>
    <w:rsid w:val="006B3E86"/>
    <w:rsid w:val="006B3F05"/>
    <w:rsid w:val="006B3FB5"/>
    <w:rsid w:val="006B435B"/>
    <w:rsid w:val="006B43BC"/>
    <w:rsid w:val="006B4436"/>
    <w:rsid w:val="006B46EC"/>
    <w:rsid w:val="006B4867"/>
    <w:rsid w:val="006B4AF8"/>
    <w:rsid w:val="006B4B4A"/>
    <w:rsid w:val="006B4BB2"/>
    <w:rsid w:val="006B4BCB"/>
    <w:rsid w:val="006B4BCD"/>
    <w:rsid w:val="006B4BF7"/>
    <w:rsid w:val="006B4E6E"/>
    <w:rsid w:val="006B515C"/>
    <w:rsid w:val="006B51B2"/>
    <w:rsid w:val="006B56D2"/>
    <w:rsid w:val="006B5CD7"/>
    <w:rsid w:val="006B5D2E"/>
    <w:rsid w:val="006B6020"/>
    <w:rsid w:val="006B641E"/>
    <w:rsid w:val="006B683E"/>
    <w:rsid w:val="006B6871"/>
    <w:rsid w:val="006B689D"/>
    <w:rsid w:val="006B6D47"/>
    <w:rsid w:val="006B6D76"/>
    <w:rsid w:val="006B6F0C"/>
    <w:rsid w:val="006B72EF"/>
    <w:rsid w:val="006B75C6"/>
    <w:rsid w:val="006B7C0B"/>
    <w:rsid w:val="006B7E34"/>
    <w:rsid w:val="006B7E85"/>
    <w:rsid w:val="006B7FA1"/>
    <w:rsid w:val="006B7FD3"/>
    <w:rsid w:val="006C006B"/>
    <w:rsid w:val="006C012C"/>
    <w:rsid w:val="006C05CC"/>
    <w:rsid w:val="006C0C37"/>
    <w:rsid w:val="006C0C49"/>
    <w:rsid w:val="006C116A"/>
    <w:rsid w:val="006C11F4"/>
    <w:rsid w:val="006C1209"/>
    <w:rsid w:val="006C14D5"/>
    <w:rsid w:val="006C1ADC"/>
    <w:rsid w:val="006C1E47"/>
    <w:rsid w:val="006C1E9B"/>
    <w:rsid w:val="006C2339"/>
    <w:rsid w:val="006C24C9"/>
    <w:rsid w:val="006C2EC2"/>
    <w:rsid w:val="006C317F"/>
    <w:rsid w:val="006C347C"/>
    <w:rsid w:val="006C3533"/>
    <w:rsid w:val="006C354C"/>
    <w:rsid w:val="006C3624"/>
    <w:rsid w:val="006C3647"/>
    <w:rsid w:val="006C366B"/>
    <w:rsid w:val="006C3942"/>
    <w:rsid w:val="006C3A53"/>
    <w:rsid w:val="006C3B15"/>
    <w:rsid w:val="006C3B76"/>
    <w:rsid w:val="006C3D50"/>
    <w:rsid w:val="006C4389"/>
    <w:rsid w:val="006C43A9"/>
    <w:rsid w:val="006C43DF"/>
    <w:rsid w:val="006C4572"/>
    <w:rsid w:val="006C45BD"/>
    <w:rsid w:val="006C49D3"/>
    <w:rsid w:val="006C5350"/>
    <w:rsid w:val="006C5F10"/>
    <w:rsid w:val="006C6290"/>
    <w:rsid w:val="006C638D"/>
    <w:rsid w:val="006C6D76"/>
    <w:rsid w:val="006C6FC6"/>
    <w:rsid w:val="006C713E"/>
    <w:rsid w:val="006C727A"/>
    <w:rsid w:val="006C7821"/>
    <w:rsid w:val="006C7AA3"/>
    <w:rsid w:val="006C7B03"/>
    <w:rsid w:val="006C7D5F"/>
    <w:rsid w:val="006C7FE7"/>
    <w:rsid w:val="006D061A"/>
    <w:rsid w:val="006D07CB"/>
    <w:rsid w:val="006D0AD8"/>
    <w:rsid w:val="006D0C92"/>
    <w:rsid w:val="006D0CB2"/>
    <w:rsid w:val="006D0EC2"/>
    <w:rsid w:val="006D0FD6"/>
    <w:rsid w:val="006D1253"/>
    <w:rsid w:val="006D12DA"/>
    <w:rsid w:val="006D1807"/>
    <w:rsid w:val="006D1925"/>
    <w:rsid w:val="006D1D89"/>
    <w:rsid w:val="006D2249"/>
    <w:rsid w:val="006D2257"/>
    <w:rsid w:val="006D243F"/>
    <w:rsid w:val="006D2AF8"/>
    <w:rsid w:val="006D3C76"/>
    <w:rsid w:val="006D3E6D"/>
    <w:rsid w:val="006D41DE"/>
    <w:rsid w:val="006D462E"/>
    <w:rsid w:val="006D47A0"/>
    <w:rsid w:val="006D4A16"/>
    <w:rsid w:val="006D4B31"/>
    <w:rsid w:val="006D4C72"/>
    <w:rsid w:val="006D4CA4"/>
    <w:rsid w:val="006D4E4C"/>
    <w:rsid w:val="006D4F72"/>
    <w:rsid w:val="006D54D5"/>
    <w:rsid w:val="006D5585"/>
    <w:rsid w:val="006D5722"/>
    <w:rsid w:val="006D57B0"/>
    <w:rsid w:val="006D5CCB"/>
    <w:rsid w:val="006D5F76"/>
    <w:rsid w:val="006D66AF"/>
    <w:rsid w:val="006D670F"/>
    <w:rsid w:val="006D6866"/>
    <w:rsid w:val="006D6C19"/>
    <w:rsid w:val="006D6CFA"/>
    <w:rsid w:val="006D6D96"/>
    <w:rsid w:val="006D708C"/>
    <w:rsid w:val="006D71CC"/>
    <w:rsid w:val="006D7211"/>
    <w:rsid w:val="006D72ED"/>
    <w:rsid w:val="006D75C8"/>
    <w:rsid w:val="006D7644"/>
    <w:rsid w:val="006D7789"/>
    <w:rsid w:val="006D7B3C"/>
    <w:rsid w:val="006D7C3E"/>
    <w:rsid w:val="006D7D6A"/>
    <w:rsid w:val="006E01F4"/>
    <w:rsid w:val="006E04B4"/>
    <w:rsid w:val="006E0596"/>
    <w:rsid w:val="006E0B40"/>
    <w:rsid w:val="006E0B7F"/>
    <w:rsid w:val="006E11AD"/>
    <w:rsid w:val="006E148C"/>
    <w:rsid w:val="006E17D3"/>
    <w:rsid w:val="006E2013"/>
    <w:rsid w:val="006E2280"/>
    <w:rsid w:val="006E235B"/>
    <w:rsid w:val="006E2507"/>
    <w:rsid w:val="006E253E"/>
    <w:rsid w:val="006E2657"/>
    <w:rsid w:val="006E2C25"/>
    <w:rsid w:val="006E2CEA"/>
    <w:rsid w:val="006E2E10"/>
    <w:rsid w:val="006E32EF"/>
    <w:rsid w:val="006E33B3"/>
    <w:rsid w:val="006E3482"/>
    <w:rsid w:val="006E35EE"/>
    <w:rsid w:val="006E3605"/>
    <w:rsid w:val="006E36BB"/>
    <w:rsid w:val="006E38C0"/>
    <w:rsid w:val="006E3D57"/>
    <w:rsid w:val="006E3F09"/>
    <w:rsid w:val="006E4039"/>
    <w:rsid w:val="006E459D"/>
    <w:rsid w:val="006E45B3"/>
    <w:rsid w:val="006E4616"/>
    <w:rsid w:val="006E511C"/>
    <w:rsid w:val="006E51F7"/>
    <w:rsid w:val="006E5579"/>
    <w:rsid w:val="006E574C"/>
    <w:rsid w:val="006E5891"/>
    <w:rsid w:val="006E5F3C"/>
    <w:rsid w:val="006E6420"/>
    <w:rsid w:val="006E666E"/>
    <w:rsid w:val="006E66C5"/>
    <w:rsid w:val="006E6727"/>
    <w:rsid w:val="006E6A07"/>
    <w:rsid w:val="006E6C12"/>
    <w:rsid w:val="006E6EA9"/>
    <w:rsid w:val="006E6F79"/>
    <w:rsid w:val="006E7123"/>
    <w:rsid w:val="006E784A"/>
    <w:rsid w:val="006E7CD7"/>
    <w:rsid w:val="006E7F4D"/>
    <w:rsid w:val="006E7FC2"/>
    <w:rsid w:val="006F041A"/>
    <w:rsid w:val="006F06D2"/>
    <w:rsid w:val="006F0A1F"/>
    <w:rsid w:val="006F0D46"/>
    <w:rsid w:val="006F0E3E"/>
    <w:rsid w:val="006F0EB7"/>
    <w:rsid w:val="006F11B7"/>
    <w:rsid w:val="006F1383"/>
    <w:rsid w:val="006F149F"/>
    <w:rsid w:val="006F196A"/>
    <w:rsid w:val="006F1B85"/>
    <w:rsid w:val="006F1CF5"/>
    <w:rsid w:val="006F1EF2"/>
    <w:rsid w:val="006F2218"/>
    <w:rsid w:val="006F22AB"/>
    <w:rsid w:val="006F23DD"/>
    <w:rsid w:val="006F2469"/>
    <w:rsid w:val="006F2911"/>
    <w:rsid w:val="006F2941"/>
    <w:rsid w:val="006F2E45"/>
    <w:rsid w:val="006F2FAD"/>
    <w:rsid w:val="006F3327"/>
    <w:rsid w:val="006F3C5A"/>
    <w:rsid w:val="006F3CF9"/>
    <w:rsid w:val="006F3D5A"/>
    <w:rsid w:val="006F3F57"/>
    <w:rsid w:val="006F4915"/>
    <w:rsid w:val="006F4E4A"/>
    <w:rsid w:val="006F4EEE"/>
    <w:rsid w:val="006F50A9"/>
    <w:rsid w:val="006F50C0"/>
    <w:rsid w:val="006F5158"/>
    <w:rsid w:val="006F54E8"/>
    <w:rsid w:val="006F5853"/>
    <w:rsid w:val="006F586A"/>
    <w:rsid w:val="006F59A8"/>
    <w:rsid w:val="006F5CA8"/>
    <w:rsid w:val="006F5CD2"/>
    <w:rsid w:val="006F5FCA"/>
    <w:rsid w:val="006F613A"/>
    <w:rsid w:val="006F6308"/>
    <w:rsid w:val="006F650C"/>
    <w:rsid w:val="006F65E5"/>
    <w:rsid w:val="006F66F2"/>
    <w:rsid w:val="006F6758"/>
    <w:rsid w:val="006F6B7E"/>
    <w:rsid w:val="006F6C27"/>
    <w:rsid w:val="006F6EC2"/>
    <w:rsid w:val="006F6F9B"/>
    <w:rsid w:val="006F7183"/>
    <w:rsid w:val="006F71C9"/>
    <w:rsid w:val="006F7618"/>
    <w:rsid w:val="006F78E6"/>
    <w:rsid w:val="006F7DB5"/>
    <w:rsid w:val="006F7FD3"/>
    <w:rsid w:val="007001BC"/>
    <w:rsid w:val="0070023E"/>
    <w:rsid w:val="007005E1"/>
    <w:rsid w:val="00700693"/>
    <w:rsid w:val="00700950"/>
    <w:rsid w:val="00700A2D"/>
    <w:rsid w:val="00701136"/>
    <w:rsid w:val="00701259"/>
    <w:rsid w:val="00701260"/>
    <w:rsid w:val="0070153E"/>
    <w:rsid w:val="0070156F"/>
    <w:rsid w:val="007016DB"/>
    <w:rsid w:val="00701C76"/>
    <w:rsid w:val="00702271"/>
    <w:rsid w:val="00702543"/>
    <w:rsid w:val="007025A4"/>
    <w:rsid w:val="007026A1"/>
    <w:rsid w:val="007028C6"/>
    <w:rsid w:val="00702944"/>
    <w:rsid w:val="0070319A"/>
    <w:rsid w:val="007031B9"/>
    <w:rsid w:val="007035AF"/>
    <w:rsid w:val="00703854"/>
    <w:rsid w:val="00703CB4"/>
    <w:rsid w:val="007040E5"/>
    <w:rsid w:val="00704294"/>
    <w:rsid w:val="00704496"/>
    <w:rsid w:val="0070469C"/>
    <w:rsid w:val="0070471E"/>
    <w:rsid w:val="0070480C"/>
    <w:rsid w:val="00704850"/>
    <w:rsid w:val="007048BD"/>
    <w:rsid w:val="00704B25"/>
    <w:rsid w:val="00704BE7"/>
    <w:rsid w:val="00704CE6"/>
    <w:rsid w:val="007058C7"/>
    <w:rsid w:val="00705A1E"/>
    <w:rsid w:val="00705A2C"/>
    <w:rsid w:val="00706085"/>
    <w:rsid w:val="007064FF"/>
    <w:rsid w:val="00706785"/>
    <w:rsid w:val="007068EF"/>
    <w:rsid w:val="00706A0B"/>
    <w:rsid w:val="00706B35"/>
    <w:rsid w:val="00706B44"/>
    <w:rsid w:val="00706BB1"/>
    <w:rsid w:val="007070C0"/>
    <w:rsid w:val="007074D6"/>
    <w:rsid w:val="00707759"/>
    <w:rsid w:val="007077DD"/>
    <w:rsid w:val="00707BDA"/>
    <w:rsid w:val="00707C18"/>
    <w:rsid w:val="00707C81"/>
    <w:rsid w:val="00707C8F"/>
    <w:rsid w:val="00707E60"/>
    <w:rsid w:val="00707EE1"/>
    <w:rsid w:val="0071002E"/>
    <w:rsid w:val="0071028E"/>
    <w:rsid w:val="007103A9"/>
    <w:rsid w:val="007104AD"/>
    <w:rsid w:val="00710E90"/>
    <w:rsid w:val="0071124D"/>
    <w:rsid w:val="0071140C"/>
    <w:rsid w:val="0071154C"/>
    <w:rsid w:val="00711798"/>
    <w:rsid w:val="007117CB"/>
    <w:rsid w:val="00711897"/>
    <w:rsid w:val="00711915"/>
    <w:rsid w:val="00711954"/>
    <w:rsid w:val="00711B9B"/>
    <w:rsid w:val="00711FDD"/>
    <w:rsid w:val="0071204C"/>
    <w:rsid w:val="00712082"/>
    <w:rsid w:val="007121C4"/>
    <w:rsid w:val="00712279"/>
    <w:rsid w:val="00712550"/>
    <w:rsid w:val="007125AE"/>
    <w:rsid w:val="007126BE"/>
    <w:rsid w:val="00712796"/>
    <w:rsid w:val="007128B2"/>
    <w:rsid w:val="00712A7B"/>
    <w:rsid w:val="00712C0C"/>
    <w:rsid w:val="00712D55"/>
    <w:rsid w:val="00712DF8"/>
    <w:rsid w:val="00713023"/>
    <w:rsid w:val="007134A0"/>
    <w:rsid w:val="00713655"/>
    <w:rsid w:val="0071382F"/>
    <w:rsid w:val="00713ADC"/>
    <w:rsid w:val="0071407F"/>
    <w:rsid w:val="00714207"/>
    <w:rsid w:val="007142D4"/>
    <w:rsid w:val="0071495F"/>
    <w:rsid w:val="00714B80"/>
    <w:rsid w:val="00714C05"/>
    <w:rsid w:val="00714F5F"/>
    <w:rsid w:val="00715199"/>
    <w:rsid w:val="00715402"/>
    <w:rsid w:val="0071584A"/>
    <w:rsid w:val="00715B3F"/>
    <w:rsid w:val="00715B95"/>
    <w:rsid w:val="00715CF0"/>
    <w:rsid w:val="00716411"/>
    <w:rsid w:val="00716541"/>
    <w:rsid w:val="00716685"/>
    <w:rsid w:val="007167C2"/>
    <w:rsid w:val="00716848"/>
    <w:rsid w:val="007168D5"/>
    <w:rsid w:val="007168E9"/>
    <w:rsid w:val="007169B9"/>
    <w:rsid w:val="00716A07"/>
    <w:rsid w:val="00716AD2"/>
    <w:rsid w:val="00716C8D"/>
    <w:rsid w:val="00716D64"/>
    <w:rsid w:val="0071727E"/>
    <w:rsid w:val="00717304"/>
    <w:rsid w:val="00717552"/>
    <w:rsid w:val="00717864"/>
    <w:rsid w:val="00717B9C"/>
    <w:rsid w:val="00717DBC"/>
    <w:rsid w:val="007203CA"/>
    <w:rsid w:val="0072042B"/>
    <w:rsid w:val="00720510"/>
    <w:rsid w:val="00720558"/>
    <w:rsid w:val="00720768"/>
    <w:rsid w:val="007208BA"/>
    <w:rsid w:val="00720D62"/>
    <w:rsid w:val="00720E5A"/>
    <w:rsid w:val="0072112F"/>
    <w:rsid w:val="00721240"/>
    <w:rsid w:val="0072126E"/>
    <w:rsid w:val="007212D9"/>
    <w:rsid w:val="00721400"/>
    <w:rsid w:val="00721A58"/>
    <w:rsid w:val="00721C75"/>
    <w:rsid w:val="00721CEA"/>
    <w:rsid w:val="00721F7D"/>
    <w:rsid w:val="00722067"/>
    <w:rsid w:val="00722624"/>
    <w:rsid w:val="007226F5"/>
    <w:rsid w:val="00722AEA"/>
    <w:rsid w:val="00722FE4"/>
    <w:rsid w:val="007230AA"/>
    <w:rsid w:val="007232B4"/>
    <w:rsid w:val="0072344F"/>
    <w:rsid w:val="00723497"/>
    <w:rsid w:val="007235BC"/>
    <w:rsid w:val="00723792"/>
    <w:rsid w:val="00723B2C"/>
    <w:rsid w:val="00723CD9"/>
    <w:rsid w:val="00723F2A"/>
    <w:rsid w:val="00724146"/>
    <w:rsid w:val="00724347"/>
    <w:rsid w:val="00724460"/>
    <w:rsid w:val="0072474E"/>
    <w:rsid w:val="0072491F"/>
    <w:rsid w:val="00724A7F"/>
    <w:rsid w:val="00724AF3"/>
    <w:rsid w:val="00724ED0"/>
    <w:rsid w:val="00724F92"/>
    <w:rsid w:val="0072503F"/>
    <w:rsid w:val="00725132"/>
    <w:rsid w:val="007253D6"/>
    <w:rsid w:val="0072542C"/>
    <w:rsid w:val="007254E4"/>
    <w:rsid w:val="00725609"/>
    <w:rsid w:val="00725761"/>
    <w:rsid w:val="0072578A"/>
    <w:rsid w:val="00725827"/>
    <w:rsid w:val="00725910"/>
    <w:rsid w:val="0072597A"/>
    <w:rsid w:val="00725BF0"/>
    <w:rsid w:val="00725E6C"/>
    <w:rsid w:val="00726390"/>
    <w:rsid w:val="00726409"/>
    <w:rsid w:val="00726679"/>
    <w:rsid w:val="00726DB2"/>
    <w:rsid w:val="0072720C"/>
    <w:rsid w:val="00727261"/>
    <w:rsid w:val="00727296"/>
    <w:rsid w:val="00727469"/>
    <w:rsid w:val="007275BB"/>
    <w:rsid w:val="007304DA"/>
    <w:rsid w:val="00730D01"/>
    <w:rsid w:val="00731056"/>
    <w:rsid w:val="0073166A"/>
    <w:rsid w:val="007317E2"/>
    <w:rsid w:val="00731866"/>
    <w:rsid w:val="00731A3C"/>
    <w:rsid w:val="00731C2E"/>
    <w:rsid w:val="00731D15"/>
    <w:rsid w:val="00731F78"/>
    <w:rsid w:val="00731FA8"/>
    <w:rsid w:val="00732254"/>
    <w:rsid w:val="00732689"/>
    <w:rsid w:val="00732795"/>
    <w:rsid w:val="00732972"/>
    <w:rsid w:val="00732AB9"/>
    <w:rsid w:val="00732B91"/>
    <w:rsid w:val="00732DD2"/>
    <w:rsid w:val="00733808"/>
    <w:rsid w:val="00733CD5"/>
    <w:rsid w:val="00733D11"/>
    <w:rsid w:val="00733DFC"/>
    <w:rsid w:val="00734198"/>
    <w:rsid w:val="007346A5"/>
    <w:rsid w:val="00734722"/>
    <w:rsid w:val="00734B19"/>
    <w:rsid w:val="00734E57"/>
    <w:rsid w:val="00734FB0"/>
    <w:rsid w:val="0073596A"/>
    <w:rsid w:val="0073599C"/>
    <w:rsid w:val="00735A0A"/>
    <w:rsid w:val="00735B0C"/>
    <w:rsid w:val="00735D7E"/>
    <w:rsid w:val="00735F70"/>
    <w:rsid w:val="00736087"/>
    <w:rsid w:val="007362C2"/>
    <w:rsid w:val="007362CF"/>
    <w:rsid w:val="00736426"/>
    <w:rsid w:val="0073648A"/>
    <w:rsid w:val="007367C6"/>
    <w:rsid w:val="00736995"/>
    <w:rsid w:val="00736EFD"/>
    <w:rsid w:val="00736F54"/>
    <w:rsid w:val="0073747B"/>
    <w:rsid w:val="007377B7"/>
    <w:rsid w:val="0073792C"/>
    <w:rsid w:val="007379C9"/>
    <w:rsid w:val="00737C6F"/>
    <w:rsid w:val="00737CB1"/>
    <w:rsid w:val="007404CC"/>
    <w:rsid w:val="00740513"/>
    <w:rsid w:val="00740568"/>
    <w:rsid w:val="007406ED"/>
    <w:rsid w:val="00740B49"/>
    <w:rsid w:val="00740BA5"/>
    <w:rsid w:val="00740CED"/>
    <w:rsid w:val="00740D8C"/>
    <w:rsid w:val="00741027"/>
    <w:rsid w:val="00741405"/>
    <w:rsid w:val="00741454"/>
    <w:rsid w:val="00741687"/>
    <w:rsid w:val="007418CB"/>
    <w:rsid w:val="00741C1F"/>
    <w:rsid w:val="00741C35"/>
    <w:rsid w:val="00742432"/>
    <w:rsid w:val="0074257A"/>
    <w:rsid w:val="007429B2"/>
    <w:rsid w:val="00742CB0"/>
    <w:rsid w:val="00742E06"/>
    <w:rsid w:val="00743025"/>
    <w:rsid w:val="0074392B"/>
    <w:rsid w:val="007439EA"/>
    <w:rsid w:val="00743B42"/>
    <w:rsid w:val="00743C2D"/>
    <w:rsid w:val="007440FF"/>
    <w:rsid w:val="007442D5"/>
    <w:rsid w:val="007445FD"/>
    <w:rsid w:val="00744A8E"/>
    <w:rsid w:val="00745045"/>
    <w:rsid w:val="00745B74"/>
    <w:rsid w:val="00745E06"/>
    <w:rsid w:val="00746469"/>
    <w:rsid w:val="00746472"/>
    <w:rsid w:val="007468F9"/>
    <w:rsid w:val="00746BD9"/>
    <w:rsid w:val="00746C0C"/>
    <w:rsid w:val="0074700E"/>
    <w:rsid w:val="00747036"/>
    <w:rsid w:val="007470EC"/>
    <w:rsid w:val="007472D2"/>
    <w:rsid w:val="00747434"/>
    <w:rsid w:val="0074788B"/>
    <w:rsid w:val="00747932"/>
    <w:rsid w:val="00747B1A"/>
    <w:rsid w:val="00747D28"/>
    <w:rsid w:val="00750296"/>
    <w:rsid w:val="007502B4"/>
    <w:rsid w:val="0075041F"/>
    <w:rsid w:val="007508CE"/>
    <w:rsid w:val="00750ABF"/>
    <w:rsid w:val="00750B83"/>
    <w:rsid w:val="00750DFF"/>
    <w:rsid w:val="00750EFC"/>
    <w:rsid w:val="007510EB"/>
    <w:rsid w:val="00751349"/>
    <w:rsid w:val="0075137C"/>
    <w:rsid w:val="00751725"/>
    <w:rsid w:val="0075181C"/>
    <w:rsid w:val="0075198E"/>
    <w:rsid w:val="00751BB1"/>
    <w:rsid w:val="00751C9B"/>
    <w:rsid w:val="00751E71"/>
    <w:rsid w:val="007525B0"/>
    <w:rsid w:val="00752731"/>
    <w:rsid w:val="00752EBE"/>
    <w:rsid w:val="00753136"/>
    <w:rsid w:val="00753348"/>
    <w:rsid w:val="00753901"/>
    <w:rsid w:val="00753B91"/>
    <w:rsid w:val="00753D55"/>
    <w:rsid w:val="00753FED"/>
    <w:rsid w:val="0075418A"/>
    <w:rsid w:val="00754235"/>
    <w:rsid w:val="00754322"/>
    <w:rsid w:val="007544B7"/>
    <w:rsid w:val="007545A9"/>
    <w:rsid w:val="0075483E"/>
    <w:rsid w:val="0075499A"/>
    <w:rsid w:val="007549B1"/>
    <w:rsid w:val="00754A1A"/>
    <w:rsid w:val="00754DE9"/>
    <w:rsid w:val="00754EB8"/>
    <w:rsid w:val="00754EE7"/>
    <w:rsid w:val="00754EF1"/>
    <w:rsid w:val="00754F01"/>
    <w:rsid w:val="0075545A"/>
    <w:rsid w:val="0075585D"/>
    <w:rsid w:val="00755950"/>
    <w:rsid w:val="00755A02"/>
    <w:rsid w:val="00755A07"/>
    <w:rsid w:val="00755B0C"/>
    <w:rsid w:val="00755CD1"/>
    <w:rsid w:val="00755E44"/>
    <w:rsid w:val="007565B0"/>
    <w:rsid w:val="0075672E"/>
    <w:rsid w:val="00756A66"/>
    <w:rsid w:val="00756B92"/>
    <w:rsid w:val="00756CC1"/>
    <w:rsid w:val="00756CEF"/>
    <w:rsid w:val="007570CF"/>
    <w:rsid w:val="00757217"/>
    <w:rsid w:val="00757338"/>
    <w:rsid w:val="00757572"/>
    <w:rsid w:val="00757962"/>
    <w:rsid w:val="0075798F"/>
    <w:rsid w:val="00757C0D"/>
    <w:rsid w:val="00757C41"/>
    <w:rsid w:val="007601C9"/>
    <w:rsid w:val="0076029C"/>
    <w:rsid w:val="007602C8"/>
    <w:rsid w:val="007603B3"/>
    <w:rsid w:val="00760465"/>
    <w:rsid w:val="007605C7"/>
    <w:rsid w:val="00760605"/>
    <w:rsid w:val="00760613"/>
    <w:rsid w:val="0076071F"/>
    <w:rsid w:val="00760958"/>
    <w:rsid w:val="00760C71"/>
    <w:rsid w:val="00760D41"/>
    <w:rsid w:val="00760D79"/>
    <w:rsid w:val="00760E00"/>
    <w:rsid w:val="00760ED5"/>
    <w:rsid w:val="00761196"/>
    <w:rsid w:val="00761235"/>
    <w:rsid w:val="00761D3C"/>
    <w:rsid w:val="00761FF7"/>
    <w:rsid w:val="007622ED"/>
    <w:rsid w:val="007624FF"/>
    <w:rsid w:val="0076260D"/>
    <w:rsid w:val="007628C2"/>
    <w:rsid w:val="00762B65"/>
    <w:rsid w:val="00762EE2"/>
    <w:rsid w:val="0076327C"/>
    <w:rsid w:val="007632B8"/>
    <w:rsid w:val="0076349D"/>
    <w:rsid w:val="00763520"/>
    <w:rsid w:val="00763643"/>
    <w:rsid w:val="0076372A"/>
    <w:rsid w:val="007639AB"/>
    <w:rsid w:val="00763B77"/>
    <w:rsid w:val="00763C2E"/>
    <w:rsid w:val="00763CE7"/>
    <w:rsid w:val="00763EB3"/>
    <w:rsid w:val="00763EF5"/>
    <w:rsid w:val="00764251"/>
    <w:rsid w:val="00764598"/>
    <w:rsid w:val="0076462D"/>
    <w:rsid w:val="00764795"/>
    <w:rsid w:val="00764995"/>
    <w:rsid w:val="00764BB3"/>
    <w:rsid w:val="007655B1"/>
    <w:rsid w:val="00765751"/>
    <w:rsid w:val="0076597D"/>
    <w:rsid w:val="007659E5"/>
    <w:rsid w:val="00765BC9"/>
    <w:rsid w:val="00765C92"/>
    <w:rsid w:val="00765ED7"/>
    <w:rsid w:val="0076612B"/>
    <w:rsid w:val="007663D5"/>
    <w:rsid w:val="007663E1"/>
    <w:rsid w:val="0076668F"/>
    <w:rsid w:val="007666B4"/>
    <w:rsid w:val="00766786"/>
    <w:rsid w:val="00766A38"/>
    <w:rsid w:val="00766AE5"/>
    <w:rsid w:val="0076702C"/>
    <w:rsid w:val="00767163"/>
    <w:rsid w:val="007679CE"/>
    <w:rsid w:val="00767F6C"/>
    <w:rsid w:val="00770065"/>
    <w:rsid w:val="00770076"/>
    <w:rsid w:val="0077019E"/>
    <w:rsid w:val="00770475"/>
    <w:rsid w:val="0077072F"/>
    <w:rsid w:val="00770A6E"/>
    <w:rsid w:val="00770AD5"/>
    <w:rsid w:val="00770C9A"/>
    <w:rsid w:val="0077108F"/>
    <w:rsid w:val="007710AF"/>
    <w:rsid w:val="007710BE"/>
    <w:rsid w:val="007711BF"/>
    <w:rsid w:val="007711D4"/>
    <w:rsid w:val="0077125C"/>
    <w:rsid w:val="00771739"/>
    <w:rsid w:val="0077187D"/>
    <w:rsid w:val="00771A29"/>
    <w:rsid w:val="00772331"/>
    <w:rsid w:val="00772829"/>
    <w:rsid w:val="00772A4D"/>
    <w:rsid w:val="0077326F"/>
    <w:rsid w:val="0077328F"/>
    <w:rsid w:val="00773DF4"/>
    <w:rsid w:val="0077435E"/>
    <w:rsid w:val="00774467"/>
    <w:rsid w:val="00774B5E"/>
    <w:rsid w:val="00774BFD"/>
    <w:rsid w:val="00774F9F"/>
    <w:rsid w:val="00774FAD"/>
    <w:rsid w:val="0077511D"/>
    <w:rsid w:val="007756F3"/>
    <w:rsid w:val="007757CD"/>
    <w:rsid w:val="00775CC6"/>
    <w:rsid w:val="00776126"/>
    <w:rsid w:val="00776A31"/>
    <w:rsid w:val="00776AD1"/>
    <w:rsid w:val="00776AF4"/>
    <w:rsid w:val="00776BE6"/>
    <w:rsid w:val="00776F02"/>
    <w:rsid w:val="00776F9E"/>
    <w:rsid w:val="00777042"/>
    <w:rsid w:val="007771D8"/>
    <w:rsid w:val="007773A8"/>
    <w:rsid w:val="007773EB"/>
    <w:rsid w:val="0077759A"/>
    <w:rsid w:val="0077780C"/>
    <w:rsid w:val="00777848"/>
    <w:rsid w:val="00777893"/>
    <w:rsid w:val="00777CFB"/>
    <w:rsid w:val="0078029E"/>
    <w:rsid w:val="00780618"/>
    <w:rsid w:val="00780B17"/>
    <w:rsid w:val="00780C81"/>
    <w:rsid w:val="00780CD5"/>
    <w:rsid w:val="0078115E"/>
    <w:rsid w:val="00781248"/>
    <w:rsid w:val="007815E4"/>
    <w:rsid w:val="00781864"/>
    <w:rsid w:val="00781B8D"/>
    <w:rsid w:val="007820AE"/>
    <w:rsid w:val="007820E0"/>
    <w:rsid w:val="007820E8"/>
    <w:rsid w:val="007823F5"/>
    <w:rsid w:val="00782446"/>
    <w:rsid w:val="007824A0"/>
    <w:rsid w:val="00782561"/>
    <w:rsid w:val="00782753"/>
    <w:rsid w:val="00782837"/>
    <w:rsid w:val="007829F1"/>
    <w:rsid w:val="00782A71"/>
    <w:rsid w:val="00782BB1"/>
    <w:rsid w:val="00782F81"/>
    <w:rsid w:val="00783334"/>
    <w:rsid w:val="007838AE"/>
    <w:rsid w:val="00783CC5"/>
    <w:rsid w:val="007840BE"/>
    <w:rsid w:val="00784312"/>
    <w:rsid w:val="00784341"/>
    <w:rsid w:val="007843B3"/>
    <w:rsid w:val="007845C9"/>
    <w:rsid w:val="0078467B"/>
    <w:rsid w:val="007847FF"/>
    <w:rsid w:val="00784F90"/>
    <w:rsid w:val="007852E9"/>
    <w:rsid w:val="00785541"/>
    <w:rsid w:val="007859D4"/>
    <w:rsid w:val="00785A28"/>
    <w:rsid w:val="00785C99"/>
    <w:rsid w:val="00785F68"/>
    <w:rsid w:val="00786266"/>
    <w:rsid w:val="007862E5"/>
    <w:rsid w:val="00786500"/>
    <w:rsid w:val="00786708"/>
    <w:rsid w:val="00786A57"/>
    <w:rsid w:val="00786B4D"/>
    <w:rsid w:val="00786EEB"/>
    <w:rsid w:val="0078761B"/>
    <w:rsid w:val="0078786F"/>
    <w:rsid w:val="00787A41"/>
    <w:rsid w:val="00787DEE"/>
    <w:rsid w:val="00790151"/>
    <w:rsid w:val="0079060A"/>
    <w:rsid w:val="007907CA"/>
    <w:rsid w:val="00790828"/>
    <w:rsid w:val="007909C1"/>
    <w:rsid w:val="00790A59"/>
    <w:rsid w:val="00790B15"/>
    <w:rsid w:val="00790D20"/>
    <w:rsid w:val="00790F49"/>
    <w:rsid w:val="0079101C"/>
    <w:rsid w:val="007910B2"/>
    <w:rsid w:val="0079110C"/>
    <w:rsid w:val="0079159D"/>
    <w:rsid w:val="00791619"/>
    <w:rsid w:val="007916D0"/>
    <w:rsid w:val="00791C08"/>
    <w:rsid w:val="00791CFC"/>
    <w:rsid w:val="00792139"/>
    <w:rsid w:val="007927FA"/>
    <w:rsid w:val="00792A9B"/>
    <w:rsid w:val="00792B2D"/>
    <w:rsid w:val="00792D5E"/>
    <w:rsid w:val="00792E22"/>
    <w:rsid w:val="00792EC3"/>
    <w:rsid w:val="00792FD0"/>
    <w:rsid w:val="007931CB"/>
    <w:rsid w:val="00793248"/>
    <w:rsid w:val="0079328B"/>
    <w:rsid w:val="007933A4"/>
    <w:rsid w:val="00793560"/>
    <w:rsid w:val="00793632"/>
    <w:rsid w:val="007936AB"/>
    <w:rsid w:val="007937BD"/>
    <w:rsid w:val="007938FF"/>
    <w:rsid w:val="007940A5"/>
    <w:rsid w:val="007940F0"/>
    <w:rsid w:val="0079420E"/>
    <w:rsid w:val="0079476E"/>
    <w:rsid w:val="007947EA"/>
    <w:rsid w:val="007948A9"/>
    <w:rsid w:val="007950F6"/>
    <w:rsid w:val="007951A9"/>
    <w:rsid w:val="007951D4"/>
    <w:rsid w:val="00795251"/>
    <w:rsid w:val="0079581A"/>
    <w:rsid w:val="007958C9"/>
    <w:rsid w:val="00795A8C"/>
    <w:rsid w:val="00795CD4"/>
    <w:rsid w:val="0079600D"/>
    <w:rsid w:val="00796231"/>
    <w:rsid w:val="00796304"/>
    <w:rsid w:val="007968A0"/>
    <w:rsid w:val="00796EC1"/>
    <w:rsid w:val="00796F20"/>
    <w:rsid w:val="007976B8"/>
    <w:rsid w:val="00797958"/>
    <w:rsid w:val="00797B19"/>
    <w:rsid w:val="00797B5A"/>
    <w:rsid w:val="00797C46"/>
    <w:rsid w:val="00797D30"/>
    <w:rsid w:val="00797F69"/>
    <w:rsid w:val="007A00D8"/>
    <w:rsid w:val="007A0354"/>
    <w:rsid w:val="007A0C9F"/>
    <w:rsid w:val="007A0DE0"/>
    <w:rsid w:val="007A1013"/>
    <w:rsid w:val="007A1428"/>
    <w:rsid w:val="007A185D"/>
    <w:rsid w:val="007A1989"/>
    <w:rsid w:val="007A19F6"/>
    <w:rsid w:val="007A1DA9"/>
    <w:rsid w:val="007A1F7F"/>
    <w:rsid w:val="007A2163"/>
    <w:rsid w:val="007A23F9"/>
    <w:rsid w:val="007A2419"/>
    <w:rsid w:val="007A287B"/>
    <w:rsid w:val="007A2A78"/>
    <w:rsid w:val="007A2B65"/>
    <w:rsid w:val="007A2C2C"/>
    <w:rsid w:val="007A2EAD"/>
    <w:rsid w:val="007A30D3"/>
    <w:rsid w:val="007A3468"/>
    <w:rsid w:val="007A3558"/>
    <w:rsid w:val="007A3565"/>
    <w:rsid w:val="007A3590"/>
    <w:rsid w:val="007A3693"/>
    <w:rsid w:val="007A372C"/>
    <w:rsid w:val="007A37C5"/>
    <w:rsid w:val="007A395C"/>
    <w:rsid w:val="007A3CFA"/>
    <w:rsid w:val="007A3DC9"/>
    <w:rsid w:val="007A4480"/>
    <w:rsid w:val="007A44F0"/>
    <w:rsid w:val="007A463F"/>
    <w:rsid w:val="007A497B"/>
    <w:rsid w:val="007A4A45"/>
    <w:rsid w:val="007A53E5"/>
    <w:rsid w:val="007A5617"/>
    <w:rsid w:val="007A587B"/>
    <w:rsid w:val="007A5976"/>
    <w:rsid w:val="007A5B16"/>
    <w:rsid w:val="007A5B1E"/>
    <w:rsid w:val="007A5DA1"/>
    <w:rsid w:val="007A5F7A"/>
    <w:rsid w:val="007A62FB"/>
    <w:rsid w:val="007A6398"/>
    <w:rsid w:val="007A6406"/>
    <w:rsid w:val="007A641D"/>
    <w:rsid w:val="007A6733"/>
    <w:rsid w:val="007A685D"/>
    <w:rsid w:val="007A6A9B"/>
    <w:rsid w:val="007A6ABF"/>
    <w:rsid w:val="007A6CFB"/>
    <w:rsid w:val="007A6F5F"/>
    <w:rsid w:val="007A704A"/>
    <w:rsid w:val="007A71CA"/>
    <w:rsid w:val="007A72C3"/>
    <w:rsid w:val="007A733F"/>
    <w:rsid w:val="007A73DA"/>
    <w:rsid w:val="007A7673"/>
    <w:rsid w:val="007A7B8C"/>
    <w:rsid w:val="007A7C4B"/>
    <w:rsid w:val="007A7D0E"/>
    <w:rsid w:val="007A7E41"/>
    <w:rsid w:val="007A7EB7"/>
    <w:rsid w:val="007B0245"/>
    <w:rsid w:val="007B0328"/>
    <w:rsid w:val="007B0352"/>
    <w:rsid w:val="007B06E2"/>
    <w:rsid w:val="007B083F"/>
    <w:rsid w:val="007B0880"/>
    <w:rsid w:val="007B0C8E"/>
    <w:rsid w:val="007B0D01"/>
    <w:rsid w:val="007B0DA1"/>
    <w:rsid w:val="007B0E0D"/>
    <w:rsid w:val="007B0E91"/>
    <w:rsid w:val="007B12D1"/>
    <w:rsid w:val="007B155B"/>
    <w:rsid w:val="007B15D4"/>
    <w:rsid w:val="007B1891"/>
    <w:rsid w:val="007B1B61"/>
    <w:rsid w:val="007B1C29"/>
    <w:rsid w:val="007B1D89"/>
    <w:rsid w:val="007B2085"/>
    <w:rsid w:val="007B2242"/>
    <w:rsid w:val="007B2695"/>
    <w:rsid w:val="007B27DF"/>
    <w:rsid w:val="007B2960"/>
    <w:rsid w:val="007B2AA2"/>
    <w:rsid w:val="007B2B2D"/>
    <w:rsid w:val="007B2BFE"/>
    <w:rsid w:val="007B2FDC"/>
    <w:rsid w:val="007B3204"/>
    <w:rsid w:val="007B38A0"/>
    <w:rsid w:val="007B38B7"/>
    <w:rsid w:val="007B3E54"/>
    <w:rsid w:val="007B458F"/>
    <w:rsid w:val="007B45C4"/>
    <w:rsid w:val="007B45CC"/>
    <w:rsid w:val="007B478C"/>
    <w:rsid w:val="007B47D6"/>
    <w:rsid w:val="007B4E8A"/>
    <w:rsid w:val="007B4F45"/>
    <w:rsid w:val="007B4F7B"/>
    <w:rsid w:val="007B583D"/>
    <w:rsid w:val="007B5853"/>
    <w:rsid w:val="007B5990"/>
    <w:rsid w:val="007B59D9"/>
    <w:rsid w:val="007B5A8A"/>
    <w:rsid w:val="007B617F"/>
    <w:rsid w:val="007B62BA"/>
    <w:rsid w:val="007B64E8"/>
    <w:rsid w:val="007B64F1"/>
    <w:rsid w:val="007B6684"/>
    <w:rsid w:val="007B66C8"/>
    <w:rsid w:val="007B66CA"/>
    <w:rsid w:val="007B6803"/>
    <w:rsid w:val="007B6957"/>
    <w:rsid w:val="007B6B21"/>
    <w:rsid w:val="007B6B59"/>
    <w:rsid w:val="007B7024"/>
    <w:rsid w:val="007B773F"/>
    <w:rsid w:val="007B7B15"/>
    <w:rsid w:val="007B7B8E"/>
    <w:rsid w:val="007B7BD4"/>
    <w:rsid w:val="007B7C7E"/>
    <w:rsid w:val="007C0390"/>
    <w:rsid w:val="007C0DC0"/>
    <w:rsid w:val="007C0EEB"/>
    <w:rsid w:val="007C14A2"/>
    <w:rsid w:val="007C1639"/>
    <w:rsid w:val="007C1ECB"/>
    <w:rsid w:val="007C1F97"/>
    <w:rsid w:val="007C26FF"/>
    <w:rsid w:val="007C2C89"/>
    <w:rsid w:val="007C2CD9"/>
    <w:rsid w:val="007C2EA0"/>
    <w:rsid w:val="007C300E"/>
    <w:rsid w:val="007C328D"/>
    <w:rsid w:val="007C336F"/>
    <w:rsid w:val="007C3372"/>
    <w:rsid w:val="007C3999"/>
    <w:rsid w:val="007C3D9A"/>
    <w:rsid w:val="007C3FB1"/>
    <w:rsid w:val="007C40C8"/>
    <w:rsid w:val="007C418A"/>
    <w:rsid w:val="007C41B1"/>
    <w:rsid w:val="007C424C"/>
    <w:rsid w:val="007C4283"/>
    <w:rsid w:val="007C44B7"/>
    <w:rsid w:val="007C48BE"/>
    <w:rsid w:val="007C4A6D"/>
    <w:rsid w:val="007C4BCA"/>
    <w:rsid w:val="007C4C71"/>
    <w:rsid w:val="007C4C87"/>
    <w:rsid w:val="007C4D9C"/>
    <w:rsid w:val="007C4EE9"/>
    <w:rsid w:val="007C51A6"/>
    <w:rsid w:val="007C51B4"/>
    <w:rsid w:val="007C5540"/>
    <w:rsid w:val="007C5A82"/>
    <w:rsid w:val="007C5AA0"/>
    <w:rsid w:val="007C5DCD"/>
    <w:rsid w:val="007C5F89"/>
    <w:rsid w:val="007C6134"/>
    <w:rsid w:val="007C6203"/>
    <w:rsid w:val="007C6317"/>
    <w:rsid w:val="007C667B"/>
    <w:rsid w:val="007C66BC"/>
    <w:rsid w:val="007C6AAD"/>
    <w:rsid w:val="007C6B99"/>
    <w:rsid w:val="007C6BD8"/>
    <w:rsid w:val="007C6C21"/>
    <w:rsid w:val="007C7192"/>
    <w:rsid w:val="007C7524"/>
    <w:rsid w:val="007C776C"/>
    <w:rsid w:val="007C7829"/>
    <w:rsid w:val="007C7A8B"/>
    <w:rsid w:val="007C7E6C"/>
    <w:rsid w:val="007D00F3"/>
    <w:rsid w:val="007D0373"/>
    <w:rsid w:val="007D0481"/>
    <w:rsid w:val="007D06D7"/>
    <w:rsid w:val="007D09D6"/>
    <w:rsid w:val="007D0C42"/>
    <w:rsid w:val="007D10AB"/>
    <w:rsid w:val="007D189D"/>
    <w:rsid w:val="007D19A7"/>
    <w:rsid w:val="007D1AEF"/>
    <w:rsid w:val="007D1B2D"/>
    <w:rsid w:val="007D1FEF"/>
    <w:rsid w:val="007D2593"/>
    <w:rsid w:val="007D2627"/>
    <w:rsid w:val="007D2670"/>
    <w:rsid w:val="007D2680"/>
    <w:rsid w:val="007D2879"/>
    <w:rsid w:val="007D2899"/>
    <w:rsid w:val="007D2ECF"/>
    <w:rsid w:val="007D301C"/>
    <w:rsid w:val="007D3094"/>
    <w:rsid w:val="007D30B7"/>
    <w:rsid w:val="007D3672"/>
    <w:rsid w:val="007D37FB"/>
    <w:rsid w:val="007D396E"/>
    <w:rsid w:val="007D3AFA"/>
    <w:rsid w:val="007D3CFC"/>
    <w:rsid w:val="007D4209"/>
    <w:rsid w:val="007D43FA"/>
    <w:rsid w:val="007D4479"/>
    <w:rsid w:val="007D4710"/>
    <w:rsid w:val="007D49AB"/>
    <w:rsid w:val="007D4A52"/>
    <w:rsid w:val="007D4C00"/>
    <w:rsid w:val="007D4E2C"/>
    <w:rsid w:val="007D5100"/>
    <w:rsid w:val="007D517D"/>
    <w:rsid w:val="007D556C"/>
    <w:rsid w:val="007D57F3"/>
    <w:rsid w:val="007D5936"/>
    <w:rsid w:val="007D5E5C"/>
    <w:rsid w:val="007D5F82"/>
    <w:rsid w:val="007D6063"/>
    <w:rsid w:val="007D6450"/>
    <w:rsid w:val="007D65AB"/>
    <w:rsid w:val="007D66EA"/>
    <w:rsid w:val="007D67F8"/>
    <w:rsid w:val="007D702D"/>
    <w:rsid w:val="007D714E"/>
    <w:rsid w:val="007D71D0"/>
    <w:rsid w:val="007D729E"/>
    <w:rsid w:val="007D75DF"/>
    <w:rsid w:val="007D78F3"/>
    <w:rsid w:val="007D790E"/>
    <w:rsid w:val="007D7A7B"/>
    <w:rsid w:val="007D7B2C"/>
    <w:rsid w:val="007D7CFB"/>
    <w:rsid w:val="007E01A8"/>
    <w:rsid w:val="007E04BA"/>
    <w:rsid w:val="007E0750"/>
    <w:rsid w:val="007E0E59"/>
    <w:rsid w:val="007E1077"/>
    <w:rsid w:val="007E14FB"/>
    <w:rsid w:val="007E15AD"/>
    <w:rsid w:val="007E1630"/>
    <w:rsid w:val="007E18AB"/>
    <w:rsid w:val="007E18FD"/>
    <w:rsid w:val="007E1AE2"/>
    <w:rsid w:val="007E1BFE"/>
    <w:rsid w:val="007E1C69"/>
    <w:rsid w:val="007E1EA7"/>
    <w:rsid w:val="007E25ED"/>
    <w:rsid w:val="007E278B"/>
    <w:rsid w:val="007E2970"/>
    <w:rsid w:val="007E2A12"/>
    <w:rsid w:val="007E2A9B"/>
    <w:rsid w:val="007E2BC0"/>
    <w:rsid w:val="007E2BEA"/>
    <w:rsid w:val="007E2DDA"/>
    <w:rsid w:val="007E34F5"/>
    <w:rsid w:val="007E34FE"/>
    <w:rsid w:val="007E3583"/>
    <w:rsid w:val="007E3973"/>
    <w:rsid w:val="007E4466"/>
    <w:rsid w:val="007E4574"/>
    <w:rsid w:val="007E485B"/>
    <w:rsid w:val="007E4ED6"/>
    <w:rsid w:val="007E5209"/>
    <w:rsid w:val="007E5479"/>
    <w:rsid w:val="007E54CE"/>
    <w:rsid w:val="007E5875"/>
    <w:rsid w:val="007E5E92"/>
    <w:rsid w:val="007E5F94"/>
    <w:rsid w:val="007E6113"/>
    <w:rsid w:val="007E6524"/>
    <w:rsid w:val="007E67D2"/>
    <w:rsid w:val="007E6E36"/>
    <w:rsid w:val="007E7137"/>
    <w:rsid w:val="007E719C"/>
    <w:rsid w:val="007E7995"/>
    <w:rsid w:val="007E7B7A"/>
    <w:rsid w:val="007F05AD"/>
    <w:rsid w:val="007F0A0B"/>
    <w:rsid w:val="007F0E33"/>
    <w:rsid w:val="007F0E6D"/>
    <w:rsid w:val="007F1492"/>
    <w:rsid w:val="007F14F7"/>
    <w:rsid w:val="007F1587"/>
    <w:rsid w:val="007F163E"/>
    <w:rsid w:val="007F170C"/>
    <w:rsid w:val="007F1D82"/>
    <w:rsid w:val="007F2084"/>
    <w:rsid w:val="007F2183"/>
    <w:rsid w:val="007F23B1"/>
    <w:rsid w:val="007F23FE"/>
    <w:rsid w:val="007F263F"/>
    <w:rsid w:val="007F26EF"/>
    <w:rsid w:val="007F2CBB"/>
    <w:rsid w:val="007F36F6"/>
    <w:rsid w:val="007F37CB"/>
    <w:rsid w:val="007F386B"/>
    <w:rsid w:val="007F38E1"/>
    <w:rsid w:val="007F396E"/>
    <w:rsid w:val="007F3A47"/>
    <w:rsid w:val="007F3D9A"/>
    <w:rsid w:val="007F3E62"/>
    <w:rsid w:val="007F3EA9"/>
    <w:rsid w:val="007F46CF"/>
    <w:rsid w:val="007F474F"/>
    <w:rsid w:val="007F4911"/>
    <w:rsid w:val="007F4A0B"/>
    <w:rsid w:val="007F4BEC"/>
    <w:rsid w:val="007F4DC9"/>
    <w:rsid w:val="007F4E4E"/>
    <w:rsid w:val="007F4EEE"/>
    <w:rsid w:val="007F4FEE"/>
    <w:rsid w:val="007F5202"/>
    <w:rsid w:val="007F52A8"/>
    <w:rsid w:val="007F53F9"/>
    <w:rsid w:val="007F54D5"/>
    <w:rsid w:val="007F5D1A"/>
    <w:rsid w:val="007F5F95"/>
    <w:rsid w:val="007F61BE"/>
    <w:rsid w:val="007F62E2"/>
    <w:rsid w:val="007F6604"/>
    <w:rsid w:val="007F67E9"/>
    <w:rsid w:val="007F68AB"/>
    <w:rsid w:val="007F6DA5"/>
    <w:rsid w:val="007F7056"/>
    <w:rsid w:val="007F74FC"/>
    <w:rsid w:val="007F753C"/>
    <w:rsid w:val="007F774C"/>
    <w:rsid w:val="007F775B"/>
    <w:rsid w:val="007F783A"/>
    <w:rsid w:val="007F7C11"/>
    <w:rsid w:val="007F7C7B"/>
    <w:rsid w:val="007F7D2C"/>
    <w:rsid w:val="008004F5"/>
    <w:rsid w:val="008007DF"/>
    <w:rsid w:val="00800A42"/>
    <w:rsid w:val="00800D54"/>
    <w:rsid w:val="00800D92"/>
    <w:rsid w:val="00800FCE"/>
    <w:rsid w:val="008010FB"/>
    <w:rsid w:val="0080125E"/>
    <w:rsid w:val="008017F1"/>
    <w:rsid w:val="0080188F"/>
    <w:rsid w:val="008021A2"/>
    <w:rsid w:val="008023DA"/>
    <w:rsid w:val="008027E6"/>
    <w:rsid w:val="00802AF5"/>
    <w:rsid w:val="008030CC"/>
    <w:rsid w:val="008032CF"/>
    <w:rsid w:val="008033CE"/>
    <w:rsid w:val="00803807"/>
    <w:rsid w:val="00803C71"/>
    <w:rsid w:val="00803E60"/>
    <w:rsid w:val="008040A2"/>
    <w:rsid w:val="0080414D"/>
    <w:rsid w:val="00804361"/>
    <w:rsid w:val="008044A0"/>
    <w:rsid w:val="00804562"/>
    <w:rsid w:val="00804591"/>
    <w:rsid w:val="00804632"/>
    <w:rsid w:val="008047EA"/>
    <w:rsid w:val="00804B35"/>
    <w:rsid w:val="00804BC8"/>
    <w:rsid w:val="00804E63"/>
    <w:rsid w:val="00804F59"/>
    <w:rsid w:val="00804F92"/>
    <w:rsid w:val="008050F7"/>
    <w:rsid w:val="008051F0"/>
    <w:rsid w:val="00805361"/>
    <w:rsid w:val="008054D9"/>
    <w:rsid w:val="008057D9"/>
    <w:rsid w:val="00805824"/>
    <w:rsid w:val="00805A91"/>
    <w:rsid w:val="00805AD6"/>
    <w:rsid w:val="00805B47"/>
    <w:rsid w:val="00806688"/>
    <w:rsid w:val="00806852"/>
    <w:rsid w:val="008069B9"/>
    <w:rsid w:val="00806B36"/>
    <w:rsid w:val="00806B6B"/>
    <w:rsid w:val="00806D5D"/>
    <w:rsid w:val="00807015"/>
    <w:rsid w:val="008070A1"/>
    <w:rsid w:val="00807146"/>
    <w:rsid w:val="008071A8"/>
    <w:rsid w:val="008072C6"/>
    <w:rsid w:val="00807575"/>
    <w:rsid w:val="00807A3E"/>
    <w:rsid w:val="00807D13"/>
    <w:rsid w:val="00807DFA"/>
    <w:rsid w:val="00807E1C"/>
    <w:rsid w:val="00810338"/>
    <w:rsid w:val="0081045F"/>
    <w:rsid w:val="008106B0"/>
    <w:rsid w:val="0081070B"/>
    <w:rsid w:val="00810730"/>
    <w:rsid w:val="00810743"/>
    <w:rsid w:val="00810844"/>
    <w:rsid w:val="0081090D"/>
    <w:rsid w:val="00810BDF"/>
    <w:rsid w:val="00810D48"/>
    <w:rsid w:val="008113FE"/>
    <w:rsid w:val="00811513"/>
    <w:rsid w:val="00811666"/>
    <w:rsid w:val="00811AA0"/>
    <w:rsid w:val="00811D3D"/>
    <w:rsid w:val="008121A9"/>
    <w:rsid w:val="00812282"/>
    <w:rsid w:val="00812425"/>
    <w:rsid w:val="00812632"/>
    <w:rsid w:val="00812812"/>
    <w:rsid w:val="00812C9C"/>
    <w:rsid w:val="00812FA6"/>
    <w:rsid w:val="00813276"/>
    <w:rsid w:val="0081341A"/>
    <w:rsid w:val="0081368F"/>
    <w:rsid w:val="00813A1C"/>
    <w:rsid w:val="00813B7C"/>
    <w:rsid w:val="008141EC"/>
    <w:rsid w:val="008143E0"/>
    <w:rsid w:val="00814484"/>
    <w:rsid w:val="00814726"/>
    <w:rsid w:val="008148E4"/>
    <w:rsid w:val="0081490F"/>
    <w:rsid w:val="00814A70"/>
    <w:rsid w:val="00814C93"/>
    <w:rsid w:val="008150E9"/>
    <w:rsid w:val="0081517E"/>
    <w:rsid w:val="008151A1"/>
    <w:rsid w:val="008154A2"/>
    <w:rsid w:val="008154A6"/>
    <w:rsid w:val="0081564F"/>
    <w:rsid w:val="008157F1"/>
    <w:rsid w:val="008159F9"/>
    <w:rsid w:val="00815BC0"/>
    <w:rsid w:val="00815C44"/>
    <w:rsid w:val="00816193"/>
    <w:rsid w:val="008161F5"/>
    <w:rsid w:val="008165C8"/>
    <w:rsid w:val="00816686"/>
    <w:rsid w:val="008167E7"/>
    <w:rsid w:val="0081691D"/>
    <w:rsid w:val="0081692D"/>
    <w:rsid w:val="00816C14"/>
    <w:rsid w:val="00816EC2"/>
    <w:rsid w:val="008170C8"/>
    <w:rsid w:val="0081721B"/>
    <w:rsid w:val="00817594"/>
    <w:rsid w:val="0081770C"/>
    <w:rsid w:val="00817CA5"/>
    <w:rsid w:val="00817E85"/>
    <w:rsid w:val="008202E5"/>
    <w:rsid w:val="0082042D"/>
    <w:rsid w:val="00820572"/>
    <w:rsid w:val="00820878"/>
    <w:rsid w:val="008208A1"/>
    <w:rsid w:val="00820A29"/>
    <w:rsid w:val="00820DDD"/>
    <w:rsid w:val="00821189"/>
    <w:rsid w:val="008213E2"/>
    <w:rsid w:val="008216D9"/>
    <w:rsid w:val="00821935"/>
    <w:rsid w:val="00821A90"/>
    <w:rsid w:val="00821C86"/>
    <w:rsid w:val="00821D15"/>
    <w:rsid w:val="008220EC"/>
    <w:rsid w:val="0082265D"/>
    <w:rsid w:val="008227CD"/>
    <w:rsid w:val="00822EAD"/>
    <w:rsid w:val="00823003"/>
    <w:rsid w:val="008230C7"/>
    <w:rsid w:val="008231CA"/>
    <w:rsid w:val="008236E1"/>
    <w:rsid w:val="008239C6"/>
    <w:rsid w:val="00823E32"/>
    <w:rsid w:val="00823EDC"/>
    <w:rsid w:val="008241E2"/>
    <w:rsid w:val="00824388"/>
    <w:rsid w:val="00824458"/>
    <w:rsid w:val="00824471"/>
    <w:rsid w:val="008249F7"/>
    <w:rsid w:val="00824B39"/>
    <w:rsid w:val="00824B74"/>
    <w:rsid w:val="00824E94"/>
    <w:rsid w:val="0082505C"/>
    <w:rsid w:val="00825340"/>
    <w:rsid w:val="00825380"/>
    <w:rsid w:val="0082573F"/>
    <w:rsid w:val="00825745"/>
    <w:rsid w:val="008258B6"/>
    <w:rsid w:val="008261A1"/>
    <w:rsid w:val="00826241"/>
    <w:rsid w:val="0082636A"/>
    <w:rsid w:val="008263CB"/>
    <w:rsid w:val="00826682"/>
    <w:rsid w:val="0082669E"/>
    <w:rsid w:val="00826917"/>
    <w:rsid w:val="00826D7F"/>
    <w:rsid w:val="00827027"/>
    <w:rsid w:val="00827705"/>
    <w:rsid w:val="00827A07"/>
    <w:rsid w:val="00827A31"/>
    <w:rsid w:val="00827B43"/>
    <w:rsid w:val="00827C2D"/>
    <w:rsid w:val="00827C7E"/>
    <w:rsid w:val="00827E2C"/>
    <w:rsid w:val="00830307"/>
    <w:rsid w:val="008304C3"/>
    <w:rsid w:val="00830B9F"/>
    <w:rsid w:val="00830BEB"/>
    <w:rsid w:val="00830E6C"/>
    <w:rsid w:val="00831441"/>
    <w:rsid w:val="008314F4"/>
    <w:rsid w:val="00831813"/>
    <w:rsid w:val="00831BBD"/>
    <w:rsid w:val="00831E30"/>
    <w:rsid w:val="00832229"/>
    <w:rsid w:val="0083259D"/>
    <w:rsid w:val="008326EE"/>
    <w:rsid w:val="008328E0"/>
    <w:rsid w:val="00832B12"/>
    <w:rsid w:val="008331A9"/>
    <w:rsid w:val="0083347C"/>
    <w:rsid w:val="00833634"/>
    <w:rsid w:val="0083389C"/>
    <w:rsid w:val="008338B6"/>
    <w:rsid w:val="008338F3"/>
    <w:rsid w:val="00833A39"/>
    <w:rsid w:val="00833B50"/>
    <w:rsid w:val="00833F53"/>
    <w:rsid w:val="00833FFD"/>
    <w:rsid w:val="008342D8"/>
    <w:rsid w:val="0083449C"/>
    <w:rsid w:val="00834A3C"/>
    <w:rsid w:val="00834C65"/>
    <w:rsid w:val="00834E37"/>
    <w:rsid w:val="008353D9"/>
    <w:rsid w:val="008353E9"/>
    <w:rsid w:val="00835528"/>
    <w:rsid w:val="008356B3"/>
    <w:rsid w:val="008359AD"/>
    <w:rsid w:val="00835EC9"/>
    <w:rsid w:val="00835F3A"/>
    <w:rsid w:val="008361A3"/>
    <w:rsid w:val="0083646C"/>
    <w:rsid w:val="008366C7"/>
    <w:rsid w:val="00836924"/>
    <w:rsid w:val="00836985"/>
    <w:rsid w:val="00836B4A"/>
    <w:rsid w:val="008370B8"/>
    <w:rsid w:val="008372BD"/>
    <w:rsid w:val="00837C52"/>
    <w:rsid w:val="00837FA2"/>
    <w:rsid w:val="00840097"/>
    <w:rsid w:val="00840673"/>
    <w:rsid w:val="008406EA"/>
    <w:rsid w:val="00840914"/>
    <w:rsid w:val="00840C1A"/>
    <w:rsid w:val="00840C64"/>
    <w:rsid w:val="00840D96"/>
    <w:rsid w:val="00841388"/>
    <w:rsid w:val="00841489"/>
    <w:rsid w:val="00841700"/>
    <w:rsid w:val="00841C9C"/>
    <w:rsid w:val="00841E81"/>
    <w:rsid w:val="00841E93"/>
    <w:rsid w:val="00841EEA"/>
    <w:rsid w:val="00841EFB"/>
    <w:rsid w:val="00841F44"/>
    <w:rsid w:val="00841F91"/>
    <w:rsid w:val="008422EC"/>
    <w:rsid w:val="008425B1"/>
    <w:rsid w:val="00842655"/>
    <w:rsid w:val="00842792"/>
    <w:rsid w:val="00842C82"/>
    <w:rsid w:val="00843346"/>
    <w:rsid w:val="00843369"/>
    <w:rsid w:val="008435FA"/>
    <w:rsid w:val="008436D7"/>
    <w:rsid w:val="00843A2E"/>
    <w:rsid w:val="00843AFA"/>
    <w:rsid w:val="00843BA5"/>
    <w:rsid w:val="00843D1D"/>
    <w:rsid w:val="00843D5C"/>
    <w:rsid w:val="00843F91"/>
    <w:rsid w:val="008440FE"/>
    <w:rsid w:val="0084421D"/>
    <w:rsid w:val="00844372"/>
    <w:rsid w:val="008450E2"/>
    <w:rsid w:val="008450F1"/>
    <w:rsid w:val="00845586"/>
    <w:rsid w:val="00845792"/>
    <w:rsid w:val="00845874"/>
    <w:rsid w:val="008459D7"/>
    <w:rsid w:val="00845B5C"/>
    <w:rsid w:val="00846119"/>
    <w:rsid w:val="00846323"/>
    <w:rsid w:val="008465DD"/>
    <w:rsid w:val="0084666B"/>
    <w:rsid w:val="00846A3C"/>
    <w:rsid w:val="00846AD8"/>
    <w:rsid w:val="00846D7E"/>
    <w:rsid w:val="008474E3"/>
    <w:rsid w:val="00847BA8"/>
    <w:rsid w:val="00847D00"/>
    <w:rsid w:val="00847F1E"/>
    <w:rsid w:val="00850056"/>
    <w:rsid w:val="008502F3"/>
    <w:rsid w:val="0085031E"/>
    <w:rsid w:val="008504D3"/>
    <w:rsid w:val="008509DE"/>
    <w:rsid w:val="00850C6B"/>
    <w:rsid w:val="00850C72"/>
    <w:rsid w:val="00850F12"/>
    <w:rsid w:val="008510B2"/>
    <w:rsid w:val="00851585"/>
    <w:rsid w:val="00851604"/>
    <w:rsid w:val="008517D7"/>
    <w:rsid w:val="00851A55"/>
    <w:rsid w:val="00851BFB"/>
    <w:rsid w:val="00851E0C"/>
    <w:rsid w:val="00851ED8"/>
    <w:rsid w:val="008521AA"/>
    <w:rsid w:val="008521FB"/>
    <w:rsid w:val="0085221E"/>
    <w:rsid w:val="008523F2"/>
    <w:rsid w:val="0085251D"/>
    <w:rsid w:val="00852707"/>
    <w:rsid w:val="008527ED"/>
    <w:rsid w:val="00852AA2"/>
    <w:rsid w:val="00852EAC"/>
    <w:rsid w:val="0085303D"/>
    <w:rsid w:val="008532DD"/>
    <w:rsid w:val="008535B5"/>
    <w:rsid w:val="008537F7"/>
    <w:rsid w:val="00853801"/>
    <w:rsid w:val="0085429A"/>
    <w:rsid w:val="008546BE"/>
    <w:rsid w:val="008547A4"/>
    <w:rsid w:val="00854A0C"/>
    <w:rsid w:val="00854A50"/>
    <w:rsid w:val="00854D83"/>
    <w:rsid w:val="00855CD6"/>
    <w:rsid w:val="00855D9F"/>
    <w:rsid w:val="00856074"/>
    <w:rsid w:val="008561E5"/>
    <w:rsid w:val="0085675B"/>
    <w:rsid w:val="00856A40"/>
    <w:rsid w:val="00856A88"/>
    <w:rsid w:val="00856ADB"/>
    <w:rsid w:val="00856D3A"/>
    <w:rsid w:val="00856E3B"/>
    <w:rsid w:val="00856F1C"/>
    <w:rsid w:val="008574D7"/>
    <w:rsid w:val="008576E0"/>
    <w:rsid w:val="0085780B"/>
    <w:rsid w:val="00857949"/>
    <w:rsid w:val="00857DF0"/>
    <w:rsid w:val="00857E55"/>
    <w:rsid w:val="00857F4B"/>
    <w:rsid w:val="008600CE"/>
    <w:rsid w:val="00860170"/>
    <w:rsid w:val="0086020C"/>
    <w:rsid w:val="00860288"/>
    <w:rsid w:val="00860468"/>
    <w:rsid w:val="008604D7"/>
    <w:rsid w:val="008607CB"/>
    <w:rsid w:val="00860AD3"/>
    <w:rsid w:val="00860B02"/>
    <w:rsid w:val="00860B62"/>
    <w:rsid w:val="0086105D"/>
    <w:rsid w:val="008611A4"/>
    <w:rsid w:val="008618F2"/>
    <w:rsid w:val="008621BF"/>
    <w:rsid w:val="00862469"/>
    <w:rsid w:val="00862DD7"/>
    <w:rsid w:val="00862FFA"/>
    <w:rsid w:val="00863125"/>
    <w:rsid w:val="00863602"/>
    <w:rsid w:val="0086375A"/>
    <w:rsid w:val="00863A92"/>
    <w:rsid w:val="00863E11"/>
    <w:rsid w:val="00863E56"/>
    <w:rsid w:val="008644EE"/>
    <w:rsid w:val="00864659"/>
    <w:rsid w:val="00864664"/>
    <w:rsid w:val="00864B6E"/>
    <w:rsid w:val="00864BFD"/>
    <w:rsid w:val="00864DE7"/>
    <w:rsid w:val="008652FA"/>
    <w:rsid w:val="00865459"/>
    <w:rsid w:val="00865674"/>
    <w:rsid w:val="00865BD3"/>
    <w:rsid w:val="00865CFE"/>
    <w:rsid w:val="00865DB3"/>
    <w:rsid w:val="00865F64"/>
    <w:rsid w:val="008660BB"/>
    <w:rsid w:val="0086618D"/>
    <w:rsid w:val="008667A3"/>
    <w:rsid w:val="00866BE3"/>
    <w:rsid w:val="00866CEA"/>
    <w:rsid w:val="00866D61"/>
    <w:rsid w:val="00867144"/>
    <w:rsid w:val="008672AD"/>
    <w:rsid w:val="008675BC"/>
    <w:rsid w:val="008677B4"/>
    <w:rsid w:val="00867B97"/>
    <w:rsid w:val="00867C3A"/>
    <w:rsid w:val="00867C6F"/>
    <w:rsid w:val="00867DF0"/>
    <w:rsid w:val="00867FF2"/>
    <w:rsid w:val="008700B1"/>
    <w:rsid w:val="008700DA"/>
    <w:rsid w:val="0087073F"/>
    <w:rsid w:val="00870978"/>
    <w:rsid w:val="00870D58"/>
    <w:rsid w:val="00870F20"/>
    <w:rsid w:val="00871381"/>
    <w:rsid w:val="008719C2"/>
    <w:rsid w:val="00871AC7"/>
    <w:rsid w:val="00871F91"/>
    <w:rsid w:val="00871FEA"/>
    <w:rsid w:val="00872649"/>
    <w:rsid w:val="0087277A"/>
    <w:rsid w:val="00872A47"/>
    <w:rsid w:val="00872EC3"/>
    <w:rsid w:val="00872F15"/>
    <w:rsid w:val="00873111"/>
    <w:rsid w:val="008735F6"/>
    <w:rsid w:val="008736E2"/>
    <w:rsid w:val="00873D32"/>
    <w:rsid w:val="00873DFA"/>
    <w:rsid w:val="008741AC"/>
    <w:rsid w:val="0087430C"/>
    <w:rsid w:val="00874327"/>
    <w:rsid w:val="0087436A"/>
    <w:rsid w:val="008744BE"/>
    <w:rsid w:val="008744FF"/>
    <w:rsid w:val="00874565"/>
    <w:rsid w:val="008745B2"/>
    <w:rsid w:val="008747E6"/>
    <w:rsid w:val="008748E9"/>
    <w:rsid w:val="00874A41"/>
    <w:rsid w:val="00874C7D"/>
    <w:rsid w:val="00874D47"/>
    <w:rsid w:val="00874D6A"/>
    <w:rsid w:val="00874E19"/>
    <w:rsid w:val="00874EA4"/>
    <w:rsid w:val="0087511D"/>
    <w:rsid w:val="008751C3"/>
    <w:rsid w:val="00875277"/>
    <w:rsid w:val="008756E4"/>
    <w:rsid w:val="00875741"/>
    <w:rsid w:val="008760FB"/>
    <w:rsid w:val="008764A1"/>
    <w:rsid w:val="0087657E"/>
    <w:rsid w:val="0087662C"/>
    <w:rsid w:val="0087677D"/>
    <w:rsid w:val="00876AB8"/>
    <w:rsid w:val="00876B1C"/>
    <w:rsid w:val="00876F94"/>
    <w:rsid w:val="00877087"/>
    <w:rsid w:val="0087715E"/>
    <w:rsid w:val="00877247"/>
    <w:rsid w:val="00877341"/>
    <w:rsid w:val="00877426"/>
    <w:rsid w:val="008775B0"/>
    <w:rsid w:val="00877A87"/>
    <w:rsid w:val="008801AE"/>
    <w:rsid w:val="00880AA3"/>
    <w:rsid w:val="00880C59"/>
    <w:rsid w:val="00880E39"/>
    <w:rsid w:val="00881098"/>
    <w:rsid w:val="0088127C"/>
    <w:rsid w:val="0088130E"/>
    <w:rsid w:val="008814FB"/>
    <w:rsid w:val="00881556"/>
    <w:rsid w:val="00881A49"/>
    <w:rsid w:val="00881C22"/>
    <w:rsid w:val="00881C5F"/>
    <w:rsid w:val="00881E8E"/>
    <w:rsid w:val="008821F5"/>
    <w:rsid w:val="008822AD"/>
    <w:rsid w:val="00882564"/>
    <w:rsid w:val="008825DF"/>
    <w:rsid w:val="00882755"/>
    <w:rsid w:val="00882BDA"/>
    <w:rsid w:val="00882C44"/>
    <w:rsid w:val="00882C94"/>
    <w:rsid w:val="00882CC9"/>
    <w:rsid w:val="00882D64"/>
    <w:rsid w:val="00882D99"/>
    <w:rsid w:val="00882EB5"/>
    <w:rsid w:val="008830C7"/>
    <w:rsid w:val="0088330C"/>
    <w:rsid w:val="008833C9"/>
    <w:rsid w:val="00883592"/>
    <w:rsid w:val="0088359E"/>
    <w:rsid w:val="008835E6"/>
    <w:rsid w:val="0088365C"/>
    <w:rsid w:val="00883B6E"/>
    <w:rsid w:val="00883D52"/>
    <w:rsid w:val="00883D75"/>
    <w:rsid w:val="0088421C"/>
    <w:rsid w:val="00884439"/>
    <w:rsid w:val="0088445B"/>
    <w:rsid w:val="0088449E"/>
    <w:rsid w:val="0088456D"/>
    <w:rsid w:val="00884661"/>
    <w:rsid w:val="00884756"/>
    <w:rsid w:val="0088497A"/>
    <w:rsid w:val="00884C98"/>
    <w:rsid w:val="00884D8E"/>
    <w:rsid w:val="0088516F"/>
    <w:rsid w:val="00885258"/>
    <w:rsid w:val="0088543F"/>
    <w:rsid w:val="0088563A"/>
    <w:rsid w:val="00885829"/>
    <w:rsid w:val="00885899"/>
    <w:rsid w:val="008858EF"/>
    <w:rsid w:val="008859A5"/>
    <w:rsid w:val="00885E70"/>
    <w:rsid w:val="00885EF4"/>
    <w:rsid w:val="008861A8"/>
    <w:rsid w:val="00886A7B"/>
    <w:rsid w:val="00886B74"/>
    <w:rsid w:val="00886E11"/>
    <w:rsid w:val="0088739B"/>
    <w:rsid w:val="008875EB"/>
    <w:rsid w:val="0088773D"/>
    <w:rsid w:val="0088792A"/>
    <w:rsid w:val="00887A8F"/>
    <w:rsid w:val="00887C53"/>
    <w:rsid w:val="00887E6C"/>
    <w:rsid w:val="00890074"/>
    <w:rsid w:val="008902D1"/>
    <w:rsid w:val="00890359"/>
    <w:rsid w:val="00890838"/>
    <w:rsid w:val="0089087D"/>
    <w:rsid w:val="00890919"/>
    <w:rsid w:val="00890B44"/>
    <w:rsid w:val="00890D5F"/>
    <w:rsid w:val="00890D68"/>
    <w:rsid w:val="00891033"/>
    <w:rsid w:val="00891508"/>
    <w:rsid w:val="00891761"/>
    <w:rsid w:val="008919B4"/>
    <w:rsid w:val="008919EF"/>
    <w:rsid w:val="00891A36"/>
    <w:rsid w:val="00891AF6"/>
    <w:rsid w:val="00891BC3"/>
    <w:rsid w:val="00891D46"/>
    <w:rsid w:val="00891DBD"/>
    <w:rsid w:val="0089234A"/>
    <w:rsid w:val="00893138"/>
    <w:rsid w:val="0089339B"/>
    <w:rsid w:val="008937C8"/>
    <w:rsid w:val="008938CD"/>
    <w:rsid w:val="0089392D"/>
    <w:rsid w:val="00893D5B"/>
    <w:rsid w:val="008940FD"/>
    <w:rsid w:val="00894639"/>
    <w:rsid w:val="00894B2E"/>
    <w:rsid w:val="00894C8F"/>
    <w:rsid w:val="00894D7E"/>
    <w:rsid w:val="00894E3C"/>
    <w:rsid w:val="008950D6"/>
    <w:rsid w:val="008950F6"/>
    <w:rsid w:val="008954D4"/>
    <w:rsid w:val="008958B8"/>
    <w:rsid w:val="00895E36"/>
    <w:rsid w:val="00895E8B"/>
    <w:rsid w:val="00896221"/>
    <w:rsid w:val="008962E9"/>
    <w:rsid w:val="00896353"/>
    <w:rsid w:val="0089640A"/>
    <w:rsid w:val="0089641B"/>
    <w:rsid w:val="008967C4"/>
    <w:rsid w:val="0089697A"/>
    <w:rsid w:val="008969BB"/>
    <w:rsid w:val="00896E6A"/>
    <w:rsid w:val="00896EE5"/>
    <w:rsid w:val="0089719D"/>
    <w:rsid w:val="0089723E"/>
    <w:rsid w:val="00897802"/>
    <w:rsid w:val="00897B59"/>
    <w:rsid w:val="00897D31"/>
    <w:rsid w:val="00897D42"/>
    <w:rsid w:val="00897F58"/>
    <w:rsid w:val="008A02BB"/>
    <w:rsid w:val="008A0576"/>
    <w:rsid w:val="008A07EA"/>
    <w:rsid w:val="008A0B85"/>
    <w:rsid w:val="008A0D2A"/>
    <w:rsid w:val="008A0F56"/>
    <w:rsid w:val="008A122A"/>
    <w:rsid w:val="008A1470"/>
    <w:rsid w:val="008A150F"/>
    <w:rsid w:val="008A1595"/>
    <w:rsid w:val="008A1693"/>
    <w:rsid w:val="008A1AA1"/>
    <w:rsid w:val="008A1ACA"/>
    <w:rsid w:val="008A1E54"/>
    <w:rsid w:val="008A20F3"/>
    <w:rsid w:val="008A254F"/>
    <w:rsid w:val="008A25E9"/>
    <w:rsid w:val="008A2630"/>
    <w:rsid w:val="008A2776"/>
    <w:rsid w:val="008A2A44"/>
    <w:rsid w:val="008A2EFF"/>
    <w:rsid w:val="008A33F1"/>
    <w:rsid w:val="008A3436"/>
    <w:rsid w:val="008A363A"/>
    <w:rsid w:val="008A36AB"/>
    <w:rsid w:val="008A377B"/>
    <w:rsid w:val="008A39CC"/>
    <w:rsid w:val="008A3EB3"/>
    <w:rsid w:val="008A41D7"/>
    <w:rsid w:val="008A4405"/>
    <w:rsid w:val="008A450C"/>
    <w:rsid w:val="008A46E7"/>
    <w:rsid w:val="008A4CFF"/>
    <w:rsid w:val="008A5301"/>
    <w:rsid w:val="008A5833"/>
    <w:rsid w:val="008A589E"/>
    <w:rsid w:val="008A5AC6"/>
    <w:rsid w:val="008A5B11"/>
    <w:rsid w:val="008A5DF7"/>
    <w:rsid w:val="008A687B"/>
    <w:rsid w:val="008A6DA8"/>
    <w:rsid w:val="008A6DB4"/>
    <w:rsid w:val="008A6F64"/>
    <w:rsid w:val="008A7021"/>
    <w:rsid w:val="008A703B"/>
    <w:rsid w:val="008A71A5"/>
    <w:rsid w:val="008A783F"/>
    <w:rsid w:val="008A7A94"/>
    <w:rsid w:val="008B0213"/>
    <w:rsid w:val="008B0329"/>
    <w:rsid w:val="008B08FE"/>
    <w:rsid w:val="008B0ACC"/>
    <w:rsid w:val="008B0E5B"/>
    <w:rsid w:val="008B0F68"/>
    <w:rsid w:val="008B0F77"/>
    <w:rsid w:val="008B1010"/>
    <w:rsid w:val="008B10B3"/>
    <w:rsid w:val="008B1394"/>
    <w:rsid w:val="008B173F"/>
    <w:rsid w:val="008B18AA"/>
    <w:rsid w:val="008B1AD4"/>
    <w:rsid w:val="008B1AFA"/>
    <w:rsid w:val="008B20B3"/>
    <w:rsid w:val="008B22EA"/>
    <w:rsid w:val="008B2320"/>
    <w:rsid w:val="008B2428"/>
    <w:rsid w:val="008B2EA8"/>
    <w:rsid w:val="008B3270"/>
    <w:rsid w:val="008B34DF"/>
    <w:rsid w:val="008B3641"/>
    <w:rsid w:val="008B367E"/>
    <w:rsid w:val="008B3A88"/>
    <w:rsid w:val="008B4239"/>
    <w:rsid w:val="008B438E"/>
    <w:rsid w:val="008B4948"/>
    <w:rsid w:val="008B494F"/>
    <w:rsid w:val="008B4A73"/>
    <w:rsid w:val="008B4BFC"/>
    <w:rsid w:val="008B4C5B"/>
    <w:rsid w:val="008B4C75"/>
    <w:rsid w:val="008B502F"/>
    <w:rsid w:val="008B51B4"/>
    <w:rsid w:val="008B549B"/>
    <w:rsid w:val="008B5B67"/>
    <w:rsid w:val="008B5D74"/>
    <w:rsid w:val="008B5D7A"/>
    <w:rsid w:val="008B63F6"/>
    <w:rsid w:val="008B66E3"/>
    <w:rsid w:val="008B6C08"/>
    <w:rsid w:val="008B6F8A"/>
    <w:rsid w:val="008B6FA4"/>
    <w:rsid w:val="008B70A5"/>
    <w:rsid w:val="008B7289"/>
    <w:rsid w:val="008B773B"/>
    <w:rsid w:val="008B7836"/>
    <w:rsid w:val="008B7848"/>
    <w:rsid w:val="008B7BFF"/>
    <w:rsid w:val="008B7EDD"/>
    <w:rsid w:val="008C01EB"/>
    <w:rsid w:val="008C0BC1"/>
    <w:rsid w:val="008C0C1E"/>
    <w:rsid w:val="008C0C78"/>
    <w:rsid w:val="008C0D37"/>
    <w:rsid w:val="008C0F11"/>
    <w:rsid w:val="008C1104"/>
    <w:rsid w:val="008C1143"/>
    <w:rsid w:val="008C1589"/>
    <w:rsid w:val="008C1771"/>
    <w:rsid w:val="008C18DB"/>
    <w:rsid w:val="008C1947"/>
    <w:rsid w:val="008C19DD"/>
    <w:rsid w:val="008C1A1F"/>
    <w:rsid w:val="008C1A21"/>
    <w:rsid w:val="008C1A7E"/>
    <w:rsid w:val="008C1E05"/>
    <w:rsid w:val="008C1E1C"/>
    <w:rsid w:val="008C1F01"/>
    <w:rsid w:val="008C1FB0"/>
    <w:rsid w:val="008C20F2"/>
    <w:rsid w:val="008C2202"/>
    <w:rsid w:val="008C2256"/>
    <w:rsid w:val="008C230B"/>
    <w:rsid w:val="008C2411"/>
    <w:rsid w:val="008C284A"/>
    <w:rsid w:val="008C28F4"/>
    <w:rsid w:val="008C2A88"/>
    <w:rsid w:val="008C2FD2"/>
    <w:rsid w:val="008C2FEB"/>
    <w:rsid w:val="008C3159"/>
    <w:rsid w:val="008C34BB"/>
    <w:rsid w:val="008C37EB"/>
    <w:rsid w:val="008C386A"/>
    <w:rsid w:val="008C38BB"/>
    <w:rsid w:val="008C3A0C"/>
    <w:rsid w:val="008C3A5F"/>
    <w:rsid w:val="008C3B3F"/>
    <w:rsid w:val="008C4070"/>
    <w:rsid w:val="008C4204"/>
    <w:rsid w:val="008C459E"/>
    <w:rsid w:val="008C45E2"/>
    <w:rsid w:val="008C47AE"/>
    <w:rsid w:val="008C483E"/>
    <w:rsid w:val="008C4880"/>
    <w:rsid w:val="008C4A94"/>
    <w:rsid w:val="008C4D26"/>
    <w:rsid w:val="008C50DF"/>
    <w:rsid w:val="008C539B"/>
    <w:rsid w:val="008C53F2"/>
    <w:rsid w:val="008C565E"/>
    <w:rsid w:val="008C574C"/>
    <w:rsid w:val="008C596D"/>
    <w:rsid w:val="008C5CF1"/>
    <w:rsid w:val="008C5D3D"/>
    <w:rsid w:val="008C5D5C"/>
    <w:rsid w:val="008C5F10"/>
    <w:rsid w:val="008C5F11"/>
    <w:rsid w:val="008C6239"/>
    <w:rsid w:val="008C66B3"/>
    <w:rsid w:val="008C6812"/>
    <w:rsid w:val="008C6F92"/>
    <w:rsid w:val="008C70E2"/>
    <w:rsid w:val="008C715C"/>
    <w:rsid w:val="008C7285"/>
    <w:rsid w:val="008C7321"/>
    <w:rsid w:val="008C774F"/>
    <w:rsid w:val="008C7796"/>
    <w:rsid w:val="008C795D"/>
    <w:rsid w:val="008C79A7"/>
    <w:rsid w:val="008C7E58"/>
    <w:rsid w:val="008C7F53"/>
    <w:rsid w:val="008D00D3"/>
    <w:rsid w:val="008D02FC"/>
    <w:rsid w:val="008D0358"/>
    <w:rsid w:val="008D0461"/>
    <w:rsid w:val="008D080B"/>
    <w:rsid w:val="008D0B69"/>
    <w:rsid w:val="008D0B9E"/>
    <w:rsid w:val="008D0D1F"/>
    <w:rsid w:val="008D0F05"/>
    <w:rsid w:val="008D1035"/>
    <w:rsid w:val="008D1110"/>
    <w:rsid w:val="008D185F"/>
    <w:rsid w:val="008D1B94"/>
    <w:rsid w:val="008D1CC1"/>
    <w:rsid w:val="008D214C"/>
    <w:rsid w:val="008D2191"/>
    <w:rsid w:val="008D27E1"/>
    <w:rsid w:val="008D2B7E"/>
    <w:rsid w:val="008D2FA6"/>
    <w:rsid w:val="008D31C1"/>
    <w:rsid w:val="008D353B"/>
    <w:rsid w:val="008D3726"/>
    <w:rsid w:val="008D4356"/>
    <w:rsid w:val="008D449A"/>
    <w:rsid w:val="008D470C"/>
    <w:rsid w:val="008D4C7D"/>
    <w:rsid w:val="008D4CB0"/>
    <w:rsid w:val="008D4CFF"/>
    <w:rsid w:val="008D4DC8"/>
    <w:rsid w:val="008D4FAD"/>
    <w:rsid w:val="008D5001"/>
    <w:rsid w:val="008D527E"/>
    <w:rsid w:val="008D57BB"/>
    <w:rsid w:val="008D58C6"/>
    <w:rsid w:val="008D5C7B"/>
    <w:rsid w:val="008D5D30"/>
    <w:rsid w:val="008D5E2E"/>
    <w:rsid w:val="008D5EA5"/>
    <w:rsid w:val="008D5ED2"/>
    <w:rsid w:val="008D6090"/>
    <w:rsid w:val="008D61AA"/>
    <w:rsid w:val="008D6397"/>
    <w:rsid w:val="008D6644"/>
    <w:rsid w:val="008D674A"/>
    <w:rsid w:val="008D6CCC"/>
    <w:rsid w:val="008D6FA6"/>
    <w:rsid w:val="008D702F"/>
    <w:rsid w:val="008D7142"/>
    <w:rsid w:val="008D736B"/>
    <w:rsid w:val="008D73C9"/>
    <w:rsid w:val="008D73FF"/>
    <w:rsid w:val="008D75A4"/>
    <w:rsid w:val="008D761A"/>
    <w:rsid w:val="008D765F"/>
    <w:rsid w:val="008D7661"/>
    <w:rsid w:val="008D78C7"/>
    <w:rsid w:val="008D7F06"/>
    <w:rsid w:val="008E00B1"/>
    <w:rsid w:val="008E04AE"/>
    <w:rsid w:val="008E0814"/>
    <w:rsid w:val="008E10F8"/>
    <w:rsid w:val="008E15F1"/>
    <w:rsid w:val="008E166B"/>
    <w:rsid w:val="008E16BF"/>
    <w:rsid w:val="008E16F8"/>
    <w:rsid w:val="008E178A"/>
    <w:rsid w:val="008E17FA"/>
    <w:rsid w:val="008E18FC"/>
    <w:rsid w:val="008E197E"/>
    <w:rsid w:val="008E1CCB"/>
    <w:rsid w:val="008E222B"/>
    <w:rsid w:val="008E262B"/>
    <w:rsid w:val="008E290C"/>
    <w:rsid w:val="008E2B20"/>
    <w:rsid w:val="008E2FB8"/>
    <w:rsid w:val="008E2FF9"/>
    <w:rsid w:val="008E3049"/>
    <w:rsid w:val="008E325D"/>
    <w:rsid w:val="008E343C"/>
    <w:rsid w:val="008E3529"/>
    <w:rsid w:val="008E35A3"/>
    <w:rsid w:val="008E35C7"/>
    <w:rsid w:val="008E3968"/>
    <w:rsid w:val="008E3B76"/>
    <w:rsid w:val="008E3C7E"/>
    <w:rsid w:val="008E3D99"/>
    <w:rsid w:val="008E3E57"/>
    <w:rsid w:val="008E41EC"/>
    <w:rsid w:val="008E420E"/>
    <w:rsid w:val="008E4455"/>
    <w:rsid w:val="008E44BF"/>
    <w:rsid w:val="008E4556"/>
    <w:rsid w:val="008E45E6"/>
    <w:rsid w:val="008E461E"/>
    <w:rsid w:val="008E4669"/>
    <w:rsid w:val="008E4695"/>
    <w:rsid w:val="008E4928"/>
    <w:rsid w:val="008E4DA2"/>
    <w:rsid w:val="008E50AB"/>
    <w:rsid w:val="008E50DF"/>
    <w:rsid w:val="008E549A"/>
    <w:rsid w:val="008E625C"/>
    <w:rsid w:val="008E69BC"/>
    <w:rsid w:val="008E6BBE"/>
    <w:rsid w:val="008E6E21"/>
    <w:rsid w:val="008E6EF6"/>
    <w:rsid w:val="008E7274"/>
    <w:rsid w:val="008E7311"/>
    <w:rsid w:val="008E737E"/>
    <w:rsid w:val="008E7423"/>
    <w:rsid w:val="008E758F"/>
    <w:rsid w:val="008E7594"/>
    <w:rsid w:val="008E7ABB"/>
    <w:rsid w:val="008E7F0F"/>
    <w:rsid w:val="008E7FE5"/>
    <w:rsid w:val="008F005F"/>
    <w:rsid w:val="008F0216"/>
    <w:rsid w:val="008F0228"/>
    <w:rsid w:val="008F023A"/>
    <w:rsid w:val="008F0241"/>
    <w:rsid w:val="008F0432"/>
    <w:rsid w:val="008F0562"/>
    <w:rsid w:val="008F09A7"/>
    <w:rsid w:val="008F0E00"/>
    <w:rsid w:val="008F1531"/>
    <w:rsid w:val="008F1564"/>
    <w:rsid w:val="008F174D"/>
    <w:rsid w:val="008F178D"/>
    <w:rsid w:val="008F1E59"/>
    <w:rsid w:val="008F2009"/>
    <w:rsid w:val="008F20A2"/>
    <w:rsid w:val="008F2220"/>
    <w:rsid w:val="008F260B"/>
    <w:rsid w:val="008F2907"/>
    <w:rsid w:val="008F299F"/>
    <w:rsid w:val="008F2A6B"/>
    <w:rsid w:val="008F2C05"/>
    <w:rsid w:val="008F2C43"/>
    <w:rsid w:val="008F2F94"/>
    <w:rsid w:val="008F36E4"/>
    <w:rsid w:val="008F3B2A"/>
    <w:rsid w:val="008F40D7"/>
    <w:rsid w:val="008F42DD"/>
    <w:rsid w:val="008F4535"/>
    <w:rsid w:val="008F46AB"/>
    <w:rsid w:val="008F46B5"/>
    <w:rsid w:val="008F4713"/>
    <w:rsid w:val="008F4B6A"/>
    <w:rsid w:val="008F4E59"/>
    <w:rsid w:val="008F4FBD"/>
    <w:rsid w:val="008F5B82"/>
    <w:rsid w:val="008F628A"/>
    <w:rsid w:val="008F66C5"/>
    <w:rsid w:val="008F68C1"/>
    <w:rsid w:val="008F6FA6"/>
    <w:rsid w:val="008F7040"/>
    <w:rsid w:val="008F74E5"/>
    <w:rsid w:val="008F74F1"/>
    <w:rsid w:val="008F772C"/>
    <w:rsid w:val="008F785C"/>
    <w:rsid w:val="00900011"/>
    <w:rsid w:val="00900353"/>
    <w:rsid w:val="0090040E"/>
    <w:rsid w:val="0090045D"/>
    <w:rsid w:val="009004C3"/>
    <w:rsid w:val="00900527"/>
    <w:rsid w:val="00900688"/>
    <w:rsid w:val="00900870"/>
    <w:rsid w:val="00900BEF"/>
    <w:rsid w:val="009014D9"/>
    <w:rsid w:val="009014EA"/>
    <w:rsid w:val="009015BF"/>
    <w:rsid w:val="00901AA1"/>
    <w:rsid w:val="00901BDC"/>
    <w:rsid w:val="00901C34"/>
    <w:rsid w:val="00901D38"/>
    <w:rsid w:val="0090218A"/>
    <w:rsid w:val="0090218D"/>
    <w:rsid w:val="00902247"/>
    <w:rsid w:val="00902399"/>
    <w:rsid w:val="00902653"/>
    <w:rsid w:val="009026DB"/>
    <w:rsid w:val="009028E7"/>
    <w:rsid w:val="009029E3"/>
    <w:rsid w:val="00902A61"/>
    <w:rsid w:val="00902C50"/>
    <w:rsid w:val="00902D3F"/>
    <w:rsid w:val="009031A7"/>
    <w:rsid w:val="009031A9"/>
    <w:rsid w:val="00903423"/>
    <w:rsid w:val="00903B2B"/>
    <w:rsid w:val="00903F6F"/>
    <w:rsid w:val="0090457B"/>
    <w:rsid w:val="00904C1C"/>
    <w:rsid w:val="00905206"/>
    <w:rsid w:val="00905299"/>
    <w:rsid w:val="00905B2C"/>
    <w:rsid w:val="0090615C"/>
    <w:rsid w:val="009066E3"/>
    <w:rsid w:val="00906821"/>
    <w:rsid w:val="00906884"/>
    <w:rsid w:val="00906989"/>
    <w:rsid w:val="00906A91"/>
    <w:rsid w:val="00906D16"/>
    <w:rsid w:val="00906D40"/>
    <w:rsid w:val="00906D52"/>
    <w:rsid w:val="00906E65"/>
    <w:rsid w:val="009071F6"/>
    <w:rsid w:val="00907548"/>
    <w:rsid w:val="009075C6"/>
    <w:rsid w:val="009076AF"/>
    <w:rsid w:val="009076C6"/>
    <w:rsid w:val="009076DB"/>
    <w:rsid w:val="00907948"/>
    <w:rsid w:val="00907A3C"/>
    <w:rsid w:val="00907B34"/>
    <w:rsid w:val="00907CFC"/>
    <w:rsid w:val="00907EEB"/>
    <w:rsid w:val="009100D0"/>
    <w:rsid w:val="00910154"/>
    <w:rsid w:val="009102A3"/>
    <w:rsid w:val="009108B0"/>
    <w:rsid w:val="00910941"/>
    <w:rsid w:val="00910A27"/>
    <w:rsid w:val="00910BBF"/>
    <w:rsid w:val="00910F9B"/>
    <w:rsid w:val="009116CC"/>
    <w:rsid w:val="00911928"/>
    <w:rsid w:val="00911987"/>
    <w:rsid w:val="0091230A"/>
    <w:rsid w:val="009123FB"/>
    <w:rsid w:val="009125E9"/>
    <w:rsid w:val="009126EF"/>
    <w:rsid w:val="00912CA7"/>
    <w:rsid w:val="00912CE0"/>
    <w:rsid w:val="00912D43"/>
    <w:rsid w:val="009133AD"/>
    <w:rsid w:val="00913415"/>
    <w:rsid w:val="009134D2"/>
    <w:rsid w:val="00913787"/>
    <w:rsid w:val="009142BC"/>
    <w:rsid w:val="009142E8"/>
    <w:rsid w:val="009144D5"/>
    <w:rsid w:val="0091487F"/>
    <w:rsid w:val="0091503F"/>
    <w:rsid w:val="009150EF"/>
    <w:rsid w:val="009153BF"/>
    <w:rsid w:val="009154F9"/>
    <w:rsid w:val="0091550C"/>
    <w:rsid w:val="00915A68"/>
    <w:rsid w:val="00915D04"/>
    <w:rsid w:val="00915F98"/>
    <w:rsid w:val="00915FA3"/>
    <w:rsid w:val="0091644C"/>
    <w:rsid w:val="0091693B"/>
    <w:rsid w:val="00916A0E"/>
    <w:rsid w:val="00916CBF"/>
    <w:rsid w:val="00916F8A"/>
    <w:rsid w:val="00917032"/>
    <w:rsid w:val="0091757F"/>
    <w:rsid w:val="00917B51"/>
    <w:rsid w:val="00917C9A"/>
    <w:rsid w:val="00920036"/>
    <w:rsid w:val="0092008E"/>
    <w:rsid w:val="009200D7"/>
    <w:rsid w:val="00920327"/>
    <w:rsid w:val="0092065B"/>
    <w:rsid w:val="009209C8"/>
    <w:rsid w:val="00920BAE"/>
    <w:rsid w:val="00920DAC"/>
    <w:rsid w:val="00920DD8"/>
    <w:rsid w:val="00920F8E"/>
    <w:rsid w:val="009210FA"/>
    <w:rsid w:val="00921770"/>
    <w:rsid w:val="009217F8"/>
    <w:rsid w:val="00921BF5"/>
    <w:rsid w:val="00921C50"/>
    <w:rsid w:val="00922235"/>
    <w:rsid w:val="0092270F"/>
    <w:rsid w:val="00922735"/>
    <w:rsid w:val="00922743"/>
    <w:rsid w:val="00922759"/>
    <w:rsid w:val="00922783"/>
    <w:rsid w:val="0092290C"/>
    <w:rsid w:val="00923187"/>
    <w:rsid w:val="009232D1"/>
    <w:rsid w:val="0092334B"/>
    <w:rsid w:val="0092349C"/>
    <w:rsid w:val="009236A5"/>
    <w:rsid w:val="009237F8"/>
    <w:rsid w:val="00923ABD"/>
    <w:rsid w:val="00923B25"/>
    <w:rsid w:val="00923FD8"/>
    <w:rsid w:val="00924079"/>
    <w:rsid w:val="0092470E"/>
    <w:rsid w:val="00924DAB"/>
    <w:rsid w:val="00925187"/>
    <w:rsid w:val="009257D6"/>
    <w:rsid w:val="0092594C"/>
    <w:rsid w:val="00925D97"/>
    <w:rsid w:val="0092600A"/>
    <w:rsid w:val="0092609C"/>
    <w:rsid w:val="009261CE"/>
    <w:rsid w:val="00926492"/>
    <w:rsid w:val="00926BD3"/>
    <w:rsid w:val="00926C69"/>
    <w:rsid w:val="00926D6D"/>
    <w:rsid w:val="00926D70"/>
    <w:rsid w:val="0092709C"/>
    <w:rsid w:val="00927109"/>
    <w:rsid w:val="00927148"/>
    <w:rsid w:val="0092717F"/>
    <w:rsid w:val="009273A3"/>
    <w:rsid w:val="00927744"/>
    <w:rsid w:val="00927B05"/>
    <w:rsid w:val="00927BCA"/>
    <w:rsid w:val="00927C13"/>
    <w:rsid w:val="00927C52"/>
    <w:rsid w:val="00927DB4"/>
    <w:rsid w:val="00927ED0"/>
    <w:rsid w:val="0093076D"/>
    <w:rsid w:val="00930F4E"/>
    <w:rsid w:val="0093102A"/>
    <w:rsid w:val="00931111"/>
    <w:rsid w:val="00931475"/>
    <w:rsid w:val="009316C4"/>
    <w:rsid w:val="009318E0"/>
    <w:rsid w:val="00931C22"/>
    <w:rsid w:val="00931FD4"/>
    <w:rsid w:val="00932450"/>
    <w:rsid w:val="009324C8"/>
    <w:rsid w:val="00932636"/>
    <w:rsid w:val="00932BEB"/>
    <w:rsid w:val="00932BEE"/>
    <w:rsid w:val="00932C1C"/>
    <w:rsid w:val="00932E05"/>
    <w:rsid w:val="00932F6C"/>
    <w:rsid w:val="009332A6"/>
    <w:rsid w:val="009333FF"/>
    <w:rsid w:val="0093391E"/>
    <w:rsid w:val="00933E10"/>
    <w:rsid w:val="00933FDD"/>
    <w:rsid w:val="009342E9"/>
    <w:rsid w:val="00934335"/>
    <w:rsid w:val="0093434C"/>
    <w:rsid w:val="0093466F"/>
    <w:rsid w:val="0093476E"/>
    <w:rsid w:val="00934990"/>
    <w:rsid w:val="00935501"/>
    <w:rsid w:val="00935697"/>
    <w:rsid w:val="009357CE"/>
    <w:rsid w:val="009357E4"/>
    <w:rsid w:val="0093581A"/>
    <w:rsid w:val="00935E85"/>
    <w:rsid w:val="00936062"/>
    <w:rsid w:val="0093622A"/>
    <w:rsid w:val="00936480"/>
    <w:rsid w:val="009364E4"/>
    <w:rsid w:val="00936DC3"/>
    <w:rsid w:val="0093709B"/>
    <w:rsid w:val="00937228"/>
    <w:rsid w:val="009376A1"/>
    <w:rsid w:val="00937885"/>
    <w:rsid w:val="009378FB"/>
    <w:rsid w:val="00937AAD"/>
    <w:rsid w:val="00937CBE"/>
    <w:rsid w:val="00937F4C"/>
    <w:rsid w:val="00940857"/>
    <w:rsid w:val="0094089F"/>
    <w:rsid w:val="009408D3"/>
    <w:rsid w:val="009408FE"/>
    <w:rsid w:val="00940925"/>
    <w:rsid w:val="00940EBC"/>
    <w:rsid w:val="0094104F"/>
    <w:rsid w:val="00941102"/>
    <w:rsid w:val="00941209"/>
    <w:rsid w:val="00941393"/>
    <w:rsid w:val="009414F6"/>
    <w:rsid w:val="00941A67"/>
    <w:rsid w:val="00941B28"/>
    <w:rsid w:val="00941EE6"/>
    <w:rsid w:val="00941FF0"/>
    <w:rsid w:val="0094277A"/>
    <w:rsid w:val="009428FC"/>
    <w:rsid w:val="00942A42"/>
    <w:rsid w:val="00942A68"/>
    <w:rsid w:val="00942D1C"/>
    <w:rsid w:val="00943297"/>
    <w:rsid w:val="009432BC"/>
    <w:rsid w:val="009432DF"/>
    <w:rsid w:val="0094341A"/>
    <w:rsid w:val="009437D1"/>
    <w:rsid w:val="00943B76"/>
    <w:rsid w:val="00943DF3"/>
    <w:rsid w:val="00943E6E"/>
    <w:rsid w:val="00944087"/>
    <w:rsid w:val="009444AD"/>
    <w:rsid w:val="00944779"/>
    <w:rsid w:val="009449F4"/>
    <w:rsid w:val="00944A40"/>
    <w:rsid w:val="00944A9D"/>
    <w:rsid w:val="00944BB4"/>
    <w:rsid w:val="00944E74"/>
    <w:rsid w:val="0094502C"/>
    <w:rsid w:val="009452B4"/>
    <w:rsid w:val="00945365"/>
    <w:rsid w:val="009459A9"/>
    <w:rsid w:val="00945DDB"/>
    <w:rsid w:val="0094601D"/>
    <w:rsid w:val="009460E8"/>
    <w:rsid w:val="00946251"/>
    <w:rsid w:val="00946407"/>
    <w:rsid w:val="009465DF"/>
    <w:rsid w:val="0094676D"/>
    <w:rsid w:val="009467DA"/>
    <w:rsid w:val="00946E1C"/>
    <w:rsid w:val="00946E7E"/>
    <w:rsid w:val="00947504"/>
    <w:rsid w:val="00947855"/>
    <w:rsid w:val="00947ABF"/>
    <w:rsid w:val="00947C4F"/>
    <w:rsid w:val="0095008A"/>
    <w:rsid w:val="0095012E"/>
    <w:rsid w:val="009502F9"/>
    <w:rsid w:val="009503DC"/>
    <w:rsid w:val="009504DF"/>
    <w:rsid w:val="00950538"/>
    <w:rsid w:val="00950631"/>
    <w:rsid w:val="009506DE"/>
    <w:rsid w:val="00950C3D"/>
    <w:rsid w:val="00950C86"/>
    <w:rsid w:val="00951206"/>
    <w:rsid w:val="00951268"/>
    <w:rsid w:val="00951384"/>
    <w:rsid w:val="0095140B"/>
    <w:rsid w:val="0095140F"/>
    <w:rsid w:val="00951934"/>
    <w:rsid w:val="00951975"/>
    <w:rsid w:val="00951AFD"/>
    <w:rsid w:val="00951B55"/>
    <w:rsid w:val="00951F71"/>
    <w:rsid w:val="0095207B"/>
    <w:rsid w:val="009520D9"/>
    <w:rsid w:val="0095222D"/>
    <w:rsid w:val="009533A7"/>
    <w:rsid w:val="00953563"/>
    <w:rsid w:val="00953622"/>
    <w:rsid w:val="00953ACF"/>
    <w:rsid w:val="00953E20"/>
    <w:rsid w:val="009542E6"/>
    <w:rsid w:val="00954653"/>
    <w:rsid w:val="00954735"/>
    <w:rsid w:val="00954C8C"/>
    <w:rsid w:val="00954D8E"/>
    <w:rsid w:val="00954ECC"/>
    <w:rsid w:val="00954EFF"/>
    <w:rsid w:val="009553EF"/>
    <w:rsid w:val="009559E6"/>
    <w:rsid w:val="00955C50"/>
    <w:rsid w:val="00955D9D"/>
    <w:rsid w:val="00955F54"/>
    <w:rsid w:val="00956200"/>
    <w:rsid w:val="009562CE"/>
    <w:rsid w:val="00956399"/>
    <w:rsid w:val="009565BE"/>
    <w:rsid w:val="00956ACE"/>
    <w:rsid w:val="00956C7F"/>
    <w:rsid w:val="00957239"/>
    <w:rsid w:val="009572A0"/>
    <w:rsid w:val="009573EC"/>
    <w:rsid w:val="0095745C"/>
    <w:rsid w:val="00957531"/>
    <w:rsid w:val="009576E6"/>
    <w:rsid w:val="0095781A"/>
    <w:rsid w:val="0095784D"/>
    <w:rsid w:val="009578C8"/>
    <w:rsid w:val="00957977"/>
    <w:rsid w:val="00957AD4"/>
    <w:rsid w:val="00957D24"/>
    <w:rsid w:val="00957EF1"/>
    <w:rsid w:val="00960155"/>
    <w:rsid w:val="00960758"/>
    <w:rsid w:val="00960DCF"/>
    <w:rsid w:val="00960E8A"/>
    <w:rsid w:val="00961A7E"/>
    <w:rsid w:val="00961B53"/>
    <w:rsid w:val="00961D35"/>
    <w:rsid w:val="009621DB"/>
    <w:rsid w:val="009621E9"/>
    <w:rsid w:val="00962488"/>
    <w:rsid w:val="00962605"/>
    <w:rsid w:val="00962B97"/>
    <w:rsid w:val="00962E57"/>
    <w:rsid w:val="00963095"/>
    <w:rsid w:val="0096314D"/>
    <w:rsid w:val="0096315F"/>
    <w:rsid w:val="00963264"/>
    <w:rsid w:val="00963425"/>
    <w:rsid w:val="00963503"/>
    <w:rsid w:val="0096369A"/>
    <w:rsid w:val="009636BB"/>
    <w:rsid w:val="0096389D"/>
    <w:rsid w:val="00963AA9"/>
    <w:rsid w:val="00963C51"/>
    <w:rsid w:val="00963F95"/>
    <w:rsid w:val="00963FBF"/>
    <w:rsid w:val="009643FD"/>
    <w:rsid w:val="009646FC"/>
    <w:rsid w:val="009648AC"/>
    <w:rsid w:val="009649DE"/>
    <w:rsid w:val="00964AA8"/>
    <w:rsid w:val="00965398"/>
    <w:rsid w:val="00965571"/>
    <w:rsid w:val="0096577C"/>
    <w:rsid w:val="009662AB"/>
    <w:rsid w:val="00966342"/>
    <w:rsid w:val="00966441"/>
    <w:rsid w:val="0096689C"/>
    <w:rsid w:val="009669F8"/>
    <w:rsid w:val="0096723E"/>
    <w:rsid w:val="00967383"/>
    <w:rsid w:val="009674F6"/>
    <w:rsid w:val="009676C0"/>
    <w:rsid w:val="0096785D"/>
    <w:rsid w:val="00967BEF"/>
    <w:rsid w:val="00967C2C"/>
    <w:rsid w:val="00967F23"/>
    <w:rsid w:val="00967F2A"/>
    <w:rsid w:val="009703E4"/>
    <w:rsid w:val="009709A4"/>
    <w:rsid w:val="00970D7D"/>
    <w:rsid w:val="009710EC"/>
    <w:rsid w:val="0097133D"/>
    <w:rsid w:val="0097153E"/>
    <w:rsid w:val="0097158D"/>
    <w:rsid w:val="0097168A"/>
    <w:rsid w:val="009716BB"/>
    <w:rsid w:val="00971945"/>
    <w:rsid w:val="009719B9"/>
    <w:rsid w:val="00971C7C"/>
    <w:rsid w:val="00971F8E"/>
    <w:rsid w:val="00972176"/>
    <w:rsid w:val="00972295"/>
    <w:rsid w:val="00972578"/>
    <w:rsid w:val="00972899"/>
    <w:rsid w:val="00972A27"/>
    <w:rsid w:val="00972E30"/>
    <w:rsid w:val="0097366A"/>
    <w:rsid w:val="00973C43"/>
    <w:rsid w:val="00973DD9"/>
    <w:rsid w:val="00973EE3"/>
    <w:rsid w:val="00974243"/>
    <w:rsid w:val="0097424F"/>
    <w:rsid w:val="0097429B"/>
    <w:rsid w:val="009745B6"/>
    <w:rsid w:val="009747F1"/>
    <w:rsid w:val="00974B61"/>
    <w:rsid w:val="00974DA0"/>
    <w:rsid w:val="00974F6D"/>
    <w:rsid w:val="00975296"/>
    <w:rsid w:val="009752B6"/>
    <w:rsid w:val="0097535C"/>
    <w:rsid w:val="00975B32"/>
    <w:rsid w:val="00975F40"/>
    <w:rsid w:val="009763B7"/>
    <w:rsid w:val="009769DA"/>
    <w:rsid w:val="0097743E"/>
    <w:rsid w:val="00977B02"/>
    <w:rsid w:val="00977C60"/>
    <w:rsid w:val="00977D27"/>
    <w:rsid w:val="00977E95"/>
    <w:rsid w:val="00977F53"/>
    <w:rsid w:val="00977FE0"/>
    <w:rsid w:val="00977FF5"/>
    <w:rsid w:val="00980180"/>
    <w:rsid w:val="009801F9"/>
    <w:rsid w:val="00980202"/>
    <w:rsid w:val="00980318"/>
    <w:rsid w:val="009803A9"/>
    <w:rsid w:val="009803CB"/>
    <w:rsid w:val="009803D4"/>
    <w:rsid w:val="00980644"/>
    <w:rsid w:val="0098070C"/>
    <w:rsid w:val="009807A2"/>
    <w:rsid w:val="00980864"/>
    <w:rsid w:val="00980955"/>
    <w:rsid w:val="00980B4B"/>
    <w:rsid w:val="00980C55"/>
    <w:rsid w:val="00980E3E"/>
    <w:rsid w:val="00981011"/>
    <w:rsid w:val="0098199C"/>
    <w:rsid w:val="00981A4D"/>
    <w:rsid w:val="00981E08"/>
    <w:rsid w:val="00981E96"/>
    <w:rsid w:val="009822E7"/>
    <w:rsid w:val="009824D1"/>
    <w:rsid w:val="009825FE"/>
    <w:rsid w:val="0098264C"/>
    <w:rsid w:val="0098370E"/>
    <w:rsid w:val="009838A1"/>
    <w:rsid w:val="009839C9"/>
    <w:rsid w:val="00983A26"/>
    <w:rsid w:val="00983C07"/>
    <w:rsid w:val="00983E3C"/>
    <w:rsid w:val="00983FA8"/>
    <w:rsid w:val="009840B5"/>
    <w:rsid w:val="0098420B"/>
    <w:rsid w:val="00984694"/>
    <w:rsid w:val="00984804"/>
    <w:rsid w:val="0098482E"/>
    <w:rsid w:val="00984989"/>
    <w:rsid w:val="00984BF7"/>
    <w:rsid w:val="00984D74"/>
    <w:rsid w:val="00984FCE"/>
    <w:rsid w:val="0098510C"/>
    <w:rsid w:val="00985485"/>
    <w:rsid w:val="00985597"/>
    <w:rsid w:val="00985833"/>
    <w:rsid w:val="0098583C"/>
    <w:rsid w:val="00985DAA"/>
    <w:rsid w:val="00985F40"/>
    <w:rsid w:val="009860A2"/>
    <w:rsid w:val="00986375"/>
    <w:rsid w:val="00986633"/>
    <w:rsid w:val="009869AA"/>
    <w:rsid w:val="00986BDE"/>
    <w:rsid w:val="00986C84"/>
    <w:rsid w:val="00986E2E"/>
    <w:rsid w:val="00987187"/>
    <w:rsid w:val="009873B9"/>
    <w:rsid w:val="009873F3"/>
    <w:rsid w:val="00987A58"/>
    <w:rsid w:val="00987B58"/>
    <w:rsid w:val="00987BA8"/>
    <w:rsid w:val="00987C80"/>
    <w:rsid w:val="00987CC5"/>
    <w:rsid w:val="00987CE7"/>
    <w:rsid w:val="00987DE0"/>
    <w:rsid w:val="00987E90"/>
    <w:rsid w:val="00990040"/>
    <w:rsid w:val="00990087"/>
    <w:rsid w:val="00990154"/>
    <w:rsid w:val="00990397"/>
    <w:rsid w:val="009906E3"/>
    <w:rsid w:val="0099088A"/>
    <w:rsid w:val="00990ABA"/>
    <w:rsid w:val="00990B76"/>
    <w:rsid w:val="00990B7E"/>
    <w:rsid w:val="00990BF6"/>
    <w:rsid w:val="00990CE3"/>
    <w:rsid w:val="00990F5B"/>
    <w:rsid w:val="009914A0"/>
    <w:rsid w:val="00991580"/>
    <w:rsid w:val="00991938"/>
    <w:rsid w:val="00991C29"/>
    <w:rsid w:val="00991D57"/>
    <w:rsid w:val="00991E2C"/>
    <w:rsid w:val="00991F46"/>
    <w:rsid w:val="009920FE"/>
    <w:rsid w:val="00992124"/>
    <w:rsid w:val="00992283"/>
    <w:rsid w:val="0099235A"/>
    <w:rsid w:val="00992362"/>
    <w:rsid w:val="009927E3"/>
    <w:rsid w:val="0099296A"/>
    <w:rsid w:val="00992970"/>
    <w:rsid w:val="009929A7"/>
    <w:rsid w:val="009929AD"/>
    <w:rsid w:val="00992FC1"/>
    <w:rsid w:val="009932BC"/>
    <w:rsid w:val="00993364"/>
    <w:rsid w:val="00993488"/>
    <w:rsid w:val="009935F2"/>
    <w:rsid w:val="00993A2F"/>
    <w:rsid w:val="00993FAE"/>
    <w:rsid w:val="00994129"/>
    <w:rsid w:val="00994342"/>
    <w:rsid w:val="00994611"/>
    <w:rsid w:val="00994B8B"/>
    <w:rsid w:val="00994C43"/>
    <w:rsid w:val="00994C65"/>
    <w:rsid w:val="00995104"/>
    <w:rsid w:val="00995156"/>
    <w:rsid w:val="0099525C"/>
    <w:rsid w:val="009957FF"/>
    <w:rsid w:val="00995CDC"/>
    <w:rsid w:val="00995E98"/>
    <w:rsid w:val="00996091"/>
    <w:rsid w:val="0099618D"/>
    <w:rsid w:val="009962E8"/>
    <w:rsid w:val="009963CC"/>
    <w:rsid w:val="009963FF"/>
    <w:rsid w:val="009969E6"/>
    <w:rsid w:val="00996E62"/>
    <w:rsid w:val="00996EFC"/>
    <w:rsid w:val="00996F15"/>
    <w:rsid w:val="0099719A"/>
    <w:rsid w:val="00997674"/>
    <w:rsid w:val="00997715"/>
    <w:rsid w:val="009978C4"/>
    <w:rsid w:val="00997BA8"/>
    <w:rsid w:val="00997C4F"/>
    <w:rsid w:val="00997DB7"/>
    <w:rsid w:val="00997E18"/>
    <w:rsid w:val="00997EA0"/>
    <w:rsid w:val="009A009C"/>
    <w:rsid w:val="009A04E4"/>
    <w:rsid w:val="009A068E"/>
    <w:rsid w:val="009A06EB"/>
    <w:rsid w:val="009A06F4"/>
    <w:rsid w:val="009A087D"/>
    <w:rsid w:val="009A0A23"/>
    <w:rsid w:val="009A0BFB"/>
    <w:rsid w:val="009A1084"/>
    <w:rsid w:val="009A10E9"/>
    <w:rsid w:val="009A137F"/>
    <w:rsid w:val="009A15F7"/>
    <w:rsid w:val="009A19F3"/>
    <w:rsid w:val="009A202A"/>
    <w:rsid w:val="009A2167"/>
    <w:rsid w:val="009A22BA"/>
    <w:rsid w:val="009A2506"/>
    <w:rsid w:val="009A2D03"/>
    <w:rsid w:val="009A2E07"/>
    <w:rsid w:val="009A3055"/>
    <w:rsid w:val="009A35EF"/>
    <w:rsid w:val="009A3778"/>
    <w:rsid w:val="009A37BF"/>
    <w:rsid w:val="009A3D7D"/>
    <w:rsid w:val="009A3E2E"/>
    <w:rsid w:val="009A4B74"/>
    <w:rsid w:val="009A4EC5"/>
    <w:rsid w:val="009A5392"/>
    <w:rsid w:val="009A556B"/>
    <w:rsid w:val="009A5844"/>
    <w:rsid w:val="009A58EF"/>
    <w:rsid w:val="009A5A84"/>
    <w:rsid w:val="009A5C2D"/>
    <w:rsid w:val="009A5D0C"/>
    <w:rsid w:val="009A5F17"/>
    <w:rsid w:val="009A6227"/>
    <w:rsid w:val="009A6EB1"/>
    <w:rsid w:val="009A6EBB"/>
    <w:rsid w:val="009A7130"/>
    <w:rsid w:val="009A7788"/>
    <w:rsid w:val="009A7835"/>
    <w:rsid w:val="009A784E"/>
    <w:rsid w:val="009A78EC"/>
    <w:rsid w:val="009A790A"/>
    <w:rsid w:val="009A7F34"/>
    <w:rsid w:val="009B0198"/>
    <w:rsid w:val="009B06A3"/>
    <w:rsid w:val="009B0C70"/>
    <w:rsid w:val="009B10C8"/>
    <w:rsid w:val="009B1114"/>
    <w:rsid w:val="009B134F"/>
    <w:rsid w:val="009B1542"/>
    <w:rsid w:val="009B1682"/>
    <w:rsid w:val="009B1871"/>
    <w:rsid w:val="009B18CF"/>
    <w:rsid w:val="009B1FBD"/>
    <w:rsid w:val="009B1FCC"/>
    <w:rsid w:val="009B1FFF"/>
    <w:rsid w:val="009B2245"/>
    <w:rsid w:val="009B2258"/>
    <w:rsid w:val="009B258E"/>
    <w:rsid w:val="009B26CD"/>
    <w:rsid w:val="009B27A3"/>
    <w:rsid w:val="009B2E6E"/>
    <w:rsid w:val="009B2F5E"/>
    <w:rsid w:val="009B3513"/>
    <w:rsid w:val="009B39DF"/>
    <w:rsid w:val="009B3DA0"/>
    <w:rsid w:val="009B4101"/>
    <w:rsid w:val="009B42AC"/>
    <w:rsid w:val="009B4448"/>
    <w:rsid w:val="009B45A3"/>
    <w:rsid w:val="009B4686"/>
    <w:rsid w:val="009B4755"/>
    <w:rsid w:val="009B49B9"/>
    <w:rsid w:val="009B49DA"/>
    <w:rsid w:val="009B4ADB"/>
    <w:rsid w:val="009B4B0D"/>
    <w:rsid w:val="009B4D8A"/>
    <w:rsid w:val="009B506F"/>
    <w:rsid w:val="009B55F6"/>
    <w:rsid w:val="009B567B"/>
    <w:rsid w:val="009B5997"/>
    <w:rsid w:val="009B5ABB"/>
    <w:rsid w:val="009B5D05"/>
    <w:rsid w:val="009B60E4"/>
    <w:rsid w:val="009B613C"/>
    <w:rsid w:val="009B63AD"/>
    <w:rsid w:val="009B641D"/>
    <w:rsid w:val="009B6858"/>
    <w:rsid w:val="009B6A81"/>
    <w:rsid w:val="009B6A82"/>
    <w:rsid w:val="009B6B23"/>
    <w:rsid w:val="009B70A7"/>
    <w:rsid w:val="009B711D"/>
    <w:rsid w:val="009B734C"/>
    <w:rsid w:val="009B7ABD"/>
    <w:rsid w:val="009C0021"/>
    <w:rsid w:val="009C040C"/>
    <w:rsid w:val="009C064B"/>
    <w:rsid w:val="009C074B"/>
    <w:rsid w:val="009C0A9D"/>
    <w:rsid w:val="009C0C7C"/>
    <w:rsid w:val="009C0F36"/>
    <w:rsid w:val="009C1003"/>
    <w:rsid w:val="009C1077"/>
    <w:rsid w:val="009C184A"/>
    <w:rsid w:val="009C19B0"/>
    <w:rsid w:val="009C1A14"/>
    <w:rsid w:val="009C1B44"/>
    <w:rsid w:val="009C1CF3"/>
    <w:rsid w:val="009C1D27"/>
    <w:rsid w:val="009C2387"/>
    <w:rsid w:val="009C246D"/>
    <w:rsid w:val="009C26E6"/>
    <w:rsid w:val="009C2959"/>
    <w:rsid w:val="009C2D0F"/>
    <w:rsid w:val="009C3052"/>
    <w:rsid w:val="009C30F4"/>
    <w:rsid w:val="009C3166"/>
    <w:rsid w:val="009C3794"/>
    <w:rsid w:val="009C3800"/>
    <w:rsid w:val="009C39C9"/>
    <w:rsid w:val="009C39D0"/>
    <w:rsid w:val="009C3BCE"/>
    <w:rsid w:val="009C3BD9"/>
    <w:rsid w:val="009C3C90"/>
    <w:rsid w:val="009C4034"/>
    <w:rsid w:val="009C40F7"/>
    <w:rsid w:val="009C41C4"/>
    <w:rsid w:val="009C437B"/>
    <w:rsid w:val="009C4676"/>
    <w:rsid w:val="009C4734"/>
    <w:rsid w:val="009C4874"/>
    <w:rsid w:val="009C4A1A"/>
    <w:rsid w:val="009C4BE7"/>
    <w:rsid w:val="009C53DE"/>
    <w:rsid w:val="009C580F"/>
    <w:rsid w:val="009C5989"/>
    <w:rsid w:val="009C5A4A"/>
    <w:rsid w:val="009C5B82"/>
    <w:rsid w:val="009C5C3F"/>
    <w:rsid w:val="009C5F22"/>
    <w:rsid w:val="009C5F45"/>
    <w:rsid w:val="009C60E1"/>
    <w:rsid w:val="009C6127"/>
    <w:rsid w:val="009C6320"/>
    <w:rsid w:val="009C6344"/>
    <w:rsid w:val="009C6E60"/>
    <w:rsid w:val="009C756E"/>
    <w:rsid w:val="009C7D69"/>
    <w:rsid w:val="009C7D91"/>
    <w:rsid w:val="009D0097"/>
    <w:rsid w:val="009D0467"/>
    <w:rsid w:val="009D08FD"/>
    <w:rsid w:val="009D0BD5"/>
    <w:rsid w:val="009D16B3"/>
    <w:rsid w:val="009D177E"/>
    <w:rsid w:val="009D1F8D"/>
    <w:rsid w:val="009D204C"/>
    <w:rsid w:val="009D21BE"/>
    <w:rsid w:val="009D2494"/>
    <w:rsid w:val="009D2618"/>
    <w:rsid w:val="009D26AE"/>
    <w:rsid w:val="009D27A8"/>
    <w:rsid w:val="009D2CE8"/>
    <w:rsid w:val="009D3035"/>
    <w:rsid w:val="009D329A"/>
    <w:rsid w:val="009D3421"/>
    <w:rsid w:val="009D3BA1"/>
    <w:rsid w:val="009D3C3D"/>
    <w:rsid w:val="009D3C96"/>
    <w:rsid w:val="009D3E5F"/>
    <w:rsid w:val="009D4037"/>
    <w:rsid w:val="009D4167"/>
    <w:rsid w:val="009D41FA"/>
    <w:rsid w:val="009D4380"/>
    <w:rsid w:val="009D4488"/>
    <w:rsid w:val="009D4577"/>
    <w:rsid w:val="009D514C"/>
    <w:rsid w:val="009D5288"/>
    <w:rsid w:val="009D52A5"/>
    <w:rsid w:val="009D56CB"/>
    <w:rsid w:val="009D57CA"/>
    <w:rsid w:val="009D5AD4"/>
    <w:rsid w:val="009D5E3F"/>
    <w:rsid w:val="009D5FE4"/>
    <w:rsid w:val="009D63C2"/>
    <w:rsid w:val="009D66A4"/>
    <w:rsid w:val="009D69B1"/>
    <w:rsid w:val="009D69E9"/>
    <w:rsid w:val="009D6CBE"/>
    <w:rsid w:val="009D72D0"/>
    <w:rsid w:val="009D7644"/>
    <w:rsid w:val="009D76BB"/>
    <w:rsid w:val="009D7A2E"/>
    <w:rsid w:val="009D7B09"/>
    <w:rsid w:val="009D7C4B"/>
    <w:rsid w:val="009D7DC8"/>
    <w:rsid w:val="009E020F"/>
    <w:rsid w:val="009E057D"/>
    <w:rsid w:val="009E0D56"/>
    <w:rsid w:val="009E1105"/>
    <w:rsid w:val="009E12BC"/>
    <w:rsid w:val="009E13B9"/>
    <w:rsid w:val="009E1857"/>
    <w:rsid w:val="009E1907"/>
    <w:rsid w:val="009E1A4A"/>
    <w:rsid w:val="009E1ACB"/>
    <w:rsid w:val="009E1CB3"/>
    <w:rsid w:val="009E20E0"/>
    <w:rsid w:val="009E22B9"/>
    <w:rsid w:val="009E240A"/>
    <w:rsid w:val="009E25C5"/>
    <w:rsid w:val="009E27AB"/>
    <w:rsid w:val="009E2AD3"/>
    <w:rsid w:val="009E2BDF"/>
    <w:rsid w:val="009E2F49"/>
    <w:rsid w:val="009E3495"/>
    <w:rsid w:val="009E381A"/>
    <w:rsid w:val="009E39B5"/>
    <w:rsid w:val="009E3B4E"/>
    <w:rsid w:val="009E3C3A"/>
    <w:rsid w:val="009E3FD7"/>
    <w:rsid w:val="009E453E"/>
    <w:rsid w:val="009E4728"/>
    <w:rsid w:val="009E47E5"/>
    <w:rsid w:val="009E4CEB"/>
    <w:rsid w:val="009E4EE3"/>
    <w:rsid w:val="009E59B8"/>
    <w:rsid w:val="009E602D"/>
    <w:rsid w:val="009E61DB"/>
    <w:rsid w:val="009E62D3"/>
    <w:rsid w:val="009E632B"/>
    <w:rsid w:val="009E638C"/>
    <w:rsid w:val="009E65E4"/>
    <w:rsid w:val="009E6F77"/>
    <w:rsid w:val="009E72C7"/>
    <w:rsid w:val="009E7631"/>
    <w:rsid w:val="009E789D"/>
    <w:rsid w:val="009E7910"/>
    <w:rsid w:val="009E7C6F"/>
    <w:rsid w:val="009F00B8"/>
    <w:rsid w:val="009F0136"/>
    <w:rsid w:val="009F02A3"/>
    <w:rsid w:val="009F0416"/>
    <w:rsid w:val="009F0995"/>
    <w:rsid w:val="009F0B65"/>
    <w:rsid w:val="009F0DE4"/>
    <w:rsid w:val="009F0EF1"/>
    <w:rsid w:val="009F146F"/>
    <w:rsid w:val="009F159C"/>
    <w:rsid w:val="009F19F3"/>
    <w:rsid w:val="009F19FF"/>
    <w:rsid w:val="009F1AAB"/>
    <w:rsid w:val="009F1CB9"/>
    <w:rsid w:val="009F1F93"/>
    <w:rsid w:val="009F205C"/>
    <w:rsid w:val="009F2253"/>
    <w:rsid w:val="009F2514"/>
    <w:rsid w:val="009F29AA"/>
    <w:rsid w:val="009F2E02"/>
    <w:rsid w:val="009F2F50"/>
    <w:rsid w:val="009F36BD"/>
    <w:rsid w:val="009F3783"/>
    <w:rsid w:val="009F3884"/>
    <w:rsid w:val="009F394C"/>
    <w:rsid w:val="009F3A68"/>
    <w:rsid w:val="009F3C75"/>
    <w:rsid w:val="009F3CF1"/>
    <w:rsid w:val="009F3DD8"/>
    <w:rsid w:val="009F3ED9"/>
    <w:rsid w:val="009F41DE"/>
    <w:rsid w:val="009F48D1"/>
    <w:rsid w:val="009F4A06"/>
    <w:rsid w:val="009F4B75"/>
    <w:rsid w:val="009F4C41"/>
    <w:rsid w:val="009F4D0F"/>
    <w:rsid w:val="009F4E57"/>
    <w:rsid w:val="009F4E9A"/>
    <w:rsid w:val="009F4F84"/>
    <w:rsid w:val="009F50D4"/>
    <w:rsid w:val="009F51A4"/>
    <w:rsid w:val="009F528B"/>
    <w:rsid w:val="009F5801"/>
    <w:rsid w:val="009F59AA"/>
    <w:rsid w:val="009F5C05"/>
    <w:rsid w:val="009F5CD2"/>
    <w:rsid w:val="009F606F"/>
    <w:rsid w:val="009F621C"/>
    <w:rsid w:val="009F64A0"/>
    <w:rsid w:val="009F6529"/>
    <w:rsid w:val="009F695F"/>
    <w:rsid w:val="009F6C16"/>
    <w:rsid w:val="009F6E2B"/>
    <w:rsid w:val="009F707A"/>
    <w:rsid w:val="009F7080"/>
    <w:rsid w:val="009F73F5"/>
    <w:rsid w:val="009F76BC"/>
    <w:rsid w:val="009F779E"/>
    <w:rsid w:val="009F7909"/>
    <w:rsid w:val="009F7B7F"/>
    <w:rsid w:val="009F7EAA"/>
    <w:rsid w:val="00A000E1"/>
    <w:rsid w:val="00A002F6"/>
    <w:rsid w:val="00A0037E"/>
    <w:rsid w:val="00A008E9"/>
    <w:rsid w:val="00A00A86"/>
    <w:rsid w:val="00A00A90"/>
    <w:rsid w:val="00A00B14"/>
    <w:rsid w:val="00A00B61"/>
    <w:rsid w:val="00A00C45"/>
    <w:rsid w:val="00A00CA8"/>
    <w:rsid w:val="00A01046"/>
    <w:rsid w:val="00A0109E"/>
    <w:rsid w:val="00A01282"/>
    <w:rsid w:val="00A01303"/>
    <w:rsid w:val="00A01453"/>
    <w:rsid w:val="00A015C6"/>
    <w:rsid w:val="00A016E5"/>
    <w:rsid w:val="00A01C2A"/>
    <w:rsid w:val="00A01CC7"/>
    <w:rsid w:val="00A01F89"/>
    <w:rsid w:val="00A0251A"/>
    <w:rsid w:val="00A02780"/>
    <w:rsid w:val="00A0280D"/>
    <w:rsid w:val="00A02C4F"/>
    <w:rsid w:val="00A02F01"/>
    <w:rsid w:val="00A03026"/>
    <w:rsid w:val="00A0309D"/>
    <w:rsid w:val="00A03132"/>
    <w:rsid w:val="00A03656"/>
    <w:rsid w:val="00A0382F"/>
    <w:rsid w:val="00A03D4C"/>
    <w:rsid w:val="00A0450A"/>
    <w:rsid w:val="00A04665"/>
    <w:rsid w:val="00A04A09"/>
    <w:rsid w:val="00A04DCE"/>
    <w:rsid w:val="00A04F3C"/>
    <w:rsid w:val="00A050F8"/>
    <w:rsid w:val="00A05617"/>
    <w:rsid w:val="00A056E2"/>
    <w:rsid w:val="00A05821"/>
    <w:rsid w:val="00A0588A"/>
    <w:rsid w:val="00A05C38"/>
    <w:rsid w:val="00A05C6E"/>
    <w:rsid w:val="00A05D1D"/>
    <w:rsid w:val="00A05EA2"/>
    <w:rsid w:val="00A05FB2"/>
    <w:rsid w:val="00A06654"/>
    <w:rsid w:val="00A066AD"/>
    <w:rsid w:val="00A0691A"/>
    <w:rsid w:val="00A06C51"/>
    <w:rsid w:val="00A06E60"/>
    <w:rsid w:val="00A06F54"/>
    <w:rsid w:val="00A07154"/>
    <w:rsid w:val="00A0732B"/>
    <w:rsid w:val="00A076CC"/>
    <w:rsid w:val="00A07758"/>
    <w:rsid w:val="00A078B8"/>
    <w:rsid w:val="00A07C1F"/>
    <w:rsid w:val="00A101FA"/>
    <w:rsid w:val="00A1061C"/>
    <w:rsid w:val="00A106CD"/>
    <w:rsid w:val="00A10A2F"/>
    <w:rsid w:val="00A10CC7"/>
    <w:rsid w:val="00A10F7B"/>
    <w:rsid w:val="00A114D6"/>
    <w:rsid w:val="00A1165C"/>
    <w:rsid w:val="00A11716"/>
    <w:rsid w:val="00A11946"/>
    <w:rsid w:val="00A11DB0"/>
    <w:rsid w:val="00A12232"/>
    <w:rsid w:val="00A124A2"/>
    <w:rsid w:val="00A125D6"/>
    <w:rsid w:val="00A12813"/>
    <w:rsid w:val="00A12A7A"/>
    <w:rsid w:val="00A12DAA"/>
    <w:rsid w:val="00A12E91"/>
    <w:rsid w:val="00A1305F"/>
    <w:rsid w:val="00A1311C"/>
    <w:rsid w:val="00A13152"/>
    <w:rsid w:val="00A13372"/>
    <w:rsid w:val="00A13750"/>
    <w:rsid w:val="00A1392C"/>
    <w:rsid w:val="00A13E10"/>
    <w:rsid w:val="00A13ED4"/>
    <w:rsid w:val="00A14461"/>
    <w:rsid w:val="00A1453D"/>
    <w:rsid w:val="00A14B1F"/>
    <w:rsid w:val="00A14E53"/>
    <w:rsid w:val="00A1521E"/>
    <w:rsid w:val="00A152F9"/>
    <w:rsid w:val="00A15471"/>
    <w:rsid w:val="00A15580"/>
    <w:rsid w:val="00A15622"/>
    <w:rsid w:val="00A15819"/>
    <w:rsid w:val="00A15983"/>
    <w:rsid w:val="00A15CFD"/>
    <w:rsid w:val="00A1624E"/>
    <w:rsid w:val="00A16449"/>
    <w:rsid w:val="00A164E4"/>
    <w:rsid w:val="00A167A1"/>
    <w:rsid w:val="00A16948"/>
    <w:rsid w:val="00A169DE"/>
    <w:rsid w:val="00A16DE3"/>
    <w:rsid w:val="00A1701F"/>
    <w:rsid w:val="00A174F9"/>
    <w:rsid w:val="00A178B3"/>
    <w:rsid w:val="00A178C8"/>
    <w:rsid w:val="00A17A44"/>
    <w:rsid w:val="00A17AA8"/>
    <w:rsid w:val="00A17AE4"/>
    <w:rsid w:val="00A17C14"/>
    <w:rsid w:val="00A17C2A"/>
    <w:rsid w:val="00A17EE2"/>
    <w:rsid w:val="00A201BA"/>
    <w:rsid w:val="00A2096E"/>
    <w:rsid w:val="00A20A57"/>
    <w:rsid w:val="00A20C98"/>
    <w:rsid w:val="00A20F65"/>
    <w:rsid w:val="00A20F80"/>
    <w:rsid w:val="00A21825"/>
    <w:rsid w:val="00A21971"/>
    <w:rsid w:val="00A21B8C"/>
    <w:rsid w:val="00A228F7"/>
    <w:rsid w:val="00A22E5F"/>
    <w:rsid w:val="00A22EFC"/>
    <w:rsid w:val="00A2332D"/>
    <w:rsid w:val="00A23925"/>
    <w:rsid w:val="00A23ABA"/>
    <w:rsid w:val="00A23C95"/>
    <w:rsid w:val="00A23E1C"/>
    <w:rsid w:val="00A23E2F"/>
    <w:rsid w:val="00A23E3A"/>
    <w:rsid w:val="00A2419D"/>
    <w:rsid w:val="00A24508"/>
    <w:rsid w:val="00A24C4B"/>
    <w:rsid w:val="00A24F1D"/>
    <w:rsid w:val="00A25704"/>
    <w:rsid w:val="00A25BCC"/>
    <w:rsid w:val="00A25CDA"/>
    <w:rsid w:val="00A25E79"/>
    <w:rsid w:val="00A25EDE"/>
    <w:rsid w:val="00A25FD9"/>
    <w:rsid w:val="00A26389"/>
    <w:rsid w:val="00A266AF"/>
    <w:rsid w:val="00A2682E"/>
    <w:rsid w:val="00A268CE"/>
    <w:rsid w:val="00A26E6B"/>
    <w:rsid w:val="00A2722F"/>
    <w:rsid w:val="00A2736A"/>
    <w:rsid w:val="00A2736E"/>
    <w:rsid w:val="00A2756D"/>
    <w:rsid w:val="00A275D9"/>
    <w:rsid w:val="00A27978"/>
    <w:rsid w:val="00A27ABA"/>
    <w:rsid w:val="00A27B98"/>
    <w:rsid w:val="00A27CB3"/>
    <w:rsid w:val="00A27E3A"/>
    <w:rsid w:val="00A27E94"/>
    <w:rsid w:val="00A27F50"/>
    <w:rsid w:val="00A27F67"/>
    <w:rsid w:val="00A302E5"/>
    <w:rsid w:val="00A303B8"/>
    <w:rsid w:val="00A30804"/>
    <w:rsid w:val="00A30E1E"/>
    <w:rsid w:val="00A3144B"/>
    <w:rsid w:val="00A315F6"/>
    <w:rsid w:val="00A31E62"/>
    <w:rsid w:val="00A31F64"/>
    <w:rsid w:val="00A32088"/>
    <w:rsid w:val="00A3223E"/>
    <w:rsid w:val="00A325EE"/>
    <w:rsid w:val="00A32BCB"/>
    <w:rsid w:val="00A32CA8"/>
    <w:rsid w:val="00A32F49"/>
    <w:rsid w:val="00A330C7"/>
    <w:rsid w:val="00A330DC"/>
    <w:rsid w:val="00A3379B"/>
    <w:rsid w:val="00A33BAF"/>
    <w:rsid w:val="00A34029"/>
    <w:rsid w:val="00A34120"/>
    <w:rsid w:val="00A3432B"/>
    <w:rsid w:val="00A34735"/>
    <w:rsid w:val="00A34756"/>
    <w:rsid w:val="00A3478B"/>
    <w:rsid w:val="00A34D11"/>
    <w:rsid w:val="00A34F4F"/>
    <w:rsid w:val="00A357FC"/>
    <w:rsid w:val="00A35E9A"/>
    <w:rsid w:val="00A3617D"/>
    <w:rsid w:val="00A361C3"/>
    <w:rsid w:val="00A367DE"/>
    <w:rsid w:val="00A36A3A"/>
    <w:rsid w:val="00A36A7F"/>
    <w:rsid w:val="00A36D83"/>
    <w:rsid w:val="00A36DD0"/>
    <w:rsid w:val="00A3701B"/>
    <w:rsid w:val="00A370A1"/>
    <w:rsid w:val="00A37370"/>
    <w:rsid w:val="00A3797F"/>
    <w:rsid w:val="00A37E28"/>
    <w:rsid w:val="00A40073"/>
    <w:rsid w:val="00A4015F"/>
    <w:rsid w:val="00A40F7E"/>
    <w:rsid w:val="00A41017"/>
    <w:rsid w:val="00A41093"/>
    <w:rsid w:val="00A411FA"/>
    <w:rsid w:val="00A41593"/>
    <w:rsid w:val="00A41693"/>
    <w:rsid w:val="00A41815"/>
    <w:rsid w:val="00A41ACE"/>
    <w:rsid w:val="00A42145"/>
    <w:rsid w:val="00A42C0C"/>
    <w:rsid w:val="00A42D20"/>
    <w:rsid w:val="00A430B3"/>
    <w:rsid w:val="00A43415"/>
    <w:rsid w:val="00A4371C"/>
    <w:rsid w:val="00A43755"/>
    <w:rsid w:val="00A43801"/>
    <w:rsid w:val="00A43A3E"/>
    <w:rsid w:val="00A43A47"/>
    <w:rsid w:val="00A43BC4"/>
    <w:rsid w:val="00A43DE0"/>
    <w:rsid w:val="00A43FE6"/>
    <w:rsid w:val="00A4473D"/>
    <w:rsid w:val="00A44C34"/>
    <w:rsid w:val="00A44C9E"/>
    <w:rsid w:val="00A44EC1"/>
    <w:rsid w:val="00A451D3"/>
    <w:rsid w:val="00A45242"/>
    <w:rsid w:val="00A45313"/>
    <w:rsid w:val="00A454B3"/>
    <w:rsid w:val="00A45505"/>
    <w:rsid w:val="00A456FA"/>
    <w:rsid w:val="00A4574A"/>
    <w:rsid w:val="00A45885"/>
    <w:rsid w:val="00A45B58"/>
    <w:rsid w:val="00A45E52"/>
    <w:rsid w:val="00A46293"/>
    <w:rsid w:val="00A46431"/>
    <w:rsid w:val="00A464E4"/>
    <w:rsid w:val="00A46532"/>
    <w:rsid w:val="00A46652"/>
    <w:rsid w:val="00A46A25"/>
    <w:rsid w:val="00A46D15"/>
    <w:rsid w:val="00A4713D"/>
    <w:rsid w:val="00A4741A"/>
    <w:rsid w:val="00A47760"/>
    <w:rsid w:val="00A47CA5"/>
    <w:rsid w:val="00A47CC2"/>
    <w:rsid w:val="00A47E43"/>
    <w:rsid w:val="00A500AE"/>
    <w:rsid w:val="00A506D8"/>
    <w:rsid w:val="00A508A9"/>
    <w:rsid w:val="00A50C26"/>
    <w:rsid w:val="00A511FB"/>
    <w:rsid w:val="00A5139D"/>
    <w:rsid w:val="00A517B8"/>
    <w:rsid w:val="00A518BF"/>
    <w:rsid w:val="00A51CB4"/>
    <w:rsid w:val="00A51DD8"/>
    <w:rsid w:val="00A52235"/>
    <w:rsid w:val="00A52352"/>
    <w:rsid w:val="00A5258C"/>
    <w:rsid w:val="00A525B9"/>
    <w:rsid w:val="00A52732"/>
    <w:rsid w:val="00A527AF"/>
    <w:rsid w:val="00A52823"/>
    <w:rsid w:val="00A52B0C"/>
    <w:rsid w:val="00A52BD0"/>
    <w:rsid w:val="00A52BF8"/>
    <w:rsid w:val="00A52E71"/>
    <w:rsid w:val="00A53228"/>
    <w:rsid w:val="00A5323B"/>
    <w:rsid w:val="00A53444"/>
    <w:rsid w:val="00A534B4"/>
    <w:rsid w:val="00A535CB"/>
    <w:rsid w:val="00A53798"/>
    <w:rsid w:val="00A53974"/>
    <w:rsid w:val="00A53C32"/>
    <w:rsid w:val="00A53D3A"/>
    <w:rsid w:val="00A53FB0"/>
    <w:rsid w:val="00A54129"/>
    <w:rsid w:val="00A5423F"/>
    <w:rsid w:val="00A543CB"/>
    <w:rsid w:val="00A54BB1"/>
    <w:rsid w:val="00A54FB4"/>
    <w:rsid w:val="00A55008"/>
    <w:rsid w:val="00A55013"/>
    <w:rsid w:val="00A552D3"/>
    <w:rsid w:val="00A553A7"/>
    <w:rsid w:val="00A553C6"/>
    <w:rsid w:val="00A5560D"/>
    <w:rsid w:val="00A55621"/>
    <w:rsid w:val="00A557CB"/>
    <w:rsid w:val="00A55A0F"/>
    <w:rsid w:val="00A55B24"/>
    <w:rsid w:val="00A562A7"/>
    <w:rsid w:val="00A5683E"/>
    <w:rsid w:val="00A56CA9"/>
    <w:rsid w:val="00A56D06"/>
    <w:rsid w:val="00A56DE0"/>
    <w:rsid w:val="00A56E60"/>
    <w:rsid w:val="00A56F83"/>
    <w:rsid w:val="00A572CC"/>
    <w:rsid w:val="00A57BEE"/>
    <w:rsid w:val="00A57BF3"/>
    <w:rsid w:val="00A57E86"/>
    <w:rsid w:val="00A60007"/>
    <w:rsid w:val="00A60058"/>
    <w:rsid w:val="00A60631"/>
    <w:rsid w:val="00A60B6C"/>
    <w:rsid w:val="00A60C0E"/>
    <w:rsid w:val="00A60D3E"/>
    <w:rsid w:val="00A613A3"/>
    <w:rsid w:val="00A613AC"/>
    <w:rsid w:val="00A6148A"/>
    <w:rsid w:val="00A618E5"/>
    <w:rsid w:val="00A61C9D"/>
    <w:rsid w:val="00A61CA3"/>
    <w:rsid w:val="00A6239C"/>
    <w:rsid w:val="00A624D7"/>
    <w:rsid w:val="00A62A6D"/>
    <w:rsid w:val="00A62E35"/>
    <w:rsid w:val="00A633BF"/>
    <w:rsid w:val="00A63964"/>
    <w:rsid w:val="00A63AB0"/>
    <w:rsid w:val="00A63ABC"/>
    <w:rsid w:val="00A63C18"/>
    <w:rsid w:val="00A63D52"/>
    <w:rsid w:val="00A63F06"/>
    <w:rsid w:val="00A6404A"/>
    <w:rsid w:val="00A64346"/>
    <w:rsid w:val="00A64426"/>
    <w:rsid w:val="00A64879"/>
    <w:rsid w:val="00A64D50"/>
    <w:rsid w:val="00A64F12"/>
    <w:rsid w:val="00A65247"/>
    <w:rsid w:val="00A656B8"/>
    <w:rsid w:val="00A657AD"/>
    <w:rsid w:val="00A65920"/>
    <w:rsid w:val="00A65AE3"/>
    <w:rsid w:val="00A65B6B"/>
    <w:rsid w:val="00A6624D"/>
    <w:rsid w:val="00A662DC"/>
    <w:rsid w:val="00A6651B"/>
    <w:rsid w:val="00A665A6"/>
    <w:rsid w:val="00A66B72"/>
    <w:rsid w:val="00A66E6D"/>
    <w:rsid w:val="00A66E8A"/>
    <w:rsid w:val="00A66E91"/>
    <w:rsid w:val="00A66F85"/>
    <w:rsid w:val="00A66FF5"/>
    <w:rsid w:val="00A67300"/>
    <w:rsid w:val="00A6741B"/>
    <w:rsid w:val="00A67461"/>
    <w:rsid w:val="00A6746F"/>
    <w:rsid w:val="00A6753C"/>
    <w:rsid w:val="00A67918"/>
    <w:rsid w:val="00A67B18"/>
    <w:rsid w:val="00A67CE3"/>
    <w:rsid w:val="00A67E00"/>
    <w:rsid w:val="00A67EEE"/>
    <w:rsid w:val="00A67F84"/>
    <w:rsid w:val="00A70002"/>
    <w:rsid w:val="00A703E2"/>
    <w:rsid w:val="00A7046C"/>
    <w:rsid w:val="00A70508"/>
    <w:rsid w:val="00A70557"/>
    <w:rsid w:val="00A707A2"/>
    <w:rsid w:val="00A708C2"/>
    <w:rsid w:val="00A71099"/>
    <w:rsid w:val="00A71440"/>
    <w:rsid w:val="00A7182A"/>
    <w:rsid w:val="00A71B7D"/>
    <w:rsid w:val="00A71C15"/>
    <w:rsid w:val="00A723B4"/>
    <w:rsid w:val="00A72A08"/>
    <w:rsid w:val="00A72A92"/>
    <w:rsid w:val="00A72BF1"/>
    <w:rsid w:val="00A730B1"/>
    <w:rsid w:val="00A73153"/>
    <w:rsid w:val="00A731D5"/>
    <w:rsid w:val="00A731D7"/>
    <w:rsid w:val="00A73287"/>
    <w:rsid w:val="00A732D4"/>
    <w:rsid w:val="00A73346"/>
    <w:rsid w:val="00A73652"/>
    <w:rsid w:val="00A737F2"/>
    <w:rsid w:val="00A73831"/>
    <w:rsid w:val="00A73D6C"/>
    <w:rsid w:val="00A73FAF"/>
    <w:rsid w:val="00A73FF1"/>
    <w:rsid w:val="00A73FFB"/>
    <w:rsid w:val="00A74226"/>
    <w:rsid w:val="00A742C3"/>
    <w:rsid w:val="00A747AF"/>
    <w:rsid w:val="00A749B4"/>
    <w:rsid w:val="00A74ADE"/>
    <w:rsid w:val="00A74DF7"/>
    <w:rsid w:val="00A75279"/>
    <w:rsid w:val="00A754BE"/>
    <w:rsid w:val="00A757B0"/>
    <w:rsid w:val="00A75946"/>
    <w:rsid w:val="00A75D50"/>
    <w:rsid w:val="00A760AB"/>
    <w:rsid w:val="00A76A07"/>
    <w:rsid w:val="00A76AF3"/>
    <w:rsid w:val="00A76F1A"/>
    <w:rsid w:val="00A7726C"/>
    <w:rsid w:val="00A776A4"/>
    <w:rsid w:val="00A80160"/>
    <w:rsid w:val="00A8049D"/>
    <w:rsid w:val="00A804A6"/>
    <w:rsid w:val="00A80515"/>
    <w:rsid w:val="00A80566"/>
    <w:rsid w:val="00A805B2"/>
    <w:rsid w:val="00A80C20"/>
    <w:rsid w:val="00A80DEE"/>
    <w:rsid w:val="00A80F81"/>
    <w:rsid w:val="00A80FF3"/>
    <w:rsid w:val="00A81067"/>
    <w:rsid w:val="00A8126D"/>
    <w:rsid w:val="00A8172A"/>
    <w:rsid w:val="00A817C0"/>
    <w:rsid w:val="00A818BE"/>
    <w:rsid w:val="00A81C0B"/>
    <w:rsid w:val="00A81D2F"/>
    <w:rsid w:val="00A821BC"/>
    <w:rsid w:val="00A821FA"/>
    <w:rsid w:val="00A8222E"/>
    <w:rsid w:val="00A822C2"/>
    <w:rsid w:val="00A822EE"/>
    <w:rsid w:val="00A822FA"/>
    <w:rsid w:val="00A823CF"/>
    <w:rsid w:val="00A823E0"/>
    <w:rsid w:val="00A825B0"/>
    <w:rsid w:val="00A828BE"/>
    <w:rsid w:val="00A82920"/>
    <w:rsid w:val="00A82990"/>
    <w:rsid w:val="00A8305D"/>
    <w:rsid w:val="00A831BD"/>
    <w:rsid w:val="00A83340"/>
    <w:rsid w:val="00A8353A"/>
    <w:rsid w:val="00A83702"/>
    <w:rsid w:val="00A837BD"/>
    <w:rsid w:val="00A83805"/>
    <w:rsid w:val="00A83918"/>
    <w:rsid w:val="00A839D1"/>
    <w:rsid w:val="00A83ADF"/>
    <w:rsid w:val="00A83D80"/>
    <w:rsid w:val="00A84096"/>
    <w:rsid w:val="00A8459D"/>
    <w:rsid w:val="00A846A2"/>
    <w:rsid w:val="00A846A6"/>
    <w:rsid w:val="00A847C2"/>
    <w:rsid w:val="00A847EC"/>
    <w:rsid w:val="00A85019"/>
    <w:rsid w:val="00A85037"/>
    <w:rsid w:val="00A8512F"/>
    <w:rsid w:val="00A8542A"/>
    <w:rsid w:val="00A855A4"/>
    <w:rsid w:val="00A856BD"/>
    <w:rsid w:val="00A85854"/>
    <w:rsid w:val="00A8588B"/>
    <w:rsid w:val="00A85C50"/>
    <w:rsid w:val="00A85F6A"/>
    <w:rsid w:val="00A85FC7"/>
    <w:rsid w:val="00A861F8"/>
    <w:rsid w:val="00A862AF"/>
    <w:rsid w:val="00A8666C"/>
    <w:rsid w:val="00A8687B"/>
    <w:rsid w:val="00A87286"/>
    <w:rsid w:val="00A874CF"/>
    <w:rsid w:val="00A875C3"/>
    <w:rsid w:val="00A8762F"/>
    <w:rsid w:val="00A8771E"/>
    <w:rsid w:val="00A87B1E"/>
    <w:rsid w:val="00A87DE3"/>
    <w:rsid w:val="00A87DED"/>
    <w:rsid w:val="00A87FA3"/>
    <w:rsid w:val="00A901AC"/>
    <w:rsid w:val="00A901B8"/>
    <w:rsid w:val="00A901D5"/>
    <w:rsid w:val="00A90401"/>
    <w:rsid w:val="00A909C4"/>
    <w:rsid w:val="00A90E94"/>
    <w:rsid w:val="00A910A7"/>
    <w:rsid w:val="00A91525"/>
    <w:rsid w:val="00A91976"/>
    <w:rsid w:val="00A91AB8"/>
    <w:rsid w:val="00A91AE9"/>
    <w:rsid w:val="00A91B70"/>
    <w:rsid w:val="00A91D88"/>
    <w:rsid w:val="00A921E3"/>
    <w:rsid w:val="00A922A6"/>
    <w:rsid w:val="00A922B8"/>
    <w:rsid w:val="00A9266D"/>
    <w:rsid w:val="00A927DB"/>
    <w:rsid w:val="00A928FA"/>
    <w:rsid w:val="00A92F9C"/>
    <w:rsid w:val="00A93361"/>
    <w:rsid w:val="00A938C7"/>
    <w:rsid w:val="00A939FD"/>
    <w:rsid w:val="00A93D70"/>
    <w:rsid w:val="00A93D98"/>
    <w:rsid w:val="00A93EB5"/>
    <w:rsid w:val="00A941D1"/>
    <w:rsid w:val="00A944CC"/>
    <w:rsid w:val="00A945D7"/>
    <w:rsid w:val="00A948D8"/>
    <w:rsid w:val="00A948DE"/>
    <w:rsid w:val="00A94C40"/>
    <w:rsid w:val="00A94C7E"/>
    <w:rsid w:val="00A94D20"/>
    <w:rsid w:val="00A94D23"/>
    <w:rsid w:val="00A94E58"/>
    <w:rsid w:val="00A94ECF"/>
    <w:rsid w:val="00A94FC0"/>
    <w:rsid w:val="00A956BA"/>
    <w:rsid w:val="00A957EA"/>
    <w:rsid w:val="00A95EA3"/>
    <w:rsid w:val="00A9618C"/>
    <w:rsid w:val="00A96903"/>
    <w:rsid w:val="00A96B50"/>
    <w:rsid w:val="00A96C6E"/>
    <w:rsid w:val="00A9752B"/>
    <w:rsid w:val="00A97536"/>
    <w:rsid w:val="00A977E3"/>
    <w:rsid w:val="00A977ED"/>
    <w:rsid w:val="00A97DC9"/>
    <w:rsid w:val="00AA008C"/>
    <w:rsid w:val="00AA0147"/>
    <w:rsid w:val="00AA020C"/>
    <w:rsid w:val="00AA03A1"/>
    <w:rsid w:val="00AA03C7"/>
    <w:rsid w:val="00AA04AF"/>
    <w:rsid w:val="00AA07CB"/>
    <w:rsid w:val="00AA0807"/>
    <w:rsid w:val="00AA0BD1"/>
    <w:rsid w:val="00AA0E0B"/>
    <w:rsid w:val="00AA1018"/>
    <w:rsid w:val="00AA11FC"/>
    <w:rsid w:val="00AA1308"/>
    <w:rsid w:val="00AA14A2"/>
    <w:rsid w:val="00AA1CC8"/>
    <w:rsid w:val="00AA2026"/>
    <w:rsid w:val="00AA2239"/>
    <w:rsid w:val="00AA2461"/>
    <w:rsid w:val="00AA2574"/>
    <w:rsid w:val="00AA2865"/>
    <w:rsid w:val="00AA286E"/>
    <w:rsid w:val="00AA2EC6"/>
    <w:rsid w:val="00AA36FA"/>
    <w:rsid w:val="00AA3A9B"/>
    <w:rsid w:val="00AA3BF1"/>
    <w:rsid w:val="00AA423D"/>
    <w:rsid w:val="00AA45CE"/>
    <w:rsid w:val="00AA4955"/>
    <w:rsid w:val="00AA497C"/>
    <w:rsid w:val="00AA49DE"/>
    <w:rsid w:val="00AA4F7E"/>
    <w:rsid w:val="00AA5040"/>
    <w:rsid w:val="00AA50DA"/>
    <w:rsid w:val="00AA511D"/>
    <w:rsid w:val="00AA52D6"/>
    <w:rsid w:val="00AA5323"/>
    <w:rsid w:val="00AA535C"/>
    <w:rsid w:val="00AA5410"/>
    <w:rsid w:val="00AA5704"/>
    <w:rsid w:val="00AA5F40"/>
    <w:rsid w:val="00AA5FB9"/>
    <w:rsid w:val="00AA5FF1"/>
    <w:rsid w:val="00AA6302"/>
    <w:rsid w:val="00AA6462"/>
    <w:rsid w:val="00AA65CB"/>
    <w:rsid w:val="00AA699C"/>
    <w:rsid w:val="00AA6AA1"/>
    <w:rsid w:val="00AA6DC6"/>
    <w:rsid w:val="00AA710C"/>
    <w:rsid w:val="00AA712B"/>
    <w:rsid w:val="00AA7702"/>
    <w:rsid w:val="00AA77B2"/>
    <w:rsid w:val="00AA7925"/>
    <w:rsid w:val="00AB0050"/>
    <w:rsid w:val="00AB00F2"/>
    <w:rsid w:val="00AB0486"/>
    <w:rsid w:val="00AB09EC"/>
    <w:rsid w:val="00AB0C5E"/>
    <w:rsid w:val="00AB0CB3"/>
    <w:rsid w:val="00AB1439"/>
    <w:rsid w:val="00AB1607"/>
    <w:rsid w:val="00AB168A"/>
    <w:rsid w:val="00AB16DB"/>
    <w:rsid w:val="00AB1915"/>
    <w:rsid w:val="00AB1C1C"/>
    <w:rsid w:val="00AB1C47"/>
    <w:rsid w:val="00AB1D7E"/>
    <w:rsid w:val="00AB21C6"/>
    <w:rsid w:val="00AB2547"/>
    <w:rsid w:val="00AB2841"/>
    <w:rsid w:val="00AB2919"/>
    <w:rsid w:val="00AB2C45"/>
    <w:rsid w:val="00AB2ECF"/>
    <w:rsid w:val="00AB32C0"/>
    <w:rsid w:val="00AB35B8"/>
    <w:rsid w:val="00AB3AFC"/>
    <w:rsid w:val="00AB3F99"/>
    <w:rsid w:val="00AB407D"/>
    <w:rsid w:val="00AB480D"/>
    <w:rsid w:val="00AB4851"/>
    <w:rsid w:val="00AB4961"/>
    <w:rsid w:val="00AB531B"/>
    <w:rsid w:val="00AB53B3"/>
    <w:rsid w:val="00AB5DF1"/>
    <w:rsid w:val="00AB5E30"/>
    <w:rsid w:val="00AB6403"/>
    <w:rsid w:val="00AB65D8"/>
    <w:rsid w:val="00AB67FB"/>
    <w:rsid w:val="00AB6830"/>
    <w:rsid w:val="00AB6875"/>
    <w:rsid w:val="00AB68D3"/>
    <w:rsid w:val="00AB6FE4"/>
    <w:rsid w:val="00AB729E"/>
    <w:rsid w:val="00AB75C8"/>
    <w:rsid w:val="00AB76FD"/>
    <w:rsid w:val="00AB7A65"/>
    <w:rsid w:val="00AB7EC7"/>
    <w:rsid w:val="00AC071B"/>
    <w:rsid w:val="00AC1139"/>
    <w:rsid w:val="00AC1836"/>
    <w:rsid w:val="00AC1901"/>
    <w:rsid w:val="00AC1AF2"/>
    <w:rsid w:val="00AC1DAE"/>
    <w:rsid w:val="00AC1FBD"/>
    <w:rsid w:val="00AC26E6"/>
    <w:rsid w:val="00AC2ABE"/>
    <w:rsid w:val="00AC30EC"/>
    <w:rsid w:val="00AC329E"/>
    <w:rsid w:val="00AC3796"/>
    <w:rsid w:val="00AC3803"/>
    <w:rsid w:val="00AC3C87"/>
    <w:rsid w:val="00AC3CD7"/>
    <w:rsid w:val="00AC3EE8"/>
    <w:rsid w:val="00AC437A"/>
    <w:rsid w:val="00AC474E"/>
    <w:rsid w:val="00AC4904"/>
    <w:rsid w:val="00AC4A5E"/>
    <w:rsid w:val="00AC4C79"/>
    <w:rsid w:val="00AC4E78"/>
    <w:rsid w:val="00AC4F07"/>
    <w:rsid w:val="00AC5140"/>
    <w:rsid w:val="00AC533C"/>
    <w:rsid w:val="00AC5507"/>
    <w:rsid w:val="00AC590D"/>
    <w:rsid w:val="00AC5BE7"/>
    <w:rsid w:val="00AC5D07"/>
    <w:rsid w:val="00AC5DB5"/>
    <w:rsid w:val="00AC5ED4"/>
    <w:rsid w:val="00AC648F"/>
    <w:rsid w:val="00AC67BE"/>
    <w:rsid w:val="00AC69C3"/>
    <w:rsid w:val="00AC6A61"/>
    <w:rsid w:val="00AC6F7D"/>
    <w:rsid w:val="00AC720A"/>
    <w:rsid w:val="00AC7393"/>
    <w:rsid w:val="00AD0031"/>
    <w:rsid w:val="00AD0162"/>
    <w:rsid w:val="00AD0A85"/>
    <w:rsid w:val="00AD0BE6"/>
    <w:rsid w:val="00AD0C0B"/>
    <w:rsid w:val="00AD0DC0"/>
    <w:rsid w:val="00AD1274"/>
    <w:rsid w:val="00AD17FC"/>
    <w:rsid w:val="00AD1B60"/>
    <w:rsid w:val="00AD1C9E"/>
    <w:rsid w:val="00AD1D59"/>
    <w:rsid w:val="00AD20E5"/>
    <w:rsid w:val="00AD2146"/>
    <w:rsid w:val="00AD2151"/>
    <w:rsid w:val="00AD249E"/>
    <w:rsid w:val="00AD2776"/>
    <w:rsid w:val="00AD34C9"/>
    <w:rsid w:val="00AD3568"/>
    <w:rsid w:val="00AD3896"/>
    <w:rsid w:val="00AD38F8"/>
    <w:rsid w:val="00AD39A0"/>
    <w:rsid w:val="00AD4338"/>
    <w:rsid w:val="00AD478E"/>
    <w:rsid w:val="00AD4909"/>
    <w:rsid w:val="00AD4917"/>
    <w:rsid w:val="00AD4AFC"/>
    <w:rsid w:val="00AD4B19"/>
    <w:rsid w:val="00AD4B99"/>
    <w:rsid w:val="00AD4D39"/>
    <w:rsid w:val="00AD51E8"/>
    <w:rsid w:val="00AD5256"/>
    <w:rsid w:val="00AD60EA"/>
    <w:rsid w:val="00AD64C1"/>
    <w:rsid w:val="00AD64D6"/>
    <w:rsid w:val="00AD6528"/>
    <w:rsid w:val="00AD66CE"/>
    <w:rsid w:val="00AD67D4"/>
    <w:rsid w:val="00AD6D79"/>
    <w:rsid w:val="00AD6EE9"/>
    <w:rsid w:val="00AD70F2"/>
    <w:rsid w:val="00AD73CC"/>
    <w:rsid w:val="00AD74A2"/>
    <w:rsid w:val="00AD7906"/>
    <w:rsid w:val="00AD7914"/>
    <w:rsid w:val="00AD7A27"/>
    <w:rsid w:val="00AD7AD1"/>
    <w:rsid w:val="00AE0046"/>
    <w:rsid w:val="00AE025B"/>
    <w:rsid w:val="00AE0414"/>
    <w:rsid w:val="00AE057E"/>
    <w:rsid w:val="00AE0747"/>
    <w:rsid w:val="00AE099E"/>
    <w:rsid w:val="00AE0B00"/>
    <w:rsid w:val="00AE0F77"/>
    <w:rsid w:val="00AE10C9"/>
    <w:rsid w:val="00AE12F1"/>
    <w:rsid w:val="00AE152B"/>
    <w:rsid w:val="00AE1A08"/>
    <w:rsid w:val="00AE205C"/>
    <w:rsid w:val="00AE2365"/>
    <w:rsid w:val="00AE27C1"/>
    <w:rsid w:val="00AE29CE"/>
    <w:rsid w:val="00AE2D0C"/>
    <w:rsid w:val="00AE30F3"/>
    <w:rsid w:val="00AE31C7"/>
    <w:rsid w:val="00AE32E3"/>
    <w:rsid w:val="00AE33AC"/>
    <w:rsid w:val="00AE3611"/>
    <w:rsid w:val="00AE3729"/>
    <w:rsid w:val="00AE3738"/>
    <w:rsid w:val="00AE3750"/>
    <w:rsid w:val="00AE3A6C"/>
    <w:rsid w:val="00AE3A9C"/>
    <w:rsid w:val="00AE3B0C"/>
    <w:rsid w:val="00AE3C2A"/>
    <w:rsid w:val="00AE3CE2"/>
    <w:rsid w:val="00AE3E87"/>
    <w:rsid w:val="00AE3EB0"/>
    <w:rsid w:val="00AE3F7A"/>
    <w:rsid w:val="00AE432B"/>
    <w:rsid w:val="00AE4331"/>
    <w:rsid w:val="00AE43F0"/>
    <w:rsid w:val="00AE450E"/>
    <w:rsid w:val="00AE4838"/>
    <w:rsid w:val="00AE4AD4"/>
    <w:rsid w:val="00AE4B70"/>
    <w:rsid w:val="00AE4CB6"/>
    <w:rsid w:val="00AE5141"/>
    <w:rsid w:val="00AE53F7"/>
    <w:rsid w:val="00AE544D"/>
    <w:rsid w:val="00AE5825"/>
    <w:rsid w:val="00AE582C"/>
    <w:rsid w:val="00AE5933"/>
    <w:rsid w:val="00AE5CEF"/>
    <w:rsid w:val="00AE5CF9"/>
    <w:rsid w:val="00AE5F10"/>
    <w:rsid w:val="00AE5FA1"/>
    <w:rsid w:val="00AE614D"/>
    <w:rsid w:val="00AE6240"/>
    <w:rsid w:val="00AE6550"/>
    <w:rsid w:val="00AE685F"/>
    <w:rsid w:val="00AE6B0C"/>
    <w:rsid w:val="00AE7012"/>
    <w:rsid w:val="00AE71CB"/>
    <w:rsid w:val="00AE730A"/>
    <w:rsid w:val="00AE7849"/>
    <w:rsid w:val="00AE7977"/>
    <w:rsid w:val="00AE7A4E"/>
    <w:rsid w:val="00AF0236"/>
    <w:rsid w:val="00AF028C"/>
    <w:rsid w:val="00AF0691"/>
    <w:rsid w:val="00AF0700"/>
    <w:rsid w:val="00AF077C"/>
    <w:rsid w:val="00AF0936"/>
    <w:rsid w:val="00AF0A95"/>
    <w:rsid w:val="00AF0D65"/>
    <w:rsid w:val="00AF0E3E"/>
    <w:rsid w:val="00AF0FEC"/>
    <w:rsid w:val="00AF112F"/>
    <w:rsid w:val="00AF1929"/>
    <w:rsid w:val="00AF1AFD"/>
    <w:rsid w:val="00AF1D79"/>
    <w:rsid w:val="00AF1F10"/>
    <w:rsid w:val="00AF20BF"/>
    <w:rsid w:val="00AF23A7"/>
    <w:rsid w:val="00AF2787"/>
    <w:rsid w:val="00AF2BD6"/>
    <w:rsid w:val="00AF30C1"/>
    <w:rsid w:val="00AF35FB"/>
    <w:rsid w:val="00AF38D5"/>
    <w:rsid w:val="00AF39C1"/>
    <w:rsid w:val="00AF3D39"/>
    <w:rsid w:val="00AF3F7C"/>
    <w:rsid w:val="00AF4209"/>
    <w:rsid w:val="00AF4591"/>
    <w:rsid w:val="00AF497B"/>
    <w:rsid w:val="00AF4C5E"/>
    <w:rsid w:val="00AF50AD"/>
    <w:rsid w:val="00AF53B6"/>
    <w:rsid w:val="00AF5480"/>
    <w:rsid w:val="00AF553E"/>
    <w:rsid w:val="00AF5A15"/>
    <w:rsid w:val="00AF5B8A"/>
    <w:rsid w:val="00AF5BE8"/>
    <w:rsid w:val="00AF5FD5"/>
    <w:rsid w:val="00AF61D6"/>
    <w:rsid w:val="00AF663F"/>
    <w:rsid w:val="00AF6A4C"/>
    <w:rsid w:val="00AF6A96"/>
    <w:rsid w:val="00AF71EE"/>
    <w:rsid w:val="00AF7509"/>
    <w:rsid w:val="00AF768E"/>
    <w:rsid w:val="00AF76E1"/>
    <w:rsid w:val="00AF77D3"/>
    <w:rsid w:val="00AF77F8"/>
    <w:rsid w:val="00AF7AF6"/>
    <w:rsid w:val="00AF7DB6"/>
    <w:rsid w:val="00AF7F78"/>
    <w:rsid w:val="00B0030E"/>
    <w:rsid w:val="00B00B64"/>
    <w:rsid w:val="00B00EAE"/>
    <w:rsid w:val="00B01011"/>
    <w:rsid w:val="00B0145F"/>
    <w:rsid w:val="00B01527"/>
    <w:rsid w:val="00B016CD"/>
    <w:rsid w:val="00B01802"/>
    <w:rsid w:val="00B019A3"/>
    <w:rsid w:val="00B01B26"/>
    <w:rsid w:val="00B01D4F"/>
    <w:rsid w:val="00B01ED6"/>
    <w:rsid w:val="00B01FFE"/>
    <w:rsid w:val="00B02183"/>
    <w:rsid w:val="00B02285"/>
    <w:rsid w:val="00B025B6"/>
    <w:rsid w:val="00B026B3"/>
    <w:rsid w:val="00B0292D"/>
    <w:rsid w:val="00B02A5D"/>
    <w:rsid w:val="00B02C83"/>
    <w:rsid w:val="00B031AB"/>
    <w:rsid w:val="00B031F4"/>
    <w:rsid w:val="00B032BB"/>
    <w:rsid w:val="00B03306"/>
    <w:rsid w:val="00B03706"/>
    <w:rsid w:val="00B037F0"/>
    <w:rsid w:val="00B03D93"/>
    <w:rsid w:val="00B04059"/>
    <w:rsid w:val="00B041E2"/>
    <w:rsid w:val="00B0433B"/>
    <w:rsid w:val="00B0435A"/>
    <w:rsid w:val="00B043FF"/>
    <w:rsid w:val="00B046B3"/>
    <w:rsid w:val="00B047C2"/>
    <w:rsid w:val="00B04CB1"/>
    <w:rsid w:val="00B04EFC"/>
    <w:rsid w:val="00B0559F"/>
    <w:rsid w:val="00B05635"/>
    <w:rsid w:val="00B057D0"/>
    <w:rsid w:val="00B058AA"/>
    <w:rsid w:val="00B05DC7"/>
    <w:rsid w:val="00B05E16"/>
    <w:rsid w:val="00B064A6"/>
    <w:rsid w:val="00B06618"/>
    <w:rsid w:val="00B066AA"/>
    <w:rsid w:val="00B066B9"/>
    <w:rsid w:val="00B06803"/>
    <w:rsid w:val="00B0693E"/>
    <w:rsid w:val="00B06DC3"/>
    <w:rsid w:val="00B07620"/>
    <w:rsid w:val="00B077EA"/>
    <w:rsid w:val="00B07947"/>
    <w:rsid w:val="00B07B93"/>
    <w:rsid w:val="00B07C63"/>
    <w:rsid w:val="00B07D56"/>
    <w:rsid w:val="00B101D0"/>
    <w:rsid w:val="00B10208"/>
    <w:rsid w:val="00B10237"/>
    <w:rsid w:val="00B1027C"/>
    <w:rsid w:val="00B105B1"/>
    <w:rsid w:val="00B10DA0"/>
    <w:rsid w:val="00B1115C"/>
    <w:rsid w:val="00B113A3"/>
    <w:rsid w:val="00B115EE"/>
    <w:rsid w:val="00B1161C"/>
    <w:rsid w:val="00B11A2A"/>
    <w:rsid w:val="00B11ADD"/>
    <w:rsid w:val="00B11CEF"/>
    <w:rsid w:val="00B11DE5"/>
    <w:rsid w:val="00B120ED"/>
    <w:rsid w:val="00B1217B"/>
    <w:rsid w:val="00B12240"/>
    <w:rsid w:val="00B123E1"/>
    <w:rsid w:val="00B12707"/>
    <w:rsid w:val="00B129A8"/>
    <w:rsid w:val="00B129B3"/>
    <w:rsid w:val="00B12A76"/>
    <w:rsid w:val="00B1303D"/>
    <w:rsid w:val="00B1314F"/>
    <w:rsid w:val="00B131C4"/>
    <w:rsid w:val="00B13457"/>
    <w:rsid w:val="00B134CC"/>
    <w:rsid w:val="00B1390C"/>
    <w:rsid w:val="00B13D09"/>
    <w:rsid w:val="00B13DDC"/>
    <w:rsid w:val="00B13F48"/>
    <w:rsid w:val="00B1476F"/>
    <w:rsid w:val="00B147C1"/>
    <w:rsid w:val="00B14DC8"/>
    <w:rsid w:val="00B14F43"/>
    <w:rsid w:val="00B150CE"/>
    <w:rsid w:val="00B151CF"/>
    <w:rsid w:val="00B1528E"/>
    <w:rsid w:val="00B154EC"/>
    <w:rsid w:val="00B15591"/>
    <w:rsid w:val="00B15684"/>
    <w:rsid w:val="00B16368"/>
    <w:rsid w:val="00B16704"/>
    <w:rsid w:val="00B169BD"/>
    <w:rsid w:val="00B169DB"/>
    <w:rsid w:val="00B16A67"/>
    <w:rsid w:val="00B16A91"/>
    <w:rsid w:val="00B16C25"/>
    <w:rsid w:val="00B17084"/>
    <w:rsid w:val="00B17360"/>
    <w:rsid w:val="00B1771C"/>
    <w:rsid w:val="00B1798D"/>
    <w:rsid w:val="00B17A07"/>
    <w:rsid w:val="00B17C36"/>
    <w:rsid w:val="00B17D8F"/>
    <w:rsid w:val="00B17DF5"/>
    <w:rsid w:val="00B17E7C"/>
    <w:rsid w:val="00B20445"/>
    <w:rsid w:val="00B205A3"/>
    <w:rsid w:val="00B20618"/>
    <w:rsid w:val="00B20634"/>
    <w:rsid w:val="00B20694"/>
    <w:rsid w:val="00B20716"/>
    <w:rsid w:val="00B207B0"/>
    <w:rsid w:val="00B207C3"/>
    <w:rsid w:val="00B208C5"/>
    <w:rsid w:val="00B208E7"/>
    <w:rsid w:val="00B20952"/>
    <w:rsid w:val="00B20B15"/>
    <w:rsid w:val="00B20DEA"/>
    <w:rsid w:val="00B212DA"/>
    <w:rsid w:val="00B217DD"/>
    <w:rsid w:val="00B2190A"/>
    <w:rsid w:val="00B21B93"/>
    <w:rsid w:val="00B21CA9"/>
    <w:rsid w:val="00B22240"/>
    <w:rsid w:val="00B223A5"/>
    <w:rsid w:val="00B223C4"/>
    <w:rsid w:val="00B228D9"/>
    <w:rsid w:val="00B22C38"/>
    <w:rsid w:val="00B22ED4"/>
    <w:rsid w:val="00B23286"/>
    <w:rsid w:val="00B23390"/>
    <w:rsid w:val="00B23645"/>
    <w:rsid w:val="00B23FA9"/>
    <w:rsid w:val="00B240A7"/>
    <w:rsid w:val="00B2427C"/>
    <w:rsid w:val="00B24467"/>
    <w:rsid w:val="00B247AD"/>
    <w:rsid w:val="00B24A25"/>
    <w:rsid w:val="00B24D02"/>
    <w:rsid w:val="00B2505E"/>
    <w:rsid w:val="00B2508F"/>
    <w:rsid w:val="00B250CA"/>
    <w:rsid w:val="00B2518E"/>
    <w:rsid w:val="00B25495"/>
    <w:rsid w:val="00B2585E"/>
    <w:rsid w:val="00B2589C"/>
    <w:rsid w:val="00B25A81"/>
    <w:rsid w:val="00B25C10"/>
    <w:rsid w:val="00B25C8D"/>
    <w:rsid w:val="00B25D05"/>
    <w:rsid w:val="00B25DB9"/>
    <w:rsid w:val="00B26256"/>
    <w:rsid w:val="00B26581"/>
    <w:rsid w:val="00B26622"/>
    <w:rsid w:val="00B26669"/>
    <w:rsid w:val="00B267E8"/>
    <w:rsid w:val="00B267F0"/>
    <w:rsid w:val="00B26A43"/>
    <w:rsid w:val="00B26CFA"/>
    <w:rsid w:val="00B26FDD"/>
    <w:rsid w:val="00B2713F"/>
    <w:rsid w:val="00B27311"/>
    <w:rsid w:val="00B27471"/>
    <w:rsid w:val="00B276B4"/>
    <w:rsid w:val="00B27795"/>
    <w:rsid w:val="00B27C89"/>
    <w:rsid w:val="00B27C97"/>
    <w:rsid w:val="00B27F35"/>
    <w:rsid w:val="00B27FD9"/>
    <w:rsid w:val="00B30288"/>
    <w:rsid w:val="00B3037D"/>
    <w:rsid w:val="00B303F6"/>
    <w:rsid w:val="00B304F5"/>
    <w:rsid w:val="00B30562"/>
    <w:rsid w:val="00B3062D"/>
    <w:rsid w:val="00B307B7"/>
    <w:rsid w:val="00B309AC"/>
    <w:rsid w:val="00B30A45"/>
    <w:rsid w:val="00B30B79"/>
    <w:rsid w:val="00B30E0C"/>
    <w:rsid w:val="00B30EE9"/>
    <w:rsid w:val="00B312A5"/>
    <w:rsid w:val="00B31332"/>
    <w:rsid w:val="00B3142F"/>
    <w:rsid w:val="00B314C2"/>
    <w:rsid w:val="00B315E8"/>
    <w:rsid w:val="00B3162E"/>
    <w:rsid w:val="00B31739"/>
    <w:rsid w:val="00B31785"/>
    <w:rsid w:val="00B31A0F"/>
    <w:rsid w:val="00B31AB4"/>
    <w:rsid w:val="00B31AF7"/>
    <w:rsid w:val="00B31E10"/>
    <w:rsid w:val="00B32186"/>
    <w:rsid w:val="00B32231"/>
    <w:rsid w:val="00B32371"/>
    <w:rsid w:val="00B323B0"/>
    <w:rsid w:val="00B323C7"/>
    <w:rsid w:val="00B32756"/>
    <w:rsid w:val="00B32AFE"/>
    <w:rsid w:val="00B32CD0"/>
    <w:rsid w:val="00B3310D"/>
    <w:rsid w:val="00B33187"/>
    <w:rsid w:val="00B33284"/>
    <w:rsid w:val="00B3333B"/>
    <w:rsid w:val="00B33614"/>
    <w:rsid w:val="00B3378B"/>
    <w:rsid w:val="00B3389F"/>
    <w:rsid w:val="00B33B0A"/>
    <w:rsid w:val="00B33B51"/>
    <w:rsid w:val="00B33E2F"/>
    <w:rsid w:val="00B341BC"/>
    <w:rsid w:val="00B34269"/>
    <w:rsid w:val="00B34458"/>
    <w:rsid w:val="00B349A9"/>
    <w:rsid w:val="00B34DC5"/>
    <w:rsid w:val="00B3507A"/>
    <w:rsid w:val="00B350BB"/>
    <w:rsid w:val="00B350D0"/>
    <w:rsid w:val="00B3543A"/>
    <w:rsid w:val="00B35E24"/>
    <w:rsid w:val="00B36028"/>
    <w:rsid w:val="00B366F1"/>
    <w:rsid w:val="00B3675F"/>
    <w:rsid w:val="00B36E03"/>
    <w:rsid w:val="00B36E51"/>
    <w:rsid w:val="00B370FD"/>
    <w:rsid w:val="00B37248"/>
    <w:rsid w:val="00B372E6"/>
    <w:rsid w:val="00B3743B"/>
    <w:rsid w:val="00B40064"/>
    <w:rsid w:val="00B402A9"/>
    <w:rsid w:val="00B405F8"/>
    <w:rsid w:val="00B40725"/>
    <w:rsid w:val="00B40938"/>
    <w:rsid w:val="00B40F00"/>
    <w:rsid w:val="00B40F29"/>
    <w:rsid w:val="00B415B6"/>
    <w:rsid w:val="00B41D8D"/>
    <w:rsid w:val="00B424DC"/>
    <w:rsid w:val="00B428A8"/>
    <w:rsid w:val="00B428C4"/>
    <w:rsid w:val="00B43099"/>
    <w:rsid w:val="00B43160"/>
    <w:rsid w:val="00B4330C"/>
    <w:rsid w:val="00B43369"/>
    <w:rsid w:val="00B43969"/>
    <w:rsid w:val="00B43AE0"/>
    <w:rsid w:val="00B43E8D"/>
    <w:rsid w:val="00B44069"/>
    <w:rsid w:val="00B44605"/>
    <w:rsid w:val="00B4472C"/>
    <w:rsid w:val="00B448A4"/>
    <w:rsid w:val="00B44D68"/>
    <w:rsid w:val="00B45050"/>
    <w:rsid w:val="00B4536A"/>
    <w:rsid w:val="00B45B9B"/>
    <w:rsid w:val="00B45C60"/>
    <w:rsid w:val="00B45EE5"/>
    <w:rsid w:val="00B45F1F"/>
    <w:rsid w:val="00B45FA9"/>
    <w:rsid w:val="00B46198"/>
    <w:rsid w:val="00B462CA"/>
    <w:rsid w:val="00B4638A"/>
    <w:rsid w:val="00B467D9"/>
    <w:rsid w:val="00B46AA7"/>
    <w:rsid w:val="00B46CF8"/>
    <w:rsid w:val="00B46D4C"/>
    <w:rsid w:val="00B472FF"/>
    <w:rsid w:val="00B47942"/>
    <w:rsid w:val="00B504CC"/>
    <w:rsid w:val="00B506FD"/>
    <w:rsid w:val="00B5079D"/>
    <w:rsid w:val="00B509FA"/>
    <w:rsid w:val="00B50A44"/>
    <w:rsid w:val="00B50AC7"/>
    <w:rsid w:val="00B50C9E"/>
    <w:rsid w:val="00B50E87"/>
    <w:rsid w:val="00B50FD1"/>
    <w:rsid w:val="00B511FB"/>
    <w:rsid w:val="00B5135F"/>
    <w:rsid w:val="00B514B8"/>
    <w:rsid w:val="00B515A7"/>
    <w:rsid w:val="00B515EA"/>
    <w:rsid w:val="00B5165F"/>
    <w:rsid w:val="00B51BAA"/>
    <w:rsid w:val="00B51CED"/>
    <w:rsid w:val="00B52155"/>
    <w:rsid w:val="00B524C5"/>
    <w:rsid w:val="00B524CE"/>
    <w:rsid w:val="00B52808"/>
    <w:rsid w:val="00B52AE6"/>
    <w:rsid w:val="00B52C2A"/>
    <w:rsid w:val="00B52C53"/>
    <w:rsid w:val="00B52C81"/>
    <w:rsid w:val="00B530C9"/>
    <w:rsid w:val="00B53150"/>
    <w:rsid w:val="00B531D2"/>
    <w:rsid w:val="00B53220"/>
    <w:rsid w:val="00B533A3"/>
    <w:rsid w:val="00B53483"/>
    <w:rsid w:val="00B535ED"/>
    <w:rsid w:val="00B537EC"/>
    <w:rsid w:val="00B53A01"/>
    <w:rsid w:val="00B53EA7"/>
    <w:rsid w:val="00B5422A"/>
    <w:rsid w:val="00B5433F"/>
    <w:rsid w:val="00B545F1"/>
    <w:rsid w:val="00B54622"/>
    <w:rsid w:val="00B54635"/>
    <w:rsid w:val="00B54818"/>
    <w:rsid w:val="00B54CCA"/>
    <w:rsid w:val="00B5524D"/>
    <w:rsid w:val="00B553D1"/>
    <w:rsid w:val="00B55524"/>
    <w:rsid w:val="00B55533"/>
    <w:rsid w:val="00B55689"/>
    <w:rsid w:val="00B558F4"/>
    <w:rsid w:val="00B55AF6"/>
    <w:rsid w:val="00B55DEF"/>
    <w:rsid w:val="00B5697A"/>
    <w:rsid w:val="00B569F1"/>
    <w:rsid w:val="00B56D20"/>
    <w:rsid w:val="00B56E4D"/>
    <w:rsid w:val="00B574CD"/>
    <w:rsid w:val="00B575BF"/>
    <w:rsid w:val="00B57636"/>
    <w:rsid w:val="00B57CD3"/>
    <w:rsid w:val="00B602D9"/>
    <w:rsid w:val="00B6031E"/>
    <w:rsid w:val="00B603B6"/>
    <w:rsid w:val="00B60855"/>
    <w:rsid w:val="00B60B91"/>
    <w:rsid w:val="00B60CC1"/>
    <w:rsid w:val="00B60D9A"/>
    <w:rsid w:val="00B60E52"/>
    <w:rsid w:val="00B612EA"/>
    <w:rsid w:val="00B619B4"/>
    <w:rsid w:val="00B61BC8"/>
    <w:rsid w:val="00B61C66"/>
    <w:rsid w:val="00B61E8D"/>
    <w:rsid w:val="00B61FED"/>
    <w:rsid w:val="00B620AC"/>
    <w:rsid w:val="00B621A9"/>
    <w:rsid w:val="00B622B1"/>
    <w:rsid w:val="00B62604"/>
    <w:rsid w:val="00B627FF"/>
    <w:rsid w:val="00B629D2"/>
    <w:rsid w:val="00B62A9E"/>
    <w:rsid w:val="00B62C2A"/>
    <w:rsid w:val="00B62D0E"/>
    <w:rsid w:val="00B62DF2"/>
    <w:rsid w:val="00B62FC7"/>
    <w:rsid w:val="00B6323E"/>
    <w:rsid w:val="00B633C0"/>
    <w:rsid w:val="00B6344E"/>
    <w:rsid w:val="00B6378D"/>
    <w:rsid w:val="00B63AFD"/>
    <w:rsid w:val="00B63C25"/>
    <w:rsid w:val="00B63D5D"/>
    <w:rsid w:val="00B63EF8"/>
    <w:rsid w:val="00B63F01"/>
    <w:rsid w:val="00B6402E"/>
    <w:rsid w:val="00B64206"/>
    <w:rsid w:val="00B64213"/>
    <w:rsid w:val="00B6425D"/>
    <w:rsid w:val="00B64532"/>
    <w:rsid w:val="00B64A2D"/>
    <w:rsid w:val="00B64D88"/>
    <w:rsid w:val="00B64DDA"/>
    <w:rsid w:val="00B65285"/>
    <w:rsid w:val="00B652A7"/>
    <w:rsid w:val="00B65534"/>
    <w:rsid w:val="00B658ED"/>
    <w:rsid w:val="00B659CB"/>
    <w:rsid w:val="00B65A22"/>
    <w:rsid w:val="00B65EF6"/>
    <w:rsid w:val="00B66480"/>
    <w:rsid w:val="00B665C5"/>
    <w:rsid w:val="00B6660C"/>
    <w:rsid w:val="00B666EA"/>
    <w:rsid w:val="00B667D2"/>
    <w:rsid w:val="00B66A46"/>
    <w:rsid w:val="00B66A87"/>
    <w:rsid w:val="00B672DC"/>
    <w:rsid w:val="00B6772B"/>
    <w:rsid w:val="00B67C74"/>
    <w:rsid w:val="00B67C8C"/>
    <w:rsid w:val="00B67CDB"/>
    <w:rsid w:val="00B67FFC"/>
    <w:rsid w:val="00B70426"/>
    <w:rsid w:val="00B70441"/>
    <w:rsid w:val="00B7089B"/>
    <w:rsid w:val="00B70E62"/>
    <w:rsid w:val="00B71041"/>
    <w:rsid w:val="00B712D0"/>
    <w:rsid w:val="00B71A71"/>
    <w:rsid w:val="00B71CD5"/>
    <w:rsid w:val="00B71DAA"/>
    <w:rsid w:val="00B7200B"/>
    <w:rsid w:val="00B720C5"/>
    <w:rsid w:val="00B72A08"/>
    <w:rsid w:val="00B73125"/>
    <w:rsid w:val="00B73498"/>
    <w:rsid w:val="00B73513"/>
    <w:rsid w:val="00B73990"/>
    <w:rsid w:val="00B740AC"/>
    <w:rsid w:val="00B7420E"/>
    <w:rsid w:val="00B742AC"/>
    <w:rsid w:val="00B74725"/>
    <w:rsid w:val="00B74AB0"/>
    <w:rsid w:val="00B74B0B"/>
    <w:rsid w:val="00B750AE"/>
    <w:rsid w:val="00B750F7"/>
    <w:rsid w:val="00B75537"/>
    <w:rsid w:val="00B75627"/>
    <w:rsid w:val="00B7563C"/>
    <w:rsid w:val="00B756A0"/>
    <w:rsid w:val="00B757A8"/>
    <w:rsid w:val="00B757E5"/>
    <w:rsid w:val="00B75CCA"/>
    <w:rsid w:val="00B7600B"/>
    <w:rsid w:val="00B7603D"/>
    <w:rsid w:val="00B7654C"/>
    <w:rsid w:val="00B7668E"/>
    <w:rsid w:val="00B76CB1"/>
    <w:rsid w:val="00B76E6F"/>
    <w:rsid w:val="00B77719"/>
    <w:rsid w:val="00B7774E"/>
    <w:rsid w:val="00B7779D"/>
    <w:rsid w:val="00B779E3"/>
    <w:rsid w:val="00B77AF1"/>
    <w:rsid w:val="00B77BFF"/>
    <w:rsid w:val="00B77C7A"/>
    <w:rsid w:val="00B77F52"/>
    <w:rsid w:val="00B805E9"/>
    <w:rsid w:val="00B8092B"/>
    <w:rsid w:val="00B809BB"/>
    <w:rsid w:val="00B809E6"/>
    <w:rsid w:val="00B80CC9"/>
    <w:rsid w:val="00B80D8D"/>
    <w:rsid w:val="00B80E6A"/>
    <w:rsid w:val="00B81097"/>
    <w:rsid w:val="00B812D0"/>
    <w:rsid w:val="00B814DB"/>
    <w:rsid w:val="00B81564"/>
    <w:rsid w:val="00B81B16"/>
    <w:rsid w:val="00B81B1E"/>
    <w:rsid w:val="00B81E86"/>
    <w:rsid w:val="00B81F08"/>
    <w:rsid w:val="00B81F38"/>
    <w:rsid w:val="00B820CF"/>
    <w:rsid w:val="00B82263"/>
    <w:rsid w:val="00B823AE"/>
    <w:rsid w:val="00B831B0"/>
    <w:rsid w:val="00B8326B"/>
    <w:rsid w:val="00B836C5"/>
    <w:rsid w:val="00B83968"/>
    <w:rsid w:val="00B83A2C"/>
    <w:rsid w:val="00B83AE3"/>
    <w:rsid w:val="00B83B62"/>
    <w:rsid w:val="00B83B65"/>
    <w:rsid w:val="00B83C01"/>
    <w:rsid w:val="00B83EE2"/>
    <w:rsid w:val="00B8449A"/>
    <w:rsid w:val="00B848F7"/>
    <w:rsid w:val="00B84C21"/>
    <w:rsid w:val="00B84C7D"/>
    <w:rsid w:val="00B85154"/>
    <w:rsid w:val="00B8535F"/>
    <w:rsid w:val="00B854F4"/>
    <w:rsid w:val="00B85581"/>
    <w:rsid w:val="00B85A3B"/>
    <w:rsid w:val="00B85E0C"/>
    <w:rsid w:val="00B85EBE"/>
    <w:rsid w:val="00B86222"/>
    <w:rsid w:val="00B86369"/>
    <w:rsid w:val="00B86772"/>
    <w:rsid w:val="00B86A05"/>
    <w:rsid w:val="00B86A59"/>
    <w:rsid w:val="00B86EEA"/>
    <w:rsid w:val="00B87236"/>
    <w:rsid w:val="00B872F5"/>
    <w:rsid w:val="00B875A1"/>
    <w:rsid w:val="00B87655"/>
    <w:rsid w:val="00B87880"/>
    <w:rsid w:val="00B878CD"/>
    <w:rsid w:val="00B878F4"/>
    <w:rsid w:val="00B8795C"/>
    <w:rsid w:val="00B87E6B"/>
    <w:rsid w:val="00B87E8D"/>
    <w:rsid w:val="00B900BB"/>
    <w:rsid w:val="00B900EB"/>
    <w:rsid w:val="00B90137"/>
    <w:rsid w:val="00B904A6"/>
    <w:rsid w:val="00B90670"/>
    <w:rsid w:val="00B9089C"/>
    <w:rsid w:val="00B909E2"/>
    <w:rsid w:val="00B90A08"/>
    <w:rsid w:val="00B911E4"/>
    <w:rsid w:val="00B912F0"/>
    <w:rsid w:val="00B9140E"/>
    <w:rsid w:val="00B91454"/>
    <w:rsid w:val="00B91B60"/>
    <w:rsid w:val="00B91CB1"/>
    <w:rsid w:val="00B91F11"/>
    <w:rsid w:val="00B91F92"/>
    <w:rsid w:val="00B9213D"/>
    <w:rsid w:val="00B9249B"/>
    <w:rsid w:val="00B92531"/>
    <w:rsid w:val="00B92631"/>
    <w:rsid w:val="00B926F1"/>
    <w:rsid w:val="00B92949"/>
    <w:rsid w:val="00B92C51"/>
    <w:rsid w:val="00B930E1"/>
    <w:rsid w:val="00B93548"/>
    <w:rsid w:val="00B9367C"/>
    <w:rsid w:val="00B93859"/>
    <w:rsid w:val="00B93B52"/>
    <w:rsid w:val="00B94639"/>
    <w:rsid w:val="00B946AD"/>
    <w:rsid w:val="00B94A33"/>
    <w:rsid w:val="00B94FE0"/>
    <w:rsid w:val="00B95095"/>
    <w:rsid w:val="00B9536C"/>
    <w:rsid w:val="00B95623"/>
    <w:rsid w:val="00B95877"/>
    <w:rsid w:val="00B959AD"/>
    <w:rsid w:val="00B95C69"/>
    <w:rsid w:val="00B95CAD"/>
    <w:rsid w:val="00B95D9F"/>
    <w:rsid w:val="00B95DC3"/>
    <w:rsid w:val="00B95E11"/>
    <w:rsid w:val="00B95EA0"/>
    <w:rsid w:val="00B9602D"/>
    <w:rsid w:val="00B9607F"/>
    <w:rsid w:val="00B9633F"/>
    <w:rsid w:val="00B966D0"/>
    <w:rsid w:val="00B971E9"/>
    <w:rsid w:val="00B9722E"/>
    <w:rsid w:val="00B97521"/>
    <w:rsid w:val="00B975ED"/>
    <w:rsid w:val="00B976E9"/>
    <w:rsid w:val="00B97769"/>
    <w:rsid w:val="00B97B84"/>
    <w:rsid w:val="00B97C92"/>
    <w:rsid w:val="00B97D3B"/>
    <w:rsid w:val="00B97F7D"/>
    <w:rsid w:val="00BA040A"/>
    <w:rsid w:val="00BA040C"/>
    <w:rsid w:val="00BA05A8"/>
    <w:rsid w:val="00BA0B36"/>
    <w:rsid w:val="00BA0C43"/>
    <w:rsid w:val="00BA0DF0"/>
    <w:rsid w:val="00BA0EF9"/>
    <w:rsid w:val="00BA1143"/>
    <w:rsid w:val="00BA122E"/>
    <w:rsid w:val="00BA138D"/>
    <w:rsid w:val="00BA13E5"/>
    <w:rsid w:val="00BA17B4"/>
    <w:rsid w:val="00BA180B"/>
    <w:rsid w:val="00BA1884"/>
    <w:rsid w:val="00BA1959"/>
    <w:rsid w:val="00BA1973"/>
    <w:rsid w:val="00BA1B4C"/>
    <w:rsid w:val="00BA1CC7"/>
    <w:rsid w:val="00BA1FFB"/>
    <w:rsid w:val="00BA2062"/>
    <w:rsid w:val="00BA22AD"/>
    <w:rsid w:val="00BA2665"/>
    <w:rsid w:val="00BA2B3F"/>
    <w:rsid w:val="00BA2D6E"/>
    <w:rsid w:val="00BA347E"/>
    <w:rsid w:val="00BA35DA"/>
    <w:rsid w:val="00BA388A"/>
    <w:rsid w:val="00BA3E79"/>
    <w:rsid w:val="00BA3F64"/>
    <w:rsid w:val="00BA3FBC"/>
    <w:rsid w:val="00BA4198"/>
    <w:rsid w:val="00BA43AF"/>
    <w:rsid w:val="00BA464C"/>
    <w:rsid w:val="00BA466F"/>
    <w:rsid w:val="00BA4AF2"/>
    <w:rsid w:val="00BA4CB0"/>
    <w:rsid w:val="00BA4E45"/>
    <w:rsid w:val="00BA4F15"/>
    <w:rsid w:val="00BA51D8"/>
    <w:rsid w:val="00BA51F8"/>
    <w:rsid w:val="00BA59FB"/>
    <w:rsid w:val="00BA5A2F"/>
    <w:rsid w:val="00BA5AA8"/>
    <w:rsid w:val="00BA5D88"/>
    <w:rsid w:val="00BA60AC"/>
    <w:rsid w:val="00BA61D9"/>
    <w:rsid w:val="00BA64B7"/>
    <w:rsid w:val="00BA64C6"/>
    <w:rsid w:val="00BA6532"/>
    <w:rsid w:val="00BA6543"/>
    <w:rsid w:val="00BA671C"/>
    <w:rsid w:val="00BA687F"/>
    <w:rsid w:val="00BA6A38"/>
    <w:rsid w:val="00BA6A7C"/>
    <w:rsid w:val="00BA701D"/>
    <w:rsid w:val="00BA72D8"/>
    <w:rsid w:val="00BA7574"/>
    <w:rsid w:val="00BA799F"/>
    <w:rsid w:val="00BA7B85"/>
    <w:rsid w:val="00BA7D86"/>
    <w:rsid w:val="00BA7E3A"/>
    <w:rsid w:val="00BB0227"/>
    <w:rsid w:val="00BB0406"/>
    <w:rsid w:val="00BB08D4"/>
    <w:rsid w:val="00BB149D"/>
    <w:rsid w:val="00BB14A3"/>
    <w:rsid w:val="00BB1564"/>
    <w:rsid w:val="00BB16EF"/>
    <w:rsid w:val="00BB16F6"/>
    <w:rsid w:val="00BB1965"/>
    <w:rsid w:val="00BB1A81"/>
    <w:rsid w:val="00BB1C88"/>
    <w:rsid w:val="00BB1F83"/>
    <w:rsid w:val="00BB20FA"/>
    <w:rsid w:val="00BB21DD"/>
    <w:rsid w:val="00BB23A5"/>
    <w:rsid w:val="00BB25C2"/>
    <w:rsid w:val="00BB2E58"/>
    <w:rsid w:val="00BB33C0"/>
    <w:rsid w:val="00BB3B0A"/>
    <w:rsid w:val="00BB3B3B"/>
    <w:rsid w:val="00BB3BB3"/>
    <w:rsid w:val="00BB3F05"/>
    <w:rsid w:val="00BB3F4B"/>
    <w:rsid w:val="00BB4397"/>
    <w:rsid w:val="00BB44B5"/>
    <w:rsid w:val="00BB476B"/>
    <w:rsid w:val="00BB47F8"/>
    <w:rsid w:val="00BB4C3C"/>
    <w:rsid w:val="00BB50C9"/>
    <w:rsid w:val="00BB538B"/>
    <w:rsid w:val="00BB5EF9"/>
    <w:rsid w:val="00BB6336"/>
    <w:rsid w:val="00BB65D9"/>
    <w:rsid w:val="00BB6D90"/>
    <w:rsid w:val="00BB6EB6"/>
    <w:rsid w:val="00BB7174"/>
    <w:rsid w:val="00BB7329"/>
    <w:rsid w:val="00BB7615"/>
    <w:rsid w:val="00BB7779"/>
    <w:rsid w:val="00BB787D"/>
    <w:rsid w:val="00BB78CE"/>
    <w:rsid w:val="00BB7A6C"/>
    <w:rsid w:val="00BC000D"/>
    <w:rsid w:val="00BC0420"/>
    <w:rsid w:val="00BC0763"/>
    <w:rsid w:val="00BC0923"/>
    <w:rsid w:val="00BC0AB2"/>
    <w:rsid w:val="00BC0E0C"/>
    <w:rsid w:val="00BC0E10"/>
    <w:rsid w:val="00BC1274"/>
    <w:rsid w:val="00BC12A5"/>
    <w:rsid w:val="00BC1547"/>
    <w:rsid w:val="00BC15DE"/>
    <w:rsid w:val="00BC16B9"/>
    <w:rsid w:val="00BC1743"/>
    <w:rsid w:val="00BC17AC"/>
    <w:rsid w:val="00BC17C8"/>
    <w:rsid w:val="00BC18BF"/>
    <w:rsid w:val="00BC1E29"/>
    <w:rsid w:val="00BC1F8A"/>
    <w:rsid w:val="00BC1FB7"/>
    <w:rsid w:val="00BC24DD"/>
    <w:rsid w:val="00BC255D"/>
    <w:rsid w:val="00BC267C"/>
    <w:rsid w:val="00BC2A6F"/>
    <w:rsid w:val="00BC2D04"/>
    <w:rsid w:val="00BC2F91"/>
    <w:rsid w:val="00BC3154"/>
    <w:rsid w:val="00BC34E3"/>
    <w:rsid w:val="00BC369C"/>
    <w:rsid w:val="00BC3750"/>
    <w:rsid w:val="00BC39BC"/>
    <w:rsid w:val="00BC3DA1"/>
    <w:rsid w:val="00BC3DEC"/>
    <w:rsid w:val="00BC4427"/>
    <w:rsid w:val="00BC4544"/>
    <w:rsid w:val="00BC4601"/>
    <w:rsid w:val="00BC4828"/>
    <w:rsid w:val="00BC4915"/>
    <w:rsid w:val="00BC4972"/>
    <w:rsid w:val="00BC49B8"/>
    <w:rsid w:val="00BC539C"/>
    <w:rsid w:val="00BC56CE"/>
    <w:rsid w:val="00BC595F"/>
    <w:rsid w:val="00BC5C27"/>
    <w:rsid w:val="00BC5F02"/>
    <w:rsid w:val="00BC608F"/>
    <w:rsid w:val="00BC6092"/>
    <w:rsid w:val="00BC6222"/>
    <w:rsid w:val="00BC6306"/>
    <w:rsid w:val="00BC6897"/>
    <w:rsid w:val="00BC6B9E"/>
    <w:rsid w:val="00BC70C4"/>
    <w:rsid w:val="00BC75A2"/>
    <w:rsid w:val="00BC75DD"/>
    <w:rsid w:val="00BC76AD"/>
    <w:rsid w:val="00BC7AED"/>
    <w:rsid w:val="00BC7B12"/>
    <w:rsid w:val="00BC7BC7"/>
    <w:rsid w:val="00BC7D63"/>
    <w:rsid w:val="00BD039A"/>
    <w:rsid w:val="00BD04A3"/>
    <w:rsid w:val="00BD08CA"/>
    <w:rsid w:val="00BD0C9F"/>
    <w:rsid w:val="00BD0D49"/>
    <w:rsid w:val="00BD0DDE"/>
    <w:rsid w:val="00BD12A7"/>
    <w:rsid w:val="00BD1A1B"/>
    <w:rsid w:val="00BD1A53"/>
    <w:rsid w:val="00BD1B8D"/>
    <w:rsid w:val="00BD1C40"/>
    <w:rsid w:val="00BD1DAD"/>
    <w:rsid w:val="00BD248E"/>
    <w:rsid w:val="00BD2EC3"/>
    <w:rsid w:val="00BD30FB"/>
    <w:rsid w:val="00BD33D4"/>
    <w:rsid w:val="00BD3613"/>
    <w:rsid w:val="00BD3632"/>
    <w:rsid w:val="00BD3DA6"/>
    <w:rsid w:val="00BD3F19"/>
    <w:rsid w:val="00BD3F8E"/>
    <w:rsid w:val="00BD40B1"/>
    <w:rsid w:val="00BD4245"/>
    <w:rsid w:val="00BD4725"/>
    <w:rsid w:val="00BD49EF"/>
    <w:rsid w:val="00BD4C65"/>
    <w:rsid w:val="00BD5060"/>
    <w:rsid w:val="00BD523B"/>
    <w:rsid w:val="00BD56DF"/>
    <w:rsid w:val="00BD57CE"/>
    <w:rsid w:val="00BD5972"/>
    <w:rsid w:val="00BD5CF8"/>
    <w:rsid w:val="00BD5DFA"/>
    <w:rsid w:val="00BD60EC"/>
    <w:rsid w:val="00BD662D"/>
    <w:rsid w:val="00BD6925"/>
    <w:rsid w:val="00BD698E"/>
    <w:rsid w:val="00BD6D2E"/>
    <w:rsid w:val="00BD70B6"/>
    <w:rsid w:val="00BD71B9"/>
    <w:rsid w:val="00BD7228"/>
    <w:rsid w:val="00BD776D"/>
    <w:rsid w:val="00BD7BE1"/>
    <w:rsid w:val="00BD7D89"/>
    <w:rsid w:val="00BE017E"/>
    <w:rsid w:val="00BE0859"/>
    <w:rsid w:val="00BE1072"/>
    <w:rsid w:val="00BE12FC"/>
    <w:rsid w:val="00BE15BD"/>
    <w:rsid w:val="00BE1792"/>
    <w:rsid w:val="00BE17E4"/>
    <w:rsid w:val="00BE18DA"/>
    <w:rsid w:val="00BE191D"/>
    <w:rsid w:val="00BE1A08"/>
    <w:rsid w:val="00BE1BD4"/>
    <w:rsid w:val="00BE2001"/>
    <w:rsid w:val="00BE2139"/>
    <w:rsid w:val="00BE234A"/>
    <w:rsid w:val="00BE239D"/>
    <w:rsid w:val="00BE285C"/>
    <w:rsid w:val="00BE2889"/>
    <w:rsid w:val="00BE2B47"/>
    <w:rsid w:val="00BE2BD9"/>
    <w:rsid w:val="00BE2CD9"/>
    <w:rsid w:val="00BE31A5"/>
    <w:rsid w:val="00BE343F"/>
    <w:rsid w:val="00BE3674"/>
    <w:rsid w:val="00BE3691"/>
    <w:rsid w:val="00BE382B"/>
    <w:rsid w:val="00BE3C39"/>
    <w:rsid w:val="00BE3FED"/>
    <w:rsid w:val="00BE4011"/>
    <w:rsid w:val="00BE4302"/>
    <w:rsid w:val="00BE4425"/>
    <w:rsid w:val="00BE47BF"/>
    <w:rsid w:val="00BE48AB"/>
    <w:rsid w:val="00BE4A61"/>
    <w:rsid w:val="00BE51B9"/>
    <w:rsid w:val="00BE52D9"/>
    <w:rsid w:val="00BE5374"/>
    <w:rsid w:val="00BE5419"/>
    <w:rsid w:val="00BE54F7"/>
    <w:rsid w:val="00BE568E"/>
    <w:rsid w:val="00BE575F"/>
    <w:rsid w:val="00BE59AF"/>
    <w:rsid w:val="00BE5AF4"/>
    <w:rsid w:val="00BE5B74"/>
    <w:rsid w:val="00BE5C4B"/>
    <w:rsid w:val="00BE5FE4"/>
    <w:rsid w:val="00BE6058"/>
    <w:rsid w:val="00BE6065"/>
    <w:rsid w:val="00BE627A"/>
    <w:rsid w:val="00BE638C"/>
    <w:rsid w:val="00BE6909"/>
    <w:rsid w:val="00BE6965"/>
    <w:rsid w:val="00BE6A50"/>
    <w:rsid w:val="00BE6CE8"/>
    <w:rsid w:val="00BE6FD8"/>
    <w:rsid w:val="00BE71D8"/>
    <w:rsid w:val="00BE77B5"/>
    <w:rsid w:val="00BE7B95"/>
    <w:rsid w:val="00BE7E83"/>
    <w:rsid w:val="00BE7F5E"/>
    <w:rsid w:val="00BF0164"/>
    <w:rsid w:val="00BF0222"/>
    <w:rsid w:val="00BF02C9"/>
    <w:rsid w:val="00BF03FA"/>
    <w:rsid w:val="00BF0AD0"/>
    <w:rsid w:val="00BF0F84"/>
    <w:rsid w:val="00BF1240"/>
    <w:rsid w:val="00BF184A"/>
    <w:rsid w:val="00BF18C9"/>
    <w:rsid w:val="00BF1B0E"/>
    <w:rsid w:val="00BF1BB8"/>
    <w:rsid w:val="00BF1BE1"/>
    <w:rsid w:val="00BF1DB9"/>
    <w:rsid w:val="00BF1EEB"/>
    <w:rsid w:val="00BF20FE"/>
    <w:rsid w:val="00BF234E"/>
    <w:rsid w:val="00BF2E14"/>
    <w:rsid w:val="00BF2FBD"/>
    <w:rsid w:val="00BF3856"/>
    <w:rsid w:val="00BF39F4"/>
    <w:rsid w:val="00BF3E05"/>
    <w:rsid w:val="00BF4939"/>
    <w:rsid w:val="00BF4971"/>
    <w:rsid w:val="00BF4D92"/>
    <w:rsid w:val="00BF4E38"/>
    <w:rsid w:val="00BF599A"/>
    <w:rsid w:val="00BF5C50"/>
    <w:rsid w:val="00BF5DF2"/>
    <w:rsid w:val="00BF5E06"/>
    <w:rsid w:val="00BF6125"/>
    <w:rsid w:val="00BF6696"/>
    <w:rsid w:val="00BF6E35"/>
    <w:rsid w:val="00BF739D"/>
    <w:rsid w:val="00BF7997"/>
    <w:rsid w:val="00BF7B0C"/>
    <w:rsid w:val="00BF7C54"/>
    <w:rsid w:val="00C00253"/>
    <w:rsid w:val="00C002D0"/>
    <w:rsid w:val="00C00C58"/>
    <w:rsid w:val="00C01311"/>
    <w:rsid w:val="00C014C3"/>
    <w:rsid w:val="00C0158B"/>
    <w:rsid w:val="00C01985"/>
    <w:rsid w:val="00C019B7"/>
    <w:rsid w:val="00C019BA"/>
    <w:rsid w:val="00C01A3B"/>
    <w:rsid w:val="00C01D5F"/>
    <w:rsid w:val="00C01D93"/>
    <w:rsid w:val="00C01DAF"/>
    <w:rsid w:val="00C01F31"/>
    <w:rsid w:val="00C020C0"/>
    <w:rsid w:val="00C02124"/>
    <w:rsid w:val="00C02187"/>
    <w:rsid w:val="00C022DB"/>
    <w:rsid w:val="00C0237E"/>
    <w:rsid w:val="00C02508"/>
    <w:rsid w:val="00C02650"/>
    <w:rsid w:val="00C02D20"/>
    <w:rsid w:val="00C030F0"/>
    <w:rsid w:val="00C0345A"/>
    <w:rsid w:val="00C03503"/>
    <w:rsid w:val="00C03511"/>
    <w:rsid w:val="00C03919"/>
    <w:rsid w:val="00C03A50"/>
    <w:rsid w:val="00C045ED"/>
    <w:rsid w:val="00C04925"/>
    <w:rsid w:val="00C049FA"/>
    <w:rsid w:val="00C04A01"/>
    <w:rsid w:val="00C04AAF"/>
    <w:rsid w:val="00C04B5D"/>
    <w:rsid w:val="00C04BE5"/>
    <w:rsid w:val="00C04BF8"/>
    <w:rsid w:val="00C04C3A"/>
    <w:rsid w:val="00C04CD5"/>
    <w:rsid w:val="00C04ED5"/>
    <w:rsid w:val="00C05700"/>
    <w:rsid w:val="00C057E7"/>
    <w:rsid w:val="00C05CA7"/>
    <w:rsid w:val="00C05DA4"/>
    <w:rsid w:val="00C068E4"/>
    <w:rsid w:val="00C06B64"/>
    <w:rsid w:val="00C06FC8"/>
    <w:rsid w:val="00C06FF3"/>
    <w:rsid w:val="00C07278"/>
    <w:rsid w:val="00C074CD"/>
    <w:rsid w:val="00C07598"/>
    <w:rsid w:val="00C07879"/>
    <w:rsid w:val="00C07887"/>
    <w:rsid w:val="00C07B51"/>
    <w:rsid w:val="00C10076"/>
    <w:rsid w:val="00C10118"/>
    <w:rsid w:val="00C107C3"/>
    <w:rsid w:val="00C107F6"/>
    <w:rsid w:val="00C1094D"/>
    <w:rsid w:val="00C10E77"/>
    <w:rsid w:val="00C10F88"/>
    <w:rsid w:val="00C119A5"/>
    <w:rsid w:val="00C11B58"/>
    <w:rsid w:val="00C125D8"/>
    <w:rsid w:val="00C128B5"/>
    <w:rsid w:val="00C12ED5"/>
    <w:rsid w:val="00C13520"/>
    <w:rsid w:val="00C13A19"/>
    <w:rsid w:val="00C13A37"/>
    <w:rsid w:val="00C13AD8"/>
    <w:rsid w:val="00C14254"/>
    <w:rsid w:val="00C14268"/>
    <w:rsid w:val="00C142FD"/>
    <w:rsid w:val="00C144C4"/>
    <w:rsid w:val="00C14B6D"/>
    <w:rsid w:val="00C14D14"/>
    <w:rsid w:val="00C14E62"/>
    <w:rsid w:val="00C14F9B"/>
    <w:rsid w:val="00C14FAB"/>
    <w:rsid w:val="00C15241"/>
    <w:rsid w:val="00C1529E"/>
    <w:rsid w:val="00C153B6"/>
    <w:rsid w:val="00C15588"/>
    <w:rsid w:val="00C155B6"/>
    <w:rsid w:val="00C1572B"/>
    <w:rsid w:val="00C15AC8"/>
    <w:rsid w:val="00C15E7E"/>
    <w:rsid w:val="00C15EE5"/>
    <w:rsid w:val="00C15F42"/>
    <w:rsid w:val="00C1605D"/>
    <w:rsid w:val="00C1610B"/>
    <w:rsid w:val="00C1611D"/>
    <w:rsid w:val="00C16219"/>
    <w:rsid w:val="00C16C9A"/>
    <w:rsid w:val="00C1725C"/>
    <w:rsid w:val="00C175E4"/>
    <w:rsid w:val="00C17A43"/>
    <w:rsid w:val="00C17A85"/>
    <w:rsid w:val="00C2032C"/>
    <w:rsid w:val="00C204DC"/>
    <w:rsid w:val="00C2066F"/>
    <w:rsid w:val="00C209DA"/>
    <w:rsid w:val="00C20E40"/>
    <w:rsid w:val="00C20F89"/>
    <w:rsid w:val="00C21015"/>
    <w:rsid w:val="00C21104"/>
    <w:rsid w:val="00C21205"/>
    <w:rsid w:val="00C21327"/>
    <w:rsid w:val="00C21455"/>
    <w:rsid w:val="00C215DF"/>
    <w:rsid w:val="00C21ACF"/>
    <w:rsid w:val="00C21AE5"/>
    <w:rsid w:val="00C21EBB"/>
    <w:rsid w:val="00C21F6B"/>
    <w:rsid w:val="00C222AD"/>
    <w:rsid w:val="00C228AA"/>
    <w:rsid w:val="00C22C10"/>
    <w:rsid w:val="00C232E0"/>
    <w:rsid w:val="00C2337B"/>
    <w:rsid w:val="00C23465"/>
    <w:rsid w:val="00C2346D"/>
    <w:rsid w:val="00C2347A"/>
    <w:rsid w:val="00C23631"/>
    <w:rsid w:val="00C236BE"/>
    <w:rsid w:val="00C23A92"/>
    <w:rsid w:val="00C23B59"/>
    <w:rsid w:val="00C23C2D"/>
    <w:rsid w:val="00C23C66"/>
    <w:rsid w:val="00C23EE5"/>
    <w:rsid w:val="00C240F3"/>
    <w:rsid w:val="00C243BE"/>
    <w:rsid w:val="00C2462F"/>
    <w:rsid w:val="00C246A6"/>
    <w:rsid w:val="00C2474C"/>
    <w:rsid w:val="00C24B28"/>
    <w:rsid w:val="00C24B5E"/>
    <w:rsid w:val="00C24C02"/>
    <w:rsid w:val="00C24E21"/>
    <w:rsid w:val="00C24E60"/>
    <w:rsid w:val="00C250D7"/>
    <w:rsid w:val="00C25261"/>
    <w:rsid w:val="00C2534F"/>
    <w:rsid w:val="00C253B1"/>
    <w:rsid w:val="00C25B06"/>
    <w:rsid w:val="00C25C83"/>
    <w:rsid w:val="00C25EE0"/>
    <w:rsid w:val="00C261DF"/>
    <w:rsid w:val="00C26312"/>
    <w:rsid w:val="00C2643D"/>
    <w:rsid w:val="00C2644E"/>
    <w:rsid w:val="00C266BA"/>
    <w:rsid w:val="00C26765"/>
    <w:rsid w:val="00C26995"/>
    <w:rsid w:val="00C26A78"/>
    <w:rsid w:val="00C27084"/>
    <w:rsid w:val="00C279B1"/>
    <w:rsid w:val="00C27B36"/>
    <w:rsid w:val="00C27BBA"/>
    <w:rsid w:val="00C27D66"/>
    <w:rsid w:val="00C27E28"/>
    <w:rsid w:val="00C30058"/>
    <w:rsid w:val="00C30222"/>
    <w:rsid w:val="00C304D6"/>
    <w:rsid w:val="00C305BD"/>
    <w:rsid w:val="00C30845"/>
    <w:rsid w:val="00C30A7F"/>
    <w:rsid w:val="00C3104E"/>
    <w:rsid w:val="00C31326"/>
    <w:rsid w:val="00C313A3"/>
    <w:rsid w:val="00C31481"/>
    <w:rsid w:val="00C317A2"/>
    <w:rsid w:val="00C324FC"/>
    <w:rsid w:val="00C325F3"/>
    <w:rsid w:val="00C3277A"/>
    <w:rsid w:val="00C3287C"/>
    <w:rsid w:val="00C328C1"/>
    <w:rsid w:val="00C33439"/>
    <w:rsid w:val="00C335DA"/>
    <w:rsid w:val="00C3375C"/>
    <w:rsid w:val="00C33B5D"/>
    <w:rsid w:val="00C343E1"/>
    <w:rsid w:val="00C343FC"/>
    <w:rsid w:val="00C3444F"/>
    <w:rsid w:val="00C344A8"/>
    <w:rsid w:val="00C344E5"/>
    <w:rsid w:val="00C34745"/>
    <w:rsid w:val="00C3480E"/>
    <w:rsid w:val="00C349DD"/>
    <w:rsid w:val="00C35155"/>
    <w:rsid w:val="00C3517B"/>
    <w:rsid w:val="00C35552"/>
    <w:rsid w:val="00C35AE3"/>
    <w:rsid w:val="00C35B55"/>
    <w:rsid w:val="00C36016"/>
    <w:rsid w:val="00C36048"/>
    <w:rsid w:val="00C3651F"/>
    <w:rsid w:val="00C365B0"/>
    <w:rsid w:val="00C36633"/>
    <w:rsid w:val="00C36A6D"/>
    <w:rsid w:val="00C36E9D"/>
    <w:rsid w:val="00C36FFF"/>
    <w:rsid w:val="00C3709A"/>
    <w:rsid w:val="00C3715F"/>
    <w:rsid w:val="00C37235"/>
    <w:rsid w:val="00C372CD"/>
    <w:rsid w:val="00C372D3"/>
    <w:rsid w:val="00C373A1"/>
    <w:rsid w:val="00C374A6"/>
    <w:rsid w:val="00C3789E"/>
    <w:rsid w:val="00C37C66"/>
    <w:rsid w:val="00C37C86"/>
    <w:rsid w:val="00C400F6"/>
    <w:rsid w:val="00C403E0"/>
    <w:rsid w:val="00C40460"/>
    <w:rsid w:val="00C40B72"/>
    <w:rsid w:val="00C41252"/>
    <w:rsid w:val="00C412B1"/>
    <w:rsid w:val="00C41690"/>
    <w:rsid w:val="00C421B3"/>
    <w:rsid w:val="00C4255F"/>
    <w:rsid w:val="00C426E2"/>
    <w:rsid w:val="00C4317D"/>
    <w:rsid w:val="00C431B2"/>
    <w:rsid w:val="00C43382"/>
    <w:rsid w:val="00C439BC"/>
    <w:rsid w:val="00C43B17"/>
    <w:rsid w:val="00C43D13"/>
    <w:rsid w:val="00C43E53"/>
    <w:rsid w:val="00C43F59"/>
    <w:rsid w:val="00C44165"/>
    <w:rsid w:val="00C442AA"/>
    <w:rsid w:val="00C4436C"/>
    <w:rsid w:val="00C4470B"/>
    <w:rsid w:val="00C44C82"/>
    <w:rsid w:val="00C4509B"/>
    <w:rsid w:val="00C4547A"/>
    <w:rsid w:val="00C45602"/>
    <w:rsid w:val="00C45732"/>
    <w:rsid w:val="00C4588D"/>
    <w:rsid w:val="00C461B2"/>
    <w:rsid w:val="00C4656E"/>
    <w:rsid w:val="00C4669A"/>
    <w:rsid w:val="00C46918"/>
    <w:rsid w:val="00C46C1D"/>
    <w:rsid w:val="00C46CE8"/>
    <w:rsid w:val="00C46E56"/>
    <w:rsid w:val="00C46E91"/>
    <w:rsid w:val="00C472CF"/>
    <w:rsid w:val="00C473F0"/>
    <w:rsid w:val="00C4781D"/>
    <w:rsid w:val="00C47A98"/>
    <w:rsid w:val="00C47C8E"/>
    <w:rsid w:val="00C506EC"/>
    <w:rsid w:val="00C507BC"/>
    <w:rsid w:val="00C50A37"/>
    <w:rsid w:val="00C50C53"/>
    <w:rsid w:val="00C51C3E"/>
    <w:rsid w:val="00C51C55"/>
    <w:rsid w:val="00C51C76"/>
    <w:rsid w:val="00C51FE5"/>
    <w:rsid w:val="00C52012"/>
    <w:rsid w:val="00C52383"/>
    <w:rsid w:val="00C52916"/>
    <w:rsid w:val="00C52A7C"/>
    <w:rsid w:val="00C52D55"/>
    <w:rsid w:val="00C52D61"/>
    <w:rsid w:val="00C52DB2"/>
    <w:rsid w:val="00C52FD1"/>
    <w:rsid w:val="00C53054"/>
    <w:rsid w:val="00C5348A"/>
    <w:rsid w:val="00C5359B"/>
    <w:rsid w:val="00C537EA"/>
    <w:rsid w:val="00C53969"/>
    <w:rsid w:val="00C53A52"/>
    <w:rsid w:val="00C53AF7"/>
    <w:rsid w:val="00C53C7A"/>
    <w:rsid w:val="00C53CBD"/>
    <w:rsid w:val="00C5464F"/>
    <w:rsid w:val="00C54665"/>
    <w:rsid w:val="00C55118"/>
    <w:rsid w:val="00C55465"/>
    <w:rsid w:val="00C554B5"/>
    <w:rsid w:val="00C55853"/>
    <w:rsid w:val="00C55B69"/>
    <w:rsid w:val="00C55C53"/>
    <w:rsid w:val="00C55E68"/>
    <w:rsid w:val="00C563BA"/>
    <w:rsid w:val="00C564F3"/>
    <w:rsid w:val="00C56877"/>
    <w:rsid w:val="00C56939"/>
    <w:rsid w:val="00C56B6D"/>
    <w:rsid w:val="00C56EC6"/>
    <w:rsid w:val="00C56EF2"/>
    <w:rsid w:val="00C56F73"/>
    <w:rsid w:val="00C570A6"/>
    <w:rsid w:val="00C571E2"/>
    <w:rsid w:val="00C5725A"/>
    <w:rsid w:val="00C57771"/>
    <w:rsid w:val="00C579A4"/>
    <w:rsid w:val="00C579F3"/>
    <w:rsid w:val="00C57B29"/>
    <w:rsid w:val="00C600B3"/>
    <w:rsid w:val="00C600BD"/>
    <w:rsid w:val="00C60372"/>
    <w:rsid w:val="00C60AC1"/>
    <w:rsid w:val="00C60B2D"/>
    <w:rsid w:val="00C60DE1"/>
    <w:rsid w:val="00C610F6"/>
    <w:rsid w:val="00C61464"/>
    <w:rsid w:val="00C615CB"/>
    <w:rsid w:val="00C61616"/>
    <w:rsid w:val="00C618C7"/>
    <w:rsid w:val="00C61B3D"/>
    <w:rsid w:val="00C61B55"/>
    <w:rsid w:val="00C61C59"/>
    <w:rsid w:val="00C61D00"/>
    <w:rsid w:val="00C61D23"/>
    <w:rsid w:val="00C6202B"/>
    <w:rsid w:val="00C62580"/>
    <w:rsid w:val="00C62EFC"/>
    <w:rsid w:val="00C63104"/>
    <w:rsid w:val="00C63161"/>
    <w:rsid w:val="00C63242"/>
    <w:rsid w:val="00C635E3"/>
    <w:rsid w:val="00C635EA"/>
    <w:rsid w:val="00C638C2"/>
    <w:rsid w:val="00C638DE"/>
    <w:rsid w:val="00C6391E"/>
    <w:rsid w:val="00C63A7D"/>
    <w:rsid w:val="00C63C59"/>
    <w:rsid w:val="00C63E88"/>
    <w:rsid w:val="00C64153"/>
    <w:rsid w:val="00C650E3"/>
    <w:rsid w:val="00C656B3"/>
    <w:rsid w:val="00C656EB"/>
    <w:rsid w:val="00C658D5"/>
    <w:rsid w:val="00C65902"/>
    <w:rsid w:val="00C65C46"/>
    <w:rsid w:val="00C65E8B"/>
    <w:rsid w:val="00C665F6"/>
    <w:rsid w:val="00C667FC"/>
    <w:rsid w:val="00C66B07"/>
    <w:rsid w:val="00C66CE9"/>
    <w:rsid w:val="00C67373"/>
    <w:rsid w:val="00C67374"/>
    <w:rsid w:val="00C6758D"/>
    <w:rsid w:val="00C6779D"/>
    <w:rsid w:val="00C677D8"/>
    <w:rsid w:val="00C67AC4"/>
    <w:rsid w:val="00C67E8E"/>
    <w:rsid w:val="00C70159"/>
    <w:rsid w:val="00C701EB"/>
    <w:rsid w:val="00C7021B"/>
    <w:rsid w:val="00C70B27"/>
    <w:rsid w:val="00C70CDF"/>
    <w:rsid w:val="00C713A0"/>
    <w:rsid w:val="00C718DC"/>
    <w:rsid w:val="00C71BE2"/>
    <w:rsid w:val="00C7213D"/>
    <w:rsid w:val="00C72177"/>
    <w:rsid w:val="00C72381"/>
    <w:rsid w:val="00C7238C"/>
    <w:rsid w:val="00C729D4"/>
    <w:rsid w:val="00C7326E"/>
    <w:rsid w:val="00C73653"/>
    <w:rsid w:val="00C7460C"/>
    <w:rsid w:val="00C747BC"/>
    <w:rsid w:val="00C7488F"/>
    <w:rsid w:val="00C7489D"/>
    <w:rsid w:val="00C74B8C"/>
    <w:rsid w:val="00C75532"/>
    <w:rsid w:val="00C7577A"/>
    <w:rsid w:val="00C7593C"/>
    <w:rsid w:val="00C75A47"/>
    <w:rsid w:val="00C75AA0"/>
    <w:rsid w:val="00C75B75"/>
    <w:rsid w:val="00C75D29"/>
    <w:rsid w:val="00C75D51"/>
    <w:rsid w:val="00C76305"/>
    <w:rsid w:val="00C76314"/>
    <w:rsid w:val="00C763FA"/>
    <w:rsid w:val="00C76414"/>
    <w:rsid w:val="00C76826"/>
    <w:rsid w:val="00C77507"/>
    <w:rsid w:val="00C7766B"/>
    <w:rsid w:val="00C77796"/>
    <w:rsid w:val="00C77BDD"/>
    <w:rsid w:val="00C77CF1"/>
    <w:rsid w:val="00C77F42"/>
    <w:rsid w:val="00C80A0F"/>
    <w:rsid w:val="00C80D00"/>
    <w:rsid w:val="00C811E8"/>
    <w:rsid w:val="00C8123A"/>
    <w:rsid w:val="00C8130B"/>
    <w:rsid w:val="00C81692"/>
    <w:rsid w:val="00C8195B"/>
    <w:rsid w:val="00C81A8A"/>
    <w:rsid w:val="00C81D29"/>
    <w:rsid w:val="00C8201E"/>
    <w:rsid w:val="00C82026"/>
    <w:rsid w:val="00C8210F"/>
    <w:rsid w:val="00C8268F"/>
    <w:rsid w:val="00C828C5"/>
    <w:rsid w:val="00C82B01"/>
    <w:rsid w:val="00C82CC7"/>
    <w:rsid w:val="00C82F66"/>
    <w:rsid w:val="00C83103"/>
    <w:rsid w:val="00C831D4"/>
    <w:rsid w:val="00C83535"/>
    <w:rsid w:val="00C835BB"/>
    <w:rsid w:val="00C835BC"/>
    <w:rsid w:val="00C838E1"/>
    <w:rsid w:val="00C83D84"/>
    <w:rsid w:val="00C846E7"/>
    <w:rsid w:val="00C84ABE"/>
    <w:rsid w:val="00C84E14"/>
    <w:rsid w:val="00C84F70"/>
    <w:rsid w:val="00C84FC3"/>
    <w:rsid w:val="00C850A6"/>
    <w:rsid w:val="00C85294"/>
    <w:rsid w:val="00C85568"/>
    <w:rsid w:val="00C8565C"/>
    <w:rsid w:val="00C8575D"/>
    <w:rsid w:val="00C857EB"/>
    <w:rsid w:val="00C8584B"/>
    <w:rsid w:val="00C85D4C"/>
    <w:rsid w:val="00C85E96"/>
    <w:rsid w:val="00C85F66"/>
    <w:rsid w:val="00C86000"/>
    <w:rsid w:val="00C8602D"/>
    <w:rsid w:val="00C862F9"/>
    <w:rsid w:val="00C866D0"/>
    <w:rsid w:val="00C868ED"/>
    <w:rsid w:val="00C86B6C"/>
    <w:rsid w:val="00C86C6F"/>
    <w:rsid w:val="00C86CD5"/>
    <w:rsid w:val="00C86EE3"/>
    <w:rsid w:val="00C87436"/>
    <w:rsid w:val="00C87530"/>
    <w:rsid w:val="00C876E9"/>
    <w:rsid w:val="00C87788"/>
    <w:rsid w:val="00C87AB4"/>
    <w:rsid w:val="00C87D59"/>
    <w:rsid w:val="00C904FB"/>
    <w:rsid w:val="00C90BD0"/>
    <w:rsid w:val="00C90CB7"/>
    <w:rsid w:val="00C90F7C"/>
    <w:rsid w:val="00C9100F"/>
    <w:rsid w:val="00C910E8"/>
    <w:rsid w:val="00C91103"/>
    <w:rsid w:val="00C91290"/>
    <w:rsid w:val="00C912F6"/>
    <w:rsid w:val="00C91651"/>
    <w:rsid w:val="00C916BF"/>
    <w:rsid w:val="00C91741"/>
    <w:rsid w:val="00C917A4"/>
    <w:rsid w:val="00C91CFA"/>
    <w:rsid w:val="00C92229"/>
    <w:rsid w:val="00C922A2"/>
    <w:rsid w:val="00C92804"/>
    <w:rsid w:val="00C92935"/>
    <w:rsid w:val="00C929C5"/>
    <w:rsid w:val="00C929DB"/>
    <w:rsid w:val="00C92A38"/>
    <w:rsid w:val="00C92AF0"/>
    <w:rsid w:val="00C93299"/>
    <w:rsid w:val="00C938DF"/>
    <w:rsid w:val="00C93ED9"/>
    <w:rsid w:val="00C944B9"/>
    <w:rsid w:val="00C947A7"/>
    <w:rsid w:val="00C94F63"/>
    <w:rsid w:val="00C95061"/>
    <w:rsid w:val="00C953B1"/>
    <w:rsid w:val="00C95579"/>
    <w:rsid w:val="00C95895"/>
    <w:rsid w:val="00C958BB"/>
    <w:rsid w:val="00C964FD"/>
    <w:rsid w:val="00C96B8E"/>
    <w:rsid w:val="00C96BD0"/>
    <w:rsid w:val="00C96FB2"/>
    <w:rsid w:val="00C976B1"/>
    <w:rsid w:val="00C976D8"/>
    <w:rsid w:val="00C97946"/>
    <w:rsid w:val="00C97AAE"/>
    <w:rsid w:val="00C97CEE"/>
    <w:rsid w:val="00CA063B"/>
    <w:rsid w:val="00CA0BA8"/>
    <w:rsid w:val="00CA0C5F"/>
    <w:rsid w:val="00CA105D"/>
    <w:rsid w:val="00CA13AC"/>
    <w:rsid w:val="00CA1664"/>
    <w:rsid w:val="00CA1850"/>
    <w:rsid w:val="00CA185C"/>
    <w:rsid w:val="00CA1946"/>
    <w:rsid w:val="00CA1D68"/>
    <w:rsid w:val="00CA1F50"/>
    <w:rsid w:val="00CA203E"/>
    <w:rsid w:val="00CA2118"/>
    <w:rsid w:val="00CA2147"/>
    <w:rsid w:val="00CA22B2"/>
    <w:rsid w:val="00CA234A"/>
    <w:rsid w:val="00CA234F"/>
    <w:rsid w:val="00CA24AA"/>
    <w:rsid w:val="00CA2572"/>
    <w:rsid w:val="00CA26E7"/>
    <w:rsid w:val="00CA26EA"/>
    <w:rsid w:val="00CA28C8"/>
    <w:rsid w:val="00CA2A8D"/>
    <w:rsid w:val="00CA2E46"/>
    <w:rsid w:val="00CA2FB2"/>
    <w:rsid w:val="00CA30C8"/>
    <w:rsid w:val="00CA35D8"/>
    <w:rsid w:val="00CA37F4"/>
    <w:rsid w:val="00CA389B"/>
    <w:rsid w:val="00CA38B8"/>
    <w:rsid w:val="00CA3957"/>
    <w:rsid w:val="00CA3AC3"/>
    <w:rsid w:val="00CA3C7A"/>
    <w:rsid w:val="00CA3D3A"/>
    <w:rsid w:val="00CA4016"/>
    <w:rsid w:val="00CA4147"/>
    <w:rsid w:val="00CA42D6"/>
    <w:rsid w:val="00CA45A1"/>
    <w:rsid w:val="00CA4AA1"/>
    <w:rsid w:val="00CA4C75"/>
    <w:rsid w:val="00CA4CD1"/>
    <w:rsid w:val="00CA5279"/>
    <w:rsid w:val="00CA528A"/>
    <w:rsid w:val="00CA5703"/>
    <w:rsid w:val="00CA5A9A"/>
    <w:rsid w:val="00CA5C4D"/>
    <w:rsid w:val="00CA5D46"/>
    <w:rsid w:val="00CA6071"/>
    <w:rsid w:val="00CA6210"/>
    <w:rsid w:val="00CA636C"/>
    <w:rsid w:val="00CA6460"/>
    <w:rsid w:val="00CA6496"/>
    <w:rsid w:val="00CA64E2"/>
    <w:rsid w:val="00CA68EC"/>
    <w:rsid w:val="00CA6BF3"/>
    <w:rsid w:val="00CA6D9F"/>
    <w:rsid w:val="00CA6E03"/>
    <w:rsid w:val="00CA7243"/>
    <w:rsid w:val="00CA74AF"/>
    <w:rsid w:val="00CA754C"/>
    <w:rsid w:val="00CA7BB2"/>
    <w:rsid w:val="00CA7CB0"/>
    <w:rsid w:val="00CB0364"/>
    <w:rsid w:val="00CB0A3B"/>
    <w:rsid w:val="00CB0C74"/>
    <w:rsid w:val="00CB0F75"/>
    <w:rsid w:val="00CB158E"/>
    <w:rsid w:val="00CB15AA"/>
    <w:rsid w:val="00CB15B4"/>
    <w:rsid w:val="00CB15E9"/>
    <w:rsid w:val="00CB1933"/>
    <w:rsid w:val="00CB19BE"/>
    <w:rsid w:val="00CB1A35"/>
    <w:rsid w:val="00CB1E23"/>
    <w:rsid w:val="00CB1F5B"/>
    <w:rsid w:val="00CB215B"/>
    <w:rsid w:val="00CB2510"/>
    <w:rsid w:val="00CB2634"/>
    <w:rsid w:val="00CB268D"/>
    <w:rsid w:val="00CB29F6"/>
    <w:rsid w:val="00CB2B8B"/>
    <w:rsid w:val="00CB2BD2"/>
    <w:rsid w:val="00CB2BD5"/>
    <w:rsid w:val="00CB2DB7"/>
    <w:rsid w:val="00CB2E59"/>
    <w:rsid w:val="00CB2EB8"/>
    <w:rsid w:val="00CB35A3"/>
    <w:rsid w:val="00CB3745"/>
    <w:rsid w:val="00CB3A02"/>
    <w:rsid w:val="00CB3AA8"/>
    <w:rsid w:val="00CB3AED"/>
    <w:rsid w:val="00CB3E05"/>
    <w:rsid w:val="00CB43F0"/>
    <w:rsid w:val="00CB4519"/>
    <w:rsid w:val="00CB4D63"/>
    <w:rsid w:val="00CB4FB0"/>
    <w:rsid w:val="00CB5123"/>
    <w:rsid w:val="00CB5400"/>
    <w:rsid w:val="00CB552C"/>
    <w:rsid w:val="00CB5548"/>
    <w:rsid w:val="00CB5960"/>
    <w:rsid w:val="00CB5979"/>
    <w:rsid w:val="00CB5A0D"/>
    <w:rsid w:val="00CB5C55"/>
    <w:rsid w:val="00CB5C99"/>
    <w:rsid w:val="00CB5E4F"/>
    <w:rsid w:val="00CB60D8"/>
    <w:rsid w:val="00CB6197"/>
    <w:rsid w:val="00CB628D"/>
    <w:rsid w:val="00CB6294"/>
    <w:rsid w:val="00CB6326"/>
    <w:rsid w:val="00CB6972"/>
    <w:rsid w:val="00CB6B0F"/>
    <w:rsid w:val="00CB6CEF"/>
    <w:rsid w:val="00CB6D09"/>
    <w:rsid w:val="00CB6D8D"/>
    <w:rsid w:val="00CB6E47"/>
    <w:rsid w:val="00CB6EA6"/>
    <w:rsid w:val="00CB7049"/>
    <w:rsid w:val="00CB71CE"/>
    <w:rsid w:val="00CB7365"/>
    <w:rsid w:val="00CB74BC"/>
    <w:rsid w:val="00CB7555"/>
    <w:rsid w:val="00CB788A"/>
    <w:rsid w:val="00CB7A67"/>
    <w:rsid w:val="00CB7BB0"/>
    <w:rsid w:val="00CB7C59"/>
    <w:rsid w:val="00CB7E87"/>
    <w:rsid w:val="00CC0404"/>
    <w:rsid w:val="00CC0A3B"/>
    <w:rsid w:val="00CC0E40"/>
    <w:rsid w:val="00CC10BA"/>
    <w:rsid w:val="00CC10F9"/>
    <w:rsid w:val="00CC13C7"/>
    <w:rsid w:val="00CC158B"/>
    <w:rsid w:val="00CC1707"/>
    <w:rsid w:val="00CC1726"/>
    <w:rsid w:val="00CC17E4"/>
    <w:rsid w:val="00CC1930"/>
    <w:rsid w:val="00CC1AF5"/>
    <w:rsid w:val="00CC1D1A"/>
    <w:rsid w:val="00CC1F4D"/>
    <w:rsid w:val="00CC2020"/>
    <w:rsid w:val="00CC2136"/>
    <w:rsid w:val="00CC22EB"/>
    <w:rsid w:val="00CC2596"/>
    <w:rsid w:val="00CC26D3"/>
    <w:rsid w:val="00CC2A0C"/>
    <w:rsid w:val="00CC2A7E"/>
    <w:rsid w:val="00CC2E2E"/>
    <w:rsid w:val="00CC32C7"/>
    <w:rsid w:val="00CC3C52"/>
    <w:rsid w:val="00CC4317"/>
    <w:rsid w:val="00CC453D"/>
    <w:rsid w:val="00CC4ADD"/>
    <w:rsid w:val="00CC4F08"/>
    <w:rsid w:val="00CC5044"/>
    <w:rsid w:val="00CC5314"/>
    <w:rsid w:val="00CC5956"/>
    <w:rsid w:val="00CC5B1C"/>
    <w:rsid w:val="00CC5B99"/>
    <w:rsid w:val="00CC6138"/>
    <w:rsid w:val="00CC6260"/>
    <w:rsid w:val="00CC640A"/>
    <w:rsid w:val="00CC6418"/>
    <w:rsid w:val="00CC6543"/>
    <w:rsid w:val="00CC6C6C"/>
    <w:rsid w:val="00CC6D76"/>
    <w:rsid w:val="00CC6ED6"/>
    <w:rsid w:val="00CC757A"/>
    <w:rsid w:val="00CC7C41"/>
    <w:rsid w:val="00CC7E06"/>
    <w:rsid w:val="00CC7F0C"/>
    <w:rsid w:val="00CC7F55"/>
    <w:rsid w:val="00CC7F76"/>
    <w:rsid w:val="00CD015F"/>
    <w:rsid w:val="00CD02BF"/>
    <w:rsid w:val="00CD05A7"/>
    <w:rsid w:val="00CD06DD"/>
    <w:rsid w:val="00CD0856"/>
    <w:rsid w:val="00CD1404"/>
    <w:rsid w:val="00CD161A"/>
    <w:rsid w:val="00CD1792"/>
    <w:rsid w:val="00CD1AC5"/>
    <w:rsid w:val="00CD1C41"/>
    <w:rsid w:val="00CD1D4A"/>
    <w:rsid w:val="00CD202F"/>
    <w:rsid w:val="00CD2121"/>
    <w:rsid w:val="00CD23B4"/>
    <w:rsid w:val="00CD2510"/>
    <w:rsid w:val="00CD270C"/>
    <w:rsid w:val="00CD2882"/>
    <w:rsid w:val="00CD2980"/>
    <w:rsid w:val="00CD33E9"/>
    <w:rsid w:val="00CD3436"/>
    <w:rsid w:val="00CD364B"/>
    <w:rsid w:val="00CD365E"/>
    <w:rsid w:val="00CD3701"/>
    <w:rsid w:val="00CD3A2A"/>
    <w:rsid w:val="00CD3B0B"/>
    <w:rsid w:val="00CD3B0F"/>
    <w:rsid w:val="00CD3BE3"/>
    <w:rsid w:val="00CD3CA0"/>
    <w:rsid w:val="00CD3D1D"/>
    <w:rsid w:val="00CD4492"/>
    <w:rsid w:val="00CD471A"/>
    <w:rsid w:val="00CD4739"/>
    <w:rsid w:val="00CD4875"/>
    <w:rsid w:val="00CD4951"/>
    <w:rsid w:val="00CD4C38"/>
    <w:rsid w:val="00CD4F3A"/>
    <w:rsid w:val="00CD52BA"/>
    <w:rsid w:val="00CD5D06"/>
    <w:rsid w:val="00CD5E52"/>
    <w:rsid w:val="00CD6084"/>
    <w:rsid w:val="00CD608C"/>
    <w:rsid w:val="00CD60FA"/>
    <w:rsid w:val="00CD6406"/>
    <w:rsid w:val="00CD689A"/>
    <w:rsid w:val="00CD69D9"/>
    <w:rsid w:val="00CD6A50"/>
    <w:rsid w:val="00CD6CC3"/>
    <w:rsid w:val="00CD6E4F"/>
    <w:rsid w:val="00CD6F5A"/>
    <w:rsid w:val="00CD7243"/>
    <w:rsid w:val="00CD73E1"/>
    <w:rsid w:val="00CD74A1"/>
    <w:rsid w:val="00CD774F"/>
    <w:rsid w:val="00CD78D4"/>
    <w:rsid w:val="00CD7C1A"/>
    <w:rsid w:val="00CD7FEF"/>
    <w:rsid w:val="00CE0021"/>
    <w:rsid w:val="00CE02E2"/>
    <w:rsid w:val="00CE0772"/>
    <w:rsid w:val="00CE0A26"/>
    <w:rsid w:val="00CE0A8D"/>
    <w:rsid w:val="00CE0F9F"/>
    <w:rsid w:val="00CE14B5"/>
    <w:rsid w:val="00CE1847"/>
    <w:rsid w:val="00CE1DB6"/>
    <w:rsid w:val="00CE1F06"/>
    <w:rsid w:val="00CE1F1F"/>
    <w:rsid w:val="00CE1F70"/>
    <w:rsid w:val="00CE2678"/>
    <w:rsid w:val="00CE2884"/>
    <w:rsid w:val="00CE28E3"/>
    <w:rsid w:val="00CE2C3E"/>
    <w:rsid w:val="00CE2C93"/>
    <w:rsid w:val="00CE2E90"/>
    <w:rsid w:val="00CE2F94"/>
    <w:rsid w:val="00CE3140"/>
    <w:rsid w:val="00CE31A7"/>
    <w:rsid w:val="00CE3291"/>
    <w:rsid w:val="00CE32DE"/>
    <w:rsid w:val="00CE3338"/>
    <w:rsid w:val="00CE3398"/>
    <w:rsid w:val="00CE3C07"/>
    <w:rsid w:val="00CE3CBF"/>
    <w:rsid w:val="00CE3ED1"/>
    <w:rsid w:val="00CE3F28"/>
    <w:rsid w:val="00CE40B2"/>
    <w:rsid w:val="00CE44A8"/>
    <w:rsid w:val="00CE4685"/>
    <w:rsid w:val="00CE4D61"/>
    <w:rsid w:val="00CE4DF0"/>
    <w:rsid w:val="00CE4E63"/>
    <w:rsid w:val="00CE502C"/>
    <w:rsid w:val="00CE5332"/>
    <w:rsid w:val="00CE56CA"/>
    <w:rsid w:val="00CE59B9"/>
    <w:rsid w:val="00CE5BC3"/>
    <w:rsid w:val="00CE5EBD"/>
    <w:rsid w:val="00CE644A"/>
    <w:rsid w:val="00CE64B7"/>
    <w:rsid w:val="00CE6566"/>
    <w:rsid w:val="00CE6882"/>
    <w:rsid w:val="00CE6BB5"/>
    <w:rsid w:val="00CE6EC8"/>
    <w:rsid w:val="00CE72BA"/>
    <w:rsid w:val="00CE72EA"/>
    <w:rsid w:val="00CE7476"/>
    <w:rsid w:val="00CE7615"/>
    <w:rsid w:val="00CE76B0"/>
    <w:rsid w:val="00CE796B"/>
    <w:rsid w:val="00CE7AFC"/>
    <w:rsid w:val="00CE7BB3"/>
    <w:rsid w:val="00CE7DE7"/>
    <w:rsid w:val="00CF03AD"/>
    <w:rsid w:val="00CF0676"/>
    <w:rsid w:val="00CF1045"/>
    <w:rsid w:val="00CF129C"/>
    <w:rsid w:val="00CF12D3"/>
    <w:rsid w:val="00CF130B"/>
    <w:rsid w:val="00CF148A"/>
    <w:rsid w:val="00CF152B"/>
    <w:rsid w:val="00CF1728"/>
    <w:rsid w:val="00CF1A00"/>
    <w:rsid w:val="00CF1A2D"/>
    <w:rsid w:val="00CF1B0A"/>
    <w:rsid w:val="00CF1DBA"/>
    <w:rsid w:val="00CF1EF0"/>
    <w:rsid w:val="00CF1FBA"/>
    <w:rsid w:val="00CF21D6"/>
    <w:rsid w:val="00CF233D"/>
    <w:rsid w:val="00CF26DA"/>
    <w:rsid w:val="00CF2913"/>
    <w:rsid w:val="00CF2AAE"/>
    <w:rsid w:val="00CF2AF8"/>
    <w:rsid w:val="00CF2EC9"/>
    <w:rsid w:val="00CF3528"/>
    <w:rsid w:val="00CF3D3B"/>
    <w:rsid w:val="00CF3E43"/>
    <w:rsid w:val="00CF4031"/>
    <w:rsid w:val="00CF426D"/>
    <w:rsid w:val="00CF439F"/>
    <w:rsid w:val="00CF43F9"/>
    <w:rsid w:val="00CF458C"/>
    <w:rsid w:val="00CF467B"/>
    <w:rsid w:val="00CF4ABB"/>
    <w:rsid w:val="00CF4D85"/>
    <w:rsid w:val="00CF4E63"/>
    <w:rsid w:val="00CF584F"/>
    <w:rsid w:val="00CF5881"/>
    <w:rsid w:val="00CF6016"/>
    <w:rsid w:val="00CF615D"/>
    <w:rsid w:val="00CF617C"/>
    <w:rsid w:val="00CF62A4"/>
    <w:rsid w:val="00CF64BD"/>
    <w:rsid w:val="00CF6AA4"/>
    <w:rsid w:val="00CF6C20"/>
    <w:rsid w:val="00CF6E2F"/>
    <w:rsid w:val="00CF6F2A"/>
    <w:rsid w:val="00CF6F3F"/>
    <w:rsid w:val="00CF6F72"/>
    <w:rsid w:val="00CF7120"/>
    <w:rsid w:val="00CF724C"/>
    <w:rsid w:val="00CF741C"/>
    <w:rsid w:val="00CF75D0"/>
    <w:rsid w:val="00CF75E4"/>
    <w:rsid w:val="00CF77C6"/>
    <w:rsid w:val="00CF78EE"/>
    <w:rsid w:val="00CF7CF4"/>
    <w:rsid w:val="00CFA5B8"/>
    <w:rsid w:val="00D00164"/>
    <w:rsid w:val="00D001B4"/>
    <w:rsid w:val="00D003B7"/>
    <w:rsid w:val="00D005D2"/>
    <w:rsid w:val="00D007FE"/>
    <w:rsid w:val="00D009E4"/>
    <w:rsid w:val="00D00A58"/>
    <w:rsid w:val="00D00B24"/>
    <w:rsid w:val="00D00E36"/>
    <w:rsid w:val="00D010EB"/>
    <w:rsid w:val="00D01127"/>
    <w:rsid w:val="00D012E0"/>
    <w:rsid w:val="00D0144C"/>
    <w:rsid w:val="00D0148F"/>
    <w:rsid w:val="00D014D9"/>
    <w:rsid w:val="00D014F1"/>
    <w:rsid w:val="00D01637"/>
    <w:rsid w:val="00D01665"/>
    <w:rsid w:val="00D016EB"/>
    <w:rsid w:val="00D01F12"/>
    <w:rsid w:val="00D02179"/>
    <w:rsid w:val="00D02209"/>
    <w:rsid w:val="00D02979"/>
    <w:rsid w:val="00D02F4F"/>
    <w:rsid w:val="00D03039"/>
    <w:rsid w:val="00D0307D"/>
    <w:rsid w:val="00D030A2"/>
    <w:rsid w:val="00D032EE"/>
    <w:rsid w:val="00D03561"/>
    <w:rsid w:val="00D0392D"/>
    <w:rsid w:val="00D03953"/>
    <w:rsid w:val="00D03C49"/>
    <w:rsid w:val="00D03E24"/>
    <w:rsid w:val="00D040DF"/>
    <w:rsid w:val="00D042BD"/>
    <w:rsid w:val="00D042E3"/>
    <w:rsid w:val="00D046D7"/>
    <w:rsid w:val="00D04CB3"/>
    <w:rsid w:val="00D04DF1"/>
    <w:rsid w:val="00D05292"/>
    <w:rsid w:val="00D0558E"/>
    <w:rsid w:val="00D05C7A"/>
    <w:rsid w:val="00D06216"/>
    <w:rsid w:val="00D0621E"/>
    <w:rsid w:val="00D0670D"/>
    <w:rsid w:val="00D06922"/>
    <w:rsid w:val="00D06BFB"/>
    <w:rsid w:val="00D06E50"/>
    <w:rsid w:val="00D07287"/>
    <w:rsid w:val="00D0736E"/>
    <w:rsid w:val="00D077DD"/>
    <w:rsid w:val="00D07DE3"/>
    <w:rsid w:val="00D07E18"/>
    <w:rsid w:val="00D07ED5"/>
    <w:rsid w:val="00D104DE"/>
    <w:rsid w:val="00D10543"/>
    <w:rsid w:val="00D10594"/>
    <w:rsid w:val="00D107B3"/>
    <w:rsid w:val="00D10B12"/>
    <w:rsid w:val="00D10DD0"/>
    <w:rsid w:val="00D10E27"/>
    <w:rsid w:val="00D10F43"/>
    <w:rsid w:val="00D11113"/>
    <w:rsid w:val="00D11329"/>
    <w:rsid w:val="00D11AB0"/>
    <w:rsid w:val="00D11D0D"/>
    <w:rsid w:val="00D11DEC"/>
    <w:rsid w:val="00D120D7"/>
    <w:rsid w:val="00D12293"/>
    <w:rsid w:val="00D12370"/>
    <w:rsid w:val="00D124C5"/>
    <w:rsid w:val="00D125D9"/>
    <w:rsid w:val="00D126FA"/>
    <w:rsid w:val="00D127B1"/>
    <w:rsid w:val="00D12966"/>
    <w:rsid w:val="00D129B9"/>
    <w:rsid w:val="00D129FE"/>
    <w:rsid w:val="00D12C3B"/>
    <w:rsid w:val="00D12C69"/>
    <w:rsid w:val="00D12CB3"/>
    <w:rsid w:val="00D12D83"/>
    <w:rsid w:val="00D12E83"/>
    <w:rsid w:val="00D1300B"/>
    <w:rsid w:val="00D131C6"/>
    <w:rsid w:val="00D131DD"/>
    <w:rsid w:val="00D13792"/>
    <w:rsid w:val="00D14037"/>
    <w:rsid w:val="00D14252"/>
    <w:rsid w:val="00D148BC"/>
    <w:rsid w:val="00D14B26"/>
    <w:rsid w:val="00D14BC1"/>
    <w:rsid w:val="00D14C9A"/>
    <w:rsid w:val="00D14E59"/>
    <w:rsid w:val="00D150A0"/>
    <w:rsid w:val="00D154A6"/>
    <w:rsid w:val="00D154ED"/>
    <w:rsid w:val="00D15856"/>
    <w:rsid w:val="00D15971"/>
    <w:rsid w:val="00D15C6F"/>
    <w:rsid w:val="00D15D54"/>
    <w:rsid w:val="00D15E7B"/>
    <w:rsid w:val="00D15EFF"/>
    <w:rsid w:val="00D15F35"/>
    <w:rsid w:val="00D16217"/>
    <w:rsid w:val="00D16411"/>
    <w:rsid w:val="00D16509"/>
    <w:rsid w:val="00D1655C"/>
    <w:rsid w:val="00D16670"/>
    <w:rsid w:val="00D1680E"/>
    <w:rsid w:val="00D16F9A"/>
    <w:rsid w:val="00D17125"/>
    <w:rsid w:val="00D1742F"/>
    <w:rsid w:val="00D17991"/>
    <w:rsid w:val="00D17AE3"/>
    <w:rsid w:val="00D20031"/>
    <w:rsid w:val="00D20133"/>
    <w:rsid w:val="00D201E5"/>
    <w:rsid w:val="00D20757"/>
    <w:rsid w:val="00D20764"/>
    <w:rsid w:val="00D207E0"/>
    <w:rsid w:val="00D2092E"/>
    <w:rsid w:val="00D20F4E"/>
    <w:rsid w:val="00D20F9D"/>
    <w:rsid w:val="00D211E7"/>
    <w:rsid w:val="00D21689"/>
    <w:rsid w:val="00D218E5"/>
    <w:rsid w:val="00D21960"/>
    <w:rsid w:val="00D21966"/>
    <w:rsid w:val="00D219C7"/>
    <w:rsid w:val="00D21C34"/>
    <w:rsid w:val="00D22008"/>
    <w:rsid w:val="00D2214F"/>
    <w:rsid w:val="00D22291"/>
    <w:rsid w:val="00D223C7"/>
    <w:rsid w:val="00D223E6"/>
    <w:rsid w:val="00D225AA"/>
    <w:rsid w:val="00D22745"/>
    <w:rsid w:val="00D22ED5"/>
    <w:rsid w:val="00D22F18"/>
    <w:rsid w:val="00D231E9"/>
    <w:rsid w:val="00D233DB"/>
    <w:rsid w:val="00D2356D"/>
    <w:rsid w:val="00D236C9"/>
    <w:rsid w:val="00D239DA"/>
    <w:rsid w:val="00D23AE6"/>
    <w:rsid w:val="00D23DBE"/>
    <w:rsid w:val="00D23DE8"/>
    <w:rsid w:val="00D23E2E"/>
    <w:rsid w:val="00D23EAB"/>
    <w:rsid w:val="00D23F56"/>
    <w:rsid w:val="00D2462D"/>
    <w:rsid w:val="00D24802"/>
    <w:rsid w:val="00D248BE"/>
    <w:rsid w:val="00D24C79"/>
    <w:rsid w:val="00D24DD1"/>
    <w:rsid w:val="00D25126"/>
    <w:rsid w:val="00D25779"/>
    <w:rsid w:val="00D25A0E"/>
    <w:rsid w:val="00D25F5E"/>
    <w:rsid w:val="00D260E0"/>
    <w:rsid w:val="00D262EE"/>
    <w:rsid w:val="00D267EC"/>
    <w:rsid w:val="00D26CF2"/>
    <w:rsid w:val="00D26D01"/>
    <w:rsid w:val="00D26D5B"/>
    <w:rsid w:val="00D273F3"/>
    <w:rsid w:val="00D277FB"/>
    <w:rsid w:val="00D27E26"/>
    <w:rsid w:val="00D3006B"/>
    <w:rsid w:val="00D302B4"/>
    <w:rsid w:val="00D306B3"/>
    <w:rsid w:val="00D30810"/>
    <w:rsid w:val="00D313B3"/>
    <w:rsid w:val="00D318D7"/>
    <w:rsid w:val="00D3190A"/>
    <w:rsid w:val="00D319A6"/>
    <w:rsid w:val="00D31CBE"/>
    <w:rsid w:val="00D31CD6"/>
    <w:rsid w:val="00D31E8A"/>
    <w:rsid w:val="00D31EAA"/>
    <w:rsid w:val="00D32395"/>
    <w:rsid w:val="00D323A8"/>
    <w:rsid w:val="00D3285A"/>
    <w:rsid w:val="00D3292B"/>
    <w:rsid w:val="00D329A3"/>
    <w:rsid w:val="00D329BB"/>
    <w:rsid w:val="00D32ACB"/>
    <w:rsid w:val="00D32CE1"/>
    <w:rsid w:val="00D330A1"/>
    <w:rsid w:val="00D332C8"/>
    <w:rsid w:val="00D336A6"/>
    <w:rsid w:val="00D336FB"/>
    <w:rsid w:val="00D33F02"/>
    <w:rsid w:val="00D33F3B"/>
    <w:rsid w:val="00D34156"/>
    <w:rsid w:val="00D341A8"/>
    <w:rsid w:val="00D34346"/>
    <w:rsid w:val="00D348DF"/>
    <w:rsid w:val="00D34B72"/>
    <w:rsid w:val="00D34C53"/>
    <w:rsid w:val="00D34D59"/>
    <w:rsid w:val="00D350B4"/>
    <w:rsid w:val="00D35331"/>
    <w:rsid w:val="00D353AA"/>
    <w:rsid w:val="00D353E2"/>
    <w:rsid w:val="00D356E1"/>
    <w:rsid w:val="00D358D5"/>
    <w:rsid w:val="00D358F7"/>
    <w:rsid w:val="00D359A4"/>
    <w:rsid w:val="00D35C6F"/>
    <w:rsid w:val="00D36334"/>
    <w:rsid w:val="00D36376"/>
    <w:rsid w:val="00D365A9"/>
    <w:rsid w:val="00D36A3D"/>
    <w:rsid w:val="00D36A83"/>
    <w:rsid w:val="00D36D7B"/>
    <w:rsid w:val="00D36E67"/>
    <w:rsid w:val="00D36EB2"/>
    <w:rsid w:val="00D36F85"/>
    <w:rsid w:val="00D36FCC"/>
    <w:rsid w:val="00D370F1"/>
    <w:rsid w:val="00D378B5"/>
    <w:rsid w:val="00D37D34"/>
    <w:rsid w:val="00D37EF5"/>
    <w:rsid w:val="00D37F86"/>
    <w:rsid w:val="00D401FB"/>
    <w:rsid w:val="00D40A1F"/>
    <w:rsid w:val="00D40AB1"/>
    <w:rsid w:val="00D40B17"/>
    <w:rsid w:val="00D40E69"/>
    <w:rsid w:val="00D411EE"/>
    <w:rsid w:val="00D41261"/>
    <w:rsid w:val="00D4127D"/>
    <w:rsid w:val="00D4167B"/>
    <w:rsid w:val="00D4184F"/>
    <w:rsid w:val="00D419C9"/>
    <w:rsid w:val="00D41ED3"/>
    <w:rsid w:val="00D420A5"/>
    <w:rsid w:val="00D421C2"/>
    <w:rsid w:val="00D427DE"/>
    <w:rsid w:val="00D428B9"/>
    <w:rsid w:val="00D429A0"/>
    <w:rsid w:val="00D429DF"/>
    <w:rsid w:val="00D42B1F"/>
    <w:rsid w:val="00D42B33"/>
    <w:rsid w:val="00D42DFC"/>
    <w:rsid w:val="00D43246"/>
    <w:rsid w:val="00D4324D"/>
    <w:rsid w:val="00D4343F"/>
    <w:rsid w:val="00D43449"/>
    <w:rsid w:val="00D434D3"/>
    <w:rsid w:val="00D4360B"/>
    <w:rsid w:val="00D43632"/>
    <w:rsid w:val="00D43668"/>
    <w:rsid w:val="00D43CFA"/>
    <w:rsid w:val="00D43D38"/>
    <w:rsid w:val="00D43D5B"/>
    <w:rsid w:val="00D43EAF"/>
    <w:rsid w:val="00D43EE4"/>
    <w:rsid w:val="00D4422E"/>
    <w:rsid w:val="00D44708"/>
    <w:rsid w:val="00D44B2B"/>
    <w:rsid w:val="00D45298"/>
    <w:rsid w:val="00D455B9"/>
    <w:rsid w:val="00D4568F"/>
    <w:rsid w:val="00D45750"/>
    <w:rsid w:val="00D457EA"/>
    <w:rsid w:val="00D4581A"/>
    <w:rsid w:val="00D45B1C"/>
    <w:rsid w:val="00D45B48"/>
    <w:rsid w:val="00D45C42"/>
    <w:rsid w:val="00D4603E"/>
    <w:rsid w:val="00D46310"/>
    <w:rsid w:val="00D4652C"/>
    <w:rsid w:val="00D46632"/>
    <w:rsid w:val="00D469F5"/>
    <w:rsid w:val="00D46B8A"/>
    <w:rsid w:val="00D46C86"/>
    <w:rsid w:val="00D46E69"/>
    <w:rsid w:val="00D47024"/>
    <w:rsid w:val="00D4756B"/>
    <w:rsid w:val="00D47963"/>
    <w:rsid w:val="00D4796B"/>
    <w:rsid w:val="00D47A86"/>
    <w:rsid w:val="00D47B2B"/>
    <w:rsid w:val="00D47CF1"/>
    <w:rsid w:val="00D47D32"/>
    <w:rsid w:val="00D47FA1"/>
    <w:rsid w:val="00D5041A"/>
    <w:rsid w:val="00D5058E"/>
    <w:rsid w:val="00D50715"/>
    <w:rsid w:val="00D50B2D"/>
    <w:rsid w:val="00D50CA7"/>
    <w:rsid w:val="00D512AD"/>
    <w:rsid w:val="00D51393"/>
    <w:rsid w:val="00D516F0"/>
    <w:rsid w:val="00D52014"/>
    <w:rsid w:val="00D5207E"/>
    <w:rsid w:val="00D52542"/>
    <w:rsid w:val="00D525B5"/>
    <w:rsid w:val="00D5267F"/>
    <w:rsid w:val="00D5275F"/>
    <w:rsid w:val="00D528DB"/>
    <w:rsid w:val="00D52BA0"/>
    <w:rsid w:val="00D52C0C"/>
    <w:rsid w:val="00D52E54"/>
    <w:rsid w:val="00D52FC5"/>
    <w:rsid w:val="00D52FF5"/>
    <w:rsid w:val="00D530E7"/>
    <w:rsid w:val="00D53488"/>
    <w:rsid w:val="00D53638"/>
    <w:rsid w:val="00D53662"/>
    <w:rsid w:val="00D53669"/>
    <w:rsid w:val="00D53846"/>
    <w:rsid w:val="00D5404C"/>
    <w:rsid w:val="00D54550"/>
    <w:rsid w:val="00D5471C"/>
    <w:rsid w:val="00D54F88"/>
    <w:rsid w:val="00D54FFF"/>
    <w:rsid w:val="00D559D0"/>
    <w:rsid w:val="00D55AFC"/>
    <w:rsid w:val="00D55CFB"/>
    <w:rsid w:val="00D55E8F"/>
    <w:rsid w:val="00D56225"/>
    <w:rsid w:val="00D564CF"/>
    <w:rsid w:val="00D564F9"/>
    <w:rsid w:val="00D5671D"/>
    <w:rsid w:val="00D56A25"/>
    <w:rsid w:val="00D56C3E"/>
    <w:rsid w:val="00D56CF3"/>
    <w:rsid w:val="00D56D20"/>
    <w:rsid w:val="00D56D7E"/>
    <w:rsid w:val="00D56DFA"/>
    <w:rsid w:val="00D56EFB"/>
    <w:rsid w:val="00D57067"/>
    <w:rsid w:val="00D57112"/>
    <w:rsid w:val="00D57173"/>
    <w:rsid w:val="00D57B40"/>
    <w:rsid w:val="00D57BEF"/>
    <w:rsid w:val="00D600F7"/>
    <w:rsid w:val="00D6033C"/>
    <w:rsid w:val="00D6095F"/>
    <w:rsid w:val="00D60D33"/>
    <w:rsid w:val="00D60E22"/>
    <w:rsid w:val="00D61217"/>
    <w:rsid w:val="00D61302"/>
    <w:rsid w:val="00D616DE"/>
    <w:rsid w:val="00D61C9C"/>
    <w:rsid w:val="00D622B0"/>
    <w:rsid w:val="00D62379"/>
    <w:rsid w:val="00D624E1"/>
    <w:rsid w:val="00D62513"/>
    <w:rsid w:val="00D62987"/>
    <w:rsid w:val="00D62AF1"/>
    <w:rsid w:val="00D62AF7"/>
    <w:rsid w:val="00D62B51"/>
    <w:rsid w:val="00D62BDA"/>
    <w:rsid w:val="00D62D4D"/>
    <w:rsid w:val="00D62EF6"/>
    <w:rsid w:val="00D62F4D"/>
    <w:rsid w:val="00D62F55"/>
    <w:rsid w:val="00D632BC"/>
    <w:rsid w:val="00D63309"/>
    <w:rsid w:val="00D637B6"/>
    <w:rsid w:val="00D63899"/>
    <w:rsid w:val="00D63AF0"/>
    <w:rsid w:val="00D63C15"/>
    <w:rsid w:val="00D63DAF"/>
    <w:rsid w:val="00D63DE3"/>
    <w:rsid w:val="00D63E77"/>
    <w:rsid w:val="00D63F4B"/>
    <w:rsid w:val="00D6446A"/>
    <w:rsid w:val="00D645E5"/>
    <w:rsid w:val="00D64769"/>
    <w:rsid w:val="00D64906"/>
    <w:rsid w:val="00D64A71"/>
    <w:rsid w:val="00D64ACE"/>
    <w:rsid w:val="00D64B91"/>
    <w:rsid w:val="00D64BB6"/>
    <w:rsid w:val="00D64D19"/>
    <w:rsid w:val="00D652D9"/>
    <w:rsid w:val="00D653D7"/>
    <w:rsid w:val="00D655FD"/>
    <w:rsid w:val="00D65B12"/>
    <w:rsid w:val="00D65B5F"/>
    <w:rsid w:val="00D66185"/>
    <w:rsid w:val="00D66343"/>
    <w:rsid w:val="00D66350"/>
    <w:rsid w:val="00D6657A"/>
    <w:rsid w:val="00D66660"/>
    <w:rsid w:val="00D66DEF"/>
    <w:rsid w:val="00D66EF8"/>
    <w:rsid w:val="00D67298"/>
    <w:rsid w:val="00D675D9"/>
    <w:rsid w:val="00D6780A"/>
    <w:rsid w:val="00D678E8"/>
    <w:rsid w:val="00D6796F"/>
    <w:rsid w:val="00D67A3C"/>
    <w:rsid w:val="00D67A99"/>
    <w:rsid w:val="00D70032"/>
    <w:rsid w:val="00D701D8"/>
    <w:rsid w:val="00D7082B"/>
    <w:rsid w:val="00D709F1"/>
    <w:rsid w:val="00D70A26"/>
    <w:rsid w:val="00D70DB6"/>
    <w:rsid w:val="00D70DDA"/>
    <w:rsid w:val="00D71168"/>
    <w:rsid w:val="00D711E6"/>
    <w:rsid w:val="00D7172F"/>
    <w:rsid w:val="00D717AF"/>
    <w:rsid w:val="00D71A8C"/>
    <w:rsid w:val="00D71C73"/>
    <w:rsid w:val="00D71D0E"/>
    <w:rsid w:val="00D71D1A"/>
    <w:rsid w:val="00D71E20"/>
    <w:rsid w:val="00D71FB7"/>
    <w:rsid w:val="00D7210F"/>
    <w:rsid w:val="00D729BC"/>
    <w:rsid w:val="00D72A6E"/>
    <w:rsid w:val="00D73092"/>
    <w:rsid w:val="00D73273"/>
    <w:rsid w:val="00D732F6"/>
    <w:rsid w:val="00D73422"/>
    <w:rsid w:val="00D73430"/>
    <w:rsid w:val="00D735FB"/>
    <w:rsid w:val="00D7365D"/>
    <w:rsid w:val="00D73AD9"/>
    <w:rsid w:val="00D73B88"/>
    <w:rsid w:val="00D73C36"/>
    <w:rsid w:val="00D73E82"/>
    <w:rsid w:val="00D73EE7"/>
    <w:rsid w:val="00D73F28"/>
    <w:rsid w:val="00D74132"/>
    <w:rsid w:val="00D74BDD"/>
    <w:rsid w:val="00D74ECA"/>
    <w:rsid w:val="00D7535D"/>
    <w:rsid w:val="00D7552D"/>
    <w:rsid w:val="00D75927"/>
    <w:rsid w:val="00D75B0E"/>
    <w:rsid w:val="00D75B79"/>
    <w:rsid w:val="00D75FC0"/>
    <w:rsid w:val="00D7645F"/>
    <w:rsid w:val="00D764A9"/>
    <w:rsid w:val="00D7670C"/>
    <w:rsid w:val="00D76D24"/>
    <w:rsid w:val="00D770C7"/>
    <w:rsid w:val="00D7720C"/>
    <w:rsid w:val="00D77318"/>
    <w:rsid w:val="00D77353"/>
    <w:rsid w:val="00D77603"/>
    <w:rsid w:val="00D777F0"/>
    <w:rsid w:val="00D77B20"/>
    <w:rsid w:val="00D77ED0"/>
    <w:rsid w:val="00D80145"/>
    <w:rsid w:val="00D8028C"/>
    <w:rsid w:val="00D808A7"/>
    <w:rsid w:val="00D80C29"/>
    <w:rsid w:val="00D80E24"/>
    <w:rsid w:val="00D811B9"/>
    <w:rsid w:val="00D812E6"/>
    <w:rsid w:val="00D81725"/>
    <w:rsid w:val="00D81956"/>
    <w:rsid w:val="00D81F68"/>
    <w:rsid w:val="00D82315"/>
    <w:rsid w:val="00D82370"/>
    <w:rsid w:val="00D82BA0"/>
    <w:rsid w:val="00D830F5"/>
    <w:rsid w:val="00D8316D"/>
    <w:rsid w:val="00D833EA"/>
    <w:rsid w:val="00D8385D"/>
    <w:rsid w:val="00D838AB"/>
    <w:rsid w:val="00D8395D"/>
    <w:rsid w:val="00D83AB7"/>
    <w:rsid w:val="00D83B51"/>
    <w:rsid w:val="00D84010"/>
    <w:rsid w:val="00D84A79"/>
    <w:rsid w:val="00D84AC5"/>
    <w:rsid w:val="00D84AC9"/>
    <w:rsid w:val="00D84D6B"/>
    <w:rsid w:val="00D84E9F"/>
    <w:rsid w:val="00D84ECA"/>
    <w:rsid w:val="00D85004"/>
    <w:rsid w:val="00D8525E"/>
    <w:rsid w:val="00D854E0"/>
    <w:rsid w:val="00D8579A"/>
    <w:rsid w:val="00D85A22"/>
    <w:rsid w:val="00D85DC1"/>
    <w:rsid w:val="00D85F83"/>
    <w:rsid w:val="00D860DC"/>
    <w:rsid w:val="00D8657B"/>
    <w:rsid w:val="00D86590"/>
    <w:rsid w:val="00D86737"/>
    <w:rsid w:val="00D869EC"/>
    <w:rsid w:val="00D86D16"/>
    <w:rsid w:val="00D86D33"/>
    <w:rsid w:val="00D86E51"/>
    <w:rsid w:val="00D87197"/>
    <w:rsid w:val="00D87448"/>
    <w:rsid w:val="00D874E2"/>
    <w:rsid w:val="00D87891"/>
    <w:rsid w:val="00D879C7"/>
    <w:rsid w:val="00D87BCA"/>
    <w:rsid w:val="00D87D1D"/>
    <w:rsid w:val="00D8D70D"/>
    <w:rsid w:val="00D90159"/>
    <w:rsid w:val="00D90160"/>
    <w:rsid w:val="00D9026C"/>
    <w:rsid w:val="00D903F3"/>
    <w:rsid w:val="00D9041B"/>
    <w:rsid w:val="00D907A9"/>
    <w:rsid w:val="00D9088B"/>
    <w:rsid w:val="00D90AE0"/>
    <w:rsid w:val="00D90C33"/>
    <w:rsid w:val="00D90DBB"/>
    <w:rsid w:val="00D90FC8"/>
    <w:rsid w:val="00D9141D"/>
    <w:rsid w:val="00D91C02"/>
    <w:rsid w:val="00D91CB1"/>
    <w:rsid w:val="00D91CE4"/>
    <w:rsid w:val="00D91D61"/>
    <w:rsid w:val="00D91DBE"/>
    <w:rsid w:val="00D92359"/>
    <w:rsid w:val="00D926C2"/>
    <w:rsid w:val="00D932B1"/>
    <w:rsid w:val="00D93489"/>
    <w:rsid w:val="00D9370C"/>
    <w:rsid w:val="00D93750"/>
    <w:rsid w:val="00D93779"/>
    <w:rsid w:val="00D9380E"/>
    <w:rsid w:val="00D93F58"/>
    <w:rsid w:val="00D93F5D"/>
    <w:rsid w:val="00D941E9"/>
    <w:rsid w:val="00D942AD"/>
    <w:rsid w:val="00D94630"/>
    <w:rsid w:val="00D946C9"/>
    <w:rsid w:val="00D9479E"/>
    <w:rsid w:val="00D948F3"/>
    <w:rsid w:val="00D9490A"/>
    <w:rsid w:val="00D94A25"/>
    <w:rsid w:val="00D94AB0"/>
    <w:rsid w:val="00D94C80"/>
    <w:rsid w:val="00D94CF3"/>
    <w:rsid w:val="00D95205"/>
    <w:rsid w:val="00D95429"/>
    <w:rsid w:val="00D95463"/>
    <w:rsid w:val="00D9586B"/>
    <w:rsid w:val="00D95885"/>
    <w:rsid w:val="00D95A7E"/>
    <w:rsid w:val="00D95BAF"/>
    <w:rsid w:val="00D95C20"/>
    <w:rsid w:val="00D95C41"/>
    <w:rsid w:val="00D95D11"/>
    <w:rsid w:val="00D95F95"/>
    <w:rsid w:val="00D96446"/>
    <w:rsid w:val="00D96559"/>
    <w:rsid w:val="00D965A0"/>
    <w:rsid w:val="00D965AD"/>
    <w:rsid w:val="00D967A8"/>
    <w:rsid w:val="00D96D4F"/>
    <w:rsid w:val="00D96D81"/>
    <w:rsid w:val="00D96F52"/>
    <w:rsid w:val="00D97422"/>
    <w:rsid w:val="00D97423"/>
    <w:rsid w:val="00D975BB"/>
    <w:rsid w:val="00D9778F"/>
    <w:rsid w:val="00D977AC"/>
    <w:rsid w:val="00D97BEC"/>
    <w:rsid w:val="00D97CE7"/>
    <w:rsid w:val="00D97E6E"/>
    <w:rsid w:val="00D97F70"/>
    <w:rsid w:val="00DA0485"/>
    <w:rsid w:val="00DA058E"/>
    <w:rsid w:val="00DA08AB"/>
    <w:rsid w:val="00DA0BA2"/>
    <w:rsid w:val="00DA0C94"/>
    <w:rsid w:val="00DA0EEF"/>
    <w:rsid w:val="00DA132E"/>
    <w:rsid w:val="00DA157C"/>
    <w:rsid w:val="00DA17E6"/>
    <w:rsid w:val="00DA1C39"/>
    <w:rsid w:val="00DA1FC9"/>
    <w:rsid w:val="00DA27D7"/>
    <w:rsid w:val="00DA2C17"/>
    <w:rsid w:val="00DA2CD8"/>
    <w:rsid w:val="00DA3281"/>
    <w:rsid w:val="00DA33AA"/>
    <w:rsid w:val="00DA34E3"/>
    <w:rsid w:val="00DA35E6"/>
    <w:rsid w:val="00DA36B0"/>
    <w:rsid w:val="00DA3784"/>
    <w:rsid w:val="00DA38BC"/>
    <w:rsid w:val="00DA39AB"/>
    <w:rsid w:val="00DA3AA9"/>
    <w:rsid w:val="00DA4203"/>
    <w:rsid w:val="00DA427F"/>
    <w:rsid w:val="00DA4B7B"/>
    <w:rsid w:val="00DA4FA5"/>
    <w:rsid w:val="00DA5008"/>
    <w:rsid w:val="00DA512C"/>
    <w:rsid w:val="00DA52A2"/>
    <w:rsid w:val="00DA551E"/>
    <w:rsid w:val="00DA57AF"/>
    <w:rsid w:val="00DA57E7"/>
    <w:rsid w:val="00DA5845"/>
    <w:rsid w:val="00DA5B19"/>
    <w:rsid w:val="00DA5D16"/>
    <w:rsid w:val="00DA5D63"/>
    <w:rsid w:val="00DA6313"/>
    <w:rsid w:val="00DA6672"/>
    <w:rsid w:val="00DA6708"/>
    <w:rsid w:val="00DA6765"/>
    <w:rsid w:val="00DA67B7"/>
    <w:rsid w:val="00DA6A2B"/>
    <w:rsid w:val="00DA6AAD"/>
    <w:rsid w:val="00DA6BCC"/>
    <w:rsid w:val="00DA6FDD"/>
    <w:rsid w:val="00DA756C"/>
    <w:rsid w:val="00DA76EE"/>
    <w:rsid w:val="00DA77C6"/>
    <w:rsid w:val="00DA7825"/>
    <w:rsid w:val="00DA7AEE"/>
    <w:rsid w:val="00DA7BC7"/>
    <w:rsid w:val="00DA7F83"/>
    <w:rsid w:val="00DB003C"/>
    <w:rsid w:val="00DB05A9"/>
    <w:rsid w:val="00DB05F7"/>
    <w:rsid w:val="00DB081D"/>
    <w:rsid w:val="00DB08C5"/>
    <w:rsid w:val="00DB1125"/>
    <w:rsid w:val="00DB14CD"/>
    <w:rsid w:val="00DB170B"/>
    <w:rsid w:val="00DB1BBE"/>
    <w:rsid w:val="00DB1E91"/>
    <w:rsid w:val="00DB1EBC"/>
    <w:rsid w:val="00DB2954"/>
    <w:rsid w:val="00DB29EA"/>
    <w:rsid w:val="00DB2A19"/>
    <w:rsid w:val="00DB2E96"/>
    <w:rsid w:val="00DB30EF"/>
    <w:rsid w:val="00DB3134"/>
    <w:rsid w:val="00DB3178"/>
    <w:rsid w:val="00DB3222"/>
    <w:rsid w:val="00DB337B"/>
    <w:rsid w:val="00DB33CD"/>
    <w:rsid w:val="00DB35B3"/>
    <w:rsid w:val="00DB3749"/>
    <w:rsid w:val="00DB4410"/>
    <w:rsid w:val="00DB46CD"/>
    <w:rsid w:val="00DB4F1F"/>
    <w:rsid w:val="00DB5117"/>
    <w:rsid w:val="00DB546B"/>
    <w:rsid w:val="00DB5697"/>
    <w:rsid w:val="00DB59D5"/>
    <w:rsid w:val="00DB5A7E"/>
    <w:rsid w:val="00DB5D80"/>
    <w:rsid w:val="00DB5F5D"/>
    <w:rsid w:val="00DB6031"/>
    <w:rsid w:val="00DB6075"/>
    <w:rsid w:val="00DB609F"/>
    <w:rsid w:val="00DB6140"/>
    <w:rsid w:val="00DB664A"/>
    <w:rsid w:val="00DB69F4"/>
    <w:rsid w:val="00DB6A59"/>
    <w:rsid w:val="00DB6DE1"/>
    <w:rsid w:val="00DB71D8"/>
    <w:rsid w:val="00DB729B"/>
    <w:rsid w:val="00DB72EC"/>
    <w:rsid w:val="00DB7463"/>
    <w:rsid w:val="00DB7568"/>
    <w:rsid w:val="00DB75E3"/>
    <w:rsid w:val="00DB79D0"/>
    <w:rsid w:val="00DB7A6B"/>
    <w:rsid w:val="00DB7E25"/>
    <w:rsid w:val="00DC00CF"/>
    <w:rsid w:val="00DC07C5"/>
    <w:rsid w:val="00DC0D62"/>
    <w:rsid w:val="00DC0E2B"/>
    <w:rsid w:val="00DC0FB4"/>
    <w:rsid w:val="00DC1178"/>
    <w:rsid w:val="00DC14AF"/>
    <w:rsid w:val="00DC14E1"/>
    <w:rsid w:val="00DC14FB"/>
    <w:rsid w:val="00DC15B7"/>
    <w:rsid w:val="00DC1720"/>
    <w:rsid w:val="00DC175A"/>
    <w:rsid w:val="00DC1A08"/>
    <w:rsid w:val="00DC1CC0"/>
    <w:rsid w:val="00DC1E7F"/>
    <w:rsid w:val="00DC24D1"/>
    <w:rsid w:val="00DC2579"/>
    <w:rsid w:val="00DC2EEE"/>
    <w:rsid w:val="00DC309A"/>
    <w:rsid w:val="00DC3633"/>
    <w:rsid w:val="00DC3A55"/>
    <w:rsid w:val="00DC3EEE"/>
    <w:rsid w:val="00DC4108"/>
    <w:rsid w:val="00DC4600"/>
    <w:rsid w:val="00DC4E61"/>
    <w:rsid w:val="00DC4EC7"/>
    <w:rsid w:val="00DC4F64"/>
    <w:rsid w:val="00DC4FDD"/>
    <w:rsid w:val="00DC50C5"/>
    <w:rsid w:val="00DC5247"/>
    <w:rsid w:val="00DC581C"/>
    <w:rsid w:val="00DC59B7"/>
    <w:rsid w:val="00DC59D0"/>
    <w:rsid w:val="00DC5F25"/>
    <w:rsid w:val="00DC62C1"/>
    <w:rsid w:val="00DC6405"/>
    <w:rsid w:val="00DC640A"/>
    <w:rsid w:val="00DC64A7"/>
    <w:rsid w:val="00DC67DC"/>
    <w:rsid w:val="00DC6810"/>
    <w:rsid w:val="00DC7131"/>
    <w:rsid w:val="00DC7377"/>
    <w:rsid w:val="00DC7607"/>
    <w:rsid w:val="00DC7927"/>
    <w:rsid w:val="00DC7E6F"/>
    <w:rsid w:val="00DC7EB6"/>
    <w:rsid w:val="00DD0106"/>
    <w:rsid w:val="00DD02FB"/>
    <w:rsid w:val="00DD0366"/>
    <w:rsid w:val="00DD03A9"/>
    <w:rsid w:val="00DD03C0"/>
    <w:rsid w:val="00DD050A"/>
    <w:rsid w:val="00DD0953"/>
    <w:rsid w:val="00DD098C"/>
    <w:rsid w:val="00DD1038"/>
    <w:rsid w:val="00DD1278"/>
    <w:rsid w:val="00DD1433"/>
    <w:rsid w:val="00DD1654"/>
    <w:rsid w:val="00DD176C"/>
    <w:rsid w:val="00DD1A95"/>
    <w:rsid w:val="00DD1BB1"/>
    <w:rsid w:val="00DD1DA9"/>
    <w:rsid w:val="00DD212B"/>
    <w:rsid w:val="00DD234F"/>
    <w:rsid w:val="00DD24AB"/>
    <w:rsid w:val="00DD265A"/>
    <w:rsid w:val="00DD269C"/>
    <w:rsid w:val="00DD2AC0"/>
    <w:rsid w:val="00DD2C81"/>
    <w:rsid w:val="00DD2DCC"/>
    <w:rsid w:val="00DD3122"/>
    <w:rsid w:val="00DD343B"/>
    <w:rsid w:val="00DD35B8"/>
    <w:rsid w:val="00DD3638"/>
    <w:rsid w:val="00DD39E6"/>
    <w:rsid w:val="00DD3B86"/>
    <w:rsid w:val="00DD3DE9"/>
    <w:rsid w:val="00DD412C"/>
    <w:rsid w:val="00DD4248"/>
    <w:rsid w:val="00DD43D9"/>
    <w:rsid w:val="00DD482D"/>
    <w:rsid w:val="00DD49DD"/>
    <w:rsid w:val="00DD50BD"/>
    <w:rsid w:val="00DD5764"/>
    <w:rsid w:val="00DD59DF"/>
    <w:rsid w:val="00DD5A08"/>
    <w:rsid w:val="00DD5A0B"/>
    <w:rsid w:val="00DD65BF"/>
    <w:rsid w:val="00DD6853"/>
    <w:rsid w:val="00DD69C3"/>
    <w:rsid w:val="00DD69D8"/>
    <w:rsid w:val="00DD69F2"/>
    <w:rsid w:val="00DD6B2B"/>
    <w:rsid w:val="00DD71CD"/>
    <w:rsid w:val="00DD7212"/>
    <w:rsid w:val="00DD7537"/>
    <w:rsid w:val="00DD75A7"/>
    <w:rsid w:val="00DD7AA8"/>
    <w:rsid w:val="00DE017C"/>
    <w:rsid w:val="00DE03B0"/>
    <w:rsid w:val="00DE0EF8"/>
    <w:rsid w:val="00DE1023"/>
    <w:rsid w:val="00DE10AB"/>
    <w:rsid w:val="00DE1259"/>
    <w:rsid w:val="00DE143F"/>
    <w:rsid w:val="00DE14F4"/>
    <w:rsid w:val="00DE15CF"/>
    <w:rsid w:val="00DE1953"/>
    <w:rsid w:val="00DE1C1F"/>
    <w:rsid w:val="00DE1CC3"/>
    <w:rsid w:val="00DE1E37"/>
    <w:rsid w:val="00DE2496"/>
    <w:rsid w:val="00DE24AC"/>
    <w:rsid w:val="00DE288F"/>
    <w:rsid w:val="00DE2C2B"/>
    <w:rsid w:val="00DE2C5E"/>
    <w:rsid w:val="00DE325E"/>
    <w:rsid w:val="00DE38DB"/>
    <w:rsid w:val="00DE3ACA"/>
    <w:rsid w:val="00DE4039"/>
    <w:rsid w:val="00DE4168"/>
    <w:rsid w:val="00DE42C5"/>
    <w:rsid w:val="00DE4841"/>
    <w:rsid w:val="00DE49AF"/>
    <w:rsid w:val="00DE49E4"/>
    <w:rsid w:val="00DE4C51"/>
    <w:rsid w:val="00DE4D5F"/>
    <w:rsid w:val="00DE4DDE"/>
    <w:rsid w:val="00DE50A2"/>
    <w:rsid w:val="00DE55C8"/>
    <w:rsid w:val="00DE5A52"/>
    <w:rsid w:val="00DE5AF8"/>
    <w:rsid w:val="00DE64EC"/>
    <w:rsid w:val="00DE6A3F"/>
    <w:rsid w:val="00DE7099"/>
    <w:rsid w:val="00DE740D"/>
    <w:rsid w:val="00DE7485"/>
    <w:rsid w:val="00DE76A1"/>
    <w:rsid w:val="00DE7793"/>
    <w:rsid w:val="00DE7A1A"/>
    <w:rsid w:val="00DE7AF8"/>
    <w:rsid w:val="00DE7BC1"/>
    <w:rsid w:val="00DE7EF4"/>
    <w:rsid w:val="00DE7F21"/>
    <w:rsid w:val="00DF014D"/>
    <w:rsid w:val="00DF0362"/>
    <w:rsid w:val="00DF055D"/>
    <w:rsid w:val="00DF06C7"/>
    <w:rsid w:val="00DF06E3"/>
    <w:rsid w:val="00DF09DA"/>
    <w:rsid w:val="00DF0A38"/>
    <w:rsid w:val="00DF0E3A"/>
    <w:rsid w:val="00DF0FAA"/>
    <w:rsid w:val="00DF1131"/>
    <w:rsid w:val="00DF1172"/>
    <w:rsid w:val="00DF15D0"/>
    <w:rsid w:val="00DF160C"/>
    <w:rsid w:val="00DF18BA"/>
    <w:rsid w:val="00DF1CEB"/>
    <w:rsid w:val="00DF26A1"/>
    <w:rsid w:val="00DF29F8"/>
    <w:rsid w:val="00DF2DA3"/>
    <w:rsid w:val="00DF3352"/>
    <w:rsid w:val="00DF341B"/>
    <w:rsid w:val="00DF3428"/>
    <w:rsid w:val="00DF366E"/>
    <w:rsid w:val="00DF36D8"/>
    <w:rsid w:val="00DF3853"/>
    <w:rsid w:val="00DF39E9"/>
    <w:rsid w:val="00DF3C91"/>
    <w:rsid w:val="00DF3D30"/>
    <w:rsid w:val="00DF426F"/>
    <w:rsid w:val="00DF431B"/>
    <w:rsid w:val="00DF45F7"/>
    <w:rsid w:val="00DF46C4"/>
    <w:rsid w:val="00DF4785"/>
    <w:rsid w:val="00DF4826"/>
    <w:rsid w:val="00DF4905"/>
    <w:rsid w:val="00DF4A99"/>
    <w:rsid w:val="00DF4D3E"/>
    <w:rsid w:val="00DF503E"/>
    <w:rsid w:val="00DF547E"/>
    <w:rsid w:val="00DF5789"/>
    <w:rsid w:val="00DF5A29"/>
    <w:rsid w:val="00DF5C1A"/>
    <w:rsid w:val="00DF5CE3"/>
    <w:rsid w:val="00DF60F3"/>
    <w:rsid w:val="00DF613B"/>
    <w:rsid w:val="00DF6383"/>
    <w:rsid w:val="00DF64B9"/>
    <w:rsid w:val="00DF64EC"/>
    <w:rsid w:val="00DF6834"/>
    <w:rsid w:val="00DF698D"/>
    <w:rsid w:val="00DF70A0"/>
    <w:rsid w:val="00DF712E"/>
    <w:rsid w:val="00DF74D9"/>
    <w:rsid w:val="00DF75D1"/>
    <w:rsid w:val="00DF75E9"/>
    <w:rsid w:val="00DF76E4"/>
    <w:rsid w:val="00DF7DF7"/>
    <w:rsid w:val="00DF7F22"/>
    <w:rsid w:val="00E00025"/>
    <w:rsid w:val="00E00233"/>
    <w:rsid w:val="00E00362"/>
    <w:rsid w:val="00E00483"/>
    <w:rsid w:val="00E00510"/>
    <w:rsid w:val="00E00C11"/>
    <w:rsid w:val="00E00C1E"/>
    <w:rsid w:val="00E0146F"/>
    <w:rsid w:val="00E0178D"/>
    <w:rsid w:val="00E01B82"/>
    <w:rsid w:val="00E01D6A"/>
    <w:rsid w:val="00E01D8F"/>
    <w:rsid w:val="00E01E0A"/>
    <w:rsid w:val="00E01F4B"/>
    <w:rsid w:val="00E01FD7"/>
    <w:rsid w:val="00E02472"/>
    <w:rsid w:val="00E02674"/>
    <w:rsid w:val="00E026E9"/>
    <w:rsid w:val="00E027E0"/>
    <w:rsid w:val="00E02AE4"/>
    <w:rsid w:val="00E02BCE"/>
    <w:rsid w:val="00E03164"/>
    <w:rsid w:val="00E03246"/>
    <w:rsid w:val="00E033BE"/>
    <w:rsid w:val="00E0360B"/>
    <w:rsid w:val="00E0362D"/>
    <w:rsid w:val="00E03A96"/>
    <w:rsid w:val="00E03C3E"/>
    <w:rsid w:val="00E03D2C"/>
    <w:rsid w:val="00E03E2E"/>
    <w:rsid w:val="00E03ED9"/>
    <w:rsid w:val="00E04073"/>
    <w:rsid w:val="00E044F0"/>
    <w:rsid w:val="00E047D0"/>
    <w:rsid w:val="00E0484A"/>
    <w:rsid w:val="00E049C9"/>
    <w:rsid w:val="00E05117"/>
    <w:rsid w:val="00E0528E"/>
    <w:rsid w:val="00E0563C"/>
    <w:rsid w:val="00E058B9"/>
    <w:rsid w:val="00E05B74"/>
    <w:rsid w:val="00E05C14"/>
    <w:rsid w:val="00E05D56"/>
    <w:rsid w:val="00E05E41"/>
    <w:rsid w:val="00E05FD6"/>
    <w:rsid w:val="00E06F33"/>
    <w:rsid w:val="00E07177"/>
    <w:rsid w:val="00E071DF"/>
    <w:rsid w:val="00E07218"/>
    <w:rsid w:val="00E0729D"/>
    <w:rsid w:val="00E07316"/>
    <w:rsid w:val="00E079B8"/>
    <w:rsid w:val="00E07C92"/>
    <w:rsid w:val="00E07CAE"/>
    <w:rsid w:val="00E07CD4"/>
    <w:rsid w:val="00E102E2"/>
    <w:rsid w:val="00E103EE"/>
    <w:rsid w:val="00E10408"/>
    <w:rsid w:val="00E10495"/>
    <w:rsid w:val="00E10534"/>
    <w:rsid w:val="00E105A9"/>
    <w:rsid w:val="00E10664"/>
    <w:rsid w:val="00E10ED5"/>
    <w:rsid w:val="00E10EE4"/>
    <w:rsid w:val="00E111E0"/>
    <w:rsid w:val="00E112BF"/>
    <w:rsid w:val="00E1177B"/>
    <w:rsid w:val="00E118F3"/>
    <w:rsid w:val="00E1198F"/>
    <w:rsid w:val="00E11998"/>
    <w:rsid w:val="00E11E14"/>
    <w:rsid w:val="00E11E74"/>
    <w:rsid w:val="00E11ED8"/>
    <w:rsid w:val="00E123FE"/>
    <w:rsid w:val="00E1240D"/>
    <w:rsid w:val="00E12486"/>
    <w:rsid w:val="00E132FD"/>
    <w:rsid w:val="00E133E1"/>
    <w:rsid w:val="00E134EC"/>
    <w:rsid w:val="00E135B7"/>
    <w:rsid w:val="00E136F2"/>
    <w:rsid w:val="00E1382D"/>
    <w:rsid w:val="00E138F3"/>
    <w:rsid w:val="00E13910"/>
    <w:rsid w:val="00E13A9F"/>
    <w:rsid w:val="00E13C1E"/>
    <w:rsid w:val="00E13EB8"/>
    <w:rsid w:val="00E14826"/>
    <w:rsid w:val="00E14911"/>
    <w:rsid w:val="00E14FAB"/>
    <w:rsid w:val="00E15056"/>
    <w:rsid w:val="00E15086"/>
    <w:rsid w:val="00E15704"/>
    <w:rsid w:val="00E15A7A"/>
    <w:rsid w:val="00E15C21"/>
    <w:rsid w:val="00E15DB1"/>
    <w:rsid w:val="00E160D4"/>
    <w:rsid w:val="00E1632E"/>
    <w:rsid w:val="00E16482"/>
    <w:rsid w:val="00E1694B"/>
    <w:rsid w:val="00E16D5C"/>
    <w:rsid w:val="00E16ECB"/>
    <w:rsid w:val="00E16F98"/>
    <w:rsid w:val="00E17039"/>
    <w:rsid w:val="00E172A6"/>
    <w:rsid w:val="00E17395"/>
    <w:rsid w:val="00E17522"/>
    <w:rsid w:val="00E17552"/>
    <w:rsid w:val="00E17681"/>
    <w:rsid w:val="00E17B8B"/>
    <w:rsid w:val="00E17BE9"/>
    <w:rsid w:val="00E17C1E"/>
    <w:rsid w:val="00E17D3E"/>
    <w:rsid w:val="00E17FBE"/>
    <w:rsid w:val="00E204FA"/>
    <w:rsid w:val="00E207C1"/>
    <w:rsid w:val="00E207FE"/>
    <w:rsid w:val="00E2098F"/>
    <w:rsid w:val="00E20AC7"/>
    <w:rsid w:val="00E20D7B"/>
    <w:rsid w:val="00E210AA"/>
    <w:rsid w:val="00E2112B"/>
    <w:rsid w:val="00E21162"/>
    <w:rsid w:val="00E211A5"/>
    <w:rsid w:val="00E21840"/>
    <w:rsid w:val="00E21863"/>
    <w:rsid w:val="00E21B03"/>
    <w:rsid w:val="00E21B2F"/>
    <w:rsid w:val="00E21BD6"/>
    <w:rsid w:val="00E221A2"/>
    <w:rsid w:val="00E22327"/>
    <w:rsid w:val="00E22445"/>
    <w:rsid w:val="00E2351F"/>
    <w:rsid w:val="00E239C7"/>
    <w:rsid w:val="00E23CB5"/>
    <w:rsid w:val="00E23D63"/>
    <w:rsid w:val="00E23D86"/>
    <w:rsid w:val="00E243A1"/>
    <w:rsid w:val="00E24486"/>
    <w:rsid w:val="00E24532"/>
    <w:rsid w:val="00E246C4"/>
    <w:rsid w:val="00E2470A"/>
    <w:rsid w:val="00E24A45"/>
    <w:rsid w:val="00E24AF4"/>
    <w:rsid w:val="00E24CC4"/>
    <w:rsid w:val="00E24CDA"/>
    <w:rsid w:val="00E24E3D"/>
    <w:rsid w:val="00E24F6A"/>
    <w:rsid w:val="00E24F71"/>
    <w:rsid w:val="00E25070"/>
    <w:rsid w:val="00E25213"/>
    <w:rsid w:val="00E253DD"/>
    <w:rsid w:val="00E25635"/>
    <w:rsid w:val="00E25C02"/>
    <w:rsid w:val="00E25DC3"/>
    <w:rsid w:val="00E25DE5"/>
    <w:rsid w:val="00E260A3"/>
    <w:rsid w:val="00E26812"/>
    <w:rsid w:val="00E269EB"/>
    <w:rsid w:val="00E26C07"/>
    <w:rsid w:val="00E26C1B"/>
    <w:rsid w:val="00E26C2F"/>
    <w:rsid w:val="00E26CDA"/>
    <w:rsid w:val="00E26D15"/>
    <w:rsid w:val="00E26F06"/>
    <w:rsid w:val="00E27053"/>
    <w:rsid w:val="00E2719A"/>
    <w:rsid w:val="00E27427"/>
    <w:rsid w:val="00E27440"/>
    <w:rsid w:val="00E275FE"/>
    <w:rsid w:val="00E2785E"/>
    <w:rsid w:val="00E27A03"/>
    <w:rsid w:val="00E27A09"/>
    <w:rsid w:val="00E27DDB"/>
    <w:rsid w:val="00E30199"/>
    <w:rsid w:val="00E3029D"/>
    <w:rsid w:val="00E30431"/>
    <w:rsid w:val="00E3089F"/>
    <w:rsid w:val="00E30B3D"/>
    <w:rsid w:val="00E30BA3"/>
    <w:rsid w:val="00E30E01"/>
    <w:rsid w:val="00E30FAE"/>
    <w:rsid w:val="00E31702"/>
    <w:rsid w:val="00E31B75"/>
    <w:rsid w:val="00E32152"/>
    <w:rsid w:val="00E3242E"/>
    <w:rsid w:val="00E32601"/>
    <w:rsid w:val="00E32758"/>
    <w:rsid w:val="00E32EAD"/>
    <w:rsid w:val="00E330C9"/>
    <w:rsid w:val="00E3330E"/>
    <w:rsid w:val="00E33409"/>
    <w:rsid w:val="00E3351F"/>
    <w:rsid w:val="00E33992"/>
    <w:rsid w:val="00E33AEA"/>
    <w:rsid w:val="00E33B1B"/>
    <w:rsid w:val="00E342AB"/>
    <w:rsid w:val="00E3466A"/>
    <w:rsid w:val="00E34AB2"/>
    <w:rsid w:val="00E34AFB"/>
    <w:rsid w:val="00E34E88"/>
    <w:rsid w:val="00E34FF2"/>
    <w:rsid w:val="00E355D0"/>
    <w:rsid w:val="00E35721"/>
    <w:rsid w:val="00E35883"/>
    <w:rsid w:val="00E35A6B"/>
    <w:rsid w:val="00E35AC3"/>
    <w:rsid w:val="00E35D10"/>
    <w:rsid w:val="00E363A8"/>
    <w:rsid w:val="00E36534"/>
    <w:rsid w:val="00E36640"/>
    <w:rsid w:val="00E366C1"/>
    <w:rsid w:val="00E3686F"/>
    <w:rsid w:val="00E36F44"/>
    <w:rsid w:val="00E3712F"/>
    <w:rsid w:val="00E3732B"/>
    <w:rsid w:val="00E376B7"/>
    <w:rsid w:val="00E37754"/>
    <w:rsid w:val="00E37997"/>
    <w:rsid w:val="00E37B51"/>
    <w:rsid w:val="00E37BD9"/>
    <w:rsid w:val="00E37DC4"/>
    <w:rsid w:val="00E400AD"/>
    <w:rsid w:val="00E402A4"/>
    <w:rsid w:val="00E40483"/>
    <w:rsid w:val="00E40DAE"/>
    <w:rsid w:val="00E40F39"/>
    <w:rsid w:val="00E40F62"/>
    <w:rsid w:val="00E41090"/>
    <w:rsid w:val="00E411ED"/>
    <w:rsid w:val="00E418CA"/>
    <w:rsid w:val="00E41936"/>
    <w:rsid w:val="00E4208C"/>
    <w:rsid w:val="00E4246B"/>
    <w:rsid w:val="00E424DB"/>
    <w:rsid w:val="00E4259D"/>
    <w:rsid w:val="00E42BE2"/>
    <w:rsid w:val="00E42EB0"/>
    <w:rsid w:val="00E431A0"/>
    <w:rsid w:val="00E431C1"/>
    <w:rsid w:val="00E43249"/>
    <w:rsid w:val="00E43253"/>
    <w:rsid w:val="00E43384"/>
    <w:rsid w:val="00E433A4"/>
    <w:rsid w:val="00E434CE"/>
    <w:rsid w:val="00E436A2"/>
    <w:rsid w:val="00E436A4"/>
    <w:rsid w:val="00E447C6"/>
    <w:rsid w:val="00E44989"/>
    <w:rsid w:val="00E449B5"/>
    <w:rsid w:val="00E44B60"/>
    <w:rsid w:val="00E44B6F"/>
    <w:rsid w:val="00E44B70"/>
    <w:rsid w:val="00E44E7B"/>
    <w:rsid w:val="00E44EBC"/>
    <w:rsid w:val="00E44F22"/>
    <w:rsid w:val="00E453FA"/>
    <w:rsid w:val="00E4544C"/>
    <w:rsid w:val="00E45698"/>
    <w:rsid w:val="00E45734"/>
    <w:rsid w:val="00E45875"/>
    <w:rsid w:val="00E458D8"/>
    <w:rsid w:val="00E45E10"/>
    <w:rsid w:val="00E45ECA"/>
    <w:rsid w:val="00E46136"/>
    <w:rsid w:val="00E461E8"/>
    <w:rsid w:val="00E46342"/>
    <w:rsid w:val="00E4670A"/>
    <w:rsid w:val="00E471A0"/>
    <w:rsid w:val="00E472FF"/>
    <w:rsid w:val="00E47613"/>
    <w:rsid w:val="00E47822"/>
    <w:rsid w:val="00E47AEE"/>
    <w:rsid w:val="00E47CCC"/>
    <w:rsid w:val="00E5003A"/>
    <w:rsid w:val="00E50436"/>
    <w:rsid w:val="00E50570"/>
    <w:rsid w:val="00E5083A"/>
    <w:rsid w:val="00E50CC1"/>
    <w:rsid w:val="00E511B5"/>
    <w:rsid w:val="00E51719"/>
    <w:rsid w:val="00E517F8"/>
    <w:rsid w:val="00E518A7"/>
    <w:rsid w:val="00E51E3B"/>
    <w:rsid w:val="00E51EE2"/>
    <w:rsid w:val="00E5200E"/>
    <w:rsid w:val="00E52062"/>
    <w:rsid w:val="00E52308"/>
    <w:rsid w:val="00E5252C"/>
    <w:rsid w:val="00E526FD"/>
    <w:rsid w:val="00E529F5"/>
    <w:rsid w:val="00E53173"/>
    <w:rsid w:val="00E5356B"/>
    <w:rsid w:val="00E535CF"/>
    <w:rsid w:val="00E539AD"/>
    <w:rsid w:val="00E53A4B"/>
    <w:rsid w:val="00E53BF2"/>
    <w:rsid w:val="00E53E00"/>
    <w:rsid w:val="00E54174"/>
    <w:rsid w:val="00E54221"/>
    <w:rsid w:val="00E54780"/>
    <w:rsid w:val="00E54796"/>
    <w:rsid w:val="00E54CED"/>
    <w:rsid w:val="00E54E91"/>
    <w:rsid w:val="00E554DF"/>
    <w:rsid w:val="00E557D4"/>
    <w:rsid w:val="00E5594A"/>
    <w:rsid w:val="00E55F46"/>
    <w:rsid w:val="00E55F58"/>
    <w:rsid w:val="00E56391"/>
    <w:rsid w:val="00E564AC"/>
    <w:rsid w:val="00E5650A"/>
    <w:rsid w:val="00E56AC7"/>
    <w:rsid w:val="00E56BAC"/>
    <w:rsid w:val="00E56E6C"/>
    <w:rsid w:val="00E56F86"/>
    <w:rsid w:val="00E574EC"/>
    <w:rsid w:val="00E576B7"/>
    <w:rsid w:val="00E5771C"/>
    <w:rsid w:val="00E57F9C"/>
    <w:rsid w:val="00E60060"/>
    <w:rsid w:val="00E6031C"/>
    <w:rsid w:val="00E60457"/>
    <w:rsid w:val="00E605EB"/>
    <w:rsid w:val="00E607AC"/>
    <w:rsid w:val="00E60BDD"/>
    <w:rsid w:val="00E60CF0"/>
    <w:rsid w:val="00E60E0C"/>
    <w:rsid w:val="00E615F9"/>
    <w:rsid w:val="00E61694"/>
    <w:rsid w:val="00E61782"/>
    <w:rsid w:val="00E6193C"/>
    <w:rsid w:val="00E6199E"/>
    <w:rsid w:val="00E61C14"/>
    <w:rsid w:val="00E61FEB"/>
    <w:rsid w:val="00E6205A"/>
    <w:rsid w:val="00E6209A"/>
    <w:rsid w:val="00E624D3"/>
    <w:rsid w:val="00E624F6"/>
    <w:rsid w:val="00E6257E"/>
    <w:rsid w:val="00E626C9"/>
    <w:rsid w:val="00E62888"/>
    <w:rsid w:val="00E62B58"/>
    <w:rsid w:val="00E62BC2"/>
    <w:rsid w:val="00E62CED"/>
    <w:rsid w:val="00E63383"/>
    <w:rsid w:val="00E63992"/>
    <w:rsid w:val="00E63BAB"/>
    <w:rsid w:val="00E63BE9"/>
    <w:rsid w:val="00E63DAA"/>
    <w:rsid w:val="00E63EA3"/>
    <w:rsid w:val="00E6408C"/>
    <w:rsid w:val="00E640BD"/>
    <w:rsid w:val="00E64312"/>
    <w:rsid w:val="00E646E1"/>
    <w:rsid w:val="00E64ACF"/>
    <w:rsid w:val="00E64AD1"/>
    <w:rsid w:val="00E653FC"/>
    <w:rsid w:val="00E6558C"/>
    <w:rsid w:val="00E6599D"/>
    <w:rsid w:val="00E65B61"/>
    <w:rsid w:val="00E661F8"/>
    <w:rsid w:val="00E66944"/>
    <w:rsid w:val="00E66A12"/>
    <w:rsid w:val="00E66A8D"/>
    <w:rsid w:val="00E66B64"/>
    <w:rsid w:val="00E66E11"/>
    <w:rsid w:val="00E66EF1"/>
    <w:rsid w:val="00E678C6"/>
    <w:rsid w:val="00E67979"/>
    <w:rsid w:val="00E67A12"/>
    <w:rsid w:val="00E700E7"/>
    <w:rsid w:val="00E70929"/>
    <w:rsid w:val="00E70C33"/>
    <w:rsid w:val="00E70ED7"/>
    <w:rsid w:val="00E714E5"/>
    <w:rsid w:val="00E719FB"/>
    <w:rsid w:val="00E71BC3"/>
    <w:rsid w:val="00E71D4E"/>
    <w:rsid w:val="00E72043"/>
    <w:rsid w:val="00E721B5"/>
    <w:rsid w:val="00E7221D"/>
    <w:rsid w:val="00E72313"/>
    <w:rsid w:val="00E72391"/>
    <w:rsid w:val="00E72481"/>
    <w:rsid w:val="00E724E5"/>
    <w:rsid w:val="00E72534"/>
    <w:rsid w:val="00E7285F"/>
    <w:rsid w:val="00E728E6"/>
    <w:rsid w:val="00E72C44"/>
    <w:rsid w:val="00E72F73"/>
    <w:rsid w:val="00E731D6"/>
    <w:rsid w:val="00E7325D"/>
    <w:rsid w:val="00E73548"/>
    <w:rsid w:val="00E73ADE"/>
    <w:rsid w:val="00E73B39"/>
    <w:rsid w:val="00E73C9C"/>
    <w:rsid w:val="00E74085"/>
    <w:rsid w:val="00E740AF"/>
    <w:rsid w:val="00E7479A"/>
    <w:rsid w:val="00E74A6F"/>
    <w:rsid w:val="00E74B5E"/>
    <w:rsid w:val="00E74E12"/>
    <w:rsid w:val="00E74F19"/>
    <w:rsid w:val="00E7518A"/>
    <w:rsid w:val="00E753C1"/>
    <w:rsid w:val="00E753D8"/>
    <w:rsid w:val="00E75457"/>
    <w:rsid w:val="00E757B8"/>
    <w:rsid w:val="00E75D68"/>
    <w:rsid w:val="00E76129"/>
    <w:rsid w:val="00E76153"/>
    <w:rsid w:val="00E7615F"/>
    <w:rsid w:val="00E7656A"/>
    <w:rsid w:val="00E76924"/>
    <w:rsid w:val="00E769B5"/>
    <w:rsid w:val="00E769C1"/>
    <w:rsid w:val="00E76AE0"/>
    <w:rsid w:val="00E76EAE"/>
    <w:rsid w:val="00E77299"/>
    <w:rsid w:val="00E77448"/>
    <w:rsid w:val="00E77D79"/>
    <w:rsid w:val="00E801CC"/>
    <w:rsid w:val="00E8026C"/>
    <w:rsid w:val="00E808A7"/>
    <w:rsid w:val="00E80B0F"/>
    <w:rsid w:val="00E80CFF"/>
    <w:rsid w:val="00E80D19"/>
    <w:rsid w:val="00E80EB2"/>
    <w:rsid w:val="00E80F13"/>
    <w:rsid w:val="00E81028"/>
    <w:rsid w:val="00E81294"/>
    <w:rsid w:val="00E813D5"/>
    <w:rsid w:val="00E8146B"/>
    <w:rsid w:val="00E814BC"/>
    <w:rsid w:val="00E816CF"/>
    <w:rsid w:val="00E81A87"/>
    <w:rsid w:val="00E81A92"/>
    <w:rsid w:val="00E81A9A"/>
    <w:rsid w:val="00E81B09"/>
    <w:rsid w:val="00E81C59"/>
    <w:rsid w:val="00E81E15"/>
    <w:rsid w:val="00E81F06"/>
    <w:rsid w:val="00E821B5"/>
    <w:rsid w:val="00E821C7"/>
    <w:rsid w:val="00E82613"/>
    <w:rsid w:val="00E82620"/>
    <w:rsid w:val="00E828CC"/>
    <w:rsid w:val="00E82C80"/>
    <w:rsid w:val="00E82FD2"/>
    <w:rsid w:val="00E83373"/>
    <w:rsid w:val="00E836E7"/>
    <w:rsid w:val="00E83948"/>
    <w:rsid w:val="00E83B3D"/>
    <w:rsid w:val="00E83B4A"/>
    <w:rsid w:val="00E83CF9"/>
    <w:rsid w:val="00E83D7E"/>
    <w:rsid w:val="00E83DB0"/>
    <w:rsid w:val="00E841C9"/>
    <w:rsid w:val="00E84508"/>
    <w:rsid w:val="00E84569"/>
    <w:rsid w:val="00E845FA"/>
    <w:rsid w:val="00E84822"/>
    <w:rsid w:val="00E84C7E"/>
    <w:rsid w:val="00E84EF9"/>
    <w:rsid w:val="00E84F7C"/>
    <w:rsid w:val="00E85115"/>
    <w:rsid w:val="00E851D0"/>
    <w:rsid w:val="00E85650"/>
    <w:rsid w:val="00E857D7"/>
    <w:rsid w:val="00E859D9"/>
    <w:rsid w:val="00E85A54"/>
    <w:rsid w:val="00E85B28"/>
    <w:rsid w:val="00E85B8E"/>
    <w:rsid w:val="00E85CEA"/>
    <w:rsid w:val="00E85D3F"/>
    <w:rsid w:val="00E8600B"/>
    <w:rsid w:val="00E86529"/>
    <w:rsid w:val="00E8675F"/>
    <w:rsid w:val="00E868B1"/>
    <w:rsid w:val="00E86ABC"/>
    <w:rsid w:val="00E86F20"/>
    <w:rsid w:val="00E87187"/>
    <w:rsid w:val="00E87238"/>
    <w:rsid w:val="00E875EF"/>
    <w:rsid w:val="00E87633"/>
    <w:rsid w:val="00E8783B"/>
    <w:rsid w:val="00E87974"/>
    <w:rsid w:val="00E87A2B"/>
    <w:rsid w:val="00E87F35"/>
    <w:rsid w:val="00E87F80"/>
    <w:rsid w:val="00E90A38"/>
    <w:rsid w:val="00E9100C"/>
    <w:rsid w:val="00E911EC"/>
    <w:rsid w:val="00E913E8"/>
    <w:rsid w:val="00E9153F"/>
    <w:rsid w:val="00E91697"/>
    <w:rsid w:val="00E919F0"/>
    <w:rsid w:val="00E92345"/>
    <w:rsid w:val="00E927D8"/>
    <w:rsid w:val="00E92974"/>
    <w:rsid w:val="00E92CE8"/>
    <w:rsid w:val="00E92F70"/>
    <w:rsid w:val="00E92F98"/>
    <w:rsid w:val="00E9331D"/>
    <w:rsid w:val="00E9395D"/>
    <w:rsid w:val="00E93DA4"/>
    <w:rsid w:val="00E93F98"/>
    <w:rsid w:val="00E93FD7"/>
    <w:rsid w:val="00E94150"/>
    <w:rsid w:val="00E942D2"/>
    <w:rsid w:val="00E94AD5"/>
    <w:rsid w:val="00E94F60"/>
    <w:rsid w:val="00E950B4"/>
    <w:rsid w:val="00E950C3"/>
    <w:rsid w:val="00E950F1"/>
    <w:rsid w:val="00E95297"/>
    <w:rsid w:val="00E95322"/>
    <w:rsid w:val="00E95490"/>
    <w:rsid w:val="00E95A59"/>
    <w:rsid w:val="00E95BD6"/>
    <w:rsid w:val="00E95FB3"/>
    <w:rsid w:val="00E9609F"/>
    <w:rsid w:val="00E9630B"/>
    <w:rsid w:val="00E9646A"/>
    <w:rsid w:val="00E965DB"/>
    <w:rsid w:val="00E966E4"/>
    <w:rsid w:val="00E967B1"/>
    <w:rsid w:val="00E968C1"/>
    <w:rsid w:val="00E96AE5"/>
    <w:rsid w:val="00E96F5E"/>
    <w:rsid w:val="00E97162"/>
    <w:rsid w:val="00E971F6"/>
    <w:rsid w:val="00E9722A"/>
    <w:rsid w:val="00E9742F"/>
    <w:rsid w:val="00E9784D"/>
    <w:rsid w:val="00E97AB7"/>
    <w:rsid w:val="00E97D26"/>
    <w:rsid w:val="00E97DF6"/>
    <w:rsid w:val="00E97E9E"/>
    <w:rsid w:val="00E97EDC"/>
    <w:rsid w:val="00E97F37"/>
    <w:rsid w:val="00EA0016"/>
    <w:rsid w:val="00EA0979"/>
    <w:rsid w:val="00EA0B7E"/>
    <w:rsid w:val="00EA0E54"/>
    <w:rsid w:val="00EA11E2"/>
    <w:rsid w:val="00EA1213"/>
    <w:rsid w:val="00EA1332"/>
    <w:rsid w:val="00EA1635"/>
    <w:rsid w:val="00EA16D6"/>
    <w:rsid w:val="00EA1769"/>
    <w:rsid w:val="00EA184A"/>
    <w:rsid w:val="00EA1909"/>
    <w:rsid w:val="00EA1B1A"/>
    <w:rsid w:val="00EA2066"/>
    <w:rsid w:val="00EA2143"/>
    <w:rsid w:val="00EA2915"/>
    <w:rsid w:val="00EA2BB2"/>
    <w:rsid w:val="00EA2CB7"/>
    <w:rsid w:val="00EA2E92"/>
    <w:rsid w:val="00EA2EC5"/>
    <w:rsid w:val="00EA2FF4"/>
    <w:rsid w:val="00EA361E"/>
    <w:rsid w:val="00EA3639"/>
    <w:rsid w:val="00EA3671"/>
    <w:rsid w:val="00EA382D"/>
    <w:rsid w:val="00EA3923"/>
    <w:rsid w:val="00EA3D6E"/>
    <w:rsid w:val="00EA3FEC"/>
    <w:rsid w:val="00EA402D"/>
    <w:rsid w:val="00EA424C"/>
    <w:rsid w:val="00EA485D"/>
    <w:rsid w:val="00EA489C"/>
    <w:rsid w:val="00EA4977"/>
    <w:rsid w:val="00EA4ABE"/>
    <w:rsid w:val="00EA4BCB"/>
    <w:rsid w:val="00EA4D66"/>
    <w:rsid w:val="00EA4EED"/>
    <w:rsid w:val="00EA52A9"/>
    <w:rsid w:val="00EA57C5"/>
    <w:rsid w:val="00EA5A74"/>
    <w:rsid w:val="00EA5C8C"/>
    <w:rsid w:val="00EA5D32"/>
    <w:rsid w:val="00EA6188"/>
    <w:rsid w:val="00EA6294"/>
    <w:rsid w:val="00EA649C"/>
    <w:rsid w:val="00EA6C55"/>
    <w:rsid w:val="00EA731C"/>
    <w:rsid w:val="00EA7344"/>
    <w:rsid w:val="00EA7485"/>
    <w:rsid w:val="00EA7802"/>
    <w:rsid w:val="00EA7FF5"/>
    <w:rsid w:val="00EB01A1"/>
    <w:rsid w:val="00EB034F"/>
    <w:rsid w:val="00EB0DEA"/>
    <w:rsid w:val="00EB1566"/>
    <w:rsid w:val="00EB16AA"/>
    <w:rsid w:val="00EB1945"/>
    <w:rsid w:val="00EB1F63"/>
    <w:rsid w:val="00EB21C5"/>
    <w:rsid w:val="00EB2275"/>
    <w:rsid w:val="00EB27BC"/>
    <w:rsid w:val="00EB2865"/>
    <w:rsid w:val="00EB2B9A"/>
    <w:rsid w:val="00EB2D01"/>
    <w:rsid w:val="00EB2F58"/>
    <w:rsid w:val="00EB2FA5"/>
    <w:rsid w:val="00EB3089"/>
    <w:rsid w:val="00EB319B"/>
    <w:rsid w:val="00EB32E0"/>
    <w:rsid w:val="00EB38B2"/>
    <w:rsid w:val="00EB3D3B"/>
    <w:rsid w:val="00EB406E"/>
    <w:rsid w:val="00EB41ED"/>
    <w:rsid w:val="00EB44DE"/>
    <w:rsid w:val="00EB44E2"/>
    <w:rsid w:val="00EB452D"/>
    <w:rsid w:val="00EB468E"/>
    <w:rsid w:val="00EB47DB"/>
    <w:rsid w:val="00EB4CB1"/>
    <w:rsid w:val="00EB4CB7"/>
    <w:rsid w:val="00EB5002"/>
    <w:rsid w:val="00EB532B"/>
    <w:rsid w:val="00EB5371"/>
    <w:rsid w:val="00EB57B2"/>
    <w:rsid w:val="00EB5DDD"/>
    <w:rsid w:val="00EB63A4"/>
    <w:rsid w:val="00EB659E"/>
    <w:rsid w:val="00EB66F2"/>
    <w:rsid w:val="00EB6A26"/>
    <w:rsid w:val="00EB6A32"/>
    <w:rsid w:val="00EB6BD9"/>
    <w:rsid w:val="00EB6F71"/>
    <w:rsid w:val="00EB709C"/>
    <w:rsid w:val="00EB70DE"/>
    <w:rsid w:val="00EB718B"/>
    <w:rsid w:val="00EB728D"/>
    <w:rsid w:val="00EB7322"/>
    <w:rsid w:val="00EB748D"/>
    <w:rsid w:val="00EB7521"/>
    <w:rsid w:val="00EB7B34"/>
    <w:rsid w:val="00EC034C"/>
    <w:rsid w:val="00EC06ED"/>
    <w:rsid w:val="00EC09F3"/>
    <w:rsid w:val="00EC0DEC"/>
    <w:rsid w:val="00EC0E55"/>
    <w:rsid w:val="00EC0F60"/>
    <w:rsid w:val="00EC1048"/>
    <w:rsid w:val="00EC1377"/>
    <w:rsid w:val="00EC1687"/>
    <w:rsid w:val="00EC187B"/>
    <w:rsid w:val="00EC1AAC"/>
    <w:rsid w:val="00EC1C38"/>
    <w:rsid w:val="00EC1F53"/>
    <w:rsid w:val="00EC1F6E"/>
    <w:rsid w:val="00EC2263"/>
    <w:rsid w:val="00EC2300"/>
    <w:rsid w:val="00EC2449"/>
    <w:rsid w:val="00EC24A3"/>
    <w:rsid w:val="00EC26D3"/>
    <w:rsid w:val="00EC2763"/>
    <w:rsid w:val="00EC27CC"/>
    <w:rsid w:val="00EC282C"/>
    <w:rsid w:val="00EC2CCB"/>
    <w:rsid w:val="00EC2D36"/>
    <w:rsid w:val="00EC3295"/>
    <w:rsid w:val="00EC33A0"/>
    <w:rsid w:val="00EC353F"/>
    <w:rsid w:val="00EC3570"/>
    <w:rsid w:val="00EC362A"/>
    <w:rsid w:val="00EC36D1"/>
    <w:rsid w:val="00EC371E"/>
    <w:rsid w:val="00EC3896"/>
    <w:rsid w:val="00EC3CA6"/>
    <w:rsid w:val="00EC4107"/>
    <w:rsid w:val="00EC44B7"/>
    <w:rsid w:val="00EC4836"/>
    <w:rsid w:val="00EC48CD"/>
    <w:rsid w:val="00EC4A96"/>
    <w:rsid w:val="00EC4DCC"/>
    <w:rsid w:val="00EC5088"/>
    <w:rsid w:val="00EC55D9"/>
    <w:rsid w:val="00EC58F3"/>
    <w:rsid w:val="00EC5C5C"/>
    <w:rsid w:val="00EC5D8F"/>
    <w:rsid w:val="00EC607E"/>
    <w:rsid w:val="00EC62BD"/>
    <w:rsid w:val="00EC64EB"/>
    <w:rsid w:val="00EC65E6"/>
    <w:rsid w:val="00EC6787"/>
    <w:rsid w:val="00EC69D4"/>
    <w:rsid w:val="00EC6FEF"/>
    <w:rsid w:val="00EC7224"/>
    <w:rsid w:val="00EC754C"/>
    <w:rsid w:val="00EC75C2"/>
    <w:rsid w:val="00EC7C2E"/>
    <w:rsid w:val="00EC7CDE"/>
    <w:rsid w:val="00EC7DC5"/>
    <w:rsid w:val="00EC7E47"/>
    <w:rsid w:val="00EC7EF3"/>
    <w:rsid w:val="00ED028B"/>
    <w:rsid w:val="00ED02F9"/>
    <w:rsid w:val="00ED06A0"/>
    <w:rsid w:val="00ED0855"/>
    <w:rsid w:val="00ED0B5E"/>
    <w:rsid w:val="00ED0E07"/>
    <w:rsid w:val="00ED0F79"/>
    <w:rsid w:val="00ED1521"/>
    <w:rsid w:val="00ED1670"/>
    <w:rsid w:val="00ED16D0"/>
    <w:rsid w:val="00ED1831"/>
    <w:rsid w:val="00ED1F93"/>
    <w:rsid w:val="00ED1FA9"/>
    <w:rsid w:val="00ED231D"/>
    <w:rsid w:val="00ED2543"/>
    <w:rsid w:val="00ED2A5E"/>
    <w:rsid w:val="00ED2B50"/>
    <w:rsid w:val="00ED37EC"/>
    <w:rsid w:val="00ED3AF4"/>
    <w:rsid w:val="00ED3B36"/>
    <w:rsid w:val="00ED3DA0"/>
    <w:rsid w:val="00ED403E"/>
    <w:rsid w:val="00ED45A3"/>
    <w:rsid w:val="00ED45C3"/>
    <w:rsid w:val="00ED4937"/>
    <w:rsid w:val="00ED5283"/>
    <w:rsid w:val="00ED5302"/>
    <w:rsid w:val="00ED541F"/>
    <w:rsid w:val="00ED5E38"/>
    <w:rsid w:val="00ED5E73"/>
    <w:rsid w:val="00ED5F60"/>
    <w:rsid w:val="00ED61F3"/>
    <w:rsid w:val="00ED684D"/>
    <w:rsid w:val="00ED695D"/>
    <w:rsid w:val="00ED6977"/>
    <w:rsid w:val="00ED6C04"/>
    <w:rsid w:val="00ED6DAC"/>
    <w:rsid w:val="00ED70FA"/>
    <w:rsid w:val="00ED74B7"/>
    <w:rsid w:val="00ED74E3"/>
    <w:rsid w:val="00ED7579"/>
    <w:rsid w:val="00ED785F"/>
    <w:rsid w:val="00ED7B35"/>
    <w:rsid w:val="00ED7C07"/>
    <w:rsid w:val="00ED7C3C"/>
    <w:rsid w:val="00ED7EA1"/>
    <w:rsid w:val="00ED7F05"/>
    <w:rsid w:val="00EE0174"/>
    <w:rsid w:val="00EE0956"/>
    <w:rsid w:val="00EE09A3"/>
    <w:rsid w:val="00EE09FE"/>
    <w:rsid w:val="00EE0A62"/>
    <w:rsid w:val="00EE0AC2"/>
    <w:rsid w:val="00EE0D5E"/>
    <w:rsid w:val="00EE0EC2"/>
    <w:rsid w:val="00EE1207"/>
    <w:rsid w:val="00EE1235"/>
    <w:rsid w:val="00EE17D5"/>
    <w:rsid w:val="00EE211A"/>
    <w:rsid w:val="00EE2178"/>
    <w:rsid w:val="00EE2249"/>
    <w:rsid w:val="00EE2288"/>
    <w:rsid w:val="00EE237D"/>
    <w:rsid w:val="00EE24B0"/>
    <w:rsid w:val="00EE25E2"/>
    <w:rsid w:val="00EE28D0"/>
    <w:rsid w:val="00EE2C1E"/>
    <w:rsid w:val="00EE2EE9"/>
    <w:rsid w:val="00EE3B18"/>
    <w:rsid w:val="00EE3C29"/>
    <w:rsid w:val="00EE3DFE"/>
    <w:rsid w:val="00EE3EAC"/>
    <w:rsid w:val="00EE4266"/>
    <w:rsid w:val="00EE4490"/>
    <w:rsid w:val="00EE4525"/>
    <w:rsid w:val="00EE4722"/>
    <w:rsid w:val="00EE4AD4"/>
    <w:rsid w:val="00EE4B63"/>
    <w:rsid w:val="00EE4EEF"/>
    <w:rsid w:val="00EE4F74"/>
    <w:rsid w:val="00EE521D"/>
    <w:rsid w:val="00EE536E"/>
    <w:rsid w:val="00EE538D"/>
    <w:rsid w:val="00EE53DC"/>
    <w:rsid w:val="00EE59A7"/>
    <w:rsid w:val="00EE5AEC"/>
    <w:rsid w:val="00EE5B15"/>
    <w:rsid w:val="00EE5CF9"/>
    <w:rsid w:val="00EE5F89"/>
    <w:rsid w:val="00EE639C"/>
    <w:rsid w:val="00EE66DA"/>
    <w:rsid w:val="00EE66DC"/>
    <w:rsid w:val="00EE6832"/>
    <w:rsid w:val="00EE6C22"/>
    <w:rsid w:val="00EE7247"/>
    <w:rsid w:val="00EE7714"/>
    <w:rsid w:val="00EE7AC8"/>
    <w:rsid w:val="00EE7D5D"/>
    <w:rsid w:val="00EF000A"/>
    <w:rsid w:val="00EF0109"/>
    <w:rsid w:val="00EF03BC"/>
    <w:rsid w:val="00EF04ED"/>
    <w:rsid w:val="00EF0D68"/>
    <w:rsid w:val="00EF0EBD"/>
    <w:rsid w:val="00EF1755"/>
    <w:rsid w:val="00EF1B4C"/>
    <w:rsid w:val="00EF1B5A"/>
    <w:rsid w:val="00EF1D2F"/>
    <w:rsid w:val="00EF1DC2"/>
    <w:rsid w:val="00EF22AE"/>
    <w:rsid w:val="00EF271C"/>
    <w:rsid w:val="00EF2AB0"/>
    <w:rsid w:val="00EF371E"/>
    <w:rsid w:val="00EF3D58"/>
    <w:rsid w:val="00EF3DC2"/>
    <w:rsid w:val="00EF40A4"/>
    <w:rsid w:val="00EF46A2"/>
    <w:rsid w:val="00EF46DD"/>
    <w:rsid w:val="00EF4992"/>
    <w:rsid w:val="00EF4C99"/>
    <w:rsid w:val="00EF4CE3"/>
    <w:rsid w:val="00EF4EB7"/>
    <w:rsid w:val="00EF5071"/>
    <w:rsid w:val="00EF5568"/>
    <w:rsid w:val="00EF55B3"/>
    <w:rsid w:val="00EF5B9D"/>
    <w:rsid w:val="00EF5EC8"/>
    <w:rsid w:val="00EF5FD1"/>
    <w:rsid w:val="00EF60A0"/>
    <w:rsid w:val="00EF62E5"/>
    <w:rsid w:val="00EF6DB8"/>
    <w:rsid w:val="00EF7014"/>
    <w:rsid w:val="00EF7063"/>
    <w:rsid w:val="00EF7084"/>
    <w:rsid w:val="00EF7906"/>
    <w:rsid w:val="00EF7DE0"/>
    <w:rsid w:val="00EF7E50"/>
    <w:rsid w:val="00F00273"/>
    <w:rsid w:val="00F0034C"/>
    <w:rsid w:val="00F00A65"/>
    <w:rsid w:val="00F00B66"/>
    <w:rsid w:val="00F01787"/>
    <w:rsid w:val="00F019E2"/>
    <w:rsid w:val="00F01DA3"/>
    <w:rsid w:val="00F022A9"/>
    <w:rsid w:val="00F022E2"/>
    <w:rsid w:val="00F02483"/>
    <w:rsid w:val="00F02B45"/>
    <w:rsid w:val="00F02B96"/>
    <w:rsid w:val="00F02F7D"/>
    <w:rsid w:val="00F03756"/>
    <w:rsid w:val="00F037BB"/>
    <w:rsid w:val="00F03848"/>
    <w:rsid w:val="00F03B39"/>
    <w:rsid w:val="00F03B52"/>
    <w:rsid w:val="00F04017"/>
    <w:rsid w:val="00F04044"/>
    <w:rsid w:val="00F04052"/>
    <w:rsid w:val="00F04112"/>
    <w:rsid w:val="00F0414E"/>
    <w:rsid w:val="00F04569"/>
    <w:rsid w:val="00F04C47"/>
    <w:rsid w:val="00F04F3A"/>
    <w:rsid w:val="00F04FED"/>
    <w:rsid w:val="00F0507A"/>
    <w:rsid w:val="00F0513B"/>
    <w:rsid w:val="00F0551F"/>
    <w:rsid w:val="00F056B4"/>
    <w:rsid w:val="00F05866"/>
    <w:rsid w:val="00F059B2"/>
    <w:rsid w:val="00F05B09"/>
    <w:rsid w:val="00F06092"/>
    <w:rsid w:val="00F06264"/>
    <w:rsid w:val="00F064BD"/>
    <w:rsid w:val="00F06673"/>
    <w:rsid w:val="00F06961"/>
    <w:rsid w:val="00F06ADC"/>
    <w:rsid w:val="00F06D21"/>
    <w:rsid w:val="00F072A8"/>
    <w:rsid w:val="00F073B0"/>
    <w:rsid w:val="00F07532"/>
    <w:rsid w:val="00F07C10"/>
    <w:rsid w:val="00F07E27"/>
    <w:rsid w:val="00F10025"/>
    <w:rsid w:val="00F10199"/>
    <w:rsid w:val="00F10279"/>
    <w:rsid w:val="00F10343"/>
    <w:rsid w:val="00F10344"/>
    <w:rsid w:val="00F1066F"/>
    <w:rsid w:val="00F10C94"/>
    <w:rsid w:val="00F10DA2"/>
    <w:rsid w:val="00F11134"/>
    <w:rsid w:val="00F116C6"/>
    <w:rsid w:val="00F116D6"/>
    <w:rsid w:val="00F1171F"/>
    <w:rsid w:val="00F1192D"/>
    <w:rsid w:val="00F11DF2"/>
    <w:rsid w:val="00F11F17"/>
    <w:rsid w:val="00F1227B"/>
    <w:rsid w:val="00F127DB"/>
    <w:rsid w:val="00F1288C"/>
    <w:rsid w:val="00F12E4E"/>
    <w:rsid w:val="00F12FF6"/>
    <w:rsid w:val="00F130C0"/>
    <w:rsid w:val="00F139AE"/>
    <w:rsid w:val="00F13B06"/>
    <w:rsid w:val="00F1404F"/>
    <w:rsid w:val="00F14137"/>
    <w:rsid w:val="00F1415F"/>
    <w:rsid w:val="00F14201"/>
    <w:rsid w:val="00F14583"/>
    <w:rsid w:val="00F146A8"/>
    <w:rsid w:val="00F14882"/>
    <w:rsid w:val="00F14E45"/>
    <w:rsid w:val="00F1508C"/>
    <w:rsid w:val="00F1574C"/>
    <w:rsid w:val="00F1578E"/>
    <w:rsid w:val="00F15A42"/>
    <w:rsid w:val="00F15AC6"/>
    <w:rsid w:val="00F15C19"/>
    <w:rsid w:val="00F15F20"/>
    <w:rsid w:val="00F1605F"/>
    <w:rsid w:val="00F16100"/>
    <w:rsid w:val="00F1616E"/>
    <w:rsid w:val="00F162F6"/>
    <w:rsid w:val="00F16595"/>
    <w:rsid w:val="00F16776"/>
    <w:rsid w:val="00F16A02"/>
    <w:rsid w:val="00F16B37"/>
    <w:rsid w:val="00F16C46"/>
    <w:rsid w:val="00F175C2"/>
    <w:rsid w:val="00F17963"/>
    <w:rsid w:val="00F17AA2"/>
    <w:rsid w:val="00F17DEB"/>
    <w:rsid w:val="00F17FDC"/>
    <w:rsid w:val="00F2050B"/>
    <w:rsid w:val="00F20580"/>
    <w:rsid w:val="00F2068D"/>
    <w:rsid w:val="00F20763"/>
    <w:rsid w:val="00F20835"/>
    <w:rsid w:val="00F20C7F"/>
    <w:rsid w:val="00F20CB1"/>
    <w:rsid w:val="00F20E75"/>
    <w:rsid w:val="00F211E6"/>
    <w:rsid w:val="00F214AE"/>
    <w:rsid w:val="00F21541"/>
    <w:rsid w:val="00F2177F"/>
    <w:rsid w:val="00F218D8"/>
    <w:rsid w:val="00F21C8B"/>
    <w:rsid w:val="00F2217A"/>
    <w:rsid w:val="00F222AE"/>
    <w:rsid w:val="00F22325"/>
    <w:rsid w:val="00F227C8"/>
    <w:rsid w:val="00F2283D"/>
    <w:rsid w:val="00F22B92"/>
    <w:rsid w:val="00F22D3B"/>
    <w:rsid w:val="00F2306F"/>
    <w:rsid w:val="00F23284"/>
    <w:rsid w:val="00F23393"/>
    <w:rsid w:val="00F234D6"/>
    <w:rsid w:val="00F234FC"/>
    <w:rsid w:val="00F2360F"/>
    <w:rsid w:val="00F23B00"/>
    <w:rsid w:val="00F23CB7"/>
    <w:rsid w:val="00F23D02"/>
    <w:rsid w:val="00F240A1"/>
    <w:rsid w:val="00F241E9"/>
    <w:rsid w:val="00F248C9"/>
    <w:rsid w:val="00F24E77"/>
    <w:rsid w:val="00F251EB"/>
    <w:rsid w:val="00F2522D"/>
    <w:rsid w:val="00F253A5"/>
    <w:rsid w:val="00F253B2"/>
    <w:rsid w:val="00F257B5"/>
    <w:rsid w:val="00F2592C"/>
    <w:rsid w:val="00F25BDC"/>
    <w:rsid w:val="00F25D45"/>
    <w:rsid w:val="00F25E48"/>
    <w:rsid w:val="00F26098"/>
    <w:rsid w:val="00F26315"/>
    <w:rsid w:val="00F26393"/>
    <w:rsid w:val="00F26656"/>
    <w:rsid w:val="00F26755"/>
    <w:rsid w:val="00F2699E"/>
    <w:rsid w:val="00F26B0E"/>
    <w:rsid w:val="00F27096"/>
    <w:rsid w:val="00F2720E"/>
    <w:rsid w:val="00F27323"/>
    <w:rsid w:val="00F2776D"/>
    <w:rsid w:val="00F2796C"/>
    <w:rsid w:val="00F27F46"/>
    <w:rsid w:val="00F27F6B"/>
    <w:rsid w:val="00F30223"/>
    <w:rsid w:val="00F3034E"/>
    <w:rsid w:val="00F3039D"/>
    <w:rsid w:val="00F30529"/>
    <w:rsid w:val="00F305B5"/>
    <w:rsid w:val="00F30722"/>
    <w:rsid w:val="00F30847"/>
    <w:rsid w:val="00F30919"/>
    <w:rsid w:val="00F30B4A"/>
    <w:rsid w:val="00F30C17"/>
    <w:rsid w:val="00F30E6B"/>
    <w:rsid w:val="00F31002"/>
    <w:rsid w:val="00F31050"/>
    <w:rsid w:val="00F310E4"/>
    <w:rsid w:val="00F314BC"/>
    <w:rsid w:val="00F317AB"/>
    <w:rsid w:val="00F3246D"/>
    <w:rsid w:val="00F32745"/>
    <w:rsid w:val="00F3284D"/>
    <w:rsid w:val="00F32B0F"/>
    <w:rsid w:val="00F32C99"/>
    <w:rsid w:val="00F32F4A"/>
    <w:rsid w:val="00F32F86"/>
    <w:rsid w:val="00F333EB"/>
    <w:rsid w:val="00F335A1"/>
    <w:rsid w:val="00F33668"/>
    <w:rsid w:val="00F338DD"/>
    <w:rsid w:val="00F33983"/>
    <w:rsid w:val="00F33B00"/>
    <w:rsid w:val="00F34046"/>
    <w:rsid w:val="00F340AD"/>
    <w:rsid w:val="00F342D5"/>
    <w:rsid w:val="00F346E6"/>
    <w:rsid w:val="00F34A4D"/>
    <w:rsid w:val="00F3512A"/>
    <w:rsid w:val="00F351E1"/>
    <w:rsid w:val="00F358EF"/>
    <w:rsid w:val="00F35983"/>
    <w:rsid w:val="00F359A6"/>
    <w:rsid w:val="00F35BAF"/>
    <w:rsid w:val="00F35FA6"/>
    <w:rsid w:val="00F36010"/>
    <w:rsid w:val="00F3601F"/>
    <w:rsid w:val="00F36309"/>
    <w:rsid w:val="00F36420"/>
    <w:rsid w:val="00F3692B"/>
    <w:rsid w:val="00F36A9D"/>
    <w:rsid w:val="00F36BF7"/>
    <w:rsid w:val="00F36D0E"/>
    <w:rsid w:val="00F37016"/>
    <w:rsid w:val="00F3752C"/>
    <w:rsid w:val="00F37F21"/>
    <w:rsid w:val="00F40112"/>
    <w:rsid w:val="00F4057F"/>
    <w:rsid w:val="00F40864"/>
    <w:rsid w:val="00F40B4F"/>
    <w:rsid w:val="00F41388"/>
    <w:rsid w:val="00F4162F"/>
    <w:rsid w:val="00F417C9"/>
    <w:rsid w:val="00F419F0"/>
    <w:rsid w:val="00F41B09"/>
    <w:rsid w:val="00F41BAF"/>
    <w:rsid w:val="00F41E84"/>
    <w:rsid w:val="00F41EE1"/>
    <w:rsid w:val="00F420D8"/>
    <w:rsid w:val="00F426D8"/>
    <w:rsid w:val="00F42868"/>
    <w:rsid w:val="00F42F98"/>
    <w:rsid w:val="00F43197"/>
    <w:rsid w:val="00F431EB"/>
    <w:rsid w:val="00F43796"/>
    <w:rsid w:val="00F43929"/>
    <w:rsid w:val="00F43C01"/>
    <w:rsid w:val="00F43F40"/>
    <w:rsid w:val="00F43F87"/>
    <w:rsid w:val="00F44122"/>
    <w:rsid w:val="00F443DF"/>
    <w:rsid w:val="00F447E4"/>
    <w:rsid w:val="00F44895"/>
    <w:rsid w:val="00F44CEA"/>
    <w:rsid w:val="00F44F72"/>
    <w:rsid w:val="00F44F73"/>
    <w:rsid w:val="00F4554D"/>
    <w:rsid w:val="00F45585"/>
    <w:rsid w:val="00F4591C"/>
    <w:rsid w:val="00F45962"/>
    <w:rsid w:val="00F46453"/>
    <w:rsid w:val="00F46466"/>
    <w:rsid w:val="00F46622"/>
    <w:rsid w:val="00F468CF"/>
    <w:rsid w:val="00F46A4B"/>
    <w:rsid w:val="00F46F00"/>
    <w:rsid w:val="00F471BC"/>
    <w:rsid w:val="00F47525"/>
    <w:rsid w:val="00F475ED"/>
    <w:rsid w:val="00F4768D"/>
    <w:rsid w:val="00F4777C"/>
    <w:rsid w:val="00F47994"/>
    <w:rsid w:val="00F500FD"/>
    <w:rsid w:val="00F50145"/>
    <w:rsid w:val="00F501FB"/>
    <w:rsid w:val="00F502FF"/>
    <w:rsid w:val="00F50585"/>
    <w:rsid w:val="00F50655"/>
    <w:rsid w:val="00F50683"/>
    <w:rsid w:val="00F50CB0"/>
    <w:rsid w:val="00F50CC7"/>
    <w:rsid w:val="00F51043"/>
    <w:rsid w:val="00F51339"/>
    <w:rsid w:val="00F51447"/>
    <w:rsid w:val="00F5161C"/>
    <w:rsid w:val="00F516E3"/>
    <w:rsid w:val="00F51848"/>
    <w:rsid w:val="00F51C17"/>
    <w:rsid w:val="00F5216C"/>
    <w:rsid w:val="00F521FF"/>
    <w:rsid w:val="00F522CF"/>
    <w:rsid w:val="00F5234D"/>
    <w:rsid w:val="00F52938"/>
    <w:rsid w:val="00F52DAE"/>
    <w:rsid w:val="00F52FED"/>
    <w:rsid w:val="00F5358A"/>
    <w:rsid w:val="00F537C3"/>
    <w:rsid w:val="00F539CC"/>
    <w:rsid w:val="00F53A05"/>
    <w:rsid w:val="00F54035"/>
    <w:rsid w:val="00F542E3"/>
    <w:rsid w:val="00F54414"/>
    <w:rsid w:val="00F5474F"/>
    <w:rsid w:val="00F547A3"/>
    <w:rsid w:val="00F54832"/>
    <w:rsid w:val="00F54AFF"/>
    <w:rsid w:val="00F553D6"/>
    <w:rsid w:val="00F55581"/>
    <w:rsid w:val="00F55DA3"/>
    <w:rsid w:val="00F55F02"/>
    <w:rsid w:val="00F5618C"/>
    <w:rsid w:val="00F563AB"/>
    <w:rsid w:val="00F56B41"/>
    <w:rsid w:val="00F56DE1"/>
    <w:rsid w:val="00F57051"/>
    <w:rsid w:val="00F57245"/>
    <w:rsid w:val="00F575D5"/>
    <w:rsid w:val="00F57885"/>
    <w:rsid w:val="00F578CE"/>
    <w:rsid w:val="00F57A96"/>
    <w:rsid w:val="00F57D05"/>
    <w:rsid w:val="00F57D58"/>
    <w:rsid w:val="00F57E01"/>
    <w:rsid w:val="00F57F66"/>
    <w:rsid w:val="00F606C2"/>
    <w:rsid w:val="00F60A66"/>
    <w:rsid w:val="00F60F58"/>
    <w:rsid w:val="00F6121E"/>
    <w:rsid w:val="00F614C8"/>
    <w:rsid w:val="00F614F7"/>
    <w:rsid w:val="00F61D24"/>
    <w:rsid w:val="00F61D9E"/>
    <w:rsid w:val="00F61E1C"/>
    <w:rsid w:val="00F61E1D"/>
    <w:rsid w:val="00F61E45"/>
    <w:rsid w:val="00F61FD7"/>
    <w:rsid w:val="00F621B7"/>
    <w:rsid w:val="00F62EF9"/>
    <w:rsid w:val="00F62FFF"/>
    <w:rsid w:val="00F6328A"/>
    <w:rsid w:val="00F632EE"/>
    <w:rsid w:val="00F633BD"/>
    <w:rsid w:val="00F6357D"/>
    <w:rsid w:val="00F63D6A"/>
    <w:rsid w:val="00F63DC8"/>
    <w:rsid w:val="00F64365"/>
    <w:rsid w:val="00F646AA"/>
    <w:rsid w:val="00F64E40"/>
    <w:rsid w:val="00F65086"/>
    <w:rsid w:val="00F65293"/>
    <w:rsid w:val="00F653C2"/>
    <w:rsid w:val="00F654FB"/>
    <w:rsid w:val="00F655B3"/>
    <w:rsid w:val="00F657AE"/>
    <w:rsid w:val="00F65860"/>
    <w:rsid w:val="00F65918"/>
    <w:rsid w:val="00F6598E"/>
    <w:rsid w:val="00F659B0"/>
    <w:rsid w:val="00F65B7F"/>
    <w:rsid w:val="00F65BD7"/>
    <w:rsid w:val="00F65CD7"/>
    <w:rsid w:val="00F65E8D"/>
    <w:rsid w:val="00F66144"/>
    <w:rsid w:val="00F66351"/>
    <w:rsid w:val="00F663C7"/>
    <w:rsid w:val="00F6643A"/>
    <w:rsid w:val="00F66871"/>
    <w:rsid w:val="00F66894"/>
    <w:rsid w:val="00F66FB3"/>
    <w:rsid w:val="00F6713F"/>
    <w:rsid w:val="00F6719C"/>
    <w:rsid w:val="00F671D1"/>
    <w:rsid w:val="00F6722F"/>
    <w:rsid w:val="00F6744F"/>
    <w:rsid w:val="00F676ED"/>
    <w:rsid w:val="00F676FC"/>
    <w:rsid w:val="00F67731"/>
    <w:rsid w:val="00F67844"/>
    <w:rsid w:val="00F67B77"/>
    <w:rsid w:val="00F67C61"/>
    <w:rsid w:val="00F67EAC"/>
    <w:rsid w:val="00F67F21"/>
    <w:rsid w:val="00F705FB"/>
    <w:rsid w:val="00F70C61"/>
    <w:rsid w:val="00F70D13"/>
    <w:rsid w:val="00F70FE0"/>
    <w:rsid w:val="00F7113D"/>
    <w:rsid w:val="00F71330"/>
    <w:rsid w:val="00F71722"/>
    <w:rsid w:val="00F71788"/>
    <w:rsid w:val="00F717C1"/>
    <w:rsid w:val="00F7184A"/>
    <w:rsid w:val="00F718B1"/>
    <w:rsid w:val="00F718B2"/>
    <w:rsid w:val="00F71931"/>
    <w:rsid w:val="00F71A0D"/>
    <w:rsid w:val="00F71E9A"/>
    <w:rsid w:val="00F71F36"/>
    <w:rsid w:val="00F7224A"/>
    <w:rsid w:val="00F7292C"/>
    <w:rsid w:val="00F72C8A"/>
    <w:rsid w:val="00F72D13"/>
    <w:rsid w:val="00F72F6D"/>
    <w:rsid w:val="00F73045"/>
    <w:rsid w:val="00F73184"/>
    <w:rsid w:val="00F734FF"/>
    <w:rsid w:val="00F737EC"/>
    <w:rsid w:val="00F73CBF"/>
    <w:rsid w:val="00F73F4E"/>
    <w:rsid w:val="00F740FC"/>
    <w:rsid w:val="00F74277"/>
    <w:rsid w:val="00F7480B"/>
    <w:rsid w:val="00F74B51"/>
    <w:rsid w:val="00F74CFB"/>
    <w:rsid w:val="00F74D0C"/>
    <w:rsid w:val="00F74EF7"/>
    <w:rsid w:val="00F75110"/>
    <w:rsid w:val="00F7589A"/>
    <w:rsid w:val="00F75BCD"/>
    <w:rsid w:val="00F75CB1"/>
    <w:rsid w:val="00F76669"/>
    <w:rsid w:val="00F766D1"/>
    <w:rsid w:val="00F769FD"/>
    <w:rsid w:val="00F76A36"/>
    <w:rsid w:val="00F76B24"/>
    <w:rsid w:val="00F76B8F"/>
    <w:rsid w:val="00F7709C"/>
    <w:rsid w:val="00F779B5"/>
    <w:rsid w:val="00F77BE4"/>
    <w:rsid w:val="00F77E78"/>
    <w:rsid w:val="00F77EC1"/>
    <w:rsid w:val="00F77F9E"/>
    <w:rsid w:val="00F80129"/>
    <w:rsid w:val="00F805D3"/>
    <w:rsid w:val="00F809CC"/>
    <w:rsid w:val="00F80A10"/>
    <w:rsid w:val="00F80B1D"/>
    <w:rsid w:val="00F80BD9"/>
    <w:rsid w:val="00F81362"/>
    <w:rsid w:val="00F81373"/>
    <w:rsid w:val="00F813C4"/>
    <w:rsid w:val="00F81BE4"/>
    <w:rsid w:val="00F81CB4"/>
    <w:rsid w:val="00F820D7"/>
    <w:rsid w:val="00F82172"/>
    <w:rsid w:val="00F82BF9"/>
    <w:rsid w:val="00F830CC"/>
    <w:rsid w:val="00F83199"/>
    <w:rsid w:val="00F832A5"/>
    <w:rsid w:val="00F833A3"/>
    <w:rsid w:val="00F837C8"/>
    <w:rsid w:val="00F838DC"/>
    <w:rsid w:val="00F8392A"/>
    <w:rsid w:val="00F83D4E"/>
    <w:rsid w:val="00F83E7F"/>
    <w:rsid w:val="00F83F4B"/>
    <w:rsid w:val="00F841CC"/>
    <w:rsid w:val="00F842C3"/>
    <w:rsid w:val="00F843B3"/>
    <w:rsid w:val="00F8470D"/>
    <w:rsid w:val="00F84BA5"/>
    <w:rsid w:val="00F84C6A"/>
    <w:rsid w:val="00F84E10"/>
    <w:rsid w:val="00F851B1"/>
    <w:rsid w:val="00F854EE"/>
    <w:rsid w:val="00F856A2"/>
    <w:rsid w:val="00F85E83"/>
    <w:rsid w:val="00F85FE9"/>
    <w:rsid w:val="00F87157"/>
    <w:rsid w:val="00F872E5"/>
    <w:rsid w:val="00F874E7"/>
    <w:rsid w:val="00F8761E"/>
    <w:rsid w:val="00F87652"/>
    <w:rsid w:val="00F87F7F"/>
    <w:rsid w:val="00F87FA1"/>
    <w:rsid w:val="00F90261"/>
    <w:rsid w:val="00F9041A"/>
    <w:rsid w:val="00F9089C"/>
    <w:rsid w:val="00F90C4C"/>
    <w:rsid w:val="00F90C60"/>
    <w:rsid w:val="00F91193"/>
    <w:rsid w:val="00F911E2"/>
    <w:rsid w:val="00F91254"/>
    <w:rsid w:val="00F91353"/>
    <w:rsid w:val="00F9160A"/>
    <w:rsid w:val="00F9171D"/>
    <w:rsid w:val="00F91875"/>
    <w:rsid w:val="00F91BCA"/>
    <w:rsid w:val="00F91F12"/>
    <w:rsid w:val="00F92128"/>
    <w:rsid w:val="00F9264A"/>
    <w:rsid w:val="00F9286E"/>
    <w:rsid w:val="00F92A2D"/>
    <w:rsid w:val="00F93394"/>
    <w:rsid w:val="00F93C8C"/>
    <w:rsid w:val="00F93CE0"/>
    <w:rsid w:val="00F93D4F"/>
    <w:rsid w:val="00F94020"/>
    <w:rsid w:val="00F941B0"/>
    <w:rsid w:val="00F952B9"/>
    <w:rsid w:val="00F953BE"/>
    <w:rsid w:val="00F953DC"/>
    <w:rsid w:val="00F95581"/>
    <w:rsid w:val="00F956E8"/>
    <w:rsid w:val="00F95B00"/>
    <w:rsid w:val="00F95DD9"/>
    <w:rsid w:val="00F96502"/>
    <w:rsid w:val="00F9684A"/>
    <w:rsid w:val="00F968DC"/>
    <w:rsid w:val="00F96AB1"/>
    <w:rsid w:val="00F96BB9"/>
    <w:rsid w:val="00F96BED"/>
    <w:rsid w:val="00F96BFC"/>
    <w:rsid w:val="00F9750C"/>
    <w:rsid w:val="00F9759F"/>
    <w:rsid w:val="00F9760C"/>
    <w:rsid w:val="00F97775"/>
    <w:rsid w:val="00F97BCA"/>
    <w:rsid w:val="00F97F35"/>
    <w:rsid w:val="00F97F38"/>
    <w:rsid w:val="00FA0061"/>
    <w:rsid w:val="00FA01DF"/>
    <w:rsid w:val="00FA028A"/>
    <w:rsid w:val="00FA0825"/>
    <w:rsid w:val="00FA08AD"/>
    <w:rsid w:val="00FA0FD1"/>
    <w:rsid w:val="00FA1178"/>
    <w:rsid w:val="00FA1A97"/>
    <w:rsid w:val="00FA1AED"/>
    <w:rsid w:val="00FA1BAB"/>
    <w:rsid w:val="00FA1CB0"/>
    <w:rsid w:val="00FA1D68"/>
    <w:rsid w:val="00FA1EFF"/>
    <w:rsid w:val="00FA2143"/>
    <w:rsid w:val="00FA24CC"/>
    <w:rsid w:val="00FA2597"/>
    <w:rsid w:val="00FA25FF"/>
    <w:rsid w:val="00FA2826"/>
    <w:rsid w:val="00FA2840"/>
    <w:rsid w:val="00FA2A15"/>
    <w:rsid w:val="00FA2B1E"/>
    <w:rsid w:val="00FA2B90"/>
    <w:rsid w:val="00FA2DC4"/>
    <w:rsid w:val="00FA2EB0"/>
    <w:rsid w:val="00FA2F27"/>
    <w:rsid w:val="00FA305E"/>
    <w:rsid w:val="00FA3868"/>
    <w:rsid w:val="00FA3F43"/>
    <w:rsid w:val="00FA40D4"/>
    <w:rsid w:val="00FA4150"/>
    <w:rsid w:val="00FA42F3"/>
    <w:rsid w:val="00FA440D"/>
    <w:rsid w:val="00FA477D"/>
    <w:rsid w:val="00FA47CD"/>
    <w:rsid w:val="00FA4BE5"/>
    <w:rsid w:val="00FA4F13"/>
    <w:rsid w:val="00FA52D8"/>
    <w:rsid w:val="00FA531C"/>
    <w:rsid w:val="00FA5766"/>
    <w:rsid w:val="00FA57C5"/>
    <w:rsid w:val="00FA59B6"/>
    <w:rsid w:val="00FA5CE7"/>
    <w:rsid w:val="00FA655C"/>
    <w:rsid w:val="00FA65B9"/>
    <w:rsid w:val="00FA6702"/>
    <w:rsid w:val="00FA67E4"/>
    <w:rsid w:val="00FA69D5"/>
    <w:rsid w:val="00FA6C81"/>
    <w:rsid w:val="00FA6DDA"/>
    <w:rsid w:val="00FA701D"/>
    <w:rsid w:val="00FA726E"/>
    <w:rsid w:val="00FA72DD"/>
    <w:rsid w:val="00FA75DD"/>
    <w:rsid w:val="00FA775E"/>
    <w:rsid w:val="00FA7778"/>
    <w:rsid w:val="00FA7D45"/>
    <w:rsid w:val="00FA7D7D"/>
    <w:rsid w:val="00FB04B8"/>
    <w:rsid w:val="00FB05C2"/>
    <w:rsid w:val="00FB07DB"/>
    <w:rsid w:val="00FB094D"/>
    <w:rsid w:val="00FB0BE1"/>
    <w:rsid w:val="00FB0E7A"/>
    <w:rsid w:val="00FB12F1"/>
    <w:rsid w:val="00FB139A"/>
    <w:rsid w:val="00FB14F3"/>
    <w:rsid w:val="00FB15D8"/>
    <w:rsid w:val="00FB183A"/>
    <w:rsid w:val="00FB188F"/>
    <w:rsid w:val="00FB1A5C"/>
    <w:rsid w:val="00FB1A94"/>
    <w:rsid w:val="00FB1D85"/>
    <w:rsid w:val="00FB1EE6"/>
    <w:rsid w:val="00FB1FDA"/>
    <w:rsid w:val="00FB1FE1"/>
    <w:rsid w:val="00FB2325"/>
    <w:rsid w:val="00FB267C"/>
    <w:rsid w:val="00FB2F6E"/>
    <w:rsid w:val="00FB3354"/>
    <w:rsid w:val="00FB3726"/>
    <w:rsid w:val="00FB39EA"/>
    <w:rsid w:val="00FB3AC0"/>
    <w:rsid w:val="00FB3FEE"/>
    <w:rsid w:val="00FB4354"/>
    <w:rsid w:val="00FB4637"/>
    <w:rsid w:val="00FB465F"/>
    <w:rsid w:val="00FB47B7"/>
    <w:rsid w:val="00FB48E6"/>
    <w:rsid w:val="00FB497C"/>
    <w:rsid w:val="00FB50B6"/>
    <w:rsid w:val="00FB5623"/>
    <w:rsid w:val="00FB5D0F"/>
    <w:rsid w:val="00FB620D"/>
    <w:rsid w:val="00FB63DD"/>
    <w:rsid w:val="00FB64F0"/>
    <w:rsid w:val="00FB6969"/>
    <w:rsid w:val="00FB6A78"/>
    <w:rsid w:val="00FB6F67"/>
    <w:rsid w:val="00FB7069"/>
    <w:rsid w:val="00FB7113"/>
    <w:rsid w:val="00FB711D"/>
    <w:rsid w:val="00FB766F"/>
    <w:rsid w:val="00FB77E0"/>
    <w:rsid w:val="00FB7B34"/>
    <w:rsid w:val="00FB7B3B"/>
    <w:rsid w:val="00FB7BF6"/>
    <w:rsid w:val="00FB7D7A"/>
    <w:rsid w:val="00FB7F2F"/>
    <w:rsid w:val="00FC0AD7"/>
    <w:rsid w:val="00FC0AF3"/>
    <w:rsid w:val="00FC0C5E"/>
    <w:rsid w:val="00FC10DE"/>
    <w:rsid w:val="00FC1D91"/>
    <w:rsid w:val="00FC2118"/>
    <w:rsid w:val="00FC27A2"/>
    <w:rsid w:val="00FC2A9D"/>
    <w:rsid w:val="00FC2D5F"/>
    <w:rsid w:val="00FC3374"/>
    <w:rsid w:val="00FC33BC"/>
    <w:rsid w:val="00FC3B18"/>
    <w:rsid w:val="00FC3D1F"/>
    <w:rsid w:val="00FC3EFB"/>
    <w:rsid w:val="00FC406D"/>
    <w:rsid w:val="00FC4101"/>
    <w:rsid w:val="00FC4330"/>
    <w:rsid w:val="00FC4715"/>
    <w:rsid w:val="00FC4962"/>
    <w:rsid w:val="00FC4A13"/>
    <w:rsid w:val="00FC4E5A"/>
    <w:rsid w:val="00FC5097"/>
    <w:rsid w:val="00FC5329"/>
    <w:rsid w:val="00FC5603"/>
    <w:rsid w:val="00FC60B8"/>
    <w:rsid w:val="00FC61FC"/>
    <w:rsid w:val="00FC640F"/>
    <w:rsid w:val="00FC6553"/>
    <w:rsid w:val="00FC6C47"/>
    <w:rsid w:val="00FC6D04"/>
    <w:rsid w:val="00FC7282"/>
    <w:rsid w:val="00FC7612"/>
    <w:rsid w:val="00FC773D"/>
    <w:rsid w:val="00FC78A4"/>
    <w:rsid w:val="00FC79AA"/>
    <w:rsid w:val="00FC79C7"/>
    <w:rsid w:val="00FC7F36"/>
    <w:rsid w:val="00FD0017"/>
    <w:rsid w:val="00FD0677"/>
    <w:rsid w:val="00FD0842"/>
    <w:rsid w:val="00FD092A"/>
    <w:rsid w:val="00FD0B28"/>
    <w:rsid w:val="00FD0B3E"/>
    <w:rsid w:val="00FD0D57"/>
    <w:rsid w:val="00FD112A"/>
    <w:rsid w:val="00FD117D"/>
    <w:rsid w:val="00FD1295"/>
    <w:rsid w:val="00FD151D"/>
    <w:rsid w:val="00FD17BA"/>
    <w:rsid w:val="00FD1B5A"/>
    <w:rsid w:val="00FD1CDD"/>
    <w:rsid w:val="00FD22B4"/>
    <w:rsid w:val="00FD24D9"/>
    <w:rsid w:val="00FD292B"/>
    <w:rsid w:val="00FD2C1B"/>
    <w:rsid w:val="00FD2C5A"/>
    <w:rsid w:val="00FD2C9D"/>
    <w:rsid w:val="00FD2CC1"/>
    <w:rsid w:val="00FD2CC4"/>
    <w:rsid w:val="00FD2F48"/>
    <w:rsid w:val="00FD2F74"/>
    <w:rsid w:val="00FD2FF8"/>
    <w:rsid w:val="00FD3142"/>
    <w:rsid w:val="00FD33C0"/>
    <w:rsid w:val="00FD34AB"/>
    <w:rsid w:val="00FD351F"/>
    <w:rsid w:val="00FD362D"/>
    <w:rsid w:val="00FD371D"/>
    <w:rsid w:val="00FD395D"/>
    <w:rsid w:val="00FD39C9"/>
    <w:rsid w:val="00FD3B94"/>
    <w:rsid w:val="00FD4096"/>
    <w:rsid w:val="00FD40DD"/>
    <w:rsid w:val="00FD4240"/>
    <w:rsid w:val="00FD426B"/>
    <w:rsid w:val="00FD43B3"/>
    <w:rsid w:val="00FD446F"/>
    <w:rsid w:val="00FD4C60"/>
    <w:rsid w:val="00FD4D98"/>
    <w:rsid w:val="00FD506B"/>
    <w:rsid w:val="00FD52DC"/>
    <w:rsid w:val="00FD54A1"/>
    <w:rsid w:val="00FD55A8"/>
    <w:rsid w:val="00FD5AC9"/>
    <w:rsid w:val="00FD5BB7"/>
    <w:rsid w:val="00FD5DB9"/>
    <w:rsid w:val="00FD5FBD"/>
    <w:rsid w:val="00FD61A4"/>
    <w:rsid w:val="00FD6295"/>
    <w:rsid w:val="00FD62C6"/>
    <w:rsid w:val="00FD6498"/>
    <w:rsid w:val="00FD67ED"/>
    <w:rsid w:val="00FD6A5D"/>
    <w:rsid w:val="00FD6C57"/>
    <w:rsid w:val="00FD6DDE"/>
    <w:rsid w:val="00FD7015"/>
    <w:rsid w:val="00FD7312"/>
    <w:rsid w:val="00FD7334"/>
    <w:rsid w:val="00FD74FD"/>
    <w:rsid w:val="00FD75AD"/>
    <w:rsid w:val="00FD7767"/>
    <w:rsid w:val="00FD7A82"/>
    <w:rsid w:val="00FE0090"/>
    <w:rsid w:val="00FE0200"/>
    <w:rsid w:val="00FE020A"/>
    <w:rsid w:val="00FE020E"/>
    <w:rsid w:val="00FE0549"/>
    <w:rsid w:val="00FE06FC"/>
    <w:rsid w:val="00FE08C7"/>
    <w:rsid w:val="00FE0C65"/>
    <w:rsid w:val="00FE1118"/>
    <w:rsid w:val="00FE1329"/>
    <w:rsid w:val="00FE1414"/>
    <w:rsid w:val="00FE1467"/>
    <w:rsid w:val="00FE1947"/>
    <w:rsid w:val="00FE1AC5"/>
    <w:rsid w:val="00FE1D03"/>
    <w:rsid w:val="00FE1E0B"/>
    <w:rsid w:val="00FE1F50"/>
    <w:rsid w:val="00FE1FAD"/>
    <w:rsid w:val="00FE206F"/>
    <w:rsid w:val="00FE22B2"/>
    <w:rsid w:val="00FE2521"/>
    <w:rsid w:val="00FE2624"/>
    <w:rsid w:val="00FE2CA2"/>
    <w:rsid w:val="00FE2E78"/>
    <w:rsid w:val="00FE2EAD"/>
    <w:rsid w:val="00FE2FC5"/>
    <w:rsid w:val="00FE3076"/>
    <w:rsid w:val="00FE307E"/>
    <w:rsid w:val="00FE36F9"/>
    <w:rsid w:val="00FE39BE"/>
    <w:rsid w:val="00FE3A46"/>
    <w:rsid w:val="00FE3AF4"/>
    <w:rsid w:val="00FE3E21"/>
    <w:rsid w:val="00FE40E5"/>
    <w:rsid w:val="00FE4181"/>
    <w:rsid w:val="00FE4190"/>
    <w:rsid w:val="00FE4734"/>
    <w:rsid w:val="00FE4739"/>
    <w:rsid w:val="00FE4A7A"/>
    <w:rsid w:val="00FE4DB2"/>
    <w:rsid w:val="00FE4DB4"/>
    <w:rsid w:val="00FE4FC7"/>
    <w:rsid w:val="00FE5342"/>
    <w:rsid w:val="00FE60BF"/>
    <w:rsid w:val="00FE681D"/>
    <w:rsid w:val="00FE6D46"/>
    <w:rsid w:val="00FE6DAF"/>
    <w:rsid w:val="00FE705D"/>
    <w:rsid w:val="00FE7392"/>
    <w:rsid w:val="00FE74DF"/>
    <w:rsid w:val="00FE75CF"/>
    <w:rsid w:val="00FE7CBB"/>
    <w:rsid w:val="00FE7E7C"/>
    <w:rsid w:val="00FE7F7E"/>
    <w:rsid w:val="00FF0357"/>
    <w:rsid w:val="00FF044F"/>
    <w:rsid w:val="00FF08C0"/>
    <w:rsid w:val="00FF0DBD"/>
    <w:rsid w:val="00FF0DF1"/>
    <w:rsid w:val="00FF0F86"/>
    <w:rsid w:val="00FF109F"/>
    <w:rsid w:val="00FF1160"/>
    <w:rsid w:val="00FF1CEA"/>
    <w:rsid w:val="00FF1E91"/>
    <w:rsid w:val="00FF1EFB"/>
    <w:rsid w:val="00FF1F73"/>
    <w:rsid w:val="00FF2100"/>
    <w:rsid w:val="00FF2158"/>
    <w:rsid w:val="00FF2394"/>
    <w:rsid w:val="00FF2B9B"/>
    <w:rsid w:val="00FF2C9C"/>
    <w:rsid w:val="00FF3332"/>
    <w:rsid w:val="00FF34A3"/>
    <w:rsid w:val="00FF3586"/>
    <w:rsid w:val="00FF36E1"/>
    <w:rsid w:val="00FF3A07"/>
    <w:rsid w:val="00FF3B1E"/>
    <w:rsid w:val="00FF3E3B"/>
    <w:rsid w:val="00FF3FEA"/>
    <w:rsid w:val="00FF4055"/>
    <w:rsid w:val="00FF415A"/>
    <w:rsid w:val="00FF41D5"/>
    <w:rsid w:val="00FF4259"/>
    <w:rsid w:val="00FF4279"/>
    <w:rsid w:val="00FF4386"/>
    <w:rsid w:val="00FF4707"/>
    <w:rsid w:val="00FF495F"/>
    <w:rsid w:val="00FF499E"/>
    <w:rsid w:val="00FF4AC8"/>
    <w:rsid w:val="00FF4C68"/>
    <w:rsid w:val="00FF4F34"/>
    <w:rsid w:val="00FF4F39"/>
    <w:rsid w:val="00FF5234"/>
    <w:rsid w:val="00FF5388"/>
    <w:rsid w:val="00FF54D1"/>
    <w:rsid w:val="00FF5893"/>
    <w:rsid w:val="00FF5DE6"/>
    <w:rsid w:val="00FF5F6C"/>
    <w:rsid w:val="00FF61F2"/>
    <w:rsid w:val="00FF6209"/>
    <w:rsid w:val="00FF6540"/>
    <w:rsid w:val="00FF66F9"/>
    <w:rsid w:val="00FF676B"/>
    <w:rsid w:val="00FF67EE"/>
    <w:rsid w:val="00FF6B4D"/>
    <w:rsid w:val="00FF6BD8"/>
    <w:rsid w:val="00FF6F71"/>
    <w:rsid w:val="00FF70F8"/>
    <w:rsid w:val="00FF7238"/>
    <w:rsid w:val="00FF7493"/>
    <w:rsid w:val="00FF76E0"/>
    <w:rsid w:val="00FF77BA"/>
    <w:rsid w:val="00FF7B87"/>
    <w:rsid w:val="00FF7CAD"/>
    <w:rsid w:val="00FF7E5C"/>
    <w:rsid w:val="00FF7FE6"/>
    <w:rsid w:val="01085BB6"/>
    <w:rsid w:val="01AF209C"/>
    <w:rsid w:val="01BDCE78"/>
    <w:rsid w:val="01DDAFBB"/>
    <w:rsid w:val="01E6FA83"/>
    <w:rsid w:val="01E96833"/>
    <w:rsid w:val="01E9B007"/>
    <w:rsid w:val="01FD01CF"/>
    <w:rsid w:val="024A8D1A"/>
    <w:rsid w:val="024F92A8"/>
    <w:rsid w:val="025AA847"/>
    <w:rsid w:val="0275DDB0"/>
    <w:rsid w:val="027B9315"/>
    <w:rsid w:val="02948DA1"/>
    <w:rsid w:val="02AA3414"/>
    <w:rsid w:val="02B5944E"/>
    <w:rsid w:val="02BFBAD8"/>
    <w:rsid w:val="02C36AF6"/>
    <w:rsid w:val="02C8BD5F"/>
    <w:rsid w:val="02F9B7A7"/>
    <w:rsid w:val="02F9BF24"/>
    <w:rsid w:val="02FC7C4E"/>
    <w:rsid w:val="0301B3D9"/>
    <w:rsid w:val="03027E00"/>
    <w:rsid w:val="03236787"/>
    <w:rsid w:val="0324E05F"/>
    <w:rsid w:val="0331F48D"/>
    <w:rsid w:val="0340311A"/>
    <w:rsid w:val="035B6D42"/>
    <w:rsid w:val="0364E876"/>
    <w:rsid w:val="037E7269"/>
    <w:rsid w:val="03C7ECEA"/>
    <w:rsid w:val="03D2FE68"/>
    <w:rsid w:val="03DB05CC"/>
    <w:rsid w:val="03DB7942"/>
    <w:rsid w:val="03FC1AAD"/>
    <w:rsid w:val="03FC3884"/>
    <w:rsid w:val="043FA551"/>
    <w:rsid w:val="044B7625"/>
    <w:rsid w:val="04710769"/>
    <w:rsid w:val="0474D994"/>
    <w:rsid w:val="0475647C"/>
    <w:rsid w:val="04A36147"/>
    <w:rsid w:val="04CBC3F2"/>
    <w:rsid w:val="04CE0082"/>
    <w:rsid w:val="04E3A548"/>
    <w:rsid w:val="04E7E062"/>
    <w:rsid w:val="05061526"/>
    <w:rsid w:val="0536456F"/>
    <w:rsid w:val="05479F3A"/>
    <w:rsid w:val="055575F1"/>
    <w:rsid w:val="0561702D"/>
    <w:rsid w:val="05721C49"/>
    <w:rsid w:val="057267D9"/>
    <w:rsid w:val="05729E1F"/>
    <w:rsid w:val="05935C11"/>
    <w:rsid w:val="0599B57B"/>
    <w:rsid w:val="05BF1EB9"/>
    <w:rsid w:val="05E2F701"/>
    <w:rsid w:val="05FE2450"/>
    <w:rsid w:val="05FF25C6"/>
    <w:rsid w:val="06002258"/>
    <w:rsid w:val="061F32CC"/>
    <w:rsid w:val="062D4026"/>
    <w:rsid w:val="062FEE6E"/>
    <w:rsid w:val="06399A25"/>
    <w:rsid w:val="0653DEEB"/>
    <w:rsid w:val="06873BC1"/>
    <w:rsid w:val="068A5D1D"/>
    <w:rsid w:val="068B63FD"/>
    <w:rsid w:val="0698A31C"/>
    <w:rsid w:val="069CC07C"/>
    <w:rsid w:val="06BE0885"/>
    <w:rsid w:val="06CF6DB7"/>
    <w:rsid w:val="06D01ED8"/>
    <w:rsid w:val="06EE0D47"/>
    <w:rsid w:val="07002B10"/>
    <w:rsid w:val="0709BF2B"/>
    <w:rsid w:val="0722ACCC"/>
    <w:rsid w:val="07277276"/>
    <w:rsid w:val="0731EC80"/>
    <w:rsid w:val="0736B1B8"/>
    <w:rsid w:val="07408A6B"/>
    <w:rsid w:val="0744310E"/>
    <w:rsid w:val="077D425B"/>
    <w:rsid w:val="077E1216"/>
    <w:rsid w:val="078AFA92"/>
    <w:rsid w:val="079245D0"/>
    <w:rsid w:val="07BA124B"/>
    <w:rsid w:val="07C45D2A"/>
    <w:rsid w:val="07DD3072"/>
    <w:rsid w:val="07EE20DC"/>
    <w:rsid w:val="07F126EF"/>
    <w:rsid w:val="080140E9"/>
    <w:rsid w:val="0826E8DB"/>
    <w:rsid w:val="08331450"/>
    <w:rsid w:val="084DFE68"/>
    <w:rsid w:val="085F8B07"/>
    <w:rsid w:val="086EE642"/>
    <w:rsid w:val="08B6083D"/>
    <w:rsid w:val="08CB6645"/>
    <w:rsid w:val="08D32B57"/>
    <w:rsid w:val="09148909"/>
    <w:rsid w:val="092E0478"/>
    <w:rsid w:val="093656AB"/>
    <w:rsid w:val="095D47F8"/>
    <w:rsid w:val="09629747"/>
    <w:rsid w:val="0980D467"/>
    <w:rsid w:val="09BB32E3"/>
    <w:rsid w:val="09BCC2D4"/>
    <w:rsid w:val="09C8D043"/>
    <w:rsid w:val="09C9F206"/>
    <w:rsid w:val="09EAB87E"/>
    <w:rsid w:val="09FB9C2D"/>
    <w:rsid w:val="0A055541"/>
    <w:rsid w:val="0A0D42F5"/>
    <w:rsid w:val="0A181D52"/>
    <w:rsid w:val="0A1894EF"/>
    <w:rsid w:val="0A25EB11"/>
    <w:rsid w:val="0A2D1879"/>
    <w:rsid w:val="0A33D98C"/>
    <w:rsid w:val="0A59DBA2"/>
    <w:rsid w:val="0A6BDD34"/>
    <w:rsid w:val="0A730634"/>
    <w:rsid w:val="0A764A4D"/>
    <w:rsid w:val="0A88EE3D"/>
    <w:rsid w:val="0A979EB8"/>
    <w:rsid w:val="0A98260E"/>
    <w:rsid w:val="0A9FAE86"/>
    <w:rsid w:val="0ADB21A9"/>
    <w:rsid w:val="0AEC39A7"/>
    <w:rsid w:val="0AF42654"/>
    <w:rsid w:val="0B198D88"/>
    <w:rsid w:val="0B3F5F6D"/>
    <w:rsid w:val="0B4264D8"/>
    <w:rsid w:val="0B43350D"/>
    <w:rsid w:val="0B4663E1"/>
    <w:rsid w:val="0B54986A"/>
    <w:rsid w:val="0B551094"/>
    <w:rsid w:val="0B6A8ABC"/>
    <w:rsid w:val="0B6C1341"/>
    <w:rsid w:val="0B7D0C65"/>
    <w:rsid w:val="0B863F55"/>
    <w:rsid w:val="0B86831A"/>
    <w:rsid w:val="0B994865"/>
    <w:rsid w:val="0BA656C3"/>
    <w:rsid w:val="0BAA93BC"/>
    <w:rsid w:val="0BB726A4"/>
    <w:rsid w:val="0BC066D8"/>
    <w:rsid w:val="0BC0B7E3"/>
    <w:rsid w:val="0BC852C6"/>
    <w:rsid w:val="0BCBB6FB"/>
    <w:rsid w:val="0BCDC224"/>
    <w:rsid w:val="0BCDD592"/>
    <w:rsid w:val="0BD0921F"/>
    <w:rsid w:val="0BE47381"/>
    <w:rsid w:val="0BE9C809"/>
    <w:rsid w:val="0BFC994F"/>
    <w:rsid w:val="0C1F9A22"/>
    <w:rsid w:val="0C22DA2E"/>
    <w:rsid w:val="0C290E20"/>
    <w:rsid w:val="0C2C8E19"/>
    <w:rsid w:val="0C3F0D43"/>
    <w:rsid w:val="0C4C0942"/>
    <w:rsid w:val="0C576915"/>
    <w:rsid w:val="0C5ABED4"/>
    <w:rsid w:val="0C5EC00A"/>
    <w:rsid w:val="0C60E530"/>
    <w:rsid w:val="0C61424C"/>
    <w:rsid w:val="0C6EEB26"/>
    <w:rsid w:val="0C777A45"/>
    <w:rsid w:val="0C8ABE23"/>
    <w:rsid w:val="0CA0C521"/>
    <w:rsid w:val="0CA367E7"/>
    <w:rsid w:val="0CC4C4F4"/>
    <w:rsid w:val="0CD472C1"/>
    <w:rsid w:val="0CD94AC5"/>
    <w:rsid w:val="0CE45966"/>
    <w:rsid w:val="0CE519BE"/>
    <w:rsid w:val="0CF3B683"/>
    <w:rsid w:val="0CF835EA"/>
    <w:rsid w:val="0D019E6F"/>
    <w:rsid w:val="0D077F61"/>
    <w:rsid w:val="0D0A5263"/>
    <w:rsid w:val="0D3E37B0"/>
    <w:rsid w:val="0D49192A"/>
    <w:rsid w:val="0D4AD1BA"/>
    <w:rsid w:val="0D4B0894"/>
    <w:rsid w:val="0D6B8EDD"/>
    <w:rsid w:val="0D7946F3"/>
    <w:rsid w:val="0D80BDE2"/>
    <w:rsid w:val="0D813C21"/>
    <w:rsid w:val="0D85294F"/>
    <w:rsid w:val="0D99B80C"/>
    <w:rsid w:val="0DA0F07B"/>
    <w:rsid w:val="0DA64D34"/>
    <w:rsid w:val="0DBF6408"/>
    <w:rsid w:val="0DCC9E06"/>
    <w:rsid w:val="0DD773F3"/>
    <w:rsid w:val="0DDD655D"/>
    <w:rsid w:val="0DE0376C"/>
    <w:rsid w:val="0E0F1F21"/>
    <w:rsid w:val="0E27901C"/>
    <w:rsid w:val="0E494D9C"/>
    <w:rsid w:val="0E4F3C6E"/>
    <w:rsid w:val="0E5FA839"/>
    <w:rsid w:val="0E69134A"/>
    <w:rsid w:val="0EBAAAF0"/>
    <w:rsid w:val="0EE26204"/>
    <w:rsid w:val="0EE28054"/>
    <w:rsid w:val="0EE4CED0"/>
    <w:rsid w:val="0EEA9F50"/>
    <w:rsid w:val="0EEC75A7"/>
    <w:rsid w:val="0EFF86E3"/>
    <w:rsid w:val="0F018F9A"/>
    <w:rsid w:val="0F106AE8"/>
    <w:rsid w:val="0F1FDCAD"/>
    <w:rsid w:val="0F25E6A9"/>
    <w:rsid w:val="0F287407"/>
    <w:rsid w:val="0F90FDC5"/>
    <w:rsid w:val="0FB8C4A2"/>
    <w:rsid w:val="0FBFD63F"/>
    <w:rsid w:val="0FC5F222"/>
    <w:rsid w:val="0FD6ACE7"/>
    <w:rsid w:val="1014B637"/>
    <w:rsid w:val="10444262"/>
    <w:rsid w:val="1048F763"/>
    <w:rsid w:val="104FC0BA"/>
    <w:rsid w:val="106C4C8D"/>
    <w:rsid w:val="1085C86B"/>
    <w:rsid w:val="108B189A"/>
    <w:rsid w:val="109B476D"/>
    <w:rsid w:val="10A67698"/>
    <w:rsid w:val="10BB3881"/>
    <w:rsid w:val="10CB1C99"/>
    <w:rsid w:val="10E95A83"/>
    <w:rsid w:val="111137D9"/>
    <w:rsid w:val="111D006B"/>
    <w:rsid w:val="11378142"/>
    <w:rsid w:val="1143D1AA"/>
    <w:rsid w:val="11594232"/>
    <w:rsid w:val="115CD698"/>
    <w:rsid w:val="1169DD6A"/>
    <w:rsid w:val="116EC4E0"/>
    <w:rsid w:val="118F5F80"/>
    <w:rsid w:val="11993C60"/>
    <w:rsid w:val="119C43A9"/>
    <w:rsid w:val="11AC4433"/>
    <w:rsid w:val="11B16712"/>
    <w:rsid w:val="11BEA1E6"/>
    <w:rsid w:val="11FA992E"/>
    <w:rsid w:val="12146B5F"/>
    <w:rsid w:val="126E739A"/>
    <w:rsid w:val="1274127A"/>
    <w:rsid w:val="127F48F6"/>
    <w:rsid w:val="12AF2DAC"/>
    <w:rsid w:val="12CDAE1A"/>
    <w:rsid w:val="12D544C9"/>
    <w:rsid w:val="12DC442B"/>
    <w:rsid w:val="12ED2547"/>
    <w:rsid w:val="12EDF454"/>
    <w:rsid w:val="13045B21"/>
    <w:rsid w:val="1315E0A2"/>
    <w:rsid w:val="1324B1DB"/>
    <w:rsid w:val="13267D5E"/>
    <w:rsid w:val="13312D7B"/>
    <w:rsid w:val="1332301B"/>
    <w:rsid w:val="13352AA9"/>
    <w:rsid w:val="133D2873"/>
    <w:rsid w:val="1340F4B7"/>
    <w:rsid w:val="13490D88"/>
    <w:rsid w:val="134B7360"/>
    <w:rsid w:val="134B94F6"/>
    <w:rsid w:val="13536797"/>
    <w:rsid w:val="136D7EE7"/>
    <w:rsid w:val="136F2891"/>
    <w:rsid w:val="13789ED3"/>
    <w:rsid w:val="1396A894"/>
    <w:rsid w:val="139BA647"/>
    <w:rsid w:val="13A82BEA"/>
    <w:rsid w:val="13A9360D"/>
    <w:rsid w:val="13CC2957"/>
    <w:rsid w:val="13CDCEF2"/>
    <w:rsid w:val="13D1F9EC"/>
    <w:rsid w:val="13D29ADD"/>
    <w:rsid w:val="13E21E60"/>
    <w:rsid w:val="13FD8AF9"/>
    <w:rsid w:val="141CA10F"/>
    <w:rsid w:val="1432134F"/>
    <w:rsid w:val="14368076"/>
    <w:rsid w:val="1459A7D2"/>
    <w:rsid w:val="145A7982"/>
    <w:rsid w:val="145DA8A4"/>
    <w:rsid w:val="14AF06C1"/>
    <w:rsid w:val="14E1A094"/>
    <w:rsid w:val="15260CE6"/>
    <w:rsid w:val="1549DD5C"/>
    <w:rsid w:val="1563A20E"/>
    <w:rsid w:val="157F27FB"/>
    <w:rsid w:val="15ADFF91"/>
    <w:rsid w:val="15BE50F4"/>
    <w:rsid w:val="15C14975"/>
    <w:rsid w:val="15C2AECD"/>
    <w:rsid w:val="15C7A047"/>
    <w:rsid w:val="15C7E163"/>
    <w:rsid w:val="15D224F5"/>
    <w:rsid w:val="15E63C53"/>
    <w:rsid w:val="15EC0303"/>
    <w:rsid w:val="15F0666B"/>
    <w:rsid w:val="15FB533C"/>
    <w:rsid w:val="160C72E7"/>
    <w:rsid w:val="1634C960"/>
    <w:rsid w:val="163DB338"/>
    <w:rsid w:val="16B7F1BF"/>
    <w:rsid w:val="16C2AED1"/>
    <w:rsid w:val="16CBB590"/>
    <w:rsid w:val="16CCE05A"/>
    <w:rsid w:val="16D8C687"/>
    <w:rsid w:val="16F88FAC"/>
    <w:rsid w:val="1702C9F3"/>
    <w:rsid w:val="17169080"/>
    <w:rsid w:val="17479A4A"/>
    <w:rsid w:val="174CD36E"/>
    <w:rsid w:val="175D994C"/>
    <w:rsid w:val="175DEEFB"/>
    <w:rsid w:val="178EF900"/>
    <w:rsid w:val="1791F57C"/>
    <w:rsid w:val="17C9DB29"/>
    <w:rsid w:val="17CC1F75"/>
    <w:rsid w:val="18485846"/>
    <w:rsid w:val="184DC0DC"/>
    <w:rsid w:val="1859ACBA"/>
    <w:rsid w:val="186962EB"/>
    <w:rsid w:val="186D7B51"/>
    <w:rsid w:val="18A4F69A"/>
    <w:rsid w:val="18A64F85"/>
    <w:rsid w:val="18AEEA3C"/>
    <w:rsid w:val="18B30828"/>
    <w:rsid w:val="18B733E0"/>
    <w:rsid w:val="18BC9502"/>
    <w:rsid w:val="18EEB342"/>
    <w:rsid w:val="18F9F3BA"/>
    <w:rsid w:val="1915C076"/>
    <w:rsid w:val="1917465E"/>
    <w:rsid w:val="1936CD76"/>
    <w:rsid w:val="19437699"/>
    <w:rsid w:val="1943B771"/>
    <w:rsid w:val="19488DDA"/>
    <w:rsid w:val="195B3BCE"/>
    <w:rsid w:val="196E0C51"/>
    <w:rsid w:val="196EB934"/>
    <w:rsid w:val="196EE54A"/>
    <w:rsid w:val="197CE0BF"/>
    <w:rsid w:val="19984F0C"/>
    <w:rsid w:val="19AA3BD2"/>
    <w:rsid w:val="19ECE6BD"/>
    <w:rsid w:val="19EDA664"/>
    <w:rsid w:val="1A47328A"/>
    <w:rsid w:val="1A4850E2"/>
    <w:rsid w:val="1A48DBE6"/>
    <w:rsid w:val="1A49153D"/>
    <w:rsid w:val="1A4B2F49"/>
    <w:rsid w:val="1A5C26B3"/>
    <w:rsid w:val="1A614F03"/>
    <w:rsid w:val="1A7EA804"/>
    <w:rsid w:val="1A82D279"/>
    <w:rsid w:val="1AA5F188"/>
    <w:rsid w:val="1AB2B795"/>
    <w:rsid w:val="1AB36AD6"/>
    <w:rsid w:val="1ADEF1A9"/>
    <w:rsid w:val="1AE41626"/>
    <w:rsid w:val="1AF4B884"/>
    <w:rsid w:val="1AF674E7"/>
    <w:rsid w:val="1B03F32F"/>
    <w:rsid w:val="1B05238A"/>
    <w:rsid w:val="1B07361F"/>
    <w:rsid w:val="1B0ACC93"/>
    <w:rsid w:val="1B12A4A0"/>
    <w:rsid w:val="1B3B0F01"/>
    <w:rsid w:val="1B606503"/>
    <w:rsid w:val="1B69BFF0"/>
    <w:rsid w:val="1B849675"/>
    <w:rsid w:val="1B87135C"/>
    <w:rsid w:val="1BAD6118"/>
    <w:rsid w:val="1BB39BA9"/>
    <w:rsid w:val="1BBBC925"/>
    <w:rsid w:val="1BD46FFF"/>
    <w:rsid w:val="1C095434"/>
    <w:rsid w:val="1C12E4B0"/>
    <w:rsid w:val="1C581121"/>
    <w:rsid w:val="1C5FE614"/>
    <w:rsid w:val="1C612935"/>
    <w:rsid w:val="1C837BDF"/>
    <w:rsid w:val="1C84EF71"/>
    <w:rsid w:val="1C89790B"/>
    <w:rsid w:val="1C8CDEDC"/>
    <w:rsid w:val="1CB8A1C2"/>
    <w:rsid w:val="1CC6CBE7"/>
    <w:rsid w:val="1CC978A8"/>
    <w:rsid w:val="1CCFEB23"/>
    <w:rsid w:val="1CD6E2BE"/>
    <w:rsid w:val="1CE1D513"/>
    <w:rsid w:val="1D0801DA"/>
    <w:rsid w:val="1D30B2AA"/>
    <w:rsid w:val="1D7C97C5"/>
    <w:rsid w:val="1D85844A"/>
    <w:rsid w:val="1D90BA32"/>
    <w:rsid w:val="1D99629F"/>
    <w:rsid w:val="1D9D435D"/>
    <w:rsid w:val="1DE7F5EE"/>
    <w:rsid w:val="1DEA65F8"/>
    <w:rsid w:val="1DEE9E67"/>
    <w:rsid w:val="1DF3108C"/>
    <w:rsid w:val="1DFB190D"/>
    <w:rsid w:val="1E078D1A"/>
    <w:rsid w:val="1E16B925"/>
    <w:rsid w:val="1E55F015"/>
    <w:rsid w:val="1E6FAD8F"/>
    <w:rsid w:val="1E79F429"/>
    <w:rsid w:val="1E81D010"/>
    <w:rsid w:val="1E827220"/>
    <w:rsid w:val="1E850E7A"/>
    <w:rsid w:val="1EA4B1D0"/>
    <w:rsid w:val="1EACD848"/>
    <w:rsid w:val="1EC943A3"/>
    <w:rsid w:val="1EE5E08D"/>
    <w:rsid w:val="1EEF5F42"/>
    <w:rsid w:val="1EFB26BC"/>
    <w:rsid w:val="1F14F882"/>
    <w:rsid w:val="1F442695"/>
    <w:rsid w:val="1F507B57"/>
    <w:rsid w:val="1F6F7589"/>
    <w:rsid w:val="1F8A0F88"/>
    <w:rsid w:val="1F8BD519"/>
    <w:rsid w:val="1F98BF52"/>
    <w:rsid w:val="1FAABC1B"/>
    <w:rsid w:val="1FC673C5"/>
    <w:rsid w:val="1FD5B558"/>
    <w:rsid w:val="20084F2A"/>
    <w:rsid w:val="200EC38A"/>
    <w:rsid w:val="20325D18"/>
    <w:rsid w:val="2049B372"/>
    <w:rsid w:val="204D5B8C"/>
    <w:rsid w:val="204EECD2"/>
    <w:rsid w:val="2054CB22"/>
    <w:rsid w:val="208F05E1"/>
    <w:rsid w:val="208F2F31"/>
    <w:rsid w:val="20A4AF18"/>
    <w:rsid w:val="20AF91FD"/>
    <w:rsid w:val="20D92A3F"/>
    <w:rsid w:val="2112ADDD"/>
    <w:rsid w:val="21281F05"/>
    <w:rsid w:val="212B7578"/>
    <w:rsid w:val="212D9E8D"/>
    <w:rsid w:val="212E8111"/>
    <w:rsid w:val="213F1742"/>
    <w:rsid w:val="214C682A"/>
    <w:rsid w:val="216210FC"/>
    <w:rsid w:val="2165731B"/>
    <w:rsid w:val="2166BDC5"/>
    <w:rsid w:val="2170A188"/>
    <w:rsid w:val="21717ED8"/>
    <w:rsid w:val="217E6F7C"/>
    <w:rsid w:val="218374D1"/>
    <w:rsid w:val="218FA950"/>
    <w:rsid w:val="21A890CE"/>
    <w:rsid w:val="21AF834C"/>
    <w:rsid w:val="21DF4D6D"/>
    <w:rsid w:val="21E07170"/>
    <w:rsid w:val="21FF82FE"/>
    <w:rsid w:val="220B3594"/>
    <w:rsid w:val="221C0DF7"/>
    <w:rsid w:val="2225A152"/>
    <w:rsid w:val="227200E7"/>
    <w:rsid w:val="22A914F2"/>
    <w:rsid w:val="22A9AA18"/>
    <w:rsid w:val="22D1E565"/>
    <w:rsid w:val="22E586D9"/>
    <w:rsid w:val="22EE3D7F"/>
    <w:rsid w:val="2309BF8A"/>
    <w:rsid w:val="230D878E"/>
    <w:rsid w:val="230FBA73"/>
    <w:rsid w:val="2315E848"/>
    <w:rsid w:val="231BEF72"/>
    <w:rsid w:val="2332CCD6"/>
    <w:rsid w:val="233C9096"/>
    <w:rsid w:val="235A5800"/>
    <w:rsid w:val="23657EB2"/>
    <w:rsid w:val="2377E53A"/>
    <w:rsid w:val="23793EBA"/>
    <w:rsid w:val="237F4E99"/>
    <w:rsid w:val="238778E8"/>
    <w:rsid w:val="23890BA8"/>
    <w:rsid w:val="238C9BCD"/>
    <w:rsid w:val="23A34FA3"/>
    <w:rsid w:val="23ADF125"/>
    <w:rsid w:val="23CE4DFA"/>
    <w:rsid w:val="23D8C43F"/>
    <w:rsid w:val="23DB4CE2"/>
    <w:rsid w:val="23E43E1C"/>
    <w:rsid w:val="23F9D012"/>
    <w:rsid w:val="24232C14"/>
    <w:rsid w:val="2427DEE4"/>
    <w:rsid w:val="2483FB1C"/>
    <w:rsid w:val="24B9199D"/>
    <w:rsid w:val="24B9247D"/>
    <w:rsid w:val="24CB4B6D"/>
    <w:rsid w:val="24EB8A47"/>
    <w:rsid w:val="2509F000"/>
    <w:rsid w:val="250A61FB"/>
    <w:rsid w:val="2512B9BA"/>
    <w:rsid w:val="25149554"/>
    <w:rsid w:val="25214F17"/>
    <w:rsid w:val="252DAFDF"/>
    <w:rsid w:val="2532A717"/>
    <w:rsid w:val="2566754F"/>
    <w:rsid w:val="2572C30A"/>
    <w:rsid w:val="258855D7"/>
    <w:rsid w:val="259913A5"/>
    <w:rsid w:val="25994664"/>
    <w:rsid w:val="25A729EF"/>
    <w:rsid w:val="25AB61EF"/>
    <w:rsid w:val="25B042F5"/>
    <w:rsid w:val="25BF6C25"/>
    <w:rsid w:val="25D49B7C"/>
    <w:rsid w:val="25DEEA93"/>
    <w:rsid w:val="25FBA532"/>
    <w:rsid w:val="25FE20D8"/>
    <w:rsid w:val="2630F6CD"/>
    <w:rsid w:val="2643D4BD"/>
    <w:rsid w:val="2645435F"/>
    <w:rsid w:val="26641E9D"/>
    <w:rsid w:val="268F468B"/>
    <w:rsid w:val="26A8B061"/>
    <w:rsid w:val="26B11DF1"/>
    <w:rsid w:val="26B7A00E"/>
    <w:rsid w:val="26C2E333"/>
    <w:rsid w:val="26E7CD24"/>
    <w:rsid w:val="26EDB4A9"/>
    <w:rsid w:val="26EF0D49"/>
    <w:rsid w:val="26F4AF63"/>
    <w:rsid w:val="26F5EC92"/>
    <w:rsid w:val="272BB1FB"/>
    <w:rsid w:val="2737A9E3"/>
    <w:rsid w:val="273B39CC"/>
    <w:rsid w:val="273CCE94"/>
    <w:rsid w:val="27422F65"/>
    <w:rsid w:val="274DE30B"/>
    <w:rsid w:val="274F059C"/>
    <w:rsid w:val="275EE865"/>
    <w:rsid w:val="277140A4"/>
    <w:rsid w:val="278929FF"/>
    <w:rsid w:val="2793AC23"/>
    <w:rsid w:val="27972D8F"/>
    <w:rsid w:val="27A11BD8"/>
    <w:rsid w:val="27A21A3B"/>
    <w:rsid w:val="27A8FF41"/>
    <w:rsid w:val="27B3F808"/>
    <w:rsid w:val="27BDC14D"/>
    <w:rsid w:val="27F0434E"/>
    <w:rsid w:val="27F5DFCB"/>
    <w:rsid w:val="28080F7E"/>
    <w:rsid w:val="2810683F"/>
    <w:rsid w:val="281EE825"/>
    <w:rsid w:val="283A4D83"/>
    <w:rsid w:val="284E7B8D"/>
    <w:rsid w:val="2850D649"/>
    <w:rsid w:val="28658815"/>
    <w:rsid w:val="289628F2"/>
    <w:rsid w:val="2897370F"/>
    <w:rsid w:val="28A99230"/>
    <w:rsid w:val="28AD12D0"/>
    <w:rsid w:val="28C8790D"/>
    <w:rsid w:val="28CEBBAD"/>
    <w:rsid w:val="28D53264"/>
    <w:rsid w:val="28D8D0CB"/>
    <w:rsid w:val="2918C40A"/>
    <w:rsid w:val="29377295"/>
    <w:rsid w:val="294B6338"/>
    <w:rsid w:val="2967109D"/>
    <w:rsid w:val="29690E99"/>
    <w:rsid w:val="2976B5E4"/>
    <w:rsid w:val="297947DD"/>
    <w:rsid w:val="29871B49"/>
    <w:rsid w:val="29B9C73B"/>
    <w:rsid w:val="29E62E16"/>
    <w:rsid w:val="29EC1E89"/>
    <w:rsid w:val="2A0590B7"/>
    <w:rsid w:val="2A0DC638"/>
    <w:rsid w:val="2A386CE6"/>
    <w:rsid w:val="2A3BB240"/>
    <w:rsid w:val="2A49C240"/>
    <w:rsid w:val="2A60ECC1"/>
    <w:rsid w:val="2A620BBF"/>
    <w:rsid w:val="2A7EFBB5"/>
    <w:rsid w:val="2A974DA8"/>
    <w:rsid w:val="2A9FFBC1"/>
    <w:rsid w:val="2AA51EFF"/>
    <w:rsid w:val="2AB81F4C"/>
    <w:rsid w:val="2AD120E5"/>
    <w:rsid w:val="2B05014C"/>
    <w:rsid w:val="2B0812C9"/>
    <w:rsid w:val="2B3D4061"/>
    <w:rsid w:val="2B46C4A0"/>
    <w:rsid w:val="2B49E881"/>
    <w:rsid w:val="2B537737"/>
    <w:rsid w:val="2B5E8A25"/>
    <w:rsid w:val="2B7BCA1C"/>
    <w:rsid w:val="2B7EACD7"/>
    <w:rsid w:val="2B82AA62"/>
    <w:rsid w:val="2B883F6C"/>
    <w:rsid w:val="2B907D03"/>
    <w:rsid w:val="2BA89484"/>
    <w:rsid w:val="2BA93217"/>
    <w:rsid w:val="2BC7FB83"/>
    <w:rsid w:val="2BE7CB4E"/>
    <w:rsid w:val="2BEED28B"/>
    <w:rsid w:val="2C120000"/>
    <w:rsid w:val="2C25210E"/>
    <w:rsid w:val="2C3F154F"/>
    <w:rsid w:val="2C699A79"/>
    <w:rsid w:val="2C713F8E"/>
    <w:rsid w:val="2C829AA2"/>
    <w:rsid w:val="2C8FFBD4"/>
    <w:rsid w:val="2C91D81E"/>
    <w:rsid w:val="2C92B2B5"/>
    <w:rsid w:val="2C961817"/>
    <w:rsid w:val="2C9F1198"/>
    <w:rsid w:val="2CBF1460"/>
    <w:rsid w:val="2D1A4A4D"/>
    <w:rsid w:val="2D233D00"/>
    <w:rsid w:val="2D285391"/>
    <w:rsid w:val="2D3BA51A"/>
    <w:rsid w:val="2D9634BD"/>
    <w:rsid w:val="2D9EB345"/>
    <w:rsid w:val="2DC1999A"/>
    <w:rsid w:val="2DD4A936"/>
    <w:rsid w:val="2DDA7A47"/>
    <w:rsid w:val="2DE87DB7"/>
    <w:rsid w:val="2E03BDD3"/>
    <w:rsid w:val="2E14A25A"/>
    <w:rsid w:val="2E2064DF"/>
    <w:rsid w:val="2E32D9D2"/>
    <w:rsid w:val="2E741C2F"/>
    <w:rsid w:val="2E7A4CEB"/>
    <w:rsid w:val="2E7AE8A4"/>
    <w:rsid w:val="2E8512A3"/>
    <w:rsid w:val="2E9DA5A0"/>
    <w:rsid w:val="2EA349D5"/>
    <w:rsid w:val="2EB5718F"/>
    <w:rsid w:val="2EB9F8DA"/>
    <w:rsid w:val="2EE92609"/>
    <w:rsid w:val="2EE92AC6"/>
    <w:rsid w:val="2EF8A77D"/>
    <w:rsid w:val="2F0400C5"/>
    <w:rsid w:val="2F1C5F14"/>
    <w:rsid w:val="2F260DCE"/>
    <w:rsid w:val="2F38A3F4"/>
    <w:rsid w:val="2F455CD5"/>
    <w:rsid w:val="2F4B3F21"/>
    <w:rsid w:val="2F52AB9A"/>
    <w:rsid w:val="2F69EEF7"/>
    <w:rsid w:val="2F95B231"/>
    <w:rsid w:val="2FA21FA3"/>
    <w:rsid w:val="2FAB331B"/>
    <w:rsid w:val="2FB08BB0"/>
    <w:rsid w:val="2FBDB178"/>
    <w:rsid w:val="2FD67889"/>
    <w:rsid w:val="2FD91E7C"/>
    <w:rsid w:val="30161AC8"/>
    <w:rsid w:val="3033F75F"/>
    <w:rsid w:val="3037AF42"/>
    <w:rsid w:val="303F1CD6"/>
    <w:rsid w:val="304D2CA5"/>
    <w:rsid w:val="304EE3DC"/>
    <w:rsid w:val="3062B3D2"/>
    <w:rsid w:val="30673E3D"/>
    <w:rsid w:val="306D01E5"/>
    <w:rsid w:val="3070AEC1"/>
    <w:rsid w:val="307A3495"/>
    <w:rsid w:val="30820FC2"/>
    <w:rsid w:val="3083DA2E"/>
    <w:rsid w:val="309D5D6D"/>
    <w:rsid w:val="30A24232"/>
    <w:rsid w:val="30A91DD8"/>
    <w:rsid w:val="30B42EE3"/>
    <w:rsid w:val="30BBC084"/>
    <w:rsid w:val="30BCE650"/>
    <w:rsid w:val="30C927B3"/>
    <w:rsid w:val="30D348A5"/>
    <w:rsid w:val="30F1988C"/>
    <w:rsid w:val="30F6E7BB"/>
    <w:rsid w:val="3117A65E"/>
    <w:rsid w:val="3169F07D"/>
    <w:rsid w:val="316FF50F"/>
    <w:rsid w:val="317168E8"/>
    <w:rsid w:val="3188CBEE"/>
    <w:rsid w:val="318F89D1"/>
    <w:rsid w:val="319984D5"/>
    <w:rsid w:val="31A05089"/>
    <w:rsid w:val="31A485E2"/>
    <w:rsid w:val="31BE9262"/>
    <w:rsid w:val="31C23A0D"/>
    <w:rsid w:val="31CE1EDC"/>
    <w:rsid w:val="31F66E5E"/>
    <w:rsid w:val="32029DBF"/>
    <w:rsid w:val="3203288C"/>
    <w:rsid w:val="32079A18"/>
    <w:rsid w:val="32207107"/>
    <w:rsid w:val="322A8466"/>
    <w:rsid w:val="324438B8"/>
    <w:rsid w:val="3277099E"/>
    <w:rsid w:val="32811379"/>
    <w:rsid w:val="328FD38D"/>
    <w:rsid w:val="32C0C8B6"/>
    <w:rsid w:val="32C70E81"/>
    <w:rsid w:val="32D7A81B"/>
    <w:rsid w:val="32E07AAB"/>
    <w:rsid w:val="32FA03A7"/>
    <w:rsid w:val="3300012A"/>
    <w:rsid w:val="3303B5BC"/>
    <w:rsid w:val="3305A569"/>
    <w:rsid w:val="331202DD"/>
    <w:rsid w:val="33161722"/>
    <w:rsid w:val="331D91E5"/>
    <w:rsid w:val="33307CD2"/>
    <w:rsid w:val="33339143"/>
    <w:rsid w:val="333F3FBD"/>
    <w:rsid w:val="33486CE7"/>
    <w:rsid w:val="334F810C"/>
    <w:rsid w:val="3386A118"/>
    <w:rsid w:val="33A52C82"/>
    <w:rsid w:val="33D8D96F"/>
    <w:rsid w:val="33D94801"/>
    <w:rsid w:val="33E1F33D"/>
    <w:rsid w:val="340A75BC"/>
    <w:rsid w:val="34156B7A"/>
    <w:rsid w:val="341D443F"/>
    <w:rsid w:val="342BFE9A"/>
    <w:rsid w:val="34468F64"/>
    <w:rsid w:val="3451A87E"/>
    <w:rsid w:val="34655927"/>
    <w:rsid w:val="346C4A4B"/>
    <w:rsid w:val="348636D3"/>
    <w:rsid w:val="34930A92"/>
    <w:rsid w:val="34BC53B3"/>
    <w:rsid w:val="34C2839C"/>
    <w:rsid w:val="34DB033A"/>
    <w:rsid w:val="34E0B0B1"/>
    <w:rsid w:val="34FD0983"/>
    <w:rsid w:val="35016E7D"/>
    <w:rsid w:val="350762CC"/>
    <w:rsid w:val="35083ED4"/>
    <w:rsid w:val="35095557"/>
    <w:rsid w:val="35225F51"/>
    <w:rsid w:val="35438478"/>
    <w:rsid w:val="357DBA76"/>
    <w:rsid w:val="35806505"/>
    <w:rsid w:val="3585D30D"/>
    <w:rsid w:val="358AF0E4"/>
    <w:rsid w:val="358BA183"/>
    <w:rsid w:val="359D76FB"/>
    <w:rsid w:val="35B181F2"/>
    <w:rsid w:val="35F61BEC"/>
    <w:rsid w:val="3601BF17"/>
    <w:rsid w:val="360F5DFA"/>
    <w:rsid w:val="3626999D"/>
    <w:rsid w:val="3640B716"/>
    <w:rsid w:val="3640FF9C"/>
    <w:rsid w:val="36527A4F"/>
    <w:rsid w:val="36764211"/>
    <w:rsid w:val="3679182C"/>
    <w:rsid w:val="3695D01D"/>
    <w:rsid w:val="36DD7DE8"/>
    <w:rsid w:val="36E3720E"/>
    <w:rsid w:val="36F27CA0"/>
    <w:rsid w:val="36FF9B06"/>
    <w:rsid w:val="3726BFC2"/>
    <w:rsid w:val="37691EC2"/>
    <w:rsid w:val="377A7F67"/>
    <w:rsid w:val="3782B5AF"/>
    <w:rsid w:val="37A0A223"/>
    <w:rsid w:val="37A7A6E3"/>
    <w:rsid w:val="37CDF841"/>
    <w:rsid w:val="37E113CC"/>
    <w:rsid w:val="37F5EF9A"/>
    <w:rsid w:val="37FCE58F"/>
    <w:rsid w:val="382FA014"/>
    <w:rsid w:val="383BA744"/>
    <w:rsid w:val="3843EB60"/>
    <w:rsid w:val="3844084A"/>
    <w:rsid w:val="3852BB0F"/>
    <w:rsid w:val="386942B7"/>
    <w:rsid w:val="386FEA3F"/>
    <w:rsid w:val="387E5F16"/>
    <w:rsid w:val="3880CB60"/>
    <w:rsid w:val="388F15FD"/>
    <w:rsid w:val="38975C08"/>
    <w:rsid w:val="38A0F57A"/>
    <w:rsid w:val="38A8FEF0"/>
    <w:rsid w:val="38B533CD"/>
    <w:rsid w:val="38BF7F9F"/>
    <w:rsid w:val="38D365B1"/>
    <w:rsid w:val="38DE83DF"/>
    <w:rsid w:val="38EEE34E"/>
    <w:rsid w:val="38FBAFFB"/>
    <w:rsid w:val="38FCBE4F"/>
    <w:rsid w:val="3928E83F"/>
    <w:rsid w:val="3940D8DD"/>
    <w:rsid w:val="394CD05F"/>
    <w:rsid w:val="394DB126"/>
    <w:rsid w:val="3950DD67"/>
    <w:rsid w:val="39628DF1"/>
    <w:rsid w:val="39974767"/>
    <w:rsid w:val="399D615F"/>
    <w:rsid w:val="39A52425"/>
    <w:rsid w:val="39B3701A"/>
    <w:rsid w:val="39B37F0E"/>
    <w:rsid w:val="39C97C1B"/>
    <w:rsid w:val="39DFA8EE"/>
    <w:rsid w:val="39FA3F52"/>
    <w:rsid w:val="3A15FDB7"/>
    <w:rsid w:val="3A2709AA"/>
    <w:rsid w:val="3A294538"/>
    <w:rsid w:val="3A380FBF"/>
    <w:rsid w:val="3A3A70E0"/>
    <w:rsid w:val="3A4D9C2B"/>
    <w:rsid w:val="3A51E220"/>
    <w:rsid w:val="3A6B9C7D"/>
    <w:rsid w:val="3A831D29"/>
    <w:rsid w:val="3A8FAA77"/>
    <w:rsid w:val="3AA3BF43"/>
    <w:rsid w:val="3AB79D7B"/>
    <w:rsid w:val="3AD2CED3"/>
    <w:rsid w:val="3AD8D7D2"/>
    <w:rsid w:val="3AE0E60C"/>
    <w:rsid w:val="3AE95D39"/>
    <w:rsid w:val="3AF60320"/>
    <w:rsid w:val="3B0DA97A"/>
    <w:rsid w:val="3B2A1B04"/>
    <w:rsid w:val="3B2B231B"/>
    <w:rsid w:val="3B32ED83"/>
    <w:rsid w:val="3B58A126"/>
    <w:rsid w:val="3B6774DA"/>
    <w:rsid w:val="3B787647"/>
    <w:rsid w:val="3B9F6205"/>
    <w:rsid w:val="3BDED967"/>
    <w:rsid w:val="3BE0BCD7"/>
    <w:rsid w:val="3C15282E"/>
    <w:rsid w:val="3C211A68"/>
    <w:rsid w:val="3C24BB44"/>
    <w:rsid w:val="3C4A6EB6"/>
    <w:rsid w:val="3C4DC21D"/>
    <w:rsid w:val="3C6CCEB0"/>
    <w:rsid w:val="3C820187"/>
    <w:rsid w:val="3C8C7078"/>
    <w:rsid w:val="3CA30E21"/>
    <w:rsid w:val="3CA63631"/>
    <w:rsid w:val="3CAA19AF"/>
    <w:rsid w:val="3CB0E2F6"/>
    <w:rsid w:val="3CC682F5"/>
    <w:rsid w:val="3CDDA206"/>
    <w:rsid w:val="3CE1AF56"/>
    <w:rsid w:val="3D020E51"/>
    <w:rsid w:val="3D28C42F"/>
    <w:rsid w:val="3D457DCA"/>
    <w:rsid w:val="3D45DD4E"/>
    <w:rsid w:val="3D4F7575"/>
    <w:rsid w:val="3D6DA165"/>
    <w:rsid w:val="3D94AAAF"/>
    <w:rsid w:val="3D9A65B6"/>
    <w:rsid w:val="3DC3206F"/>
    <w:rsid w:val="3DCF4D64"/>
    <w:rsid w:val="3DDB2877"/>
    <w:rsid w:val="3DDB88D7"/>
    <w:rsid w:val="3E0103D6"/>
    <w:rsid w:val="3E077347"/>
    <w:rsid w:val="3E156418"/>
    <w:rsid w:val="3E16D55F"/>
    <w:rsid w:val="3E23C18B"/>
    <w:rsid w:val="3E240ED6"/>
    <w:rsid w:val="3E2C2EF3"/>
    <w:rsid w:val="3E30D37F"/>
    <w:rsid w:val="3E4929D7"/>
    <w:rsid w:val="3E53BAED"/>
    <w:rsid w:val="3E5B948C"/>
    <w:rsid w:val="3E5FCF24"/>
    <w:rsid w:val="3E655B4D"/>
    <w:rsid w:val="3E68EA6F"/>
    <w:rsid w:val="3E760894"/>
    <w:rsid w:val="3E8E8885"/>
    <w:rsid w:val="3EBB46B8"/>
    <w:rsid w:val="3EC0EA3C"/>
    <w:rsid w:val="3EEFA15B"/>
    <w:rsid w:val="3EF376D5"/>
    <w:rsid w:val="3F1064BE"/>
    <w:rsid w:val="3F303C0C"/>
    <w:rsid w:val="3F588322"/>
    <w:rsid w:val="3F613228"/>
    <w:rsid w:val="3F7FB083"/>
    <w:rsid w:val="3F89CFF2"/>
    <w:rsid w:val="3F89E8FF"/>
    <w:rsid w:val="3FAE60C4"/>
    <w:rsid w:val="3FCC1644"/>
    <w:rsid w:val="3FD0FBD0"/>
    <w:rsid w:val="3FDF4695"/>
    <w:rsid w:val="3FF29EA0"/>
    <w:rsid w:val="4011B01F"/>
    <w:rsid w:val="4023EF46"/>
    <w:rsid w:val="402DC1E9"/>
    <w:rsid w:val="4034067C"/>
    <w:rsid w:val="40539EC6"/>
    <w:rsid w:val="40715826"/>
    <w:rsid w:val="407F4B65"/>
    <w:rsid w:val="407FB7DC"/>
    <w:rsid w:val="4082BF53"/>
    <w:rsid w:val="40871D1B"/>
    <w:rsid w:val="40933F42"/>
    <w:rsid w:val="40A87596"/>
    <w:rsid w:val="40B6AA2E"/>
    <w:rsid w:val="40C7D3AF"/>
    <w:rsid w:val="40C98CDE"/>
    <w:rsid w:val="40CF4E18"/>
    <w:rsid w:val="40D92147"/>
    <w:rsid w:val="40E16A45"/>
    <w:rsid w:val="4103D440"/>
    <w:rsid w:val="41225E88"/>
    <w:rsid w:val="4133C7FF"/>
    <w:rsid w:val="415EB52F"/>
    <w:rsid w:val="418DEB40"/>
    <w:rsid w:val="4197EDFF"/>
    <w:rsid w:val="419C3700"/>
    <w:rsid w:val="41A65BF3"/>
    <w:rsid w:val="41AF013A"/>
    <w:rsid w:val="41BE1C57"/>
    <w:rsid w:val="41C34573"/>
    <w:rsid w:val="41C3A8F4"/>
    <w:rsid w:val="41DFE813"/>
    <w:rsid w:val="41E09097"/>
    <w:rsid w:val="41FE02CF"/>
    <w:rsid w:val="420A7079"/>
    <w:rsid w:val="422A9264"/>
    <w:rsid w:val="42380A42"/>
    <w:rsid w:val="4261E70C"/>
    <w:rsid w:val="42648EB7"/>
    <w:rsid w:val="42746B0D"/>
    <w:rsid w:val="4275C3BC"/>
    <w:rsid w:val="4276F823"/>
    <w:rsid w:val="427EFAC4"/>
    <w:rsid w:val="428967EB"/>
    <w:rsid w:val="42B7DF13"/>
    <w:rsid w:val="42CD5C11"/>
    <w:rsid w:val="42F1572D"/>
    <w:rsid w:val="42FEAE12"/>
    <w:rsid w:val="4300A96F"/>
    <w:rsid w:val="430E0C1D"/>
    <w:rsid w:val="430EE814"/>
    <w:rsid w:val="431BCAC9"/>
    <w:rsid w:val="431F55C8"/>
    <w:rsid w:val="433C5127"/>
    <w:rsid w:val="433ED391"/>
    <w:rsid w:val="43424F8D"/>
    <w:rsid w:val="43458F1A"/>
    <w:rsid w:val="4378B946"/>
    <w:rsid w:val="437B4116"/>
    <w:rsid w:val="438BA4BF"/>
    <w:rsid w:val="4397DFBD"/>
    <w:rsid w:val="439F9B12"/>
    <w:rsid w:val="43A112BA"/>
    <w:rsid w:val="43AF79C4"/>
    <w:rsid w:val="43B14FB4"/>
    <w:rsid w:val="43C2B14F"/>
    <w:rsid w:val="43C41875"/>
    <w:rsid w:val="43C6E470"/>
    <w:rsid w:val="43DF5155"/>
    <w:rsid w:val="443CE537"/>
    <w:rsid w:val="44402B7E"/>
    <w:rsid w:val="44539E1A"/>
    <w:rsid w:val="445FE38F"/>
    <w:rsid w:val="44932449"/>
    <w:rsid w:val="449AE4A7"/>
    <w:rsid w:val="44A336E1"/>
    <w:rsid w:val="44A8D4FA"/>
    <w:rsid w:val="44CC367E"/>
    <w:rsid w:val="44CE29E7"/>
    <w:rsid w:val="44D1BFCD"/>
    <w:rsid w:val="44EE2F86"/>
    <w:rsid w:val="4505D4CA"/>
    <w:rsid w:val="4509DA26"/>
    <w:rsid w:val="450E5CF0"/>
    <w:rsid w:val="45229071"/>
    <w:rsid w:val="452BF4F0"/>
    <w:rsid w:val="45518F48"/>
    <w:rsid w:val="45639C47"/>
    <w:rsid w:val="457E436F"/>
    <w:rsid w:val="458602FC"/>
    <w:rsid w:val="45BB8FF5"/>
    <w:rsid w:val="45C14AB5"/>
    <w:rsid w:val="45C22DCB"/>
    <w:rsid w:val="45D37981"/>
    <w:rsid w:val="46026C38"/>
    <w:rsid w:val="4610EBB0"/>
    <w:rsid w:val="46187DD7"/>
    <w:rsid w:val="46334A12"/>
    <w:rsid w:val="463C4472"/>
    <w:rsid w:val="4642B77D"/>
    <w:rsid w:val="467D5E52"/>
    <w:rsid w:val="4696A9B5"/>
    <w:rsid w:val="46A74DC5"/>
    <w:rsid w:val="46AF65A5"/>
    <w:rsid w:val="46B38737"/>
    <w:rsid w:val="46BAF4CB"/>
    <w:rsid w:val="46BFB876"/>
    <w:rsid w:val="46DC228A"/>
    <w:rsid w:val="46EAB453"/>
    <w:rsid w:val="46F2C19F"/>
    <w:rsid w:val="471CCE3C"/>
    <w:rsid w:val="473D043F"/>
    <w:rsid w:val="474F4C97"/>
    <w:rsid w:val="475AE135"/>
    <w:rsid w:val="476AB39E"/>
    <w:rsid w:val="477BBE29"/>
    <w:rsid w:val="477E333E"/>
    <w:rsid w:val="4780FB01"/>
    <w:rsid w:val="4789CCCD"/>
    <w:rsid w:val="479FC81A"/>
    <w:rsid w:val="47B0254B"/>
    <w:rsid w:val="47B7E311"/>
    <w:rsid w:val="47DC188B"/>
    <w:rsid w:val="47E99F3E"/>
    <w:rsid w:val="47EAF489"/>
    <w:rsid w:val="47F16E02"/>
    <w:rsid w:val="47F756EF"/>
    <w:rsid w:val="481A325E"/>
    <w:rsid w:val="48315660"/>
    <w:rsid w:val="483AACBF"/>
    <w:rsid w:val="4860CAE4"/>
    <w:rsid w:val="48632EA5"/>
    <w:rsid w:val="4863E1E8"/>
    <w:rsid w:val="486826D1"/>
    <w:rsid w:val="48709A13"/>
    <w:rsid w:val="48872A52"/>
    <w:rsid w:val="48900B01"/>
    <w:rsid w:val="4898C3B9"/>
    <w:rsid w:val="489A9456"/>
    <w:rsid w:val="48AD2E4C"/>
    <w:rsid w:val="48B28251"/>
    <w:rsid w:val="48B5F867"/>
    <w:rsid w:val="48D5BA00"/>
    <w:rsid w:val="48D92BD1"/>
    <w:rsid w:val="48DB41BA"/>
    <w:rsid w:val="48DF011B"/>
    <w:rsid w:val="48E06B93"/>
    <w:rsid w:val="48F47A22"/>
    <w:rsid w:val="490A79F9"/>
    <w:rsid w:val="492DDAE6"/>
    <w:rsid w:val="493E9989"/>
    <w:rsid w:val="494661F5"/>
    <w:rsid w:val="495533FE"/>
    <w:rsid w:val="49569868"/>
    <w:rsid w:val="4993B780"/>
    <w:rsid w:val="49942FFB"/>
    <w:rsid w:val="49955689"/>
    <w:rsid w:val="49A551A0"/>
    <w:rsid w:val="49A7D5B2"/>
    <w:rsid w:val="49BF3304"/>
    <w:rsid w:val="49C9961D"/>
    <w:rsid w:val="49D31BA6"/>
    <w:rsid w:val="49DFFA14"/>
    <w:rsid w:val="4A1939C8"/>
    <w:rsid w:val="4A2462C8"/>
    <w:rsid w:val="4A31CB88"/>
    <w:rsid w:val="4A329924"/>
    <w:rsid w:val="4A3F9B2F"/>
    <w:rsid w:val="4A72E049"/>
    <w:rsid w:val="4AA4A48F"/>
    <w:rsid w:val="4AAA13AB"/>
    <w:rsid w:val="4AC3654E"/>
    <w:rsid w:val="4AC3DDD6"/>
    <w:rsid w:val="4AD52602"/>
    <w:rsid w:val="4AF2E96A"/>
    <w:rsid w:val="4AFF18E8"/>
    <w:rsid w:val="4B196CDC"/>
    <w:rsid w:val="4B51F07B"/>
    <w:rsid w:val="4B67C98F"/>
    <w:rsid w:val="4B76E81D"/>
    <w:rsid w:val="4B7FFE67"/>
    <w:rsid w:val="4B97908C"/>
    <w:rsid w:val="4BC1427D"/>
    <w:rsid w:val="4BCDA49F"/>
    <w:rsid w:val="4C267556"/>
    <w:rsid w:val="4C42C09F"/>
    <w:rsid w:val="4C45ACEE"/>
    <w:rsid w:val="4C4E71CA"/>
    <w:rsid w:val="4C640798"/>
    <w:rsid w:val="4C85DA2A"/>
    <w:rsid w:val="4C908751"/>
    <w:rsid w:val="4C9A5CA4"/>
    <w:rsid w:val="4C9EA4BC"/>
    <w:rsid w:val="4CADCCDD"/>
    <w:rsid w:val="4CB5A9D9"/>
    <w:rsid w:val="4CC9E457"/>
    <w:rsid w:val="4CDA06C2"/>
    <w:rsid w:val="4CF0B9A8"/>
    <w:rsid w:val="4CF1E917"/>
    <w:rsid w:val="4D09EF03"/>
    <w:rsid w:val="4D1C3C7D"/>
    <w:rsid w:val="4D3044D4"/>
    <w:rsid w:val="4D357993"/>
    <w:rsid w:val="4D397B11"/>
    <w:rsid w:val="4D496A12"/>
    <w:rsid w:val="4D4C6B98"/>
    <w:rsid w:val="4D52A53A"/>
    <w:rsid w:val="4D56E41E"/>
    <w:rsid w:val="4D636931"/>
    <w:rsid w:val="4D733C44"/>
    <w:rsid w:val="4D993AF4"/>
    <w:rsid w:val="4D9F4AD8"/>
    <w:rsid w:val="4DA1C5DB"/>
    <w:rsid w:val="4DA279AE"/>
    <w:rsid w:val="4DB12D5C"/>
    <w:rsid w:val="4DB34A0D"/>
    <w:rsid w:val="4DC8DCFF"/>
    <w:rsid w:val="4DCBBA0E"/>
    <w:rsid w:val="4DCE7A89"/>
    <w:rsid w:val="4DE7F5CB"/>
    <w:rsid w:val="4DEF69EC"/>
    <w:rsid w:val="4E5CE1DC"/>
    <w:rsid w:val="4E606CB7"/>
    <w:rsid w:val="4E6CDC77"/>
    <w:rsid w:val="4E72DFFD"/>
    <w:rsid w:val="4E996B0E"/>
    <w:rsid w:val="4EA0AD5F"/>
    <w:rsid w:val="4EA3D207"/>
    <w:rsid w:val="4F0D2CF0"/>
    <w:rsid w:val="4F12419F"/>
    <w:rsid w:val="4F248963"/>
    <w:rsid w:val="4F29354E"/>
    <w:rsid w:val="4F293BB8"/>
    <w:rsid w:val="4F547B0F"/>
    <w:rsid w:val="4F5BE78F"/>
    <w:rsid w:val="4FAB46A4"/>
    <w:rsid w:val="4FD525BB"/>
    <w:rsid w:val="4FD7C8A1"/>
    <w:rsid w:val="4FE6BCBB"/>
    <w:rsid w:val="4FFF482C"/>
    <w:rsid w:val="5018EE5F"/>
    <w:rsid w:val="50434174"/>
    <w:rsid w:val="506F3A07"/>
    <w:rsid w:val="5074A2C7"/>
    <w:rsid w:val="50C90EA2"/>
    <w:rsid w:val="50D5832D"/>
    <w:rsid w:val="50DE6637"/>
    <w:rsid w:val="50E41381"/>
    <w:rsid w:val="50F7EB1B"/>
    <w:rsid w:val="51145422"/>
    <w:rsid w:val="511C7381"/>
    <w:rsid w:val="513C6EDF"/>
    <w:rsid w:val="514DF85F"/>
    <w:rsid w:val="5174EE7D"/>
    <w:rsid w:val="5188183E"/>
    <w:rsid w:val="5192E812"/>
    <w:rsid w:val="5195B862"/>
    <w:rsid w:val="51D24B5C"/>
    <w:rsid w:val="51F08FB3"/>
    <w:rsid w:val="5207E889"/>
    <w:rsid w:val="520E85D1"/>
    <w:rsid w:val="522D5D4C"/>
    <w:rsid w:val="5237A97C"/>
    <w:rsid w:val="52781D20"/>
    <w:rsid w:val="529D0B49"/>
    <w:rsid w:val="52A17283"/>
    <w:rsid w:val="52A67706"/>
    <w:rsid w:val="52A8F7DD"/>
    <w:rsid w:val="52B11E8C"/>
    <w:rsid w:val="52B5060B"/>
    <w:rsid w:val="52BD0C85"/>
    <w:rsid w:val="52FFA0A6"/>
    <w:rsid w:val="5302AAD7"/>
    <w:rsid w:val="5315C112"/>
    <w:rsid w:val="53214689"/>
    <w:rsid w:val="5331236A"/>
    <w:rsid w:val="53408C42"/>
    <w:rsid w:val="535CB137"/>
    <w:rsid w:val="536DE167"/>
    <w:rsid w:val="538D8C00"/>
    <w:rsid w:val="5394DA43"/>
    <w:rsid w:val="53BB5EFF"/>
    <w:rsid w:val="53BC3250"/>
    <w:rsid w:val="53F0D3AA"/>
    <w:rsid w:val="53FED219"/>
    <w:rsid w:val="54007E7C"/>
    <w:rsid w:val="5441157F"/>
    <w:rsid w:val="54679084"/>
    <w:rsid w:val="5478F6F0"/>
    <w:rsid w:val="547974F9"/>
    <w:rsid w:val="547C982D"/>
    <w:rsid w:val="54899B14"/>
    <w:rsid w:val="5498CA2A"/>
    <w:rsid w:val="54B9AFCE"/>
    <w:rsid w:val="54DB4869"/>
    <w:rsid w:val="54DCD5B8"/>
    <w:rsid w:val="5502F539"/>
    <w:rsid w:val="55243AE1"/>
    <w:rsid w:val="553DF7C0"/>
    <w:rsid w:val="5550B774"/>
    <w:rsid w:val="55572DD0"/>
    <w:rsid w:val="557E5A78"/>
    <w:rsid w:val="55815972"/>
    <w:rsid w:val="558E5CEF"/>
    <w:rsid w:val="559979B1"/>
    <w:rsid w:val="55B433B9"/>
    <w:rsid w:val="55B747E1"/>
    <w:rsid w:val="55B8352E"/>
    <w:rsid w:val="55BD7F28"/>
    <w:rsid w:val="55C67FA7"/>
    <w:rsid w:val="55CFE993"/>
    <w:rsid w:val="55D3E694"/>
    <w:rsid w:val="55D45FCC"/>
    <w:rsid w:val="55E4A01C"/>
    <w:rsid w:val="55E69D89"/>
    <w:rsid w:val="55EA4563"/>
    <w:rsid w:val="55F088D2"/>
    <w:rsid w:val="55F3ABBA"/>
    <w:rsid w:val="55FE6530"/>
    <w:rsid w:val="5645A6CF"/>
    <w:rsid w:val="564A5C76"/>
    <w:rsid w:val="567E34BE"/>
    <w:rsid w:val="56C9AEF3"/>
    <w:rsid w:val="56CB1ACB"/>
    <w:rsid w:val="56CBFED5"/>
    <w:rsid w:val="56D9AC51"/>
    <w:rsid w:val="56E2B651"/>
    <w:rsid w:val="56F07695"/>
    <w:rsid w:val="57001DB4"/>
    <w:rsid w:val="57087406"/>
    <w:rsid w:val="571EB8C8"/>
    <w:rsid w:val="571FAEF0"/>
    <w:rsid w:val="57253ABB"/>
    <w:rsid w:val="57486F21"/>
    <w:rsid w:val="57501808"/>
    <w:rsid w:val="5783B0A6"/>
    <w:rsid w:val="578CDC42"/>
    <w:rsid w:val="57AE979E"/>
    <w:rsid w:val="57B36C13"/>
    <w:rsid w:val="57C7559B"/>
    <w:rsid w:val="57DCFCA0"/>
    <w:rsid w:val="5816C90E"/>
    <w:rsid w:val="583539E7"/>
    <w:rsid w:val="5838E071"/>
    <w:rsid w:val="58493A4E"/>
    <w:rsid w:val="584A6074"/>
    <w:rsid w:val="584F9850"/>
    <w:rsid w:val="58710CFD"/>
    <w:rsid w:val="58715B1F"/>
    <w:rsid w:val="5884C95B"/>
    <w:rsid w:val="588EF4C5"/>
    <w:rsid w:val="58950F3D"/>
    <w:rsid w:val="589B41BA"/>
    <w:rsid w:val="58C3B8CE"/>
    <w:rsid w:val="58E1A620"/>
    <w:rsid w:val="58F31BFA"/>
    <w:rsid w:val="58FC89E3"/>
    <w:rsid w:val="59082346"/>
    <w:rsid w:val="59228FA8"/>
    <w:rsid w:val="5932E4DA"/>
    <w:rsid w:val="5939AB8A"/>
    <w:rsid w:val="5949E27A"/>
    <w:rsid w:val="596C6F2A"/>
    <w:rsid w:val="59721AAE"/>
    <w:rsid w:val="597D1807"/>
    <w:rsid w:val="5985CD4D"/>
    <w:rsid w:val="59861B0D"/>
    <w:rsid w:val="59875AA8"/>
    <w:rsid w:val="59C6DF88"/>
    <w:rsid w:val="59DAEF30"/>
    <w:rsid w:val="59E4DA44"/>
    <w:rsid w:val="59EC354A"/>
    <w:rsid w:val="59EDE865"/>
    <w:rsid w:val="59F1868F"/>
    <w:rsid w:val="59F61E2A"/>
    <w:rsid w:val="59FA6BA6"/>
    <w:rsid w:val="59FC5D62"/>
    <w:rsid w:val="5A0B7C85"/>
    <w:rsid w:val="5A150F5D"/>
    <w:rsid w:val="5A2E47D0"/>
    <w:rsid w:val="5A40BBCA"/>
    <w:rsid w:val="5A441C6E"/>
    <w:rsid w:val="5A44ED08"/>
    <w:rsid w:val="5A467A5A"/>
    <w:rsid w:val="5A6652A9"/>
    <w:rsid w:val="5A7C00F0"/>
    <w:rsid w:val="5A9499A0"/>
    <w:rsid w:val="5A991F3B"/>
    <w:rsid w:val="5AA68077"/>
    <w:rsid w:val="5AB365C1"/>
    <w:rsid w:val="5ACA70DA"/>
    <w:rsid w:val="5AD66210"/>
    <w:rsid w:val="5AE51D4A"/>
    <w:rsid w:val="5AF2A510"/>
    <w:rsid w:val="5AF41888"/>
    <w:rsid w:val="5B018A54"/>
    <w:rsid w:val="5B15FC5B"/>
    <w:rsid w:val="5B20CCCC"/>
    <w:rsid w:val="5B2A22EE"/>
    <w:rsid w:val="5B326027"/>
    <w:rsid w:val="5B37C268"/>
    <w:rsid w:val="5B3A455F"/>
    <w:rsid w:val="5B55CEE7"/>
    <w:rsid w:val="5B72BE2D"/>
    <w:rsid w:val="5B7B49E4"/>
    <w:rsid w:val="5B8F4144"/>
    <w:rsid w:val="5BAD1879"/>
    <w:rsid w:val="5BBC7865"/>
    <w:rsid w:val="5BC1DDA7"/>
    <w:rsid w:val="5BCDA77D"/>
    <w:rsid w:val="5BE1CD19"/>
    <w:rsid w:val="5BEB105D"/>
    <w:rsid w:val="5BF52314"/>
    <w:rsid w:val="5BFB7BB9"/>
    <w:rsid w:val="5C08E18B"/>
    <w:rsid w:val="5C0B5D87"/>
    <w:rsid w:val="5C0F6F64"/>
    <w:rsid w:val="5C101AB0"/>
    <w:rsid w:val="5C585D3C"/>
    <w:rsid w:val="5C7ADE95"/>
    <w:rsid w:val="5C8F2CF0"/>
    <w:rsid w:val="5C99179E"/>
    <w:rsid w:val="5C9F12C2"/>
    <w:rsid w:val="5C9FE92F"/>
    <w:rsid w:val="5CA2F972"/>
    <w:rsid w:val="5CA5525D"/>
    <w:rsid w:val="5CD09449"/>
    <w:rsid w:val="5CDBE551"/>
    <w:rsid w:val="5CE1D41E"/>
    <w:rsid w:val="5CE25B86"/>
    <w:rsid w:val="5CF738EF"/>
    <w:rsid w:val="5D09E020"/>
    <w:rsid w:val="5D22765E"/>
    <w:rsid w:val="5D49E1BC"/>
    <w:rsid w:val="5DAFBDE5"/>
    <w:rsid w:val="5DBC922C"/>
    <w:rsid w:val="5DC06438"/>
    <w:rsid w:val="5DC2232B"/>
    <w:rsid w:val="5DC653F4"/>
    <w:rsid w:val="5DD4C72D"/>
    <w:rsid w:val="5DEC2244"/>
    <w:rsid w:val="5DF1E5B6"/>
    <w:rsid w:val="5DF91CE5"/>
    <w:rsid w:val="5E021EDF"/>
    <w:rsid w:val="5E15EE82"/>
    <w:rsid w:val="5E1D653A"/>
    <w:rsid w:val="5E2E0A48"/>
    <w:rsid w:val="5E46ED5E"/>
    <w:rsid w:val="5E47BBD5"/>
    <w:rsid w:val="5E753576"/>
    <w:rsid w:val="5E89527F"/>
    <w:rsid w:val="5E95191A"/>
    <w:rsid w:val="5EA8E28D"/>
    <w:rsid w:val="5ED8F1BD"/>
    <w:rsid w:val="5EE94CC4"/>
    <w:rsid w:val="5EF3DA04"/>
    <w:rsid w:val="5F1023BC"/>
    <w:rsid w:val="5F3B9A58"/>
    <w:rsid w:val="5F3C4F6C"/>
    <w:rsid w:val="5F4061F4"/>
    <w:rsid w:val="5F41479B"/>
    <w:rsid w:val="5F48FEC9"/>
    <w:rsid w:val="5F60B2DF"/>
    <w:rsid w:val="5F6FEA8C"/>
    <w:rsid w:val="5F7CFEAA"/>
    <w:rsid w:val="5F9C72B5"/>
    <w:rsid w:val="5FADA108"/>
    <w:rsid w:val="5FC7AD00"/>
    <w:rsid w:val="5FDB7A60"/>
    <w:rsid w:val="5FE50DFE"/>
    <w:rsid w:val="5FE7BBF0"/>
    <w:rsid w:val="5FF1269D"/>
    <w:rsid w:val="6028A674"/>
    <w:rsid w:val="602EF9AC"/>
    <w:rsid w:val="60405CFA"/>
    <w:rsid w:val="604B933C"/>
    <w:rsid w:val="604D922A"/>
    <w:rsid w:val="605343F8"/>
    <w:rsid w:val="605402CC"/>
    <w:rsid w:val="60653934"/>
    <w:rsid w:val="607CA224"/>
    <w:rsid w:val="608811A9"/>
    <w:rsid w:val="6089A8E0"/>
    <w:rsid w:val="608EF0E8"/>
    <w:rsid w:val="60AD5668"/>
    <w:rsid w:val="60BC8BE8"/>
    <w:rsid w:val="60F81365"/>
    <w:rsid w:val="60FAD04F"/>
    <w:rsid w:val="6103C625"/>
    <w:rsid w:val="610826CD"/>
    <w:rsid w:val="61136F7B"/>
    <w:rsid w:val="61137911"/>
    <w:rsid w:val="614C087E"/>
    <w:rsid w:val="615C204F"/>
    <w:rsid w:val="61673D3F"/>
    <w:rsid w:val="616F3C4E"/>
    <w:rsid w:val="61A5C4D3"/>
    <w:rsid w:val="61A78A9C"/>
    <w:rsid w:val="61A7DFBC"/>
    <w:rsid w:val="61ACD187"/>
    <w:rsid w:val="61CFCD72"/>
    <w:rsid w:val="61DC24DF"/>
    <w:rsid w:val="61FA3E68"/>
    <w:rsid w:val="61FDCE70"/>
    <w:rsid w:val="6206B40B"/>
    <w:rsid w:val="623C1D20"/>
    <w:rsid w:val="6244AF71"/>
    <w:rsid w:val="6249E9B6"/>
    <w:rsid w:val="626CD6FD"/>
    <w:rsid w:val="62A7F6F6"/>
    <w:rsid w:val="62AE08CF"/>
    <w:rsid w:val="63026F6D"/>
    <w:rsid w:val="63164B73"/>
    <w:rsid w:val="63381EDA"/>
    <w:rsid w:val="635E9730"/>
    <w:rsid w:val="636440D8"/>
    <w:rsid w:val="636E8CEB"/>
    <w:rsid w:val="63879CF0"/>
    <w:rsid w:val="638C5F33"/>
    <w:rsid w:val="63A291B9"/>
    <w:rsid w:val="63A9352E"/>
    <w:rsid w:val="63C79AB5"/>
    <w:rsid w:val="63EE2FAF"/>
    <w:rsid w:val="64006777"/>
    <w:rsid w:val="640BC2DC"/>
    <w:rsid w:val="641D8437"/>
    <w:rsid w:val="641FF0B9"/>
    <w:rsid w:val="643CA89C"/>
    <w:rsid w:val="644F5C76"/>
    <w:rsid w:val="64580F1D"/>
    <w:rsid w:val="645BFBDE"/>
    <w:rsid w:val="6492B549"/>
    <w:rsid w:val="64A25F6A"/>
    <w:rsid w:val="64D0E683"/>
    <w:rsid w:val="64DBC90A"/>
    <w:rsid w:val="64E81745"/>
    <w:rsid w:val="64F7C37F"/>
    <w:rsid w:val="6509C2D8"/>
    <w:rsid w:val="6516E633"/>
    <w:rsid w:val="655E2B37"/>
    <w:rsid w:val="6569DF89"/>
    <w:rsid w:val="656CACAF"/>
    <w:rsid w:val="657885B0"/>
    <w:rsid w:val="65791C3D"/>
    <w:rsid w:val="658266E7"/>
    <w:rsid w:val="65A5D67C"/>
    <w:rsid w:val="65A69A11"/>
    <w:rsid w:val="65A96EB9"/>
    <w:rsid w:val="65BFDE20"/>
    <w:rsid w:val="65CDB8FD"/>
    <w:rsid w:val="65D2389F"/>
    <w:rsid w:val="65D70555"/>
    <w:rsid w:val="65EFEE98"/>
    <w:rsid w:val="65F1DA70"/>
    <w:rsid w:val="65F5F883"/>
    <w:rsid w:val="65F9CEDD"/>
    <w:rsid w:val="65FF88DD"/>
    <w:rsid w:val="66194F4C"/>
    <w:rsid w:val="66274B25"/>
    <w:rsid w:val="662BB1CF"/>
    <w:rsid w:val="6641C1B5"/>
    <w:rsid w:val="66455E74"/>
    <w:rsid w:val="66656242"/>
    <w:rsid w:val="667AE2EE"/>
    <w:rsid w:val="6698835A"/>
    <w:rsid w:val="66A05BAD"/>
    <w:rsid w:val="66B53F17"/>
    <w:rsid w:val="66CAB0B9"/>
    <w:rsid w:val="66CE0A4D"/>
    <w:rsid w:val="66D53420"/>
    <w:rsid w:val="66E0BD6C"/>
    <w:rsid w:val="66F79F14"/>
    <w:rsid w:val="67123C0C"/>
    <w:rsid w:val="672DE535"/>
    <w:rsid w:val="6745B8E7"/>
    <w:rsid w:val="67484C27"/>
    <w:rsid w:val="674928CC"/>
    <w:rsid w:val="6755A339"/>
    <w:rsid w:val="6773D17F"/>
    <w:rsid w:val="67743BA7"/>
    <w:rsid w:val="67922EAE"/>
    <w:rsid w:val="67B1E929"/>
    <w:rsid w:val="67B6606F"/>
    <w:rsid w:val="67BB974C"/>
    <w:rsid w:val="67C4B747"/>
    <w:rsid w:val="67E9C452"/>
    <w:rsid w:val="67EECA1B"/>
    <w:rsid w:val="67FEAC41"/>
    <w:rsid w:val="68039937"/>
    <w:rsid w:val="6814D4B9"/>
    <w:rsid w:val="681A85FC"/>
    <w:rsid w:val="68224C79"/>
    <w:rsid w:val="6857AA96"/>
    <w:rsid w:val="6885F8AD"/>
    <w:rsid w:val="689C0554"/>
    <w:rsid w:val="68BABAB1"/>
    <w:rsid w:val="68BEA5DE"/>
    <w:rsid w:val="68C09784"/>
    <w:rsid w:val="68C4013D"/>
    <w:rsid w:val="68EA5DE0"/>
    <w:rsid w:val="68EA8DA7"/>
    <w:rsid w:val="68F7E327"/>
    <w:rsid w:val="68F98AFA"/>
    <w:rsid w:val="691386AF"/>
    <w:rsid w:val="691AEB38"/>
    <w:rsid w:val="69327793"/>
    <w:rsid w:val="6936BD59"/>
    <w:rsid w:val="69423946"/>
    <w:rsid w:val="69485A88"/>
    <w:rsid w:val="6951B0A6"/>
    <w:rsid w:val="69621E13"/>
    <w:rsid w:val="697A0566"/>
    <w:rsid w:val="697BC545"/>
    <w:rsid w:val="69923F24"/>
    <w:rsid w:val="6997B1D8"/>
    <w:rsid w:val="69A09732"/>
    <w:rsid w:val="69A8212A"/>
    <w:rsid w:val="69C02CE7"/>
    <w:rsid w:val="69D7A1D8"/>
    <w:rsid w:val="69E9C747"/>
    <w:rsid w:val="69F54D62"/>
    <w:rsid w:val="69FE8303"/>
    <w:rsid w:val="6A00D694"/>
    <w:rsid w:val="6A0677E0"/>
    <w:rsid w:val="6A210276"/>
    <w:rsid w:val="6A7E7057"/>
    <w:rsid w:val="6A841073"/>
    <w:rsid w:val="6A86825B"/>
    <w:rsid w:val="6B1C2094"/>
    <w:rsid w:val="6B2A3203"/>
    <w:rsid w:val="6B2D4BEE"/>
    <w:rsid w:val="6B63A136"/>
    <w:rsid w:val="6B68BA3D"/>
    <w:rsid w:val="6B8BEE73"/>
    <w:rsid w:val="6B9DF688"/>
    <w:rsid w:val="6BBF5F97"/>
    <w:rsid w:val="6BD6BB75"/>
    <w:rsid w:val="6BDC11DC"/>
    <w:rsid w:val="6BE5710F"/>
    <w:rsid w:val="6BEC8EC5"/>
    <w:rsid w:val="6C00AACC"/>
    <w:rsid w:val="6C12F0DA"/>
    <w:rsid w:val="6C300EB0"/>
    <w:rsid w:val="6C3320ED"/>
    <w:rsid w:val="6C3F0AE1"/>
    <w:rsid w:val="6C601B2C"/>
    <w:rsid w:val="6C6E4F91"/>
    <w:rsid w:val="6C925FEE"/>
    <w:rsid w:val="6C997B0B"/>
    <w:rsid w:val="6CAF3C14"/>
    <w:rsid w:val="6CBF95BD"/>
    <w:rsid w:val="6CE8B4A8"/>
    <w:rsid w:val="6CF007B5"/>
    <w:rsid w:val="6D1C807E"/>
    <w:rsid w:val="6D251A21"/>
    <w:rsid w:val="6D48E4C9"/>
    <w:rsid w:val="6D6B858C"/>
    <w:rsid w:val="6D777D61"/>
    <w:rsid w:val="6D7CB6D6"/>
    <w:rsid w:val="6D9DD34F"/>
    <w:rsid w:val="6DAEF507"/>
    <w:rsid w:val="6E20A0CA"/>
    <w:rsid w:val="6E22FDBB"/>
    <w:rsid w:val="6E28A706"/>
    <w:rsid w:val="6E490FDE"/>
    <w:rsid w:val="6E5554D1"/>
    <w:rsid w:val="6E59EDDE"/>
    <w:rsid w:val="6E662669"/>
    <w:rsid w:val="6E6FF6DD"/>
    <w:rsid w:val="6E77669F"/>
    <w:rsid w:val="6E945851"/>
    <w:rsid w:val="6E98945C"/>
    <w:rsid w:val="6E98E207"/>
    <w:rsid w:val="6E9C6CCD"/>
    <w:rsid w:val="6E9D5698"/>
    <w:rsid w:val="6EC79E85"/>
    <w:rsid w:val="6EE3C758"/>
    <w:rsid w:val="6F1B0435"/>
    <w:rsid w:val="6F3AFF99"/>
    <w:rsid w:val="6F4507F3"/>
    <w:rsid w:val="6F60AC6A"/>
    <w:rsid w:val="6F62AC6A"/>
    <w:rsid w:val="6F67F748"/>
    <w:rsid w:val="6F75AF71"/>
    <w:rsid w:val="6F9D6559"/>
    <w:rsid w:val="6FD67285"/>
    <w:rsid w:val="6FDC6B0A"/>
    <w:rsid w:val="6FDE5E6E"/>
    <w:rsid w:val="6FF222F0"/>
    <w:rsid w:val="7017D764"/>
    <w:rsid w:val="70194D9F"/>
    <w:rsid w:val="701E81FD"/>
    <w:rsid w:val="701EC2AA"/>
    <w:rsid w:val="70579DE9"/>
    <w:rsid w:val="7086BC00"/>
    <w:rsid w:val="709C13D0"/>
    <w:rsid w:val="70CF7634"/>
    <w:rsid w:val="70D8B49F"/>
    <w:rsid w:val="70E09A53"/>
    <w:rsid w:val="70E7893E"/>
    <w:rsid w:val="70EE3B1B"/>
    <w:rsid w:val="70EFEFFE"/>
    <w:rsid w:val="70F34B3F"/>
    <w:rsid w:val="712417F2"/>
    <w:rsid w:val="713CF314"/>
    <w:rsid w:val="713EF1D0"/>
    <w:rsid w:val="7143542B"/>
    <w:rsid w:val="7143BD58"/>
    <w:rsid w:val="715339FE"/>
    <w:rsid w:val="7181BA89"/>
    <w:rsid w:val="7183C845"/>
    <w:rsid w:val="71A690E4"/>
    <w:rsid w:val="71C9624A"/>
    <w:rsid w:val="71D6B93D"/>
    <w:rsid w:val="71D71A51"/>
    <w:rsid w:val="71F0622F"/>
    <w:rsid w:val="71F0AEE8"/>
    <w:rsid w:val="72039E4F"/>
    <w:rsid w:val="720DFECC"/>
    <w:rsid w:val="7235CAB0"/>
    <w:rsid w:val="72495F2F"/>
    <w:rsid w:val="72521E7D"/>
    <w:rsid w:val="725E4627"/>
    <w:rsid w:val="72892026"/>
    <w:rsid w:val="72989671"/>
    <w:rsid w:val="72BC1043"/>
    <w:rsid w:val="72D9B1C0"/>
    <w:rsid w:val="72EB1616"/>
    <w:rsid w:val="72FC6C71"/>
    <w:rsid w:val="72FD95F3"/>
    <w:rsid w:val="730D2323"/>
    <w:rsid w:val="731D7632"/>
    <w:rsid w:val="73269E7A"/>
    <w:rsid w:val="73309F2F"/>
    <w:rsid w:val="733C756F"/>
    <w:rsid w:val="7391DB27"/>
    <w:rsid w:val="7394EA52"/>
    <w:rsid w:val="739AA3BD"/>
    <w:rsid w:val="73A605CF"/>
    <w:rsid w:val="73AEBDB8"/>
    <w:rsid w:val="73D8312E"/>
    <w:rsid w:val="73DCBBE2"/>
    <w:rsid w:val="73FF6648"/>
    <w:rsid w:val="740A58C0"/>
    <w:rsid w:val="7421C02E"/>
    <w:rsid w:val="7431CECB"/>
    <w:rsid w:val="743670FD"/>
    <w:rsid w:val="744F79BA"/>
    <w:rsid w:val="74528DA9"/>
    <w:rsid w:val="74573A1F"/>
    <w:rsid w:val="7459780A"/>
    <w:rsid w:val="745BBAD9"/>
    <w:rsid w:val="74621CFB"/>
    <w:rsid w:val="7464C1E4"/>
    <w:rsid w:val="7466BCBC"/>
    <w:rsid w:val="74A1FAAB"/>
    <w:rsid w:val="74B7F674"/>
    <w:rsid w:val="74C37BC7"/>
    <w:rsid w:val="74C488D2"/>
    <w:rsid w:val="74C87AC3"/>
    <w:rsid w:val="74DB244C"/>
    <w:rsid w:val="753F097F"/>
    <w:rsid w:val="75405314"/>
    <w:rsid w:val="7553948A"/>
    <w:rsid w:val="757AD766"/>
    <w:rsid w:val="75A457BE"/>
    <w:rsid w:val="75DDF8BE"/>
    <w:rsid w:val="75E697A5"/>
    <w:rsid w:val="76025A26"/>
    <w:rsid w:val="762015D2"/>
    <w:rsid w:val="7623FCFB"/>
    <w:rsid w:val="7644AC62"/>
    <w:rsid w:val="76575208"/>
    <w:rsid w:val="76591B0E"/>
    <w:rsid w:val="765D552F"/>
    <w:rsid w:val="7684F365"/>
    <w:rsid w:val="769EFBAB"/>
    <w:rsid w:val="76AB9110"/>
    <w:rsid w:val="76C3C771"/>
    <w:rsid w:val="76CE821B"/>
    <w:rsid w:val="76DB832F"/>
    <w:rsid w:val="770F2277"/>
    <w:rsid w:val="7710E79C"/>
    <w:rsid w:val="7731632E"/>
    <w:rsid w:val="773A1443"/>
    <w:rsid w:val="774C78E7"/>
    <w:rsid w:val="774E47E9"/>
    <w:rsid w:val="77592EF5"/>
    <w:rsid w:val="777E38DD"/>
    <w:rsid w:val="77934838"/>
    <w:rsid w:val="77ABE3E0"/>
    <w:rsid w:val="77CAB1C7"/>
    <w:rsid w:val="77E1AE13"/>
    <w:rsid w:val="77E580E8"/>
    <w:rsid w:val="77E8ECF1"/>
    <w:rsid w:val="77FE9FDA"/>
    <w:rsid w:val="77FFF6D0"/>
    <w:rsid w:val="7832699B"/>
    <w:rsid w:val="7832F55B"/>
    <w:rsid w:val="78758516"/>
    <w:rsid w:val="788522C5"/>
    <w:rsid w:val="78989A5C"/>
    <w:rsid w:val="78A97A04"/>
    <w:rsid w:val="78BB654E"/>
    <w:rsid w:val="78BD439C"/>
    <w:rsid w:val="78C74CD6"/>
    <w:rsid w:val="78D04441"/>
    <w:rsid w:val="78DF1E40"/>
    <w:rsid w:val="78F1228A"/>
    <w:rsid w:val="7914B267"/>
    <w:rsid w:val="7927A032"/>
    <w:rsid w:val="792CF6C3"/>
    <w:rsid w:val="7932B039"/>
    <w:rsid w:val="798646A8"/>
    <w:rsid w:val="799DBF16"/>
    <w:rsid w:val="79A04151"/>
    <w:rsid w:val="79C9C428"/>
    <w:rsid w:val="79CD6E64"/>
    <w:rsid w:val="79EA30C2"/>
    <w:rsid w:val="79EBA019"/>
    <w:rsid w:val="79F07D78"/>
    <w:rsid w:val="7A0A3CDC"/>
    <w:rsid w:val="7A30E2A3"/>
    <w:rsid w:val="7A422895"/>
    <w:rsid w:val="7A5AFA21"/>
    <w:rsid w:val="7A7ED2CE"/>
    <w:rsid w:val="7A85B98E"/>
    <w:rsid w:val="7A8866CD"/>
    <w:rsid w:val="7AAE4F07"/>
    <w:rsid w:val="7AB53D4A"/>
    <w:rsid w:val="7ABD0BC7"/>
    <w:rsid w:val="7AE7ADB2"/>
    <w:rsid w:val="7B011806"/>
    <w:rsid w:val="7B13D545"/>
    <w:rsid w:val="7B1A1B43"/>
    <w:rsid w:val="7B253AD9"/>
    <w:rsid w:val="7B283766"/>
    <w:rsid w:val="7B39AD2F"/>
    <w:rsid w:val="7B4194A6"/>
    <w:rsid w:val="7B4C271F"/>
    <w:rsid w:val="7B4E4C4A"/>
    <w:rsid w:val="7B6B6BBA"/>
    <w:rsid w:val="7B75B26C"/>
    <w:rsid w:val="7B79DDA8"/>
    <w:rsid w:val="7BB021B9"/>
    <w:rsid w:val="7BB80618"/>
    <w:rsid w:val="7BB87825"/>
    <w:rsid w:val="7BD1E652"/>
    <w:rsid w:val="7BDF9F4F"/>
    <w:rsid w:val="7C123051"/>
    <w:rsid w:val="7C5FF44E"/>
    <w:rsid w:val="7CDDE3D3"/>
    <w:rsid w:val="7CDEABCB"/>
    <w:rsid w:val="7CEA1F5E"/>
    <w:rsid w:val="7CEF4922"/>
    <w:rsid w:val="7D04D7EB"/>
    <w:rsid w:val="7D0701B5"/>
    <w:rsid w:val="7D163F31"/>
    <w:rsid w:val="7D1C2A1F"/>
    <w:rsid w:val="7D1F8219"/>
    <w:rsid w:val="7D4548B8"/>
    <w:rsid w:val="7D5681FF"/>
    <w:rsid w:val="7D5883C5"/>
    <w:rsid w:val="7D594850"/>
    <w:rsid w:val="7D752873"/>
    <w:rsid w:val="7D860A3D"/>
    <w:rsid w:val="7D9B0D86"/>
    <w:rsid w:val="7DA33FF6"/>
    <w:rsid w:val="7DA74A46"/>
    <w:rsid w:val="7DAE72F8"/>
    <w:rsid w:val="7DB089AA"/>
    <w:rsid w:val="7DBCBB19"/>
    <w:rsid w:val="7DDF324A"/>
    <w:rsid w:val="7E0A98AA"/>
    <w:rsid w:val="7E244F35"/>
    <w:rsid w:val="7E38CC95"/>
    <w:rsid w:val="7E41C4BA"/>
    <w:rsid w:val="7E4EE7E5"/>
    <w:rsid w:val="7E65D1E1"/>
    <w:rsid w:val="7E70D1B4"/>
    <w:rsid w:val="7E72784A"/>
    <w:rsid w:val="7E8B2BDE"/>
    <w:rsid w:val="7EAE6C32"/>
    <w:rsid w:val="7ECB59BD"/>
    <w:rsid w:val="7F31E18E"/>
    <w:rsid w:val="7F3BC3CE"/>
    <w:rsid w:val="7F3C432B"/>
    <w:rsid w:val="7F44A595"/>
    <w:rsid w:val="7F486DE7"/>
    <w:rsid w:val="7F6668C8"/>
    <w:rsid w:val="7F9D8F38"/>
    <w:rsid w:val="7FA77362"/>
    <w:rsid w:val="7FB774A8"/>
    <w:rsid w:val="7FDD8452"/>
    <w:rsid w:val="7FFBF896"/>
    <w:rsid w:val="7FFC48C1"/>
    <w:rsid w:val="7FFE34A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C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A49"/>
    <w:pPr>
      <w:spacing w:before="120"/>
    </w:pPr>
    <w:rPr>
      <w:rFonts w:ascii="Franklin Gothic Book" w:hAnsi="Franklin Gothic Book"/>
    </w:rPr>
  </w:style>
  <w:style w:type="paragraph" w:styleId="Heading1">
    <w:name w:val="heading 1"/>
    <w:basedOn w:val="Normal"/>
    <w:next w:val="Normal"/>
    <w:link w:val="Heading1Char"/>
    <w:qFormat/>
    <w:rsid w:val="001531D6"/>
    <w:pPr>
      <w:keepNext/>
      <w:keepLines/>
      <w:numPr>
        <w:numId w:val="7"/>
      </w:numPr>
      <w:pBdr>
        <w:bottom w:val="single" w:sz="4" w:space="1" w:color="auto"/>
      </w:pBdr>
      <w:spacing w:before="600" w:after="480" w:line="240" w:lineRule="auto"/>
      <w:outlineLvl w:val="0"/>
    </w:pPr>
    <w:rPr>
      <w:rFonts w:ascii="Franklin Gothic Medium" w:eastAsiaTheme="majorEastAsia" w:hAnsi="Franklin Gothic Medium" w:cstheme="majorBidi"/>
      <w:sz w:val="44"/>
      <w:szCs w:val="32"/>
    </w:rPr>
  </w:style>
  <w:style w:type="paragraph" w:styleId="Heading2">
    <w:name w:val="heading 2"/>
    <w:basedOn w:val="Normal"/>
    <w:next w:val="Normal"/>
    <w:link w:val="Heading2Char"/>
    <w:unhideWhenUsed/>
    <w:qFormat/>
    <w:rsid w:val="001531D6"/>
    <w:pPr>
      <w:keepNext/>
      <w:keepLines/>
      <w:numPr>
        <w:ilvl w:val="1"/>
        <w:numId w:val="7"/>
      </w:numPr>
      <w:spacing w:before="360" w:after="24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Normal"/>
    <w:next w:val="Normal"/>
    <w:link w:val="Heading3Char"/>
    <w:unhideWhenUsed/>
    <w:qFormat/>
    <w:rsid w:val="005103C5"/>
    <w:pPr>
      <w:keepNext/>
      <w:keepLines/>
      <w:tabs>
        <w:tab w:val="left" w:pos="851"/>
      </w:tabs>
      <w:spacing w:before="360" w:after="200" w:line="240" w:lineRule="auto"/>
      <w:outlineLvl w:val="2"/>
    </w:pPr>
    <w:rPr>
      <w:rFonts w:ascii="Franklin Gothic Medium" w:eastAsiaTheme="majorEastAsia" w:hAnsi="Franklin Gothic Medium" w:cstheme="majorBidi"/>
      <w:sz w:val="24"/>
      <w:szCs w:val="24"/>
    </w:rPr>
  </w:style>
  <w:style w:type="paragraph" w:styleId="Heading4">
    <w:name w:val="heading 4"/>
    <w:basedOn w:val="Heading3"/>
    <w:next w:val="Normal"/>
    <w:link w:val="Heading4Char"/>
    <w:uiPriority w:val="4"/>
    <w:unhideWhenUsed/>
    <w:qFormat/>
    <w:rsid w:val="00A776A4"/>
    <w:pPr>
      <w:outlineLvl w:val="3"/>
    </w:pPr>
    <w:rPr>
      <w:i/>
    </w:rPr>
  </w:style>
  <w:style w:type="paragraph" w:styleId="Heading5">
    <w:name w:val="heading 5"/>
    <w:basedOn w:val="Normal"/>
    <w:next w:val="Normal"/>
    <w:link w:val="Heading5Char"/>
    <w:uiPriority w:val="9"/>
    <w:unhideWhenUsed/>
    <w:qFormat/>
    <w:rsid w:val="00B24A2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Heading5"/>
    <w:next w:val="BodyText"/>
    <w:link w:val="Heading7Char"/>
    <w:uiPriority w:val="5"/>
    <w:unhideWhenUsed/>
    <w:rsid w:val="00090A0E"/>
    <w:pPr>
      <w:spacing w:before="200" w:after="60" w:line="288" w:lineRule="auto"/>
      <w:ind w:left="1296" w:hanging="1296"/>
      <w:outlineLvl w:val="6"/>
    </w:pPr>
    <w:rPr>
      <w:rFonts w:ascii="Montserrat" w:eastAsia="Times New Roman" w:hAnsi="Montserrat" w:cs="Calibri"/>
      <w:bCs/>
      <w:iCs/>
      <w:color w:val="595959"/>
      <w:sz w:val="20"/>
      <w:szCs w:val="20"/>
    </w:rPr>
  </w:style>
  <w:style w:type="paragraph" w:styleId="Heading8">
    <w:name w:val="heading 8"/>
    <w:basedOn w:val="BodyText"/>
    <w:next w:val="BodyText"/>
    <w:link w:val="Heading8Char"/>
    <w:uiPriority w:val="5"/>
    <w:unhideWhenUsed/>
    <w:rsid w:val="00090A0E"/>
    <w:pPr>
      <w:keepNext/>
      <w:keepLines/>
      <w:spacing w:before="200" w:line="288" w:lineRule="auto"/>
      <w:ind w:left="1440" w:hanging="1440"/>
      <w:outlineLvl w:val="7"/>
    </w:pPr>
    <w:rPr>
      <w:rFonts w:ascii="Montserrat" w:eastAsia="Times New Roman" w:hAnsi="Montserrat" w:cs="Calibri"/>
      <w:color w:val="404040"/>
      <w:sz w:val="18"/>
      <w:szCs w:val="20"/>
    </w:rPr>
  </w:style>
  <w:style w:type="paragraph" w:styleId="Heading9">
    <w:name w:val="heading 9"/>
    <w:basedOn w:val="BodyText"/>
    <w:next w:val="BodyText"/>
    <w:link w:val="Heading9Char"/>
    <w:uiPriority w:val="5"/>
    <w:unhideWhenUsed/>
    <w:rsid w:val="00090A0E"/>
    <w:pPr>
      <w:keepNext/>
      <w:keepLines/>
      <w:spacing w:before="200" w:line="288" w:lineRule="auto"/>
      <w:ind w:left="1584" w:hanging="1584"/>
      <w:outlineLvl w:val="8"/>
    </w:pPr>
    <w:rPr>
      <w:rFonts w:ascii="Cambria" w:eastAsia="Times New Roman" w:hAnsi="Cambria" w:cs="Calibri"/>
      <w:i/>
      <w:iCs/>
      <w:color w:val="40404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link w:val="TableTextChar"/>
    <w:qFormat/>
    <w:rsid w:val="003E7773"/>
    <w:pPr>
      <w:spacing w:before="40" w:after="40" w:line="240" w:lineRule="auto"/>
    </w:pPr>
    <w:rPr>
      <w:rFonts w:ascii="Arial Narrow" w:hAnsi="Arial Narrow"/>
      <w:sz w:val="20"/>
    </w:rPr>
  </w:style>
  <w:style w:type="paragraph" w:customStyle="1" w:styleId="TableHeading">
    <w:name w:val="TableHeading"/>
    <w:basedOn w:val="Normal"/>
    <w:link w:val="TableHeadingChar"/>
    <w:qFormat/>
    <w:rsid w:val="00B151CF"/>
    <w:pPr>
      <w:keepNext/>
      <w:spacing w:after="60" w:line="240" w:lineRule="auto"/>
    </w:pPr>
    <w:rPr>
      <w:rFonts w:ascii="Arial Narrow" w:hAnsi="Arial Narrow"/>
      <w:b/>
      <w:sz w:val="20"/>
    </w:rPr>
  </w:style>
  <w:style w:type="paragraph" w:styleId="CommentText">
    <w:name w:val="annotation text"/>
    <w:basedOn w:val="Normal"/>
    <w:link w:val="CommentTextChar"/>
    <w:uiPriority w:val="99"/>
    <w:unhideWhenUsed/>
    <w:rsid w:val="003E7773"/>
    <w:pPr>
      <w:spacing w:after="240" w:line="240" w:lineRule="auto"/>
    </w:pPr>
    <w:rPr>
      <w:rFonts w:ascii="Calibri" w:eastAsia="Times New Roman" w:hAnsi="Calibri" w:cs="Times New Roman"/>
      <w:color w:val="000000"/>
      <w:szCs w:val="24"/>
      <w:lang w:eastAsia="en-AU"/>
    </w:rPr>
  </w:style>
  <w:style w:type="character" w:customStyle="1" w:styleId="CommentTextChar">
    <w:name w:val="Comment Text Char"/>
    <w:basedOn w:val="DefaultParagraphFont"/>
    <w:link w:val="CommentText"/>
    <w:uiPriority w:val="99"/>
    <w:rsid w:val="003E7773"/>
    <w:rPr>
      <w:rFonts w:ascii="Calibri" w:eastAsia="Times New Roman" w:hAnsi="Calibri" w:cs="Times New Roman"/>
      <w:color w:val="000000"/>
      <w:szCs w:val="24"/>
      <w:lang w:eastAsia="en-AU"/>
    </w:rPr>
  </w:style>
  <w:style w:type="character" w:styleId="CommentReference">
    <w:name w:val="annotation reference"/>
    <w:aliases w:val="Table Title"/>
    <w:basedOn w:val="DefaultParagraphFont"/>
    <w:uiPriority w:val="99"/>
    <w:unhideWhenUsed/>
    <w:qFormat/>
    <w:rsid w:val="003E7773"/>
    <w:rPr>
      <w:sz w:val="16"/>
      <w:szCs w:val="16"/>
    </w:rPr>
  </w:style>
  <w:style w:type="character" w:customStyle="1" w:styleId="TableTextChar">
    <w:name w:val="Table Text Char"/>
    <w:basedOn w:val="DefaultParagraphFont"/>
    <w:link w:val="TableText"/>
    <w:rsid w:val="003E7773"/>
    <w:rPr>
      <w:rFonts w:ascii="Arial Narrow" w:hAnsi="Arial Narrow"/>
      <w:sz w:val="20"/>
    </w:rPr>
  </w:style>
  <w:style w:type="character" w:customStyle="1" w:styleId="TableHeadingChar">
    <w:name w:val="TableHeading Char"/>
    <w:link w:val="TableHeading"/>
    <w:rsid w:val="00B151CF"/>
    <w:rPr>
      <w:rFonts w:ascii="Arial Narrow" w:hAnsi="Arial Narrow"/>
      <w:b/>
      <w:sz w:val="20"/>
    </w:rPr>
  </w:style>
  <w:style w:type="paragraph" w:styleId="BalloonText">
    <w:name w:val="Balloon Text"/>
    <w:basedOn w:val="Normal"/>
    <w:link w:val="BalloonTextChar"/>
    <w:uiPriority w:val="99"/>
    <w:semiHidden/>
    <w:unhideWhenUsed/>
    <w:rsid w:val="003E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7773"/>
    <w:pPr>
      <w:spacing w:after="160"/>
    </w:pPr>
    <w:rPr>
      <w:rFonts w:asciiTheme="minorHAnsi" w:eastAsiaTheme="minorHAnsi" w:hAnsiTheme="minorHAnsi" w:cstheme="minorBidi"/>
      <w:b/>
      <w:bCs/>
      <w:color w:val="auto"/>
      <w:sz w:val="20"/>
      <w:szCs w:val="20"/>
      <w:lang w:eastAsia="en-US"/>
    </w:rPr>
  </w:style>
  <w:style w:type="character" w:customStyle="1" w:styleId="CommentSubjectChar">
    <w:name w:val="Comment Subject Char"/>
    <w:basedOn w:val="CommentTextChar"/>
    <w:link w:val="CommentSubject"/>
    <w:uiPriority w:val="99"/>
    <w:semiHidden/>
    <w:rsid w:val="003E7773"/>
    <w:rPr>
      <w:rFonts w:ascii="Calibri" w:eastAsia="Times New Roman" w:hAnsi="Calibri" w:cs="Times New Roman"/>
      <w:b/>
      <w:bCs/>
      <w:color w:val="000000"/>
      <w:sz w:val="20"/>
      <w:szCs w:val="20"/>
      <w:lang w:eastAsia="en-AU"/>
    </w:rPr>
  </w:style>
  <w:style w:type="character" w:customStyle="1" w:styleId="Heading1Char">
    <w:name w:val="Heading 1 Char"/>
    <w:basedOn w:val="DefaultParagraphFont"/>
    <w:link w:val="Heading1"/>
    <w:rsid w:val="001531D6"/>
    <w:rPr>
      <w:rFonts w:ascii="Franklin Gothic Medium" w:eastAsiaTheme="majorEastAsia" w:hAnsi="Franklin Gothic Medium" w:cstheme="majorBidi"/>
      <w:sz w:val="44"/>
      <w:szCs w:val="32"/>
    </w:rPr>
  </w:style>
  <w:style w:type="character" w:customStyle="1" w:styleId="Heading2Char">
    <w:name w:val="Heading 2 Char"/>
    <w:basedOn w:val="DefaultParagraphFont"/>
    <w:link w:val="Heading2"/>
    <w:rsid w:val="001531D6"/>
    <w:rPr>
      <w:rFonts w:ascii="Franklin Gothic Medium" w:eastAsiaTheme="majorEastAsia" w:hAnsi="Franklin Gothic Medium" w:cstheme="majorBidi"/>
      <w:color w:val="000000" w:themeColor="text1"/>
      <w:sz w:val="32"/>
      <w:szCs w:val="26"/>
    </w:rPr>
  </w:style>
  <w:style w:type="character" w:customStyle="1" w:styleId="Heading3Char">
    <w:name w:val="Heading 3 Char"/>
    <w:basedOn w:val="DefaultParagraphFont"/>
    <w:link w:val="Heading3"/>
    <w:uiPriority w:val="9"/>
    <w:rsid w:val="005103C5"/>
    <w:rPr>
      <w:rFonts w:ascii="Franklin Gothic Medium" w:eastAsiaTheme="majorEastAsia" w:hAnsi="Franklin Gothic Medium" w:cstheme="majorBidi"/>
      <w:sz w:val="24"/>
      <w:szCs w:val="24"/>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EF7014"/>
    <w:pPr>
      <w:keepNext/>
      <w:spacing w:before="360" w:after="120" w:line="240" w:lineRule="auto"/>
      <w:ind w:left="794" w:hanging="794"/>
    </w:pPr>
    <w:rPr>
      <w:rFonts w:ascii="Arial Narrow" w:eastAsia="Times New Roman" w:hAnsi="Arial Narrow" w:cs="Times New Roman"/>
      <w:b/>
      <w:bCs/>
      <w:sz w:val="20"/>
      <w:szCs w:val="20"/>
    </w:rPr>
  </w:style>
  <w:style w:type="table" w:customStyle="1" w:styleId="TableGrid1">
    <w:name w:val="Table Grid1"/>
    <w:basedOn w:val="TableNormal"/>
    <w:next w:val="TableGrid"/>
    <w:locked/>
    <w:rsid w:val="00CA528A"/>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ontserrat" w:hAnsi="Montserrat"/>
        <w:b w:val="0"/>
        <w:sz w:val="20"/>
      </w:rPr>
    </w:tblStyle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EF7014"/>
    <w:rPr>
      <w:rFonts w:ascii="Arial Narrow" w:eastAsia="Times New Roman" w:hAnsi="Arial Narrow" w:cs="Times New Roman"/>
      <w:b/>
      <w:bCs/>
      <w:sz w:val="20"/>
      <w:szCs w:val="20"/>
    </w:rPr>
  </w:style>
  <w:style w:type="table" w:styleId="TableGrid">
    <w:name w:val="Table Grid"/>
    <w:aliases w:val="Summary box,Table Gridbeth,RTI AMCP Table,new style,ASD Table"/>
    <w:basedOn w:val="TableNormal"/>
    <w:uiPriority w:val="59"/>
    <w:rsid w:val="00CA5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CA528A"/>
    <w:pPr>
      <w:spacing w:after="360" w:line="240" w:lineRule="auto"/>
      <w:contextualSpacing/>
    </w:pPr>
    <w:rPr>
      <w:sz w:val="18"/>
    </w:rPr>
  </w:style>
  <w:style w:type="paragraph" w:styleId="ListParagraph">
    <w:name w:val="List Paragraph"/>
    <w:basedOn w:val="Normal"/>
    <w:link w:val="ListParagraphChar"/>
    <w:uiPriority w:val="34"/>
    <w:qFormat/>
    <w:rsid w:val="00724F92"/>
    <w:pPr>
      <w:ind w:left="720"/>
      <w:contextualSpacing/>
    </w:pPr>
  </w:style>
  <w:style w:type="character" w:styleId="Strong">
    <w:name w:val="Strong"/>
    <w:basedOn w:val="DefaultParagraphFont"/>
    <w:uiPriority w:val="22"/>
    <w:qFormat/>
    <w:rsid w:val="00FD17BA"/>
    <w:rPr>
      <w:b/>
      <w:bCs/>
    </w:rPr>
  </w:style>
  <w:style w:type="paragraph" w:customStyle="1" w:styleId="TableName">
    <w:name w:val="TableName"/>
    <w:basedOn w:val="Normal"/>
    <w:qFormat/>
    <w:rsid w:val="00FD17BA"/>
    <w:pPr>
      <w:keepNext/>
      <w:spacing w:after="240" w:line="240" w:lineRule="auto"/>
      <w:ind w:left="1418" w:hanging="1418"/>
    </w:pPr>
    <w:rPr>
      <w:rFonts w:ascii="Franklin Gothic Medium" w:hAnsi="Franklin Gothic Medium"/>
    </w:rPr>
  </w:style>
  <w:style w:type="paragraph" w:customStyle="1" w:styleId="TableFigNoteHangingLast">
    <w:name w:val="TableFigNoteHanging Last"/>
    <w:basedOn w:val="TableFigNote"/>
    <w:qFormat/>
    <w:rsid w:val="00FD17BA"/>
    <w:pPr>
      <w:ind w:left="142" w:hanging="142"/>
    </w:pPr>
  </w:style>
  <w:style w:type="paragraph" w:customStyle="1" w:styleId="TableTextCA">
    <w:name w:val="Table Text CA"/>
    <w:basedOn w:val="TableText"/>
    <w:qFormat/>
    <w:rsid w:val="00FD17BA"/>
    <w:pPr>
      <w:jc w:val="center"/>
    </w:pPr>
  </w:style>
  <w:style w:type="paragraph" w:customStyle="1" w:styleId="TableHeadingCA">
    <w:name w:val="Table Heading CA"/>
    <w:basedOn w:val="TableHeading0"/>
    <w:qFormat/>
    <w:rsid w:val="00FD17BA"/>
    <w:pPr>
      <w:jc w:val="center"/>
    </w:pPr>
  </w:style>
  <w:style w:type="paragraph" w:customStyle="1" w:styleId="TableHeading0">
    <w:name w:val="Table Heading"/>
    <w:basedOn w:val="Normal"/>
    <w:qFormat/>
    <w:rsid w:val="00FD17BA"/>
    <w:pPr>
      <w:spacing w:after="60" w:line="240" w:lineRule="auto"/>
    </w:pPr>
    <w:rPr>
      <w:rFonts w:ascii="Arial Narrow" w:hAnsi="Arial Narrow"/>
      <w:b/>
      <w:sz w:val="20"/>
    </w:rPr>
  </w:style>
  <w:style w:type="paragraph" w:customStyle="1" w:styleId="TableFigNoteLast">
    <w:name w:val="TableFigNote Last"/>
    <w:basedOn w:val="TableFigNote"/>
    <w:qFormat/>
    <w:rsid w:val="00FD17BA"/>
  </w:style>
  <w:style w:type="character" w:customStyle="1" w:styleId="Heading4Char">
    <w:name w:val="Heading 4 Char"/>
    <w:basedOn w:val="DefaultParagraphFont"/>
    <w:link w:val="Heading4"/>
    <w:uiPriority w:val="9"/>
    <w:rsid w:val="00A776A4"/>
    <w:rPr>
      <w:rFonts w:ascii="Franklin Gothic Medium" w:eastAsiaTheme="majorEastAsia" w:hAnsi="Franklin Gothic Medium" w:cstheme="majorBidi"/>
      <w:i/>
      <w:sz w:val="24"/>
      <w:szCs w:val="24"/>
    </w:rPr>
  </w:style>
  <w:style w:type="paragraph" w:customStyle="1" w:styleId="2ChapterText">
    <w:name w:val="2ChapterText"/>
    <w:basedOn w:val="Normal"/>
    <w:qFormat/>
    <w:rsid w:val="00004F7F"/>
    <w:rPr>
      <w:shd w:val="clear" w:color="auto" w:fill="BDD6EE" w:themeFill="accent1" w:themeFillTint="66"/>
    </w:rPr>
  </w:style>
  <w:style w:type="paragraph" w:customStyle="1" w:styleId="1ExplanatoryText">
    <w:name w:val="1ExplanatoryText"/>
    <w:basedOn w:val="Normal"/>
    <w:qFormat/>
    <w:rsid w:val="00225833"/>
    <w:pPr>
      <w:shd w:val="clear" w:color="auto" w:fill="C5E0B3" w:themeFill="accent6" w:themeFillTint="66"/>
    </w:pPr>
  </w:style>
  <w:style w:type="character" w:styleId="Hyperlink">
    <w:name w:val="Hyperlink"/>
    <w:basedOn w:val="DefaultParagraphFont"/>
    <w:uiPriority w:val="99"/>
    <w:unhideWhenUsed/>
    <w:rsid w:val="00997BA8"/>
    <w:rPr>
      <w:color w:val="0070C0"/>
      <w:u w:val="single"/>
    </w:rPr>
  </w:style>
  <w:style w:type="paragraph" w:styleId="TOC1">
    <w:name w:val="toc 1"/>
    <w:basedOn w:val="Normal"/>
    <w:next w:val="Normal"/>
    <w:autoRedefine/>
    <w:uiPriority w:val="39"/>
    <w:unhideWhenUsed/>
    <w:rsid w:val="00C91651"/>
    <w:pPr>
      <w:tabs>
        <w:tab w:val="left" w:pos="1100"/>
        <w:tab w:val="left" w:pos="1531"/>
        <w:tab w:val="right" w:leader="dot" w:pos="9010"/>
      </w:tabs>
      <w:spacing w:after="100" w:line="240" w:lineRule="auto"/>
    </w:pPr>
    <w:rPr>
      <w:rFonts w:asciiTheme="minorHAnsi" w:hAnsiTheme="minorHAnsi"/>
      <w:b/>
    </w:rPr>
  </w:style>
  <w:style w:type="paragraph" w:styleId="TOC2">
    <w:name w:val="toc 2"/>
    <w:basedOn w:val="Normal"/>
    <w:next w:val="Normal"/>
    <w:autoRedefine/>
    <w:uiPriority w:val="39"/>
    <w:unhideWhenUsed/>
    <w:rsid w:val="00944087"/>
    <w:pPr>
      <w:tabs>
        <w:tab w:val="left" w:pos="1089"/>
        <w:tab w:val="right" w:leader="dot" w:pos="9010"/>
      </w:tabs>
      <w:spacing w:after="100" w:line="240" w:lineRule="auto"/>
    </w:pPr>
    <w:rPr>
      <w:rFonts w:asciiTheme="minorHAnsi" w:hAnsiTheme="minorHAnsi"/>
    </w:rPr>
  </w:style>
  <w:style w:type="paragraph" w:styleId="TOC3">
    <w:name w:val="toc 3"/>
    <w:basedOn w:val="Normal"/>
    <w:next w:val="Normal"/>
    <w:autoRedefine/>
    <w:uiPriority w:val="39"/>
    <w:unhideWhenUsed/>
    <w:rsid w:val="0088445B"/>
    <w:pPr>
      <w:spacing w:after="100" w:line="240" w:lineRule="auto"/>
      <w:ind w:left="720"/>
    </w:pPr>
    <w:rPr>
      <w:rFonts w:asciiTheme="minorHAnsi" w:hAnsiTheme="minorHAnsi"/>
    </w:rPr>
  </w:style>
  <w:style w:type="character" w:styleId="FollowedHyperlink">
    <w:name w:val="FollowedHyperlink"/>
    <w:basedOn w:val="DefaultParagraphFont"/>
    <w:uiPriority w:val="99"/>
    <w:semiHidden/>
    <w:unhideWhenUsed/>
    <w:rsid w:val="0088445B"/>
    <w:rPr>
      <w:color w:val="954F72" w:themeColor="followedHyperlink"/>
      <w:u w:val="single"/>
    </w:rPr>
  </w:style>
  <w:style w:type="paragraph" w:styleId="TOC9">
    <w:name w:val="toc 9"/>
    <w:basedOn w:val="Normal"/>
    <w:next w:val="Normal"/>
    <w:autoRedefine/>
    <w:uiPriority w:val="39"/>
    <w:unhideWhenUsed/>
    <w:rsid w:val="00AF3D39"/>
    <w:pPr>
      <w:spacing w:after="100"/>
      <w:ind w:left="1760"/>
    </w:pPr>
  </w:style>
  <w:style w:type="paragraph" w:styleId="Date">
    <w:name w:val="Date"/>
    <w:basedOn w:val="Normal"/>
    <w:next w:val="Normal"/>
    <w:link w:val="DateChar"/>
    <w:rsid w:val="000870B6"/>
    <w:pPr>
      <w:spacing w:before="1134" w:after="800"/>
      <w:ind w:left="4536"/>
    </w:pPr>
    <w:rPr>
      <w:rFonts w:ascii="Arial" w:eastAsia="Times New Roman" w:hAnsi="Arial" w:cs="Tahoma"/>
      <w:b/>
      <w:sz w:val="36"/>
      <w:lang w:eastAsia="en-AU"/>
    </w:rPr>
  </w:style>
  <w:style w:type="character" w:customStyle="1" w:styleId="DateChar">
    <w:name w:val="Date Char"/>
    <w:basedOn w:val="DefaultParagraphFont"/>
    <w:link w:val="Date"/>
    <w:rsid w:val="000870B6"/>
    <w:rPr>
      <w:rFonts w:ascii="Arial" w:eastAsia="Times New Roman" w:hAnsi="Arial" w:cs="Tahoma"/>
      <w:b/>
      <w:sz w:val="36"/>
      <w:lang w:eastAsia="en-AU"/>
    </w:rPr>
  </w:style>
  <w:style w:type="paragraph" w:customStyle="1" w:styleId="PublicationTitle">
    <w:name w:val="PublicationTitle"/>
    <w:basedOn w:val="Normal"/>
    <w:rsid w:val="000870B6"/>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401DBF"/>
    <w:pPr>
      <w:spacing w:before="1701"/>
      <w:ind w:left="4536"/>
    </w:pPr>
    <w:rPr>
      <w:rFonts w:ascii="Arial" w:eastAsia="Times New Roman" w:hAnsi="Arial" w:cs="Tahoma"/>
      <w:b/>
      <w:sz w:val="32"/>
      <w:lang w:eastAsia="en-AU"/>
    </w:rPr>
  </w:style>
  <w:style w:type="paragraph" w:customStyle="1" w:styleId="Nnumberedlist">
    <w:name w:val="Nnumbered list"/>
    <w:basedOn w:val="Normal"/>
    <w:rsid w:val="00AF3D39"/>
    <w:pPr>
      <w:numPr>
        <w:numId w:val="8"/>
      </w:numPr>
      <w:jc w:val="both"/>
    </w:pPr>
    <w:rPr>
      <w:rFonts w:ascii="Calibri" w:eastAsia="Times New Roman" w:hAnsi="Calibri" w:cs="Tahoma"/>
      <w:lang w:eastAsia="en-AU"/>
    </w:rPr>
  </w:style>
  <w:style w:type="paragraph" w:styleId="TOCHeading">
    <w:name w:val="TOC Heading"/>
    <w:basedOn w:val="Heading1"/>
    <w:next w:val="Normal"/>
    <w:uiPriority w:val="39"/>
    <w:unhideWhenUsed/>
    <w:qFormat/>
    <w:rsid w:val="00DE7099"/>
    <w:pPr>
      <w:numPr>
        <w:numId w:val="0"/>
      </w:numPr>
      <w:pBdr>
        <w:bottom w:val="none" w:sz="0" w:space="0" w:color="auto"/>
      </w:pBdr>
      <w:spacing w:before="240" w:after="0" w:line="259" w:lineRule="auto"/>
      <w:outlineLvl w:val="9"/>
    </w:pPr>
    <w:rPr>
      <w:rFonts w:asciiTheme="majorHAnsi" w:hAnsiTheme="majorHAnsi"/>
      <w:color w:val="2E74B5" w:themeColor="accent1" w:themeShade="BF"/>
      <w:sz w:val="32"/>
      <w:lang w:val="en-US"/>
    </w:rPr>
  </w:style>
  <w:style w:type="paragraph" w:styleId="TOC4">
    <w:name w:val="toc 4"/>
    <w:basedOn w:val="Normal"/>
    <w:next w:val="Normal"/>
    <w:autoRedefine/>
    <w:uiPriority w:val="39"/>
    <w:unhideWhenUsed/>
    <w:rsid w:val="00DE7099"/>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DE7099"/>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DE7099"/>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DE7099"/>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DE7099"/>
    <w:pPr>
      <w:spacing w:after="100"/>
      <w:ind w:left="1540"/>
    </w:pPr>
    <w:rPr>
      <w:rFonts w:asciiTheme="minorHAnsi" w:eastAsiaTheme="minorEastAsia" w:hAnsiTheme="minorHAnsi"/>
      <w:lang w:eastAsia="en-AU"/>
    </w:rPr>
  </w:style>
  <w:style w:type="paragraph" w:customStyle="1" w:styleId="In-tableHeading">
    <w:name w:val="In-table Heading"/>
    <w:qFormat/>
    <w:rsid w:val="000472D4"/>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Footer">
    <w:name w:val="Table/Figure Footer"/>
    <w:basedOn w:val="Normal"/>
    <w:link w:val="TableFigureFooterChar"/>
    <w:qFormat/>
    <w:rsid w:val="009A06F4"/>
    <w:pPr>
      <w:tabs>
        <w:tab w:val="left" w:pos="284"/>
      </w:tabs>
      <w:spacing w:after="360" w:line="240" w:lineRule="auto"/>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9A06F4"/>
    <w:rPr>
      <w:rFonts w:ascii="Arial Narrow" w:eastAsia="Times New Roman" w:hAnsi="Arial Narrow" w:cs="Arial"/>
      <w:snapToGrid w:val="0"/>
      <w:sz w:val="18"/>
      <w:lang w:eastAsia="en-AU"/>
    </w:rPr>
  </w:style>
  <w:style w:type="character" w:styleId="Emphasis">
    <w:name w:val="Emphasis"/>
    <w:uiPriority w:val="20"/>
    <w:qFormat/>
    <w:rsid w:val="00566298"/>
    <w:rPr>
      <w:i/>
      <w:iCs/>
    </w:rPr>
  </w:style>
  <w:style w:type="paragraph" w:styleId="Header">
    <w:name w:val="header"/>
    <w:basedOn w:val="Normal"/>
    <w:link w:val="HeaderChar"/>
    <w:uiPriority w:val="99"/>
    <w:unhideWhenUsed/>
    <w:rsid w:val="00B62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F2"/>
    <w:rPr>
      <w:rFonts w:ascii="Franklin Gothic Book" w:hAnsi="Franklin Gothic Book"/>
    </w:rPr>
  </w:style>
  <w:style w:type="paragraph" w:styleId="Footer">
    <w:name w:val="footer"/>
    <w:basedOn w:val="Normal"/>
    <w:link w:val="FooterChar"/>
    <w:uiPriority w:val="99"/>
    <w:unhideWhenUsed/>
    <w:rsid w:val="00B62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F2"/>
    <w:rPr>
      <w:rFonts w:ascii="Franklin Gothic Book" w:hAnsi="Franklin Gothic Book"/>
    </w:rPr>
  </w:style>
  <w:style w:type="paragraph" w:customStyle="1" w:styleId="Tablenotes">
    <w:name w:val="Tablenotes"/>
    <w:basedOn w:val="Normal"/>
    <w:link w:val="TablenotesChar"/>
    <w:qFormat/>
    <w:rsid w:val="00242F4E"/>
    <w:pPr>
      <w:widowControl w:val="0"/>
      <w:spacing w:after="120" w:line="240" w:lineRule="auto"/>
      <w:contextualSpacing/>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242F4E"/>
    <w:rPr>
      <w:rFonts w:ascii="Arial Narrow" w:eastAsia="Times New Roman" w:hAnsi="Arial Narrow" w:cs="Arial"/>
      <w:snapToGrid w:val="0"/>
      <w:sz w:val="18"/>
      <w:szCs w:val="20"/>
    </w:rPr>
  </w:style>
  <w:style w:type="character" w:customStyle="1" w:styleId="ListParagraphChar">
    <w:name w:val="List Paragraph Char"/>
    <w:basedOn w:val="DefaultParagraphFont"/>
    <w:link w:val="ListParagraph"/>
    <w:uiPriority w:val="34"/>
    <w:rsid w:val="00A454B3"/>
    <w:rPr>
      <w:rFonts w:ascii="Franklin Gothic Book" w:hAnsi="Franklin Gothic Book"/>
    </w:rPr>
  </w:style>
  <w:style w:type="table" w:customStyle="1" w:styleId="TableGridLight1">
    <w:name w:val="Table Grid Light1"/>
    <w:basedOn w:val="TableNormal"/>
    <w:uiPriority w:val="40"/>
    <w:rsid w:val="00BA59FB"/>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
    <w:name w:val="Bullet"/>
    <w:basedOn w:val="Normal"/>
    <w:qFormat/>
    <w:rsid w:val="00E47AEE"/>
    <w:pPr>
      <w:numPr>
        <w:numId w:val="9"/>
      </w:numPr>
      <w:spacing w:after="120" w:line="240" w:lineRule="auto"/>
    </w:pPr>
  </w:style>
  <w:style w:type="paragraph" w:customStyle="1" w:styleId="TableFigureHeading">
    <w:name w:val="Table/Figure Heading"/>
    <w:next w:val="In-tableHeading"/>
    <w:link w:val="TableFigureHeadingChar"/>
    <w:qFormat/>
    <w:rsid w:val="00F257B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257B5"/>
    <w:rPr>
      <w:rFonts w:ascii="Arial Narrow" w:eastAsiaTheme="majorEastAsia" w:hAnsi="Arial Narrow" w:cstheme="majorBidi"/>
      <w:b/>
      <w:bCs/>
      <w:sz w:val="20"/>
      <w:szCs w:val="24"/>
      <w:lang w:eastAsia="en-AU"/>
    </w:rPr>
  </w:style>
  <w:style w:type="paragraph" w:customStyle="1" w:styleId="Tabletext0">
    <w:name w:val="Table text"/>
    <w:basedOn w:val="Normal"/>
    <w:link w:val="TabletextChar0"/>
    <w:qFormat/>
    <w:rsid w:val="001B2CD4"/>
    <w:pPr>
      <w:spacing w:before="40" w:after="40" w:line="240" w:lineRule="auto"/>
      <w:jc w:val="both"/>
    </w:pPr>
    <w:rPr>
      <w:rFonts w:ascii="Arial Narrow" w:eastAsia="Times New Roman" w:hAnsi="Arial Narrow" w:cs="Tahoma"/>
      <w:sz w:val="20"/>
      <w:szCs w:val="20"/>
      <w:lang w:eastAsia="en-AU"/>
    </w:rPr>
  </w:style>
  <w:style w:type="character" w:customStyle="1" w:styleId="TabletextChar0">
    <w:name w:val="Table text Char"/>
    <w:link w:val="Tabletext0"/>
    <w:rsid w:val="001B2CD4"/>
    <w:rPr>
      <w:rFonts w:ascii="Arial Narrow" w:eastAsia="Times New Roman" w:hAnsi="Arial Narrow" w:cs="Tahoma"/>
      <w:sz w:val="20"/>
      <w:szCs w:val="20"/>
      <w:lang w:eastAsia="en-AU"/>
    </w:rPr>
  </w:style>
  <w:style w:type="paragraph" w:customStyle="1" w:styleId="Tablenotes0">
    <w:name w:val="Table notes"/>
    <w:basedOn w:val="Normal"/>
    <w:link w:val="TablenotesChar0"/>
    <w:qFormat/>
    <w:rsid w:val="00364A7B"/>
    <w:pPr>
      <w:spacing w:before="60" w:after="240"/>
      <w:contextualSpacing/>
      <w:jc w:val="both"/>
    </w:pPr>
    <w:rPr>
      <w:rFonts w:ascii="Arial Narrow" w:hAnsi="Arial Narrow" w:cs="Arial"/>
      <w:sz w:val="18"/>
    </w:rPr>
  </w:style>
  <w:style w:type="character" w:customStyle="1" w:styleId="TablenotesChar0">
    <w:name w:val="Table notes Char"/>
    <w:basedOn w:val="DefaultParagraphFont"/>
    <w:link w:val="Tablenotes0"/>
    <w:rsid w:val="00364A7B"/>
    <w:rPr>
      <w:rFonts w:ascii="Arial Narrow" w:hAnsi="Arial Narrow" w:cs="Arial"/>
      <w:sz w:val="18"/>
    </w:rPr>
  </w:style>
  <w:style w:type="numbering" w:customStyle="1" w:styleId="ESSectionheading-numbered">
    <w:name w:val="ES. Section heading - numbered"/>
    <w:uiPriority w:val="99"/>
    <w:rsid w:val="002A4084"/>
    <w:pPr>
      <w:numPr>
        <w:numId w:val="10"/>
      </w:numPr>
    </w:pPr>
  </w:style>
  <w:style w:type="paragraph" w:customStyle="1" w:styleId="2-SectionHeading">
    <w:name w:val="2-Section Heading"/>
    <w:qFormat/>
    <w:rsid w:val="005131D3"/>
    <w:pPr>
      <w:keepNext/>
      <w:numPr>
        <w:numId w:val="11"/>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basedOn w:val="ListParagraph"/>
    <w:qFormat/>
    <w:rsid w:val="005131D3"/>
    <w:pPr>
      <w:numPr>
        <w:ilvl w:val="1"/>
        <w:numId w:val="11"/>
      </w:numPr>
      <w:spacing w:after="120" w:line="240" w:lineRule="auto"/>
      <w:contextualSpacing w:val="0"/>
      <w:jc w:val="both"/>
    </w:pPr>
    <w:rPr>
      <w:rFonts w:asciiTheme="minorHAnsi" w:eastAsia="Times New Roman" w:hAnsiTheme="minorHAnsi" w:cs="Arial"/>
      <w:snapToGrid w:val="0"/>
      <w:sz w:val="24"/>
      <w:szCs w:val="24"/>
      <w:lang w:eastAsia="en-AU"/>
    </w:rPr>
  </w:style>
  <w:style w:type="paragraph" w:customStyle="1" w:styleId="BoxName">
    <w:name w:val="Box Name"/>
    <w:basedOn w:val="Normal"/>
    <w:qFormat/>
    <w:rsid w:val="002B667C"/>
    <w:pPr>
      <w:pBdr>
        <w:top w:val="single" w:sz="4" w:space="4" w:color="auto"/>
        <w:left w:val="single" w:sz="4" w:space="4" w:color="auto"/>
        <w:bottom w:val="single" w:sz="4" w:space="4" w:color="auto"/>
        <w:right w:val="single" w:sz="4" w:space="4" w:color="auto"/>
      </w:pBdr>
      <w:spacing w:after="120" w:line="240" w:lineRule="auto"/>
    </w:pPr>
    <w:rPr>
      <w:rFonts w:ascii="Franklin Gothic Medium" w:hAnsi="Franklin Gothic Medium"/>
      <w:sz w:val="21"/>
    </w:rPr>
  </w:style>
  <w:style w:type="character" w:customStyle="1" w:styleId="InstructionBulletpointChar">
    <w:name w:val="Instruction Bullet point Char"/>
    <w:basedOn w:val="DefaultParagraphFont"/>
    <w:link w:val="InstructionBulletpoint"/>
    <w:uiPriority w:val="3"/>
    <w:locked/>
    <w:rsid w:val="00107DCD"/>
    <w:rPr>
      <w:rFonts w:ascii="Calibri" w:hAnsi="Calibri" w:cs="Calibri"/>
      <w:color w:val="0070C0"/>
      <w:sz w:val="24"/>
    </w:rPr>
  </w:style>
  <w:style w:type="paragraph" w:customStyle="1" w:styleId="InstructionBulletpoint">
    <w:name w:val="Instruction Bullet point"/>
    <w:basedOn w:val="Normal"/>
    <w:link w:val="InstructionBulletpointChar"/>
    <w:uiPriority w:val="3"/>
    <w:qFormat/>
    <w:rsid w:val="00107DCD"/>
    <w:pPr>
      <w:numPr>
        <w:numId w:val="12"/>
      </w:numPr>
      <w:spacing w:after="120" w:line="240" w:lineRule="auto"/>
    </w:pPr>
    <w:rPr>
      <w:rFonts w:ascii="Calibri" w:hAnsi="Calibri" w:cs="Calibri"/>
      <w:color w:val="0070C0"/>
      <w:sz w:val="24"/>
    </w:rPr>
  </w:style>
  <w:style w:type="character" w:customStyle="1" w:styleId="TableFooterChar">
    <w:name w:val="Table Footer Char"/>
    <w:link w:val="TableFooter"/>
    <w:locked/>
    <w:rsid w:val="007B0880"/>
    <w:rPr>
      <w:rFonts w:ascii="Arial Narrow" w:eastAsia="Times New Roman" w:hAnsi="Arial Narrow" w:cs="Arial"/>
      <w:sz w:val="18"/>
      <w:szCs w:val="20"/>
    </w:rPr>
  </w:style>
  <w:style w:type="paragraph" w:customStyle="1" w:styleId="TableFooter">
    <w:name w:val="Table Footer"/>
    <w:basedOn w:val="Normal"/>
    <w:link w:val="TableFooterChar"/>
    <w:qFormat/>
    <w:rsid w:val="007B0880"/>
    <w:pPr>
      <w:widowControl w:val="0"/>
      <w:snapToGrid w:val="0"/>
      <w:spacing w:after="240" w:line="240" w:lineRule="auto"/>
      <w:contextualSpacing/>
      <w:jc w:val="both"/>
    </w:pPr>
    <w:rPr>
      <w:rFonts w:ascii="Arial Narrow" w:eastAsia="Times New Roman" w:hAnsi="Arial Narrow" w:cs="Arial"/>
      <w:sz w:val="18"/>
      <w:szCs w:val="20"/>
    </w:rPr>
  </w:style>
  <w:style w:type="table" w:customStyle="1" w:styleId="PBACTableStyle">
    <w:name w:val="PBAC Table Style"/>
    <w:basedOn w:val="TableGrid10"/>
    <w:uiPriority w:val="99"/>
    <w:rsid w:val="007B0880"/>
    <w:pPr>
      <w:widowControl w:val="0"/>
      <w:spacing w:before="120" w:after="0" w:line="240" w:lineRule="auto"/>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Montserrat" w:hAnsi="Montserrat"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Montserrat" w:hAnsi="Montserrat"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Montserrat" w:hAnsi="Montserrat" w:hint="default"/>
        <w:i/>
        <w:iCs/>
        <w:sz w:val="20"/>
        <w:szCs w:val="20"/>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B0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MSACESParagraphChar">
    <w:name w:val="MSAC ES Paragraph Char"/>
    <w:basedOn w:val="DefaultParagraphFont"/>
    <w:link w:val="MSACESParagraph"/>
    <w:uiPriority w:val="1"/>
    <w:locked/>
    <w:rsid w:val="000B720C"/>
    <w:rPr>
      <w:rFonts w:ascii="Times New Roman" w:hAnsi="Times New Roman" w:cs="Times New Roman"/>
      <w:sz w:val="24"/>
    </w:rPr>
  </w:style>
  <w:style w:type="paragraph" w:customStyle="1" w:styleId="MSACESParagraph">
    <w:name w:val="MSAC ES Paragraph"/>
    <w:link w:val="MSACESParagraphChar"/>
    <w:uiPriority w:val="1"/>
    <w:qFormat/>
    <w:rsid w:val="000B720C"/>
    <w:pPr>
      <w:spacing w:after="24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804632"/>
    <w:pPr>
      <w:spacing w:after="0" w:line="240" w:lineRule="auto"/>
    </w:pPr>
    <w:rPr>
      <w:rFonts w:asciiTheme="minorHAnsi" w:hAnsiTheme="minorHAnsi"/>
      <w:sz w:val="18"/>
      <w:szCs w:val="20"/>
    </w:rPr>
  </w:style>
  <w:style w:type="character" w:customStyle="1" w:styleId="FootnoteTextChar">
    <w:name w:val="Footnote Text Char"/>
    <w:basedOn w:val="DefaultParagraphFont"/>
    <w:link w:val="FootnoteText"/>
    <w:uiPriority w:val="99"/>
    <w:rsid w:val="00804632"/>
    <w:rPr>
      <w:sz w:val="18"/>
      <w:szCs w:val="20"/>
    </w:rPr>
  </w:style>
  <w:style w:type="character" w:styleId="FootnoteReference">
    <w:name w:val="footnote reference"/>
    <w:basedOn w:val="DefaultParagraphFont"/>
    <w:uiPriority w:val="99"/>
    <w:unhideWhenUsed/>
    <w:rsid w:val="00804632"/>
    <w:rPr>
      <w:vertAlign w:val="superscript"/>
    </w:rPr>
  </w:style>
  <w:style w:type="paragraph" w:customStyle="1" w:styleId="TableFigNoteHanging">
    <w:name w:val="TableFigNoteHanging"/>
    <w:basedOn w:val="TableFigNoteHangingLast"/>
    <w:qFormat/>
    <w:rsid w:val="00804632"/>
    <w:pPr>
      <w:spacing w:after="0"/>
      <w:contextualSpacing w:val="0"/>
    </w:pPr>
    <w:rPr>
      <w:rFonts w:asciiTheme="minorHAnsi" w:hAnsiTheme="minorHAnsi"/>
    </w:rPr>
  </w:style>
  <w:style w:type="table" w:customStyle="1" w:styleId="TableGrid2">
    <w:name w:val="Table Grid2"/>
    <w:basedOn w:val="TableNormal"/>
    <w:next w:val="TableGrid"/>
    <w:uiPriority w:val="59"/>
    <w:rsid w:val="00804632"/>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boxheading">
    <w:name w:val="Summary box heading"/>
    <w:basedOn w:val="Normal"/>
    <w:rsid w:val="00666A58"/>
    <w:pPr>
      <w:spacing w:after="100" w:afterAutospacing="1"/>
      <w:jc w:val="both"/>
    </w:pPr>
    <w:rPr>
      <w:rFonts w:ascii="Arial Narrow" w:eastAsia="Times New Roman" w:hAnsi="Arial Narrow" w:cs="Tahoma"/>
      <w:b/>
      <w:lang w:eastAsia="en-AU"/>
    </w:rPr>
  </w:style>
  <w:style w:type="paragraph" w:customStyle="1" w:styleId="TableText1">
    <w:name w:val="TableText"/>
    <w:basedOn w:val="Normal"/>
    <w:link w:val="TableTextChar1"/>
    <w:rsid w:val="001C2A48"/>
    <w:pPr>
      <w:keepNext/>
      <w:spacing w:before="40" w:after="40"/>
      <w:jc w:val="both"/>
    </w:pPr>
    <w:rPr>
      <w:rFonts w:ascii="Arial Narrow" w:eastAsia="Times New Roman" w:hAnsi="Arial Narrow" w:cs="Tahoma"/>
      <w:sz w:val="18"/>
      <w:lang w:eastAsia="en-AU"/>
    </w:rPr>
  </w:style>
  <w:style w:type="character" w:customStyle="1" w:styleId="TableTextChar1">
    <w:name w:val="TableText Char"/>
    <w:link w:val="TableText1"/>
    <w:rsid w:val="001C2A48"/>
    <w:rPr>
      <w:rFonts w:ascii="Arial Narrow" w:eastAsia="Times New Roman" w:hAnsi="Arial Narrow" w:cs="Tahoma"/>
      <w:sz w:val="18"/>
      <w:lang w:eastAsia="en-AU"/>
    </w:rPr>
  </w:style>
  <w:style w:type="paragraph" w:customStyle="1" w:styleId="References">
    <w:name w:val="References"/>
    <w:basedOn w:val="Normal"/>
    <w:rsid w:val="001C2A48"/>
    <w:pPr>
      <w:keepLines/>
      <w:spacing w:after="240" w:line="312" w:lineRule="auto"/>
      <w:ind w:left="1440" w:hanging="720"/>
    </w:pPr>
    <w:rPr>
      <w:rFonts w:ascii="Calibri" w:eastAsia="Times New Roman" w:hAnsi="Calibri" w:cs="Tahoma"/>
      <w:lang w:eastAsia="en-AU"/>
    </w:rPr>
  </w:style>
  <w:style w:type="paragraph" w:styleId="Title">
    <w:name w:val="Title"/>
    <w:basedOn w:val="Normal"/>
    <w:next w:val="Normal"/>
    <w:link w:val="TitleChar"/>
    <w:qFormat/>
    <w:rsid w:val="00772829"/>
    <w:pPr>
      <w:spacing w:before="480" w:after="240" w:line="240" w:lineRule="auto"/>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772829"/>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772829"/>
    <w:pPr>
      <w:spacing w:after="240" w:line="240" w:lineRule="auto"/>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772829"/>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2C70CE"/>
    <w:pPr>
      <w:numPr>
        <w:ilvl w:val="0"/>
        <w:numId w:val="13"/>
      </w:numPr>
      <w:spacing w:before="240"/>
    </w:pPr>
  </w:style>
  <w:style w:type="paragraph" w:customStyle="1" w:styleId="NormalBeforeBullet">
    <w:name w:val="Normal Before Bullet"/>
    <w:basedOn w:val="Normal"/>
    <w:qFormat/>
    <w:rsid w:val="00613114"/>
    <w:pPr>
      <w:keepNext/>
      <w:spacing w:after="120" w:line="240" w:lineRule="auto"/>
    </w:pPr>
  </w:style>
  <w:style w:type="paragraph" w:customStyle="1" w:styleId="Dash">
    <w:name w:val="Dash"/>
    <w:basedOn w:val="Bullet"/>
    <w:qFormat/>
    <w:rsid w:val="00091C59"/>
    <w:pPr>
      <w:numPr>
        <w:numId w:val="14"/>
      </w:numPr>
      <w:spacing w:after="40"/>
    </w:pPr>
  </w:style>
  <w:style w:type="paragraph" w:customStyle="1" w:styleId="Instructionaltext">
    <w:name w:val="Instructional text"/>
    <w:basedOn w:val="Normal"/>
    <w:link w:val="InstructionaltextChar"/>
    <w:qFormat/>
    <w:rsid w:val="00E436A2"/>
    <w:rPr>
      <w:color w:val="258221"/>
    </w:rPr>
  </w:style>
  <w:style w:type="character" w:customStyle="1" w:styleId="UnresolvedMention1">
    <w:name w:val="Unresolved Mention1"/>
    <w:basedOn w:val="DefaultParagraphFont"/>
    <w:uiPriority w:val="99"/>
    <w:semiHidden/>
    <w:unhideWhenUsed/>
    <w:rsid w:val="00997BA8"/>
    <w:rPr>
      <w:color w:val="605E5C"/>
      <w:shd w:val="clear" w:color="auto" w:fill="E1DFDD"/>
    </w:rPr>
  </w:style>
  <w:style w:type="character" w:customStyle="1" w:styleId="InstructionaltextChar">
    <w:name w:val="Instructional text Char"/>
    <w:basedOn w:val="DefaultParagraphFont"/>
    <w:link w:val="Instructionaltext"/>
    <w:rsid w:val="00DF39E9"/>
    <w:rPr>
      <w:rFonts w:ascii="Franklin Gothic Book" w:hAnsi="Franklin Gothic Book"/>
      <w:color w:val="258221"/>
    </w:rPr>
  </w:style>
  <w:style w:type="paragraph" w:customStyle="1" w:styleId="Instructionaltext-bullet">
    <w:name w:val="Instructional text - bullet"/>
    <w:basedOn w:val="Instructionaltext"/>
    <w:qFormat/>
    <w:rsid w:val="002463A6"/>
    <w:pPr>
      <w:numPr>
        <w:numId w:val="15"/>
      </w:numPr>
      <w:spacing w:before="0" w:after="0"/>
    </w:pPr>
  </w:style>
  <w:style w:type="paragraph" w:customStyle="1" w:styleId="Instructionaltext-afterfiguretable">
    <w:name w:val="Instructional text - after figure/table"/>
    <w:basedOn w:val="Instructionaltext"/>
    <w:qFormat/>
    <w:rsid w:val="00B151CF"/>
    <w:pPr>
      <w:spacing w:before="360"/>
    </w:pPr>
  </w:style>
  <w:style w:type="paragraph" w:customStyle="1" w:styleId="Guidelinescross-ref">
    <w:name w:val="Guidelines cross-ref"/>
    <w:basedOn w:val="Normal"/>
    <w:qFormat/>
    <w:rsid w:val="005B7D6C"/>
    <w:pPr>
      <w:spacing w:before="240" w:after="240"/>
    </w:pPr>
    <w:rPr>
      <w:b/>
      <w:color w:val="0070C0"/>
      <w:sz w:val="24"/>
    </w:rPr>
  </w:style>
  <w:style w:type="paragraph" w:styleId="Revision">
    <w:name w:val="Revision"/>
    <w:hidden/>
    <w:uiPriority w:val="99"/>
    <w:semiHidden/>
    <w:rsid w:val="00610ABA"/>
    <w:pPr>
      <w:spacing w:after="0" w:line="240" w:lineRule="auto"/>
    </w:pPr>
    <w:rPr>
      <w:rFonts w:ascii="Franklin Gothic Book" w:hAnsi="Franklin Gothic Book"/>
    </w:rPr>
  </w:style>
  <w:style w:type="character" w:customStyle="1" w:styleId="UnresolvedMention2">
    <w:name w:val="Unresolved Mention2"/>
    <w:basedOn w:val="DefaultParagraphFont"/>
    <w:uiPriority w:val="99"/>
    <w:semiHidden/>
    <w:unhideWhenUsed/>
    <w:rsid w:val="00223664"/>
    <w:rPr>
      <w:color w:val="605E5C"/>
      <w:shd w:val="clear" w:color="auto" w:fill="E1DFDD"/>
    </w:rPr>
  </w:style>
  <w:style w:type="character" w:customStyle="1" w:styleId="normaltextrun">
    <w:name w:val="normaltextrun"/>
    <w:basedOn w:val="DefaultParagraphFont"/>
    <w:rsid w:val="00B83AE3"/>
  </w:style>
  <w:style w:type="character" w:styleId="UnresolvedMention">
    <w:name w:val="Unresolved Mention"/>
    <w:basedOn w:val="DefaultParagraphFont"/>
    <w:uiPriority w:val="99"/>
    <w:semiHidden/>
    <w:unhideWhenUsed/>
    <w:rsid w:val="007F1587"/>
    <w:rPr>
      <w:color w:val="605E5C"/>
      <w:shd w:val="clear" w:color="auto" w:fill="E1DFDD"/>
    </w:rPr>
  </w:style>
  <w:style w:type="character" w:customStyle="1" w:styleId="padding-left-05">
    <w:name w:val="padding-left-05"/>
    <w:basedOn w:val="DefaultParagraphFont"/>
    <w:rsid w:val="00CE3F28"/>
  </w:style>
  <w:style w:type="character" w:customStyle="1" w:styleId="Tabletext8ptChar">
    <w:name w:val="Table text 8pt Char"/>
    <w:basedOn w:val="DefaultParagraphFont"/>
    <w:link w:val="Tabletext8pt"/>
    <w:rsid w:val="008B7289"/>
    <w:rPr>
      <w:rFonts w:ascii="Montserrat" w:hAnsi="Montserrat" w:cs="Calibri"/>
      <w:sz w:val="16"/>
      <w:szCs w:val="16"/>
    </w:rPr>
  </w:style>
  <w:style w:type="paragraph" w:customStyle="1" w:styleId="Tabletext8pt">
    <w:name w:val="Table text 8pt"/>
    <w:basedOn w:val="Normal"/>
    <w:link w:val="Tabletext8ptChar"/>
    <w:qFormat/>
    <w:rsid w:val="008B7289"/>
    <w:pPr>
      <w:keepLines/>
      <w:spacing w:before="40" w:after="40"/>
    </w:pPr>
    <w:rPr>
      <w:rFonts w:ascii="Montserrat" w:hAnsi="Montserrat" w:cs="Calibri"/>
      <w:sz w:val="16"/>
      <w:szCs w:val="16"/>
    </w:rPr>
  </w:style>
  <w:style w:type="character" w:customStyle="1" w:styleId="Heading5Char">
    <w:name w:val="Heading 5 Char"/>
    <w:basedOn w:val="DefaultParagraphFont"/>
    <w:link w:val="Heading5"/>
    <w:uiPriority w:val="9"/>
    <w:rsid w:val="00B24A25"/>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uiPriority w:val="5"/>
    <w:rsid w:val="00090A0E"/>
    <w:rPr>
      <w:rFonts w:ascii="Montserrat" w:eastAsia="Times New Roman" w:hAnsi="Montserrat" w:cs="Calibri"/>
      <w:bCs/>
      <w:iCs/>
      <w:color w:val="595959"/>
      <w:sz w:val="20"/>
      <w:szCs w:val="20"/>
    </w:rPr>
  </w:style>
  <w:style w:type="character" w:customStyle="1" w:styleId="Heading8Char">
    <w:name w:val="Heading 8 Char"/>
    <w:basedOn w:val="DefaultParagraphFont"/>
    <w:link w:val="Heading8"/>
    <w:uiPriority w:val="5"/>
    <w:rsid w:val="00090A0E"/>
    <w:rPr>
      <w:rFonts w:ascii="Montserrat" w:eastAsia="Times New Roman" w:hAnsi="Montserrat" w:cs="Calibri"/>
      <w:color w:val="404040"/>
      <w:sz w:val="18"/>
      <w:szCs w:val="20"/>
    </w:rPr>
  </w:style>
  <w:style w:type="character" w:customStyle="1" w:styleId="Heading9Char">
    <w:name w:val="Heading 9 Char"/>
    <w:basedOn w:val="DefaultParagraphFont"/>
    <w:link w:val="Heading9"/>
    <w:uiPriority w:val="5"/>
    <w:rsid w:val="00090A0E"/>
    <w:rPr>
      <w:rFonts w:ascii="Cambria" w:eastAsia="Times New Roman" w:hAnsi="Cambria" w:cs="Calibri"/>
      <w:i/>
      <w:iCs/>
      <w:color w:val="404040"/>
      <w:sz w:val="18"/>
      <w:szCs w:val="20"/>
    </w:rPr>
  </w:style>
  <w:style w:type="paragraph" w:customStyle="1" w:styleId="0CommentaryTabletextleft">
    <w:name w:val="0 Commentary Table text left"/>
    <w:basedOn w:val="Normal"/>
    <w:link w:val="0CommentaryTabletextleftChar"/>
    <w:qFormat/>
    <w:rsid w:val="00090A0E"/>
    <w:pPr>
      <w:spacing w:before="40" w:after="40" w:line="240" w:lineRule="auto"/>
    </w:pPr>
    <w:rPr>
      <w:rFonts w:ascii="Arial Narrow" w:hAnsi="Arial Narrow"/>
      <w:i/>
      <w:color w:val="0070C0"/>
      <w:sz w:val="20"/>
      <w:szCs w:val="20"/>
    </w:rPr>
  </w:style>
  <w:style w:type="character" w:customStyle="1" w:styleId="0CommentaryTabletextleftChar">
    <w:name w:val="0 Commentary Table text left Char"/>
    <w:basedOn w:val="DefaultParagraphFont"/>
    <w:link w:val="0CommentaryTabletextleft"/>
    <w:rsid w:val="00090A0E"/>
    <w:rPr>
      <w:rFonts w:ascii="Arial Narrow" w:hAnsi="Arial Narrow"/>
      <w:i/>
      <w:color w:val="0070C0"/>
      <w:sz w:val="20"/>
      <w:szCs w:val="20"/>
    </w:rPr>
  </w:style>
  <w:style w:type="paragraph" w:styleId="BodyText">
    <w:name w:val="Body Text"/>
    <w:basedOn w:val="Normal"/>
    <w:link w:val="BodyTextChar"/>
    <w:uiPriority w:val="99"/>
    <w:semiHidden/>
    <w:unhideWhenUsed/>
    <w:rsid w:val="00090A0E"/>
    <w:pPr>
      <w:spacing w:after="120"/>
    </w:pPr>
  </w:style>
  <w:style w:type="character" w:customStyle="1" w:styleId="BodyTextChar">
    <w:name w:val="Body Text Char"/>
    <w:basedOn w:val="DefaultParagraphFont"/>
    <w:link w:val="BodyText"/>
    <w:uiPriority w:val="99"/>
    <w:semiHidden/>
    <w:rsid w:val="00090A0E"/>
    <w:rPr>
      <w:rFonts w:ascii="Franklin Gothic Book" w:hAnsi="Franklin Gothic Book"/>
    </w:rPr>
  </w:style>
  <w:style w:type="table" w:customStyle="1" w:styleId="MSAC">
    <w:name w:val="MSAC"/>
    <w:basedOn w:val="TableNormal"/>
    <w:locked/>
    <w:rsid w:val="00E102E2"/>
    <w:pPr>
      <w:widowControl w:val="0"/>
      <w:spacing w:before="20" w:after="20" w:line="240" w:lineRule="auto"/>
    </w:pPr>
    <w:rPr>
      <w:rFonts w:ascii="Montserrat" w:eastAsia="Times New Roman" w:hAnsi="Montserrat" w:cs="Times New Roman"/>
      <w:sz w:val="18"/>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85" w:type="dxa"/>
        <w:right w:w="85" w:type="dxa"/>
      </w:tblCellMar>
    </w:tblPr>
    <w:tcPr>
      <w:vAlign w:val="center"/>
    </w:tcPr>
    <w:tblStylePr w:type="firstRow">
      <w:pPr>
        <w:wordWrap/>
        <w:spacing w:beforeLines="0" w:before="20" w:beforeAutospacing="0" w:afterLines="0" w:after="20" w:afterAutospacing="0"/>
      </w:pPr>
      <w:rPr>
        <w:rFonts w:ascii="Montserrat" w:hAnsi="Montserrat"/>
        <w:b/>
        <w:sz w:val="18"/>
      </w:rPr>
      <w:tblPr/>
      <w:trPr>
        <w:tblHeader/>
      </w:trPr>
      <w:tcPr>
        <w:vAlign w:val="top"/>
      </w:tcPr>
    </w:tblStylePr>
    <w:tblStylePr w:type="lastRow">
      <w:rPr>
        <w:b/>
      </w:rPr>
    </w:tblStylePr>
    <w:tblStylePr w:type="firstCol">
      <w:rPr>
        <w:b/>
      </w:rPr>
    </w:tblStylePr>
    <w:tblStylePr w:type="lastCol">
      <w:rPr>
        <w:b/>
      </w:rPr>
    </w:tblStylePr>
  </w:style>
  <w:style w:type="paragraph" w:customStyle="1" w:styleId="0CommentaryTablenotes">
    <w:name w:val="0 Commentary Table notes"/>
    <w:basedOn w:val="Normal"/>
    <w:link w:val="0CommentaryTablenotesChar"/>
    <w:qFormat/>
    <w:rsid w:val="00BC75A2"/>
    <w:pPr>
      <w:spacing w:before="0" w:after="360" w:line="264" w:lineRule="auto"/>
      <w:contextualSpacing/>
    </w:pPr>
    <w:rPr>
      <w:rFonts w:asciiTheme="minorHAnsi" w:eastAsiaTheme="minorEastAsia" w:hAnsiTheme="minorHAnsi" w:cs="Arial"/>
      <w:i/>
      <w:snapToGrid w:val="0"/>
      <w:color w:val="0070C0"/>
      <w:sz w:val="18"/>
      <w:szCs w:val="20"/>
    </w:rPr>
  </w:style>
  <w:style w:type="character" w:customStyle="1" w:styleId="0CommentaryTablenotesChar">
    <w:name w:val="0 Commentary Table notes Char"/>
    <w:basedOn w:val="DefaultParagraphFont"/>
    <w:link w:val="0CommentaryTablenotes"/>
    <w:rsid w:val="00BC75A2"/>
    <w:rPr>
      <w:rFonts w:eastAsiaTheme="minorEastAsia" w:cs="Arial"/>
      <w:i/>
      <w:snapToGrid w:val="0"/>
      <w:color w:val="0070C0"/>
      <w:sz w:val="18"/>
      <w:szCs w:val="20"/>
    </w:rPr>
  </w:style>
  <w:style w:type="table" w:customStyle="1" w:styleId="MSAC1">
    <w:name w:val="MSAC1"/>
    <w:basedOn w:val="TableNormal"/>
    <w:locked/>
    <w:rsid w:val="00BD0DDE"/>
    <w:pPr>
      <w:widowControl w:val="0"/>
      <w:spacing w:before="20" w:after="20" w:line="240" w:lineRule="auto"/>
    </w:pPr>
    <w:rPr>
      <w:rFonts w:ascii="Montserrat" w:eastAsia="Times New Roman" w:hAnsi="Montserrat" w:cs="Times New Roman"/>
      <w:sz w:val="18"/>
      <w:szCs w:val="20"/>
      <w:lang w:eastAsia="en-AU"/>
    </w:rPr>
    <w:tblPr>
      <w:tblBorders>
        <w:top w:val="single" w:sz="4" w:space="0" w:color="BABABA"/>
        <w:left w:val="single" w:sz="4" w:space="0" w:color="BABABA"/>
        <w:bottom w:val="single" w:sz="4" w:space="0" w:color="BABABA"/>
        <w:right w:val="single" w:sz="4" w:space="0" w:color="BABABA"/>
        <w:insideH w:val="single" w:sz="4" w:space="0" w:color="BABABA"/>
        <w:insideV w:val="single" w:sz="4" w:space="0" w:color="BABABA"/>
      </w:tblBorders>
      <w:tblCellMar>
        <w:left w:w="85" w:type="dxa"/>
        <w:right w:w="85" w:type="dxa"/>
      </w:tblCellMar>
    </w:tblPr>
    <w:tcPr>
      <w:vAlign w:val="center"/>
    </w:tcPr>
    <w:tblStylePr w:type="firstRow">
      <w:pPr>
        <w:wordWrap/>
        <w:spacing w:beforeLines="0" w:before="20" w:beforeAutospacing="0" w:afterLines="0" w:after="20" w:afterAutospacing="0"/>
      </w:pPr>
      <w:rPr>
        <w:rFonts w:ascii="Montserrat" w:hAnsi="Montserrat"/>
        <w:b/>
        <w:sz w:val="18"/>
      </w:rPr>
      <w:tblPr/>
      <w:trPr>
        <w:tblHeader/>
      </w:trPr>
      <w:tcPr>
        <w:vAlign w:val="top"/>
      </w:tcPr>
    </w:tblStylePr>
    <w:tblStylePr w:type="lastRow">
      <w:rPr>
        <w:b/>
      </w:rPr>
    </w:tblStylePr>
    <w:tblStylePr w:type="firstCol">
      <w:rPr>
        <w:b/>
      </w:rPr>
    </w:tblStylePr>
    <w:tblStylePr w:type="lastCol">
      <w:rPr>
        <w:b/>
      </w:rPr>
    </w:tblStylePr>
  </w:style>
  <w:style w:type="character" w:styleId="Mention">
    <w:name w:val="Mention"/>
    <w:basedOn w:val="DefaultParagraphFont"/>
    <w:uiPriority w:val="99"/>
    <w:unhideWhenUsed/>
    <w:rsid w:val="00550453"/>
    <w:rPr>
      <w:color w:val="2B579A"/>
      <w:shd w:val="clear" w:color="auto" w:fill="E1DFDD"/>
    </w:rPr>
  </w:style>
  <w:style w:type="paragraph" w:customStyle="1" w:styleId="Bullet12">
    <w:name w:val="Bullet+12"/>
    <w:basedOn w:val="Normal"/>
    <w:next w:val="BodyText"/>
    <w:link w:val="Bullet12Char"/>
    <w:qFormat/>
    <w:rsid w:val="0073599C"/>
    <w:pPr>
      <w:keepNext/>
      <w:keepLines/>
      <w:numPr>
        <w:numId w:val="28"/>
      </w:numPr>
      <w:tabs>
        <w:tab w:val="left" w:pos="765"/>
      </w:tabs>
      <w:spacing w:before="0" w:after="240" w:line="288" w:lineRule="auto"/>
      <w:contextualSpacing/>
    </w:pPr>
    <w:rPr>
      <w:rFonts w:ascii="Montserrat" w:eastAsia="Calibri" w:hAnsi="Montserrat" w:cs="Calibri"/>
      <w:sz w:val="18"/>
      <w:szCs w:val="20"/>
    </w:rPr>
  </w:style>
  <w:style w:type="character" w:customStyle="1" w:styleId="Bullet12Char">
    <w:name w:val="Bullet+12 Char"/>
    <w:basedOn w:val="DefaultParagraphFont"/>
    <w:link w:val="Bullet12"/>
    <w:rsid w:val="0073599C"/>
    <w:rPr>
      <w:rFonts w:ascii="Montserrat" w:eastAsia="Calibri" w:hAnsi="Montserrat" w:cs="Calibri"/>
      <w:sz w:val="18"/>
      <w:szCs w:val="20"/>
    </w:rPr>
  </w:style>
  <w:style w:type="paragraph" w:customStyle="1" w:styleId="0Commentarytext">
    <w:name w:val="0 Commentary text"/>
    <w:basedOn w:val="Normal"/>
    <w:link w:val="0CommentarytextChar"/>
    <w:qFormat/>
    <w:rsid w:val="0073599C"/>
    <w:pPr>
      <w:spacing w:before="0" w:after="120" w:line="264" w:lineRule="auto"/>
    </w:pPr>
    <w:rPr>
      <w:rFonts w:asciiTheme="minorHAnsi" w:eastAsiaTheme="minorEastAsia" w:hAnsiTheme="minorHAnsi" w:cs="Times New Roman"/>
      <w:i/>
      <w:snapToGrid w:val="0"/>
      <w:color w:val="0070C0"/>
      <w:szCs w:val="20"/>
      <w:lang w:eastAsia="en-AU"/>
    </w:rPr>
  </w:style>
  <w:style w:type="character" w:customStyle="1" w:styleId="0CommentarytextChar">
    <w:name w:val="0 Commentary text Char"/>
    <w:basedOn w:val="DefaultParagraphFont"/>
    <w:link w:val="0Commentarytext"/>
    <w:rsid w:val="0073599C"/>
    <w:rPr>
      <w:rFonts w:eastAsiaTheme="minorEastAsia" w:cs="Times New Roman"/>
      <w:i/>
      <w:snapToGrid w:val="0"/>
      <w:color w:val="0070C0"/>
      <w:szCs w:val="20"/>
      <w:lang w:eastAsia="en-AU"/>
    </w:rPr>
  </w:style>
  <w:style w:type="paragraph" w:customStyle="1" w:styleId="Normalbullet1">
    <w:name w:val="Normal bullet 1"/>
    <w:basedOn w:val="ListParagraph"/>
    <w:qFormat/>
    <w:rsid w:val="00D03C49"/>
    <w:pPr>
      <w:numPr>
        <w:numId w:val="30"/>
      </w:numPr>
      <w:spacing w:after="0" w:line="240" w:lineRule="auto"/>
    </w:pPr>
  </w:style>
  <w:style w:type="table" w:customStyle="1" w:styleId="Section3-footnot1">
    <w:name w:val="Section 3- footnot1"/>
    <w:basedOn w:val="TableNormal"/>
    <w:next w:val="TableGrid"/>
    <w:uiPriority w:val="59"/>
    <w:rsid w:val="00D03C49"/>
    <w:pPr>
      <w:spacing w:after="0" w:line="240" w:lineRule="auto"/>
    </w:pPr>
    <w:tblPr/>
  </w:style>
  <w:style w:type="table" w:customStyle="1" w:styleId="TableGrid11">
    <w:name w:val="Table Grid11"/>
    <w:basedOn w:val="TableNormal"/>
    <w:next w:val="TableGrid"/>
    <w:locked/>
    <w:rsid w:val="00BD57CE"/>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ontserrat" w:hAnsi="Montserrat"/>
        <w:b w:val="0"/>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5403">
      <w:bodyDiv w:val="1"/>
      <w:marLeft w:val="0"/>
      <w:marRight w:val="0"/>
      <w:marTop w:val="0"/>
      <w:marBottom w:val="0"/>
      <w:divBdr>
        <w:top w:val="none" w:sz="0" w:space="0" w:color="auto"/>
        <w:left w:val="none" w:sz="0" w:space="0" w:color="auto"/>
        <w:bottom w:val="none" w:sz="0" w:space="0" w:color="auto"/>
        <w:right w:val="none" w:sz="0" w:space="0" w:color="auto"/>
      </w:divBdr>
    </w:div>
    <w:div w:id="74130392">
      <w:bodyDiv w:val="1"/>
      <w:marLeft w:val="0"/>
      <w:marRight w:val="0"/>
      <w:marTop w:val="0"/>
      <w:marBottom w:val="0"/>
      <w:divBdr>
        <w:top w:val="none" w:sz="0" w:space="0" w:color="auto"/>
        <w:left w:val="none" w:sz="0" w:space="0" w:color="auto"/>
        <w:bottom w:val="none" w:sz="0" w:space="0" w:color="auto"/>
        <w:right w:val="none" w:sz="0" w:space="0" w:color="auto"/>
      </w:divBdr>
    </w:div>
    <w:div w:id="174998036">
      <w:bodyDiv w:val="1"/>
      <w:marLeft w:val="0"/>
      <w:marRight w:val="0"/>
      <w:marTop w:val="0"/>
      <w:marBottom w:val="0"/>
      <w:divBdr>
        <w:top w:val="none" w:sz="0" w:space="0" w:color="auto"/>
        <w:left w:val="none" w:sz="0" w:space="0" w:color="auto"/>
        <w:bottom w:val="none" w:sz="0" w:space="0" w:color="auto"/>
        <w:right w:val="none" w:sz="0" w:space="0" w:color="auto"/>
      </w:divBdr>
    </w:div>
    <w:div w:id="184029289">
      <w:bodyDiv w:val="1"/>
      <w:marLeft w:val="0"/>
      <w:marRight w:val="0"/>
      <w:marTop w:val="0"/>
      <w:marBottom w:val="0"/>
      <w:divBdr>
        <w:top w:val="none" w:sz="0" w:space="0" w:color="auto"/>
        <w:left w:val="none" w:sz="0" w:space="0" w:color="auto"/>
        <w:bottom w:val="none" w:sz="0" w:space="0" w:color="auto"/>
        <w:right w:val="none" w:sz="0" w:space="0" w:color="auto"/>
      </w:divBdr>
    </w:div>
    <w:div w:id="206991689">
      <w:bodyDiv w:val="1"/>
      <w:marLeft w:val="0"/>
      <w:marRight w:val="0"/>
      <w:marTop w:val="0"/>
      <w:marBottom w:val="0"/>
      <w:divBdr>
        <w:top w:val="none" w:sz="0" w:space="0" w:color="auto"/>
        <w:left w:val="none" w:sz="0" w:space="0" w:color="auto"/>
        <w:bottom w:val="none" w:sz="0" w:space="0" w:color="auto"/>
        <w:right w:val="none" w:sz="0" w:space="0" w:color="auto"/>
      </w:divBdr>
    </w:div>
    <w:div w:id="240987840">
      <w:bodyDiv w:val="1"/>
      <w:marLeft w:val="0"/>
      <w:marRight w:val="0"/>
      <w:marTop w:val="0"/>
      <w:marBottom w:val="0"/>
      <w:divBdr>
        <w:top w:val="none" w:sz="0" w:space="0" w:color="auto"/>
        <w:left w:val="none" w:sz="0" w:space="0" w:color="auto"/>
        <w:bottom w:val="none" w:sz="0" w:space="0" w:color="auto"/>
        <w:right w:val="none" w:sz="0" w:space="0" w:color="auto"/>
      </w:divBdr>
    </w:div>
    <w:div w:id="259148225">
      <w:bodyDiv w:val="1"/>
      <w:marLeft w:val="0"/>
      <w:marRight w:val="0"/>
      <w:marTop w:val="0"/>
      <w:marBottom w:val="0"/>
      <w:divBdr>
        <w:top w:val="none" w:sz="0" w:space="0" w:color="auto"/>
        <w:left w:val="none" w:sz="0" w:space="0" w:color="auto"/>
        <w:bottom w:val="none" w:sz="0" w:space="0" w:color="auto"/>
        <w:right w:val="none" w:sz="0" w:space="0" w:color="auto"/>
      </w:divBdr>
    </w:div>
    <w:div w:id="290325979">
      <w:bodyDiv w:val="1"/>
      <w:marLeft w:val="0"/>
      <w:marRight w:val="0"/>
      <w:marTop w:val="0"/>
      <w:marBottom w:val="0"/>
      <w:divBdr>
        <w:top w:val="none" w:sz="0" w:space="0" w:color="auto"/>
        <w:left w:val="none" w:sz="0" w:space="0" w:color="auto"/>
        <w:bottom w:val="none" w:sz="0" w:space="0" w:color="auto"/>
        <w:right w:val="none" w:sz="0" w:space="0" w:color="auto"/>
      </w:divBdr>
      <w:divsChild>
        <w:div w:id="80180730">
          <w:marLeft w:val="0"/>
          <w:marRight w:val="0"/>
          <w:marTop w:val="0"/>
          <w:marBottom w:val="0"/>
          <w:divBdr>
            <w:top w:val="none" w:sz="0" w:space="0" w:color="auto"/>
            <w:left w:val="none" w:sz="0" w:space="0" w:color="auto"/>
            <w:bottom w:val="none" w:sz="0" w:space="0" w:color="auto"/>
            <w:right w:val="none" w:sz="0" w:space="0" w:color="auto"/>
          </w:divBdr>
          <w:divsChild>
            <w:div w:id="20185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7560">
      <w:bodyDiv w:val="1"/>
      <w:marLeft w:val="0"/>
      <w:marRight w:val="0"/>
      <w:marTop w:val="0"/>
      <w:marBottom w:val="0"/>
      <w:divBdr>
        <w:top w:val="none" w:sz="0" w:space="0" w:color="auto"/>
        <w:left w:val="none" w:sz="0" w:space="0" w:color="auto"/>
        <w:bottom w:val="none" w:sz="0" w:space="0" w:color="auto"/>
        <w:right w:val="none" w:sz="0" w:space="0" w:color="auto"/>
      </w:divBdr>
      <w:divsChild>
        <w:div w:id="1846556950">
          <w:marLeft w:val="0"/>
          <w:marRight w:val="0"/>
          <w:marTop w:val="0"/>
          <w:marBottom w:val="0"/>
          <w:divBdr>
            <w:top w:val="none" w:sz="0" w:space="0" w:color="auto"/>
            <w:left w:val="none" w:sz="0" w:space="0" w:color="auto"/>
            <w:bottom w:val="none" w:sz="0" w:space="0" w:color="auto"/>
            <w:right w:val="none" w:sz="0" w:space="0" w:color="auto"/>
          </w:divBdr>
          <w:divsChild>
            <w:div w:id="20890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4979">
      <w:bodyDiv w:val="1"/>
      <w:marLeft w:val="0"/>
      <w:marRight w:val="0"/>
      <w:marTop w:val="0"/>
      <w:marBottom w:val="0"/>
      <w:divBdr>
        <w:top w:val="none" w:sz="0" w:space="0" w:color="auto"/>
        <w:left w:val="none" w:sz="0" w:space="0" w:color="auto"/>
        <w:bottom w:val="none" w:sz="0" w:space="0" w:color="auto"/>
        <w:right w:val="none" w:sz="0" w:space="0" w:color="auto"/>
      </w:divBdr>
      <w:divsChild>
        <w:div w:id="1117599798">
          <w:marLeft w:val="0"/>
          <w:marRight w:val="0"/>
          <w:marTop w:val="0"/>
          <w:marBottom w:val="0"/>
          <w:divBdr>
            <w:top w:val="none" w:sz="0" w:space="0" w:color="auto"/>
            <w:left w:val="none" w:sz="0" w:space="0" w:color="auto"/>
            <w:bottom w:val="none" w:sz="0" w:space="0" w:color="auto"/>
            <w:right w:val="none" w:sz="0" w:space="0" w:color="auto"/>
          </w:divBdr>
          <w:divsChild>
            <w:div w:id="17928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4198">
      <w:bodyDiv w:val="1"/>
      <w:marLeft w:val="0"/>
      <w:marRight w:val="0"/>
      <w:marTop w:val="0"/>
      <w:marBottom w:val="0"/>
      <w:divBdr>
        <w:top w:val="none" w:sz="0" w:space="0" w:color="auto"/>
        <w:left w:val="none" w:sz="0" w:space="0" w:color="auto"/>
        <w:bottom w:val="none" w:sz="0" w:space="0" w:color="auto"/>
        <w:right w:val="none" w:sz="0" w:space="0" w:color="auto"/>
      </w:divBdr>
    </w:div>
    <w:div w:id="381249859">
      <w:bodyDiv w:val="1"/>
      <w:marLeft w:val="0"/>
      <w:marRight w:val="0"/>
      <w:marTop w:val="0"/>
      <w:marBottom w:val="0"/>
      <w:divBdr>
        <w:top w:val="none" w:sz="0" w:space="0" w:color="auto"/>
        <w:left w:val="none" w:sz="0" w:space="0" w:color="auto"/>
        <w:bottom w:val="none" w:sz="0" w:space="0" w:color="auto"/>
        <w:right w:val="none" w:sz="0" w:space="0" w:color="auto"/>
      </w:divBdr>
    </w:div>
    <w:div w:id="388959748">
      <w:bodyDiv w:val="1"/>
      <w:marLeft w:val="0"/>
      <w:marRight w:val="0"/>
      <w:marTop w:val="0"/>
      <w:marBottom w:val="0"/>
      <w:divBdr>
        <w:top w:val="none" w:sz="0" w:space="0" w:color="auto"/>
        <w:left w:val="none" w:sz="0" w:space="0" w:color="auto"/>
        <w:bottom w:val="none" w:sz="0" w:space="0" w:color="auto"/>
        <w:right w:val="none" w:sz="0" w:space="0" w:color="auto"/>
      </w:divBdr>
    </w:div>
    <w:div w:id="393283070">
      <w:bodyDiv w:val="1"/>
      <w:marLeft w:val="0"/>
      <w:marRight w:val="0"/>
      <w:marTop w:val="0"/>
      <w:marBottom w:val="0"/>
      <w:divBdr>
        <w:top w:val="none" w:sz="0" w:space="0" w:color="auto"/>
        <w:left w:val="none" w:sz="0" w:space="0" w:color="auto"/>
        <w:bottom w:val="none" w:sz="0" w:space="0" w:color="auto"/>
        <w:right w:val="none" w:sz="0" w:space="0" w:color="auto"/>
      </w:divBdr>
    </w:div>
    <w:div w:id="414280912">
      <w:bodyDiv w:val="1"/>
      <w:marLeft w:val="0"/>
      <w:marRight w:val="0"/>
      <w:marTop w:val="0"/>
      <w:marBottom w:val="0"/>
      <w:divBdr>
        <w:top w:val="none" w:sz="0" w:space="0" w:color="auto"/>
        <w:left w:val="none" w:sz="0" w:space="0" w:color="auto"/>
        <w:bottom w:val="none" w:sz="0" w:space="0" w:color="auto"/>
        <w:right w:val="none" w:sz="0" w:space="0" w:color="auto"/>
      </w:divBdr>
    </w:div>
    <w:div w:id="425276192">
      <w:bodyDiv w:val="1"/>
      <w:marLeft w:val="0"/>
      <w:marRight w:val="0"/>
      <w:marTop w:val="0"/>
      <w:marBottom w:val="0"/>
      <w:divBdr>
        <w:top w:val="none" w:sz="0" w:space="0" w:color="auto"/>
        <w:left w:val="none" w:sz="0" w:space="0" w:color="auto"/>
        <w:bottom w:val="none" w:sz="0" w:space="0" w:color="auto"/>
        <w:right w:val="none" w:sz="0" w:space="0" w:color="auto"/>
      </w:divBdr>
    </w:div>
    <w:div w:id="445393862">
      <w:bodyDiv w:val="1"/>
      <w:marLeft w:val="0"/>
      <w:marRight w:val="0"/>
      <w:marTop w:val="0"/>
      <w:marBottom w:val="0"/>
      <w:divBdr>
        <w:top w:val="none" w:sz="0" w:space="0" w:color="auto"/>
        <w:left w:val="none" w:sz="0" w:space="0" w:color="auto"/>
        <w:bottom w:val="none" w:sz="0" w:space="0" w:color="auto"/>
        <w:right w:val="none" w:sz="0" w:space="0" w:color="auto"/>
      </w:divBdr>
    </w:div>
    <w:div w:id="497383534">
      <w:bodyDiv w:val="1"/>
      <w:marLeft w:val="0"/>
      <w:marRight w:val="0"/>
      <w:marTop w:val="0"/>
      <w:marBottom w:val="0"/>
      <w:divBdr>
        <w:top w:val="none" w:sz="0" w:space="0" w:color="auto"/>
        <w:left w:val="none" w:sz="0" w:space="0" w:color="auto"/>
        <w:bottom w:val="none" w:sz="0" w:space="0" w:color="auto"/>
        <w:right w:val="none" w:sz="0" w:space="0" w:color="auto"/>
      </w:divBdr>
    </w:div>
    <w:div w:id="547684622">
      <w:bodyDiv w:val="1"/>
      <w:marLeft w:val="0"/>
      <w:marRight w:val="0"/>
      <w:marTop w:val="0"/>
      <w:marBottom w:val="0"/>
      <w:divBdr>
        <w:top w:val="none" w:sz="0" w:space="0" w:color="auto"/>
        <w:left w:val="none" w:sz="0" w:space="0" w:color="auto"/>
        <w:bottom w:val="none" w:sz="0" w:space="0" w:color="auto"/>
        <w:right w:val="none" w:sz="0" w:space="0" w:color="auto"/>
      </w:divBdr>
    </w:div>
    <w:div w:id="553857340">
      <w:bodyDiv w:val="1"/>
      <w:marLeft w:val="0"/>
      <w:marRight w:val="0"/>
      <w:marTop w:val="0"/>
      <w:marBottom w:val="0"/>
      <w:divBdr>
        <w:top w:val="none" w:sz="0" w:space="0" w:color="auto"/>
        <w:left w:val="none" w:sz="0" w:space="0" w:color="auto"/>
        <w:bottom w:val="none" w:sz="0" w:space="0" w:color="auto"/>
        <w:right w:val="none" w:sz="0" w:space="0" w:color="auto"/>
      </w:divBdr>
    </w:div>
    <w:div w:id="612631095">
      <w:bodyDiv w:val="1"/>
      <w:marLeft w:val="0"/>
      <w:marRight w:val="0"/>
      <w:marTop w:val="0"/>
      <w:marBottom w:val="0"/>
      <w:divBdr>
        <w:top w:val="none" w:sz="0" w:space="0" w:color="auto"/>
        <w:left w:val="none" w:sz="0" w:space="0" w:color="auto"/>
        <w:bottom w:val="none" w:sz="0" w:space="0" w:color="auto"/>
        <w:right w:val="none" w:sz="0" w:space="0" w:color="auto"/>
      </w:divBdr>
      <w:divsChild>
        <w:div w:id="1878852272">
          <w:marLeft w:val="0"/>
          <w:marRight w:val="0"/>
          <w:marTop w:val="0"/>
          <w:marBottom w:val="0"/>
          <w:divBdr>
            <w:top w:val="none" w:sz="0" w:space="0" w:color="auto"/>
            <w:left w:val="none" w:sz="0" w:space="0" w:color="auto"/>
            <w:bottom w:val="none" w:sz="0" w:space="0" w:color="auto"/>
            <w:right w:val="none" w:sz="0" w:space="0" w:color="auto"/>
          </w:divBdr>
          <w:divsChild>
            <w:div w:id="975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8868">
      <w:bodyDiv w:val="1"/>
      <w:marLeft w:val="0"/>
      <w:marRight w:val="0"/>
      <w:marTop w:val="0"/>
      <w:marBottom w:val="0"/>
      <w:divBdr>
        <w:top w:val="none" w:sz="0" w:space="0" w:color="auto"/>
        <w:left w:val="none" w:sz="0" w:space="0" w:color="auto"/>
        <w:bottom w:val="none" w:sz="0" w:space="0" w:color="auto"/>
        <w:right w:val="none" w:sz="0" w:space="0" w:color="auto"/>
      </w:divBdr>
    </w:div>
    <w:div w:id="650017405">
      <w:bodyDiv w:val="1"/>
      <w:marLeft w:val="0"/>
      <w:marRight w:val="0"/>
      <w:marTop w:val="0"/>
      <w:marBottom w:val="0"/>
      <w:divBdr>
        <w:top w:val="none" w:sz="0" w:space="0" w:color="auto"/>
        <w:left w:val="none" w:sz="0" w:space="0" w:color="auto"/>
        <w:bottom w:val="none" w:sz="0" w:space="0" w:color="auto"/>
        <w:right w:val="none" w:sz="0" w:space="0" w:color="auto"/>
      </w:divBdr>
    </w:div>
    <w:div w:id="658923409">
      <w:bodyDiv w:val="1"/>
      <w:marLeft w:val="0"/>
      <w:marRight w:val="0"/>
      <w:marTop w:val="0"/>
      <w:marBottom w:val="0"/>
      <w:divBdr>
        <w:top w:val="none" w:sz="0" w:space="0" w:color="auto"/>
        <w:left w:val="none" w:sz="0" w:space="0" w:color="auto"/>
        <w:bottom w:val="none" w:sz="0" w:space="0" w:color="auto"/>
        <w:right w:val="none" w:sz="0" w:space="0" w:color="auto"/>
      </w:divBdr>
    </w:div>
    <w:div w:id="672218865">
      <w:bodyDiv w:val="1"/>
      <w:marLeft w:val="0"/>
      <w:marRight w:val="0"/>
      <w:marTop w:val="0"/>
      <w:marBottom w:val="0"/>
      <w:divBdr>
        <w:top w:val="none" w:sz="0" w:space="0" w:color="auto"/>
        <w:left w:val="none" w:sz="0" w:space="0" w:color="auto"/>
        <w:bottom w:val="none" w:sz="0" w:space="0" w:color="auto"/>
        <w:right w:val="none" w:sz="0" w:space="0" w:color="auto"/>
      </w:divBdr>
      <w:divsChild>
        <w:div w:id="829323180">
          <w:marLeft w:val="0"/>
          <w:marRight w:val="0"/>
          <w:marTop w:val="0"/>
          <w:marBottom w:val="0"/>
          <w:divBdr>
            <w:top w:val="none" w:sz="0" w:space="0" w:color="auto"/>
            <w:left w:val="none" w:sz="0" w:space="0" w:color="auto"/>
            <w:bottom w:val="none" w:sz="0" w:space="0" w:color="auto"/>
            <w:right w:val="none" w:sz="0" w:space="0" w:color="auto"/>
          </w:divBdr>
          <w:divsChild>
            <w:div w:id="9580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69662">
      <w:bodyDiv w:val="1"/>
      <w:marLeft w:val="0"/>
      <w:marRight w:val="0"/>
      <w:marTop w:val="0"/>
      <w:marBottom w:val="0"/>
      <w:divBdr>
        <w:top w:val="none" w:sz="0" w:space="0" w:color="auto"/>
        <w:left w:val="none" w:sz="0" w:space="0" w:color="auto"/>
        <w:bottom w:val="none" w:sz="0" w:space="0" w:color="auto"/>
        <w:right w:val="none" w:sz="0" w:space="0" w:color="auto"/>
      </w:divBdr>
    </w:div>
    <w:div w:id="733554141">
      <w:bodyDiv w:val="1"/>
      <w:marLeft w:val="0"/>
      <w:marRight w:val="0"/>
      <w:marTop w:val="0"/>
      <w:marBottom w:val="0"/>
      <w:divBdr>
        <w:top w:val="none" w:sz="0" w:space="0" w:color="auto"/>
        <w:left w:val="none" w:sz="0" w:space="0" w:color="auto"/>
        <w:bottom w:val="none" w:sz="0" w:space="0" w:color="auto"/>
        <w:right w:val="none" w:sz="0" w:space="0" w:color="auto"/>
      </w:divBdr>
    </w:div>
    <w:div w:id="754712783">
      <w:bodyDiv w:val="1"/>
      <w:marLeft w:val="0"/>
      <w:marRight w:val="0"/>
      <w:marTop w:val="0"/>
      <w:marBottom w:val="0"/>
      <w:divBdr>
        <w:top w:val="none" w:sz="0" w:space="0" w:color="auto"/>
        <w:left w:val="none" w:sz="0" w:space="0" w:color="auto"/>
        <w:bottom w:val="none" w:sz="0" w:space="0" w:color="auto"/>
        <w:right w:val="none" w:sz="0" w:space="0" w:color="auto"/>
      </w:divBdr>
      <w:divsChild>
        <w:div w:id="1382247953">
          <w:marLeft w:val="0"/>
          <w:marRight w:val="0"/>
          <w:marTop w:val="0"/>
          <w:marBottom w:val="0"/>
          <w:divBdr>
            <w:top w:val="none" w:sz="0" w:space="0" w:color="auto"/>
            <w:left w:val="none" w:sz="0" w:space="0" w:color="auto"/>
            <w:bottom w:val="none" w:sz="0" w:space="0" w:color="auto"/>
            <w:right w:val="none" w:sz="0" w:space="0" w:color="auto"/>
          </w:divBdr>
          <w:divsChild>
            <w:div w:id="4784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5281">
      <w:bodyDiv w:val="1"/>
      <w:marLeft w:val="0"/>
      <w:marRight w:val="0"/>
      <w:marTop w:val="0"/>
      <w:marBottom w:val="0"/>
      <w:divBdr>
        <w:top w:val="none" w:sz="0" w:space="0" w:color="auto"/>
        <w:left w:val="none" w:sz="0" w:space="0" w:color="auto"/>
        <w:bottom w:val="none" w:sz="0" w:space="0" w:color="auto"/>
        <w:right w:val="none" w:sz="0" w:space="0" w:color="auto"/>
      </w:divBdr>
    </w:div>
    <w:div w:id="825709550">
      <w:bodyDiv w:val="1"/>
      <w:marLeft w:val="0"/>
      <w:marRight w:val="0"/>
      <w:marTop w:val="0"/>
      <w:marBottom w:val="0"/>
      <w:divBdr>
        <w:top w:val="none" w:sz="0" w:space="0" w:color="auto"/>
        <w:left w:val="none" w:sz="0" w:space="0" w:color="auto"/>
        <w:bottom w:val="none" w:sz="0" w:space="0" w:color="auto"/>
        <w:right w:val="none" w:sz="0" w:space="0" w:color="auto"/>
      </w:divBdr>
      <w:divsChild>
        <w:div w:id="878203517">
          <w:marLeft w:val="0"/>
          <w:marRight w:val="0"/>
          <w:marTop w:val="0"/>
          <w:marBottom w:val="0"/>
          <w:divBdr>
            <w:top w:val="none" w:sz="0" w:space="0" w:color="auto"/>
            <w:left w:val="none" w:sz="0" w:space="0" w:color="auto"/>
            <w:bottom w:val="none" w:sz="0" w:space="0" w:color="auto"/>
            <w:right w:val="none" w:sz="0" w:space="0" w:color="auto"/>
          </w:divBdr>
          <w:divsChild>
            <w:div w:id="3652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9379">
      <w:bodyDiv w:val="1"/>
      <w:marLeft w:val="0"/>
      <w:marRight w:val="0"/>
      <w:marTop w:val="0"/>
      <w:marBottom w:val="0"/>
      <w:divBdr>
        <w:top w:val="none" w:sz="0" w:space="0" w:color="auto"/>
        <w:left w:val="none" w:sz="0" w:space="0" w:color="auto"/>
        <w:bottom w:val="none" w:sz="0" w:space="0" w:color="auto"/>
        <w:right w:val="none" w:sz="0" w:space="0" w:color="auto"/>
      </w:divBdr>
    </w:div>
    <w:div w:id="883716246">
      <w:bodyDiv w:val="1"/>
      <w:marLeft w:val="0"/>
      <w:marRight w:val="0"/>
      <w:marTop w:val="0"/>
      <w:marBottom w:val="0"/>
      <w:divBdr>
        <w:top w:val="none" w:sz="0" w:space="0" w:color="auto"/>
        <w:left w:val="none" w:sz="0" w:space="0" w:color="auto"/>
        <w:bottom w:val="none" w:sz="0" w:space="0" w:color="auto"/>
        <w:right w:val="none" w:sz="0" w:space="0" w:color="auto"/>
      </w:divBdr>
    </w:div>
    <w:div w:id="912742429">
      <w:bodyDiv w:val="1"/>
      <w:marLeft w:val="0"/>
      <w:marRight w:val="0"/>
      <w:marTop w:val="0"/>
      <w:marBottom w:val="0"/>
      <w:divBdr>
        <w:top w:val="none" w:sz="0" w:space="0" w:color="auto"/>
        <w:left w:val="none" w:sz="0" w:space="0" w:color="auto"/>
        <w:bottom w:val="none" w:sz="0" w:space="0" w:color="auto"/>
        <w:right w:val="none" w:sz="0" w:space="0" w:color="auto"/>
      </w:divBdr>
    </w:div>
    <w:div w:id="921065123">
      <w:bodyDiv w:val="1"/>
      <w:marLeft w:val="0"/>
      <w:marRight w:val="0"/>
      <w:marTop w:val="0"/>
      <w:marBottom w:val="0"/>
      <w:divBdr>
        <w:top w:val="none" w:sz="0" w:space="0" w:color="auto"/>
        <w:left w:val="none" w:sz="0" w:space="0" w:color="auto"/>
        <w:bottom w:val="none" w:sz="0" w:space="0" w:color="auto"/>
        <w:right w:val="none" w:sz="0" w:space="0" w:color="auto"/>
      </w:divBdr>
    </w:div>
    <w:div w:id="944847599">
      <w:bodyDiv w:val="1"/>
      <w:marLeft w:val="0"/>
      <w:marRight w:val="0"/>
      <w:marTop w:val="0"/>
      <w:marBottom w:val="0"/>
      <w:divBdr>
        <w:top w:val="none" w:sz="0" w:space="0" w:color="auto"/>
        <w:left w:val="none" w:sz="0" w:space="0" w:color="auto"/>
        <w:bottom w:val="none" w:sz="0" w:space="0" w:color="auto"/>
        <w:right w:val="none" w:sz="0" w:space="0" w:color="auto"/>
      </w:divBdr>
    </w:div>
    <w:div w:id="976447681">
      <w:bodyDiv w:val="1"/>
      <w:marLeft w:val="0"/>
      <w:marRight w:val="0"/>
      <w:marTop w:val="0"/>
      <w:marBottom w:val="0"/>
      <w:divBdr>
        <w:top w:val="none" w:sz="0" w:space="0" w:color="auto"/>
        <w:left w:val="none" w:sz="0" w:space="0" w:color="auto"/>
        <w:bottom w:val="none" w:sz="0" w:space="0" w:color="auto"/>
        <w:right w:val="none" w:sz="0" w:space="0" w:color="auto"/>
      </w:divBdr>
    </w:div>
    <w:div w:id="1013603628">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044793586">
      <w:bodyDiv w:val="1"/>
      <w:marLeft w:val="0"/>
      <w:marRight w:val="0"/>
      <w:marTop w:val="0"/>
      <w:marBottom w:val="0"/>
      <w:divBdr>
        <w:top w:val="none" w:sz="0" w:space="0" w:color="auto"/>
        <w:left w:val="none" w:sz="0" w:space="0" w:color="auto"/>
        <w:bottom w:val="none" w:sz="0" w:space="0" w:color="auto"/>
        <w:right w:val="none" w:sz="0" w:space="0" w:color="auto"/>
      </w:divBdr>
    </w:div>
    <w:div w:id="1062482374">
      <w:bodyDiv w:val="1"/>
      <w:marLeft w:val="0"/>
      <w:marRight w:val="0"/>
      <w:marTop w:val="0"/>
      <w:marBottom w:val="0"/>
      <w:divBdr>
        <w:top w:val="none" w:sz="0" w:space="0" w:color="auto"/>
        <w:left w:val="none" w:sz="0" w:space="0" w:color="auto"/>
        <w:bottom w:val="none" w:sz="0" w:space="0" w:color="auto"/>
        <w:right w:val="none" w:sz="0" w:space="0" w:color="auto"/>
      </w:divBdr>
    </w:div>
    <w:div w:id="1097020526">
      <w:bodyDiv w:val="1"/>
      <w:marLeft w:val="0"/>
      <w:marRight w:val="0"/>
      <w:marTop w:val="0"/>
      <w:marBottom w:val="0"/>
      <w:divBdr>
        <w:top w:val="none" w:sz="0" w:space="0" w:color="auto"/>
        <w:left w:val="none" w:sz="0" w:space="0" w:color="auto"/>
        <w:bottom w:val="none" w:sz="0" w:space="0" w:color="auto"/>
        <w:right w:val="none" w:sz="0" w:space="0" w:color="auto"/>
      </w:divBdr>
    </w:div>
    <w:div w:id="1115448293">
      <w:bodyDiv w:val="1"/>
      <w:marLeft w:val="0"/>
      <w:marRight w:val="0"/>
      <w:marTop w:val="0"/>
      <w:marBottom w:val="0"/>
      <w:divBdr>
        <w:top w:val="none" w:sz="0" w:space="0" w:color="auto"/>
        <w:left w:val="none" w:sz="0" w:space="0" w:color="auto"/>
        <w:bottom w:val="none" w:sz="0" w:space="0" w:color="auto"/>
        <w:right w:val="none" w:sz="0" w:space="0" w:color="auto"/>
      </w:divBdr>
    </w:div>
    <w:div w:id="1117408241">
      <w:bodyDiv w:val="1"/>
      <w:marLeft w:val="0"/>
      <w:marRight w:val="0"/>
      <w:marTop w:val="0"/>
      <w:marBottom w:val="0"/>
      <w:divBdr>
        <w:top w:val="none" w:sz="0" w:space="0" w:color="auto"/>
        <w:left w:val="none" w:sz="0" w:space="0" w:color="auto"/>
        <w:bottom w:val="none" w:sz="0" w:space="0" w:color="auto"/>
        <w:right w:val="none" w:sz="0" w:space="0" w:color="auto"/>
      </w:divBdr>
    </w:div>
    <w:div w:id="1140272256">
      <w:bodyDiv w:val="1"/>
      <w:marLeft w:val="0"/>
      <w:marRight w:val="0"/>
      <w:marTop w:val="0"/>
      <w:marBottom w:val="0"/>
      <w:divBdr>
        <w:top w:val="none" w:sz="0" w:space="0" w:color="auto"/>
        <w:left w:val="none" w:sz="0" w:space="0" w:color="auto"/>
        <w:bottom w:val="none" w:sz="0" w:space="0" w:color="auto"/>
        <w:right w:val="none" w:sz="0" w:space="0" w:color="auto"/>
      </w:divBdr>
    </w:div>
    <w:div w:id="1171220333">
      <w:bodyDiv w:val="1"/>
      <w:marLeft w:val="0"/>
      <w:marRight w:val="0"/>
      <w:marTop w:val="0"/>
      <w:marBottom w:val="0"/>
      <w:divBdr>
        <w:top w:val="none" w:sz="0" w:space="0" w:color="auto"/>
        <w:left w:val="none" w:sz="0" w:space="0" w:color="auto"/>
        <w:bottom w:val="none" w:sz="0" w:space="0" w:color="auto"/>
        <w:right w:val="none" w:sz="0" w:space="0" w:color="auto"/>
      </w:divBdr>
    </w:div>
    <w:div w:id="1224098787">
      <w:bodyDiv w:val="1"/>
      <w:marLeft w:val="0"/>
      <w:marRight w:val="0"/>
      <w:marTop w:val="0"/>
      <w:marBottom w:val="0"/>
      <w:divBdr>
        <w:top w:val="none" w:sz="0" w:space="0" w:color="auto"/>
        <w:left w:val="none" w:sz="0" w:space="0" w:color="auto"/>
        <w:bottom w:val="none" w:sz="0" w:space="0" w:color="auto"/>
        <w:right w:val="none" w:sz="0" w:space="0" w:color="auto"/>
      </w:divBdr>
    </w:div>
    <w:div w:id="1229151570">
      <w:bodyDiv w:val="1"/>
      <w:marLeft w:val="0"/>
      <w:marRight w:val="0"/>
      <w:marTop w:val="0"/>
      <w:marBottom w:val="0"/>
      <w:divBdr>
        <w:top w:val="none" w:sz="0" w:space="0" w:color="auto"/>
        <w:left w:val="none" w:sz="0" w:space="0" w:color="auto"/>
        <w:bottom w:val="none" w:sz="0" w:space="0" w:color="auto"/>
        <w:right w:val="none" w:sz="0" w:space="0" w:color="auto"/>
      </w:divBdr>
    </w:div>
    <w:div w:id="1244218186">
      <w:bodyDiv w:val="1"/>
      <w:marLeft w:val="0"/>
      <w:marRight w:val="0"/>
      <w:marTop w:val="0"/>
      <w:marBottom w:val="0"/>
      <w:divBdr>
        <w:top w:val="none" w:sz="0" w:space="0" w:color="auto"/>
        <w:left w:val="none" w:sz="0" w:space="0" w:color="auto"/>
        <w:bottom w:val="none" w:sz="0" w:space="0" w:color="auto"/>
        <w:right w:val="none" w:sz="0" w:space="0" w:color="auto"/>
      </w:divBdr>
    </w:div>
    <w:div w:id="1256019463">
      <w:bodyDiv w:val="1"/>
      <w:marLeft w:val="0"/>
      <w:marRight w:val="0"/>
      <w:marTop w:val="0"/>
      <w:marBottom w:val="0"/>
      <w:divBdr>
        <w:top w:val="none" w:sz="0" w:space="0" w:color="auto"/>
        <w:left w:val="none" w:sz="0" w:space="0" w:color="auto"/>
        <w:bottom w:val="none" w:sz="0" w:space="0" w:color="auto"/>
        <w:right w:val="none" w:sz="0" w:space="0" w:color="auto"/>
      </w:divBdr>
    </w:div>
    <w:div w:id="1257448350">
      <w:bodyDiv w:val="1"/>
      <w:marLeft w:val="0"/>
      <w:marRight w:val="0"/>
      <w:marTop w:val="0"/>
      <w:marBottom w:val="0"/>
      <w:divBdr>
        <w:top w:val="none" w:sz="0" w:space="0" w:color="auto"/>
        <w:left w:val="none" w:sz="0" w:space="0" w:color="auto"/>
        <w:bottom w:val="none" w:sz="0" w:space="0" w:color="auto"/>
        <w:right w:val="none" w:sz="0" w:space="0" w:color="auto"/>
      </w:divBdr>
    </w:div>
    <w:div w:id="1260408255">
      <w:bodyDiv w:val="1"/>
      <w:marLeft w:val="0"/>
      <w:marRight w:val="0"/>
      <w:marTop w:val="0"/>
      <w:marBottom w:val="0"/>
      <w:divBdr>
        <w:top w:val="none" w:sz="0" w:space="0" w:color="auto"/>
        <w:left w:val="none" w:sz="0" w:space="0" w:color="auto"/>
        <w:bottom w:val="none" w:sz="0" w:space="0" w:color="auto"/>
        <w:right w:val="none" w:sz="0" w:space="0" w:color="auto"/>
      </w:divBdr>
    </w:div>
    <w:div w:id="1261797108">
      <w:bodyDiv w:val="1"/>
      <w:marLeft w:val="0"/>
      <w:marRight w:val="0"/>
      <w:marTop w:val="0"/>
      <w:marBottom w:val="0"/>
      <w:divBdr>
        <w:top w:val="none" w:sz="0" w:space="0" w:color="auto"/>
        <w:left w:val="none" w:sz="0" w:space="0" w:color="auto"/>
        <w:bottom w:val="none" w:sz="0" w:space="0" w:color="auto"/>
        <w:right w:val="none" w:sz="0" w:space="0" w:color="auto"/>
      </w:divBdr>
    </w:div>
    <w:div w:id="1285310076">
      <w:bodyDiv w:val="1"/>
      <w:marLeft w:val="0"/>
      <w:marRight w:val="0"/>
      <w:marTop w:val="0"/>
      <w:marBottom w:val="0"/>
      <w:divBdr>
        <w:top w:val="none" w:sz="0" w:space="0" w:color="auto"/>
        <w:left w:val="none" w:sz="0" w:space="0" w:color="auto"/>
        <w:bottom w:val="none" w:sz="0" w:space="0" w:color="auto"/>
        <w:right w:val="none" w:sz="0" w:space="0" w:color="auto"/>
      </w:divBdr>
    </w:div>
    <w:div w:id="1291789928">
      <w:bodyDiv w:val="1"/>
      <w:marLeft w:val="0"/>
      <w:marRight w:val="0"/>
      <w:marTop w:val="0"/>
      <w:marBottom w:val="0"/>
      <w:divBdr>
        <w:top w:val="none" w:sz="0" w:space="0" w:color="auto"/>
        <w:left w:val="none" w:sz="0" w:space="0" w:color="auto"/>
        <w:bottom w:val="none" w:sz="0" w:space="0" w:color="auto"/>
        <w:right w:val="none" w:sz="0" w:space="0" w:color="auto"/>
      </w:divBdr>
    </w:div>
    <w:div w:id="1292248451">
      <w:bodyDiv w:val="1"/>
      <w:marLeft w:val="0"/>
      <w:marRight w:val="0"/>
      <w:marTop w:val="0"/>
      <w:marBottom w:val="0"/>
      <w:divBdr>
        <w:top w:val="none" w:sz="0" w:space="0" w:color="auto"/>
        <w:left w:val="none" w:sz="0" w:space="0" w:color="auto"/>
        <w:bottom w:val="none" w:sz="0" w:space="0" w:color="auto"/>
        <w:right w:val="none" w:sz="0" w:space="0" w:color="auto"/>
      </w:divBdr>
      <w:divsChild>
        <w:div w:id="543374923">
          <w:marLeft w:val="0"/>
          <w:marRight w:val="0"/>
          <w:marTop w:val="0"/>
          <w:marBottom w:val="0"/>
          <w:divBdr>
            <w:top w:val="none" w:sz="0" w:space="0" w:color="auto"/>
            <w:left w:val="none" w:sz="0" w:space="0" w:color="auto"/>
            <w:bottom w:val="none" w:sz="0" w:space="0" w:color="auto"/>
            <w:right w:val="none" w:sz="0" w:space="0" w:color="auto"/>
          </w:divBdr>
          <w:divsChild>
            <w:div w:id="5839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5875">
      <w:bodyDiv w:val="1"/>
      <w:marLeft w:val="0"/>
      <w:marRight w:val="0"/>
      <w:marTop w:val="0"/>
      <w:marBottom w:val="0"/>
      <w:divBdr>
        <w:top w:val="none" w:sz="0" w:space="0" w:color="auto"/>
        <w:left w:val="none" w:sz="0" w:space="0" w:color="auto"/>
        <w:bottom w:val="none" w:sz="0" w:space="0" w:color="auto"/>
        <w:right w:val="none" w:sz="0" w:space="0" w:color="auto"/>
      </w:divBdr>
    </w:div>
    <w:div w:id="1316294975">
      <w:bodyDiv w:val="1"/>
      <w:marLeft w:val="0"/>
      <w:marRight w:val="0"/>
      <w:marTop w:val="0"/>
      <w:marBottom w:val="0"/>
      <w:divBdr>
        <w:top w:val="none" w:sz="0" w:space="0" w:color="auto"/>
        <w:left w:val="none" w:sz="0" w:space="0" w:color="auto"/>
        <w:bottom w:val="none" w:sz="0" w:space="0" w:color="auto"/>
        <w:right w:val="none" w:sz="0" w:space="0" w:color="auto"/>
      </w:divBdr>
    </w:div>
    <w:div w:id="1320118329">
      <w:bodyDiv w:val="1"/>
      <w:marLeft w:val="0"/>
      <w:marRight w:val="0"/>
      <w:marTop w:val="0"/>
      <w:marBottom w:val="0"/>
      <w:divBdr>
        <w:top w:val="none" w:sz="0" w:space="0" w:color="auto"/>
        <w:left w:val="none" w:sz="0" w:space="0" w:color="auto"/>
        <w:bottom w:val="none" w:sz="0" w:space="0" w:color="auto"/>
        <w:right w:val="none" w:sz="0" w:space="0" w:color="auto"/>
      </w:divBdr>
    </w:div>
    <w:div w:id="1338461236">
      <w:bodyDiv w:val="1"/>
      <w:marLeft w:val="0"/>
      <w:marRight w:val="0"/>
      <w:marTop w:val="0"/>
      <w:marBottom w:val="0"/>
      <w:divBdr>
        <w:top w:val="none" w:sz="0" w:space="0" w:color="auto"/>
        <w:left w:val="none" w:sz="0" w:space="0" w:color="auto"/>
        <w:bottom w:val="none" w:sz="0" w:space="0" w:color="auto"/>
        <w:right w:val="none" w:sz="0" w:space="0" w:color="auto"/>
      </w:divBdr>
    </w:div>
    <w:div w:id="1339045467">
      <w:bodyDiv w:val="1"/>
      <w:marLeft w:val="0"/>
      <w:marRight w:val="0"/>
      <w:marTop w:val="0"/>
      <w:marBottom w:val="0"/>
      <w:divBdr>
        <w:top w:val="none" w:sz="0" w:space="0" w:color="auto"/>
        <w:left w:val="none" w:sz="0" w:space="0" w:color="auto"/>
        <w:bottom w:val="none" w:sz="0" w:space="0" w:color="auto"/>
        <w:right w:val="none" w:sz="0" w:space="0" w:color="auto"/>
      </w:divBdr>
    </w:div>
    <w:div w:id="1361979135">
      <w:bodyDiv w:val="1"/>
      <w:marLeft w:val="0"/>
      <w:marRight w:val="0"/>
      <w:marTop w:val="0"/>
      <w:marBottom w:val="0"/>
      <w:divBdr>
        <w:top w:val="none" w:sz="0" w:space="0" w:color="auto"/>
        <w:left w:val="none" w:sz="0" w:space="0" w:color="auto"/>
        <w:bottom w:val="none" w:sz="0" w:space="0" w:color="auto"/>
        <w:right w:val="none" w:sz="0" w:space="0" w:color="auto"/>
      </w:divBdr>
      <w:divsChild>
        <w:div w:id="576864339">
          <w:marLeft w:val="0"/>
          <w:marRight w:val="0"/>
          <w:marTop w:val="0"/>
          <w:marBottom w:val="0"/>
          <w:divBdr>
            <w:top w:val="none" w:sz="0" w:space="0" w:color="auto"/>
            <w:left w:val="none" w:sz="0" w:space="0" w:color="auto"/>
            <w:bottom w:val="none" w:sz="0" w:space="0" w:color="auto"/>
            <w:right w:val="none" w:sz="0" w:space="0" w:color="auto"/>
          </w:divBdr>
        </w:div>
      </w:divsChild>
    </w:div>
    <w:div w:id="1411778870">
      <w:bodyDiv w:val="1"/>
      <w:marLeft w:val="0"/>
      <w:marRight w:val="0"/>
      <w:marTop w:val="0"/>
      <w:marBottom w:val="0"/>
      <w:divBdr>
        <w:top w:val="none" w:sz="0" w:space="0" w:color="auto"/>
        <w:left w:val="none" w:sz="0" w:space="0" w:color="auto"/>
        <w:bottom w:val="none" w:sz="0" w:space="0" w:color="auto"/>
        <w:right w:val="none" w:sz="0" w:space="0" w:color="auto"/>
      </w:divBdr>
    </w:div>
    <w:div w:id="1413352226">
      <w:bodyDiv w:val="1"/>
      <w:marLeft w:val="0"/>
      <w:marRight w:val="0"/>
      <w:marTop w:val="0"/>
      <w:marBottom w:val="0"/>
      <w:divBdr>
        <w:top w:val="none" w:sz="0" w:space="0" w:color="auto"/>
        <w:left w:val="none" w:sz="0" w:space="0" w:color="auto"/>
        <w:bottom w:val="none" w:sz="0" w:space="0" w:color="auto"/>
        <w:right w:val="none" w:sz="0" w:space="0" w:color="auto"/>
      </w:divBdr>
      <w:divsChild>
        <w:div w:id="1879930714">
          <w:marLeft w:val="0"/>
          <w:marRight w:val="0"/>
          <w:marTop w:val="0"/>
          <w:marBottom w:val="0"/>
          <w:divBdr>
            <w:top w:val="none" w:sz="0" w:space="0" w:color="auto"/>
            <w:left w:val="none" w:sz="0" w:space="0" w:color="auto"/>
            <w:bottom w:val="none" w:sz="0" w:space="0" w:color="auto"/>
            <w:right w:val="none" w:sz="0" w:space="0" w:color="auto"/>
          </w:divBdr>
          <w:divsChild>
            <w:div w:id="5113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4073">
      <w:bodyDiv w:val="1"/>
      <w:marLeft w:val="0"/>
      <w:marRight w:val="0"/>
      <w:marTop w:val="0"/>
      <w:marBottom w:val="0"/>
      <w:divBdr>
        <w:top w:val="none" w:sz="0" w:space="0" w:color="auto"/>
        <w:left w:val="none" w:sz="0" w:space="0" w:color="auto"/>
        <w:bottom w:val="none" w:sz="0" w:space="0" w:color="auto"/>
        <w:right w:val="none" w:sz="0" w:space="0" w:color="auto"/>
      </w:divBdr>
    </w:div>
    <w:div w:id="1446995807">
      <w:bodyDiv w:val="1"/>
      <w:marLeft w:val="0"/>
      <w:marRight w:val="0"/>
      <w:marTop w:val="0"/>
      <w:marBottom w:val="0"/>
      <w:divBdr>
        <w:top w:val="none" w:sz="0" w:space="0" w:color="auto"/>
        <w:left w:val="none" w:sz="0" w:space="0" w:color="auto"/>
        <w:bottom w:val="none" w:sz="0" w:space="0" w:color="auto"/>
        <w:right w:val="none" w:sz="0" w:space="0" w:color="auto"/>
      </w:divBdr>
    </w:div>
    <w:div w:id="1463307564">
      <w:bodyDiv w:val="1"/>
      <w:marLeft w:val="0"/>
      <w:marRight w:val="0"/>
      <w:marTop w:val="0"/>
      <w:marBottom w:val="0"/>
      <w:divBdr>
        <w:top w:val="none" w:sz="0" w:space="0" w:color="auto"/>
        <w:left w:val="none" w:sz="0" w:space="0" w:color="auto"/>
        <w:bottom w:val="none" w:sz="0" w:space="0" w:color="auto"/>
        <w:right w:val="none" w:sz="0" w:space="0" w:color="auto"/>
      </w:divBdr>
    </w:div>
    <w:div w:id="1490251350">
      <w:bodyDiv w:val="1"/>
      <w:marLeft w:val="0"/>
      <w:marRight w:val="0"/>
      <w:marTop w:val="0"/>
      <w:marBottom w:val="0"/>
      <w:divBdr>
        <w:top w:val="none" w:sz="0" w:space="0" w:color="auto"/>
        <w:left w:val="none" w:sz="0" w:space="0" w:color="auto"/>
        <w:bottom w:val="none" w:sz="0" w:space="0" w:color="auto"/>
        <w:right w:val="none" w:sz="0" w:space="0" w:color="auto"/>
      </w:divBdr>
    </w:div>
    <w:div w:id="1590624353">
      <w:bodyDiv w:val="1"/>
      <w:marLeft w:val="0"/>
      <w:marRight w:val="0"/>
      <w:marTop w:val="0"/>
      <w:marBottom w:val="0"/>
      <w:divBdr>
        <w:top w:val="none" w:sz="0" w:space="0" w:color="auto"/>
        <w:left w:val="none" w:sz="0" w:space="0" w:color="auto"/>
        <w:bottom w:val="none" w:sz="0" w:space="0" w:color="auto"/>
        <w:right w:val="none" w:sz="0" w:space="0" w:color="auto"/>
      </w:divBdr>
    </w:div>
    <w:div w:id="1596087102">
      <w:bodyDiv w:val="1"/>
      <w:marLeft w:val="0"/>
      <w:marRight w:val="0"/>
      <w:marTop w:val="0"/>
      <w:marBottom w:val="0"/>
      <w:divBdr>
        <w:top w:val="none" w:sz="0" w:space="0" w:color="auto"/>
        <w:left w:val="none" w:sz="0" w:space="0" w:color="auto"/>
        <w:bottom w:val="none" w:sz="0" w:space="0" w:color="auto"/>
        <w:right w:val="none" w:sz="0" w:space="0" w:color="auto"/>
      </w:divBdr>
    </w:div>
    <w:div w:id="1606306867">
      <w:bodyDiv w:val="1"/>
      <w:marLeft w:val="0"/>
      <w:marRight w:val="0"/>
      <w:marTop w:val="0"/>
      <w:marBottom w:val="0"/>
      <w:divBdr>
        <w:top w:val="none" w:sz="0" w:space="0" w:color="auto"/>
        <w:left w:val="none" w:sz="0" w:space="0" w:color="auto"/>
        <w:bottom w:val="none" w:sz="0" w:space="0" w:color="auto"/>
        <w:right w:val="none" w:sz="0" w:space="0" w:color="auto"/>
      </w:divBdr>
    </w:div>
    <w:div w:id="1632780909">
      <w:bodyDiv w:val="1"/>
      <w:marLeft w:val="0"/>
      <w:marRight w:val="0"/>
      <w:marTop w:val="0"/>
      <w:marBottom w:val="0"/>
      <w:divBdr>
        <w:top w:val="none" w:sz="0" w:space="0" w:color="auto"/>
        <w:left w:val="none" w:sz="0" w:space="0" w:color="auto"/>
        <w:bottom w:val="none" w:sz="0" w:space="0" w:color="auto"/>
        <w:right w:val="none" w:sz="0" w:space="0" w:color="auto"/>
      </w:divBdr>
    </w:div>
    <w:div w:id="1656181121">
      <w:bodyDiv w:val="1"/>
      <w:marLeft w:val="0"/>
      <w:marRight w:val="0"/>
      <w:marTop w:val="0"/>
      <w:marBottom w:val="0"/>
      <w:divBdr>
        <w:top w:val="none" w:sz="0" w:space="0" w:color="auto"/>
        <w:left w:val="none" w:sz="0" w:space="0" w:color="auto"/>
        <w:bottom w:val="none" w:sz="0" w:space="0" w:color="auto"/>
        <w:right w:val="none" w:sz="0" w:space="0" w:color="auto"/>
      </w:divBdr>
    </w:div>
    <w:div w:id="1727335041">
      <w:bodyDiv w:val="1"/>
      <w:marLeft w:val="0"/>
      <w:marRight w:val="0"/>
      <w:marTop w:val="0"/>
      <w:marBottom w:val="0"/>
      <w:divBdr>
        <w:top w:val="none" w:sz="0" w:space="0" w:color="auto"/>
        <w:left w:val="none" w:sz="0" w:space="0" w:color="auto"/>
        <w:bottom w:val="none" w:sz="0" w:space="0" w:color="auto"/>
        <w:right w:val="none" w:sz="0" w:space="0" w:color="auto"/>
      </w:divBdr>
    </w:div>
    <w:div w:id="1767070680">
      <w:bodyDiv w:val="1"/>
      <w:marLeft w:val="0"/>
      <w:marRight w:val="0"/>
      <w:marTop w:val="0"/>
      <w:marBottom w:val="0"/>
      <w:divBdr>
        <w:top w:val="none" w:sz="0" w:space="0" w:color="auto"/>
        <w:left w:val="none" w:sz="0" w:space="0" w:color="auto"/>
        <w:bottom w:val="none" w:sz="0" w:space="0" w:color="auto"/>
        <w:right w:val="none" w:sz="0" w:space="0" w:color="auto"/>
      </w:divBdr>
      <w:divsChild>
        <w:div w:id="759445337">
          <w:marLeft w:val="0"/>
          <w:marRight w:val="0"/>
          <w:marTop w:val="0"/>
          <w:marBottom w:val="0"/>
          <w:divBdr>
            <w:top w:val="none" w:sz="0" w:space="0" w:color="auto"/>
            <w:left w:val="none" w:sz="0" w:space="0" w:color="auto"/>
            <w:bottom w:val="none" w:sz="0" w:space="0" w:color="auto"/>
            <w:right w:val="none" w:sz="0" w:space="0" w:color="auto"/>
          </w:divBdr>
          <w:divsChild>
            <w:div w:id="12383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1110">
      <w:bodyDiv w:val="1"/>
      <w:marLeft w:val="0"/>
      <w:marRight w:val="0"/>
      <w:marTop w:val="0"/>
      <w:marBottom w:val="0"/>
      <w:divBdr>
        <w:top w:val="none" w:sz="0" w:space="0" w:color="auto"/>
        <w:left w:val="none" w:sz="0" w:space="0" w:color="auto"/>
        <w:bottom w:val="none" w:sz="0" w:space="0" w:color="auto"/>
        <w:right w:val="none" w:sz="0" w:space="0" w:color="auto"/>
      </w:divBdr>
      <w:divsChild>
        <w:div w:id="1064793306">
          <w:marLeft w:val="0"/>
          <w:marRight w:val="0"/>
          <w:marTop w:val="0"/>
          <w:marBottom w:val="0"/>
          <w:divBdr>
            <w:top w:val="none" w:sz="0" w:space="0" w:color="auto"/>
            <w:left w:val="none" w:sz="0" w:space="0" w:color="auto"/>
            <w:bottom w:val="none" w:sz="0" w:space="0" w:color="auto"/>
            <w:right w:val="none" w:sz="0" w:space="0" w:color="auto"/>
          </w:divBdr>
          <w:divsChild>
            <w:div w:id="48169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8186">
      <w:bodyDiv w:val="1"/>
      <w:marLeft w:val="0"/>
      <w:marRight w:val="0"/>
      <w:marTop w:val="0"/>
      <w:marBottom w:val="0"/>
      <w:divBdr>
        <w:top w:val="none" w:sz="0" w:space="0" w:color="auto"/>
        <w:left w:val="none" w:sz="0" w:space="0" w:color="auto"/>
        <w:bottom w:val="none" w:sz="0" w:space="0" w:color="auto"/>
        <w:right w:val="none" w:sz="0" w:space="0" w:color="auto"/>
      </w:divBdr>
    </w:div>
    <w:div w:id="1812365276">
      <w:bodyDiv w:val="1"/>
      <w:marLeft w:val="0"/>
      <w:marRight w:val="0"/>
      <w:marTop w:val="0"/>
      <w:marBottom w:val="0"/>
      <w:divBdr>
        <w:top w:val="none" w:sz="0" w:space="0" w:color="auto"/>
        <w:left w:val="none" w:sz="0" w:space="0" w:color="auto"/>
        <w:bottom w:val="none" w:sz="0" w:space="0" w:color="auto"/>
        <w:right w:val="none" w:sz="0" w:space="0" w:color="auto"/>
      </w:divBdr>
    </w:div>
    <w:div w:id="1821579227">
      <w:bodyDiv w:val="1"/>
      <w:marLeft w:val="0"/>
      <w:marRight w:val="0"/>
      <w:marTop w:val="0"/>
      <w:marBottom w:val="0"/>
      <w:divBdr>
        <w:top w:val="none" w:sz="0" w:space="0" w:color="auto"/>
        <w:left w:val="none" w:sz="0" w:space="0" w:color="auto"/>
        <w:bottom w:val="none" w:sz="0" w:space="0" w:color="auto"/>
        <w:right w:val="none" w:sz="0" w:space="0" w:color="auto"/>
      </w:divBdr>
    </w:div>
    <w:div w:id="1825900015">
      <w:bodyDiv w:val="1"/>
      <w:marLeft w:val="0"/>
      <w:marRight w:val="0"/>
      <w:marTop w:val="0"/>
      <w:marBottom w:val="0"/>
      <w:divBdr>
        <w:top w:val="none" w:sz="0" w:space="0" w:color="auto"/>
        <w:left w:val="none" w:sz="0" w:space="0" w:color="auto"/>
        <w:bottom w:val="none" w:sz="0" w:space="0" w:color="auto"/>
        <w:right w:val="none" w:sz="0" w:space="0" w:color="auto"/>
      </w:divBdr>
    </w:div>
    <w:div w:id="1839031648">
      <w:bodyDiv w:val="1"/>
      <w:marLeft w:val="0"/>
      <w:marRight w:val="0"/>
      <w:marTop w:val="0"/>
      <w:marBottom w:val="0"/>
      <w:divBdr>
        <w:top w:val="none" w:sz="0" w:space="0" w:color="auto"/>
        <w:left w:val="none" w:sz="0" w:space="0" w:color="auto"/>
        <w:bottom w:val="none" w:sz="0" w:space="0" w:color="auto"/>
        <w:right w:val="none" w:sz="0" w:space="0" w:color="auto"/>
      </w:divBdr>
    </w:div>
    <w:div w:id="1872720001">
      <w:bodyDiv w:val="1"/>
      <w:marLeft w:val="0"/>
      <w:marRight w:val="0"/>
      <w:marTop w:val="0"/>
      <w:marBottom w:val="0"/>
      <w:divBdr>
        <w:top w:val="none" w:sz="0" w:space="0" w:color="auto"/>
        <w:left w:val="none" w:sz="0" w:space="0" w:color="auto"/>
        <w:bottom w:val="none" w:sz="0" w:space="0" w:color="auto"/>
        <w:right w:val="none" w:sz="0" w:space="0" w:color="auto"/>
      </w:divBdr>
    </w:div>
    <w:div w:id="1897084583">
      <w:bodyDiv w:val="1"/>
      <w:marLeft w:val="0"/>
      <w:marRight w:val="0"/>
      <w:marTop w:val="0"/>
      <w:marBottom w:val="0"/>
      <w:divBdr>
        <w:top w:val="none" w:sz="0" w:space="0" w:color="auto"/>
        <w:left w:val="none" w:sz="0" w:space="0" w:color="auto"/>
        <w:bottom w:val="none" w:sz="0" w:space="0" w:color="auto"/>
        <w:right w:val="none" w:sz="0" w:space="0" w:color="auto"/>
      </w:divBdr>
    </w:div>
    <w:div w:id="1966886888">
      <w:bodyDiv w:val="1"/>
      <w:marLeft w:val="0"/>
      <w:marRight w:val="0"/>
      <w:marTop w:val="0"/>
      <w:marBottom w:val="0"/>
      <w:divBdr>
        <w:top w:val="none" w:sz="0" w:space="0" w:color="auto"/>
        <w:left w:val="none" w:sz="0" w:space="0" w:color="auto"/>
        <w:bottom w:val="none" w:sz="0" w:space="0" w:color="auto"/>
        <w:right w:val="none" w:sz="0" w:space="0" w:color="auto"/>
      </w:divBdr>
    </w:div>
    <w:div w:id="1996689601">
      <w:bodyDiv w:val="1"/>
      <w:marLeft w:val="0"/>
      <w:marRight w:val="0"/>
      <w:marTop w:val="0"/>
      <w:marBottom w:val="0"/>
      <w:divBdr>
        <w:top w:val="none" w:sz="0" w:space="0" w:color="auto"/>
        <w:left w:val="none" w:sz="0" w:space="0" w:color="auto"/>
        <w:bottom w:val="none" w:sz="0" w:space="0" w:color="auto"/>
        <w:right w:val="none" w:sz="0" w:space="0" w:color="auto"/>
      </w:divBdr>
      <w:divsChild>
        <w:div w:id="350839821">
          <w:marLeft w:val="0"/>
          <w:marRight w:val="0"/>
          <w:marTop w:val="0"/>
          <w:marBottom w:val="0"/>
          <w:divBdr>
            <w:top w:val="none" w:sz="0" w:space="0" w:color="auto"/>
            <w:left w:val="none" w:sz="0" w:space="0" w:color="auto"/>
            <w:bottom w:val="none" w:sz="0" w:space="0" w:color="auto"/>
            <w:right w:val="none" w:sz="0" w:space="0" w:color="auto"/>
          </w:divBdr>
          <w:divsChild>
            <w:div w:id="6814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25711">
      <w:bodyDiv w:val="1"/>
      <w:marLeft w:val="0"/>
      <w:marRight w:val="0"/>
      <w:marTop w:val="0"/>
      <w:marBottom w:val="0"/>
      <w:divBdr>
        <w:top w:val="none" w:sz="0" w:space="0" w:color="auto"/>
        <w:left w:val="none" w:sz="0" w:space="0" w:color="auto"/>
        <w:bottom w:val="none" w:sz="0" w:space="0" w:color="auto"/>
        <w:right w:val="none" w:sz="0" w:space="0" w:color="auto"/>
      </w:divBdr>
    </w:div>
    <w:div w:id="2010130949">
      <w:bodyDiv w:val="1"/>
      <w:marLeft w:val="0"/>
      <w:marRight w:val="0"/>
      <w:marTop w:val="0"/>
      <w:marBottom w:val="0"/>
      <w:divBdr>
        <w:top w:val="none" w:sz="0" w:space="0" w:color="auto"/>
        <w:left w:val="none" w:sz="0" w:space="0" w:color="auto"/>
        <w:bottom w:val="none" w:sz="0" w:space="0" w:color="auto"/>
        <w:right w:val="none" w:sz="0" w:space="0" w:color="auto"/>
      </w:divBdr>
    </w:div>
    <w:div w:id="2068530871">
      <w:bodyDiv w:val="1"/>
      <w:marLeft w:val="0"/>
      <w:marRight w:val="0"/>
      <w:marTop w:val="0"/>
      <w:marBottom w:val="0"/>
      <w:divBdr>
        <w:top w:val="none" w:sz="0" w:space="0" w:color="auto"/>
        <w:left w:val="none" w:sz="0" w:space="0" w:color="auto"/>
        <w:bottom w:val="none" w:sz="0" w:space="0" w:color="auto"/>
        <w:right w:val="none" w:sz="0" w:space="0" w:color="auto"/>
      </w:divBdr>
    </w:div>
    <w:div w:id="2104757405">
      <w:bodyDiv w:val="1"/>
      <w:marLeft w:val="0"/>
      <w:marRight w:val="0"/>
      <w:marTop w:val="0"/>
      <w:marBottom w:val="0"/>
      <w:divBdr>
        <w:top w:val="none" w:sz="0" w:space="0" w:color="auto"/>
        <w:left w:val="none" w:sz="0" w:space="0" w:color="auto"/>
        <w:bottom w:val="none" w:sz="0" w:space="0" w:color="auto"/>
        <w:right w:val="none" w:sz="0" w:space="0" w:color="auto"/>
      </w:divBdr>
    </w:div>
    <w:div w:id="213123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ac.gov.au/sites/default/files/2025-10/1805_final_ratified_pico_no_redactions_for_publication.pdf" TargetMode="External"/><Relationship Id="rId18" Type="http://schemas.openxmlformats.org/officeDocument/2006/relationships/hyperlink" Target="https://www.msac.gov.au/applications/1728-1" TargetMode="External"/><Relationship Id="rId26" Type="http://schemas.openxmlformats.org/officeDocument/2006/relationships/hyperlink" Target="https://creativecommons.org/licenses/by/4.0/deed.en" TargetMode="External"/><Relationship Id="rId21" Type="http://schemas.openxmlformats.org/officeDocument/2006/relationships/hyperlink" Target="https://clinicaltrials.gov/study/NCT03741881"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sac.gov.au/sites/default/files/2024-10/guidelines-for-preparing-assessments-for-msac.pdf" TargetMode="External"/><Relationship Id="rId17" Type="http://schemas.openxmlformats.org/officeDocument/2006/relationships/hyperlink" Target="https://www.msac.gov.au/applications/1510" TargetMode="External"/><Relationship Id="rId25" Type="http://schemas.openxmlformats.org/officeDocument/2006/relationships/image" Target="media/image1.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sac.gov.au/applications/1579" TargetMode="External"/><Relationship Id="rId20" Type="http://schemas.openxmlformats.org/officeDocument/2006/relationships/hyperlink" Target="https://www.msac.gov.au/applications/1751" TargetMode="External"/><Relationship Id="rId29" Type="http://schemas.openxmlformats.org/officeDocument/2006/relationships/hyperlink" Target="http://msac.gov.au/internet/msac/publishing.nsf/Content/Hom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ac.gov.au/applications/1510-1" TargetMode="External"/><Relationship Id="rId24" Type="http://schemas.openxmlformats.org/officeDocument/2006/relationships/hyperlink" Target="https://clinicaltrials.gov/study/NCT04082429?term=explorer6&amp;rank=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sac.gov.au/applications/1510-1" TargetMode="External"/><Relationship Id="rId23" Type="http://schemas.openxmlformats.org/officeDocument/2006/relationships/hyperlink" Target="https://clinicaltrials.gov/study/NCT03741881" TargetMode="External"/><Relationship Id="rId28" Type="http://schemas.openxmlformats.org/officeDocument/2006/relationships/hyperlink" Target="https://www.msac.gov.au/applications/1728-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sac.gov.au/applications/1728-1"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ac.gov.au/applications/1806" TargetMode="External"/><Relationship Id="rId22" Type="http://schemas.openxmlformats.org/officeDocument/2006/relationships/hyperlink" Target="https://clinicaltrials.gov/study/NCT04083781" TargetMode="External"/><Relationship Id="rId27" Type="http://schemas.openxmlformats.org/officeDocument/2006/relationships/hyperlink" Target="https://www.msac.gov.au/sites/default/files/documents/1511%2520-%2520Final%2520PSD.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4A37BE997BE34FBB7D5057D341D123" ma:contentTypeVersion="14" ma:contentTypeDescription="Create a new document." ma:contentTypeScope="" ma:versionID="d0803639e3b14a1b5fe5efce3e9a7be0">
  <xsd:schema xmlns:xsd="http://www.w3.org/2001/XMLSchema" xmlns:xs="http://www.w3.org/2001/XMLSchema" xmlns:p="http://schemas.microsoft.com/office/2006/metadata/properties" xmlns:ns2="7513b557-581c-46d3-8cc7-77c65017dc6f" xmlns:ns3="e7d54a9e-4aca-451b-99db-b94fe438e987" targetNamespace="http://schemas.microsoft.com/office/2006/metadata/properties" ma:root="true" ma:fieldsID="124831d27a8e0cd56fbacb95874fe705" ns2:_="" ns3:_="">
    <xsd:import namespace="7513b557-581c-46d3-8cc7-77c65017dc6f"/>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3b557-581c-46d3-8cc7-77c65017d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7d54a9e-4aca-451b-99db-b94fe438e987">
      <UserInfo>
        <DisplayName/>
        <AccountId xsi:nil="true"/>
        <AccountType/>
      </UserInfo>
    </SharedWithUsers>
    <lcf76f155ced4ddcb4097134ff3c332f xmlns="7513b557-581c-46d3-8cc7-77c65017dc6f">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8C2E7703-A24C-4C87-98C7-16C364BB0774}">
  <ds:schemaRefs>
    <ds:schemaRef ds:uri="http://schemas.openxmlformats.org/officeDocument/2006/bibliography"/>
  </ds:schemaRefs>
</ds:datastoreItem>
</file>

<file path=customXml/itemProps2.xml><?xml version="1.0" encoding="utf-8"?>
<ds:datastoreItem xmlns:ds="http://schemas.openxmlformats.org/officeDocument/2006/customXml" ds:itemID="{712E9E44-B591-4746-A692-C207B438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3b557-581c-46d3-8cc7-77c65017dc6f"/>
    <ds:schemaRef ds:uri="e7d54a9e-4aca-451b-99db-b94fe438e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D0986-A417-4A06-843A-602E4C5B4AAA}">
  <ds:schemaRefs>
    <ds:schemaRef ds:uri="http://schemas.microsoft.com/sharepoint/v3/contenttype/forms"/>
  </ds:schemaRefs>
</ds:datastoreItem>
</file>

<file path=customXml/itemProps4.xml><?xml version="1.0" encoding="utf-8"?>
<ds:datastoreItem xmlns:ds="http://schemas.openxmlformats.org/officeDocument/2006/customXml" ds:itemID="{B52B248C-360A-454D-A0F1-5855C2D0D5B6}">
  <ds:schemaRefs>
    <ds:schemaRef ds:uri="http://schemas.microsoft.com/office/2006/metadata/properties"/>
    <ds:schemaRef ds:uri="http://schemas.microsoft.com/office/infopath/2007/PartnerControls"/>
    <ds:schemaRef ds:uri="e7d54a9e-4aca-451b-99db-b94fe438e987"/>
    <ds:schemaRef ds:uri="7513b557-581c-46d3-8cc7-77c65017dc6f"/>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19641</Words>
  <Characters>111956</Characters>
  <Application>Microsoft Office Word</Application>
  <DocSecurity>4</DocSecurity>
  <Lines>932</Lines>
  <Paragraphs>262</Paragraphs>
  <ScaleCrop>false</ScaleCrop>
  <Manager/>
  <Company/>
  <LinksUpToDate>false</LinksUpToDate>
  <CharactersWithSpaces>131335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2026-06-09T12:06:00Z</dcterms:created>
  <dcterms:modified xsi:type="dcterms:W3CDTF">2026-06-26T05:57:00Z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Order">
    <vt:r8>430100</vt:r8>
  </property>
  <property fmtid="{D5CDD505-2E9C-101B-9397-08002B2CF9AE}" pid="7" name="ClassificationContentMarkingHeaderText">
    <vt:lpwstr>OFFICIAL</vt:lpwstr>
  </property>
  <property fmtid="{D5CDD505-2E9C-101B-9397-08002B2CF9AE}" pid="8" name="MSIP_Label_7cd3e8b9-ffed-43a8-b7f4-cc2fa0382d36_ActionId">
    <vt:lpwstr>cc78bb34-7dfa-4255-8b4b-4899546ffc71</vt:lpwstr>
  </property>
  <property fmtid="{D5CDD505-2E9C-101B-9397-08002B2CF9AE}" pid="9" name="MediaServiceImageTags">
    <vt:lpwstr/>
  </property>
  <property fmtid="{D5CDD505-2E9C-101B-9397-08002B2CF9AE}" pid="10" name="xd_ProgID">
    <vt:lpwstr/>
  </property>
  <property fmtid="{D5CDD505-2E9C-101B-9397-08002B2CF9AE}" pid="11" name="ContentTypeId">
    <vt:lpwstr>0x0101005E4A37BE997BE34FBB7D5057D341D123</vt:lpwstr>
  </property>
  <property fmtid="{D5CDD505-2E9C-101B-9397-08002B2CF9AE}" pid="12" name="ComplianceAssetId">
    <vt:lpwstr/>
  </property>
  <property fmtid="{D5CDD505-2E9C-101B-9397-08002B2CF9AE}" pid="13" name="ClassificationContentMarkingHeaderFontProps">
    <vt:lpwstr>#ff0000,12,Aptos</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SIP_Label_7cd3e8b9-ffed-43a8-b7f4-cc2fa0382d36_ContentBits">
    <vt:lpwstr>3</vt:lpwstr>
  </property>
  <property fmtid="{D5CDD505-2E9C-101B-9397-08002B2CF9AE}" pid="18" name="docLang">
    <vt:lpwstr>en</vt:lpwstr>
  </property>
  <property fmtid="{D5CDD505-2E9C-101B-9397-08002B2CF9AE}" pid="19" name="MSIP_Label_7cd3e8b9-ffed-43a8-b7f4-cc2fa0382d36_Name">
    <vt:lpwstr>O</vt:lpwstr>
  </property>
  <property fmtid="{D5CDD505-2E9C-101B-9397-08002B2CF9AE}" pid="20" name="ClassificationContentMarkingFooterShapeIds">
    <vt:lpwstr>79f1de2f,b3ff041,73a4fc33</vt:lpwstr>
  </property>
  <property fmtid="{D5CDD505-2E9C-101B-9397-08002B2CF9AE}" pid="21" name="MSIP_Label_7cd3e8b9-ffed-43a8-b7f4-cc2fa0382d36_Enabled">
    <vt:lpwstr>true</vt:lpwstr>
  </property>
  <property fmtid="{D5CDD505-2E9C-101B-9397-08002B2CF9AE}" pid="22" name="xd_Signature">
    <vt:bool>false</vt:bool>
  </property>
  <property fmtid="{D5CDD505-2E9C-101B-9397-08002B2CF9AE}" pid="23" name="ClassificationContentMarkingHeaderShapeIds">
    <vt:lpwstr>56e879f1,6a862608,671f06cd</vt:lpwstr>
  </property>
  <property fmtid="{D5CDD505-2E9C-101B-9397-08002B2CF9AE}" pid="24" name="ClassificationContentMarkingFooterFontProps">
    <vt:lpwstr>#ff0000,12,Aptos</vt:lpwstr>
  </property>
  <property fmtid="{D5CDD505-2E9C-101B-9397-08002B2CF9AE}" pid="25" name="MSIP_Label_7cd3e8b9-ffed-43a8-b7f4-cc2fa0382d36_SetDate">
    <vt:lpwstr>2026-05-14T00:15:46Z</vt:lpwstr>
  </property>
</Properties>
</file>